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pacing w:val="-10"/>
          <w:sz w:val="48"/>
        </w:rPr>
      </w:pPr>
      <w:bookmarkStart w:id="0" w:name="_Toc196474969"/>
    </w:p>
    <w:p>
      <w:pPr>
        <w:pStyle w:val="2"/>
      </w:pPr>
    </w:p>
    <w:p>
      <w:pPr>
        <w:pStyle w:val="2"/>
      </w:pPr>
    </w:p>
    <w:p>
      <w:pPr>
        <w:tabs>
          <w:tab w:val="left" w:pos="4819"/>
          <w:tab w:val="left" w:pos="5654"/>
        </w:tabs>
        <w:spacing w:line="360" w:lineRule="auto"/>
        <w:ind w:right="5"/>
        <w:jc w:val="center"/>
        <w:rPr>
          <w:rFonts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滨海新区2020年绿色生态屏障建设一期工程</w:t>
      </w:r>
    </w:p>
    <w:p>
      <w:pPr>
        <w:tabs>
          <w:tab w:val="left" w:pos="4819"/>
          <w:tab w:val="left" w:pos="5654"/>
        </w:tabs>
        <w:spacing w:line="360" w:lineRule="auto"/>
        <w:ind w:right="5"/>
        <w:jc w:val="center"/>
        <w:rPr>
          <w:rFonts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（双城绿廊内部连接道路-永定新河巡堤路维修）监理招标</w:t>
      </w:r>
    </w:p>
    <w:p>
      <w:pPr>
        <w:tabs>
          <w:tab w:val="left" w:pos="4819"/>
          <w:tab w:val="left" w:pos="5654"/>
        </w:tabs>
        <w:spacing w:line="360" w:lineRule="auto"/>
        <w:ind w:right="5"/>
        <w:jc w:val="center"/>
        <w:rPr>
          <w:b/>
          <w:bCs/>
          <w:color w:val="000000"/>
          <w:kern w:val="0"/>
          <w:sz w:val="36"/>
          <w:szCs w:val="36"/>
        </w:rPr>
      </w:pPr>
    </w:p>
    <w:p>
      <w:pPr>
        <w:tabs>
          <w:tab w:val="left" w:pos="4819"/>
          <w:tab w:val="left" w:pos="5654"/>
        </w:tabs>
        <w:spacing w:line="360" w:lineRule="auto"/>
        <w:ind w:right="5"/>
        <w:jc w:val="center"/>
        <w:rPr>
          <w:b/>
          <w:bCs/>
          <w:color w:val="000000"/>
          <w:kern w:val="0"/>
          <w:sz w:val="36"/>
          <w:szCs w:val="36"/>
        </w:rPr>
      </w:pPr>
    </w:p>
    <w:p>
      <w:pPr>
        <w:tabs>
          <w:tab w:val="left" w:pos="4819"/>
          <w:tab w:val="left" w:pos="5654"/>
        </w:tabs>
        <w:spacing w:line="360" w:lineRule="auto"/>
        <w:ind w:right="5"/>
        <w:jc w:val="center"/>
        <w:rPr>
          <w:b/>
          <w:bCs/>
          <w:color w:val="000000"/>
          <w:kern w:val="0"/>
          <w:sz w:val="36"/>
          <w:szCs w:val="36"/>
        </w:rPr>
      </w:pPr>
    </w:p>
    <w:p>
      <w:pPr>
        <w:tabs>
          <w:tab w:val="left" w:pos="4819"/>
          <w:tab w:val="left" w:pos="5654"/>
        </w:tabs>
        <w:spacing w:line="360" w:lineRule="auto"/>
        <w:ind w:right="5"/>
        <w:jc w:val="center"/>
        <w:rPr>
          <w:b/>
          <w:bCs/>
          <w:color w:val="000000"/>
          <w:kern w:val="0"/>
          <w:sz w:val="36"/>
          <w:szCs w:val="36"/>
        </w:rPr>
      </w:pPr>
    </w:p>
    <w:p>
      <w:pPr>
        <w:tabs>
          <w:tab w:val="left" w:pos="4819"/>
          <w:tab w:val="left" w:pos="5654"/>
        </w:tabs>
        <w:spacing w:line="360" w:lineRule="auto"/>
        <w:ind w:right="5"/>
        <w:jc w:val="center"/>
        <w:rPr>
          <w:b/>
          <w:bCs/>
          <w:color w:val="000000"/>
          <w:kern w:val="0"/>
          <w:sz w:val="36"/>
          <w:szCs w:val="36"/>
        </w:rPr>
      </w:pPr>
    </w:p>
    <w:p>
      <w:pPr>
        <w:pStyle w:val="2"/>
        <w:spacing w:line="360" w:lineRule="auto"/>
        <w:jc w:val="center"/>
        <w:rPr>
          <w:b/>
          <w:bCs/>
          <w:kern w:val="0"/>
          <w:sz w:val="36"/>
          <w:szCs w:val="36"/>
        </w:rPr>
      </w:pPr>
      <w:r>
        <w:rPr>
          <w:rFonts w:hint="eastAsia"/>
          <w:b/>
          <w:bCs/>
          <w:kern w:val="0"/>
          <w:sz w:val="36"/>
          <w:szCs w:val="36"/>
        </w:rPr>
        <w:t>（招标编号：SZYL-</w:t>
      </w:r>
      <w:r>
        <w:rPr>
          <w:rFonts w:hint="eastAsia"/>
          <w:b/>
          <w:bCs/>
          <w:sz w:val="36"/>
          <w:szCs w:val="36"/>
        </w:rPr>
        <w:t>XQNW-2020003</w:t>
      </w:r>
      <w:r>
        <w:rPr>
          <w:rFonts w:hint="eastAsia"/>
          <w:b/>
          <w:bCs/>
          <w:kern w:val="0"/>
          <w:sz w:val="36"/>
          <w:szCs w:val="36"/>
        </w:rPr>
        <w:t>）</w:t>
      </w:r>
    </w:p>
    <w:p>
      <w:pPr>
        <w:tabs>
          <w:tab w:val="left" w:pos="4819"/>
          <w:tab w:val="left" w:pos="5654"/>
        </w:tabs>
        <w:spacing w:line="458" w:lineRule="auto"/>
        <w:ind w:right="1"/>
        <w:jc w:val="center"/>
        <w:rPr>
          <w:color w:val="000000"/>
          <w:kern w:val="0"/>
          <w:sz w:val="28"/>
          <w:szCs w:val="28"/>
        </w:rPr>
      </w:pPr>
      <w:r>
        <w:rPr>
          <w:rFonts w:hint="eastAsia" w:eastAsia="黑体"/>
          <w:b/>
          <w:sz w:val="72"/>
        </w:rPr>
        <w:t>招 标</w:t>
      </w:r>
      <w:r>
        <w:rPr>
          <w:rFonts w:eastAsia="黑体"/>
          <w:b/>
          <w:sz w:val="72"/>
        </w:rPr>
        <w:t xml:space="preserve"> </w:t>
      </w:r>
      <w:r>
        <w:rPr>
          <w:rFonts w:hint="eastAsia" w:eastAsia="黑体"/>
          <w:b/>
          <w:sz w:val="72"/>
        </w:rPr>
        <w:t>文</w:t>
      </w:r>
      <w:r>
        <w:rPr>
          <w:rFonts w:eastAsia="黑体"/>
          <w:b/>
          <w:sz w:val="72"/>
        </w:rPr>
        <w:t xml:space="preserve"> </w:t>
      </w:r>
      <w:r>
        <w:rPr>
          <w:rFonts w:hint="eastAsia" w:eastAsia="黑体"/>
          <w:b/>
          <w:sz w:val="72"/>
        </w:rPr>
        <w:t>件</w:t>
      </w:r>
    </w:p>
    <w:p>
      <w:pPr>
        <w:tabs>
          <w:tab w:val="left" w:pos="4819"/>
          <w:tab w:val="left" w:pos="5654"/>
        </w:tabs>
        <w:spacing w:line="458" w:lineRule="auto"/>
        <w:ind w:right="-806" w:firstLine="840" w:firstLineChars="300"/>
        <w:rPr>
          <w:color w:val="000000"/>
          <w:kern w:val="0"/>
          <w:sz w:val="28"/>
          <w:szCs w:val="28"/>
        </w:rPr>
      </w:pPr>
    </w:p>
    <w:p>
      <w:pPr>
        <w:tabs>
          <w:tab w:val="left" w:pos="4819"/>
          <w:tab w:val="left" w:pos="5654"/>
        </w:tabs>
        <w:spacing w:line="458" w:lineRule="auto"/>
        <w:ind w:right="-806" w:firstLine="840" w:firstLineChars="300"/>
        <w:rPr>
          <w:color w:val="000000"/>
          <w:kern w:val="0"/>
          <w:sz w:val="28"/>
          <w:szCs w:val="28"/>
        </w:rPr>
      </w:pPr>
    </w:p>
    <w:p>
      <w:pPr>
        <w:tabs>
          <w:tab w:val="left" w:pos="4819"/>
          <w:tab w:val="left" w:pos="5654"/>
        </w:tabs>
        <w:spacing w:line="458" w:lineRule="auto"/>
        <w:ind w:right="-806" w:firstLine="840" w:firstLineChars="300"/>
        <w:rPr>
          <w:color w:val="000000"/>
          <w:kern w:val="0"/>
          <w:sz w:val="28"/>
          <w:szCs w:val="28"/>
        </w:rPr>
      </w:pPr>
    </w:p>
    <w:p>
      <w:pPr>
        <w:tabs>
          <w:tab w:val="left" w:pos="4819"/>
          <w:tab w:val="left" w:pos="5654"/>
        </w:tabs>
        <w:spacing w:line="458" w:lineRule="auto"/>
        <w:ind w:right="-806" w:firstLine="840" w:firstLineChars="300"/>
        <w:rPr>
          <w:color w:val="000000"/>
          <w:kern w:val="0"/>
          <w:sz w:val="28"/>
          <w:szCs w:val="28"/>
        </w:rPr>
      </w:pPr>
    </w:p>
    <w:p>
      <w:pPr>
        <w:tabs>
          <w:tab w:val="left" w:pos="4819"/>
          <w:tab w:val="left" w:pos="5654"/>
        </w:tabs>
        <w:spacing w:line="458" w:lineRule="auto"/>
        <w:ind w:right="-806" w:firstLine="843" w:firstLineChars="300"/>
        <w:rPr>
          <w:b/>
          <w:bCs/>
          <w:color w:val="000000"/>
          <w:kern w:val="0"/>
          <w:sz w:val="28"/>
          <w:szCs w:val="28"/>
        </w:rPr>
      </w:pPr>
      <w:r>
        <w:rPr>
          <w:rFonts w:hint="eastAsia"/>
          <w:b/>
          <w:bCs/>
          <w:color w:val="000000"/>
          <w:kern w:val="0"/>
          <w:sz w:val="28"/>
          <w:szCs w:val="28"/>
        </w:rPr>
        <w:t>招标人：</w:t>
      </w:r>
      <w:r>
        <w:rPr>
          <w:rFonts w:hint="eastAsia"/>
          <w:b/>
          <w:bCs/>
          <w:color w:val="000000"/>
          <w:kern w:val="0"/>
          <w:sz w:val="28"/>
          <w:szCs w:val="28"/>
          <w:u w:val="single"/>
        </w:rPr>
        <w:t>天津市滨海新区农业农村委员会</w:t>
      </w:r>
      <w:r>
        <w:rPr>
          <w:rFonts w:hint="eastAsia"/>
          <w:b/>
          <w:bCs/>
          <w:color w:val="000000"/>
          <w:kern w:val="0"/>
          <w:sz w:val="28"/>
          <w:szCs w:val="28"/>
        </w:rPr>
        <w:t>（盖单位章）</w:t>
      </w:r>
    </w:p>
    <w:p>
      <w:pPr>
        <w:tabs>
          <w:tab w:val="left" w:pos="4819"/>
          <w:tab w:val="left" w:pos="5654"/>
        </w:tabs>
        <w:spacing w:line="458" w:lineRule="auto"/>
        <w:ind w:right="-806" w:firstLine="843" w:firstLineChars="300"/>
        <w:rPr>
          <w:b/>
          <w:bCs/>
          <w:color w:val="000000"/>
          <w:kern w:val="0"/>
          <w:sz w:val="28"/>
          <w:szCs w:val="28"/>
        </w:rPr>
      </w:pPr>
      <w:r>
        <w:rPr>
          <w:rFonts w:hint="eastAsia"/>
          <w:b/>
          <w:bCs/>
          <w:color w:val="000000"/>
          <w:kern w:val="0"/>
          <w:sz w:val="28"/>
          <w:szCs w:val="28"/>
        </w:rPr>
        <w:t>招标代理机构：</w:t>
      </w:r>
      <w:r>
        <w:rPr>
          <w:rFonts w:hint="eastAsia"/>
          <w:b/>
          <w:bCs/>
          <w:color w:val="000000"/>
          <w:kern w:val="0"/>
          <w:sz w:val="28"/>
          <w:szCs w:val="28"/>
          <w:u w:val="single"/>
        </w:rPr>
        <w:t>天津神州亿隆工程管理咨询有限公司</w:t>
      </w:r>
      <w:r>
        <w:rPr>
          <w:rFonts w:hint="eastAsia"/>
          <w:b/>
          <w:bCs/>
          <w:color w:val="000000"/>
          <w:kern w:val="0"/>
          <w:sz w:val="28"/>
          <w:szCs w:val="28"/>
        </w:rPr>
        <w:t>（盖单位章）</w:t>
      </w:r>
    </w:p>
    <w:p>
      <w:pPr>
        <w:jc w:val="center"/>
      </w:pPr>
      <w:r>
        <w:rPr>
          <w:rFonts w:hint="eastAsia"/>
          <w:b/>
          <w:bCs/>
          <w:color w:val="000000"/>
          <w:w w:val="105"/>
          <w:sz w:val="28"/>
          <w:szCs w:val="28"/>
        </w:rPr>
        <w:t xml:space="preserve"> 2020年10</w:t>
      </w:r>
      <w:r>
        <w:rPr>
          <w:rFonts w:hint="eastAsia"/>
          <w:b/>
          <w:bCs/>
          <w:color w:val="000000"/>
          <w:w w:val="110"/>
          <w:sz w:val="28"/>
          <w:szCs w:val="28"/>
        </w:rPr>
        <w:t>月09日</w:t>
      </w:r>
    </w:p>
    <w:p>
      <w:pPr>
        <w:sectPr>
          <w:headerReference r:id="rId5" w:type="first"/>
          <w:footerReference r:id="rId8" w:type="first"/>
          <w:headerReference r:id="rId3" w:type="default"/>
          <w:footerReference r:id="rId6" w:type="default"/>
          <w:headerReference r:id="rId4" w:type="even"/>
          <w:footerReference r:id="rId7" w:type="even"/>
          <w:pgSz w:w="11906" w:h="16838"/>
          <w:pgMar w:top="1304" w:right="1304" w:bottom="1304" w:left="1361" w:header="907" w:footer="907" w:gutter="0"/>
          <w:pgNumType w:start="0"/>
          <w:cols w:space="720" w:num="1"/>
          <w:titlePg/>
          <w:docGrid w:linePitch="312" w:charSpace="0"/>
        </w:sectPr>
      </w:pPr>
    </w:p>
    <w:p>
      <w:pPr>
        <w:spacing w:beforeLines="50" w:afterLines="50"/>
        <w:jc w:val="center"/>
        <w:rPr>
          <w:b/>
          <w:sz w:val="44"/>
          <w:szCs w:val="44"/>
        </w:rPr>
      </w:pPr>
      <w:r>
        <w:rPr>
          <w:rFonts w:hint="eastAsia"/>
          <w:b/>
          <w:sz w:val="44"/>
          <w:szCs w:val="44"/>
        </w:rPr>
        <w:t>目</w:t>
      </w:r>
      <w:r>
        <w:rPr>
          <w:b/>
          <w:sz w:val="44"/>
          <w:szCs w:val="44"/>
        </w:rPr>
        <w:t xml:space="preserve">  录</w:t>
      </w:r>
      <w:bookmarkEnd w:id="0"/>
    </w:p>
    <w:p>
      <w:pPr>
        <w:pStyle w:val="32"/>
        <w:tabs>
          <w:tab w:val="right" w:leader="dot" w:pos="8620"/>
          <w:tab w:val="clear" w:pos="9458"/>
        </w:tabs>
        <w:jc w:val="center"/>
        <w:rPr>
          <w:rStyle w:val="38"/>
          <w:color w:val="auto"/>
          <w:sz w:val="30"/>
          <w:szCs w:val="30"/>
          <w:u w:val="none"/>
        </w:rPr>
      </w:pPr>
      <w:r>
        <w:rPr>
          <w:sz w:val="28"/>
          <w:szCs w:val="28"/>
        </w:rPr>
        <w:fldChar w:fldCharType="begin"/>
      </w:r>
      <w:r>
        <w:rPr>
          <w:sz w:val="28"/>
          <w:szCs w:val="28"/>
        </w:rPr>
        <w:instrText xml:space="preserve"> TOC \o "1-2" \h \z \u </w:instrText>
      </w:r>
      <w:r>
        <w:rPr>
          <w:sz w:val="28"/>
          <w:szCs w:val="28"/>
        </w:rPr>
        <w:fldChar w:fldCharType="separate"/>
      </w:r>
      <w:r>
        <w:rPr>
          <w:sz w:val="30"/>
          <w:szCs w:val="30"/>
        </w:rPr>
        <w:fldChar w:fldCharType="begin"/>
      </w:r>
      <w:r>
        <w:rPr>
          <w:rStyle w:val="38"/>
          <w:color w:val="auto"/>
          <w:sz w:val="30"/>
          <w:szCs w:val="30"/>
          <w:u w:val="none"/>
        </w:rPr>
        <w:instrText xml:space="preserve"> HYPERLINK \l "_Toc459295779" </w:instrText>
      </w:r>
      <w:r>
        <w:rPr>
          <w:sz w:val="30"/>
          <w:szCs w:val="30"/>
        </w:rPr>
        <w:fldChar w:fldCharType="separate"/>
      </w:r>
      <w:r>
        <w:rPr>
          <w:rStyle w:val="38"/>
          <w:rFonts w:hint="eastAsia"/>
          <w:color w:val="auto"/>
          <w:sz w:val="30"/>
          <w:szCs w:val="30"/>
          <w:u w:val="none"/>
        </w:rPr>
        <w:t>第一卷</w:t>
      </w:r>
    </w:p>
    <w:p>
      <w:pPr>
        <w:pStyle w:val="32"/>
        <w:tabs>
          <w:tab w:val="right" w:leader="dot" w:pos="8620"/>
          <w:tab w:val="clear" w:pos="9458"/>
        </w:tabs>
        <w:rPr>
          <w:rStyle w:val="38"/>
          <w:color w:val="auto"/>
          <w:sz w:val="30"/>
          <w:szCs w:val="30"/>
          <w:u w:val="none"/>
        </w:rPr>
      </w:pPr>
      <w:r>
        <w:rPr>
          <w:rStyle w:val="38"/>
          <w:rFonts w:hint="eastAsia"/>
          <w:color w:val="auto"/>
          <w:sz w:val="30"/>
          <w:szCs w:val="30"/>
          <w:u w:val="none"/>
        </w:rPr>
        <w:t>第一章</w:t>
      </w:r>
      <w:r>
        <w:rPr>
          <w:rStyle w:val="38"/>
          <w:color w:val="auto"/>
          <w:sz w:val="30"/>
          <w:szCs w:val="30"/>
          <w:u w:val="none"/>
        </w:rPr>
        <w:t xml:space="preserve">  </w:t>
      </w:r>
      <w:r>
        <w:rPr>
          <w:rStyle w:val="38"/>
          <w:rFonts w:hint="eastAsia"/>
          <w:color w:val="auto"/>
          <w:sz w:val="30"/>
          <w:szCs w:val="30"/>
          <w:u w:val="none"/>
        </w:rPr>
        <w:t>招标公告</w:t>
      </w:r>
      <w:r>
        <w:rPr>
          <w:rStyle w:val="38"/>
          <w:color w:val="auto"/>
          <w:sz w:val="30"/>
          <w:szCs w:val="30"/>
          <w:u w:val="none"/>
        </w:rPr>
        <w:tab/>
      </w:r>
      <w:r>
        <w:rPr>
          <w:rFonts w:hint="eastAsia"/>
          <w:sz w:val="30"/>
          <w:szCs w:val="30"/>
        </w:rPr>
        <w:t>3</w:t>
      </w:r>
      <w:r>
        <w:rPr>
          <w:sz w:val="30"/>
          <w:szCs w:val="30"/>
        </w:rPr>
        <w:fldChar w:fldCharType="end"/>
      </w:r>
    </w:p>
    <w:p>
      <w:pPr>
        <w:pStyle w:val="32"/>
        <w:tabs>
          <w:tab w:val="right" w:leader="dot" w:pos="8620"/>
          <w:tab w:val="clear" w:pos="9458"/>
        </w:tabs>
        <w:rPr>
          <w:rStyle w:val="38"/>
          <w:color w:val="auto"/>
          <w:sz w:val="30"/>
          <w:szCs w:val="30"/>
          <w:u w:val="none"/>
        </w:rPr>
      </w:pPr>
      <w:r>
        <w:fldChar w:fldCharType="begin"/>
      </w:r>
      <w:r>
        <w:instrText xml:space="preserve"> HYPERLINK \l "_Toc459295781" </w:instrText>
      </w:r>
      <w:r>
        <w:fldChar w:fldCharType="separate"/>
      </w:r>
      <w:r>
        <w:rPr>
          <w:rStyle w:val="38"/>
          <w:rFonts w:hint="eastAsia"/>
          <w:color w:val="auto"/>
          <w:sz w:val="30"/>
          <w:szCs w:val="30"/>
          <w:u w:val="none"/>
        </w:rPr>
        <w:t>第二章</w:t>
      </w:r>
      <w:r>
        <w:rPr>
          <w:rStyle w:val="38"/>
          <w:color w:val="auto"/>
          <w:sz w:val="30"/>
          <w:szCs w:val="30"/>
          <w:u w:val="none"/>
        </w:rPr>
        <w:t xml:space="preserve">  </w:t>
      </w:r>
      <w:r>
        <w:rPr>
          <w:rStyle w:val="38"/>
          <w:rFonts w:hint="eastAsia"/>
          <w:color w:val="auto"/>
          <w:sz w:val="30"/>
          <w:szCs w:val="30"/>
          <w:u w:val="none"/>
        </w:rPr>
        <w:t>投标人须知</w:t>
      </w:r>
      <w:r>
        <w:rPr>
          <w:rStyle w:val="38"/>
          <w:color w:val="auto"/>
          <w:sz w:val="30"/>
          <w:szCs w:val="30"/>
          <w:u w:val="none"/>
        </w:rPr>
        <w:tab/>
      </w:r>
      <w:r>
        <w:rPr>
          <w:sz w:val="30"/>
          <w:szCs w:val="30"/>
        </w:rPr>
        <w:fldChar w:fldCharType="begin"/>
      </w:r>
      <w:r>
        <w:rPr>
          <w:rStyle w:val="38"/>
          <w:color w:val="auto"/>
          <w:sz w:val="30"/>
          <w:szCs w:val="30"/>
          <w:u w:val="none"/>
        </w:rPr>
        <w:instrText xml:space="preserve"> PAGEREF _Toc459295781 \h </w:instrText>
      </w:r>
      <w:r>
        <w:rPr>
          <w:sz w:val="30"/>
          <w:szCs w:val="30"/>
        </w:rPr>
        <w:fldChar w:fldCharType="separate"/>
      </w:r>
      <w:r>
        <w:rPr>
          <w:rStyle w:val="38"/>
          <w:color w:val="auto"/>
          <w:sz w:val="30"/>
          <w:szCs w:val="30"/>
          <w:u w:val="none"/>
        </w:rPr>
        <w:t>6</w:t>
      </w:r>
      <w:r>
        <w:rPr>
          <w:sz w:val="30"/>
          <w:szCs w:val="30"/>
        </w:rPr>
        <w:fldChar w:fldCharType="end"/>
      </w:r>
      <w:r>
        <w:rPr>
          <w:sz w:val="30"/>
          <w:szCs w:val="30"/>
        </w:rPr>
        <w:fldChar w:fldCharType="end"/>
      </w:r>
    </w:p>
    <w:p>
      <w:pPr>
        <w:pStyle w:val="32"/>
        <w:tabs>
          <w:tab w:val="right" w:leader="dot" w:pos="8620"/>
          <w:tab w:val="clear" w:pos="9458"/>
        </w:tabs>
        <w:rPr>
          <w:rStyle w:val="38"/>
          <w:color w:val="auto"/>
          <w:sz w:val="30"/>
          <w:szCs w:val="30"/>
          <w:u w:val="none"/>
        </w:rPr>
      </w:pPr>
      <w:r>
        <w:fldChar w:fldCharType="begin"/>
      </w:r>
      <w:r>
        <w:instrText xml:space="preserve"> HYPERLINK \l "_Toc459295782" </w:instrText>
      </w:r>
      <w:r>
        <w:fldChar w:fldCharType="separate"/>
      </w:r>
      <w:r>
        <w:rPr>
          <w:rStyle w:val="38"/>
          <w:rFonts w:hint="eastAsia"/>
          <w:color w:val="auto"/>
          <w:sz w:val="30"/>
          <w:szCs w:val="30"/>
          <w:u w:val="none"/>
        </w:rPr>
        <w:t>第三章</w:t>
      </w:r>
      <w:r>
        <w:rPr>
          <w:rStyle w:val="38"/>
          <w:color w:val="auto"/>
          <w:sz w:val="30"/>
          <w:szCs w:val="30"/>
          <w:u w:val="none"/>
        </w:rPr>
        <w:t xml:space="preserve">  </w:t>
      </w:r>
      <w:r>
        <w:rPr>
          <w:rStyle w:val="38"/>
          <w:rFonts w:hint="eastAsia"/>
          <w:color w:val="auto"/>
          <w:sz w:val="30"/>
          <w:szCs w:val="30"/>
          <w:u w:val="none"/>
        </w:rPr>
        <w:t>评标办法（综合评估法）</w:t>
      </w:r>
      <w:r>
        <w:rPr>
          <w:rStyle w:val="38"/>
          <w:color w:val="auto"/>
          <w:sz w:val="30"/>
          <w:szCs w:val="30"/>
          <w:u w:val="none"/>
        </w:rPr>
        <w:tab/>
      </w:r>
      <w:r>
        <w:rPr>
          <w:rStyle w:val="38"/>
          <w:color w:val="auto"/>
          <w:sz w:val="30"/>
          <w:szCs w:val="30"/>
          <w:u w:val="none"/>
        </w:rPr>
        <w:fldChar w:fldCharType="end"/>
      </w:r>
      <w:r>
        <w:rPr>
          <w:rFonts w:hint="eastAsia"/>
          <w:sz w:val="30"/>
          <w:szCs w:val="30"/>
        </w:rPr>
        <w:t>34</w:t>
      </w:r>
    </w:p>
    <w:p>
      <w:pPr>
        <w:pStyle w:val="32"/>
        <w:tabs>
          <w:tab w:val="right" w:leader="dot" w:pos="8620"/>
          <w:tab w:val="clear" w:pos="9458"/>
        </w:tabs>
        <w:rPr>
          <w:rStyle w:val="38"/>
          <w:color w:val="auto"/>
          <w:sz w:val="30"/>
          <w:szCs w:val="30"/>
          <w:u w:val="none"/>
        </w:rPr>
      </w:pPr>
      <w:r>
        <w:fldChar w:fldCharType="begin"/>
      </w:r>
      <w:r>
        <w:instrText xml:space="preserve"> HYPERLINK \l "_Toc459295783" </w:instrText>
      </w:r>
      <w:r>
        <w:fldChar w:fldCharType="separate"/>
      </w:r>
      <w:r>
        <w:rPr>
          <w:rStyle w:val="38"/>
          <w:rFonts w:hint="eastAsia"/>
          <w:color w:val="auto"/>
          <w:sz w:val="30"/>
          <w:szCs w:val="30"/>
          <w:u w:val="none"/>
        </w:rPr>
        <w:t>第四章</w:t>
      </w:r>
      <w:r>
        <w:rPr>
          <w:rStyle w:val="38"/>
          <w:color w:val="auto"/>
          <w:sz w:val="30"/>
          <w:szCs w:val="30"/>
          <w:u w:val="none"/>
        </w:rPr>
        <w:t xml:space="preserve">  </w:t>
      </w:r>
      <w:r>
        <w:rPr>
          <w:rStyle w:val="38"/>
          <w:rFonts w:hint="eastAsia"/>
          <w:color w:val="auto"/>
          <w:sz w:val="30"/>
          <w:szCs w:val="30"/>
          <w:u w:val="none"/>
        </w:rPr>
        <w:t>合同条款及格式</w:t>
      </w:r>
      <w:r>
        <w:rPr>
          <w:rStyle w:val="38"/>
          <w:color w:val="auto"/>
          <w:sz w:val="30"/>
          <w:szCs w:val="30"/>
          <w:u w:val="none"/>
        </w:rPr>
        <w:tab/>
      </w:r>
      <w:r>
        <w:rPr>
          <w:rStyle w:val="38"/>
          <w:color w:val="auto"/>
          <w:sz w:val="30"/>
          <w:szCs w:val="30"/>
          <w:u w:val="none"/>
        </w:rPr>
        <w:fldChar w:fldCharType="end"/>
      </w:r>
      <w:r>
        <w:rPr>
          <w:rFonts w:hint="eastAsia"/>
          <w:sz w:val="30"/>
          <w:szCs w:val="30"/>
        </w:rPr>
        <w:t>42</w:t>
      </w:r>
    </w:p>
    <w:p>
      <w:pPr>
        <w:pStyle w:val="32"/>
        <w:tabs>
          <w:tab w:val="right" w:leader="dot" w:pos="8620"/>
          <w:tab w:val="clear" w:pos="9458"/>
        </w:tabs>
        <w:jc w:val="center"/>
        <w:rPr>
          <w:rStyle w:val="38"/>
          <w:color w:val="auto"/>
          <w:sz w:val="30"/>
          <w:szCs w:val="30"/>
          <w:u w:val="none"/>
        </w:rPr>
      </w:pPr>
      <w:r>
        <w:rPr>
          <w:rFonts w:hint="eastAsia"/>
          <w:sz w:val="30"/>
          <w:szCs w:val="30"/>
        </w:rPr>
        <w:fldChar w:fldCharType="begin"/>
      </w:r>
      <w:r>
        <w:rPr>
          <w:rStyle w:val="38"/>
          <w:rFonts w:hint="eastAsia"/>
          <w:color w:val="auto"/>
          <w:sz w:val="30"/>
          <w:szCs w:val="30"/>
          <w:u w:val="none"/>
        </w:rPr>
        <w:instrText xml:space="preserve"> HYPERLINK \l "_Toc459295789" </w:instrText>
      </w:r>
      <w:r>
        <w:rPr>
          <w:rFonts w:hint="eastAsia"/>
          <w:sz w:val="30"/>
          <w:szCs w:val="30"/>
        </w:rPr>
        <w:fldChar w:fldCharType="separate"/>
      </w:r>
      <w:r>
        <w:rPr>
          <w:rStyle w:val="38"/>
          <w:rFonts w:hint="eastAsia"/>
          <w:color w:val="auto"/>
          <w:sz w:val="30"/>
          <w:szCs w:val="30"/>
          <w:u w:val="none"/>
        </w:rPr>
        <w:t>第二卷</w:t>
      </w:r>
    </w:p>
    <w:p>
      <w:pPr>
        <w:pStyle w:val="32"/>
        <w:tabs>
          <w:tab w:val="right" w:leader="dot" w:pos="8620"/>
          <w:tab w:val="clear" w:pos="9458"/>
        </w:tabs>
        <w:rPr>
          <w:rStyle w:val="38"/>
          <w:color w:val="auto"/>
          <w:sz w:val="30"/>
          <w:szCs w:val="30"/>
          <w:u w:val="none"/>
        </w:rPr>
      </w:pPr>
      <w:r>
        <w:rPr>
          <w:rStyle w:val="38"/>
          <w:rFonts w:hint="eastAsia"/>
          <w:color w:val="auto"/>
          <w:sz w:val="30"/>
          <w:szCs w:val="30"/>
          <w:u w:val="none"/>
        </w:rPr>
        <w:t>第五章  委托人要求</w:t>
      </w:r>
      <w:r>
        <w:rPr>
          <w:rStyle w:val="38"/>
          <w:rFonts w:hint="eastAsia"/>
          <w:color w:val="auto"/>
          <w:sz w:val="30"/>
          <w:szCs w:val="30"/>
          <w:u w:val="none"/>
        </w:rPr>
        <w:tab/>
      </w:r>
      <w:r>
        <w:rPr>
          <w:rStyle w:val="38"/>
          <w:rFonts w:hint="eastAsia"/>
          <w:color w:val="auto"/>
          <w:sz w:val="30"/>
          <w:szCs w:val="30"/>
          <w:u w:val="none"/>
        </w:rPr>
        <w:t>80</w:t>
      </w:r>
      <w:r>
        <w:rPr>
          <w:rFonts w:hint="eastAsia"/>
          <w:sz w:val="30"/>
          <w:szCs w:val="30"/>
        </w:rPr>
        <w:fldChar w:fldCharType="end"/>
      </w:r>
    </w:p>
    <w:p>
      <w:pPr>
        <w:pStyle w:val="32"/>
        <w:tabs>
          <w:tab w:val="right" w:leader="dot" w:pos="8620"/>
          <w:tab w:val="clear" w:pos="9458"/>
        </w:tabs>
        <w:rPr>
          <w:rStyle w:val="38"/>
          <w:color w:val="auto"/>
          <w:sz w:val="30"/>
          <w:szCs w:val="30"/>
          <w:u w:val="none"/>
        </w:rPr>
      </w:pPr>
      <w:r>
        <w:rPr>
          <w:rStyle w:val="38"/>
          <w:rFonts w:hint="eastAsia"/>
          <w:color w:val="auto"/>
          <w:sz w:val="30"/>
          <w:szCs w:val="30"/>
          <w:u w:val="none"/>
        </w:rPr>
        <w:t>第六章  图纸和资料</w:t>
      </w:r>
      <w:r>
        <w:rPr>
          <w:rStyle w:val="38"/>
          <w:rFonts w:hint="eastAsia"/>
          <w:color w:val="auto"/>
          <w:sz w:val="30"/>
          <w:szCs w:val="30"/>
          <w:u w:val="none"/>
        </w:rPr>
        <w:tab/>
      </w:r>
      <w:r>
        <w:rPr>
          <w:rStyle w:val="38"/>
          <w:rFonts w:hint="eastAsia"/>
          <w:color w:val="auto"/>
          <w:sz w:val="30"/>
          <w:szCs w:val="30"/>
          <w:u w:val="none"/>
        </w:rPr>
        <w:t>85</w:t>
      </w:r>
    </w:p>
    <w:p>
      <w:pPr>
        <w:pStyle w:val="32"/>
        <w:tabs>
          <w:tab w:val="right" w:leader="dot" w:pos="8620"/>
          <w:tab w:val="clear" w:pos="9458"/>
        </w:tabs>
        <w:jc w:val="center"/>
        <w:rPr>
          <w:rStyle w:val="38"/>
          <w:color w:val="auto"/>
          <w:sz w:val="30"/>
          <w:szCs w:val="30"/>
          <w:u w:val="none"/>
        </w:rPr>
      </w:pPr>
      <w:r>
        <w:rPr>
          <w:sz w:val="30"/>
          <w:szCs w:val="30"/>
        </w:rPr>
        <w:fldChar w:fldCharType="begin"/>
      </w:r>
      <w:r>
        <w:rPr>
          <w:rStyle w:val="38"/>
          <w:color w:val="auto"/>
          <w:sz w:val="30"/>
          <w:szCs w:val="30"/>
          <w:u w:val="none"/>
        </w:rPr>
        <w:instrText xml:space="preserve"> </w:instrText>
      </w:r>
      <w:r>
        <w:rPr>
          <w:sz w:val="30"/>
          <w:szCs w:val="30"/>
        </w:rPr>
        <w:instrText xml:space="preserve">HYPERLINK \l "_Toc459295793"</w:instrText>
      </w:r>
      <w:r>
        <w:rPr>
          <w:rStyle w:val="38"/>
          <w:color w:val="auto"/>
          <w:sz w:val="30"/>
          <w:szCs w:val="30"/>
          <w:u w:val="none"/>
        </w:rPr>
        <w:instrText xml:space="preserve"> </w:instrText>
      </w:r>
      <w:r>
        <w:rPr>
          <w:sz w:val="30"/>
          <w:szCs w:val="30"/>
        </w:rPr>
        <w:fldChar w:fldCharType="separate"/>
      </w:r>
      <w:r>
        <w:rPr>
          <w:rStyle w:val="38"/>
          <w:rFonts w:hint="eastAsia"/>
          <w:color w:val="auto"/>
          <w:sz w:val="30"/>
          <w:szCs w:val="30"/>
          <w:u w:val="none"/>
        </w:rPr>
        <w:t>第三卷</w:t>
      </w:r>
    </w:p>
    <w:p>
      <w:pPr>
        <w:pStyle w:val="32"/>
        <w:tabs>
          <w:tab w:val="right" w:leader="dot" w:pos="8620"/>
          <w:tab w:val="clear" w:pos="9458"/>
        </w:tabs>
        <w:rPr>
          <w:rFonts w:ascii="Calibri" w:hAnsi="Calibri"/>
          <w:smallCaps w:val="0"/>
          <w:color w:val="FF0000"/>
          <w:sz w:val="21"/>
          <w:szCs w:val="22"/>
        </w:rPr>
      </w:pPr>
      <w:r>
        <w:rPr>
          <w:rStyle w:val="38"/>
          <w:rFonts w:hint="eastAsia"/>
          <w:color w:val="auto"/>
          <w:sz w:val="30"/>
          <w:szCs w:val="30"/>
          <w:u w:val="none"/>
        </w:rPr>
        <w:t>第七章</w:t>
      </w:r>
      <w:r>
        <w:rPr>
          <w:rStyle w:val="38"/>
          <w:color w:val="auto"/>
          <w:sz w:val="30"/>
          <w:szCs w:val="30"/>
          <w:u w:val="none"/>
        </w:rPr>
        <w:t xml:space="preserve">  </w:t>
      </w:r>
      <w:r>
        <w:rPr>
          <w:rStyle w:val="38"/>
          <w:rFonts w:hint="eastAsia"/>
          <w:color w:val="auto"/>
          <w:sz w:val="30"/>
          <w:szCs w:val="30"/>
          <w:u w:val="none"/>
        </w:rPr>
        <w:t>投标文件格式</w:t>
      </w:r>
      <w:r>
        <w:rPr>
          <w:sz w:val="30"/>
          <w:szCs w:val="30"/>
        </w:rPr>
        <w:tab/>
      </w:r>
      <w:r>
        <w:rPr>
          <w:rFonts w:hint="eastAsia"/>
          <w:sz w:val="30"/>
          <w:szCs w:val="30"/>
        </w:rPr>
        <w:t>8</w:t>
      </w:r>
      <w:r>
        <w:rPr>
          <w:sz w:val="30"/>
          <w:szCs w:val="30"/>
        </w:rPr>
        <w:fldChar w:fldCharType="end"/>
      </w:r>
      <w:r>
        <w:rPr>
          <w:rFonts w:hint="eastAsia"/>
          <w:sz w:val="30"/>
          <w:szCs w:val="30"/>
        </w:rPr>
        <w:t>7</w:t>
      </w:r>
    </w:p>
    <w:p>
      <w:pPr>
        <w:spacing w:line="360" w:lineRule="auto"/>
        <w:rPr>
          <w:color w:val="FF0000"/>
          <w:sz w:val="28"/>
          <w:szCs w:val="28"/>
        </w:rPr>
      </w:pPr>
      <w:r>
        <w:rPr>
          <w:szCs w:val="28"/>
        </w:rPr>
        <w:fldChar w:fldCharType="end"/>
      </w:r>
      <w:bookmarkStart w:id="1" w:name="_Toc196474971"/>
    </w:p>
    <w:p/>
    <w:p/>
    <w:p/>
    <w:p/>
    <w:p/>
    <w:p/>
    <w:p/>
    <w:p/>
    <w:p/>
    <w:p/>
    <w:p/>
    <w:p/>
    <w:p/>
    <w:p/>
    <w:p/>
    <w:p/>
    <w:p/>
    <w:p/>
    <w:p>
      <w:pPr>
        <w:pStyle w:val="5"/>
        <w:tabs>
          <w:tab w:val="left" w:pos="870"/>
        </w:tabs>
        <w:spacing w:before="100" w:beforeAutospacing="1" w:after="100" w:afterAutospacing="1" w:line="240" w:lineRule="auto"/>
        <w:jc w:val="center"/>
        <w:rPr>
          <w:rFonts w:ascii="宋体" w:hAnsi="宋体" w:eastAsia="宋体"/>
          <w:szCs w:val="21"/>
        </w:rPr>
      </w:pPr>
    </w:p>
    <w:p>
      <w:pPr>
        <w:pStyle w:val="5"/>
        <w:tabs>
          <w:tab w:val="left" w:pos="870"/>
        </w:tabs>
        <w:spacing w:before="100" w:beforeAutospacing="1" w:after="100" w:afterAutospacing="1" w:line="240" w:lineRule="auto"/>
        <w:jc w:val="center"/>
        <w:rPr>
          <w:rFonts w:ascii="宋体" w:hAnsi="宋体" w:eastAsia="宋体"/>
          <w:szCs w:val="21"/>
        </w:rPr>
      </w:pPr>
    </w:p>
    <w:p>
      <w:pPr>
        <w:pStyle w:val="5"/>
        <w:tabs>
          <w:tab w:val="left" w:pos="870"/>
        </w:tabs>
        <w:spacing w:before="100" w:beforeAutospacing="1" w:after="100" w:afterAutospacing="1" w:line="240" w:lineRule="auto"/>
        <w:jc w:val="center"/>
        <w:rPr>
          <w:rFonts w:ascii="宋体" w:hAnsi="宋体" w:eastAsia="宋体"/>
          <w:szCs w:val="21"/>
        </w:rPr>
      </w:pPr>
    </w:p>
    <w:p>
      <w:pPr>
        <w:pStyle w:val="5"/>
        <w:tabs>
          <w:tab w:val="left" w:pos="870"/>
        </w:tabs>
        <w:spacing w:before="100" w:beforeAutospacing="1" w:after="100" w:afterAutospacing="1" w:line="240" w:lineRule="auto"/>
        <w:jc w:val="center"/>
        <w:rPr>
          <w:rFonts w:ascii="宋体" w:hAnsi="宋体" w:eastAsia="宋体"/>
          <w:szCs w:val="21"/>
        </w:rPr>
      </w:pPr>
    </w:p>
    <w:p>
      <w:pPr>
        <w:pStyle w:val="5"/>
        <w:tabs>
          <w:tab w:val="left" w:pos="870"/>
        </w:tabs>
        <w:spacing w:before="100" w:beforeAutospacing="1" w:after="100" w:afterAutospacing="1" w:line="240" w:lineRule="auto"/>
        <w:jc w:val="center"/>
        <w:rPr>
          <w:rFonts w:ascii="宋体" w:hAnsi="宋体" w:eastAsia="宋体"/>
          <w:szCs w:val="21"/>
        </w:rPr>
      </w:pPr>
    </w:p>
    <w:p>
      <w:pPr>
        <w:pStyle w:val="5"/>
        <w:tabs>
          <w:tab w:val="left" w:pos="870"/>
        </w:tabs>
        <w:spacing w:before="100" w:beforeAutospacing="1" w:after="100" w:afterAutospacing="1" w:line="240" w:lineRule="auto"/>
        <w:jc w:val="center"/>
        <w:rPr>
          <w:rFonts w:ascii="宋体" w:hAnsi="宋体" w:eastAsia="宋体"/>
          <w:szCs w:val="21"/>
        </w:rPr>
      </w:pPr>
    </w:p>
    <w:p>
      <w:pPr>
        <w:pStyle w:val="5"/>
        <w:tabs>
          <w:tab w:val="left" w:pos="870"/>
        </w:tabs>
        <w:spacing w:beforeLines="50" w:afterLines="50" w:line="240" w:lineRule="auto"/>
        <w:jc w:val="center"/>
        <w:rPr>
          <w:rFonts w:ascii="宋体" w:hAnsi="宋体" w:eastAsia="宋体"/>
          <w:szCs w:val="21"/>
        </w:rPr>
      </w:pPr>
      <w:bookmarkStart w:id="2" w:name="_Toc459295779"/>
      <w:r>
        <w:rPr>
          <w:rFonts w:hint="eastAsia" w:ascii="宋体" w:hAnsi="宋体" w:eastAsia="宋体"/>
          <w:sz w:val="72"/>
          <w:szCs w:val="72"/>
        </w:rPr>
        <w:t>第一卷</w:t>
      </w:r>
      <w:r>
        <w:rPr>
          <w:rFonts w:ascii="宋体" w:hAnsi="宋体" w:eastAsia="宋体"/>
          <w:szCs w:val="21"/>
        </w:rPr>
        <w:br w:type="page"/>
      </w:r>
      <w:bookmarkStart w:id="3" w:name="_Toc459295780"/>
      <w:r>
        <w:rPr>
          <w:rFonts w:ascii="宋体" w:hAnsi="宋体" w:eastAsia="宋体"/>
          <w:szCs w:val="21"/>
        </w:rPr>
        <w:t>第一</w:t>
      </w:r>
      <w:r>
        <w:rPr>
          <w:rFonts w:hint="eastAsia" w:ascii="宋体" w:hAnsi="宋体" w:eastAsia="宋体"/>
          <w:szCs w:val="21"/>
        </w:rPr>
        <w:t>章</w:t>
      </w:r>
      <w:r>
        <w:rPr>
          <w:rFonts w:ascii="宋体" w:hAnsi="宋体" w:eastAsia="宋体"/>
          <w:szCs w:val="21"/>
        </w:rPr>
        <w:t xml:space="preserve">  </w:t>
      </w:r>
      <w:bookmarkEnd w:id="1"/>
      <w:r>
        <w:rPr>
          <w:rFonts w:ascii="宋体" w:hAnsi="宋体" w:eastAsia="宋体"/>
          <w:szCs w:val="21"/>
        </w:rPr>
        <w:t>招标公告</w:t>
      </w:r>
      <w:bookmarkEnd w:id="2"/>
      <w:bookmarkEnd w:id="3"/>
    </w:p>
    <w:p>
      <w:pPr>
        <w:spacing w:beforeLines="50" w:line="440" w:lineRule="exact"/>
        <w:jc w:val="center"/>
        <w:rPr>
          <w:b/>
          <w:sz w:val="24"/>
        </w:rPr>
      </w:pPr>
      <w:r>
        <w:rPr>
          <w:rFonts w:hint="eastAsia"/>
          <w:b/>
          <w:sz w:val="24"/>
        </w:rPr>
        <w:t>滨海新区2020年绿色生态屏障建设一期工程</w:t>
      </w:r>
    </w:p>
    <w:p>
      <w:pPr>
        <w:spacing w:afterLines="50" w:line="440" w:lineRule="exact"/>
        <w:jc w:val="center"/>
        <w:rPr>
          <w:b/>
          <w:sz w:val="24"/>
        </w:rPr>
      </w:pPr>
      <w:r>
        <w:rPr>
          <w:rFonts w:hint="eastAsia"/>
          <w:b/>
          <w:sz w:val="24"/>
        </w:rPr>
        <w:t>（双城绿廊内部连接道路-永定新河巡堤路维修）监理</w:t>
      </w:r>
      <w:r>
        <w:rPr>
          <w:b/>
          <w:sz w:val="24"/>
        </w:rPr>
        <w:t>招标公告</w:t>
      </w:r>
    </w:p>
    <w:p>
      <w:pPr>
        <w:spacing w:line="440" w:lineRule="exact"/>
        <w:jc w:val="left"/>
        <w:rPr>
          <w:b/>
          <w:sz w:val="24"/>
        </w:rPr>
      </w:pPr>
      <w:bookmarkStart w:id="4" w:name="_Toc234349308"/>
      <w:r>
        <w:rPr>
          <w:b/>
          <w:sz w:val="24"/>
        </w:rPr>
        <w:t>1.招标条件</w:t>
      </w:r>
      <w:bookmarkEnd w:id="4"/>
    </w:p>
    <w:p>
      <w:pPr>
        <w:pStyle w:val="50"/>
        <w:snapToGrid w:val="0"/>
        <w:spacing w:line="440" w:lineRule="exact"/>
        <w:ind w:firstLine="480" w:firstLineChars="200"/>
        <w:rPr>
          <w:rFonts w:ascii="Times New Roman" w:cs="Times New Roman"/>
        </w:rPr>
      </w:pPr>
      <w:bookmarkStart w:id="5" w:name="_Toc234349309"/>
      <w:r>
        <w:rPr>
          <w:rFonts w:ascii="Times New Roman" w:cs="Times New Roman"/>
          <w:color w:val="auto"/>
        </w:rPr>
        <w:t>本招标项目</w:t>
      </w:r>
      <w:r>
        <w:rPr>
          <w:rFonts w:hint="eastAsia" w:ascii="Times New Roman" w:cs="Times New Roman"/>
          <w:color w:val="auto"/>
          <w:u w:val="single"/>
        </w:rPr>
        <w:t xml:space="preserve"> </w:t>
      </w:r>
      <w:r>
        <w:rPr>
          <w:rFonts w:hint="eastAsia" w:ascii="Times New Roman" w:cs="Times New Roman"/>
          <w:bCs/>
          <w:color w:val="auto"/>
          <w:u w:val="single"/>
        </w:rPr>
        <w:t xml:space="preserve">滨海新区2020年绿色生态屏障建设一期工程（双城绿廊内部连接道路-永定新河巡堤路维修） </w:t>
      </w:r>
      <w:r>
        <w:rPr>
          <w:rFonts w:ascii="Times New Roman" w:cs="Times New Roman"/>
          <w:color w:val="auto"/>
        </w:rPr>
        <w:t>已</w:t>
      </w:r>
      <w:r>
        <w:rPr>
          <w:rFonts w:hint="eastAsia" w:ascii="Times New Roman" w:cs="Times New Roman"/>
          <w:color w:val="auto"/>
        </w:rPr>
        <w:t>由</w:t>
      </w:r>
      <w:r>
        <w:rPr>
          <w:rFonts w:hint="eastAsia" w:ascii="Times New Roman" w:cs="Times New Roman"/>
          <w:color w:val="auto"/>
          <w:u w:val="single"/>
        </w:rPr>
        <w:t xml:space="preserve"> 天津市滨海新区行政审批局 </w:t>
      </w:r>
      <w:r>
        <w:rPr>
          <w:color w:val="auto"/>
        </w:rPr>
        <w:t>以</w:t>
      </w:r>
      <w:r>
        <w:rPr>
          <w:rFonts w:hint="eastAsia"/>
          <w:color w:val="auto"/>
          <w:u w:val="single"/>
        </w:rPr>
        <w:t>津滨审批一室准【2020】559号</w:t>
      </w:r>
      <w:r>
        <w:rPr>
          <w:color w:val="auto"/>
        </w:rPr>
        <w:t>批准</w:t>
      </w:r>
      <w:r>
        <w:rPr>
          <w:rFonts w:ascii="Times New Roman" w:cs="Times New Roman"/>
          <w:color w:val="auto"/>
        </w:rPr>
        <w:t>，项目业主为</w:t>
      </w:r>
      <w:r>
        <w:rPr>
          <w:rFonts w:hint="eastAsia" w:ascii="Times New Roman" w:cs="Times New Roman"/>
          <w:color w:val="auto"/>
          <w:u w:val="single"/>
        </w:rPr>
        <w:t xml:space="preserve"> 天津市滨海新区农业农村委员会 </w:t>
      </w:r>
      <w:r>
        <w:rPr>
          <w:rFonts w:ascii="Times New Roman" w:cs="Times New Roman"/>
          <w:color w:val="auto"/>
        </w:rPr>
        <w:t>，建设资金来自</w:t>
      </w:r>
      <w:r>
        <w:rPr>
          <w:rFonts w:hint="eastAsia" w:ascii="Times New Roman" w:cs="Times New Roman"/>
          <w:color w:val="auto"/>
          <w:u w:val="single"/>
        </w:rPr>
        <w:t xml:space="preserve"> </w:t>
      </w:r>
      <w:r>
        <w:rPr>
          <w:rFonts w:hint="eastAsia"/>
          <w:color w:val="auto"/>
          <w:szCs w:val="21"/>
          <w:u w:val="single"/>
        </w:rPr>
        <w:t xml:space="preserve">政府专项债和新区财政资金 </w:t>
      </w:r>
      <w:r>
        <w:rPr>
          <w:rFonts w:ascii="Times New Roman" w:cs="Times New Roman"/>
          <w:color w:val="auto"/>
        </w:rPr>
        <w:t>，招标人为</w:t>
      </w:r>
      <w:r>
        <w:rPr>
          <w:rFonts w:hint="eastAsia" w:ascii="Times New Roman" w:cs="Times New Roman"/>
          <w:color w:val="auto"/>
          <w:u w:val="single"/>
        </w:rPr>
        <w:t xml:space="preserve"> 天津市滨海新区农业农村委员会 </w:t>
      </w:r>
      <w:r>
        <w:rPr>
          <w:rFonts w:ascii="Times New Roman" w:cs="Times New Roman"/>
          <w:color w:val="auto"/>
        </w:rPr>
        <w:t>。项目已具备招标条件，现对该项目的施工监理进行公开招标</w:t>
      </w:r>
      <w:r>
        <w:rPr>
          <w:rFonts w:ascii="Times New Roman" w:cs="Times New Roman"/>
        </w:rPr>
        <w:t>。</w:t>
      </w:r>
    </w:p>
    <w:p>
      <w:pPr>
        <w:spacing w:line="440" w:lineRule="exact"/>
        <w:jc w:val="left"/>
        <w:rPr>
          <w:b/>
          <w:sz w:val="24"/>
        </w:rPr>
      </w:pPr>
      <w:r>
        <w:rPr>
          <w:b/>
          <w:sz w:val="24"/>
        </w:rPr>
        <w:t>2.项目概况与招标范围</w:t>
      </w:r>
      <w:bookmarkEnd w:id="5"/>
    </w:p>
    <w:p>
      <w:pPr>
        <w:adjustRightInd w:val="0"/>
        <w:snapToGrid w:val="0"/>
        <w:spacing w:line="440" w:lineRule="exact"/>
        <w:ind w:firstLine="480" w:firstLineChars="200"/>
        <w:jc w:val="left"/>
        <w:rPr>
          <w:color w:val="000000"/>
          <w:sz w:val="24"/>
        </w:rPr>
      </w:pPr>
      <w:r>
        <w:rPr>
          <w:color w:val="000000"/>
          <w:sz w:val="24"/>
        </w:rPr>
        <w:t>2.1项目概况</w:t>
      </w:r>
    </w:p>
    <w:p>
      <w:pPr>
        <w:adjustRightInd w:val="0"/>
        <w:snapToGrid w:val="0"/>
        <w:spacing w:line="440" w:lineRule="exact"/>
        <w:ind w:right="194" w:firstLine="484" w:firstLineChars="202"/>
        <w:rPr>
          <w:sz w:val="24"/>
        </w:rPr>
      </w:pPr>
      <w:r>
        <w:rPr>
          <w:rFonts w:hint="eastAsia"/>
          <w:sz w:val="24"/>
        </w:rPr>
        <w:t>项目实施对现有永定新河巡堤路进行维修改造，使其成为以步行、自行车通行为主，兼顾游览汽车通行的游览路，维修改造后，路宽6米、车行道设计速度20km/h。主要建设内容包括道路工程、交通工程及照明工程等。</w:t>
      </w:r>
    </w:p>
    <w:p>
      <w:pPr>
        <w:adjustRightInd w:val="0"/>
        <w:snapToGrid w:val="0"/>
        <w:spacing w:line="440" w:lineRule="exact"/>
        <w:ind w:right="194" w:firstLine="484" w:firstLineChars="202"/>
        <w:rPr>
          <w:sz w:val="24"/>
        </w:rPr>
      </w:pPr>
      <w:r>
        <w:rPr>
          <w:sz w:val="24"/>
        </w:rPr>
        <w:t>2.2</w:t>
      </w:r>
      <w:r>
        <w:rPr>
          <w:rFonts w:hint="eastAsia"/>
          <w:sz w:val="24"/>
        </w:rPr>
        <w:t xml:space="preserve">本次招标共一个标段：道路工程：破除旧水泥路9210.0 立方米，维修改造沥青混凝土道路9532. 95平方米，填方2305. 50立方米。交通工程：安装单柱式标志7套、附着式标志2套，施划热熔标线60平方米，安装C级水泥混凝土护栏120米、轮廓标6个，地面粉刷反光漆30平方米，安装电子警察系统2套。照明工程：安装太阳能路灯5套。本标段项目总投资为532.29万元。 </w:t>
      </w:r>
    </w:p>
    <w:p>
      <w:pPr>
        <w:adjustRightInd w:val="0"/>
        <w:snapToGrid w:val="0"/>
        <w:spacing w:line="440" w:lineRule="exact"/>
        <w:ind w:right="194" w:firstLine="484" w:firstLineChars="202"/>
        <w:rPr>
          <w:sz w:val="24"/>
        </w:rPr>
      </w:pPr>
      <w:r>
        <w:rPr>
          <w:sz w:val="24"/>
        </w:rPr>
        <w:t>计划施工工期：</w:t>
      </w:r>
      <w:r>
        <w:rPr>
          <w:rFonts w:hint="eastAsia"/>
          <w:sz w:val="24"/>
        </w:rPr>
        <w:t>2020年11月10日至2020年12月31日，共计52日历天</w:t>
      </w:r>
      <w:r>
        <w:rPr>
          <w:sz w:val="24"/>
        </w:rPr>
        <w:t xml:space="preserve">。 </w:t>
      </w:r>
    </w:p>
    <w:p>
      <w:pPr>
        <w:adjustRightInd w:val="0"/>
        <w:snapToGrid w:val="0"/>
        <w:spacing w:line="440" w:lineRule="exact"/>
        <w:ind w:right="194" w:firstLine="484" w:firstLineChars="202"/>
        <w:rPr>
          <w:sz w:val="24"/>
        </w:rPr>
      </w:pPr>
      <w:r>
        <w:rPr>
          <w:sz w:val="24"/>
        </w:rPr>
        <w:t>本工程监理服务期：</w:t>
      </w:r>
      <w:r>
        <w:rPr>
          <w:rFonts w:hint="eastAsia"/>
          <w:sz w:val="24"/>
        </w:rPr>
        <w:t>782</w:t>
      </w:r>
      <w:r>
        <w:rPr>
          <w:sz w:val="24"/>
        </w:rPr>
        <w:t>日历天，其中，施工期（含施工准备期）</w:t>
      </w:r>
      <w:r>
        <w:rPr>
          <w:rFonts w:hint="eastAsia"/>
          <w:sz w:val="24"/>
        </w:rPr>
        <w:t>52</w:t>
      </w:r>
      <w:r>
        <w:rPr>
          <w:sz w:val="24"/>
        </w:rPr>
        <w:t>日历天，</w:t>
      </w:r>
    </w:p>
    <w:p>
      <w:pPr>
        <w:adjustRightInd w:val="0"/>
        <w:snapToGrid w:val="0"/>
        <w:spacing w:line="440" w:lineRule="exact"/>
        <w:ind w:right="194" w:firstLine="484" w:firstLineChars="202"/>
        <w:rPr>
          <w:sz w:val="24"/>
        </w:rPr>
      </w:pPr>
      <w:r>
        <w:rPr>
          <w:sz w:val="24"/>
        </w:rPr>
        <w:t>缺陷责任期</w:t>
      </w:r>
      <w:r>
        <w:rPr>
          <w:rFonts w:hint="eastAsia"/>
          <w:sz w:val="24"/>
        </w:rPr>
        <w:t>730</w:t>
      </w:r>
      <w:r>
        <w:rPr>
          <w:sz w:val="24"/>
        </w:rPr>
        <w:t>日历天。</w:t>
      </w:r>
    </w:p>
    <w:p>
      <w:pPr>
        <w:adjustRightInd w:val="0"/>
        <w:snapToGrid w:val="0"/>
        <w:spacing w:line="440" w:lineRule="exact"/>
        <w:ind w:right="194" w:firstLine="484" w:firstLineChars="202"/>
        <w:rPr>
          <w:sz w:val="24"/>
        </w:rPr>
      </w:pPr>
      <w:r>
        <w:rPr>
          <w:sz w:val="24"/>
        </w:rPr>
        <w:t>本项目设置一级监理机构。</w:t>
      </w:r>
    </w:p>
    <w:p>
      <w:pPr>
        <w:wordWrap w:val="0"/>
        <w:adjustRightInd w:val="0"/>
        <w:snapToGrid w:val="0"/>
        <w:spacing w:line="440" w:lineRule="exact"/>
        <w:ind w:firstLine="480" w:firstLineChars="200"/>
        <w:jc w:val="left"/>
        <w:rPr>
          <w:color w:val="000000"/>
          <w:sz w:val="24"/>
        </w:rPr>
      </w:pPr>
      <w:r>
        <w:rPr>
          <w:sz w:val="24"/>
        </w:rPr>
        <w:t>主要工作内容</w:t>
      </w:r>
      <w:r>
        <w:rPr>
          <w:rFonts w:hint="eastAsia"/>
          <w:sz w:val="24"/>
        </w:rPr>
        <w:t>：全部五控、两管、一协调的监理工作。</w:t>
      </w:r>
    </w:p>
    <w:p>
      <w:pPr>
        <w:spacing w:line="440" w:lineRule="exact"/>
        <w:jc w:val="left"/>
        <w:rPr>
          <w:b/>
          <w:sz w:val="24"/>
        </w:rPr>
      </w:pPr>
      <w:r>
        <w:rPr>
          <w:b/>
          <w:sz w:val="24"/>
        </w:rPr>
        <w:t>3.投标人资格要求</w:t>
      </w:r>
    </w:p>
    <w:p>
      <w:pPr>
        <w:pStyle w:val="2"/>
        <w:tabs>
          <w:tab w:val="left" w:pos="1852"/>
          <w:tab w:val="left" w:pos="2155"/>
          <w:tab w:val="left" w:pos="2702"/>
          <w:tab w:val="left" w:pos="3770"/>
          <w:tab w:val="left" w:pos="5080"/>
          <w:tab w:val="left" w:pos="5830"/>
          <w:tab w:val="left" w:pos="6440"/>
          <w:tab w:val="left" w:pos="7710"/>
        </w:tabs>
        <w:adjustRightInd w:val="0"/>
        <w:snapToGrid w:val="0"/>
        <w:spacing w:after="0" w:line="440" w:lineRule="exact"/>
        <w:ind w:right="194" w:firstLine="480" w:firstLineChars="200"/>
        <w:rPr>
          <w:sz w:val="24"/>
        </w:rPr>
      </w:pPr>
      <w:r>
        <w:rPr>
          <w:color w:val="000000"/>
          <w:sz w:val="24"/>
        </w:rPr>
        <w:t xml:space="preserve">3.1  </w:t>
      </w:r>
      <w:r>
        <w:rPr>
          <w:sz w:val="24"/>
        </w:rPr>
        <w:t>本次招标要求投标人须具有</w:t>
      </w:r>
      <w:r>
        <w:rPr>
          <w:rFonts w:hint="eastAsia"/>
          <w:sz w:val="24"/>
          <w:u w:val="single"/>
        </w:rPr>
        <w:t xml:space="preserve"> </w:t>
      </w:r>
      <w:r>
        <w:rPr>
          <w:sz w:val="24"/>
          <w:u w:val="single"/>
        </w:rPr>
        <w:t>交通运输主管部门颁发的</w:t>
      </w:r>
      <w:r>
        <w:rPr>
          <w:rFonts w:hint="eastAsia"/>
          <w:sz w:val="24"/>
          <w:u w:val="single"/>
        </w:rPr>
        <w:t>公路工程专业丙级（或以上）</w:t>
      </w:r>
      <w:r>
        <w:rPr>
          <w:sz w:val="24"/>
          <w:u w:val="single"/>
        </w:rPr>
        <w:t>监理</w:t>
      </w:r>
      <w:r>
        <w:rPr>
          <w:rFonts w:hint="eastAsia"/>
          <w:sz w:val="24"/>
          <w:u w:val="single"/>
        </w:rPr>
        <w:t xml:space="preserve"> </w:t>
      </w:r>
      <w:r>
        <w:rPr>
          <w:sz w:val="24"/>
        </w:rPr>
        <w:t>资质</w:t>
      </w:r>
      <w:r>
        <w:rPr>
          <w:rFonts w:hint="eastAsia"/>
          <w:sz w:val="24"/>
        </w:rPr>
        <w:t>，</w:t>
      </w:r>
      <w:r>
        <w:rPr>
          <w:sz w:val="24"/>
          <w:u w:val="single"/>
        </w:rPr>
        <w:t xml:space="preserve"> </w:t>
      </w:r>
      <w:r>
        <w:rPr>
          <w:rFonts w:hint="eastAsia"/>
          <w:sz w:val="24"/>
          <w:u w:val="single"/>
        </w:rPr>
        <w:t>具有一项新建或改扩建二级（或以上）公路工程的</w:t>
      </w:r>
      <w:r>
        <w:rPr>
          <w:sz w:val="24"/>
        </w:rPr>
        <w:t>业绩，并在人员等方面具有相应的施工监理能力。</w:t>
      </w:r>
    </w:p>
    <w:p>
      <w:pPr>
        <w:pStyle w:val="2"/>
        <w:tabs>
          <w:tab w:val="left" w:pos="2560"/>
          <w:tab w:val="left" w:pos="2635"/>
          <w:tab w:val="left" w:pos="2702"/>
          <w:tab w:val="left" w:pos="3770"/>
          <w:tab w:val="left" w:pos="4612"/>
          <w:tab w:val="left" w:pos="4823"/>
          <w:tab w:val="left" w:pos="5830"/>
          <w:tab w:val="left" w:pos="6440"/>
          <w:tab w:val="left" w:pos="7710"/>
        </w:tabs>
        <w:adjustRightInd w:val="0"/>
        <w:snapToGrid w:val="0"/>
        <w:spacing w:after="0" w:line="440" w:lineRule="exact"/>
        <w:ind w:right="193" w:firstLine="480" w:firstLineChars="200"/>
        <w:rPr>
          <w:sz w:val="24"/>
        </w:rPr>
      </w:pPr>
      <w:r>
        <w:rPr>
          <w:rFonts w:hint="eastAsia"/>
          <w:sz w:val="24"/>
        </w:rPr>
        <w:t>已取得建筑业企业资质证书的投标人，由于在资产、主要人员、技术装备等方面已不能满足《建筑业企业资质管理规定》（住房和城乡建设部令第22号）、《住房和城乡建设部关于简化建筑业企业资质标准部分指标的通知》（建市〔2016〕226号）规定，被投标人注册地省级住房城乡建设主管部门责令限期整改（以省级住房城乡建设主管部门网站历次发布的责令企业限期整改的公告为准）且在整改期限有效期内的，不得参与投标。</w:t>
      </w:r>
    </w:p>
    <w:p>
      <w:pPr>
        <w:pStyle w:val="2"/>
        <w:tabs>
          <w:tab w:val="left" w:pos="2560"/>
          <w:tab w:val="left" w:pos="2635"/>
          <w:tab w:val="left" w:pos="2702"/>
          <w:tab w:val="left" w:pos="3770"/>
          <w:tab w:val="left" w:pos="4612"/>
          <w:tab w:val="left" w:pos="4823"/>
          <w:tab w:val="left" w:pos="5830"/>
          <w:tab w:val="left" w:pos="6440"/>
          <w:tab w:val="left" w:pos="7710"/>
        </w:tabs>
        <w:wordWrap w:val="0"/>
        <w:adjustRightInd w:val="0"/>
        <w:snapToGrid w:val="0"/>
        <w:spacing w:after="0" w:line="440" w:lineRule="exact"/>
        <w:ind w:right="193" w:firstLine="480" w:firstLineChars="200"/>
        <w:rPr>
          <w:color w:val="000000"/>
          <w:sz w:val="24"/>
        </w:rPr>
      </w:pPr>
      <w:r>
        <w:rPr>
          <w:sz w:val="24"/>
        </w:rPr>
        <w:t>投标人应进入交通运输部“全国公路建设市场信用信息管理系统</w:t>
      </w:r>
      <w:r>
        <w:rPr>
          <w:rFonts w:hint="eastAsia"/>
          <w:sz w:val="24"/>
        </w:rPr>
        <w:t xml:space="preserve"> （</w:t>
      </w:r>
      <w:r>
        <w:rPr>
          <w:sz w:val="24"/>
        </w:rPr>
        <w:t>ht</w:t>
      </w:r>
      <w:r>
        <w:rPr>
          <w:rFonts w:hint="eastAsia"/>
          <w:sz w:val="24"/>
        </w:rPr>
        <w:t>tp：//</w:t>
      </w:r>
      <w:r>
        <w:rPr>
          <w:sz w:val="24"/>
        </w:rPr>
        <w:t>glxy.mot.gov.</w:t>
      </w:r>
      <w:r>
        <w:rPr>
          <w:rFonts w:hint="eastAsia"/>
          <w:sz w:val="24"/>
        </w:rPr>
        <w:t>c</w:t>
      </w:r>
      <w:r>
        <w:rPr>
          <w:sz w:val="24"/>
        </w:rPr>
        <w:t>n</w:t>
      </w:r>
      <w:r>
        <w:rPr>
          <w:rFonts w:hint="eastAsia"/>
          <w:sz w:val="24"/>
        </w:rPr>
        <w:t>）</w:t>
      </w:r>
      <w:r>
        <w:rPr>
          <w:sz w:val="24"/>
        </w:rPr>
        <w:t>”中的公路工程施工监理资质企业名录，且投标人名称和资质与该名录中的相应企业名称和资质</w:t>
      </w:r>
      <w:r>
        <w:rPr>
          <w:color w:val="000000"/>
          <w:sz w:val="24"/>
        </w:rPr>
        <w:t>完全一致。</w:t>
      </w:r>
      <w:r>
        <w:rPr>
          <w:rFonts w:hint="eastAsia"/>
          <w:color w:val="000000"/>
          <w:sz w:val="24"/>
        </w:rPr>
        <w:t>若公路工程专业监理资质证书有效期内的投标人，在交通运输部网站上历次公路工程监理企业定期检验结果公告中，被列入公路监理资质失效的企业名单，或在交通运输部网站上历次公布公路工程监理资质许可决定公告中，被列入资质有效期届满未延续予以注销的企业名单中，将被取消投标资格</w:t>
      </w:r>
      <w:r>
        <w:rPr>
          <w:color w:val="000000"/>
          <w:sz w:val="24"/>
        </w:rPr>
        <w:t>。</w:t>
      </w:r>
    </w:p>
    <w:p>
      <w:pPr>
        <w:pStyle w:val="2"/>
        <w:tabs>
          <w:tab w:val="left" w:pos="2560"/>
          <w:tab w:val="left" w:pos="2635"/>
          <w:tab w:val="left" w:pos="2702"/>
          <w:tab w:val="left" w:pos="3770"/>
          <w:tab w:val="left" w:pos="4612"/>
          <w:tab w:val="left" w:pos="4823"/>
          <w:tab w:val="left" w:pos="5830"/>
          <w:tab w:val="left" w:pos="6440"/>
          <w:tab w:val="left" w:pos="7710"/>
        </w:tabs>
        <w:adjustRightInd w:val="0"/>
        <w:snapToGrid w:val="0"/>
        <w:spacing w:after="0" w:line="440" w:lineRule="exact"/>
        <w:ind w:right="194" w:firstLine="480" w:firstLineChars="200"/>
        <w:rPr>
          <w:color w:val="000000"/>
          <w:sz w:val="24"/>
        </w:rPr>
      </w:pPr>
      <w:r>
        <w:rPr>
          <w:color w:val="000000"/>
          <w:sz w:val="24"/>
        </w:rPr>
        <w:t>3.2 本次招标</w:t>
      </w:r>
      <w:r>
        <w:rPr>
          <w:rFonts w:hint="eastAsia"/>
          <w:color w:val="000000"/>
          <w:sz w:val="24"/>
          <w:u w:val="single"/>
        </w:rPr>
        <w:t xml:space="preserve"> </w:t>
      </w:r>
      <w:r>
        <w:rPr>
          <w:color w:val="000000"/>
          <w:sz w:val="24"/>
          <w:u w:val="single"/>
        </w:rPr>
        <w:t>不接受</w:t>
      </w:r>
      <w:r>
        <w:rPr>
          <w:rFonts w:hint="eastAsia"/>
          <w:color w:val="000000"/>
          <w:sz w:val="24"/>
          <w:u w:val="single"/>
        </w:rPr>
        <w:t xml:space="preserve"> </w:t>
      </w:r>
      <w:r>
        <w:rPr>
          <w:color w:val="000000"/>
          <w:sz w:val="24"/>
        </w:rPr>
        <w:t>联合体投标。</w:t>
      </w:r>
    </w:p>
    <w:p>
      <w:pPr>
        <w:pStyle w:val="2"/>
        <w:adjustRightInd w:val="0"/>
        <w:snapToGrid w:val="0"/>
        <w:spacing w:after="0" w:line="440" w:lineRule="exact"/>
        <w:ind w:right="152" w:firstLine="420"/>
        <w:rPr>
          <w:color w:val="FF0000"/>
          <w:sz w:val="24"/>
          <w:u w:val="single"/>
        </w:rPr>
      </w:pPr>
      <w:r>
        <w:rPr>
          <w:color w:val="000000"/>
          <w:sz w:val="24"/>
        </w:rPr>
        <w:t>3.3每个投标人最多可对</w:t>
      </w:r>
      <w:r>
        <w:rPr>
          <w:rFonts w:hint="eastAsia"/>
          <w:color w:val="000000"/>
          <w:sz w:val="24"/>
          <w:u w:val="single"/>
        </w:rPr>
        <w:t xml:space="preserve"> </w:t>
      </w:r>
      <w:r>
        <w:rPr>
          <w:color w:val="000000"/>
          <w:sz w:val="24"/>
          <w:u w:val="single"/>
        </w:rPr>
        <w:t>1</w:t>
      </w:r>
      <w:r>
        <w:rPr>
          <w:color w:val="000000"/>
          <w:sz w:val="24"/>
        </w:rPr>
        <w:t>个标段投标：被</w:t>
      </w:r>
      <w:r>
        <w:rPr>
          <w:color w:val="000000"/>
          <w:sz w:val="24"/>
          <w:u w:val="single"/>
        </w:rPr>
        <w:t>/</w:t>
      </w:r>
      <w:r>
        <w:rPr>
          <w:color w:val="000000"/>
          <w:sz w:val="24"/>
        </w:rPr>
        <w:t>交通运输主管部门评为</w:t>
      </w:r>
      <w:r>
        <w:rPr>
          <w:color w:val="000000"/>
          <w:sz w:val="24"/>
          <w:u w:val="single"/>
        </w:rPr>
        <w:t>/</w:t>
      </w:r>
      <w:r>
        <w:rPr>
          <w:color w:val="000000"/>
          <w:sz w:val="24"/>
        </w:rPr>
        <w:t>信用等级的投标人。对投标人信用等级的认定条件为：</w:t>
      </w:r>
      <w:r>
        <w:rPr>
          <w:rFonts w:hint="eastAsia"/>
          <w:sz w:val="24"/>
          <w:u w:val="single"/>
        </w:rPr>
        <w:t xml:space="preserve">交通运输部2018年度公路建设从业企业全国综合信用评价结果或2019年度天津市公路工程从业单位信用评价结果均为C级或以上。被交通运输部或天津市公路主管部门评为C级的单位禁止在天津市参加特大型桥梁工程投标。【若交通运输部在投标截止时间前两个工作日之前发布2019年度的交通运输部公路建设市场信用等级评价结果的公告，交通运输部公路建设市场信用等级评价以2019年度的为准。】 </w:t>
      </w:r>
    </w:p>
    <w:p>
      <w:pPr>
        <w:pStyle w:val="2"/>
        <w:adjustRightInd w:val="0"/>
        <w:snapToGrid w:val="0"/>
        <w:spacing w:after="0" w:line="440" w:lineRule="exact"/>
        <w:ind w:right="152" w:firstLine="420"/>
        <w:rPr>
          <w:color w:val="000000"/>
          <w:sz w:val="24"/>
        </w:rPr>
      </w:pPr>
      <w:r>
        <w:rPr>
          <w:color w:val="000000"/>
          <w:sz w:val="24"/>
        </w:rPr>
        <w:t>3.4 与招标人存在利害关系可能影响招标公正性的单位，不得参加投标。单位负责人为同一人或存在控股、管理关系的不同单位，不得参加同一标段投标，否则，相关投标均无效。</w:t>
      </w:r>
    </w:p>
    <w:p>
      <w:pPr>
        <w:pStyle w:val="2"/>
        <w:tabs>
          <w:tab w:val="left" w:pos="9356"/>
        </w:tabs>
        <w:adjustRightInd w:val="0"/>
        <w:snapToGrid w:val="0"/>
        <w:spacing w:after="0" w:line="440" w:lineRule="exact"/>
        <w:ind w:right="11" w:firstLine="426"/>
        <w:rPr>
          <w:color w:val="000000"/>
          <w:sz w:val="24"/>
        </w:rPr>
      </w:pPr>
      <w:r>
        <w:rPr>
          <w:color w:val="000000"/>
          <w:sz w:val="24"/>
        </w:rPr>
        <w:t>3.5 在“信用中国”网站（http：//</w:t>
      </w:r>
      <w:r>
        <w:fldChar w:fldCharType="begin"/>
      </w:r>
      <w:r>
        <w:instrText xml:space="preserve"> HYPERLINK "http://www.creditchina.gov.cn" </w:instrText>
      </w:r>
      <w:r>
        <w:fldChar w:fldCharType="separate"/>
      </w:r>
      <w:r>
        <w:rPr>
          <w:color w:val="000000"/>
          <w:sz w:val="24"/>
        </w:rPr>
        <w:t>www.creditchina.gov.cn</w:t>
      </w:r>
      <w:r>
        <w:rPr>
          <w:color w:val="000000"/>
          <w:sz w:val="24"/>
        </w:rPr>
        <w:fldChar w:fldCharType="end"/>
      </w:r>
      <w:r>
        <w:rPr>
          <w:color w:val="000000"/>
          <w:sz w:val="24"/>
        </w:rPr>
        <w:t>/）中被列入失信被执行人名单的投标人，不得参加投标。</w:t>
      </w:r>
    </w:p>
    <w:p>
      <w:pPr>
        <w:spacing w:line="440" w:lineRule="exact"/>
        <w:jc w:val="left"/>
        <w:rPr>
          <w:b/>
          <w:color w:val="000000"/>
          <w:sz w:val="24"/>
        </w:rPr>
      </w:pPr>
      <w:r>
        <w:rPr>
          <w:b/>
          <w:color w:val="000000"/>
          <w:sz w:val="24"/>
        </w:rPr>
        <w:t>4．招标文件的获取</w:t>
      </w:r>
    </w:p>
    <w:p>
      <w:pPr>
        <w:pStyle w:val="2"/>
        <w:tabs>
          <w:tab w:val="left" w:pos="426"/>
          <w:tab w:val="left" w:pos="2649"/>
        </w:tabs>
        <w:adjustRightInd w:val="0"/>
        <w:snapToGrid w:val="0"/>
        <w:spacing w:after="0" w:line="440" w:lineRule="exact"/>
        <w:ind w:right="152" w:firstLine="490"/>
        <w:rPr>
          <w:color w:val="000000"/>
          <w:sz w:val="24"/>
        </w:rPr>
      </w:pPr>
      <w:r>
        <w:rPr>
          <w:color w:val="000000"/>
          <w:sz w:val="24"/>
        </w:rPr>
        <w:t>4.1 凡有意参加投标者，</w:t>
      </w:r>
      <w:r>
        <w:rPr>
          <w:color w:val="FF0000"/>
          <w:sz w:val="24"/>
        </w:rPr>
        <w:t>请于</w:t>
      </w:r>
      <w:r>
        <w:rPr>
          <w:rFonts w:hint="eastAsia"/>
          <w:color w:val="FF0000"/>
          <w:sz w:val="24"/>
          <w:u w:val="single"/>
        </w:rPr>
        <w:t>2020</w:t>
      </w:r>
      <w:r>
        <w:rPr>
          <w:color w:val="FF0000"/>
          <w:sz w:val="24"/>
        </w:rPr>
        <w:t>年</w:t>
      </w:r>
      <w:r>
        <w:rPr>
          <w:rFonts w:hint="eastAsia"/>
          <w:color w:val="FF0000"/>
          <w:sz w:val="24"/>
          <w:u w:val="single"/>
        </w:rPr>
        <w:t>10</w:t>
      </w:r>
      <w:r>
        <w:rPr>
          <w:color w:val="FF0000"/>
          <w:sz w:val="24"/>
        </w:rPr>
        <w:t>月</w:t>
      </w:r>
      <w:r>
        <w:rPr>
          <w:rFonts w:hint="eastAsia"/>
          <w:color w:val="FF0000"/>
          <w:sz w:val="24"/>
          <w:u w:val="single"/>
        </w:rPr>
        <w:t>09</w:t>
      </w:r>
      <w:r>
        <w:rPr>
          <w:color w:val="FF0000"/>
          <w:sz w:val="24"/>
        </w:rPr>
        <w:t>日至</w:t>
      </w:r>
      <w:r>
        <w:rPr>
          <w:rFonts w:hint="eastAsia"/>
          <w:color w:val="FF0000"/>
          <w:sz w:val="24"/>
          <w:u w:val="single"/>
        </w:rPr>
        <w:t>2020</w:t>
      </w:r>
      <w:r>
        <w:rPr>
          <w:color w:val="FF0000"/>
          <w:sz w:val="24"/>
        </w:rPr>
        <w:t>年</w:t>
      </w:r>
      <w:r>
        <w:rPr>
          <w:rFonts w:hint="eastAsia"/>
          <w:color w:val="FF0000"/>
          <w:sz w:val="24"/>
          <w:u w:val="single"/>
        </w:rPr>
        <w:t>10</w:t>
      </w:r>
      <w:r>
        <w:rPr>
          <w:color w:val="FF0000"/>
          <w:sz w:val="24"/>
        </w:rPr>
        <w:t>月</w:t>
      </w:r>
      <w:r>
        <w:rPr>
          <w:rFonts w:hint="eastAsia"/>
          <w:color w:val="FF0000"/>
          <w:sz w:val="24"/>
          <w:u w:val="single"/>
        </w:rPr>
        <w:t>14</w:t>
      </w:r>
      <w:r>
        <w:rPr>
          <w:color w:val="FF0000"/>
          <w:sz w:val="24"/>
        </w:rPr>
        <w:t>日（节假日除外）</w:t>
      </w:r>
      <w:r>
        <w:rPr>
          <w:color w:val="FF0000"/>
          <w:sz w:val="24"/>
          <w:vertAlign w:val="superscript"/>
        </w:rPr>
        <w:t xml:space="preserve"> </w:t>
      </w:r>
      <w:r>
        <w:rPr>
          <w:color w:val="FF0000"/>
          <w:sz w:val="24"/>
        </w:rPr>
        <w:t>，</w:t>
      </w:r>
      <w:r>
        <w:rPr>
          <w:color w:val="000000"/>
          <w:sz w:val="24"/>
        </w:rPr>
        <w:t>每日上午</w:t>
      </w:r>
      <w:r>
        <w:rPr>
          <w:color w:val="000000"/>
          <w:sz w:val="24"/>
          <w:u w:val="single"/>
        </w:rPr>
        <w:t>9</w:t>
      </w:r>
      <w:r>
        <w:rPr>
          <w:color w:val="000000"/>
          <w:sz w:val="24"/>
        </w:rPr>
        <w:t>时</w:t>
      </w:r>
      <w:r>
        <w:rPr>
          <w:color w:val="000000"/>
          <w:sz w:val="24"/>
          <w:u w:val="single"/>
        </w:rPr>
        <w:t>00</w:t>
      </w:r>
      <w:r>
        <w:rPr>
          <w:color w:val="000000"/>
          <w:sz w:val="24"/>
        </w:rPr>
        <w:t>分至</w:t>
      </w:r>
      <w:r>
        <w:rPr>
          <w:color w:val="000000"/>
          <w:sz w:val="24"/>
          <w:u w:val="single"/>
        </w:rPr>
        <w:t>12</w:t>
      </w:r>
      <w:r>
        <w:rPr>
          <w:color w:val="000000"/>
          <w:sz w:val="24"/>
        </w:rPr>
        <w:t>时</w:t>
      </w:r>
      <w:r>
        <w:rPr>
          <w:color w:val="000000"/>
          <w:sz w:val="24"/>
          <w:u w:val="single"/>
        </w:rPr>
        <w:t>00</w:t>
      </w:r>
      <w:r>
        <w:rPr>
          <w:color w:val="000000"/>
          <w:sz w:val="24"/>
        </w:rPr>
        <w:t>分，下午</w:t>
      </w:r>
      <w:r>
        <w:rPr>
          <w:color w:val="000000"/>
          <w:sz w:val="24"/>
          <w:u w:val="single"/>
        </w:rPr>
        <w:t>14</w:t>
      </w:r>
      <w:r>
        <w:rPr>
          <w:color w:val="000000"/>
          <w:sz w:val="24"/>
        </w:rPr>
        <w:t>时</w:t>
      </w:r>
      <w:r>
        <w:rPr>
          <w:color w:val="000000"/>
          <w:sz w:val="24"/>
          <w:u w:val="single"/>
        </w:rPr>
        <w:t>00</w:t>
      </w:r>
      <w:r>
        <w:rPr>
          <w:color w:val="000000"/>
          <w:sz w:val="24"/>
        </w:rPr>
        <w:t>分至</w:t>
      </w:r>
      <w:r>
        <w:rPr>
          <w:color w:val="000000"/>
          <w:sz w:val="24"/>
          <w:u w:val="single"/>
        </w:rPr>
        <w:t>1</w:t>
      </w:r>
      <w:r>
        <w:rPr>
          <w:rFonts w:hint="eastAsia"/>
          <w:color w:val="000000"/>
          <w:sz w:val="24"/>
          <w:u w:val="single"/>
        </w:rPr>
        <w:t>7</w:t>
      </w:r>
      <w:r>
        <w:rPr>
          <w:color w:val="000000"/>
          <w:sz w:val="24"/>
        </w:rPr>
        <w:t>时</w:t>
      </w:r>
      <w:r>
        <w:rPr>
          <w:color w:val="000000"/>
          <w:sz w:val="24"/>
          <w:u w:val="single"/>
        </w:rPr>
        <w:t>00</w:t>
      </w:r>
      <w:r>
        <w:rPr>
          <w:color w:val="000000"/>
          <w:sz w:val="24"/>
        </w:rPr>
        <w:t>分（北京时间，下同），在</w:t>
      </w:r>
      <w:r>
        <w:rPr>
          <w:rFonts w:hint="eastAsia"/>
          <w:color w:val="000000"/>
          <w:sz w:val="24"/>
          <w:u w:val="single"/>
        </w:rPr>
        <w:t>天津市河东区十一经路万隆太平洋大厦1618室</w:t>
      </w:r>
      <w:r>
        <w:rPr>
          <w:color w:val="000000"/>
          <w:sz w:val="24"/>
          <w:u w:val="single"/>
        </w:rPr>
        <w:t xml:space="preserve"> </w:t>
      </w:r>
      <w:r>
        <w:rPr>
          <w:color w:val="000000"/>
          <w:sz w:val="24"/>
        </w:rPr>
        <w:t>持单位介绍信、经办人身份证购买招标文件。</w:t>
      </w:r>
    </w:p>
    <w:p>
      <w:pPr>
        <w:pStyle w:val="2"/>
        <w:tabs>
          <w:tab w:val="left" w:pos="4055"/>
          <w:tab w:val="left" w:pos="7180"/>
        </w:tabs>
        <w:adjustRightInd w:val="0"/>
        <w:snapToGrid w:val="0"/>
        <w:spacing w:after="0" w:line="440" w:lineRule="exact"/>
        <w:ind w:left="-4" w:leftChars="-2" w:right="638" w:firstLine="530" w:firstLineChars="221"/>
        <w:rPr>
          <w:color w:val="000000"/>
          <w:sz w:val="24"/>
        </w:rPr>
      </w:pPr>
      <w:r>
        <w:rPr>
          <w:color w:val="000000"/>
          <w:sz w:val="24"/>
        </w:rPr>
        <w:t xml:space="preserve">4.2 </w:t>
      </w:r>
      <w:r>
        <w:rPr>
          <w:sz w:val="24"/>
        </w:rPr>
        <w:t>招标文件每套售价</w:t>
      </w:r>
      <w:r>
        <w:rPr>
          <w:sz w:val="24"/>
          <w:u w:val="single"/>
        </w:rPr>
        <w:t>1000</w:t>
      </w:r>
      <w:r>
        <w:rPr>
          <w:sz w:val="24"/>
        </w:rPr>
        <w:t>元，图纸每套售价</w:t>
      </w:r>
      <w:r>
        <w:rPr>
          <w:sz w:val="24"/>
          <w:u w:val="single"/>
        </w:rPr>
        <w:t>/</w:t>
      </w:r>
      <w:r>
        <w:rPr>
          <w:position w:val="1"/>
          <w:sz w:val="24"/>
        </w:rPr>
        <w:t>元，售后不退。</w:t>
      </w:r>
    </w:p>
    <w:p>
      <w:pPr>
        <w:spacing w:line="440" w:lineRule="exact"/>
        <w:jc w:val="left"/>
        <w:rPr>
          <w:b/>
          <w:color w:val="000000"/>
          <w:sz w:val="24"/>
        </w:rPr>
      </w:pPr>
      <w:r>
        <w:rPr>
          <w:b/>
          <w:color w:val="000000"/>
          <w:sz w:val="24"/>
        </w:rPr>
        <w:t>5．投标文件的递交及相关事宣</w:t>
      </w:r>
    </w:p>
    <w:p>
      <w:pPr>
        <w:pStyle w:val="2"/>
        <w:adjustRightInd w:val="0"/>
        <w:snapToGrid w:val="0"/>
        <w:spacing w:after="0" w:line="440" w:lineRule="exact"/>
        <w:ind w:left="-4" w:leftChars="-2" w:right="638" w:firstLine="489" w:firstLineChars="204"/>
        <w:rPr>
          <w:color w:val="000000"/>
          <w:sz w:val="24"/>
        </w:rPr>
      </w:pPr>
      <w:bookmarkStart w:id="6" w:name="_Toc234349313"/>
      <w:bookmarkStart w:id="7" w:name="_Toc234348739"/>
      <w:r>
        <w:rPr>
          <w:color w:val="000000"/>
          <w:sz w:val="24"/>
        </w:rPr>
        <w:t>5.1 招标人将于下列时间和地点组织进行工程现场踏勘并召开投标预备会。</w:t>
      </w:r>
    </w:p>
    <w:p>
      <w:pPr>
        <w:pStyle w:val="2"/>
        <w:tabs>
          <w:tab w:val="left" w:pos="9656"/>
        </w:tabs>
        <w:adjustRightInd w:val="0"/>
        <w:snapToGrid w:val="0"/>
        <w:spacing w:after="0" w:line="440" w:lineRule="exact"/>
        <w:ind w:left="-4" w:leftChars="-2" w:right="110" w:firstLine="489" w:firstLineChars="204"/>
        <w:rPr>
          <w:color w:val="000000"/>
          <w:sz w:val="24"/>
          <w:u w:val="single"/>
        </w:rPr>
      </w:pPr>
      <w:r>
        <w:rPr>
          <w:color w:val="000000"/>
          <w:sz w:val="24"/>
        </w:rPr>
        <w:t>踏勘现场时间：</w:t>
      </w:r>
      <w:r>
        <w:rPr>
          <w:color w:val="000000"/>
          <w:sz w:val="24"/>
          <w:u w:val="single"/>
        </w:rPr>
        <w:t>不组织。</w:t>
      </w:r>
    </w:p>
    <w:p>
      <w:pPr>
        <w:pStyle w:val="2"/>
        <w:tabs>
          <w:tab w:val="left" w:pos="9656"/>
        </w:tabs>
        <w:adjustRightInd w:val="0"/>
        <w:snapToGrid w:val="0"/>
        <w:spacing w:after="0" w:line="440" w:lineRule="exact"/>
        <w:ind w:left="-4" w:leftChars="-2" w:right="110" w:firstLine="489" w:firstLineChars="204"/>
        <w:rPr>
          <w:color w:val="000000"/>
          <w:sz w:val="24"/>
        </w:rPr>
      </w:pPr>
      <w:r>
        <w:rPr>
          <w:color w:val="000000"/>
          <w:sz w:val="24"/>
        </w:rPr>
        <w:t>投标预备会时间：</w:t>
      </w:r>
      <w:r>
        <w:rPr>
          <w:color w:val="000000"/>
          <w:sz w:val="24"/>
          <w:u w:val="single"/>
        </w:rPr>
        <w:t>不组织。</w:t>
      </w:r>
      <w:r>
        <w:rPr>
          <w:color w:val="000000"/>
          <w:sz w:val="24"/>
        </w:rPr>
        <w:tab/>
      </w:r>
      <w:r>
        <w:rPr>
          <w:color w:val="000000"/>
          <w:sz w:val="24"/>
        </w:rPr>
        <w:t xml:space="preserve">  </w:t>
      </w:r>
    </w:p>
    <w:p>
      <w:pPr>
        <w:pStyle w:val="2"/>
        <w:tabs>
          <w:tab w:val="left" w:pos="9656"/>
        </w:tabs>
        <w:adjustRightInd w:val="0"/>
        <w:snapToGrid w:val="0"/>
        <w:spacing w:after="0" w:line="440" w:lineRule="exact"/>
        <w:ind w:left="-4" w:leftChars="-2" w:right="110" w:firstLine="489" w:firstLineChars="204"/>
        <w:rPr>
          <w:color w:val="000000"/>
          <w:sz w:val="24"/>
        </w:rPr>
      </w:pPr>
      <w:r>
        <w:rPr>
          <w:color w:val="000000"/>
          <w:sz w:val="24"/>
        </w:rPr>
        <w:t>5.2 投标文件递交的截止时间（投标截止时间，下同）为</w:t>
      </w:r>
      <w:r>
        <w:rPr>
          <w:rFonts w:hint="eastAsia"/>
          <w:color w:val="FF0000"/>
          <w:sz w:val="24"/>
          <w:u w:val="single"/>
        </w:rPr>
        <w:t>2020</w:t>
      </w:r>
      <w:r>
        <w:rPr>
          <w:color w:val="FF0000"/>
          <w:sz w:val="24"/>
        </w:rPr>
        <w:t>年</w:t>
      </w:r>
      <w:r>
        <w:rPr>
          <w:rFonts w:hint="eastAsia"/>
          <w:color w:val="FF0000"/>
          <w:sz w:val="24"/>
          <w:u w:val="single"/>
        </w:rPr>
        <w:t>10</w:t>
      </w:r>
      <w:r>
        <w:rPr>
          <w:color w:val="FF0000"/>
          <w:sz w:val="24"/>
        </w:rPr>
        <w:t>月</w:t>
      </w:r>
      <w:r>
        <w:rPr>
          <w:rFonts w:hint="eastAsia"/>
          <w:color w:val="FF0000"/>
          <w:sz w:val="24"/>
          <w:u w:val="single"/>
        </w:rPr>
        <w:t>29</w:t>
      </w:r>
      <w:r>
        <w:rPr>
          <w:color w:val="FF0000"/>
          <w:sz w:val="24"/>
        </w:rPr>
        <w:t>日</w:t>
      </w:r>
      <w:r>
        <w:rPr>
          <w:color w:val="FF0000"/>
          <w:sz w:val="24"/>
          <w:u w:val="single"/>
        </w:rPr>
        <w:t>9</w:t>
      </w:r>
      <w:r>
        <w:rPr>
          <w:color w:val="FF0000"/>
          <w:sz w:val="24"/>
        </w:rPr>
        <w:t>时</w:t>
      </w:r>
      <w:r>
        <w:rPr>
          <w:color w:val="FF0000"/>
          <w:sz w:val="24"/>
          <w:u w:val="single"/>
        </w:rPr>
        <w:t>30</w:t>
      </w:r>
      <w:r>
        <w:rPr>
          <w:color w:val="000000"/>
          <w:sz w:val="24"/>
        </w:rPr>
        <w:t>分，投标人应于当日</w:t>
      </w:r>
      <w:r>
        <w:rPr>
          <w:color w:val="000000"/>
          <w:sz w:val="24"/>
          <w:u w:val="single"/>
        </w:rPr>
        <w:t>9</w:t>
      </w:r>
      <w:r>
        <w:rPr>
          <w:color w:val="000000"/>
          <w:sz w:val="24"/>
        </w:rPr>
        <w:t>时</w:t>
      </w:r>
      <w:r>
        <w:rPr>
          <w:color w:val="000000"/>
          <w:sz w:val="24"/>
          <w:u w:val="single"/>
        </w:rPr>
        <w:t>00</w:t>
      </w:r>
      <w:r>
        <w:rPr>
          <w:color w:val="000000"/>
          <w:sz w:val="24"/>
        </w:rPr>
        <w:t>分至</w:t>
      </w:r>
      <w:r>
        <w:rPr>
          <w:color w:val="000000"/>
          <w:sz w:val="24"/>
          <w:u w:val="single"/>
        </w:rPr>
        <w:t>9</w:t>
      </w:r>
      <w:r>
        <w:rPr>
          <w:color w:val="000000"/>
          <w:sz w:val="24"/>
        </w:rPr>
        <w:t>时</w:t>
      </w:r>
      <w:r>
        <w:rPr>
          <w:color w:val="000000"/>
          <w:sz w:val="24"/>
          <w:u w:val="single"/>
        </w:rPr>
        <w:t>30</w:t>
      </w:r>
      <w:r>
        <w:rPr>
          <w:color w:val="000000"/>
          <w:sz w:val="24"/>
        </w:rPr>
        <w:t>分将投标文件递交至</w:t>
      </w:r>
      <w:r>
        <w:rPr>
          <w:rFonts w:hint="eastAsia"/>
          <w:color w:val="000000"/>
          <w:sz w:val="24"/>
          <w:u w:val="single"/>
        </w:rPr>
        <w:t xml:space="preserve"> 天津市滨海新区塘沽建设工程交易中心（大连道1558号7层）。</w:t>
      </w:r>
    </w:p>
    <w:p>
      <w:pPr>
        <w:pStyle w:val="2"/>
        <w:adjustRightInd w:val="0"/>
        <w:snapToGrid w:val="0"/>
        <w:spacing w:after="0" w:line="440" w:lineRule="exact"/>
        <w:ind w:right="11" w:firstLine="484"/>
        <w:rPr>
          <w:color w:val="000000"/>
          <w:sz w:val="24"/>
        </w:rPr>
      </w:pPr>
      <w:r>
        <w:rPr>
          <w:color w:val="000000"/>
          <w:sz w:val="24"/>
        </w:rPr>
        <w:t>5.3 逾期送达的、未送达指定地点的或不按照招标文件要求密封的投标文件，招标人将予以拒收。</w:t>
      </w:r>
    </w:p>
    <w:p>
      <w:pPr>
        <w:spacing w:line="440" w:lineRule="exact"/>
        <w:jc w:val="left"/>
        <w:rPr>
          <w:b/>
          <w:color w:val="000000"/>
          <w:sz w:val="24"/>
        </w:rPr>
      </w:pPr>
      <w:r>
        <w:rPr>
          <w:b/>
          <w:color w:val="000000"/>
          <w:sz w:val="24"/>
        </w:rPr>
        <w:t>6．发布公告的媒介</w:t>
      </w:r>
      <w:bookmarkEnd w:id="6"/>
      <w:bookmarkEnd w:id="7"/>
    </w:p>
    <w:p>
      <w:pPr>
        <w:pStyle w:val="2"/>
        <w:tabs>
          <w:tab w:val="left" w:pos="4206"/>
        </w:tabs>
        <w:adjustRightInd w:val="0"/>
        <w:snapToGrid w:val="0"/>
        <w:spacing w:after="0" w:line="440" w:lineRule="exact"/>
        <w:ind w:right="108" w:firstLine="480" w:firstLineChars="200"/>
        <w:rPr>
          <w:color w:val="000000"/>
          <w:sz w:val="24"/>
        </w:rPr>
      </w:pPr>
      <w:r>
        <w:rPr>
          <w:color w:val="000000"/>
          <w:sz w:val="24"/>
        </w:rPr>
        <w:t>本次招标公告同时在</w:t>
      </w:r>
      <w:r>
        <w:rPr>
          <w:rFonts w:hint="eastAsia"/>
          <w:color w:val="000000"/>
          <w:sz w:val="24"/>
        </w:rPr>
        <w:t>《天津市滨海新区交通运输局》（jtysj.tjbh.gov.cn）</w:t>
      </w:r>
      <w:r>
        <w:rPr>
          <w:color w:val="000000"/>
          <w:sz w:val="24"/>
        </w:rPr>
        <w:t>和</w:t>
      </w:r>
      <w:r>
        <w:rPr>
          <w:rFonts w:hint="eastAsia"/>
          <w:color w:val="000000"/>
          <w:sz w:val="24"/>
        </w:rPr>
        <w:t>《天津市公共资源交易网》(http://60.28.163.169/)</w:t>
      </w:r>
      <w:r>
        <w:rPr>
          <w:color w:val="000000"/>
          <w:sz w:val="24"/>
        </w:rPr>
        <w:t>上发布。</w:t>
      </w:r>
    </w:p>
    <w:p>
      <w:pPr>
        <w:spacing w:line="440" w:lineRule="exact"/>
        <w:jc w:val="left"/>
        <w:rPr>
          <w:b/>
          <w:bCs/>
          <w:sz w:val="24"/>
        </w:rPr>
      </w:pPr>
      <w:r>
        <w:rPr>
          <w:b/>
          <w:bCs/>
          <w:sz w:val="24"/>
        </w:rPr>
        <w:t>7．招标文件关键内容</w:t>
      </w:r>
    </w:p>
    <w:p>
      <w:pPr>
        <w:spacing w:line="440" w:lineRule="exact"/>
        <w:ind w:firstLine="480" w:firstLineChars="200"/>
        <w:jc w:val="left"/>
        <w:rPr>
          <w:sz w:val="24"/>
        </w:rPr>
      </w:pPr>
      <w:r>
        <w:rPr>
          <w:sz w:val="24"/>
        </w:rPr>
        <w:t>另见附件，最终以发售纸质招标文件为准。</w:t>
      </w:r>
    </w:p>
    <w:p>
      <w:pPr>
        <w:spacing w:before="16" w:line="460" w:lineRule="exact"/>
        <w:ind w:right="108"/>
        <w:rPr>
          <w:b/>
          <w:bCs/>
          <w:sz w:val="24"/>
        </w:rPr>
      </w:pPr>
      <w:r>
        <w:rPr>
          <w:b/>
          <w:bCs/>
          <w:sz w:val="24"/>
        </w:rPr>
        <w:t>8. 联系方式</w:t>
      </w:r>
      <w:r>
        <w:rPr>
          <w:rFonts w:hint="eastAsia"/>
          <w:b/>
          <w:bCs/>
          <w:sz w:val="24"/>
        </w:rPr>
        <w:t xml:space="preserve">  </w:t>
      </w:r>
    </w:p>
    <w:p>
      <w:pPr>
        <w:spacing w:before="16"/>
        <w:ind w:left="153" w:right="108"/>
        <w:rPr>
          <w:szCs w:val="27"/>
        </w:rPr>
      </w:pPr>
    </w:p>
    <w:tbl>
      <w:tblPr>
        <w:tblStyle w:val="40"/>
        <w:tblW w:w="9822" w:type="dxa"/>
        <w:tblInd w:w="0" w:type="dxa"/>
        <w:tblLayout w:type="fixed"/>
        <w:tblCellMar>
          <w:top w:w="0" w:type="dxa"/>
          <w:left w:w="108" w:type="dxa"/>
          <w:bottom w:w="0" w:type="dxa"/>
          <w:right w:w="108" w:type="dxa"/>
        </w:tblCellMar>
      </w:tblPr>
      <w:tblGrid>
        <w:gridCol w:w="1242"/>
        <w:gridCol w:w="3544"/>
        <w:gridCol w:w="1418"/>
        <w:gridCol w:w="3618"/>
      </w:tblGrid>
      <w:tr>
        <w:tblPrEx>
          <w:tblLayout w:type="fixed"/>
          <w:tblCellMar>
            <w:top w:w="0" w:type="dxa"/>
            <w:left w:w="108" w:type="dxa"/>
            <w:bottom w:w="0" w:type="dxa"/>
            <w:right w:w="108" w:type="dxa"/>
          </w:tblCellMar>
        </w:tblPrEx>
        <w:trPr>
          <w:trHeight w:val="397" w:hRule="atLeast"/>
        </w:trPr>
        <w:tc>
          <w:tcPr>
            <w:tcW w:w="1242" w:type="dxa"/>
            <w:vAlign w:val="center"/>
          </w:tcPr>
          <w:p>
            <w:pPr>
              <w:spacing w:line="300" w:lineRule="exact"/>
              <w:rPr>
                <w:sz w:val="24"/>
              </w:rPr>
            </w:pPr>
            <w:r>
              <w:rPr>
                <w:sz w:val="24"/>
              </w:rPr>
              <w:t>招标人：</w:t>
            </w:r>
          </w:p>
        </w:tc>
        <w:tc>
          <w:tcPr>
            <w:tcW w:w="3544" w:type="dxa"/>
            <w:vAlign w:val="center"/>
          </w:tcPr>
          <w:p>
            <w:pPr>
              <w:spacing w:line="300" w:lineRule="exact"/>
              <w:rPr>
                <w:sz w:val="24"/>
              </w:rPr>
            </w:pPr>
            <w:r>
              <w:rPr>
                <w:rFonts w:hint="eastAsia"/>
                <w:sz w:val="24"/>
                <w:u w:val="single"/>
              </w:rPr>
              <w:t>天津市滨海新区农业农村委员会</w:t>
            </w:r>
          </w:p>
        </w:tc>
        <w:tc>
          <w:tcPr>
            <w:tcW w:w="1418" w:type="dxa"/>
            <w:vAlign w:val="center"/>
          </w:tcPr>
          <w:p>
            <w:pPr>
              <w:spacing w:line="300" w:lineRule="exact"/>
              <w:rPr>
                <w:sz w:val="24"/>
              </w:rPr>
            </w:pPr>
            <w:r>
              <w:rPr>
                <w:sz w:val="24"/>
              </w:rPr>
              <w:t>招标代理机构：</w:t>
            </w:r>
          </w:p>
        </w:tc>
        <w:tc>
          <w:tcPr>
            <w:tcW w:w="3618" w:type="dxa"/>
            <w:vAlign w:val="center"/>
          </w:tcPr>
          <w:p>
            <w:pPr>
              <w:spacing w:line="300" w:lineRule="exact"/>
              <w:rPr>
                <w:sz w:val="24"/>
              </w:rPr>
            </w:pPr>
            <w:r>
              <w:rPr>
                <w:rFonts w:hint="eastAsia"/>
                <w:sz w:val="24"/>
                <w:u w:val="single"/>
              </w:rPr>
              <w:t>天津神州亿隆工程管理咨询有限公司</w:t>
            </w:r>
          </w:p>
        </w:tc>
      </w:tr>
      <w:tr>
        <w:tblPrEx>
          <w:tblLayout w:type="fixed"/>
          <w:tblCellMar>
            <w:top w:w="0" w:type="dxa"/>
            <w:left w:w="108" w:type="dxa"/>
            <w:bottom w:w="0" w:type="dxa"/>
            <w:right w:w="108" w:type="dxa"/>
          </w:tblCellMar>
        </w:tblPrEx>
        <w:trPr>
          <w:trHeight w:val="397" w:hRule="atLeast"/>
        </w:trPr>
        <w:tc>
          <w:tcPr>
            <w:tcW w:w="1242" w:type="dxa"/>
            <w:vAlign w:val="center"/>
          </w:tcPr>
          <w:p>
            <w:pPr>
              <w:spacing w:line="300" w:lineRule="exact"/>
              <w:rPr>
                <w:sz w:val="24"/>
              </w:rPr>
            </w:pPr>
            <w:r>
              <w:rPr>
                <w:sz w:val="24"/>
              </w:rPr>
              <w:t>地  址：</w:t>
            </w:r>
          </w:p>
        </w:tc>
        <w:tc>
          <w:tcPr>
            <w:tcW w:w="3544" w:type="dxa"/>
            <w:vAlign w:val="center"/>
          </w:tcPr>
          <w:p>
            <w:pPr>
              <w:spacing w:line="300" w:lineRule="exact"/>
              <w:rPr>
                <w:sz w:val="24"/>
              </w:rPr>
            </w:pPr>
            <w:r>
              <w:rPr>
                <w:rFonts w:hint="eastAsia"/>
                <w:sz w:val="24"/>
                <w:u w:val="single"/>
              </w:rPr>
              <w:t>天津市滨海新区响螺湾商务区迎宾大道1988号国泰大厦A座34层</w:t>
            </w:r>
          </w:p>
        </w:tc>
        <w:tc>
          <w:tcPr>
            <w:tcW w:w="1418" w:type="dxa"/>
            <w:vAlign w:val="center"/>
          </w:tcPr>
          <w:p>
            <w:pPr>
              <w:spacing w:line="300" w:lineRule="exact"/>
              <w:rPr>
                <w:sz w:val="24"/>
              </w:rPr>
            </w:pPr>
            <w:r>
              <w:rPr>
                <w:sz w:val="24"/>
              </w:rPr>
              <w:t>地  址：</w:t>
            </w:r>
          </w:p>
        </w:tc>
        <w:tc>
          <w:tcPr>
            <w:tcW w:w="3618" w:type="dxa"/>
            <w:vAlign w:val="center"/>
          </w:tcPr>
          <w:p>
            <w:pPr>
              <w:spacing w:line="300" w:lineRule="exact"/>
              <w:rPr>
                <w:sz w:val="24"/>
              </w:rPr>
            </w:pPr>
            <w:r>
              <w:rPr>
                <w:rFonts w:hint="eastAsia"/>
                <w:sz w:val="24"/>
                <w:u w:val="single"/>
              </w:rPr>
              <w:t>天津市河东区十一经路万隆太平洋大厦1618室</w:t>
            </w:r>
          </w:p>
        </w:tc>
      </w:tr>
      <w:tr>
        <w:tblPrEx>
          <w:tblLayout w:type="fixed"/>
          <w:tblCellMar>
            <w:top w:w="0" w:type="dxa"/>
            <w:left w:w="108" w:type="dxa"/>
            <w:bottom w:w="0" w:type="dxa"/>
            <w:right w:w="108" w:type="dxa"/>
          </w:tblCellMar>
        </w:tblPrEx>
        <w:trPr>
          <w:trHeight w:val="397" w:hRule="atLeast"/>
        </w:trPr>
        <w:tc>
          <w:tcPr>
            <w:tcW w:w="1242" w:type="dxa"/>
            <w:vAlign w:val="center"/>
          </w:tcPr>
          <w:p>
            <w:pPr>
              <w:spacing w:line="300" w:lineRule="exact"/>
              <w:rPr>
                <w:sz w:val="24"/>
              </w:rPr>
            </w:pPr>
            <w:r>
              <w:rPr>
                <w:sz w:val="24"/>
              </w:rPr>
              <w:t>邮  编：</w:t>
            </w:r>
          </w:p>
        </w:tc>
        <w:tc>
          <w:tcPr>
            <w:tcW w:w="3544" w:type="dxa"/>
            <w:vAlign w:val="center"/>
          </w:tcPr>
          <w:p>
            <w:pPr>
              <w:spacing w:line="300" w:lineRule="exact"/>
              <w:rPr>
                <w:sz w:val="24"/>
                <w:u w:val="single"/>
              </w:rPr>
            </w:pPr>
            <w:r>
              <w:rPr>
                <w:rFonts w:hint="eastAsia"/>
                <w:sz w:val="24"/>
                <w:u w:val="single"/>
              </w:rPr>
              <w:t>300542</w:t>
            </w:r>
          </w:p>
        </w:tc>
        <w:tc>
          <w:tcPr>
            <w:tcW w:w="1418" w:type="dxa"/>
            <w:vAlign w:val="center"/>
          </w:tcPr>
          <w:p>
            <w:pPr>
              <w:spacing w:line="300" w:lineRule="exact"/>
              <w:rPr>
                <w:sz w:val="24"/>
              </w:rPr>
            </w:pPr>
            <w:r>
              <w:rPr>
                <w:sz w:val="24"/>
              </w:rPr>
              <w:t>邮  编：</w:t>
            </w:r>
          </w:p>
        </w:tc>
        <w:tc>
          <w:tcPr>
            <w:tcW w:w="3618" w:type="dxa"/>
            <w:vAlign w:val="center"/>
          </w:tcPr>
          <w:p>
            <w:pPr>
              <w:spacing w:line="300" w:lineRule="exact"/>
              <w:rPr>
                <w:sz w:val="24"/>
              </w:rPr>
            </w:pPr>
            <w:r>
              <w:rPr>
                <w:rFonts w:hint="eastAsia"/>
                <w:sz w:val="24"/>
              </w:rPr>
              <w:t>300171</w:t>
            </w:r>
          </w:p>
        </w:tc>
      </w:tr>
      <w:tr>
        <w:tblPrEx>
          <w:tblLayout w:type="fixed"/>
          <w:tblCellMar>
            <w:top w:w="0" w:type="dxa"/>
            <w:left w:w="108" w:type="dxa"/>
            <w:bottom w:w="0" w:type="dxa"/>
            <w:right w:w="108" w:type="dxa"/>
          </w:tblCellMar>
        </w:tblPrEx>
        <w:trPr>
          <w:trHeight w:val="397" w:hRule="atLeast"/>
        </w:trPr>
        <w:tc>
          <w:tcPr>
            <w:tcW w:w="1242" w:type="dxa"/>
            <w:vAlign w:val="center"/>
          </w:tcPr>
          <w:p>
            <w:pPr>
              <w:spacing w:line="300" w:lineRule="exact"/>
              <w:rPr>
                <w:sz w:val="24"/>
                <w:u w:val="single"/>
              </w:rPr>
            </w:pPr>
            <w:r>
              <w:rPr>
                <w:rFonts w:hint="eastAsia"/>
                <w:sz w:val="24"/>
              </w:rPr>
              <w:t>联系人：</w:t>
            </w:r>
          </w:p>
        </w:tc>
        <w:tc>
          <w:tcPr>
            <w:tcW w:w="3544" w:type="dxa"/>
            <w:vAlign w:val="center"/>
          </w:tcPr>
          <w:p>
            <w:pPr>
              <w:spacing w:line="300" w:lineRule="exact"/>
              <w:rPr>
                <w:sz w:val="24"/>
                <w:u w:val="single"/>
              </w:rPr>
            </w:pPr>
            <w:r>
              <w:rPr>
                <w:rFonts w:hint="eastAsia"/>
                <w:sz w:val="24"/>
                <w:u w:val="single"/>
              </w:rPr>
              <w:t>李永超</w:t>
            </w:r>
          </w:p>
        </w:tc>
        <w:tc>
          <w:tcPr>
            <w:tcW w:w="1418" w:type="dxa"/>
            <w:vAlign w:val="center"/>
          </w:tcPr>
          <w:p>
            <w:pPr>
              <w:spacing w:line="300" w:lineRule="exact"/>
              <w:rPr>
                <w:sz w:val="24"/>
              </w:rPr>
            </w:pPr>
            <w:r>
              <w:rPr>
                <w:sz w:val="24"/>
              </w:rPr>
              <w:t>联系人：</w:t>
            </w:r>
          </w:p>
        </w:tc>
        <w:tc>
          <w:tcPr>
            <w:tcW w:w="3618" w:type="dxa"/>
            <w:vAlign w:val="center"/>
          </w:tcPr>
          <w:p>
            <w:pPr>
              <w:spacing w:line="300" w:lineRule="exact"/>
              <w:rPr>
                <w:sz w:val="24"/>
              </w:rPr>
            </w:pPr>
            <w:r>
              <w:rPr>
                <w:rFonts w:hint="eastAsia"/>
                <w:sz w:val="24"/>
                <w:u w:val="single"/>
              </w:rPr>
              <w:t>李轶君</w:t>
            </w:r>
          </w:p>
        </w:tc>
      </w:tr>
      <w:tr>
        <w:tblPrEx>
          <w:tblLayout w:type="fixed"/>
          <w:tblCellMar>
            <w:top w:w="0" w:type="dxa"/>
            <w:left w:w="108" w:type="dxa"/>
            <w:bottom w:w="0" w:type="dxa"/>
            <w:right w:w="108" w:type="dxa"/>
          </w:tblCellMar>
        </w:tblPrEx>
        <w:trPr>
          <w:trHeight w:val="397" w:hRule="atLeast"/>
        </w:trPr>
        <w:tc>
          <w:tcPr>
            <w:tcW w:w="1242" w:type="dxa"/>
            <w:vAlign w:val="center"/>
          </w:tcPr>
          <w:p>
            <w:pPr>
              <w:spacing w:line="300" w:lineRule="exact"/>
              <w:rPr>
                <w:sz w:val="24"/>
              </w:rPr>
            </w:pPr>
            <w:r>
              <w:rPr>
                <w:sz w:val="24"/>
              </w:rPr>
              <w:t>电  话：</w:t>
            </w:r>
          </w:p>
        </w:tc>
        <w:tc>
          <w:tcPr>
            <w:tcW w:w="3544" w:type="dxa"/>
            <w:vAlign w:val="center"/>
          </w:tcPr>
          <w:p>
            <w:pPr>
              <w:spacing w:line="300" w:lineRule="exact"/>
              <w:rPr>
                <w:sz w:val="24"/>
                <w:u w:val="single"/>
              </w:rPr>
            </w:pPr>
            <w:r>
              <w:rPr>
                <w:rFonts w:hint="eastAsia"/>
                <w:sz w:val="24"/>
                <w:u w:val="single"/>
              </w:rPr>
              <w:t>022-65270859</w:t>
            </w:r>
          </w:p>
        </w:tc>
        <w:tc>
          <w:tcPr>
            <w:tcW w:w="1418" w:type="dxa"/>
            <w:vAlign w:val="center"/>
          </w:tcPr>
          <w:p>
            <w:pPr>
              <w:spacing w:line="300" w:lineRule="exact"/>
              <w:rPr>
                <w:sz w:val="24"/>
              </w:rPr>
            </w:pPr>
            <w:r>
              <w:rPr>
                <w:sz w:val="24"/>
              </w:rPr>
              <w:t>电  话：</w:t>
            </w:r>
          </w:p>
        </w:tc>
        <w:tc>
          <w:tcPr>
            <w:tcW w:w="3618" w:type="dxa"/>
            <w:vAlign w:val="center"/>
          </w:tcPr>
          <w:p>
            <w:pPr>
              <w:spacing w:line="300" w:lineRule="exact"/>
              <w:rPr>
                <w:sz w:val="24"/>
                <w:u w:val="single"/>
              </w:rPr>
            </w:pPr>
            <w:r>
              <w:rPr>
                <w:rFonts w:hint="eastAsia"/>
                <w:sz w:val="24"/>
                <w:u w:val="single"/>
              </w:rPr>
              <w:t>022-27457468</w:t>
            </w:r>
          </w:p>
        </w:tc>
      </w:tr>
      <w:tr>
        <w:tblPrEx>
          <w:tblLayout w:type="fixed"/>
          <w:tblCellMar>
            <w:top w:w="0" w:type="dxa"/>
            <w:left w:w="108" w:type="dxa"/>
            <w:bottom w:w="0" w:type="dxa"/>
            <w:right w:w="108" w:type="dxa"/>
          </w:tblCellMar>
        </w:tblPrEx>
        <w:trPr>
          <w:trHeight w:val="397" w:hRule="atLeast"/>
        </w:trPr>
        <w:tc>
          <w:tcPr>
            <w:tcW w:w="1242" w:type="dxa"/>
            <w:vAlign w:val="center"/>
          </w:tcPr>
          <w:p>
            <w:pPr>
              <w:spacing w:line="300" w:lineRule="exact"/>
              <w:rPr>
                <w:sz w:val="24"/>
              </w:rPr>
            </w:pPr>
            <w:r>
              <w:rPr>
                <w:sz w:val="24"/>
              </w:rPr>
              <w:t>传  真：</w:t>
            </w:r>
          </w:p>
        </w:tc>
        <w:tc>
          <w:tcPr>
            <w:tcW w:w="3544" w:type="dxa"/>
            <w:vAlign w:val="center"/>
          </w:tcPr>
          <w:p>
            <w:pPr>
              <w:spacing w:line="300" w:lineRule="exact"/>
              <w:rPr>
                <w:sz w:val="24"/>
                <w:u w:val="single"/>
              </w:rPr>
            </w:pPr>
            <w:r>
              <w:rPr>
                <w:rFonts w:hint="eastAsia"/>
                <w:sz w:val="24"/>
                <w:u w:val="single"/>
              </w:rPr>
              <w:t>022-65270859</w:t>
            </w:r>
          </w:p>
        </w:tc>
        <w:tc>
          <w:tcPr>
            <w:tcW w:w="1418" w:type="dxa"/>
            <w:vAlign w:val="center"/>
          </w:tcPr>
          <w:p>
            <w:pPr>
              <w:spacing w:line="300" w:lineRule="exact"/>
              <w:rPr>
                <w:sz w:val="24"/>
              </w:rPr>
            </w:pPr>
            <w:r>
              <w:rPr>
                <w:sz w:val="24"/>
              </w:rPr>
              <w:t>传  真：</w:t>
            </w:r>
          </w:p>
        </w:tc>
        <w:tc>
          <w:tcPr>
            <w:tcW w:w="3618" w:type="dxa"/>
            <w:vAlign w:val="center"/>
          </w:tcPr>
          <w:p>
            <w:pPr>
              <w:spacing w:line="300" w:lineRule="exact"/>
              <w:rPr>
                <w:sz w:val="24"/>
                <w:u w:val="single"/>
              </w:rPr>
            </w:pPr>
            <w:r>
              <w:rPr>
                <w:rFonts w:hint="eastAsia"/>
                <w:sz w:val="24"/>
                <w:u w:val="single"/>
              </w:rPr>
              <w:t>022-27457468</w:t>
            </w:r>
          </w:p>
        </w:tc>
      </w:tr>
      <w:tr>
        <w:tblPrEx>
          <w:tblLayout w:type="fixed"/>
          <w:tblCellMar>
            <w:top w:w="0" w:type="dxa"/>
            <w:left w:w="108" w:type="dxa"/>
            <w:bottom w:w="0" w:type="dxa"/>
            <w:right w:w="108" w:type="dxa"/>
          </w:tblCellMar>
        </w:tblPrEx>
        <w:trPr>
          <w:trHeight w:val="397" w:hRule="atLeast"/>
        </w:trPr>
        <w:tc>
          <w:tcPr>
            <w:tcW w:w="1242" w:type="dxa"/>
            <w:vAlign w:val="center"/>
          </w:tcPr>
          <w:p>
            <w:pPr>
              <w:spacing w:line="300" w:lineRule="exact"/>
              <w:rPr>
                <w:sz w:val="24"/>
              </w:rPr>
            </w:pPr>
            <w:r>
              <w:rPr>
                <w:sz w:val="24"/>
              </w:rPr>
              <w:t>电子邮件：</w:t>
            </w:r>
          </w:p>
        </w:tc>
        <w:tc>
          <w:tcPr>
            <w:tcW w:w="3544" w:type="dxa"/>
            <w:vAlign w:val="center"/>
          </w:tcPr>
          <w:p>
            <w:pPr>
              <w:spacing w:line="300" w:lineRule="exact"/>
              <w:rPr>
                <w:sz w:val="24"/>
                <w:u w:val="single"/>
              </w:rPr>
            </w:pPr>
            <w:r>
              <w:fldChar w:fldCharType="begin"/>
            </w:r>
            <w:r>
              <w:instrText xml:space="preserve"> HYPERLINK "mailto:nwshsyczs@tjbh.gov.cn" </w:instrText>
            </w:r>
            <w:r>
              <w:fldChar w:fldCharType="separate"/>
            </w:r>
            <w:r>
              <w:rPr>
                <w:rFonts w:hint="eastAsia"/>
                <w:sz w:val="24"/>
                <w:u w:val="single"/>
              </w:rPr>
              <w:t>nwshsyczs@tjbh.gov.cn</w:t>
            </w:r>
            <w:r>
              <w:rPr>
                <w:rFonts w:hint="eastAsia"/>
                <w:sz w:val="24"/>
                <w:u w:val="single"/>
              </w:rPr>
              <w:fldChar w:fldCharType="end"/>
            </w:r>
            <w:r>
              <w:rPr>
                <w:rFonts w:hint="eastAsia"/>
                <w:sz w:val="24"/>
                <w:u w:val="single"/>
              </w:rPr>
              <w:t xml:space="preserve"> </w:t>
            </w:r>
          </w:p>
        </w:tc>
        <w:tc>
          <w:tcPr>
            <w:tcW w:w="1418" w:type="dxa"/>
            <w:vAlign w:val="center"/>
          </w:tcPr>
          <w:p>
            <w:pPr>
              <w:spacing w:line="300" w:lineRule="exact"/>
              <w:rPr>
                <w:sz w:val="24"/>
              </w:rPr>
            </w:pPr>
            <w:r>
              <w:rPr>
                <w:sz w:val="24"/>
              </w:rPr>
              <w:t>电子邮件：</w:t>
            </w:r>
          </w:p>
        </w:tc>
        <w:tc>
          <w:tcPr>
            <w:tcW w:w="3618" w:type="dxa"/>
            <w:vAlign w:val="center"/>
          </w:tcPr>
          <w:p>
            <w:pPr>
              <w:spacing w:line="300" w:lineRule="exact"/>
              <w:rPr>
                <w:sz w:val="24"/>
                <w:u w:val="single"/>
              </w:rPr>
            </w:pPr>
            <w:r>
              <w:rPr>
                <w:rFonts w:hint="eastAsia"/>
                <w:sz w:val="24"/>
                <w:u w:val="single"/>
              </w:rPr>
              <w:t>503064468@qq.com</w:t>
            </w:r>
          </w:p>
        </w:tc>
      </w:tr>
      <w:tr>
        <w:tblPrEx>
          <w:tblLayout w:type="fixed"/>
          <w:tblCellMar>
            <w:top w:w="0" w:type="dxa"/>
            <w:left w:w="108" w:type="dxa"/>
            <w:bottom w:w="0" w:type="dxa"/>
            <w:right w:w="108" w:type="dxa"/>
          </w:tblCellMar>
        </w:tblPrEx>
        <w:trPr>
          <w:trHeight w:val="397" w:hRule="atLeast"/>
        </w:trPr>
        <w:tc>
          <w:tcPr>
            <w:tcW w:w="1242" w:type="dxa"/>
            <w:vAlign w:val="center"/>
          </w:tcPr>
          <w:p>
            <w:pPr>
              <w:spacing w:line="300" w:lineRule="exact"/>
              <w:rPr>
                <w:sz w:val="24"/>
              </w:rPr>
            </w:pPr>
            <w:r>
              <w:rPr>
                <w:sz w:val="24"/>
              </w:rPr>
              <w:t>开户银行：</w:t>
            </w:r>
          </w:p>
        </w:tc>
        <w:tc>
          <w:tcPr>
            <w:tcW w:w="3544" w:type="dxa"/>
            <w:vAlign w:val="center"/>
          </w:tcPr>
          <w:p>
            <w:pPr>
              <w:spacing w:line="300" w:lineRule="exact"/>
              <w:rPr>
                <w:sz w:val="24"/>
                <w:u w:val="single"/>
              </w:rPr>
            </w:pPr>
            <w:r>
              <w:rPr>
                <w:rFonts w:hint="eastAsia"/>
                <w:sz w:val="24"/>
                <w:u w:val="single"/>
              </w:rPr>
              <w:t>中国建设银行天津滨海第一支行</w:t>
            </w:r>
          </w:p>
        </w:tc>
        <w:tc>
          <w:tcPr>
            <w:tcW w:w="1418" w:type="dxa"/>
            <w:vAlign w:val="center"/>
          </w:tcPr>
          <w:p>
            <w:pPr>
              <w:spacing w:line="300" w:lineRule="exact"/>
              <w:rPr>
                <w:sz w:val="24"/>
              </w:rPr>
            </w:pPr>
            <w:r>
              <w:rPr>
                <w:sz w:val="24"/>
              </w:rPr>
              <w:t>开户银行：</w:t>
            </w:r>
          </w:p>
        </w:tc>
        <w:tc>
          <w:tcPr>
            <w:tcW w:w="3618" w:type="dxa"/>
            <w:vAlign w:val="center"/>
          </w:tcPr>
          <w:p>
            <w:pPr>
              <w:spacing w:line="300" w:lineRule="exact"/>
              <w:rPr>
                <w:sz w:val="24"/>
                <w:u w:val="single"/>
              </w:rPr>
            </w:pPr>
            <w:r>
              <w:rPr>
                <w:rFonts w:hint="eastAsia"/>
                <w:sz w:val="24"/>
                <w:u w:val="single"/>
              </w:rPr>
              <w:t>中国建设银行股份有限公司天津新技术产业园区支行</w:t>
            </w:r>
          </w:p>
        </w:tc>
      </w:tr>
      <w:tr>
        <w:tblPrEx>
          <w:tblLayout w:type="fixed"/>
          <w:tblCellMar>
            <w:top w:w="0" w:type="dxa"/>
            <w:left w:w="108" w:type="dxa"/>
            <w:bottom w:w="0" w:type="dxa"/>
            <w:right w:w="108" w:type="dxa"/>
          </w:tblCellMar>
        </w:tblPrEx>
        <w:trPr>
          <w:trHeight w:val="397" w:hRule="atLeast"/>
        </w:trPr>
        <w:tc>
          <w:tcPr>
            <w:tcW w:w="1242" w:type="dxa"/>
            <w:vAlign w:val="center"/>
          </w:tcPr>
          <w:p>
            <w:pPr>
              <w:spacing w:line="300" w:lineRule="exact"/>
              <w:rPr>
                <w:sz w:val="24"/>
              </w:rPr>
            </w:pPr>
            <w:r>
              <w:rPr>
                <w:sz w:val="24"/>
              </w:rPr>
              <w:t>账  号：</w:t>
            </w:r>
          </w:p>
        </w:tc>
        <w:tc>
          <w:tcPr>
            <w:tcW w:w="3544" w:type="dxa"/>
            <w:vAlign w:val="center"/>
          </w:tcPr>
          <w:p>
            <w:pPr>
              <w:spacing w:line="300" w:lineRule="exact"/>
              <w:rPr>
                <w:sz w:val="24"/>
                <w:u w:val="single"/>
              </w:rPr>
            </w:pPr>
            <w:r>
              <w:rPr>
                <w:rFonts w:hint="eastAsia"/>
                <w:sz w:val="24"/>
                <w:u w:val="single"/>
              </w:rPr>
              <w:t>12001835600052506254</w:t>
            </w:r>
          </w:p>
        </w:tc>
        <w:tc>
          <w:tcPr>
            <w:tcW w:w="1418" w:type="dxa"/>
            <w:vAlign w:val="center"/>
          </w:tcPr>
          <w:p>
            <w:pPr>
              <w:spacing w:line="300" w:lineRule="exact"/>
              <w:rPr>
                <w:sz w:val="24"/>
              </w:rPr>
            </w:pPr>
            <w:r>
              <w:rPr>
                <w:sz w:val="24"/>
              </w:rPr>
              <w:t>账  号：</w:t>
            </w:r>
          </w:p>
        </w:tc>
        <w:tc>
          <w:tcPr>
            <w:tcW w:w="3618" w:type="dxa"/>
            <w:vAlign w:val="center"/>
          </w:tcPr>
          <w:p>
            <w:pPr>
              <w:spacing w:line="300" w:lineRule="exact"/>
              <w:rPr>
                <w:sz w:val="24"/>
                <w:u w:val="single"/>
              </w:rPr>
            </w:pPr>
            <w:r>
              <w:rPr>
                <w:rFonts w:hint="eastAsia"/>
                <w:sz w:val="24"/>
                <w:u w:val="single"/>
              </w:rPr>
              <w:t>12001650472052508557</w:t>
            </w:r>
          </w:p>
        </w:tc>
      </w:tr>
      <w:tr>
        <w:tblPrEx>
          <w:tblLayout w:type="fixed"/>
          <w:tblCellMar>
            <w:top w:w="0" w:type="dxa"/>
            <w:left w:w="108" w:type="dxa"/>
            <w:bottom w:w="0" w:type="dxa"/>
            <w:right w:w="108" w:type="dxa"/>
          </w:tblCellMar>
        </w:tblPrEx>
        <w:trPr>
          <w:trHeight w:val="397" w:hRule="atLeast"/>
        </w:trPr>
        <w:tc>
          <w:tcPr>
            <w:tcW w:w="1242" w:type="dxa"/>
            <w:vAlign w:val="center"/>
          </w:tcPr>
          <w:p>
            <w:pPr>
              <w:spacing w:line="300" w:lineRule="exact"/>
              <w:rPr>
                <w:sz w:val="24"/>
              </w:rPr>
            </w:pPr>
          </w:p>
        </w:tc>
        <w:tc>
          <w:tcPr>
            <w:tcW w:w="3544" w:type="dxa"/>
            <w:vAlign w:val="center"/>
          </w:tcPr>
          <w:p>
            <w:pPr>
              <w:spacing w:line="300" w:lineRule="exact"/>
              <w:rPr>
                <w:sz w:val="24"/>
              </w:rPr>
            </w:pPr>
          </w:p>
        </w:tc>
        <w:tc>
          <w:tcPr>
            <w:tcW w:w="1418" w:type="dxa"/>
            <w:vAlign w:val="center"/>
          </w:tcPr>
          <w:p>
            <w:pPr>
              <w:spacing w:line="300" w:lineRule="exact"/>
              <w:rPr>
                <w:sz w:val="24"/>
              </w:rPr>
            </w:pPr>
          </w:p>
        </w:tc>
        <w:tc>
          <w:tcPr>
            <w:tcW w:w="3618" w:type="dxa"/>
            <w:vAlign w:val="center"/>
          </w:tcPr>
          <w:p>
            <w:pPr>
              <w:spacing w:line="300" w:lineRule="exact"/>
              <w:rPr>
                <w:sz w:val="24"/>
              </w:rPr>
            </w:pPr>
            <w:r>
              <w:rPr>
                <w:rFonts w:hint="eastAsia"/>
                <w:sz w:val="24"/>
                <w:u w:val="single"/>
              </w:rPr>
              <w:t>2020</w:t>
            </w:r>
            <w:r>
              <w:rPr>
                <w:rFonts w:hint="eastAsia"/>
                <w:sz w:val="24"/>
              </w:rPr>
              <w:t>年</w:t>
            </w:r>
            <w:r>
              <w:rPr>
                <w:rFonts w:hint="eastAsia"/>
                <w:sz w:val="24"/>
                <w:u w:val="single"/>
              </w:rPr>
              <w:t>10</w:t>
            </w:r>
            <w:r>
              <w:rPr>
                <w:rFonts w:hint="eastAsia"/>
                <w:sz w:val="24"/>
              </w:rPr>
              <w:t>月</w:t>
            </w:r>
            <w:r>
              <w:rPr>
                <w:rFonts w:hint="eastAsia"/>
                <w:sz w:val="24"/>
                <w:u w:val="single"/>
              </w:rPr>
              <w:t>09</w:t>
            </w:r>
            <w:r>
              <w:rPr>
                <w:rFonts w:hint="eastAsia"/>
                <w:sz w:val="24"/>
              </w:rPr>
              <w:t>日</w:t>
            </w:r>
          </w:p>
        </w:tc>
      </w:tr>
    </w:tbl>
    <w:p>
      <w:pPr>
        <w:pStyle w:val="5"/>
        <w:spacing w:before="0" w:after="0" w:line="360" w:lineRule="auto"/>
        <w:jc w:val="center"/>
        <w:rPr>
          <w:rFonts w:ascii="宋体" w:hAnsi="宋体" w:eastAsia="宋体"/>
          <w:szCs w:val="21"/>
        </w:rPr>
      </w:pPr>
      <w:r>
        <w:rPr>
          <w:rFonts w:ascii="Times New Roman" w:hAnsi="Times New Roman"/>
          <w:szCs w:val="21"/>
        </w:rPr>
        <w:br w:type="page"/>
      </w:r>
      <w:bookmarkStart w:id="8" w:name="_Toc459295781"/>
      <w:bookmarkStart w:id="9" w:name="_Toc196474973"/>
      <w:r>
        <w:rPr>
          <w:rFonts w:ascii="宋体" w:hAnsi="宋体" w:eastAsia="宋体"/>
          <w:szCs w:val="21"/>
        </w:rPr>
        <w:t>第二</w:t>
      </w:r>
      <w:r>
        <w:rPr>
          <w:rFonts w:hint="eastAsia" w:ascii="宋体" w:hAnsi="宋体" w:eastAsia="宋体"/>
          <w:szCs w:val="21"/>
        </w:rPr>
        <w:t>章</w:t>
      </w:r>
      <w:r>
        <w:rPr>
          <w:rFonts w:ascii="宋体" w:hAnsi="宋体" w:eastAsia="宋体"/>
          <w:szCs w:val="21"/>
        </w:rPr>
        <w:t xml:space="preserve">  投标</w:t>
      </w:r>
      <w:r>
        <w:rPr>
          <w:rFonts w:hint="eastAsia" w:ascii="宋体" w:hAnsi="宋体" w:eastAsia="宋体"/>
          <w:szCs w:val="21"/>
        </w:rPr>
        <w:t>人</w:t>
      </w:r>
      <w:r>
        <w:rPr>
          <w:rFonts w:ascii="宋体" w:hAnsi="宋体" w:eastAsia="宋体"/>
          <w:szCs w:val="21"/>
        </w:rPr>
        <w:t>须知</w:t>
      </w:r>
      <w:bookmarkEnd w:id="8"/>
      <w:bookmarkEnd w:id="9"/>
    </w:p>
    <w:p>
      <w:pPr>
        <w:autoSpaceDE w:val="0"/>
        <w:autoSpaceDN w:val="0"/>
        <w:adjustRightInd w:val="0"/>
        <w:spacing w:line="400" w:lineRule="atLeast"/>
        <w:jc w:val="left"/>
        <w:rPr>
          <w:b/>
          <w:kern w:val="0"/>
          <w:sz w:val="14"/>
          <w:szCs w:val="14"/>
        </w:rPr>
      </w:pPr>
      <w:r>
        <w:rPr>
          <w:rFonts w:hint="eastAsia"/>
          <w:b/>
          <w:kern w:val="0"/>
          <w:sz w:val="28"/>
          <w:szCs w:val="28"/>
        </w:rPr>
        <w:t>投标人须知前附表</w:t>
      </w:r>
      <w:r>
        <w:rPr>
          <w:rFonts w:hint="eastAsia"/>
          <w:b/>
          <w:kern w:val="0"/>
          <w:sz w:val="14"/>
          <w:szCs w:val="14"/>
        </w:rPr>
        <w:t xml:space="preserve"> </w:t>
      </w:r>
    </w:p>
    <w:tbl>
      <w:tblPr>
        <w:tblStyle w:val="40"/>
        <w:tblW w:w="94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4"/>
        <w:gridCol w:w="2539"/>
        <w:gridCol w:w="5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124" w:type="dxa"/>
            <w:vAlign w:val="center"/>
          </w:tcPr>
          <w:p>
            <w:pPr>
              <w:autoSpaceDE w:val="0"/>
              <w:autoSpaceDN w:val="0"/>
              <w:adjustRightInd w:val="0"/>
              <w:snapToGrid w:val="0"/>
              <w:ind w:left="-92" w:leftChars="-44" w:right="-107" w:rightChars="-51"/>
              <w:jc w:val="center"/>
              <w:rPr>
                <w:b/>
                <w:kern w:val="0"/>
                <w:sz w:val="24"/>
              </w:rPr>
            </w:pPr>
            <w:r>
              <w:rPr>
                <w:rFonts w:hint="eastAsia"/>
                <w:b/>
                <w:kern w:val="0"/>
                <w:sz w:val="24"/>
              </w:rPr>
              <w:t>条款号</w:t>
            </w:r>
          </w:p>
        </w:tc>
        <w:tc>
          <w:tcPr>
            <w:tcW w:w="2539" w:type="dxa"/>
            <w:vAlign w:val="center"/>
          </w:tcPr>
          <w:p>
            <w:pPr>
              <w:autoSpaceDE w:val="0"/>
              <w:autoSpaceDN w:val="0"/>
              <w:adjustRightInd w:val="0"/>
              <w:snapToGrid w:val="0"/>
              <w:jc w:val="center"/>
              <w:rPr>
                <w:b/>
                <w:kern w:val="0"/>
                <w:sz w:val="24"/>
              </w:rPr>
            </w:pPr>
            <w:r>
              <w:rPr>
                <w:rFonts w:hint="eastAsia"/>
                <w:b/>
                <w:kern w:val="0"/>
                <w:sz w:val="24"/>
              </w:rPr>
              <w:t>条</w:t>
            </w:r>
            <w:r>
              <w:rPr>
                <w:b/>
                <w:kern w:val="0"/>
                <w:sz w:val="24"/>
              </w:rPr>
              <w:t xml:space="preserve"> </w:t>
            </w:r>
            <w:r>
              <w:rPr>
                <w:rFonts w:hint="eastAsia"/>
                <w:b/>
                <w:kern w:val="0"/>
                <w:sz w:val="24"/>
              </w:rPr>
              <w:t>款</w:t>
            </w:r>
            <w:r>
              <w:rPr>
                <w:b/>
                <w:kern w:val="0"/>
                <w:sz w:val="24"/>
              </w:rPr>
              <w:t xml:space="preserve"> </w:t>
            </w:r>
            <w:r>
              <w:rPr>
                <w:rFonts w:hint="eastAsia"/>
                <w:b/>
                <w:kern w:val="0"/>
                <w:sz w:val="24"/>
              </w:rPr>
              <w:t>名</w:t>
            </w:r>
            <w:r>
              <w:rPr>
                <w:b/>
                <w:kern w:val="0"/>
                <w:sz w:val="24"/>
              </w:rPr>
              <w:t xml:space="preserve"> </w:t>
            </w:r>
            <w:r>
              <w:rPr>
                <w:rFonts w:hint="eastAsia"/>
                <w:b/>
                <w:kern w:val="0"/>
                <w:sz w:val="24"/>
              </w:rPr>
              <w:t>称</w:t>
            </w:r>
          </w:p>
        </w:tc>
        <w:tc>
          <w:tcPr>
            <w:tcW w:w="5794" w:type="dxa"/>
            <w:vAlign w:val="center"/>
          </w:tcPr>
          <w:p>
            <w:pPr>
              <w:autoSpaceDE w:val="0"/>
              <w:autoSpaceDN w:val="0"/>
              <w:adjustRightInd w:val="0"/>
              <w:snapToGrid w:val="0"/>
              <w:jc w:val="center"/>
              <w:rPr>
                <w:b/>
                <w:kern w:val="0"/>
                <w:sz w:val="24"/>
              </w:rPr>
            </w:pPr>
            <w:r>
              <w:rPr>
                <w:rFonts w:hint="eastAsia"/>
                <w:b/>
                <w:kern w:val="0"/>
                <w:sz w:val="24"/>
              </w:rPr>
              <w:t>编</w:t>
            </w:r>
            <w:r>
              <w:rPr>
                <w:b/>
                <w:kern w:val="0"/>
                <w:sz w:val="24"/>
              </w:rPr>
              <w:t xml:space="preserve"> </w:t>
            </w:r>
            <w:r>
              <w:rPr>
                <w:rFonts w:hint="eastAsia"/>
                <w:b/>
                <w:kern w:val="0"/>
                <w:sz w:val="24"/>
              </w:rPr>
              <w:t>列</w:t>
            </w:r>
            <w:r>
              <w:rPr>
                <w:b/>
                <w:kern w:val="0"/>
                <w:sz w:val="24"/>
              </w:rPr>
              <w:t xml:space="preserve"> </w:t>
            </w:r>
            <w:r>
              <w:rPr>
                <w:rFonts w:hint="eastAsia"/>
                <w:b/>
                <w:kern w:val="0"/>
                <w:sz w:val="24"/>
              </w:rPr>
              <w:t>内</w:t>
            </w:r>
            <w:r>
              <w:rPr>
                <w:b/>
                <w:kern w:val="0"/>
                <w:sz w:val="24"/>
              </w:rPr>
              <w:t xml:space="preserve"> </w:t>
            </w:r>
            <w:r>
              <w:rPr>
                <w:rFonts w:hint="eastAsia"/>
                <w:b/>
                <w:kern w:val="0"/>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124" w:type="dxa"/>
            <w:tcBorders>
              <w:bottom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1.1.2</w:t>
            </w:r>
          </w:p>
        </w:tc>
        <w:tc>
          <w:tcPr>
            <w:tcW w:w="2539" w:type="dxa"/>
            <w:vAlign w:val="center"/>
          </w:tcPr>
          <w:p>
            <w:pPr>
              <w:jc w:val="center"/>
              <w:rPr>
                <w:kern w:val="0"/>
                <w:szCs w:val="21"/>
              </w:rPr>
            </w:pPr>
            <w:r>
              <w:rPr>
                <w:rFonts w:hint="eastAsia"/>
                <w:szCs w:val="21"/>
              </w:rPr>
              <w:t>招标人</w:t>
            </w:r>
          </w:p>
        </w:tc>
        <w:tc>
          <w:tcPr>
            <w:tcW w:w="5794" w:type="dxa"/>
            <w:vAlign w:val="center"/>
          </w:tcPr>
          <w:p>
            <w:pPr>
              <w:spacing w:line="280" w:lineRule="exact"/>
              <w:rPr>
                <w:szCs w:val="21"/>
              </w:rPr>
            </w:pPr>
            <w:r>
              <w:rPr>
                <w:rFonts w:hint="eastAsia"/>
                <w:szCs w:val="21"/>
              </w:rPr>
              <w:t>名称：天津市滨海新区农业农村委员会</w:t>
            </w:r>
          </w:p>
          <w:p>
            <w:pPr>
              <w:spacing w:line="280" w:lineRule="exact"/>
              <w:ind w:left="630" w:hanging="630" w:hangingChars="300"/>
              <w:rPr>
                <w:szCs w:val="21"/>
              </w:rPr>
            </w:pPr>
            <w:r>
              <w:rPr>
                <w:rFonts w:hint="eastAsia"/>
                <w:szCs w:val="21"/>
              </w:rPr>
              <w:t>地址：天津市滨海新区响螺湾商务区迎宾大道1988号国泰大厦A座34层</w:t>
            </w:r>
          </w:p>
          <w:p>
            <w:pPr>
              <w:spacing w:line="280" w:lineRule="exact"/>
              <w:rPr>
                <w:szCs w:val="21"/>
              </w:rPr>
            </w:pPr>
            <w:r>
              <w:rPr>
                <w:rFonts w:hint="eastAsia"/>
                <w:szCs w:val="21"/>
              </w:rPr>
              <w:t xml:space="preserve">联系人：李永超 </w:t>
            </w:r>
          </w:p>
          <w:p>
            <w:pPr>
              <w:spacing w:line="280" w:lineRule="exact"/>
              <w:rPr>
                <w:color w:val="0000FF"/>
                <w:kern w:val="0"/>
                <w:szCs w:val="21"/>
              </w:rPr>
            </w:pPr>
            <w:r>
              <w:rPr>
                <w:rFonts w:hint="eastAsia"/>
                <w:szCs w:val="21"/>
              </w:rPr>
              <w:t xml:space="preserve">电话：022-65270859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90" w:hRule="atLeast"/>
          <w:jc w:val="center"/>
        </w:trPr>
        <w:tc>
          <w:tcPr>
            <w:tcW w:w="1124" w:type="dxa"/>
            <w:tcBorders>
              <w:top w:val="single" w:color="auto" w:sz="4" w:space="0"/>
              <w:bottom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1.1.3</w:t>
            </w:r>
          </w:p>
        </w:tc>
        <w:tc>
          <w:tcPr>
            <w:tcW w:w="2539" w:type="dxa"/>
            <w:vAlign w:val="center"/>
          </w:tcPr>
          <w:p>
            <w:pPr>
              <w:jc w:val="center"/>
              <w:rPr>
                <w:kern w:val="0"/>
                <w:szCs w:val="21"/>
              </w:rPr>
            </w:pPr>
            <w:r>
              <w:rPr>
                <w:rFonts w:hint="eastAsia"/>
                <w:szCs w:val="21"/>
              </w:rPr>
              <w:t>招标代理机构</w:t>
            </w:r>
          </w:p>
        </w:tc>
        <w:tc>
          <w:tcPr>
            <w:tcW w:w="5794" w:type="dxa"/>
            <w:vAlign w:val="center"/>
          </w:tcPr>
          <w:p>
            <w:pPr>
              <w:spacing w:line="280" w:lineRule="exact"/>
              <w:rPr>
                <w:szCs w:val="21"/>
              </w:rPr>
            </w:pPr>
            <w:r>
              <w:rPr>
                <w:rFonts w:hint="eastAsia"/>
                <w:szCs w:val="21"/>
              </w:rPr>
              <w:t>名称：天津神州亿隆工程管理咨询有限公司</w:t>
            </w:r>
          </w:p>
          <w:p>
            <w:pPr>
              <w:spacing w:line="280" w:lineRule="exact"/>
              <w:rPr>
                <w:szCs w:val="21"/>
              </w:rPr>
            </w:pPr>
            <w:r>
              <w:rPr>
                <w:rFonts w:hint="eastAsia"/>
                <w:szCs w:val="21"/>
              </w:rPr>
              <w:t>地址：天津市河东区十一经路万隆太平洋大厦1618室</w:t>
            </w:r>
          </w:p>
          <w:p>
            <w:pPr>
              <w:spacing w:line="280" w:lineRule="exact"/>
              <w:rPr>
                <w:szCs w:val="21"/>
              </w:rPr>
            </w:pPr>
            <w:r>
              <w:rPr>
                <w:rFonts w:hint="eastAsia"/>
                <w:szCs w:val="21"/>
              </w:rPr>
              <w:t>联系人：李轶君</w:t>
            </w:r>
          </w:p>
          <w:p>
            <w:pPr>
              <w:spacing w:line="280" w:lineRule="exact"/>
              <w:rPr>
                <w:color w:val="0000FF"/>
                <w:kern w:val="0"/>
                <w:szCs w:val="21"/>
              </w:rPr>
            </w:pPr>
            <w:r>
              <w:rPr>
                <w:rFonts w:hint="eastAsia"/>
                <w:szCs w:val="21"/>
              </w:rPr>
              <w:t>电话：022-27457468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124" w:type="dxa"/>
            <w:tcBorders>
              <w:top w:val="single" w:color="auto" w:sz="4" w:space="0"/>
              <w:bottom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1.1.4</w:t>
            </w:r>
          </w:p>
        </w:tc>
        <w:tc>
          <w:tcPr>
            <w:tcW w:w="2539" w:type="dxa"/>
            <w:vAlign w:val="center"/>
          </w:tcPr>
          <w:p>
            <w:pPr>
              <w:autoSpaceDE w:val="0"/>
              <w:autoSpaceDN w:val="0"/>
              <w:adjustRightInd w:val="0"/>
              <w:jc w:val="center"/>
              <w:rPr>
                <w:kern w:val="0"/>
                <w:szCs w:val="21"/>
              </w:rPr>
            </w:pPr>
            <w:r>
              <w:rPr>
                <w:rFonts w:hint="eastAsia"/>
                <w:kern w:val="0"/>
                <w:szCs w:val="21"/>
              </w:rPr>
              <w:t>招标项目名称</w:t>
            </w:r>
          </w:p>
        </w:tc>
        <w:tc>
          <w:tcPr>
            <w:tcW w:w="5794" w:type="dxa"/>
            <w:vAlign w:val="center"/>
          </w:tcPr>
          <w:p>
            <w:pPr>
              <w:autoSpaceDE w:val="0"/>
              <w:autoSpaceDN w:val="0"/>
              <w:adjustRightInd w:val="0"/>
              <w:spacing w:line="280" w:lineRule="exact"/>
              <w:ind w:right="-2" w:rightChars="-1"/>
              <w:rPr>
                <w:bCs/>
                <w:kern w:val="0"/>
                <w:szCs w:val="21"/>
              </w:rPr>
            </w:pPr>
            <w:r>
              <w:rPr>
                <w:rFonts w:hint="eastAsia"/>
                <w:szCs w:val="21"/>
              </w:rPr>
              <w:t>滨海新区2020年绿色生态屏障建设一期工程（双城绿廊内部连接道路-永定新河巡堤路维修）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4" w:hRule="atLeast"/>
          <w:jc w:val="center"/>
        </w:trPr>
        <w:tc>
          <w:tcPr>
            <w:tcW w:w="1124" w:type="dxa"/>
            <w:tcBorders>
              <w:top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1.1.5</w:t>
            </w:r>
          </w:p>
        </w:tc>
        <w:tc>
          <w:tcPr>
            <w:tcW w:w="2539" w:type="dxa"/>
            <w:vAlign w:val="center"/>
          </w:tcPr>
          <w:p>
            <w:pPr>
              <w:autoSpaceDE w:val="0"/>
              <w:autoSpaceDN w:val="0"/>
              <w:adjustRightInd w:val="0"/>
              <w:jc w:val="center"/>
              <w:rPr>
                <w:kern w:val="0"/>
                <w:szCs w:val="21"/>
              </w:rPr>
            </w:pPr>
            <w:r>
              <w:rPr>
                <w:rFonts w:hint="eastAsia"/>
                <w:kern w:val="0"/>
                <w:szCs w:val="21"/>
              </w:rPr>
              <w:t>标段建设地点</w:t>
            </w:r>
          </w:p>
        </w:tc>
        <w:tc>
          <w:tcPr>
            <w:tcW w:w="5794" w:type="dxa"/>
            <w:vAlign w:val="center"/>
          </w:tcPr>
          <w:p>
            <w:pPr>
              <w:autoSpaceDE w:val="0"/>
              <w:autoSpaceDN w:val="0"/>
              <w:adjustRightInd w:val="0"/>
              <w:spacing w:line="280" w:lineRule="exact"/>
              <w:ind w:right="-2" w:rightChars="-1"/>
              <w:rPr>
                <w:bCs/>
                <w:kern w:val="0"/>
                <w:szCs w:val="21"/>
              </w:rPr>
            </w:pPr>
            <w:r>
              <w:t>项目位于</w:t>
            </w:r>
            <w:r>
              <w:rPr>
                <w:rFonts w:hint="eastAsia"/>
              </w:rPr>
              <w:t>滨海新区永定新河巡堤路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124" w:type="dxa"/>
            <w:tcBorders>
              <w:top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1.1.6</w:t>
            </w:r>
          </w:p>
        </w:tc>
        <w:tc>
          <w:tcPr>
            <w:tcW w:w="2539" w:type="dxa"/>
            <w:vAlign w:val="center"/>
          </w:tcPr>
          <w:p>
            <w:pPr>
              <w:autoSpaceDE w:val="0"/>
              <w:autoSpaceDN w:val="0"/>
              <w:adjustRightInd w:val="0"/>
              <w:jc w:val="center"/>
              <w:rPr>
                <w:kern w:val="0"/>
                <w:szCs w:val="21"/>
              </w:rPr>
            </w:pPr>
            <w:r>
              <w:rPr>
                <w:rFonts w:hint="eastAsia"/>
                <w:szCs w:val="21"/>
              </w:rPr>
              <w:t>标段</w:t>
            </w:r>
            <w:r>
              <w:rPr>
                <w:szCs w:val="21"/>
              </w:rPr>
              <w:t>建设规模</w:t>
            </w:r>
          </w:p>
        </w:tc>
        <w:tc>
          <w:tcPr>
            <w:tcW w:w="5794" w:type="dxa"/>
            <w:vAlign w:val="center"/>
          </w:tcPr>
          <w:p>
            <w:pPr>
              <w:adjustRightInd w:val="0"/>
              <w:snapToGrid w:val="0"/>
              <w:spacing w:line="280" w:lineRule="exact"/>
              <w:ind w:firstLine="420" w:firstLineChars="200"/>
              <w:jc w:val="left"/>
              <w:rPr>
                <w:bCs/>
                <w:kern w:val="0"/>
                <w:szCs w:val="21"/>
              </w:rPr>
            </w:pPr>
            <w:r>
              <w:rPr>
                <w:rFonts w:hint="eastAsia"/>
                <w:bCs/>
                <w:kern w:val="0"/>
                <w:szCs w:val="21"/>
              </w:rPr>
              <w:t>本次招标共一个标段：道路工程：破除旧水泥路9210.0 立方米，维修改造沥青混凝土道路9532. 95平方米，填方2305. 50立方米。交通工程：安装单柱式标志7套、附着式标志2套，施划热熔标线60平方米，安装C级水泥混凝土护栏120米、轮廓标6个，地面粉刷反光漆30平方米，安装电子警察系统2套。照明工程：安装太阳能路灯5套。本标段项目总投资为532.29万元。</w:t>
            </w:r>
          </w:p>
          <w:p>
            <w:pPr>
              <w:adjustRightInd w:val="0"/>
              <w:snapToGrid w:val="0"/>
              <w:spacing w:line="440" w:lineRule="exact"/>
              <w:ind w:right="194" w:firstLine="424" w:firstLineChars="202"/>
              <w:rPr>
                <w:bCs/>
                <w:kern w:val="0"/>
                <w:szCs w:val="21"/>
              </w:rPr>
            </w:pPr>
            <w:r>
              <w:rPr>
                <w:bCs/>
                <w:kern w:val="0"/>
                <w:szCs w:val="21"/>
              </w:rPr>
              <w:t>计划施工工期：</w:t>
            </w:r>
            <w:r>
              <w:rPr>
                <w:rFonts w:hint="eastAsia"/>
                <w:bCs/>
                <w:kern w:val="0"/>
                <w:szCs w:val="21"/>
              </w:rPr>
              <w:t>2020年11月10日至2020年12月31日，共计52日历天</w:t>
            </w:r>
            <w:r>
              <w:rPr>
                <w:bCs/>
                <w:kern w:val="0"/>
                <w:szCs w:val="21"/>
              </w:rPr>
              <w:t xml:space="preserve">。 </w:t>
            </w:r>
          </w:p>
          <w:p>
            <w:pPr>
              <w:adjustRightInd w:val="0"/>
              <w:snapToGrid w:val="0"/>
              <w:spacing w:line="440" w:lineRule="exact"/>
              <w:ind w:right="194" w:firstLine="424" w:firstLineChars="202"/>
              <w:rPr>
                <w:sz w:val="24"/>
              </w:rPr>
            </w:pPr>
            <w:r>
              <w:rPr>
                <w:bCs/>
                <w:kern w:val="0"/>
                <w:szCs w:val="21"/>
              </w:rPr>
              <w:t>本工程监理服务期：</w:t>
            </w:r>
            <w:r>
              <w:rPr>
                <w:rFonts w:hint="eastAsia"/>
                <w:bCs/>
                <w:kern w:val="0"/>
                <w:szCs w:val="21"/>
              </w:rPr>
              <w:t>782</w:t>
            </w:r>
            <w:r>
              <w:rPr>
                <w:bCs/>
                <w:kern w:val="0"/>
                <w:szCs w:val="21"/>
              </w:rPr>
              <w:t>日历天，其中，施工期（含施工准备期）</w:t>
            </w:r>
            <w:r>
              <w:rPr>
                <w:rFonts w:hint="eastAsia"/>
                <w:bCs/>
                <w:kern w:val="0"/>
                <w:szCs w:val="21"/>
              </w:rPr>
              <w:t>52</w:t>
            </w:r>
            <w:r>
              <w:rPr>
                <w:bCs/>
                <w:kern w:val="0"/>
                <w:szCs w:val="21"/>
              </w:rPr>
              <w:t>日历天，缺陷责任期</w:t>
            </w:r>
            <w:r>
              <w:rPr>
                <w:rFonts w:hint="eastAsia"/>
                <w:bCs/>
                <w:kern w:val="0"/>
                <w:szCs w:val="21"/>
              </w:rPr>
              <w:t>730</w:t>
            </w:r>
            <w:r>
              <w:rPr>
                <w:bCs/>
                <w:kern w:val="0"/>
                <w:szCs w:val="21"/>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9" w:hRule="atLeast"/>
          <w:jc w:val="center"/>
        </w:trPr>
        <w:tc>
          <w:tcPr>
            <w:tcW w:w="1124" w:type="dxa"/>
            <w:tcBorders>
              <w:top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1.1.7</w:t>
            </w:r>
          </w:p>
        </w:tc>
        <w:tc>
          <w:tcPr>
            <w:tcW w:w="2539" w:type="dxa"/>
            <w:vAlign w:val="center"/>
          </w:tcPr>
          <w:p>
            <w:pPr>
              <w:autoSpaceDE w:val="0"/>
              <w:autoSpaceDN w:val="0"/>
              <w:adjustRightInd w:val="0"/>
              <w:jc w:val="center"/>
              <w:rPr>
                <w:szCs w:val="21"/>
              </w:rPr>
            </w:pPr>
            <w:r>
              <w:rPr>
                <w:rFonts w:hint="eastAsia"/>
                <w:szCs w:val="21"/>
              </w:rPr>
              <w:t>招标项目施工预计开工日期和建设周期</w:t>
            </w:r>
          </w:p>
        </w:tc>
        <w:tc>
          <w:tcPr>
            <w:tcW w:w="5794" w:type="dxa"/>
            <w:vAlign w:val="center"/>
          </w:tcPr>
          <w:p>
            <w:pPr>
              <w:autoSpaceDE w:val="0"/>
              <w:autoSpaceDN w:val="0"/>
              <w:adjustRightInd w:val="0"/>
              <w:spacing w:line="280" w:lineRule="exact"/>
              <w:ind w:right="-2" w:rightChars="-1"/>
              <w:rPr>
                <w:bCs/>
                <w:kern w:val="0"/>
                <w:szCs w:val="21"/>
              </w:rPr>
            </w:pPr>
            <w:r>
              <w:rPr>
                <w:bCs/>
                <w:kern w:val="0"/>
                <w:szCs w:val="21"/>
              </w:rPr>
              <w:t>施工预计开工日期：</w:t>
            </w:r>
            <w:r>
              <w:rPr>
                <w:rFonts w:hint="eastAsia"/>
                <w:bCs/>
                <w:kern w:val="0"/>
                <w:szCs w:val="21"/>
              </w:rPr>
              <w:t>2020</w:t>
            </w:r>
            <w:r>
              <w:rPr>
                <w:bCs/>
                <w:kern w:val="0"/>
                <w:szCs w:val="21"/>
              </w:rPr>
              <w:t>年</w:t>
            </w:r>
            <w:r>
              <w:rPr>
                <w:rFonts w:hint="eastAsia"/>
                <w:bCs/>
                <w:kern w:val="0"/>
                <w:szCs w:val="21"/>
              </w:rPr>
              <w:t>11</w:t>
            </w:r>
            <w:r>
              <w:rPr>
                <w:bCs/>
                <w:kern w:val="0"/>
                <w:szCs w:val="21"/>
              </w:rPr>
              <w:t>月</w:t>
            </w:r>
            <w:r>
              <w:rPr>
                <w:rFonts w:hint="eastAsia"/>
                <w:bCs/>
                <w:kern w:val="0"/>
                <w:szCs w:val="21"/>
              </w:rPr>
              <w:t>10</w:t>
            </w:r>
            <w:r>
              <w:rPr>
                <w:bCs/>
                <w:kern w:val="0"/>
                <w:szCs w:val="21"/>
              </w:rPr>
              <w:t>日</w:t>
            </w:r>
          </w:p>
          <w:p>
            <w:pPr>
              <w:autoSpaceDE w:val="0"/>
              <w:autoSpaceDN w:val="0"/>
              <w:adjustRightInd w:val="0"/>
              <w:spacing w:line="280" w:lineRule="exact"/>
              <w:ind w:right="-2" w:rightChars="-1"/>
              <w:rPr>
                <w:bCs/>
                <w:kern w:val="0"/>
                <w:szCs w:val="21"/>
              </w:rPr>
            </w:pPr>
            <w:r>
              <w:rPr>
                <w:bCs/>
                <w:kern w:val="0"/>
                <w:szCs w:val="21"/>
              </w:rPr>
              <w:t>建设周期：</w:t>
            </w:r>
            <w:r>
              <w:rPr>
                <w:rFonts w:hint="eastAsia"/>
                <w:bCs/>
                <w:kern w:val="0"/>
                <w:szCs w:val="21"/>
              </w:rPr>
              <w:t>52</w:t>
            </w:r>
            <w:r>
              <w:rPr>
                <w:bCs/>
                <w:kern w:val="0"/>
                <w:szCs w:val="21"/>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0" w:hRule="atLeast"/>
          <w:jc w:val="center"/>
        </w:trPr>
        <w:tc>
          <w:tcPr>
            <w:tcW w:w="1124" w:type="dxa"/>
            <w:tcBorders>
              <w:top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1.1.8</w:t>
            </w:r>
          </w:p>
        </w:tc>
        <w:tc>
          <w:tcPr>
            <w:tcW w:w="2539" w:type="dxa"/>
            <w:vAlign w:val="center"/>
          </w:tcPr>
          <w:p>
            <w:pPr>
              <w:autoSpaceDE w:val="0"/>
              <w:autoSpaceDN w:val="0"/>
              <w:adjustRightInd w:val="0"/>
              <w:jc w:val="center"/>
              <w:rPr>
                <w:szCs w:val="21"/>
              </w:rPr>
            </w:pPr>
            <w:r>
              <w:rPr>
                <w:rFonts w:hint="eastAsia"/>
                <w:szCs w:val="21"/>
              </w:rPr>
              <w:t>建筑安装工程费/工程概算投资额</w:t>
            </w:r>
          </w:p>
        </w:tc>
        <w:tc>
          <w:tcPr>
            <w:tcW w:w="5794" w:type="dxa"/>
            <w:vAlign w:val="center"/>
          </w:tcPr>
          <w:p>
            <w:pPr>
              <w:autoSpaceDE w:val="0"/>
              <w:autoSpaceDN w:val="0"/>
              <w:adjustRightInd w:val="0"/>
              <w:spacing w:line="280" w:lineRule="exact"/>
              <w:rPr>
                <w:szCs w:val="21"/>
              </w:rPr>
            </w:pPr>
            <w:r>
              <w:rPr>
                <w:szCs w:val="21"/>
              </w:rPr>
              <w:t>建筑安装工程费：</w:t>
            </w:r>
            <w:r>
              <w:rPr>
                <w:rFonts w:hint="eastAsia"/>
                <w:szCs w:val="21"/>
              </w:rPr>
              <w:t>450.08万元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1124" w:type="dxa"/>
            <w:tcBorders>
              <w:bottom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1.2.1</w:t>
            </w:r>
          </w:p>
        </w:tc>
        <w:tc>
          <w:tcPr>
            <w:tcW w:w="2539" w:type="dxa"/>
            <w:vAlign w:val="center"/>
          </w:tcPr>
          <w:p>
            <w:pPr>
              <w:autoSpaceDE w:val="0"/>
              <w:autoSpaceDN w:val="0"/>
              <w:adjustRightInd w:val="0"/>
              <w:jc w:val="center"/>
              <w:rPr>
                <w:kern w:val="0"/>
                <w:szCs w:val="21"/>
              </w:rPr>
            </w:pPr>
            <w:r>
              <w:rPr>
                <w:rFonts w:hint="eastAsia"/>
                <w:kern w:val="0"/>
                <w:szCs w:val="21"/>
              </w:rPr>
              <w:t>资金来源</w:t>
            </w:r>
          </w:p>
        </w:tc>
        <w:tc>
          <w:tcPr>
            <w:tcW w:w="5794" w:type="dxa"/>
            <w:vAlign w:val="center"/>
          </w:tcPr>
          <w:p>
            <w:pPr>
              <w:autoSpaceDE w:val="0"/>
              <w:autoSpaceDN w:val="0"/>
              <w:adjustRightInd w:val="0"/>
              <w:spacing w:line="280" w:lineRule="exact"/>
              <w:ind w:right="-2" w:rightChars="-1"/>
              <w:rPr>
                <w:bCs/>
                <w:kern w:val="0"/>
                <w:szCs w:val="21"/>
              </w:rPr>
            </w:pPr>
            <w:r>
              <w:rPr>
                <w:rFonts w:hint="eastAsia"/>
                <w:szCs w:val="21"/>
              </w:rPr>
              <w:t xml:space="preserve">政府专项债和新区财政资金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0" w:hRule="atLeast"/>
          <w:jc w:val="center"/>
        </w:trPr>
        <w:tc>
          <w:tcPr>
            <w:tcW w:w="1124" w:type="dxa"/>
            <w:tcBorders>
              <w:top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1.2.2</w:t>
            </w:r>
          </w:p>
        </w:tc>
        <w:tc>
          <w:tcPr>
            <w:tcW w:w="2539" w:type="dxa"/>
            <w:vAlign w:val="center"/>
          </w:tcPr>
          <w:p>
            <w:pPr>
              <w:autoSpaceDE w:val="0"/>
              <w:autoSpaceDN w:val="0"/>
              <w:adjustRightInd w:val="0"/>
              <w:jc w:val="center"/>
              <w:rPr>
                <w:kern w:val="0"/>
                <w:szCs w:val="21"/>
              </w:rPr>
            </w:pPr>
            <w:r>
              <w:rPr>
                <w:rFonts w:hint="eastAsia"/>
                <w:kern w:val="0"/>
                <w:szCs w:val="21"/>
              </w:rPr>
              <w:t>资金落实情况</w:t>
            </w:r>
          </w:p>
        </w:tc>
        <w:tc>
          <w:tcPr>
            <w:tcW w:w="5794" w:type="dxa"/>
            <w:vAlign w:val="center"/>
          </w:tcPr>
          <w:p>
            <w:pPr>
              <w:autoSpaceDE w:val="0"/>
              <w:autoSpaceDN w:val="0"/>
              <w:adjustRightInd w:val="0"/>
              <w:spacing w:line="280" w:lineRule="exact"/>
              <w:ind w:right="-2" w:rightChars="-1"/>
              <w:rPr>
                <w:bCs/>
                <w:kern w:val="0"/>
                <w:szCs w:val="21"/>
              </w:rPr>
            </w:pPr>
            <w:r>
              <w:rPr>
                <w:bCs/>
                <w:kern w:val="0"/>
                <w:szCs w:val="21"/>
              </w:rPr>
              <w:t>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124" w:type="dxa"/>
            <w:tcBorders>
              <w:bottom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1.3.1</w:t>
            </w:r>
          </w:p>
        </w:tc>
        <w:tc>
          <w:tcPr>
            <w:tcW w:w="2539" w:type="dxa"/>
            <w:vAlign w:val="center"/>
          </w:tcPr>
          <w:p>
            <w:pPr>
              <w:autoSpaceDE w:val="0"/>
              <w:autoSpaceDN w:val="0"/>
              <w:adjustRightInd w:val="0"/>
              <w:jc w:val="center"/>
              <w:rPr>
                <w:kern w:val="0"/>
                <w:szCs w:val="21"/>
              </w:rPr>
            </w:pPr>
            <w:r>
              <w:rPr>
                <w:rFonts w:hint="eastAsia"/>
                <w:kern w:val="0"/>
                <w:szCs w:val="21"/>
              </w:rPr>
              <w:t>招标范围</w:t>
            </w:r>
          </w:p>
        </w:tc>
        <w:tc>
          <w:tcPr>
            <w:tcW w:w="5794" w:type="dxa"/>
            <w:vAlign w:val="center"/>
          </w:tcPr>
          <w:p>
            <w:pPr>
              <w:autoSpaceDE w:val="0"/>
              <w:autoSpaceDN w:val="0"/>
              <w:adjustRightInd w:val="0"/>
              <w:spacing w:line="280" w:lineRule="exact"/>
              <w:ind w:right="-2" w:rightChars="-1"/>
              <w:rPr>
                <w:bCs/>
                <w:kern w:val="0"/>
                <w:szCs w:val="21"/>
              </w:rPr>
            </w:pPr>
            <w:r>
              <w:rPr>
                <w:kern w:val="0"/>
                <w:szCs w:val="21"/>
              </w:rPr>
              <w:sym w:font="Wingdings" w:char="F0FE"/>
            </w:r>
            <w:r>
              <w:rPr>
                <w:bCs/>
                <w:kern w:val="0"/>
                <w:szCs w:val="21"/>
              </w:rPr>
              <w:t>总监理工程师办公室</w:t>
            </w:r>
          </w:p>
          <w:p>
            <w:pPr>
              <w:autoSpaceDE w:val="0"/>
              <w:autoSpaceDN w:val="0"/>
              <w:adjustRightInd w:val="0"/>
              <w:spacing w:line="280" w:lineRule="exact"/>
              <w:ind w:right="-2" w:rightChars="-1"/>
              <w:rPr>
                <w:bCs/>
                <w:kern w:val="0"/>
                <w:szCs w:val="21"/>
              </w:rPr>
            </w:pPr>
            <w:r>
              <w:rPr>
                <w:kern w:val="0"/>
                <w:szCs w:val="21"/>
              </w:rPr>
              <w:t>□</w:t>
            </w:r>
            <w:r>
              <w:rPr>
                <w:bCs/>
                <w:kern w:val="0"/>
                <w:szCs w:val="21"/>
              </w:rPr>
              <w:t>驻地监理工程师办公室</w:t>
            </w:r>
          </w:p>
          <w:p>
            <w:pPr>
              <w:autoSpaceDE w:val="0"/>
              <w:autoSpaceDN w:val="0"/>
              <w:adjustRightInd w:val="0"/>
              <w:spacing w:line="280" w:lineRule="exact"/>
              <w:ind w:right="-2" w:rightChars="-1"/>
              <w:rPr>
                <w:bCs/>
                <w:kern w:val="0"/>
                <w:szCs w:val="21"/>
              </w:rPr>
            </w:pPr>
            <w:r>
              <w:rPr>
                <w:kern w:val="0"/>
                <w:szCs w:val="21"/>
              </w:rPr>
              <w:t>□</w:t>
            </w:r>
            <w:r>
              <w:rPr>
                <w:bCs/>
                <w:kern w:val="0"/>
                <w:szCs w:val="21"/>
              </w:rPr>
              <w:t>其他：________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124" w:type="dxa"/>
            <w:tcBorders>
              <w:top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1.3.2</w:t>
            </w:r>
          </w:p>
        </w:tc>
        <w:tc>
          <w:tcPr>
            <w:tcW w:w="2539" w:type="dxa"/>
            <w:vAlign w:val="center"/>
          </w:tcPr>
          <w:p>
            <w:pPr>
              <w:autoSpaceDE w:val="0"/>
              <w:autoSpaceDN w:val="0"/>
              <w:adjustRightInd w:val="0"/>
              <w:jc w:val="center"/>
              <w:rPr>
                <w:kern w:val="0"/>
                <w:szCs w:val="21"/>
              </w:rPr>
            </w:pPr>
            <w:r>
              <w:rPr>
                <w:rFonts w:hint="eastAsia"/>
                <w:kern w:val="0"/>
                <w:szCs w:val="21"/>
              </w:rPr>
              <w:t>监理服务期限</w:t>
            </w:r>
          </w:p>
        </w:tc>
        <w:tc>
          <w:tcPr>
            <w:tcW w:w="5794" w:type="dxa"/>
            <w:vAlign w:val="center"/>
          </w:tcPr>
          <w:p>
            <w:pPr>
              <w:autoSpaceDE w:val="0"/>
              <w:autoSpaceDN w:val="0"/>
              <w:adjustRightInd w:val="0"/>
              <w:spacing w:line="280" w:lineRule="exact"/>
              <w:rPr>
                <w:kern w:val="0"/>
                <w:szCs w:val="21"/>
              </w:rPr>
            </w:pPr>
            <w:r>
              <w:rPr>
                <w:rFonts w:hint="eastAsia"/>
                <w:kern w:val="0"/>
                <w:szCs w:val="21"/>
              </w:rPr>
              <w:t>监理服务期：</w:t>
            </w:r>
            <w:r>
              <w:rPr>
                <w:rFonts w:hint="eastAsia"/>
                <w:kern w:val="0"/>
                <w:szCs w:val="21"/>
                <w:u w:val="single"/>
              </w:rPr>
              <w:t>782</w:t>
            </w:r>
            <w:r>
              <w:rPr>
                <w:rFonts w:hint="eastAsia"/>
                <w:kern w:val="0"/>
                <w:szCs w:val="21"/>
              </w:rPr>
              <w:t>日历天</w:t>
            </w:r>
          </w:p>
          <w:p>
            <w:pPr>
              <w:autoSpaceDE w:val="0"/>
              <w:autoSpaceDN w:val="0"/>
              <w:adjustRightInd w:val="0"/>
              <w:spacing w:line="280" w:lineRule="exact"/>
              <w:rPr>
                <w:kern w:val="0"/>
                <w:szCs w:val="21"/>
              </w:rPr>
            </w:pPr>
            <w:r>
              <w:rPr>
                <w:rFonts w:hint="eastAsia"/>
                <w:kern w:val="0"/>
                <w:szCs w:val="21"/>
              </w:rPr>
              <w:t>其中：施工期（含施工准备期）：</w:t>
            </w:r>
            <w:r>
              <w:rPr>
                <w:rFonts w:hint="eastAsia"/>
                <w:kern w:val="0"/>
                <w:szCs w:val="21"/>
                <w:u w:val="single"/>
              </w:rPr>
              <w:t>52</w:t>
            </w:r>
            <w:r>
              <w:rPr>
                <w:rFonts w:hint="eastAsia"/>
                <w:kern w:val="0"/>
                <w:szCs w:val="21"/>
              </w:rPr>
              <w:t>日历天</w:t>
            </w:r>
          </w:p>
          <w:p>
            <w:pPr>
              <w:autoSpaceDE w:val="0"/>
              <w:autoSpaceDN w:val="0"/>
              <w:adjustRightInd w:val="0"/>
              <w:spacing w:line="280" w:lineRule="exact"/>
              <w:ind w:firstLine="630" w:firstLineChars="300"/>
              <w:rPr>
                <w:kern w:val="0"/>
                <w:szCs w:val="21"/>
              </w:rPr>
            </w:pPr>
            <w:r>
              <w:rPr>
                <w:rFonts w:hint="eastAsia"/>
                <w:kern w:val="0"/>
                <w:szCs w:val="21"/>
              </w:rPr>
              <w:t>缺陷责任期：</w:t>
            </w:r>
            <w:r>
              <w:rPr>
                <w:rFonts w:hint="eastAsia"/>
                <w:kern w:val="0"/>
                <w:szCs w:val="21"/>
                <w:u w:val="single"/>
              </w:rPr>
              <w:t>730</w:t>
            </w:r>
            <w:r>
              <w:rPr>
                <w:rFonts w:hint="eastAsia"/>
                <w:kern w:val="0"/>
                <w:szCs w:val="21"/>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124" w:type="dxa"/>
            <w:tcBorders>
              <w:top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1.3.3</w:t>
            </w:r>
          </w:p>
        </w:tc>
        <w:tc>
          <w:tcPr>
            <w:tcW w:w="2539" w:type="dxa"/>
            <w:vAlign w:val="center"/>
          </w:tcPr>
          <w:p>
            <w:pPr>
              <w:autoSpaceDE w:val="0"/>
              <w:autoSpaceDN w:val="0"/>
              <w:adjustRightInd w:val="0"/>
              <w:jc w:val="center"/>
              <w:rPr>
                <w:kern w:val="0"/>
                <w:szCs w:val="21"/>
              </w:rPr>
            </w:pPr>
            <w:r>
              <w:rPr>
                <w:color w:val="000000"/>
                <w:szCs w:val="21"/>
              </w:rPr>
              <w:t>质量要求</w:t>
            </w:r>
          </w:p>
        </w:tc>
        <w:tc>
          <w:tcPr>
            <w:tcW w:w="5794" w:type="dxa"/>
            <w:vAlign w:val="center"/>
          </w:tcPr>
          <w:p>
            <w:pPr>
              <w:autoSpaceDE w:val="0"/>
              <w:autoSpaceDN w:val="0"/>
              <w:adjustRightInd w:val="0"/>
              <w:rPr>
                <w:szCs w:val="21"/>
              </w:rPr>
            </w:pPr>
            <w:r>
              <w:rPr>
                <w:rFonts w:hint="eastAsia"/>
                <w:szCs w:val="21"/>
              </w:rPr>
              <w:t>国家验收规范合格标准。</w:t>
            </w:r>
          </w:p>
        </w:tc>
      </w:tr>
    </w:tbl>
    <w:p>
      <w:pPr>
        <w:autoSpaceDE w:val="0"/>
        <w:autoSpaceDN w:val="0"/>
        <w:adjustRightInd w:val="0"/>
        <w:snapToGrid w:val="0"/>
        <w:ind w:left="-92" w:leftChars="-44" w:right="-107" w:rightChars="-51"/>
        <w:jc w:val="center"/>
        <w:rPr>
          <w:b/>
          <w:kern w:val="0"/>
          <w:sz w:val="24"/>
        </w:rPr>
      </w:pPr>
    </w:p>
    <w:tbl>
      <w:tblPr>
        <w:tblStyle w:val="40"/>
        <w:tblW w:w="94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4"/>
        <w:gridCol w:w="2539"/>
        <w:gridCol w:w="5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tcBorders>
              <w:top w:val="single" w:color="auto" w:sz="4" w:space="0"/>
            </w:tcBorders>
            <w:vAlign w:val="center"/>
          </w:tcPr>
          <w:p>
            <w:pPr>
              <w:autoSpaceDE w:val="0"/>
              <w:autoSpaceDN w:val="0"/>
              <w:adjustRightInd w:val="0"/>
              <w:snapToGrid w:val="0"/>
              <w:ind w:left="-92" w:leftChars="-44" w:right="-107" w:rightChars="-51"/>
              <w:jc w:val="center"/>
              <w:rPr>
                <w:kern w:val="0"/>
                <w:szCs w:val="21"/>
              </w:rPr>
            </w:pPr>
            <w:r>
              <w:rPr>
                <w:rFonts w:hint="eastAsia"/>
                <w:b/>
                <w:kern w:val="0"/>
                <w:sz w:val="24"/>
              </w:rPr>
              <w:t>条款号</w:t>
            </w:r>
          </w:p>
        </w:tc>
        <w:tc>
          <w:tcPr>
            <w:tcW w:w="2539" w:type="dxa"/>
            <w:vAlign w:val="center"/>
          </w:tcPr>
          <w:p>
            <w:pPr>
              <w:autoSpaceDE w:val="0"/>
              <w:autoSpaceDN w:val="0"/>
              <w:adjustRightInd w:val="0"/>
              <w:snapToGrid w:val="0"/>
              <w:jc w:val="center"/>
              <w:rPr>
                <w:kern w:val="0"/>
                <w:szCs w:val="21"/>
              </w:rPr>
            </w:pPr>
            <w:r>
              <w:rPr>
                <w:rFonts w:hint="eastAsia"/>
                <w:b/>
                <w:kern w:val="0"/>
                <w:sz w:val="24"/>
              </w:rPr>
              <w:t>条</w:t>
            </w:r>
            <w:r>
              <w:rPr>
                <w:b/>
                <w:kern w:val="0"/>
                <w:sz w:val="24"/>
              </w:rPr>
              <w:t xml:space="preserve"> </w:t>
            </w:r>
            <w:r>
              <w:rPr>
                <w:rFonts w:hint="eastAsia"/>
                <w:b/>
                <w:kern w:val="0"/>
                <w:sz w:val="24"/>
              </w:rPr>
              <w:t>款</w:t>
            </w:r>
            <w:r>
              <w:rPr>
                <w:b/>
                <w:kern w:val="0"/>
                <w:sz w:val="24"/>
              </w:rPr>
              <w:t xml:space="preserve"> </w:t>
            </w:r>
            <w:r>
              <w:rPr>
                <w:rFonts w:hint="eastAsia"/>
                <w:b/>
                <w:kern w:val="0"/>
                <w:sz w:val="24"/>
              </w:rPr>
              <w:t>名</w:t>
            </w:r>
            <w:r>
              <w:rPr>
                <w:b/>
                <w:kern w:val="0"/>
                <w:sz w:val="24"/>
              </w:rPr>
              <w:t xml:space="preserve"> </w:t>
            </w:r>
            <w:r>
              <w:rPr>
                <w:rFonts w:hint="eastAsia"/>
                <w:b/>
                <w:kern w:val="0"/>
                <w:sz w:val="24"/>
              </w:rPr>
              <w:t>称</w:t>
            </w:r>
          </w:p>
        </w:tc>
        <w:tc>
          <w:tcPr>
            <w:tcW w:w="5794" w:type="dxa"/>
            <w:vAlign w:val="center"/>
          </w:tcPr>
          <w:p>
            <w:pPr>
              <w:autoSpaceDE w:val="0"/>
              <w:autoSpaceDN w:val="0"/>
              <w:adjustRightInd w:val="0"/>
              <w:snapToGrid w:val="0"/>
              <w:jc w:val="center"/>
              <w:rPr>
                <w:szCs w:val="21"/>
              </w:rPr>
            </w:pPr>
            <w:r>
              <w:rPr>
                <w:rFonts w:hint="eastAsia"/>
                <w:b/>
                <w:kern w:val="0"/>
                <w:sz w:val="24"/>
              </w:rPr>
              <w:t>编</w:t>
            </w:r>
            <w:r>
              <w:rPr>
                <w:b/>
                <w:kern w:val="0"/>
                <w:sz w:val="24"/>
              </w:rPr>
              <w:t xml:space="preserve"> </w:t>
            </w:r>
            <w:r>
              <w:rPr>
                <w:rFonts w:hint="eastAsia"/>
                <w:b/>
                <w:kern w:val="0"/>
                <w:sz w:val="24"/>
              </w:rPr>
              <w:t>列</w:t>
            </w:r>
            <w:r>
              <w:rPr>
                <w:b/>
                <w:kern w:val="0"/>
                <w:sz w:val="24"/>
              </w:rPr>
              <w:t xml:space="preserve"> </w:t>
            </w:r>
            <w:r>
              <w:rPr>
                <w:rFonts w:hint="eastAsia"/>
                <w:b/>
                <w:kern w:val="0"/>
                <w:sz w:val="24"/>
              </w:rPr>
              <w:t>内</w:t>
            </w:r>
            <w:r>
              <w:rPr>
                <w:b/>
                <w:kern w:val="0"/>
                <w:sz w:val="24"/>
              </w:rPr>
              <w:t xml:space="preserve"> </w:t>
            </w:r>
            <w:r>
              <w:rPr>
                <w:rFonts w:hint="eastAsia"/>
                <w:b/>
                <w:kern w:val="0"/>
                <w:sz w:val="24"/>
              </w:rPr>
              <w:t xml:space="preserve">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tcBorders>
              <w:top w:val="single" w:color="auto" w:sz="4" w:space="0"/>
            </w:tcBorders>
            <w:vAlign w:val="center"/>
          </w:tcPr>
          <w:p>
            <w:pPr>
              <w:autoSpaceDE w:val="0"/>
              <w:autoSpaceDN w:val="0"/>
              <w:adjustRightInd w:val="0"/>
              <w:spacing w:line="400" w:lineRule="atLeast"/>
              <w:jc w:val="center"/>
              <w:rPr>
                <w:kern w:val="0"/>
                <w:szCs w:val="21"/>
              </w:rPr>
            </w:pPr>
            <w:r>
              <w:rPr>
                <w:rFonts w:hint="eastAsia"/>
                <w:kern w:val="0"/>
                <w:szCs w:val="21"/>
              </w:rPr>
              <w:t>1.3.4</w:t>
            </w:r>
          </w:p>
        </w:tc>
        <w:tc>
          <w:tcPr>
            <w:tcW w:w="2539" w:type="dxa"/>
            <w:vAlign w:val="center"/>
          </w:tcPr>
          <w:p>
            <w:pPr>
              <w:autoSpaceDE w:val="0"/>
              <w:autoSpaceDN w:val="0"/>
              <w:adjustRightInd w:val="0"/>
              <w:jc w:val="center"/>
              <w:rPr>
                <w:color w:val="000000"/>
                <w:szCs w:val="21"/>
              </w:rPr>
            </w:pPr>
            <w:r>
              <w:rPr>
                <w:color w:val="000000"/>
                <w:szCs w:val="21"/>
              </w:rPr>
              <w:t>安全</w:t>
            </w:r>
            <w:r>
              <w:rPr>
                <w:rFonts w:hint="eastAsia"/>
                <w:color w:val="000000"/>
                <w:szCs w:val="21"/>
              </w:rPr>
              <w:t>目</w:t>
            </w:r>
            <w:r>
              <w:rPr>
                <w:color w:val="000000"/>
                <w:szCs w:val="21"/>
              </w:rPr>
              <w:t>标</w:t>
            </w:r>
          </w:p>
        </w:tc>
        <w:tc>
          <w:tcPr>
            <w:tcW w:w="5794" w:type="dxa"/>
            <w:vAlign w:val="center"/>
          </w:tcPr>
          <w:p>
            <w:pPr>
              <w:autoSpaceDE w:val="0"/>
              <w:autoSpaceDN w:val="0"/>
              <w:adjustRightInd w:val="0"/>
              <w:rPr>
                <w:kern w:val="0"/>
                <w:szCs w:val="21"/>
              </w:rPr>
            </w:pPr>
            <w:r>
              <w:rPr>
                <w:rFonts w:hint="eastAsia"/>
                <w:kern w:val="0"/>
                <w:szCs w:val="21"/>
              </w:rPr>
              <w:t>在生产过程中无生产责任事故、重大伤亡事故和死亡事故的发生。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autoSpaceDE w:val="0"/>
              <w:autoSpaceDN w:val="0"/>
              <w:adjustRightInd w:val="0"/>
              <w:spacing w:line="400" w:lineRule="atLeast"/>
              <w:jc w:val="center"/>
              <w:rPr>
                <w:kern w:val="0"/>
                <w:szCs w:val="21"/>
              </w:rPr>
            </w:pPr>
            <w:r>
              <w:rPr>
                <w:kern w:val="0"/>
                <w:szCs w:val="21"/>
              </w:rPr>
              <w:t>1.4.1</w:t>
            </w:r>
          </w:p>
        </w:tc>
        <w:tc>
          <w:tcPr>
            <w:tcW w:w="2539" w:type="dxa"/>
            <w:vAlign w:val="center"/>
          </w:tcPr>
          <w:p>
            <w:pPr>
              <w:autoSpaceDE w:val="0"/>
              <w:autoSpaceDN w:val="0"/>
              <w:adjustRightInd w:val="0"/>
              <w:spacing w:line="400" w:lineRule="atLeast"/>
              <w:jc w:val="center"/>
              <w:rPr>
                <w:kern w:val="0"/>
                <w:szCs w:val="21"/>
              </w:rPr>
            </w:pPr>
            <w:r>
              <w:rPr>
                <w:rFonts w:hint="eastAsia"/>
                <w:kern w:val="0"/>
                <w:szCs w:val="21"/>
              </w:rPr>
              <w:t>投标人资质条件、能力和信誉</w:t>
            </w:r>
          </w:p>
        </w:tc>
        <w:tc>
          <w:tcPr>
            <w:tcW w:w="5794" w:type="dxa"/>
            <w:vAlign w:val="center"/>
          </w:tcPr>
          <w:p>
            <w:pPr>
              <w:autoSpaceDE w:val="0"/>
              <w:autoSpaceDN w:val="0"/>
              <w:adjustRightInd w:val="0"/>
              <w:spacing w:line="300" w:lineRule="atLeast"/>
              <w:rPr>
                <w:kern w:val="0"/>
                <w:szCs w:val="21"/>
              </w:rPr>
            </w:pPr>
            <w:r>
              <w:rPr>
                <w:rFonts w:hint="eastAsia"/>
                <w:kern w:val="0"/>
                <w:szCs w:val="21"/>
              </w:rPr>
              <w:t>资质要求：见附录1</w:t>
            </w:r>
          </w:p>
          <w:p>
            <w:pPr>
              <w:autoSpaceDE w:val="0"/>
              <w:autoSpaceDN w:val="0"/>
              <w:adjustRightInd w:val="0"/>
              <w:spacing w:line="300" w:lineRule="atLeast"/>
              <w:rPr>
                <w:kern w:val="0"/>
                <w:szCs w:val="21"/>
              </w:rPr>
            </w:pPr>
            <w:r>
              <w:rPr>
                <w:rFonts w:hint="eastAsia"/>
                <w:kern w:val="0"/>
                <w:szCs w:val="21"/>
              </w:rPr>
              <w:t>业绩要求：见附录2</w:t>
            </w:r>
          </w:p>
          <w:p>
            <w:pPr>
              <w:autoSpaceDE w:val="0"/>
              <w:autoSpaceDN w:val="0"/>
              <w:adjustRightInd w:val="0"/>
              <w:spacing w:line="300" w:lineRule="atLeast"/>
              <w:rPr>
                <w:kern w:val="0"/>
                <w:szCs w:val="21"/>
              </w:rPr>
            </w:pPr>
            <w:r>
              <w:rPr>
                <w:rFonts w:hint="eastAsia"/>
                <w:kern w:val="0"/>
                <w:szCs w:val="21"/>
              </w:rPr>
              <w:t>信誉要求：见附录3</w:t>
            </w:r>
          </w:p>
          <w:p>
            <w:pPr>
              <w:autoSpaceDE w:val="0"/>
              <w:autoSpaceDN w:val="0"/>
              <w:adjustRightInd w:val="0"/>
              <w:spacing w:line="300" w:lineRule="atLeast"/>
              <w:rPr>
                <w:kern w:val="0"/>
                <w:szCs w:val="21"/>
              </w:rPr>
            </w:pPr>
            <w:r>
              <w:rPr>
                <w:rFonts w:hint="eastAsia"/>
                <w:kern w:val="0"/>
                <w:szCs w:val="21"/>
              </w:rPr>
              <w:t>总监理工程师或驻地监理工程师资格：见附录4</w:t>
            </w:r>
          </w:p>
          <w:p>
            <w:pPr>
              <w:autoSpaceDE w:val="0"/>
              <w:autoSpaceDN w:val="0"/>
              <w:adjustRightInd w:val="0"/>
              <w:spacing w:line="300" w:lineRule="atLeast"/>
              <w:rPr>
                <w:kern w:val="0"/>
                <w:szCs w:val="21"/>
              </w:rPr>
            </w:pPr>
            <w:r>
              <w:rPr>
                <w:rFonts w:hint="eastAsia"/>
                <w:kern w:val="0"/>
                <w:szCs w:val="21"/>
              </w:rPr>
              <w:t>其他要求：无。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00" w:lineRule="atLeast"/>
              <w:jc w:val="center"/>
              <w:rPr>
                <w:rFonts w:cs="Times New Roman"/>
                <w:color w:val="auto"/>
                <w:sz w:val="21"/>
                <w:szCs w:val="21"/>
              </w:rPr>
            </w:pPr>
            <w:r>
              <w:rPr>
                <w:rFonts w:cs="Times New Roman"/>
                <w:color w:val="auto"/>
                <w:sz w:val="21"/>
                <w:szCs w:val="21"/>
              </w:rPr>
              <w:t>1.4.2</w:t>
            </w:r>
          </w:p>
        </w:tc>
        <w:tc>
          <w:tcPr>
            <w:tcW w:w="2539" w:type="dxa"/>
            <w:vAlign w:val="center"/>
          </w:tcPr>
          <w:p>
            <w:pPr>
              <w:tabs>
                <w:tab w:val="left" w:pos="2604"/>
              </w:tabs>
              <w:spacing w:line="280" w:lineRule="exact"/>
              <w:ind w:right="-88" w:rightChars="-42"/>
              <w:jc w:val="center"/>
              <w:rPr>
                <w:kern w:val="0"/>
                <w:szCs w:val="21"/>
              </w:rPr>
            </w:pPr>
            <w:r>
              <w:rPr>
                <w:rFonts w:hint="eastAsia"/>
                <w:kern w:val="0"/>
                <w:szCs w:val="21"/>
              </w:rPr>
              <w:t>是否接受联合体投标</w:t>
            </w:r>
          </w:p>
        </w:tc>
        <w:tc>
          <w:tcPr>
            <w:tcW w:w="5794" w:type="dxa"/>
            <w:vAlign w:val="center"/>
          </w:tcPr>
          <w:p>
            <w:pPr>
              <w:adjustRightInd w:val="0"/>
              <w:snapToGrid w:val="0"/>
              <w:spacing w:line="280" w:lineRule="exact"/>
              <w:rPr>
                <w:kern w:val="0"/>
                <w:szCs w:val="21"/>
              </w:rPr>
            </w:pPr>
            <w:r>
              <w:rPr>
                <w:rFonts w:hint="eastAsia"/>
                <w:kern w:val="0"/>
                <w:szCs w:val="21"/>
              </w:rPr>
              <w:sym w:font="Wingdings" w:char="F0FE"/>
            </w:r>
            <w:r>
              <w:rPr>
                <w:rFonts w:hint="eastAsia"/>
                <w:kern w:val="0"/>
                <w:szCs w:val="21"/>
              </w:rPr>
              <w:t>不接受</w:t>
            </w:r>
          </w:p>
          <w:p>
            <w:pPr>
              <w:rPr>
                <w:color w:val="000000"/>
                <w:kern w:val="0"/>
              </w:rPr>
            </w:pPr>
            <w:r>
              <w:rPr>
                <w:rFonts w:hint="eastAsia"/>
                <w:kern w:val="0"/>
                <w:szCs w:val="21"/>
              </w:rPr>
              <w:t>□接受,</w:t>
            </w:r>
            <w:r>
              <w:rPr>
                <w:rFonts w:hint="eastAsia"/>
                <w:color w:val="000000"/>
                <w:kern w:val="0"/>
              </w:rPr>
              <w:t>应满足下列要求：</w:t>
            </w:r>
          </w:p>
          <w:p>
            <w:pPr>
              <w:ind w:firstLine="105" w:firstLineChars="50"/>
              <w:rPr>
                <w:color w:val="000000"/>
                <w:kern w:val="0"/>
              </w:rPr>
            </w:pPr>
            <w:r>
              <w:rPr>
                <w:rFonts w:hint="eastAsia"/>
                <w:color w:val="000000"/>
                <w:kern w:val="0"/>
              </w:rPr>
              <w:t>（1）联合体所有成员数量不得超过</w:t>
            </w:r>
            <w:r>
              <w:rPr>
                <w:rFonts w:hint="eastAsia"/>
                <w:color w:val="000000"/>
                <w:kern w:val="0"/>
                <w:u w:val="single"/>
              </w:rPr>
              <w:t xml:space="preserve"> / </w:t>
            </w:r>
            <w:r>
              <w:rPr>
                <w:rFonts w:hint="eastAsia"/>
                <w:color w:val="000000"/>
                <w:kern w:val="0"/>
              </w:rPr>
              <w:t>家；</w:t>
            </w:r>
          </w:p>
          <w:p>
            <w:pPr>
              <w:adjustRightInd w:val="0"/>
              <w:snapToGrid w:val="0"/>
              <w:spacing w:line="280" w:lineRule="exact"/>
              <w:ind w:firstLine="105" w:firstLineChars="50"/>
              <w:rPr>
                <w:kern w:val="0"/>
                <w:szCs w:val="21"/>
              </w:rPr>
            </w:pPr>
            <w:r>
              <w:rPr>
                <w:rFonts w:hint="eastAsia"/>
                <w:color w:val="000000"/>
                <w:kern w:val="0"/>
              </w:rPr>
              <w:t>（2）联合体牵头人应具有</w:t>
            </w:r>
            <w:r>
              <w:rPr>
                <w:rFonts w:hint="eastAsia"/>
                <w:color w:val="000000"/>
                <w:kern w:val="0"/>
                <w:u w:val="single"/>
              </w:rPr>
              <w:t xml:space="preserve"> / </w:t>
            </w:r>
            <w:r>
              <w:rPr>
                <w:rFonts w:hint="eastAsia"/>
                <w:color w:val="000000"/>
                <w:kern w:val="0"/>
              </w:rPr>
              <w:t>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00" w:lineRule="atLeast"/>
              <w:jc w:val="center"/>
              <w:rPr>
                <w:rFonts w:cs="Times New Roman"/>
                <w:color w:val="auto"/>
                <w:sz w:val="21"/>
                <w:szCs w:val="21"/>
              </w:rPr>
            </w:pPr>
            <w:r>
              <w:rPr>
                <w:rFonts w:hint="eastAsia" w:cs="Times New Roman"/>
                <w:color w:val="auto"/>
                <w:sz w:val="21"/>
                <w:szCs w:val="21"/>
              </w:rPr>
              <w:t>1.4.3</w:t>
            </w:r>
          </w:p>
        </w:tc>
        <w:tc>
          <w:tcPr>
            <w:tcW w:w="2539" w:type="dxa"/>
            <w:vAlign w:val="center"/>
          </w:tcPr>
          <w:p>
            <w:pPr>
              <w:tabs>
                <w:tab w:val="left" w:pos="2604"/>
              </w:tabs>
              <w:spacing w:line="280" w:lineRule="exact"/>
              <w:ind w:right="-88" w:rightChars="-42"/>
              <w:jc w:val="center"/>
              <w:rPr>
                <w:kern w:val="0"/>
                <w:szCs w:val="21"/>
              </w:rPr>
            </w:pPr>
            <w:r>
              <w:rPr>
                <w:rFonts w:hint="eastAsia"/>
                <w:kern w:val="0"/>
                <w:szCs w:val="21"/>
              </w:rPr>
              <w:t>投标人不得存在的其他关联情形</w:t>
            </w:r>
          </w:p>
        </w:tc>
        <w:tc>
          <w:tcPr>
            <w:tcW w:w="5794" w:type="dxa"/>
            <w:vAlign w:val="center"/>
          </w:tcPr>
          <w:p>
            <w:pPr>
              <w:adjustRightInd w:val="0"/>
              <w:snapToGrid w:val="0"/>
              <w:spacing w:line="280" w:lineRule="exact"/>
              <w:rPr>
                <w:kern w:val="0"/>
                <w:szCs w:val="21"/>
              </w:rPr>
            </w:pPr>
            <w:r>
              <w:rPr>
                <w:rFonts w:hint="eastAsia"/>
                <w:kern w:val="0"/>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00" w:lineRule="atLeast"/>
              <w:jc w:val="center"/>
              <w:rPr>
                <w:rFonts w:cs="Times New Roman"/>
                <w:color w:val="auto"/>
                <w:sz w:val="21"/>
                <w:szCs w:val="21"/>
              </w:rPr>
            </w:pPr>
            <w:r>
              <w:rPr>
                <w:rFonts w:hint="eastAsia" w:cs="Times New Roman"/>
                <w:color w:val="auto"/>
                <w:sz w:val="21"/>
                <w:szCs w:val="21"/>
              </w:rPr>
              <w:t>1.4.4</w:t>
            </w:r>
          </w:p>
        </w:tc>
        <w:tc>
          <w:tcPr>
            <w:tcW w:w="2539" w:type="dxa"/>
            <w:vAlign w:val="center"/>
          </w:tcPr>
          <w:p>
            <w:pPr>
              <w:tabs>
                <w:tab w:val="left" w:pos="2604"/>
              </w:tabs>
              <w:spacing w:line="280" w:lineRule="exact"/>
              <w:ind w:right="-88" w:rightChars="-42"/>
              <w:jc w:val="center"/>
              <w:rPr>
                <w:kern w:val="0"/>
                <w:szCs w:val="21"/>
              </w:rPr>
            </w:pPr>
            <w:r>
              <w:rPr>
                <w:color w:val="000000"/>
                <w:szCs w:val="21"/>
              </w:rPr>
              <w:t>投标人不得存在的其他不良状况或不良信用记录</w:t>
            </w:r>
          </w:p>
        </w:tc>
        <w:tc>
          <w:tcPr>
            <w:tcW w:w="5794" w:type="dxa"/>
            <w:vAlign w:val="center"/>
          </w:tcPr>
          <w:p>
            <w:pPr>
              <w:adjustRightInd w:val="0"/>
              <w:snapToGrid w:val="0"/>
              <w:spacing w:line="280" w:lineRule="exact"/>
              <w:rPr>
                <w:kern w:val="0"/>
                <w:szCs w:val="21"/>
              </w:rPr>
            </w:pPr>
            <w:r>
              <w:rPr>
                <w:rFonts w:hint="eastAsia"/>
                <w:kern w:val="0"/>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restart"/>
            <w:vAlign w:val="center"/>
          </w:tcPr>
          <w:p>
            <w:pPr>
              <w:pStyle w:val="50"/>
              <w:spacing w:line="400" w:lineRule="atLeast"/>
              <w:jc w:val="center"/>
              <w:rPr>
                <w:rFonts w:cs="Times New Roman"/>
                <w:color w:val="auto"/>
                <w:sz w:val="21"/>
                <w:szCs w:val="21"/>
              </w:rPr>
            </w:pPr>
            <w:r>
              <w:rPr>
                <w:rFonts w:cs="Times New Roman"/>
                <w:color w:val="auto"/>
                <w:sz w:val="21"/>
                <w:szCs w:val="21"/>
              </w:rPr>
              <w:t>1.10.</w:t>
            </w:r>
            <w:r>
              <w:rPr>
                <w:rFonts w:hint="eastAsia" w:cs="Times New Roman"/>
                <w:color w:val="auto"/>
                <w:sz w:val="21"/>
                <w:szCs w:val="21"/>
              </w:rPr>
              <w:t>2</w:t>
            </w:r>
          </w:p>
        </w:tc>
        <w:tc>
          <w:tcPr>
            <w:tcW w:w="2539" w:type="dxa"/>
            <w:vMerge w:val="restart"/>
          </w:tcPr>
          <w:p>
            <w:pPr>
              <w:pStyle w:val="61"/>
              <w:spacing w:before="112"/>
              <w:ind w:left="177"/>
              <w:jc w:val="center"/>
              <w:rPr>
                <w:color w:val="000000"/>
                <w:szCs w:val="21"/>
              </w:rPr>
            </w:pPr>
            <w:r>
              <w:rPr>
                <w:color w:val="000000"/>
                <w:szCs w:val="21"/>
              </w:rPr>
              <w:t>投标人在投标预备会前提出问题</w:t>
            </w:r>
          </w:p>
        </w:tc>
        <w:tc>
          <w:tcPr>
            <w:tcW w:w="5794" w:type="dxa"/>
            <w:tcBorders>
              <w:bottom w:val="single" w:color="auto" w:sz="4" w:space="0"/>
            </w:tcBorders>
            <w:vAlign w:val="center"/>
          </w:tcPr>
          <w:p>
            <w:pPr>
              <w:adjustRightInd w:val="0"/>
              <w:snapToGrid w:val="0"/>
              <w:spacing w:line="280" w:lineRule="exact"/>
              <w:ind w:leftChars="-18" w:hanging="37" w:hangingChars="18"/>
              <w:rPr>
                <w:szCs w:val="21"/>
              </w:rPr>
            </w:pPr>
            <w:r>
              <w:rPr>
                <w:rFonts w:hint="eastAsia"/>
                <w:kern w:val="0"/>
                <w:szCs w:val="21"/>
              </w:rPr>
              <w:t>时间：不组织</w:t>
            </w:r>
            <w:r>
              <w:rPr>
                <w:rFonts w:hint="eastAsia"/>
                <w:kern w:val="0"/>
              </w:rPr>
              <w:t>投标预备会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continue"/>
            <w:vAlign w:val="center"/>
          </w:tcPr>
          <w:p>
            <w:pPr>
              <w:pStyle w:val="50"/>
              <w:spacing w:line="260" w:lineRule="exact"/>
              <w:jc w:val="center"/>
              <w:rPr>
                <w:color w:val="auto"/>
                <w:sz w:val="21"/>
                <w:szCs w:val="21"/>
              </w:rPr>
            </w:pPr>
          </w:p>
        </w:tc>
        <w:tc>
          <w:tcPr>
            <w:tcW w:w="2539" w:type="dxa"/>
            <w:vMerge w:val="continue"/>
            <w:vAlign w:val="center"/>
          </w:tcPr>
          <w:p>
            <w:pPr>
              <w:pStyle w:val="50"/>
              <w:jc w:val="center"/>
              <w:rPr>
                <w:sz w:val="21"/>
                <w:szCs w:val="21"/>
              </w:rPr>
            </w:pPr>
          </w:p>
        </w:tc>
        <w:tc>
          <w:tcPr>
            <w:tcW w:w="5794" w:type="dxa"/>
            <w:tcBorders>
              <w:top w:val="single" w:color="auto" w:sz="4" w:space="0"/>
            </w:tcBorders>
            <w:vAlign w:val="center"/>
          </w:tcPr>
          <w:p>
            <w:pPr>
              <w:adjustRightInd w:val="0"/>
              <w:snapToGrid w:val="0"/>
              <w:spacing w:line="280" w:lineRule="exact"/>
              <w:ind w:leftChars="-18" w:hanging="37" w:hangingChars="18"/>
              <w:rPr>
                <w:kern w:val="0"/>
                <w:szCs w:val="21"/>
              </w:rPr>
            </w:pPr>
            <w:r>
              <w:rPr>
                <w:rFonts w:hint="eastAsia"/>
                <w:kern w:val="0"/>
                <w:szCs w:val="21"/>
              </w:rPr>
              <w:t>形式：不组织</w:t>
            </w:r>
            <w:r>
              <w:rPr>
                <w:rFonts w:hint="eastAsia"/>
                <w:kern w:val="0"/>
              </w:rPr>
              <w:t>投标预备会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260" w:lineRule="exact"/>
              <w:jc w:val="center"/>
              <w:rPr>
                <w:color w:val="auto"/>
                <w:sz w:val="21"/>
                <w:szCs w:val="21"/>
              </w:rPr>
            </w:pPr>
            <w:r>
              <w:rPr>
                <w:rFonts w:hint="eastAsia"/>
                <w:color w:val="auto"/>
                <w:sz w:val="21"/>
                <w:szCs w:val="21"/>
              </w:rPr>
              <w:t>2.1</w:t>
            </w:r>
          </w:p>
        </w:tc>
        <w:tc>
          <w:tcPr>
            <w:tcW w:w="2539" w:type="dxa"/>
            <w:vAlign w:val="center"/>
          </w:tcPr>
          <w:p>
            <w:pPr>
              <w:pStyle w:val="50"/>
              <w:jc w:val="center"/>
              <w:rPr>
                <w:b/>
                <w:color w:val="auto"/>
                <w:sz w:val="21"/>
                <w:szCs w:val="21"/>
              </w:rPr>
            </w:pPr>
            <w:r>
              <w:rPr>
                <w:sz w:val="21"/>
                <w:szCs w:val="21"/>
              </w:rPr>
              <w:t>构成招标文件的其他资料</w:t>
            </w:r>
          </w:p>
        </w:tc>
        <w:tc>
          <w:tcPr>
            <w:tcW w:w="5794" w:type="dxa"/>
            <w:vAlign w:val="center"/>
          </w:tcPr>
          <w:p>
            <w:pPr>
              <w:pStyle w:val="50"/>
              <w:rPr>
                <w:b/>
                <w:color w:val="auto"/>
                <w:sz w:val="21"/>
                <w:szCs w:val="21"/>
              </w:rPr>
            </w:pPr>
            <w:r>
              <w:rPr>
                <w:rFonts w:hint="eastAsia"/>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restart"/>
            <w:vAlign w:val="center"/>
          </w:tcPr>
          <w:p>
            <w:pPr>
              <w:pStyle w:val="50"/>
              <w:spacing w:line="260" w:lineRule="exact"/>
              <w:jc w:val="center"/>
              <w:rPr>
                <w:color w:val="auto"/>
                <w:sz w:val="21"/>
                <w:szCs w:val="21"/>
              </w:rPr>
            </w:pPr>
            <w:r>
              <w:rPr>
                <w:rFonts w:hint="eastAsia"/>
                <w:color w:val="auto"/>
                <w:sz w:val="21"/>
                <w:szCs w:val="21"/>
              </w:rPr>
              <w:t>2.2.1</w:t>
            </w:r>
          </w:p>
        </w:tc>
        <w:tc>
          <w:tcPr>
            <w:tcW w:w="2539" w:type="dxa"/>
            <w:vMerge w:val="restart"/>
            <w:vAlign w:val="center"/>
          </w:tcPr>
          <w:p>
            <w:pPr>
              <w:pStyle w:val="50"/>
              <w:spacing w:line="260" w:lineRule="exact"/>
              <w:jc w:val="center"/>
              <w:rPr>
                <w:color w:val="auto"/>
                <w:sz w:val="21"/>
                <w:szCs w:val="21"/>
              </w:rPr>
            </w:pPr>
            <w:r>
              <w:rPr>
                <w:rFonts w:hint="eastAsia"/>
                <w:color w:val="auto"/>
                <w:sz w:val="21"/>
                <w:szCs w:val="21"/>
              </w:rPr>
              <w:t>投标人要求澄清招标文件</w:t>
            </w:r>
          </w:p>
        </w:tc>
        <w:tc>
          <w:tcPr>
            <w:tcW w:w="5794" w:type="dxa"/>
            <w:vAlign w:val="center"/>
          </w:tcPr>
          <w:p>
            <w:pPr>
              <w:pStyle w:val="50"/>
              <w:spacing w:line="260" w:lineRule="exact"/>
              <w:jc w:val="both"/>
              <w:rPr>
                <w:color w:val="FF0000"/>
                <w:sz w:val="21"/>
                <w:szCs w:val="21"/>
              </w:rPr>
            </w:pPr>
            <w:r>
              <w:rPr>
                <w:rFonts w:hint="eastAsia"/>
                <w:color w:val="FF0000"/>
                <w:sz w:val="21"/>
                <w:szCs w:val="21"/>
              </w:rPr>
              <w:t>时间：</w:t>
            </w:r>
            <w:r>
              <w:rPr>
                <w:rFonts w:hint="eastAsia"/>
                <w:color w:val="FF0000"/>
                <w:sz w:val="21"/>
                <w:szCs w:val="21"/>
                <w:u w:val="single"/>
              </w:rPr>
              <w:t xml:space="preserve">2020 </w:t>
            </w:r>
            <w:r>
              <w:rPr>
                <w:rFonts w:hint="eastAsia"/>
                <w:color w:val="FF0000"/>
                <w:sz w:val="21"/>
                <w:szCs w:val="21"/>
              </w:rPr>
              <w:t>年</w:t>
            </w:r>
            <w:r>
              <w:rPr>
                <w:rFonts w:hint="eastAsia"/>
                <w:color w:val="FF0000"/>
                <w:sz w:val="21"/>
                <w:szCs w:val="21"/>
                <w:u w:val="single"/>
              </w:rPr>
              <w:t xml:space="preserve"> 10 </w:t>
            </w:r>
            <w:r>
              <w:rPr>
                <w:rFonts w:hint="eastAsia"/>
                <w:color w:val="FF0000"/>
                <w:sz w:val="21"/>
                <w:szCs w:val="21"/>
              </w:rPr>
              <w:t>月</w:t>
            </w:r>
            <w:r>
              <w:rPr>
                <w:rFonts w:hint="eastAsia"/>
                <w:color w:val="FF0000"/>
                <w:sz w:val="21"/>
                <w:szCs w:val="21"/>
                <w:u w:val="single"/>
              </w:rPr>
              <w:t xml:space="preserve"> 14 </w:t>
            </w:r>
            <w:r>
              <w:rPr>
                <w:rFonts w:hint="eastAsia"/>
                <w:color w:val="FF0000"/>
                <w:sz w:val="21"/>
                <w:szCs w:val="21"/>
              </w:rPr>
              <w:t>日</w:t>
            </w:r>
            <w:r>
              <w:rPr>
                <w:rFonts w:hint="eastAsia"/>
                <w:color w:val="FF0000"/>
                <w:sz w:val="21"/>
                <w:szCs w:val="21"/>
                <w:u w:val="single"/>
              </w:rPr>
              <w:t xml:space="preserve"> 17 </w:t>
            </w:r>
            <w:r>
              <w:rPr>
                <w:rFonts w:hint="eastAsia"/>
                <w:color w:val="FF0000"/>
                <w:sz w:val="21"/>
                <w:szCs w:val="21"/>
              </w:rPr>
              <w:t>时</w:t>
            </w:r>
            <w:r>
              <w:rPr>
                <w:rFonts w:hint="eastAsia"/>
                <w:color w:val="FF0000"/>
                <w:sz w:val="21"/>
                <w:szCs w:val="21"/>
                <w:u w:val="single"/>
              </w:rPr>
              <w:t xml:space="preserve"> 00 </w:t>
            </w:r>
            <w:r>
              <w:rPr>
                <w:rFonts w:hint="eastAsia"/>
                <w:color w:val="FF0000"/>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continue"/>
            <w:vAlign w:val="center"/>
          </w:tcPr>
          <w:p>
            <w:pPr>
              <w:pStyle w:val="50"/>
              <w:spacing w:line="260" w:lineRule="exact"/>
              <w:jc w:val="center"/>
              <w:rPr>
                <w:color w:val="auto"/>
                <w:sz w:val="21"/>
                <w:szCs w:val="21"/>
              </w:rPr>
            </w:pPr>
          </w:p>
        </w:tc>
        <w:tc>
          <w:tcPr>
            <w:tcW w:w="2539" w:type="dxa"/>
            <w:vMerge w:val="continue"/>
            <w:vAlign w:val="center"/>
          </w:tcPr>
          <w:p>
            <w:pPr>
              <w:pStyle w:val="50"/>
              <w:spacing w:line="260" w:lineRule="exact"/>
              <w:jc w:val="center"/>
              <w:rPr>
                <w:color w:val="auto"/>
                <w:sz w:val="21"/>
                <w:szCs w:val="21"/>
              </w:rPr>
            </w:pPr>
          </w:p>
        </w:tc>
        <w:tc>
          <w:tcPr>
            <w:tcW w:w="5794" w:type="dxa"/>
            <w:vAlign w:val="center"/>
          </w:tcPr>
          <w:p>
            <w:pPr>
              <w:pStyle w:val="50"/>
              <w:spacing w:line="260" w:lineRule="exact"/>
              <w:jc w:val="both"/>
              <w:rPr>
                <w:color w:val="auto"/>
                <w:sz w:val="21"/>
                <w:szCs w:val="21"/>
              </w:rPr>
            </w:pPr>
            <w:r>
              <w:rPr>
                <w:rFonts w:hint="eastAsia"/>
                <w:color w:val="auto"/>
                <w:sz w:val="21"/>
                <w:szCs w:val="21"/>
              </w:rPr>
              <w:t>形式：</w:t>
            </w:r>
            <w:r>
              <w:rPr>
                <w:rFonts w:hint="eastAsia"/>
                <w:sz w:val="21"/>
                <w:szCs w:val="21"/>
              </w:rPr>
              <w:t>传真或扫描件电子文件传至招标代理电子邮箱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260" w:lineRule="exact"/>
              <w:jc w:val="center"/>
              <w:rPr>
                <w:color w:val="auto"/>
                <w:sz w:val="21"/>
                <w:szCs w:val="21"/>
              </w:rPr>
            </w:pPr>
            <w:r>
              <w:rPr>
                <w:rFonts w:hint="eastAsia"/>
                <w:color w:val="auto"/>
                <w:sz w:val="21"/>
                <w:szCs w:val="21"/>
              </w:rPr>
              <w:t>2.2.2</w:t>
            </w:r>
          </w:p>
        </w:tc>
        <w:tc>
          <w:tcPr>
            <w:tcW w:w="2539" w:type="dxa"/>
            <w:vAlign w:val="center"/>
          </w:tcPr>
          <w:p>
            <w:pPr>
              <w:pStyle w:val="50"/>
              <w:spacing w:line="260" w:lineRule="exact"/>
              <w:jc w:val="center"/>
              <w:rPr>
                <w:color w:val="auto"/>
                <w:sz w:val="21"/>
                <w:szCs w:val="21"/>
              </w:rPr>
            </w:pPr>
            <w:r>
              <w:rPr>
                <w:sz w:val="21"/>
                <w:szCs w:val="21"/>
              </w:rPr>
              <w:t>招标文件澄清发出的形式</w:t>
            </w:r>
          </w:p>
        </w:tc>
        <w:tc>
          <w:tcPr>
            <w:tcW w:w="5794" w:type="dxa"/>
            <w:vAlign w:val="center"/>
          </w:tcPr>
          <w:p>
            <w:pPr>
              <w:pStyle w:val="50"/>
              <w:wordWrap w:val="0"/>
              <w:spacing w:line="260" w:lineRule="exact"/>
              <w:jc w:val="both"/>
              <w:rPr>
                <w:color w:val="auto"/>
                <w:sz w:val="21"/>
                <w:szCs w:val="21"/>
              </w:rPr>
            </w:pPr>
            <w:r>
              <w:rPr>
                <w:rFonts w:hint="eastAsia"/>
                <w:sz w:val="21"/>
                <w:szCs w:val="21"/>
              </w:rPr>
              <w:t>在《天津市滨海新区交通运输局》（jtysj.tjbh.gov.cn）和《天津市公共资源交易网》(http://60.28.163.169/)发布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restart"/>
            <w:vAlign w:val="center"/>
          </w:tcPr>
          <w:p>
            <w:pPr>
              <w:pStyle w:val="50"/>
              <w:spacing w:line="260" w:lineRule="exact"/>
              <w:jc w:val="center"/>
              <w:rPr>
                <w:rFonts w:cs="Times New Roman"/>
                <w:color w:val="auto"/>
                <w:sz w:val="21"/>
                <w:szCs w:val="21"/>
              </w:rPr>
            </w:pPr>
            <w:r>
              <w:rPr>
                <w:rFonts w:hint="eastAsia" w:cs="Times New Roman"/>
                <w:color w:val="auto"/>
                <w:sz w:val="21"/>
                <w:szCs w:val="21"/>
              </w:rPr>
              <w:t>2.2.3</w:t>
            </w:r>
          </w:p>
        </w:tc>
        <w:tc>
          <w:tcPr>
            <w:tcW w:w="2539" w:type="dxa"/>
            <w:vMerge w:val="restart"/>
            <w:vAlign w:val="center"/>
          </w:tcPr>
          <w:p>
            <w:pPr>
              <w:pStyle w:val="61"/>
              <w:spacing w:before="79"/>
              <w:ind w:left="1"/>
              <w:jc w:val="center"/>
              <w:rPr>
                <w:color w:val="000000"/>
                <w:szCs w:val="21"/>
              </w:rPr>
            </w:pPr>
            <w:r>
              <w:rPr>
                <w:color w:val="000000"/>
                <w:szCs w:val="21"/>
              </w:rPr>
              <w:t>投标人确认收到招标文件</w:t>
            </w:r>
          </w:p>
          <w:p>
            <w:pPr>
              <w:pStyle w:val="50"/>
              <w:spacing w:line="260" w:lineRule="exact"/>
              <w:ind w:left="-107" w:leftChars="-51" w:right="-107" w:rightChars="-51"/>
              <w:jc w:val="center"/>
              <w:rPr>
                <w:color w:val="auto"/>
                <w:sz w:val="21"/>
                <w:szCs w:val="21"/>
              </w:rPr>
            </w:pPr>
            <w:r>
              <w:rPr>
                <w:sz w:val="21"/>
                <w:szCs w:val="21"/>
              </w:rPr>
              <w:t>澄清</w:t>
            </w:r>
          </w:p>
        </w:tc>
        <w:tc>
          <w:tcPr>
            <w:tcW w:w="5794" w:type="dxa"/>
            <w:tcBorders>
              <w:bottom w:val="single" w:color="auto" w:sz="4" w:space="0"/>
            </w:tcBorders>
            <w:vAlign w:val="center"/>
          </w:tcPr>
          <w:p>
            <w:pPr>
              <w:wordWrap w:val="0"/>
              <w:adjustRightInd w:val="0"/>
              <w:snapToGrid w:val="0"/>
              <w:spacing w:line="300" w:lineRule="atLeast"/>
              <w:rPr>
                <w:szCs w:val="21"/>
              </w:rPr>
            </w:pPr>
            <w:r>
              <w:rPr>
                <w:rFonts w:hint="eastAsia"/>
                <w:szCs w:val="21"/>
              </w:rPr>
              <w:t>时间：收到澄清后24小时内</w:t>
            </w:r>
            <w:r>
              <w:rPr>
                <w:szCs w:val="21"/>
              </w:rPr>
              <w:t>(</w:t>
            </w:r>
            <w:r>
              <w:rPr>
                <w:rFonts w:hint="eastAsia"/>
                <w:szCs w:val="21"/>
              </w:rPr>
              <w:t>以发出时间为准</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continue"/>
            <w:vAlign w:val="center"/>
          </w:tcPr>
          <w:p>
            <w:pPr>
              <w:pStyle w:val="50"/>
              <w:spacing w:line="260" w:lineRule="exact"/>
              <w:jc w:val="center"/>
              <w:rPr>
                <w:rFonts w:cs="Times New Roman"/>
                <w:color w:val="auto"/>
                <w:sz w:val="21"/>
                <w:szCs w:val="21"/>
              </w:rPr>
            </w:pPr>
          </w:p>
        </w:tc>
        <w:tc>
          <w:tcPr>
            <w:tcW w:w="2539" w:type="dxa"/>
            <w:vMerge w:val="continue"/>
            <w:vAlign w:val="center"/>
          </w:tcPr>
          <w:p>
            <w:pPr>
              <w:pStyle w:val="50"/>
              <w:spacing w:line="260" w:lineRule="exact"/>
              <w:ind w:left="-107" w:leftChars="-51" w:right="-107" w:rightChars="-51"/>
              <w:jc w:val="center"/>
              <w:rPr>
                <w:color w:val="auto"/>
                <w:sz w:val="21"/>
                <w:szCs w:val="21"/>
              </w:rPr>
            </w:pPr>
          </w:p>
        </w:tc>
        <w:tc>
          <w:tcPr>
            <w:tcW w:w="5794" w:type="dxa"/>
            <w:tcBorders>
              <w:top w:val="single" w:color="auto" w:sz="4" w:space="0"/>
            </w:tcBorders>
            <w:vAlign w:val="center"/>
          </w:tcPr>
          <w:p>
            <w:pPr>
              <w:wordWrap w:val="0"/>
              <w:adjustRightInd w:val="0"/>
              <w:snapToGrid w:val="0"/>
              <w:spacing w:line="300" w:lineRule="atLeast"/>
              <w:rPr>
                <w:kern w:val="0"/>
                <w:szCs w:val="21"/>
              </w:rPr>
            </w:pPr>
            <w:r>
              <w:rPr>
                <w:rFonts w:hint="eastAsia"/>
                <w:szCs w:val="21"/>
              </w:rPr>
              <w:t>形式：传真或扫描件电子文件传至招标代理电子邮箱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260" w:lineRule="exact"/>
              <w:jc w:val="center"/>
              <w:rPr>
                <w:rFonts w:cs="Times New Roman"/>
                <w:color w:val="auto"/>
                <w:sz w:val="21"/>
                <w:szCs w:val="21"/>
              </w:rPr>
            </w:pPr>
            <w:r>
              <w:rPr>
                <w:rFonts w:hint="eastAsia" w:cs="Times New Roman"/>
                <w:color w:val="auto"/>
                <w:sz w:val="21"/>
                <w:szCs w:val="21"/>
              </w:rPr>
              <w:t>2.3.1</w:t>
            </w:r>
          </w:p>
        </w:tc>
        <w:tc>
          <w:tcPr>
            <w:tcW w:w="2539" w:type="dxa"/>
            <w:vAlign w:val="center"/>
          </w:tcPr>
          <w:p>
            <w:pPr>
              <w:pStyle w:val="50"/>
              <w:spacing w:line="260" w:lineRule="exact"/>
              <w:ind w:left="-107" w:leftChars="-51" w:right="-107" w:rightChars="-51"/>
              <w:jc w:val="center"/>
              <w:rPr>
                <w:color w:val="auto"/>
                <w:sz w:val="21"/>
                <w:szCs w:val="21"/>
              </w:rPr>
            </w:pPr>
            <w:r>
              <w:rPr>
                <w:rFonts w:hint="eastAsia"/>
                <w:color w:val="auto"/>
                <w:sz w:val="21"/>
                <w:szCs w:val="21"/>
              </w:rPr>
              <w:t>招标文件修改发出的形式</w:t>
            </w:r>
          </w:p>
        </w:tc>
        <w:tc>
          <w:tcPr>
            <w:tcW w:w="5794" w:type="dxa"/>
            <w:vAlign w:val="center"/>
          </w:tcPr>
          <w:p>
            <w:pPr>
              <w:pStyle w:val="50"/>
              <w:wordWrap w:val="0"/>
              <w:spacing w:line="260" w:lineRule="exact"/>
              <w:jc w:val="both"/>
              <w:rPr>
                <w:color w:val="auto"/>
                <w:sz w:val="21"/>
                <w:szCs w:val="21"/>
              </w:rPr>
            </w:pPr>
            <w:r>
              <w:rPr>
                <w:rFonts w:hint="eastAsia"/>
                <w:sz w:val="21"/>
                <w:szCs w:val="21"/>
              </w:rPr>
              <w:t>在《天津市滨海新区交通运输局》（jtysj.tjbh.gov.cn）和《天津市公共资源交易网》(http://60.28.163.169/)发布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restart"/>
            <w:vAlign w:val="center"/>
          </w:tcPr>
          <w:p>
            <w:pPr>
              <w:pStyle w:val="50"/>
              <w:spacing w:line="260" w:lineRule="exact"/>
              <w:jc w:val="center"/>
              <w:rPr>
                <w:rFonts w:cs="Times New Roman"/>
                <w:color w:val="auto"/>
                <w:sz w:val="21"/>
                <w:szCs w:val="21"/>
              </w:rPr>
            </w:pPr>
            <w:r>
              <w:rPr>
                <w:rFonts w:cs="Times New Roman"/>
                <w:color w:val="auto"/>
                <w:sz w:val="21"/>
                <w:szCs w:val="21"/>
              </w:rPr>
              <w:t>2.3.2</w:t>
            </w:r>
          </w:p>
        </w:tc>
        <w:tc>
          <w:tcPr>
            <w:tcW w:w="2539" w:type="dxa"/>
            <w:vMerge w:val="restart"/>
            <w:vAlign w:val="center"/>
          </w:tcPr>
          <w:p>
            <w:pPr>
              <w:pStyle w:val="50"/>
              <w:spacing w:line="260" w:lineRule="exact"/>
              <w:ind w:left="-107" w:leftChars="-51" w:right="-107" w:rightChars="-51"/>
              <w:jc w:val="center"/>
              <w:rPr>
                <w:color w:val="auto"/>
                <w:sz w:val="21"/>
                <w:szCs w:val="21"/>
              </w:rPr>
            </w:pPr>
            <w:r>
              <w:rPr>
                <w:rFonts w:hint="eastAsia"/>
                <w:color w:val="auto"/>
                <w:sz w:val="21"/>
                <w:szCs w:val="21"/>
              </w:rPr>
              <w:t>投标人确认收到招标文件</w:t>
            </w:r>
          </w:p>
          <w:p>
            <w:pPr>
              <w:pStyle w:val="50"/>
              <w:spacing w:line="260" w:lineRule="exact"/>
              <w:ind w:left="-107" w:leftChars="-51" w:right="-107" w:rightChars="-51"/>
              <w:jc w:val="center"/>
              <w:rPr>
                <w:color w:val="auto"/>
                <w:sz w:val="21"/>
                <w:szCs w:val="21"/>
              </w:rPr>
            </w:pPr>
            <w:r>
              <w:rPr>
                <w:rFonts w:hint="eastAsia"/>
                <w:color w:val="auto"/>
                <w:sz w:val="21"/>
                <w:szCs w:val="21"/>
              </w:rPr>
              <w:t>修改</w:t>
            </w:r>
          </w:p>
        </w:tc>
        <w:tc>
          <w:tcPr>
            <w:tcW w:w="5794" w:type="dxa"/>
            <w:tcBorders>
              <w:bottom w:val="single" w:color="auto" w:sz="4" w:space="0"/>
            </w:tcBorders>
            <w:vAlign w:val="center"/>
          </w:tcPr>
          <w:p>
            <w:pPr>
              <w:adjustRightInd w:val="0"/>
              <w:snapToGrid w:val="0"/>
              <w:spacing w:line="300" w:lineRule="atLeast"/>
              <w:rPr>
                <w:szCs w:val="21"/>
              </w:rPr>
            </w:pPr>
            <w:r>
              <w:rPr>
                <w:rFonts w:hint="eastAsia"/>
                <w:szCs w:val="21"/>
              </w:rPr>
              <w:t>时间：收到澄清后24小时内</w:t>
            </w:r>
            <w:r>
              <w:rPr>
                <w:szCs w:val="21"/>
              </w:rPr>
              <w:t>(</w:t>
            </w:r>
            <w:r>
              <w:rPr>
                <w:rFonts w:hint="eastAsia"/>
                <w:szCs w:val="21"/>
              </w:rPr>
              <w:t>以发出时间为准</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continue"/>
            <w:vAlign w:val="center"/>
          </w:tcPr>
          <w:p>
            <w:pPr>
              <w:pStyle w:val="50"/>
              <w:spacing w:line="260" w:lineRule="exact"/>
              <w:jc w:val="center"/>
              <w:rPr>
                <w:rFonts w:cs="Times New Roman"/>
                <w:color w:val="auto"/>
                <w:sz w:val="21"/>
                <w:szCs w:val="21"/>
              </w:rPr>
            </w:pPr>
          </w:p>
        </w:tc>
        <w:tc>
          <w:tcPr>
            <w:tcW w:w="2539" w:type="dxa"/>
            <w:vMerge w:val="continue"/>
            <w:vAlign w:val="center"/>
          </w:tcPr>
          <w:p>
            <w:pPr>
              <w:pStyle w:val="50"/>
              <w:spacing w:line="260" w:lineRule="exact"/>
              <w:ind w:left="-107" w:leftChars="-51" w:right="-107" w:rightChars="-51"/>
              <w:jc w:val="center"/>
              <w:rPr>
                <w:color w:val="auto"/>
                <w:sz w:val="21"/>
                <w:szCs w:val="21"/>
              </w:rPr>
            </w:pPr>
          </w:p>
        </w:tc>
        <w:tc>
          <w:tcPr>
            <w:tcW w:w="5794" w:type="dxa"/>
            <w:tcBorders>
              <w:top w:val="single" w:color="auto" w:sz="4" w:space="0"/>
            </w:tcBorders>
            <w:vAlign w:val="center"/>
          </w:tcPr>
          <w:p>
            <w:pPr>
              <w:adjustRightInd w:val="0"/>
              <w:snapToGrid w:val="0"/>
              <w:spacing w:line="300" w:lineRule="atLeast"/>
              <w:rPr>
                <w:szCs w:val="21"/>
              </w:rPr>
            </w:pPr>
            <w:r>
              <w:rPr>
                <w:rFonts w:hint="eastAsia"/>
                <w:szCs w:val="21"/>
              </w:rPr>
              <w:t>形式：传真或扫描件电子文件传至招标代理电子邮箱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260" w:lineRule="exact"/>
              <w:jc w:val="center"/>
            </w:pPr>
            <w:r>
              <w:rPr>
                <w:rFonts w:hint="eastAsia" w:cs="Times New Roman"/>
                <w:color w:val="auto"/>
                <w:sz w:val="21"/>
                <w:szCs w:val="21"/>
              </w:rPr>
              <w:t>3.1.1</w:t>
            </w:r>
          </w:p>
        </w:tc>
        <w:tc>
          <w:tcPr>
            <w:tcW w:w="2539" w:type="dxa"/>
            <w:vAlign w:val="center"/>
          </w:tcPr>
          <w:p>
            <w:pPr>
              <w:jc w:val="center"/>
            </w:pPr>
            <w:r>
              <w:rPr>
                <w:rFonts w:hint="eastAsia"/>
              </w:rPr>
              <w:t>构成投标文件的其他资料</w:t>
            </w:r>
          </w:p>
        </w:tc>
        <w:tc>
          <w:tcPr>
            <w:tcW w:w="5794" w:type="dxa"/>
            <w:vAlign w:val="center"/>
          </w:tcPr>
          <w:p>
            <w:pPr>
              <w:ind w:left="3" w:hanging="3"/>
            </w:pPr>
            <w:r>
              <w:rPr>
                <w:rFonts w:hint="eastAsia"/>
                <w:kern w:val="0"/>
              </w:rPr>
              <w:t>投标</w:t>
            </w:r>
            <w:r>
              <w:rPr>
                <w:rFonts w:hint="eastAsia"/>
                <w:szCs w:val="21"/>
              </w:rPr>
              <w:t>人须将招标文件的澄清、修改文件的复印件附在第一信封投标文件其他资料中。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260" w:lineRule="exact"/>
              <w:jc w:val="center"/>
              <w:rPr>
                <w:rFonts w:cs="Times New Roman"/>
                <w:color w:val="auto"/>
                <w:sz w:val="21"/>
                <w:szCs w:val="21"/>
              </w:rPr>
            </w:pPr>
            <w:r>
              <w:rPr>
                <w:rFonts w:hint="eastAsia" w:cs="Times New Roman"/>
                <w:color w:val="auto"/>
                <w:sz w:val="21"/>
                <w:szCs w:val="21"/>
              </w:rPr>
              <w:t>3.2.1</w:t>
            </w:r>
          </w:p>
        </w:tc>
        <w:tc>
          <w:tcPr>
            <w:tcW w:w="2539" w:type="dxa"/>
            <w:vAlign w:val="center"/>
          </w:tcPr>
          <w:p>
            <w:pPr>
              <w:jc w:val="center"/>
              <w:rPr>
                <w:szCs w:val="21"/>
              </w:rPr>
            </w:pPr>
            <w:r>
              <w:rPr>
                <w:color w:val="000000"/>
                <w:szCs w:val="21"/>
              </w:rPr>
              <w:t>增值税税金的计算方法</w:t>
            </w:r>
          </w:p>
        </w:tc>
        <w:tc>
          <w:tcPr>
            <w:tcW w:w="5794" w:type="dxa"/>
            <w:vAlign w:val="center"/>
          </w:tcPr>
          <w:p>
            <w:pPr>
              <w:ind w:left="63" w:leftChars="30"/>
              <w:rPr>
                <w:kern w:val="0"/>
                <w:szCs w:val="21"/>
              </w:rPr>
            </w:pPr>
            <w:r>
              <w:rPr>
                <w:rFonts w:hint="eastAsia"/>
              </w:rPr>
              <w:t>按一般计税方法计算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260" w:lineRule="exact"/>
              <w:jc w:val="center"/>
              <w:rPr>
                <w:rFonts w:cs="Times New Roman"/>
                <w:color w:val="auto"/>
                <w:sz w:val="21"/>
                <w:szCs w:val="21"/>
              </w:rPr>
            </w:pPr>
            <w:r>
              <w:rPr>
                <w:rFonts w:hint="eastAsia" w:cs="Times New Roman"/>
                <w:color w:val="auto"/>
                <w:sz w:val="21"/>
                <w:szCs w:val="21"/>
              </w:rPr>
              <w:t>3.2.3</w:t>
            </w:r>
          </w:p>
        </w:tc>
        <w:tc>
          <w:tcPr>
            <w:tcW w:w="2539" w:type="dxa"/>
            <w:vAlign w:val="center"/>
          </w:tcPr>
          <w:p>
            <w:pPr>
              <w:jc w:val="center"/>
              <w:rPr>
                <w:szCs w:val="21"/>
              </w:rPr>
            </w:pPr>
            <w:r>
              <w:rPr>
                <w:rFonts w:hint="eastAsia"/>
                <w:szCs w:val="21"/>
              </w:rPr>
              <w:t>报价方式</w:t>
            </w:r>
          </w:p>
        </w:tc>
        <w:tc>
          <w:tcPr>
            <w:tcW w:w="5794" w:type="dxa"/>
            <w:vAlign w:val="center"/>
          </w:tcPr>
          <w:p>
            <w:pPr>
              <w:adjustRightInd w:val="0"/>
              <w:snapToGrid w:val="0"/>
              <w:spacing w:line="280" w:lineRule="exact"/>
              <w:ind w:leftChars="-18" w:hanging="37" w:hangingChars="18"/>
              <w:rPr>
                <w:kern w:val="0"/>
                <w:szCs w:val="21"/>
              </w:rPr>
            </w:pPr>
            <w:r>
              <w:rPr>
                <w:rFonts w:hint="eastAsia"/>
                <w:kern w:val="0"/>
                <w:szCs w:val="21"/>
              </w:rPr>
              <w:sym w:font="Wingdings" w:char="F0FE"/>
            </w:r>
            <w:r>
              <w:rPr>
                <w:rFonts w:hint="eastAsia"/>
                <w:kern w:val="0"/>
                <w:szCs w:val="21"/>
              </w:rPr>
              <w:t>总价</w:t>
            </w:r>
          </w:p>
          <w:p>
            <w:pPr>
              <w:adjustRightInd w:val="0"/>
              <w:snapToGrid w:val="0"/>
              <w:spacing w:line="280" w:lineRule="exact"/>
              <w:ind w:leftChars="-18" w:hanging="37" w:hangingChars="18"/>
              <w:rPr>
                <w:kern w:val="0"/>
                <w:szCs w:val="21"/>
              </w:rPr>
            </w:pPr>
            <w:r>
              <w:rPr>
                <w:rFonts w:hint="eastAsia"/>
                <w:kern w:val="0"/>
                <w:szCs w:val="21"/>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260" w:lineRule="exact"/>
              <w:jc w:val="center"/>
              <w:rPr>
                <w:rFonts w:cs="Times New Roman"/>
                <w:color w:val="auto"/>
                <w:sz w:val="21"/>
                <w:szCs w:val="21"/>
              </w:rPr>
            </w:pPr>
            <w:r>
              <w:rPr>
                <w:rFonts w:hint="eastAsia" w:cs="Times New Roman"/>
                <w:color w:val="auto"/>
                <w:sz w:val="21"/>
                <w:szCs w:val="21"/>
              </w:rPr>
              <w:t>3.2.4</w:t>
            </w:r>
          </w:p>
        </w:tc>
        <w:tc>
          <w:tcPr>
            <w:tcW w:w="2539" w:type="dxa"/>
            <w:vAlign w:val="center"/>
          </w:tcPr>
          <w:p>
            <w:pPr>
              <w:pStyle w:val="50"/>
              <w:spacing w:line="260" w:lineRule="exact"/>
              <w:ind w:left="-107" w:leftChars="-51" w:right="-107" w:rightChars="-51"/>
              <w:jc w:val="center"/>
              <w:rPr>
                <w:rFonts w:ascii="Times New Roman" w:cs="Times New Roman"/>
                <w:color w:val="auto"/>
                <w:sz w:val="21"/>
                <w:szCs w:val="21"/>
              </w:rPr>
            </w:pPr>
            <w:r>
              <w:rPr>
                <w:rFonts w:hint="eastAsia" w:ascii="Times New Roman"/>
                <w:color w:val="auto"/>
                <w:sz w:val="21"/>
                <w:szCs w:val="21"/>
              </w:rPr>
              <w:t>最高投标限价</w:t>
            </w:r>
          </w:p>
        </w:tc>
        <w:tc>
          <w:tcPr>
            <w:tcW w:w="5794" w:type="dxa"/>
            <w:vAlign w:val="center"/>
          </w:tcPr>
          <w:p>
            <w:pPr>
              <w:pStyle w:val="50"/>
              <w:spacing w:line="260" w:lineRule="exact"/>
              <w:jc w:val="both"/>
              <w:rPr>
                <w:color w:val="auto"/>
                <w:sz w:val="21"/>
                <w:szCs w:val="21"/>
              </w:rPr>
            </w:pPr>
            <w:r>
              <w:rPr>
                <w:rFonts w:hint="eastAsia"/>
                <w:color w:val="auto"/>
                <w:sz w:val="21"/>
                <w:szCs w:val="21"/>
              </w:rPr>
              <w:t>□无</w:t>
            </w:r>
          </w:p>
          <w:p>
            <w:pPr>
              <w:pStyle w:val="50"/>
              <w:spacing w:line="260" w:lineRule="exact"/>
              <w:ind w:left="525" w:hanging="525" w:hangingChars="250"/>
              <w:jc w:val="both"/>
              <w:rPr>
                <w:color w:val="auto"/>
                <w:sz w:val="21"/>
                <w:szCs w:val="21"/>
              </w:rPr>
            </w:pPr>
            <w:r>
              <w:rPr>
                <w:rFonts w:hint="eastAsia" w:ascii="Times New Roman" w:cs="Times New Roman"/>
                <w:color w:val="auto"/>
                <w:sz w:val="21"/>
                <w:szCs w:val="21"/>
              </w:rPr>
              <w:sym w:font="Wingdings" w:char="F0FE"/>
            </w:r>
            <w:r>
              <w:rPr>
                <w:rFonts w:hint="eastAsia"/>
                <w:color w:val="auto"/>
                <w:sz w:val="21"/>
                <w:szCs w:val="21"/>
              </w:rPr>
              <w:t>有，</w:t>
            </w:r>
            <w:r>
              <w:rPr>
                <w:rFonts w:hint="eastAsia" w:ascii="Times New Roman"/>
                <w:color w:val="auto"/>
                <w:sz w:val="21"/>
                <w:szCs w:val="21"/>
              </w:rPr>
              <w:t>最高投标限价</w:t>
            </w:r>
            <w:r>
              <w:rPr>
                <w:rFonts w:hint="eastAsia" w:ascii="Times New Roman"/>
                <w:b/>
                <w:bCs/>
                <w:color w:val="FF0000"/>
                <w:sz w:val="21"/>
                <w:szCs w:val="21"/>
                <w:u w:val="single"/>
              </w:rPr>
              <w:t>10.95</w:t>
            </w:r>
            <w:r>
              <w:rPr>
                <w:rFonts w:hint="eastAsia"/>
                <w:b/>
                <w:bCs/>
                <w:color w:val="FF0000"/>
                <w:sz w:val="21"/>
                <w:szCs w:val="21"/>
              </w:rPr>
              <w:t>万元</w:t>
            </w:r>
            <w:r>
              <w:rPr>
                <w:rFonts w:hint="eastAsia"/>
                <w:color w:val="auto"/>
                <w:sz w:val="21"/>
                <w:szCs w:val="21"/>
              </w:rPr>
              <w:t>（其中含暂列金额</w:t>
            </w:r>
            <w:r>
              <w:rPr>
                <w:rFonts w:hint="eastAsia"/>
                <w:color w:val="auto"/>
                <w:sz w:val="21"/>
                <w:szCs w:val="21"/>
                <w:u w:val="single"/>
              </w:rPr>
              <w:t xml:space="preserve"> 0 </w:t>
            </w:r>
            <w:r>
              <w:rPr>
                <w:rFonts w:hint="eastAsia"/>
                <w:color w:val="auto"/>
                <w:sz w:val="21"/>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260" w:lineRule="exact"/>
              <w:jc w:val="center"/>
              <w:rPr>
                <w:rFonts w:cs="Times New Roman"/>
                <w:color w:val="auto"/>
                <w:sz w:val="21"/>
                <w:szCs w:val="21"/>
              </w:rPr>
            </w:pPr>
            <w:r>
              <w:rPr>
                <w:rFonts w:hint="eastAsia" w:cs="Times New Roman"/>
                <w:color w:val="auto"/>
                <w:sz w:val="21"/>
                <w:szCs w:val="21"/>
              </w:rPr>
              <w:t>3.2.5</w:t>
            </w:r>
          </w:p>
        </w:tc>
        <w:tc>
          <w:tcPr>
            <w:tcW w:w="2539" w:type="dxa"/>
            <w:vAlign w:val="center"/>
          </w:tcPr>
          <w:p>
            <w:pPr>
              <w:pStyle w:val="50"/>
              <w:spacing w:line="260" w:lineRule="exact"/>
              <w:ind w:left="-107" w:leftChars="-51" w:right="-107" w:rightChars="-51"/>
              <w:jc w:val="center"/>
              <w:rPr>
                <w:rFonts w:ascii="Times New Roman"/>
                <w:color w:val="auto"/>
                <w:sz w:val="21"/>
                <w:szCs w:val="21"/>
              </w:rPr>
            </w:pPr>
            <w:r>
              <w:rPr>
                <w:sz w:val="21"/>
                <w:szCs w:val="21"/>
              </w:rPr>
              <w:t>投标报价的其他要求</w:t>
            </w:r>
          </w:p>
        </w:tc>
        <w:tc>
          <w:tcPr>
            <w:tcW w:w="5794" w:type="dxa"/>
            <w:vAlign w:val="center"/>
          </w:tcPr>
          <w:p>
            <w:pPr>
              <w:pStyle w:val="50"/>
              <w:spacing w:line="260" w:lineRule="exact"/>
              <w:jc w:val="both"/>
              <w:rPr>
                <w:color w:val="auto"/>
                <w:sz w:val="21"/>
                <w:szCs w:val="21"/>
              </w:rPr>
            </w:pPr>
            <w:r>
              <w:rPr>
                <w:rFonts w:hint="eastAsia"/>
                <w:color w:val="auto"/>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260" w:lineRule="exact"/>
              <w:jc w:val="center"/>
              <w:rPr>
                <w:rFonts w:cs="Times New Roman"/>
                <w:color w:val="auto"/>
                <w:sz w:val="21"/>
                <w:szCs w:val="21"/>
              </w:rPr>
            </w:pPr>
            <w:r>
              <w:rPr>
                <w:rFonts w:cs="Times New Roman"/>
                <w:color w:val="auto"/>
                <w:sz w:val="21"/>
                <w:szCs w:val="21"/>
              </w:rPr>
              <w:t>3.3.1</w:t>
            </w:r>
          </w:p>
        </w:tc>
        <w:tc>
          <w:tcPr>
            <w:tcW w:w="2539" w:type="dxa"/>
            <w:vAlign w:val="center"/>
          </w:tcPr>
          <w:p>
            <w:pPr>
              <w:pStyle w:val="50"/>
              <w:spacing w:line="260" w:lineRule="exact"/>
              <w:ind w:left="-107" w:leftChars="-51" w:right="-107" w:rightChars="-51"/>
              <w:jc w:val="center"/>
              <w:rPr>
                <w:color w:val="auto"/>
                <w:sz w:val="21"/>
                <w:szCs w:val="21"/>
              </w:rPr>
            </w:pPr>
            <w:r>
              <w:rPr>
                <w:rFonts w:hint="eastAsia"/>
                <w:color w:val="auto"/>
                <w:sz w:val="21"/>
                <w:szCs w:val="21"/>
              </w:rPr>
              <w:t>投标有效期</w:t>
            </w:r>
          </w:p>
        </w:tc>
        <w:tc>
          <w:tcPr>
            <w:tcW w:w="5794" w:type="dxa"/>
            <w:vAlign w:val="center"/>
          </w:tcPr>
          <w:p>
            <w:pPr>
              <w:pStyle w:val="50"/>
              <w:spacing w:line="260" w:lineRule="exact"/>
              <w:jc w:val="both"/>
              <w:rPr>
                <w:rFonts w:ascii="黑体" w:eastAsia="黑体" w:cs="黑体"/>
                <w:color w:val="auto"/>
                <w:sz w:val="21"/>
                <w:szCs w:val="21"/>
              </w:rPr>
            </w:pPr>
            <w:r>
              <w:rPr>
                <w:rFonts w:hint="eastAsia"/>
                <w:color w:val="auto"/>
                <w:sz w:val="21"/>
                <w:szCs w:val="21"/>
              </w:rPr>
              <w:t>自投标人提交投标文件截止之日起计算</w:t>
            </w:r>
            <w:r>
              <w:rPr>
                <w:rFonts w:hint="eastAsia"/>
                <w:color w:val="auto"/>
                <w:sz w:val="21"/>
                <w:szCs w:val="21"/>
                <w:u w:val="single"/>
              </w:rPr>
              <w:t xml:space="preserve"> 90 </w:t>
            </w:r>
            <w:r>
              <w:rPr>
                <w:rFonts w:hint="eastAsia"/>
                <w:color w:val="auto"/>
                <w:sz w:val="21"/>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260" w:lineRule="exact"/>
              <w:jc w:val="center"/>
              <w:rPr>
                <w:rFonts w:cs="Times New Roman"/>
                <w:color w:val="auto"/>
                <w:sz w:val="21"/>
                <w:szCs w:val="21"/>
              </w:rPr>
            </w:pPr>
            <w:r>
              <w:rPr>
                <w:rFonts w:cs="Times New Roman"/>
                <w:color w:val="auto"/>
                <w:sz w:val="21"/>
                <w:szCs w:val="21"/>
              </w:rPr>
              <w:t>3.4.1</w:t>
            </w:r>
          </w:p>
        </w:tc>
        <w:tc>
          <w:tcPr>
            <w:tcW w:w="2539" w:type="dxa"/>
            <w:vAlign w:val="center"/>
          </w:tcPr>
          <w:p>
            <w:pPr>
              <w:pStyle w:val="50"/>
              <w:spacing w:line="420" w:lineRule="exact"/>
              <w:ind w:left="-1186" w:leftChars="-565" w:right="-913" w:rightChars="-435"/>
              <w:jc w:val="center"/>
              <w:rPr>
                <w:color w:val="auto"/>
                <w:sz w:val="21"/>
                <w:szCs w:val="21"/>
              </w:rPr>
            </w:pPr>
            <w:r>
              <w:rPr>
                <w:rFonts w:hint="eastAsia"/>
                <w:color w:val="auto"/>
                <w:sz w:val="21"/>
                <w:szCs w:val="21"/>
              </w:rPr>
              <w:t xml:space="preserve">  投标保证金</w:t>
            </w:r>
          </w:p>
        </w:tc>
        <w:tc>
          <w:tcPr>
            <w:tcW w:w="5794" w:type="dxa"/>
            <w:vAlign w:val="center"/>
          </w:tcPr>
          <w:p>
            <w:pPr>
              <w:adjustRightInd w:val="0"/>
              <w:snapToGrid w:val="0"/>
              <w:spacing w:line="300" w:lineRule="exact"/>
              <w:ind w:firstLine="1"/>
              <w:rPr>
                <w:szCs w:val="21"/>
              </w:rPr>
            </w:pPr>
            <w:r>
              <w:rPr>
                <w:rFonts w:hint="eastAsia"/>
                <w:szCs w:val="21"/>
              </w:rPr>
              <w:t>是否要求投标人递交投标保证金：</w:t>
            </w:r>
          </w:p>
          <w:p>
            <w:pPr>
              <w:adjustRightInd w:val="0"/>
              <w:snapToGrid w:val="0"/>
              <w:spacing w:line="300" w:lineRule="exact"/>
              <w:ind w:firstLine="1"/>
              <w:rPr>
                <w:szCs w:val="21"/>
              </w:rPr>
            </w:pPr>
            <w:r>
              <w:rPr>
                <w:rFonts w:hint="eastAsia"/>
                <w:kern w:val="0"/>
                <w:szCs w:val="21"/>
              </w:rPr>
              <w:sym w:font="Wingdings" w:char="F0FE"/>
            </w:r>
            <w:r>
              <w:rPr>
                <w:rFonts w:hint="eastAsia"/>
                <w:kern w:val="0"/>
                <w:szCs w:val="21"/>
              </w:rPr>
              <w:t>要求，</w:t>
            </w:r>
            <w:r>
              <w:rPr>
                <w:rFonts w:hint="eastAsia"/>
                <w:color w:val="FF0000"/>
                <w:szCs w:val="21"/>
              </w:rPr>
              <w:t>投标保证金的金额：</w:t>
            </w:r>
            <w:r>
              <w:rPr>
                <w:rFonts w:hint="eastAsia"/>
                <w:color w:val="FF0000"/>
                <w:szCs w:val="21"/>
                <w:u w:val="single"/>
              </w:rPr>
              <w:t xml:space="preserve"> 人民币2000元</w:t>
            </w:r>
            <w:r>
              <w:rPr>
                <w:rFonts w:hint="eastAsia"/>
                <w:szCs w:val="21"/>
                <w:u w:val="single"/>
              </w:rPr>
              <w:t xml:space="preserve"> </w:t>
            </w:r>
          </w:p>
          <w:p>
            <w:pPr>
              <w:adjustRightInd w:val="0"/>
              <w:snapToGrid w:val="0"/>
              <w:spacing w:line="300" w:lineRule="exact"/>
              <w:ind w:firstLine="840" w:firstLineChars="400"/>
              <w:rPr>
                <w:szCs w:val="21"/>
              </w:rPr>
            </w:pPr>
            <w:r>
              <w:rPr>
                <w:rFonts w:hint="eastAsia"/>
                <w:szCs w:val="21"/>
              </w:rPr>
              <w:t>投标保证金可采用的其他形式：</w:t>
            </w:r>
            <w:r>
              <w:rPr>
                <w:rFonts w:hint="eastAsia"/>
                <w:szCs w:val="21"/>
                <w:u w:val="single"/>
              </w:rPr>
              <w:t xml:space="preserve"> 无</w:t>
            </w:r>
            <w:r>
              <w:rPr>
                <w:rFonts w:hint="eastAsia"/>
                <w:szCs w:val="21"/>
              </w:rPr>
              <w:t xml:space="preserve">_ </w:t>
            </w:r>
          </w:p>
          <w:p>
            <w:pPr>
              <w:adjustRightInd w:val="0"/>
              <w:snapToGrid w:val="0"/>
              <w:spacing w:line="300" w:lineRule="exact"/>
              <w:ind w:firstLine="840" w:firstLineChars="400"/>
              <w:rPr>
                <w:szCs w:val="21"/>
              </w:rPr>
            </w:pPr>
            <w:r>
              <w:rPr>
                <w:rFonts w:hint="eastAsia"/>
                <w:szCs w:val="21"/>
              </w:rPr>
              <w:t>招标人指定的开户银行及账号如下：</w:t>
            </w:r>
          </w:p>
          <w:p>
            <w:pPr>
              <w:adjustRightInd w:val="0"/>
              <w:snapToGrid w:val="0"/>
              <w:spacing w:line="300" w:lineRule="exact"/>
              <w:ind w:firstLine="210" w:firstLineChars="100"/>
            </w:pPr>
            <w:r>
              <w:rPr>
                <w:rFonts w:hint="eastAsia"/>
              </w:rPr>
              <w:t>账户名称：天津神州亿隆工程管理咨询有限公司</w:t>
            </w:r>
          </w:p>
          <w:p>
            <w:pPr>
              <w:adjustRightInd w:val="0"/>
              <w:snapToGrid w:val="0"/>
              <w:spacing w:line="300" w:lineRule="exact"/>
              <w:ind w:left="1260" w:leftChars="100" w:hanging="1050" w:hangingChars="500"/>
              <w:rPr>
                <w:rFonts w:ascii="微软雅黑" w:hAnsi="微软雅黑" w:eastAsia="微软雅黑" w:cs="微软雅黑"/>
                <w:szCs w:val="21"/>
              </w:rPr>
            </w:pPr>
            <w:r>
              <w:rPr>
                <w:rFonts w:hint="eastAsia"/>
              </w:rPr>
              <w:t>开户银行：中国建设银行股份有限公司天津新技术产业园区支行</w:t>
            </w:r>
          </w:p>
          <w:p>
            <w:pPr>
              <w:adjustRightInd w:val="0"/>
              <w:snapToGrid w:val="0"/>
              <w:spacing w:line="300" w:lineRule="exact"/>
              <w:ind w:firstLine="210" w:firstLineChars="100"/>
            </w:pPr>
            <w:r>
              <w:rPr>
                <w:rFonts w:hint="eastAsia"/>
              </w:rPr>
              <w:t>账    号：12001650472052508557</w:t>
            </w:r>
          </w:p>
          <w:p>
            <w:pPr>
              <w:adjustRightInd w:val="0"/>
              <w:snapToGrid w:val="0"/>
              <w:spacing w:line="300" w:lineRule="exact"/>
              <w:ind w:firstLine="210" w:firstLineChars="100"/>
              <w:rPr>
                <w:szCs w:val="21"/>
              </w:rPr>
            </w:pPr>
            <w:r>
              <w:rPr>
                <w:rFonts w:hint="eastAsia"/>
              </w:rPr>
              <w:t>采用银行保函时，出具保函的银行级别：</w:t>
            </w:r>
            <w:r>
              <w:rPr>
                <w:rFonts w:hint="eastAsia"/>
                <w:u w:val="single"/>
              </w:rPr>
              <w:t xml:space="preserve"> 不要求</w:t>
            </w:r>
            <w:r>
              <w:rPr>
                <w:rFonts w:hint="eastAsia"/>
              </w:rPr>
              <w:t xml:space="preserve"> </w:t>
            </w:r>
            <w:r>
              <w:rPr>
                <w:rFonts w:hint="eastAsia"/>
                <w:u w:val="single"/>
              </w:rPr>
              <w:t xml:space="preserve">   </w:t>
            </w:r>
          </w:p>
          <w:p>
            <w:pPr>
              <w:adjustRightInd w:val="0"/>
              <w:snapToGrid w:val="0"/>
              <w:spacing w:line="300" w:lineRule="exact"/>
              <w:ind w:left="-107" w:leftChars="-51" w:firstLine="210" w:firstLineChars="100"/>
              <w:rPr>
                <w:szCs w:val="21"/>
              </w:rPr>
            </w:pPr>
            <w:r>
              <w:rPr>
                <w:rFonts w:hint="eastAsia"/>
                <w:kern w:val="0"/>
                <w:szCs w:val="21"/>
              </w:rPr>
              <w:t>□不要求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3.4.3</w:t>
            </w:r>
          </w:p>
        </w:tc>
        <w:tc>
          <w:tcPr>
            <w:tcW w:w="2539" w:type="dxa"/>
            <w:vAlign w:val="center"/>
          </w:tcPr>
          <w:p>
            <w:pPr>
              <w:jc w:val="center"/>
            </w:pPr>
            <w:r>
              <w:rPr>
                <w:rFonts w:hint="eastAsia"/>
              </w:rPr>
              <w:t>投标保证金的利息计算原则</w:t>
            </w:r>
          </w:p>
        </w:tc>
        <w:tc>
          <w:tcPr>
            <w:tcW w:w="5794" w:type="dxa"/>
            <w:vAlign w:val="center"/>
          </w:tcPr>
          <w:p>
            <w:pPr>
              <w:numPr>
                <w:ilvl w:val="0"/>
                <w:numId w:val="1"/>
              </w:numPr>
              <w:spacing w:line="300" w:lineRule="exact"/>
              <w:ind w:left="63" w:leftChars="30"/>
            </w:pPr>
            <w:r>
              <w:rPr>
                <w:rFonts w:hint="eastAsia"/>
              </w:rPr>
              <w:t>计算利息的起始日期为投标截止当日，终止日期为招标人退还投标保证金日期的前一日；</w:t>
            </w:r>
          </w:p>
          <w:p>
            <w:pPr>
              <w:numPr>
                <w:ilvl w:val="0"/>
                <w:numId w:val="1"/>
              </w:numPr>
              <w:spacing w:line="300" w:lineRule="exact"/>
              <w:ind w:left="63" w:leftChars="30"/>
            </w:pPr>
            <w:r>
              <w:rPr>
                <w:rFonts w:hint="eastAsia"/>
              </w:rPr>
              <w:t>投标保证金的利息按照第（1）款所述计息时间段内招标人指定汇入银行公告的活期存款利率计付，并扣除招标人汇款手续费；</w:t>
            </w:r>
          </w:p>
          <w:p>
            <w:pPr>
              <w:numPr>
                <w:ilvl w:val="0"/>
                <w:numId w:val="1"/>
              </w:numPr>
              <w:spacing w:line="300" w:lineRule="exact"/>
              <w:ind w:left="63" w:leftChars="30"/>
            </w:pPr>
            <w:r>
              <w:rPr>
                <w:rFonts w:hint="eastAsia"/>
              </w:rPr>
              <w:t>利息金额计算至分位，分以下尾数四舍五入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3.4.4</w:t>
            </w:r>
          </w:p>
        </w:tc>
        <w:tc>
          <w:tcPr>
            <w:tcW w:w="2539" w:type="dxa"/>
            <w:vAlign w:val="center"/>
          </w:tcPr>
          <w:p>
            <w:pPr>
              <w:jc w:val="center"/>
            </w:pPr>
            <w:r>
              <w:rPr>
                <w:rFonts w:hint="eastAsia"/>
              </w:rPr>
              <w:t>其他可以不予退还投标保证金的情形</w:t>
            </w:r>
          </w:p>
        </w:tc>
        <w:tc>
          <w:tcPr>
            <w:tcW w:w="5794" w:type="dxa"/>
            <w:vAlign w:val="center"/>
          </w:tcPr>
          <w:p>
            <w:pPr>
              <w:spacing w:line="300" w:lineRule="exact"/>
              <w:ind w:left="62"/>
            </w:pPr>
            <w:r>
              <w:rPr>
                <w:rFonts w:hint="eastAsia"/>
              </w:rPr>
              <w:t>（1）投标人提供虚假资料；</w:t>
            </w:r>
          </w:p>
          <w:p>
            <w:pPr>
              <w:spacing w:line="300" w:lineRule="exact"/>
              <w:ind w:left="62"/>
            </w:pPr>
            <w:r>
              <w:rPr>
                <w:rFonts w:hint="eastAsia"/>
              </w:rPr>
              <w:t>（2）投标人不接受依据评标办法的规定对其投标文件中细微偏差进行澄清和补正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3.5</w:t>
            </w:r>
          </w:p>
        </w:tc>
        <w:tc>
          <w:tcPr>
            <w:tcW w:w="2539" w:type="dxa"/>
            <w:vAlign w:val="center"/>
          </w:tcPr>
          <w:p>
            <w:pPr>
              <w:autoSpaceDE w:val="0"/>
              <w:autoSpaceDN w:val="0"/>
              <w:adjustRightInd w:val="0"/>
              <w:snapToGrid w:val="0"/>
              <w:jc w:val="center"/>
              <w:rPr>
                <w:kern w:val="0"/>
                <w:szCs w:val="21"/>
              </w:rPr>
            </w:pPr>
            <w:r>
              <w:rPr>
                <w:color w:val="000000"/>
                <w:szCs w:val="21"/>
              </w:rPr>
              <w:t>资格审查资料的特殊要求</w:t>
            </w:r>
          </w:p>
        </w:tc>
        <w:tc>
          <w:tcPr>
            <w:tcW w:w="5794" w:type="dxa"/>
            <w:vAlign w:val="center"/>
          </w:tcPr>
          <w:p>
            <w:pPr>
              <w:pStyle w:val="61"/>
              <w:spacing w:before="57" w:line="300" w:lineRule="exact"/>
              <w:ind w:right="3033"/>
              <w:rPr>
                <w:color w:val="000000"/>
                <w:szCs w:val="21"/>
              </w:rPr>
            </w:pPr>
            <w:r>
              <w:rPr>
                <w:rFonts w:hint="eastAsia"/>
                <w:kern w:val="0"/>
                <w:szCs w:val="21"/>
              </w:rPr>
              <w:sym w:font="Wingdings" w:char="F0FE"/>
            </w:r>
            <w:r>
              <w:rPr>
                <w:color w:val="000000"/>
                <w:szCs w:val="21"/>
              </w:rPr>
              <w:t>无</w:t>
            </w:r>
          </w:p>
          <w:p>
            <w:pPr>
              <w:autoSpaceDE w:val="0"/>
              <w:autoSpaceDN w:val="0"/>
              <w:adjustRightInd w:val="0"/>
              <w:snapToGrid w:val="0"/>
              <w:spacing w:line="300" w:lineRule="exact"/>
              <w:rPr>
                <w:kern w:val="0"/>
                <w:szCs w:val="21"/>
              </w:rPr>
            </w:pPr>
            <w:r>
              <w:rPr>
                <w:rFonts w:hint="eastAsia"/>
                <w:color w:val="000000"/>
                <w:szCs w:val="21"/>
              </w:rPr>
              <w:t>□</w:t>
            </w:r>
            <w:r>
              <w:rPr>
                <w:color w:val="000000"/>
                <w:szCs w:val="21"/>
              </w:rPr>
              <w:t>有，具体要求：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6"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3.5.2</w:t>
            </w:r>
          </w:p>
        </w:tc>
        <w:tc>
          <w:tcPr>
            <w:tcW w:w="2539" w:type="dxa"/>
            <w:vAlign w:val="center"/>
          </w:tcPr>
          <w:p>
            <w:pPr>
              <w:autoSpaceDE w:val="0"/>
              <w:autoSpaceDN w:val="0"/>
              <w:adjustRightInd w:val="0"/>
              <w:snapToGrid w:val="0"/>
              <w:jc w:val="center"/>
              <w:rPr>
                <w:szCs w:val="21"/>
              </w:rPr>
            </w:pPr>
            <w:r>
              <w:rPr>
                <w:szCs w:val="21"/>
              </w:rPr>
              <w:t>近年完成的类似项目情况的时间要求</w:t>
            </w:r>
          </w:p>
        </w:tc>
        <w:tc>
          <w:tcPr>
            <w:tcW w:w="5794" w:type="dxa"/>
            <w:vAlign w:val="center"/>
          </w:tcPr>
          <w:p>
            <w:pPr>
              <w:pStyle w:val="61"/>
              <w:spacing w:before="57" w:line="300" w:lineRule="exact"/>
              <w:ind w:right="350"/>
              <w:rPr>
                <w:kern w:val="0"/>
                <w:szCs w:val="21"/>
              </w:rPr>
            </w:pPr>
            <w:r>
              <w:rPr>
                <w:rFonts w:hint="eastAsia"/>
                <w:sz w:val="20"/>
                <w:szCs w:val="20"/>
              </w:rPr>
              <w:t xml:space="preserve"> 2015年7月1日至投标截止之日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3.6.1</w:t>
            </w:r>
          </w:p>
        </w:tc>
        <w:tc>
          <w:tcPr>
            <w:tcW w:w="2539" w:type="dxa"/>
            <w:vAlign w:val="center"/>
          </w:tcPr>
          <w:p>
            <w:pPr>
              <w:spacing w:line="280" w:lineRule="exact"/>
              <w:jc w:val="center"/>
              <w:rPr>
                <w:szCs w:val="21"/>
              </w:rPr>
            </w:pPr>
            <w:r>
              <w:rPr>
                <w:rFonts w:hint="eastAsia"/>
                <w:szCs w:val="21"/>
              </w:rPr>
              <w:t>是否允许递交备选投标方案</w:t>
            </w:r>
          </w:p>
        </w:tc>
        <w:tc>
          <w:tcPr>
            <w:tcW w:w="5794" w:type="dxa"/>
            <w:vAlign w:val="center"/>
          </w:tcPr>
          <w:p>
            <w:pPr>
              <w:spacing w:line="280" w:lineRule="exact"/>
              <w:rPr>
                <w:kern w:val="0"/>
                <w:szCs w:val="21"/>
              </w:rPr>
            </w:pPr>
            <w:r>
              <w:rPr>
                <w:rFonts w:hint="eastAsia"/>
                <w:kern w:val="0"/>
                <w:szCs w:val="21"/>
              </w:rPr>
              <w:sym w:font="Wingdings" w:char="F0FE"/>
            </w:r>
            <w:r>
              <w:rPr>
                <w:rFonts w:hint="eastAsia"/>
                <w:kern w:val="0"/>
                <w:szCs w:val="21"/>
              </w:rPr>
              <w:t>不允许</w:t>
            </w:r>
          </w:p>
          <w:p>
            <w:pPr>
              <w:spacing w:line="280" w:lineRule="exact"/>
              <w:rPr>
                <w:kern w:val="0"/>
                <w:szCs w:val="21"/>
              </w:rPr>
            </w:pPr>
            <w:r>
              <w:rPr>
                <w:rFonts w:hint="eastAsia"/>
                <w:kern w:val="0"/>
                <w:szCs w:val="21"/>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3.7.4</w:t>
            </w:r>
          </w:p>
        </w:tc>
        <w:tc>
          <w:tcPr>
            <w:tcW w:w="2539" w:type="dxa"/>
            <w:vAlign w:val="center"/>
          </w:tcPr>
          <w:p>
            <w:pPr>
              <w:spacing w:line="280" w:lineRule="exact"/>
              <w:jc w:val="center"/>
              <w:rPr>
                <w:szCs w:val="21"/>
              </w:rPr>
            </w:pPr>
            <w:r>
              <w:rPr>
                <w:rFonts w:hint="eastAsia"/>
                <w:szCs w:val="21"/>
              </w:rPr>
              <w:t>投标文件副本份数及其他要求</w:t>
            </w:r>
          </w:p>
        </w:tc>
        <w:tc>
          <w:tcPr>
            <w:tcW w:w="5794" w:type="dxa"/>
            <w:vAlign w:val="center"/>
          </w:tcPr>
          <w:p>
            <w:pPr>
              <w:spacing w:line="280" w:lineRule="exact"/>
              <w:ind w:left="-31" w:leftChars="-15"/>
              <w:rPr>
                <w:kern w:val="0"/>
                <w:szCs w:val="21"/>
              </w:rPr>
            </w:pPr>
            <w:r>
              <w:rPr>
                <w:rFonts w:hint="eastAsia"/>
              </w:rPr>
              <w:t>投标文件副本份数：</w:t>
            </w:r>
            <w:r>
              <w:rPr>
                <w:rFonts w:hint="eastAsia"/>
                <w:kern w:val="0"/>
                <w:szCs w:val="21"/>
              </w:rPr>
              <w:t>3份</w:t>
            </w:r>
          </w:p>
          <w:p>
            <w:pPr>
              <w:spacing w:line="280" w:lineRule="exact"/>
              <w:ind w:left="-31" w:leftChars="-15"/>
              <w:rPr>
                <w:szCs w:val="21"/>
              </w:rPr>
            </w:pPr>
            <w:r>
              <w:rPr>
                <w:rFonts w:hint="eastAsia"/>
              </w:rPr>
              <w:t>提交电子版文件：</w:t>
            </w:r>
            <w:r>
              <w:rPr>
                <w:rFonts w:hint="eastAsia"/>
                <w:szCs w:val="21"/>
              </w:rPr>
              <w:t xml:space="preserve"> 1份（光盘或U盘）</w:t>
            </w:r>
          </w:p>
          <w:p>
            <w:pPr>
              <w:spacing w:line="280" w:lineRule="exact"/>
              <w:ind w:left="-31" w:leftChars="-15"/>
              <w:rPr>
                <w:kern w:val="0"/>
                <w:szCs w:val="21"/>
              </w:rPr>
            </w:pPr>
            <w:r>
              <w:rPr>
                <w:rFonts w:hint="eastAsia"/>
              </w:rPr>
              <w:t>其他要求：无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3.7.5</w:t>
            </w:r>
          </w:p>
        </w:tc>
        <w:tc>
          <w:tcPr>
            <w:tcW w:w="2539" w:type="dxa"/>
            <w:vAlign w:val="center"/>
          </w:tcPr>
          <w:p>
            <w:pPr>
              <w:spacing w:line="280" w:lineRule="exact"/>
              <w:jc w:val="center"/>
              <w:rPr>
                <w:szCs w:val="21"/>
              </w:rPr>
            </w:pPr>
            <w:r>
              <w:rPr>
                <w:rFonts w:hint="eastAsia"/>
                <w:szCs w:val="21"/>
              </w:rPr>
              <w:t>装订的其他要求</w:t>
            </w:r>
          </w:p>
        </w:tc>
        <w:tc>
          <w:tcPr>
            <w:tcW w:w="5794" w:type="dxa"/>
            <w:vAlign w:val="center"/>
          </w:tcPr>
          <w:p>
            <w:pPr>
              <w:spacing w:line="280" w:lineRule="exact"/>
              <w:rPr>
                <w:kern w:val="0"/>
                <w:szCs w:val="21"/>
              </w:rPr>
            </w:pPr>
            <w:r>
              <w:rPr>
                <w:rFonts w:hint="eastAsia"/>
                <w:kern w:val="0"/>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cs="Times New Roman"/>
                <w:color w:val="auto"/>
                <w:sz w:val="21"/>
                <w:szCs w:val="21"/>
              </w:rPr>
              <w:t>4.1.2</w:t>
            </w:r>
          </w:p>
        </w:tc>
        <w:tc>
          <w:tcPr>
            <w:tcW w:w="2539" w:type="dxa"/>
            <w:vAlign w:val="center"/>
          </w:tcPr>
          <w:p>
            <w:pPr>
              <w:pStyle w:val="50"/>
              <w:spacing w:line="420" w:lineRule="exact"/>
              <w:jc w:val="center"/>
              <w:rPr>
                <w:color w:val="auto"/>
                <w:sz w:val="21"/>
                <w:szCs w:val="21"/>
              </w:rPr>
            </w:pPr>
            <w:r>
              <w:rPr>
                <w:rFonts w:hint="eastAsia"/>
                <w:color w:val="auto"/>
                <w:sz w:val="21"/>
                <w:szCs w:val="21"/>
              </w:rPr>
              <w:t>封套上应载明的信息</w:t>
            </w:r>
          </w:p>
        </w:tc>
        <w:tc>
          <w:tcPr>
            <w:tcW w:w="5794" w:type="dxa"/>
            <w:vAlign w:val="center"/>
          </w:tcPr>
          <w:p>
            <w:pPr>
              <w:spacing w:line="260" w:lineRule="exact"/>
              <w:rPr>
                <w:b/>
                <w:color w:val="000000"/>
                <w:kern w:val="0"/>
              </w:rPr>
            </w:pPr>
            <w:r>
              <w:rPr>
                <w:rFonts w:hint="eastAsia"/>
                <w:b/>
                <w:color w:val="000000"/>
                <w:kern w:val="0"/>
              </w:rPr>
              <w:t>投标文件第一个信封（商务及技术文件）封套：</w:t>
            </w:r>
          </w:p>
          <w:p>
            <w:pPr>
              <w:spacing w:line="260" w:lineRule="exact"/>
              <w:rPr>
                <w:color w:val="000000"/>
                <w:kern w:val="0"/>
                <w:u w:val="single"/>
              </w:rPr>
            </w:pPr>
            <w:r>
              <w:rPr>
                <w:rFonts w:hint="eastAsia"/>
                <w:color w:val="000000"/>
                <w:kern w:val="0"/>
              </w:rPr>
              <w:t>招标人名称：_______________</w:t>
            </w:r>
          </w:p>
          <w:p>
            <w:pPr>
              <w:spacing w:line="260" w:lineRule="exact"/>
              <w:rPr>
                <w:color w:val="000000"/>
                <w:kern w:val="0"/>
              </w:rPr>
            </w:pPr>
            <w:r>
              <w:rPr>
                <w:rFonts w:hint="eastAsia"/>
                <w:color w:val="000000"/>
                <w:kern w:val="0"/>
              </w:rPr>
              <w:t>招标人地址：_______________</w:t>
            </w:r>
          </w:p>
          <w:p>
            <w:pPr>
              <w:spacing w:line="260" w:lineRule="exact"/>
              <w:rPr>
                <w:kern w:val="0"/>
              </w:rPr>
            </w:pPr>
            <w:r>
              <w:rPr>
                <w:rFonts w:hint="eastAsia"/>
                <w:color w:val="000000"/>
                <w:kern w:val="0"/>
              </w:rPr>
              <w:t>____________（项目名</w:t>
            </w:r>
            <w:r>
              <w:rPr>
                <w:rFonts w:hint="eastAsia"/>
                <w:kern w:val="0"/>
              </w:rPr>
              <w:t>称）施工监理招标第一个信封（商务及技术文件）投标文件</w:t>
            </w:r>
          </w:p>
          <w:p>
            <w:pPr>
              <w:spacing w:line="260" w:lineRule="exact"/>
              <w:rPr>
                <w:kern w:val="0"/>
                <w:u w:val="single"/>
              </w:rPr>
            </w:pPr>
            <w:r>
              <w:rPr>
                <w:rFonts w:hint="eastAsia"/>
                <w:kern w:val="0"/>
              </w:rPr>
              <w:t>招标项目编号：_______________</w:t>
            </w:r>
          </w:p>
          <w:p>
            <w:pPr>
              <w:spacing w:line="260" w:lineRule="exact"/>
              <w:rPr>
                <w:color w:val="FF0000"/>
                <w:kern w:val="0"/>
              </w:rPr>
            </w:pPr>
            <w:r>
              <w:rPr>
                <w:rFonts w:hint="eastAsia"/>
                <w:color w:val="FF0000"/>
                <w:kern w:val="0"/>
              </w:rPr>
              <w:t>在</w:t>
            </w:r>
            <w:r>
              <w:rPr>
                <w:rFonts w:hint="eastAsia"/>
                <w:color w:val="FF0000"/>
                <w:kern w:val="0"/>
                <w:u w:val="single"/>
              </w:rPr>
              <w:t>2020</w:t>
            </w:r>
            <w:r>
              <w:rPr>
                <w:rFonts w:hint="eastAsia"/>
                <w:color w:val="FF0000"/>
                <w:kern w:val="0"/>
              </w:rPr>
              <w:t>年</w:t>
            </w:r>
            <w:r>
              <w:rPr>
                <w:rFonts w:hint="eastAsia"/>
                <w:color w:val="FF0000"/>
                <w:kern w:val="0"/>
                <w:u w:val="single"/>
              </w:rPr>
              <w:t>10</w:t>
            </w:r>
            <w:r>
              <w:rPr>
                <w:rFonts w:hint="eastAsia"/>
                <w:color w:val="FF0000"/>
                <w:kern w:val="0"/>
              </w:rPr>
              <w:t>月</w:t>
            </w:r>
            <w:r>
              <w:rPr>
                <w:rFonts w:hint="eastAsia"/>
                <w:color w:val="FF0000"/>
                <w:kern w:val="0"/>
                <w:u w:val="single"/>
              </w:rPr>
              <w:t>29</w:t>
            </w:r>
            <w:r>
              <w:rPr>
                <w:rFonts w:hint="eastAsia"/>
                <w:color w:val="FF0000"/>
                <w:kern w:val="0"/>
              </w:rPr>
              <w:t>日</w:t>
            </w:r>
            <w:r>
              <w:rPr>
                <w:rFonts w:hint="eastAsia"/>
                <w:color w:val="FF0000"/>
                <w:kern w:val="0"/>
                <w:u w:val="single"/>
              </w:rPr>
              <w:t>09</w:t>
            </w:r>
            <w:r>
              <w:rPr>
                <w:rFonts w:hint="eastAsia"/>
                <w:color w:val="FF0000"/>
                <w:kern w:val="0"/>
              </w:rPr>
              <w:t>时</w:t>
            </w:r>
            <w:r>
              <w:rPr>
                <w:rFonts w:hint="eastAsia"/>
                <w:color w:val="FF0000"/>
                <w:kern w:val="0"/>
                <w:u w:val="single"/>
              </w:rPr>
              <w:t>30</w:t>
            </w:r>
            <w:r>
              <w:rPr>
                <w:rFonts w:hint="eastAsia"/>
                <w:color w:val="FF0000"/>
                <w:kern w:val="0"/>
              </w:rPr>
              <w:t>分前不得开启</w:t>
            </w:r>
          </w:p>
          <w:p>
            <w:pPr>
              <w:spacing w:line="260" w:lineRule="exact"/>
              <w:rPr>
                <w:kern w:val="0"/>
                <w:u w:val="single"/>
              </w:rPr>
            </w:pPr>
            <w:r>
              <w:rPr>
                <w:rFonts w:hint="eastAsia"/>
                <w:kern w:val="0"/>
              </w:rPr>
              <w:t>投标人名称：_______________</w:t>
            </w:r>
          </w:p>
          <w:p>
            <w:pPr>
              <w:spacing w:line="260" w:lineRule="exact"/>
              <w:rPr>
                <w:b/>
                <w:kern w:val="0"/>
              </w:rPr>
            </w:pPr>
            <w:r>
              <w:rPr>
                <w:rFonts w:hint="eastAsia"/>
                <w:b/>
                <w:kern w:val="0"/>
              </w:rPr>
              <w:t>投标文件第二个信封（报价文件）封套：</w:t>
            </w:r>
          </w:p>
          <w:p>
            <w:pPr>
              <w:spacing w:line="260" w:lineRule="exact"/>
              <w:rPr>
                <w:kern w:val="0"/>
                <w:u w:val="single"/>
              </w:rPr>
            </w:pPr>
            <w:r>
              <w:rPr>
                <w:rFonts w:hint="eastAsia"/>
                <w:kern w:val="0"/>
              </w:rPr>
              <w:t>招标人名称：_______________</w:t>
            </w:r>
          </w:p>
          <w:p>
            <w:pPr>
              <w:spacing w:line="260" w:lineRule="exact"/>
              <w:rPr>
                <w:kern w:val="0"/>
              </w:rPr>
            </w:pPr>
            <w:r>
              <w:rPr>
                <w:rFonts w:hint="eastAsia"/>
                <w:kern w:val="0"/>
              </w:rPr>
              <w:t>招标人地址：_______________</w:t>
            </w:r>
          </w:p>
          <w:p>
            <w:pPr>
              <w:spacing w:line="260" w:lineRule="exact"/>
              <w:rPr>
                <w:kern w:val="0"/>
              </w:rPr>
            </w:pPr>
            <w:r>
              <w:rPr>
                <w:rFonts w:hint="eastAsia"/>
                <w:kern w:val="0"/>
              </w:rPr>
              <w:t>____________（项目名称）施工监理招标第二个信封（报价文件）投标文件</w:t>
            </w:r>
          </w:p>
          <w:p>
            <w:pPr>
              <w:spacing w:line="260" w:lineRule="exact"/>
              <w:rPr>
                <w:kern w:val="0"/>
                <w:u w:val="single"/>
              </w:rPr>
            </w:pPr>
            <w:r>
              <w:rPr>
                <w:rFonts w:hint="eastAsia"/>
                <w:kern w:val="0"/>
              </w:rPr>
              <w:t>招标项目编号：</w:t>
            </w:r>
            <w:r>
              <w:rPr>
                <w:rFonts w:hint="eastAsia"/>
                <w:kern w:val="0"/>
                <w:u w:val="single"/>
              </w:rPr>
              <w:t>_______________</w:t>
            </w:r>
          </w:p>
          <w:p>
            <w:pPr>
              <w:spacing w:line="260" w:lineRule="exact"/>
              <w:rPr>
                <w:kern w:val="0"/>
              </w:rPr>
            </w:pPr>
            <w:r>
              <w:rPr>
                <w:rFonts w:hint="eastAsia"/>
                <w:kern w:val="0"/>
              </w:rPr>
              <w:t>在投标文件第二个信封（报价文件）开标前不得开启</w:t>
            </w:r>
          </w:p>
          <w:p>
            <w:pPr>
              <w:spacing w:line="260" w:lineRule="exact"/>
              <w:rPr>
                <w:kern w:val="0"/>
                <w:u w:val="single"/>
              </w:rPr>
            </w:pPr>
            <w:r>
              <w:rPr>
                <w:rFonts w:hint="eastAsia"/>
                <w:kern w:val="0"/>
              </w:rPr>
              <w:t>投标人名称：_______________</w:t>
            </w:r>
          </w:p>
          <w:p>
            <w:pPr>
              <w:spacing w:line="260" w:lineRule="exact"/>
              <w:rPr>
                <w:kern w:val="0"/>
              </w:rPr>
            </w:pPr>
            <w:r>
              <w:rPr>
                <w:rFonts w:hint="eastAsia"/>
                <w:kern w:val="0"/>
              </w:rPr>
              <w:t>投标人地址：_______________</w:t>
            </w:r>
          </w:p>
          <w:p>
            <w:pPr>
              <w:spacing w:line="260" w:lineRule="exact"/>
              <w:rPr>
                <w:b/>
                <w:kern w:val="0"/>
              </w:rPr>
            </w:pPr>
            <w:r>
              <w:rPr>
                <w:rFonts w:hint="eastAsia"/>
                <w:b/>
                <w:kern w:val="0"/>
              </w:rPr>
              <w:t>银行保函封套：</w:t>
            </w:r>
          </w:p>
          <w:p>
            <w:pPr>
              <w:spacing w:line="260" w:lineRule="exact"/>
              <w:rPr>
                <w:kern w:val="0"/>
                <w:u w:val="single"/>
              </w:rPr>
            </w:pPr>
            <w:r>
              <w:rPr>
                <w:rFonts w:hint="eastAsia"/>
                <w:kern w:val="0"/>
              </w:rPr>
              <w:t>招标人名称：_______________</w:t>
            </w:r>
          </w:p>
          <w:p>
            <w:pPr>
              <w:spacing w:line="260" w:lineRule="exact"/>
              <w:rPr>
                <w:kern w:val="0"/>
              </w:rPr>
            </w:pPr>
            <w:r>
              <w:rPr>
                <w:rFonts w:hint="eastAsia"/>
                <w:kern w:val="0"/>
              </w:rPr>
              <w:t>招标人地址：_______________</w:t>
            </w:r>
          </w:p>
          <w:p>
            <w:pPr>
              <w:spacing w:line="260" w:lineRule="exact"/>
              <w:rPr>
                <w:kern w:val="0"/>
              </w:rPr>
            </w:pPr>
            <w:r>
              <w:rPr>
                <w:rFonts w:hint="eastAsia"/>
                <w:kern w:val="0"/>
              </w:rPr>
              <w:t>____________（项目名称）段施工监理招标投标保证金（银行保函原件）</w:t>
            </w:r>
          </w:p>
          <w:p>
            <w:pPr>
              <w:spacing w:line="260" w:lineRule="exact"/>
              <w:rPr>
                <w:color w:val="000000"/>
                <w:kern w:val="0"/>
                <w:u w:val="single"/>
              </w:rPr>
            </w:pPr>
            <w:r>
              <w:rPr>
                <w:rFonts w:hint="eastAsia"/>
                <w:color w:val="000000"/>
                <w:kern w:val="0"/>
              </w:rPr>
              <w:t>招标项目编号：_______________</w:t>
            </w:r>
          </w:p>
          <w:p>
            <w:pPr>
              <w:pStyle w:val="50"/>
              <w:spacing w:line="260" w:lineRule="exact"/>
              <w:jc w:val="both"/>
              <w:rPr>
                <w:color w:val="auto"/>
                <w:sz w:val="21"/>
                <w:szCs w:val="21"/>
              </w:rPr>
            </w:pPr>
            <w:r>
              <w:rPr>
                <w:rFonts w:hint="eastAsia"/>
                <w:sz w:val="21"/>
                <w:szCs w:val="21"/>
              </w:rPr>
              <w:t>投标人名称：_______________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tblHeader/>
          <w:jc w:val="center"/>
        </w:trPr>
        <w:tc>
          <w:tcPr>
            <w:tcW w:w="1124" w:type="dxa"/>
            <w:vAlign w:val="center"/>
          </w:tcPr>
          <w:p>
            <w:pPr>
              <w:autoSpaceDE w:val="0"/>
              <w:autoSpaceDN w:val="0"/>
              <w:adjustRightInd w:val="0"/>
              <w:snapToGrid w:val="0"/>
              <w:ind w:left="-92" w:leftChars="-44" w:right="-107" w:rightChars="-51"/>
              <w:jc w:val="center"/>
              <w:rPr>
                <w:b/>
                <w:kern w:val="0"/>
                <w:sz w:val="24"/>
              </w:rPr>
            </w:pPr>
            <w:r>
              <w:rPr>
                <w:rFonts w:hint="eastAsia"/>
                <w:b/>
                <w:kern w:val="0"/>
                <w:sz w:val="24"/>
              </w:rPr>
              <w:t>条款号</w:t>
            </w:r>
          </w:p>
        </w:tc>
        <w:tc>
          <w:tcPr>
            <w:tcW w:w="2539" w:type="dxa"/>
            <w:vAlign w:val="center"/>
          </w:tcPr>
          <w:p>
            <w:pPr>
              <w:autoSpaceDE w:val="0"/>
              <w:autoSpaceDN w:val="0"/>
              <w:adjustRightInd w:val="0"/>
              <w:snapToGrid w:val="0"/>
              <w:jc w:val="center"/>
              <w:rPr>
                <w:b/>
                <w:kern w:val="0"/>
                <w:sz w:val="24"/>
              </w:rPr>
            </w:pPr>
            <w:r>
              <w:rPr>
                <w:rFonts w:hint="eastAsia"/>
                <w:b/>
                <w:kern w:val="0"/>
                <w:sz w:val="24"/>
              </w:rPr>
              <w:t>条</w:t>
            </w:r>
            <w:r>
              <w:rPr>
                <w:b/>
                <w:kern w:val="0"/>
                <w:sz w:val="24"/>
              </w:rPr>
              <w:t xml:space="preserve"> </w:t>
            </w:r>
            <w:r>
              <w:rPr>
                <w:rFonts w:hint="eastAsia"/>
                <w:b/>
                <w:kern w:val="0"/>
                <w:sz w:val="24"/>
              </w:rPr>
              <w:t>款</w:t>
            </w:r>
            <w:r>
              <w:rPr>
                <w:b/>
                <w:kern w:val="0"/>
                <w:sz w:val="24"/>
              </w:rPr>
              <w:t xml:space="preserve"> </w:t>
            </w:r>
            <w:r>
              <w:rPr>
                <w:rFonts w:hint="eastAsia"/>
                <w:b/>
                <w:kern w:val="0"/>
                <w:sz w:val="24"/>
              </w:rPr>
              <w:t>名</w:t>
            </w:r>
            <w:r>
              <w:rPr>
                <w:b/>
                <w:kern w:val="0"/>
                <w:sz w:val="24"/>
              </w:rPr>
              <w:t xml:space="preserve"> </w:t>
            </w:r>
            <w:r>
              <w:rPr>
                <w:rFonts w:hint="eastAsia"/>
                <w:b/>
                <w:kern w:val="0"/>
                <w:sz w:val="24"/>
              </w:rPr>
              <w:t>称</w:t>
            </w:r>
          </w:p>
        </w:tc>
        <w:tc>
          <w:tcPr>
            <w:tcW w:w="5794" w:type="dxa"/>
            <w:vAlign w:val="center"/>
          </w:tcPr>
          <w:p>
            <w:pPr>
              <w:autoSpaceDE w:val="0"/>
              <w:autoSpaceDN w:val="0"/>
              <w:adjustRightInd w:val="0"/>
              <w:snapToGrid w:val="0"/>
              <w:jc w:val="center"/>
              <w:rPr>
                <w:b/>
                <w:kern w:val="0"/>
                <w:sz w:val="24"/>
              </w:rPr>
            </w:pPr>
            <w:r>
              <w:rPr>
                <w:rFonts w:hint="eastAsia"/>
                <w:b/>
                <w:kern w:val="0"/>
                <w:sz w:val="24"/>
              </w:rPr>
              <w:t>编</w:t>
            </w:r>
            <w:r>
              <w:rPr>
                <w:b/>
                <w:kern w:val="0"/>
                <w:sz w:val="24"/>
              </w:rPr>
              <w:t xml:space="preserve"> </w:t>
            </w:r>
            <w:r>
              <w:rPr>
                <w:rFonts w:hint="eastAsia"/>
                <w:b/>
                <w:kern w:val="0"/>
                <w:sz w:val="24"/>
              </w:rPr>
              <w:t>列</w:t>
            </w:r>
            <w:r>
              <w:rPr>
                <w:b/>
                <w:kern w:val="0"/>
                <w:sz w:val="24"/>
              </w:rPr>
              <w:t xml:space="preserve"> </w:t>
            </w:r>
            <w:r>
              <w:rPr>
                <w:rFonts w:hint="eastAsia"/>
                <w:b/>
                <w:kern w:val="0"/>
                <w:sz w:val="24"/>
              </w:rPr>
              <w:t>内</w:t>
            </w:r>
            <w:r>
              <w:rPr>
                <w:b/>
                <w:kern w:val="0"/>
                <w:sz w:val="24"/>
              </w:rPr>
              <w:t xml:space="preserve"> </w:t>
            </w:r>
            <w:r>
              <w:rPr>
                <w:rFonts w:hint="eastAsia"/>
                <w:b/>
                <w:kern w:val="0"/>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napToGrid w:val="0"/>
              <w:jc w:val="center"/>
              <w:rPr>
                <w:rFonts w:cs="Times New Roman"/>
                <w:color w:val="auto"/>
                <w:sz w:val="21"/>
                <w:szCs w:val="21"/>
              </w:rPr>
            </w:pPr>
            <w:r>
              <w:rPr>
                <w:rFonts w:cs="Times New Roman"/>
                <w:color w:val="auto"/>
                <w:sz w:val="21"/>
                <w:szCs w:val="21"/>
              </w:rPr>
              <w:t>4.2.</w:t>
            </w:r>
            <w:r>
              <w:rPr>
                <w:rFonts w:hint="eastAsia" w:cs="Times New Roman"/>
                <w:color w:val="auto"/>
                <w:sz w:val="21"/>
                <w:szCs w:val="21"/>
              </w:rPr>
              <w:t>3</w:t>
            </w:r>
          </w:p>
        </w:tc>
        <w:tc>
          <w:tcPr>
            <w:tcW w:w="2539" w:type="dxa"/>
            <w:vAlign w:val="center"/>
          </w:tcPr>
          <w:p>
            <w:pPr>
              <w:snapToGrid w:val="0"/>
              <w:spacing w:line="280" w:lineRule="exact"/>
              <w:jc w:val="center"/>
              <w:rPr>
                <w:szCs w:val="21"/>
              </w:rPr>
            </w:pPr>
            <w:r>
              <w:rPr>
                <w:rFonts w:hint="eastAsia"/>
                <w:szCs w:val="21"/>
              </w:rPr>
              <w:t>是否退还投标文件</w:t>
            </w:r>
          </w:p>
        </w:tc>
        <w:tc>
          <w:tcPr>
            <w:tcW w:w="5794" w:type="dxa"/>
            <w:vAlign w:val="center"/>
          </w:tcPr>
          <w:p>
            <w:pPr>
              <w:spacing w:line="300" w:lineRule="exact"/>
              <w:rPr>
                <w:kern w:val="0"/>
                <w:szCs w:val="21"/>
              </w:rPr>
            </w:pPr>
            <w:r>
              <w:rPr>
                <w:rFonts w:hint="eastAsia"/>
                <w:kern w:val="0"/>
                <w:szCs w:val="21"/>
              </w:rPr>
              <w:sym w:font="Wingdings" w:char="F0FE"/>
            </w:r>
            <w:r>
              <w:rPr>
                <w:rFonts w:hint="eastAsia"/>
                <w:kern w:val="0"/>
                <w:szCs w:val="21"/>
              </w:rPr>
              <w:t>否</w:t>
            </w:r>
          </w:p>
          <w:p>
            <w:pPr>
              <w:spacing w:line="300" w:lineRule="exact"/>
              <w:rPr>
                <w:kern w:val="0"/>
                <w:szCs w:val="21"/>
              </w:rPr>
            </w:pPr>
            <w:r>
              <w:rPr>
                <w:rFonts w:hint="eastAsia"/>
                <w:kern w:val="0"/>
                <w:szCs w:val="21"/>
              </w:rPr>
              <w:t>□是，退还时间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napToGrid w:val="0"/>
              <w:jc w:val="center"/>
              <w:rPr>
                <w:rFonts w:cs="Times New Roman"/>
                <w:color w:val="auto"/>
                <w:sz w:val="21"/>
                <w:szCs w:val="21"/>
              </w:rPr>
            </w:pPr>
            <w:r>
              <w:rPr>
                <w:rFonts w:cs="Times New Roman"/>
                <w:color w:val="auto"/>
                <w:sz w:val="21"/>
                <w:szCs w:val="21"/>
              </w:rPr>
              <w:t>5.1</w:t>
            </w:r>
          </w:p>
        </w:tc>
        <w:tc>
          <w:tcPr>
            <w:tcW w:w="2539" w:type="dxa"/>
            <w:vAlign w:val="center"/>
          </w:tcPr>
          <w:p>
            <w:pPr>
              <w:pStyle w:val="50"/>
              <w:snapToGrid w:val="0"/>
              <w:jc w:val="center"/>
              <w:rPr>
                <w:color w:val="auto"/>
                <w:sz w:val="21"/>
                <w:szCs w:val="21"/>
              </w:rPr>
            </w:pPr>
            <w:r>
              <w:rPr>
                <w:rFonts w:hint="eastAsia"/>
                <w:color w:val="auto"/>
                <w:sz w:val="21"/>
                <w:szCs w:val="21"/>
              </w:rPr>
              <w:t>开标时间和地点</w:t>
            </w:r>
          </w:p>
        </w:tc>
        <w:tc>
          <w:tcPr>
            <w:tcW w:w="5794" w:type="dxa"/>
            <w:vAlign w:val="center"/>
          </w:tcPr>
          <w:p>
            <w:pPr>
              <w:spacing w:line="300" w:lineRule="exact"/>
              <w:ind w:left="1050" w:hanging="1050" w:hangingChars="500"/>
              <w:rPr>
                <w:kern w:val="0"/>
              </w:rPr>
            </w:pPr>
            <w:r>
              <w:rPr>
                <w:rFonts w:hint="eastAsia"/>
                <w:kern w:val="0"/>
              </w:rPr>
              <w:t>投标文件第一个信封（商务及技术文件）</w:t>
            </w:r>
          </w:p>
          <w:p>
            <w:pPr>
              <w:spacing w:line="300" w:lineRule="exact"/>
              <w:ind w:left="1050" w:hanging="1050" w:hangingChars="500"/>
              <w:rPr>
                <w:kern w:val="0"/>
              </w:rPr>
            </w:pPr>
            <w:r>
              <w:rPr>
                <w:rFonts w:hint="eastAsia"/>
                <w:kern w:val="0"/>
              </w:rPr>
              <w:t>开标时间：同投标截止时间</w:t>
            </w:r>
          </w:p>
          <w:p>
            <w:pPr>
              <w:spacing w:line="300" w:lineRule="exact"/>
              <w:ind w:left="1050" w:hanging="1050" w:hangingChars="500"/>
              <w:rPr>
                <w:kern w:val="0"/>
              </w:rPr>
            </w:pPr>
            <w:r>
              <w:rPr>
                <w:rFonts w:hint="eastAsia"/>
                <w:kern w:val="0"/>
              </w:rPr>
              <w:t>投标文件第一个信封（商务及技术文件）</w:t>
            </w:r>
          </w:p>
          <w:p>
            <w:pPr>
              <w:spacing w:line="300" w:lineRule="exact"/>
              <w:ind w:left="1050" w:hanging="1050" w:hangingChars="500"/>
              <w:rPr>
                <w:kern w:val="0"/>
              </w:rPr>
            </w:pPr>
            <w:r>
              <w:rPr>
                <w:rFonts w:hint="eastAsia"/>
                <w:kern w:val="0"/>
              </w:rPr>
              <w:t>开标地点：同递交投标文件地点</w:t>
            </w:r>
          </w:p>
          <w:p>
            <w:pPr>
              <w:spacing w:line="300" w:lineRule="exact"/>
              <w:ind w:left="1050" w:hanging="1050" w:hangingChars="500"/>
              <w:rPr>
                <w:kern w:val="0"/>
              </w:rPr>
            </w:pPr>
            <w:r>
              <w:rPr>
                <w:rFonts w:hint="eastAsia"/>
                <w:kern w:val="0"/>
              </w:rPr>
              <w:t>投标文件第二个信封（报价文件）</w:t>
            </w:r>
          </w:p>
          <w:p>
            <w:pPr>
              <w:spacing w:line="300" w:lineRule="exact"/>
              <w:ind w:left="1050" w:hanging="1050" w:hangingChars="500"/>
              <w:rPr>
                <w:kern w:val="0"/>
              </w:rPr>
            </w:pPr>
            <w:r>
              <w:rPr>
                <w:rFonts w:hint="eastAsia"/>
                <w:kern w:val="0"/>
              </w:rPr>
              <w:t>开标时间：</w:t>
            </w:r>
            <w:r>
              <w:rPr>
                <w:rFonts w:hint="eastAsia"/>
                <w:color w:val="FF0000"/>
                <w:kern w:val="0"/>
                <w:u w:val="single"/>
              </w:rPr>
              <w:t>2020</w:t>
            </w:r>
            <w:r>
              <w:rPr>
                <w:rFonts w:hint="eastAsia"/>
                <w:color w:val="FF0000"/>
                <w:kern w:val="0"/>
              </w:rPr>
              <w:t>年</w:t>
            </w:r>
            <w:r>
              <w:rPr>
                <w:rFonts w:hint="eastAsia"/>
                <w:color w:val="FF0000"/>
                <w:kern w:val="0"/>
                <w:u w:val="single"/>
              </w:rPr>
              <w:t>10</w:t>
            </w:r>
            <w:r>
              <w:rPr>
                <w:rFonts w:hint="eastAsia"/>
                <w:color w:val="FF0000"/>
                <w:kern w:val="0"/>
              </w:rPr>
              <w:t>月</w:t>
            </w:r>
            <w:r>
              <w:rPr>
                <w:rFonts w:hint="eastAsia"/>
                <w:color w:val="FF0000"/>
                <w:kern w:val="0"/>
                <w:u w:val="single"/>
              </w:rPr>
              <w:t>29</w:t>
            </w:r>
            <w:r>
              <w:rPr>
                <w:rFonts w:hint="eastAsia"/>
                <w:color w:val="FF0000"/>
                <w:kern w:val="0"/>
              </w:rPr>
              <w:t>日</w:t>
            </w:r>
            <w:r>
              <w:rPr>
                <w:rFonts w:hint="eastAsia"/>
                <w:color w:val="FF0000"/>
                <w:kern w:val="0"/>
                <w:u w:val="single"/>
              </w:rPr>
              <w:t>10</w:t>
            </w:r>
            <w:r>
              <w:rPr>
                <w:rFonts w:hint="eastAsia"/>
                <w:color w:val="FF0000"/>
                <w:kern w:val="0"/>
              </w:rPr>
              <w:t>时</w:t>
            </w:r>
            <w:r>
              <w:rPr>
                <w:rFonts w:hint="eastAsia"/>
                <w:color w:val="FF0000"/>
                <w:kern w:val="0"/>
                <w:u w:val="single"/>
              </w:rPr>
              <w:t>30</w:t>
            </w:r>
            <w:r>
              <w:rPr>
                <w:rFonts w:hint="eastAsia"/>
                <w:color w:val="FF0000"/>
                <w:kern w:val="0"/>
              </w:rPr>
              <w:t>分</w:t>
            </w:r>
          </w:p>
          <w:p>
            <w:pPr>
              <w:spacing w:line="300" w:lineRule="exact"/>
              <w:ind w:left="1050" w:hanging="1050" w:hangingChars="500"/>
              <w:rPr>
                <w:kern w:val="0"/>
              </w:rPr>
            </w:pPr>
            <w:r>
              <w:rPr>
                <w:rFonts w:hint="eastAsia"/>
                <w:kern w:val="0"/>
              </w:rPr>
              <w:t>投标文件第二个信封（报价文件）</w:t>
            </w:r>
          </w:p>
          <w:p>
            <w:pPr>
              <w:pStyle w:val="50"/>
              <w:snapToGrid w:val="0"/>
              <w:spacing w:line="300" w:lineRule="exact"/>
              <w:jc w:val="both"/>
              <w:rPr>
                <w:color w:val="auto"/>
                <w:sz w:val="21"/>
                <w:szCs w:val="21"/>
                <w:u w:val="single"/>
              </w:rPr>
            </w:pPr>
            <w:r>
              <w:rPr>
                <w:rFonts w:hint="eastAsia"/>
                <w:sz w:val="21"/>
                <w:szCs w:val="21"/>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napToGrid w:val="0"/>
              <w:jc w:val="center"/>
              <w:rPr>
                <w:rFonts w:cs="Times New Roman"/>
                <w:color w:val="auto"/>
                <w:sz w:val="21"/>
                <w:szCs w:val="21"/>
              </w:rPr>
            </w:pPr>
            <w:r>
              <w:rPr>
                <w:rFonts w:cs="Times New Roman"/>
                <w:color w:val="auto"/>
                <w:sz w:val="21"/>
                <w:szCs w:val="21"/>
              </w:rPr>
              <w:t>5.2.1</w:t>
            </w:r>
          </w:p>
        </w:tc>
        <w:tc>
          <w:tcPr>
            <w:tcW w:w="2539" w:type="dxa"/>
            <w:vAlign w:val="center"/>
          </w:tcPr>
          <w:p>
            <w:pPr>
              <w:pStyle w:val="50"/>
              <w:snapToGrid w:val="0"/>
              <w:jc w:val="center"/>
              <w:rPr>
                <w:color w:val="auto"/>
                <w:sz w:val="21"/>
                <w:szCs w:val="21"/>
              </w:rPr>
            </w:pPr>
            <w:r>
              <w:rPr>
                <w:rFonts w:hint="eastAsia"/>
                <w:color w:val="auto"/>
                <w:sz w:val="21"/>
                <w:szCs w:val="21"/>
              </w:rPr>
              <w:t>第一个信封（商务及技术文件）开标程序</w:t>
            </w:r>
          </w:p>
        </w:tc>
        <w:tc>
          <w:tcPr>
            <w:tcW w:w="5794" w:type="dxa"/>
            <w:vAlign w:val="center"/>
          </w:tcPr>
          <w:p>
            <w:pPr>
              <w:pStyle w:val="50"/>
              <w:snapToGrid w:val="0"/>
              <w:spacing w:line="300" w:lineRule="exact"/>
              <w:jc w:val="both"/>
              <w:rPr>
                <w:color w:val="auto"/>
                <w:sz w:val="21"/>
                <w:szCs w:val="21"/>
              </w:rPr>
            </w:pPr>
            <w:r>
              <w:rPr>
                <w:rFonts w:cs="Times New Roman"/>
                <w:color w:val="auto"/>
                <w:sz w:val="21"/>
                <w:szCs w:val="21"/>
              </w:rPr>
              <w:t>（4）</w:t>
            </w:r>
            <w:r>
              <w:rPr>
                <w:rFonts w:hint="eastAsia"/>
                <w:color w:val="auto"/>
                <w:sz w:val="21"/>
                <w:szCs w:val="21"/>
              </w:rPr>
              <w:t>密封情况检查：</w:t>
            </w:r>
            <w:r>
              <w:rPr>
                <w:rFonts w:hint="eastAsia"/>
                <w:color w:val="auto"/>
                <w:sz w:val="21"/>
                <w:szCs w:val="21"/>
                <w:u w:val="single"/>
              </w:rPr>
              <w:t>检查商务及技术文件是否存在提前开启情况</w:t>
            </w:r>
          </w:p>
          <w:p>
            <w:pPr>
              <w:pStyle w:val="50"/>
              <w:snapToGrid w:val="0"/>
              <w:spacing w:line="300" w:lineRule="exact"/>
              <w:jc w:val="both"/>
              <w:rPr>
                <w:color w:val="auto"/>
                <w:sz w:val="21"/>
                <w:szCs w:val="21"/>
                <w:u w:val="single"/>
              </w:rPr>
            </w:pPr>
            <w:r>
              <w:rPr>
                <w:rFonts w:cs="Times New Roman"/>
                <w:color w:val="auto"/>
                <w:sz w:val="21"/>
                <w:szCs w:val="21"/>
              </w:rPr>
              <w:t>（5）</w:t>
            </w:r>
            <w:r>
              <w:rPr>
                <w:rFonts w:hint="eastAsia"/>
                <w:color w:val="auto"/>
                <w:sz w:val="21"/>
                <w:szCs w:val="21"/>
              </w:rPr>
              <w:t>开标顺序：</w:t>
            </w:r>
            <w:r>
              <w:rPr>
                <w:rFonts w:hint="eastAsia"/>
                <w:color w:val="auto"/>
                <w:sz w:val="21"/>
                <w:szCs w:val="21"/>
                <w:u w:val="single"/>
              </w:rPr>
              <w:t>随机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napToGrid w:val="0"/>
              <w:jc w:val="center"/>
              <w:rPr>
                <w:rFonts w:cs="Times New Roman"/>
                <w:color w:val="auto"/>
                <w:sz w:val="21"/>
                <w:szCs w:val="21"/>
              </w:rPr>
            </w:pPr>
            <w:r>
              <w:rPr>
                <w:rFonts w:hint="eastAsia" w:cs="Times New Roman"/>
                <w:color w:val="auto"/>
                <w:sz w:val="21"/>
                <w:szCs w:val="21"/>
              </w:rPr>
              <w:t>5.2.3</w:t>
            </w:r>
          </w:p>
        </w:tc>
        <w:tc>
          <w:tcPr>
            <w:tcW w:w="2539" w:type="dxa"/>
            <w:vAlign w:val="center"/>
          </w:tcPr>
          <w:p>
            <w:pPr>
              <w:pStyle w:val="50"/>
              <w:snapToGrid w:val="0"/>
              <w:jc w:val="center"/>
              <w:rPr>
                <w:color w:val="auto"/>
                <w:sz w:val="21"/>
                <w:szCs w:val="21"/>
              </w:rPr>
            </w:pPr>
            <w:r>
              <w:rPr>
                <w:rFonts w:hint="eastAsia"/>
                <w:color w:val="auto"/>
                <w:sz w:val="21"/>
                <w:szCs w:val="21"/>
              </w:rPr>
              <w:t>第二个信封（报价文件）开标程序</w:t>
            </w:r>
          </w:p>
        </w:tc>
        <w:tc>
          <w:tcPr>
            <w:tcW w:w="5794" w:type="dxa"/>
            <w:vAlign w:val="center"/>
          </w:tcPr>
          <w:p>
            <w:pPr>
              <w:pStyle w:val="50"/>
              <w:snapToGrid w:val="0"/>
              <w:spacing w:line="300" w:lineRule="exact"/>
              <w:jc w:val="both"/>
              <w:rPr>
                <w:color w:val="auto"/>
                <w:sz w:val="21"/>
                <w:szCs w:val="21"/>
              </w:rPr>
            </w:pPr>
            <w:r>
              <w:rPr>
                <w:rFonts w:cs="Times New Roman"/>
                <w:color w:val="auto"/>
                <w:sz w:val="21"/>
                <w:szCs w:val="21"/>
              </w:rPr>
              <w:t>（4）</w:t>
            </w:r>
            <w:r>
              <w:rPr>
                <w:rFonts w:hint="eastAsia"/>
                <w:color w:val="auto"/>
                <w:sz w:val="21"/>
                <w:szCs w:val="21"/>
              </w:rPr>
              <w:t>密封情况检查：</w:t>
            </w:r>
            <w:r>
              <w:rPr>
                <w:rFonts w:hint="eastAsia"/>
                <w:color w:val="auto"/>
                <w:sz w:val="21"/>
                <w:szCs w:val="21"/>
                <w:u w:val="single"/>
              </w:rPr>
              <w:t xml:space="preserve">检查报价文件是否存在提前开启情况                     </w:t>
            </w:r>
          </w:p>
          <w:p>
            <w:pPr>
              <w:pStyle w:val="50"/>
              <w:snapToGrid w:val="0"/>
              <w:spacing w:line="300" w:lineRule="exact"/>
              <w:jc w:val="both"/>
              <w:rPr>
                <w:rFonts w:cs="Times New Roman"/>
                <w:color w:val="auto"/>
                <w:sz w:val="21"/>
                <w:szCs w:val="21"/>
              </w:rPr>
            </w:pPr>
            <w:r>
              <w:rPr>
                <w:rFonts w:cs="Times New Roman"/>
                <w:color w:val="auto"/>
                <w:sz w:val="21"/>
                <w:szCs w:val="21"/>
              </w:rPr>
              <w:t>（5）</w:t>
            </w:r>
            <w:r>
              <w:rPr>
                <w:rFonts w:hint="eastAsia"/>
                <w:color w:val="auto"/>
                <w:sz w:val="21"/>
                <w:szCs w:val="21"/>
              </w:rPr>
              <w:t>开标顺序：</w:t>
            </w:r>
            <w:r>
              <w:rPr>
                <w:rFonts w:hint="eastAsia"/>
                <w:color w:val="auto"/>
                <w:sz w:val="21"/>
                <w:szCs w:val="21"/>
                <w:u w:val="single"/>
              </w:rPr>
              <w:t>随机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6.1.1</w:t>
            </w:r>
          </w:p>
        </w:tc>
        <w:tc>
          <w:tcPr>
            <w:tcW w:w="2539" w:type="dxa"/>
            <w:vAlign w:val="center"/>
          </w:tcPr>
          <w:p>
            <w:pPr>
              <w:snapToGrid w:val="0"/>
              <w:jc w:val="center"/>
              <w:rPr>
                <w:szCs w:val="21"/>
              </w:rPr>
            </w:pPr>
            <w:r>
              <w:rPr>
                <w:rFonts w:hint="eastAsia"/>
                <w:szCs w:val="21"/>
              </w:rPr>
              <w:t>评标委员会的组建</w:t>
            </w:r>
          </w:p>
        </w:tc>
        <w:tc>
          <w:tcPr>
            <w:tcW w:w="5794" w:type="dxa"/>
            <w:vAlign w:val="center"/>
          </w:tcPr>
          <w:p>
            <w:pPr>
              <w:adjustRightInd w:val="0"/>
              <w:snapToGrid w:val="0"/>
              <w:spacing w:line="300" w:lineRule="exact"/>
              <w:ind w:left="-2"/>
              <w:rPr>
                <w:szCs w:val="21"/>
              </w:rPr>
            </w:pPr>
            <w:r>
              <w:rPr>
                <w:rFonts w:hint="eastAsia"/>
                <w:szCs w:val="21"/>
              </w:rPr>
              <w:t>评标委员会构成：</w:t>
            </w:r>
            <w:r>
              <w:rPr>
                <w:rFonts w:hint="eastAsia"/>
                <w:szCs w:val="21"/>
                <w:u w:val="single"/>
              </w:rPr>
              <w:t>5</w:t>
            </w:r>
            <w:r>
              <w:rPr>
                <w:rFonts w:hint="eastAsia"/>
                <w:szCs w:val="21"/>
              </w:rPr>
              <w:t>人，其中招标人代表</w:t>
            </w:r>
            <w:r>
              <w:rPr>
                <w:rFonts w:hint="eastAsia"/>
                <w:szCs w:val="21"/>
                <w:u w:val="single"/>
              </w:rPr>
              <w:t>1</w:t>
            </w:r>
            <w:r>
              <w:rPr>
                <w:rFonts w:hint="eastAsia"/>
                <w:szCs w:val="21"/>
              </w:rPr>
              <w:t>人，专家</w:t>
            </w:r>
            <w:r>
              <w:rPr>
                <w:rFonts w:hint="eastAsia"/>
                <w:szCs w:val="21"/>
                <w:u w:val="single"/>
              </w:rPr>
              <w:t>4</w:t>
            </w:r>
            <w:r>
              <w:rPr>
                <w:rFonts w:hint="eastAsia"/>
                <w:szCs w:val="21"/>
              </w:rPr>
              <w:t>人；</w:t>
            </w:r>
          </w:p>
          <w:p>
            <w:pPr>
              <w:adjustRightInd w:val="0"/>
              <w:snapToGrid w:val="0"/>
              <w:spacing w:line="300" w:lineRule="exact"/>
              <w:ind w:left="-2"/>
              <w:rPr>
                <w:kern w:val="0"/>
                <w:szCs w:val="21"/>
              </w:rPr>
            </w:pPr>
            <w:r>
              <w:rPr>
                <w:rFonts w:hint="eastAsia"/>
                <w:szCs w:val="21"/>
              </w:rPr>
              <w:t>评标专家确定方式：</w:t>
            </w:r>
            <w:r>
              <w:rPr>
                <w:rFonts w:hint="eastAsia"/>
              </w:rPr>
              <w:t>依法从相应评标专家库中随机抽取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6.3.2</w:t>
            </w:r>
          </w:p>
        </w:tc>
        <w:tc>
          <w:tcPr>
            <w:tcW w:w="2539" w:type="dxa"/>
            <w:vAlign w:val="center"/>
          </w:tcPr>
          <w:p>
            <w:pPr>
              <w:snapToGrid w:val="0"/>
              <w:jc w:val="center"/>
            </w:pPr>
            <w:r>
              <w:rPr>
                <w:rFonts w:hint="eastAsia"/>
              </w:rPr>
              <w:t>评标委员会推荐中标候选人的人数</w:t>
            </w:r>
          </w:p>
        </w:tc>
        <w:tc>
          <w:tcPr>
            <w:tcW w:w="5794" w:type="dxa"/>
            <w:vAlign w:val="center"/>
          </w:tcPr>
          <w:p>
            <w:pPr>
              <w:spacing w:line="300" w:lineRule="exact"/>
            </w:pPr>
            <w:r>
              <w:rPr>
                <w:rFonts w:hint="eastAsia"/>
              </w:rPr>
              <w:t>1-3个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7.1</w:t>
            </w:r>
          </w:p>
        </w:tc>
        <w:tc>
          <w:tcPr>
            <w:tcW w:w="2539" w:type="dxa"/>
            <w:vAlign w:val="center"/>
          </w:tcPr>
          <w:p>
            <w:pPr>
              <w:snapToGrid w:val="0"/>
              <w:jc w:val="center"/>
            </w:pPr>
            <w:r>
              <w:rPr>
                <w:rFonts w:hint="eastAsia"/>
              </w:rPr>
              <w:t>中标候选人公示媒介及期限</w:t>
            </w:r>
          </w:p>
        </w:tc>
        <w:tc>
          <w:tcPr>
            <w:tcW w:w="5794" w:type="dxa"/>
            <w:vAlign w:val="center"/>
          </w:tcPr>
          <w:p>
            <w:pPr>
              <w:wordWrap w:val="0"/>
              <w:snapToGrid w:val="0"/>
              <w:spacing w:line="300" w:lineRule="exact"/>
              <w:jc w:val="left"/>
            </w:pPr>
            <w:r>
              <w:rPr>
                <w:rFonts w:hint="eastAsia"/>
                <w:bCs/>
                <w:kern w:val="0"/>
              </w:rPr>
              <w:t>公</w:t>
            </w:r>
            <w:r>
              <w:rPr>
                <w:bCs/>
                <w:kern w:val="0"/>
              </w:rPr>
              <w:t>示媒介：</w:t>
            </w:r>
            <w:r>
              <w:rPr>
                <w:rFonts w:hint="eastAsia"/>
                <w:szCs w:val="21"/>
              </w:rPr>
              <w:t>《天津市滨海新区交通运输局》（jtysj.tjbh.gov.cn）</w:t>
            </w:r>
            <w:r>
              <w:rPr>
                <w:szCs w:val="21"/>
              </w:rPr>
              <w:t>和</w:t>
            </w:r>
            <w:r>
              <w:rPr>
                <w:rFonts w:hint="eastAsia"/>
                <w:szCs w:val="21"/>
              </w:rPr>
              <w:t>《天津市公共资源交易网》(http://60.28.163.169/)</w:t>
            </w:r>
          </w:p>
          <w:p>
            <w:pPr>
              <w:wordWrap w:val="0"/>
              <w:snapToGrid w:val="0"/>
              <w:spacing w:line="300" w:lineRule="exact"/>
              <w:jc w:val="left"/>
              <w:rPr>
                <w:bCs/>
                <w:kern w:val="0"/>
              </w:rPr>
            </w:pPr>
            <w:r>
              <w:rPr>
                <w:bCs/>
                <w:kern w:val="0"/>
              </w:rPr>
              <w:t>公示期限：</w:t>
            </w:r>
            <w:r>
              <w:rPr>
                <w:bCs/>
                <w:kern w:val="0"/>
                <w:u w:val="single"/>
              </w:rPr>
              <w:t xml:space="preserve">  3  </w:t>
            </w:r>
            <w:r>
              <w:rPr>
                <w:bCs/>
                <w:kern w:val="0"/>
              </w:rPr>
              <w:t>日</w:t>
            </w:r>
          </w:p>
          <w:p>
            <w:pPr>
              <w:wordWrap w:val="0"/>
              <w:snapToGrid w:val="0"/>
              <w:spacing w:line="300" w:lineRule="exact"/>
              <w:jc w:val="left"/>
              <w:rPr>
                <w:b/>
                <w:kern w:val="0"/>
              </w:rPr>
            </w:pPr>
            <w:r>
              <w:rPr>
                <w:bCs/>
                <w:kern w:val="0"/>
              </w:rPr>
              <w:t>公示的其他内容：</w:t>
            </w:r>
            <w:r>
              <w:rPr>
                <w:b/>
                <w:kern w:val="0"/>
                <w:u w:val="single"/>
              </w:rPr>
              <w:t xml:space="preserve"> </w:t>
            </w:r>
            <w:r>
              <w:rPr>
                <w:u w:val="single"/>
              </w:rPr>
              <w:t>无</w:t>
            </w:r>
            <w:r>
              <w:rPr>
                <w:b/>
                <w:kern w:val="0"/>
                <w:u w:val="single"/>
              </w:rPr>
              <w:t>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7.4</w:t>
            </w:r>
          </w:p>
        </w:tc>
        <w:tc>
          <w:tcPr>
            <w:tcW w:w="2539" w:type="dxa"/>
            <w:vAlign w:val="center"/>
          </w:tcPr>
          <w:p>
            <w:pPr>
              <w:snapToGrid w:val="0"/>
              <w:jc w:val="center"/>
              <w:rPr>
                <w:szCs w:val="21"/>
              </w:rPr>
            </w:pPr>
            <w:r>
              <w:rPr>
                <w:rFonts w:hint="eastAsia"/>
                <w:szCs w:val="21"/>
              </w:rPr>
              <w:t>是否授权评标委员会确定中标人</w:t>
            </w:r>
          </w:p>
        </w:tc>
        <w:tc>
          <w:tcPr>
            <w:tcW w:w="5794" w:type="dxa"/>
            <w:vAlign w:val="center"/>
          </w:tcPr>
          <w:p>
            <w:pPr>
              <w:snapToGrid w:val="0"/>
              <w:spacing w:line="300" w:lineRule="exact"/>
              <w:rPr>
                <w:szCs w:val="21"/>
              </w:rPr>
            </w:pPr>
            <w:r>
              <w:rPr>
                <w:rFonts w:hint="eastAsia"/>
                <w:szCs w:val="21"/>
              </w:rPr>
              <w:t>□是</w:t>
            </w:r>
          </w:p>
          <w:p>
            <w:pPr>
              <w:spacing w:line="300" w:lineRule="exact"/>
              <w:rPr>
                <w:kern w:val="0"/>
                <w:szCs w:val="21"/>
              </w:rPr>
            </w:pPr>
            <w:r>
              <w:rPr>
                <w:rFonts w:hint="eastAsia"/>
                <w:kern w:val="0"/>
                <w:szCs w:val="21"/>
              </w:rPr>
              <w:sym w:font="Wingdings" w:char="F0FE"/>
            </w:r>
            <w:r>
              <w:rPr>
                <w:rFonts w:hint="eastAsia"/>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7.5</w:t>
            </w:r>
          </w:p>
        </w:tc>
        <w:tc>
          <w:tcPr>
            <w:tcW w:w="2539" w:type="dxa"/>
            <w:vAlign w:val="center"/>
          </w:tcPr>
          <w:p>
            <w:pPr>
              <w:snapToGrid w:val="0"/>
              <w:jc w:val="center"/>
              <w:rPr>
                <w:szCs w:val="21"/>
              </w:rPr>
            </w:pPr>
            <w:r>
              <w:rPr>
                <w:rFonts w:hint="eastAsia"/>
                <w:szCs w:val="21"/>
              </w:rPr>
              <w:t>中标通知书和中标结果通知发出的形式</w:t>
            </w:r>
          </w:p>
        </w:tc>
        <w:tc>
          <w:tcPr>
            <w:tcW w:w="5794" w:type="dxa"/>
            <w:vAlign w:val="center"/>
          </w:tcPr>
          <w:p>
            <w:pPr>
              <w:snapToGrid w:val="0"/>
              <w:spacing w:line="300" w:lineRule="exact"/>
              <w:rPr>
                <w:szCs w:val="21"/>
              </w:rPr>
            </w:pPr>
            <w:r>
              <w:rPr>
                <w:rFonts w:hint="eastAsia"/>
                <w:szCs w:val="21"/>
              </w:rPr>
              <w:t>书面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7.6</w:t>
            </w:r>
          </w:p>
        </w:tc>
        <w:tc>
          <w:tcPr>
            <w:tcW w:w="2539" w:type="dxa"/>
            <w:vAlign w:val="center"/>
          </w:tcPr>
          <w:p>
            <w:pPr>
              <w:snapToGrid w:val="0"/>
              <w:jc w:val="center"/>
            </w:pPr>
            <w:r>
              <w:rPr>
                <w:rFonts w:hint="eastAsia"/>
              </w:rPr>
              <w:t>中标结果公告媒介及期限</w:t>
            </w:r>
          </w:p>
        </w:tc>
        <w:tc>
          <w:tcPr>
            <w:tcW w:w="5794" w:type="dxa"/>
            <w:vAlign w:val="center"/>
          </w:tcPr>
          <w:p>
            <w:pPr>
              <w:snapToGrid w:val="0"/>
              <w:spacing w:line="300" w:lineRule="exact"/>
              <w:jc w:val="left"/>
            </w:pPr>
            <w:r>
              <w:rPr>
                <w:rFonts w:hint="eastAsia"/>
              </w:rPr>
              <w:t>公告媒介：</w:t>
            </w:r>
            <w:r>
              <w:rPr>
                <w:rFonts w:hint="eastAsia"/>
                <w:szCs w:val="21"/>
              </w:rPr>
              <w:t>《天津市滨海新区交通运输局》（jtysj.tjbh.gov.cn）</w:t>
            </w:r>
            <w:r>
              <w:rPr>
                <w:szCs w:val="21"/>
              </w:rPr>
              <w:t>和</w:t>
            </w:r>
            <w:r>
              <w:rPr>
                <w:rFonts w:hint="eastAsia"/>
                <w:szCs w:val="21"/>
              </w:rPr>
              <w:t>《天津市公共资源交易网》(http://60.28.163.169/)</w:t>
            </w:r>
          </w:p>
          <w:p>
            <w:pPr>
              <w:snapToGrid w:val="0"/>
              <w:spacing w:line="300" w:lineRule="exact"/>
            </w:pPr>
            <w:r>
              <w:t>公告期限：</w:t>
            </w:r>
            <w:r>
              <w:rPr>
                <w:u w:val="single"/>
              </w:rPr>
              <w:t xml:space="preserve">  3  </w:t>
            </w:r>
            <w: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7.7.1</w:t>
            </w:r>
          </w:p>
        </w:tc>
        <w:tc>
          <w:tcPr>
            <w:tcW w:w="2539" w:type="dxa"/>
            <w:vAlign w:val="center"/>
          </w:tcPr>
          <w:p>
            <w:pPr>
              <w:snapToGrid w:val="0"/>
              <w:spacing w:line="280" w:lineRule="exact"/>
              <w:jc w:val="center"/>
              <w:rPr>
                <w:szCs w:val="21"/>
              </w:rPr>
            </w:pPr>
            <w:r>
              <w:rPr>
                <w:rFonts w:hint="eastAsia"/>
              </w:rPr>
              <w:t>履约保证金</w:t>
            </w:r>
          </w:p>
        </w:tc>
        <w:tc>
          <w:tcPr>
            <w:tcW w:w="5794" w:type="dxa"/>
            <w:vAlign w:val="center"/>
          </w:tcPr>
          <w:p>
            <w:pPr>
              <w:snapToGrid w:val="0"/>
              <w:spacing w:line="300" w:lineRule="exact"/>
              <w:jc w:val="left"/>
            </w:pPr>
            <w:r>
              <w:rPr>
                <w:rFonts w:hint="eastAsia"/>
              </w:rPr>
              <w:t>是否要求中标人提交履约保证金：</w:t>
            </w:r>
          </w:p>
          <w:p>
            <w:pPr>
              <w:snapToGrid w:val="0"/>
              <w:spacing w:line="300" w:lineRule="exact"/>
            </w:pPr>
            <w:r>
              <w:rPr>
                <w:rFonts w:hint="eastAsia"/>
                <w:szCs w:val="21"/>
              </w:rPr>
              <w:t>□</w:t>
            </w:r>
            <w:r>
              <w:rPr>
                <w:rFonts w:hint="eastAsia"/>
              </w:rPr>
              <w:t>要求，履约保证金的形式：</w:t>
            </w:r>
            <w:r>
              <w:rPr>
                <w:rFonts w:hint="eastAsia"/>
                <w:u w:val="single"/>
              </w:rPr>
              <w:t>银行保函或现金、支票形式</w:t>
            </w:r>
            <w:r>
              <w:rPr>
                <w:rFonts w:hint="eastAsia"/>
              </w:rPr>
              <w:t xml:space="preserve">      </w:t>
            </w:r>
          </w:p>
          <w:p>
            <w:pPr>
              <w:spacing w:line="300" w:lineRule="exact"/>
            </w:pPr>
            <w:r>
              <w:rPr>
                <w:rFonts w:hint="eastAsia"/>
              </w:rPr>
              <w:t>履约保证金的金额：</w:t>
            </w:r>
            <w:r>
              <w:rPr>
                <w:rFonts w:hint="eastAsia"/>
                <w:u w:val="single"/>
              </w:rPr>
              <w:t xml:space="preserve"> 5</w:t>
            </w:r>
            <w:r>
              <w:rPr>
                <w:rFonts w:hint="eastAsia"/>
              </w:rPr>
              <w:t>%签约合同价，被招标项目所在地省级交通主管部门评为</w:t>
            </w:r>
            <w:r>
              <w:rPr>
                <w:rFonts w:hint="eastAsia"/>
                <w:u w:val="single"/>
              </w:rPr>
              <w:t xml:space="preserve"> / </w:t>
            </w:r>
            <w:r>
              <w:rPr>
                <w:rFonts w:hint="eastAsia"/>
              </w:rPr>
              <w:t>信用等级的中标人，履约保证金金额为</w:t>
            </w:r>
            <w:r>
              <w:rPr>
                <w:rFonts w:hint="eastAsia"/>
                <w:u w:val="single"/>
              </w:rPr>
              <w:t xml:space="preserve"> / </w:t>
            </w:r>
            <w:r>
              <w:rPr>
                <w:rFonts w:hint="eastAsia"/>
              </w:rPr>
              <w:t>%签约合同价。</w:t>
            </w:r>
          </w:p>
          <w:p>
            <w:pPr>
              <w:spacing w:line="300" w:lineRule="exact"/>
            </w:pPr>
            <w:r>
              <w:rPr>
                <w:rFonts w:hint="eastAsia"/>
              </w:rPr>
              <w:t xml:space="preserve">  采用银行保函时，出具保函的银行级别：</w:t>
            </w:r>
            <w:r>
              <w:rPr>
                <w:rFonts w:hint="eastAsia"/>
                <w:u w:val="single"/>
              </w:rPr>
              <w:t>支行及以上_</w:t>
            </w:r>
          </w:p>
          <w:p>
            <w:pPr>
              <w:snapToGrid w:val="0"/>
              <w:spacing w:line="300" w:lineRule="exact"/>
              <w:rPr>
                <w:u w:val="single"/>
              </w:rPr>
            </w:pPr>
            <w:r>
              <w:rPr>
                <w:rFonts w:hint="eastAsia"/>
                <w:kern w:val="0"/>
                <w:szCs w:val="21"/>
              </w:rPr>
              <w:sym w:font="Wingdings" w:char="F0FE"/>
            </w:r>
            <w:r>
              <w:rPr>
                <w:rFonts w:hint="eastAsia"/>
              </w:rPr>
              <w:t>不要求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8.5.1</w:t>
            </w:r>
          </w:p>
        </w:tc>
        <w:tc>
          <w:tcPr>
            <w:tcW w:w="2539" w:type="dxa"/>
            <w:vAlign w:val="center"/>
          </w:tcPr>
          <w:p>
            <w:pPr>
              <w:adjustRightInd w:val="0"/>
              <w:snapToGrid w:val="0"/>
              <w:spacing w:line="280" w:lineRule="exact"/>
              <w:ind w:right="482"/>
              <w:jc w:val="center"/>
              <w:rPr>
                <w:szCs w:val="21"/>
                <w:highlight w:val="yellow"/>
              </w:rPr>
            </w:pPr>
            <w:r>
              <w:rPr>
                <w:rFonts w:hint="eastAsia"/>
                <w:szCs w:val="21"/>
              </w:rPr>
              <w:t>监督部门</w:t>
            </w:r>
          </w:p>
        </w:tc>
        <w:tc>
          <w:tcPr>
            <w:tcW w:w="5794" w:type="dxa"/>
            <w:vAlign w:val="center"/>
          </w:tcPr>
          <w:p>
            <w:pPr>
              <w:spacing w:line="300" w:lineRule="exact"/>
              <w:ind w:firstLine="12" w:firstLineChars="6"/>
              <w:rPr>
                <w:color w:val="000000" w:themeColor="text1"/>
              </w:rPr>
            </w:pPr>
            <w:r>
              <w:t>监督部门：</w:t>
            </w:r>
            <w:r>
              <w:rPr>
                <w:rFonts w:hint="eastAsia"/>
                <w:color w:val="000000" w:themeColor="text1"/>
              </w:rPr>
              <w:t>滨海新区交通运输局</w:t>
            </w:r>
            <w:r>
              <w:rPr>
                <w:color w:val="000000" w:themeColor="text1"/>
              </w:rPr>
              <w:t>；</w:t>
            </w:r>
          </w:p>
          <w:p>
            <w:pPr>
              <w:spacing w:line="300" w:lineRule="exact"/>
              <w:ind w:firstLine="12" w:firstLineChars="6"/>
              <w:rPr>
                <w:color w:val="FF0000"/>
              </w:rPr>
            </w:pPr>
            <w:r>
              <w:rPr>
                <w:color w:val="000000" w:themeColor="text1"/>
              </w:rPr>
              <w:t>地    址：</w:t>
            </w:r>
            <w:r>
              <w:rPr>
                <w:rFonts w:hint="eastAsia"/>
                <w:color w:val="000000" w:themeColor="text1"/>
              </w:rPr>
              <w:t>大连东道1060号4号楼1层4163室</w:t>
            </w:r>
            <w:r>
              <w:rPr>
                <w:color w:val="000000" w:themeColor="text1"/>
              </w:rPr>
              <w:t>；</w:t>
            </w:r>
          </w:p>
          <w:p>
            <w:pPr>
              <w:spacing w:line="300" w:lineRule="exact"/>
              <w:ind w:firstLine="12" w:firstLineChars="6"/>
            </w:pPr>
            <w:r>
              <w:t>电    话：022-</w:t>
            </w:r>
            <w:r>
              <w:rPr>
                <w:rFonts w:hint="eastAsia"/>
              </w:rPr>
              <w:t>65305261</w:t>
            </w:r>
          </w:p>
          <w:p>
            <w:pPr>
              <w:spacing w:line="300" w:lineRule="exact"/>
              <w:ind w:firstLine="12" w:firstLineChars="6"/>
            </w:pPr>
            <w:r>
              <w:t>传    真：022-</w:t>
            </w:r>
            <w:r>
              <w:rPr>
                <w:rFonts w:hint="eastAsia"/>
              </w:rPr>
              <w:t>65305261</w:t>
            </w:r>
          </w:p>
          <w:p>
            <w:pPr>
              <w:spacing w:line="300" w:lineRule="exact"/>
              <w:rPr>
                <w:szCs w:val="21"/>
                <w:highlight w:val="yellow"/>
              </w:rPr>
            </w:pPr>
            <w:r>
              <w:t>邮政编码：300</w:t>
            </w:r>
            <w:r>
              <w:rPr>
                <w:rFonts w:hint="eastAsia"/>
              </w:rPr>
              <w:t>457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cs="Times New Roman"/>
                <w:color w:val="auto"/>
                <w:sz w:val="21"/>
                <w:szCs w:val="21"/>
              </w:rPr>
            </w:pPr>
            <w:r>
              <w:rPr>
                <w:rFonts w:hint="eastAsia" w:cs="Times New Roman"/>
                <w:color w:val="auto"/>
                <w:sz w:val="21"/>
                <w:szCs w:val="21"/>
              </w:rPr>
              <w:t>9</w:t>
            </w:r>
          </w:p>
        </w:tc>
        <w:tc>
          <w:tcPr>
            <w:tcW w:w="2539" w:type="dxa"/>
            <w:vAlign w:val="center"/>
          </w:tcPr>
          <w:p>
            <w:pPr>
              <w:snapToGrid w:val="0"/>
              <w:spacing w:line="240" w:lineRule="exact"/>
              <w:jc w:val="center"/>
            </w:pPr>
            <w:r>
              <w:rPr>
                <w:rFonts w:hint="eastAsia"/>
              </w:rPr>
              <w:t>是否采用电子招标投标</w:t>
            </w:r>
          </w:p>
        </w:tc>
        <w:tc>
          <w:tcPr>
            <w:tcW w:w="5794" w:type="dxa"/>
            <w:vAlign w:val="center"/>
          </w:tcPr>
          <w:p>
            <w:pPr>
              <w:snapToGrid w:val="0"/>
              <w:spacing w:line="300" w:lineRule="exact"/>
              <w:rPr>
                <w:kern w:val="0"/>
              </w:rPr>
            </w:pPr>
            <w:r>
              <w:rPr>
                <w:rFonts w:hint="eastAsia"/>
                <w:kern w:val="0"/>
                <w:szCs w:val="21"/>
              </w:rPr>
              <w:sym w:font="Wingdings" w:char="F0FE"/>
            </w:r>
            <w:r>
              <w:rPr>
                <w:rFonts w:hint="eastAsia"/>
                <w:kern w:val="0"/>
              </w:rPr>
              <w:t>否</w:t>
            </w:r>
          </w:p>
          <w:p>
            <w:pPr>
              <w:snapToGrid w:val="0"/>
              <w:spacing w:line="300" w:lineRule="exact"/>
            </w:pPr>
            <w:r>
              <w:rPr>
                <w:rFonts w:hint="eastAsia"/>
                <w:kern w:val="0"/>
              </w:rPr>
              <w:t>□是,具体要求：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9457" w:type="dxa"/>
            <w:gridSpan w:val="3"/>
            <w:vAlign w:val="center"/>
          </w:tcPr>
          <w:p>
            <w:pPr>
              <w:adjustRightInd w:val="0"/>
              <w:snapToGrid w:val="0"/>
              <w:spacing w:line="300" w:lineRule="exact"/>
              <w:rPr>
                <w:kern w:val="0"/>
              </w:rPr>
            </w:pPr>
            <w:r>
              <w:rPr>
                <w:rFonts w:hint="eastAsia"/>
                <w:b/>
                <w:szCs w:val="21"/>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adjustRightInd w:val="0"/>
              <w:snapToGrid w:val="0"/>
              <w:spacing w:line="280" w:lineRule="exact"/>
              <w:jc w:val="center"/>
              <w:rPr>
                <w:szCs w:val="21"/>
              </w:rPr>
            </w:pPr>
            <w:r>
              <w:rPr>
                <w:kern w:val="0"/>
              </w:rPr>
              <w:t>1.4.4</w:t>
            </w:r>
          </w:p>
        </w:tc>
        <w:tc>
          <w:tcPr>
            <w:tcW w:w="2539" w:type="dxa"/>
            <w:vAlign w:val="center"/>
          </w:tcPr>
          <w:p>
            <w:pPr>
              <w:adjustRightInd w:val="0"/>
              <w:snapToGrid w:val="0"/>
              <w:spacing w:line="300" w:lineRule="exact"/>
              <w:jc w:val="center"/>
              <w:rPr>
                <w:szCs w:val="21"/>
              </w:rPr>
            </w:pPr>
            <w:r>
              <w:rPr>
                <w:rFonts w:hint="eastAsia" w:cs="宋体"/>
                <w:kern w:val="0"/>
              </w:rPr>
              <w:t>第</w:t>
            </w:r>
            <w:r>
              <w:rPr>
                <w:kern w:val="0"/>
              </w:rPr>
              <w:t>1.4.4</w:t>
            </w:r>
            <w:r>
              <w:rPr>
                <w:rFonts w:hint="eastAsia" w:cs="宋体"/>
                <w:kern w:val="0"/>
              </w:rPr>
              <w:t>项修改</w:t>
            </w:r>
          </w:p>
        </w:tc>
        <w:tc>
          <w:tcPr>
            <w:tcW w:w="5794" w:type="dxa"/>
            <w:vAlign w:val="center"/>
          </w:tcPr>
          <w:p>
            <w:pPr>
              <w:adjustRightInd w:val="0"/>
              <w:snapToGrid w:val="0"/>
              <w:spacing w:line="300" w:lineRule="exact"/>
              <w:ind w:left="57" w:leftChars="27" w:firstLine="220" w:firstLineChars="105"/>
              <w:jc w:val="left"/>
              <w:rPr>
                <w:rFonts w:cs="宋体"/>
              </w:rPr>
            </w:pPr>
            <w:r>
              <w:rPr>
                <w:rFonts w:hint="eastAsia" w:cs="宋体"/>
              </w:rPr>
              <w:t>删除（6）“行贿犯罪行为的认定以检察机关职务犯罪预防部们出具的查询结果为准”内容</w:t>
            </w:r>
          </w:p>
          <w:p>
            <w:pPr>
              <w:wordWrap w:val="0"/>
              <w:adjustRightInd w:val="0"/>
              <w:snapToGrid w:val="0"/>
              <w:spacing w:line="300" w:lineRule="exact"/>
              <w:ind w:left="57" w:leftChars="27" w:firstLine="220" w:firstLineChars="105"/>
              <w:rPr>
                <w:kern w:val="0"/>
              </w:rPr>
            </w:pPr>
            <w:r>
              <w:rPr>
                <w:rFonts w:hint="eastAsia"/>
                <w:kern w:val="0"/>
              </w:rPr>
              <w:t>增加以下内容：</w:t>
            </w:r>
          </w:p>
          <w:p>
            <w:pPr>
              <w:wordWrap w:val="0"/>
              <w:adjustRightInd w:val="0"/>
              <w:snapToGrid w:val="0"/>
              <w:spacing w:line="300" w:lineRule="exact"/>
              <w:ind w:left="57" w:leftChars="27" w:firstLine="220" w:firstLineChars="105"/>
              <w:jc w:val="left"/>
              <w:rPr>
                <w:rFonts w:cs="宋体"/>
              </w:rPr>
            </w:pPr>
            <w:r>
              <w:rPr>
                <w:rFonts w:hint="eastAsia"/>
                <w:kern w:val="0"/>
              </w:rPr>
              <w:t>（8）在国家企业信用信息公示系统</w:t>
            </w:r>
            <w:r>
              <w:rPr>
                <w:rFonts w:hint="eastAsia"/>
              </w:rPr>
              <w:t>（http://www.gsxt.gov.cn/）中经营异常。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pStyle w:val="50"/>
              <w:spacing w:line="420" w:lineRule="exact"/>
              <w:jc w:val="center"/>
              <w:rPr>
                <w:rFonts w:hAnsi="宋体" w:cs="Times New Roman"/>
                <w:color w:val="auto"/>
                <w:sz w:val="21"/>
                <w:szCs w:val="21"/>
              </w:rPr>
            </w:pPr>
            <w:r>
              <w:rPr>
                <w:rFonts w:hint="eastAsia" w:hAnsi="宋体" w:cs="Times New Roman"/>
                <w:color w:val="auto"/>
                <w:sz w:val="21"/>
                <w:szCs w:val="21"/>
              </w:rPr>
              <w:t>2.2.5</w:t>
            </w:r>
          </w:p>
          <w:p>
            <w:pPr>
              <w:pStyle w:val="50"/>
              <w:spacing w:line="420" w:lineRule="exact"/>
              <w:jc w:val="center"/>
            </w:pPr>
            <w:r>
              <w:rPr>
                <w:rFonts w:hint="eastAsia" w:hAnsi="宋体" w:cs="Times New Roman"/>
                <w:color w:val="auto"/>
                <w:sz w:val="21"/>
                <w:szCs w:val="21"/>
              </w:rPr>
              <w:t>2.3.3</w:t>
            </w:r>
          </w:p>
        </w:tc>
        <w:tc>
          <w:tcPr>
            <w:tcW w:w="2539" w:type="dxa"/>
            <w:vAlign w:val="center"/>
          </w:tcPr>
          <w:p>
            <w:pPr>
              <w:adjustRightInd w:val="0"/>
              <w:snapToGrid w:val="0"/>
              <w:spacing w:line="300" w:lineRule="exact"/>
              <w:ind w:left="-50" w:leftChars="-24"/>
              <w:jc w:val="center"/>
              <w:rPr>
                <w:rFonts w:cs="宋体"/>
                <w:kern w:val="0"/>
              </w:rPr>
            </w:pPr>
            <w:r>
              <w:rPr>
                <w:rFonts w:hint="eastAsia" w:ascii="宋体" w:hAnsi="宋体" w:cs="宋体"/>
                <w:kern w:val="0"/>
              </w:rPr>
              <w:t>补充第2.2.5、2.3.3项</w:t>
            </w:r>
          </w:p>
        </w:tc>
        <w:tc>
          <w:tcPr>
            <w:tcW w:w="5794" w:type="dxa"/>
            <w:vAlign w:val="center"/>
          </w:tcPr>
          <w:p>
            <w:pPr>
              <w:adjustRightInd w:val="0"/>
              <w:snapToGrid w:val="0"/>
              <w:spacing w:line="300" w:lineRule="exact"/>
              <w:ind w:left="57" w:leftChars="27" w:firstLine="220" w:firstLineChars="105"/>
              <w:rPr>
                <w:rFonts w:ascii="宋体" w:hAnsi="宋体" w:cs="宋体"/>
                <w:kern w:val="0"/>
              </w:rPr>
            </w:pPr>
            <w:r>
              <w:rPr>
                <w:rFonts w:hint="eastAsia" w:ascii="宋体" w:hAnsi="宋体" w:cs="宋体"/>
                <w:kern w:val="0"/>
              </w:rPr>
              <w:t>2.2.5、2.3.3招标人将在</w:t>
            </w:r>
            <w:r>
              <w:rPr>
                <w:rFonts w:hint="eastAsia"/>
                <w:szCs w:val="21"/>
              </w:rPr>
              <w:t>《天津市滨海新区交通运输局》（jtysj.tjbh.gov.cn）</w:t>
            </w:r>
            <w:r>
              <w:rPr>
                <w:szCs w:val="21"/>
              </w:rPr>
              <w:t>和</w:t>
            </w:r>
            <w:r>
              <w:rPr>
                <w:rFonts w:hint="eastAsia"/>
                <w:szCs w:val="21"/>
              </w:rPr>
              <w:t>《天津市公共资源交易网》(http://60.28.163.169/)</w:t>
            </w:r>
            <w:r>
              <w:rPr>
                <w:rFonts w:hint="eastAsia" w:ascii="宋体" w:hAnsi="宋体" w:cs="宋体"/>
                <w:kern w:val="0"/>
              </w:rPr>
              <w:t>发布招标文件的澄清、修改文件，请各投标人下载并在规定的时间内回函确认。投标人应在投标截止时间前密切关注，以便掌握相关澄清及修改。</w:t>
            </w:r>
          </w:p>
          <w:p>
            <w:pPr>
              <w:adjustRightInd w:val="0"/>
              <w:snapToGrid w:val="0"/>
              <w:spacing w:line="300" w:lineRule="exact"/>
              <w:ind w:left="57" w:leftChars="27" w:firstLine="220" w:firstLineChars="105"/>
              <w:rPr>
                <w:kern w:val="0"/>
              </w:rPr>
            </w:pPr>
            <w:r>
              <w:rPr>
                <w:rFonts w:hint="eastAsia" w:ascii="宋体" w:hAnsi="宋体" w:cs="宋体"/>
                <w:kern w:val="0"/>
              </w:rPr>
              <w:t>招标人、招标代理机构对投标人发出的澄清、修改及投标控制价上限或评标委员会对投标人发出的澄清，投标人应在规定的时间内按要求回函确认，否则招标人不承担由此引起的一切后果。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adjustRightInd w:val="0"/>
              <w:snapToGrid w:val="0"/>
              <w:spacing w:line="280" w:lineRule="exact"/>
              <w:jc w:val="center"/>
              <w:rPr>
                <w:szCs w:val="21"/>
              </w:rPr>
            </w:pPr>
            <w:r>
              <w:rPr>
                <w:rFonts w:hint="eastAsia"/>
                <w:kern w:val="0"/>
              </w:rPr>
              <w:t>1.4.5</w:t>
            </w:r>
          </w:p>
        </w:tc>
        <w:tc>
          <w:tcPr>
            <w:tcW w:w="2539" w:type="dxa"/>
            <w:vAlign w:val="center"/>
          </w:tcPr>
          <w:p>
            <w:pPr>
              <w:adjustRightInd w:val="0"/>
              <w:snapToGrid w:val="0"/>
              <w:spacing w:line="300" w:lineRule="exact"/>
              <w:jc w:val="center"/>
              <w:rPr>
                <w:szCs w:val="21"/>
              </w:rPr>
            </w:pPr>
            <w:r>
              <w:rPr>
                <w:rFonts w:hint="eastAsia" w:cs="宋体"/>
                <w:kern w:val="0"/>
              </w:rPr>
              <w:t>第</w:t>
            </w:r>
            <w:r>
              <w:rPr>
                <w:kern w:val="0"/>
              </w:rPr>
              <w:t>1.4.</w:t>
            </w:r>
            <w:r>
              <w:rPr>
                <w:rFonts w:hint="eastAsia"/>
                <w:kern w:val="0"/>
              </w:rPr>
              <w:t>5</w:t>
            </w:r>
            <w:r>
              <w:rPr>
                <w:rFonts w:hint="eastAsia" w:cs="宋体"/>
                <w:kern w:val="0"/>
              </w:rPr>
              <w:t>项细化补充</w:t>
            </w:r>
          </w:p>
        </w:tc>
        <w:tc>
          <w:tcPr>
            <w:tcW w:w="5794" w:type="dxa"/>
            <w:vAlign w:val="center"/>
          </w:tcPr>
          <w:p>
            <w:pPr>
              <w:adjustRightInd w:val="0"/>
              <w:snapToGrid w:val="0"/>
              <w:spacing w:line="300" w:lineRule="exact"/>
              <w:ind w:left="57" w:leftChars="27" w:firstLine="220" w:firstLineChars="105"/>
              <w:jc w:val="left"/>
              <w:rPr>
                <w:color w:val="00B050"/>
                <w:kern w:val="0"/>
                <w:szCs w:val="21"/>
              </w:rPr>
            </w:pPr>
            <w:r>
              <w:rPr>
                <w:rFonts w:hint="eastAsia" w:ascii="宋体" w:hAnsi="宋体"/>
                <w:color w:val="000000"/>
                <w:szCs w:val="21"/>
              </w:rPr>
              <w:t>若公路工程专业监理资质证书有效期内的投标人，在交通运输部网站上历次公路工程监理企业定期检验结果公告中，被列入公路监理资质失效的企业名单，或在交通运输部网站上历次公布公路工程监理资质许可决定公告中，被列入资质有效期届满未延续予以注销的企业名单中，将被取消投标资格</w:t>
            </w:r>
            <w:r>
              <w:rPr>
                <w:rFonts w:ascii="宋体" w:hAnsi="宋体"/>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adjustRightInd w:val="0"/>
              <w:snapToGrid w:val="0"/>
              <w:spacing w:line="280" w:lineRule="exact"/>
              <w:jc w:val="center"/>
              <w:rPr>
                <w:szCs w:val="21"/>
              </w:rPr>
            </w:pPr>
            <w:r>
              <w:rPr>
                <w:rFonts w:hint="eastAsia"/>
                <w:szCs w:val="21"/>
              </w:rPr>
              <w:t>3.4.1</w:t>
            </w:r>
          </w:p>
        </w:tc>
        <w:tc>
          <w:tcPr>
            <w:tcW w:w="2539" w:type="dxa"/>
            <w:vAlign w:val="center"/>
          </w:tcPr>
          <w:p>
            <w:pPr>
              <w:adjustRightInd w:val="0"/>
              <w:snapToGrid w:val="0"/>
              <w:spacing w:line="300" w:lineRule="exact"/>
              <w:ind w:left="-84" w:leftChars="-40" w:right="-84" w:rightChars="-40"/>
              <w:jc w:val="center"/>
              <w:rPr>
                <w:szCs w:val="21"/>
              </w:rPr>
            </w:pPr>
            <w:r>
              <w:rPr>
                <w:rFonts w:hint="eastAsia"/>
                <w:szCs w:val="21"/>
              </w:rPr>
              <w:t>细化第3.4.1项</w:t>
            </w:r>
          </w:p>
        </w:tc>
        <w:tc>
          <w:tcPr>
            <w:tcW w:w="5794" w:type="dxa"/>
            <w:vAlign w:val="center"/>
          </w:tcPr>
          <w:p>
            <w:pPr>
              <w:adjustRightInd w:val="0"/>
              <w:snapToGrid w:val="0"/>
              <w:spacing w:line="300" w:lineRule="exact"/>
              <w:ind w:left="57" w:leftChars="27" w:firstLine="220" w:firstLineChars="105"/>
              <w:rPr>
                <w:color w:val="FF0000"/>
                <w:kern w:val="0"/>
                <w:szCs w:val="21"/>
              </w:rPr>
            </w:pPr>
            <w:r>
              <w:rPr>
                <w:rFonts w:hint="eastAsia"/>
                <w:color w:val="FF0000"/>
                <w:kern w:val="0"/>
                <w:szCs w:val="21"/>
              </w:rPr>
              <w:t xml:space="preserve">投标保证金的递交截止时间为：2020 年10月26日17时之前 </w:t>
            </w:r>
          </w:p>
          <w:p>
            <w:pPr>
              <w:adjustRightInd w:val="0"/>
              <w:snapToGrid w:val="0"/>
              <w:spacing w:line="300" w:lineRule="exact"/>
              <w:ind w:left="57" w:leftChars="27" w:firstLine="220" w:firstLineChars="105"/>
              <w:rPr>
                <w:kern w:val="0"/>
                <w:szCs w:val="21"/>
              </w:rPr>
            </w:pPr>
            <w:r>
              <w:rPr>
                <w:rFonts w:hint="eastAsia"/>
                <w:kern w:val="0"/>
                <w:szCs w:val="21"/>
              </w:rPr>
              <w:t>若采用支票，投标人应在规定的递交投标保证金截止时间之前，将由投标人的基本帐户开出的支票交至天津市河东区十一经路万隆太平洋大厦1618室，并换取收据，支票名称必须与投标人名称一致，否则均视为投标保证金无效。投标人应将支票及招标人开具的投标保证金收据的扫描件或复印件附在投标文件中。</w:t>
            </w:r>
          </w:p>
          <w:p>
            <w:pPr>
              <w:adjustRightInd w:val="0"/>
              <w:snapToGrid w:val="0"/>
              <w:spacing w:line="300" w:lineRule="exact"/>
              <w:ind w:left="57" w:leftChars="27" w:firstLine="220" w:firstLineChars="105"/>
              <w:rPr>
                <w:kern w:val="0"/>
                <w:szCs w:val="21"/>
              </w:rPr>
            </w:pPr>
            <w:r>
              <w:rPr>
                <w:rFonts w:hint="eastAsia"/>
                <w:kern w:val="0"/>
                <w:szCs w:val="21"/>
              </w:rPr>
              <w:t>若采用银行保函，投标人应在投标保证金递交截止时间前，将银行保函复印件送达至天津市河东区十一经路万隆太平洋大厦1618室财务室（或扫描件发送至503064468@qq.com）。原件应在递交投标文件截止时间之前单独密封递交给招标人。银行保函复印件应装订在投标文件中。不论中标与否，保函不予退回。</w:t>
            </w:r>
          </w:p>
          <w:p>
            <w:pPr>
              <w:adjustRightInd w:val="0"/>
              <w:snapToGrid w:val="0"/>
              <w:spacing w:line="300" w:lineRule="exact"/>
              <w:ind w:left="57" w:leftChars="27" w:firstLine="220" w:firstLineChars="105"/>
              <w:rPr>
                <w:kern w:val="0"/>
                <w:szCs w:val="21"/>
              </w:rPr>
            </w:pPr>
            <w:r>
              <w:rPr>
                <w:rFonts w:hint="eastAsia"/>
                <w:kern w:val="0"/>
                <w:szCs w:val="21"/>
              </w:rPr>
              <w:t>若采用现金，投标人应在规定的递交投标保证金截止时间之前，将由投标人的基本账户一次性汇入招标人指定的账号上（以银行到账日期为准），并注明“双城绿廊监理”电汇凭证上的汇款人名称必须与投标人名称一致，否则均视为投标保证金无效。</w:t>
            </w:r>
          </w:p>
          <w:p>
            <w:pPr>
              <w:adjustRightInd w:val="0"/>
              <w:snapToGrid w:val="0"/>
              <w:spacing w:line="300" w:lineRule="exact"/>
              <w:ind w:left="57" w:leftChars="27" w:firstLine="220" w:firstLineChars="105"/>
              <w:rPr>
                <w:kern w:val="0"/>
                <w:szCs w:val="21"/>
              </w:rPr>
            </w:pPr>
            <w:r>
              <w:rPr>
                <w:rFonts w:hint="eastAsia"/>
                <w:kern w:val="0"/>
                <w:szCs w:val="21"/>
              </w:rPr>
              <w:t>投标人应将电汇凭证扫描件或复印件附在投标文件中。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adjustRightInd w:val="0"/>
              <w:snapToGrid w:val="0"/>
              <w:spacing w:line="300" w:lineRule="exact"/>
              <w:jc w:val="center"/>
              <w:rPr>
                <w:kern w:val="0"/>
              </w:rPr>
            </w:pPr>
            <w:r>
              <w:rPr>
                <w:rFonts w:hint="eastAsia"/>
                <w:kern w:val="0"/>
              </w:rPr>
              <w:t>3.5.1</w:t>
            </w:r>
          </w:p>
        </w:tc>
        <w:tc>
          <w:tcPr>
            <w:tcW w:w="2539" w:type="dxa"/>
            <w:vAlign w:val="center"/>
          </w:tcPr>
          <w:p>
            <w:pPr>
              <w:adjustRightInd w:val="0"/>
              <w:snapToGrid w:val="0"/>
              <w:spacing w:line="300" w:lineRule="exact"/>
              <w:jc w:val="center"/>
              <w:rPr>
                <w:kern w:val="0"/>
              </w:rPr>
            </w:pPr>
            <w:r>
              <w:rPr>
                <w:rFonts w:hint="eastAsia"/>
                <w:kern w:val="0"/>
              </w:rPr>
              <w:t>3.5.1细化补充</w:t>
            </w:r>
          </w:p>
        </w:tc>
        <w:tc>
          <w:tcPr>
            <w:tcW w:w="5794" w:type="dxa"/>
            <w:vAlign w:val="center"/>
          </w:tcPr>
          <w:p>
            <w:pPr>
              <w:adjustRightInd w:val="0"/>
              <w:snapToGrid w:val="0"/>
              <w:spacing w:line="300" w:lineRule="exact"/>
              <w:ind w:left="57" w:leftChars="27" w:firstLine="220" w:firstLineChars="105"/>
              <w:rPr>
                <w:kern w:val="0"/>
                <w:szCs w:val="21"/>
              </w:rPr>
            </w:pPr>
            <w:r>
              <w:rPr>
                <w:rFonts w:hint="eastAsia"/>
                <w:kern w:val="0"/>
                <w:szCs w:val="21"/>
              </w:rPr>
              <w:t>3.5.1招标文件中要求投标人提供的各类证照复印件指企业法人营业执照副本、 监理资质证书副本、基本账户开户许可证（或备案证明材料）彩色扫描件或彩色复印件，其他资料复印件可为黑白扫描件或黑白复印件。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adjustRightInd w:val="0"/>
              <w:snapToGrid w:val="0"/>
              <w:spacing w:line="280" w:lineRule="exact"/>
              <w:jc w:val="center"/>
              <w:rPr>
                <w:kern w:val="0"/>
              </w:rPr>
            </w:pPr>
            <w:r>
              <w:rPr>
                <w:rFonts w:hint="eastAsia"/>
                <w:kern w:val="0"/>
              </w:rPr>
              <w:t>3.5.2</w:t>
            </w:r>
          </w:p>
        </w:tc>
        <w:tc>
          <w:tcPr>
            <w:tcW w:w="2539" w:type="dxa"/>
            <w:vAlign w:val="center"/>
          </w:tcPr>
          <w:p>
            <w:pPr>
              <w:adjustRightInd w:val="0"/>
              <w:snapToGrid w:val="0"/>
              <w:spacing w:line="280" w:lineRule="exact"/>
              <w:jc w:val="center"/>
              <w:rPr>
                <w:kern w:val="0"/>
              </w:rPr>
            </w:pPr>
            <w:r>
              <w:rPr>
                <w:rFonts w:hint="eastAsia"/>
                <w:kern w:val="0"/>
              </w:rPr>
              <w:t>3.5.2细化为</w:t>
            </w:r>
          </w:p>
        </w:tc>
        <w:tc>
          <w:tcPr>
            <w:tcW w:w="5794" w:type="dxa"/>
            <w:vAlign w:val="center"/>
          </w:tcPr>
          <w:p>
            <w:pPr>
              <w:wordWrap w:val="0"/>
              <w:adjustRightInd w:val="0"/>
              <w:snapToGrid w:val="0"/>
              <w:spacing w:line="300" w:lineRule="exact"/>
              <w:ind w:left="57" w:leftChars="27" w:firstLine="220" w:firstLineChars="105"/>
              <w:rPr>
                <w:kern w:val="0"/>
                <w:szCs w:val="21"/>
              </w:rPr>
            </w:pPr>
            <w:r>
              <w:rPr>
                <w:rFonts w:hint="eastAsia"/>
                <w:kern w:val="0"/>
                <w:szCs w:val="21"/>
              </w:rPr>
              <w:t xml:space="preserve"> “近年完成的类似项目情况表”应附在交通运输部“全国公路建设市场信用信息管理系统”（网址：</w:t>
            </w:r>
            <w:r>
              <w:rPr>
                <w:rFonts w:hint="eastAsia"/>
              </w:rPr>
              <w:t>https://glxy.mot.gov.cn/index.jsp</w:t>
            </w:r>
            <w:r>
              <w:rPr>
                <w:rFonts w:hint="eastAsia"/>
                <w:kern w:val="0"/>
                <w:szCs w:val="21"/>
              </w:rPr>
              <w:t>）中查询到的企业业绩信息网页截图复印件。企业业绩认定时间以交工验收为准。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adjustRightInd w:val="0"/>
              <w:snapToGrid w:val="0"/>
              <w:spacing w:line="300" w:lineRule="exact"/>
              <w:jc w:val="center"/>
              <w:rPr>
                <w:kern w:val="0"/>
              </w:rPr>
            </w:pPr>
            <w:r>
              <w:rPr>
                <w:rFonts w:hint="eastAsia"/>
                <w:kern w:val="0"/>
              </w:rPr>
              <w:t>3.5.3</w:t>
            </w:r>
          </w:p>
        </w:tc>
        <w:tc>
          <w:tcPr>
            <w:tcW w:w="2539" w:type="dxa"/>
            <w:vAlign w:val="center"/>
          </w:tcPr>
          <w:p>
            <w:pPr>
              <w:autoSpaceDE w:val="0"/>
              <w:autoSpaceDN w:val="0"/>
              <w:adjustRightInd w:val="0"/>
              <w:snapToGrid w:val="0"/>
              <w:jc w:val="center"/>
              <w:rPr>
                <w:kern w:val="0"/>
              </w:rPr>
            </w:pPr>
            <w:r>
              <w:rPr>
                <w:rFonts w:hint="eastAsia" w:cs="宋体"/>
              </w:rPr>
              <w:t>第</w:t>
            </w:r>
            <w:r>
              <w:t>3.5.</w:t>
            </w:r>
            <w:r>
              <w:rPr>
                <w:rFonts w:hint="eastAsia"/>
              </w:rPr>
              <w:t>3</w:t>
            </w:r>
            <w:r>
              <w:rPr>
                <w:rFonts w:hint="eastAsia" w:cs="宋体"/>
              </w:rPr>
              <w:t>项修改</w:t>
            </w:r>
          </w:p>
        </w:tc>
        <w:tc>
          <w:tcPr>
            <w:tcW w:w="5794" w:type="dxa"/>
            <w:vAlign w:val="center"/>
          </w:tcPr>
          <w:p>
            <w:pPr>
              <w:wordWrap w:val="0"/>
              <w:snapToGrid w:val="0"/>
              <w:spacing w:line="300" w:lineRule="exact"/>
              <w:rPr>
                <w:szCs w:val="21"/>
              </w:rPr>
            </w:pPr>
            <w:r>
              <w:rPr>
                <w:rFonts w:hint="eastAsia"/>
                <w:szCs w:val="21"/>
              </w:rPr>
              <w:t>3.5.3</w:t>
            </w:r>
            <w:r>
              <w:rPr>
                <w:szCs w:val="21"/>
              </w:rPr>
              <w:t>“</w:t>
            </w:r>
            <w:r>
              <w:rPr>
                <w:rFonts w:hint="eastAsia"/>
                <w:szCs w:val="21"/>
                <w:lang w:val="zh-CN"/>
              </w:rPr>
              <w:t>投标人信誉情况表</w:t>
            </w:r>
            <w:r>
              <w:rPr>
                <w:szCs w:val="21"/>
              </w:rPr>
              <w:t>”</w:t>
            </w:r>
            <w:r>
              <w:rPr>
                <w:rFonts w:hint="eastAsia"/>
                <w:szCs w:val="21"/>
              </w:rPr>
              <w:t>后还应附第二章投标人须知前附表附录3所要求的内容的网页截屏复印件。</w:t>
            </w:r>
          </w:p>
          <w:p>
            <w:pPr>
              <w:wordWrap w:val="0"/>
              <w:snapToGrid w:val="0"/>
              <w:spacing w:line="300" w:lineRule="exact"/>
              <w:ind w:firstLine="210" w:firstLineChars="100"/>
              <w:rPr>
                <w:szCs w:val="21"/>
              </w:rPr>
            </w:pPr>
            <w:r>
              <w:rPr>
                <w:rFonts w:hint="eastAsia"/>
                <w:szCs w:val="21"/>
              </w:rPr>
              <w:t>1、投标人还应附国家企业信用信息公示系统（http://gsxt. gov.cn/）打印的“列入经营异常名录信息”页。</w:t>
            </w:r>
          </w:p>
          <w:p>
            <w:pPr>
              <w:wordWrap w:val="0"/>
              <w:snapToGrid w:val="0"/>
              <w:spacing w:line="300" w:lineRule="exact"/>
              <w:ind w:firstLine="210" w:firstLineChars="100"/>
              <w:rPr>
                <w:szCs w:val="21"/>
                <w:lang w:val="zh-CN"/>
              </w:rPr>
            </w:pPr>
            <w:r>
              <w:rPr>
                <w:rFonts w:hint="eastAsia"/>
                <w:szCs w:val="21"/>
              </w:rPr>
              <w:t>2、</w:t>
            </w:r>
            <w:r>
              <w:rPr>
                <w:rFonts w:hint="eastAsia"/>
                <w:szCs w:val="21"/>
                <w:lang w:val="zh-CN"/>
              </w:rPr>
              <w:t>投标人须在投标文件</w:t>
            </w:r>
            <w:r>
              <w:rPr>
                <w:szCs w:val="21"/>
              </w:rPr>
              <w:t>“</w:t>
            </w:r>
            <w:r>
              <w:rPr>
                <w:rFonts w:hint="eastAsia"/>
                <w:szCs w:val="21"/>
                <w:lang w:val="zh-CN"/>
              </w:rPr>
              <w:t>投标人信誉情况表</w:t>
            </w:r>
            <w:r>
              <w:rPr>
                <w:szCs w:val="21"/>
              </w:rPr>
              <w:t>”</w:t>
            </w:r>
            <w:r>
              <w:rPr>
                <w:rFonts w:hint="eastAsia"/>
                <w:szCs w:val="21"/>
                <w:lang w:val="zh-CN"/>
              </w:rPr>
              <w:t>中说明其交通运输部</w:t>
            </w:r>
            <w:r>
              <w:rPr>
                <w:rFonts w:hint="eastAsia"/>
                <w:szCs w:val="21"/>
              </w:rPr>
              <w:t>2018</w:t>
            </w:r>
            <w:r>
              <w:rPr>
                <w:rFonts w:hint="eastAsia"/>
                <w:szCs w:val="21"/>
                <w:lang w:val="zh-CN"/>
              </w:rPr>
              <w:t>年度公路建设从业企业全国综合信用评价结果【请登录全国公路建设市场信用管理系统</w:t>
            </w:r>
            <w:r>
              <w:rPr>
                <w:rFonts w:hint="eastAsia"/>
                <w:szCs w:val="21"/>
              </w:rPr>
              <w:t>（</w:t>
            </w:r>
            <w:r>
              <w:rPr>
                <w:rFonts w:hint="eastAsia"/>
                <w:szCs w:val="21"/>
                <w:lang w:val="zh-CN"/>
              </w:rPr>
              <w:t>系统</w:t>
            </w:r>
            <w:r>
              <w:rPr>
                <w:rFonts w:hint="eastAsia"/>
                <w:szCs w:val="21"/>
              </w:rPr>
              <w:t>（</w:t>
            </w:r>
            <w:r>
              <w:rPr>
                <w:rFonts w:hint="eastAsia"/>
              </w:rPr>
              <w:t>https://glxy.mot.gov.cn/index.jsp</w:t>
            </w:r>
            <w:r>
              <w:rPr>
                <w:rFonts w:hint="eastAsia"/>
                <w:szCs w:val="21"/>
              </w:rPr>
              <w:t>）</w:t>
            </w:r>
            <w:r>
              <w:rPr>
                <w:rFonts w:hint="eastAsia"/>
                <w:szCs w:val="21"/>
                <w:lang w:val="zh-CN"/>
              </w:rPr>
              <w:t>下载</w:t>
            </w:r>
            <w:r>
              <w:rPr>
                <w:rFonts w:hint="eastAsia"/>
                <w:szCs w:val="21"/>
              </w:rPr>
              <w:t>（</w:t>
            </w:r>
            <w:r>
              <w:rPr>
                <w:rFonts w:hint="eastAsia"/>
                <w:szCs w:val="21"/>
                <w:lang w:val="zh-CN"/>
              </w:rPr>
              <w:t>或截屏</w:t>
            </w:r>
            <w:r>
              <w:rPr>
                <w:rFonts w:hint="eastAsia"/>
                <w:szCs w:val="21"/>
              </w:rPr>
              <w:t>）</w:t>
            </w:r>
            <w:r>
              <w:rPr>
                <w:rFonts w:hint="eastAsia"/>
                <w:szCs w:val="21"/>
                <w:lang w:val="zh-CN"/>
              </w:rPr>
              <w:t>打印</w:t>
            </w:r>
            <w:r>
              <w:rPr>
                <w:rFonts w:hint="eastAsia"/>
                <w:szCs w:val="21"/>
              </w:rPr>
              <w:t>，</w:t>
            </w:r>
            <w:r>
              <w:rPr>
                <w:rFonts w:hint="eastAsia"/>
                <w:szCs w:val="21"/>
                <w:lang w:val="zh-CN"/>
              </w:rPr>
              <w:t>并加盖公章。】 和201</w:t>
            </w:r>
            <w:r>
              <w:rPr>
                <w:rFonts w:hint="eastAsia"/>
                <w:szCs w:val="21"/>
              </w:rPr>
              <w:t>9</w:t>
            </w:r>
            <w:r>
              <w:rPr>
                <w:rFonts w:hint="eastAsia"/>
                <w:szCs w:val="21"/>
                <w:lang w:val="zh-CN"/>
              </w:rPr>
              <w:t>年度天津市公路工程从业单位信用评价 【请登录天津市交通运输委员会官网(官网(http://jtys.tj.gov.cn/) 通知公告</w:t>
            </w:r>
            <w:r>
              <w:rPr>
                <w:szCs w:val="21"/>
                <w:lang w:val="zh-CN"/>
              </w:rPr>
              <w:t>”</w:t>
            </w:r>
            <w:r>
              <w:rPr>
                <w:rFonts w:hint="eastAsia"/>
                <w:szCs w:val="21"/>
                <w:lang w:val="zh-CN"/>
              </w:rPr>
              <w:t xml:space="preserve"> 下载打印《天津市交通运输委员会关于公布天津市 201</w:t>
            </w:r>
            <w:r>
              <w:rPr>
                <w:rFonts w:hint="eastAsia"/>
                <w:szCs w:val="21"/>
              </w:rPr>
              <w:t>9</w:t>
            </w:r>
            <w:r>
              <w:rPr>
                <w:rFonts w:hint="eastAsia"/>
                <w:szCs w:val="21"/>
                <w:lang w:val="zh-CN"/>
              </w:rPr>
              <w:t>年度公路工程从业企业信用评价结果的通知》，并加盖公章。】</w:t>
            </w:r>
          </w:p>
          <w:p>
            <w:pPr>
              <w:adjustRightInd w:val="0"/>
              <w:snapToGrid w:val="0"/>
              <w:spacing w:line="300" w:lineRule="exact"/>
              <w:ind w:left="57" w:leftChars="27" w:firstLine="220" w:firstLineChars="105"/>
              <w:rPr>
                <w:kern w:val="0"/>
                <w:szCs w:val="21"/>
              </w:rPr>
            </w:pPr>
            <w:r>
              <w:rPr>
                <w:rFonts w:hint="eastAsia" w:ascii="宋体" w:cs="宋体"/>
                <w:szCs w:val="21"/>
              </w:rPr>
              <w:t>3、投标人及其法定代表人、拟委任的项目负责人无行贿犯罪行为的查询记录证明。投标人须将近三年内投标人及其法定代表人、拟委任的项目负责人无行贿犯罪行为的承诺填写在“第七章 投标文件格式 投标函8.补充其他说明中”，并将投标人及其法定代表人、拟委任的项目负责人名单（加盖单位公章）附在投标文件“第七章 投标文件格式 投标人的信誉情况表”后。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Align w:val="center"/>
          </w:tcPr>
          <w:p>
            <w:pPr>
              <w:snapToGrid w:val="0"/>
              <w:spacing w:line="300" w:lineRule="exact"/>
              <w:jc w:val="center"/>
              <w:rPr>
                <w:kern w:val="0"/>
              </w:rPr>
            </w:pPr>
            <w:r>
              <w:rPr>
                <w:rFonts w:hint="eastAsia"/>
              </w:rPr>
              <w:t>3.5.4</w:t>
            </w:r>
          </w:p>
        </w:tc>
        <w:tc>
          <w:tcPr>
            <w:tcW w:w="2539" w:type="dxa"/>
            <w:vAlign w:val="center"/>
          </w:tcPr>
          <w:p>
            <w:pPr>
              <w:snapToGrid w:val="0"/>
              <w:spacing w:line="300" w:lineRule="exact"/>
              <w:jc w:val="center"/>
              <w:rPr>
                <w:kern w:val="0"/>
              </w:rPr>
            </w:pPr>
            <w:r>
              <w:rPr>
                <w:rFonts w:hint="eastAsia"/>
              </w:rPr>
              <w:t>3.5.4项补充</w:t>
            </w:r>
          </w:p>
        </w:tc>
        <w:tc>
          <w:tcPr>
            <w:tcW w:w="5794" w:type="dxa"/>
            <w:vAlign w:val="center"/>
          </w:tcPr>
          <w:p>
            <w:pPr>
              <w:spacing w:line="300" w:lineRule="exact"/>
              <w:ind w:firstLine="420" w:firstLineChars="200"/>
              <w:rPr>
                <w:sz w:val="20"/>
                <w:szCs w:val="20"/>
                <w:lang w:val="zh-CN"/>
              </w:rPr>
            </w:pPr>
            <w:r>
              <w:rPr>
                <w:rFonts w:hint="eastAsia"/>
                <w:szCs w:val="21"/>
              </w:rPr>
              <w:t>相关人员社保缴费证明复印件须证明：投标人所属社保机构出具的拟委任总监理工程师在</w:t>
            </w:r>
            <w:r>
              <w:rPr>
                <w:rFonts w:hint="eastAsia"/>
                <w:szCs w:val="21"/>
                <w:u w:val="single"/>
              </w:rPr>
              <w:t>2020</w:t>
            </w:r>
            <w:r>
              <w:rPr>
                <w:rFonts w:hint="eastAsia"/>
                <w:szCs w:val="21"/>
              </w:rPr>
              <w:t>年</w:t>
            </w:r>
            <w:r>
              <w:rPr>
                <w:rFonts w:hint="eastAsia"/>
                <w:szCs w:val="21"/>
                <w:u w:val="single"/>
              </w:rPr>
              <w:t>1</w:t>
            </w:r>
            <w:r>
              <w:rPr>
                <w:rFonts w:hint="eastAsia"/>
                <w:szCs w:val="21"/>
              </w:rPr>
              <w:t>月至今缴纳的养老保险、医疗保险、失业保险、工伤保险缴费证明或其他能够证明拟委任的总监理工程师参加养老保险、医疗保险、失业保险、工伤保险的有效证明材料复印件。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restart"/>
            <w:vAlign w:val="center"/>
          </w:tcPr>
          <w:p>
            <w:pPr>
              <w:autoSpaceDE w:val="0"/>
              <w:autoSpaceDN w:val="0"/>
              <w:adjustRightInd w:val="0"/>
              <w:snapToGrid w:val="0"/>
              <w:jc w:val="center"/>
              <w:rPr>
                <w:kern w:val="0"/>
                <w:szCs w:val="21"/>
              </w:rPr>
            </w:pPr>
            <w:r>
              <w:rPr>
                <w:rFonts w:hint="eastAsia"/>
                <w:kern w:val="0"/>
                <w:szCs w:val="21"/>
              </w:rPr>
              <w:t>10</w:t>
            </w:r>
          </w:p>
        </w:tc>
        <w:tc>
          <w:tcPr>
            <w:tcW w:w="2539" w:type="dxa"/>
            <w:vAlign w:val="center"/>
          </w:tcPr>
          <w:p>
            <w:pPr>
              <w:adjustRightInd w:val="0"/>
              <w:snapToGrid w:val="0"/>
              <w:jc w:val="center"/>
              <w:rPr>
                <w:szCs w:val="21"/>
              </w:rPr>
            </w:pPr>
            <w:r>
              <w:rPr>
                <w:szCs w:val="21"/>
              </w:rPr>
              <w:t>补充第10.2款</w:t>
            </w:r>
          </w:p>
        </w:tc>
        <w:tc>
          <w:tcPr>
            <w:tcW w:w="5794" w:type="dxa"/>
            <w:vAlign w:val="center"/>
          </w:tcPr>
          <w:p>
            <w:pPr>
              <w:wordWrap w:val="0"/>
              <w:spacing w:line="300" w:lineRule="exact"/>
              <w:rPr>
                <w:szCs w:val="21"/>
              </w:rPr>
            </w:pPr>
            <w:r>
              <w:rPr>
                <w:rFonts w:hint="eastAsia"/>
                <w:szCs w:val="21"/>
              </w:rPr>
              <w:t>10.2依据《公路工程建设项目招投标管理办法》（交通运输部令2015年第24号）第五十三条规定，中标人企业业绩及人员业绩将进行网上公示。若发现弄虚作假，将取消其中标资格，并上报监督管理部门，依据《中华人民共和国招标投标法》第五十四条、《中华人民共和国招标投标法实施条例》第六十八条和《公路工程建设项目招投标管理办法》第六十九条进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continue"/>
            <w:vAlign w:val="center"/>
          </w:tcPr>
          <w:p>
            <w:pPr>
              <w:autoSpaceDE w:val="0"/>
              <w:autoSpaceDN w:val="0"/>
              <w:adjustRightInd w:val="0"/>
              <w:snapToGrid w:val="0"/>
              <w:jc w:val="center"/>
              <w:rPr>
                <w:kern w:val="0"/>
                <w:szCs w:val="21"/>
              </w:rPr>
            </w:pPr>
          </w:p>
        </w:tc>
        <w:tc>
          <w:tcPr>
            <w:tcW w:w="2539" w:type="dxa"/>
            <w:vAlign w:val="center"/>
          </w:tcPr>
          <w:p>
            <w:pPr>
              <w:adjustRightInd w:val="0"/>
              <w:snapToGrid w:val="0"/>
              <w:jc w:val="center"/>
              <w:rPr>
                <w:szCs w:val="21"/>
              </w:rPr>
            </w:pPr>
            <w:r>
              <w:rPr>
                <w:rFonts w:hint="eastAsia"/>
                <w:szCs w:val="21"/>
              </w:rPr>
              <w:t>补充第10.3款</w:t>
            </w:r>
          </w:p>
        </w:tc>
        <w:tc>
          <w:tcPr>
            <w:tcW w:w="5794" w:type="dxa"/>
            <w:vAlign w:val="center"/>
          </w:tcPr>
          <w:p>
            <w:pPr>
              <w:wordWrap w:val="0"/>
              <w:spacing w:line="300" w:lineRule="exact"/>
            </w:pPr>
            <w:r>
              <w:rPr>
                <w:rFonts w:hint="eastAsia"/>
                <w:szCs w:val="21"/>
              </w:rPr>
              <w:t>10.3</w:t>
            </w:r>
            <w:r>
              <w:rPr>
                <w:szCs w:val="21"/>
              </w:rPr>
              <w:t>投标人应在国家企业信用信息公示系统（</w:t>
            </w:r>
            <w:r>
              <w:fldChar w:fldCharType="begin"/>
            </w:r>
            <w:r>
              <w:instrText xml:space="preserve"> HYPERLINK "http://www.gsxt.gov.cn/" </w:instrText>
            </w:r>
            <w:r>
              <w:fldChar w:fldCharType="separate"/>
            </w:r>
            <w:r>
              <w:rPr>
                <w:rFonts w:hint="eastAsia"/>
              </w:rPr>
              <w:t>http://www.gsxt.gov.cn/</w:t>
            </w:r>
            <w:r>
              <w:rPr>
                <w:rFonts w:hint="eastAsia"/>
              </w:rPr>
              <w:fldChar w:fldCharType="end"/>
            </w:r>
            <w:r>
              <w:rPr>
                <w:szCs w:val="21"/>
              </w:rPr>
              <w:t>）中自行公示除股东（股份公司为发起人）姓名以外的详细出资信息，并按照《企业信息公示暂行条例》（国务院令第654号）和国家工商总局关于贯彻落实《企业信息公示暂行条例》有关问题的通知（工商外企字[2014]166号）中的规定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1124" w:type="dxa"/>
            <w:vMerge w:val="continue"/>
            <w:vAlign w:val="center"/>
          </w:tcPr>
          <w:p>
            <w:pPr>
              <w:autoSpaceDE w:val="0"/>
              <w:autoSpaceDN w:val="0"/>
              <w:adjustRightInd w:val="0"/>
              <w:snapToGrid w:val="0"/>
              <w:jc w:val="center"/>
              <w:rPr>
                <w:kern w:val="0"/>
                <w:szCs w:val="21"/>
              </w:rPr>
            </w:pPr>
          </w:p>
        </w:tc>
        <w:tc>
          <w:tcPr>
            <w:tcW w:w="2539" w:type="dxa"/>
            <w:vAlign w:val="center"/>
          </w:tcPr>
          <w:p>
            <w:pPr>
              <w:adjustRightInd w:val="0"/>
              <w:snapToGrid w:val="0"/>
              <w:jc w:val="center"/>
              <w:rPr>
                <w:szCs w:val="21"/>
              </w:rPr>
            </w:pPr>
            <w:r>
              <w:rPr>
                <w:rFonts w:hint="eastAsia"/>
                <w:szCs w:val="21"/>
              </w:rPr>
              <w:t>补充第10.4款</w:t>
            </w:r>
          </w:p>
        </w:tc>
        <w:tc>
          <w:tcPr>
            <w:tcW w:w="5794" w:type="dxa"/>
            <w:vAlign w:val="center"/>
          </w:tcPr>
          <w:p>
            <w:pPr>
              <w:spacing w:line="300" w:lineRule="exact"/>
              <w:rPr>
                <w:szCs w:val="21"/>
              </w:rPr>
            </w:pPr>
            <w:r>
              <w:rPr>
                <w:rFonts w:hint="eastAsia"/>
                <w:szCs w:val="21"/>
              </w:rPr>
              <w:t>10.4各投标人请严格执行《市人力社保局等六部门关于铁路、公路、水运、水利、能源、机场工程建设项目参加工伤保险工作的实施意见》（津人社局发</w:t>
            </w:r>
            <w:r>
              <w:rPr>
                <w:szCs w:val="21"/>
              </w:rPr>
              <w:t>[2018]40号），按时足额为农民工交纳工伤保险。</w:t>
            </w:r>
          </w:p>
        </w:tc>
      </w:tr>
    </w:tbl>
    <w:p>
      <w:pPr>
        <w:spacing w:line="360" w:lineRule="auto"/>
        <w:jc w:val="center"/>
      </w:pPr>
      <w:r>
        <w:br w:type="page"/>
      </w:r>
    </w:p>
    <w:p>
      <w:pPr>
        <w:spacing w:line="360" w:lineRule="auto"/>
        <w:jc w:val="center"/>
        <w:rPr>
          <w:rFonts w:ascii="黑体" w:eastAsia="黑体"/>
          <w:b/>
          <w:sz w:val="30"/>
          <w:szCs w:val="30"/>
        </w:rPr>
      </w:pPr>
      <w:r>
        <w:rPr>
          <w:rFonts w:hint="eastAsia" w:ascii="黑体" w:eastAsia="黑体"/>
          <w:b/>
          <w:sz w:val="30"/>
          <w:szCs w:val="30"/>
        </w:rPr>
        <w:t>附录1资格审查条件（资质最低要求）</w:t>
      </w:r>
    </w:p>
    <w:tbl>
      <w:tblPr>
        <w:tblStyle w:val="40"/>
        <w:tblW w:w="95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 w:hRule="atLeast"/>
          <w:jc w:val="center"/>
        </w:trPr>
        <w:tc>
          <w:tcPr>
            <w:tcW w:w="9503" w:type="dxa"/>
            <w:tcBorders>
              <w:top w:val="single" w:color="auto" w:sz="12" w:space="0"/>
              <w:left w:val="single" w:color="auto" w:sz="12" w:space="0"/>
              <w:right w:val="single" w:color="auto" w:sz="12" w:space="0"/>
            </w:tcBorders>
            <w:vAlign w:val="center"/>
          </w:tcPr>
          <w:p>
            <w:pPr>
              <w:spacing w:line="320" w:lineRule="exact"/>
              <w:jc w:val="center"/>
              <w:rPr>
                <w:sz w:val="24"/>
              </w:rPr>
            </w:pPr>
            <w:r>
              <w:rPr>
                <w:rFonts w:hint="eastAsia"/>
                <w:sz w:val="24"/>
              </w:rPr>
              <w:t>监理企业资质等级要求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2" w:hRule="atLeast"/>
          <w:jc w:val="center"/>
        </w:trPr>
        <w:tc>
          <w:tcPr>
            <w:tcW w:w="9503" w:type="dxa"/>
            <w:tcBorders>
              <w:left w:val="single" w:color="auto" w:sz="12" w:space="0"/>
              <w:bottom w:val="single" w:color="auto" w:sz="12" w:space="0"/>
              <w:right w:val="single" w:color="auto" w:sz="12" w:space="0"/>
            </w:tcBorders>
            <w:vAlign w:val="center"/>
          </w:tcPr>
          <w:p>
            <w:pPr>
              <w:wordWrap w:val="0"/>
              <w:spacing w:line="360" w:lineRule="auto"/>
              <w:jc w:val="center"/>
              <w:rPr>
                <w:sz w:val="24"/>
              </w:rPr>
            </w:pPr>
            <w:r>
              <w:rPr>
                <w:rFonts w:hint="eastAsia"/>
                <w:sz w:val="24"/>
              </w:rPr>
              <w:t>具备交通运输主管部门颁发的公路工程专业丙级（或以上）监理资质。</w:t>
            </w:r>
          </w:p>
          <w:p>
            <w:pPr>
              <w:wordWrap w:val="0"/>
              <w:spacing w:line="360" w:lineRule="auto"/>
              <w:ind w:left="689" w:leftChars="228" w:hanging="210" w:hangingChars="100"/>
            </w:pPr>
          </w:p>
        </w:tc>
      </w:tr>
    </w:tbl>
    <w:p>
      <w:pPr>
        <w:autoSpaceDE w:val="0"/>
        <w:autoSpaceDN w:val="0"/>
        <w:adjustRightInd w:val="0"/>
        <w:jc w:val="left"/>
        <w:rPr>
          <w:rFonts w:ascii="黑体" w:eastAsia="黑体"/>
          <w:kern w:val="0"/>
          <w:sz w:val="24"/>
        </w:rPr>
      </w:pPr>
    </w:p>
    <w:p>
      <w:pPr>
        <w:autoSpaceDE w:val="0"/>
        <w:autoSpaceDN w:val="0"/>
        <w:adjustRightInd w:val="0"/>
        <w:jc w:val="left"/>
        <w:rPr>
          <w:rFonts w:ascii="黑体" w:eastAsia="黑体"/>
          <w:kern w:val="0"/>
          <w:sz w:val="24"/>
        </w:rPr>
      </w:pPr>
    </w:p>
    <w:p>
      <w:pPr>
        <w:pStyle w:val="50"/>
        <w:jc w:val="center"/>
        <w:rPr>
          <w:rFonts w:ascii="黑体" w:eastAsia="黑体" w:cs="黑体"/>
          <w:b/>
          <w:color w:val="auto"/>
          <w:sz w:val="30"/>
          <w:szCs w:val="30"/>
        </w:rPr>
      </w:pPr>
      <w:r>
        <w:rPr>
          <w:rFonts w:hint="eastAsia" w:ascii="黑体" w:eastAsia="黑体" w:cs="黑体"/>
          <w:b/>
          <w:color w:val="auto"/>
          <w:sz w:val="30"/>
          <w:szCs w:val="30"/>
        </w:rPr>
        <w:br w:type="page"/>
      </w:r>
    </w:p>
    <w:p>
      <w:pPr>
        <w:spacing w:line="360" w:lineRule="auto"/>
        <w:jc w:val="center"/>
        <w:rPr>
          <w:rFonts w:ascii="黑体" w:eastAsia="黑体"/>
          <w:b/>
          <w:sz w:val="30"/>
          <w:szCs w:val="30"/>
        </w:rPr>
      </w:pPr>
      <w:r>
        <w:rPr>
          <w:rFonts w:hint="eastAsia" w:ascii="黑体" w:eastAsia="黑体"/>
          <w:b/>
          <w:sz w:val="30"/>
          <w:szCs w:val="30"/>
        </w:rPr>
        <w:t>附录2资格审查条件（业绩最低要求）</w:t>
      </w:r>
    </w:p>
    <w:tbl>
      <w:tblPr>
        <w:tblStyle w:val="40"/>
        <w:tblW w:w="937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697" w:hRule="atLeast"/>
          <w:jc w:val="center"/>
        </w:trPr>
        <w:tc>
          <w:tcPr>
            <w:tcW w:w="9374" w:type="dxa"/>
            <w:vAlign w:val="center"/>
          </w:tcPr>
          <w:p>
            <w:pPr>
              <w:spacing w:line="320" w:lineRule="exact"/>
              <w:jc w:val="center"/>
              <w:rPr>
                <w:sz w:val="24"/>
              </w:rPr>
            </w:pPr>
            <w:r>
              <w:rPr>
                <w:rFonts w:hint="eastAsia"/>
                <w:sz w:val="24"/>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655" w:hRule="atLeast"/>
          <w:jc w:val="center"/>
        </w:trPr>
        <w:tc>
          <w:tcPr>
            <w:tcW w:w="9374" w:type="dxa"/>
            <w:vAlign w:val="center"/>
          </w:tcPr>
          <w:p>
            <w:pPr>
              <w:spacing w:line="360" w:lineRule="auto"/>
              <w:ind w:firstLine="480" w:firstLineChars="200"/>
              <w:rPr>
                <w:sz w:val="24"/>
              </w:rPr>
            </w:pPr>
            <w:r>
              <w:rPr>
                <w:rFonts w:hint="eastAsia"/>
                <w:sz w:val="24"/>
              </w:rPr>
              <w:t>近五年内（交工验收时间：</w:t>
            </w:r>
            <w:r>
              <w:rPr>
                <w:rFonts w:hint="eastAsia"/>
                <w:sz w:val="24"/>
                <w:u w:val="single"/>
              </w:rPr>
              <w:t>2015</w:t>
            </w:r>
            <w:r>
              <w:rPr>
                <w:rFonts w:hint="eastAsia"/>
                <w:sz w:val="24"/>
              </w:rPr>
              <w:t>年</w:t>
            </w:r>
            <w:r>
              <w:rPr>
                <w:rFonts w:hint="eastAsia"/>
                <w:sz w:val="24"/>
                <w:u w:val="single"/>
              </w:rPr>
              <w:t xml:space="preserve"> 7 </w:t>
            </w:r>
            <w:r>
              <w:rPr>
                <w:rFonts w:hint="eastAsia"/>
                <w:sz w:val="24"/>
              </w:rPr>
              <w:t>月</w:t>
            </w:r>
            <w:r>
              <w:rPr>
                <w:rFonts w:hint="eastAsia"/>
                <w:sz w:val="24"/>
                <w:u w:val="single"/>
              </w:rPr>
              <w:t xml:space="preserve"> 1 </w:t>
            </w:r>
            <w:r>
              <w:rPr>
                <w:rFonts w:hint="eastAsia"/>
                <w:sz w:val="24"/>
              </w:rPr>
              <w:t>日至投标截止之日）至少完成过一项新建或改扩建二级（或以上）公路工程的监理任务。</w:t>
            </w:r>
          </w:p>
          <w:p>
            <w:pPr>
              <w:wordWrap w:val="0"/>
              <w:spacing w:line="360" w:lineRule="auto"/>
              <w:ind w:firstLine="480" w:firstLineChars="200"/>
              <w:rPr>
                <w:color w:val="FF0000"/>
                <w:sz w:val="24"/>
              </w:rPr>
            </w:pPr>
            <w:r>
              <w:rPr>
                <w:sz w:val="24"/>
              </w:rPr>
              <w:t>注：企业业绩认定时间以交工验收为准；投标人应提供交通运输部“全国公路建设市场信用信息管理系统”（网址：</w:t>
            </w:r>
            <w:r>
              <w:rPr>
                <w:rFonts w:hint="eastAsia"/>
                <w:sz w:val="24"/>
              </w:rPr>
              <w:t>https://glxy.mot.gov.cn/index.jsp</w:t>
            </w:r>
            <w:r>
              <w:rPr>
                <w:sz w:val="24"/>
              </w:rPr>
              <w:t>）中相关业绩的网页截图并加盖公章，相关信息应能体现技术等级、里程长度、交工验收时间等关键内容。</w:t>
            </w:r>
          </w:p>
          <w:p>
            <w:pPr>
              <w:spacing w:line="360" w:lineRule="auto"/>
              <w:ind w:firstLine="480" w:firstLineChars="200"/>
              <w:rPr>
                <w:sz w:val="24"/>
              </w:rPr>
            </w:pPr>
          </w:p>
        </w:tc>
      </w:tr>
    </w:tbl>
    <w:p>
      <w:pPr>
        <w:spacing w:line="360" w:lineRule="auto"/>
        <w:jc w:val="center"/>
        <w:rPr>
          <w:rFonts w:ascii="黑体" w:eastAsia="黑体" w:cs="黑体"/>
          <w:b/>
          <w:sz w:val="30"/>
          <w:szCs w:val="30"/>
        </w:rPr>
      </w:pPr>
      <w:r>
        <w:rPr>
          <w:rFonts w:hint="eastAsia" w:ascii="黑体" w:eastAsia="黑体" w:cs="黑体"/>
          <w:b/>
          <w:sz w:val="30"/>
          <w:szCs w:val="30"/>
        </w:rPr>
        <w:br w:type="page"/>
      </w:r>
    </w:p>
    <w:p>
      <w:pPr>
        <w:spacing w:line="360" w:lineRule="auto"/>
        <w:jc w:val="center"/>
        <w:rPr>
          <w:b/>
        </w:rPr>
      </w:pPr>
      <w:r>
        <w:rPr>
          <w:rFonts w:hint="eastAsia" w:ascii="黑体" w:eastAsia="黑体"/>
          <w:b/>
          <w:sz w:val="30"/>
          <w:szCs w:val="30"/>
        </w:rPr>
        <w:t>附录3资格审查条件（信誉最低要求）</w:t>
      </w:r>
    </w:p>
    <w:tbl>
      <w:tblPr>
        <w:tblStyle w:val="40"/>
        <w:tblW w:w="937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9" w:hRule="atLeast"/>
          <w:jc w:val="center"/>
        </w:trPr>
        <w:tc>
          <w:tcPr>
            <w:tcW w:w="9374" w:type="dxa"/>
            <w:vAlign w:val="center"/>
          </w:tcPr>
          <w:p>
            <w:pPr>
              <w:spacing w:line="320" w:lineRule="exact"/>
              <w:jc w:val="center"/>
              <w:rPr>
                <w:sz w:val="24"/>
              </w:rPr>
            </w:pPr>
            <w:r>
              <w:rPr>
                <w:rFonts w:hint="eastAsia"/>
                <w:sz w:val="24"/>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655" w:hRule="atLeast"/>
          <w:jc w:val="center"/>
        </w:trPr>
        <w:tc>
          <w:tcPr>
            <w:tcW w:w="9374" w:type="dxa"/>
            <w:vAlign w:val="center"/>
          </w:tcPr>
          <w:p>
            <w:pPr>
              <w:adjustRightInd w:val="0"/>
              <w:snapToGrid w:val="0"/>
              <w:spacing w:line="360" w:lineRule="auto"/>
              <w:ind w:firstLine="480" w:firstLineChars="200"/>
              <w:rPr>
                <w:sz w:val="24"/>
              </w:rPr>
            </w:pPr>
            <w:r>
              <w:rPr>
                <w:rFonts w:hint="eastAsia"/>
                <w:sz w:val="24"/>
              </w:rPr>
              <w:t>1、投标人在国家企业信用信息公示系统（http://www.gsxt.gov.cn/）中无经营异常情况。</w:t>
            </w:r>
          </w:p>
          <w:p>
            <w:pPr>
              <w:adjustRightInd w:val="0"/>
              <w:snapToGrid w:val="0"/>
              <w:spacing w:line="360" w:lineRule="auto"/>
              <w:ind w:firstLine="480" w:firstLineChars="200"/>
              <w:rPr>
                <w:sz w:val="24"/>
              </w:rPr>
            </w:pPr>
            <w:r>
              <w:rPr>
                <w:rFonts w:hint="eastAsia"/>
                <w:sz w:val="24"/>
              </w:rPr>
              <w:t>2、在交通运输部2018年度公路建设从业企业全国综合信用评价或2019年度天津市公路工程从业单位信用评价均被评为C级或以上（被交通运输部或天津市交通运输主管部门评为C级的单位禁止在天津市参加特大型桥梁工程投标）。</w:t>
            </w:r>
          </w:p>
          <w:p>
            <w:pPr>
              <w:adjustRightInd w:val="0"/>
              <w:snapToGrid w:val="0"/>
              <w:spacing w:line="360" w:lineRule="auto"/>
              <w:ind w:firstLine="480" w:firstLineChars="200"/>
              <w:rPr>
                <w:sz w:val="24"/>
              </w:rPr>
            </w:pPr>
            <w:r>
              <w:rPr>
                <w:rFonts w:hint="eastAsia"/>
                <w:sz w:val="24"/>
              </w:rPr>
              <w:t>公路建设市场信用等级评价以2019年度天津市公路工程从业单位信用评价结果为准；未参与2019年度天津市公路工程从业单位信用评价的单位，以交通运输部2018年度公路建设从业企业全国综合信用评价结果为准；交通运输部2018年度公路建设从业企业全国综合信用评价和2019年度天津市公路工程从业单位信用评价均未参与的，若无不良信用记录的，视同为A级。（投标人存在下列情况之一的需附说明并加盖公章：1、未参加2019年度天津市公路工程从业单位信用评价或交通运输部2018年度公路建设从业企业全国综合信用评价；2、交通运输部2018年度公路建设从业企业全国综合信用评价和2019年度天津市公路工程从业单位信用评价均未参与）</w:t>
            </w:r>
          </w:p>
          <w:p>
            <w:pPr>
              <w:adjustRightInd w:val="0"/>
              <w:snapToGrid w:val="0"/>
              <w:spacing w:line="360" w:lineRule="auto"/>
              <w:ind w:firstLine="480" w:firstLineChars="200"/>
              <w:rPr>
                <w:sz w:val="24"/>
              </w:rPr>
            </w:pPr>
            <w:r>
              <w:rPr>
                <w:rFonts w:hint="eastAsia"/>
                <w:sz w:val="24"/>
              </w:rPr>
              <w:t>本标段要求交通运输部2018年度公路建设从业企业全国综合信用评价结果和2019年度天津市公路工程从业单位信用评价结果均为C级或以上。对被交通运输部或天津市交通运输主管部门评为C级的单位禁止在天津市参加特大型桥梁工程投标。</w:t>
            </w:r>
          </w:p>
          <w:p>
            <w:pPr>
              <w:adjustRightInd w:val="0"/>
              <w:snapToGrid w:val="0"/>
              <w:spacing w:line="360" w:lineRule="auto"/>
              <w:ind w:firstLine="480" w:firstLineChars="200"/>
              <w:rPr>
                <w:sz w:val="24"/>
              </w:rPr>
            </w:pPr>
            <w:r>
              <w:rPr>
                <w:rFonts w:hint="eastAsia"/>
                <w:sz w:val="24"/>
              </w:rPr>
              <w:t>若交通运输部在投标截止时间前两个工作日之前发布2019年度的交通运输部公路建设市场信用等级评价结果的公告，交通运输部公路建设市场信用等级评价以2019年度的为准。</w:t>
            </w: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adjustRightInd w:val="0"/>
              <w:snapToGrid w:val="0"/>
              <w:spacing w:line="360" w:lineRule="auto"/>
              <w:ind w:firstLine="480" w:firstLineChars="200"/>
              <w:rPr>
                <w:color w:val="FF0000"/>
                <w:sz w:val="24"/>
              </w:rPr>
            </w:pPr>
          </w:p>
        </w:tc>
      </w:tr>
    </w:tbl>
    <w:p>
      <w:pPr>
        <w:spacing w:line="360" w:lineRule="auto"/>
        <w:jc w:val="center"/>
        <w:rPr>
          <w:rFonts w:ascii="黑体" w:eastAsia="黑体" w:cs="黑体"/>
          <w:b/>
          <w:sz w:val="30"/>
          <w:szCs w:val="30"/>
        </w:rPr>
      </w:pPr>
      <w:r>
        <w:rPr>
          <w:rFonts w:hint="eastAsia" w:ascii="黑体" w:eastAsia="黑体" w:cs="黑体"/>
          <w:b/>
          <w:sz w:val="30"/>
          <w:szCs w:val="30"/>
        </w:rPr>
        <w:br w:type="page"/>
      </w:r>
    </w:p>
    <w:p>
      <w:pPr>
        <w:spacing w:line="360" w:lineRule="auto"/>
        <w:jc w:val="center"/>
        <w:rPr>
          <w:rFonts w:ascii="黑体" w:eastAsia="黑体"/>
          <w:b/>
          <w:sz w:val="30"/>
          <w:szCs w:val="30"/>
        </w:rPr>
      </w:pPr>
      <w:r>
        <w:rPr>
          <w:rFonts w:hint="eastAsia" w:ascii="黑体" w:eastAsia="黑体"/>
          <w:b/>
          <w:sz w:val="30"/>
          <w:szCs w:val="30"/>
        </w:rPr>
        <w:t>附录4资格审查条件（</w:t>
      </w:r>
      <w:r>
        <w:rPr>
          <w:rFonts w:ascii="黑体" w:eastAsia="黑体"/>
          <w:b/>
          <w:sz w:val="30"/>
          <w:szCs w:val="30"/>
        </w:rPr>
        <w:t>总监理工程师</w:t>
      </w:r>
      <w:r>
        <w:rPr>
          <w:rFonts w:hint="eastAsia" w:ascii="黑体" w:eastAsia="黑体"/>
          <w:b/>
          <w:sz w:val="30"/>
          <w:szCs w:val="30"/>
        </w:rPr>
        <w:t>最低要求）</w:t>
      </w:r>
    </w:p>
    <w:tbl>
      <w:tblPr>
        <w:tblStyle w:val="40"/>
        <w:tblW w:w="968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750"/>
        <w:gridCol w:w="5671"/>
        <w:gridCol w:w="19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cantSplit/>
          <w:trHeight w:val="771" w:hRule="atLeast"/>
          <w:jc w:val="center"/>
        </w:trPr>
        <w:tc>
          <w:tcPr>
            <w:tcW w:w="1341" w:type="dxa"/>
            <w:vAlign w:val="center"/>
          </w:tcPr>
          <w:p>
            <w:pPr>
              <w:spacing w:line="320" w:lineRule="exact"/>
              <w:jc w:val="center"/>
              <w:rPr>
                <w:sz w:val="24"/>
              </w:rPr>
            </w:pPr>
            <w:r>
              <w:rPr>
                <w:rFonts w:hint="eastAsia"/>
                <w:sz w:val="24"/>
              </w:rPr>
              <w:t>人员</w:t>
            </w:r>
          </w:p>
        </w:tc>
        <w:tc>
          <w:tcPr>
            <w:tcW w:w="750" w:type="dxa"/>
            <w:vAlign w:val="center"/>
          </w:tcPr>
          <w:p>
            <w:pPr>
              <w:spacing w:line="320" w:lineRule="exact"/>
              <w:jc w:val="center"/>
              <w:rPr>
                <w:sz w:val="24"/>
              </w:rPr>
            </w:pPr>
            <w:r>
              <w:rPr>
                <w:rFonts w:hint="eastAsia"/>
                <w:sz w:val="24"/>
              </w:rPr>
              <w:t>数量</w:t>
            </w:r>
          </w:p>
        </w:tc>
        <w:tc>
          <w:tcPr>
            <w:tcW w:w="5671" w:type="dxa"/>
            <w:vAlign w:val="center"/>
          </w:tcPr>
          <w:p>
            <w:pPr>
              <w:spacing w:line="320" w:lineRule="exact"/>
              <w:jc w:val="center"/>
              <w:rPr>
                <w:sz w:val="24"/>
              </w:rPr>
            </w:pPr>
            <w:r>
              <w:rPr>
                <w:rFonts w:hint="eastAsia"/>
                <w:sz w:val="24"/>
              </w:rPr>
              <w:t xml:space="preserve">资 格 </w:t>
            </w:r>
            <w:r>
              <w:rPr>
                <w:sz w:val="24"/>
              </w:rPr>
              <w:t>要</w:t>
            </w:r>
            <w:r>
              <w:rPr>
                <w:rFonts w:hint="eastAsia"/>
                <w:sz w:val="24"/>
              </w:rPr>
              <w:t xml:space="preserve"> </w:t>
            </w:r>
            <w:r>
              <w:rPr>
                <w:sz w:val="24"/>
              </w:rPr>
              <w:t>求</w:t>
            </w:r>
          </w:p>
        </w:tc>
        <w:tc>
          <w:tcPr>
            <w:tcW w:w="1922" w:type="dxa"/>
            <w:vAlign w:val="center"/>
          </w:tcPr>
          <w:p>
            <w:pPr>
              <w:spacing w:line="320" w:lineRule="exact"/>
              <w:jc w:val="center"/>
              <w:rPr>
                <w:sz w:val="24"/>
              </w:rPr>
            </w:pPr>
            <w:r>
              <w:rPr>
                <w:rFonts w:hint="eastAsia"/>
                <w:sz w:val="24"/>
              </w:rPr>
              <w:t>在岗要求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454" w:hRule="atLeast"/>
          <w:jc w:val="center"/>
        </w:trPr>
        <w:tc>
          <w:tcPr>
            <w:tcW w:w="1341" w:type="dxa"/>
            <w:vAlign w:val="center"/>
          </w:tcPr>
          <w:p>
            <w:pPr>
              <w:jc w:val="center"/>
              <w:rPr>
                <w:sz w:val="24"/>
              </w:rPr>
            </w:pPr>
            <w:r>
              <w:rPr>
                <w:sz w:val="24"/>
              </w:rPr>
              <w:t>总监理</w:t>
            </w:r>
          </w:p>
          <w:p>
            <w:pPr>
              <w:spacing w:line="360" w:lineRule="exact"/>
              <w:jc w:val="center"/>
              <w:rPr>
                <w:sz w:val="24"/>
              </w:rPr>
            </w:pPr>
            <w:r>
              <w:rPr>
                <w:sz w:val="24"/>
              </w:rPr>
              <w:t>工程师</w:t>
            </w:r>
          </w:p>
        </w:tc>
        <w:tc>
          <w:tcPr>
            <w:tcW w:w="750" w:type="dxa"/>
            <w:vAlign w:val="center"/>
          </w:tcPr>
          <w:p>
            <w:pPr>
              <w:jc w:val="center"/>
              <w:rPr>
                <w:sz w:val="24"/>
              </w:rPr>
            </w:pPr>
            <w:r>
              <w:rPr>
                <w:rFonts w:hint="eastAsia"/>
                <w:sz w:val="24"/>
              </w:rPr>
              <w:t>1</w:t>
            </w:r>
          </w:p>
        </w:tc>
        <w:tc>
          <w:tcPr>
            <w:tcW w:w="5671" w:type="dxa"/>
            <w:vAlign w:val="center"/>
          </w:tcPr>
          <w:p>
            <w:pPr>
              <w:spacing w:line="360" w:lineRule="auto"/>
              <w:ind w:firstLine="240" w:firstLineChars="100"/>
              <w:rPr>
                <w:spacing w:val="-2"/>
                <w:sz w:val="24"/>
              </w:rPr>
            </w:pPr>
            <w:r>
              <w:rPr>
                <w:sz w:val="24"/>
              </w:rPr>
              <w:t>具有公路工程相关专业高级及以上技术职称，持有交通运输部颁发的公路工程监理工程师资格证书。担任过至少1项新建</w:t>
            </w:r>
            <w:r>
              <w:rPr>
                <w:rFonts w:hint="eastAsia"/>
                <w:sz w:val="24"/>
              </w:rPr>
              <w:t>或改扩建二级（或以上）公路工程</w:t>
            </w:r>
            <w:r>
              <w:rPr>
                <w:sz w:val="24"/>
              </w:rPr>
              <w:t>项目施工监理负责人（总监</w:t>
            </w:r>
            <w:r>
              <w:rPr>
                <w:rFonts w:hint="eastAsia"/>
                <w:sz w:val="24"/>
              </w:rPr>
              <w:t>或</w:t>
            </w:r>
            <w:r>
              <w:rPr>
                <w:sz w:val="24"/>
              </w:rPr>
              <w:t>驻地监理工程师）职务，从事公路工程监理工作10年以上，年龄在55岁以下。</w:t>
            </w:r>
          </w:p>
        </w:tc>
        <w:tc>
          <w:tcPr>
            <w:tcW w:w="1922" w:type="dxa"/>
            <w:vAlign w:val="center"/>
          </w:tcPr>
          <w:p>
            <w:pPr>
              <w:spacing w:line="360" w:lineRule="exact"/>
              <w:jc w:val="center"/>
              <w:rPr>
                <w:sz w:val="24"/>
              </w:rPr>
            </w:pPr>
            <w:r>
              <w:rPr>
                <w:sz w:val="24"/>
              </w:rPr>
              <w:t>无在岗项目（指目前未在其他项目上任职，或虽在其他项目上任职但本项目中标后能够从该项目撤离）</w:t>
            </w:r>
          </w:p>
        </w:tc>
      </w:tr>
    </w:tbl>
    <w:p>
      <w:pPr>
        <w:tabs>
          <w:tab w:val="center" w:pos="4734"/>
          <w:tab w:val="left" w:pos="6300"/>
        </w:tabs>
        <w:spacing w:line="360" w:lineRule="auto"/>
        <w:ind w:firstLine="405"/>
        <w:outlineLvl w:val="4"/>
        <w:rPr>
          <w:sz w:val="24"/>
        </w:rPr>
      </w:pPr>
    </w:p>
    <w:p>
      <w:pPr>
        <w:tabs>
          <w:tab w:val="center" w:pos="4734"/>
          <w:tab w:val="left" w:pos="6300"/>
        </w:tabs>
        <w:spacing w:line="360" w:lineRule="auto"/>
        <w:ind w:firstLine="405"/>
        <w:outlineLvl w:val="4"/>
        <w:rPr>
          <w:sz w:val="24"/>
        </w:rPr>
      </w:pPr>
      <w:r>
        <w:rPr>
          <w:rFonts w:hint="eastAsia"/>
          <w:sz w:val="24"/>
        </w:rPr>
        <w:t>注：1、总监理工程师必须为投标人自有人员，岗位登记聘用单位与投标人一致。</w:t>
      </w:r>
    </w:p>
    <w:p>
      <w:pPr>
        <w:tabs>
          <w:tab w:val="center" w:pos="4734"/>
          <w:tab w:val="left" w:pos="6300"/>
        </w:tabs>
        <w:spacing w:line="360" w:lineRule="auto"/>
        <w:ind w:left="977" w:leftChars="456" w:hanging="19" w:hangingChars="8"/>
        <w:outlineLvl w:val="4"/>
        <w:rPr>
          <w:sz w:val="24"/>
        </w:rPr>
      </w:pPr>
      <w:r>
        <w:rPr>
          <w:rFonts w:hint="eastAsia"/>
          <w:sz w:val="24"/>
        </w:rPr>
        <w:t>2、2017-2019年度公路监理工程师全国综合信用评价结果为评价周期内从业承诺履行状况较差的监理工程师不得担任总监理工程师的职务。</w:t>
      </w:r>
    </w:p>
    <w:p>
      <w:pPr>
        <w:pStyle w:val="6"/>
        <w:spacing w:before="0" w:after="0" w:line="240" w:lineRule="auto"/>
        <w:jc w:val="center"/>
      </w:pPr>
      <w:r>
        <w:br w:type="page"/>
      </w:r>
      <w:r>
        <w:t>投标</w:t>
      </w:r>
      <w:r>
        <w:rPr>
          <w:rFonts w:hint="eastAsia"/>
        </w:rPr>
        <w:t>人</w:t>
      </w:r>
      <w:r>
        <w:t>须知</w:t>
      </w:r>
    </w:p>
    <w:p>
      <w:pPr>
        <w:spacing w:before="13" w:line="420" w:lineRule="exact"/>
        <w:ind w:left="168" w:right="106"/>
        <w:rPr>
          <w:b/>
          <w:bCs/>
          <w:color w:val="000000"/>
          <w:sz w:val="24"/>
        </w:rPr>
      </w:pPr>
      <w:bookmarkStart w:id="10" w:name="_Toc196474983"/>
      <w:r>
        <w:rPr>
          <w:rFonts w:ascii="Arial" w:hAnsi="Arial" w:eastAsia="Arial" w:cs="Arial"/>
          <w:b/>
          <w:bCs/>
          <w:color w:val="000000"/>
          <w:sz w:val="24"/>
        </w:rPr>
        <w:t>1</w:t>
      </w:r>
      <w:r>
        <w:rPr>
          <w:b/>
          <w:bCs/>
          <w:color w:val="000000"/>
          <w:sz w:val="24"/>
        </w:rPr>
        <w:t>.总则</w:t>
      </w:r>
    </w:p>
    <w:p>
      <w:pPr>
        <w:pStyle w:val="2"/>
        <w:spacing w:before="240" w:line="420" w:lineRule="exact"/>
        <w:ind w:left="168" w:right="106"/>
        <w:rPr>
          <w:color w:val="000000"/>
          <w:sz w:val="24"/>
        </w:rPr>
      </w:pPr>
      <w:r>
        <w:rPr>
          <w:b/>
          <w:bCs/>
          <w:color w:val="000000"/>
          <w:sz w:val="24"/>
        </w:rPr>
        <w:t>1.1项目概况</w:t>
      </w:r>
    </w:p>
    <w:p>
      <w:pPr>
        <w:pStyle w:val="2"/>
        <w:spacing w:before="80" w:line="420" w:lineRule="exact"/>
        <w:ind w:left="177" w:right="138" w:firstLine="480" w:firstLineChars="200"/>
        <w:rPr>
          <w:color w:val="000000"/>
          <w:sz w:val="24"/>
        </w:rPr>
      </w:pPr>
      <w:r>
        <w:rPr>
          <w:color w:val="000000"/>
          <w:sz w:val="24"/>
        </w:rPr>
        <w:t>1.1.1根据《中华人民共和国招标投标法》《中华人民共和国招标投标法实施条例》《公路工程建设项目招标投标管理办法》等有关法律、法规和规章的规定，本招项目己具备招标条件，</w:t>
      </w:r>
      <w:r>
        <w:rPr>
          <w:rFonts w:hint="eastAsia"/>
          <w:color w:val="000000"/>
          <w:sz w:val="24"/>
        </w:rPr>
        <w:t>现对本标段施工监理进行招标。</w:t>
      </w:r>
    </w:p>
    <w:p>
      <w:pPr>
        <w:pStyle w:val="2"/>
        <w:spacing w:before="24" w:line="420" w:lineRule="exact"/>
        <w:ind w:left="657" w:right="106"/>
        <w:rPr>
          <w:color w:val="000000"/>
          <w:sz w:val="24"/>
        </w:rPr>
      </w:pPr>
      <w:r>
        <w:rPr>
          <w:color w:val="000000"/>
          <w:sz w:val="24"/>
        </w:rPr>
        <w:t>1.1.2本招标项目招标人：见投标人须知前附表。</w:t>
      </w:r>
    </w:p>
    <w:p>
      <w:pPr>
        <w:pStyle w:val="2"/>
        <w:spacing w:before="75" w:line="420" w:lineRule="exact"/>
        <w:ind w:left="652" w:right="106"/>
        <w:rPr>
          <w:color w:val="000000"/>
          <w:sz w:val="24"/>
        </w:rPr>
      </w:pPr>
      <w:r>
        <w:rPr>
          <w:color w:val="000000"/>
          <w:sz w:val="24"/>
        </w:rPr>
        <w:t>1.1.3本标段招标代理机构：见投标人须知前附表。</w:t>
      </w:r>
    </w:p>
    <w:p>
      <w:pPr>
        <w:pStyle w:val="2"/>
        <w:spacing w:before="85" w:line="420" w:lineRule="exact"/>
        <w:ind w:left="652" w:right="106"/>
        <w:rPr>
          <w:color w:val="000000"/>
          <w:sz w:val="24"/>
        </w:rPr>
      </w:pPr>
      <w:r>
        <w:rPr>
          <w:color w:val="000000"/>
          <w:sz w:val="24"/>
        </w:rPr>
        <w:t>1.1.4本招标项目名称：见投标人须知前附表。</w:t>
      </w:r>
    </w:p>
    <w:p>
      <w:pPr>
        <w:pStyle w:val="2"/>
        <w:spacing w:before="85" w:line="420" w:lineRule="exact"/>
        <w:ind w:left="652" w:right="106"/>
        <w:rPr>
          <w:color w:val="000000"/>
          <w:sz w:val="24"/>
        </w:rPr>
      </w:pPr>
      <w:r>
        <w:rPr>
          <w:color w:val="000000"/>
          <w:sz w:val="24"/>
        </w:rPr>
        <w:t>1.1.5本标段建设地点：见投标人须知前附表。</w:t>
      </w:r>
    </w:p>
    <w:p>
      <w:pPr>
        <w:pStyle w:val="2"/>
        <w:spacing w:before="75" w:line="420" w:lineRule="exact"/>
        <w:ind w:left="657" w:right="106"/>
        <w:rPr>
          <w:color w:val="000000"/>
          <w:sz w:val="24"/>
        </w:rPr>
      </w:pPr>
      <w:r>
        <w:rPr>
          <w:color w:val="000000"/>
          <w:sz w:val="24"/>
        </w:rPr>
        <w:t>1.1.6本标段建设规模：见投标人须知前附表。</w:t>
      </w:r>
    </w:p>
    <w:p>
      <w:pPr>
        <w:pStyle w:val="2"/>
        <w:spacing w:before="75" w:line="420" w:lineRule="exact"/>
        <w:ind w:left="657" w:right="106"/>
        <w:rPr>
          <w:color w:val="000000"/>
          <w:sz w:val="24"/>
        </w:rPr>
      </w:pPr>
      <w:r>
        <w:rPr>
          <w:rFonts w:hint="eastAsia"/>
          <w:color w:val="000000"/>
          <w:sz w:val="24"/>
        </w:rPr>
        <w:t>1.1.7招标项目施工预计开工日期和建设周期：见投标人须知前附表。</w:t>
      </w:r>
    </w:p>
    <w:p>
      <w:pPr>
        <w:pStyle w:val="2"/>
        <w:spacing w:before="75" w:line="420" w:lineRule="exact"/>
        <w:ind w:left="657" w:right="106"/>
        <w:rPr>
          <w:color w:val="000000"/>
          <w:sz w:val="24"/>
        </w:rPr>
      </w:pPr>
      <w:r>
        <w:rPr>
          <w:rFonts w:hint="eastAsia"/>
          <w:color w:val="000000"/>
          <w:sz w:val="24"/>
        </w:rPr>
        <w:t>1.1.8建筑安装工程费/工程概算：见投标人须知前附表。</w:t>
      </w:r>
    </w:p>
    <w:p>
      <w:pPr>
        <w:spacing w:line="420" w:lineRule="exact"/>
        <w:ind w:left="168" w:right="106"/>
        <w:rPr>
          <w:b/>
          <w:bCs/>
          <w:color w:val="000000"/>
          <w:sz w:val="24"/>
        </w:rPr>
      </w:pPr>
      <w:r>
        <w:rPr>
          <w:rFonts w:cs="Arial"/>
          <w:b/>
          <w:bCs/>
          <w:color w:val="000000"/>
          <w:sz w:val="24"/>
        </w:rPr>
        <w:t>1.2</w:t>
      </w:r>
      <w:r>
        <w:rPr>
          <w:b/>
          <w:bCs/>
          <w:color w:val="000000"/>
          <w:sz w:val="24"/>
        </w:rPr>
        <w:t>招标项目的资金来源和落实情况</w:t>
      </w:r>
    </w:p>
    <w:p>
      <w:pPr>
        <w:pStyle w:val="2"/>
        <w:spacing w:line="420" w:lineRule="exact"/>
        <w:ind w:left="652" w:right="106"/>
        <w:rPr>
          <w:color w:val="000000"/>
          <w:sz w:val="24"/>
        </w:rPr>
      </w:pPr>
      <w:r>
        <w:rPr>
          <w:color w:val="000000"/>
          <w:sz w:val="24"/>
        </w:rPr>
        <w:t>1.2.1</w:t>
      </w:r>
      <w:r>
        <w:rPr>
          <w:rFonts w:hint="eastAsia"/>
          <w:color w:val="000000"/>
          <w:sz w:val="24"/>
        </w:rPr>
        <w:t>资金来源及比例：见投标人须知前附。</w:t>
      </w:r>
    </w:p>
    <w:p>
      <w:pPr>
        <w:pStyle w:val="2"/>
        <w:spacing w:before="143" w:line="420" w:lineRule="exact"/>
        <w:ind w:left="657" w:right="106"/>
        <w:rPr>
          <w:color w:val="000000"/>
          <w:sz w:val="24"/>
        </w:rPr>
      </w:pPr>
      <w:r>
        <w:rPr>
          <w:color w:val="000000"/>
          <w:sz w:val="24"/>
        </w:rPr>
        <w:t>1.2.2</w:t>
      </w:r>
      <w:r>
        <w:rPr>
          <w:rFonts w:hint="eastAsia"/>
          <w:color w:val="000000"/>
          <w:sz w:val="24"/>
        </w:rPr>
        <w:t>资金落实情况：见投标人须知前附表。</w:t>
      </w:r>
    </w:p>
    <w:p>
      <w:pPr>
        <w:spacing w:line="420" w:lineRule="exact"/>
        <w:ind w:left="168" w:right="106"/>
        <w:rPr>
          <w:b/>
          <w:bCs/>
          <w:color w:val="000000"/>
          <w:sz w:val="24"/>
        </w:rPr>
      </w:pPr>
      <w:r>
        <w:rPr>
          <w:rFonts w:cs="Arial"/>
          <w:b/>
          <w:bCs/>
          <w:color w:val="000000"/>
          <w:sz w:val="24"/>
        </w:rPr>
        <w:t>1.3</w:t>
      </w:r>
      <w:r>
        <w:rPr>
          <w:b/>
          <w:bCs/>
          <w:color w:val="000000"/>
          <w:sz w:val="24"/>
        </w:rPr>
        <w:t>招标范围、</w:t>
      </w:r>
      <w:r>
        <w:rPr>
          <w:rFonts w:hint="eastAsia"/>
          <w:b/>
          <w:bCs/>
          <w:color w:val="000000"/>
          <w:sz w:val="24"/>
        </w:rPr>
        <w:t>监理服务期限</w:t>
      </w:r>
      <w:r>
        <w:rPr>
          <w:b/>
          <w:bCs/>
          <w:color w:val="000000"/>
          <w:sz w:val="24"/>
        </w:rPr>
        <w:t>、质量要求和安全目标</w:t>
      </w:r>
    </w:p>
    <w:p>
      <w:pPr>
        <w:pStyle w:val="2"/>
        <w:spacing w:line="420" w:lineRule="exact"/>
        <w:ind w:left="652" w:right="106"/>
        <w:rPr>
          <w:color w:val="000000"/>
          <w:sz w:val="24"/>
        </w:rPr>
      </w:pPr>
      <w:r>
        <w:rPr>
          <w:color w:val="000000"/>
          <w:sz w:val="24"/>
        </w:rPr>
        <w:t>1.3.1</w:t>
      </w:r>
      <w:r>
        <w:rPr>
          <w:rFonts w:hint="eastAsia"/>
          <w:color w:val="000000"/>
          <w:sz w:val="24"/>
        </w:rPr>
        <w:t>招标范围：见投标人须知前附表。</w:t>
      </w:r>
    </w:p>
    <w:p>
      <w:pPr>
        <w:pStyle w:val="2"/>
        <w:spacing w:before="75" w:line="420" w:lineRule="exact"/>
        <w:ind w:left="657" w:right="106"/>
        <w:rPr>
          <w:color w:val="000000"/>
          <w:sz w:val="24"/>
        </w:rPr>
      </w:pPr>
      <w:r>
        <w:rPr>
          <w:color w:val="000000"/>
          <w:sz w:val="24"/>
        </w:rPr>
        <w:t>1.3.2本标段的</w:t>
      </w:r>
      <w:r>
        <w:rPr>
          <w:rFonts w:hint="eastAsia"/>
          <w:color w:val="000000"/>
          <w:sz w:val="24"/>
        </w:rPr>
        <w:t>监理服务期限</w:t>
      </w:r>
      <w:r>
        <w:rPr>
          <w:color w:val="000000"/>
          <w:sz w:val="24"/>
        </w:rPr>
        <w:t>：见投标人须知前附表。</w:t>
      </w:r>
    </w:p>
    <w:p>
      <w:pPr>
        <w:pStyle w:val="2"/>
        <w:spacing w:before="80" w:line="420" w:lineRule="exact"/>
        <w:ind w:left="657" w:right="106"/>
        <w:rPr>
          <w:color w:val="000000"/>
          <w:sz w:val="24"/>
        </w:rPr>
      </w:pPr>
      <w:r>
        <w:rPr>
          <w:color w:val="000000"/>
          <w:sz w:val="24"/>
        </w:rPr>
        <w:t>1.3.3本标段的质量要求：见投标人须知前附表。</w:t>
      </w:r>
    </w:p>
    <w:p>
      <w:pPr>
        <w:pStyle w:val="2"/>
        <w:spacing w:before="80" w:line="420" w:lineRule="exact"/>
        <w:ind w:left="657" w:right="106"/>
        <w:rPr>
          <w:color w:val="000000"/>
          <w:sz w:val="24"/>
        </w:rPr>
      </w:pPr>
      <w:r>
        <w:rPr>
          <w:color w:val="000000"/>
          <w:sz w:val="24"/>
        </w:rPr>
        <w:t>1.3.4本标段的安全目标：见投标人须知前附表。</w:t>
      </w:r>
    </w:p>
    <w:p>
      <w:pPr>
        <w:pStyle w:val="2"/>
        <w:spacing w:before="12" w:line="420" w:lineRule="exact"/>
        <w:ind w:left="168" w:right="106"/>
        <w:rPr>
          <w:b/>
          <w:bCs/>
          <w:color w:val="000000"/>
          <w:sz w:val="24"/>
        </w:rPr>
      </w:pPr>
      <w:r>
        <w:rPr>
          <w:rFonts w:cs="Arial"/>
          <w:b/>
          <w:bCs/>
          <w:color w:val="000000"/>
          <w:sz w:val="24"/>
        </w:rPr>
        <w:t>1.4</w:t>
      </w:r>
      <w:r>
        <w:rPr>
          <w:b/>
          <w:bCs/>
          <w:color w:val="000000"/>
          <w:sz w:val="24"/>
        </w:rPr>
        <w:t>投标人资格要求</w:t>
      </w:r>
    </w:p>
    <w:p>
      <w:pPr>
        <w:pStyle w:val="2"/>
        <w:spacing w:line="420" w:lineRule="exact"/>
        <w:ind w:left="652" w:right="106"/>
        <w:rPr>
          <w:color w:val="000000"/>
          <w:sz w:val="24"/>
        </w:rPr>
      </w:pPr>
      <w:r>
        <w:rPr>
          <w:color w:val="000000"/>
          <w:sz w:val="24"/>
        </w:rPr>
        <w:t>1.4.1投标人应具备承担本标段</w:t>
      </w:r>
      <w:r>
        <w:rPr>
          <w:rFonts w:hint="eastAsia"/>
          <w:color w:val="000000"/>
          <w:sz w:val="24"/>
        </w:rPr>
        <w:t>施工监理</w:t>
      </w:r>
      <w:r>
        <w:rPr>
          <w:color w:val="000000"/>
          <w:sz w:val="24"/>
        </w:rPr>
        <w:t>的资质条件、能力和信誉。</w:t>
      </w:r>
    </w:p>
    <w:p>
      <w:pPr>
        <w:pStyle w:val="2"/>
        <w:spacing w:before="80" w:line="420" w:lineRule="exact"/>
        <w:ind w:left="657" w:right="106"/>
        <w:rPr>
          <w:color w:val="000000"/>
          <w:sz w:val="24"/>
        </w:rPr>
      </w:pPr>
      <w:r>
        <w:rPr>
          <w:rFonts w:hint="eastAsia"/>
          <w:color w:val="000000"/>
          <w:sz w:val="24"/>
        </w:rPr>
        <w:t>(1)</w:t>
      </w:r>
      <w:r>
        <w:rPr>
          <w:color w:val="000000"/>
          <w:sz w:val="24"/>
        </w:rPr>
        <w:t>资质要求：见投标人须知前附表；</w:t>
      </w:r>
    </w:p>
    <w:p>
      <w:pPr>
        <w:pStyle w:val="2"/>
        <w:spacing w:before="80" w:line="420" w:lineRule="exact"/>
        <w:ind w:left="657" w:right="106"/>
        <w:rPr>
          <w:color w:val="000000"/>
          <w:sz w:val="24"/>
        </w:rPr>
      </w:pPr>
      <w:r>
        <w:rPr>
          <w:rFonts w:hint="eastAsia"/>
          <w:color w:val="000000"/>
          <w:sz w:val="24"/>
        </w:rPr>
        <w:t>(2)</w:t>
      </w:r>
      <w:r>
        <w:rPr>
          <w:color w:val="000000"/>
          <w:sz w:val="24"/>
        </w:rPr>
        <w:t>业绩要求：见投标人须知前附表；</w:t>
      </w:r>
    </w:p>
    <w:p>
      <w:pPr>
        <w:pStyle w:val="2"/>
        <w:spacing w:before="80" w:line="420" w:lineRule="exact"/>
        <w:ind w:left="657" w:right="106"/>
        <w:rPr>
          <w:color w:val="000000"/>
          <w:sz w:val="24"/>
        </w:rPr>
      </w:pPr>
      <w:r>
        <w:rPr>
          <w:rFonts w:hint="eastAsia"/>
          <w:color w:val="000000"/>
          <w:sz w:val="24"/>
        </w:rPr>
        <w:t>(3)</w:t>
      </w:r>
      <w:r>
        <w:rPr>
          <w:color w:val="000000"/>
          <w:sz w:val="24"/>
        </w:rPr>
        <w:t>信誉要求：见投标人须知前附表</w:t>
      </w:r>
      <w:r>
        <w:rPr>
          <w:rFonts w:hint="eastAsia"/>
          <w:color w:val="000000"/>
          <w:sz w:val="24"/>
        </w:rPr>
        <w:t>；</w:t>
      </w:r>
    </w:p>
    <w:p>
      <w:pPr>
        <w:pStyle w:val="2"/>
        <w:spacing w:before="80" w:line="420" w:lineRule="exact"/>
        <w:ind w:left="657" w:right="106"/>
        <w:rPr>
          <w:color w:val="000000"/>
          <w:sz w:val="24"/>
        </w:rPr>
      </w:pPr>
      <w:r>
        <w:rPr>
          <w:rFonts w:hint="eastAsia"/>
          <w:color w:val="000000"/>
          <w:sz w:val="24"/>
        </w:rPr>
        <w:t>(4)总监理工程师或驻地监理工程师资格</w:t>
      </w:r>
      <w:r>
        <w:rPr>
          <w:color w:val="000000"/>
          <w:sz w:val="24"/>
        </w:rPr>
        <w:t>：见投标人须知前附表</w:t>
      </w:r>
      <w:r>
        <w:rPr>
          <w:rFonts w:hint="eastAsia"/>
          <w:color w:val="000000"/>
          <w:sz w:val="24"/>
        </w:rPr>
        <w:t>；</w:t>
      </w:r>
    </w:p>
    <w:p>
      <w:pPr>
        <w:pStyle w:val="2"/>
        <w:spacing w:before="80" w:line="420" w:lineRule="exact"/>
        <w:ind w:left="657" w:right="106"/>
        <w:rPr>
          <w:color w:val="000000"/>
          <w:sz w:val="24"/>
        </w:rPr>
      </w:pPr>
      <w:r>
        <w:rPr>
          <w:rFonts w:hint="eastAsia"/>
          <w:color w:val="000000"/>
          <w:sz w:val="24"/>
        </w:rPr>
        <w:t>(5)</w:t>
      </w:r>
      <w:r>
        <w:rPr>
          <w:color w:val="000000"/>
          <w:sz w:val="24"/>
        </w:rPr>
        <w:t>其他要求：见投标人须知前附表。</w:t>
      </w:r>
    </w:p>
    <w:p>
      <w:pPr>
        <w:pStyle w:val="2"/>
        <w:spacing w:before="29" w:line="420" w:lineRule="exact"/>
        <w:ind w:left="643" w:right="170"/>
        <w:rPr>
          <w:color w:val="000000"/>
          <w:sz w:val="24"/>
        </w:rPr>
      </w:pPr>
      <w:r>
        <w:rPr>
          <w:color w:val="000000"/>
          <w:sz w:val="24"/>
        </w:rPr>
        <w:t>需要提交的相关证明材料见本章第3.5款的规定。</w:t>
      </w:r>
    </w:p>
    <w:p>
      <w:pPr>
        <w:spacing w:before="87" w:line="420" w:lineRule="exact"/>
        <w:ind w:right="170" w:firstLine="650" w:firstLineChars="271"/>
        <w:rPr>
          <w:color w:val="000000"/>
          <w:sz w:val="24"/>
        </w:rPr>
      </w:pPr>
      <w:r>
        <w:rPr>
          <w:color w:val="000000"/>
          <w:sz w:val="24"/>
        </w:rPr>
        <w:t>1.4.2投标人须知前附表规定接受联合体</w:t>
      </w:r>
      <w:r>
        <w:rPr>
          <w:rFonts w:hint="eastAsia"/>
          <w:color w:val="000000"/>
          <w:sz w:val="24"/>
        </w:rPr>
        <w:t>投标</w:t>
      </w:r>
      <w:r>
        <w:rPr>
          <w:color w:val="000000"/>
          <w:sz w:val="24"/>
        </w:rPr>
        <w:t>的，联合体除应符合本章第1.4.1项和投标人须知前附表的要求外，还应遵守以下规定：</w:t>
      </w:r>
    </w:p>
    <w:p>
      <w:pPr>
        <w:pStyle w:val="2"/>
        <w:spacing w:before="92" w:line="420" w:lineRule="exact"/>
        <w:ind w:right="317" w:firstLine="720" w:firstLineChars="300"/>
        <w:rPr>
          <w:color w:val="000000"/>
          <w:sz w:val="24"/>
        </w:rPr>
      </w:pPr>
      <w:r>
        <w:rPr>
          <w:rFonts w:hint="eastAsia" w:cs="Arial"/>
          <w:color w:val="000000"/>
          <w:sz w:val="24"/>
        </w:rPr>
        <w:t>(1)</w:t>
      </w:r>
      <w:r>
        <w:rPr>
          <w:color w:val="000000"/>
          <w:sz w:val="24"/>
        </w:rPr>
        <w:t>联合体各方应按招标文件提供的格式签订联合体协议书</w:t>
      </w:r>
      <w:r>
        <w:rPr>
          <w:rFonts w:hint="eastAsia"/>
          <w:color w:val="000000"/>
          <w:sz w:val="24"/>
        </w:rPr>
        <w:t>，</w:t>
      </w:r>
      <w:r>
        <w:rPr>
          <w:color w:val="000000"/>
          <w:sz w:val="24"/>
        </w:rPr>
        <w:t>明确联合体牵头人和各方权利义务，并承诺就中标项目向招标人承担连带责任</w:t>
      </w:r>
      <w:r>
        <w:rPr>
          <w:rFonts w:hint="eastAsia"/>
          <w:color w:val="000000"/>
          <w:sz w:val="24"/>
        </w:rPr>
        <w:t>；</w:t>
      </w:r>
    </w:p>
    <w:p>
      <w:pPr>
        <w:pStyle w:val="2"/>
        <w:spacing w:before="26" w:line="420" w:lineRule="exact"/>
        <w:ind w:right="101" w:firstLine="720" w:firstLineChars="300"/>
        <w:rPr>
          <w:color w:val="000000"/>
          <w:sz w:val="24"/>
        </w:rPr>
      </w:pPr>
      <w:r>
        <w:rPr>
          <w:rFonts w:hint="eastAsia" w:cs="Arial"/>
          <w:color w:val="000000"/>
          <w:sz w:val="24"/>
        </w:rPr>
        <w:t>(2)</w:t>
      </w:r>
      <w:r>
        <w:rPr>
          <w:color w:val="000000"/>
          <w:sz w:val="24"/>
        </w:rPr>
        <w:t>由同一专业的单位组成的联合体，按照资质等级较低的单位确定资质等级；</w:t>
      </w:r>
    </w:p>
    <w:p>
      <w:pPr>
        <w:pStyle w:val="2"/>
        <w:spacing w:before="26" w:line="420" w:lineRule="exact"/>
        <w:ind w:right="101" w:firstLine="720" w:firstLineChars="300"/>
        <w:rPr>
          <w:color w:val="000000"/>
          <w:sz w:val="24"/>
        </w:rPr>
      </w:pPr>
      <w:r>
        <w:rPr>
          <w:rFonts w:hint="eastAsia" w:cs="Arial"/>
          <w:color w:val="000000"/>
          <w:sz w:val="24"/>
        </w:rPr>
        <w:t>(3)</w:t>
      </w:r>
      <w:r>
        <w:rPr>
          <w:color w:val="000000"/>
          <w:sz w:val="24"/>
        </w:rPr>
        <w:t>联合体各方不得再以自己名义单独或参加其他联合体在同一标段中投标；</w:t>
      </w:r>
    </w:p>
    <w:p>
      <w:pPr>
        <w:pStyle w:val="2"/>
        <w:spacing w:before="26" w:line="420" w:lineRule="exact"/>
        <w:ind w:right="101" w:firstLine="720" w:firstLineChars="300"/>
        <w:rPr>
          <w:color w:val="000000"/>
          <w:sz w:val="24"/>
        </w:rPr>
      </w:pPr>
      <w:r>
        <w:rPr>
          <w:rFonts w:hint="eastAsia" w:cs="Arial"/>
          <w:color w:val="000000"/>
          <w:sz w:val="24"/>
        </w:rPr>
        <w:t>(4)</w:t>
      </w:r>
      <w:r>
        <w:rPr>
          <w:color w:val="000000"/>
          <w:sz w:val="24"/>
        </w:rPr>
        <w:t>联合体各方应分别按照本招标文件的要求，填写投标文件中的相应表格，并由联合体牵头人负责对联合体各成员的资料进行统一汇总后一并提交给招标人；联合体牵头人所提交的投标文件应认为己代表了联合体各成员的真实情况；</w:t>
      </w:r>
    </w:p>
    <w:p>
      <w:pPr>
        <w:pStyle w:val="2"/>
        <w:spacing w:before="14" w:line="420" w:lineRule="exact"/>
        <w:ind w:right="340" w:firstLine="720" w:firstLineChars="300"/>
        <w:rPr>
          <w:color w:val="000000"/>
          <w:sz w:val="24"/>
        </w:rPr>
      </w:pPr>
      <w:r>
        <w:rPr>
          <w:rFonts w:hint="eastAsia" w:cs="Arial"/>
          <w:color w:val="000000"/>
          <w:sz w:val="24"/>
        </w:rPr>
        <w:t>(5)</w:t>
      </w:r>
      <w:r>
        <w:rPr>
          <w:color w:val="000000"/>
          <w:sz w:val="24"/>
        </w:rPr>
        <w:t>尽管委任了联合体牵头人，但联合体各成员在投标、签订合同与履行合同过程中，仍负有连带的和各自的法律责任。</w:t>
      </w:r>
    </w:p>
    <w:p>
      <w:pPr>
        <w:pStyle w:val="2"/>
        <w:spacing w:before="35" w:line="420" w:lineRule="exact"/>
        <w:ind w:left="652" w:right="170"/>
        <w:rPr>
          <w:color w:val="000000"/>
          <w:sz w:val="24"/>
        </w:rPr>
      </w:pPr>
      <w:r>
        <w:rPr>
          <w:color w:val="000000"/>
          <w:sz w:val="24"/>
        </w:rPr>
        <w:t>1.4.3投标人（包括联合体各成员）不得与本标段相关单位存在下列关联</w:t>
      </w:r>
      <w:r>
        <w:rPr>
          <w:rFonts w:hint="eastAsia"/>
          <w:color w:val="000000"/>
          <w:sz w:val="24"/>
        </w:rPr>
        <w:t>情形</w:t>
      </w:r>
      <w:r>
        <w:rPr>
          <w:color w:val="000000"/>
          <w:sz w:val="24"/>
        </w:rPr>
        <w:t>：</w:t>
      </w:r>
    </w:p>
    <w:p>
      <w:pPr>
        <w:pStyle w:val="2"/>
        <w:spacing w:before="82" w:line="420" w:lineRule="exact"/>
        <w:ind w:left="763" w:right="2506"/>
        <w:rPr>
          <w:color w:val="000000"/>
          <w:sz w:val="24"/>
        </w:rPr>
      </w:pPr>
      <w:r>
        <w:rPr>
          <w:rFonts w:hint="eastAsia" w:cs="Arial"/>
          <w:color w:val="000000"/>
          <w:sz w:val="24"/>
        </w:rPr>
        <w:t>(1)</w:t>
      </w:r>
      <w:r>
        <w:rPr>
          <w:color w:val="000000"/>
          <w:sz w:val="24"/>
        </w:rPr>
        <w:t>为招标人不具有独立法人资格的附属机构（单位）</w:t>
      </w:r>
      <w:r>
        <w:rPr>
          <w:rFonts w:hint="eastAsia"/>
          <w:color w:val="000000"/>
          <w:sz w:val="24"/>
        </w:rPr>
        <w:t>；</w:t>
      </w:r>
    </w:p>
    <w:p>
      <w:pPr>
        <w:pStyle w:val="2"/>
        <w:spacing w:before="82" w:line="420" w:lineRule="exact"/>
        <w:ind w:left="763" w:right="2506"/>
        <w:rPr>
          <w:color w:val="000000"/>
          <w:sz w:val="24"/>
        </w:rPr>
      </w:pPr>
      <w:r>
        <w:rPr>
          <w:rFonts w:hint="eastAsia" w:cs="Arial"/>
          <w:color w:val="000000"/>
          <w:sz w:val="24"/>
        </w:rPr>
        <w:t>(2)</w:t>
      </w:r>
      <w:r>
        <w:rPr>
          <w:color w:val="000000"/>
          <w:sz w:val="24"/>
        </w:rPr>
        <w:t>与招标人存在利害关系且可能影响招标公正性</w:t>
      </w:r>
      <w:r>
        <w:rPr>
          <w:rFonts w:hint="eastAsia"/>
          <w:color w:val="000000"/>
          <w:sz w:val="24"/>
        </w:rPr>
        <w:t>；</w:t>
      </w:r>
    </w:p>
    <w:p>
      <w:pPr>
        <w:pStyle w:val="2"/>
        <w:spacing w:before="82" w:line="420" w:lineRule="exact"/>
        <w:ind w:left="763" w:right="2506"/>
        <w:rPr>
          <w:color w:val="000000"/>
          <w:sz w:val="24"/>
        </w:rPr>
      </w:pPr>
      <w:r>
        <w:rPr>
          <w:rFonts w:hint="eastAsia" w:cs="Arial"/>
          <w:color w:val="000000"/>
          <w:sz w:val="24"/>
        </w:rPr>
        <w:t>(3)</w:t>
      </w:r>
      <w:r>
        <w:rPr>
          <w:color w:val="000000"/>
          <w:sz w:val="24"/>
        </w:rPr>
        <w:t>与本标段的其他投标人同为一个单位负责人；</w:t>
      </w:r>
    </w:p>
    <w:p>
      <w:pPr>
        <w:pStyle w:val="2"/>
        <w:spacing w:before="21" w:line="420" w:lineRule="exact"/>
        <w:ind w:left="763" w:right="170"/>
        <w:rPr>
          <w:color w:val="000000"/>
          <w:sz w:val="24"/>
        </w:rPr>
      </w:pPr>
      <w:r>
        <w:rPr>
          <w:rFonts w:hint="eastAsia" w:cs="Arial"/>
          <w:color w:val="000000"/>
          <w:sz w:val="24"/>
        </w:rPr>
        <w:t>(4)</w:t>
      </w:r>
      <w:r>
        <w:rPr>
          <w:color w:val="000000"/>
          <w:sz w:val="24"/>
        </w:rPr>
        <w:t>与本标段的其他投标人存在控股、管理关系</w:t>
      </w:r>
      <w:r>
        <w:rPr>
          <w:rFonts w:hint="eastAsia"/>
          <w:color w:val="000000"/>
          <w:sz w:val="24"/>
        </w:rPr>
        <w:t>；</w:t>
      </w:r>
    </w:p>
    <w:p>
      <w:pPr>
        <w:spacing w:before="81" w:line="420" w:lineRule="exact"/>
        <w:ind w:left="763" w:right="170"/>
        <w:rPr>
          <w:color w:val="000000"/>
          <w:sz w:val="24"/>
        </w:rPr>
      </w:pPr>
      <w:r>
        <w:rPr>
          <w:rFonts w:hint="eastAsia" w:cs="Arial"/>
          <w:color w:val="000000"/>
          <w:sz w:val="24"/>
        </w:rPr>
        <w:t>(5)</w:t>
      </w:r>
      <w:r>
        <w:rPr>
          <w:color w:val="000000"/>
          <w:sz w:val="24"/>
        </w:rPr>
        <w:t>为本标段的代建人；</w:t>
      </w:r>
    </w:p>
    <w:p>
      <w:pPr>
        <w:spacing w:before="86" w:line="420" w:lineRule="exact"/>
        <w:ind w:left="763" w:right="170"/>
        <w:rPr>
          <w:color w:val="000000"/>
          <w:sz w:val="24"/>
        </w:rPr>
      </w:pPr>
      <w:r>
        <w:rPr>
          <w:rFonts w:hint="eastAsia" w:cs="Arial"/>
          <w:color w:val="000000"/>
          <w:sz w:val="24"/>
        </w:rPr>
        <w:t>(6)</w:t>
      </w:r>
      <w:r>
        <w:rPr>
          <w:color w:val="000000"/>
          <w:sz w:val="24"/>
        </w:rPr>
        <w:t>为本标段的招标代理机构</w:t>
      </w:r>
      <w:r>
        <w:rPr>
          <w:rFonts w:hint="eastAsia"/>
          <w:color w:val="000000"/>
          <w:sz w:val="24"/>
        </w:rPr>
        <w:t>；</w:t>
      </w:r>
    </w:p>
    <w:p>
      <w:pPr>
        <w:pStyle w:val="2"/>
        <w:spacing w:before="91" w:line="420" w:lineRule="exact"/>
        <w:ind w:left="763" w:right="170"/>
        <w:rPr>
          <w:color w:val="000000"/>
          <w:sz w:val="24"/>
        </w:rPr>
      </w:pPr>
      <w:r>
        <w:rPr>
          <w:rFonts w:hint="eastAsia" w:cs="Arial"/>
          <w:color w:val="000000"/>
          <w:sz w:val="24"/>
        </w:rPr>
        <w:t>(7)</w:t>
      </w:r>
      <w:r>
        <w:rPr>
          <w:color w:val="000000"/>
          <w:sz w:val="24"/>
        </w:rPr>
        <w:t>与本标段的代建人或招标代理机构同为一个法定代表人</w:t>
      </w:r>
      <w:r>
        <w:rPr>
          <w:rFonts w:hint="eastAsia"/>
          <w:color w:val="000000"/>
          <w:sz w:val="24"/>
        </w:rPr>
        <w:t>；</w:t>
      </w:r>
    </w:p>
    <w:p>
      <w:pPr>
        <w:pStyle w:val="2"/>
        <w:spacing w:before="91" w:line="420" w:lineRule="exact"/>
        <w:ind w:left="763" w:right="170"/>
        <w:rPr>
          <w:color w:val="000000"/>
          <w:sz w:val="24"/>
        </w:rPr>
      </w:pPr>
      <w:r>
        <w:rPr>
          <w:rFonts w:hint="eastAsia" w:cs="Arial"/>
          <w:color w:val="000000"/>
          <w:sz w:val="24"/>
        </w:rPr>
        <w:t>(8)</w:t>
      </w:r>
      <w:r>
        <w:rPr>
          <w:color w:val="000000"/>
          <w:sz w:val="24"/>
        </w:rPr>
        <w:t>与本标段的代建人或招标代理机构存在控股或参股关系</w:t>
      </w:r>
      <w:r>
        <w:rPr>
          <w:rFonts w:hint="eastAsia"/>
          <w:color w:val="000000"/>
          <w:sz w:val="24"/>
        </w:rPr>
        <w:t>；</w:t>
      </w:r>
    </w:p>
    <w:p>
      <w:pPr>
        <w:pStyle w:val="2"/>
        <w:spacing w:before="91" w:line="420" w:lineRule="exact"/>
        <w:ind w:left="141" w:leftChars="67" w:right="170" w:firstLine="600" w:firstLineChars="250"/>
        <w:rPr>
          <w:color w:val="000000"/>
          <w:sz w:val="24"/>
        </w:rPr>
      </w:pPr>
      <w:r>
        <w:rPr>
          <w:rFonts w:hint="eastAsia"/>
          <w:color w:val="000000"/>
          <w:sz w:val="24"/>
        </w:rPr>
        <w:t>(9)与本标段对应工程的施工承包人以及建筑材料、建筑构配件和设备供应商有隶属关系或其他利害关系；</w:t>
      </w:r>
    </w:p>
    <w:p>
      <w:pPr>
        <w:pStyle w:val="2"/>
        <w:spacing w:before="33" w:line="420" w:lineRule="exact"/>
        <w:ind w:left="763" w:right="170"/>
        <w:rPr>
          <w:color w:val="000000"/>
          <w:sz w:val="24"/>
        </w:rPr>
      </w:pPr>
      <w:r>
        <w:rPr>
          <w:rFonts w:hint="eastAsia" w:cs="Arial"/>
          <w:color w:val="000000"/>
          <w:sz w:val="24"/>
        </w:rPr>
        <w:t>(10)</w:t>
      </w:r>
      <w:r>
        <w:rPr>
          <w:color w:val="000000"/>
          <w:sz w:val="24"/>
        </w:rPr>
        <w:t>法律法规或投标人须知前附表规定的其他情形。</w:t>
      </w:r>
    </w:p>
    <w:p>
      <w:pPr>
        <w:pStyle w:val="2"/>
        <w:spacing w:before="91" w:line="420" w:lineRule="exact"/>
        <w:ind w:left="652" w:right="170"/>
        <w:rPr>
          <w:color w:val="000000"/>
          <w:sz w:val="24"/>
        </w:rPr>
      </w:pPr>
      <w:r>
        <w:rPr>
          <w:color w:val="000000"/>
          <w:sz w:val="24"/>
        </w:rPr>
        <w:t>1.4.4投标人</w:t>
      </w:r>
      <w:r>
        <w:rPr>
          <w:rFonts w:hint="eastAsia"/>
          <w:color w:val="000000"/>
          <w:sz w:val="24"/>
        </w:rPr>
        <w:t>（</w:t>
      </w:r>
      <w:r>
        <w:rPr>
          <w:color w:val="000000"/>
          <w:sz w:val="24"/>
        </w:rPr>
        <w:t>包括联合体各成员</w:t>
      </w:r>
      <w:r>
        <w:rPr>
          <w:rFonts w:hint="eastAsia"/>
          <w:color w:val="000000"/>
          <w:sz w:val="24"/>
        </w:rPr>
        <w:t>）</w:t>
      </w:r>
      <w:r>
        <w:rPr>
          <w:color w:val="000000"/>
          <w:sz w:val="24"/>
        </w:rPr>
        <w:t>不得存在下列不良状况或不良信用记录：</w:t>
      </w:r>
    </w:p>
    <w:p>
      <w:pPr>
        <w:pStyle w:val="2"/>
        <w:spacing w:before="82" w:line="420" w:lineRule="exact"/>
        <w:ind w:left="163" w:right="304" w:firstLine="600"/>
        <w:rPr>
          <w:color w:val="000000"/>
          <w:sz w:val="24"/>
        </w:rPr>
      </w:pPr>
      <w:r>
        <w:rPr>
          <w:rFonts w:hint="eastAsia" w:cs="Arial"/>
          <w:color w:val="000000"/>
          <w:sz w:val="24"/>
        </w:rPr>
        <w:t>(1)</w:t>
      </w:r>
      <w:r>
        <w:rPr>
          <w:color w:val="000000"/>
          <w:sz w:val="24"/>
        </w:rPr>
        <w:t>被省级及以上交通运输主管部门取消招标项目所在地的投标资格且处于有效期内</w:t>
      </w:r>
      <w:r>
        <w:rPr>
          <w:rFonts w:hint="eastAsia"/>
          <w:color w:val="000000"/>
          <w:sz w:val="24"/>
        </w:rPr>
        <w:t>；</w:t>
      </w:r>
    </w:p>
    <w:p>
      <w:pPr>
        <w:pStyle w:val="2"/>
        <w:spacing w:before="19" w:line="420" w:lineRule="exact"/>
        <w:ind w:right="94" w:firstLine="720" w:firstLineChars="300"/>
        <w:rPr>
          <w:color w:val="000000"/>
          <w:sz w:val="24"/>
        </w:rPr>
      </w:pPr>
      <w:r>
        <w:rPr>
          <w:rFonts w:hint="eastAsia"/>
          <w:color w:val="000000"/>
          <w:sz w:val="24"/>
        </w:rPr>
        <w:t>(2)被责令停业，暂扣或吊销执照，或吊销资质证书；</w:t>
      </w:r>
    </w:p>
    <w:p>
      <w:pPr>
        <w:pStyle w:val="2"/>
        <w:spacing w:before="19" w:line="420" w:lineRule="exact"/>
        <w:ind w:right="94" w:firstLine="720" w:firstLineChars="300"/>
        <w:rPr>
          <w:color w:val="000000"/>
          <w:sz w:val="24"/>
        </w:rPr>
      </w:pPr>
      <w:r>
        <w:rPr>
          <w:rFonts w:hint="eastAsia"/>
          <w:color w:val="000000"/>
          <w:sz w:val="24"/>
        </w:rPr>
        <w:t>(3)进入清算程序，或被宣告破产，或其他丧失履约能力的情形；</w:t>
      </w:r>
    </w:p>
    <w:p>
      <w:pPr>
        <w:pStyle w:val="2"/>
        <w:spacing w:before="19" w:line="420" w:lineRule="exact"/>
        <w:ind w:right="94" w:firstLine="720" w:firstLineChars="300"/>
        <w:rPr>
          <w:color w:val="000000"/>
          <w:sz w:val="24"/>
        </w:rPr>
      </w:pPr>
      <w:r>
        <w:rPr>
          <w:rFonts w:hint="eastAsia"/>
          <w:color w:val="000000"/>
          <w:sz w:val="24"/>
        </w:rPr>
        <w:t>(4)在国家企业信用信息公示系统（http：//</w:t>
      </w:r>
      <w:r>
        <w:fldChar w:fldCharType="begin"/>
      </w:r>
      <w:r>
        <w:instrText xml:space="preserve"> HYPERLINK "http://www.gsxt.gov.cn/" \h </w:instrText>
      </w:r>
      <w:r>
        <w:fldChar w:fldCharType="separate"/>
      </w:r>
      <w:r>
        <w:rPr>
          <w:rFonts w:hint="eastAsia"/>
          <w:color w:val="000000"/>
          <w:sz w:val="24"/>
        </w:rPr>
        <w:t>www.gsxt.gov.cn/</w:t>
      </w:r>
      <w:r>
        <w:rPr>
          <w:rFonts w:hint="eastAsia"/>
          <w:color w:val="000000"/>
          <w:sz w:val="24"/>
        </w:rPr>
        <w:fldChar w:fldCharType="end"/>
      </w:r>
      <w:r>
        <w:rPr>
          <w:rFonts w:hint="eastAsia"/>
          <w:color w:val="000000"/>
          <w:sz w:val="24"/>
        </w:rPr>
        <w:t>）中被列入严重违法失信企业名单；</w:t>
      </w:r>
    </w:p>
    <w:p>
      <w:pPr>
        <w:pStyle w:val="2"/>
        <w:spacing w:before="19" w:line="420" w:lineRule="exact"/>
        <w:ind w:right="94" w:firstLine="720" w:firstLineChars="300"/>
        <w:rPr>
          <w:color w:val="000000"/>
          <w:sz w:val="24"/>
        </w:rPr>
      </w:pPr>
      <w:r>
        <w:rPr>
          <w:rFonts w:hint="eastAsia"/>
          <w:color w:val="000000"/>
          <w:sz w:val="24"/>
        </w:rPr>
        <w:t>(5)在“信用中国”网站（http://</w:t>
      </w:r>
      <w:r>
        <w:fldChar w:fldCharType="begin"/>
      </w:r>
      <w:r>
        <w:instrText xml:space="preserve"> HYPERLINK "http://www.creditchina.gov.cn/" \h </w:instrText>
      </w:r>
      <w:r>
        <w:fldChar w:fldCharType="separate"/>
      </w:r>
      <w:r>
        <w:rPr>
          <w:rFonts w:hint="eastAsia"/>
          <w:color w:val="000000"/>
          <w:sz w:val="24"/>
        </w:rPr>
        <w:t>www.creditchina.gov.cn</w:t>
      </w:r>
      <w:r>
        <w:rPr>
          <w:rFonts w:hint="eastAsia"/>
          <w:color w:val="000000"/>
          <w:sz w:val="24"/>
        </w:rPr>
        <w:fldChar w:fldCharType="end"/>
      </w:r>
      <w:r>
        <w:rPr>
          <w:rFonts w:hint="eastAsia"/>
          <w:color w:val="000000"/>
          <w:sz w:val="24"/>
        </w:rPr>
        <w:t>／）中被列入失信被执行人名单；</w:t>
      </w:r>
    </w:p>
    <w:p>
      <w:pPr>
        <w:pStyle w:val="2"/>
        <w:spacing w:before="19" w:line="420" w:lineRule="exact"/>
        <w:ind w:right="94" w:firstLine="720" w:firstLineChars="300"/>
        <w:rPr>
          <w:color w:val="000000"/>
          <w:sz w:val="24"/>
        </w:rPr>
      </w:pPr>
      <w:r>
        <w:rPr>
          <w:rFonts w:hint="eastAsia"/>
          <w:color w:val="000000"/>
          <w:sz w:val="24"/>
        </w:rPr>
        <w:t>(6)投标人或其法定代表人、拟委任的总监理工程师或驻地监理工程师在近三年内有行贿犯罪行为的（行贿犯罪行为的认定以检察机关职务犯罪预防部门出具的查询结果为准）；</w:t>
      </w:r>
    </w:p>
    <w:p>
      <w:pPr>
        <w:pStyle w:val="2"/>
        <w:spacing w:before="19" w:line="420" w:lineRule="exact"/>
        <w:ind w:right="94" w:firstLine="720" w:firstLineChars="300"/>
        <w:rPr>
          <w:color w:val="000000"/>
          <w:sz w:val="24"/>
        </w:rPr>
      </w:pPr>
      <w:r>
        <w:rPr>
          <w:rFonts w:hint="eastAsia"/>
          <w:color w:val="000000"/>
          <w:sz w:val="24"/>
        </w:rPr>
        <w:t>（7）法律法规或投标人须知前附表规定的其他情形。</w:t>
      </w:r>
    </w:p>
    <w:p>
      <w:pPr>
        <w:pStyle w:val="2"/>
        <w:spacing w:before="19" w:line="420" w:lineRule="exact"/>
        <w:ind w:right="94" w:firstLine="720" w:firstLineChars="300"/>
        <w:rPr>
          <w:color w:val="000000"/>
          <w:sz w:val="24"/>
        </w:rPr>
      </w:pPr>
      <w:r>
        <w:rPr>
          <w:rFonts w:hint="eastAsia"/>
          <w:color w:val="000000"/>
          <w:sz w:val="24"/>
        </w:rPr>
        <w:t>1.4.5投标人（包括联合体各成员）应进入交通运输部“全国公路建设市场信用信息管理系统（http：//glxy.mot.gov.cn）”中的公路工程施工监理资质企业名录，且投标人名称和资质与该名录中的相应企业名称和资质完全一致。投标人不满足本项规定条件的，将被否决投标。</w:t>
      </w:r>
    </w:p>
    <w:p>
      <w:pPr>
        <w:spacing w:before="193" w:line="420" w:lineRule="exact"/>
        <w:ind w:left="288" w:right="94"/>
        <w:rPr>
          <w:b/>
          <w:bCs/>
          <w:color w:val="000000"/>
          <w:sz w:val="24"/>
        </w:rPr>
      </w:pPr>
      <w:r>
        <w:rPr>
          <w:rFonts w:cs="Arial"/>
          <w:b/>
          <w:bCs/>
          <w:color w:val="000000"/>
          <w:sz w:val="24"/>
        </w:rPr>
        <w:t>1.5</w:t>
      </w:r>
      <w:r>
        <w:rPr>
          <w:b/>
          <w:bCs/>
          <w:color w:val="000000"/>
          <w:sz w:val="24"/>
        </w:rPr>
        <w:t>费用承担</w:t>
      </w:r>
    </w:p>
    <w:p>
      <w:pPr>
        <w:pStyle w:val="2"/>
        <w:spacing w:line="420" w:lineRule="exact"/>
        <w:ind w:left="278" w:right="94" w:firstLine="499"/>
        <w:rPr>
          <w:color w:val="000000"/>
          <w:sz w:val="24"/>
        </w:rPr>
      </w:pPr>
      <w:r>
        <w:rPr>
          <w:rFonts w:hint="eastAsia"/>
          <w:color w:val="000000"/>
          <w:sz w:val="24"/>
        </w:rPr>
        <w:t>投标人准备和参加投标活动发生的费用自理。</w:t>
      </w:r>
    </w:p>
    <w:p>
      <w:pPr>
        <w:spacing w:line="420" w:lineRule="exact"/>
        <w:ind w:left="288" w:right="94"/>
        <w:rPr>
          <w:b/>
          <w:bCs/>
          <w:color w:val="000000"/>
          <w:sz w:val="24"/>
        </w:rPr>
      </w:pPr>
      <w:r>
        <w:rPr>
          <w:rFonts w:cs="Arial"/>
          <w:b/>
          <w:bCs/>
          <w:color w:val="000000"/>
          <w:sz w:val="24"/>
        </w:rPr>
        <w:t>1.6</w:t>
      </w:r>
      <w:r>
        <w:rPr>
          <w:b/>
          <w:bCs/>
          <w:color w:val="000000"/>
          <w:sz w:val="24"/>
        </w:rPr>
        <w:t>保密</w:t>
      </w:r>
    </w:p>
    <w:p>
      <w:pPr>
        <w:pStyle w:val="2"/>
        <w:spacing w:line="420" w:lineRule="exact"/>
        <w:ind w:left="278" w:right="94" w:firstLine="499"/>
        <w:rPr>
          <w:color w:val="000000"/>
          <w:sz w:val="24"/>
        </w:rPr>
      </w:pPr>
      <w:r>
        <w:rPr>
          <w:rFonts w:hint="eastAsia"/>
          <w:color w:val="000000"/>
          <w:sz w:val="24"/>
        </w:rPr>
        <w:t>参与招标投标活动的各方应对招标文件和投标文件中的商业和技术等秘密保密，否则应承担相应的法律责任。</w:t>
      </w:r>
    </w:p>
    <w:p>
      <w:pPr>
        <w:spacing w:line="420" w:lineRule="exact"/>
        <w:ind w:left="288" w:right="94"/>
        <w:rPr>
          <w:b/>
          <w:bCs/>
          <w:color w:val="000000"/>
          <w:sz w:val="24"/>
        </w:rPr>
      </w:pPr>
      <w:r>
        <w:rPr>
          <w:rFonts w:cs="Arial"/>
          <w:b/>
          <w:bCs/>
          <w:color w:val="000000"/>
          <w:sz w:val="24"/>
        </w:rPr>
        <w:t>1.7</w:t>
      </w:r>
      <w:r>
        <w:rPr>
          <w:b/>
          <w:bCs/>
          <w:color w:val="000000"/>
          <w:sz w:val="24"/>
        </w:rPr>
        <w:t>语言文字</w:t>
      </w:r>
    </w:p>
    <w:p>
      <w:pPr>
        <w:pStyle w:val="2"/>
        <w:spacing w:line="420" w:lineRule="exact"/>
        <w:ind w:left="278" w:right="94" w:firstLine="499"/>
        <w:rPr>
          <w:color w:val="000000"/>
          <w:sz w:val="24"/>
        </w:rPr>
      </w:pPr>
      <w:r>
        <w:rPr>
          <w:rFonts w:hint="eastAsia"/>
          <w:color w:val="000000"/>
          <w:sz w:val="24"/>
        </w:rPr>
        <w:t>招标投标文件使用的语言文字为中文。专用术语使用外文的，应附有中文注释。</w:t>
      </w:r>
    </w:p>
    <w:p>
      <w:pPr>
        <w:spacing w:line="420" w:lineRule="exact"/>
        <w:ind w:left="288" w:right="94"/>
        <w:rPr>
          <w:b/>
          <w:bCs/>
          <w:color w:val="000000"/>
          <w:sz w:val="24"/>
        </w:rPr>
      </w:pPr>
      <w:r>
        <w:rPr>
          <w:rFonts w:cs="Arial"/>
          <w:b/>
          <w:bCs/>
          <w:color w:val="000000"/>
          <w:sz w:val="24"/>
        </w:rPr>
        <w:t>1.8</w:t>
      </w:r>
      <w:r>
        <w:rPr>
          <w:b/>
          <w:bCs/>
          <w:color w:val="000000"/>
          <w:sz w:val="24"/>
        </w:rPr>
        <w:t>计量单位</w:t>
      </w:r>
    </w:p>
    <w:p>
      <w:pPr>
        <w:pStyle w:val="2"/>
        <w:spacing w:line="420" w:lineRule="exact"/>
        <w:ind w:left="278" w:right="94" w:firstLine="499"/>
        <w:rPr>
          <w:color w:val="000000"/>
          <w:sz w:val="24"/>
        </w:rPr>
      </w:pPr>
      <w:r>
        <w:rPr>
          <w:rFonts w:hint="eastAsia"/>
          <w:color w:val="000000"/>
          <w:sz w:val="24"/>
        </w:rPr>
        <w:t>所有计量均采用中华人民共和国法定计量单位。</w:t>
      </w:r>
    </w:p>
    <w:p>
      <w:pPr>
        <w:spacing w:line="420" w:lineRule="exact"/>
        <w:ind w:left="288" w:right="94"/>
        <w:rPr>
          <w:b/>
          <w:bCs/>
          <w:color w:val="000000"/>
          <w:sz w:val="24"/>
        </w:rPr>
      </w:pPr>
      <w:r>
        <w:rPr>
          <w:rFonts w:cs="Arial"/>
          <w:b/>
          <w:bCs/>
          <w:color w:val="000000"/>
          <w:sz w:val="24"/>
        </w:rPr>
        <w:t>1.9</w:t>
      </w:r>
      <w:r>
        <w:rPr>
          <w:b/>
          <w:bCs/>
          <w:color w:val="000000"/>
          <w:sz w:val="24"/>
        </w:rPr>
        <w:t>踏勘现场</w:t>
      </w:r>
    </w:p>
    <w:p>
      <w:pPr>
        <w:pStyle w:val="2"/>
        <w:spacing w:line="420" w:lineRule="exact"/>
        <w:ind w:right="94" w:firstLine="777"/>
        <w:rPr>
          <w:color w:val="000000"/>
          <w:sz w:val="24"/>
        </w:rPr>
      </w:pPr>
      <w:r>
        <w:rPr>
          <w:color w:val="000000"/>
          <w:sz w:val="24"/>
        </w:rPr>
        <w:t>1.9.1第一章“招标公告”或“投标邀请书”规定组织踏勘现场的，招标人按规定的时间、地点组织投标人踏勘项目现场。部分投标人未按时参加踏勘现场的，不影响踏勘现场的正常进行</w:t>
      </w:r>
      <w:r>
        <w:rPr>
          <w:rFonts w:hint="eastAsia"/>
          <w:color w:val="000000"/>
          <w:sz w:val="24"/>
        </w:rPr>
        <w:t>。</w:t>
      </w:r>
      <w:r>
        <w:rPr>
          <w:color w:val="000000"/>
          <w:sz w:val="24"/>
        </w:rPr>
        <w:t>招标人不得组织单个或部分投标人踏勘项目现场。</w:t>
      </w:r>
    </w:p>
    <w:p>
      <w:pPr>
        <w:pStyle w:val="2"/>
        <w:spacing w:line="420" w:lineRule="exact"/>
        <w:ind w:right="94" w:firstLine="777"/>
        <w:rPr>
          <w:color w:val="000000"/>
          <w:sz w:val="24"/>
        </w:rPr>
      </w:pPr>
      <w:r>
        <w:rPr>
          <w:color w:val="000000"/>
          <w:sz w:val="24"/>
        </w:rPr>
        <w:t>1.9.2</w:t>
      </w:r>
      <w:r>
        <w:rPr>
          <w:rFonts w:hint="eastAsia"/>
          <w:color w:val="000000"/>
          <w:sz w:val="24"/>
        </w:rPr>
        <w:t>投标人踏勘现场发生的费用自理。</w:t>
      </w:r>
    </w:p>
    <w:p>
      <w:pPr>
        <w:pStyle w:val="2"/>
        <w:spacing w:line="420" w:lineRule="exact"/>
        <w:ind w:right="94" w:firstLine="777"/>
        <w:rPr>
          <w:color w:val="000000"/>
          <w:sz w:val="24"/>
        </w:rPr>
      </w:pPr>
      <w:r>
        <w:rPr>
          <w:color w:val="000000"/>
          <w:sz w:val="24"/>
        </w:rPr>
        <w:t>1.9.3</w:t>
      </w:r>
      <w:r>
        <w:rPr>
          <w:rFonts w:hint="eastAsia"/>
          <w:color w:val="000000"/>
          <w:sz w:val="24"/>
        </w:rPr>
        <w:t>除招标人的原因外，投标人自行负责在踏勘现场中所发生的人员伤亡和财产损失。</w:t>
      </w:r>
    </w:p>
    <w:p>
      <w:pPr>
        <w:pStyle w:val="2"/>
        <w:spacing w:line="420" w:lineRule="exact"/>
        <w:ind w:right="94" w:firstLine="777"/>
        <w:rPr>
          <w:color w:val="000000"/>
          <w:sz w:val="24"/>
        </w:rPr>
      </w:pPr>
      <w:r>
        <w:rPr>
          <w:color w:val="000000"/>
          <w:sz w:val="24"/>
        </w:rPr>
        <w:t>1.9.4</w:t>
      </w:r>
      <w:r>
        <w:rPr>
          <w:rFonts w:hint="eastAsia"/>
          <w:color w:val="000000"/>
          <w:sz w:val="24"/>
        </w:rPr>
        <w:t>招标人在踏勘现场中介绍的工程场地和相关的周边环境情况，供投标人在编投标文件时参考，招标人不对投标人据此作出的判断和决策负责。</w:t>
      </w:r>
    </w:p>
    <w:p>
      <w:pPr>
        <w:pStyle w:val="2"/>
        <w:numPr>
          <w:ilvl w:val="0"/>
          <w:numId w:val="2"/>
        </w:numPr>
        <w:spacing w:line="420" w:lineRule="exact"/>
        <w:ind w:left="288" w:right="94"/>
        <w:jc w:val="left"/>
        <w:rPr>
          <w:b/>
          <w:bCs/>
          <w:color w:val="000000"/>
          <w:sz w:val="24"/>
        </w:rPr>
      </w:pPr>
      <w:r>
        <w:rPr>
          <w:b/>
          <w:bCs/>
          <w:color w:val="000000"/>
          <w:sz w:val="24"/>
        </w:rPr>
        <w:t>10投标预备会</w:t>
      </w:r>
    </w:p>
    <w:p>
      <w:pPr>
        <w:pStyle w:val="2"/>
        <w:spacing w:line="420" w:lineRule="exact"/>
        <w:ind w:right="301" w:firstLine="777"/>
        <w:rPr>
          <w:color w:val="000000"/>
          <w:sz w:val="24"/>
        </w:rPr>
      </w:pPr>
      <w:r>
        <w:rPr>
          <w:color w:val="000000"/>
          <w:sz w:val="24"/>
        </w:rPr>
        <w:t>1.10.1第一章“招标公告”或“投标邀请书”规定召开投标预备会的，招标人按规定的时间和地点召开投标预备会，澄清投标人提出的问题。</w:t>
      </w:r>
    </w:p>
    <w:p>
      <w:pPr>
        <w:pStyle w:val="2"/>
        <w:spacing w:before="103" w:line="420" w:lineRule="exact"/>
        <w:ind w:right="94" w:firstLine="775" w:firstLineChars="323"/>
        <w:rPr>
          <w:color w:val="000000"/>
          <w:sz w:val="24"/>
        </w:rPr>
      </w:pPr>
      <w:r>
        <w:rPr>
          <w:color w:val="000000"/>
          <w:sz w:val="24"/>
        </w:rPr>
        <w:t>1.10.2</w:t>
      </w:r>
      <w:r>
        <w:rPr>
          <w:rFonts w:hint="eastAsia"/>
          <w:color w:val="000000"/>
          <w:sz w:val="24"/>
        </w:rPr>
        <w:t>投标人应按投标人须知前附表规定的时间和形式将提出的问题送达招标人，以便招标人在会议期间澄清。</w:t>
      </w:r>
    </w:p>
    <w:p>
      <w:pPr>
        <w:pStyle w:val="2"/>
        <w:spacing w:before="129" w:line="420" w:lineRule="exact"/>
        <w:ind w:right="94" w:firstLine="720" w:firstLineChars="300"/>
        <w:rPr>
          <w:color w:val="000000"/>
          <w:sz w:val="24"/>
        </w:rPr>
      </w:pPr>
      <w:r>
        <w:rPr>
          <w:color w:val="000000"/>
          <w:sz w:val="24"/>
        </w:rPr>
        <w:t>1.10.3</w:t>
      </w:r>
      <w:r>
        <w:rPr>
          <w:rFonts w:hint="eastAsia"/>
          <w:color w:val="000000"/>
          <w:sz w:val="24"/>
        </w:rPr>
        <w:t>投标预备会后，招标人将对投标人所提问题的澄清，以投标人须知前附表规定的形式通知所有购买招标文件的投标人。该澄清内容为招标文件的组成部分。</w:t>
      </w:r>
    </w:p>
    <w:p>
      <w:pPr>
        <w:pStyle w:val="2"/>
        <w:spacing w:line="420" w:lineRule="exact"/>
        <w:ind w:left="288" w:right="94"/>
        <w:rPr>
          <w:b/>
          <w:bCs/>
          <w:color w:val="000000"/>
          <w:sz w:val="24"/>
        </w:rPr>
      </w:pPr>
      <w:r>
        <w:rPr>
          <w:b/>
          <w:bCs/>
          <w:color w:val="000000"/>
          <w:sz w:val="24"/>
        </w:rPr>
        <w:t>1.11分包</w:t>
      </w:r>
    </w:p>
    <w:p>
      <w:pPr>
        <w:pStyle w:val="2"/>
        <w:spacing w:line="420" w:lineRule="exact"/>
        <w:ind w:left="273" w:right="278" w:firstLine="499"/>
        <w:rPr>
          <w:color w:val="000000"/>
          <w:sz w:val="24"/>
        </w:rPr>
      </w:pPr>
      <w:r>
        <w:rPr>
          <w:rFonts w:hint="eastAsia"/>
          <w:color w:val="000000"/>
          <w:sz w:val="24"/>
        </w:rPr>
        <w:t>本项目严禁分包。</w:t>
      </w:r>
    </w:p>
    <w:p>
      <w:pPr>
        <w:pStyle w:val="2"/>
        <w:spacing w:line="420" w:lineRule="exact"/>
        <w:ind w:left="288" w:right="94"/>
        <w:rPr>
          <w:b/>
          <w:bCs/>
          <w:color w:val="000000"/>
          <w:sz w:val="24"/>
        </w:rPr>
      </w:pPr>
      <w:r>
        <w:rPr>
          <w:b/>
          <w:bCs/>
          <w:color w:val="000000"/>
          <w:sz w:val="24"/>
        </w:rPr>
        <w:t>1.12响应和偏差</w:t>
      </w:r>
    </w:p>
    <w:p>
      <w:pPr>
        <w:pStyle w:val="2"/>
        <w:spacing w:before="85" w:line="420" w:lineRule="exact"/>
        <w:ind w:right="135" w:firstLine="609"/>
        <w:rPr>
          <w:color w:val="000000"/>
          <w:sz w:val="24"/>
        </w:rPr>
      </w:pPr>
      <w:r>
        <w:rPr>
          <w:color w:val="000000"/>
          <w:sz w:val="24"/>
        </w:rPr>
        <w:t>1.12.1投标文件偏离招标文件某些要求，视为投标文件存在偏差。偏差包括重</w:t>
      </w:r>
      <w:r>
        <w:rPr>
          <w:rFonts w:hint="eastAsia"/>
          <w:color w:val="000000"/>
          <w:sz w:val="24"/>
        </w:rPr>
        <w:t>大</w:t>
      </w:r>
      <w:r>
        <w:rPr>
          <w:color w:val="000000"/>
          <w:sz w:val="24"/>
        </w:rPr>
        <w:t>偏差和细微偏差。</w:t>
      </w:r>
    </w:p>
    <w:p>
      <w:pPr>
        <w:pStyle w:val="2"/>
        <w:spacing w:before="85" w:line="420" w:lineRule="exact"/>
        <w:ind w:right="135" w:firstLine="609"/>
        <w:rPr>
          <w:color w:val="000000"/>
          <w:sz w:val="24"/>
        </w:rPr>
      </w:pPr>
      <w:r>
        <w:rPr>
          <w:color w:val="000000"/>
          <w:sz w:val="24"/>
        </w:rPr>
        <w:t>1.12.2投标文件应对招标文件的实质性要求和条件作出满足性或更有利于招标人的响应，否则，视为投标文件存在重大偏差，投标人的投标将被否决。</w:t>
      </w:r>
    </w:p>
    <w:p>
      <w:pPr>
        <w:pStyle w:val="2"/>
        <w:spacing w:before="85" w:line="420" w:lineRule="exact"/>
        <w:ind w:right="135" w:firstLine="609"/>
        <w:rPr>
          <w:color w:val="000000"/>
          <w:sz w:val="24"/>
        </w:rPr>
      </w:pPr>
      <w:r>
        <w:rPr>
          <w:color w:val="000000"/>
          <w:sz w:val="24"/>
        </w:rPr>
        <w:t>投标文件存在第三章“评标办法”中所列任一否决投标情形的，均属于存在重大偏差。</w:t>
      </w:r>
    </w:p>
    <w:p>
      <w:pPr>
        <w:pStyle w:val="2"/>
        <w:spacing w:before="24" w:line="420" w:lineRule="exact"/>
        <w:ind w:left="657" w:right="106"/>
        <w:rPr>
          <w:color w:val="000000"/>
          <w:sz w:val="24"/>
        </w:rPr>
      </w:pPr>
      <w:r>
        <w:rPr>
          <w:color w:val="000000"/>
          <w:sz w:val="24"/>
        </w:rPr>
        <w:t>1.12.3投标文件中的下列偏差为细微偏差：</w:t>
      </w:r>
    </w:p>
    <w:p>
      <w:pPr>
        <w:pStyle w:val="2"/>
        <w:spacing w:before="85" w:line="420" w:lineRule="exact"/>
        <w:ind w:right="135" w:firstLine="609"/>
        <w:rPr>
          <w:color w:val="000000"/>
          <w:sz w:val="24"/>
        </w:rPr>
      </w:pPr>
      <w:r>
        <w:rPr>
          <w:color w:val="000000"/>
          <w:sz w:val="24"/>
        </w:rPr>
        <w:t>(1）在按照第三章“评标办法”的规定对投标价进行算术性错误修正后，最终投标报价未超过最高投标限价（如有）的情况下，出现第三章“评标办法”规定的算术性错误；</w:t>
      </w:r>
    </w:p>
    <w:p>
      <w:pPr>
        <w:spacing w:before="33" w:line="420" w:lineRule="exact"/>
        <w:ind w:right="106" w:firstLine="566" w:firstLineChars="236"/>
        <w:rPr>
          <w:color w:val="000000"/>
          <w:sz w:val="24"/>
        </w:rPr>
      </w:pPr>
      <w:r>
        <w:rPr>
          <w:color w:val="000000"/>
          <w:sz w:val="24"/>
        </w:rPr>
        <w:t>(</w:t>
      </w:r>
      <w:r>
        <w:rPr>
          <w:rFonts w:hint="eastAsia"/>
          <w:color w:val="000000"/>
          <w:sz w:val="24"/>
        </w:rPr>
        <w:t>2</w:t>
      </w:r>
      <w:r>
        <w:rPr>
          <w:color w:val="000000"/>
          <w:sz w:val="24"/>
        </w:rPr>
        <w:t>）技术建议书不够完善</w:t>
      </w:r>
      <w:r>
        <w:rPr>
          <w:rFonts w:hint="eastAsia"/>
          <w:color w:val="000000"/>
          <w:sz w:val="24"/>
        </w:rPr>
        <w:t>；</w:t>
      </w:r>
    </w:p>
    <w:p>
      <w:pPr>
        <w:pStyle w:val="2"/>
        <w:spacing w:before="91" w:line="420" w:lineRule="exact"/>
        <w:ind w:right="124" w:firstLine="609"/>
        <w:rPr>
          <w:color w:val="000000"/>
          <w:sz w:val="24"/>
        </w:rPr>
      </w:pPr>
      <w:r>
        <w:rPr>
          <w:color w:val="000000"/>
          <w:sz w:val="24"/>
        </w:rPr>
        <w:t>(3）投标文件页码不连续、采用活页夹装订、个别文字有遗漏错误等不影响投标文件实质性内容的偏差。</w:t>
      </w:r>
    </w:p>
    <w:p>
      <w:pPr>
        <w:pStyle w:val="2"/>
        <w:spacing w:before="33" w:line="420" w:lineRule="exact"/>
        <w:ind w:left="652" w:right="106"/>
        <w:rPr>
          <w:color w:val="000000"/>
          <w:sz w:val="24"/>
        </w:rPr>
      </w:pPr>
      <w:r>
        <w:rPr>
          <w:color w:val="000000"/>
          <w:sz w:val="24"/>
        </w:rPr>
        <w:t>1.12.4评标委员会对投标文件中的细微偏差按如下规定处理：</w:t>
      </w:r>
    </w:p>
    <w:p>
      <w:pPr>
        <w:pStyle w:val="2"/>
        <w:spacing w:before="80" w:line="420" w:lineRule="exact"/>
        <w:ind w:right="106" w:firstLine="609"/>
        <w:rPr>
          <w:color w:val="000000"/>
          <w:sz w:val="24"/>
        </w:rPr>
      </w:pPr>
      <w:r>
        <w:rPr>
          <w:color w:val="000000"/>
          <w:sz w:val="24"/>
        </w:rPr>
        <w:t>(1）对于本章第1.12.3项(1</w:t>
      </w:r>
      <w:r>
        <w:rPr>
          <w:rFonts w:hint="eastAsia"/>
          <w:color w:val="000000"/>
          <w:sz w:val="24"/>
        </w:rPr>
        <w:t>)</w:t>
      </w:r>
      <w:r>
        <w:rPr>
          <w:color w:val="000000"/>
          <w:sz w:val="24"/>
        </w:rPr>
        <w:t>目所述的细微偏差，按照第三章“评标办法”</w:t>
      </w:r>
      <w:r>
        <w:rPr>
          <w:rFonts w:hint="eastAsia"/>
          <w:color w:val="000000"/>
          <w:sz w:val="24"/>
        </w:rPr>
        <w:t>的</w:t>
      </w:r>
      <w:r>
        <w:rPr>
          <w:color w:val="000000"/>
          <w:sz w:val="24"/>
        </w:rPr>
        <w:t>规定予以修正并要求投标人进行澄清；</w:t>
      </w:r>
    </w:p>
    <w:p>
      <w:pPr>
        <w:pStyle w:val="2"/>
        <w:spacing w:before="35" w:line="420" w:lineRule="exact"/>
        <w:ind w:right="106" w:firstLine="609"/>
        <w:rPr>
          <w:color w:val="000000"/>
          <w:sz w:val="24"/>
        </w:rPr>
      </w:pPr>
      <w:r>
        <w:rPr>
          <w:color w:val="000000"/>
          <w:sz w:val="24"/>
        </w:rPr>
        <w:t>(</w:t>
      </w:r>
      <w:r>
        <w:rPr>
          <w:rFonts w:hint="eastAsia"/>
          <w:color w:val="000000"/>
          <w:sz w:val="24"/>
        </w:rPr>
        <w:t>2</w:t>
      </w:r>
      <w:r>
        <w:rPr>
          <w:color w:val="000000"/>
          <w:sz w:val="24"/>
        </w:rPr>
        <w:t>）对于本章第1.12.3项(</w:t>
      </w:r>
      <w:r>
        <w:rPr>
          <w:rFonts w:hint="eastAsia"/>
          <w:color w:val="000000"/>
          <w:sz w:val="24"/>
        </w:rPr>
        <w:t>2)</w:t>
      </w:r>
      <w:r>
        <w:rPr>
          <w:color w:val="000000"/>
          <w:sz w:val="24"/>
        </w:rPr>
        <w:t>、(</w:t>
      </w:r>
      <w:r>
        <w:rPr>
          <w:rFonts w:hint="eastAsia"/>
          <w:color w:val="000000"/>
          <w:sz w:val="24"/>
        </w:rPr>
        <w:t>3)</w:t>
      </w:r>
      <w:r>
        <w:rPr>
          <w:color w:val="000000"/>
          <w:sz w:val="24"/>
        </w:rPr>
        <w:t>目所述的细微偏差，可在相关评分因素的</w:t>
      </w:r>
      <w:r>
        <w:rPr>
          <w:rFonts w:hint="eastAsia"/>
          <w:color w:val="000000"/>
          <w:sz w:val="24"/>
        </w:rPr>
        <w:t>评</w:t>
      </w:r>
      <w:r>
        <w:rPr>
          <w:color w:val="000000"/>
          <w:sz w:val="24"/>
        </w:rPr>
        <w:t>分中酌情扣分。</w:t>
      </w:r>
    </w:p>
    <w:p>
      <w:pPr>
        <w:pStyle w:val="2"/>
        <w:spacing w:before="40" w:line="420" w:lineRule="exact"/>
        <w:ind w:right="106" w:firstLine="652"/>
        <w:rPr>
          <w:color w:val="000000"/>
          <w:sz w:val="24"/>
        </w:rPr>
      </w:pPr>
      <w:r>
        <w:rPr>
          <w:color w:val="000000"/>
          <w:sz w:val="24"/>
        </w:rPr>
        <w:t>1.12.5投标人应根据招标文件的要求提供技术建议书等内容以对招标文件作出响应。</w:t>
      </w:r>
    </w:p>
    <w:p>
      <w:pPr>
        <w:tabs>
          <w:tab w:val="left" w:pos="571"/>
        </w:tabs>
        <w:spacing w:line="420" w:lineRule="exact"/>
        <w:ind w:left="153" w:right="106"/>
        <w:rPr>
          <w:b/>
          <w:bCs/>
          <w:color w:val="000000"/>
          <w:sz w:val="24"/>
        </w:rPr>
      </w:pPr>
      <w:r>
        <w:rPr>
          <w:rFonts w:cs="Arial"/>
          <w:b/>
          <w:bCs/>
          <w:color w:val="000000"/>
          <w:sz w:val="24"/>
        </w:rPr>
        <w:t>2.</w:t>
      </w:r>
      <w:r>
        <w:rPr>
          <w:rFonts w:cs="Arial"/>
          <w:b/>
          <w:bCs/>
          <w:color w:val="000000"/>
          <w:sz w:val="24"/>
        </w:rPr>
        <w:tab/>
      </w:r>
      <w:r>
        <w:rPr>
          <w:b/>
          <w:bCs/>
          <w:color w:val="000000"/>
          <w:sz w:val="24"/>
        </w:rPr>
        <w:t>招标文件</w:t>
      </w:r>
    </w:p>
    <w:p>
      <w:pPr>
        <w:pStyle w:val="2"/>
        <w:spacing w:before="8" w:line="420" w:lineRule="exact"/>
        <w:ind w:left="633" w:right="4929" w:hanging="480"/>
        <w:rPr>
          <w:b/>
          <w:bCs/>
          <w:color w:val="000000"/>
          <w:sz w:val="24"/>
        </w:rPr>
      </w:pPr>
      <w:r>
        <w:rPr>
          <w:b/>
          <w:bCs/>
          <w:color w:val="000000"/>
          <w:sz w:val="24"/>
        </w:rPr>
        <w:t>2.1招标文件的组成</w:t>
      </w:r>
    </w:p>
    <w:p>
      <w:pPr>
        <w:pStyle w:val="2"/>
        <w:spacing w:before="8" w:line="420" w:lineRule="exact"/>
        <w:ind w:left="633" w:right="4929" w:hanging="480"/>
        <w:rPr>
          <w:color w:val="000000"/>
          <w:sz w:val="24"/>
        </w:rPr>
      </w:pPr>
      <w:r>
        <w:rPr>
          <w:color w:val="000000"/>
          <w:sz w:val="24"/>
        </w:rPr>
        <w:t>本招标文件包括：</w:t>
      </w:r>
    </w:p>
    <w:p>
      <w:pPr>
        <w:pStyle w:val="2"/>
        <w:spacing w:line="420" w:lineRule="exact"/>
        <w:ind w:left="763" w:right="106"/>
        <w:rPr>
          <w:color w:val="000000"/>
          <w:sz w:val="24"/>
        </w:rPr>
      </w:pPr>
      <w:r>
        <w:rPr>
          <w:rFonts w:hint="eastAsia"/>
          <w:color w:val="000000"/>
          <w:sz w:val="24"/>
        </w:rPr>
        <w:t>（1）</w:t>
      </w:r>
      <w:r>
        <w:rPr>
          <w:color w:val="000000"/>
          <w:sz w:val="24"/>
        </w:rPr>
        <w:t>招标公告（或投标邀请书）；</w:t>
      </w:r>
    </w:p>
    <w:p>
      <w:pPr>
        <w:spacing w:before="91" w:line="420" w:lineRule="exact"/>
        <w:ind w:left="763" w:right="106"/>
        <w:rPr>
          <w:color w:val="000000"/>
          <w:sz w:val="24"/>
        </w:rPr>
      </w:pPr>
      <w:r>
        <w:rPr>
          <w:rFonts w:hint="eastAsia"/>
          <w:color w:val="000000"/>
          <w:sz w:val="24"/>
        </w:rPr>
        <w:t>（2）</w:t>
      </w:r>
      <w:r>
        <w:rPr>
          <w:color w:val="000000"/>
          <w:sz w:val="24"/>
        </w:rPr>
        <w:t>投标人须知；</w:t>
      </w:r>
    </w:p>
    <w:p>
      <w:pPr>
        <w:spacing w:before="86" w:line="420" w:lineRule="exact"/>
        <w:ind w:left="763" w:right="106"/>
        <w:rPr>
          <w:color w:val="000000"/>
          <w:sz w:val="24"/>
        </w:rPr>
      </w:pPr>
      <w:r>
        <w:rPr>
          <w:rFonts w:hint="eastAsia"/>
          <w:color w:val="000000"/>
          <w:sz w:val="24"/>
        </w:rPr>
        <w:t>（3）</w:t>
      </w:r>
      <w:r>
        <w:rPr>
          <w:color w:val="000000"/>
          <w:sz w:val="24"/>
        </w:rPr>
        <w:t>评标办法</w:t>
      </w:r>
      <w:r>
        <w:rPr>
          <w:rFonts w:hint="eastAsia"/>
          <w:color w:val="000000"/>
          <w:sz w:val="24"/>
        </w:rPr>
        <w:t>；</w:t>
      </w:r>
    </w:p>
    <w:p>
      <w:pPr>
        <w:spacing w:before="91" w:line="420" w:lineRule="exact"/>
        <w:ind w:left="763" w:right="106"/>
        <w:rPr>
          <w:color w:val="000000"/>
          <w:sz w:val="24"/>
        </w:rPr>
      </w:pPr>
      <w:r>
        <w:rPr>
          <w:rFonts w:hint="eastAsia"/>
          <w:color w:val="000000"/>
          <w:sz w:val="24"/>
        </w:rPr>
        <w:t>（4）</w:t>
      </w:r>
      <w:r>
        <w:rPr>
          <w:color w:val="000000"/>
          <w:sz w:val="24"/>
        </w:rPr>
        <w:t>合同条款及格式</w:t>
      </w:r>
      <w:r>
        <w:rPr>
          <w:rFonts w:hint="eastAsia"/>
          <w:color w:val="000000"/>
          <w:sz w:val="24"/>
        </w:rPr>
        <w:t>；</w:t>
      </w:r>
    </w:p>
    <w:p>
      <w:pPr>
        <w:spacing w:before="91" w:line="420" w:lineRule="exact"/>
        <w:ind w:left="763" w:right="106"/>
        <w:rPr>
          <w:color w:val="000000"/>
          <w:sz w:val="24"/>
        </w:rPr>
      </w:pPr>
      <w:r>
        <w:rPr>
          <w:rFonts w:hint="eastAsia"/>
          <w:color w:val="000000"/>
          <w:sz w:val="24"/>
        </w:rPr>
        <w:t>（5）委托人要求；</w:t>
      </w:r>
    </w:p>
    <w:p>
      <w:pPr>
        <w:spacing w:before="91" w:line="420" w:lineRule="exact"/>
        <w:ind w:left="763" w:right="106"/>
        <w:rPr>
          <w:color w:val="000000"/>
          <w:sz w:val="24"/>
        </w:rPr>
      </w:pPr>
      <w:r>
        <w:rPr>
          <w:rFonts w:hint="eastAsia"/>
          <w:color w:val="000000"/>
          <w:sz w:val="24"/>
        </w:rPr>
        <w:t>（6）图纸和资料；</w:t>
      </w:r>
    </w:p>
    <w:p>
      <w:pPr>
        <w:spacing w:before="91" w:line="420" w:lineRule="exact"/>
        <w:ind w:left="763" w:right="6124"/>
        <w:rPr>
          <w:color w:val="000000"/>
          <w:sz w:val="24"/>
        </w:rPr>
      </w:pPr>
      <w:r>
        <w:rPr>
          <w:rFonts w:hint="eastAsia"/>
          <w:color w:val="000000"/>
          <w:sz w:val="24"/>
        </w:rPr>
        <w:t>（7）</w:t>
      </w:r>
      <w:r>
        <w:rPr>
          <w:color w:val="000000"/>
          <w:sz w:val="24"/>
        </w:rPr>
        <w:t>投标文件格式</w:t>
      </w:r>
      <w:r>
        <w:rPr>
          <w:rFonts w:hint="eastAsia"/>
          <w:color w:val="000000"/>
          <w:sz w:val="24"/>
        </w:rPr>
        <w:t>；</w:t>
      </w:r>
    </w:p>
    <w:p>
      <w:pPr>
        <w:pStyle w:val="2"/>
        <w:spacing w:before="26" w:line="420" w:lineRule="exact"/>
        <w:ind w:left="763" w:right="106"/>
        <w:rPr>
          <w:color w:val="000000"/>
          <w:sz w:val="24"/>
        </w:rPr>
      </w:pPr>
      <w:r>
        <w:rPr>
          <w:rFonts w:hint="eastAsia"/>
          <w:color w:val="000000"/>
          <w:sz w:val="24"/>
        </w:rPr>
        <w:t>（8）</w:t>
      </w:r>
      <w:r>
        <w:rPr>
          <w:color w:val="000000"/>
          <w:sz w:val="24"/>
        </w:rPr>
        <w:t>投标人须知前附表规定的其他资料。</w:t>
      </w:r>
    </w:p>
    <w:p>
      <w:pPr>
        <w:pStyle w:val="2"/>
        <w:spacing w:before="91" w:line="420" w:lineRule="exact"/>
        <w:ind w:right="119" w:firstLine="480"/>
        <w:rPr>
          <w:color w:val="000000"/>
          <w:sz w:val="24"/>
        </w:rPr>
      </w:pPr>
      <w:r>
        <w:rPr>
          <w:color w:val="000000"/>
          <w:sz w:val="24"/>
        </w:rPr>
        <w:t>根据本章第1.10款、第2.2款和第2.3款对招标文件所作的澄清、修改，构成招标文件的组成部分。</w:t>
      </w:r>
    </w:p>
    <w:p>
      <w:pPr>
        <w:pStyle w:val="2"/>
        <w:spacing w:before="91" w:line="420" w:lineRule="exact"/>
        <w:ind w:right="119" w:firstLine="480"/>
        <w:rPr>
          <w:color w:val="000000"/>
          <w:sz w:val="24"/>
        </w:rPr>
      </w:pPr>
      <w:r>
        <w:rPr>
          <w:color w:val="000000"/>
          <w:sz w:val="24"/>
        </w:rPr>
        <w:t>当招标文件、招标文件的澄清或修改等在同一内容的表述上不一致时，以最后发</w:t>
      </w:r>
    </w:p>
    <w:p>
      <w:pPr>
        <w:pStyle w:val="2"/>
        <w:spacing w:before="29" w:line="420" w:lineRule="exact"/>
        <w:ind w:right="105"/>
        <w:rPr>
          <w:color w:val="000000"/>
          <w:sz w:val="24"/>
        </w:rPr>
      </w:pPr>
      <w:r>
        <w:rPr>
          <w:color w:val="000000"/>
          <w:sz w:val="24"/>
        </w:rPr>
        <w:t>出的书面文件为准。</w:t>
      </w:r>
    </w:p>
    <w:p>
      <w:pPr>
        <w:pStyle w:val="2"/>
        <w:spacing w:line="420" w:lineRule="exact"/>
        <w:ind w:right="105"/>
        <w:rPr>
          <w:b/>
          <w:color w:val="000000"/>
          <w:sz w:val="24"/>
        </w:rPr>
      </w:pPr>
      <w:r>
        <w:rPr>
          <w:b/>
          <w:color w:val="000000"/>
          <w:sz w:val="24"/>
        </w:rPr>
        <w:t>2.2招标文件的澄清</w:t>
      </w:r>
    </w:p>
    <w:p>
      <w:pPr>
        <w:pStyle w:val="2"/>
        <w:spacing w:after="0" w:line="420" w:lineRule="exact"/>
        <w:ind w:right="119" w:firstLine="482"/>
        <w:rPr>
          <w:color w:val="000000"/>
          <w:sz w:val="24"/>
        </w:rPr>
      </w:pPr>
      <w:r>
        <w:rPr>
          <w:color w:val="000000"/>
          <w:sz w:val="24"/>
        </w:rPr>
        <w:t>2.2.1</w:t>
      </w:r>
      <w:r>
        <w:rPr>
          <w:rFonts w:hint="eastAsia"/>
          <w:color w:val="000000"/>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2"/>
        <w:spacing w:after="0" w:line="420" w:lineRule="exact"/>
        <w:ind w:right="119" w:firstLine="482"/>
        <w:rPr>
          <w:color w:val="000000"/>
          <w:sz w:val="24"/>
        </w:rPr>
      </w:pPr>
      <w:r>
        <w:rPr>
          <w:color w:val="000000"/>
          <w:sz w:val="24"/>
        </w:rPr>
        <w:t>2.2.2</w:t>
      </w:r>
      <w:r>
        <w:rPr>
          <w:rFonts w:hint="eastAsia"/>
          <w:color w:val="000000"/>
          <w:sz w:val="24"/>
        </w:rPr>
        <w:t>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pStyle w:val="2"/>
        <w:spacing w:after="0" w:line="420" w:lineRule="exact"/>
        <w:ind w:right="119" w:firstLine="482"/>
        <w:rPr>
          <w:color w:val="000000"/>
          <w:sz w:val="24"/>
        </w:rPr>
      </w:pPr>
      <w:r>
        <w:rPr>
          <w:color w:val="000000"/>
          <w:sz w:val="24"/>
        </w:rPr>
        <w:t>2.2.3</w:t>
      </w:r>
      <w:r>
        <w:rPr>
          <w:rFonts w:hint="eastAsia"/>
          <w:color w:val="000000"/>
          <w:sz w:val="24"/>
        </w:rPr>
        <w:t>投标人在收到澄清后，应按投标人须知前附表规定的时间和形式通知招标人，确认已收到该澄清。</w:t>
      </w:r>
    </w:p>
    <w:p>
      <w:pPr>
        <w:pStyle w:val="2"/>
        <w:spacing w:after="0" w:line="420" w:lineRule="exact"/>
        <w:ind w:right="119" w:firstLine="482"/>
        <w:rPr>
          <w:color w:val="000000"/>
          <w:sz w:val="24"/>
        </w:rPr>
      </w:pPr>
      <w:r>
        <w:rPr>
          <w:color w:val="000000"/>
          <w:sz w:val="24"/>
        </w:rPr>
        <w:t>2.2.4</w:t>
      </w:r>
      <w:r>
        <w:rPr>
          <w:rFonts w:hint="eastAsia"/>
          <w:color w:val="000000"/>
          <w:sz w:val="24"/>
        </w:rPr>
        <w:t>除非招标人认为确有必要答复，否则，招标人有权拒绝回复投标人在本章第2.2.1项规定的时间后的任何澄清要求。</w:t>
      </w:r>
    </w:p>
    <w:p>
      <w:pPr>
        <w:pStyle w:val="2"/>
        <w:spacing w:line="420" w:lineRule="exact"/>
        <w:ind w:right="105"/>
        <w:rPr>
          <w:b/>
          <w:bCs/>
          <w:color w:val="000000"/>
          <w:sz w:val="24"/>
        </w:rPr>
      </w:pPr>
      <w:r>
        <w:rPr>
          <w:b/>
          <w:bCs/>
          <w:color w:val="000000"/>
          <w:sz w:val="24"/>
        </w:rPr>
        <w:t>2.3招标文件的修改</w:t>
      </w:r>
    </w:p>
    <w:p>
      <w:pPr>
        <w:pStyle w:val="2"/>
        <w:spacing w:before="91" w:line="420" w:lineRule="exact"/>
        <w:ind w:right="119" w:firstLine="480"/>
        <w:rPr>
          <w:color w:val="000000"/>
          <w:sz w:val="24"/>
        </w:rPr>
      </w:pPr>
      <w:r>
        <w:rPr>
          <w:color w:val="000000"/>
          <w:sz w:val="24"/>
        </w:rPr>
        <w:t>2.3.1</w:t>
      </w:r>
      <w:r>
        <w:rPr>
          <w:rFonts w:hint="eastAsia"/>
          <w:color w:val="000000"/>
          <w:sz w:val="24"/>
        </w:rPr>
        <w:t>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pStyle w:val="2"/>
        <w:spacing w:before="91" w:line="420" w:lineRule="exact"/>
        <w:ind w:right="119" w:firstLine="480"/>
        <w:rPr>
          <w:color w:val="000000"/>
          <w:sz w:val="24"/>
        </w:rPr>
      </w:pPr>
      <w:r>
        <w:rPr>
          <w:color w:val="000000"/>
          <w:sz w:val="24"/>
        </w:rPr>
        <w:t>2.3.2</w:t>
      </w:r>
      <w:r>
        <w:rPr>
          <w:rFonts w:hint="eastAsia"/>
          <w:color w:val="000000"/>
          <w:sz w:val="24"/>
        </w:rPr>
        <w:t>投标人收到修改内容后，应按投标人须知前附表规定的时间和形式通知招标人，确认已收到该修改。</w:t>
      </w:r>
    </w:p>
    <w:p>
      <w:pPr>
        <w:spacing w:line="420" w:lineRule="exact"/>
        <w:ind w:right="105"/>
        <w:rPr>
          <w:b/>
          <w:bCs/>
          <w:color w:val="000000"/>
          <w:sz w:val="24"/>
        </w:rPr>
      </w:pPr>
      <w:r>
        <w:rPr>
          <w:rFonts w:cs="Arial"/>
          <w:b/>
          <w:bCs/>
          <w:color w:val="000000"/>
          <w:sz w:val="24"/>
        </w:rPr>
        <w:t>2.4</w:t>
      </w:r>
      <w:r>
        <w:rPr>
          <w:b/>
          <w:bCs/>
          <w:color w:val="000000"/>
          <w:sz w:val="24"/>
        </w:rPr>
        <w:t>招标文件的异议</w:t>
      </w:r>
    </w:p>
    <w:p>
      <w:pPr>
        <w:spacing w:line="420" w:lineRule="exact"/>
        <w:ind w:firstLine="480" w:firstLineChars="200"/>
        <w:rPr>
          <w:color w:val="000000"/>
          <w:sz w:val="24"/>
        </w:rPr>
      </w:pPr>
      <w:bookmarkStart w:id="11" w:name="_TOC_250000"/>
      <w:r>
        <w:rPr>
          <w:rFonts w:hint="eastAsia"/>
          <w:color w:val="000000"/>
          <w:sz w:val="24"/>
        </w:rPr>
        <w:t>投标人或者其他利害关系人对招标文件有异议的，应当在投标截止时间10日前以书面形式提出。招标人将在收到异议之日起3日内作出答复；作出答复前，应当暂停招标投标活动。</w:t>
      </w:r>
    </w:p>
    <w:p>
      <w:pPr>
        <w:spacing w:line="420" w:lineRule="exact"/>
        <w:ind w:right="108"/>
        <w:rPr>
          <w:b/>
          <w:color w:val="000000"/>
          <w:sz w:val="24"/>
        </w:rPr>
      </w:pPr>
      <w:r>
        <w:rPr>
          <w:b/>
          <w:color w:val="000000"/>
          <w:sz w:val="24"/>
        </w:rPr>
        <w:t>3.</w:t>
      </w:r>
      <w:r>
        <w:rPr>
          <w:b/>
          <w:color w:val="000000"/>
          <w:sz w:val="24"/>
        </w:rPr>
        <w:tab/>
      </w:r>
      <w:r>
        <w:rPr>
          <w:b/>
          <w:color w:val="000000"/>
          <w:sz w:val="24"/>
        </w:rPr>
        <w:t>投标文件</w:t>
      </w:r>
      <w:bookmarkEnd w:id="11"/>
    </w:p>
    <w:p>
      <w:pPr>
        <w:spacing w:line="420" w:lineRule="exact"/>
        <w:ind w:right="108"/>
        <w:rPr>
          <w:b/>
          <w:color w:val="000000"/>
          <w:sz w:val="24"/>
        </w:rPr>
      </w:pPr>
      <w:r>
        <w:rPr>
          <w:b/>
          <w:color w:val="000000"/>
          <w:sz w:val="24"/>
        </w:rPr>
        <w:t>3.1投标文件的组成</w:t>
      </w:r>
    </w:p>
    <w:p>
      <w:pPr>
        <w:pStyle w:val="2"/>
        <w:spacing w:after="0" w:line="420" w:lineRule="exact"/>
        <w:ind w:right="2160" w:firstLine="480" w:firstLineChars="200"/>
        <w:rPr>
          <w:color w:val="000000"/>
          <w:sz w:val="24"/>
        </w:rPr>
      </w:pPr>
      <w:r>
        <w:rPr>
          <w:color w:val="000000"/>
          <w:sz w:val="24"/>
        </w:rPr>
        <w:t>3.1.1</w:t>
      </w:r>
      <w:r>
        <w:rPr>
          <w:rFonts w:hint="eastAsia"/>
          <w:color w:val="000000"/>
          <w:sz w:val="24"/>
        </w:rPr>
        <w:t>投标文件应采用双信封形式，包括下列内容：</w:t>
      </w:r>
    </w:p>
    <w:p>
      <w:pPr>
        <w:pStyle w:val="2"/>
        <w:spacing w:after="0" w:line="420" w:lineRule="exact"/>
        <w:ind w:right="2160" w:firstLine="480" w:firstLineChars="200"/>
        <w:rPr>
          <w:color w:val="000000"/>
          <w:sz w:val="24"/>
        </w:rPr>
      </w:pPr>
      <w:r>
        <w:rPr>
          <w:rFonts w:hint="eastAsia"/>
          <w:color w:val="000000"/>
          <w:sz w:val="24"/>
        </w:rPr>
        <w:t>第一个信封（商务及技术文件）：</w:t>
      </w:r>
    </w:p>
    <w:p>
      <w:pPr>
        <w:pStyle w:val="2"/>
        <w:spacing w:after="0" w:line="420" w:lineRule="exact"/>
        <w:ind w:right="2160" w:firstLine="480" w:firstLineChars="200"/>
        <w:rPr>
          <w:color w:val="000000"/>
          <w:sz w:val="24"/>
        </w:rPr>
      </w:pPr>
      <w:r>
        <w:rPr>
          <w:rFonts w:hint="eastAsia"/>
          <w:color w:val="000000"/>
          <w:sz w:val="24"/>
        </w:rPr>
        <w:t>(1）投标函；</w:t>
      </w:r>
    </w:p>
    <w:p>
      <w:pPr>
        <w:pStyle w:val="2"/>
        <w:spacing w:after="0" w:line="420" w:lineRule="exact"/>
        <w:ind w:right="2160" w:firstLine="480" w:firstLineChars="200"/>
        <w:rPr>
          <w:color w:val="000000"/>
          <w:sz w:val="24"/>
        </w:rPr>
      </w:pPr>
      <w:r>
        <w:rPr>
          <w:rFonts w:hint="eastAsia"/>
          <w:color w:val="000000"/>
          <w:sz w:val="24"/>
        </w:rPr>
        <w:t>(2）授权委托书或法定代表人身份证明；</w:t>
      </w:r>
    </w:p>
    <w:p>
      <w:pPr>
        <w:pStyle w:val="2"/>
        <w:spacing w:after="0" w:line="420" w:lineRule="exact"/>
        <w:ind w:right="2160" w:firstLine="480" w:firstLineChars="200"/>
        <w:rPr>
          <w:color w:val="000000"/>
          <w:sz w:val="24"/>
        </w:rPr>
      </w:pPr>
      <w:r>
        <w:rPr>
          <w:rFonts w:hint="eastAsia"/>
          <w:color w:val="000000"/>
          <w:sz w:val="24"/>
        </w:rPr>
        <w:t>(3）投标保证金；</w:t>
      </w:r>
    </w:p>
    <w:p>
      <w:pPr>
        <w:pStyle w:val="2"/>
        <w:spacing w:after="0" w:line="420" w:lineRule="exact"/>
        <w:ind w:right="2160" w:firstLine="480" w:firstLineChars="200"/>
        <w:rPr>
          <w:color w:val="000000"/>
          <w:sz w:val="24"/>
        </w:rPr>
      </w:pPr>
      <w:r>
        <w:rPr>
          <w:rFonts w:hint="eastAsia"/>
          <w:color w:val="000000"/>
          <w:sz w:val="24"/>
        </w:rPr>
        <w:t>(4）资格审查资料；</w:t>
      </w:r>
    </w:p>
    <w:p>
      <w:pPr>
        <w:pStyle w:val="2"/>
        <w:spacing w:after="0" w:line="420" w:lineRule="exact"/>
        <w:ind w:right="2160" w:firstLine="480" w:firstLineChars="200"/>
        <w:rPr>
          <w:color w:val="000000"/>
          <w:sz w:val="24"/>
        </w:rPr>
      </w:pPr>
      <w:r>
        <w:rPr>
          <w:rFonts w:hint="eastAsia"/>
          <w:color w:val="000000"/>
          <w:sz w:val="24"/>
        </w:rPr>
        <w:t>(5）技术建议书；</w:t>
      </w:r>
    </w:p>
    <w:p>
      <w:pPr>
        <w:pStyle w:val="2"/>
        <w:spacing w:after="0" w:line="420" w:lineRule="exact"/>
        <w:ind w:right="2160" w:firstLine="480" w:firstLineChars="200"/>
        <w:rPr>
          <w:color w:val="000000"/>
          <w:sz w:val="24"/>
        </w:rPr>
      </w:pPr>
      <w:r>
        <w:rPr>
          <w:rFonts w:hint="eastAsia"/>
          <w:color w:val="000000"/>
          <w:sz w:val="24"/>
        </w:rPr>
        <w:t>(6）投标人须知前附表规定的其他资料。</w:t>
      </w:r>
    </w:p>
    <w:p>
      <w:pPr>
        <w:pStyle w:val="2"/>
        <w:spacing w:after="0" w:line="420" w:lineRule="exact"/>
        <w:ind w:right="2160" w:firstLine="480" w:firstLineChars="200"/>
        <w:rPr>
          <w:color w:val="000000"/>
          <w:sz w:val="24"/>
        </w:rPr>
      </w:pPr>
      <w:r>
        <w:rPr>
          <w:rFonts w:hint="eastAsia"/>
          <w:color w:val="000000"/>
          <w:sz w:val="24"/>
        </w:rPr>
        <w:t>第二个信封（报价文件）：</w:t>
      </w:r>
    </w:p>
    <w:p>
      <w:pPr>
        <w:pStyle w:val="2"/>
        <w:spacing w:after="0" w:line="420" w:lineRule="exact"/>
        <w:ind w:right="2160" w:firstLine="480" w:firstLineChars="200"/>
        <w:rPr>
          <w:color w:val="000000"/>
          <w:sz w:val="24"/>
        </w:rPr>
      </w:pPr>
      <w:r>
        <w:rPr>
          <w:rFonts w:hint="eastAsia"/>
          <w:color w:val="000000"/>
          <w:sz w:val="24"/>
        </w:rPr>
        <w:t>(1）投标函；</w:t>
      </w:r>
    </w:p>
    <w:p>
      <w:pPr>
        <w:pStyle w:val="2"/>
        <w:spacing w:after="0" w:line="420" w:lineRule="exact"/>
        <w:ind w:right="2160" w:firstLine="480" w:firstLineChars="200"/>
        <w:rPr>
          <w:color w:val="000000"/>
          <w:sz w:val="24"/>
        </w:rPr>
      </w:pPr>
      <w:r>
        <w:rPr>
          <w:rFonts w:hint="eastAsia"/>
          <w:color w:val="000000"/>
          <w:sz w:val="24"/>
        </w:rPr>
        <w:t>(2）监理服务费用清单。</w:t>
      </w:r>
    </w:p>
    <w:p>
      <w:pPr>
        <w:pStyle w:val="2"/>
        <w:spacing w:after="0" w:line="420" w:lineRule="exact"/>
        <w:ind w:right="57" w:firstLine="480" w:firstLineChars="200"/>
        <w:rPr>
          <w:color w:val="000000"/>
          <w:sz w:val="24"/>
        </w:rPr>
      </w:pPr>
      <w:r>
        <w:rPr>
          <w:color w:val="000000"/>
          <w:sz w:val="24"/>
        </w:rPr>
        <w:t>投标人在评标过程中作出的符合法律法规和招标文件规定的澄清确认，构成投标文件的组成部分。</w:t>
      </w:r>
    </w:p>
    <w:p>
      <w:pPr>
        <w:pStyle w:val="2"/>
        <w:spacing w:before="91" w:after="0" w:line="420" w:lineRule="exact"/>
        <w:ind w:right="119" w:firstLine="480"/>
        <w:rPr>
          <w:color w:val="000000"/>
          <w:sz w:val="24"/>
        </w:rPr>
      </w:pPr>
      <w:r>
        <w:rPr>
          <w:color w:val="000000"/>
          <w:sz w:val="24"/>
        </w:rPr>
        <w:t>3.1.2</w:t>
      </w:r>
      <w:r>
        <w:rPr>
          <w:rFonts w:hint="eastAsia"/>
          <w:color w:val="000000"/>
          <w:sz w:val="24"/>
        </w:rPr>
        <w:t>投标人须知前附表规定不接受联合体投标的，或投标人没有组成联合体的，投标文件不包括本章第3.1.1（3）目所指的联合体协议书。</w:t>
      </w:r>
    </w:p>
    <w:p>
      <w:pPr>
        <w:pStyle w:val="2"/>
        <w:spacing w:before="91" w:after="0" w:line="420" w:lineRule="exact"/>
        <w:ind w:right="119" w:firstLine="480"/>
        <w:rPr>
          <w:color w:val="000000"/>
          <w:sz w:val="24"/>
        </w:rPr>
      </w:pPr>
      <w:r>
        <w:rPr>
          <w:rFonts w:hint="eastAsia"/>
          <w:color w:val="000000"/>
          <w:sz w:val="24"/>
        </w:rPr>
        <w:t>3.1.3投标人须知前附表未要求提交投标保证金的，投标文件不包括本章第3.1.1（4）目所指的投标保证金。</w:t>
      </w:r>
    </w:p>
    <w:p>
      <w:pPr>
        <w:pStyle w:val="2"/>
        <w:spacing w:before="91" w:line="420" w:lineRule="exact"/>
        <w:ind w:right="119"/>
        <w:rPr>
          <w:b/>
          <w:bCs/>
          <w:color w:val="000000"/>
          <w:sz w:val="24"/>
        </w:rPr>
      </w:pPr>
      <w:r>
        <w:rPr>
          <w:b/>
          <w:bCs/>
          <w:color w:val="000000"/>
          <w:sz w:val="24"/>
        </w:rPr>
        <w:t>3.2投标报价</w:t>
      </w:r>
    </w:p>
    <w:p>
      <w:pPr>
        <w:pStyle w:val="2"/>
        <w:spacing w:after="0" w:line="420" w:lineRule="exact"/>
        <w:ind w:right="119" w:firstLine="484"/>
        <w:rPr>
          <w:color w:val="000000"/>
          <w:sz w:val="24"/>
        </w:rPr>
      </w:pPr>
      <w:r>
        <w:rPr>
          <w:color w:val="000000"/>
          <w:sz w:val="24"/>
        </w:rPr>
        <w:t>3.2.1投标报价应包括国家规定的增值税税金，除投标人须知前附表另有规定外，增值税税金按一般计税方法计算。投标人应按第</w:t>
      </w:r>
      <w:r>
        <w:rPr>
          <w:rFonts w:hint="eastAsia"/>
          <w:color w:val="000000"/>
          <w:sz w:val="24"/>
        </w:rPr>
        <w:t>七</w:t>
      </w:r>
      <w:r>
        <w:rPr>
          <w:color w:val="000000"/>
          <w:sz w:val="24"/>
        </w:rPr>
        <w:t>章“投标文件格式”的要求在投标函中进行报价并填写监理服务费用清单相应表格。</w:t>
      </w:r>
    </w:p>
    <w:p>
      <w:pPr>
        <w:pStyle w:val="2"/>
        <w:spacing w:after="0" w:line="420" w:lineRule="exact"/>
        <w:ind w:right="119" w:firstLine="484"/>
        <w:rPr>
          <w:color w:val="000000"/>
          <w:sz w:val="24"/>
        </w:rPr>
      </w:pPr>
      <w:r>
        <w:rPr>
          <w:color w:val="000000"/>
          <w:sz w:val="24"/>
        </w:rPr>
        <w:t>3.2.2投标人应充分了解本项目的总体情况以及影响投标报价的其他要素，按照招标文件规定的施工监理工作内容和计划工作量，自行测算监理服务费用。投标报价应涵盖投标人完成施工准备阶段、施工阶段、验收与缺陷责任期阶段监理工作所需的全部费用。</w:t>
      </w:r>
    </w:p>
    <w:p>
      <w:pPr>
        <w:pStyle w:val="2"/>
        <w:spacing w:after="0" w:line="420" w:lineRule="exact"/>
        <w:ind w:right="119" w:firstLine="484"/>
        <w:rPr>
          <w:color w:val="000000"/>
          <w:sz w:val="24"/>
        </w:rPr>
      </w:pPr>
      <w:r>
        <w:rPr>
          <w:color w:val="000000"/>
          <w:sz w:val="24"/>
        </w:rPr>
        <w:t>投标人应按照</w:t>
      </w:r>
      <w:r>
        <w:rPr>
          <w:rFonts w:hint="eastAsia"/>
          <w:color w:val="000000"/>
          <w:sz w:val="24"/>
        </w:rPr>
        <w:t>“</w:t>
      </w:r>
      <w:r>
        <w:rPr>
          <w:color w:val="000000"/>
          <w:sz w:val="24"/>
        </w:rPr>
        <w:t>投标文件格式</w:t>
      </w:r>
      <w:r>
        <w:rPr>
          <w:rFonts w:hint="eastAsia"/>
          <w:color w:val="000000"/>
          <w:sz w:val="24"/>
        </w:rPr>
        <w:t>”</w:t>
      </w:r>
      <w:r>
        <w:rPr>
          <w:color w:val="000000"/>
          <w:sz w:val="24"/>
        </w:rPr>
        <w:t>中</w:t>
      </w:r>
      <w:r>
        <w:rPr>
          <w:rFonts w:hint="eastAsia"/>
          <w:color w:val="000000"/>
          <w:sz w:val="24"/>
        </w:rPr>
        <w:t>“</w:t>
      </w:r>
      <w:r>
        <w:rPr>
          <w:color w:val="000000"/>
          <w:sz w:val="24"/>
        </w:rPr>
        <w:t>监理服务费用清单</w:t>
      </w:r>
      <w:r>
        <w:rPr>
          <w:rFonts w:hint="eastAsia"/>
          <w:color w:val="000000"/>
          <w:sz w:val="24"/>
        </w:rPr>
        <w:t>”</w:t>
      </w:r>
      <w:r>
        <w:rPr>
          <w:color w:val="000000"/>
          <w:sz w:val="24"/>
        </w:rPr>
        <w:t>的要求填报监理服务费。投标人未填报的部分，在工程实施时委托人将不予支付，并认为该部分费用己包含在报价中。</w:t>
      </w:r>
    </w:p>
    <w:p>
      <w:pPr>
        <w:pStyle w:val="2"/>
        <w:spacing w:after="0" w:line="420" w:lineRule="exact"/>
        <w:ind w:right="119" w:firstLine="484"/>
        <w:rPr>
          <w:color w:val="000000"/>
          <w:sz w:val="24"/>
        </w:rPr>
      </w:pPr>
      <w:r>
        <w:rPr>
          <w:color w:val="000000"/>
          <w:sz w:val="24"/>
        </w:rPr>
        <w:t>3.2.3本项目的报价方式见投标人须知前附表。投标人在投标截止时间前修改投标函中的投标报价总额，应同时修改投标文件</w:t>
      </w:r>
      <w:r>
        <w:rPr>
          <w:rFonts w:hint="eastAsia"/>
          <w:color w:val="000000"/>
          <w:sz w:val="24"/>
        </w:rPr>
        <w:t>“</w:t>
      </w:r>
      <w:r>
        <w:rPr>
          <w:color w:val="000000"/>
          <w:sz w:val="24"/>
        </w:rPr>
        <w:t>监理服务费用清单</w:t>
      </w:r>
      <w:r>
        <w:rPr>
          <w:rFonts w:hint="eastAsia"/>
          <w:color w:val="000000"/>
          <w:sz w:val="24"/>
        </w:rPr>
        <w:t>”</w:t>
      </w:r>
      <w:r>
        <w:rPr>
          <w:color w:val="000000"/>
          <w:sz w:val="24"/>
        </w:rPr>
        <w:t>中的相应报价。此修改须符合本章第4.3款的有关要求。</w:t>
      </w:r>
    </w:p>
    <w:p>
      <w:pPr>
        <w:pStyle w:val="2"/>
        <w:spacing w:after="0" w:line="420" w:lineRule="exact"/>
        <w:ind w:right="119" w:firstLine="484"/>
        <w:rPr>
          <w:color w:val="000000"/>
          <w:sz w:val="24"/>
        </w:rPr>
      </w:pPr>
      <w:r>
        <w:rPr>
          <w:color w:val="000000"/>
          <w:sz w:val="24"/>
        </w:rPr>
        <w:t>3.2.4</w:t>
      </w:r>
      <w:r>
        <w:rPr>
          <w:rFonts w:hint="eastAsia"/>
          <w:color w:val="000000"/>
          <w:sz w:val="24"/>
        </w:rPr>
        <w:t>招标人设有最高投标限价的，投标人的投标报价不得超过最高投标限价，最高投标限价在投标人须知前附表中载明。</w:t>
      </w:r>
    </w:p>
    <w:p>
      <w:pPr>
        <w:pStyle w:val="2"/>
        <w:spacing w:after="0" w:line="420" w:lineRule="exact"/>
        <w:ind w:right="119" w:firstLine="484"/>
        <w:rPr>
          <w:color w:val="000000"/>
          <w:sz w:val="24"/>
        </w:rPr>
      </w:pPr>
      <w:r>
        <w:rPr>
          <w:rFonts w:hint="eastAsia"/>
          <w:color w:val="000000"/>
          <w:sz w:val="24"/>
        </w:rPr>
        <w:t>3.2.5 投标报价的其他要求见投标人须知前附表。</w:t>
      </w:r>
    </w:p>
    <w:p>
      <w:pPr>
        <w:pStyle w:val="2"/>
        <w:spacing w:line="420" w:lineRule="exact"/>
        <w:ind w:right="170"/>
        <w:rPr>
          <w:b/>
          <w:bCs/>
          <w:color w:val="000000"/>
          <w:sz w:val="24"/>
        </w:rPr>
      </w:pPr>
      <w:r>
        <w:rPr>
          <w:b/>
          <w:bCs/>
          <w:color w:val="000000"/>
          <w:sz w:val="24"/>
        </w:rPr>
        <w:t>3.3投标有效期</w:t>
      </w:r>
    </w:p>
    <w:p>
      <w:pPr>
        <w:pStyle w:val="2"/>
        <w:spacing w:after="0" w:line="420" w:lineRule="exact"/>
        <w:ind w:left="638" w:right="170"/>
        <w:rPr>
          <w:color w:val="000000"/>
          <w:sz w:val="24"/>
        </w:rPr>
      </w:pPr>
      <w:r>
        <w:rPr>
          <w:color w:val="000000"/>
          <w:sz w:val="24"/>
        </w:rPr>
        <w:t>3.3.1</w:t>
      </w:r>
      <w:r>
        <w:rPr>
          <w:rFonts w:hint="eastAsia"/>
          <w:color w:val="000000"/>
          <w:sz w:val="24"/>
        </w:rPr>
        <w:t>除投标人须知前附表另有规定外，投标有效期为90天。</w:t>
      </w:r>
    </w:p>
    <w:p>
      <w:pPr>
        <w:pStyle w:val="2"/>
        <w:spacing w:before="138" w:after="0" w:line="420" w:lineRule="exact"/>
        <w:ind w:right="170" w:firstLine="636" w:firstLineChars="265"/>
        <w:rPr>
          <w:color w:val="000000"/>
          <w:sz w:val="24"/>
        </w:rPr>
      </w:pPr>
      <w:r>
        <w:rPr>
          <w:color w:val="000000"/>
          <w:sz w:val="24"/>
        </w:rPr>
        <w:t>3.3.2</w:t>
      </w:r>
      <w:r>
        <w:rPr>
          <w:rFonts w:hint="eastAsia"/>
          <w:color w:val="000000"/>
          <w:sz w:val="24"/>
        </w:rPr>
        <w:t>在投标有效期内，投标人撤销投标文件的，应承担招标文件和法律规定的责任。</w:t>
      </w:r>
    </w:p>
    <w:p>
      <w:pPr>
        <w:pStyle w:val="2"/>
        <w:spacing w:before="65" w:after="0" w:line="420" w:lineRule="exact"/>
        <w:ind w:right="312" w:firstLine="484"/>
        <w:rPr>
          <w:color w:val="000000"/>
          <w:sz w:val="24"/>
        </w:rPr>
      </w:pPr>
      <w:r>
        <w:rPr>
          <w:color w:val="000000"/>
          <w:sz w:val="24"/>
        </w:rPr>
        <w:t>3.3.3出现特殊情况需要延长投标有效期的，招标人以书面形式通知所有投标人延长投标有效期。投标人应予以书面答复，同意延长的，应相应延长其投标保证金的有效期，但不得要求或被允许修改其投标文件</w:t>
      </w:r>
      <w:r>
        <w:rPr>
          <w:rFonts w:hint="eastAsia"/>
          <w:color w:val="000000"/>
          <w:sz w:val="24"/>
        </w:rPr>
        <w:t>；</w:t>
      </w:r>
      <w:r>
        <w:rPr>
          <w:color w:val="000000"/>
          <w:sz w:val="24"/>
        </w:rPr>
        <w:t>投标人拒绝延长的，其投标失效，但投标人有权收回其投标保证金及以现金或支票形式递交的投标保证金的银行同期活期存款利息。</w:t>
      </w:r>
    </w:p>
    <w:p>
      <w:pPr>
        <w:pStyle w:val="2"/>
        <w:spacing w:before="184" w:line="420" w:lineRule="exact"/>
        <w:ind w:right="170"/>
        <w:rPr>
          <w:b/>
          <w:bCs/>
          <w:color w:val="000000"/>
          <w:sz w:val="24"/>
        </w:rPr>
      </w:pPr>
      <w:r>
        <w:rPr>
          <w:b/>
          <w:bCs/>
          <w:color w:val="000000"/>
          <w:sz w:val="24"/>
        </w:rPr>
        <w:t>3.4投标保证金</w:t>
      </w:r>
    </w:p>
    <w:p>
      <w:pPr>
        <w:pStyle w:val="2"/>
        <w:spacing w:after="0" w:line="420" w:lineRule="exact"/>
        <w:ind w:right="170" w:firstLine="480" w:firstLineChars="200"/>
        <w:rPr>
          <w:color w:val="000000"/>
          <w:sz w:val="24"/>
        </w:rPr>
      </w:pPr>
      <w:r>
        <w:rPr>
          <w:color w:val="000000"/>
          <w:sz w:val="24"/>
        </w:rPr>
        <w:t>3.4.1投标人在递交投标文件的同时，应按投标人须知前附表规定的金额和第</w:t>
      </w:r>
      <w:r>
        <w:rPr>
          <w:rFonts w:hint="eastAsia"/>
          <w:color w:val="000000"/>
          <w:sz w:val="24"/>
        </w:rPr>
        <w:t>七</w:t>
      </w:r>
      <w:r>
        <w:rPr>
          <w:color w:val="000000"/>
          <w:sz w:val="24"/>
        </w:rPr>
        <w:t>章“投标文件格式”规定的投标保证金格式递交投标保证金，并作为其投标文件的组成部分。联合体投标的，其投标保证金由牵头人递交，并应符合投标人须知前附表的规定。</w:t>
      </w:r>
    </w:p>
    <w:p>
      <w:pPr>
        <w:pStyle w:val="2"/>
        <w:spacing w:after="0" w:line="420" w:lineRule="exact"/>
        <w:ind w:right="170" w:firstLine="480" w:firstLineChars="200"/>
        <w:rPr>
          <w:color w:val="000000"/>
          <w:sz w:val="24"/>
        </w:rPr>
      </w:pPr>
      <w:r>
        <w:rPr>
          <w:color w:val="000000"/>
          <w:sz w:val="24"/>
        </w:rPr>
        <w:t>投标保证金应采用现金、支票、银行保函或招标人在投标人须知前附表规定的其他形式。</w:t>
      </w:r>
    </w:p>
    <w:p>
      <w:pPr>
        <w:pStyle w:val="2"/>
        <w:spacing w:after="0" w:line="420" w:lineRule="exact"/>
        <w:ind w:right="170" w:firstLine="600" w:firstLineChars="250"/>
        <w:rPr>
          <w:color w:val="000000"/>
          <w:sz w:val="24"/>
        </w:rPr>
      </w:pPr>
      <w:r>
        <w:rPr>
          <w:rFonts w:hint="eastAsia"/>
          <w:color w:val="000000"/>
          <w:sz w:val="24"/>
        </w:rPr>
        <w:t>(1)</w:t>
      </w:r>
      <w:r>
        <w:rPr>
          <w:color w:val="000000"/>
          <w:sz w:val="24"/>
        </w:rPr>
        <w:t>若采用现金或支票，投标人应在递交投标文件截止时间之前，将投标保证金由投标人的基本账户转入招标人指定账户，否则视为投标保证金无效。招标人指定的开户银行及账号见投标人须知前附表。</w:t>
      </w:r>
    </w:p>
    <w:p>
      <w:pPr>
        <w:pStyle w:val="2"/>
        <w:spacing w:after="0" w:line="420" w:lineRule="exact"/>
        <w:ind w:right="170" w:firstLine="636" w:firstLineChars="265"/>
        <w:rPr>
          <w:color w:val="000000"/>
          <w:sz w:val="24"/>
        </w:rPr>
      </w:pPr>
      <w:r>
        <w:rPr>
          <w:color w:val="000000"/>
          <w:sz w:val="24"/>
        </w:rPr>
        <w:t>(2）若采用银行保函，则应由符合投标人须知前附表规定级别的银行开具，并采用招标文件提供的格式。银行保函复印件装订在投标文件内，原件应在递交投标文件截止时间之前单独密封递交给招标人。</w:t>
      </w:r>
    </w:p>
    <w:p>
      <w:pPr>
        <w:pStyle w:val="2"/>
        <w:spacing w:after="0" w:line="420" w:lineRule="exact"/>
        <w:ind w:right="170" w:firstLine="636" w:firstLineChars="265"/>
        <w:rPr>
          <w:color w:val="000000"/>
          <w:sz w:val="24"/>
        </w:rPr>
      </w:pPr>
      <w:r>
        <w:rPr>
          <w:color w:val="000000"/>
          <w:sz w:val="24"/>
        </w:rPr>
        <w:t>无论采取何种形式的投标保证金，投标保证金有效期均应与投标有效期一致。招标人如果按本章第3.3.3项的规定延长了投标有效期，则投标保证金的有效期也相应延长。</w:t>
      </w:r>
    </w:p>
    <w:p>
      <w:pPr>
        <w:pStyle w:val="2"/>
        <w:spacing w:after="0" w:line="420" w:lineRule="exact"/>
        <w:ind w:right="170" w:firstLine="636" w:firstLineChars="265"/>
        <w:rPr>
          <w:color w:val="000000"/>
          <w:sz w:val="24"/>
        </w:rPr>
      </w:pPr>
      <w:r>
        <w:rPr>
          <w:color w:val="000000"/>
          <w:sz w:val="24"/>
        </w:rPr>
        <w:t>3.4.2</w:t>
      </w:r>
      <w:r>
        <w:rPr>
          <w:rFonts w:hint="eastAsia"/>
          <w:color w:val="000000"/>
          <w:sz w:val="24"/>
        </w:rPr>
        <w:t>投标人不按本章第3.4.1项要求提交投标保证金的，评标委员会将否决其投标。</w:t>
      </w:r>
    </w:p>
    <w:p>
      <w:pPr>
        <w:pStyle w:val="2"/>
        <w:spacing w:after="0" w:line="420" w:lineRule="exact"/>
        <w:ind w:right="170" w:firstLine="636" w:firstLineChars="265"/>
        <w:rPr>
          <w:color w:val="000000"/>
          <w:sz w:val="24"/>
        </w:rPr>
      </w:pPr>
      <w:r>
        <w:rPr>
          <w:color w:val="000000"/>
          <w:sz w:val="24"/>
        </w:rPr>
        <w:t>3.4.3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pPr>
        <w:pStyle w:val="2"/>
        <w:spacing w:after="0" w:line="420" w:lineRule="exact"/>
        <w:ind w:left="638" w:right="170"/>
        <w:rPr>
          <w:color w:val="000000"/>
          <w:sz w:val="24"/>
        </w:rPr>
      </w:pPr>
      <w:r>
        <w:rPr>
          <w:color w:val="000000"/>
          <w:sz w:val="24"/>
        </w:rPr>
        <w:t>利息计算原则见投标人须知前附表。</w:t>
      </w:r>
    </w:p>
    <w:p>
      <w:pPr>
        <w:pStyle w:val="2"/>
        <w:spacing w:after="0" w:line="420" w:lineRule="exact"/>
        <w:ind w:left="638" w:right="170"/>
        <w:rPr>
          <w:color w:val="000000"/>
          <w:sz w:val="24"/>
        </w:rPr>
      </w:pPr>
      <w:r>
        <w:rPr>
          <w:color w:val="000000"/>
          <w:sz w:val="24"/>
        </w:rPr>
        <w:t>3.4.4</w:t>
      </w:r>
      <w:r>
        <w:rPr>
          <w:rFonts w:hint="eastAsia"/>
          <w:color w:val="000000"/>
          <w:sz w:val="24"/>
        </w:rPr>
        <w:t>有下列情形之一的，投标保证金将不予退还：</w:t>
      </w:r>
    </w:p>
    <w:p>
      <w:pPr>
        <w:pStyle w:val="2"/>
        <w:spacing w:after="0" w:line="420" w:lineRule="exact"/>
        <w:ind w:left="638" w:right="170"/>
        <w:rPr>
          <w:color w:val="000000"/>
          <w:sz w:val="24"/>
        </w:rPr>
      </w:pPr>
      <w:r>
        <w:rPr>
          <w:rFonts w:hint="eastAsia"/>
          <w:color w:val="000000"/>
          <w:sz w:val="24"/>
        </w:rPr>
        <w:t>（1）投标人在投标有效期内撤销投标文件；</w:t>
      </w:r>
    </w:p>
    <w:p>
      <w:pPr>
        <w:pStyle w:val="2"/>
        <w:spacing w:after="0" w:line="420" w:lineRule="exact"/>
        <w:ind w:right="170" w:firstLine="636" w:firstLineChars="265"/>
        <w:rPr>
          <w:color w:val="000000"/>
          <w:sz w:val="24"/>
        </w:rPr>
      </w:pPr>
      <w:r>
        <w:rPr>
          <w:rFonts w:hint="eastAsia"/>
          <w:color w:val="000000"/>
          <w:sz w:val="24"/>
        </w:rPr>
        <w:t>（2）中标人在收到中标通知书后，无正当理由不与招标人订立合同，在签订合同时向招标人提出附加条件，或者不按照招标文件要求提交履约保证金；</w:t>
      </w:r>
    </w:p>
    <w:p>
      <w:pPr>
        <w:pStyle w:val="2"/>
        <w:spacing w:after="0" w:line="420" w:lineRule="exact"/>
        <w:ind w:left="638" w:right="170"/>
        <w:rPr>
          <w:color w:val="000000"/>
          <w:sz w:val="24"/>
        </w:rPr>
      </w:pPr>
      <w:r>
        <w:rPr>
          <w:rFonts w:hint="eastAsia"/>
          <w:color w:val="000000"/>
          <w:sz w:val="24"/>
        </w:rPr>
        <w:t>（3）发生投标人须知前附表规定的其他可以不予退还投标保证金的情形。</w:t>
      </w:r>
    </w:p>
    <w:p>
      <w:pPr>
        <w:pStyle w:val="2"/>
        <w:spacing w:before="29" w:line="420" w:lineRule="exact"/>
        <w:ind w:right="140" w:firstLine="241" w:firstLineChars="100"/>
        <w:rPr>
          <w:b/>
          <w:bCs/>
          <w:color w:val="000000"/>
          <w:sz w:val="24"/>
        </w:rPr>
      </w:pPr>
      <w:r>
        <w:rPr>
          <w:b/>
          <w:bCs/>
          <w:color w:val="000000"/>
          <w:sz w:val="24"/>
        </w:rPr>
        <w:t>3.5资格审查资料</w:t>
      </w:r>
    </w:p>
    <w:p>
      <w:pPr>
        <w:pStyle w:val="2"/>
        <w:spacing w:after="0" w:line="420" w:lineRule="exact"/>
        <w:ind w:left="172" w:right="140" w:firstLine="470"/>
        <w:rPr>
          <w:color w:val="000000"/>
          <w:sz w:val="24"/>
        </w:rPr>
      </w:pPr>
      <w:r>
        <w:rPr>
          <w:color w:val="000000"/>
          <w:sz w:val="24"/>
        </w:rPr>
        <w:t>除投标人须知前附表另有规定外，投标人应按下列规定提供资格审查资料，以证</w:t>
      </w:r>
      <w:r>
        <w:rPr>
          <w:rFonts w:hint="eastAsia"/>
          <w:color w:val="000000"/>
          <w:sz w:val="24"/>
        </w:rPr>
        <w:t>明</w:t>
      </w:r>
      <w:r>
        <w:rPr>
          <w:color w:val="000000"/>
          <w:sz w:val="24"/>
        </w:rPr>
        <w:t>其满足本章第1.4款规定的资质、业绩、信誉等要求。</w:t>
      </w:r>
    </w:p>
    <w:p>
      <w:pPr>
        <w:pStyle w:val="2"/>
        <w:spacing w:after="0" w:line="420" w:lineRule="exact"/>
        <w:ind w:left="172" w:right="140" w:firstLine="470"/>
        <w:rPr>
          <w:color w:val="000000"/>
          <w:sz w:val="24"/>
        </w:rPr>
      </w:pPr>
      <w:r>
        <w:rPr>
          <w:color w:val="000000"/>
          <w:sz w:val="24"/>
        </w:rPr>
        <w:t>3.5.1“投标人基本情况表” 应附企业法人营业执照副本和组织机构代码证副本（按照“三证合一”或“五证合一”登记制度进行登记的，可仅提供营业执照副本，下同）、监理资质证书副本、基本账户开户许可证的复印件，投标人在交通运输部“全国公路建设市场信用信息管理系统”公路工程施工监理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pPr>
        <w:pStyle w:val="2"/>
        <w:spacing w:after="0" w:line="420" w:lineRule="exact"/>
        <w:ind w:left="170" w:right="142" w:firstLine="471"/>
        <w:rPr>
          <w:color w:val="000000"/>
          <w:sz w:val="24"/>
        </w:rPr>
      </w:pPr>
      <w:r>
        <w:rPr>
          <w:color w:val="000000"/>
          <w:sz w:val="24"/>
        </w:rPr>
        <w:t>企业法人营业执照副本和组织机构代码证副本、监理资质证书副本、基本账户开户许可证的复印件应提供全本（证书封面、封底、空白页除外），应包括投标人名称、投标人其他相关信息、颁发机构名称、投标人信息变更情况等关键页在内，并逐页加盖投标人单位章。</w:t>
      </w:r>
    </w:p>
    <w:p>
      <w:pPr>
        <w:pStyle w:val="2"/>
        <w:spacing w:before="21" w:after="0" w:line="420" w:lineRule="exact"/>
        <w:ind w:right="322" w:firstLine="484"/>
        <w:rPr>
          <w:color w:val="000000"/>
          <w:sz w:val="24"/>
        </w:rPr>
      </w:pPr>
      <w:r>
        <w:rPr>
          <w:color w:val="000000"/>
          <w:sz w:val="24"/>
        </w:rPr>
        <w:t xml:space="preserve">3.5.2“ </w:t>
      </w:r>
      <w:r>
        <w:rPr>
          <w:rFonts w:hint="eastAsia"/>
          <w:color w:val="000000"/>
          <w:sz w:val="24"/>
        </w:rPr>
        <w:t>“</w:t>
      </w:r>
      <w:r>
        <w:rPr>
          <w:color w:val="000000"/>
          <w:sz w:val="24"/>
        </w:rPr>
        <w:t>近年完成的类似项目</w:t>
      </w:r>
      <w:r>
        <w:rPr>
          <w:rFonts w:hint="eastAsia"/>
          <w:color w:val="000000"/>
          <w:sz w:val="24"/>
        </w:rPr>
        <w:t>”</w:t>
      </w:r>
      <w:r>
        <w:rPr>
          <w:color w:val="000000"/>
          <w:sz w:val="24"/>
        </w:rPr>
        <w:t>应是己列入交通运输主管部门“公路建设市场信用信息管理系统”并公开的业绩，具体时间要求见投标人须知前附表。</w:t>
      </w:r>
    </w:p>
    <w:p>
      <w:pPr>
        <w:pStyle w:val="2"/>
        <w:spacing w:before="40" w:after="0" w:line="420" w:lineRule="exact"/>
        <w:ind w:right="140" w:firstLine="567"/>
        <w:rPr>
          <w:color w:val="000000"/>
          <w:sz w:val="24"/>
        </w:rPr>
      </w:pPr>
      <w:r>
        <w:rPr>
          <w:rFonts w:hint="eastAsia"/>
          <w:color w:val="000000"/>
          <w:sz w:val="24"/>
        </w:rPr>
        <w:t>“近年完成的类似项目情况表”应附在交通运输部“全国公路建设市场信用信息管理系统”（网址：http://glxy.mot.gov.cn/BM／）中查询到的企业“业绩信息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w:t>
      </w:r>
    </w:p>
    <w:p>
      <w:pPr>
        <w:pStyle w:val="2"/>
        <w:spacing w:before="31" w:after="0" w:line="420" w:lineRule="exact"/>
        <w:ind w:left="158" w:right="319" w:firstLine="480"/>
        <w:rPr>
          <w:color w:val="000000"/>
          <w:sz w:val="24"/>
        </w:rPr>
      </w:pPr>
      <w:r>
        <w:rPr>
          <w:color w:val="000000"/>
          <w:sz w:val="24"/>
        </w:rPr>
        <w:t>如投标人未提供相关项目</w:t>
      </w:r>
      <w:r>
        <w:rPr>
          <w:rFonts w:hint="eastAsia"/>
          <w:color w:val="000000"/>
          <w:sz w:val="24"/>
        </w:rPr>
        <w:t>业绩证明材料</w:t>
      </w:r>
      <w:r>
        <w:rPr>
          <w:color w:val="000000"/>
          <w:sz w:val="24"/>
        </w:rPr>
        <w:t>或相关项目</w:t>
      </w:r>
      <w:r>
        <w:rPr>
          <w:rFonts w:hint="eastAsia"/>
          <w:color w:val="000000"/>
          <w:sz w:val="24"/>
        </w:rPr>
        <w:t>业绩证明材料</w:t>
      </w:r>
      <w:r>
        <w:rPr>
          <w:color w:val="000000"/>
          <w:sz w:val="24"/>
        </w:rPr>
        <w:t>中的信息无法证实投标人满足招标文件规定的资格审查条件（业绩最低要求</w:t>
      </w:r>
      <w:r>
        <w:rPr>
          <w:rFonts w:hint="eastAsia"/>
          <w:color w:val="000000"/>
          <w:sz w:val="24"/>
        </w:rPr>
        <w:t>），</w:t>
      </w:r>
      <w:r>
        <w:rPr>
          <w:color w:val="000000"/>
          <w:sz w:val="24"/>
        </w:rPr>
        <w:t>则该项目业绩不予认定。</w:t>
      </w:r>
    </w:p>
    <w:p>
      <w:pPr>
        <w:pStyle w:val="2"/>
        <w:spacing w:before="31" w:after="0" w:line="420" w:lineRule="exact"/>
        <w:ind w:left="158" w:right="319" w:firstLine="480"/>
        <w:rPr>
          <w:color w:val="000000"/>
          <w:sz w:val="24"/>
        </w:rPr>
      </w:pPr>
      <w:r>
        <w:rPr>
          <w:color w:val="000000"/>
          <w:sz w:val="24"/>
        </w:rPr>
        <w:t>3.5.3“投标人的信誉情况表”应附投标人在国家企业信用信息公示系统中未被列入严重违法失信企业名单、在“信用中国”网站中未被列入失信被执行人名单的网页截图复印件，以及由项目所在地或投标人住所地检察机关职务犯罪预防部门出具的近三年内投标人及其法定代表人、拟委任的</w:t>
      </w:r>
      <w:r>
        <w:rPr>
          <w:rFonts w:hint="eastAsia"/>
          <w:color w:val="000000"/>
          <w:sz w:val="24"/>
        </w:rPr>
        <w:t>项目负责人</w:t>
      </w:r>
      <w:r>
        <w:rPr>
          <w:color w:val="000000"/>
          <w:sz w:val="24"/>
        </w:rPr>
        <w:t>均无行贿犯罪行为的查询记录证明原件。</w:t>
      </w:r>
    </w:p>
    <w:p>
      <w:pPr>
        <w:pStyle w:val="2"/>
        <w:spacing w:before="97" w:after="0" w:line="420" w:lineRule="exact"/>
        <w:ind w:right="18" w:firstLine="484"/>
        <w:rPr>
          <w:color w:val="000000"/>
          <w:sz w:val="24"/>
        </w:rPr>
      </w:pPr>
      <w:r>
        <w:rPr>
          <w:color w:val="000000"/>
          <w:sz w:val="24"/>
        </w:rPr>
        <w:t>3.5.4</w:t>
      </w:r>
      <w:r>
        <w:rPr>
          <w:rFonts w:hint="eastAsia"/>
          <w:color w:val="000000"/>
          <w:sz w:val="24"/>
        </w:rPr>
        <w:t>“拟委任的总监理工程师或驻地监理工程师资历表”应附总监理工程师或驻地监理工程师的身份证、职称资格证书和资格审查条件所要求的其他相关证书（如公路工程监理工程师证书等）的复印件，以及投标人所属社保机构出具的拟委任的总监理工程师或驻地监理工程师的社保缴费证明或其他能够证明拟委任的总监理工程师或驻地监理工程师参加社保的有效证明材料复印件。</w:t>
      </w:r>
    </w:p>
    <w:p>
      <w:pPr>
        <w:pStyle w:val="2"/>
        <w:spacing w:before="97" w:after="0" w:line="420" w:lineRule="exact"/>
        <w:ind w:right="18" w:firstLine="484"/>
        <w:rPr>
          <w:color w:val="000000"/>
          <w:sz w:val="24"/>
        </w:rPr>
      </w:pPr>
      <w:r>
        <w:rPr>
          <w:rFonts w:hint="eastAsia"/>
          <w:color w:val="000000"/>
          <w:sz w:val="24"/>
        </w:rPr>
        <w:t>“拟委任的总监理工程师或驻地监理工程师资历表”还应附交通运输部“全国公路建设市场信用信息管理系统”中载明的、能够证明总监理工程师或驻地监理工程师具有相关业绩的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如投标人未提供相关业绩网页截图复印件或相关业绩网页截图中的信息无法证实投标人满足招标文件规定的资格审查条件（总监理工程师或驻地监理工程师最低要求），则该业绩不予认定。</w:t>
      </w:r>
    </w:p>
    <w:p>
      <w:pPr>
        <w:pStyle w:val="2"/>
        <w:spacing w:before="97" w:after="0" w:line="420" w:lineRule="exact"/>
        <w:ind w:right="18" w:firstLine="484"/>
        <w:rPr>
          <w:color w:val="000000"/>
          <w:sz w:val="24"/>
        </w:rPr>
      </w:pPr>
      <w:r>
        <w:rPr>
          <w:rFonts w:hint="eastAsia"/>
          <w:color w:val="000000"/>
          <w:sz w:val="24"/>
        </w:rPr>
        <w:t>如总监理工程师或驻地监理工程师目前仍在其他项目上任职，则投标人应提供由该项目委托人出具的、承诺上述人员能够从该项目撤离的书面证明材料原件。</w:t>
      </w:r>
    </w:p>
    <w:p>
      <w:pPr>
        <w:pStyle w:val="2"/>
        <w:spacing w:before="19" w:after="0" w:line="420" w:lineRule="exact"/>
        <w:ind w:right="18" w:firstLine="484"/>
        <w:rPr>
          <w:color w:val="000000"/>
          <w:sz w:val="24"/>
        </w:rPr>
      </w:pPr>
      <w:r>
        <w:rPr>
          <w:color w:val="000000"/>
          <w:sz w:val="24"/>
        </w:rPr>
        <w:t>3.5.5</w:t>
      </w:r>
      <w:r>
        <w:rPr>
          <w:rFonts w:hint="eastAsia"/>
          <w:color w:val="000000"/>
          <w:sz w:val="24"/>
        </w:rPr>
        <w:t>“拟委任的其他主要监理人员汇总表”（如有）应填报满足投标人须知前附表附录5规定的其他主要监理人员的相关信息。“拟委任的其他主要监理人员资历表”（如有）中相关人员应附身份证、职称资格证书和资格审查条件所要求的其他相关证书（如公路工程监理工程师证书等）的复印件，相关业绩证明材料复印件，以及投标人所属社保机构出具的社保缴费证明或其他能够证明其参加社保的有效证明材料复印件。</w:t>
      </w:r>
    </w:p>
    <w:p>
      <w:pPr>
        <w:pStyle w:val="2"/>
        <w:spacing w:before="33" w:after="0" w:line="420" w:lineRule="exact"/>
        <w:ind w:left="158" w:right="18" w:firstLine="480"/>
        <w:rPr>
          <w:color w:val="000000"/>
          <w:sz w:val="24"/>
        </w:rPr>
      </w:pPr>
      <w:r>
        <w:rPr>
          <w:color w:val="000000"/>
          <w:sz w:val="24"/>
        </w:rPr>
        <w:t>3.5.6投标人须知前附表规定接受联合体投标的，本章第3.5.1项至第3.5.5项规定的表格和资料应包括联合体各方相关情况。</w:t>
      </w:r>
    </w:p>
    <w:p>
      <w:pPr>
        <w:pStyle w:val="2"/>
        <w:spacing w:before="40" w:after="0" w:line="420" w:lineRule="exact"/>
        <w:ind w:right="18" w:firstLine="602" w:firstLineChars="251"/>
        <w:rPr>
          <w:color w:val="000000"/>
          <w:sz w:val="24"/>
        </w:rPr>
      </w:pPr>
      <w:r>
        <w:rPr>
          <w:color w:val="000000"/>
          <w:sz w:val="24"/>
        </w:rPr>
        <w:t>3.5.7除合同条款约定的特殊情形外，投标人在投标文件中填报的总监理工程师或驻地监理工程师不允许更换。</w:t>
      </w:r>
      <w:r>
        <w:rPr>
          <w:rFonts w:hint="eastAsia"/>
          <w:color w:val="000000"/>
          <w:sz w:val="24"/>
        </w:rPr>
        <w:t>中标后中标人在合同期内不允许擅自更</w:t>
      </w:r>
      <w:r>
        <w:rPr>
          <w:color w:val="000000"/>
          <w:sz w:val="24"/>
        </w:rPr>
        <w:t>总监理工程师或驻地监理工程师</w:t>
      </w:r>
      <w:r>
        <w:rPr>
          <w:rFonts w:hint="eastAsia"/>
          <w:color w:val="000000"/>
          <w:sz w:val="24"/>
        </w:rPr>
        <w:t>, 否则视为中标人违约，发包人有权没收投标保证金并不与对方签订施工监理合同，中标人同时承担违约责任。</w:t>
      </w:r>
    </w:p>
    <w:p>
      <w:pPr>
        <w:pStyle w:val="2"/>
        <w:spacing w:before="40" w:after="0" w:line="420" w:lineRule="exact"/>
        <w:ind w:left="148" w:right="18" w:firstLine="489"/>
        <w:rPr>
          <w:color w:val="000000"/>
          <w:sz w:val="24"/>
        </w:rPr>
      </w:pPr>
      <w:r>
        <w:rPr>
          <w:color w:val="000000"/>
          <w:sz w:val="24"/>
        </w:rPr>
        <w:t>3.5.8</w:t>
      </w:r>
      <w:r>
        <w:rPr>
          <w:rFonts w:hint="eastAsia"/>
          <w:color w:val="000000"/>
          <w:sz w:val="24"/>
        </w:rPr>
        <w:t>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pPr>
        <w:pStyle w:val="2"/>
        <w:spacing w:before="33" w:after="0" w:line="420" w:lineRule="exact"/>
        <w:ind w:left="148" w:right="18" w:firstLine="489"/>
        <w:rPr>
          <w:color w:val="000000"/>
          <w:sz w:val="24"/>
        </w:rPr>
      </w:pPr>
      <w:r>
        <w:rPr>
          <w:color w:val="000000"/>
          <w:sz w:val="24"/>
        </w:rPr>
        <w:t>3.5.9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w:t>
      </w:r>
      <w:r>
        <w:rPr>
          <w:rFonts w:hint="eastAsia"/>
          <w:color w:val="000000"/>
          <w:sz w:val="24"/>
        </w:rPr>
        <w:t>；</w:t>
      </w:r>
      <w:r>
        <w:rPr>
          <w:color w:val="000000"/>
          <w:sz w:val="24"/>
        </w:rPr>
        <w:t>若在合同实施期间发现投标人提供了虚假资料，招标人有权从合同价款或履约保证金中扣除不超过5%签约合同价的金额作为违约金。同时招标人将投标人上述弄虚作假行为上报省级交通运输主管部门</w:t>
      </w:r>
      <w:r>
        <w:rPr>
          <w:rFonts w:hint="eastAsia"/>
          <w:color w:val="000000"/>
          <w:sz w:val="24"/>
        </w:rPr>
        <w:t>，</w:t>
      </w:r>
      <w:r>
        <w:rPr>
          <w:color w:val="000000"/>
          <w:sz w:val="24"/>
        </w:rPr>
        <w:t>作为不良记录纳入公路建设市场信用信息管理系统。</w:t>
      </w:r>
    </w:p>
    <w:p>
      <w:pPr>
        <w:pStyle w:val="2"/>
        <w:spacing w:before="182" w:line="420" w:lineRule="exact"/>
        <w:rPr>
          <w:b/>
          <w:bCs/>
          <w:color w:val="000000"/>
          <w:sz w:val="24"/>
        </w:rPr>
      </w:pPr>
      <w:r>
        <w:rPr>
          <w:b/>
          <w:bCs/>
          <w:color w:val="000000"/>
          <w:sz w:val="24"/>
        </w:rPr>
        <w:t>3.6备选投标方案</w:t>
      </w:r>
    </w:p>
    <w:p>
      <w:pPr>
        <w:pStyle w:val="2"/>
        <w:spacing w:before="40" w:line="420" w:lineRule="exact"/>
        <w:ind w:left="148" w:right="18" w:firstLine="489"/>
        <w:rPr>
          <w:color w:val="000000"/>
          <w:sz w:val="24"/>
        </w:rPr>
      </w:pPr>
      <w:r>
        <w:rPr>
          <w:color w:val="000000"/>
          <w:sz w:val="24"/>
        </w:rPr>
        <w:t>3.6.1</w:t>
      </w:r>
      <w:r>
        <w:rPr>
          <w:rFonts w:hint="eastAsia"/>
          <w:color w:val="000000"/>
          <w:sz w:val="24"/>
        </w:rPr>
        <w:t>除投标人须知前附表规定允许外，投标人不得递交备选投标方案，否则其投标将被否决。</w:t>
      </w:r>
    </w:p>
    <w:p>
      <w:pPr>
        <w:pStyle w:val="2"/>
        <w:spacing w:before="40" w:line="420" w:lineRule="exact"/>
        <w:ind w:left="148" w:right="18" w:firstLine="489"/>
        <w:rPr>
          <w:color w:val="000000"/>
          <w:sz w:val="24"/>
        </w:rPr>
      </w:pPr>
      <w:r>
        <w:rPr>
          <w:color w:val="000000"/>
          <w:sz w:val="24"/>
        </w:rPr>
        <w:t>3.6.2</w:t>
      </w:r>
      <w:r>
        <w:rPr>
          <w:rFonts w:hint="eastAsia"/>
          <w:color w:val="000000"/>
          <w:sz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
        <w:spacing w:before="40" w:line="420" w:lineRule="exact"/>
        <w:ind w:left="148" w:right="18" w:firstLine="489"/>
        <w:rPr>
          <w:color w:val="000000"/>
          <w:sz w:val="24"/>
        </w:rPr>
      </w:pPr>
      <w:r>
        <w:rPr>
          <w:color w:val="000000"/>
          <w:sz w:val="24"/>
        </w:rPr>
        <w:t>3.6.3</w:t>
      </w:r>
      <w:r>
        <w:rPr>
          <w:rFonts w:hint="eastAsia"/>
          <w:color w:val="000000"/>
          <w:sz w:val="24"/>
        </w:rPr>
        <w:t>投标人提供两个或两个以上投标报价，或者在投标文件中提供一个报价，但同时提供两个或两个以上技术建议书的，视为提供备选方案。</w:t>
      </w:r>
    </w:p>
    <w:p>
      <w:pPr>
        <w:spacing w:line="420" w:lineRule="exact"/>
        <w:ind w:left="153"/>
        <w:rPr>
          <w:b/>
          <w:bCs/>
          <w:color w:val="000000"/>
          <w:sz w:val="24"/>
        </w:rPr>
      </w:pPr>
      <w:r>
        <w:rPr>
          <w:rFonts w:cs="Arial"/>
          <w:b/>
          <w:bCs/>
          <w:color w:val="000000"/>
          <w:sz w:val="24"/>
        </w:rPr>
        <w:t>3.7</w:t>
      </w:r>
      <w:r>
        <w:rPr>
          <w:b/>
          <w:bCs/>
          <w:color w:val="000000"/>
          <w:sz w:val="24"/>
        </w:rPr>
        <w:t>投标文件的编制</w:t>
      </w:r>
    </w:p>
    <w:p>
      <w:pPr>
        <w:pStyle w:val="2"/>
        <w:spacing w:line="420" w:lineRule="exact"/>
        <w:ind w:right="103" w:firstLine="484"/>
        <w:rPr>
          <w:color w:val="000000"/>
          <w:sz w:val="24"/>
        </w:rPr>
      </w:pPr>
      <w:r>
        <w:rPr>
          <w:color w:val="000000"/>
          <w:sz w:val="24"/>
        </w:rPr>
        <w:t>3.7.1投标文件应按第</w:t>
      </w:r>
      <w:r>
        <w:rPr>
          <w:rFonts w:hint="eastAsia"/>
          <w:color w:val="000000"/>
          <w:sz w:val="24"/>
        </w:rPr>
        <w:t>七</w:t>
      </w:r>
      <w:r>
        <w:rPr>
          <w:color w:val="000000"/>
          <w:sz w:val="24"/>
        </w:rPr>
        <w:t>章“投标文件格式”进行编写，如有必要，可以增加附页，作为投标文件的组成部分。</w:t>
      </w:r>
    </w:p>
    <w:p>
      <w:pPr>
        <w:pStyle w:val="2"/>
        <w:spacing w:before="44" w:line="420" w:lineRule="exact"/>
        <w:ind w:left="196" w:right="298" w:firstLine="441"/>
        <w:rPr>
          <w:color w:val="000000"/>
          <w:sz w:val="24"/>
        </w:rPr>
      </w:pPr>
      <w:r>
        <w:rPr>
          <w:color w:val="000000"/>
          <w:sz w:val="24"/>
        </w:rPr>
        <w:t>3.7.2</w:t>
      </w:r>
      <w:r>
        <w:rPr>
          <w:rFonts w:hint="eastAsia"/>
          <w:color w:val="000000"/>
          <w:sz w:val="24"/>
        </w:rPr>
        <w:t>投标文件应对招标文件有关监理服务期限、投标有效期、质量要求、安全目标、委托人要求、招标范围等实质性内容作出响应。</w:t>
      </w:r>
    </w:p>
    <w:p>
      <w:pPr>
        <w:pStyle w:val="2"/>
        <w:spacing w:before="35" w:line="420" w:lineRule="exact"/>
        <w:ind w:right="110" w:firstLine="484"/>
        <w:rPr>
          <w:color w:val="000000"/>
          <w:sz w:val="24"/>
        </w:rPr>
      </w:pPr>
      <w:r>
        <w:rPr>
          <w:color w:val="000000"/>
          <w:sz w:val="24"/>
        </w:rPr>
        <w:t>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及对投标文件的澄清和说明应加盖投标人单位章，或由投标人的法定代表人或其委托代理人签字。</w:t>
      </w:r>
    </w:p>
    <w:p>
      <w:pPr>
        <w:pStyle w:val="2"/>
        <w:spacing w:before="31" w:line="420" w:lineRule="exact"/>
        <w:ind w:left="148" w:right="303" w:firstLine="489"/>
        <w:rPr>
          <w:color w:val="000000"/>
          <w:sz w:val="24"/>
        </w:rPr>
      </w:pPr>
      <w:r>
        <w:rPr>
          <w:color w:val="000000"/>
          <w:sz w:val="24"/>
        </w:rPr>
        <w:t>如果投标文件由委托代理人签署，则投标人须提交授权委托书，授权委托书应按第</w:t>
      </w:r>
      <w:r>
        <w:rPr>
          <w:rFonts w:hint="eastAsia"/>
          <w:color w:val="000000"/>
          <w:sz w:val="24"/>
        </w:rPr>
        <w:t>七</w:t>
      </w:r>
      <w:r>
        <w:rPr>
          <w:color w:val="000000"/>
          <w:sz w:val="24"/>
        </w:rPr>
        <w:t>章“投标文件格式”的要求出具，并由法定代表人和委托代理人亲笔签名，不得使用印章、签名章或其他电子制版签名代替。</w:t>
      </w:r>
    </w:p>
    <w:p>
      <w:pPr>
        <w:pStyle w:val="2"/>
        <w:spacing w:before="24" w:line="420" w:lineRule="exact"/>
        <w:ind w:right="314" w:firstLine="484"/>
        <w:rPr>
          <w:color w:val="000000"/>
          <w:sz w:val="24"/>
        </w:rPr>
      </w:pPr>
      <w:r>
        <w:rPr>
          <w:color w:val="000000"/>
          <w:sz w:val="24"/>
        </w:rPr>
        <w:t>如果由投标人的法定代表人亲自签署投标文件，则投标人须提交法定代表人身份证明，身份证明应符合第</w:t>
      </w:r>
      <w:r>
        <w:rPr>
          <w:rFonts w:hint="eastAsia"/>
          <w:color w:val="000000"/>
          <w:sz w:val="24"/>
        </w:rPr>
        <w:t>七</w:t>
      </w:r>
      <w:r>
        <w:rPr>
          <w:color w:val="000000"/>
          <w:sz w:val="24"/>
        </w:rPr>
        <w:t>章“投标文件格式”的要求。</w:t>
      </w:r>
    </w:p>
    <w:p>
      <w:pPr>
        <w:pStyle w:val="2"/>
        <w:spacing w:before="19" w:line="420" w:lineRule="exact"/>
        <w:ind w:right="293" w:firstLine="508"/>
        <w:rPr>
          <w:color w:val="000000"/>
          <w:sz w:val="24"/>
        </w:rPr>
      </w:pPr>
      <w:r>
        <w:rPr>
          <w:color w:val="000000"/>
          <w:sz w:val="24"/>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pPr>
        <w:pStyle w:val="2"/>
        <w:spacing w:before="19" w:line="420" w:lineRule="exact"/>
        <w:ind w:right="57" w:firstLine="484"/>
        <w:rPr>
          <w:color w:val="000000"/>
          <w:sz w:val="24"/>
        </w:rPr>
      </w:pPr>
      <w:r>
        <w:rPr>
          <w:color w:val="000000"/>
          <w:sz w:val="24"/>
        </w:rPr>
        <w:t>投标文件应尽量避免涂改、行间插字或删除。如果出现上述情况，改动之处应由投标人的法定代表人或其授权的代理人签字或盖单位章。</w:t>
      </w:r>
    </w:p>
    <w:p>
      <w:pPr>
        <w:pStyle w:val="2"/>
        <w:tabs>
          <w:tab w:val="left" w:pos="9072"/>
        </w:tabs>
        <w:spacing w:before="24" w:line="420" w:lineRule="exact"/>
        <w:ind w:right="57" w:firstLine="489"/>
        <w:rPr>
          <w:color w:val="000000"/>
          <w:sz w:val="24"/>
        </w:rPr>
      </w:pPr>
      <w:r>
        <w:rPr>
          <w:color w:val="000000"/>
          <w:sz w:val="24"/>
        </w:rPr>
        <w:t>3.7.4投标文件正本一份</w:t>
      </w:r>
      <w:r>
        <w:rPr>
          <w:rFonts w:hint="eastAsia"/>
          <w:color w:val="000000"/>
          <w:sz w:val="24"/>
        </w:rPr>
        <w:t>，</w:t>
      </w:r>
      <w:r>
        <w:rPr>
          <w:color w:val="000000"/>
          <w:sz w:val="24"/>
        </w:rPr>
        <w:t>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pPr>
        <w:pStyle w:val="2"/>
        <w:spacing w:before="19" w:line="420" w:lineRule="exact"/>
        <w:ind w:right="57" w:firstLine="484"/>
        <w:rPr>
          <w:color w:val="000000"/>
          <w:sz w:val="24"/>
        </w:rPr>
      </w:pPr>
      <w:r>
        <w:rPr>
          <w:color w:val="000000"/>
          <w:sz w:val="24"/>
        </w:rPr>
        <w:t>3.7.5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pPr>
        <w:tabs>
          <w:tab w:val="left" w:pos="571"/>
        </w:tabs>
        <w:spacing w:line="420" w:lineRule="exact"/>
        <w:ind w:left="147" w:right="17"/>
        <w:rPr>
          <w:b/>
          <w:bCs/>
          <w:color w:val="000000"/>
          <w:sz w:val="24"/>
        </w:rPr>
      </w:pPr>
      <w:r>
        <w:rPr>
          <w:rFonts w:cs="Arial"/>
          <w:b/>
          <w:bCs/>
          <w:color w:val="000000"/>
          <w:sz w:val="24"/>
        </w:rPr>
        <w:t>4.</w:t>
      </w:r>
      <w:r>
        <w:rPr>
          <w:rFonts w:cs="Arial"/>
          <w:b/>
          <w:bCs/>
          <w:color w:val="000000"/>
          <w:sz w:val="24"/>
        </w:rPr>
        <w:tab/>
      </w:r>
      <w:r>
        <w:rPr>
          <w:b/>
          <w:bCs/>
          <w:color w:val="000000"/>
          <w:sz w:val="24"/>
        </w:rPr>
        <w:t>投标</w:t>
      </w:r>
    </w:p>
    <w:p>
      <w:pPr>
        <w:spacing w:before="240" w:line="420" w:lineRule="exact"/>
        <w:ind w:left="147" w:right="17"/>
        <w:rPr>
          <w:b/>
          <w:bCs/>
          <w:color w:val="000000"/>
          <w:sz w:val="24"/>
        </w:rPr>
      </w:pPr>
      <w:r>
        <w:rPr>
          <w:rFonts w:cs="Arial"/>
          <w:b/>
          <w:bCs/>
          <w:color w:val="000000"/>
          <w:sz w:val="24"/>
        </w:rPr>
        <w:t>4.1</w:t>
      </w:r>
      <w:r>
        <w:rPr>
          <w:b/>
          <w:bCs/>
          <w:color w:val="000000"/>
          <w:sz w:val="24"/>
        </w:rPr>
        <w:t>投标文件的密封和标识</w:t>
      </w:r>
    </w:p>
    <w:p>
      <w:pPr>
        <w:pStyle w:val="2"/>
        <w:spacing w:line="420" w:lineRule="exact"/>
        <w:ind w:right="18" w:firstLine="475"/>
        <w:rPr>
          <w:color w:val="000000"/>
          <w:sz w:val="24"/>
        </w:rPr>
      </w:pPr>
      <w:r>
        <w:rPr>
          <w:color w:val="000000"/>
          <w:sz w:val="24"/>
        </w:rPr>
        <w:t>4.1.1投标文件应采用双信封形式密封。投标文件第一个信封（商务及技术文件）以及第二个信封（报价文件）应单独密封包装。商务及技术文件的正本与副本应统一密封在一个封套中。报价文件的正本与副本以及投标文件电子版文件（如需要）应统一密封在另一个封套中。封套应加贴封条，并在封套的封口处加盖投标人单位章或由投标人的法定代表人或其委托代理人签字</w:t>
      </w:r>
      <w:r>
        <w:rPr>
          <w:rFonts w:hint="eastAsia"/>
          <w:color w:val="000000"/>
          <w:sz w:val="24"/>
        </w:rPr>
        <w:t>。</w:t>
      </w:r>
    </w:p>
    <w:p>
      <w:pPr>
        <w:pStyle w:val="2"/>
        <w:spacing w:before="26" w:line="420" w:lineRule="exact"/>
        <w:ind w:left="633" w:right="18"/>
        <w:rPr>
          <w:color w:val="000000"/>
          <w:sz w:val="24"/>
        </w:rPr>
      </w:pPr>
      <w:r>
        <w:rPr>
          <w:color w:val="000000"/>
          <w:sz w:val="24"/>
        </w:rPr>
        <w:t>采用银行保函形式提交投标保证金的，银行保函原件应密封在单独的封套中。</w:t>
      </w:r>
    </w:p>
    <w:p>
      <w:pPr>
        <w:pStyle w:val="2"/>
        <w:spacing w:before="102" w:line="420" w:lineRule="exact"/>
        <w:ind w:right="18" w:firstLine="475"/>
        <w:rPr>
          <w:color w:val="000000"/>
          <w:sz w:val="24"/>
        </w:rPr>
      </w:pPr>
      <w:r>
        <w:rPr>
          <w:color w:val="000000"/>
          <w:sz w:val="24"/>
        </w:rPr>
        <w:t>4.1.2投标文件第一个信封（商务及技术文件）、第二个信封（报价文件）以及银行保函封套上应写明的内容见投标人须知前附表。</w:t>
      </w:r>
    </w:p>
    <w:p>
      <w:pPr>
        <w:pStyle w:val="2"/>
        <w:spacing w:before="94" w:line="420" w:lineRule="exact"/>
        <w:ind w:right="18" w:firstLine="480" w:firstLineChars="200"/>
        <w:rPr>
          <w:color w:val="000000"/>
          <w:sz w:val="24"/>
        </w:rPr>
      </w:pPr>
      <w:r>
        <w:rPr>
          <w:color w:val="000000"/>
          <w:sz w:val="24"/>
        </w:rPr>
        <w:t>4.1.3</w:t>
      </w:r>
      <w:r>
        <w:rPr>
          <w:rFonts w:hint="eastAsia"/>
          <w:color w:val="000000"/>
          <w:sz w:val="24"/>
        </w:rPr>
        <w:t>未按本章第4.1.1项要求密封的投标文件，招标人将予以拒收。</w:t>
      </w:r>
    </w:p>
    <w:p>
      <w:pPr>
        <w:pStyle w:val="2"/>
        <w:spacing w:line="420" w:lineRule="exact"/>
        <w:ind w:left="148" w:right="18"/>
        <w:rPr>
          <w:b/>
          <w:bCs/>
          <w:color w:val="000000"/>
          <w:sz w:val="24"/>
        </w:rPr>
      </w:pPr>
      <w:r>
        <w:rPr>
          <w:b/>
          <w:bCs/>
          <w:color w:val="000000"/>
          <w:sz w:val="24"/>
        </w:rPr>
        <w:t>4.2投标文件的递交</w:t>
      </w:r>
    </w:p>
    <w:p>
      <w:pPr>
        <w:pStyle w:val="2"/>
        <w:spacing w:line="420" w:lineRule="exact"/>
        <w:ind w:right="18" w:firstLine="475"/>
        <w:rPr>
          <w:color w:val="000000"/>
          <w:sz w:val="24"/>
        </w:rPr>
      </w:pPr>
      <w:r>
        <w:rPr>
          <w:color w:val="000000"/>
          <w:sz w:val="24"/>
        </w:rPr>
        <w:t>4.2.1投标人应在第一章“招标公告”或“投标邀请书”规定的投标截止时间前递交投标文件。</w:t>
      </w:r>
    </w:p>
    <w:p>
      <w:pPr>
        <w:pStyle w:val="2"/>
        <w:spacing w:before="40" w:line="420" w:lineRule="exact"/>
        <w:ind w:right="18" w:firstLine="480" w:firstLineChars="200"/>
        <w:rPr>
          <w:color w:val="000000"/>
          <w:sz w:val="24"/>
        </w:rPr>
      </w:pPr>
      <w:r>
        <w:rPr>
          <w:color w:val="000000"/>
          <w:sz w:val="24"/>
        </w:rPr>
        <w:t>4.2.2投标人递交投标文件的地点：见第一章“招标公告”或“投标邀请书”。</w:t>
      </w:r>
    </w:p>
    <w:p>
      <w:pPr>
        <w:pStyle w:val="2"/>
        <w:spacing w:before="89" w:line="420" w:lineRule="exact"/>
        <w:ind w:right="18" w:firstLine="475"/>
        <w:rPr>
          <w:color w:val="000000"/>
          <w:sz w:val="24"/>
        </w:rPr>
      </w:pPr>
      <w:r>
        <w:rPr>
          <w:color w:val="000000"/>
          <w:sz w:val="24"/>
        </w:rPr>
        <w:t>4.2.3除投标人须知前附表另有规定外，投标人所递交的投标文件不予退还。投标人少于3个的，投标文件当场退还给投标人。</w:t>
      </w:r>
    </w:p>
    <w:p>
      <w:pPr>
        <w:pStyle w:val="2"/>
        <w:spacing w:line="420" w:lineRule="exact"/>
        <w:ind w:right="18" w:firstLine="475"/>
        <w:rPr>
          <w:color w:val="000000"/>
          <w:sz w:val="24"/>
        </w:rPr>
      </w:pPr>
      <w:r>
        <w:rPr>
          <w:rFonts w:hint="eastAsia"/>
          <w:color w:val="000000"/>
          <w:sz w:val="24"/>
        </w:rPr>
        <w:t>4.2.4招标人收到投标文件后，向投标人出具签收凭证。</w:t>
      </w:r>
    </w:p>
    <w:p>
      <w:pPr>
        <w:pStyle w:val="2"/>
        <w:spacing w:line="420" w:lineRule="exact"/>
        <w:ind w:right="18" w:firstLine="475"/>
        <w:rPr>
          <w:color w:val="000000"/>
          <w:sz w:val="24"/>
        </w:rPr>
      </w:pPr>
      <w:r>
        <w:rPr>
          <w:rFonts w:hint="eastAsia"/>
          <w:color w:val="000000"/>
          <w:sz w:val="24"/>
        </w:rPr>
        <w:t>4.2.5逾期送达的或未送达指定地点的投标文件，招标人将予以拒收。</w:t>
      </w:r>
    </w:p>
    <w:p>
      <w:pPr>
        <w:pStyle w:val="2"/>
        <w:spacing w:line="420" w:lineRule="exact"/>
        <w:ind w:right="18"/>
        <w:rPr>
          <w:b/>
          <w:bCs/>
          <w:color w:val="000000"/>
          <w:sz w:val="24"/>
        </w:rPr>
      </w:pPr>
      <w:r>
        <w:rPr>
          <w:b/>
          <w:bCs/>
          <w:color w:val="000000"/>
          <w:sz w:val="24"/>
        </w:rPr>
        <w:t>4.3投标文件的修改与撤回</w:t>
      </w:r>
    </w:p>
    <w:p>
      <w:pPr>
        <w:pStyle w:val="2"/>
        <w:spacing w:line="420" w:lineRule="exact"/>
        <w:ind w:right="18" w:firstLine="475"/>
        <w:rPr>
          <w:color w:val="000000"/>
          <w:sz w:val="24"/>
        </w:rPr>
      </w:pPr>
      <w:r>
        <w:rPr>
          <w:rFonts w:hint="eastAsia"/>
          <w:color w:val="000000"/>
          <w:sz w:val="24"/>
        </w:rPr>
        <w:t>4.3.1在本章第4.2.1项规定的投标截止时间前，投标人可以修改或撤回已递交的投标文件，但应以书面形式通知招标人。</w:t>
      </w:r>
    </w:p>
    <w:p>
      <w:pPr>
        <w:pStyle w:val="2"/>
        <w:spacing w:line="420" w:lineRule="exact"/>
        <w:ind w:right="18" w:firstLine="475"/>
        <w:rPr>
          <w:color w:val="000000"/>
          <w:sz w:val="24"/>
        </w:rPr>
      </w:pPr>
      <w:r>
        <w:rPr>
          <w:rFonts w:hint="eastAsia"/>
          <w:color w:val="000000"/>
          <w:sz w:val="24"/>
        </w:rPr>
        <w:t>4.3.2投标人修改或撤回已递交投标文件的书面通知应按照本章第3.7.3项的要求签字或盖章。招标人收到书面通知后，向投标人出具签收凭证。</w:t>
      </w:r>
    </w:p>
    <w:p>
      <w:pPr>
        <w:pStyle w:val="2"/>
        <w:spacing w:line="420" w:lineRule="exact"/>
        <w:ind w:right="18" w:firstLine="475"/>
        <w:rPr>
          <w:color w:val="000000"/>
          <w:sz w:val="24"/>
        </w:rPr>
      </w:pPr>
      <w:r>
        <w:rPr>
          <w:rFonts w:hint="eastAsia"/>
          <w:color w:val="000000"/>
          <w:sz w:val="24"/>
        </w:rPr>
        <w:t>4.3.3投标人撤回投标文件的，招标人自收到投标人书面撤回通知之日起5日内退还已收取的投标保证金。</w:t>
      </w:r>
    </w:p>
    <w:p>
      <w:pPr>
        <w:pStyle w:val="2"/>
        <w:spacing w:line="420" w:lineRule="exact"/>
        <w:ind w:right="18" w:firstLine="475"/>
        <w:rPr>
          <w:color w:val="000000"/>
          <w:sz w:val="24"/>
        </w:rPr>
      </w:pPr>
      <w:r>
        <w:rPr>
          <w:rFonts w:hint="eastAsia"/>
          <w:color w:val="000000"/>
          <w:sz w:val="24"/>
        </w:rPr>
        <w:t>4.3.4修改的内容为投标文件的组成部分。修改的投标文件应按照本章第3条、第4条的规定进行编制、密封、标记和递交，并标明“修改”字样。</w:t>
      </w:r>
    </w:p>
    <w:p>
      <w:pPr>
        <w:tabs>
          <w:tab w:val="left" w:pos="571"/>
        </w:tabs>
        <w:spacing w:line="420" w:lineRule="exact"/>
        <w:ind w:left="148" w:right="18"/>
        <w:rPr>
          <w:rFonts w:cs="Arial"/>
          <w:b/>
          <w:bCs/>
          <w:color w:val="000000"/>
          <w:sz w:val="24"/>
        </w:rPr>
      </w:pPr>
      <w:r>
        <w:rPr>
          <w:rFonts w:cs="Arial"/>
          <w:b/>
          <w:bCs/>
          <w:color w:val="000000"/>
          <w:sz w:val="24"/>
        </w:rPr>
        <w:t>5.</w:t>
      </w:r>
      <w:r>
        <w:rPr>
          <w:rFonts w:cs="Arial"/>
          <w:b/>
          <w:bCs/>
          <w:color w:val="000000"/>
          <w:sz w:val="24"/>
        </w:rPr>
        <w:tab/>
      </w:r>
      <w:r>
        <w:rPr>
          <w:rFonts w:cs="Arial"/>
          <w:b/>
          <w:bCs/>
          <w:color w:val="000000"/>
          <w:sz w:val="24"/>
        </w:rPr>
        <w:t>开标</w:t>
      </w:r>
    </w:p>
    <w:p>
      <w:pPr>
        <w:spacing w:before="249" w:line="420" w:lineRule="exact"/>
        <w:ind w:left="148" w:right="194"/>
        <w:rPr>
          <w:b/>
          <w:bCs/>
          <w:color w:val="000000"/>
          <w:sz w:val="24"/>
        </w:rPr>
      </w:pPr>
      <w:r>
        <w:rPr>
          <w:rFonts w:cs="Arial"/>
          <w:b/>
          <w:bCs/>
          <w:color w:val="000000"/>
          <w:sz w:val="24"/>
        </w:rPr>
        <w:t>5.1</w:t>
      </w:r>
      <w:r>
        <w:rPr>
          <w:b/>
          <w:bCs/>
          <w:color w:val="000000"/>
          <w:sz w:val="24"/>
        </w:rPr>
        <w:t>开标时间和地点</w:t>
      </w:r>
    </w:p>
    <w:p>
      <w:pPr>
        <w:pStyle w:val="2"/>
        <w:spacing w:before="31" w:line="420" w:lineRule="exact"/>
        <w:ind w:right="331" w:firstLine="480" w:firstLineChars="200"/>
        <w:rPr>
          <w:color w:val="000000"/>
          <w:sz w:val="24"/>
        </w:rPr>
      </w:pPr>
      <w:r>
        <w:rPr>
          <w:rFonts w:hint="eastAsia"/>
          <w:color w:val="000000"/>
          <w:sz w:val="24"/>
        </w:rPr>
        <w:t>招标人在本章第4.2.1项规定的投标截止时间（开标时间）和投标人须知前附表规定的地点对收到的投标文件第一个信封（商务及技术文件）公开开标，并邀请所有投标人的法定代表人或其委托代理人准时参加。</w:t>
      </w:r>
    </w:p>
    <w:p>
      <w:pPr>
        <w:pStyle w:val="2"/>
        <w:spacing w:before="31" w:line="420" w:lineRule="exact"/>
        <w:ind w:right="331" w:firstLine="484"/>
        <w:rPr>
          <w:color w:val="000000"/>
          <w:sz w:val="24"/>
        </w:rPr>
      </w:pPr>
      <w:r>
        <w:rPr>
          <w:rFonts w:hint="eastAsia"/>
          <w:color w:val="000000"/>
          <w:sz w:val="24"/>
        </w:rPr>
        <w:t>招标人在投标人须知前附表规定的时间和地点对投标文件第二个信封（报价文件）公开开标，并邀请所有投标人的法定代表人或其委托代理人准时参加。</w:t>
      </w:r>
    </w:p>
    <w:p>
      <w:pPr>
        <w:pStyle w:val="2"/>
        <w:spacing w:before="31" w:line="420" w:lineRule="exact"/>
        <w:ind w:right="331" w:firstLine="484"/>
        <w:rPr>
          <w:color w:val="000000"/>
          <w:sz w:val="24"/>
        </w:rPr>
      </w:pPr>
      <w:r>
        <w:rPr>
          <w:rFonts w:hint="eastAsia"/>
          <w:color w:val="000000"/>
          <w:sz w:val="24"/>
        </w:rPr>
        <w:t>投标人若未派法定代表人或委托代理人出席开标活动，视为该投标人默认开标结果。</w:t>
      </w:r>
    </w:p>
    <w:p>
      <w:pPr>
        <w:spacing w:before="154" w:line="420" w:lineRule="exact"/>
        <w:ind w:left="148" w:right="194"/>
        <w:rPr>
          <w:b/>
          <w:bCs/>
          <w:color w:val="000000"/>
          <w:sz w:val="24"/>
        </w:rPr>
      </w:pPr>
      <w:r>
        <w:rPr>
          <w:rFonts w:cs="Arial"/>
          <w:b/>
          <w:bCs/>
          <w:color w:val="000000"/>
          <w:sz w:val="24"/>
        </w:rPr>
        <w:t>5.2</w:t>
      </w:r>
      <w:r>
        <w:rPr>
          <w:b/>
          <w:bCs/>
          <w:color w:val="000000"/>
          <w:sz w:val="24"/>
        </w:rPr>
        <w:t>开标程序</w:t>
      </w:r>
    </w:p>
    <w:p>
      <w:pPr>
        <w:pStyle w:val="2"/>
        <w:spacing w:after="0" w:line="420" w:lineRule="exact"/>
        <w:ind w:left="638" w:right="194"/>
        <w:rPr>
          <w:color w:val="000000"/>
          <w:sz w:val="24"/>
        </w:rPr>
      </w:pPr>
      <w:r>
        <w:rPr>
          <w:color w:val="000000"/>
          <w:sz w:val="24"/>
        </w:rPr>
        <w:t>5.2.1主持人按下列程序对投标文件第一个信封（商务及技术文件）进行开标：</w:t>
      </w:r>
    </w:p>
    <w:p>
      <w:pPr>
        <w:pStyle w:val="2"/>
        <w:spacing w:before="33" w:after="0" w:line="420" w:lineRule="exact"/>
        <w:ind w:left="148" w:right="347" w:firstLine="484"/>
        <w:rPr>
          <w:color w:val="000000"/>
          <w:sz w:val="24"/>
        </w:rPr>
      </w:pPr>
      <w:r>
        <w:rPr>
          <w:color w:val="000000"/>
          <w:sz w:val="24"/>
        </w:rPr>
        <w:t>(</w:t>
      </w:r>
      <w:r>
        <w:rPr>
          <w:rFonts w:hint="eastAsia"/>
          <w:color w:val="000000"/>
          <w:sz w:val="24"/>
        </w:rPr>
        <w:t>1</w:t>
      </w:r>
      <w:r>
        <w:rPr>
          <w:color w:val="000000"/>
          <w:sz w:val="24"/>
        </w:rPr>
        <w:t>）宣布开标纪律</w:t>
      </w:r>
      <w:r>
        <w:rPr>
          <w:rFonts w:hint="eastAsia"/>
          <w:color w:val="000000"/>
          <w:sz w:val="24"/>
        </w:rPr>
        <w:t>；</w:t>
      </w:r>
    </w:p>
    <w:p>
      <w:pPr>
        <w:pStyle w:val="2"/>
        <w:spacing w:before="33" w:after="0" w:line="420" w:lineRule="exact"/>
        <w:ind w:left="148" w:right="347" w:firstLine="484"/>
        <w:rPr>
          <w:color w:val="000000"/>
          <w:sz w:val="24"/>
        </w:rPr>
      </w:pPr>
      <w:r>
        <w:rPr>
          <w:color w:val="000000"/>
          <w:sz w:val="24"/>
        </w:rPr>
        <w:t>(2）公布在投标截止时间前递交投标文件的投标人数量</w:t>
      </w:r>
      <w:r>
        <w:rPr>
          <w:rFonts w:hint="eastAsia"/>
          <w:color w:val="000000"/>
          <w:sz w:val="24"/>
        </w:rPr>
        <w:t>；</w:t>
      </w:r>
    </w:p>
    <w:p>
      <w:pPr>
        <w:pStyle w:val="2"/>
        <w:spacing w:before="33" w:after="0" w:line="420" w:lineRule="exact"/>
        <w:ind w:left="148" w:right="347" w:firstLine="484"/>
        <w:rPr>
          <w:color w:val="000000"/>
          <w:sz w:val="24"/>
        </w:rPr>
      </w:pPr>
      <w:r>
        <w:rPr>
          <w:color w:val="000000"/>
          <w:sz w:val="24"/>
        </w:rPr>
        <w:t>(3）宣布开标人、唱标人、记录人等有关人员姓名</w:t>
      </w:r>
      <w:r>
        <w:rPr>
          <w:rFonts w:hint="eastAsia"/>
          <w:color w:val="000000"/>
          <w:sz w:val="24"/>
        </w:rPr>
        <w:t>；</w:t>
      </w:r>
    </w:p>
    <w:p>
      <w:pPr>
        <w:pStyle w:val="2"/>
        <w:spacing w:before="33" w:after="0" w:line="420" w:lineRule="exact"/>
        <w:ind w:left="148" w:right="347" w:firstLine="484"/>
        <w:rPr>
          <w:color w:val="000000"/>
          <w:sz w:val="24"/>
        </w:rPr>
      </w:pPr>
      <w:r>
        <w:rPr>
          <w:color w:val="000000"/>
          <w:sz w:val="24"/>
        </w:rPr>
        <w:t>(4）按照投标人须知前附表规定由投标人推选的代表检查投标文件的密封情况</w:t>
      </w:r>
      <w:r>
        <w:rPr>
          <w:rFonts w:hint="eastAsia"/>
          <w:color w:val="000000"/>
          <w:sz w:val="24"/>
        </w:rPr>
        <w:t>；</w:t>
      </w:r>
    </w:p>
    <w:p>
      <w:pPr>
        <w:pStyle w:val="2"/>
        <w:spacing w:before="33" w:after="0" w:line="420" w:lineRule="exact"/>
        <w:ind w:left="148" w:right="347" w:firstLine="484"/>
        <w:rPr>
          <w:color w:val="000000"/>
          <w:sz w:val="24"/>
        </w:rPr>
      </w:pPr>
      <w:r>
        <w:rPr>
          <w:color w:val="000000"/>
          <w:sz w:val="24"/>
        </w:rPr>
        <w:t>(5）按照投标人须知前附表规定的开标顺序当众开标，公布</w:t>
      </w:r>
      <w:r>
        <w:rPr>
          <w:rFonts w:hint="eastAsia"/>
          <w:color w:val="000000"/>
          <w:sz w:val="24"/>
        </w:rPr>
        <w:t>项目</w:t>
      </w:r>
      <w:r>
        <w:rPr>
          <w:color w:val="000000"/>
          <w:sz w:val="24"/>
        </w:rPr>
        <w:t>名称、投标人名称、投标保证金的递交情况、</w:t>
      </w:r>
      <w:r>
        <w:rPr>
          <w:rFonts w:hint="eastAsia"/>
          <w:color w:val="000000"/>
          <w:sz w:val="24"/>
        </w:rPr>
        <w:t>监理服务期限</w:t>
      </w:r>
      <w:r>
        <w:rPr>
          <w:color w:val="000000"/>
          <w:sz w:val="24"/>
        </w:rPr>
        <w:t>及其他内容，并记录在案；</w:t>
      </w:r>
    </w:p>
    <w:p>
      <w:pPr>
        <w:pStyle w:val="2"/>
        <w:spacing w:before="33" w:after="0" w:line="420" w:lineRule="exact"/>
        <w:ind w:left="148" w:right="347" w:firstLine="484"/>
        <w:rPr>
          <w:color w:val="000000"/>
          <w:sz w:val="24"/>
        </w:rPr>
      </w:pPr>
      <w:r>
        <w:rPr>
          <w:color w:val="000000"/>
          <w:sz w:val="24"/>
        </w:rPr>
        <w:t>(</w:t>
      </w:r>
      <w:r>
        <w:rPr>
          <w:rFonts w:hint="eastAsia"/>
          <w:color w:val="000000"/>
          <w:sz w:val="24"/>
        </w:rPr>
        <w:t>6</w:t>
      </w:r>
      <w:r>
        <w:rPr>
          <w:color w:val="000000"/>
          <w:sz w:val="24"/>
        </w:rPr>
        <w:t>）投标人代表、招标人代表、记录人等有关人员在开标记录上签字确认</w:t>
      </w:r>
      <w:r>
        <w:rPr>
          <w:rFonts w:hint="eastAsia"/>
          <w:color w:val="000000"/>
          <w:sz w:val="24"/>
        </w:rPr>
        <w:t>；</w:t>
      </w:r>
    </w:p>
    <w:p>
      <w:pPr>
        <w:pStyle w:val="2"/>
        <w:spacing w:before="33" w:after="0" w:line="420" w:lineRule="exact"/>
        <w:ind w:left="148" w:right="347" w:firstLine="484"/>
        <w:rPr>
          <w:color w:val="000000"/>
          <w:sz w:val="24"/>
        </w:rPr>
      </w:pPr>
      <w:r>
        <w:rPr>
          <w:color w:val="000000"/>
          <w:sz w:val="24"/>
        </w:rPr>
        <w:t>(</w:t>
      </w:r>
      <w:r>
        <w:rPr>
          <w:rFonts w:hint="eastAsia"/>
          <w:color w:val="000000"/>
          <w:sz w:val="24"/>
        </w:rPr>
        <w:t>7</w:t>
      </w:r>
      <w:r>
        <w:rPr>
          <w:color w:val="000000"/>
          <w:sz w:val="24"/>
        </w:rPr>
        <w:t>）开标结束。</w:t>
      </w:r>
    </w:p>
    <w:p>
      <w:pPr>
        <w:pStyle w:val="2"/>
        <w:spacing w:before="91" w:after="0" w:line="420" w:lineRule="exact"/>
        <w:ind w:right="147" w:firstLine="484"/>
        <w:rPr>
          <w:color w:val="000000"/>
          <w:sz w:val="24"/>
        </w:rPr>
      </w:pPr>
      <w:r>
        <w:rPr>
          <w:color w:val="000000"/>
          <w:sz w:val="24"/>
        </w:rPr>
        <w:t>5.2.</w:t>
      </w:r>
      <w:r>
        <w:rPr>
          <w:rFonts w:hint="eastAsia"/>
          <w:color w:val="000000"/>
          <w:sz w:val="24"/>
        </w:rPr>
        <w:t>2</w:t>
      </w:r>
      <w:r>
        <w:rPr>
          <w:color w:val="000000"/>
          <w:sz w:val="24"/>
        </w:rPr>
        <w:t>在投标文件第一个信封（商务及技术文件）开标现场，投标文件第二个信封（报价文件）不予开封，由招标人密封保存。</w:t>
      </w:r>
    </w:p>
    <w:p>
      <w:pPr>
        <w:pStyle w:val="2"/>
        <w:spacing w:before="91" w:after="0" w:line="420" w:lineRule="exact"/>
        <w:ind w:right="147" w:firstLine="484"/>
        <w:rPr>
          <w:color w:val="000000"/>
          <w:sz w:val="24"/>
        </w:rPr>
      </w:pPr>
      <w:r>
        <w:rPr>
          <w:rFonts w:hint="eastAsia"/>
          <w:color w:val="000000"/>
          <w:sz w:val="24"/>
        </w:rPr>
        <w:t>5.2.3招标人将按照本章第5.1款规定的时间和地点对投标文件第二个信封（报价文件）进行开标。主持人按下列程序进行开标：</w:t>
      </w:r>
    </w:p>
    <w:p>
      <w:pPr>
        <w:pStyle w:val="2"/>
        <w:spacing w:before="91" w:after="0" w:line="420" w:lineRule="exact"/>
        <w:ind w:right="147" w:firstLine="484"/>
        <w:rPr>
          <w:color w:val="000000"/>
          <w:sz w:val="24"/>
        </w:rPr>
      </w:pPr>
      <w:r>
        <w:rPr>
          <w:rFonts w:hint="eastAsia"/>
          <w:color w:val="000000"/>
          <w:sz w:val="24"/>
        </w:rPr>
        <w:t>(1）宣布开标纪律；</w:t>
      </w:r>
    </w:p>
    <w:p>
      <w:pPr>
        <w:pStyle w:val="2"/>
        <w:spacing w:before="91" w:after="0" w:line="420" w:lineRule="exact"/>
        <w:ind w:right="147" w:firstLine="484"/>
        <w:rPr>
          <w:color w:val="000000"/>
          <w:sz w:val="24"/>
        </w:rPr>
      </w:pPr>
      <w:r>
        <w:rPr>
          <w:rFonts w:hint="eastAsia"/>
          <w:color w:val="000000"/>
          <w:sz w:val="24"/>
        </w:rPr>
        <w:t>(2）当众拆开投标文件第一个信封（商务及技术文件）评审结果的密封袋，宣布通过投标文件第一个信封（商务及技术文件）评审的投标人名单；</w:t>
      </w:r>
    </w:p>
    <w:p>
      <w:pPr>
        <w:pStyle w:val="2"/>
        <w:spacing w:before="91" w:after="0" w:line="420" w:lineRule="exact"/>
        <w:ind w:right="147" w:firstLine="484"/>
        <w:rPr>
          <w:color w:val="000000"/>
          <w:sz w:val="24"/>
        </w:rPr>
      </w:pPr>
      <w:r>
        <w:rPr>
          <w:rFonts w:hint="eastAsia"/>
          <w:color w:val="000000"/>
          <w:sz w:val="24"/>
        </w:rPr>
        <w:t>(3）宣布开标人、唱标人、记录人等有关人员姓名；</w:t>
      </w:r>
    </w:p>
    <w:p>
      <w:pPr>
        <w:pStyle w:val="2"/>
        <w:spacing w:before="91" w:after="0" w:line="420" w:lineRule="exact"/>
        <w:ind w:right="147" w:firstLine="484"/>
        <w:rPr>
          <w:color w:val="000000"/>
          <w:sz w:val="24"/>
        </w:rPr>
      </w:pPr>
      <w:r>
        <w:rPr>
          <w:rFonts w:hint="eastAsia"/>
          <w:color w:val="000000"/>
          <w:sz w:val="24"/>
        </w:rPr>
        <w:t>(4）按照投标人须知前附表规定由投标人推选的代表检查投标文件的密封情况；</w:t>
      </w:r>
    </w:p>
    <w:p>
      <w:pPr>
        <w:pStyle w:val="2"/>
        <w:spacing w:before="91" w:after="0" w:line="420" w:lineRule="exact"/>
        <w:ind w:right="147" w:firstLine="484"/>
        <w:rPr>
          <w:color w:val="000000"/>
          <w:sz w:val="24"/>
        </w:rPr>
      </w:pPr>
      <w:r>
        <w:rPr>
          <w:rFonts w:hint="eastAsia"/>
          <w:color w:val="000000"/>
          <w:sz w:val="24"/>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pPr>
        <w:pStyle w:val="2"/>
        <w:spacing w:before="91" w:after="0" w:line="420" w:lineRule="exact"/>
        <w:ind w:right="147" w:firstLine="484"/>
        <w:rPr>
          <w:color w:val="000000"/>
          <w:sz w:val="24"/>
        </w:rPr>
      </w:pPr>
      <w:r>
        <w:rPr>
          <w:rFonts w:hint="eastAsia"/>
          <w:color w:val="000000"/>
          <w:sz w:val="24"/>
        </w:rPr>
        <w:t>(6）计算并宣布评标基准价；</w:t>
      </w:r>
    </w:p>
    <w:p>
      <w:pPr>
        <w:pStyle w:val="2"/>
        <w:spacing w:before="91" w:after="0" w:line="420" w:lineRule="exact"/>
        <w:ind w:right="147" w:firstLine="484"/>
        <w:rPr>
          <w:color w:val="000000"/>
          <w:sz w:val="24"/>
        </w:rPr>
      </w:pPr>
      <w:r>
        <w:rPr>
          <w:rFonts w:hint="eastAsia"/>
          <w:color w:val="000000"/>
          <w:sz w:val="24"/>
        </w:rPr>
        <w:t>(7）将未通过投标文件第一个信封（商务及技术文件）评审的投标文件第二个信封（报价文件）退还给投标人；</w:t>
      </w:r>
    </w:p>
    <w:p>
      <w:pPr>
        <w:pStyle w:val="2"/>
        <w:spacing w:before="91" w:after="0" w:line="420" w:lineRule="exact"/>
        <w:ind w:right="147" w:firstLine="484"/>
        <w:rPr>
          <w:color w:val="000000"/>
          <w:sz w:val="24"/>
        </w:rPr>
      </w:pPr>
      <w:r>
        <w:rPr>
          <w:rFonts w:hint="eastAsia"/>
          <w:color w:val="000000"/>
          <w:sz w:val="24"/>
        </w:rPr>
        <w:t>(8）投标人代表、招标人代表、记录人等有关人员在开标记录上签字确认；</w:t>
      </w:r>
    </w:p>
    <w:p>
      <w:pPr>
        <w:pStyle w:val="2"/>
        <w:spacing w:before="91" w:after="0" w:line="420" w:lineRule="exact"/>
        <w:ind w:right="147" w:firstLine="484"/>
        <w:rPr>
          <w:color w:val="000000"/>
          <w:sz w:val="24"/>
        </w:rPr>
      </w:pPr>
      <w:r>
        <w:rPr>
          <w:rFonts w:hint="eastAsia"/>
          <w:color w:val="000000"/>
          <w:sz w:val="24"/>
        </w:rPr>
        <w:t>(9）开标结束。</w:t>
      </w:r>
    </w:p>
    <w:p>
      <w:pPr>
        <w:pStyle w:val="2"/>
        <w:spacing w:before="28" w:after="0" w:line="420" w:lineRule="exact"/>
        <w:ind w:firstLine="484"/>
        <w:rPr>
          <w:color w:val="000000"/>
          <w:sz w:val="24"/>
        </w:rPr>
      </w:pPr>
      <w:r>
        <w:rPr>
          <w:color w:val="000000"/>
          <w:sz w:val="24"/>
        </w:rPr>
        <w:t>5.2.</w:t>
      </w:r>
      <w:r>
        <w:rPr>
          <w:rFonts w:hint="eastAsia"/>
          <w:color w:val="000000"/>
          <w:sz w:val="24"/>
        </w:rPr>
        <w:t>4在投标文件第二个信封（报价文件）开标现场，招标人将按第三章“评标办法”规定的原则计算并宣布评标基准价。若招标人发现投标文件出现以下任一情况，其投标报价将不再参加评标基准价的计算：</w:t>
      </w:r>
    </w:p>
    <w:p>
      <w:pPr>
        <w:pStyle w:val="2"/>
        <w:spacing w:before="28" w:after="0" w:line="420" w:lineRule="exact"/>
        <w:ind w:firstLine="484"/>
        <w:rPr>
          <w:color w:val="000000"/>
          <w:sz w:val="24"/>
        </w:rPr>
      </w:pPr>
      <w:r>
        <w:rPr>
          <w:rFonts w:hint="eastAsia"/>
          <w:color w:val="000000"/>
          <w:sz w:val="24"/>
        </w:rPr>
        <w:t>(1)未在投标函上填写投标总价；</w:t>
      </w:r>
    </w:p>
    <w:p>
      <w:pPr>
        <w:pStyle w:val="2"/>
        <w:spacing w:before="28" w:after="0" w:line="420" w:lineRule="exact"/>
        <w:ind w:firstLine="484"/>
        <w:rPr>
          <w:color w:val="000000"/>
          <w:sz w:val="24"/>
        </w:rPr>
      </w:pPr>
      <w:r>
        <w:rPr>
          <w:rFonts w:hint="eastAsia"/>
          <w:color w:val="000000"/>
          <w:sz w:val="24"/>
        </w:rPr>
        <w:t>(2）投标报价超出招标人公布的最高投标限价（如有）；</w:t>
      </w:r>
    </w:p>
    <w:p>
      <w:pPr>
        <w:pStyle w:val="2"/>
        <w:spacing w:before="28" w:after="0" w:line="420" w:lineRule="exact"/>
        <w:ind w:firstLine="484"/>
        <w:rPr>
          <w:color w:val="000000"/>
          <w:sz w:val="24"/>
        </w:rPr>
      </w:pPr>
      <w:r>
        <w:rPr>
          <w:rFonts w:hint="eastAsia"/>
          <w:color w:val="000000"/>
          <w:sz w:val="24"/>
        </w:rPr>
        <w:t>(3）投标报价的大写金额无法确定具体数值；</w:t>
      </w:r>
    </w:p>
    <w:p>
      <w:pPr>
        <w:pStyle w:val="2"/>
        <w:spacing w:before="28" w:after="0" w:line="420" w:lineRule="exact"/>
        <w:ind w:firstLine="484"/>
        <w:rPr>
          <w:color w:val="000000"/>
          <w:sz w:val="24"/>
        </w:rPr>
      </w:pPr>
      <w:r>
        <w:rPr>
          <w:rFonts w:hint="eastAsia"/>
          <w:color w:val="000000"/>
          <w:sz w:val="24"/>
        </w:rPr>
        <w:t>(4）投标函上填写的标段号与投标文件封套上标记的标段号不一致。</w:t>
      </w:r>
    </w:p>
    <w:p>
      <w:pPr>
        <w:pStyle w:val="2"/>
        <w:spacing w:before="28" w:after="0" w:line="420" w:lineRule="exact"/>
        <w:ind w:firstLine="484"/>
        <w:rPr>
          <w:color w:val="000000"/>
          <w:sz w:val="24"/>
        </w:rPr>
      </w:pPr>
      <w:r>
        <w:rPr>
          <w:rFonts w:hint="eastAsia"/>
          <w:color w:val="000000"/>
          <w:sz w:val="24"/>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pPr>
        <w:pStyle w:val="2"/>
        <w:spacing w:before="28" w:after="0" w:line="420" w:lineRule="exact"/>
        <w:ind w:firstLine="484"/>
        <w:rPr>
          <w:color w:val="000000"/>
          <w:sz w:val="24"/>
        </w:rPr>
      </w:pPr>
      <w:r>
        <w:rPr>
          <w:rFonts w:hint="eastAsia"/>
          <w:color w:val="000000"/>
          <w:sz w:val="24"/>
        </w:rPr>
        <w:t>5.2.5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己确认招标人宣读的内容。</w:t>
      </w:r>
    </w:p>
    <w:p>
      <w:pPr>
        <w:spacing w:before="179" w:line="420" w:lineRule="exact"/>
        <w:ind w:left="148" w:right="194"/>
        <w:rPr>
          <w:b/>
          <w:bCs/>
          <w:color w:val="000000"/>
          <w:sz w:val="24"/>
        </w:rPr>
      </w:pPr>
      <w:r>
        <w:rPr>
          <w:b/>
          <w:bCs/>
          <w:color w:val="000000"/>
          <w:sz w:val="24"/>
        </w:rPr>
        <w:t>5.3开标异议</w:t>
      </w:r>
    </w:p>
    <w:p>
      <w:pPr>
        <w:pStyle w:val="2"/>
        <w:spacing w:before="28" w:line="420" w:lineRule="exact"/>
        <w:ind w:firstLine="484"/>
        <w:rPr>
          <w:color w:val="000000"/>
          <w:sz w:val="24"/>
        </w:rPr>
      </w:pPr>
      <w:r>
        <w:rPr>
          <w:color w:val="000000"/>
          <w:sz w:val="24"/>
        </w:rPr>
        <w:t>投标人对开标有异议的，应在开标现场提出，招标人当场作出答复，并制作记录，有异议的投标人代表、招标人代表、记录人等有关人员在记录上签字确认。</w:t>
      </w:r>
    </w:p>
    <w:p>
      <w:pPr>
        <w:tabs>
          <w:tab w:val="left" w:pos="571"/>
        </w:tabs>
        <w:spacing w:line="420" w:lineRule="exact"/>
        <w:ind w:left="153" w:right="194"/>
        <w:rPr>
          <w:b/>
          <w:bCs/>
          <w:color w:val="000000"/>
          <w:sz w:val="24"/>
        </w:rPr>
      </w:pPr>
      <w:r>
        <w:rPr>
          <w:b/>
          <w:bCs/>
          <w:color w:val="000000"/>
          <w:sz w:val="24"/>
        </w:rPr>
        <w:t>6.</w:t>
      </w:r>
      <w:r>
        <w:rPr>
          <w:b/>
          <w:bCs/>
          <w:color w:val="000000"/>
          <w:sz w:val="24"/>
        </w:rPr>
        <w:tab/>
      </w:r>
      <w:r>
        <w:rPr>
          <w:b/>
          <w:bCs/>
          <w:color w:val="000000"/>
          <w:sz w:val="24"/>
        </w:rPr>
        <w:t>评标</w:t>
      </w:r>
    </w:p>
    <w:p>
      <w:pPr>
        <w:spacing w:before="239" w:line="420" w:lineRule="exact"/>
        <w:ind w:left="153" w:right="194"/>
        <w:rPr>
          <w:b/>
          <w:bCs/>
          <w:color w:val="000000"/>
          <w:sz w:val="24"/>
        </w:rPr>
      </w:pPr>
      <w:r>
        <w:rPr>
          <w:b/>
          <w:bCs/>
          <w:color w:val="000000"/>
          <w:sz w:val="24"/>
        </w:rPr>
        <w:t>6.1评标委员会</w:t>
      </w:r>
    </w:p>
    <w:p>
      <w:pPr>
        <w:pStyle w:val="2"/>
        <w:spacing w:before="28" w:line="420" w:lineRule="exact"/>
        <w:ind w:firstLine="484"/>
        <w:rPr>
          <w:color w:val="000000"/>
          <w:sz w:val="24"/>
        </w:rPr>
      </w:pPr>
      <w:r>
        <w:rPr>
          <w:color w:val="000000"/>
          <w:sz w:val="24"/>
        </w:rPr>
        <w:t>6.1.1</w:t>
      </w:r>
      <w:r>
        <w:rPr>
          <w:rFonts w:hint="eastAsia"/>
          <w:color w:val="000000"/>
          <w:sz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2"/>
        <w:spacing w:before="28" w:line="420" w:lineRule="exact"/>
        <w:ind w:firstLine="484"/>
        <w:rPr>
          <w:color w:val="000000"/>
          <w:sz w:val="24"/>
        </w:rPr>
      </w:pPr>
      <w:r>
        <w:rPr>
          <w:color w:val="000000"/>
          <w:sz w:val="24"/>
        </w:rPr>
        <w:t>6.1.2评标委员会成员有下列情形之一的，应主动提出回避：</w:t>
      </w:r>
    </w:p>
    <w:p>
      <w:pPr>
        <w:spacing w:line="420" w:lineRule="exact"/>
        <w:ind w:firstLine="480" w:firstLineChars="200"/>
        <w:rPr>
          <w:color w:val="000000"/>
          <w:sz w:val="24"/>
        </w:rPr>
      </w:pPr>
      <w:r>
        <w:rPr>
          <w:color w:val="000000"/>
          <w:sz w:val="24"/>
        </w:rPr>
        <w:t>(1）为负责招标项目监督管理的交通运输主管部门的工作人员；</w:t>
      </w:r>
    </w:p>
    <w:p>
      <w:pPr>
        <w:pStyle w:val="2"/>
        <w:spacing w:before="91" w:line="420" w:lineRule="exact"/>
        <w:ind w:right="147" w:firstLine="484"/>
        <w:rPr>
          <w:color w:val="000000"/>
          <w:sz w:val="24"/>
        </w:rPr>
      </w:pPr>
      <w:r>
        <w:rPr>
          <w:color w:val="000000"/>
          <w:sz w:val="24"/>
        </w:rPr>
        <w:t>(2）与投标人法定代表人或其委托代理人有近亲属关系</w:t>
      </w:r>
      <w:r>
        <w:rPr>
          <w:rFonts w:hint="eastAsia"/>
          <w:color w:val="000000"/>
          <w:sz w:val="24"/>
        </w:rPr>
        <w:t>；</w:t>
      </w:r>
    </w:p>
    <w:p>
      <w:pPr>
        <w:pStyle w:val="2"/>
        <w:spacing w:before="91" w:line="420" w:lineRule="exact"/>
        <w:ind w:right="-124" w:firstLine="484"/>
        <w:rPr>
          <w:color w:val="000000"/>
          <w:sz w:val="24"/>
        </w:rPr>
      </w:pPr>
      <w:r>
        <w:rPr>
          <w:color w:val="000000"/>
          <w:sz w:val="24"/>
        </w:rPr>
        <w:t>(3）为投标人的工作人员或退休人员；</w:t>
      </w:r>
    </w:p>
    <w:p>
      <w:pPr>
        <w:pStyle w:val="2"/>
        <w:spacing w:before="91" w:line="420" w:lineRule="exact"/>
        <w:ind w:right="147" w:firstLine="484"/>
        <w:rPr>
          <w:color w:val="000000"/>
          <w:sz w:val="24"/>
        </w:rPr>
      </w:pPr>
      <w:r>
        <w:rPr>
          <w:color w:val="000000"/>
          <w:sz w:val="24"/>
        </w:rPr>
        <w:t>(4）与投标人有其他利害关系，可能影响评标活动公正性；</w:t>
      </w:r>
    </w:p>
    <w:p>
      <w:pPr>
        <w:pStyle w:val="2"/>
        <w:spacing w:before="91" w:line="420" w:lineRule="exact"/>
        <w:ind w:right="18" w:firstLine="484"/>
        <w:rPr>
          <w:color w:val="000000"/>
          <w:sz w:val="24"/>
        </w:rPr>
      </w:pPr>
      <w:r>
        <w:rPr>
          <w:color w:val="000000"/>
          <w:sz w:val="24"/>
        </w:rPr>
        <w:t>(5）在与招标投标有关的活动中有过违法违规行为、曾受过行政处罚或刑事处罚。</w:t>
      </w:r>
    </w:p>
    <w:p>
      <w:pPr>
        <w:pStyle w:val="2"/>
        <w:spacing w:before="91" w:line="420" w:lineRule="exact"/>
        <w:ind w:right="147" w:firstLine="484"/>
        <w:rPr>
          <w:color w:val="000000"/>
          <w:sz w:val="24"/>
        </w:rPr>
      </w:pPr>
      <w:r>
        <w:rPr>
          <w:color w:val="000000"/>
          <w:sz w:val="24"/>
        </w:rPr>
        <w:t>6.1.3</w:t>
      </w:r>
      <w:r>
        <w:rPr>
          <w:rFonts w:hint="eastAsia"/>
          <w:color w:val="000000"/>
          <w:sz w:val="24"/>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2"/>
        <w:spacing w:line="420" w:lineRule="exact"/>
        <w:ind w:right="106"/>
        <w:rPr>
          <w:b/>
          <w:bCs/>
          <w:color w:val="000000"/>
          <w:sz w:val="24"/>
        </w:rPr>
      </w:pPr>
      <w:r>
        <w:rPr>
          <w:b/>
          <w:bCs/>
          <w:color w:val="000000"/>
          <w:sz w:val="24"/>
        </w:rPr>
        <w:t>6.2评标原则</w:t>
      </w:r>
    </w:p>
    <w:p>
      <w:pPr>
        <w:pStyle w:val="2"/>
        <w:spacing w:before="91" w:line="420" w:lineRule="exact"/>
        <w:ind w:right="147" w:firstLine="484"/>
        <w:rPr>
          <w:color w:val="000000"/>
          <w:sz w:val="24"/>
        </w:rPr>
      </w:pPr>
      <w:r>
        <w:rPr>
          <w:rFonts w:hint="eastAsia"/>
          <w:color w:val="000000"/>
          <w:sz w:val="24"/>
        </w:rPr>
        <w:t>评标活动遵循公平、公正、科学和择优的原则。</w:t>
      </w:r>
    </w:p>
    <w:p>
      <w:pPr>
        <w:pStyle w:val="2"/>
        <w:spacing w:line="420" w:lineRule="exact"/>
        <w:ind w:right="106"/>
        <w:rPr>
          <w:b/>
          <w:bCs/>
          <w:color w:val="000000"/>
          <w:sz w:val="24"/>
        </w:rPr>
      </w:pPr>
      <w:r>
        <w:rPr>
          <w:b/>
          <w:bCs/>
          <w:color w:val="000000"/>
          <w:sz w:val="24"/>
        </w:rPr>
        <w:t>6.3评标</w:t>
      </w:r>
    </w:p>
    <w:p>
      <w:pPr>
        <w:pStyle w:val="2"/>
        <w:spacing w:before="91" w:line="420" w:lineRule="exact"/>
        <w:ind w:right="147" w:firstLine="484"/>
        <w:rPr>
          <w:color w:val="000000"/>
          <w:sz w:val="24"/>
        </w:rPr>
      </w:pPr>
      <w:r>
        <w:rPr>
          <w:rFonts w:hint="eastAsia"/>
          <w:color w:val="000000"/>
          <w:sz w:val="24"/>
        </w:rPr>
        <w:t>6.3.1 评标委员会按照第三章“评标办法”规定的方法、评审因素、标准和程序对投标文件进行评审。第三章“评标办法”没有规定的方法、评审因素和标准，不作为评标依据。</w:t>
      </w:r>
    </w:p>
    <w:p>
      <w:pPr>
        <w:pStyle w:val="2"/>
        <w:spacing w:before="91" w:line="420" w:lineRule="exact"/>
        <w:ind w:right="147" w:firstLine="484"/>
        <w:rPr>
          <w:color w:val="000000"/>
          <w:sz w:val="24"/>
        </w:rPr>
      </w:pPr>
      <w:r>
        <w:rPr>
          <w:rFonts w:hint="eastAsia"/>
          <w:color w:val="000000"/>
          <w:sz w:val="24"/>
        </w:rPr>
        <w:t>6.3.2 评标完成后，评标委员会应当向招标人提交书面评标报告和中标候选人名单。评标委员会推荐中标候选人的人数见投标人须知前附表。</w:t>
      </w:r>
    </w:p>
    <w:p>
      <w:pPr>
        <w:tabs>
          <w:tab w:val="left" w:pos="575"/>
        </w:tabs>
        <w:spacing w:line="420" w:lineRule="exact"/>
        <w:ind w:left="158" w:right="106"/>
        <w:rPr>
          <w:b/>
          <w:bCs/>
          <w:color w:val="000000"/>
          <w:sz w:val="24"/>
        </w:rPr>
      </w:pPr>
      <w:r>
        <w:rPr>
          <w:b/>
          <w:bCs/>
          <w:color w:val="000000"/>
          <w:sz w:val="24"/>
        </w:rPr>
        <w:t>7.</w:t>
      </w:r>
      <w:r>
        <w:rPr>
          <w:b/>
          <w:bCs/>
          <w:color w:val="000000"/>
          <w:sz w:val="24"/>
        </w:rPr>
        <w:tab/>
      </w:r>
      <w:r>
        <w:rPr>
          <w:b/>
          <w:bCs/>
          <w:color w:val="000000"/>
          <w:sz w:val="24"/>
        </w:rPr>
        <w:t>合同授予</w:t>
      </w:r>
    </w:p>
    <w:p>
      <w:pPr>
        <w:spacing w:before="247" w:line="420" w:lineRule="exact"/>
        <w:ind w:left="153" w:right="106"/>
        <w:rPr>
          <w:b/>
          <w:bCs/>
          <w:color w:val="000000"/>
          <w:sz w:val="24"/>
        </w:rPr>
      </w:pPr>
      <w:r>
        <w:rPr>
          <w:b/>
          <w:bCs/>
          <w:color w:val="000000"/>
          <w:sz w:val="24"/>
        </w:rPr>
        <w:t>7.1中标候选人公示</w:t>
      </w:r>
    </w:p>
    <w:p>
      <w:pPr>
        <w:pStyle w:val="2"/>
        <w:spacing w:after="0" w:line="420" w:lineRule="exact"/>
        <w:ind w:right="-125" w:firstLine="482"/>
        <w:rPr>
          <w:color w:val="000000"/>
          <w:sz w:val="24"/>
        </w:rPr>
      </w:pPr>
      <w:r>
        <w:rPr>
          <w:color w:val="000000"/>
          <w:sz w:val="24"/>
        </w:rPr>
        <w:t>招标人在收到评标报告之日起3日内，按照投标人须知前附表规定的公示媒介和期限公示中标候选人，公示期不得少于3日，公示内容包括：</w:t>
      </w:r>
    </w:p>
    <w:p>
      <w:pPr>
        <w:pStyle w:val="2"/>
        <w:spacing w:after="0" w:line="420" w:lineRule="exact"/>
        <w:ind w:right="-125" w:firstLine="482"/>
        <w:rPr>
          <w:color w:val="000000"/>
          <w:sz w:val="24"/>
        </w:rPr>
      </w:pPr>
      <w:r>
        <w:rPr>
          <w:color w:val="000000"/>
          <w:sz w:val="24"/>
        </w:rPr>
        <w:t>(1）中标候选人排序、名称、投标报价，对</w:t>
      </w:r>
      <w:r>
        <w:rPr>
          <w:rFonts w:hint="eastAsia"/>
          <w:color w:val="000000"/>
          <w:sz w:val="24"/>
        </w:rPr>
        <w:t>监理</w:t>
      </w:r>
      <w:r>
        <w:rPr>
          <w:color w:val="000000"/>
          <w:sz w:val="24"/>
        </w:rPr>
        <w:t>质量要求、安全目标和</w:t>
      </w:r>
      <w:r>
        <w:rPr>
          <w:rFonts w:hint="eastAsia"/>
          <w:color w:val="000000"/>
          <w:sz w:val="24"/>
        </w:rPr>
        <w:t>监理服务期限</w:t>
      </w:r>
      <w:r>
        <w:rPr>
          <w:color w:val="000000"/>
          <w:sz w:val="24"/>
        </w:rPr>
        <w:t>的响应情况；</w:t>
      </w:r>
    </w:p>
    <w:p>
      <w:pPr>
        <w:pStyle w:val="2"/>
        <w:spacing w:after="0" w:line="420" w:lineRule="exact"/>
        <w:ind w:right="-125" w:firstLine="482"/>
        <w:rPr>
          <w:color w:val="000000"/>
          <w:sz w:val="24"/>
        </w:rPr>
      </w:pPr>
      <w:r>
        <w:rPr>
          <w:color w:val="000000"/>
          <w:sz w:val="24"/>
        </w:rPr>
        <w:t>(2）中标候选人在投标文件中承诺的总监理工程师或驻地监理工程师姓名、个人业绩、相关证书名称和编号；</w:t>
      </w:r>
    </w:p>
    <w:p>
      <w:pPr>
        <w:pStyle w:val="2"/>
        <w:spacing w:after="0" w:line="420" w:lineRule="exact"/>
        <w:ind w:right="-125" w:firstLine="482"/>
        <w:rPr>
          <w:color w:val="000000"/>
          <w:sz w:val="24"/>
        </w:rPr>
      </w:pPr>
      <w:r>
        <w:rPr>
          <w:color w:val="000000"/>
          <w:sz w:val="24"/>
        </w:rPr>
        <w:t>(3）中标候选人在投标文件中填报的项目业绩；</w:t>
      </w:r>
    </w:p>
    <w:p>
      <w:pPr>
        <w:pStyle w:val="2"/>
        <w:spacing w:after="0" w:line="420" w:lineRule="exact"/>
        <w:ind w:right="-125" w:firstLine="482"/>
        <w:rPr>
          <w:color w:val="000000"/>
          <w:sz w:val="24"/>
        </w:rPr>
      </w:pPr>
      <w:r>
        <w:rPr>
          <w:color w:val="000000"/>
          <w:sz w:val="24"/>
        </w:rPr>
        <w:t>(4）被否决投标的投标人名称、否决依据和原因</w:t>
      </w:r>
      <w:r>
        <w:rPr>
          <w:rFonts w:hint="eastAsia"/>
          <w:color w:val="000000"/>
          <w:sz w:val="24"/>
        </w:rPr>
        <w:t>；</w:t>
      </w:r>
    </w:p>
    <w:p>
      <w:pPr>
        <w:pStyle w:val="2"/>
        <w:spacing w:after="0" w:line="420" w:lineRule="exact"/>
        <w:ind w:right="-125" w:firstLine="482"/>
        <w:rPr>
          <w:color w:val="000000"/>
          <w:sz w:val="24"/>
        </w:rPr>
      </w:pPr>
      <w:r>
        <w:rPr>
          <w:color w:val="000000"/>
          <w:sz w:val="24"/>
        </w:rPr>
        <w:t>(5）提出异议的渠道和方式</w:t>
      </w:r>
      <w:r>
        <w:rPr>
          <w:rFonts w:hint="eastAsia"/>
          <w:color w:val="000000"/>
          <w:sz w:val="24"/>
        </w:rPr>
        <w:t>；</w:t>
      </w:r>
    </w:p>
    <w:p>
      <w:pPr>
        <w:pStyle w:val="2"/>
        <w:spacing w:after="0" w:line="420" w:lineRule="exact"/>
        <w:ind w:right="-125" w:firstLine="482"/>
        <w:rPr>
          <w:color w:val="000000"/>
          <w:sz w:val="24"/>
        </w:rPr>
      </w:pPr>
      <w:r>
        <w:rPr>
          <w:color w:val="000000"/>
          <w:sz w:val="24"/>
        </w:rPr>
        <w:t>(6）投标人须知前附表规定公示的其他内容。</w:t>
      </w:r>
    </w:p>
    <w:p>
      <w:pPr>
        <w:spacing w:line="420" w:lineRule="exact"/>
        <w:ind w:left="153" w:right="106"/>
        <w:rPr>
          <w:b/>
          <w:bCs/>
          <w:color w:val="000000"/>
          <w:sz w:val="24"/>
        </w:rPr>
      </w:pPr>
      <w:r>
        <w:rPr>
          <w:b/>
          <w:bCs/>
          <w:color w:val="000000"/>
          <w:sz w:val="24"/>
        </w:rPr>
        <w:t>7.2评标结果异议</w:t>
      </w:r>
    </w:p>
    <w:p>
      <w:pPr>
        <w:pStyle w:val="2"/>
        <w:spacing w:before="91" w:line="420" w:lineRule="exact"/>
        <w:ind w:right="-124" w:firstLine="484"/>
        <w:rPr>
          <w:b/>
          <w:bCs/>
          <w:color w:val="000000"/>
          <w:sz w:val="24"/>
        </w:rPr>
      </w:pPr>
      <w:r>
        <w:rPr>
          <w:rFonts w:hint="eastAsia"/>
          <w:color w:val="000000"/>
          <w:sz w:val="24"/>
        </w:rPr>
        <w:t>投标人或者其他利害关系人对评标结果有异议的，应当在中标候选人公示期间提出。招标人将在收到异议之日起3日内作出答复；作出答复前，将暂停招标投标活动。</w:t>
      </w:r>
    </w:p>
    <w:p>
      <w:pPr>
        <w:spacing w:line="420" w:lineRule="exact"/>
        <w:ind w:left="153" w:right="106"/>
        <w:rPr>
          <w:b/>
          <w:bCs/>
          <w:color w:val="000000"/>
          <w:sz w:val="24"/>
        </w:rPr>
      </w:pPr>
      <w:r>
        <w:rPr>
          <w:b/>
          <w:bCs/>
          <w:color w:val="000000"/>
          <w:sz w:val="24"/>
        </w:rPr>
        <w:t>7.3中标候选人履约能力审查</w:t>
      </w:r>
    </w:p>
    <w:p>
      <w:pPr>
        <w:pStyle w:val="2"/>
        <w:spacing w:line="420" w:lineRule="exact"/>
        <w:ind w:left="172" w:right="181" w:firstLine="456"/>
        <w:rPr>
          <w:color w:val="000000"/>
          <w:sz w:val="24"/>
        </w:rPr>
      </w:pPr>
      <w:r>
        <w:rPr>
          <w:rFonts w:hint="eastAsia"/>
          <w:color w:val="000000"/>
          <w:sz w:val="24"/>
        </w:rPr>
        <w:t>中标候选人的经营、财务状况发生较大变化或存在违法行为，招标人认为可能影响其履约能力的，将在发出中标通知书前提请原评标委员会按照招标文件规定的标准和方法进行审查确认。</w:t>
      </w:r>
    </w:p>
    <w:p>
      <w:pPr>
        <w:spacing w:line="420" w:lineRule="exact"/>
        <w:ind w:left="153" w:right="106"/>
        <w:rPr>
          <w:b/>
          <w:bCs/>
          <w:color w:val="000000"/>
          <w:sz w:val="24"/>
        </w:rPr>
      </w:pPr>
      <w:r>
        <w:rPr>
          <w:b/>
          <w:bCs/>
          <w:color w:val="000000"/>
          <w:sz w:val="24"/>
        </w:rPr>
        <w:t>7.4定标</w:t>
      </w:r>
    </w:p>
    <w:p>
      <w:pPr>
        <w:pStyle w:val="2"/>
        <w:spacing w:line="420" w:lineRule="exact"/>
        <w:ind w:left="172" w:right="181" w:firstLine="456"/>
        <w:rPr>
          <w:color w:val="000000"/>
          <w:sz w:val="24"/>
        </w:rPr>
      </w:pPr>
      <w:r>
        <w:rPr>
          <w:rFonts w:hint="eastAsia"/>
          <w:color w:val="000000"/>
          <w:sz w:val="24"/>
        </w:rPr>
        <w:t>按照投标人须知前附表的规定，招标人或招标人授权的评标委员会依法确定中标。</w:t>
      </w:r>
    </w:p>
    <w:p>
      <w:pPr>
        <w:spacing w:line="420" w:lineRule="exact"/>
        <w:ind w:left="153" w:right="106"/>
        <w:rPr>
          <w:b/>
          <w:bCs/>
          <w:color w:val="000000"/>
          <w:sz w:val="24"/>
        </w:rPr>
      </w:pPr>
      <w:r>
        <w:rPr>
          <w:b/>
          <w:bCs/>
          <w:color w:val="000000"/>
          <w:sz w:val="24"/>
        </w:rPr>
        <w:t>7.5中标通知</w:t>
      </w:r>
    </w:p>
    <w:p>
      <w:pPr>
        <w:pStyle w:val="2"/>
        <w:spacing w:line="420" w:lineRule="exact"/>
        <w:ind w:left="172" w:right="181" w:firstLine="456"/>
        <w:rPr>
          <w:color w:val="000000"/>
          <w:sz w:val="24"/>
        </w:rPr>
      </w:pPr>
      <w:r>
        <w:rPr>
          <w:color w:val="000000"/>
          <w:sz w:val="24"/>
        </w:rPr>
        <w:t>在本章第3.3款规定的投标有效期内，招标人以投标人须知前附表规定的形式向中标人发出中标通知书，同时将中标结果通知未中标的投标人。</w:t>
      </w:r>
    </w:p>
    <w:p>
      <w:pPr>
        <w:pStyle w:val="2"/>
        <w:spacing w:before="29" w:line="420" w:lineRule="exact"/>
        <w:ind w:right="275"/>
        <w:rPr>
          <w:b/>
          <w:bCs/>
          <w:color w:val="000000"/>
          <w:sz w:val="24"/>
        </w:rPr>
      </w:pPr>
      <w:r>
        <w:rPr>
          <w:b/>
          <w:bCs/>
          <w:color w:val="000000"/>
          <w:sz w:val="24"/>
        </w:rPr>
        <w:t>7.6中标结果公告</w:t>
      </w:r>
    </w:p>
    <w:p>
      <w:pPr>
        <w:pStyle w:val="2"/>
        <w:spacing w:line="420" w:lineRule="exact"/>
        <w:ind w:left="168" w:right="275" w:firstLine="465"/>
        <w:rPr>
          <w:color w:val="000000"/>
          <w:sz w:val="24"/>
        </w:rPr>
      </w:pPr>
      <w:r>
        <w:rPr>
          <w:color w:val="000000"/>
          <w:sz w:val="24"/>
        </w:rPr>
        <w:t>招标人在确定中标人之日起3日内，按照投标人须知前附表规定的公告媒介和期限公告中标结果，公告期不得少于3日。公告内容包括中标人名称、中标价。</w:t>
      </w:r>
    </w:p>
    <w:p>
      <w:pPr>
        <w:pStyle w:val="2"/>
        <w:spacing w:before="170" w:line="420" w:lineRule="exact"/>
        <w:ind w:right="275"/>
        <w:rPr>
          <w:b/>
          <w:bCs/>
          <w:color w:val="000000"/>
          <w:sz w:val="24"/>
        </w:rPr>
      </w:pPr>
      <w:r>
        <w:rPr>
          <w:b/>
          <w:bCs/>
          <w:color w:val="000000"/>
          <w:sz w:val="24"/>
        </w:rPr>
        <w:t>7.7履约保证金</w:t>
      </w:r>
    </w:p>
    <w:p>
      <w:pPr>
        <w:pStyle w:val="2"/>
        <w:spacing w:line="420" w:lineRule="exact"/>
        <w:ind w:left="148" w:right="105" w:firstLine="489"/>
        <w:rPr>
          <w:color w:val="000000"/>
          <w:sz w:val="24"/>
        </w:rPr>
      </w:pPr>
      <w:r>
        <w:rPr>
          <w:color w:val="000000"/>
          <w:sz w:val="24"/>
        </w:rPr>
        <w:t>7.7.1在签订合同前，中标人应按投标人须知前附表规定的形式、金额和招标文件第四章“合同条款及格式”规定的或事先经过招标人书面认可的履约保证金格式向招标人提交履约保证金</w:t>
      </w:r>
      <w:r>
        <w:rPr>
          <w:rFonts w:hint="eastAsia"/>
          <w:color w:val="000000"/>
          <w:sz w:val="24"/>
        </w:rPr>
        <w:t>。</w:t>
      </w:r>
      <w:r>
        <w:rPr>
          <w:color w:val="000000"/>
          <w:sz w:val="24"/>
        </w:rPr>
        <w:t>除投标人须知前附表另有规定外，履约保证金为签约合同价的10%。联合体中标的</w:t>
      </w:r>
      <w:r>
        <w:rPr>
          <w:rFonts w:hint="eastAsia"/>
          <w:color w:val="000000"/>
          <w:sz w:val="24"/>
        </w:rPr>
        <w:t>，</w:t>
      </w:r>
      <w:r>
        <w:rPr>
          <w:color w:val="000000"/>
          <w:sz w:val="24"/>
        </w:rPr>
        <w:t>其履约保证金以联合体各方或联合体中牵头人的名义提交。</w:t>
      </w:r>
    </w:p>
    <w:p>
      <w:pPr>
        <w:pStyle w:val="2"/>
        <w:spacing w:line="420" w:lineRule="exact"/>
        <w:ind w:left="148" w:right="105" w:firstLine="489"/>
        <w:rPr>
          <w:color w:val="000000"/>
          <w:sz w:val="24"/>
        </w:rPr>
      </w:pPr>
      <w:r>
        <w:rPr>
          <w:color w:val="000000"/>
          <w:sz w:val="24"/>
        </w:rPr>
        <w:t>采用银行保函时，应由符合投标人须知前附表规定级别的银行开具，所需的费用由中标人承担，中标人应保证银行保函有效。</w:t>
      </w:r>
    </w:p>
    <w:p>
      <w:pPr>
        <w:pStyle w:val="2"/>
        <w:spacing w:line="420" w:lineRule="exact"/>
        <w:ind w:left="148" w:right="105" w:firstLine="489"/>
        <w:rPr>
          <w:color w:val="000000"/>
          <w:sz w:val="24"/>
        </w:rPr>
      </w:pPr>
      <w:r>
        <w:rPr>
          <w:rFonts w:hint="eastAsia"/>
          <w:color w:val="000000"/>
          <w:sz w:val="24"/>
        </w:rPr>
        <w:t>7.7.2中标人不能按本章第7.7.1项要求提交履约保证金的，视为放弃中标，其投标保证金不予退还，给招标人造成的损失超过投标保证金数额的，中标人还应当对超过部分予以赔偿。</w:t>
      </w:r>
    </w:p>
    <w:p>
      <w:pPr>
        <w:pStyle w:val="2"/>
        <w:spacing w:line="420" w:lineRule="exact"/>
        <w:ind w:right="105"/>
        <w:rPr>
          <w:b/>
          <w:bCs/>
          <w:color w:val="000000"/>
          <w:sz w:val="24"/>
        </w:rPr>
      </w:pPr>
      <w:r>
        <w:rPr>
          <w:b/>
          <w:bCs/>
          <w:color w:val="000000"/>
          <w:sz w:val="24"/>
        </w:rPr>
        <w:t>7.8签订合同</w:t>
      </w:r>
    </w:p>
    <w:p>
      <w:pPr>
        <w:pStyle w:val="2"/>
        <w:spacing w:after="0" w:line="420" w:lineRule="exact"/>
        <w:ind w:left="148" w:right="105" w:firstLine="489"/>
        <w:rPr>
          <w:color w:val="000000"/>
          <w:sz w:val="24"/>
        </w:rPr>
      </w:pPr>
      <w:r>
        <w:rPr>
          <w:rFonts w:hint="eastAsia"/>
          <w:color w:val="000000"/>
          <w:sz w:val="24"/>
        </w:rPr>
        <w:t>7.8.1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spacing w:after="0" w:line="420" w:lineRule="exact"/>
        <w:ind w:left="148" w:right="105" w:firstLine="489"/>
        <w:rPr>
          <w:color w:val="000000"/>
          <w:sz w:val="24"/>
        </w:rPr>
      </w:pPr>
      <w:r>
        <w:rPr>
          <w:rFonts w:hint="eastAsia"/>
          <w:color w:val="000000"/>
          <w:sz w:val="24"/>
        </w:rPr>
        <w:t>7.8.2发出中标通知书后，招标人无正当理由拒签合同，或者在签订合同时向中标人提出附加条件的，招标人向中标人退还投标保证金；给中标人造成损失的，还应当赔偿损失。</w:t>
      </w:r>
    </w:p>
    <w:p>
      <w:pPr>
        <w:pStyle w:val="2"/>
        <w:spacing w:after="0" w:line="420" w:lineRule="exact"/>
        <w:ind w:left="148" w:right="105" w:firstLine="489"/>
        <w:rPr>
          <w:color w:val="000000"/>
          <w:sz w:val="24"/>
        </w:rPr>
      </w:pPr>
      <w:r>
        <w:rPr>
          <w:color w:val="000000"/>
          <w:sz w:val="24"/>
        </w:rPr>
        <w:t>7.8.3签约合同价的确定原则如下：</w:t>
      </w:r>
    </w:p>
    <w:p>
      <w:pPr>
        <w:pStyle w:val="2"/>
        <w:spacing w:before="75" w:after="0" w:line="420" w:lineRule="exact"/>
        <w:ind w:right="289" w:firstLine="609"/>
        <w:rPr>
          <w:color w:val="000000"/>
          <w:sz w:val="24"/>
        </w:rPr>
      </w:pPr>
      <w:r>
        <w:rPr>
          <w:color w:val="000000"/>
          <w:sz w:val="24"/>
        </w:rPr>
        <w:t>(1）按照评标办法规定对投标报价进行修正后，若修正后的最终投标报价小于开标时的投标函大写金额报价，则签订合同时以修正后的最终投标报价为准；</w:t>
      </w:r>
    </w:p>
    <w:p>
      <w:pPr>
        <w:pStyle w:val="2"/>
        <w:spacing w:before="38" w:after="0" w:line="420" w:lineRule="exact"/>
        <w:ind w:right="138" w:firstLine="609"/>
        <w:rPr>
          <w:color w:val="000000"/>
          <w:sz w:val="24"/>
        </w:rPr>
      </w:pPr>
      <w:r>
        <w:rPr>
          <w:color w:val="000000"/>
          <w:sz w:val="24"/>
        </w:rPr>
        <w:t>(2）按照评标办法规定对投标报价进行修正后，若修正后的最终投标报价大于开标时的投标函大写金额报价，则签订合同时以开标时的投标函大写金额报价为准，同时按比例修正相应子目的单价或合价。</w:t>
      </w:r>
    </w:p>
    <w:p>
      <w:pPr>
        <w:pStyle w:val="2"/>
        <w:spacing w:before="33" w:after="0" w:line="420" w:lineRule="exact"/>
        <w:ind w:right="275" w:firstLine="600" w:firstLineChars="250"/>
        <w:rPr>
          <w:color w:val="000000"/>
          <w:sz w:val="24"/>
        </w:rPr>
      </w:pPr>
      <w:r>
        <w:rPr>
          <w:color w:val="000000"/>
          <w:sz w:val="24"/>
        </w:rPr>
        <w:t>7.8.4联合体中标的，联合体各方应共同与招标人签订合同，就中标项目向招标人承担连带责任。</w:t>
      </w:r>
    </w:p>
    <w:p>
      <w:pPr>
        <w:pStyle w:val="2"/>
        <w:spacing w:before="30" w:after="0" w:line="420" w:lineRule="exact"/>
        <w:ind w:left="148" w:right="271" w:firstLine="484"/>
        <w:rPr>
          <w:color w:val="000000"/>
          <w:sz w:val="24"/>
        </w:rPr>
      </w:pPr>
      <w:r>
        <w:rPr>
          <w:color w:val="000000"/>
          <w:sz w:val="24"/>
        </w:rPr>
        <w:t>7.8.5招标人和中标人在签订合同协议书的同时，须按照本招标文件规定的格式和要求签订廉政合同，明确双方在廉政建设方面的权利和义务以及应承担的违约责任。</w:t>
      </w:r>
    </w:p>
    <w:p>
      <w:pPr>
        <w:tabs>
          <w:tab w:val="left" w:pos="580"/>
        </w:tabs>
        <w:spacing w:before="19" w:line="420" w:lineRule="exact"/>
        <w:ind w:left="153" w:right="170"/>
        <w:rPr>
          <w:b/>
          <w:bCs/>
          <w:color w:val="000000"/>
          <w:sz w:val="24"/>
        </w:rPr>
      </w:pPr>
      <w:r>
        <w:rPr>
          <w:rFonts w:cs="Arial"/>
          <w:b/>
          <w:bCs/>
          <w:color w:val="000000"/>
          <w:sz w:val="24"/>
        </w:rPr>
        <w:t>8.</w:t>
      </w:r>
      <w:r>
        <w:rPr>
          <w:rFonts w:cs="Arial"/>
          <w:b/>
          <w:bCs/>
          <w:color w:val="000000"/>
          <w:sz w:val="24"/>
        </w:rPr>
        <w:tab/>
      </w:r>
      <w:r>
        <w:rPr>
          <w:b/>
          <w:bCs/>
          <w:color w:val="000000"/>
          <w:sz w:val="24"/>
        </w:rPr>
        <w:t>纪律和监督</w:t>
      </w:r>
    </w:p>
    <w:p>
      <w:pPr>
        <w:spacing w:line="420" w:lineRule="exact"/>
        <w:ind w:left="153" w:right="170"/>
        <w:rPr>
          <w:b/>
          <w:bCs/>
          <w:color w:val="000000"/>
          <w:sz w:val="24"/>
        </w:rPr>
      </w:pPr>
      <w:r>
        <w:rPr>
          <w:rFonts w:cs="Arial"/>
          <w:b/>
          <w:bCs/>
          <w:color w:val="000000"/>
          <w:sz w:val="24"/>
        </w:rPr>
        <w:t>8.1</w:t>
      </w:r>
      <w:r>
        <w:rPr>
          <w:b/>
          <w:bCs/>
          <w:color w:val="000000"/>
          <w:sz w:val="24"/>
        </w:rPr>
        <w:t>对招标人的纪律要求</w:t>
      </w:r>
    </w:p>
    <w:p>
      <w:pPr>
        <w:pStyle w:val="2"/>
        <w:spacing w:before="30" w:line="420" w:lineRule="exact"/>
        <w:ind w:left="148" w:right="271" w:firstLine="484"/>
        <w:rPr>
          <w:color w:val="000000"/>
          <w:sz w:val="24"/>
        </w:rPr>
      </w:pPr>
      <w:r>
        <w:rPr>
          <w:rFonts w:hint="eastAsia"/>
          <w:color w:val="000000"/>
          <w:sz w:val="24"/>
        </w:rPr>
        <w:t>招标人不得泄露招标投标活动中应当保密的情况和资料，不得与投标人串通损害国家利益、社会公共利益或者他人合法权益。</w:t>
      </w:r>
    </w:p>
    <w:p>
      <w:pPr>
        <w:spacing w:line="420" w:lineRule="exact"/>
        <w:ind w:left="153" w:right="170"/>
        <w:rPr>
          <w:b/>
          <w:bCs/>
          <w:color w:val="000000"/>
          <w:sz w:val="24"/>
        </w:rPr>
      </w:pPr>
      <w:r>
        <w:rPr>
          <w:rFonts w:cs="Arial"/>
          <w:b/>
          <w:bCs/>
          <w:color w:val="000000"/>
          <w:sz w:val="24"/>
        </w:rPr>
        <w:t>8.2</w:t>
      </w:r>
      <w:r>
        <w:rPr>
          <w:b/>
          <w:bCs/>
          <w:color w:val="000000"/>
          <w:sz w:val="24"/>
        </w:rPr>
        <w:t>对投标人的纪律要求</w:t>
      </w:r>
    </w:p>
    <w:p>
      <w:pPr>
        <w:pStyle w:val="2"/>
        <w:spacing w:before="30" w:line="420" w:lineRule="exact"/>
        <w:ind w:left="148" w:right="271" w:firstLine="484"/>
        <w:rPr>
          <w:b/>
          <w:bCs/>
          <w:color w:val="000000"/>
          <w:sz w:val="24"/>
        </w:rPr>
      </w:pPr>
      <w:r>
        <w:rPr>
          <w:rFonts w:hint="eastAsia"/>
          <w:color w:val="000000"/>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20" w:lineRule="exact"/>
        <w:ind w:left="153" w:right="170"/>
        <w:rPr>
          <w:b/>
          <w:bCs/>
          <w:color w:val="000000"/>
          <w:sz w:val="24"/>
        </w:rPr>
      </w:pPr>
      <w:r>
        <w:rPr>
          <w:b/>
          <w:bCs/>
          <w:color w:val="000000"/>
          <w:sz w:val="24"/>
        </w:rPr>
        <w:t>8.3对评标委员会成员的纪律要求</w:t>
      </w:r>
    </w:p>
    <w:p>
      <w:pPr>
        <w:pStyle w:val="2"/>
        <w:spacing w:before="30" w:line="420" w:lineRule="exact"/>
        <w:ind w:left="148" w:right="271" w:firstLine="484"/>
        <w:rPr>
          <w:color w:val="000000"/>
          <w:sz w:val="24"/>
        </w:rPr>
      </w:pPr>
      <w:r>
        <w:rPr>
          <w:rFonts w:hint="eastAsia"/>
          <w:color w:val="000000"/>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420" w:lineRule="exact"/>
        <w:ind w:left="153" w:right="170"/>
        <w:rPr>
          <w:b/>
          <w:bCs/>
          <w:color w:val="000000"/>
          <w:sz w:val="24"/>
        </w:rPr>
      </w:pPr>
      <w:r>
        <w:rPr>
          <w:rFonts w:cs="Arial"/>
          <w:b/>
          <w:bCs/>
          <w:color w:val="000000"/>
          <w:sz w:val="24"/>
        </w:rPr>
        <w:t>8.4</w:t>
      </w:r>
      <w:r>
        <w:rPr>
          <w:b/>
          <w:bCs/>
          <w:color w:val="000000"/>
          <w:sz w:val="24"/>
        </w:rPr>
        <w:t>对与评标活动有关的工作人员的纪律要求</w:t>
      </w:r>
    </w:p>
    <w:p>
      <w:pPr>
        <w:pStyle w:val="2"/>
        <w:spacing w:before="30" w:line="420" w:lineRule="exact"/>
        <w:ind w:left="148" w:right="271" w:firstLine="484"/>
        <w:rPr>
          <w:color w:val="000000"/>
          <w:sz w:val="24"/>
        </w:rPr>
      </w:pPr>
      <w:r>
        <w:rPr>
          <w:rFonts w:hint="eastAsia"/>
          <w:color w:val="000000"/>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420" w:lineRule="exact"/>
        <w:ind w:left="153" w:right="170"/>
        <w:rPr>
          <w:b/>
          <w:bCs/>
          <w:color w:val="000000"/>
          <w:sz w:val="24"/>
        </w:rPr>
      </w:pPr>
      <w:r>
        <w:rPr>
          <w:b/>
          <w:bCs/>
          <w:color w:val="000000"/>
          <w:sz w:val="24"/>
        </w:rPr>
        <w:t>8.5投诉</w:t>
      </w:r>
    </w:p>
    <w:p>
      <w:pPr>
        <w:pStyle w:val="2"/>
        <w:spacing w:line="420" w:lineRule="exact"/>
        <w:ind w:right="97" w:firstLine="484"/>
        <w:rPr>
          <w:color w:val="000000"/>
          <w:sz w:val="24"/>
        </w:rPr>
      </w:pPr>
      <w:r>
        <w:rPr>
          <w:color w:val="000000"/>
          <w:sz w:val="24"/>
        </w:rPr>
        <w:t>8.5.1投标人或其他利害关系人认为招标投标活动不符合法律、行政法规规定的，可以自知道或应当知道之日起10日内向有关行政监督部门投诉。投诉应有明确的请求和必要的证明材料。</w:t>
      </w:r>
    </w:p>
    <w:p>
      <w:pPr>
        <w:pStyle w:val="2"/>
        <w:spacing w:before="40" w:line="420" w:lineRule="exact"/>
        <w:ind w:left="633" w:right="170"/>
        <w:rPr>
          <w:color w:val="000000"/>
          <w:sz w:val="24"/>
        </w:rPr>
      </w:pPr>
      <w:r>
        <w:rPr>
          <w:color w:val="000000"/>
          <w:sz w:val="24"/>
        </w:rPr>
        <w:t>监督部门的联系方式见投标人须知前附表。</w:t>
      </w:r>
    </w:p>
    <w:p>
      <w:pPr>
        <w:pStyle w:val="2"/>
        <w:spacing w:line="420" w:lineRule="exact"/>
        <w:ind w:right="97" w:firstLine="484"/>
        <w:rPr>
          <w:b/>
          <w:bCs/>
          <w:color w:val="000000"/>
          <w:sz w:val="24"/>
        </w:rPr>
      </w:pPr>
      <w:r>
        <w:rPr>
          <w:color w:val="000000"/>
          <w:sz w:val="24"/>
        </w:rPr>
        <w:t>8.5.2</w:t>
      </w:r>
      <w:r>
        <w:rPr>
          <w:rFonts w:hint="eastAsia"/>
          <w:color w:val="000000"/>
          <w:sz w:val="24"/>
        </w:rPr>
        <w:t>投标人或者其他利害关系人对招标文件、开标和评标结果提出投诉的，应当按照投标人须知第2.4款、第5.3款和第7.2款的规定先向招标人提出异议。异议答复期间不计算在第8.5.1项规定的期限内。</w:t>
      </w:r>
    </w:p>
    <w:p>
      <w:pPr>
        <w:tabs>
          <w:tab w:val="left" w:pos="580"/>
        </w:tabs>
        <w:spacing w:line="420" w:lineRule="exact"/>
        <w:ind w:left="148" w:right="170"/>
        <w:rPr>
          <w:b/>
          <w:bCs/>
          <w:color w:val="000000"/>
          <w:sz w:val="24"/>
        </w:rPr>
      </w:pPr>
      <w:r>
        <w:rPr>
          <w:b/>
          <w:bCs/>
          <w:color w:val="000000"/>
          <w:sz w:val="24"/>
        </w:rPr>
        <w:t>9.</w:t>
      </w:r>
      <w:r>
        <w:rPr>
          <w:b/>
          <w:bCs/>
          <w:color w:val="000000"/>
          <w:sz w:val="24"/>
        </w:rPr>
        <w:tab/>
      </w:r>
      <w:r>
        <w:rPr>
          <w:b/>
          <w:bCs/>
          <w:color w:val="000000"/>
          <w:sz w:val="24"/>
        </w:rPr>
        <w:t>是否采用电子招标投标</w:t>
      </w:r>
    </w:p>
    <w:p>
      <w:pPr>
        <w:pStyle w:val="2"/>
        <w:spacing w:before="40" w:line="420" w:lineRule="exact"/>
        <w:ind w:left="633" w:right="170"/>
        <w:rPr>
          <w:color w:val="000000"/>
          <w:sz w:val="24"/>
        </w:rPr>
      </w:pPr>
      <w:r>
        <w:rPr>
          <w:rFonts w:hint="eastAsia"/>
          <w:color w:val="000000"/>
          <w:sz w:val="24"/>
        </w:rPr>
        <w:t>本招标项目是否采用电子招标投标方式，见投标人须知前附表。</w:t>
      </w:r>
    </w:p>
    <w:p>
      <w:pPr>
        <w:tabs>
          <w:tab w:val="left" w:pos="719"/>
        </w:tabs>
        <w:spacing w:line="420" w:lineRule="exact"/>
        <w:ind w:left="172" w:right="170"/>
        <w:rPr>
          <w:b/>
          <w:bCs/>
          <w:color w:val="000000"/>
          <w:sz w:val="24"/>
        </w:rPr>
      </w:pPr>
      <w:r>
        <w:rPr>
          <w:b/>
          <w:bCs/>
          <w:color w:val="000000"/>
          <w:sz w:val="24"/>
        </w:rPr>
        <w:t>10.</w:t>
      </w:r>
      <w:r>
        <w:rPr>
          <w:b/>
          <w:bCs/>
          <w:color w:val="000000"/>
          <w:sz w:val="24"/>
        </w:rPr>
        <w:tab/>
      </w:r>
      <w:r>
        <w:rPr>
          <w:b/>
          <w:bCs/>
          <w:color w:val="000000"/>
          <w:sz w:val="24"/>
        </w:rPr>
        <w:t>需要补充的其他内容</w:t>
      </w:r>
    </w:p>
    <w:p>
      <w:pPr>
        <w:pStyle w:val="2"/>
        <w:spacing w:line="420" w:lineRule="exact"/>
        <w:ind w:right="101" w:firstLine="480" w:firstLineChars="200"/>
        <w:rPr>
          <w:color w:val="000000"/>
          <w:sz w:val="24"/>
        </w:rPr>
      </w:pPr>
      <w:r>
        <w:rPr>
          <w:rFonts w:cs="Arial"/>
          <w:color w:val="000000"/>
          <w:sz w:val="24"/>
        </w:rPr>
        <w:t>10.1</w:t>
      </w:r>
      <w:r>
        <w:rPr>
          <w:color w:val="000000"/>
          <w:sz w:val="24"/>
        </w:rPr>
        <w:t>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pPr>
        <w:pStyle w:val="2"/>
        <w:spacing w:line="420" w:lineRule="exact"/>
        <w:ind w:right="101" w:firstLine="480" w:firstLineChars="200"/>
        <w:rPr>
          <w:color w:val="000000"/>
          <w:sz w:val="24"/>
        </w:rPr>
      </w:pPr>
      <w:r>
        <w:rPr>
          <w:color w:val="000000"/>
          <w:sz w:val="24"/>
        </w:rPr>
        <w:t>需要补充的其他内容：见投标人须知前附表</w:t>
      </w:r>
      <w:r>
        <w:rPr>
          <w:rFonts w:hint="eastAsia"/>
          <w:color w:val="000000"/>
          <w:sz w:val="24"/>
        </w:rPr>
        <w:t>。</w:t>
      </w:r>
      <w:bookmarkEnd w:id="10"/>
      <w:bookmarkStart w:id="12" w:name="_Toc54603981"/>
      <w:bookmarkStart w:id="13" w:name="_Toc55786875"/>
      <w:bookmarkStart w:id="14" w:name="_Toc55808598"/>
      <w:bookmarkStart w:id="15" w:name="_Toc194231046"/>
      <w:bookmarkStart w:id="16" w:name="_Toc125518257"/>
      <w:bookmarkStart w:id="17" w:name="_Toc125518259"/>
      <w:bookmarkStart w:id="18" w:name="_Toc54603657"/>
      <w:bookmarkStart w:id="19" w:name="_Toc55808559"/>
      <w:bookmarkStart w:id="20" w:name="_Toc54603812"/>
      <w:r>
        <w:rPr>
          <w:rFonts w:hint="eastAsia"/>
          <w:color w:val="000000"/>
          <w:sz w:val="24"/>
        </w:rPr>
        <w:br w:type="page"/>
      </w:r>
    </w:p>
    <w:bookmarkEnd w:id="12"/>
    <w:bookmarkEnd w:id="13"/>
    <w:bookmarkEnd w:id="14"/>
    <w:bookmarkEnd w:id="15"/>
    <w:bookmarkEnd w:id="16"/>
    <w:bookmarkEnd w:id="17"/>
    <w:bookmarkEnd w:id="18"/>
    <w:bookmarkEnd w:id="19"/>
    <w:bookmarkEnd w:id="20"/>
    <w:p>
      <w:pPr>
        <w:pStyle w:val="4"/>
        <w:spacing w:before="0" w:after="0" w:line="240" w:lineRule="auto"/>
        <w:jc w:val="center"/>
        <w:rPr>
          <w:sz w:val="32"/>
          <w:szCs w:val="32"/>
        </w:rPr>
      </w:pPr>
      <w:bookmarkStart w:id="21" w:name="_Toc356546258"/>
      <w:r>
        <w:rPr>
          <w:rFonts w:hint="eastAsia"/>
          <w:sz w:val="32"/>
          <w:szCs w:val="32"/>
        </w:rPr>
        <w:t>第三章</w:t>
      </w:r>
      <w:r>
        <w:rPr>
          <w:sz w:val="32"/>
          <w:szCs w:val="32"/>
        </w:rPr>
        <w:t xml:space="preserve"> </w:t>
      </w:r>
      <w:r>
        <w:rPr>
          <w:rFonts w:hint="eastAsia"/>
          <w:sz w:val="32"/>
          <w:szCs w:val="32"/>
        </w:rPr>
        <w:t>评标办法（综合评估法）</w:t>
      </w:r>
      <w:bookmarkEnd w:id="21"/>
    </w:p>
    <w:p>
      <w:pPr>
        <w:autoSpaceDE w:val="0"/>
        <w:autoSpaceDN w:val="0"/>
        <w:adjustRightInd w:val="0"/>
        <w:jc w:val="left"/>
        <w:rPr>
          <w:b/>
          <w:kern w:val="0"/>
          <w:sz w:val="24"/>
        </w:rPr>
      </w:pPr>
      <w:r>
        <w:rPr>
          <w:rFonts w:hint="eastAsia" w:cs="黑体"/>
          <w:b/>
          <w:kern w:val="0"/>
          <w:sz w:val="24"/>
        </w:rPr>
        <w:t>评标办法前附表</w:t>
      </w:r>
    </w:p>
    <w:tbl>
      <w:tblPr>
        <w:tblStyle w:val="40"/>
        <w:tblW w:w="89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0"/>
        <w:gridCol w:w="1155"/>
        <w:gridCol w:w="65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0" w:hRule="atLeast"/>
          <w:jc w:val="center"/>
        </w:trPr>
        <w:tc>
          <w:tcPr>
            <w:tcW w:w="2305" w:type="dxa"/>
            <w:gridSpan w:val="2"/>
            <w:vAlign w:val="center"/>
          </w:tcPr>
          <w:p>
            <w:pPr>
              <w:pStyle w:val="50"/>
              <w:jc w:val="center"/>
              <w:rPr>
                <w:rFonts w:cs="黑体"/>
                <w:b/>
                <w:color w:val="auto"/>
                <w:sz w:val="21"/>
                <w:szCs w:val="21"/>
              </w:rPr>
            </w:pPr>
            <w:r>
              <w:rPr>
                <w:rFonts w:hint="eastAsia" w:cs="黑体"/>
                <w:b/>
                <w:color w:val="auto"/>
                <w:sz w:val="21"/>
                <w:szCs w:val="21"/>
              </w:rPr>
              <w:t>条款号</w:t>
            </w:r>
          </w:p>
        </w:tc>
        <w:tc>
          <w:tcPr>
            <w:tcW w:w="6599" w:type="dxa"/>
            <w:vAlign w:val="center"/>
          </w:tcPr>
          <w:p>
            <w:pPr>
              <w:pStyle w:val="50"/>
              <w:jc w:val="center"/>
              <w:rPr>
                <w:rFonts w:cs="黑体"/>
                <w:b/>
                <w:color w:val="auto"/>
                <w:sz w:val="21"/>
                <w:szCs w:val="21"/>
              </w:rPr>
            </w:pPr>
            <w:r>
              <w:rPr>
                <w:rFonts w:hint="eastAsia" w:cs="黑体"/>
                <w:b/>
                <w:color w:val="auto"/>
                <w:sz w:val="21"/>
                <w:szCs w:val="21"/>
              </w:rPr>
              <w:t>评审因素与评审标准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76" w:hRule="atLeast"/>
          <w:jc w:val="center"/>
        </w:trPr>
        <w:tc>
          <w:tcPr>
            <w:tcW w:w="1150" w:type="dxa"/>
            <w:vAlign w:val="center"/>
          </w:tcPr>
          <w:p>
            <w:pPr>
              <w:pStyle w:val="50"/>
              <w:jc w:val="center"/>
              <w:rPr>
                <w:rFonts w:cs="黑体"/>
                <w:color w:val="auto"/>
                <w:sz w:val="21"/>
                <w:szCs w:val="21"/>
              </w:rPr>
            </w:pPr>
            <w:r>
              <w:rPr>
                <w:rFonts w:hint="eastAsia" w:cs="黑体"/>
                <w:color w:val="auto"/>
                <w:sz w:val="21"/>
                <w:szCs w:val="21"/>
              </w:rPr>
              <w:t>1</w:t>
            </w:r>
          </w:p>
        </w:tc>
        <w:tc>
          <w:tcPr>
            <w:tcW w:w="1155" w:type="dxa"/>
            <w:vAlign w:val="center"/>
          </w:tcPr>
          <w:p>
            <w:pPr>
              <w:pStyle w:val="50"/>
              <w:jc w:val="center"/>
              <w:rPr>
                <w:rFonts w:cs="黑体"/>
                <w:color w:val="auto"/>
                <w:sz w:val="21"/>
                <w:szCs w:val="21"/>
              </w:rPr>
            </w:pPr>
            <w:r>
              <w:rPr>
                <w:rFonts w:hint="eastAsia" w:cs="黑体"/>
                <w:color w:val="auto"/>
                <w:sz w:val="21"/>
                <w:szCs w:val="21"/>
              </w:rPr>
              <w:t>评标办法</w:t>
            </w:r>
          </w:p>
        </w:tc>
        <w:tc>
          <w:tcPr>
            <w:tcW w:w="6599" w:type="dxa"/>
            <w:vAlign w:val="center"/>
          </w:tcPr>
          <w:p>
            <w:pPr>
              <w:pStyle w:val="50"/>
              <w:spacing w:line="276" w:lineRule="auto"/>
              <w:ind w:firstLine="210" w:firstLineChars="100"/>
              <w:rPr>
                <w:rFonts w:cs="黑体"/>
                <w:color w:val="auto"/>
                <w:sz w:val="21"/>
                <w:szCs w:val="21"/>
              </w:rPr>
            </w:pPr>
            <w:r>
              <w:rPr>
                <w:rFonts w:hint="eastAsia" w:cs="黑体"/>
                <w:color w:val="auto"/>
                <w:sz w:val="21"/>
                <w:szCs w:val="21"/>
              </w:rPr>
              <w:t>综合评分相等时，评标委员会依次按照以下优先顺序推荐中标候选人或确定中标人：</w:t>
            </w:r>
          </w:p>
          <w:p>
            <w:pPr>
              <w:pStyle w:val="50"/>
              <w:spacing w:line="276" w:lineRule="auto"/>
              <w:ind w:firstLine="210" w:firstLineChars="100"/>
              <w:rPr>
                <w:rFonts w:cs="黑体"/>
                <w:color w:val="auto"/>
                <w:sz w:val="21"/>
                <w:szCs w:val="21"/>
              </w:rPr>
            </w:pPr>
            <w:r>
              <w:rPr>
                <w:rFonts w:hint="eastAsia" w:cs="黑体"/>
                <w:color w:val="auto"/>
                <w:sz w:val="21"/>
                <w:szCs w:val="21"/>
              </w:rPr>
              <w:t>（1）评标价低的投标人优先；</w:t>
            </w:r>
          </w:p>
          <w:p>
            <w:pPr>
              <w:pStyle w:val="50"/>
              <w:spacing w:line="276" w:lineRule="auto"/>
              <w:ind w:firstLine="210" w:firstLineChars="100"/>
              <w:rPr>
                <w:rFonts w:cs="黑体"/>
                <w:color w:val="auto"/>
                <w:sz w:val="21"/>
                <w:szCs w:val="21"/>
              </w:rPr>
            </w:pPr>
            <w:r>
              <w:rPr>
                <w:rFonts w:hint="eastAsia" w:cs="黑体"/>
                <w:color w:val="auto"/>
                <w:sz w:val="21"/>
                <w:szCs w:val="21"/>
              </w:rPr>
              <w:t>（2）被省级交通运输主管部门评为较高信用等级的投标人优先；</w:t>
            </w:r>
          </w:p>
          <w:p>
            <w:pPr>
              <w:pStyle w:val="50"/>
              <w:spacing w:line="276" w:lineRule="auto"/>
              <w:ind w:firstLine="210" w:firstLineChars="100"/>
              <w:rPr>
                <w:rFonts w:cs="黑体"/>
                <w:color w:val="auto"/>
                <w:sz w:val="21"/>
                <w:szCs w:val="21"/>
              </w:rPr>
            </w:pPr>
            <w:r>
              <w:rPr>
                <w:rFonts w:hint="eastAsia" w:cs="黑体"/>
                <w:color w:val="auto"/>
                <w:sz w:val="21"/>
                <w:szCs w:val="21"/>
              </w:rPr>
              <w:t>（3）商务和技术得分较高的投标人优先；</w:t>
            </w:r>
          </w:p>
          <w:p>
            <w:pPr>
              <w:pStyle w:val="50"/>
              <w:spacing w:line="276" w:lineRule="auto"/>
              <w:ind w:firstLine="210" w:firstLineChars="100"/>
              <w:rPr>
                <w:rFonts w:cs="黑体"/>
                <w:color w:val="auto"/>
                <w:sz w:val="21"/>
                <w:szCs w:val="21"/>
              </w:rPr>
            </w:pPr>
            <w:r>
              <w:rPr>
                <w:rFonts w:hint="eastAsia" w:cs="黑体"/>
                <w:color w:val="auto"/>
                <w:sz w:val="21"/>
                <w:szCs w:val="21"/>
              </w:rPr>
              <w:t>（4）</w:t>
            </w:r>
            <w:r>
              <w:rPr>
                <w:rFonts w:hint="eastAsia"/>
                <w:bCs/>
                <w:color w:val="auto"/>
                <w:sz w:val="21"/>
                <w:szCs w:val="21"/>
              </w:rPr>
              <w:t>以评标委员会推荐的投标人优先。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2" w:hRule="atLeast"/>
          <w:jc w:val="center"/>
        </w:trPr>
        <w:tc>
          <w:tcPr>
            <w:tcW w:w="1150" w:type="dxa"/>
            <w:vAlign w:val="center"/>
          </w:tcPr>
          <w:p>
            <w:pPr>
              <w:pStyle w:val="50"/>
              <w:jc w:val="center"/>
              <w:rPr>
                <w:rFonts w:cs="黑体"/>
                <w:color w:val="auto"/>
                <w:sz w:val="21"/>
                <w:szCs w:val="21"/>
              </w:rPr>
            </w:pPr>
            <w:r>
              <w:rPr>
                <w:rFonts w:hint="eastAsia" w:cs="黑体"/>
                <w:color w:val="auto"/>
                <w:sz w:val="21"/>
                <w:szCs w:val="21"/>
              </w:rPr>
              <w:t>2.1.1</w:t>
            </w:r>
          </w:p>
          <w:p>
            <w:pPr>
              <w:pStyle w:val="50"/>
              <w:jc w:val="center"/>
              <w:rPr>
                <w:rFonts w:cs="黑体"/>
                <w:color w:val="auto"/>
                <w:sz w:val="21"/>
                <w:szCs w:val="21"/>
              </w:rPr>
            </w:pPr>
            <w:r>
              <w:rPr>
                <w:rFonts w:hint="eastAsia" w:cs="黑体"/>
                <w:color w:val="auto"/>
                <w:sz w:val="21"/>
                <w:szCs w:val="21"/>
              </w:rPr>
              <w:t>2.1.3</w:t>
            </w:r>
          </w:p>
        </w:tc>
        <w:tc>
          <w:tcPr>
            <w:tcW w:w="1155" w:type="dxa"/>
            <w:vAlign w:val="center"/>
          </w:tcPr>
          <w:p>
            <w:pPr>
              <w:pStyle w:val="50"/>
              <w:jc w:val="center"/>
              <w:rPr>
                <w:rFonts w:cs="黑体"/>
                <w:color w:val="auto"/>
                <w:sz w:val="21"/>
                <w:szCs w:val="21"/>
              </w:rPr>
            </w:pPr>
            <w:r>
              <w:rPr>
                <w:rFonts w:hint="eastAsia" w:cs="黑体"/>
                <w:color w:val="auto"/>
                <w:sz w:val="21"/>
                <w:szCs w:val="21"/>
              </w:rPr>
              <w:t>形式评审与响应性评审标准</w:t>
            </w:r>
          </w:p>
        </w:tc>
        <w:tc>
          <w:tcPr>
            <w:tcW w:w="6599" w:type="dxa"/>
            <w:vAlign w:val="center"/>
          </w:tcPr>
          <w:p>
            <w:pPr>
              <w:pStyle w:val="50"/>
              <w:spacing w:line="360" w:lineRule="exact"/>
              <w:ind w:firstLine="207" w:firstLineChars="98"/>
              <w:rPr>
                <w:rFonts w:cs="黑体"/>
                <w:b/>
                <w:color w:val="auto"/>
                <w:sz w:val="21"/>
                <w:szCs w:val="21"/>
              </w:rPr>
            </w:pPr>
            <w:r>
              <w:rPr>
                <w:rFonts w:hint="eastAsia" w:cs="黑体"/>
                <w:b/>
                <w:color w:val="auto"/>
                <w:sz w:val="21"/>
                <w:szCs w:val="21"/>
              </w:rPr>
              <w:t>第一个信封（商务及技术文件）评审标准：</w:t>
            </w:r>
          </w:p>
          <w:p>
            <w:pPr>
              <w:pStyle w:val="50"/>
              <w:spacing w:line="360" w:lineRule="exact"/>
              <w:ind w:firstLine="210" w:firstLineChars="100"/>
              <w:rPr>
                <w:rFonts w:cs="黑体"/>
                <w:color w:val="auto"/>
                <w:sz w:val="21"/>
                <w:szCs w:val="21"/>
              </w:rPr>
            </w:pPr>
            <w:r>
              <w:rPr>
                <w:rFonts w:hint="eastAsia" w:cs="黑体"/>
                <w:color w:val="auto"/>
                <w:sz w:val="21"/>
                <w:szCs w:val="21"/>
              </w:rPr>
              <w:t>（1）投标文件按照招标文件规定的格式、内容填写，字迹清晰可辨：</w:t>
            </w:r>
          </w:p>
          <w:p>
            <w:pPr>
              <w:pStyle w:val="50"/>
              <w:spacing w:line="360" w:lineRule="exact"/>
              <w:ind w:firstLine="210" w:firstLineChars="100"/>
              <w:rPr>
                <w:rFonts w:cs="黑体"/>
                <w:color w:val="auto"/>
                <w:sz w:val="21"/>
                <w:szCs w:val="21"/>
              </w:rPr>
            </w:pPr>
            <w:r>
              <w:rPr>
                <w:rFonts w:hint="eastAsia" w:cs="黑体"/>
                <w:color w:val="auto"/>
                <w:sz w:val="21"/>
                <w:szCs w:val="21"/>
              </w:rPr>
              <w:t>a.投标函按招标文件规定填报了项目名称、补遗书编号（如有）、监理服务期限、工程质量要求及安全目标；</w:t>
            </w:r>
          </w:p>
          <w:p>
            <w:pPr>
              <w:pStyle w:val="50"/>
              <w:spacing w:line="360" w:lineRule="exact"/>
              <w:ind w:firstLine="210" w:firstLineChars="100"/>
              <w:rPr>
                <w:rFonts w:cs="黑体"/>
                <w:color w:val="auto"/>
                <w:sz w:val="21"/>
                <w:szCs w:val="21"/>
              </w:rPr>
            </w:pPr>
            <w:r>
              <w:rPr>
                <w:rFonts w:hint="eastAsia" w:cs="黑体"/>
                <w:color w:val="auto"/>
                <w:sz w:val="21"/>
                <w:szCs w:val="21"/>
              </w:rPr>
              <w:t>b.投标文件组成齐全完整，内容均按规定填写。</w:t>
            </w:r>
          </w:p>
          <w:p>
            <w:pPr>
              <w:pStyle w:val="50"/>
              <w:tabs>
                <w:tab w:val="left" w:pos="592"/>
              </w:tabs>
              <w:spacing w:line="360" w:lineRule="exact"/>
              <w:ind w:firstLine="210" w:firstLineChars="100"/>
              <w:jc w:val="both"/>
              <w:rPr>
                <w:rFonts w:cs="黑体"/>
                <w:color w:val="auto"/>
                <w:sz w:val="21"/>
                <w:szCs w:val="21"/>
              </w:rPr>
            </w:pPr>
            <w:r>
              <w:rPr>
                <w:rFonts w:hint="eastAsia" w:cs="黑体"/>
                <w:color w:val="auto"/>
                <w:sz w:val="21"/>
                <w:szCs w:val="21"/>
              </w:rPr>
              <w:t>（2）投标文件上法定代表人或其授权代理人的签字、投标人的单位章齐全，符合招标文件规定。</w:t>
            </w:r>
          </w:p>
          <w:p>
            <w:pPr>
              <w:pStyle w:val="50"/>
              <w:spacing w:line="360" w:lineRule="exact"/>
              <w:ind w:firstLine="210" w:firstLineChars="100"/>
              <w:rPr>
                <w:rFonts w:cs="黑体"/>
                <w:color w:val="auto"/>
                <w:sz w:val="21"/>
                <w:szCs w:val="21"/>
              </w:rPr>
            </w:pPr>
            <w:r>
              <w:rPr>
                <w:rFonts w:hint="eastAsia" w:cs="黑体"/>
                <w:color w:val="auto"/>
                <w:sz w:val="21"/>
                <w:szCs w:val="21"/>
              </w:rPr>
              <w:t>（3）与申请资格预审时比较，投标人发生合并、分立、破产等重大变化的，仍具备资格预审文件规定的相应资格条件且其投标未影响招标公正性：</w:t>
            </w:r>
          </w:p>
          <w:p>
            <w:pPr>
              <w:pStyle w:val="50"/>
              <w:spacing w:line="360" w:lineRule="exact"/>
              <w:ind w:firstLine="210" w:firstLineChars="100"/>
              <w:rPr>
                <w:rFonts w:cs="黑体"/>
                <w:color w:val="auto"/>
                <w:sz w:val="21"/>
                <w:szCs w:val="21"/>
              </w:rPr>
            </w:pPr>
            <w:r>
              <w:rPr>
                <w:rFonts w:hint="eastAsia" w:cs="黑体"/>
                <w:color w:val="auto"/>
                <w:sz w:val="21"/>
                <w:szCs w:val="21"/>
              </w:rPr>
              <w:t>a.投标人应提供相关部门的合法批件及企业法人营业执照和资质证书等证件的副本变更记录复印件；</w:t>
            </w:r>
          </w:p>
          <w:p>
            <w:pPr>
              <w:pStyle w:val="50"/>
              <w:spacing w:line="360" w:lineRule="exact"/>
              <w:ind w:firstLine="210" w:firstLineChars="100"/>
              <w:rPr>
                <w:rFonts w:cs="黑体"/>
                <w:color w:val="auto"/>
                <w:sz w:val="21"/>
                <w:szCs w:val="21"/>
              </w:rPr>
            </w:pPr>
            <w:r>
              <w:rPr>
                <w:rFonts w:hint="eastAsia" w:cs="黑体"/>
                <w:color w:val="auto"/>
                <w:sz w:val="21"/>
                <w:szCs w:val="21"/>
              </w:rPr>
              <w:t>b.投标人仍然满足资格预审文件中规定的资格预审条件最低要求（资质、业绩、人员、信誉等）；</w:t>
            </w:r>
          </w:p>
          <w:p>
            <w:pPr>
              <w:pStyle w:val="50"/>
              <w:spacing w:line="360" w:lineRule="exact"/>
              <w:ind w:left="297" w:leftChars="104" w:hanging="79" w:hangingChars="38"/>
              <w:rPr>
                <w:rFonts w:cs="黑体"/>
                <w:color w:val="auto"/>
                <w:sz w:val="21"/>
                <w:szCs w:val="21"/>
              </w:rPr>
            </w:pPr>
            <w:r>
              <w:rPr>
                <w:rFonts w:hint="eastAsia" w:cs="黑体"/>
                <w:color w:val="auto"/>
                <w:sz w:val="21"/>
                <w:szCs w:val="21"/>
              </w:rPr>
              <w:t>C.与所投标段的其他投标人不存在控股、管理关系或单位负责人为</w:t>
            </w:r>
          </w:p>
          <w:p>
            <w:pPr>
              <w:pStyle w:val="50"/>
              <w:spacing w:line="360" w:lineRule="exact"/>
              <w:ind w:left="220" w:leftChars="-57" w:hanging="340"/>
              <w:rPr>
                <w:rFonts w:cs="黑体"/>
                <w:color w:val="auto"/>
                <w:sz w:val="21"/>
                <w:szCs w:val="21"/>
              </w:rPr>
            </w:pPr>
            <w:r>
              <w:rPr>
                <w:rFonts w:hint="eastAsia" w:cs="黑体"/>
                <w:color w:val="auto"/>
                <w:sz w:val="21"/>
                <w:szCs w:val="21"/>
              </w:rPr>
              <w:t>同一人的情况；与招标人也不存在利害关系并可能影响招标公正性。    （4）投标人按照招标文件的规定提供了投标保证金：</w:t>
            </w:r>
          </w:p>
          <w:p>
            <w:pPr>
              <w:pStyle w:val="50"/>
              <w:spacing w:line="360" w:lineRule="exact"/>
              <w:ind w:firstLine="210" w:firstLineChars="100"/>
              <w:rPr>
                <w:rFonts w:cs="黑体"/>
                <w:color w:val="auto"/>
                <w:sz w:val="21"/>
                <w:szCs w:val="21"/>
              </w:rPr>
            </w:pPr>
            <w:r>
              <w:rPr>
                <w:rFonts w:hint="eastAsia" w:cs="黑体"/>
                <w:color w:val="auto"/>
                <w:sz w:val="21"/>
                <w:szCs w:val="21"/>
              </w:rPr>
              <w:t>a. 投标保证金金额符合招标文件规定的金额，且投标保证金有效期不少于投标有效期；</w:t>
            </w:r>
          </w:p>
          <w:p>
            <w:pPr>
              <w:pStyle w:val="50"/>
              <w:spacing w:line="360" w:lineRule="exact"/>
              <w:ind w:firstLine="210" w:firstLineChars="100"/>
              <w:rPr>
                <w:rFonts w:cs="黑体"/>
                <w:color w:val="auto"/>
                <w:sz w:val="21"/>
                <w:szCs w:val="21"/>
              </w:rPr>
            </w:pPr>
            <w:r>
              <w:rPr>
                <w:rFonts w:hint="eastAsia" w:cs="黑体"/>
                <w:color w:val="auto"/>
                <w:sz w:val="21"/>
                <w:szCs w:val="21"/>
              </w:rPr>
              <w:t>b.若投标保证金采用现金或支票形式提交，投标人应在递交投标保证金截止时间之前，将投标保证金由投标人的基本账户转入招标人指定账户；</w:t>
            </w:r>
          </w:p>
          <w:p>
            <w:pPr>
              <w:pStyle w:val="50"/>
              <w:spacing w:line="360" w:lineRule="exact"/>
              <w:ind w:firstLine="210" w:firstLineChars="100"/>
              <w:rPr>
                <w:rFonts w:cs="黑体"/>
                <w:color w:val="auto"/>
                <w:sz w:val="21"/>
                <w:szCs w:val="21"/>
              </w:rPr>
            </w:pPr>
            <w:r>
              <w:rPr>
                <w:rFonts w:hint="eastAsia" w:cs="黑体"/>
                <w:color w:val="auto"/>
                <w:sz w:val="21"/>
                <w:szCs w:val="21"/>
              </w:rPr>
              <w:t>c.若投标保证金采用银行保函形式提交，银行保函的格式、开具保函的银行均满足招标文件要求，且在递交投标文件截止时间之前向招标人提交了银行保函原件。</w:t>
            </w:r>
          </w:p>
          <w:p>
            <w:pPr>
              <w:pStyle w:val="50"/>
              <w:spacing w:line="360" w:lineRule="exact"/>
              <w:ind w:firstLine="210" w:firstLineChars="100"/>
              <w:rPr>
                <w:rFonts w:cs="黑体"/>
                <w:color w:val="auto"/>
                <w:sz w:val="21"/>
                <w:szCs w:val="21"/>
              </w:rPr>
            </w:pPr>
            <w:r>
              <w:rPr>
                <w:rFonts w:hint="eastAsia" w:cs="黑体"/>
                <w:color w:val="auto"/>
                <w:sz w:val="21"/>
                <w:szCs w:val="21"/>
              </w:rPr>
              <w:t>（5）投标人法定代表人授权委托代理人签署投标文件的，须提交授权委托书，且授权人和被授权人均在授权委托书上签名，未使用印章、签名章或其他电子制版签名代替。</w:t>
            </w:r>
          </w:p>
          <w:p>
            <w:pPr>
              <w:pStyle w:val="50"/>
              <w:spacing w:line="360" w:lineRule="exact"/>
              <w:ind w:firstLine="210" w:firstLineChars="100"/>
              <w:rPr>
                <w:rFonts w:cs="黑体"/>
                <w:color w:val="auto"/>
                <w:sz w:val="21"/>
                <w:szCs w:val="21"/>
              </w:rPr>
            </w:pPr>
            <w:r>
              <w:rPr>
                <w:rFonts w:hint="eastAsia" w:cs="黑体"/>
                <w:color w:val="auto"/>
                <w:sz w:val="21"/>
                <w:szCs w:val="21"/>
              </w:rPr>
              <w:t>（6）投标人法定代表人亲自签署投标文件的，提供了法定代表人身份证明，且法定代表人在法定代表人身份证明上签名未使用印章、签名章或其他电子制版签名代替。</w:t>
            </w:r>
          </w:p>
          <w:p>
            <w:pPr>
              <w:pStyle w:val="50"/>
              <w:spacing w:line="360" w:lineRule="exact"/>
              <w:ind w:firstLine="210" w:firstLineChars="100"/>
              <w:rPr>
                <w:rFonts w:cs="黑体"/>
                <w:color w:val="auto"/>
                <w:sz w:val="21"/>
                <w:szCs w:val="21"/>
              </w:rPr>
            </w:pPr>
            <w:r>
              <w:rPr>
                <w:rFonts w:hint="eastAsia" w:cs="黑体"/>
                <w:color w:val="auto"/>
                <w:sz w:val="21"/>
                <w:szCs w:val="21"/>
              </w:rPr>
              <w:t>（7）同一投标人未提交两个以上不同的投标文件，但招标文件要求提交备选投标的除外。</w:t>
            </w:r>
          </w:p>
          <w:p>
            <w:pPr>
              <w:pStyle w:val="50"/>
              <w:spacing w:line="360" w:lineRule="exact"/>
              <w:ind w:firstLine="210" w:firstLineChars="100"/>
              <w:rPr>
                <w:rFonts w:cs="黑体"/>
                <w:color w:val="auto"/>
                <w:sz w:val="21"/>
                <w:szCs w:val="21"/>
              </w:rPr>
            </w:pPr>
            <w:r>
              <w:rPr>
                <w:rFonts w:hint="eastAsia" w:cs="黑体"/>
                <w:color w:val="auto"/>
                <w:sz w:val="21"/>
                <w:szCs w:val="21"/>
              </w:rPr>
              <w:t>（8）投标文件中未出现有关投标报价的内容。</w:t>
            </w:r>
          </w:p>
          <w:p>
            <w:pPr>
              <w:pStyle w:val="50"/>
              <w:spacing w:line="360" w:lineRule="exact"/>
              <w:ind w:firstLine="210" w:firstLineChars="100"/>
              <w:rPr>
                <w:rFonts w:cs="黑体"/>
                <w:color w:val="auto"/>
                <w:sz w:val="21"/>
                <w:szCs w:val="21"/>
              </w:rPr>
            </w:pPr>
            <w:r>
              <w:rPr>
                <w:rFonts w:hint="eastAsia" w:cs="黑体"/>
                <w:color w:val="auto"/>
                <w:sz w:val="21"/>
                <w:szCs w:val="21"/>
              </w:rPr>
              <w:t>（9）投标文件载明的招标项目完成期限符合招标文件规定。</w:t>
            </w:r>
          </w:p>
          <w:p>
            <w:pPr>
              <w:pStyle w:val="50"/>
              <w:spacing w:line="360" w:lineRule="exact"/>
              <w:ind w:firstLine="210" w:firstLineChars="100"/>
              <w:rPr>
                <w:rFonts w:cs="黑体"/>
                <w:color w:val="auto"/>
                <w:sz w:val="21"/>
                <w:szCs w:val="21"/>
              </w:rPr>
            </w:pPr>
            <w:r>
              <w:rPr>
                <w:rFonts w:hint="eastAsia" w:cs="黑体"/>
                <w:color w:val="auto"/>
                <w:sz w:val="21"/>
                <w:szCs w:val="21"/>
              </w:rPr>
              <w:t>（10）投标文件对招标文件的实质性要求和条件作出响应。</w:t>
            </w:r>
          </w:p>
          <w:p>
            <w:pPr>
              <w:pStyle w:val="50"/>
              <w:spacing w:line="360" w:lineRule="exact"/>
              <w:ind w:firstLine="210" w:firstLineChars="100"/>
              <w:rPr>
                <w:rFonts w:cs="黑体"/>
                <w:color w:val="auto"/>
                <w:sz w:val="21"/>
                <w:szCs w:val="21"/>
              </w:rPr>
            </w:pPr>
            <w:r>
              <w:rPr>
                <w:rFonts w:hint="eastAsia" w:cs="黑体"/>
                <w:color w:val="auto"/>
                <w:sz w:val="21"/>
                <w:szCs w:val="21"/>
              </w:rPr>
              <w:t>（11）权利义务符合招标文件规定：</w:t>
            </w:r>
          </w:p>
          <w:p>
            <w:pPr>
              <w:pStyle w:val="50"/>
              <w:spacing w:line="360" w:lineRule="exact"/>
              <w:ind w:firstLine="210" w:firstLineChars="100"/>
              <w:rPr>
                <w:rFonts w:cs="黑体"/>
                <w:color w:val="auto"/>
                <w:sz w:val="21"/>
                <w:szCs w:val="21"/>
              </w:rPr>
            </w:pPr>
            <w:r>
              <w:rPr>
                <w:rFonts w:hint="eastAsia" w:cs="黑体"/>
                <w:color w:val="auto"/>
                <w:sz w:val="21"/>
                <w:szCs w:val="21"/>
              </w:rPr>
              <w:t>a.投标人应接受招标文件规定的风险划分原则，未提出新的风险划分办法；</w:t>
            </w:r>
          </w:p>
          <w:p>
            <w:pPr>
              <w:pStyle w:val="50"/>
              <w:spacing w:line="360" w:lineRule="exact"/>
              <w:ind w:firstLine="210" w:firstLineChars="100"/>
              <w:rPr>
                <w:rFonts w:cs="黑体"/>
                <w:color w:val="auto"/>
                <w:sz w:val="21"/>
                <w:szCs w:val="21"/>
              </w:rPr>
            </w:pPr>
            <w:r>
              <w:rPr>
                <w:rFonts w:hint="eastAsia" w:cs="黑体"/>
                <w:color w:val="auto"/>
                <w:sz w:val="21"/>
                <w:szCs w:val="21"/>
              </w:rPr>
              <w:t>b.投标人未增加发包人的责任范围，或减少投标人义务；</w:t>
            </w:r>
          </w:p>
          <w:p>
            <w:pPr>
              <w:pStyle w:val="50"/>
              <w:spacing w:line="360" w:lineRule="exact"/>
              <w:ind w:firstLine="210" w:firstLineChars="100"/>
              <w:rPr>
                <w:rFonts w:cs="黑体"/>
                <w:color w:val="auto"/>
                <w:sz w:val="21"/>
                <w:szCs w:val="21"/>
              </w:rPr>
            </w:pPr>
            <w:r>
              <w:rPr>
                <w:rFonts w:hint="eastAsia" w:cs="黑体"/>
                <w:color w:val="auto"/>
                <w:sz w:val="21"/>
                <w:szCs w:val="21"/>
              </w:rPr>
              <w:t>c.投标人未提出不同的支付办法；</w:t>
            </w:r>
          </w:p>
          <w:p>
            <w:pPr>
              <w:pStyle w:val="50"/>
              <w:spacing w:line="360" w:lineRule="exact"/>
              <w:ind w:firstLine="210" w:firstLineChars="100"/>
              <w:rPr>
                <w:rFonts w:cs="黑体"/>
                <w:color w:val="auto"/>
                <w:sz w:val="21"/>
                <w:szCs w:val="21"/>
              </w:rPr>
            </w:pPr>
            <w:r>
              <w:rPr>
                <w:rFonts w:hint="eastAsia" w:cs="黑体"/>
                <w:color w:val="auto"/>
                <w:sz w:val="21"/>
                <w:szCs w:val="21"/>
              </w:rPr>
              <w:t>d.投标人对合同纠纷、事故处理办法未提出异议；</w:t>
            </w:r>
          </w:p>
          <w:p>
            <w:pPr>
              <w:pStyle w:val="50"/>
              <w:spacing w:line="360" w:lineRule="exact"/>
              <w:ind w:firstLine="210" w:firstLineChars="100"/>
              <w:rPr>
                <w:rFonts w:cs="黑体"/>
                <w:color w:val="auto"/>
                <w:sz w:val="21"/>
                <w:szCs w:val="21"/>
              </w:rPr>
            </w:pPr>
            <w:r>
              <w:rPr>
                <w:rFonts w:hint="eastAsia" w:cs="黑体"/>
                <w:color w:val="auto"/>
                <w:sz w:val="21"/>
                <w:szCs w:val="21"/>
              </w:rPr>
              <w:t>e.投标人在投标活动中无欺诈行为；</w:t>
            </w:r>
          </w:p>
          <w:p>
            <w:pPr>
              <w:pStyle w:val="50"/>
              <w:spacing w:line="360" w:lineRule="exact"/>
              <w:ind w:firstLine="210" w:firstLineChars="100"/>
              <w:rPr>
                <w:rFonts w:cs="黑体"/>
                <w:color w:val="auto"/>
                <w:sz w:val="21"/>
                <w:szCs w:val="21"/>
              </w:rPr>
            </w:pPr>
            <w:r>
              <w:rPr>
                <w:rFonts w:hint="eastAsia" w:cs="黑体"/>
                <w:color w:val="auto"/>
                <w:sz w:val="21"/>
                <w:szCs w:val="21"/>
              </w:rPr>
              <w:t>f.投标人未对合同条款有重要保留。</w:t>
            </w:r>
          </w:p>
          <w:p>
            <w:pPr>
              <w:pStyle w:val="50"/>
              <w:spacing w:line="360" w:lineRule="exact"/>
              <w:ind w:firstLine="210" w:firstLineChars="100"/>
              <w:rPr>
                <w:rFonts w:cs="黑体"/>
                <w:color w:val="auto"/>
                <w:sz w:val="21"/>
                <w:szCs w:val="21"/>
              </w:rPr>
            </w:pPr>
            <w:r>
              <w:rPr>
                <w:rFonts w:hint="eastAsia" w:cs="黑体"/>
                <w:color w:val="auto"/>
                <w:sz w:val="21"/>
                <w:szCs w:val="21"/>
              </w:rPr>
              <w:t>（12）投标文件正、副本份数符合招标文件第二章“投标人须知”第3.7.4项规定。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60" w:hRule="atLeast"/>
          <w:jc w:val="center"/>
        </w:trPr>
        <w:tc>
          <w:tcPr>
            <w:tcW w:w="1150" w:type="dxa"/>
            <w:vAlign w:val="center"/>
          </w:tcPr>
          <w:p>
            <w:pPr>
              <w:pStyle w:val="50"/>
              <w:jc w:val="center"/>
              <w:rPr>
                <w:rFonts w:cs="黑体"/>
                <w:color w:val="auto"/>
                <w:sz w:val="21"/>
                <w:szCs w:val="21"/>
              </w:rPr>
            </w:pPr>
            <w:r>
              <w:rPr>
                <w:rFonts w:hint="eastAsia" w:cs="黑体"/>
                <w:color w:val="auto"/>
                <w:sz w:val="21"/>
                <w:szCs w:val="21"/>
              </w:rPr>
              <w:t>2.1.1</w:t>
            </w:r>
          </w:p>
          <w:p>
            <w:pPr>
              <w:pStyle w:val="50"/>
              <w:jc w:val="center"/>
              <w:rPr>
                <w:rFonts w:cs="黑体"/>
                <w:color w:val="auto"/>
                <w:sz w:val="21"/>
                <w:szCs w:val="21"/>
              </w:rPr>
            </w:pPr>
            <w:r>
              <w:rPr>
                <w:rFonts w:hint="eastAsia" w:cs="黑体"/>
                <w:color w:val="auto"/>
                <w:sz w:val="21"/>
                <w:szCs w:val="21"/>
              </w:rPr>
              <w:t>2.1.3</w:t>
            </w:r>
          </w:p>
        </w:tc>
        <w:tc>
          <w:tcPr>
            <w:tcW w:w="1155" w:type="dxa"/>
            <w:vAlign w:val="center"/>
          </w:tcPr>
          <w:p>
            <w:pPr>
              <w:pStyle w:val="50"/>
              <w:jc w:val="center"/>
              <w:rPr>
                <w:rFonts w:cs="黑体"/>
                <w:color w:val="auto"/>
                <w:sz w:val="21"/>
                <w:szCs w:val="21"/>
              </w:rPr>
            </w:pPr>
            <w:r>
              <w:rPr>
                <w:rFonts w:hint="eastAsia" w:cs="黑体"/>
                <w:color w:val="auto"/>
                <w:sz w:val="21"/>
                <w:szCs w:val="21"/>
              </w:rPr>
              <w:t>形式评审与响应性评审标准</w:t>
            </w:r>
          </w:p>
        </w:tc>
        <w:tc>
          <w:tcPr>
            <w:tcW w:w="6599" w:type="dxa"/>
            <w:vAlign w:val="center"/>
          </w:tcPr>
          <w:p>
            <w:pPr>
              <w:pStyle w:val="50"/>
              <w:spacing w:line="300" w:lineRule="exact"/>
              <w:ind w:firstLine="211" w:firstLineChars="100"/>
              <w:rPr>
                <w:rFonts w:cs="黑体"/>
                <w:b/>
                <w:color w:val="auto"/>
                <w:sz w:val="21"/>
                <w:szCs w:val="21"/>
              </w:rPr>
            </w:pPr>
            <w:r>
              <w:rPr>
                <w:rFonts w:hint="eastAsia" w:cs="黑体"/>
                <w:b/>
                <w:color w:val="auto"/>
                <w:sz w:val="21"/>
                <w:szCs w:val="21"/>
              </w:rPr>
              <w:t>第二个信封（报价文件）评审标准：</w:t>
            </w:r>
          </w:p>
          <w:p>
            <w:pPr>
              <w:pStyle w:val="50"/>
              <w:spacing w:line="300" w:lineRule="exact"/>
              <w:ind w:firstLine="210" w:firstLineChars="100"/>
              <w:rPr>
                <w:rFonts w:cs="黑体"/>
                <w:color w:val="auto"/>
                <w:sz w:val="21"/>
                <w:szCs w:val="21"/>
              </w:rPr>
            </w:pPr>
            <w:r>
              <w:rPr>
                <w:rFonts w:hint="eastAsia" w:cs="黑体"/>
                <w:color w:val="auto"/>
                <w:sz w:val="21"/>
                <w:szCs w:val="21"/>
              </w:rPr>
              <w:t>（1）投标文件按照招标文件规定的格式、内容填写，字迹清晰可辨，内容齐全完整：</w:t>
            </w:r>
          </w:p>
          <w:p>
            <w:pPr>
              <w:pStyle w:val="50"/>
              <w:spacing w:line="300" w:lineRule="exact"/>
              <w:ind w:firstLine="210" w:firstLineChars="100"/>
              <w:rPr>
                <w:rFonts w:cs="黑体"/>
                <w:color w:val="auto"/>
                <w:sz w:val="21"/>
                <w:szCs w:val="21"/>
              </w:rPr>
            </w:pPr>
            <w:r>
              <w:rPr>
                <w:rFonts w:hint="eastAsia" w:cs="黑体"/>
                <w:color w:val="auto"/>
                <w:sz w:val="21"/>
                <w:szCs w:val="21"/>
              </w:rPr>
              <w:t>a.</w:t>
            </w:r>
            <w:r>
              <w:rPr>
                <w:rFonts w:hint="eastAsia" w:ascii="Times New Roman" w:cs="黑体"/>
                <w:color w:val="auto"/>
                <w:kern w:val="2"/>
                <w:sz w:val="21"/>
                <w:szCs w:val="21"/>
              </w:rPr>
              <w:t xml:space="preserve"> </w:t>
            </w:r>
            <w:r>
              <w:rPr>
                <w:rFonts w:hint="eastAsia" w:cs="黑体"/>
                <w:color w:val="auto"/>
                <w:sz w:val="21"/>
                <w:szCs w:val="21"/>
              </w:rPr>
              <w:t>投标函按招标文件规定填报了项目名称、补遗书编号（如有）、投标价（包括大写金额和小写金额）；</w:t>
            </w:r>
          </w:p>
          <w:p>
            <w:pPr>
              <w:pStyle w:val="50"/>
              <w:spacing w:line="300" w:lineRule="exact"/>
              <w:ind w:firstLine="210" w:firstLineChars="100"/>
              <w:rPr>
                <w:rFonts w:cs="黑体"/>
                <w:color w:val="auto"/>
                <w:sz w:val="21"/>
                <w:szCs w:val="21"/>
              </w:rPr>
            </w:pPr>
            <w:r>
              <w:rPr>
                <w:rFonts w:hint="eastAsia" w:cs="黑体"/>
                <w:color w:val="auto"/>
                <w:sz w:val="21"/>
                <w:szCs w:val="21"/>
              </w:rPr>
              <w:t>b.已标价报价清单说明文字与招标文件规定一致，未进行实质性修改和删减；</w:t>
            </w:r>
          </w:p>
          <w:p>
            <w:pPr>
              <w:pStyle w:val="50"/>
              <w:spacing w:line="300" w:lineRule="exact"/>
              <w:ind w:firstLine="210" w:firstLineChars="100"/>
              <w:rPr>
                <w:rFonts w:cs="黑体"/>
                <w:color w:val="auto"/>
                <w:sz w:val="21"/>
                <w:szCs w:val="21"/>
              </w:rPr>
            </w:pPr>
            <w:r>
              <w:rPr>
                <w:rFonts w:hint="eastAsia" w:cs="黑体"/>
                <w:color w:val="auto"/>
                <w:sz w:val="21"/>
                <w:szCs w:val="21"/>
              </w:rPr>
              <w:t>c.投标文件组成齐全完整，内容均按规定填写。</w:t>
            </w:r>
          </w:p>
          <w:p>
            <w:pPr>
              <w:pStyle w:val="50"/>
              <w:spacing w:line="300" w:lineRule="exact"/>
              <w:ind w:firstLine="210" w:firstLineChars="100"/>
              <w:rPr>
                <w:rFonts w:cs="黑体"/>
                <w:sz w:val="21"/>
                <w:szCs w:val="21"/>
              </w:rPr>
            </w:pPr>
            <w:r>
              <w:rPr>
                <w:rFonts w:hint="eastAsia" w:cs="黑体"/>
                <w:sz w:val="21"/>
                <w:szCs w:val="21"/>
              </w:rPr>
              <w:t>（2）投标文件上法定代表人或其授权代理人的签字、投标人的单位章齐全，符合招标文件规定。</w:t>
            </w:r>
          </w:p>
          <w:p>
            <w:pPr>
              <w:pStyle w:val="50"/>
              <w:spacing w:line="300" w:lineRule="exact"/>
              <w:ind w:firstLine="210" w:firstLineChars="100"/>
              <w:rPr>
                <w:rFonts w:cs="黑体"/>
                <w:color w:val="auto"/>
                <w:sz w:val="21"/>
                <w:szCs w:val="21"/>
              </w:rPr>
            </w:pPr>
            <w:r>
              <w:rPr>
                <w:rFonts w:hint="eastAsia" w:cs="黑体"/>
                <w:color w:val="auto"/>
                <w:sz w:val="21"/>
                <w:szCs w:val="21"/>
              </w:rPr>
              <w:t>（3）投标报价未超过招标文件设定的最高投标限价（如有）。</w:t>
            </w:r>
          </w:p>
          <w:p>
            <w:pPr>
              <w:pStyle w:val="50"/>
              <w:spacing w:line="300" w:lineRule="exact"/>
              <w:ind w:firstLine="210" w:firstLineChars="100"/>
              <w:rPr>
                <w:rFonts w:cs="黑体"/>
                <w:color w:val="auto"/>
                <w:sz w:val="21"/>
                <w:szCs w:val="21"/>
              </w:rPr>
            </w:pPr>
            <w:r>
              <w:rPr>
                <w:rFonts w:hint="eastAsia" w:cs="黑体"/>
                <w:color w:val="auto"/>
                <w:sz w:val="21"/>
                <w:szCs w:val="21"/>
              </w:rPr>
              <w:t>（4）投标报价的大写金额能够确定具体数值。</w:t>
            </w:r>
          </w:p>
          <w:p>
            <w:pPr>
              <w:pStyle w:val="50"/>
              <w:spacing w:line="300" w:lineRule="exact"/>
              <w:ind w:firstLine="210" w:firstLineChars="100"/>
              <w:rPr>
                <w:rFonts w:cs="黑体"/>
                <w:color w:val="auto"/>
                <w:sz w:val="21"/>
                <w:szCs w:val="21"/>
              </w:rPr>
            </w:pPr>
            <w:r>
              <w:rPr>
                <w:rFonts w:hint="eastAsia" w:cs="黑体"/>
                <w:color w:val="auto"/>
                <w:sz w:val="21"/>
                <w:szCs w:val="21"/>
              </w:rPr>
              <w:t>（5）同一投标人未提交两个以上不同的投标报价，但招标文件要求提交备选投标的除外。</w:t>
            </w:r>
          </w:p>
          <w:p>
            <w:pPr>
              <w:pStyle w:val="50"/>
              <w:spacing w:line="300" w:lineRule="exact"/>
              <w:ind w:firstLine="210" w:firstLineChars="100"/>
              <w:rPr>
                <w:rFonts w:cs="黑体"/>
                <w:color w:val="auto"/>
                <w:sz w:val="21"/>
                <w:szCs w:val="21"/>
              </w:rPr>
            </w:pPr>
            <w:r>
              <w:rPr>
                <w:rFonts w:hint="eastAsia" w:cs="黑体"/>
                <w:color w:val="auto"/>
                <w:sz w:val="21"/>
                <w:szCs w:val="21"/>
              </w:rPr>
              <w:t>（6）投标文件正、副本份数符合招标文件第二章“投标人须知”第3.7.4项规定。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88" w:hRule="atLeast"/>
          <w:jc w:val="center"/>
        </w:trPr>
        <w:tc>
          <w:tcPr>
            <w:tcW w:w="1150" w:type="dxa"/>
            <w:vAlign w:val="center"/>
          </w:tcPr>
          <w:p>
            <w:pPr>
              <w:pStyle w:val="50"/>
              <w:jc w:val="center"/>
              <w:rPr>
                <w:rFonts w:cs="黑体"/>
                <w:color w:val="auto"/>
                <w:sz w:val="21"/>
                <w:szCs w:val="21"/>
              </w:rPr>
            </w:pPr>
            <w:r>
              <w:rPr>
                <w:rFonts w:hint="eastAsia" w:cs="黑体"/>
                <w:color w:val="auto"/>
                <w:sz w:val="21"/>
                <w:szCs w:val="21"/>
              </w:rPr>
              <w:t>2.1.2</w:t>
            </w:r>
          </w:p>
        </w:tc>
        <w:tc>
          <w:tcPr>
            <w:tcW w:w="1155" w:type="dxa"/>
            <w:vAlign w:val="center"/>
          </w:tcPr>
          <w:p>
            <w:pPr>
              <w:pStyle w:val="50"/>
              <w:jc w:val="center"/>
              <w:rPr>
                <w:rFonts w:cs="黑体"/>
                <w:color w:val="auto"/>
                <w:sz w:val="21"/>
                <w:szCs w:val="21"/>
              </w:rPr>
            </w:pPr>
            <w:r>
              <w:rPr>
                <w:rFonts w:hint="eastAsia" w:cs="黑体"/>
                <w:color w:val="auto"/>
                <w:sz w:val="21"/>
                <w:szCs w:val="21"/>
              </w:rPr>
              <w:t>资格评审标准</w:t>
            </w:r>
          </w:p>
        </w:tc>
        <w:tc>
          <w:tcPr>
            <w:tcW w:w="6599" w:type="dxa"/>
            <w:vAlign w:val="center"/>
          </w:tcPr>
          <w:p>
            <w:pPr>
              <w:pStyle w:val="50"/>
              <w:spacing w:line="300" w:lineRule="exact"/>
              <w:ind w:firstLine="210" w:firstLineChars="100"/>
              <w:jc w:val="both"/>
              <w:rPr>
                <w:rFonts w:cs="黑体"/>
                <w:color w:val="auto"/>
                <w:sz w:val="21"/>
                <w:szCs w:val="21"/>
              </w:rPr>
            </w:pPr>
            <w:r>
              <w:rPr>
                <w:rFonts w:hint="eastAsia" w:cs="黑体"/>
                <w:color w:val="auto"/>
                <w:sz w:val="21"/>
                <w:szCs w:val="21"/>
              </w:rPr>
              <w:t>（1）投标人具备有效的营业执照、组织机构代码证、监理资质证书和基本账户开户许可证（或备案证明材料）。</w:t>
            </w:r>
          </w:p>
          <w:p>
            <w:pPr>
              <w:pStyle w:val="50"/>
              <w:spacing w:line="300" w:lineRule="exact"/>
              <w:ind w:firstLine="210" w:firstLineChars="100"/>
              <w:jc w:val="both"/>
              <w:rPr>
                <w:rFonts w:cs="黑体"/>
                <w:color w:val="auto"/>
                <w:sz w:val="21"/>
                <w:szCs w:val="21"/>
              </w:rPr>
            </w:pPr>
            <w:r>
              <w:rPr>
                <w:rFonts w:hint="eastAsia" w:cs="黑体"/>
                <w:color w:val="auto"/>
                <w:sz w:val="21"/>
                <w:szCs w:val="21"/>
              </w:rPr>
              <w:t>（2）投标人的资质等级符合招标文件规定。</w:t>
            </w:r>
          </w:p>
          <w:p>
            <w:pPr>
              <w:pStyle w:val="50"/>
              <w:spacing w:line="300" w:lineRule="exact"/>
              <w:ind w:firstLine="210" w:firstLineChars="100"/>
              <w:jc w:val="both"/>
              <w:rPr>
                <w:rFonts w:cs="黑体"/>
                <w:color w:val="auto"/>
                <w:sz w:val="21"/>
                <w:szCs w:val="21"/>
              </w:rPr>
            </w:pPr>
            <w:r>
              <w:rPr>
                <w:rFonts w:hint="eastAsia" w:cs="黑体"/>
                <w:color w:val="auto"/>
                <w:sz w:val="21"/>
                <w:szCs w:val="21"/>
              </w:rPr>
              <w:t>（3）投标人的类似项目业绩符合招标文件规定。</w:t>
            </w:r>
          </w:p>
          <w:p>
            <w:pPr>
              <w:pStyle w:val="50"/>
              <w:spacing w:line="300" w:lineRule="exact"/>
              <w:ind w:firstLine="210" w:firstLineChars="100"/>
              <w:jc w:val="both"/>
              <w:rPr>
                <w:rFonts w:cs="黑体"/>
                <w:color w:val="auto"/>
                <w:sz w:val="21"/>
                <w:szCs w:val="21"/>
              </w:rPr>
            </w:pPr>
            <w:r>
              <w:rPr>
                <w:rFonts w:hint="eastAsia" w:cs="黑体"/>
                <w:color w:val="auto"/>
                <w:sz w:val="21"/>
                <w:szCs w:val="21"/>
              </w:rPr>
              <w:t>（4）投标人的信誉符合招标文件规定。</w:t>
            </w:r>
          </w:p>
          <w:p>
            <w:pPr>
              <w:pStyle w:val="50"/>
              <w:spacing w:line="300" w:lineRule="exact"/>
              <w:ind w:firstLine="210" w:firstLineChars="100"/>
              <w:jc w:val="both"/>
              <w:rPr>
                <w:rFonts w:cs="黑体"/>
                <w:color w:val="auto"/>
                <w:sz w:val="21"/>
                <w:szCs w:val="21"/>
              </w:rPr>
            </w:pPr>
            <w:r>
              <w:rPr>
                <w:rFonts w:cs="黑体"/>
                <w:color w:val="auto"/>
                <w:sz w:val="21"/>
                <w:szCs w:val="21"/>
              </w:rPr>
              <w:t>（5）投标人的总监理工程师或驻地监理工程师资格</w:t>
            </w:r>
            <w:r>
              <w:rPr>
                <w:rFonts w:hint="eastAsia" w:cs="黑体"/>
                <w:color w:val="auto"/>
                <w:sz w:val="21"/>
                <w:szCs w:val="21"/>
              </w:rPr>
              <w:t>、</w:t>
            </w:r>
            <w:r>
              <w:rPr>
                <w:rFonts w:cs="黑体"/>
                <w:color w:val="auto"/>
                <w:sz w:val="21"/>
                <w:szCs w:val="21"/>
              </w:rPr>
              <w:t>在岗情况符合招标文件规定</w:t>
            </w:r>
            <w:r>
              <w:rPr>
                <w:rFonts w:hint="eastAsia" w:cs="黑体"/>
                <w:color w:val="auto"/>
                <w:sz w:val="21"/>
                <w:szCs w:val="21"/>
              </w:rPr>
              <w:t>。</w:t>
            </w:r>
          </w:p>
          <w:p>
            <w:pPr>
              <w:pStyle w:val="50"/>
              <w:spacing w:line="300" w:lineRule="exact"/>
              <w:ind w:firstLine="210" w:firstLineChars="100"/>
              <w:jc w:val="both"/>
              <w:rPr>
                <w:rFonts w:cs="黑体"/>
                <w:color w:val="auto"/>
                <w:sz w:val="21"/>
                <w:szCs w:val="21"/>
              </w:rPr>
            </w:pPr>
            <w:r>
              <w:rPr>
                <w:rFonts w:hint="eastAsia" w:cs="黑体"/>
                <w:color w:val="auto"/>
                <w:sz w:val="21"/>
                <w:szCs w:val="21"/>
              </w:rPr>
              <w:t>（6）投标人的其他要求符合招标文件规定。</w:t>
            </w:r>
          </w:p>
          <w:p>
            <w:pPr>
              <w:pStyle w:val="50"/>
              <w:spacing w:line="300" w:lineRule="exact"/>
              <w:ind w:firstLine="210" w:firstLineChars="100"/>
              <w:jc w:val="both"/>
              <w:rPr>
                <w:rFonts w:cs="黑体"/>
                <w:color w:val="auto"/>
                <w:sz w:val="21"/>
                <w:szCs w:val="21"/>
              </w:rPr>
            </w:pPr>
            <w:r>
              <w:rPr>
                <w:rFonts w:hint="eastAsia" w:cs="黑体"/>
                <w:color w:val="auto"/>
                <w:sz w:val="21"/>
                <w:szCs w:val="21"/>
              </w:rPr>
              <w:t>（7）投标人不存在第二章“投标人须知”第1.4.3项或第1.4.4项规定的任何一种情形。</w:t>
            </w:r>
          </w:p>
          <w:p>
            <w:pPr>
              <w:pStyle w:val="50"/>
              <w:tabs>
                <w:tab w:val="left" w:pos="704"/>
              </w:tabs>
              <w:adjustRightInd/>
              <w:spacing w:line="300" w:lineRule="exact"/>
              <w:ind w:firstLine="210" w:firstLineChars="100"/>
              <w:jc w:val="both"/>
              <w:rPr>
                <w:rFonts w:cs="黑体"/>
                <w:color w:val="auto"/>
                <w:sz w:val="21"/>
                <w:szCs w:val="21"/>
              </w:rPr>
            </w:pPr>
            <w:r>
              <w:rPr>
                <w:rFonts w:hint="eastAsia"/>
                <w:color w:val="auto"/>
                <w:sz w:val="21"/>
                <w:szCs w:val="21"/>
              </w:rPr>
              <w:t>（8）投标人符合第二章“投标人须知”第1.4.5项规定。</w:t>
            </w:r>
          </w:p>
        </w:tc>
      </w:tr>
    </w:tbl>
    <w:p>
      <w:pPr>
        <w:autoSpaceDE w:val="0"/>
        <w:autoSpaceDN w:val="0"/>
        <w:adjustRightInd w:val="0"/>
        <w:spacing w:line="400" w:lineRule="atLeast"/>
        <w:jc w:val="right"/>
        <w:rPr>
          <w:kern w:val="0"/>
          <w:szCs w:val="21"/>
        </w:rPr>
      </w:pPr>
      <w:r>
        <w:rPr>
          <w:kern w:val="0"/>
          <w:szCs w:val="21"/>
        </w:rPr>
        <w:br w:type="page"/>
      </w:r>
      <w:r>
        <w:rPr>
          <w:rFonts w:hint="eastAsia"/>
          <w:kern w:val="0"/>
          <w:szCs w:val="21"/>
        </w:rPr>
        <w:t>续上表</w:t>
      </w:r>
    </w:p>
    <w:tbl>
      <w:tblPr>
        <w:tblStyle w:val="40"/>
        <w:tblW w:w="89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0"/>
        <w:gridCol w:w="1155"/>
        <w:gridCol w:w="65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6" w:hRule="atLeast"/>
          <w:jc w:val="center"/>
        </w:trPr>
        <w:tc>
          <w:tcPr>
            <w:tcW w:w="1150" w:type="dxa"/>
            <w:vAlign w:val="center"/>
          </w:tcPr>
          <w:p>
            <w:pPr>
              <w:pStyle w:val="50"/>
              <w:jc w:val="center"/>
              <w:rPr>
                <w:rFonts w:cs="黑体"/>
                <w:color w:val="auto"/>
                <w:sz w:val="21"/>
                <w:szCs w:val="21"/>
              </w:rPr>
            </w:pPr>
            <w:r>
              <w:rPr>
                <w:rFonts w:hint="eastAsia" w:cs="黑体"/>
                <w:b/>
                <w:color w:val="auto"/>
                <w:sz w:val="21"/>
                <w:szCs w:val="21"/>
              </w:rPr>
              <w:t>条款号</w:t>
            </w:r>
          </w:p>
        </w:tc>
        <w:tc>
          <w:tcPr>
            <w:tcW w:w="1155" w:type="dxa"/>
            <w:vAlign w:val="center"/>
          </w:tcPr>
          <w:p>
            <w:pPr>
              <w:pStyle w:val="50"/>
              <w:jc w:val="center"/>
              <w:rPr>
                <w:rFonts w:cs="黑体"/>
                <w:b/>
                <w:color w:val="auto"/>
                <w:sz w:val="21"/>
                <w:szCs w:val="21"/>
              </w:rPr>
            </w:pPr>
            <w:r>
              <w:rPr>
                <w:rFonts w:hint="eastAsia" w:cs="黑体"/>
                <w:b/>
                <w:color w:val="auto"/>
                <w:sz w:val="21"/>
                <w:szCs w:val="21"/>
              </w:rPr>
              <w:t>条款内容</w:t>
            </w:r>
          </w:p>
        </w:tc>
        <w:tc>
          <w:tcPr>
            <w:tcW w:w="6599" w:type="dxa"/>
            <w:vAlign w:val="center"/>
          </w:tcPr>
          <w:p>
            <w:pPr>
              <w:pStyle w:val="50"/>
              <w:spacing w:line="260" w:lineRule="exact"/>
              <w:jc w:val="center"/>
              <w:rPr>
                <w:rFonts w:cs="黑体"/>
                <w:b/>
                <w:color w:val="auto"/>
                <w:sz w:val="21"/>
                <w:szCs w:val="21"/>
              </w:rPr>
            </w:pPr>
            <w:r>
              <w:rPr>
                <w:rFonts w:hint="eastAsia" w:cs="黑体"/>
                <w:b/>
                <w:color w:val="auto"/>
                <w:sz w:val="21"/>
                <w:szCs w:val="21"/>
              </w:rPr>
              <w:t>编列内容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98" w:hRule="atLeast"/>
          <w:jc w:val="center"/>
        </w:trPr>
        <w:tc>
          <w:tcPr>
            <w:tcW w:w="1150" w:type="dxa"/>
            <w:vAlign w:val="center"/>
          </w:tcPr>
          <w:p>
            <w:pPr>
              <w:pStyle w:val="50"/>
              <w:jc w:val="center"/>
              <w:rPr>
                <w:rFonts w:cs="黑体"/>
                <w:color w:val="auto"/>
                <w:sz w:val="21"/>
                <w:szCs w:val="21"/>
              </w:rPr>
            </w:pPr>
            <w:r>
              <w:rPr>
                <w:rFonts w:hint="eastAsia" w:cs="黑体"/>
                <w:color w:val="auto"/>
                <w:sz w:val="21"/>
                <w:szCs w:val="21"/>
              </w:rPr>
              <w:t>2.2.1</w:t>
            </w:r>
          </w:p>
        </w:tc>
        <w:tc>
          <w:tcPr>
            <w:tcW w:w="1155" w:type="dxa"/>
            <w:vAlign w:val="center"/>
          </w:tcPr>
          <w:p>
            <w:pPr>
              <w:pStyle w:val="50"/>
              <w:jc w:val="center"/>
              <w:rPr>
                <w:rFonts w:cs="黑体"/>
                <w:color w:val="auto"/>
                <w:sz w:val="21"/>
                <w:szCs w:val="21"/>
              </w:rPr>
            </w:pPr>
            <w:r>
              <w:rPr>
                <w:rFonts w:hint="eastAsia" w:cs="黑体"/>
                <w:color w:val="auto"/>
                <w:sz w:val="21"/>
                <w:szCs w:val="21"/>
              </w:rPr>
              <w:t>分值构成（总分100分）</w:t>
            </w:r>
          </w:p>
        </w:tc>
        <w:tc>
          <w:tcPr>
            <w:tcW w:w="6599" w:type="dxa"/>
            <w:vAlign w:val="center"/>
          </w:tcPr>
          <w:p>
            <w:pPr>
              <w:pStyle w:val="50"/>
              <w:spacing w:line="300" w:lineRule="exact"/>
              <w:ind w:firstLine="422" w:firstLineChars="200"/>
              <w:jc w:val="both"/>
              <w:rPr>
                <w:rFonts w:cs="黑体"/>
                <w:b/>
                <w:color w:val="auto"/>
                <w:sz w:val="21"/>
                <w:szCs w:val="21"/>
              </w:rPr>
            </w:pPr>
            <w:r>
              <w:rPr>
                <w:rFonts w:hint="eastAsia" w:cs="黑体"/>
                <w:b/>
                <w:color w:val="auto"/>
                <w:sz w:val="21"/>
                <w:szCs w:val="21"/>
              </w:rPr>
              <w:t>第一个信封（商务及技术文件）评分分值构成：</w:t>
            </w:r>
          </w:p>
          <w:p>
            <w:pPr>
              <w:pStyle w:val="50"/>
              <w:spacing w:line="300" w:lineRule="exact"/>
              <w:ind w:firstLine="420" w:firstLineChars="200"/>
              <w:jc w:val="both"/>
              <w:rPr>
                <w:rFonts w:cs="黑体"/>
                <w:color w:val="auto"/>
                <w:sz w:val="21"/>
                <w:szCs w:val="21"/>
              </w:rPr>
            </w:pPr>
            <w:r>
              <w:rPr>
                <w:rFonts w:hint="eastAsia" w:cs="黑体"/>
                <w:color w:val="auto"/>
                <w:sz w:val="21"/>
                <w:szCs w:val="21"/>
              </w:rPr>
              <w:t>技术建议书：</w:t>
            </w:r>
            <w:r>
              <w:rPr>
                <w:rFonts w:hint="eastAsia" w:cs="黑体"/>
                <w:color w:val="auto"/>
                <w:sz w:val="21"/>
                <w:szCs w:val="21"/>
                <w:u w:val="single"/>
              </w:rPr>
              <w:t xml:space="preserve"> 35 </w:t>
            </w:r>
            <w:r>
              <w:rPr>
                <w:rFonts w:hint="eastAsia" w:cs="黑体"/>
                <w:color w:val="auto"/>
                <w:sz w:val="21"/>
                <w:szCs w:val="21"/>
              </w:rPr>
              <w:t>分</w:t>
            </w:r>
          </w:p>
          <w:p>
            <w:pPr>
              <w:pStyle w:val="50"/>
              <w:spacing w:line="300" w:lineRule="exact"/>
              <w:ind w:firstLine="420" w:firstLineChars="200"/>
              <w:jc w:val="both"/>
              <w:rPr>
                <w:rFonts w:cs="黑体"/>
                <w:color w:val="auto"/>
                <w:sz w:val="21"/>
                <w:szCs w:val="21"/>
              </w:rPr>
            </w:pPr>
            <w:r>
              <w:rPr>
                <w:rFonts w:hint="eastAsia" w:cs="黑体"/>
                <w:color w:val="auto"/>
                <w:sz w:val="21"/>
                <w:szCs w:val="21"/>
              </w:rPr>
              <w:t>主要人员：</w:t>
            </w:r>
            <w:r>
              <w:rPr>
                <w:rFonts w:hint="eastAsia" w:cs="黑体"/>
                <w:color w:val="auto"/>
                <w:sz w:val="21"/>
                <w:szCs w:val="21"/>
                <w:u w:val="single"/>
              </w:rPr>
              <w:t xml:space="preserve"> 25 </w:t>
            </w:r>
            <w:r>
              <w:rPr>
                <w:rFonts w:hint="eastAsia" w:cs="黑体"/>
                <w:color w:val="auto"/>
                <w:sz w:val="21"/>
                <w:szCs w:val="21"/>
              </w:rPr>
              <w:t>分</w:t>
            </w:r>
          </w:p>
          <w:p>
            <w:pPr>
              <w:pStyle w:val="50"/>
              <w:spacing w:line="300" w:lineRule="exact"/>
              <w:ind w:firstLine="420" w:firstLineChars="200"/>
              <w:jc w:val="both"/>
              <w:rPr>
                <w:rFonts w:cs="黑体"/>
                <w:color w:val="auto"/>
                <w:sz w:val="21"/>
                <w:szCs w:val="21"/>
                <w:u w:val="single"/>
              </w:rPr>
            </w:pPr>
            <w:r>
              <w:rPr>
                <w:rFonts w:hint="eastAsia" w:cs="黑体"/>
                <w:color w:val="auto"/>
                <w:sz w:val="21"/>
                <w:szCs w:val="21"/>
              </w:rPr>
              <w:t>技术能力：</w:t>
            </w:r>
            <w:r>
              <w:rPr>
                <w:rFonts w:hint="eastAsia" w:cs="黑体"/>
                <w:color w:val="auto"/>
                <w:sz w:val="21"/>
                <w:szCs w:val="21"/>
                <w:u w:val="single"/>
              </w:rPr>
              <w:t xml:space="preserve"> 5 </w:t>
            </w:r>
            <w:r>
              <w:rPr>
                <w:rFonts w:hint="eastAsia" w:cs="黑体"/>
                <w:color w:val="auto"/>
                <w:sz w:val="21"/>
                <w:szCs w:val="21"/>
              </w:rPr>
              <w:t>分</w:t>
            </w:r>
            <w:r>
              <w:rPr>
                <w:rFonts w:hint="eastAsia" w:cs="黑体"/>
                <w:color w:val="auto"/>
                <w:sz w:val="21"/>
                <w:szCs w:val="21"/>
                <w:u w:val="single"/>
              </w:rPr>
              <w:t xml:space="preserve"> </w:t>
            </w:r>
          </w:p>
          <w:p>
            <w:pPr>
              <w:pStyle w:val="50"/>
              <w:spacing w:line="300" w:lineRule="exact"/>
              <w:ind w:firstLine="420" w:firstLineChars="200"/>
              <w:jc w:val="both"/>
              <w:rPr>
                <w:rFonts w:cs="黑体"/>
                <w:color w:val="auto"/>
                <w:sz w:val="21"/>
                <w:szCs w:val="21"/>
              </w:rPr>
            </w:pPr>
            <w:r>
              <w:rPr>
                <w:rFonts w:hint="eastAsia" w:cs="黑体"/>
                <w:color w:val="auto"/>
                <w:sz w:val="21"/>
                <w:szCs w:val="21"/>
              </w:rPr>
              <w:t>业绩：</w:t>
            </w:r>
            <w:r>
              <w:rPr>
                <w:rFonts w:hint="eastAsia" w:cs="黑体"/>
                <w:color w:val="auto"/>
                <w:sz w:val="21"/>
                <w:szCs w:val="21"/>
                <w:u w:val="single"/>
              </w:rPr>
              <w:t xml:space="preserve"> 20 </w:t>
            </w:r>
            <w:r>
              <w:rPr>
                <w:rFonts w:hint="eastAsia" w:cs="黑体"/>
                <w:color w:val="auto"/>
                <w:sz w:val="21"/>
                <w:szCs w:val="21"/>
              </w:rPr>
              <w:t>分</w:t>
            </w:r>
          </w:p>
          <w:p>
            <w:pPr>
              <w:pStyle w:val="50"/>
              <w:spacing w:line="300" w:lineRule="exact"/>
              <w:ind w:firstLine="420" w:firstLineChars="200"/>
              <w:jc w:val="both"/>
              <w:rPr>
                <w:rFonts w:cs="黑体"/>
                <w:color w:val="auto"/>
                <w:sz w:val="21"/>
                <w:szCs w:val="21"/>
              </w:rPr>
            </w:pPr>
            <w:r>
              <w:rPr>
                <w:rFonts w:hint="eastAsia" w:cs="黑体"/>
                <w:color w:val="auto"/>
                <w:sz w:val="21"/>
                <w:szCs w:val="21"/>
              </w:rPr>
              <w:t>履约信誉：</w:t>
            </w:r>
            <w:r>
              <w:rPr>
                <w:rFonts w:hint="eastAsia" w:cs="黑体"/>
                <w:color w:val="auto"/>
                <w:sz w:val="21"/>
                <w:szCs w:val="21"/>
                <w:u w:val="single"/>
              </w:rPr>
              <w:t xml:space="preserve"> 5 </w:t>
            </w:r>
            <w:r>
              <w:rPr>
                <w:rFonts w:hint="eastAsia" w:cs="黑体"/>
                <w:color w:val="auto"/>
                <w:sz w:val="21"/>
                <w:szCs w:val="21"/>
              </w:rPr>
              <w:t>分</w:t>
            </w:r>
          </w:p>
          <w:p>
            <w:pPr>
              <w:pStyle w:val="50"/>
              <w:spacing w:line="300" w:lineRule="exact"/>
              <w:ind w:firstLine="422" w:firstLineChars="200"/>
              <w:jc w:val="both"/>
              <w:rPr>
                <w:rFonts w:cs="黑体"/>
                <w:b/>
                <w:color w:val="auto"/>
                <w:sz w:val="21"/>
                <w:szCs w:val="21"/>
              </w:rPr>
            </w:pPr>
            <w:r>
              <w:rPr>
                <w:rFonts w:hint="eastAsia" w:cs="黑体"/>
                <w:b/>
                <w:color w:val="auto"/>
                <w:sz w:val="21"/>
                <w:szCs w:val="21"/>
              </w:rPr>
              <w:t>第二个信封（报价文件）评分分值构成：</w:t>
            </w:r>
          </w:p>
          <w:p>
            <w:pPr>
              <w:pStyle w:val="50"/>
              <w:spacing w:line="300" w:lineRule="exact"/>
              <w:ind w:firstLine="420" w:firstLineChars="200"/>
              <w:jc w:val="both"/>
              <w:rPr>
                <w:rFonts w:cs="黑体"/>
                <w:color w:val="auto"/>
                <w:sz w:val="21"/>
                <w:szCs w:val="21"/>
              </w:rPr>
            </w:pPr>
            <w:r>
              <w:rPr>
                <w:rFonts w:hint="eastAsia" w:cs="黑体"/>
                <w:color w:val="auto"/>
                <w:sz w:val="21"/>
                <w:szCs w:val="21"/>
              </w:rPr>
              <w:t>评标价：</w:t>
            </w:r>
            <w:r>
              <w:rPr>
                <w:rFonts w:hint="eastAsia" w:cs="黑体"/>
                <w:color w:val="auto"/>
                <w:sz w:val="21"/>
                <w:szCs w:val="21"/>
                <w:u w:val="single"/>
              </w:rPr>
              <w:t xml:space="preserve"> 10 </w:t>
            </w:r>
            <w:r>
              <w:rPr>
                <w:rFonts w:hint="eastAsia" w:cs="黑体"/>
                <w:color w:val="auto"/>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70" w:hRule="atLeast"/>
          <w:jc w:val="center"/>
        </w:trPr>
        <w:tc>
          <w:tcPr>
            <w:tcW w:w="1150" w:type="dxa"/>
            <w:vAlign w:val="center"/>
          </w:tcPr>
          <w:p>
            <w:pPr>
              <w:pStyle w:val="50"/>
              <w:jc w:val="center"/>
              <w:rPr>
                <w:rFonts w:cs="黑体"/>
                <w:color w:val="auto"/>
                <w:sz w:val="21"/>
                <w:szCs w:val="21"/>
              </w:rPr>
            </w:pPr>
            <w:r>
              <w:rPr>
                <w:rFonts w:hint="eastAsia" w:cs="黑体"/>
                <w:color w:val="auto"/>
                <w:sz w:val="21"/>
                <w:szCs w:val="21"/>
              </w:rPr>
              <w:t>2.2.2</w:t>
            </w:r>
          </w:p>
        </w:tc>
        <w:tc>
          <w:tcPr>
            <w:tcW w:w="1155" w:type="dxa"/>
            <w:vAlign w:val="center"/>
          </w:tcPr>
          <w:p>
            <w:pPr>
              <w:pStyle w:val="50"/>
              <w:jc w:val="center"/>
              <w:rPr>
                <w:rFonts w:cs="黑体"/>
                <w:color w:val="auto"/>
                <w:sz w:val="21"/>
                <w:szCs w:val="21"/>
              </w:rPr>
            </w:pPr>
            <w:r>
              <w:rPr>
                <w:rFonts w:hint="eastAsia"/>
                <w:sz w:val="21"/>
                <w:szCs w:val="21"/>
              </w:rPr>
              <w:t>评标基准价计算方法</w:t>
            </w:r>
          </w:p>
        </w:tc>
        <w:tc>
          <w:tcPr>
            <w:tcW w:w="6599" w:type="dxa"/>
            <w:vAlign w:val="center"/>
          </w:tcPr>
          <w:p>
            <w:pPr>
              <w:pStyle w:val="50"/>
              <w:spacing w:line="300" w:lineRule="exact"/>
              <w:ind w:firstLine="210" w:firstLineChars="100"/>
              <w:jc w:val="both"/>
              <w:rPr>
                <w:sz w:val="21"/>
                <w:szCs w:val="21"/>
              </w:rPr>
            </w:pPr>
            <w:r>
              <w:rPr>
                <w:rFonts w:hint="eastAsia"/>
                <w:sz w:val="21"/>
                <w:szCs w:val="21"/>
              </w:rPr>
              <w:t>评标基准价的计算：</w:t>
            </w:r>
          </w:p>
          <w:p>
            <w:pPr>
              <w:pStyle w:val="50"/>
              <w:spacing w:line="300" w:lineRule="exact"/>
              <w:ind w:firstLine="210" w:firstLineChars="100"/>
              <w:jc w:val="both"/>
              <w:rPr>
                <w:sz w:val="21"/>
                <w:szCs w:val="21"/>
              </w:rPr>
            </w:pPr>
            <w:r>
              <w:rPr>
                <w:rFonts w:hint="eastAsia"/>
                <w:sz w:val="21"/>
                <w:szCs w:val="21"/>
              </w:rPr>
              <w:t>在开标现场，招标人将当场计算并宣布评标基准价。</w:t>
            </w:r>
          </w:p>
          <w:p>
            <w:pPr>
              <w:pStyle w:val="50"/>
              <w:spacing w:line="300" w:lineRule="exact"/>
              <w:ind w:firstLine="210" w:firstLineChars="100"/>
              <w:jc w:val="both"/>
              <w:rPr>
                <w:rFonts w:ascii="Times New Roman" w:cs="Times New Roman"/>
                <w:color w:val="auto"/>
                <w:sz w:val="21"/>
                <w:szCs w:val="21"/>
              </w:rPr>
            </w:pPr>
            <w:r>
              <w:rPr>
                <w:rFonts w:hint="eastAsia"/>
                <w:sz w:val="21"/>
                <w:szCs w:val="21"/>
              </w:rPr>
              <w:t>（</w:t>
            </w:r>
            <w:r>
              <w:rPr>
                <w:rFonts w:hint="eastAsia"/>
                <w:color w:val="auto"/>
                <w:sz w:val="21"/>
                <w:szCs w:val="21"/>
              </w:rPr>
              <w:t>1）</w:t>
            </w:r>
            <w:r>
              <w:rPr>
                <w:rFonts w:hint="eastAsia" w:ascii="Times New Roman" w:cs="Times New Roman"/>
                <w:color w:val="auto"/>
                <w:sz w:val="21"/>
                <w:szCs w:val="21"/>
              </w:rPr>
              <w:t>评标价的确定：</w:t>
            </w:r>
          </w:p>
          <w:p>
            <w:pPr>
              <w:pStyle w:val="50"/>
              <w:spacing w:line="300" w:lineRule="exact"/>
              <w:ind w:firstLine="210" w:firstLineChars="100"/>
              <w:jc w:val="both"/>
              <w:rPr>
                <w:rFonts w:ascii="Times New Roman" w:cs="Times New Roman"/>
                <w:color w:val="auto"/>
                <w:sz w:val="21"/>
                <w:szCs w:val="21"/>
              </w:rPr>
            </w:pPr>
            <w:r>
              <w:rPr>
                <w:rFonts w:hint="eastAsia" w:ascii="Times New Roman" w:cs="Times New Roman"/>
                <w:color w:val="auto"/>
                <w:sz w:val="21"/>
                <w:szCs w:val="21"/>
              </w:rPr>
              <w:t>评标价=投标函文字报价</w:t>
            </w:r>
          </w:p>
          <w:p>
            <w:pPr>
              <w:pStyle w:val="50"/>
              <w:spacing w:line="300" w:lineRule="exact"/>
              <w:ind w:firstLine="210" w:firstLineChars="100"/>
              <w:jc w:val="both"/>
              <w:rPr>
                <w:rFonts w:ascii="Times New Roman" w:cs="Times New Roman"/>
                <w:color w:val="auto"/>
                <w:sz w:val="21"/>
                <w:szCs w:val="21"/>
              </w:rPr>
            </w:pPr>
            <w:r>
              <w:rPr>
                <w:rFonts w:hint="eastAsia" w:ascii="Times New Roman" w:cs="Times New Roman"/>
                <w:color w:val="auto"/>
                <w:sz w:val="21"/>
                <w:szCs w:val="21"/>
              </w:rPr>
              <w:t>（</w:t>
            </w:r>
            <w:r>
              <w:rPr>
                <w:rFonts w:hint="eastAsia" w:cs="Times New Roman"/>
                <w:color w:val="auto"/>
                <w:sz w:val="21"/>
                <w:szCs w:val="21"/>
              </w:rPr>
              <w:t>2</w:t>
            </w:r>
            <w:r>
              <w:rPr>
                <w:rFonts w:hint="eastAsia" w:ascii="Times New Roman" w:cs="Times New Roman"/>
                <w:color w:val="auto"/>
                <w:sz w:val="21"/>
                <w:szCs w:val="21"/>
              </w:rPr>
              <w:t>）评标价平均值的计算：</w:t>
            </w:r>
          </w:p>
          <w:p>
            <w:pPr>
              <w:pStyle w:val="50"/>
              <w:spacing w:line="300" w:lineRule="exact"/>
              <w:ind w:firstLine="210" w:firstLineChars="100"/>
              <w:jc w:val="both"/>
              <w:rPr>
                <w:rFonts w:cs="黑体"/>
                <w:color w:val="auto"/>
                <w:sz w:val="21"/>
                <w:szCs w:val="21"/>
              </w:rPr>
            </w:pPr>
            <w:r>
              <w:rPr>
                <w:rFonts w:hint="eastAsia" w:cs="黑体"/>
                <w:color w:val="auto"/>
                <w:sz w:val="21"/>
                <w:szCs w:val="21"/>
              </w:rPr>
              <w:t>除第二章“投标人须知”第5.2.4项规定在开标现场被宣布为不进入评标基准价计算的投标报价之外，所有投标人的评标价去掉一个最高值和一个最低值后的算数平均值即为评标价平均值（如果参与评标价平均值计算的投标人少于5家时，则计算评标价平均值时不去掉最高值和最低值）。</w:t>
            </w:r>
          </w:p>
          <w:p>
            <w:pPr>
              <w:pStyle w:val="50"/>
              <w:spacing w:line="300" w:lineRule="exact"/>
              <w:ind w:firstLine="210" w:firstLineChars="100"/>
              <w:jc w:val="both"/>
              <w:rPr>
                <w:sz w:val="21"/>
                <w:szCs w:val="21"/>
              </w:rPr>
            </w:pPr>
            <w:r>
              <w:rPr>
                <w:rFonts w:hint="eastAsia" w:cs="黑体"/>
                <w:color w:val="auto"/>
                <w:sz w:val="21"/>
                <w:szCs w:val="21"/>
              </w:rPr>
              <w:t>（3）</w:t>
            </w:r>
            <w:r>
              <w:rPr>
                <w:rFonts w:hint="eastAsia"/>
                <w:sz w:val="21"/>
                <w:szCs w:val="21"/>
              </w:rPr>
              <w:t>评标基准价的确定：</w:t>
            </w:r>
          </w:p>
          <w:p>
            <w:pPr>
              <w:pStyle w:val="50"/>
              <w:spacing w:line="300" w:lineRule="exact"/>
              <w:ind w:firstLine="210" w:firstLineChars="100"/>
              <w:jc w:val="both"/>
              <w:rPr>
                <w:color w:val="auto"/>
                <w:sz w:val="21"/>
                <w:szCs w:val="21"/>
              </w:rPr>
            </w:pPr>
            <w:r>
              <w:rPr>
                <w:rFonts w:hint="eastAsia" w:ascii="Times New Roman" w:cs="Times New Roman"/>
                <w:color w:val="auto"/>
                <w:sz w:val="21"/>
                <w:szCs w:val="21"/>
              </w:rPr>
              <w:t>将评标价平均值直接作为评标基准价。</w:t>
            </w:r>
          </w:p>
          <w:p>
            <w:pPr>
              <w:pStyle w:val="50"/>
              <w:spacing w:line="300" w:lineRule="exact"/>
              <w:ind w:firstLine="210" w:firstLineChars="100"/>
              <w:jc w:val="both"/>
              <w:rPr>
                <w:sz w:val="21"/>
                <w:szCs w:val="21"/>
              </w:rPr>
            </w:pPr>
            <w:r>
              <w:rPr>
                <w:rFonts w:hint="eastAsia"/>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8" w:hRule="atLeast"/>
          <w:jc w:val="center"/>
        </w:trPr>
        <w:tc>
          <w:tcPr>
            <w:tcW w:w="1150" w:type="dxa"/>
            <w:vAlign w:val="center"/>
          </w:tcPr>
          <w:p>
            <w:pPr>
              <w:pStyle w:val="50"/>
              <w:jc w:val="center"/>
              <w:rPr>
                <w:rFonts w:cs="黑体"/>
                <w:color w:val="auto"/>
                <w:sz w:val="21"/>
                <w:szCs w:val="21"/>
              </w:rPr>
            </w:pPr>
            <w:r>
              <w:rPr>
                <w:rFonts w:hint="eastAsia" w:cs="黑体"/>
                <w:color w:val="auto"/>
                <w:sz w:val="21"/>
                <w:szCs w:val="21"/>
              </w:rPr>
              <w:t>2.2.3</w:t>
            </w:r>
          </w:p>
        </w:tc>
        <w:tc>
          <w:tcPr>
            <w:tcW w:w="1155" w:type="dxa"/>
            <w:vAlign w:val="center"/>
          </w:tcPr>
          <w:p>
            <w:pPr>
              <w:pStyle w:val="50"/>
              <w:jc w:val="center"/>
              <w:rPr>
                <w:sz w:val="21"/>
                <w:szCs w:val="21"/>
              </w:rPr>
            </w:pPr>
            <w:r>
              <w:rPr>
                <w:rFonts w:hint="eastAsia" w:ascii="Times New Roman" w:cs="Times New Roman"/>
                <w:color w:val="auto"/>
                <w:sz w:val="21"/>
                <w:szCs w:val="21"/>
              </w:rPr>
              <w:t>评标价的偏差率计算公式</w:t>
            </w:r>
          </w:p>
        </w:tc>
        <w:tc>
          <w:tcPr>
            <w:tcW w:w="6599" w:type="dxa"/>
            <w:vAlign w:val="center"/>
          </w:tcPr>
          <w:p>
            <w:pPr>
              <w:pStyle w:val="50"/>
              <w:spacing w:line="270" w:lineRule="exact"/>
              <w:ind w:firstLine="210" w:firstLineChars="100"/>
              <w:jc w:val="both"/>
              <w:rPr>
                <w:sz w:val="21"/>
                <w:szCs w:val="21"/>
              </w:rPr>
            </w:pPr>
            <w:r>
              <w:rPr>
                <w:rFonts w:hint="eastAsia"/>
                <w:sz w:val="21"/>
                <w:szCs w:val="21"/>
              </w:rPr>
              <w:t>偏差率</w:t>
            </w:r>
            <w:r>
              <w:rPr>
                <w:sz w:val="21"/>
                <w:szCs w:val="21"/>
              </w:rPr>
              <w:t>=100</w:t>
            </w:r>
            <w:r>
              <w:rPr>
                <w:rFonts w:hint="eastAsia"/>
                <w:sz w:val="21"/>
                <w:szCs w:val="21"/>
              </w:rPr>
              <w:t>％×</w:t>
            </w:r>
            <w:r>
              <w:rPr>
                <w:sz w:val="21"/>
                <w:szCs w:val="21"/>
              </w:rPr>
              <w:t>(</w:t>
            </w:r>
            <w:r>
              <w:rPr>
                <w:rFonts w:hint="eastAsia"/>
                <w:sz w:val="21"/>
                <w:szCs w:val="21"/>
              </w:rPr>
              <w:t>投标人评标价－评标基准价</w:t>
            </w:r>
            <w:r>
              <w:rPr>
                <w:sz w:val="21"/>
                <w:szCs w:val="21"/>
              </w:rPr>
              <w:t>)</w:t>
            </w:r>
            <w:r>
              <w:rPr>
                <w:rFonts w:hint="eastAsia"/>
                <w:sz w:val="21"/>
                <w:szCs w:val="21"/>
              </w:rPr>
              <w:t>／评标基准价</w:t>
            </w:r>
          </w:p>
          <w:p>
            <w:pPr>
              <w:pStyle w:val="50"/>
              <w:spacing w:line="270" w:lineRule="exact"/>
              <w:ind w:firstLine="210" w:firstLineChars="100"/>
              <w:jc w:val="both"/>
              <w:rPr>
                <w:sz w:val="21"/>
                <w:szCs w:val="21"/>
              </w:rPr>
            </w:pPr>
            <w:r>
              <w:rPr>
                <w:rFonts w:hint="eastAsia"/>
                <w:sz w:val="21"/>
                <w:szCs w:val="21"/>
              </w:rPr>
              <w:t>偏差率保留</w:t>
            </w:r>
            <w:r>
              <w:rPr>
                <w:rFonts w:hint="eastAsia"/>
                <w:sz w:val="21"/>
                <w:szCs w:val="21"/>
                <w:u w:val="single"/>
              </w:rPr>
              <w:t xml:space="preserve"> 2 </w:t>
            </w:r>
            <w:r>
              <w:rPr>
                <w:rFonts w:hint="eastAsia"/>
                <w:sz w:val="21"/>
                <w:szCs w:val="21"/>
              </w:rPr>
              <w:t>位小数</w:t>
            </w:r>
          </w:p>
        </w:tc>
      </w:tr>
    </w:tbl>
    <w:p>
      <w:pPr>
        <w:spacing w:line="360" w:lineRule="auto"/>
        <w:ind w:firstLine="378" w:firstLineChars="210"/>
        <w:jc w:val="right"/>
        <w:rPr>
          <w:sz w:val="18"/>
          <w:szCs w:val="18"/>
        </w:rPr>
      </w:pPr>
      <w:r>
        <w:rPr>
          <w:sz w:val="18"/>
          <w:szCs w:val="18"/>
        </w:rPr>
        <w:t xml:space="preserve"> </w:t>
      </w:r>
      <w:r>
        <w:rPr>
          <w:sz w:val="18"/>
          <w:szCs w:val="18"/>
        </w:rPr>
        <w:br w:type="page"/>
      </w:r>
    </w:p>
    <w:p>
      <w:pPr>
        <w:spacing w:line="360" w:lineRule="auto"/>
        <w:ind w:firstLine="441" w:firstLineChars="210"/>
        <w:jc w:val="right"/>
        <w:rPr>
          <w:color w:val="000000"/>
          <w:szCs w:val="21"/>
        </w:rPr>
      </w:pPr>
      <w:r>
        <w:rPr>
          <w:color w:val="000000"/>
          <w:szCs w:val="21"/>
        </w:rPr>
        <w:t>续上表</w:t>
      </w:r>
    </w:p>
    <w:tbl>
      <w:tblPr>
        <w:tblStyle w:val="40"/>
        <w:tblW w:w="9626" w:type="dxa"/>
        <w:jc w:val="center"/>
        <w:tblInd w:w="0" w:type="dxa"/>
        <w:tblLayout w:type="fixed"/>
        <w:tblCellMar>
          <w:top w:w="0" w:type="dxa"/>
          <w:left w:w="0" w:type="dxa"/>
          <w:bottom w:w="0" w:type="dxa"/>
          <w:right w:w="0" w:type="dxa"/>
        </w:tblCellMar>
      </w:tblPr>
      <w:tblGrid>
        <w:gridCol w:w="998"/>
        <w:gridCol w:w="650"/>
        <w:gridCol w:w="588"/>
        <w:gridCol w:w="1200"/>
        <w:gridCol w:w="2137"/>
        <w:gridCol w:w="738"/>
        <w:gridCol w:w="3315"/>
      </w:tblGrid>
      <w:tr>
        <w:tblPrEx>
          <w:tblLayout w:type="fixed"/>
          <w:tblCellMar>
            <w:top w:w="0" w:type="dxa"/>
            <w:left w:w="0" w:type="dxa"/>
            <w:bottom w:w="0" w:type="dxa"/>
            <w:right w:w="0" w:type="dxa"/>
          </w:tblCellMar>
        </w:tblPrEx>
        <w:trPr>
          <w:trHeight w:val="590" w:hRule="atLeast"/>
          <w:jc w:val="center"/>
        </w:trPr>
        <w:tc>
          <w:tcPr>
            <w:tcW w:w="6311" w:type="dxa"/>
            <w:gridSpan w:val="6"/>
            <w:tcBorders>
              <w:top w:val="single" w:color="000000" w:sz="4" w:space="0"/>
              <w:left w:val="single" w:color="000000" w:sz="4" w:space="0"/>
              <w:bottom w:val="single" w:color="000000" w:sz="4" w:space="0"/>
              <w:right w:val="single" w:color="000000" w:sz="4" w:space="0"/>
            </w:tcBorders>
            <w:vAlign w:val="center"/>
          </w:tcPr>
          <w:p>
            <w:pPr>
              <w:pStyle w:val="61"/>
              <w:spacing w:before="78"/>
              <w:jc w:val="center"/>
              <w:rPr>
                <w:szCs w:val="21"/>
              </w:rPr>
            </w:pPr>
            <w:r>
              <w:rPr>
                <w:szCs w:val="21"/>
              </w:rPr>
              <w:t>评分因素与权重分值</w:t>
            </w:r>
          </w:p>
        </w:tc>
        <w:tc>
          <w:tcPr>
            <w:tcW w:w="3315" w:type="dxa"/>
            <w:vMerge w:val="restart"/>
            <w:tcBorders>
              <w:top w:val="single" w:color="000000" w:sz="4" w:space="0"/>
              <w:left w:val="single" w:color="000000" w:sz="4" w:space="0"/>
              <w:right w:val="single" w:color="000000" w:sz="4" w:space="0"/>
            </w:tcBorders>
            <w:vAlign w:val="center"/>
          </w:tcPr>
          <w:p>
            <w:pPr>
              <w:pStyle w:val="61"/>
              <w:tabs>
                <w:tab w:val="left" w:pos="1346"/>
              </w:tabs>
              <w:ind w:left="69" w:leftChars="33" w:right="141" w:rightChars="67" w:firstLine="222" w:firstLineChars="106"/>
              <w:jc w:val="center"/>
              <w:rPr>
                <w:szCs w:val="21"/>
              </w:rPr>
            </w:pPr>
            <w:r>
              <w:rPr>
                <w:szCs w:val="21"/>
              </w:rPr>
              <w:t>评分标准</w:t>
            </w:r>
          </w:p>
        </w:tc>
      </w:tr>
      <w:tr>
        <w:tblPrEx>
          <w:tblLayout w:type="fixed"/>
          <w:tblCellMar>
            <w:top w:w="0" w:type="dxa"/>
            <w:left w:w="0" w:type="dxa"/>
            <w:bottom w:w="0" w:type="dxa"/>
            <w:right w:w="0" w:type="dxa"/>
          </w:tblCellMar>
        </w:tblPrEx>
        <w:trPr>
          <w:trHeight w:val="590"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pPr>
              <w:pStyle w:val="61"/>
              <w:jc w:val="center"/>
              <w:rPr>
                <w:szCs w:val="21"/>
              </w:rPr>
            </w:pPr>
            <w:r>
              <w:rPr>
                <w:szCs w:val="21"/>
              </w:rPr>
              <w:t>条款号</w:t>
            </w:r>
          </w:p>
        </w:tc>
        <w:tc>
          <w:tcPr>
            <w:tcW w:w="1238" w:type="dxa"/>
            <w:gridSpan w:val="2"/>
            <w:tcBorders>
              <w:top w:val="single" w:color="000000" w:sz="4" w:space="0"/>
              <w:left w:val="single" w:color="000000" w:sz="4" w:space="0"/>
              <w:bottom w:val="single" w:color="000000" w:sz="4" w:space="0"/>
              <w:right w:val="single" w:color="000000" w:sz="4" w:space="0"/>
            </w:tcBorders>
            <w:vAlign w:val="center"/>
          </w:tcPr>
          <w:p>
            <w:pPr>
              <w:pStyle w:val="61"/>
              <w:ind w:left="15" w:hanging="14" w:hangingChars="7"/>
              <w:jc w:val="center"/>
              <w:rPr>
                <w:szCs w:val="21"/>
              </w:rPr>
            </w:pPr>
            <w:r>
              <w:rPr>
                <w:szCs w:val="21"/>
              </w:rPr>
              <w:t>评分因素</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61"/>
              <w:spacing w:before="27"/>
              <w:ind w:left="57" w:right="48"/>
              <w:jc w:val="center"/>
              <w:rPr>
                <w:szCs w:val="21"/>
              </w:rPr>
            </w:pPr>
            <w:r>
              <w:rPr>
                <w:szCs w:val="21"/>
              </w:rPr>
              <w:t>评分因素 权重分值</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61"/>
              <w:ind w:left="2"/>
              <w:jc w:val="center"/>
              <w:rPr>
                <w:szCs w:val="21"/>
              </w:rPr>
            </w:pPr>
            <w:r>
              <w:rPr>
                <w:szCs w:val="21"/>
              </w:rPr>
              <w:t>各评分因素细分项</w:t>
            </w:r>
          </w:p>
        </w:tc>
        <w:tc>
          <w:tcPr>
            <w:tcW w:w="738" w:type="dxa"/>
            <w:tcBorders>
              <w:top w:val="single" w:color="000000" w:sz="4" w:space="0"/>
              <w:left w:val="single" w:color="000000" w:sz="4" w:space="0"/>
              <w:bottom w:val="single" w:color="000000" w:sz="4" w:space="0"/>
              <w:right w:val="single" w:color="000000" w:sz="4" w:space="0"/>
            </w:tcBorders>
            <w:vAlign w:val="center"/>
          </w:tcPr>
          <w:p>
            <w:pPr>
              <w:pStyle w:val="61"/>
              <w:ind w:right="84"/>
              <w:jc w:val="center"/>
              <w:rPr>
                <w:szCs w:val="21"/>
              </w:rPr>
            </w:pPr>
            <w:r>
              <w:rPr>
                <w:szCs w:val="21"/>
              </w:rPr>
              <w:t>分值</w:t>
            </w:r>
          </w:p>
        </w:tc>
        <w:tc>
          <w:tcPr>
            <w:tcW w:w="3315" w:type="dxa"/>
            <w:vMerge w:val="continue"/>
            <w:tcBorders>
              <w:left w:val="single" w:color="000000" w:sz="4" w:space="0"/>
              <w:bottom w:val="single" w:color="000000" w:sz="4" w:space="0"/>
              <w:right w:val="single" w:color="000000" w:sz="4" w:space="0"/>
            </w:tcBorders>
          </w:tcPr>
          <w:p>
            <w:pPr>
              <w:rPr>
                <w:szCs w:val="21"/>
              </w:rPr>
            </w:pPr>
          </w:p>
        </w:tc>
      </w:tr>
      <w:tr>
        <w:tblPrEx>
          <w:tblLayout w:type="fixed"/>
          <w:tblCellMar>
            <w:top w:w="0" w:type="dxa"/>
            <w:left w:w="0" w:type="dxa"/>
            <w:bottom w:w="0" w:type="dxa"/>
            <w:right w:w="0" w:type="dxa"/>
          </w:tblCellMar>
        </w:tblPrEx>
        <w:trPr>
          <w:trHeight w:val="590" w:hRule="atLeast"/>
          <w:jc w:val="center"/>
        </w:trPr>
        <w:tc>
          <w:tcPr>
            <w:tcW w:w="998" w:type="dxa"/>
            <w:vMerge w:val="restart"/>
            <w:tcBorders>
              <w:left w:val="single" w:color="000000" w:sz="4" w:space="0"/>
              <w:right w:val="single" w:color="000000" w:sz="4" w:space="0"/>
            </w:tcBorders>
            <w:vAlign w:val="center"/>
          </w:tcPr>
          <w:p>
            <w:pPr>
              <w:pStyle w:val="61"/>
              <w:jc w:val="center"/>
              <w:rPr>
                <w:szCs w:val="21"/>
              </w:rPr>
            </w:pPr>
            <w:r>
              <w:rPr>
                <w:rFonts w:eastAsia="Times New Roman"/>
                <w:szCs w:val="21"/>
              </w:rPr>
              <w:t>2.2</w:t>
            </w:r>
            <w:r>
              <w:rPr>
                <w:szCs w:val="21"/>
              </w:rPr>
              <w:t>.4(1)</w:t>
            </w:r>
          </w:p>
        </w:tc>
        <w:tc>
          <w:tcPr>
            <w:tcW w:w="1238" w:type="dxa"/>
            <w:gridSpan w:val="2"/>
            <w:vMerge w:val="restart"/>
            <w:tcBorders>
              <w:left w:val="single" w:color="000000" w:sz="4" w:space="0"/>
              <w:right w:val="single" w:color="000000" w:sz="4" w:space="0"/>
            </w:tcBorders>
            <w:vAlign w:val="center"/>
          </w:tcPr>
          <w:p>
            <w:pPr>
              <w:pStyle w:val="61"/>
              <w:ind w:left="139"/>
              <w:jc w:val="center"/>
              <w:rPr>
                <w:szCs w:val="21"/>
              </w:rPr>
            </w:pPr>
            <w:r>
              <w:rPr>
                <w:szCs w:val="21"/>
              </w:rPr>
              <w:t>技术建议书</w:t>
            </w:r>
          </w:p>
        </w:tc>
        <w:tc>
          <w:tcPr>
            <w:tcW w:w="1200" w:type="dxa"/>
            <w:vMerge w:val="restart"/>
            <w:tcBorders>
              <w:left w:val="single" w:color="000000" w:sz="4" w:space="0"/>
              <w:right w:val="single" w:color="000000" w:sz="4" w:space="0"/>
            </w:tcBorders>
            <w:vAlign w:val="center"/>
          </w:tcPr>
          <w:p>
            <w:pPr>
              <w:pStyle w:val="61"/>
              <w:wordWrap w:val="0"/>
              <w:jc w:val="center"/>
              <w:rPr>
                <w:szCs w:val="21"/>
              </w:rPr>
            </w:pPr>
            <w:r>
              <w:rPr>
                <w:szCs w:val="21"/>
                <w:u w:val="single"/>
              </w:rPr>
              <w:t>35</w:t>
            </w:r>
            <w:r>
              <w:rPr>
                <w:szCs w:val="21"/>
              </w:rPr>
              <w:t>分</w:t>
            </w:r>
          </w:p>
        </w:tc>
        <w:tc>
          <w:tcPr>
            <w:tcW w:w="2137" w:type="dxa"/>
            <w:tcBorders>
              <w:top w:val="single" w:color="000000" w:sz="4" w:space="0"/>
              <w:left w:val="single" w:color="000000" w:sz="4" w:space="0"/>
              <w:bottom w:val="single" w:color="000000" w:sz="4" w:space="0"/>
              <w:right w:val="single" w:color="000000" w:sz="4" w:space="0"/>
            </w:tcBorders>
            <w:vAlign w:val="center"/>
          </w:tcPr>
          <w:p>
            <w:pPr>
              <w:spacing w:line="380" w:lineRule="atLeast"/>
              <w:jc w:val="center"/>
              <w:rPr>
                <w:szCs w:val="21"/>
              </w:rPr>
            </w:pPr>
            <w:r>
              <w:rPr>
                <w:szCs w:val="21"/>
              </w:rPr>
              <w:t>监理大纲</w:t>
            </w:r>
          </w:p>
          <w:p>
            <w:pPr>
              <w:spacing w:line="380" w:lineRule="atLeast"/>
              <w:jc w:val="center"/>
              <w:rPr>
                <w:szCs w:val="21"/>
              </w:rPr>
            </w:pPr>
            <w:r>
              <w:rPr>
                <w:szCs w:val="21"/>
              </w:rPr>
              <w:t>（或监理方案）和措施</w:t>
            </w:r>
          </w:p>
        </w:tc>
        <w:tc>
          <w:tcPr>
            <w:tcW w:w="738" w:type="dxa"/>
            <w:tcBorders>
              <w:top w:val="single" w:color="000000" w:sz="4" w:space="0"/>
              <w:left w:val="single" w:color="000000" w:sz="4" w:space="0"/>
              <w:bottom w:val="single" w:color="000000" w:sz="4" w:space="0"/>
              <w:right w:val="single" w:color="000000" w:sz="4" w:space="0"/>
            </w:tcBorders>
            <w:vAlign w:val="center"/>
          </w:tcPr>
          <w:p>
            <w:pPr>
              <w:spacing w:line="380" w:lineRule="atLeast"/>
              <w:jc w:val="center"/>
              <w:rPr>
                <w:szCs w:val="21"/>
                <w:u w:val="single"/>
              </w:rPr>
            </w:pPr>
            <w:r>
              <w:rPr>
                <w:szCs w:val="21"/>
                <w:u w:val="single"/>
              </w:rPr>
              <w:t>20</w:t>
            </w:r>
            <w:r>
              <w:rPr>
                <w:szCs w:val="21"/>
              </w:rPr>
              <w:t>分</w:t>
            </w:r>
          </w:p>
        </w:tc>
        <w:tc>
          <w:tcPr>
            <w:tcW w:w="3315" w:type="dxa"/>
            <w:tcBorders>
              <w:left w:val="single" w:color="000000" w:sz="4" w:space="0"/>
              <w:bottom w:val="single" w:color="000000" w:sz="4" w:space="0"/>
              <w:right w:val="single" w:color="000000" w:sz="4" w:space="0"/>
            </w:tcBorders>
            <w:vAlign w:val="center"/>
          </w:tcPr>
          <w:p>
            <w:pPr>
              <w:pStyle w:val="61"/>
              <w:spacing w:line="280" w:lineRule="exact"/>
              <w:ind w:left="100" w:right="147" w:firstLine="9"/>
              <w:rPr>
                <w:szCs w:val="21"/>
              </w:rPr>
            </w:pPr>
            <w:r>
              <w:rPr>
                <w:rFonts w:hint="eastAsia"/>
                <w:szCs w:val="21"/>
              </w:rPr>
              <w:t>综合评比各投标人监理大纲（或监理方案合措施），切合项目的得1</w:t>
            </w:r>
            <w:r>
              <w:rPr>
                <w:szCs w:val="21"/>
              </w:rPr>
              <w:t>6</w:t>
            </w:r>
            <w:r>
              <w:rPr>
                <w:rFonts w:hint="eastAsia"/>
                <w:szCs w:val="21"/>
              </w:rPr>
              <w:t>~</w:t>
            </w:r>
            <w:r>
              <w:rPr>
                <w:szCs w:val="21"/>
              </w:rPr>
              <w:t>20</w:t>
            </w:r>
            <w:r>
              <w:rPr>
                <w:rFonts w:hint="eastAsia"/>
                <w:szCs w:val="21"/>
              </w:rPr>
              <w:t>分，较切合的得1</w:t>
            </w:r>
            <w:r>
              <w:rPr>
                <w:szCs w:val="21"/>
              </w:rPr>
              <w:t>2</w:t>
            </w:r>
            <w:r>
              <w:rPr>
                <w:rFonts w:hint="eastAsia"/>
                <w:szCs w:val="21"/>
              </w:rPr>
              <w:t>~</w:t>
            </w:r>
            <w:r>
              <w:rPr>
                <w:szCs w:val="21"/>
              </w:rPr>
              <w:t>16</w:t>
            </w:r>
            <w:r>
              <w:rPr>
                <w:rFonts w:hint="eastAsia"/>
                <w:szCs w:val="21"/>
              </w:rPr>
              <w:t>分，一般的得1</w:t>
            </w:r>
            <w:r>
              <w:rPr>
                <w:szCs w:val="21"/>
              </w:rPr>
              <w:t>2</w:t>
            </w:r>
            <w:r>
              <w:rPr>
                <w:rFonts w:hint="eastAsia"/>
                <w:szCs w:val="21"/>
              </w:rPr>
              <w:t>分</w:t>
            </w:r>
          </w:p>
        </w:tc>
      </w:tr>
      <w:tr>
        <w:tblPrEx>
          <w:tblLayout w:type="fixed"/>
          <w:tblCellMar>
            <w:top w:w="0" w:type="dxa"/>
            <w:left w:w="0" w:type="dxa"/>
            <w:bottom w:w="0" w:type="dxa"/>
            <w:right w:w="0" w:type="dxa"/>
          </w:tblCellMar>
        </w:tblPrEx>
        <w:trPr>
          <w:trHeight w:val="1020" w:hRule="atLeast"/>
          <w:jc w:val="center"/>
        </w:trPr>
        <w:tc>
          <w:tcPr>
            <w:tcW w:w="998" w:type="dxa"/>
            <w:vMerge w:val="continue"/>
            <w:tcBorders>
              <w:left w:val="single" w:color="000000" w:sz="4" w:space="0"/>
              <w:right w:val="single" w:color="000000" w:sz="4" w:space="0"/>
            </w:tcBorders>
            <w:vAlign w:val="center"/>
          </w:tcPr>
          <w:p>
            <w:pPr>
              <w:jc w:val="center"/>
              <w:rPr>
                <w:szCs w:val="21"/>
              </w:rPr>
            </w:pPr>
          </w:p>
        </w:tc>
        <w:tc>
          <w:tcPr>
            <w:tcW w:w="1238" w:type="dxa"/>
            <w:gridSpan w:val="2"/>
            <w:vMerge w:val="continue"/>
            <w:tcBorders>
              <w:left w:val="single" w:color="000000" w:sz="4" w:space="0"/>
              <w:right w:val="single" w:color="000000" w:sz="4" w:space="0"/>
            </w:tcBorders>
            <w:vAlign w:val="center"/>
          </w:tcPr>
          <w:p>
            <w:pPr>
              <w:jc w:val="center"/>
              <w:rPr>
                <w:szCs w:val="21"/>
              </w:rPr>
            </w:pPr>
          </w:p>
        </w:tc>
        <w:tc>
          <w:tcPr>
            <w:tcW w:w="1200" w:type="dxa"/>
            <w:vMerge w:val="continue"/>
            <w:tcBorders>
              <w:left w:val="single" w:color="000000" w:sz="4" w:space="0"/>
              <w:right w:val="single" w:color="000000" w:sz="4" w:space="0"/>
            </w:tcBorders>
            <w:vAlign w:val="center"/>
          </w:tcPr>
          <w:p>
            <w:pPr>
              <w:jc w:val="center"/>
              <w:rPr>
                <w:szCs w:val="21"/>
              </w:rPr>
            </w:pPr>
          </w:p>
        </w:tc>
        <w:tc>
          <w:tcPr>
            <w:tcW w:w="2137" w:type="dxa"/>
            <w:tcBorders>
              <w:top w:val="single" w:color="000000" w:sz="4" w:space="0"/>
              <w:left w:val="single" w:color="000000" w:sz="4" w:space="0"/>
              <w:bottom w:val="single" w:color="000000" w:sz="4" w:space="0"/>
              <w:right w:val="single" w:color="000000" w:sz="4" w:space="0"/>
            </w:tcBorders>
            <w:vAlign w:val="center"/>
          </w:tcPr>
          <w:p>
            <w:pPr>
              <w:spacing w:line="380" w:lineRule="atLeast"/>
              <w:jc w:val="center"/>
              <w:rPr>
                <w:szCs w:val="21"/>
              </w:rPr>
            </w:pPr>
            <w:r>
              <w:rPr>
                <w:szCs w:val="21"/>
              </w:rPr>
              <w:t>本工程监理工作的重点与难点分析</w:t>
            </w:r>
          </w:p>
        </w:tc>
        <w:tc>
          <w:tcPr>
            <w:tcW w:w="738" w:type="dxa"/>
            <w:tcBorders>
              <w:top w:val="single" w:color="000000" w:sz="4" w:space="0"/>
              <w:left w:val="single" w:color="000000" w:sz="4" w:space="0"/>
              <w:bottom w:val="single" w:color="000000" w:sz="4" w:space="0"/>
              <w:right w:val="single" w:color="000000" w:sz="4" w:space="0"/>
            </w:tcBorders>
            <w:vAlign w:val="center"/>
          </w:tcPr>
          <w:p>
            <w:pPr>
              <w:spacing w:line="380" w:lineRule="atLeast"/>
              <w:jc w:val="center"/>
              <w:rPr>
                <w:szCs w:val="21"/>
                <w:u w:val="single"/>
              </w:rPr>
            </w:pPr>
            <w:r>
              <w:rPr>
                <w:szCs w:val="21"/>
                <w:u w:val="single"/>
              </w:rPr>
              <w:t>10</w:t>
            </w:r>
            <w:r>
              <w:rPr>
                <w:szCs w:val="21"/>
              </w:rPr>
              <w:t>分</w:t>
            </w:r>
          </w:p>
        </w:tc>
        <w:tc>
          <w:tcPr>
            <w:tcW w:w="3315" w:type="dxa"/>
            <w:tcBorders>
              <w:left w:val="single" w:color="000000" w:sz="4" w:space="0"/>
              <w:bottom w:val="single" w:color="000000" w:sz="4" w:space="0"/>
              <w:right w:val="single" w:color="000000" w:sz="4" w:space="0"/>
            </w:tcBorders>
            <w:vAlign w:val="center"/>
          </w:tcPr>
          <w:p>
            <w:pPr>
              <w:pStyle w:val="61"/>
              <w:spacing w:line="280" w:lineRule="exact"/>
              <w:ind w:left="100" w:right="147" w:firstLine="9"/>
              <w:rPr>
                <w:szCs w:val="21"/>
              </w:rPr>
            </w:pPr>
            <w:r>
              <w:rPr>
                <w:rFonts w:hint="eastAsia"/>
                <w:szCs w:val="21"/>
              </w:rPr>
              <w:t>综合评比各投标人对本工程监理工作的重点与难点分析，切合项目的得</w:t>
            </w:r>
            <w:r>
              <w:rPr>
                <w:szCs w:val="21"/>
              </w:rPr>
              <w:t>8</w:t>
            </w:r>
            <w:r>
              <w:rPr>
                <w:rFonts w:hint="eastAsia"/>
                <w:szCs w:val="21"/>
              </w:rPr>
              <w:t>~</w:t>
            </w:r>
            <w:r>
              <w:rPr>
                <w:szCs w:val="21"/>
              </w:rPr>
              <w:t>10</w:t>
            </w:r>
            <w:r>
              <w:rPr>
                <w:rFonts w:hint="eastAsia"/>
                <w:szCs w:val="21"/>
              </w:rPr>
              <w:t>分，较切合的得</w:t>
            </w:r>
            <w:r>
              <w:rPr>
                <w:szCs w:val="21"/>
              </w:rPr>
              <w:t>6</w:t>
            </w:r>
            <w:r>
              <w:rPr>
                <w:rFonts w:hint="eastAsia"/>
                <w:szCs w:val="21"/>
              </w:rPr>
              <w:t>~</w:t>
            </w:r>
            <w:r>
              <w:rPr>
                <w:szCs w:val="21"/>
              </w:rPr>
              <w:t>8</w:t>
            </w:r>
            <w:r>
              <w:rPr>
                <w:rFonts w:hint="eastAsia"/>
                <w:szCs w:val="21"/>
              </w:rPr>
              <w:t>分，一般的得</w:t>
            </w:r>
            <w:r>
              <w:rPr>
                <w:szCs w:val="21"/>
              </w:rPr>
              <w:t>6</w:t>
            </w:r>
            <w:r>
              <w:rPr>
                <w:rFonts w:hint="eastAsia"/>
                <w:szCs w:val="21"/>
              </w:rPr>
              <w:t>分</w:t>
            </w:r>
          </w:p>
        </w:tc>
      </w:tr>
      <w:tr>
        <w:tblPrEx>
          <w:tblLayout w:type="fixed"/>
          <w:tblCellMar>
            <w:top w:w="0" w:type="dxa"/>
            <w:left w:w="0" w:type="dxa"/>
            <w:bottom w:w="0" w:type="dxa"/>
            <w:right w:w="0" w:type="dxa"/>
          </w:tblCellMar>
        </w:tblPrEx>
        <w:trPr>
          <w:trHeight w:val="590" w:hRule="atLeast"/>
          <w:jc w:val="center"/>
        </w:trPr>
        <w:tc>
          <w:tcPr>
            <w:tcW w:w="998" w:type="dxa"/>
            <w:vMerge w:val="continue"/>
            <w:tcBorders>
              <w:left w:val="single" w:color="000000" w:sz="4" w:space="0"/>
              <w:right w:val="single" w:color="000000" w:sz="4" w:space="0"/>
            </w:tcBorders>
            <w:vAlign w:val="center"/>
          </w:tcPr>
          <w:p>
            <w:pPr>
              <w:jc w:val="center"/>
              <w:rPr>
                <w:szCs w:val="21"/>
              </w:rPr>
            </w:pPr>
          </w:p>
        </w:tc>
        <w:tc>
          <w:tcPr>
            <w:tcW w:w="1238" w:type="dxa"/>
            <w:gridSpan w:val="2"/>
            <w:vMerge w:val="continue"/>
            <w:tcBorders>
              <w:left w:val="single" w:color="000000" w:sz="4" w:space="0"/>
              <w:right w:val="single" w:color="000000" w:sz="4" w:space="0"/>
            </w:tcBorders>
            <w:vAlign w:val="center"/>
          </w:tcPr>
          <w:p>
            <w:pPr>
              <w:jc w:val="center"/>
              <w:rPr>
                <w:szCs w:val="21"/>
              </w:rPr>
            </w:pPr>
          </w:p>
        </w:tc>
        <w:tc>
          <w:tcPr>
            <w:tcW w:w="1200" w:type="dxa"/>
            <w:vMerge w:val="continue"/>
            <w:tcBorders>
              <w:left w:val="single" w:color="000000" w:sz="4" w:space="0"/>
              <w:right w:val="single" w:color="000000" w:sz="4" w:space="0"/>
            </w:tcBorders>
            <w:vAlign w:val="center"/>
          </w:tcPr>
          <w:p>
            <w:pPr>
              <w:jc w:val="center"/>
              <w:rPr>
                <w:szCs w:val="21"/>
              </w:rPr>
            </w:pPr>
          </w:p>
        </w:tc>
        <w:tc>
          <w:tcPr>
            <w:tcW w:w="2137" w:type="dxa"/>
            <w:tcBorders>
              <w:top w:val="single" w:color="000000" w:sz="4" w:space="0"/>
              <w:left w:val="single" w:color="000000" w:sz="4" w:space="0"/>
              <w:bottom w:val="single" w:color="000000" w:sz="4" w:space="0"/>
              <w:right w:val="single" w:color="000000" w:sz="4" w:space="0"/>
            </w:tcBorders>
            <w:vAlign w:val="center"/>
          </w:tcPr>
          <w:p>
            <w:pPr>
              <w:spacing w:line="380" w:lineRule="atLeast"/>
              <w:jc w:val="center"/>
              <w:rPr>
                <w:szCs w:val="21"/>
              </w:rPr>
            </w:pPr>
            <w:r>
              <w:rPr>
                <w:szCs w:val="21"/>
              </w:rPr>
              <w:t>对本工程的建议</w:t>
            </w:r>
          </w:p>
        </w:tc>
        <w:tc>
          <w:tcPr>
            <w:tcW w:w="738" w:type="dxa"/>
            <w:tcBorders>
              <w:top w:val="single" w:color="000000" w:sz="4" w:space="0"/>
              <w:left w:val="single" w:color="000000" w:sz="4" w:space="0"/>
              <w:bottom w:val="single" w:color="000000" w:sz="4" w:space="0"/>
              <w:right w:val="single" w:color="000000" w:sz="4" w:space="0"/>
            </w:tcBorders>
            <w:vAlign w:val="center"/>
          </w:tcPr>
          <w:p>
            <w:pPr>
              <w:spacing w:line="380" w:lineRule="atLeast"/>
              <w:jc w:val="center"/>
              <w:rPr>
                <w:szCs w:val="21"/>
                <w:u w:val="single"/>
              </w:rPr>
            </w:pPr>
            <w:r>
              <w:rPr>
                <w:szCs w:val="21"/>
                <w:u w:val="single"/>
              </w:rPr>
              <w:t>5</w:t>
            </w:r>
            <w:r>
              <w:rPr>
                <w:szCs w:val="21"/>
              </w:rPr>
              <w:t>分</w:t>
            </w:r>
          </w:p>
        </w:tc>
        <w:tc>
          <w:tcPr>
            <w:tcW w:w="3315" w:type="dxa"/>
            <w:tcBorders>
              <w:left w:val="single" w:color="000000" w:sz="4" w:space="0"/>
              <w:bottom w:val="single" w:color="000000" w:sz="4" w:space="0"/>
              <w:right w:val="single" w:color="000000" w:sz="4" w:space="0"/>
            </w:tcBorders>
            <w:vAlign w:val="center"/>
          </w:tcPr>
          <w:p>
            <w:pPr>
              <w:pStyle w:val="61"/>
              <w:spacing w:line="280" w:lineRule="exact"/>
              <w:ind w:left="100" w:right="147" w:firstLine="9"/>
              <w:rPr>
                <w:szCs w:val="21"/>
              </w:rPr>
            </w:pPr>
            <w:r>
              <w:rPr>
                <w:rFonts w:hint="eastAsia"/>
                <w:szCs w:val="21"/>
              </w:rPr>
              <w:t>综合评比各投标人对本工程的建议，切合项目的得</w:t>
            </w:r>
            <w:r>
              <w:rPr>
                <w:szCs w:val="21"/>
              </w:rPr>
              <w:t>4</w:t>
            </w:r>
            <w:r>
              <w:rPr>
                <w:rFonts w:hint="eastAsia"/>
                <w:szCs w:val="21"/>
              </w:rPr>
              <w:t>~</w:t>
            </w:r>
            <w:r>
              <w:rPr>
                <w:szCs w:val="21"/>
              </w:rPr>
              <w:t>5</w:t>
            </w:r>
            <w:r>
              <w:rPr>
                <w:rFonts w:hint="eastAsia"/>
                <w:szCs w:val="21"/>
              </w:rPr>
              <w:t>分，较切合的得</w:t>
            </w:r>
            <w:r>
              <w:rPr>
                <w:szCs w:val="21"/>
              </w:rPr>
              <w:t>3</w:t>
            </w:r>
            <w:r>
              <w:rPr>
                <w:rFonts w:hint="eastAsia"/>
                <w:szCs w:val="21"/>
              </w:rPr>
              <w:t>~</w:t>
            </w:r>
            <w:r>
              <w:rPr>
                <w:szCs w:val="21"/>
              </w:rPr>
              <w:t>4</w:t>
            </w:r>
            <w:r>
              <w:rPr>
                <w:rFonts w:hint="eastAsia"/>
                <w:szCs w:val="21"/>
              </w:rPr>
              <w:t>分，一般的得</w:t>
            </w:r>
            <w:r>
              <w:rPr>
                <w:szCs w:val="21"/>
              </w:rPr>
              <w:t>3</w:t>
            </w:r>
            <w:r>
              <w:rPr>
                <w:rFonts w:hint="eastAsia"/>
                <w:szCs w:val="21"/>
              </w:rPr>
              <w:t>分</w:t>
            </w:r>
          </w:p>
        </w:tc>
      </w:tr>
      <w:tr>
        <w:tblPrEx>
          <w:tblLayout w:type="fixed"/>
          <w:tblCellMar>
            <w:top w:w="0" w:type="dxa"/>
            <w:left w:w="0" w:type="dxa"/>
            <w:bottom w:w="0" w:type="dxa"/>
            <w:right w:w="0" w:type="dxa"/>
          </w:tblCellMar>
        </w:tblPrEx>
        <w:trPr>
          <w:trHeight w:val="911" w:hRule="atLeast"/>
          <w:jc w:val="center"/>
        </w:trPr>
        <w:tc>
          <w:tcPr>
            <w:tcW w:w="998" w:type="dxa"/>
            <w:vMerge w:val="restart"/>
            <w:tcBorders>
              <w:top w:val="single" w:color="000000" w:sz="4" w:space="0"/>
              <w:left w:val="single" w:color="000000" w:sz="4" w:space="0"/>
              <w:right w:val="single" w:color="000000" w:sz="4" w:space="0"/>
            </w:tcBorders>
            <w:vAlign w:val="center"/>
          </w:tcPr>
          <w:p>
            <w:pPr>
              <w:pStyle w:val="61"/>
              <w:ind w:left="5"/>
              <w:jc w:val="center"/>
              <w:rPr>
                <w:rFonts w:eastAsia="Times New Roman"/>
                <w:szCs w:val="21"/>
              </w:rPr>
            </w:pPr>
            <w:r>
              <w:rPr>
                <w:szCs w:val="21"/>
              </w:rPr>
              <w:t>2.2.4(2)</w:t>
            </w:r>
          </w:p>
        </w:tc>
        <w:tc>
          <w:tcPr>
            <w:tcW w:w="1238" w:type="dxa"/>
            <w:gridSpan w:val="2"/>
            <w:vMerge w:val="restart"/>
            <w:tcBorders>
              <w:top w:val="single" w:color="000000" w:sz="4" w:space="0"/>
              <w:left w:val="single" w:color="000000" w:sz="4" w:space="0"/>
              <w:right w:val="single" w:color="000000" w:sz="4" w:space="0"/>
            </w:tcBorders>
            <w:vAlign w:val="center"/>
          </w:tcPr>
          <w:p>
            <w:pPr>
              <w:pStyle w:val="61"/>
              <w:jc w:val="center"/>
              <w:rPr>
                <w:szCs w:val="21"/>
              </w:rPr>
            </w:pPr>
            <w:r>
              <w:rPr>
                <w:szCs w:val="21"/>
              </w:rPr>
              <w:t>主要人员</w:t>
            </w:r>
          </w:p>
        </w:tc>
        <w:tc>
          <w:tcPr>
            <w:tcW w:w="1200" w:type="dxa"/>
            <w:vMerge w:val="restart"/>
            <w:tcBorders>
              <w:top w:val="single" w:color="000000" w:sz="4" w:space="0"/>
              <w:left w:val="single" w:color="000000" w:sz="4" w:space="0"/>
              <w:right w:val="single" w:color="000000" w:sz="4" w:space="0"/>
            </w:tcBorders>
            <w:vAlign w:val="center"/>
          </w:tcPr>
          <w:p>
            <w:pPr>
              <w:pStyle w:val="61"/>
              <w:ind w:left="94"/>
              <w:jc w:val="center"/>
              <w:rPr>
                <w:szCs w:val="21"/>
              </w:rPr>
            </w:pPr>
            <w:r>
              <w:rPr>
                <w:szCs w:val="21"/>
                <w:u w:val="single"/>
              </w:rPr>
              <w:t>25</w:t>
            </w:r>
            <w:r>
              <w:rPr>
                <w:szCs w:val="21"/>
              </w:rPr>
              <w:t>分</w:t>
            </w:r>
          </w:p>
        </w:tc>
        <w:tc>
          <w:tcPr>
            <w:tcW w:w="2137" w:type="dxa"/>
            <w:vMerge w:val="restart"/>
            <w:tcBorders>
              <w:top w:val="single" w:color="000000" w:sz="4" w:space="0"/>
              <w:left w:val="single" w:color="000000" w:sz="4" w:space="0"/>
              <w:right w:val="single" w:color="000000" w:sz="4" w:space="0"/>
            </w:tcBorders>
            <w:vAlign w:val="center"/>
          </w:tcPr>
          <w:p>
            <w:pPr>
              <w:pStyle w:val="61"/>
              <w:ind w:right="80" w:rightChars="38"/>
              <w:jc w:val="center"/>
              <w:rPr>
                <w:szCs w:val="21"/>
              </w:rPr>
            </w:pPr>
            <w:r>
              <w:rPr>
                <w:szCs w:val="21"/>
              </w:rPr>
              <w:t>总监理工程师资格与业绩</w:t>
            </w:r>
          </w:p>
        </w:tc>
        <w:tc>
          <w:tcPr>
            <w:tcW w:w="738" w:type="dxa"/>
            <w:vMerge w:val="restart"/>
            <w:tcBorders>
              <w:top w:val="single" w:color="000000" w:sz="4" w:space="0"/>
              <w:left w:val="single" w:color="000000" w:sz="4" w:space="0"/>
              <w:right w:val="single" w:color="000000" w:sz="4" w:space="0"/>
            </w:tcBorders>
            <w:vAlign w:val="center"/>
          </w:tcPr>
          <w:p>
            <w:pPr>
              <w:pStyle w:val="61"/>
              <w:ind w:right="86"/>
              <w:jc w:val="center"/>
              <w:rPr>
                <w:szCs w:val="21"/>
              </w:rPr>
            </w:pPr>
            <w:r>
              <w:rPr>
                <w:szCs w:val="21"/>
                <w:u w:val="single"/>
              </w:rPr>
              <w:t>25</w:t>
            </w:r>
            <w:r>
              <w:rPr>
                <w:szCs w:val="21"/>
              </w:rPr>
              <w:t>分</w:t>
            </w:r>
          </w:p>
          <w:p>
            <w:pPr>
              <w:pStyle w:val="61"/>
              <w:ind w:right="91"/>
              <w:jc w:val="center"/>
              <w:rPr>
                <w:szCs w:val="21"/>
              </w:rPr>
            </w:pPr>
          </w:p>
        </w:tc>
        <w:tc>
          <w:tcPr>
            <w:tcW w:w="3315" w:type="dxa"/>
            <w:tcBorders>
              <w:top w:val="single" w:color="000000" w:sz="4" w:space="0"/>
              <w:left w:val="single" w:color="000000" w:sz="4" w:space="0"/>
              <w:right w:val="single" w:color="000000" w:sz="4" w:space="0"/>
            </w:tcBorders>
            <w:vAlign w:val="center"/>
          </w:tcPr>
          <w:p>
            <w:pPr>
              <w:spacing w:line="280" w:lineRule="exact"/>
              <w:rPr>
                <w:szCs w:val="21"/>
              </w:rPr>
            </w:pPr>
            <w:r>
              <w:rPr>
                <w:rFonts w:hint="eastAsia"/>
                <w:szCs w:val="21"/>
              </w:rPr>
              <w:t>满足资格审查条件（总监理工程师最低要求）的，得20分</w:t>
            </w:r>
          </w:p>
        </w:tc>
      </w:tr>
      <w:tr>
        <w:tblPrEx>
          <w:tblLayout w:type="fixed"/>
          <w:tblCellMar>
            <w:top w:w="0" w:type="dxa"/>
            <w:left w:w="0" w:type="dxa"/>
            <w:bottom w:w="0" w:type="dxa"/>
            <w:right w:w="0" w:type="dxa"/>
          </w:tblCellMar>
        </w:tblPrEx>
        <w:trPr>
          <w:trHeight w:val="911" w:hRule="atLeast"/>
          <w:jc w:val="center"/>
        </w:trPr>
        <w:tc>
          <w:tcPr>
            <w:tcW w:w="998" w:type="dxa"/>
            <w:vMerge w:val="continue"/>
            <w:tcBorders>
              <w:left w:val="single" w:color="000000" w:sz="4" w:space="0"/>
              <w:right w:val="single" w:color="000000" w:sz="4" w:space="0"/>
            </w:tcBorders>
            <w:vAlign w:val="center"/>
          </w:tcPr>
          <w:p>
            <w:pPr>
              <w:pStyle w:val="61"/>
              <w:ind w:left="141" w:leftChars="67" w:right="166" w:rightChars="79" w:firstLine="1"/>
            </w:pPr>
          </w:p>
        </w:tc>
        <w:tc>
          <w:tcPr>
            <w:tcW w:w="1238" w:type="dxa"/>
            <w:gridSpan w:val="2"/>
            <w:vMerge w:val="continue"/>
            <w:tcBorders>
              <w:left w:val="single" w:color="000000" w:sz="4" w:space="0"/>
              <w:right w:val="single" w:color="000000" w:sz="4" w:space="0"/>
            </w:tcBorders>
            <w:vAlign w:val="center"/>
          </w:tcPr>
          <w:p>
            <w:pPr>
              <w:pStyle w:val="61"/>
              <w:ind w:left="141" w:leftChars="67" w:right="166" w:rightChars="79" w:firstLine="1"/>
            </w:pPr>
          </w:p>
        </w:tc>
        <w:tc>
          <w:tcPr>
            <w:tcW w:w="1200" w:type="dxa"/>
            <w:vMerge w:val="continue"/>
            <w:tcBorders>
              <w:left w:val="single" w:color="000000" w:sz="4" w:space="0"/>
              <w:right w:val="single" w:color="000000" w:sz="4" w:space="0"/>
            </w:tcBorders>
            <w:vAlign w:val="center"/>
          </w:tcPr>
          <w:p>
            <w:pPr>
              <w:pStyle w:val="61"/>
              <w:ind w:left="141" w:leftChars="67" w:right="166" w:rightChars="79" w:firstLine="1"/>
            </w:pPr>
          </w:p>
        </w:tc>
        <w:tc>
          <w:tcPr>
            <w:tcW w:w="2137" w:type="dxa"/>
            <w:vMerge w:val="continue"/>
            <w:tcBorders>
              <w:left w:val="single" w:color="000000" w:sz="4" w:space="0"/>
              <w:right w:val="single" w:color="000000" w:sz="4" w:space="0"/>
            </w:tcBorders>
            <w:vAlign w:val="center"/>
          </w:tcPr>
          <w:p>
            <w:pPr>
              <w:pStyle w:val="61"/>
              <w:ind w:left="141" w:leftChars="67" w:right="166" w:rightChars="79" w:firstLine="1"/>
            </w:pPr>
          </w:p>
        </w:tc>
        <w:tc>
          <w:tcPr>
            <w:tcW w:w="738" w:type="dxa"/>
            <w:vMerge w:val="continue"/>
            <w:tcBorders>
              <w:left w:val="single" w:color="000000" w:sz="4" w:space="0"/>
              <w:right w:val="single" w:color="000000" w:sz="4" w:space="0"/>
            </w:tcBorders>
            <w:vAlign w:val="center"/>
          </w:tcPr>
          <w:p>
            <w:pPr>
              <w:pStyle w:val="61"/>
              <w:ind w:left="141" w:leftChars="67" w:right="166" w:rightChars="79" w:firstLine="1"/>
            </w:pPr>
          </w:p>
        </w:tc>
        <w:tc>
          <w:tcPr>
            <w:tcW w:w="3315" w:type="dxa"/>
            <w:tcBorders>
              <w:top w:val="single" w:color="000000" w:sz="4" w:space="0"/>
              <w:left w:val="single" w:color="000000" w:sz="4" w:space="0"/>
              <w:right w:val="single" w:color="000000" w:sz="4" w:space="0"/>
            </w:tcBorders>
            <w:vAlign w:val="center"/>
          </w:tcPr>
          <w:p>
            <w:pPr>
              <w:spacing w:line="280" w:lineRule="exact"/>
              <w:rPr>
                <w:szCs w:val="21"/>
              </w:rPr>
            </w:pPr>
            <w:r>
              <w:rPr>
                <w:rFonts w:hint="eastAsia"/>
                <w:szCs w:val="21"/>
              </w:rPr>
              <w:t>每增加一个1项新建或改扩建公路项目施工监理负责人（总监或驻地监理工程师）业绩，加2.5分，最多加5分。</w:t>
            </w:r>
          </w:p>
        </w:tc>
      </w:tr>
      <w:tr>
        <w:tblPrEx>
          <w:tblLayout w:type="fixed"/>
          <w:tblCellMar>
            <w:top w:w="0" w:type="dxa"/>
            <w:left w:w="0" w:type="dxa"/>
            <w:bottom w:w="0" w:type="dxa"/>
            <w:right w:w="0" w:type="dxa"/>
          </w:tblCellMar>
        </w:tblPrEx>
        <w:trPr>
          <w:trHeight w:val="1859" w:hRule="atLeast"/>
          <w:jc w:val="center"/>
        </w:trPr>
        <w:tc>
          <w:tcPr>
            <w:tcW w:w="998" w:type="dxa"/>
            <w:tcBorders>
              <w:top w:val="single" w:color="000000" w:sz="4" w:space="0"/>
              <w:left w:val="single" w:color="000000" w:sz="4" w:space="0"/>
              <w:bottom w:val="single" w:color="auto" w:sz="4" w:space="0"/>
              <w:right w:val="single" w:color="000000" w:sz="4" w:space="0"/>
            </w:tcBorders>
            <w:vAlign w:val="center"/>
          </w:tcPr>
          <w:p>
            <w:pPr>
              <w:pStyle w:val="61"/>
              <w:ind w:left="2"/>
              <w:jc w:val="center"/>
              <w:rPr>
                <w:rFonts w:eastAsia="Times New Roman"/>
                <w:szCs w:val="21"/>
              </w:rPr>
            </w:pPr>
            <w:r>
              <w:rPr>
                <w:szCs w:val="21"/>
              </w:rPr>
              <w:t>2.2.4(3)</w:t>
            </w:r>
          </w:p>
        </w:tc>
        <w:tc>
          <w:tcPr>
            <w:tcW w:w="1238" w:type="dxa"/>
            <w:gridSpan w:val="2"/>
            <w:tcBorders>
              <w:top w:val="single" w:color="000000" w:sz="4" w:space="0"/>
              <w:left w:val="single" w:color="000000" w:sz="4" w:space="0"/>
              <w:bottom w:val="single" w:color="000000" w:sz="4" w:space="0"/>
              <w:right w:val="single" w:color="000000" w:sz="4" w:space="0"/>
            </w:tcBorders>
            <w:vAlign w:val="center"/>
          </w:tcPr>
          <w:p>
            <w:pPr>
              <w:pStyle w:val="61"/>
              <w:ind w:left="24"/>
              <w:jc w:val="center"/>
              <w:rPr>
                <w:szCs w:val="21"/>
              </w:rPr>
            </w:pPr>
            <w:r>
              <w:rPr>
                <w:szCs w:val="21"/>
              </w:rPr>
              <w:t>评标价</w:t>
            </w:r>
          </w:p>
        </w:tc>
        <w:tc>
          <w:tcPr>
            <w:tcW w:w="1200" w:type="dxa"/>
            <w:tcBorders>
              <w:top w:val="single" w:color="000000" w:sz="4" w:space="0"/>
              <w:left w:val="single" w:color="000000" w:sz="4" w:space="0"/>
              <w:bottom w:val="single" w:color="auto" w:sz="4" w:space="0"/>
              <w:right w:val="single" w:color="000000" w:sz="4" w:space="0"/>
            </w:tcBorders>
            <w:vAlign w:val="center"/>
          </w:tcPr>
          <w:p>
            <w:pPr>
              <w:pStyle w:val="61"/>
              <w:ind w:right="-8"/>
              <w:jc w:val="center"/>
              <w:rPr>
                <w:szCs w:val="21"/>
              </w:rPr>
            </w:pPr>
            <w:r>
              <w:rPr>
                <w:szCs w:val="21"/>
                <w:u w:val="single"/>
              </w:rPr>
              <w:t>10</w:t>
            </w:r>
            <w:r>
              <w:rPr>
                <w:szCs w:val="21"/>
              </w:rPr>
              <w:t>分</w:t>
            </w:r>
          </w:p>
        </w:tc>
        <w:tc>
          <w:tcPr>
            <w:tcW w:w="6190" w:type="dxa"/>
            <w:gridSpan w:val="3"/>
            <w:tcBorders>
              <w:top w:val="single" w:color="000000" w:sz="4" w:space="0"/>
              <w:left w:val="single" w:color="000000" w:sz="4" w:space="0"/>
              <w:bottom w:val="single" w:color="auto" w:sz="4" w:space="0"/>
              <w:right w:val="single" w:color="000000" w:sz="4" w:space="0"/>
            </w:tcBorders>
            <w:vAlign w:val="center"/>
          </w:tcPr>
          <w:p>
            <w:pPr>
              <w:pStyle w:val="61"/>
              <w:spacing w:line="300" w:lineRule="exact"/>
              <w:ind w:left="100"/>
              <w:rPr>
                <w:szCs w:val="21"/>
              </w:rPr>
            </w:pPr>
            <w:r>
              <w:rPr>
                <w:szCs w:val="21"/>
              </w:rPr>
              <w:t>评标价得分计算公式示例 ：</w:t>
            </w:r>
          </w:p>
          <w:p>
            <w:pPr>
              <w:pStyle w:val="61"/>
              <w:spacing w:line="300" w:lineRule="exact"/>
              <w:ind w:left="95" w:right="301" w:firstLine="9"/>
              <w:rPr>
                <w:szCs w:val="21"/>
              </w:rPr>
            </w:pPr>
            <w:r>
              <w:rPr>
                <w:szCs w:val="21"/>
              </w:rPr>
              <w:t>（1）如果投标人的评标价&gt;评标基准价，则评标价得分=F-偏差率×</w:t>
            </w:r>
            <w:r>
              <w:rPr>
                <w:rFonts w:eastAsia="Times New Roman"/>
                <w:szCs w:val="21"/>
              </w:rPr>
              <w:t>100</w:t>
            </w:r>
            <w:r>
              <w:rPr>
                <w:szCs w:val="21"/>
              </w:rPr>
              <w:t>×</w:t>
            </w:r>
            <w:r>
              <w:rPr>
                <w:rFonts w:eastAsia="Times New Roman"/>
                <w:szCs w:val="21"/>
              </w:rPr>
              <w:t>E1</w:t>
            </w:r>
            <w:r>
              <w:rPr>
                <w:szCs w:val="21"/>
              </w:rPr>
              <w:t>；</w:t>
            </w:r>
          </w:p>
          <w:p>
            <w:pPr>
              <w:pStyle w:val="61"/>
              <w:spacing w:line="300" w:lineRule="exact"/>
              <w:ind w:left="95" w:right="301" w:firstLine="9"/>
              <w:rPr>
                <w:szCs w:val="21"/>
              </w:rPr>
            </w:pPr>
            <w:r>
              <w:rPr>
                <w:szCs w:val="21"/>
              </w:rPr>
              <w:t>（2）如果投标人的评标价≤评标基准价，则评标价得分=F+偏差率×</w:t>
            </w:r>
            <w:r>
              <w:rPr>
                <w:rFonts w:eastAsia="Times New Roman"/>
                <w:szCs w:val="21"/>
              </w:rPr>
              <w:t>100</w:t>
            </w:r>
            <w:r>
              <w:rPr>
                <w:szCs w:val="21"/>
              </w:rPr>
              <w:t>×</w:t>
            </w:r>
            <w:r>
              <w:rPr>
                <w:rFonts w:eastAsia="Times New Roman"/>
                <w:szCs w:val="21"/>
              </w:rPr>
              <w:t xml:space="preserve">E2 </w:t>
            </w:r>
            <w:r>
              <w:rPr>
                <w:szCs w:val="21"/>
              </w:rPr>
              <w:t>。</w:t>
            </w:r>
          </w:p>
          <w:p>
            <w:pPr>
              <w:pStyle w:val="61"/>
              <w:spacing w:line="300" w:lineRule="exact"/>
              <w:ind w:left="105" w:right="94"/>
              <w:rPr>
                <w:rFonts w:eastAsia="Times New Roman"/>
                <w:szCs w:val="21"/>
              </w:rPr>
            </w:pPr>
            <w:r>
              <w:rPr>
                <w:szCs w:val="21"/>
              </w:rPr>
              <w:t>其中：F=10，E1=</w:t>
            </w:r>
            <w:r>
              <w:rPr>
                <w:rFonts w:hint="eastAsia"/>
                <w:szCs w:val="21"/>
              </w:rPr>
              <w:t>0.2</w:t>
            </w:r>
            <w:r>
              <w:rPr>
                <w:szCs w:val="21"/>
              </w:rPr>
              <w:t>，E2=0.</w:t>
            </w:r>
            <w:r>
              <w:rPr>
                <w:rFonts w:hint="eastAsia"/>
                <w:szCs w:val="21"/>
              </w:rPr>
              <w:t>1</w:t>
            </w:r>
            <w:r>
              <w:rPr>
                <w:szCs w:val="21"/>
              </w:rPr>
              <w:t>；</w:t>
            </w:r>
          </w:p>
        </w:tc>
      </w:tr>
      <w:tr>
        <w:tblPrEx>
          <w:tblLayout w:type="fixed"/>
          <w:tblCellMar>
            <w:top w:w="0" w:type="dxa"/>
            <w:left w:w="0" w:type="dxa"/>
            <w:bottom w:w="0" w:type="dxa"/>
            <w:right w:w="0" w:type="dxa"/>
          </w:tblCellMar>
        </w:tblPrEx>
        <w:trPr>
          <w:trHeight w:val="1106" w:hRule="atLeast"/>
          <w:jc w:val="center"/>
        </w:trPr>
        <w:tc>
          <w:tcPr>
            <w:tcW w:w="998" w:type="dxa"/>
            <w:vMerge w:val="restart"/>
            <w:tcBorders>
              <w:top w:val="single" w:color="auto" w:sz="4" w:space="0"/>
              <w:left w:val="single" w:color="auto" w:sz="4" w:space="0"/>
              <w:right w:val="single" w:color="auto" w:sz="4" w:space="0"/>
            </w:tcBorders>
            <w:vAlign w:val="center"/>
          </w:tcPr>
          <w:p>
            <w:pPr>
              <w:pStyle w:val="61"/>
              <w:ind w:left="5"/>
              <w:jc w:val="center"/>
              <w:rPr>
                <w:rFonts w:eastAsia="Times New Roman"/>
                <w:szCs w:val="21"/>
              </w:rPr>
            </w:pPr>
            <w:r>
              <w:rPr>
                <w:szCs w:val="21"/>
              </w:rPr>
              <w:t>2.2.4(4)</w:t>
            </w:r>
          </w:p>
        </w:tc>
        <w:tc>
          <w:tcPr>
            <w:tcW w:w="650" w:type="dxa"/>
            <w:vMerge w:val="restart"/>
            <w:tcBorders>
              <w:top w:val="single" w:color="auto" w:sz="4" w:space="0"/>
              <w:left w:val="single" w:color="auto" w:sz="4" w:space="0"/>
              <w:right w:val="single" w:color="auto" w:sz="4" w:space="0"/>
            </w:tcBorders>
            <w:vAlign w:val="center"/>
          </w:tcPr>
          <w:p>
            <w:pPr>
              <w:pStyle w:val="61"/>
              <w:spacing w:line="240" w:lineRule="exact"/>
              <w:ind w:right="-17" w:firstLine="25" w:firstLineChars="12"/>
              <w:jc w:val="center"/>
              <w:rPr>
                <w:szCs w:val="21"/>
              </w:rPr>
            </w:pPr>
            <w:r>
              <w:rPr>
                <w:szCs w:val="21"/>
              </w:rPr>
              <w:t xml:space="preserve">其 </w:t>
            </w:r>
            <w:r>
              <w:rPr>
                <w:szCs w:val="21"/>
              </w:rPr>
              <w:br w:type="textWrapping"/>
            </w:r>
            <w:r>
              <w:rPr>
                <w:szCs w:val="21"/>
              </w:rPr>
              <w:t xml:space="preserve">他 </w:t>
            </w:r>
            <w:r>
              <w:rPr>
                <w:szCs w:val="21"/>
              </w:rPr>
              <w:br w:type="textWrapping"/>
            </w:r>
            <w:r>
              <w:rPr>
                <w:szCs w:val="21"/>
              </w:rPr>
              <w:t>因</w:t>
            </w:r>
          </w:p>
          <w:p>
            <w:pPr>
              <w:pStyle w:val="61"/>
              <w:spacing w:line="240" w:lineRule="exact"/>
              <w:ind w:right="-17" w:firstLine="25" w:firstLineChars="12"/>
              <w:jc w:val="center"/>
              <w:rPr>
                <w:szCs w:val="21"/>
              </w:rPr>
            </w:pPr>
            <w:r>
              <w:rPr>
                <w:szCs w:val="21"/>
              </w:rPr>
              <w:t>素</w:t>
            </w:r>
          </w:p>
        </w:tc>
        <w:tc>
          <w:tcPr>
            <w:tcW w:w="588"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szCs w:val="21"/>
              </w:rPr>
            </w:pPr>
            <w:r>
              <w:rPr>
                <w:szCs w:val="21"/>
              </w:rPr>
              <w:t>技术</w:t>
            </w:r>
          </w:p>
          <w:p>
            <w:pPr>
              <w:spacing w:line="380" w:lineRule="atLeast"/>
              <w:jc w:val="center"/>
              <w:rPr>
                <w:szCs w:val="21"/>
              </w:rPr>
            </w:pPr>
            <w:r>
              <w:rPr>
                <w:szCs w:val="21"/>
              </w:rPr>
              <w:t>能力</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szCs w:val="21"/>
              </w:rPr>
            </w:pPr>
            <w:r>
              <w:rPr>
                <w:szCs w:val="21"/>
                <w:u w:val="single"/>
              </w:rPr>
              <w:t>5</w:t>
            </w:r>
            <w:r>
              <w:rPr>
                <w:szCs w:val="21"/>
              </w:rPr>
              <w:t>分</w:t>
            </w:r>
          </w:p>
        </w:tc>
        <w:tc>
          <w:tcPr>
            <w:tcW w:w="619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szCs w:val="21"/>
              </w:rPr>
              <w:t>1</w:t>
            </w:r>
            <w:r>
              <w:rPr>
                <w:szCs w:val="21"/>
              </w:rPr>
              <w:t xml:space="preserve">. </w:t>
            </w:r>
            <w:r>
              <w:rPr>
                <w:rFonts w:hint="eastAsia"/>
                <w:szCs w:val="21"/>
              </w:rPr>
              <w:t>满足基本要求得4分。</w:t>
            </w:r>
          </w:p>
          <w:p>
            <w:pPr>
              <w:spacing w:line="300" w:lineRule="exact"/>
              <w:jc w:val="left"/>
              <w:rPr>
                <w:color w:val="FF0000"/>
                <w:szCs w:val="21"/>
              </w:rPr>
            </w:pPr>
            <w:r>
              <w:rPr>
                <w:rFonts w:hint="eastAsia"/>
                <w:szCs w:val="21"/>
              </w:rPr>
              <w:t>2</w:t>
            </w:r>
            <w:r>
              <w:rPr>
                <w:szCs w:val="21"/>
              </w:rPr>
              <w:t xml:space="preserve">. </w:t>
            </w:r>
            <w:r>
              <w:rPr>
                <w:rFonts w:hint="eastAsia"/>
                <w:szCs w:val="21"/>
              </w:rPr>
              <w:t>投标人获得的与工程咨询管理（包括勘察设计、监理等工程咨询工作）有关的专利（发明专利或实用新型专利）、国家或省级科学技术进步奖，主编或参编过的国家、行业或地方标准的，每有一项加0.5分，最多加1分。</w:t>
            </w:r>
          </w:p>
        </w:tc>
      </w:tr>
      <w:tr>
        <w:tblPrEx>
          <w:tblLayout w:type="fixed"/>
          <w:tblCellMar>
            <w:top w:w="0" w:type="dxa"/>
            <w:left w:w="0" w:type="dxa"/>
            <w:bottom w:w="0" w:type="dxa"/>
            <w:right w:w="0" w:type="dxa"/>
          </w:tblCellMar>
        </w:tblPrEx>
        <w:trPr>
          <w:trHeight w:val="960" w:hRule="atLeast"/>
          <w:jc w:val="center"/>
        </w:trPr>
        <w:tc>
          <w:tcPr>
            <w:tcW w:w="998" w:type="dxa"/>
            <w:vMerge w:val="continue"/>
            <w:tcBorders>
              <w:left w:val="single" w:color="auto" w:sz="4" w:space="0"/>
              <w:right w:val="single" w:color="auto" w:sz="4" w:space="0"/>
            </w:tcBorders>
          </w:tcPr>
          <w:p>
            <w:pPr>
              <w:pStyle w:val="61"/>
              <w:rPr>
                <w:szCs w:val="21"/>
              </w:rPr>
            </w:pPr>
          </w:p>
        </w:tc>
        <w:tc>
          <w:tcPr>
            <w:tcW w:w="650" w:type="dxa"/>
            <w:vMerge w:val="continue"/>
            <w:tcBorders>
              <w:left w:val="single" w:color="auto" w:sz="4" w:space="0"/>
              <w:right w:val="single" w:color="auto" w:sz="4" w:space="0"/>
            </w:tcBorders>
            <w:vAlign w:val="center"/>
          </w:tcPr>
          <w:p>
            <w:pPr>
              <w:pStyle w:val="61"/>
              <w:spacing w:line="240" w:lineRule="exact"/>
              <w:ind w:right="-17" w:firstLine="25" w:firstLineChars="12"/>
              <w:jc w:val="center"/>
              <w:rPr>
                <w:szCs w:val="21"/>
              </w:rPr>
            </w:pPr>
          </w:p>
        </w:tc>
        <w:tc>
          <w:tcPr>
            <w:tcW w:w="588"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szCs w:val="21"/>
              </w:rPr>
            </w:pPr>
            <w:r>
              <w:rPr>
                <w:szCs w:val="21"/>
              </w:rPr>
              <w:t>业绩</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szCs w:val="21"/>
              </w:rPr>
            </w:pPr>
            <w:r>
              <w:rPr>
                <w:szCs w:val="21"/>
                <w:u w:val="single"/>
              </w:rPr>
              <w:t>20</w:t>
            </w:r>
            <w:r>
              <w:rPr>
                <w:szCs w:val="21"/>
              </w:rPr>
              <w:t>分</w:t>
            </w:r>
          </w:p>
        </w:tc>
        <w:tc>
          <w:tcPr>
            <w:tcW w:w="619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szCs w:val="21"/>
              </w:rPr>
              <w:t>1</w:t>
            </w:r>
            <w:r>
              <w:rPr>
                <w:szCs w:val="21"/>
              </w:rPr>
              <w:t>.</w:t>
            </w:r>
            <w:r>
              <w:rPr>
                <w:rFonts w:hint="eastAsia"/>
                <w:szCs w:val="21"/>
              </w:rPr>
              <w:t>满足</w:t>
            </w:r>
            <w:r>
              <w:rPr>
                <w:szCs w:val="21"/>
              </w:rPr>
              <w:t>资格审查条件</w:t>
            </w:r>
            <w:r>
              <w:rPr>
                <w:rFonts w:hint="eastAsia"/>
                <w:szCs w:val="21"/>
              </w:rPr>
              <w:t>（</w:t>
            </w:r>
            <w:r>
              <w:rPr>
                <w:szCs w:val="21"/>
              </w:rPr>
              <w:t>业绩最低要求</w:t>
            </w:r>
            <w:r>
              <w:rPr>
                <w:rFonts w:hint="eastAsia"/>
                <w:szCs w:val="21"/>
              </w:rPr>
              <w:t>）的，得</w:t>
            </w:r>
            <w:r>
              <w:rPr>
                <w:szCs w:val="21"/>
              </w:rPr>
              <w:t>12</w:t>
            </w:r>
            <w:r>
              <w:rPr>
                <w:rFonts w:hint="eastAsia"/>
                <w:szCs w:val="21"/>
              </w:rPr>
              <w:t>分。</w:t>
            </w:r>
          </w:p>
          <w:p>
            <w:pPr>
              <w:spacing w:line="300" w:lineRule="exact"/>
              <w:jc w:val="left"/>
              <w:rPr>
                <w:szCs w:val="21"/>
              </w:rPr>
            </w:pPr>
            <w:r>
              <w:rPr>
                <w:rFonts w:hint="eastAsia"/>
                <w:szCs w:val="21"/>
              </w:rPr>
              <w:t>2</w:t>
            </w:r>
            <w:r>
              <w:rPr>
                <w:szCs w:val="21"/>
              </w:rPr>
              <w:t>.</w:t>
            </w:r>
            <w:r>
              <w:rPr>
                <w:rFonts w:hint="eastAsia"/>
                <w:szCs w:val="21"/>
              </w:rPr>
              <w:t>每增加</w:t>
            </w:r>
            <w:r>
              <w:rPr>
                <w:szCs w:val="21"/>
              </w:rPr>
              <w:t>1</w:t>
            </w:r>
            <w:r>
              <w:rPr>
                <w:rFonts w:hint="eastAsia"/>
                <w:szCs w:val="21"/>
              </w:rPr>
              <w:t>项在建或已完成的</w:t>
            </w:r>
            <w:r>
              <w:rPr>
                <w:szCs w:val="21"/>
              </w:rPr>
              <w:t>单个标段里程不小于</w:t>
            </w:r>
            <w:r>
              <w:rPr>
                <w:rFonts w:hint="eastAsia"/>
                <w:szCs w:val="21"/>
              </w:rPr>
              <w:t>7</w:t>
            </w:r>
            <w:r>
              <w:rPr>
                <w:szCs w:val="21"/>
              </w:rPr>
              <w:t>km的新建或改扩建公路施工监理任务，</w:t>
            </w:r>
            <w:r>
              <w:rPr>
                <w:rFonts w:hint="eastAsia"/>
                <w:szCs w:val="21"/>
              </w:rPr>
              <w:t>每个项目加</w:t>
            </w:r>
            <w:r>
              <w:rPr>
                <w:szCs w:val="21"/>
              </w:rPr>
              <w:t>4</w:t>
            </w:r>
            <w:r>
              <w:rPr>
                <w:rFonts w:hint="eastAsia"/>
                <w:szCs w:val="21"/>
              </w:rPr>
              <w:t>分，最多加</w:t>
            </w:r>
            <w:r>
              <w:rPr>
                <w:szCs w:val="21"/>
              </w:rPr>
              <w:t>8</w:t>
            </w:r>
            <w:r>
              <w:rPr>
                <w:rFonts w:hint="eastAsia"/>
                <w:szCs w:val="21"/>
              </w:rPr>
              <w:t>分。</w:t>
            </w:r>
          </w:p>
        </w:tc>
      </w:tr>
      <w:tr>
        <w:tblPrEx>
          <w:tblLayout w:type="fixed"/>
          <w:tblCellMar>
            <w:top w:w="0" w:type="dxa"/>
            <w:left w:w="0" w:type="dxa"/>
            <w:bottom w:w="0" w:type="dxa"/>
            <w:right w:w="0" w:type="dxa"/>
          </w:tblCellMar>
        </w:tblPrEx>
        <w:trPr>
          <w:trHeight w:val="832" w:hRule="atLeast"/>
          <w:jc w:val="center"/>
        </w:trPr>
        <w:tc>
          <w:tcPr>
            <w:tcW w:w="998" w:type="dxa"/>
            <w:vMerge w:val="continue"/>
            <w:tcBorders>
              <w:left w:val="single" w:color="auto" w:sz="4" w:space="0"/>
              <w:bottom w:val="single" w:color="auto" w:sz="4" w:space="0"/>
              <w:right w:val="single" w:color="auto" w:sz="4" w:space="0"/>
            </w:tcBorders>
          </w:tcPr>
          <w:p>
            <w:pPr>
              <w:pStyle w:val="61"/>
              <w:rPr>
                <w:szCs w:val="21"/>
              </w:rPr>
            </w:pPr>
          </w:p>
        </w:tc>
        <w:tc>
          <w:tcPr>
            <w:tcW w:w="650" w:type="dxa"/>
            <w:vMerge w:val="continue"/>
            <w:tcBorders>
              <w:left w:val="single" w:color="auto" w:sz="4" w:space="0"/>
              <w:bottom w:val="single" w:color="auto" w:sz="4" w:space="0"/>
              <w:right w:val="single" w:color="auto" w:sz="4" w:space="0"/>
            </w:tcBorders>
            <w:vAlign w:val="center"/>
          </w:tcPr>
          <w:p>
            <w:pPr>
              <w:pStyle w:val="61"/>
              <w:spacing w:line="240" w:lineRule="exact"/>
              <w:ind w:right="-17" w:firstLine="25" w:firstLineChars="12"/>
              <w:jc w:val="center"/>
              <w:rPr>
                <w:szCs w:val="21"/>
              </w:rPr>
            </w:pPr>
          </w:p>
        </w:tc>
        <w:tc>
          <w:tcPr>
            <w:tcW w:w="588" w:type="dxa"/>
            <w:tcBorders>
              <w:top w:val="single" w:color="auto" w:sz="4" w:space="0"/>
              <w:left w:val="single" w:color="auto" w:sz="4" w:space="0"/>
              <w:bottom w:val="single" w:color="auto" w:sz="4" w:space="0"/>
              <w:right w:val="single" w:color="auto" w:sz="4" w:space="0"/>
            </w:tcBorders>
            <w:vAlign w:val="center"/>
          </w:tcPr>
          <w:p>
            <w:pPr>
              <w:pStyle w:val="61"/>
              <w:spacing w:before="5"/>
              <w:jc w:val="center"/>
              <w:rPr>
                <w:szCs w:val="21"/>
              </w:rPr>
            </w:pPr>
            <w:r>
              <w:rPr>
                <w:szCs w:val="21"/>
              </w:rPr>
              <w:t>履约</w:t>
            </w:r>
          </w:p>
          <w:p>
            <w:pPr>
              <w:spacing w:line="380" w:lineRule="atLeast"/>
              <w:jc w:val="center"/>
              <w:rPr>
                <w:szCs w:val="21"/>
              </w:rPr>
            </w:pPr>
            <w:r>
              <w:rPr>
                <w:szCs w:val="21"/>
              </w:rPr>
              <w:t>信誉</w:t>
            </w:r>
          </w:p>
        </w:tc>
        <w:tc>
          <w:tcPr>
            <w:tcW w:w="1200" w:type="dxa"/>
            <w:tcBorders>
              <w:top w:val="single" w:color="auto" w:sz="4" w:space="0"/>
              <w:left w:val="single" w:color="auto" w:sz="4" w:space="0"/>
              <w:bottom w:val="single" w:color="auto" w:sz="4" w:space="0"/>
              <w:right w:val="single" w:color="auto" w:sz="4" w:space="0"/>
            </w:tcBorders>
            <w:vAlign w:val="center"/>
          </w:tcPr>
          <w:p>
            <w:pPr>
              <w:spacing w:line="380" w:lineRule="atLeast"/>
              <w:jc w:val="center"/>
              <w:rPr>
                <w:szCs w:val="21"/>
                <w:u w:val="single"/>
              </w:rPr>
            </w:pPr>
            <w:r>
              <w:rPr>
                <w:szCs w:val="21"/>
                <w:u w:val="single"/>
              </w:rPr>
              <w:t>5</w:t>
            </w:r>
            <w:r>
              <w:rPr>
                <w:szCs w:val="21"/>
              </w:rPr>
              <w:t>分</w:t>
            </w:r>
          </w:p>
        </w:tc>
        <w:tc>
          <w:tcPr>
            <w:tcW w:w="619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left"/>
              <w:rPr>
                <w:szCs w:val="21"/>
              </w:rPr>
            </w:pPr>
            <w:r>
              <w:rPr>
                <w:rFonts w:hint="eastAsia"/>
                <w:szCs w:val="21"/>
              </w:rPr>
              <w:t>投标单位在公路建设市场信用等级评价获得AA级得</w:t>
            </w:r>
            <w:r>
              <w:rPr>
                <w:szCs w:val="21"/>
              </w:rPr>
              <w:t>5</w:t>
            </w:r>
            <w:r>
              <w:rPr>
                <w:rFonts w:hint="eastAsia"/>
                <w:szCs w:val="21"/>
              </w:rPr>
              <w:t>分，A级得</w:t>
            </w:r>
            <w:r>
              <w:rPr>
                <w:szCs w:val="21"/>
              </w:rPr>
              <w:t>4</w:t>
            </w:r>
            <w:r>
              <w:rPr>
                <w:rFonts w:hint="eastAsia"/>
                <w:szCs w:val="21"/>
              </w:rPr>
              <w:t>分，B级得</w:t>
            </w:r>
            <w:r>
              <w:rPr>
                <w:szCs w:val="21"/>
              </w:rPr>
              <w:t>3</w:t>
            </w:r>
            <w:r>
              <w:rPr>
                <w:rFonts w:hint="eastAsia"/>
                <w:szCs w:val="21"/>
              </w:rPr>
              <w:t>分，其他不得分。</w:t>
            </w:r>
          </w:p>
        </w:tc>
      </w:tr>
      <w:tr>
        <w:tblPrEx>
          <w:tblLayout w:type="fixed"/>
          <w:tblCellMar>
            <w:top w:w="0" w:type="dxa"/>
            <w:left w:w="0" w:type="dxa"/>
            <w:bottom w:w="0" w:type="dxa"/>
            <w:right w:w="0" w:type="dxa"/>
          </w:tblCellMar>
        </w:tblPrEx>
        <w:trPr>
          <w:trHeight w:val="2025" w:hRule="atLeast"/>
          <w:jc w:val="center"/>
        </w:trPr>
        <w:tc>
          <w:tcPr>
            <w:tcW w:w="9626" w:type="dxa"/>
            <w:gridSpan w:val="7"/>
            <w:tcBorders>
              <w:top w:val="single" w:color="auto" w:sz="4" w:space="0"/>
              <w:left w:val="single" w:color="auto" w:sz="4" w:space="0"/>
              <w:bottom w:val="single" w:color="auto" w:sz="4" w:space="0"/>
              <w:right w:val="single" w:color="auto" w:sz="4" w:space="0"/>
            </w:tcBorders>
            <w:vAlign w:val="center"/>
          </w:tcPr>
          <w:p>
            <w:pPr>
              <w:ind w:firstLine="315" w:firstLineChars="150"/>
              <w:rPr>
                <w:szCs w:val="21"/>
              </w:rPr>
            </w:pPr>
            <w:r>
              <w:rPr>
                <w:szCs w:val="21"/>
              </w:rPr>
              <w:t>需要补充的其他内容：招标人应根据项目具体情况确定各评分因素及评分因素权重分值，并对各评分因素进行细分（如有）、确定各评分因素细分项的分值，各评分因素权重分值合计应为100分。各评分因素（评标价和履约信誉评分项除外）得分一般不得低于其权重分值的60%，且各评分因素得分应以评标委员会各成员的打分平均值确定，评标委员会成员总数为7人（含7人）以上时，该平均值以去掉一个最高分和一个最低分后计算。评标委员会成员对某一项评分因素的评分低于权重分值60%的，应在评标报告中作出说明。</w:t>
            </w:r>
          </w:p>
        </w:tc>
      </w:tr>
    </w:tbl>
    <w:p>
      <w:pPr>
        <w:pStyle w:val="50"/>
        <w:spacing w:before="120" w:after="120" w:line="420" w:lineRule="exact"/>
        <w:rPr>
          <w:rFonts w:ascii="黑体" w:eastAsia="黑体"/>
          <w:b/>
          <w:color w:val="auto"/>
        </w:rPr>
      </w:pPr>
      <w:r>
        <w:rPr>
          <w:rFonts w:hint="eastAsia" w:ascii="黑体" w:eastAsia="黑体"/>
          <w:b/>
          <w:color w:val="auto"/>
        </w:rPr>
        <w:br w:type="page"/>
      </w:r>
      <w:r>
        <w:rPr>
          <w:rFonts w:hint="eastAsia" w:ascii="黑体" w:eastAsia="黑体"/>
          <w:b/>
          <w:color w:val="auto"/>
        </w:rPr>
        <w:t>1.评标方法</w:t>
      </w:r>
    </w:p>
    <w:p>
      <w:pPr>
        <w:pStyle w:val="50"/>
        <w:spacing w:before="120" w:after="120" w:line="420" w:lineRule="exact"/>
        <w:ind w:firstLine="480" w:firstLineChars="200"/>
        <w:jc w:val="both"/>
        <w:rPr>
          <w:color w:val="auto"/>
        </w:rPr>
      </w:pPr>
      <w:r>
        <w:rPr>
          <w:rFonts w:hint="eastAsia"/>
          <w:color w:val="auto"/>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pStyle w:val="50"/>
        <w:spacing w:before="120" w:after="120" w:line="420" w:lineRule="exact"/>
        <w:rPr>
          <w:rFonts w:ascii="黑体" w:eastAsia="黑体"/>
          <w:color w:val="auto"/>
        </w:rPr>
      </w:pPr>
      <w:r>
        <w:rPr>
          <w:rFonts w:hint="eastAsia" w:ascii="黑体" w:eastAsia="黑体"/>
          <w:b/>
          <w:color w:val="auto"/>
        </w:rPr>
        <w:t>2.评审标准</w:t>
      </w:r>
    </w:p>
    <w:p>
      <w:pPr>
        <w:pStyle w:val="50"/>
        <w:spacing w:before="120" w:after="120" w:line="420" w:lineRule="exact"/>
        <w:jc w:val="both"/>
        <w:rPr>
          <w:b/>
          <w:color w:val="auto"/>
        </w:rPr>
      </w:pPr>
      <w:r>
        <w:rPr>
          <w:rFonts w:hint="eastAsia"/>
          <w:b/>
          <w:color w:val="auto"/>
        </w:rPr>
        <w:t>2.1 初步评审标准</w:t>
      </w:r>
    </w:p>
    <w:p>
      <w:pPr>
        <w:pStyle w:val="50"/>
        <w:spacing w:line="420" w:lineRule="exact"/>
        <w:ind w:firstLine="480" w:firstLineChars="200"/>
        <w:rPr>
          <w:color w:val="auto"/>
        </w:rPr>
      </w:pPr>
      <w:r>
        <w:rPr>
          <w:rFonts w:hint="eastAsia"/>
          <w:color w:val="auto"/>
        </w:rPr>
        <w:t>2.1.1 形式评审标准：见评标办法前附表。</w:t>
      </w:r>
    </w:p>
    <w:p>
      <w:pPr>
        <w:pStyle w:val="50"/>
        <w:spacing w:line="420" w:lineRule="exact"/>
        <w:ind w:firstLine="480" w:firstLineChars="200"/>
        <w:rPr>
          <w:color w:val="auto"/>
        </w:rPr>
      </w:pPr>
      <w:r>
        <w:rPr>
          <w:rFonts w:hint="eastAsia"/>
          <w:color w:val="auto"/>
        </w:rPr>
        <w:t>2.1.2 资格评审标准：见评标办法前附表。</w:t>
      </w:r>
    </w:p>
    <w:p>
      <w:pPr>
        <w:pStyle w:val="50"/>
        <w:spacing w:line="420" w:lineRule="exact"/>
        <w:ind w:firstLine="480" w:firstLineChars="200"/>
        <w:jc w:val="both"/>
        <w:rPr>
          <w:color w:val="auto"/>
        </w:rPr>
      </w:pPr>
      <w:r>
        <w:rPr>
          <w:rFonts w:hint="eastAsia"/>
          <w:color w:val="auto"/>
        </w:rPr>
        <w:t>2.1.3 响应性评审标准：见评标办法前附表。</w:t>
      </w:r>
    </w:p>
    <w:p>
      <w:pPr>
        <w:pStyle w:val="50"/>
        <w:spacing w:line="420" w:lineRule="exact"/>
        <w:jc w:val="both"/>
        <w:rPr>
          <w:rFonts w:cs="黑体"/>
          <w:b/>
          <w:color w:val="auto"/>
        </w:rPr>
      </w:pPr>
      <w:r>
        <w:rPr>
          <w:rFonts w:hint="eastAsia" w:cs="黑体"/>
          <w:b/>
          <w:color w:val="auto"/>
        </w:rPr>
        <w:t>2.2</w:t>
      </w:r>
      <w:r>
        <w:rPr>
          <w:b/>
          <w:color w:val="auto"/>
        </w:rPr>
        <w:t xml:space="preserve"> </w:t>
      </w:r>
      <w:r>
        <w:rPr>
          <w:rFonts w:hint="eastAsia" w:cs="黑体"/>
          <w:b/>
          <w:color w:val="auto"/>
        </w:rPr>
        <w:t>分值构成与评分标准</w:t>
      </w:r>
    </w:p>
    <w:p>
      <w:pPr>
        <w:pStyle w:val="50"/>
        <w:spacing w:line="420" w:lineRule="exact"/>
        <w:ind w:firstLine="480" w:firstLineChars="200"/>
        <w:jc w:val="both"/>
        <w:rPr>
          <w:color w:val="auto"/>
        </w:rPr>
      </w:pPr>
      <w:r>
        <w:rPr>
          <w:rFonts w:hint="eastAsia"/>
          <w:color w:val="auto"/>
        </w:rPr>
        <w:t>2.2.1</w:t>
      </w:r>
      <w:r>
        <w:rPr>
          <w:color w:val="auto"/>
        </w:rPr>
        <w:t xml:space="preserve"> </w:t>
      </w:r>
      <w:r>
        <w:rPr>
          <w:rFonts w:hint="eastAsia"/>
          <w:color w:val="auto"/>
        </w:rPr>
        <w:t>分值构成</w:t>
      </w:r>
    </w:p>
    <w:p>
      <w:pPr>
        <w:pStyle w:val="50"/>
        <w:spacing w:line="420" w:lineRule="exact"/>
        <w:ind w:firstLine="480" w:firstLineChars="200"/>
        <w:jc w:val="both"/>
      </w:pPr>
      <w:r>
        <w:rPr>
          <w:rFonts w:hint="eastAsia"/>
          <w:color w:val="auto"/>
        </w:rPr>
        <w:t>（1）</w:t>
      </w:r>
      <w:r>
        <w:t>技术建议书</w:t>
      </w:r>
      <w:r>
        <w:rPr>
          <w:rFonts w:hint="eastAsia"/>
        </w:rPr>
        <w:t>：</w:t>
      </w:r>
      <w:r>
        <w:t>见评标办法前附表</w:t>
      </w:r>
      <w:r>
        <w:rPr>
          <w:rFonts w:hint="eastAsia"/>
        </w:rPr>
        <w:t>；</w:t>
      </w:r>
    </w:p>
    <w:p>
      <w:pPr>
        <w:pStyle w:val="50"/>
        <w:spacing w:line="420" w:lineRule="exact"/>
        <w:ind w:firstLine="480" w:firstLineChars="200"/>
        <w:jc w:val="both"/>
      </w:pPr>
      <w:r>
        <w:rPr>
          <w:rFonts w:hint="eastAsia"/>
        </w:rPr>
        <w:t>（2）</w:t>
      </w:r>
      <w:r>
        <w:t>主要人员</w:t>
      </w:r>
      <w:r>
        <w:rPr>
          <w:rFonts w:hint="eastAsia"/>
        </w:rPr>
        <w:t>：</w:t>
      </w:r>
      <w:r>
        <w:t>见评标办法前附表</w:t>
      </w:r>
      <w:r>
        <w:rPr>
          <w:rFonts w:hint="eastAsia"/>
        </w:rPr>
        <w:t>；</w:t>
      </w:r>
    </w:p>
    <w:p>
      <w:pPr>
        <w:pStyle w:val="50"/>
        <w:spacing w:line="420" w:lineRule="exact"/>
        <w:ind w:firstLine="480" w:firstLineChars="200"/>
        <w:jc w:val="both"/>
      </w:pPr>
      <w:r>
        <w:rPr>
          <w:rFonts w:hint="eastAsia"/>
        </w:rPr>
        <w:t>（3）</w:t>
      </w:r>
      <w:r>
        <w:t>评标价</w:t>
      </w:r>
      <w:r>
        <w:rPr>
          <w:rFonts w:hint="eastAsia"/>
        </w:rPr>
        <w:t>：</w:t>
      </w:r>
      <w:r>
        <w:t>见评标办法前附表</w:t>
      </w:r>
      <w:r>
        <w:rPr>
          <w:rFonts w:hint="eastAsia"/>
        </w:rPr>
        <w:t>；</w:t>
      </w:r>
    </w:p>
    <w:p>
      <w:pPr>
        <w:pStyle w:val="50"/>
        <w:spacing w:line="420" w:lineRule="exact"/>
        <w:ind w:firstLine="480" w:firstLineChars="200"/>
        <w:jc w:val="both"/>
      </w:pPr>
      <w:r>
        <w:rPr>
          <w:rFonts w:hint="eastAsia"/>
        </w:rPr>
        <w:t>（4）</w:t>
      </w:r>
      <w:r>
        <w:t>其他评分因素</w:t>
      </w:r>
      <w:r>
        <w:rPr>
          <w:rFonts w:hint="eastAsia"/>
        </w:rPr>
        <w:t>：</w:t>
      </w:r>
      <w:r>
        <w:t>见评标办法前附表。</w:t>
      </w:r>
    </w:p>
    <w:p>
      <w:pPr>
        <w:pStyle w:val="50"/>
        <w:spacing w:line="420" w:lineRule="exact"/>
        <w:ind w:firstLine="480" w:firstLineChars="200"/>
        <w:jc w:val="both"/>
      </w:pPr>
      <w:r>
        <w:rPr>
          <w:rFonts w:hint="eastAsia"/>
        </w:rPr>
        <w:t>2.2.2 评标基准价计算</w:t>
      </w:r>
    </w:p>
    <w:p>
      <w:pPr>
        <w:pStyle w:val="50"/>
        <w:spacing w:line="420" w:lineRule="exact"/>
        <w:ind w:firstLine="480" w:firstLineChars="200"/>
        <w:jc w:val="both"/>
      </w:pPr>
      <w:r>
        <w:rPr>
          <w:rFonts w:hint="eastAsia"/>
        </w:rPr>
        <w:t>评标基准价计算方法：</w:t>
      </w:r>
      <w:r>
        <w:t>见评标办法前附表。</w:t>
      </w:r>
    </w:p>
    <w:p>
      <w:pPr>
        <w:pStyle w:val="50"/>
        <w:spacing w:line="420" w:lineRule="exact"/>
        <w:ind w:firstLine="480" w:firstLineChars="200"/>
        <w:jc w:val="both"/>
      </w:pPr>
      <w:r>
        <w:rPr>
          <w:rFonts w:hint="eastAsia"/>
        </w:rPr>
        <w:t>2.2.3 评标价的偏差率计算</w:t>
      </w:r>
    </w:p>
    <w:p>
      <w:pPr>
        <w:pStyle w:val="50"/>
        <w:spacing w:line="420" w:lineRule="exact"/>
        <w:ind w:firstLine="480" w:firstLineChars="200"/>
        <w:jc w:val="both"/>
      </w:pPr>
      <w:r>
        <w:rPr>
          <w:rFonts w:hint="eastAsia"/>
        </w:rPr>
        <w:t>评标价的偏差率计算公式：</w:t>
      </w:r>
      <w:r>
        <w:t>见评标办法前附表。</w:t>
      </w:r>
    </w:p>
    <w:p>
      <w:pPr>
        <w:pStyle w:val="50"/>
        <w:spacing w:line="420" w:lineRule="exact"/>
        <w:ind w:firstLine="480" w:firstLineChars="200"/>
        <w:jc w:val="both"/>
        <w:rPr>
          <w:rFonts w:cs="黑体"/>
          <w:color w:val="auto"/>
        </w:rPr>
      </w:pPr>
      <w:r>
        <w:rPr>
          <w:rFonts w:hint="eastAsia" w:cs="黑体"/>
          <w:color w:val="auto"/>
        </w:rPr>
        <w:t>2.2.4 评分标准</w:t>
      </w:r>
    </w:p>
    <w:p>
      <w:pPr>
        <w:pStyle w:val="50"/>
        <w:spacing w:line="420" w:lineRule="exact"/>
        <w:ind w:firstLine="480" w:firstLineChars="200"/>
        <w:rPr>
          <w:rFonts w:cs="黑体"/>
          <w:color w:val="auto"/>
        </w:rPr>
      </w:pPr>
      <w:r>
        <w:rPr>
          <w:rFonts w:hint="eastAsia" w:cs="黑体"/>
          <w:color w:val="auto"/>
        </w:rPr>
        <w:t>（1）技术建议书评分标准：见评标办法前附表；</w:t>
      </w:r>
    </w:p>
    <w:p>
      <w:pPr>
        <w:pStyle w:val="50"/>
        <w:spacing w:line="420" w:lineRule="exact"/>
        <w:ind w:firstLine="480" w:firstLineChars="200"/>
        <w:rPr>
          <w:rFonts w:cs="黑体"/>
          <w:color w:val="auto"/>
        </w:rPr>
      </w:pPr>
      <w:r>
        <w:rPr>
          <w:rFonts w:hint="eastAsia" w:cs="黑体"/>
          <w:color w:val="auto"/>
        </w:rPr>
        <w:t>（2）主要人员评分标准：见评标办法前附表；</w:t>
      </w:r>
    </w:p>
    <w:p>
      <w:pPr>
        <w:pStyle w:val="50"/>
        <w:spacing w:line="420" w:lineRule="exact"/>
        <w:ind w:firstLine="480" w:firstLineChars="200"/>
        <w:rPr>
          <w:rFonts w:cs="黑体"/>
          <w:color w:val="auto"/>
        </w:rPr>
      </w:pPr>
      <w:r>
        <w:rPr>
          <w:rFonts w:hint="eastAsia" w:cs="黑体"/>
          <w:color w:val="auto"/>
        </w:rPr>
        <w:t>（3）评标价评分标准：见评标办法前附表；</w:t>
      </w:r>
    </w:p>
    <w:p>
      <w:pPr>
        <w:pStyle w:val="50"/>
        <w:spacing w:line="420" w:lineRule="exact"/>
        <w:ind w:firstLine="480" w:firstLineChars="200"/>
        <w:jc w:val="both"/>
        <w:rPr>
          <w:rFonts w:cs="黑体"/>
          <w:color w:val="auto"/>
        </w:rPr>
      </w:pPr>
      <w:r>
        <w:rPr>
          <w:rFonts w:hint="eastAsia" w:cs="黑体"/>
          <w:color w:val="auto"/>
        </w:rPr>
        <w:t>（4）其他因素评分标准：见评标办法前附表。</w:t>
      </w:r>
    </w:p>
    <w:p>
      <w:pPr>
        <w:pStyle w:val="50"/>
        <w:spacing w:line="420" w:lineRule="exact"/>
        <w:jc w:val="both"/>
        <w:rPr>
          <w:rFonts w:cs="黑体"/>
          <w:b/>
          <w:color w:val="auto"/>
        </w:rPr>
      </w:pPr>
      <w:r>
        <w:rPr>
          <w:rFonts w:hint="eastAsia" w:ascii="黑体" w:eastAsia="黑体"/>
          <w:b/>
          <w:color w:val="auto"/>
        </w:rPr>
        <w:t>3.评标程序</w:t>
      </w:r>
    </w:p>
    <w:p>
      <w:pPr>
        <w:pStyle w:val="50"/>
        <w:spacing w:line="420" w:lineRule="exact"/>
        <w:jc w:val="both"/>
        <w:rPr>
          <w:rFonts w:cs="黑体"/>
          <w:b/>
          <w:color w:val="auto"/>
        </w:rPr>
      </w:pPr>
      <w:r>
        <w:rPr>
          <w:rFonts w:hint="eastAsia" w:cs="黑体"/>
          <w:b/>
          <w:color w:val="auto"/>
        </w:rPr>
        <w:t>3.1 第一个信封初步评审</w:t>
      </w:r>
    </w:p>
    <w:p>
      <w:pPr>
        <w:pStyle w:val="50"/>
        <w:spacing w:line="420" w:lineRule="exact"/>
        <w:ind w:firstLine="480" w:firstLineChars="200"/>
      </w:pPr>
      <w:r>
        <w:rPr>
          <w:rFonts w:hint="eastAsia"/>
          <w:color w:val="auto"/>
        </w:rPr>
        <w:t xml:space="preserve">3.1.1 </w:t>
      </w:r>
      <w:r>
        <w:rPr>
          <w:rFonts w:hint="eastAsia"/>
        </w:rPr>
        <w:t>评标委员会可以要求投标人提交第二章“投标人须知”第 3.5.1 项至第 3.5.5项规定的有关证明和证件的原件，以便核验。评标委员会依据本章第2.1 款规定的标准对投标文件第一个信封（商务及技术文件）进行初步评审。有一项不符合评审标准的，评标委员会应否决其投标。</w:t>
      </w:r>
    </w:p>
    <w:p>
      <w:pPr>
        <w:spacing w:before="120" w:after="120" w:line="420" w:lineRule="exact"/>
        <w:jc w:val="left"/>
        <w:rPr>
          <w:rFonts w:cs="黑体"/>
          <w:b/>
          <w:sz w:val="24"/>
        </w:rPr>
      </w:pPr>
      <w:r>
        <w:rPr>
          <w:rFonts w:hint="eastAsia" w:cs="黑体"/>
          <w:b/>
          <w:sz w:val="24"/>
        </w:rPr>
        <w:t>3.2</w:t>
      </w:r>
      <w:r>
        <w:rPr>
          <w:rFonts w:hint="eastAsia"/>
          <w:b/>
          <w:sz w:val="24"/>
        </w:rPr>
        <w:t xml:space="preserve"> 第一个信封详细评审</w:t>
      </w:r>
    </w:p>
    <w:p>
      <w:pPr>
        <w:pStyle w:val="50"/>
        <w:spacing w:line="420" w:lineRule="exact"/>
        <w:ind w:firstLine="480" w:firstLineChars="200"/>
        <w:rPr>
          <w:color w:val="auto"/>
          <w:kern w:val="2"/>
        </w:rPr>
      </w:pPr>
      <w:r>
        <w:rPr>
          <w:rFonts w:hint="eastAsia"/>
          <w:color w:val="auto"/>
          <w:kern w:val="2"/>
        </w:rPr>
        <w:t>3.2.1 评标委员会按本章第2.2款规定的量化因素和分值进行打分，并计算出各投标人的</w:t>
      </w:r>
      <w:r>
        <w:t>商务和技术得分</w:t>
      </w:r>
      <w:r>
        <w:rPr>
          <w:rFonts w:hint="eastAsia"/>
          <w:color w:val="auto"/>
          <w:kern w:val="2"/>
        </w:rPr>
        <w:t xml:space="preserve"> 。</w:t>
      </w:r>
    </w:p>
    <w:p>
      <w:pPr>
        <w:pStyle w:val="50"/>
        <w:spacing w:line="420" w:lineRule="exact"/>
        <w:ind w:firstLine="480" w:firstLineChars="200"/>
        <w:rPr>
          <w:color w:val="auto"/>
          <w:kern w:val="2"/>
        </w:rPr>
      </w:pPr>
      <w:r>
        <w:rPr>
          <w:rFonts w:hint="eastAsia"/>
          <w:color w:val="auto"/>
          <w:kern w:val="2"/>
        </w:rPr>
        <w:t>（1）按本章第2.2.4项（1）目规定的评审因素和分值对技术建议书部分计算出得分A；</w:t>
      </w:r>
    </w:p>
    <w:p>
      <w:pPr>
        <w:pStyle w:val="50"/>
        <w:spacing w:line="420" w:lineRule="exact"/>
        <w:ind w:firstLine="480" w:firstLineChars="200"/>
        <w:rPr>
          <w:color w:val="auto"/>
          <w:kern w:val="2"/>
        </w:rPr>
      </w:pPr>
      <w:r>
        <w:rPr>
          <w:rFonts w:hint="eastAsia"/>
          <w:color w:val="auto"/>
          <w:kern w:val="2"/>
        </w:rPr>
        <w:t>（2）按本章第2.2.4项（2）目规定的评审因素和分值对主要人员部分计算出得分B；</w:t>
      </w:r>
    </w:p>
    <w:p>
      <w:pPr>
        <w:pStyle w:val="50"/>
        <w:spacing w:line="420" w:lineRule="exact"/>
        <w:ind w:firstLine="480" w:firstLineChars="200"/>
        <w:rPr>
          <w:color w:val="auto"/>
          <w:kern w:val="2"/>
        </w:rPr>
      </w:pPr>
      <w:r>
        <w:rPr>
          <w:rFonts w:hint="eastAsia"/>
          <w:color w:val="auto"/>
          <w:kern w:val="2"/>
        </w:rPr>
        <w:t>（3）按本章第2.2.4项（4）目规定的评审因素和分值对其他部分计算出得分D。</w:t>
      </w:r>
    </w:p>
    <w:p>
      <w:pPr>
        <w:pStyle w:val="50"/>
        <w:spacing w:line="420" w:lineRule="exact"/>
        <w:ind w:firstLine="480" w:firstLineChars="200"/>
        <w:rPr>
          <w:color w:val="auto"/>
          <w:kern w:val="2"/>
        </w:rPr>
      </w:pPr>
      <w:r>
        <w:rPr>
          <w:rFonts w:hint="eastAsia"/>
          <w:color w:val="auto"/>
          <w:kern w:val="2"/>
        </w:rPr>
        <w:t>3.2.2 投标人的</w:t>
      </w:r>
      <w:r>
        <w:t>商务和技术得分</w:t>
      </w:r>
      <w:r>
        <w:rPr>
          <w:rFonts w:hint="eastAsia"/>
          <w:color w:val="auto"/>
          <w:kern w:val="2"/>
        </w:rPr>
        <w:t>分值计算保留小数点后两位，小数点后第三位“四舍五入”。</w:t>
      </w:r>
    </w:p>
    <w:p>
      <w:pPr>
        <w:pStyle w:val="50"/>
        <w:spacing w:line="420" w:lineRule="exact"/>
        <w:ind w:firstLine="480" w:firstLineChars="200"/>
        <w:jc w:val="both"/>
        <w:rPr>
          <w:color w:val="auto"/>
          <w:kern w:val="2"/>
        </w:rPr>
      </w:pPr>
      <w:r>
        <w:rPr>
          <w:rFonts w:hint="eastAsia"/>
          <w:color w:val="auto"/>
          <w:kern w:val="2"/>
        </w:rPr>
        <w:t>3.2.3 投标人</w:t>
      </w:r>
      <w:r>
        <w:t>商务和技术得分</w:t>
      </w:r>
      <w:r>
        <w:rPr>
          <w:rFonts w:hint="eastAsia"/>
          <w:color w:val="auto"/>
          <w:kern w:val="2"/>
        </w:rPr>
        <w:t>得分=A+B+D。</w:t>
      </w:r>
    </w:p>
    <w:p>
      <w:pPr>
        <w:pStyle w:val="50"/>
        <w:spacing w:line="420" w:lineRule="exact"/>
        <w:jc w:val="both"/>
        <w:rPr>
          <w:color w:val="auto"/>
        </w:rPr>
      </w:pPr>
      <w:r>
        <w:rPr>
          <w:rFonts w:hint="eastAsia" w:cs="黑体"/>
          <w:b/>
          <w:color w:val="auto"/>
        </w:rPr>
        <w:t xml:space="preserve">3.3 </w:t>
      </w:r>
      <w:r>
        <w:rPr>
          <w:rFonts w:hint="eastAsia"/>
          <w:b/>
          <w:color w:val="auto"/>
        </w:rPr>
        <w:t>第二个信封开标</w:t>
      </w:r>
    </w:p>
    <w:p>
      <w:pPr>
        <w:pStyle w:val="50"/>
        <w:spacing w:line="420" w:lineRule="exact"/>
        <w:ind w:firstLine="480" w:firstLineChars="200"/>
        <w:jc w:val="both"/>
        <w:rPr>
          <w:color w:val="auto"/>
        </w:rPr>
      </w:pPr>
      <w:r>
        <w:rPr>
          <w:rFonts w:hint="eastAsia"/>
          <w:color w:val="auto"/>
        </w:rPr>
        <w:t>第一个信封（商务及技术文件）评审结束后，招标人将按照第二章 “投标人须知”第5.1款规定的时间和地点对通过投标文件第一个信封（商务及技术文件）评审的投标文件第二个信封（报价文件）进行开标。</w:t>
      </w:r>
    </w:p>
    <w:p>
      <w:pPr>
        <w:pStyle w:val="50"/>
        <w:spacing w:line="420" w:lineRule="exact"/>
        <w:jc w:val="both"/>
        <w:rPr>
          <w:b/>
          <w:color w:val="auto"/>
        </w:rPr>
      </w:pPr>
      <w:r>
        <w:rPr>
          <w:rFonts w:hint="eastAsia"/>
          <w:b/>
          <w:color w:val="auto"/>
        </w:rPr>
        <w:t>3.4 第二个信封初步评审</w:t>
      </w:r>
    </w:p>
    <w:p>
      <w:pPr>
        <w:pStyle w:val="50"/>
        <w:spacing w:line="420" w:lineRule="exact"/>
        <w:ind w:firstLine="480" w:firstLineChars="200"/>
        <w:jc w:val="both"/>
        <w:rPr>
          <w:color w:val="auto"/>
        </w:rPr>
      </w:pPr>
      <w:r>
        <w:rPr>
          <w:rFonts w:hint="eastAsia"/>
          <w:color w:val="auto"/>
        </w:rPr>
        <w:t>3.4.1 评标委员会依据本章第2.1.1项、第2.1.3项规定的评审标准对投标文件第二个信封（报价文件）进行初步评审。有一项不符合评审标准的，评标委员会应否决其投标。</w:t>
      </w:r>
    </w:p>
    <w:p>
      <w:pPr>
        <w:pStyle w:val="50"/>
        <w:spacing w:line="420" w:lineRule="exact"/>
        <w:ind w:firstLine="480" w:firstLineChars="200"/>
        <w:jc w:val="both"/>
        <w:rPr>
          <w:color w:val="auto"/>
        </w:rPr>
      </w:pPr>
      <w:r>
        <w:rPr>
          <w:rFonts w:hint="eastAsia"/>
          <w:color w:val="auto"/>
        </w:rPr>
        <w:t>3.4.2 投标报价有算数错误的，评标委员会按以下原则对投标报价进行修正，修正的价格经投标人书面确认后具有约束力。投标人不接受修正价格的，评标委员会应否决其投标。</w:t>
      </w:r>
    </w:p>
    <w:p>
      <w:pPr>
        <w:pStyle w:val="50"/>
        <w:spacing w:line="420" w:lineRule="exact"/>
        <w:ind w:firstLine="480" w:firstLineChars="200"/>
        <w:jc w:val="both"/>
        <w:rPr>
          <w:color w:val="auto"/>
        </w:rPr>
      </w:pPr>
      <w:r>
        <w:rPr>
          <w:rFonts w:hint="eastAsia"/>
          <w:color w:val="auto"/>
        </w:rPr>
        <w:t>（1）投标文件中的大写金额与小写金额不一致的，以大写金额为准；</w:t>
      </w:r>
    </w:p>
    <w:p>
      <w:pPr>
        <w:pStyle w:val="50"/>
        <w:spacing w:line="420" w:lineRule="exact"/>
        <w:ind w:firstLine="480" w:firstLineChars="200"/>
        <w:jc w:val="both"/>
        <w:rPr>
          <w:color w:val="auto"/>
        </w:rPr>
      </w:pPr>
      <w:r>
        <w:rPr>
          <w:rFonts w:hint="eastAsia"/>
          <w:color w:val="auto"/>
        </w:rPr>
        <w:t>（2）总价金额与依据单价计算出的结果不一致的，以单价金额为准修正总价，但单价金额小数点有明显的错误的除外；</w:t>
      </w:r>
    </w:p>
    <w:p>
      <w:pPr>
        <w:pStyle w:val="50"/>
        <w:spacing w:line="420" w:lineRule="exact"/>
        <w:ind w:firstLine="480" w:firstLineChars="200"/>
        <w:jc w:val="both"/>
        <w:rPr>
          <w:color w:val="auto"/>
        </w:rPr>
      </w:pPr>
      <w:r>
        <w:rPr>
          <w:rFonts w:hint="eastAsia"/>
          <w:color w:val="auto"/>
        </w:rPr>
        <w:t>（3）当单价与数量相乘不等于合价时，以单价计算为准，如果单价有明显的小数点位置差错，应以标出的合价为准，同时对单价予以修正；</w:t>
      </w:r>
    </w:p>
    <w:p>
      <w:pPr>
        <w:pStyle w:val="50"/>
        <w:spacing w:line="420" w:lineRule="exact"/>
        <w:ind w:firstLine="480" w:firstLineChars="200"/>
        <w:jc w:val="both"/>
        <w:rPr>
          <w:color w:val="auto"/>
        </w:rPr>
      </w:pPr>
      <w:r>
        <w:rPr>
          <w:rFonts w:hint="eastAsia"/>
          <w:color w:val="auto"/>
        </w:rPr>
        <w:t>（4）当各子目的合价累计不等于总价时，应以各子目合价累计数为准，修正总价。</w:t>
      </w:r>
    </w:p>
    <w:p>
      <w:pPr>
        <w:pStyle w:val="50"/>
        <w:spacing w:line="420" w:lineRule="exact"/>
        <w:ind w:firstLine="480" w:firstLineChars="200"/>
        <w:jc w:val="both"/>
        <w:rPr>
          <w:color w:val="auto"/>
        </w:rPr>
      </w:pPr>
      <w:r>
        <w:rPr>
          <w:rFonts w:hint="eastAsia"/>
          <w:color w:val="auto"/>
        </w:rPr>
        <w:t>3.4.3 修正后的最终投标报价若超过最高投标限价（如有），评标委员会应否决其投标。</w:t>
      </w:r>
    </w:p>
    <w:p>
      <w:pPr>
        <w:pStyle w:val="50"/>
        <w:spacing w:line="420" w:lineRule="exact"/>
        <w:ind w:firstLine="480" w:firstLineChars="200"/>
        <w:jc w:val="both"/>
        <w:rPr>
          <w:color w:val="auto"/>
        </w:rPr>
      </w:pPr>
      <w:r>
        <w:rPr>
          <w:rFonts w:hint="eastAsia"/>
          <w:color w:val="auto"/>
        </w:rPr>
        <w:t>3.4.4 修正后的最终投标报价仅作为签订合同的一个依据，不参与评标价得分的计算。</w:t>
      </w:r>
    </w:p>
    <w:p>
      <w:pPr>
        <w:pStyle w:val="50"/>
        <w:spacing w:before="120" w:after="120" w:line="420" w:lineRule="exact"/>
        <w:jc w:val="both"/>
        <w:rPr>
          <w:b/>
          <w:color w:val="auto"/>
        </w:rPr>
      </w:pPr>
      <w:r>
        <w:rPr>
          <w:rFonts w:hint="eastAsia"/>
          <w:b/>
          <w:color w:val="auto"/>
        </w:rPr>
        <w:t>3.5 第二个信封详细评审</w:t>
      </w:r>
    </w:p>
    <w:p>
      <w:pPr>
        <w:pStyle w:val="50"/>
        <w:spacing w:before="120" w:after="120" w:line="420" w:lineRule="exact"/>
        <w:ind w:firstLine="480" w:firstLineChars="200"/>
        <w:jc w:val="both"/>
        <w:rPr>
          <w:color w:val="auto"/>
        </w:rPr>
      </w:pPr>
      <w:r>
        <w:rPr>
          <w:rFonts w:hint="eastAsia"/>
          <w:color w:val="auto"/>
        </w:rPr>
        <w:t>3.5.1 评标委员会按本章第2.2.4项（3）目规定的评审因素和分值对评标价计算出得分C。评标价得分分值计算保留小数点后两位，小数点后第三位“四舍五入”。</w:t>
      </w:r>
    </w:p>
    <w:p>
      <w:pPr>
        <w:pStyle w:val="50"/>
        <w:spacing w:before="120" w:after="120" w:line="420" w:lineRule="exact"/>
        <w:ind w:firstLine="480" w:firstLineChars="200"/>
        <w:jc w:val="both"/>
        <w:rPr>
          <w:color w:val="auto"/>
        </w:rPr>
      </w:pPr>
      <w:r>
        <w:rPr>
          <w:rFonts w:hint="eastAsia"/>
          <w:color w:val="auto"/>
        </w:rPr>
        <w:t>3.5.2 投标人综合得分=投标人的商务和技术得分+C。</w:t>
      </w:r>
    </w:p>
    <w:p>
      <w:pPr>
        <w:pStyle w:val="50"/>
        <w:spacing w:before="120" w:after="120" w:line="420" w:lineRule="exact"/>
        <w:ind w:firstLine="480" w:firstLineChars="200"/>
        <w:jc w:val="both"/>
        <w:rPr>
          <w:color w:val="auto"/>
        </w:rPr>
      </w:pPr>
      <w:r>
        <w:rPr>
          <w:rFonts w:hint="eastAsia"/>
          <w:color w:val="auto"/>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50"/>
        <w:spacing w:before="120" w:after="120" w:line="420" w:lineRule="exact"/>
        <w:jc w:val="both"/>
        <w:rPr>
          <w:b/>
          <w:color w:val="auto"/>
        </w:rPr>
      </w:pPr>
      <w:r>
        <w:rPr>
          <w:rFonts w:hint="eastAsia"/>
          <w:b/>
          <w:color w:val="auto"/>
        </w:rPr>
        <w:t>3.6 投标文件相关信息的核查</w:t>
      </w:r>
    </w:p>
    <w:p>
      <w:pPr>
        <w:pStyle w:val="50"/>
        <w:spacing w:line="420" w:lineRule="exact"/>
        <w:ind w:firstLine="480" w:firstLineChars="200"/>
        <w:jc w:val="both"/>
        <w:rPr>
          <w:color w:val="auto"/>
        </w:rPr>
      </w:pPr>
      <w:r>
        <w:rPr>
          <w:rFonts w:hint="eastAsia"/>
          <w:color w:val="auto"/>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保人的资格条件不符合招标文件规定的，评标委员会应否决其投标。</w:t>
      </w:r>
    </w:p>
    <w:p>
      <w:pPr>
        <w:pStyle w:val="50"/>
        <w:spacing w:line="420" w:lineRule="exact"/>
        <w:ind w:firstLine="480" w:firstLineChars="200"/>
        <w:jc w:val="both"/>
        <w:rPr>
          <w:color w:val="auto"/>
        </w:rPr>
      </w:pPr>
      <w:r>
        <w:rPr>
          <w:rFonts w:hint="eastAsia"/>
          <w:color w:val="auto"/>
        </w:rPr>
        <w:t>3.6.2 评标委员会应对在评标过程中发现的投标人与投标人之间、投标人与招标人之间存在的串通投标的情形进行评审和认定。投标人存在串通投标、弄虚作假、行贿等违法行为的，评标委员会应否决其投标。</w:t>
      </w:r>
    </w:p>
    <w:p>
      <w:pPr>
        <w:pStyle w:val="50"/>
        <w:spacing w:line="420" w:lineRule="exact"/>
        <w:ind w:firstLine="480" w:firstLineChars="200"/>
        <w:jc w:val="both"/>
        <w:rPr>
          <w:color w:val="auto"/>
        </w:rPr>
      </w:pPr>
      <w:r>
        <w:rPr>
          <w:rFonts w:hint="eastAsia"/>
          <w:color w:val="auto"/>
        </w:rPr>
        <w:t>（1）有下列情形之一的，属于投标人相互串通投标：</w:t>
      </w:r>
    </w:p>
    <w:p>
      <w:pPr>
        <w:pStyle w:val="50"/>
        <w:spacing w:line="420" w:lineRule="exact"/>
        <w:ind w:firstLine="480" w:firstLineChars="200"/>
        <w:jc w:val="both"/>
        <w:rPr>
          <w:color w:val="auto"/>
        </w:rPr>
      </w:pPr>
      <w:r>
        <w:rPr>
          <w:rFonts w:hint="eastAsia"/>
          <w:color w:val="auto"/>
        </w:rPr>
        <w:t>a.投标人之间协商投标报价等投标文件的实质性内容；</w:t>
      </w:r>
    </w:p>
    <w:p>
      <w:pPr>
        <w:pStyle w:val="50"/>
        <w:spacing w:line="420" w:lineRule="exact"/>
        <w:ind w:firstLine="480" w:firstLineChars="200"/>
        <w:jc w:val="both"/>
        <w:rPr>
          <w:color w:val="auto"/>
        </w:rPr>
      </w:pPr>
      <w:r>
        <w:rPr>
          <w:rFonts w:hint="eastAsia"/>
          <w:color w:val="auto"/>
        </w:rPr>
        <w:t>b.投标人之间约定中标人；</w:t>
      </w:r>
    </w:p>
    <w:p>
      <w:pPr>
        <w:pStyle w:val="50"/>
        <w:spacing w:line="420" w:lineRule="exact"/>
        <w:ind w:firstLine="480" w:firstLineChars="200"/>
        <w:jc w:val="both"/>
        <w:rPr>
          <w:color w:val="auto"/>
        </w:rPr>
      </w:pPr>
      <w:r>
        <w:rPr>
          <w:rFonts w:hint="eastAsia"/>
          <w:color w:val="auto"/>
        </w:rPr>
        <w:t>c.投标人之间约定部分投标人放弃投标或中标；</w:t>
      </w:r>
    </w:p>
    <w:p>
      <w:pPr>
        <w:pStyle w:val="50"/>
        <w:spacing w:line="420" w:lineRule="exact"/>
        <w:ind w:firstLine="480" w:firstLineChars="200"/>
        <w:jc w:val="both"/>
        <w:rPr>
          <w:color w:val="auto"/>
        </w:rPr>
      </w:pPr>
      <w:r>
        <w:rPr>
          <w:rFonts w:hint="eastAsia"/>
          <w:color w:val="auto"/>
        </w:rPr>
        <w:t>d.属于同一集团、协会、商会等组织成员的投标人按照该组织要求协同投标；</w:t>
      </w:r>
    </w:p>
    <w:p>
      <w:pPr>
        <w:pStyle w:val="50"/>
        <w:spacing w:line="420" w:lineRule="exact"/>
        <w:ind w:firstLine="480" w:firstLineChars="200"/>
        <w:jc w:val="both"/>
        <w:rPr>
          <w:color w:val="auto"/>
        </w:rPr>
      </w:pPr>
      <w:r>
        <w:rPr>
          <w:rFonts w:hint="eastAsia"/>
          <w:color w:val="auto"/>
        </w:rPr>
        <w:t>e.投标人之间为谋取中标或排斥特定投标人而采取的其他联合行动。</w:t>
      </w:r>
    </w:p>
    <w:p>
      <w:pPr>
        <w:pStyle w:val="50"/>
        <w:spacing w:line="420" w:lineRule="exact"/>
        <w:ind w:firstLine="480" w:firstLineChars="200"/>
        <w:jc w:val="both"/>
        <w:rPr>
          <w:color w:val="auto"/>
        </w:rPr>
      </w:pPr>
      <w:r>
        <w:rPr>
          <w:rFonts w:hint="eastAsia"/>
          <w:color w:val="auto"/>
        </w:rPr>
        <w:t>（2）有下列情形之一的，视为投标人相互串通投标：</w:t>
      </w:r>
    </w:p>
    <w:p>
      <w:pPr>
        <w:pStyle w:val="50"/>
        <w:spacing w:line="420" w:lineRule="exact"/>
        <w:ind w:firstLine="480" w:firstLineChars="200"/>
        <w:jc w:val="both"/>
        <w:rPr>
          <w:color w:val="auto"/>
        </w:rPr>
      </w:pPr>
      <w:r>
        <w:rPr>
          <w:rFonts w:hint="eastAsia"/>
          <w:color w:val="auto"/>
        </w:rPr>
        <w:t>a.不同投标人的投标文件由同一单位或个人编制；</w:t>
      </w:r>
    </w:p>
    <w:p>
      <w:pPr>
        <w:pStyle w:val="50"/>
        <w:spacing w:line="420" w:lineRule="exact"/>
        <w:ind w:firstLine="480" w:firstLineChars="200"/>
        <w:jc w:val="both"/>
        <w:rPr>
          <w:color w:val="auto"/>
        </w:rPr>
      </w:pPr>
      <w:r>
        <w:rPr>
          <w:rFonts w:hint="eastAsia"/>
          <w:color w:val="auto"/>
        </w:rPr>
        <w:t>b.不同投标人委托同一单位或个人办理投标事宜；</w:t>
      </w:r>
    </w:p>
    <w:p>
      <w:pPr>
        <w:pStyle w:val="50"/>
        <w:spacing w:line="420" w:lineRule="exact"/>
        <w:ind w:firstLine="480" w:firstLineChars="200"/>
        <w:jc w:val="both"/>
        <w:rPr>
          <w:color w:val="auto"/>
        </w:rPr>
      </w:pPr>
      <w:r>
        <w:rPr>
          <w:rFonts w:hint="eastAsia"/>
          <w:color w:val="auto"/>
        </w:rPr>
        <w:t>c.不同投标人的投标文件载明的项目管理成员为同一人；</w:t>
      </w:r>
    </w:p>
    <w:p>
      <w:pPr>
        <w:pStyle w:val="50"/>
        <w:spacing w:line="420" w:lineRule="exact"/>
        <w:ind w:firstLine="480" w:firstLineChars="200"/>
        <w:jc w:val="both"/>
        <w:rPr>
          <w:color w:val="auto"/>
        </w:rPr>
      </w:pPr>
      <w:r>
        <w:rPr>
          <w:rFonts w:hint="eastAsia"/>
          <w:color w:val="auto"/>
        </w:rPr>
        <w:t>d.不同投标人的投标文件异常一致或投标报价呈规律性差异；</w:t>
      </w:r>
    </w:p>
    <w:p>
      <w:pPr>
        <w:pStyle w:val="50"/>
        <w:spacing w:line="420" w:lineRule="exact"/>
        <w:ind w:firstLine="480" w:firstLineChars="200"/>
        <w:jc w:val="both"/>
        <w:rPr>
          <w:color w:val="auto"/>
        </w:rPr>
      </w:pPr>
      <w:r>
        <w:rPr>
          <w:rFonts w:hint="eastAsia"/>
          <w:color w:val="auto"/>
        </w:rPr>
        <w:t>e.不同投标人的投标文件相互混装；</w:t>
      </w:r>
    </w:p>
    <w:p>
      <w:pPr>
        <w:pStyle w:val="50"/>
        <w:spacing w:line="420" w:lineRule="exact"/>
        <w:ind w:firstLine="480" w:firstLineChars="200"/>
        <w:jc w:val="both"/>
        <w:rPr>
          <w:color w:val="auto"/>
        </w:rPr>
      </w:pPr>
      <w:r>
        <w:rPr>
          <w:rFonts w:hint="eastAsia"/>
          <w:color w:val="auto"/>
        </w:rPr>
        <w:t>f. 不同投标人的投标保证金从同一单位或个人的账户转出。</w:t>
      </w:r>
    </w:p>
    <w:p>
      <w:pPr>
        <w:pStyle w:val="50"/>
        <w:spacing w:line="420" w:lineRule="exact"/>
        <w:ind w:firstLine="480" w:firstLineChars="200"/>
        <w:jc w:val="both"/>
        <w:rPr>
          <w:color w:val="auto"/>
        </w:rPr>
      </w:pPr>
      <w:r>
        <w:rPr>
          <w:rFonts w:hint="eastAsia"/>
          <w:color w:val="auto"/>
        </w:rPr>
        <w:t>（3）有下列情形之一的，属于招标人与投标人串通投标：</w:t>
      </w:r>
    </w:p>
    <w:p>
      <w:pPr>
        <w:pStyle w:val="50"/>
        <w:spacing w:line="420" w:lineRule="exact"/>
        <w:ind w:firstLine="480" w:firstLineChars="200"/>
        <w:jc w:val="both"/>
        <w:rPr>
          <w:color w:val="auto"/>
        </w:rPr>
      </w:pPr>
      <w:r>
        <w:rPr>
          <w:rFonts w:hint="eastAsia"/>
          <w:color w:val="auto"/>
        </w:rPr>
        <w:t>a.招标人在开标前开启投标文件并将有关信息泄露给其他投标人；</w:t>
      </w:r>
    </w:p>
    <w:p>
      <w:pPr>
        <w:pStyle w:val="50"/>
        <w:spacing w:line="420" w:lineRule="exact"/>
        <w:ind w:firstLine="480" w:firstLineChars="200"/>
        <w:jc w:val="both"/>
        <w:rPr>
          <w:color w:val="auto"/>
        </w:rPr>
      </w:pPr>
      <w:r>
        <w:rPr>
          <w:rFonts w:hint="eastAsia"/>
          <w:color w:val="auto"/>
        </w:rPr>
        <w:t>b.招标人直接或间接向投标人泄露标底、评标委员会成员信息；</w:t>
      </w:r>
    </w:p>
    <w:p>
      <w:pPr>
        <w:pStyle w:val="50"/>
        <w:spacing w:line="420" w:lineRule="exact"/>
        <w:ind w:firstLine="480" w:firstLineChars="200"/>
        <w:jc w:val="both"/>
        <w:rPr>
          <w:color w:val="auto"/>
        </w:rPr>
      </w:pPr>
      <w:r>
        <w:rPr>
          <w:rFonts w:hint="eastAsia"/>
          <w:color w:val="auto"/>
        </w:rPr>
        <w:t>c.招标人明示或暗示投标人压低或抬高投标报价；</w:t>
      </w:r>
    </w:p>
    <w:p>
      <w:pPr>
        <w:pStyle w:val="50"/>
        <w:spacing w:line="420" w:lineRule="exact"/>
        <w:ind w:firstLine="480" w:firstLineChars="200"/>
        <w:jc w:val="both"/>
        <w:rPr>
          <w:color w:val="auto"/>
        </w:rPr>
      </w:pPr>
      <w:r>
        <w:rPr>
          <w:rFonts w:hint="eastAsia"/>
          <w:color w:val="auto"/>
        </w:rPr>
        <w:t>d.招标人授意投标人撤换、修改投标文件；</w:t>
      </w:r>
    </w:p>
    <w:p>
      <w:pPr>
        <w:pStyle w:val="50"/>
        <w:spacing w:line="420" w:lineRule="exact"/>
        <w:ind w:firstLine="480" w:firstLineChars="200"/>
        <w:jc w:val="both"/>
        <w:rPr>
          <w:color w:val="auto"/>
        </w:rPr>
      </w:pPr>
      <w:r>
        <w:rPr>
          <w:rFonts w:hint="eastAsia"/>
          <w:color w:val="auto"/>
        </w:rPr>
        <w:t>e.招标人明示或暗示投标人为特定投标人中标提供方便；</w:t>
      </w:r>
    </w:p>
    <w:p>
      <w:pPr>
        <w:pStyle w:val="50"/>
        <w:spacing w:line="420" w:lineRule="exact"/>
        <w:ind w:firstLine="480" w:firstLineChars="200"/>
        <w:jc w:val="both"/>
        <w:rPr>
          <w:color w:val="auto"/>
        </w:rPr>
      </w:pPr>
      <w:r>
        <w:rPr>
          <w:rFonts w:hint="eastAsia"/>
          <w:color w:val="auto"/>
        </w:rPr>
        <w:t>f.招标人与投标人为谋求特定投标人中标而采取的其他串通行为。</w:t>
      </w:r>
    </w:p>
    <w:p>
      <w:pPr>
        <w:pStyle w:val="50"/>
        <w:spacing w:line="420" w:lineRule="exact"/>
        <w:ind w:firstLine="480" w:firstLineChars="200"/>
        <w:jc w:val="both"/>
        <w:rPr>
          <w:color w:val="auto"/>
        </w:rPr>
      </w:pPr>
      <w:r>
        <w:rPr>
          <w:rFonts w:hint="eastAsia"/>
          <w:color w:val="auto"/>
        </w:rPr>
        <w:t>（4）投标人有下列情形之一的，属于弄虚作假的行为：</w:t>
      </w:r>
    </w:p>
    <w:p>
      <w:pPr>
        <w:pStyle w:val="50"/>
        <w:spacing w:line="420" w:lineRule="exact"/>
        <w:ind w:firstLine="480" w:firstLineChars="200"/>
        <w:jc w:val="both"/>
        <w:rPr>
          <w:color w:val="auto"/>
        </w:rPr>
      </w:pPr>
      <w:r>
        <w:rPr>
          <w:rFonts w:hint="eastAsia"/>
          <w:color w:val="auto"/>
        </w:rPr>
        <w:t>a.使用通过受让或租借等方式获取的资格、资质证书投标；</w:t>
      </w:r>
    </w:p>
    <w:p>
      <w:pPr>
        <w:pStyle w:val="50"/>
        <w:spacing w:line="420" w:lineRule="exact"/>
        <w:ind w:firstLine="480" w:firstLineChars="200"/>
        <w:jc w:val="both"/>
        <w:rPr>
          <w:color w:val="auto"/>
        </w:rPr>
      </w:pPr>
      <w:r>
        <w:rPr>
          <w:rFonts w:hint="eastAsia"/>
          <w:color w:val="auto"/>
        </w:rPr>
        <w:t>b.使用伪造、变造的许可证件；</w:t>
      </w:r>
    </w:p>
    <w:p>
      <w:pPr>
        <w:pStyle w:val="50"/>
        <w:spacing w:line="420" w:lineRule="exact"/>
        <w:ind w:firstLine="480" w:firstLineChars="200"/>
        <w:jc w:val="both"/>
        <w:rPr>
          <w:color w:val="auto"/>
        </w:rPr>
      </w:pPr>
      <w:r>
        <w:rPr>
          <w:rFonts w:hint="eastAsia"/>
          <w:color w:val="auto"/>
        </w:rPr>
        <w:t>c.提供虚假的的业绩；</w:t>
      </w:r>
    </w:p>
    <w:p>
      <w:pPr>
        <w:pStyle w:val="50"/>
        <w:spacing w:line="420" w:lineRule="exact"/>
        <w:ind w:firstLine="480" w:firstLineChars="200"/>
        <w:jc w:val="both"/>
        <w:rPr>
          <w:color w:val="auto"/>
        </w:rPr>
      </w:pPr>
      <w:r>
        <w:rPr>
          <w:rFonts w:hint="eastAsia"/>
          <w:color w:val="auto"/>
        </w:rPr>
        <w:t>d.提供虚假的项目负责人或主要技术人员简历、劳动关系证明；</w:t>
      </w:r>
    </w:p>
    <w:p>
      <w:pPr>
        <w:pStyle w:val="50"/>
        <w:spacing w:line="420" w:lineRule="exact"/>
        <w:ind w:firstLine="480" w:firstLineChars="200"/>
        <w:jc w:val="both"/>
        <w:rPr>
          <w:color w:val="auto"/>
        </w:rPr>
      </w:pPr>
      <w:r>
        <w:rPr>
          <w:rFonts w:hint="eastAsia"/>
          <w:color w:val="auto"/>
        </w:rPr>
        <w:t>e.提供虚假的信用状况；</w:t>
      </w:r>
    </w:p>
    <w:p>
      <w:pPr>
        <w:pStyle w:val="50"/>
        <w:spacing w:line="420" w:lineRule="exact"/>
        <w:ind w:firstLine="480" w:firstLineChars="200"/>
        <w:jc w:val="both"/>
        <w:rPr>
          <w:color w:val="auto"/>
        </w:rPr>
      </w:pPr>
      <w:r>
        <w:rPr>
          <w:rFonts w:hint="eastAsia"/>
          <w:color w:val="auto"/>
        </w:rPr>
        <w:t>f.其他弄虚作假的行为。</w:t>
      </w:r>
    </w:p>
    <w:p>
      <w:pPr>
        <w:pStyle w:val="50"/>
        <w:spacing w:before="120" w:after="120" w:line="420" w:lineRule="exact"/>
        <w:jc w:val="both"/>
        <w:rPr>
          <w:b/>
          <w:color w:val="auto"/>
        </w:rPr>
      </w:pPr>
      <w:r>
        <w:rPr>
          <w:rFonts w:hint="eastAsia"/>
          <w:b/>
          <w:color w:val="auto"/>
        </w:rPr>
        <w:t>3.7 投标文件的澄清和说明</w:t>
      </w:r>
    </w:p>
    <w:p>
      <w:pPr>
        <w:pStyle w:val="50"/>
        <w:spacing w:line="420" w:lineRule="exact"/>
        <w:ind w:firstLine="480"/>
        <w:jc w:val="both"/>
      </w:pPr>
      <w:r>
        <w:rPr>
          <w:rFonts w:hint="eastAsia"/>
          <w:color w:val="auto"/>
        </w:rPr>
        <w:t xml:space="preserve">3.7.1 </w:t>
      </w:r>
      <w:r>
        <w:rPr>
          <w:rFonts w:hint="eastAsia"/>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pStyle w:val="50"/>
        <w:spacing w:line="420" w:lineRule="exact"/>
        <w:ind w:firstLine="480" w:firstLineChars="200"/>
        <w:jc w:val="both"/>
      </w:pPr>
      <w:r>
        <w:rPr>
          <w:rFonts w:hint="eastAsia"/>
          <w:color w:val="auto"/>
        </w:rPr>
        <w:t xml:space="preserve">3.7.2 </w:t>
      </w:r>
      <w:r>
        <w:rPr>
          <w:rFonts w:hint="eastAsia"/>
        </w:rPr>
        <w:t>澄清和说明不得超出投标文件的范围或者改变投标文件的实质性内容（算术性错误的修正除外）。投标人的书面澄清、说明属于投标文件的组成部分。</w:t>
      </w:r>
    </w:p>
    <w:p>
      <w:pPr>
        <w:pStyle w:val="50"/>
        <w:spacing w:before="120" w:after="120" w:line="420" w:lineRule="exact"/>
        <w:ind w:firstLine="480" w:firstLineChars="200"/>
        <w:jc w:val="both"/>
        <w:rPr>
          <w:color w:val="auto"/>
        </w:rPr>
      </w:pPr>
      <w:r>
        <w:rPr>
          <w:rFonts w:hint="eastAsia"/>
          <w:color w:val="auto"/>
        </w:rPr>
        <w:t xml:space="preserve">3.7.3 </w:t>
      </w:r>
      <w:r>
        <w:rPr>
          <w:rFonts w:hint="eastAsia"/>
        </w:rPr>
        <w:t>评标委员会不得暗示或诱导投标人作出澄清、说明，对投标人提交的澄清、说明有疑问的，可以要求投标人进一步澄清或说明，直至满足评标委员会的要求。</w:t>
      </w:r>
    </w:p>
    <w:p>
      <w:pPr>
        <w:pStyle w:val="50"/>
        <w:spacing w:line="420" w:lineRule="exact"/>
        <w:ind w:firstLine="480"/>
        <w:jc w:val="both"/>
      </w:pPr>
      <w:r>
        <w:rPr>
          <w:rFonts w:hint="eastAsia"/>
          <w:color w:val="auto"/>
        </w:rPr>
        <w:t xml:space="preserve">3.7.4  </w:t>
      </w:r>
      <w:r>
        <w:rPr>
          <w:rFonts w:hint="eastAsia"/>
        </w:rPr>
        <w:t>凡超出招标文件规定的或给发包人带来未曾要求的利益的变化、偏差或其他因素在评标时不予考虑。</w:t>
      </w:r>
    </w:p>
    <w:p>
      <w:pPr>
        <w:pStyle w:val="50"/>
        <w:spacing w:before="120" w:after="120" w:line="420" w:lineRule="exact"/>
        <w:jc w:val="both"/>
        <w:rPr>
          <w:b/>
          <w:color w:val="auto"/>
        </w:rPr>
      </w:pPr>
      <w:r>
        <w:rPr>
          <w:rFonts w:hint="eastAsia"/>
          <w:b/>
          <w:color w:val="auto"/>
        </w:rPr>
        <w:t>3.8 不得否决投标的情形</w:t>
      </w:r>
    </w:p>
    <w:p>
      <w:pPr>
        <w:pStyle w:val="50"/>
        <w:spacing w:before="120" w:after="120" w:line="420" w:lineRule="exact"/>
        <w:ind w:firstLine="480" w:firstLineChars="200"/>
        <w:jc w:val="both"/>
        <w:rPr>
          <w:color w:val="auto"/>
        </w:rPr>
      </w:pPr>
      <w:r>
        <w:rPr>
          <w:rFonts w:hint="eastAsia"/>
          <w:color w:val="auto"/>
        </w:rPr>
        <w:t>投标文件存在第二章“投标人须知”第1.12.3项所列情形的，均视为细微偏差，评标委员会不得否决投标人的投标，应按照第二章“投标人须知”第1.12.4项规定的原则处理。</w:t>
      </w:r>
    </w:p>
    <w:p>
      <w:pPr>
        <w:pStyle w:val="50"/>
        <w:spacing w:before="120" w:after="120" w:line="420" w:lineRule="exact"/>
        <w:jc w:val="both"/>
        <w:rPr>
          <w:b/>
          <w:color w:val="auto"/>
        </w:rPr>
      </w:pPr>
      <w:r>
        <w:rPr>
          <w:rFonts w:hint="eastAsia"/>
          <w:b/>
          <w:color w:val="auto"/>
        </w:rPr>
        <w:t>3.9 评标结果</w:t>
      </w:r>
    </w:p>
    <w:p>
      <w:pPr>
        <w:pStyle w:val="50"/>
        <w:spacing w:line="420" w:lineRule="exact"/>
        <w:ind w:firstLine="480" w:firstLineChars="200"/>
        <w:jc w:val="both"/>
        <w:rPr>
          <w:color w:val="auto"/>
        </w:rPr>
      </w:pPr>
      <w:r>
        <w:rPr>
          <w:rFonts w:hint="eastAsia"/>
          <w:color w:val="auto"/>
        </w:rPr>
        <w:t>3.9.1 除第二章“投标人须知”</w:t>
      </w:r>
      <w:r>
        <w:rPr>
          <w:rFonts w:hint="eastAsia"/>
        </w:rPr>
        <w:t>前附表授权直接确定中标人外，评标委员会按照得分由高到低的顺序推荐中标人候选人，并标明排序。</w:t>
      </w:r>
    </w:p>
    <w:p>
      <w:pPr>
        <w:pStyle w:val="50"/>
        <w:spacing w:line="420" w:lineRule="exact"/>
        <w:ind w:firstLine="480" w:firstLineChars="200"/>
        <w:rPr>
          <w:color w:val="auto"/>
        </w:rPr>
      </w:pPr>
      <w:r>
        <w:rPr>
          <w:rFonts w:hint="eastAsia"/>
          <w:color w:val="auto"/>
        </w:rPr>
        <w:t xml:space="preserve">3.9.2 </w:t>
      </w:r>
      <w:r>
        <w:rPr>
          <w:rFonts w:hint="eastAsia"/>
        </w:rPr>
        <w:t>评标委员会完成评标后，应向招标人提交书面评标报告。</w:t>
      </w:r>
    </w:p>
    <w:p>
      <w:pPr>
        <w:spacing w:line="420" w:lineRule="exact"/>
        <w:ind w:firstLine="480" w:firstLineChars="200"/>
        <w:rPr>
          <w:sz w:val="24"/>
        </w:rPr>
      </w:pPr>
    </w:p>
    <w:p>
      <w:pPr>
        <w:spacing w:line="360" w:lineRule="auto"/>
        <w:ind w:firstLine="420" w:firstLineChars="200"/>
        <w:rPr>
          <w:szCs w:val="21"/>
        </w:rPr>
        <w:sectPr>
          <w:headerReference r:id="rId9" w:type="default"/>
          <w:footerReference r:id="rId10" w:type="default"/>
          <w:endnotePr>
            <w:numFmt w:val="decimal"/>
          </w:endnotePr>
          <w:pgSz w:w="11906" w:h="16838"/>
          <w:pgMar w:top="1304" w:right="1304" w:bottom="1304" w:left="1361" w:header="907" w:footer="907" w:gutter="0"/>
          <w:cols w:space="720" w:num="1"/>
          <w:docGrid w:linePitch="312" w:charSpace="0"/>
        </w:sectPr>
      </w:pPr>
    </w:p>
    <w:p>
      <w:pPr>
        <w:spacing w:line="360" w:lineRule="auto"/>
        <w:ind w:firstLine="420" w:firstLineChars="200"/>
        <w:rPr>
          <w:szCs w:val="21"/>
        </w:rPr>
      </w:pPr>
    </w:p>
    <w:p>
      <w:pPr>
        <w:pStyle w:val="50"/>
        <w:jc w:val="center"/>
        <w:rPr>
          <w:color w:val="auto"/>
        </w:rPr>
      </w:pPr>
    </w:p>
    <w:p>
      <w:pPr>
        <w:pStyle w:val="50"/>
        <w:jc w:val="center"/>
        <w:rPr>
          <w:color w:val="auto"/>
          <w:sz w:val="36"/>
          <w:szCs w:val="36"/>
        </w:rPr>
      </w:pPr>
    </w:p>
    <w:p>
      <w:pPr>
        <w:pStyle w:val="50"/>
        <w:jc w:val="center"/>
        <w:rPr>
          <w:color w:val="auto"/>
          <w:sz w:val="36"/>
          <w:szCs w:val="36"/>
        </w:rPr>
      </w:pPr>
    </w:p>
    <w:p>
      <w:pPr>
        <w:pStyle w:val="50"/>
        <w:jc w:val="center"/>
        <w:rPr>
          <w:color w:val="auto"/>
          <w:sz w:val="36"/>
          <w:szCs w:val="36"/>
        </w:rPr>
      </w:pPr>
    </w:p>
    <w:p>
      <w:pPr>
        <w:pStyle w:val="50"/>
        <w:jc w:val="center"/>
        <w:rPr>
          <w:color w:val="auto"/>
          <w:sz w:val="36"/>
          <w:szCs w:val="36"/>
        </w:rPr>
      </w:pPr>
    </w:p>
    <w:p>
      <w:pPr>
        <w:pStyle w:val="50"/>
        <w:jc w:val="center"/>
        <w:rPr>
          <w:color w:val="auto"/>
          <w:sz w:val="36"/>
          <w:szCs w:val="36"/>
        </w:rPr>
      </w:pPr>
    </w:p>
    <w:p>
      <w:pPr>
        <w:pStyle w:val="50"/>
        <w:jc w:val="center"/>
        <w:rPr>
          <w:color w:val="auto"/>
          <w:sz w:val="36"/>
          <w:szCs w:val="36"/>
        </w:rPr>
      </w:pPr>
    </w:p>
    <w:p>
      <w:pPr>
        <w:pStyle w:val="4"/>
        <w:jc w:val="center"/>
      </w:pPr>
      <w:bookmarkStart w:id="22" w:name="_Toc356546259"/>
      <w:r>
        <w:rPr>
          <w:rFonts w:hint="eastAsia"/>
        </w:rPr>
        <w:t>第四章 合同条款及格式</w:t>
      </w:r>
      <w:bookmarkEnd w:id="22"/>
    </w:p>
    <w:p>
      <w:pPr>
        <w:jc w:val="center"/>
      </w:pPr>
      <w:r>
        <w:br w:type="page"/>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黑体" w:hAnsi="黑体" w:eastAsia="黑体"/>
          <w:b/>
          <w:sz w:val="32"/>
          <w:szCs w:val="32"/>
        </w:rPr>
      </w:pPr>
      <w:r>
        <w:rPr>
          <w:rFonts w:hint="eastAsia" w:ascii="黑体" w:hAnsi="黑体" w:eastAsia="黑体"/>
          <w:b/>
          <w:sz w:val="32"/>
          <w:szCs w:val="32"/>
        </w:rPr>
        <w:t>第一节 通用合同条款</w:t>
      </w:r>
    </w:p>
    <w:p>
      <w:pPr>
        <w:spacing w:line="360" w:lineRule="auto"/>
        <w:rPr>
          <w:sz w:val="24"/>
        </w:rPr>
      </w:pPr>
    </w:p>
    <w:p>
      <w:pPr>
        <w:spacing w:line="360" w:lineRule="auto"/>
        <w:rPr>
          <w:sz w:val="24"/>
        </w:rPr>
      </w:pPr>
    </w:p>
    <w:p>
      <w:pPr>
        <w:spacing w:line="360" w:lineRule="auto"/>
        <w:rPr>
          <w:sz w:val="24"/>
        </w:rPr>
      </w:pPr>
    </w:p>
    <w:p>
      <w:pPr>
        <w:spacing w:line="360" w:lineRule="auto"/>
        <w:ind w:firstLine="480" w:firstLineChars="200"/>
        <w:rPr>
          <w:sz w:val="24"/>
        </w:rPr>
      </w:pPr>
      <w:r>
        <w:rPr>
          <w:rFonts w:hint="eastAsia"/>
          <w:sz w:val="24"/>
        </w:rPr>
        <w:t>“通用合同条款” 采用 《标准监理招标文件》 的 “通用合同条款”。</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r>
        <w:rPr>
          <w:rFonts w:hint="eastAsia" w:ascii="黑体" w:hAnsi="黑体" w:eastAsia="黑体"/>
          <w:b/>
          <w:sz w:val="32"/>
          <w:szCs w:val="32"/>
        </w:rPr>
        <w:t>第二节 专用合同条款</w:t>
      </w: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jc w:val="center"/>
        <w:rPr>
          <w:rFonts w:ascii="黑体" w:hAnsi="黑体" w:eastAsia="黑体"/>
          <w:b/>
          <w:sz w:val="30"/>
          <w:szCs w:val="30"/>
        </w:rPr>
      </w:pPr>
      <w:r>
        <w:rPr>
          <w:rFonts w:hint="eastAsia" w:ascii="黑体" w:hAnsi="黑体" w:eastAsia="黑体"/>
          <w:b/>
          <w:sz w:val="30"/>
          <w:szCs w:val="30"/>
        </w:rPr>
        <w:br w:type="page"/>
      </w:r>
      <w:r>
        <w:rPr>
          <w:rFonts w:hint="eastAsia" w:ascii="黑体" w:hAnsi="黑体" w:eastAsia="黑体"/>
          <w:b/>
          <w:sz w:val="30"/>
          <w:szCs w:val="30"/>
        </w:rPr>
        <w:t>A.公路工程专用合同条款</w:t>
      </w:r>
    </w:p>
    <w:p>
      <w:pPr>
        <w:jc w:val="left"/>
        <w:rPr>
          <w:sz w:val="24"/>
        </w:rPr>
      </w:pPr>
    </w:p>
    <w:p>
      <w:pPr>
        <w:spacing w:line="360" w:lineRule="auto"/>
        <w:jc w:val="left"/>
        <w:rPr>
          <w:b/>
          <w:sz w:val="24"/>
        </w:rPr>
      </w:pPr>
      <w:r>
        <w:rPr>
          <w:rFonts w:hint="eastAsia"/>
          <w:b/>
          <w:sz w:val="24"/>
        </w:rPr>
        <w:t>1.一般约定</w:t>
      </w:r>
    </w:p>
    <w:p>
      <w:pPr>
        <w:spacing w:line="360" w:lineRule="auto"/>
        <w:jc w:val="left"/>
        <w:rPr>
          <w:sz w:val="24"/>
        </w:rPr>
      </w:pPr>
      <w:r>
        <w:rPr>
          <w:rFonts w:hint="eastAsia"/>
          <w:b/>
          <w:sz w:val="24"/>
        </w:rPr>
        <w:t>1.1 词语定义</w:t>
      </w:r>
    </w:p>
    <w:p>
      <w:pPr>
        <w:spacing w:line="360" w:lineRule="auto"/>
        <w:jc w:val="left"/>
        <w:rPr>
          <w:b/>
          <w:sz w:val="24"/>
        </w:rPr>
      </w:pPr>
      <w:r>
        <w:rPr>
          <w:rFonts w:hint="eastAsia"/>
          <w:b/>
          <w:sz w:val="24"/>
        </w:rPr>
        <w:t>1.1.1合同</w:t>
      </w:r>
    </w:p>
    <w:p>
      <w:pPr>
        <w:spacing w:line="360" w:lineRule="auto"/>
        <w:ind w:firstLine="480" w:firstLineChars="200"/>
        <w:jc w:val="left"/>
        <w:rPr>
          <w:sz w:val="24"/>
        </w:rPr>
      </w:pPr>
      <w:r>
        <w:rPr>
          <w:rFonts w:hint="eastAsia"/>
          <w:sz w:val="24"/>
        </w:rPr>
        <w:t>第1.1.1.1 目细化为：</w:t>
      </w:r>
    </w:p>
    <w:p>
      <w:pPr>
        <w:spacing w:line="360" w:lineRule="auto"/>
        <w:ind w:firstLine="480" w:firstLineChars="200"/>
        <w:jc w:val="left"/>
        <w:rPr>
          <w:sz w:val="24"/>
        </w:rPr>
      </w:pPr>
      <w:r>
        <w:rPr>
          <w:rFonts w:hint="eastAsia"/>
          <w:sz w:val="24"/>
        </w:rPr>
        <w:t>合同文件(或称合同）：指合同协议书及各种合同附件、中标通知书、投标函、项目专用合同条款、公路工程专用合同条款、通用合同条款、委托人要求、监理服务费用清单、监理人有关人员和试验检测设备投入的承诺，以及其他构成合同组成部分的文件。</w:t>
      </w:r>
    </w:p>
    <w:p>
      <w:pPr>
        <w:spacing w:line="360" w:lineRule="auto"/>
        <w:ind w:firstLine="480" w:firstLineChars="200"/>
        <w:jc w:val="left"/>
        <w:rPr>
          <w:sz w:val="24"/>
        </w:rPr>
      </w:pPr>
      <w:r>
        <w:rPr>
          <w:rFonts w:hint="eastAsia"/>
          <w:sz w:val="24"/>
        </w:rPr>
        <w:t xml:space="preserve">第 1.1.1.5 目不适用。 </w:t>
      </w:r>
    </w:p>
    <w:p>
      <w:pPr>
        <w:spacing w:line="360" w:lineRule="auto"/>
        <w:ind w:firstLine="480" w:firstLineChars="200"/>
        <w:jc w:val="left"/>
        <w:rPr>
          <w:sz w:val="24"/>
        </w:rPr>
      </w:pPr>
      <w:r>
        <w:rPr>
          <w:rFonts w:hint="eastAsia"/>
          <w:sz w:val="24"/>
        </w:rPr>
        <w:t>第 1.1.1.8 目细化为：</w:t>
      </w:r>
    </w:p>
    <w:p>
      <w:pPr>
        <w:spacing w:line="360" w:lineRule="auto"/>
        <w:ind w:firstLine="480" w:firstLineChars="200"/>
        <w:jc w:val="left"/>
        <w:rPr>
          <w:sz w:val="24"/>
        </w:rPr>
      </w:pPr>
      <w:r>
        <w:rPr>
          <w:rFonts w:hint="eastAsia"/>
          <w:sz w:val="24"/>
        </w:rPr>
        <w:t>监理服务费用清单：指监理人投标文件中的监理服务费用清单。</w:t>
      </w:r>
    </w:p>
    <w:p>
      <w:pPr>
        <w:spacing w:line="360" w:lineRule="auto"/>
        <w:jc w:val="left"/>
        <w:rPr>
          <w:b/>
          <w:sz w:val="24"/>
        </w:rPr>
      </w:pPr>
      <w:r>
        <w:rPr>
          <w:rFonts w:hint="eastAsia"/>
          <w:b/>
          <w:sz w:val="24"/>
        </w:rPr>
        <w:t>1.1.2合同当事人和人员</w:t>
      </w:r>
    </w:p>
    <w:p>
      <w:pPr>
        <w:spacing w:line="360" w:lineRule="auto"/>
        <w:ind w:firstLine="480" w:firstLineChars="200"/>
        <w:jc w:val="left"/>
        <w:rPr>
          <w:sz w:val="24"/>
        </w:rPr>
      </w:pPr>
      <w:r>
        <w:rPr>
          <w:rFonts w:hint="eastAsia"/>
          <w:sz w:val="24"/>
        </w:rPr>
        <w:t>本项补充第1.1.2.7 目至第1.1.2.9目：</w:t>
      </w:r>
    </w:p>
    <w:p>
      <w:pPr>
        <w:spacing w:line="360" w:lineRule="auto"/>
        <w:ind w:firstLine="480" w:firstLineChars="200"/>
        <w:jc w:val="left"/>
        <w:rPr>
          <w:sz w:val="24"/>
        </w:rPr>
      </w:pPr>
      <w:r>
        <w:rPr>
          <w:rFonts w:hint="eastAsia"/>
          <w:sz w:val="24"/>
        </w:rPr>
        <w:t>1.1.2.7监理机构：指由监理人在项目现场设立的履行监理职责的组织，包括总监理工程师办公室（简称总监办）及驻地监理工程师办公室（简称驻地办）。</w:t>
      </w:r>
    </w:p>
    <w:p>
      <w:pPr>
        <w:spacing w:line="360" w:lineRule="auto"/>
        <w:ind w:firstLine="480" w:firstLineChars="200"/>
        <w:jc w:val="left"/>
        <w:rPr>
          <w:sz w:val="24"/>
        </w:rPr>
      </w:pPr>
      <w:r>
        <w:rPr>
          <w:rFonts w:hint="eastAsia"/>
          <w:sz w:val="24"/>
        </w:rPr>
        <w:t>1.1.2.8行政管理部门：指交通运输主管部门或对本工程依法享有行政监督权限的其他政府部门。</w:t>
      </w:r>
    </w:p>
    <w:p>
      <w:pPr>
        <w:spacing w:line="360" w:lineRule="auto"/>
        <w:ind w:firstLine="480" w:firstLineChars="200"/>
        <w:jc w:val="left"/>
        <w:rPr>
          <w:sz w:val="24"/>
        </w:rPr>
      </w:pPr>
      <w:r>
        <w:rPr>
          <w:rFonts w:hint="eastAsia"/>
          <w:sz w:val="24"/>
        </w:rPr>
        <w:t>1.1.2.9 第三方：指除委托人、监理人之外，与本工程建设有关的其他当事人（包括承包人）。</w:t>
      </w:r>
    </w:p>
    <w:p>
      <w:pPr>
        <w:spacing w:line="360" w:lineRule="auto"/>
        <w:jc w:val="left"/>
        <w:rPr>
          <w:b/>
          <w:sz w:val="24"/>
        </w:rPr>
      </w:pPr>
      <w:r>
        <w:rPr>
          <w:rFonts w:hint="eastAsia"/>
          <w:b/>
          <w:sz w:val="24"/>
        </w:rPr>
        <w:t>1.1.3 工程和监理</w:t>
      </w:r>
    </w:p>
    <w:p>
      <w:pPr>
        <w:spacing w:line="360" w:lineRule="auto"/>
        <w:ind w:firstLine="480" w:firstLineChars="200"/>
        <w:jc w:val="left"/>
        <w:rPr>
          <w:sz w:val="24"/>
        </w:rPr>
      </w:pPr>
      <w:r>
        <w:rPr>
          <w:rFonts w:hint="eastAsia"/>
          <w:sz w:val="24"/>
        </w:rPr>
        <w:t>第1.1.3.1目细化为：</w:t>
      </w:r>
    </w:p>
    <w:p>
      <w:pPr>
        <w:spacing w:line="360" w:lineRule="auto"/>
        <w:ind w:firstLine="480" w:firstLineChars="200"/>
        <w:jc w:val="left"/>
        <w:rPr>
          <w:sz w:val="24"/>
        </w:rPr>
      </w:pPr>
      <w:r>
        <w:rPr>
          <w:rFonts w:hint="eastAsia"/>
          <w:sz w:val="24"/>
        </w:rPr>
        <w:t>工程 ：指为完成项目所实施的一项或若干项永久或临时工程（包括向委托人提供的物资和设备），具体情况在项目专用合同条款中指明。</w:t>
      </w:r>
    </w:p>
    <w:p>
      <w:pPr>
        <w:spacing w:line="360" w:lineRule="auto"/>
        <w:ind w:firstLine="480" w:firstLineChars="200"/>
        <w:jc w:val="left"/>
        <w:rPr>
          <w:sz w:val="24"/>
        </w:rPr>
      </w:pPr>
      <w:r>
        <w:rPr>
          <w:rFonts w:hint="eastAsia"/>
          <w:sz w:val="24"/>
        </w:rPr>
        <w:t>第1.1.3.2目细化为：</w:t>
      </w:r>
    </w:p>
    <w:p>
      <w:pPr>
        <w:spacing w:line="360" w:lineRule="auto"/>
        <w:ind w:firstLine="480" w:firstLineChars="200"/>
        <w:jc w:val="left"/>
        <w:rPr>
          <w:sz w:val="24"/>
        </w:rPr>
      </w:pPr>
      <w:r>
        <w:rPr>
          <w:rFonts w:hint="eastAsia"/>
          <w:sz w:val="24"/>
        </w:rPr>
        <w:t>监理服务：指监理人接受委托人的委托，依照法律、规范标准和监理合同等，对公路工程施工准备、施工、验收与缺陷责任期等阶段进行质量控制、进度控制、投资控制、合同管理、信息管理、组织协调和安全监理、环保监理的服务活动。</w:t>
      </w:r>
    </w:p>
    <w:p>
      <w:pPr>
        <w:spacing w:line="360" w:lineRule="auto"/>
        <w:jc w:val="left"/>
        <w:rPr>
          <w:b/>
          <w:sz w:val="24"/>
        </w:rPr>
      </w:pPr>
      <w:r>
        <w:rPr>
          <w:rFonts w:hint="eastAsia"/>
          <w:b/>
          <w:sz w:val="24"/>
        </w:rPr>
        <w:t>1.4合同文件的优先顺序</w:t>
      </w:r>
    </w:p>
    <w:p>
      <w:pPr>
        <w:spacing w:line="360" w:lineRule="auto"/>
        <w:jc w:val="left"/>
        <w:rPr>
          <w:sz w:val="24"/>
        </w:rPr>
      </w:pPr>
      <w:r>
        <w:rPr>
          <w:rFonts w:hint="eastAsia"/>
          <w:b/>
          <w:sz w:val="24"/>
        </w:rPr>
        <w:t xml:space="preserve">    </w:t>
      </w:r>
      <w:r>
        <w:rPr>
          <w:rFonts w:hint="eastAsia"/>
          <w:sz w:val="24"/>
        </w:rPr>
        <w:t>本款细化为：</w:t>
      </w:r>
    </w:p>
    <w:p>
      <w:pPr>
        <w:spacing w:line="360" w:lineRule="auto"/>
        <w:ind w:firstLine="480" w:firstLineChars="200"/>
        <w:jc w:val="left"/>
        <w:rPr>
          <w:sz w:val="24"/>
        </w:rPr>
      </w:pPr>
      <w:r>
        <w:rPr>
          <w:rFonts w:hint="eastAsia"/>
          <w:sz w:val="24"/>
        </w:rPr>
        <w:t>组成合同的各项文件应互相解释，互为说明。除项目专用合同条款另有约定外，解释合同文件的优先顺序如下：</w:t>
      </w:r>
    </w:p>
    <w:p>
      <w:pPr>
        <w:spacing w:line="360" w:lineRule="auto"/>
        <w:ind w:firstLine="480" w:firstLineChars="200"/>
        <w:jc w:val="left"/>
        <w:rPr>
          <w:sz w:val="24"/>
        </w:rPr>
      </w:pPr>
      <w:r>
        <w:rPr>
          <w:rFonts w:hint="eastAsia"/>
          <w:sz w:val="24"/>
        </w:rPr>
        <w:t>（1）合同协议书及各种合同附件 ；</w:t>
      </w:r>
    </w:p>
    <w:p>
      <w:pPr>
        <w:spacing w:line="360" w:lineRule="auto"/>
        <w:ind w:firstLine="480" w:firstLineChars="200"/>
        <w:jc w:val="left"/>
        <w:rPr>
          <w:sz w:val="24"/>
        </w:rPr>
      </w:pPr>
      <w:r>
        <w:rPr>
          <w:rFonts w:hint="eastAsia"/>
          <w:sz w:val="24"/>
        </w:rPr>
        <w:t>（2）中标通知书；</w:t>
      </w:r>
    </w:p>
    <w:p>
      <w:pPr>
        <w:spacing w:line="360" w:lineRule="auto"/>
        <w:ind w:firstLine="480" w:firstLineChars="200"/>
        <w:jc w:val="left"/>
        <w:rPr>
          <w:sz w:val="24"/>
        </w:rPr>
      </w:pPr>
      <w:r>
        <w:rPr>
          <w:rFonts w:hint="eastAsia"/>
          <w:sz w:val="24"/>
        </w:rPr>
        <w:t>（3）投标函；</w:t>
      </w:r>
    </w:p>
    <w:p>
      <w:pPr>
        <w:spacing w:line="360" w:lineRule="auto"/>
        <w:ind w:firstLine="480" w:firstLineChars="200"/>
        <w:jc w:val="left"/>
        <w:rPr>
          <w:sz w:val="24"/>
        </w:rPr>
      </w:pPr>
      <w:r>
        <w:rPr>
          <w:rFonts w:hint="eastAsia"/>
          <w:sz w:val="24"/>
        </w:rPr>
        <w:t>（4）项目专用合同条款；</w:t>
      </w:r>
    </w:p>
    <w:p>
      <w:pPr>
        <w:spacing w:line="360" w:lineRule="auto"/>
        <w:ind w:firstLine="480" w:firstLineChars="200"/>
        <w:jc w:val="left"/>
        <w:rPr>
          <w:sz w:val="24"/>
        </w:rPr>
      </w:pPr>
      <w:r>
        <w:rPr>
          <w:rFonts w:hint="eastAsia"/>
          <w:sz w:val="24"/>
        </w:rPr>
        <w:t>（5）公路工程专用合同条款；</w:t>
      </w:r>
    </w:p>
    <w:p>
      <w:pPr>
        <w:spacing w:line="360" w:lineRule="auto"/>
        <w:ind w:firstLine="480" w:firstLineChars="200"/>
        <w:jc w:val="left"/>
        <w:rPr>
          <w:sz w:val="24"/>
        </w:rPr>
      </w:pPr>
      <w:r>
        <w:rPr>
          <w:rFonts w:hint="eastAsia"/>
          <w:sz w:val="24"/>
        </w:rPr>
        <w:t>（6）通用合同条款；</w:t>
      </w:r>
    </w:p>
    <w:p>
      <w:pPr>
        <w:spacing w:line="360" w:lineRule="auto"/>
        <w:ind w:firstLine="480" w:firstLineChars="200"/>
        <w:jc w:val="left"/>
        <w:rPr>
          <w:sz w:val="24"/>
        </w:rPr>
      </w:pPr>
      <w:r>
        <w:rPr>
          <w:rFonts w:hint="eastAsia"/>
          <w:sz w:val="24"/>
        </w:rPr>
        <w:t>（7）委托人要求；</w:t>
      </w:r>
    </w:p>
    <w:p>
      <w:pPr>
        <w:spacing w:line="360" w:lineRule="auto"/>
        <w:ind w:firstLine="480" w:firstLineChars="200"/>
        <w:jc w:val="left"/>
        <w:rPr>
          <w:sz w:val="24"/>
        </w:rPr>
      </w:pPr>
      <w:r>
        <w:rPr>
          <w:rFonts w:hint="eastAsia"/>
          <w:sz w:val="24"/>
        </w:rPr>
        <w:t>（8）监理服务费用清单；</w:t>
      </w:r>
    </w:p>
    <w:p>
      <w:pPr>
        <w:spacing w:line="360" w:lineRule="auto"/>
        <w:ind w:firstLine="480" w:firstLineChars="200"/>
        <w:jc w:val="left"/>
        <w:rPr>
          <w:sz w:val="24"/>
        </w:rPr>
      </w:pPr>
      <w:r>
        <w:rPr>
          <w:rFonts w:hint="eastAsia"/>
          <w:sz w:val="24"/>
        </w:rPr>
        <w:t>（9）监理人有关人员、试验检测设备投入的承诺；</w:t>
      </w:r>
    </w:p>
    <w:p>
      <w:pPr>
        <w:spacing w:line="360" w:lineRule="auto"/>
        <w:ind w:firstLine="480" w:firstLineChars="200"/>
        <w:jc w:val="left"/>
        <w:rPr>
          <w:sz w:val="24"/>
        </w:rPr>
      </w:pPr>
      <w:r>
        <w:rPr>
          <w:rFonts w:hint="eastAsia"/>
          <w:sz w:val="24"/>
        </w:rPr>
        <w:t>（10）其他合同文件。</w:t>
      </w:r>
    </w:p>
    <w:p>
      <w:pPr>
        <w:spacing w:line="360" w:lineRule="auto"/>
        <w:ind w:firstLine="480" w:firstLineChars="200"/>
        <w:jc w:val="left"/>
        <w:rPr>
          <w:sz w:val="24"/>
        </w:rPr>
      </w:pPr>
      <w:r>
        <w:rPr>
          <w:rFonts w:hint="eastAsia"/>
          <w:sz w:val="24"/>
        </w:rPr>
        <w:t>合同当事人针对各类合同文件所作出的补充和修改亦属于合同文件的组成部分，属于同一类内容的文件，应以最新签署的为准。</w:t>
      </w:r>
    </w:p>
    <w:p>
      <w:pPr>
        <w:spacing w:line="360" w:lineRule="auto"/>
        <w:jc w:val="left"/>
        <w:rPr>
          <w:b/>
          <w:sz w:val="24"/>
        </w:rPr>
      </w:pPr>
      <w:r>
        <w:rPr>
          <w:rFonts w:hint="eastAsia"/>
          <w:b/>
          <w:sz w:val="24"/>
        </w:rPr>
        <w:t>1.6 文件的提供和照管</w:t>
      </w:r>
    </w:p>
    <w:p>
      <w:pPr>
        <w:spacing w:line="360" w:lineRule="auto"/>
        <w:ind w:firstLine="472" w:firstLineChars="196"/>
        <w:jc w:val="left"/>
        <w:rPr>
          <w:b/>
          <w:sz w:val="24"/>
        </w:rPr>
      </w:pPr>
      <w:r>
        <w:rPr>
          <w:rFonts w:hint="eastAsia"/>
          <w:b/>
          <w:sz w:val="24"/>
        </w:rPr>
        <w:t>1.6.1监理文件的提供</w:t>
      </w:r>
    </w:p>
    <w:p>
      <w:pPr>
        <w:spacing w:line="360" w:lineRule="auto"/>
        <w:ind w:firstLine="470" w:firstLineChars="196"/>
        <w:jc w:val="left"/>
        <w:rPr>
          <w:sz w:val="24"/>
        </w:rPr>
      </w:pPr>
      <w:r>
        <w:rPr>
          <w:rFonts w:hint="eastAsia"/>
          <w:sz w:val="24"/>
        </w:rPr>
        <w:t>本款细化为：</w:t>
      </w:r>
    </w:p>
    <w:p>
      <w:pPr>
        <w:spacing w:line="360" w:lineRule="auto"/>
        <w:ind w:firstLine="480" w:firstLineChars="200"/>
        <w:jc w:val="left"/>
        <w:rPr>
          <w:sz w:val="24"/>
        </w:rPr>
      </w:pPr>
      <w:r>
        <w:rPr>
          <w:rFonts w:hint="eastAsia"/>
          <w:sz w:val="24"/>
        </w:rPr>
        <w:t>监理人应在合理的期限内按照国家、公路行业现行标准、规范、规定，《公路工程施工监理规范》及施工承包合同约定向委托人提供监理文件。合同约定监理文件应经委托人批复的，委托人应当在合同约定的期限内批复或提出修改意见。</w:t>
      </w:r>
    </w:p>
    <w:p>
      <w:pPr>
        <w:spacing w:line="360" w:lineRule="auto"/>
        <w:ind w:firstLine="472" w:firstLineChars="196"/>
        <w:jc w:val="left"/>
        <w:rPr>
          <w:b/>
          <w:sz w:val="24"/>
        </w:rPr>
      </w:pPr>
      <w:r>
        <w:rPr>
          <w:rFonts w:hint="eastAsia"/>
          <w:b/>
          <w:sz w:val="24"/>
        </w:rPr>
        <w:t>1.6.2 委托人提供的文件</w:t>
      </w:r>
    </w:p>
    <w:p>
      <w:pPr>
        <w:spacing w:line="360" w:lineRule="auto"/>
        <w:ind w:firstLine="470" w:firstLineChars="196"/>
        <w:jc w:val="left"/>
        <w:rPr>
          <w:b/>
          <w:sz w:val="24"/>
        </w:rPr>
      </w:pPr>
      <w:r>
        <w:rPr>
          <w:rFonts w:hint="eastAsia"/>
          <w:sz w:val="24"/>
        </w:rPr>
        <w:t>本款细化为：</w:t>
      </w:r>
    </w:p>
    <w:p>
      <w:pPr>
        <w:spacing w:line="360" w:lineRule="auto"/>
        <w:ind w:firstLine="480" w:firstLineChars="200"/>
        <w:jc w:val="left"/>
        <w:rPr>
          <w:sz w:val="24"/>
        </w:rPr>
      </w:pPr>
      <w:r>
        <w:rPr>
          <w:rFonts w:hint="eastAsia"/>
          <w:sz w:val="24"/>
        </w:rPr>
        <w:t>除项目专用合同条款另有约定外，委托人应在监理合同生效且取得相关文件、资料后7天内，向监理人免费提供下述文件、资料：</w:t>
      </w:r>
    </w:p>
    <w:p>
      <w:pPr>
        <w:spacing w:line="360" w:lineRule="auto"/>
        <w:ind w:firstLine="480" w:firstLineChars="200"/>
        <w:jc w:val="left"/>
        <w:rPr>
          <w:sz w:val="24"/>
        </w:rPr>
      </w:pPr>
      <w:r>
        <w:rPr>
          <w:rFonts w:hint="eastAsia"/>
          <w:sz w:val="24"/>
        </w:rPr>
        <w:t>（1）委托人与承包人签订的施工承包合同1份。</w:t>
      </w:r>
    </w:p>
    <w:p>
      <w:pPr>
        <w:spacing w:line="360" w:lineRule="auto"/>
        <w:ind w:firstLine="480" w:firstLineChars="200"/>
        <w:jc w:val="left"/>
        <w:rPr>
          <w:sz w:val="24"/>
        </w:rPr>
      </w:pPr>
      <w:r>
        <w:rPr>
          <w:rFonts w:hint="eastAsia"/>
          <w:sz w:val="24"/>
        </w:rPr>
        <w:t>（2）委托人与承包人共同确认的己标价的工程数量清单及其说明1份。</w:t>
      </w:r>
    </w:p>
    <w:p>
      <w:pPr>
        <w:spacing w:line="360" w:lineRule="auto"/>
        <w:ind w:firstLine="480" w:firstLineChars="200"/>
        <w:jc w:val="left"/>
        <w:rPr>
          <w:sz w:val="24"/>
        </w:rPr>
      </w:pPr>
      <w:r>
        <w:rPr>
          <w:rFonts w:hint="eastAsia"/>
          <w:sz w:val="24"/>
        </w:rPr>
        <w:t>（3）合同图纸和相关的标准图纸及说明1套。</w:t>
      </w:r>
    </w:p>
    <w:p>
      <w:pPr>
        <w:spacing w:line="360" w:lineRule="auto"/>
        <w:ind w:firstLine="480" w:firstLineChars="200"/>
        <w:jc w:val="left"/>
        <w:rPr>
          <w:sz w:val="24"/>
        </w:rPr>
      </w:pPr>
      <w:r>
        <w:rPr>
          <w:rFonts w:hint="eastAsia"/>
          <w:sz w:val="24"/>
        </w:rPr>
        <w:t>（4）合同指定使用的技术规范、检验评定标准、操作规程1套。</w:t>
      </w:r>
    </w:p>
    <w:p>
      <w:pPr>
        <w:spacing w:line="360" w:lineRule="auto"/>
        <w:ind w:firstLine="480" w:firstLineChars="200"/>
        <w:jc w:val="left"/>
        <w:rPr>
          <w:sz w:val="24"/>
        </w:rPr>
      </w:pPr>
      <w:r>
        <w:rPr>
          <w:rFonts w:hint="eastAsia"/>
          <w:sz w:val="24"/>
        </w:rPr>
        <w:t>（5）其他相关资料。</w:t>
      </w:r>
    </w:p>
    <w:p>
      <w:pPr>
        <w:spacing w:line="360" w:lineRule="auto"/>
        <w:ind w:firstLine="480" w:firstLineChars="200"/>
        <w:jc w:val="left"/>
        <w:rPr>
          <w:sz w:val="24"/>
        </w:rPr>
      </w:pPr>
      <w:r>
        <w:rPr>
          <w:rFonts w:hint="eastAsia"/>
          <w:sz w:val="24"/>
        </w:rPr>
        <w:t>由于委托人未按时提供文件造成监理服务期限延误的，按第6.2款约定执行。</w:t>
      </w:r>
    </w:p>
    <w:p>
      <w:pPr>
        <w:spacing w:line="360" w:lineRule="auto"/>
        <w:jc w:val="left"/>
        <w:rPr>
          <w:b/>
          <w:sz w:val="24"/>
        </w:rPr>
      </w:pPr>
      <w:r>
        <w:rPr>
          <w:rFonts w:hint="eastAsia"/>
          <w:b/>
          <w:sz w:val="24"/>
        </w:rPr>
        <w:t>1.8 转让和分包</w:t>
      </w:r>
    </w:p>
    <w:p>
      <w:pPr>
        <w:spacing w:line="360" w:lineRule="auto"/>
        <w:ind w:firstLine="480" w:firstLineChars="200"/>
        <w:jc w:val="left"/>
        <w:rPr>
          <w:sz w:val="24"/>
        </w:rPr>
      </w:pPr>
      <w:r>
        <w:rPr>
          <w:rFonts w:hint="eastAsia"/>
          <w:sz w:val="24"/>
        </w:rPr>
        <w:t>本款细化为：</w:t>
      </w:r>
    </w:p>
    <w:p>
      <w:pPr>
        <w:spacing w:line="360" w:lineRule="auto"/>
        <w:ind w:firstLine="480" w:firstLineChars="200"/>
        <w:jc w:val="left"/>
        <w:rPr>
          <w:sz w:val="24"/>
        </w:rPr>
      </w:pPr>
      <w:r>
        <w:rPr>
          <w:rFonts w:hint="eastAsia"/>
          <w:sz w:val="24"/>
        </w:rPr>
        <w:t>1.8.1除项目专用合同条款另有约定外，未经对方当事人同意，一方当事人不得将合同权利全部或部分转让给第三人，也不得全部或部分转移合同义务。</w:t>
      </w:r>
    </w:p>
    <w:p>
      <w:pPr>
        <w:spacing w:line="360" w:lineRule="auto"/>
        <w:ind w:firstLine="480" w:firstLineChars="200"/>
        <w:jc w:val="left"/>
        <w:rPr>
          <w:sz w:val="24"/>
        </w:rPr>
      </w:pPr>
      <w:r>
        <w:rPr>
          <w:rFonts w:hint="eastAsia"/>
          <w:sz w:val="24"/>
        </w:rPr>
        <w:t>1.8.2 监理人不得将监理服务的任何部分分包。监理人因监理服务的需要，聘用专业技术人员和辅助工作人员不属于分包。</w:t>
      </w:r>
    </w:p>
    <w:p>
      <w:pPr>
        <w:spacing w:line="360" w:lineRule="auto"/>
        <w:jc w:val="left"/>
        <w:rPr>
          <w:b/>
          <w:sz w:val="24"/>
        </w:rPr>
      </w:pPr>
      <w:r>
        <w:rPr>
          <w:rFonts w:hint="eastAsia"/>
          <w:b/>
          <w:sz w:val="24"/>
        </w:rPr>
        <w:t>1.10 知识产权</w:t>
      </w:r>
    </w:p>
    <w:p>
      <w:pPr>
        <w:spacing w:line="360" w:lineRule="auto"/>
        <w:ind w:firstLine="480" w:firstLineChars="200"/>
        <w:jc w:val="left"/>
        <w:rPr>
          <w:sz w:val="24"/>
        </w:rPr>
      </w:pPr>
      <w:r>
        <w:rPr>
          <w:rFonts w:hint="eastAsia"/>
          <w:sz w:val="24"/>
        </w:rPr>
        <w:t>本款补充第1.10.4 项：</w:t>
      </w:r>
    </w:p>
    <w:p>
      <w:pPr>
        <w:spacing w:line="360" w:lineRule="auto"/>
        <w:ind w:firstLine="480" w:firstLineChars="200"/>
        <w:jc w:val="left"/>
        <w:rPr>
          <w:sz w:val="24"/>
        </w:rPr>
      </w:pPr>
      <w:r>
        <w:rPr>
          <w:rFonts w:hint="eastAsia"/>
          <w:sz w:val="24"/>
        </w:rPr>
        <w:t>1.10.4 除项目专用合同条款另有约定外，监理人有权出版与本项目或本工程监理服务有关的资料。但未经委托人同意，上述出版物中不得涉及委托人的专利、专有技术以及经济情报。</w:t>
      </w:r>
    </w:p>
    <w:p>
      <w:pPr>
        <w:spacing w:line="360" w:lineRule="auto"/>
        <w:ind w:firstLine="480" w:firstLineChars="200"/>
        <w:jc w:val="left"/>
        <w:rPr>
          <w:sz w:val="24"/>
        </w:rPr>
      </w:pPr>
      <w:r>
        <w:rPr>
          <w:rFonts w:hint="eastAsia"/>
          <w:sz w:val="24"/>
        </w:rPr>
        <w:t>本条补充第1.13 款：</w:t>
      </w:r>
    </w:p>
    <w:p>
      <w:pPr>
        <w:spacing w:line="360" w:lineRule="auto"/>
        <w:jc w:val="left"/>
        <w:rPr>
          <w:b/>
          <w:sz w:val="24"/>
        </w:rPr>
      </w:pPr>
      <w:r>
        <w:rPr>
          <w:rFonts w:hint="eastAsia"/>
          <w:b/>
          <w:sz w:val="24"/>
        </w:rPr>
        <w:t>1.13 避免利益冲突</w:t>
      </w:r>
    </w:p>
    <w:p>
      <w:pPr>
        <w:spacing w:line="360" w:lineRule="auto"/>
        <w:ind w:firstLine="480" w:firstLineChars="200"/>
        <w:jc w:val="left"/>
        <w:rPr>
          <w:sz w:val="24"/>
        </w:rPr>
      </w:pPr>
      <w:r>
        <w:rPr>
          <w:rFonts w:hint="eastAsia"/>
          <w:sz w:val="24"/>
        </w:rPr>
        <w:t>未经委托人书面同意，监理人不得获取本监理合同约定以外的与本工程有关的任何利益，不得参与与本监理合同约定的委托人利益相冲突的任何活动。</w:t>
      </w:r>
    </w:p>
    <w:p>
      <w:pPr>
        <w:spacing w:line="360" w:lineRule="auto"/>
        <w:jc w:val="left"/>
        <w:rPr>
          <w:b/>
          <w:sz w:val="24"/>
        </w:rPr>
      </w:pPr>
      <w:r>
        <w:rPr>
          <w:rFonts w:hint="eastAsia"/>
          <w:b/>
          <w:sz w:val="24"/>
        </w:rPr>
        <w:t>2.委托人义务</w:t>
      </w:r>
    </w:p>
    <w:p>
      <w:pPr>
        <w:spacing w:line="360" w:lineRule="auto"/>
        <w:ind w:firstLine="480" w:firstLineChars="200"/>
        <w:jc w:val="left"/>
        <w:rPr>
          <w:sz w:val="24"/>
        </w:rPr>
      </w:pPr>
      <w:r>
        <w:rPr>
          <w:rFonts w:hint="eastAsia"/>
          <w:sz w:val="24"/>
        </w:rPr>
        <w:t>本条补充第2.7款至第2.10款：</w:t>
      </w:r>
    </w:p>
    <w:p>
      <w:pPr>
        <w:spacing w:line="360" w:lineRule="auto"/>
        <w:jc w:val="left"/>
        <w:rPr>
          <w:b/>
          <w:sz w:val="24"/>
        </w:rPr>
      </w:pPr>
      <w:r>
        <w:rPr>
          <w:rFonts w:hint="eastAsia"/>
          <w:b/>
          <w:sz w:val="24"/>
        </w:rPr>
        <w:t>2.7协助</w:t>
      </w:r>
    </w:p>
    <w:p>
      <w:pPr>
        <w:spacing w:line="360" w:lineRule="auto"/>
        <w:ind w:firstLine="480" w:firstLineChars="200"/>
        <w:jc w:val="left"/>
        <w:rPr>
          <w:sz w:val="24"/>
        </w:rPr>
      </w:pPr>
      <w:r>
        <w:rPr>
          <w:rFonts w:hint="eastAsia"/>
          <w:sz w:val="24"/>
        </w:rPr>
        <w:t>委托人在工程所在地向监理人提供进驻现场的相关条件，解决非监理人原因而发生意外事件时，监理工作人员的撤场和相关事宜；并避免监理人根据监理合同提供监理服务而导致的第三方收费（不含税金）。</w:t>
      </w:r>
    </w:p>
    <w:p>
      <w:pPr>
        <w:spacing w:line="360" w:lineRule="auto"/>
        <w:jc w:val="left"/>
        <w:rPr>
          <w:b/>
          <w:sz w:val="24"/>
        </w:rPr>
      </w:pPr>
      <w:r>
        <w:rPr>
          <w:rFonts w:hint="eastAsia"/>
          <w:b/>
          <w:sz w:val="24"/>
        </w:rPr>
        <w:t>2.8授权通知</w:t>
      </w:r>
    </w:p>
    <w:p>
      <w:pPr>
        <w:spacing w:line="360" w:lineRule="auto"/>
        <w:ind w:firstLine="480" w:firstLineChars="200"/>
        <w:jc w:val="left"/>
        <w:rPr>
          <w:sz w:val="24"/>
        </w:rPr>
      </w:pPr>
      <w:r>
        <w:rPr>
          <w:rFonts w:hint="eastAsia"/>
          <w:sz w:val="24"/>
        </w:rPr>
        <w:t>委托人必须将履行监理服务的监理人及委托人授予监理人的权力，及时用书面形式通知第三方。</w:t>
      </w:r>
    </w:p>
    <w:p>
      <w:pPr>
        <w:spacing w:line="360" w:lineRule="auto"/>
        <w:jc w:val="left"/>
        <w:rPr>
          <w:b/>
          <w:sz w:val="24"/>
        </w:rPr>
      </w:pPr>
      <w:r>
        <w:rPr>
          <w:rFonts w:hint="eastAsia"/>
          <w:b/>
          <w:sz w:val="24"/>
        </w:rPr>
        <w:t>2.9委托人指令的下达</w:t>
      </w:r>
    </w:p>
    <w:p>
      <w:pPr>
        <w:spacing w:line="360" w:lineRule="auto"/>
        <w:ind w:firstLine="480" w:firstLineChars="200"/>
        <w:jc w:val="left"/>
        <w:rPr>
          <w:sz w:val="24"/>
        </w:rPr>
      </w:pPr>
      <w:r>
        <w:rPr>
          <w:rFonts w:hint="eastAsia"/>
          <w:sz w:val="24"/>
        </w:rPr>
        <w:t>委托人在本合同约定的服务范围内对承包人的任何意见或要求，应通过监理人向承包人提出。</w:t>
      </w:r>
    </w:p>
    <w:p>
      <w:pPr>
        <w:spacing w:line="360" w:lineRule="auto"/>
        <w:jc w:val="left"/>
        <w:rPr>
          <w:b/>
          <w:sz w:val="24"/>
        </w:rPr>
      </w:pPr>
      <w:r>
        <w:rPr>
          <w:rFonts w:hint="eastAsia"/>
          <w:b/>
          <w:sz w:val="24"/>
        </w:rPr>
        <w:t>2.10保障</w:t>
      </w:r>
    </w:p>
    <w:p>
      <w:pPr>
        <w:spacing w:line="360" w:lineRule="auto"/>
        <w:ind w:firstLine="480" w:firstLineChars="200"/>
        <w:jc w:val="left"/>
        <w:rPr>
          <w:sz w:val="24"/>
        </w:rPr>
      </w:pPr>
      <w:r>
        <w:rPr>
          <w:rFonts w:hint="eastAsia"/>
          <w:sz w:val="24"/>
        </w:rPr>
        <w:t>在监理人不违反有关法律、法规的前提下，委托人应保障监理人免受因履行本监理合同而引起的外界索赔或干扰。</w:t>
      </w:r>
    </w:p>
    <w:p>
      <w:pPr>
        <w:spacing w:line="360" w:lineRule="auto"/>
        <w:jc w:val="left"/>
        <w:rPr>
          <w:b/>
          <w:sz w:val="24"/>
        </w:rPr>
      </w:pPr>
      <w:r>
        <w:rPr>
          <w:rFonts w:hint="eastAsia"/>
          <w:b/>
          <w:sz w:val="24"/>
        </w:rPr>
        <w:t>3.委托人管理</w:t>
      </w:r>
    </w:p>
    <w:p>
      <w:pPr>
        <w:spacing w:line="360" w:lineRule="auto"/>
        <w:jc w:val="left"/>
        <w:rPr>
          <w:b/>
          <w:sz w:val="24"/>
        </w:rPr>
      </w:pPr>
      <w:r>
        <w:rPr>
          <w:rFonts w:hint="eastAsia"/>
          <w:b/>
          <w:sz w:val="24"/>
        </w:rPr>
        <w:t>3.3决定或答复</w:t>
      </w:r>
    </w:p>
    <w:p>
      <w:pPr>
        <w:spacing w:line="360" w:lineRule="auto"/>
        <w:ind w:firstLine="480" w:firstLineChars="200"/>
        <w:jc w:val="left"/>
        <w:rPr>
          <w:sz w:val="24"/>
        </w:rPr>
      </w:pPr>
      <w:r>
        <w:rPr>
          <w:rFonts w:hint="eastAsia"/>
          <w:sz w:val="24"/>
        </w:rPr>
        <w:t xml:space="preserve">第3.3.2项细化为： </w:t>
      </w:r>
    </w:p>
    <w:p>
      <w:pPr>
        <w:spacing w:line="360" w:lineRule="auto"/>
        <w:ind w:firstLine="480" w:firstLineChars="200"/>
        <w:jc w:val="left"/>
        <w:rPr>
          <w:sz w:val="24"/>
        </w:rPr>
      </w:pPr>
      <w:r>
        <w:rPr>
          <w:rFonts w:hint="eastAsia"/>
          <w:sz w:val="24"/>
        </w:rPr>
        <w:t>委托人对监理人关于本工程的工期、质量、投资、合约和安全等问题提出的请示应及时作出书面答复。对上述请示给予书面答复的期限，自收到书面请示之日起最长不超过7天，重大问题不得超过28天。逾期没有作出答复的，视为</w:t>
      </w:r>
      <w:r>
        <w:rPr>
          <w:rFonts w:hint="eastAsia"/>
          <w:sz w:val="24"/>
          <w:lang w:val="en-US" w:eastAsia="zh-CN"/>
        </w:rPr>
        <w:t>已</w:t>
      </w:r>
      <w:bookmarkStart w:id="57" w:name="_GoBack"/>
      <w:bookmarkEnd w:id="57"/>
      <w:r>
        <w:rPr>
          <w:rFonts w:hint="eastAsia"/>
          <w:sz w:val="24"/>
        </w:rPr>
        <w:t>获得委托人的批准。</w:t>
      </w:r>
    </w:p>
    <w:p>
      <w:pPr>
        <w:spacing w:line="360" w:lineRule="auto"/>
        <w:jc w:val="left"/>
        <w:rPr>
          <w:b/>
          <w:sz w:val="24"/>
        </w:rPr>
      </w:pPr>
      <w:r>
        <w:rPr>
          <w:rFonts w:hint="eastAsia"/>
          <w:b/>
          <w:sz w:val="24"/>
        </w:rPr>
        <w:t>4.监理人义务</w:t>
      </w:r>
    </w:p>
    <w:p>
      <w:pPr>
        <w:spacing w:line="360" w:lineRule="auto"/>
        <w:jc w:val="left"/>
        <w:rPr>
          <w:b/>
          <w:sz w:val="24"/>
        </w:rPr>
      </w:pPr>
      <w:r>
        <w:rPr>
          <w:rFonts w:hint="eastAsia"/>
          <w:b/>
          <w:sz w:val="24"/>
        </w:rPr>
        <w:t>4.2履约保证金</w:t>
      </w:r>
    </w:p>
    <w:p>
      <w:pPr>
        <w:spacing w:line="360" w:lineRule="auto"/>
        <w:ind w:firstLine="480" w:firstLineChars="200"/>
        <w:jc w:val="left"/>
        <w:rPr>
          <w:sz w:val="24"/>
        </w:rPr>
      </w:pPr>
      <w:r>
        <w:rPr>
          <w:rFonts w:hint="eastAsia"/>
          <w:sz w:val="24"/>
        </w:rPr>
        <w:t>本款细化为：</w:t>
      </w:r>
    </w:p>
    <w:p>
      <w:pPr>
        <w:spacing w:line="360" w:lineRule="auto"/>
        <w:ind w:firstLine="480" w:firstLineChars="200"/>
        <w:jc w:val="left"/>
        <w:rPr>
          <w:sz w:val="24"/>
        </w:rPr>
      </w:pPr>
      <w:r>
        <w:rPr>
          <w:rFonts w:hint="eastAsia"/>
          <w:sz w:val="24"/>
        </w:rPr>
        <w:t>4.2.1履约保证金自合同生效之日起生效。在签发合同工程交工证书后，监理人应按委托人要求的格式，以项目专用合同条款规定的额度向委托人提交缺陷责任期保函。委托人在收到监理人提交的缺陷责任期保函后7天内向监理人返还履约保证金。在签发工程缺陷责任终止证书后14天内，委托人向监理人返还缺陷责任期保函。</w:t>
      </w:r>
    </w:p>
    <w:p>
      <w:pPr>
        <w:spacing w:line="360" w:lineRule="auto"/>
        <w:ind w:firstLine="480" w:firstLineChars="200"/>
        <w:jc w:val="left"/>
        <w:rPr>
          <w:sz w:val="24"/>
        </w:rPr>
      </w:pPr>
      <w:r>
        <w:rPr>
          <w:rFonts w:hint="eastAsia"/>
          <w:sz w:val="24"/>
        </w:rPr>
        <w:t>4.2.2如果监理人不履行合同约定的义务或其履行不符合合同的约定，委托人有权扣划相应金额的履约保证金或缺陷责任期保函，但不影响监理人根据监理合同应当得到的其他款项的支付。</w:t>
      </w:r>
    </w:p>
    <w:p>
      <w:pPr>
        <w:spacing w:line="360" w:lineRule="auto"/>
        <w:jc w:val="left"/>
        <w:rPr>
          <w:b/>
          <w:sz w:val="24"/>
        </w:rPr>
      </w:pPr>
      <w:r>
        <w:rPr>
          <w:rFonts w:hint="eastAsia"/>
          <w:b/>
          <w:sz w:val="24"/>
        </w:rPr>
        <w:t>4.3联合体</w:t>
      </w:r>
    </w:p>
    <w:p>
      <w:pPr>
        <w:spacing w:line="360" w:lineRule="auto"/>
        <w:ind w:firstLine="480" w:firstLineChars="200"/>
        <w:jc w:val="left"/>
        <w:rPr>
          <w:sz w:val="24"/>
        </w:rPr>
      </w:pPr>
      <w:r>
        <w:rPr>
          <w:rFonts w:hint="eastAsia"/>
          <w:sz w:val="24"/>
        </w:rPr>
        <w:t>第4.3.3项细化为：</w:t>
      </w:r>
    </w:p>
    <w:p>
      <w:pPr>
        <w:spacing w:line="360" w:lineRule="auto"/>
        <w:ind w:firstLine="480" w:firstLineChars="200"/>
        <w:jc w:val="left"/>
        <w:rPr>
          <w:sz w:val="24"/>
        </w:rPr>
      </w:pPr>
      <w:r>
        <w:rPr>
          <w:rFonts w:hint="eastAsia"/>
          <w:sz w:val="24"/>
        </w:rPr>
        <w:t>联合体牵头人负责与委托人联系并接受指示，负责组织联合体各成员全面履行合同。委托人就本合同工程向联合体牵头人发布的任何指令、指示、通知等均对联合体其他成员具有同等效力。</w:t>
      </w:r>
    </w:p>
    <w:p>
      <w:pPr>
        <w:spacing w:line="360" w:lineRule="auto"/>
        <w:ind w:firstLine="480" w:firstLineChars="200"/>
        <w:jc w:val="left"/>
        <w:rPr>
          <w:sz w:val="24"/>
        </w:rPr>
      </w:pPr>
      <w:r>
        <w:rPr>
          <w:rFonts w:hint="eastAsia"/>
          <w:sz w:val="24"/>
        </w:rPr>
        <w:t>本款补充第4.3.4项：</w:t>
      </w:r>
    </w:p>
    <w:p>
      <w:pPr>
        <w:spacing w:line="360" w:lineRule="auto"/>
        <w:ind w:firstLine="480" w:firstLineChars="200"/>
        <w:jc w:val="left"/>
        <w:rPr>
          <w:sz w:val="24"/>
        </w:rPr>
      </w:pPr>
      <w:r>
        <w:rPr>
          <w:rFonts w:hint="eastAsia"/>
          <w:sz w:val="24"/>
        </w:rPr>
        <w:t>4.3.4未经委托人同意，联合体的组成、结构与业务分工均不得变动。</w:t>
      </w:r>
    </w:p>
    <w:p>
      <w:pPr>
        <w:spacing w:line="360" w:lineRule="auto"/>
        <w:jc w:val="left"/>
        <w:rPr>
          <w:b/>
          <w:sz w:val="24"/>
        </w:rPr>
      </w:pPr>
      <w:r>
        <w:rPr>
          <w:rFonts w:hint="eastAsia"/>
          <w:b/>
          <w:sz w:val="24"/>
        </w:rPr>
        <w:t>4.4总监理工程师</w:t>
      </w:r>
    </w:p>
    <w:p>
      <w:pPr>
        <w:spacing w:line="360" w:lineRule="auto"/>
        <w:ind w:firstLine="480" w:firstLineChars="200"/>
        <w:jc w:val="left"/>
        <w:rPr>
          <w:sz w:val="24"/>
        </w:rPr>
      </w:pPr>
      <w:r>
        <w:rPr>
          <w:rFonts w:hint="eastAsia"/>
          <w:sz w:val="24"/>
        </w:rPr>
        <w:t>第4.4.1项细化为：</w:t>
      </w:r>
    </w:p>
    <w:p>
      <w:pPr>
        <w:spacing w:line="360" w:lineRule="auto"/>
        <w:ind w:firstLine="480" w:firstLineChars="200"/>
        <w:jc w:val="left"/>
        <w:rPr>
          <w:sz w:val="24"/>
        </w:rPr>
      </w:pPr>
      <w:r>
        <w:rPr>
          <w:rFonts w:hint="eastAsia"/>
          <w:sz w:val="24"/>
        </w:rPr>
        <w:t>监理人应按合同协议书的约定指派总监理工程师，并在约定的期限内到职。监理人更换总监理工程师应事先征得委托人同意，并应在更换14天前将拟更换的总监理工程师的姓名和详细资料提交委托人，拟更换的总监理工程师资历应不低于原总监理工程师。总监理工程师2天内不能履行职责的，应事先征得委托人同意，并委派代表代行其职责。</w:t>
      </w:r>
    </w:p>
    <w:p>
      <w:pPr>
        <w:spacing w:line="360" w:lineRule="auto"/>
        <w:jc w:val="left"/>
        <w:rPr>
          <w:b/>
          <w:sz w:val="24"/>
        </w:rPr>
      </w:pPr>
      <w:r>
        <w:rPr>
          <w:rFonts w:hint="eastAsia"/>
          <w:b/>
          <w:sz w:val="24"/>
        </w:rPr>
        <w:t>4.5监理人员的管理</w:t>
      </w:r>
    </w:p>
    <w:p>
      <w:pPr>
        <w:spacing w:line="360" w:lineRule="auto"/>
        <w:ind w:firstLine="480" w:firstLineChars="200"/>
        <w:jc w:val="left"/>
        <w:rPr>
          <w:sz w:val="24"/>
        </w:rPr>
      </w:pPr>
      <w:r>
        <w:rPr>
          <w:rFonts w:hint="eastAsia"/>
          <w:sz w:val="24"/>
        </w:rPr>
        <w:t>第4.5.1项、4.5.2项细化为：</w:t>
      </w:r>
    </w:p>
    <w:p>
      <w:pPr>
        <w:spacing w:line="360" w:lineRule="auto"/>
        <w:ind w:firstLine="480" w:firstLineChars="200"/>
        <w:jc w:val="left"/>
        <w:rPr>
          <w:sz w:val="24"/>
        </w:rPr>
      </w:pPr>
      <w:r>
        <w:rPr>
          <w:rFonts w:hint="eastAsia"/>
          <w:sz w:val="24"/>
        </w:rPr>
        <w:t>4.5.1监理人应在接到开始监理通知之日起7 天内，向委托人提交监理项目机构以及人员安排的报告，其内容应包括项目机构设置、主要监理人员和其他人员的名单及资格条件。主要监理人员应常驻现场并相对稳定。更换主要监理人员的，应取得委托人的同意，并向委托人提交继任人员的资格、管理经验等资料，继任人员的资历应不低于原监理人员。总监理工程师的更换，应按照本章第4.4.1项规定执行。</w:t>
      </w:r>
    </w:p>
    <w:p>
      <w:pPr>
        <w:spacing w:line="360" w:lineRule="auto"/>
        <w:ind w:firstLine="480" w:firstLineChars="200"/>
        <w:jc w:val="left"/>
        <w:rPr>
          <w:sz w:val="24"/>
        </w:rPr>
      </w:pPr>
      <w:r>
        <w:rPr>
          <w:rFonts w:hint="eastAsia"/>
          <w:sz w:val="24"/>
        </w:rPr>
        <w:t>4.5.2 除项目专用合同条款另有约定外，主要监理人员包括总监理工程师、专业监理工程师等；其他人员包括各专业的监理员、试验员、资料员等。</w:t>
      </w:r>
    </w:p>
    <w:p>
      <w:pPr>
        <w:spacing w:line="360" w:lineRule="auto"/>
        <w:ind w:firstLine="480" w:firstLineChars="200"/>
        <w:jc w:val="left"/>
        <w:rPr>
          <w:sz w:val="24"/>
        </w:rPr>
      </w:pPr>
      <w:r>
        <w:rPr>
          <w:rFonts w:hint="eastAsia"/>
          <w:sz w:val="24"/>
        </w:rPr>
        <w:t>本条补充第4.9款：</w:t>
      </w:r>
    </w:p>
    <w:p>
      <w:pPr>
        <w:spacing w:line="360" w:lineRule="auto"/>
        <w:jc w:val="left"/>
        <w:rPr>
          <w:b/>
          <w:sz w:val="24"/>
        </w:rPr>
      </w:pPr>
      <w:r>
        <w:rPr>
          <w:rFonts w:hint="eastAsia"/>
          <w:b/>
          <w:sz w:val="24"/>
        </w:rPr>
        <w:t>4.9党建工作要求</w:t>
      </w:r>
    </w:p>
    <w:p>
      <w:pPr>
        <w:spacing w:line="360" w:lineRule="auto"/>
        <w:ind w:firstLine="480" w:firstLineChars="200"/>
        <w:jc w:val="left"/>
        <w:rPr>
          <w:sz w:val="24"/>
        </w:rPr>
      </w:pPr>
      <w:r>
        <w:rPr>
          <w:rFonts w:hint="eastAsia"/>
          <w:sz w:val="24"/>
        </w:rPr>
        <w:t>对于政府投资的国家高速公路项目，或监理人为固有控股或参股企业的，监理人应按规定在项目现场设立基层党组织。不满足上述情形的，监理人应创造条件使党员能够参加党组织生活并接受相应管理。</w:t>
      </w:r>
    </w:p>
    <w:p>
      <w:pPr>
        <w:spacing w:line="360" w:lineRule="auto"/>
        <w:ind w:firstLine="480" w:firstLineChars="200"/>
        <w:jc w:val="left"/>
        <w:rPr>
          <w:sz w:val="24"/>
        </w:rPr>
      </w:pPr>
      <w:r>
        <w:rPr>
          <w:rFonts w:hint="eastAsia"/>
          <w:sz w:val="24"/>
        </w:rPr>
        <w:t>监理人在项目现场设立基层党组织的，应明确党组织机构设置、党组织负责人及党务工作人员配备情况，编制党务工作开展预案，并按照预案要求在项目实施过程中同步开展党务工作，充分发挥基层党组织在项目实施的作用。</w:t>
      </w:r>
    </w:p>
    <w:p>
      <w:pPr>
        <w:spacing w:line="360" w:lineRule="auto"/>
        <w:jc w:val="left"/>
        <w:rPr>
          <w:b/>
          <w:sz w:val="24"/>
        </w:rPr>
      </w:pPr>
      <w:r>
        <w:rPr>
          <w:rFonts w:hint="eastAsia"/>
          <w:b/>
          <w:sz w:val="24"/>
        </w:rPr>
        <w:t>5.监理要求</w:t>
      </w:r>
    </w:p>
    <w:p>
      <w:pPr>
        <w:spacing w:line="360" w:lineRule="auto"/>
        <w:jc w:val="left"/>
        <w:rPr>
          <w:b/>
          <w:sz w:val="24"/>
        </w:rPr>
      </w:pPr>
      <w:r>
        <w:rPr>
          <w:rFonts w:hint="eastAsia"/>
          <w:b/>
          <w:sz w:val="24"/>
        </w:rPr>
        <w:t>5.1监理范围</w:t>
      </w:r>
    </w:p>
    <w:p>
      <w:pPr>
        <w:spacing w:line="360" w:lineRule="auto"/>
        <w:ind w:firstLine="480" w:firstLineChars="200"/>
        <w:jc w:val="left"/>
        <w:rPr>
          <w:sz w:val="24"/>
        </w:rPr>
      </w:pPr>
      <w:r>
        <w:rPr>
          <w:rFonts w:hint="eastAsia"/>
          <w:sz w:val="24"/>
        </w:rPr>
        <w:t>第5.1.3项细化为：</w:t>
      </w:r>
    </w:p>
    <w:p>
      <w:pPr>
        <w:spacing w:line="360" w:lineRule="auto"/>
        <w:ind w:firstLine="480" w:firstLineChars="200"/>
        <w:jc w:val="left"/>
        <w:rPr>
          <w:sz w:val="24"/>
        </w:rPr>
      </w:pPr>
      <w:r>
        <w:rPr>
          <w:rFonts w:hint="eastAsia"/>
          <w:sz w:val="24"/>
        </w:rPr>
        <w:t>阶段范围指公路工程建设程序中的施工准备阶段、施工阶段、验收与缺陷责任期阶段中的一个或者多个阶段，具体范围在项目专用合同条款中约定。</w:t>
      </w:r>
    </w:p>
    <w:p>
      <w:pPr>
        <w:spacing w:line="360" w:lineRule="auto"/>
        <w:jc w:val="left"/>
        <w:rPr>
          <w:b/>
          <w:sz w:val="24"/>
        </w:rPr>
      </w:pPr>
      <w:r>
        <w:rPr>
          <w:rFonts w:hint="eastAsia"/>
          <w:b/>
          <w:sz w:val="24"/>
        </w:rPr>
        <w:t>5.2监理依据</w:t>
      </w:r>
    </w:p>
    <w:p>
      <w:pPr>
        <w:spacing w:line="360" w:lineRule="auto"/>
        <w:ind w:firstLine="480" w:firstLineChars="200"/>
        <w:jc w:val="left"/>
        <w:rPr>
          <w:sz w:val="24"/>
        </w:rPr>
      </w:pPr>
      <w:r>
        <w:rPr>
          <w:rFonts w:hint="eastAsia"/>
          <w:sz w:val="24"/>
        </w:rPr>
        <w:t>本款细化为：</w:t>
      </w:r>
    </w:p>
    <w:p>
      <w:pPr>
        <w:spacing w:line="360" w:lineRule="auto"/>
        <w:ind w:firstLine="480" w:firstLineChars="200"/>
        <w:jc w:val="left"/>
        <w:rPr>
          <w:sz w:val="24"/>
        </w:rPr>
      </w:pPr>
      <w:r>
        <w:rPr>
          <w:rFonts w:hint="eastAsia"/>
          <w:sz w:val="24"/>
        </w:rPr>
        <w:t>除项目专用合同条款另有约定外，本工程的监理依据如下：</w:t>
      </w:r>
    </w:p>
    <w:p>
      <w:pPr>
        <w:spacing w:line="360" w:lineRule="auto"/>
        <w:ind w:firstLine="480" w:firstLineChars="200"/>
        <w:jc w:val="left"/>
        <w:rPr>
          <w:sz w:val="24"/>
        </w:rPr>
      </w:pPr>
      <w:r>
        <w:rPr>
          <w:rFonts w:hint="eastAsia"/>
          <w:sz w:val="24"/>
        </w:rPr>
        <w:t xml:space="preserve">（1）适用的法律、行政法规及部门规章； </w:t>
      </w:r>
    </w:p>
    <w:p>
      <w:pPr>
        <w:spacing w:line="360" w:lineRule="auto"/>
        <w:ind w:firstLine="480" w:firstLineChars="200"/>
        <w:jc w:val="left"/>
        <w:rPr>
          <w:sz w:val="24"/>
        </w:rPr>
      </w:pPr>
      <w:r>
        <w:rPr>
          <w:rFonts w:hint="eastAsia"/>
          <w:sz w:val="24"/>
        </w:rPr>
        <w:t xml:space="preserve">（2）与工程有关的规范、标准、规程； </w:t>
      </w:r>
    </w:p>
    <w:p>
      <w:pPr>
        <w:spacing w:line="360" w:lineRule="auto"/>
        <w:ind w:firstLine="480" w:firstLineChars="200"/>
        <w:jc w:val="left"/>
        <w:rPr>
          <w:sz w:val="24"/>
        </w:rPr>
      </w:pPr>
      <w:r>
        <w:rPr>
          <w:rFonts w:hint="eastAsia"/>
          <w:sz w:val="24"/>
        </w:rPr>
        <w:t>（3）工程前期有关文件；</w:t>
      </w:r>
    </w:p>
    <w:p>
      <w:pPr>
        <w:spacing w:line="360" w:lineRule="auto"/>
        <w:ind w:firstLine="480" w:firstLineChars="200"/>
        <w:jc w:val="left"/>
        <w:rPr>
          <w:sz w:val="24"/>
        </w:rPr>
      </w:pPr>
      <w:r>
        <w:rPr>
          <w:rFonts w:hint="eastAsia"/>
          <w:sz w:val="24"/>
        </w:rPr>
        <w:t>（4）工程勘察文件、设计文件及其他文件；</w:t>
      </w:r>
    </w:p>
    <w:p>
      <w:pPr>
        <w:spacing w:line="360" w:lineRule="auto"/>
        <w:jc w:val="left"/>
        <w:rPr>
          <w:sz w:val="24"/>
        </w:rPr>
      </w:pPr>
      <w:r>
        <w:rPr>
          <w:rFonts w:hint="eastAsia"/>
          <w:sz w:val="24"/>
        </w:rPr>
        <w:t xml:space="preserve">    （5）本工程监理的委托合同及补充合同；</w:t>
      </w:r>
    </w:p>
    <w:p>
      <w:pPr>
        <w:spacing w:line="360" w:lineRule="auto"/>
        <w:ind w:firstLine="480" w:firstLineChars="200"/>
        <w:jc w:val="left"/>
        <w:rPr>
          <w:sz w:val="24"/>
        </w:rPr>
      </w:pPr>
      <w:r>
        <w:rPr>
          <w:rFonts w:hint="eastAsia"/>
          <w:sz w:val="24"/>
        </w:rPr>
        <w:t>（6）委托人签订的施工承包合同；</w:t>
      </w:r>
    </w:p>
    <w:p>
      <w:pPr>
        <w:spacing w:line="360" w:lineRule="auto"/>
        <w:ind w:firstLine="480" w:firstLineChars="200"/>
        <w:jc w:val="left"/>
        <w:rPr>
          <w:sz w:val="24"/>
        </w:rPr>
      </w:pPr>
      <w:r>
        <w:rPr>
          <w:rFonts w:hint="eastAsia"/>
          <w:sz w:val="24"/>
        </w:rPr>
        <w:t>（7）合同履行中与监理服务有关的来往函件；</w:t>
      </w:r>
    </w:p>
    <w:p>
      <w:pPr>
        <w:spacing w:line="360" w:lineRule="auto"/>
        <w:ind w:firstLine="480" w:firstLineChars="200"/>
        <w:jc w:val="left"/>
        <w:rPr>
          <w:sz w:val="24"/>
        </w:rPr>
      </w:pPr>
      <w:r>
        <w:rPr>
          <w:rFonts w:hint="eastAsia"/>
          <w:sz w:val="24"/>
        </w:rPr>
        <w:t>（8）其他监理依据。</w:t>
      </w:r>
    </w:p>
    <w:p>
      <w:pPr>
        <w:spacing w:line="360" w:lineRule="auto"/>
        <w:jc w:val="left"/>
        <w:rPr>
          <w:b/>
          <w:sz w:val="24"/>
        </w:rPr>
      </w:pPr>
      <w:r>
        <w:rPr>
          <w:rFonts w:hint="eastAsia"/>
          <w:b/>
          <w:sz w:val="24"/>
        </w:rPr>
        <w:t>5.3监理内容</w:t>
      </w:r>
    </w:p>
    <w:p>
      <w:pPr>
        <w:spacing w:line="360" w:lineRule="auto"/>
        <w:ind w:firstLine="480" w:firstLineChars="200"/>
        <w:jc w:val="left"/>
        <w:rPr>
          <w:b/>
          <w:sz w:val="24"/>
        </w:rPr>
      </w:pPr>
      <w:r>
        <w:rPr>
          <w:rFonts w:hint="eastAsia"/>
          <w:sz w:val="24"/>
        </w:rPr>
        <w:t>本款细化为：</w:t>
      </w:r>
    </w:p>
    <w:p>
      <w:pPr>
        <w:spacing w:line="360" w:lineRule="auto"/>
        <w:ind w:firstLine="480" w:firstLineChars="200"/>
        <w:jc w:val="left"/>
        <w:rPr>
          <w:sz w:val="24"/>
        </w:rPr>
      </w:pPr>
      <w:r>
        <w:rPr>
          <w:rFonts w:hint="eastAsia"/>
          <w:sz w:val="24"/>
        </w:rPr>
        <w:t>监理人应按照《公路工程施工监理规范》及相关法律、法规开展监理服务。委托人须依据《公路工程施工监理规范》要求对监理机构的设置方式进行选择，并在项目专用合同条款中予以约定。各阶段监理服务包括但不限于以下内容，委托人可根据工程实际情况在项目专用合同条款中对其进行调整。</w:t>
      </w:r>
    </w:p>
    <w:p>
      <w:pPr>
        <w:spacing w:line="360" w:lineRule="auto"/>
        <w:ind w:firstLine="480" w:firstLineChars="200"/>
        <w:jc w:val="left"/>
        <w:rPr>
          <w:sz w:val="24"/>
        </w:rPr>
      </w:pPr>
      <w:r>
        <w:rPr>
          <w:rFonts w:hint="eastAsia"/>
          <w:sz w:val="24"/>
        </w:rPr>
        <w:t>5.3.1在工程同时设置总监办和驻地办时，总监办的监理服务内容为：</w:t>
      </w:r>
    </w:p>
    <w:p>
      <w:pPr>
        <w:spacing w:line="360" w:lineRule="auto"/>
        <w:ind w:firstLine="480" w:firstLineChars="200"/>
        <w:jc w:val="left"/>
        <w:rPr>
          <w:sz w:val="24"/>
        </w:rPr>
      </w:pPr>
      <w:r>
        <w:rPr>
          <w:rFonts w:hint="eastAsia"/>
          <w:sz w:val="24"/>
        </w:rPr>
        <w:t>(1)总监办工地试验室按监理合同要求配备常规的试验检测设备，并须达到项目专用合同条款中约定的检查项目及频率要求；</w:t>
      </w:r>
    </w:p>
    <w:p>
      <w:pPr>
        <w:spacing w:line="360" w:lineRule="auto"/>
        <w:ind w:firstLine="480" w:firstLineChars="200"/>
        <w:jc w:val="left"/>
        <w:rPr>
          <w:sz w:val="24"/>
        </w:rPr>
      </w:pPr>
      <w:r>
        <w:rPr>
          <w:rFonts w:hint="eastAsia"/>
          <w:sz w:val="24"/>
        </w:rPr>
        <w:t>(2)熟悉合同文件，调查施工环境条件；</w:t>
      </w:r>
    </w:p>
    <w:p>
      <w:pPr>
        <w:spacing w:line="360" w:lineRule="auto"/>
        <w:ind w:firstLine="480" w:firstLineChars="200"/>
        <w:jc w:val="left"/>
        <w:rPr>
          <w:sz w:val="24"/>
        </w:rPr>
      </w:pPr>
      <w:r>
        <w:rPr>
          <w:rFonts w:hint="eastAsia"/>
          <w:sz w:val="24"/>
        </w:rPr>
        <w:t>(3)在合同约定的期限内主持编制监理计划；</w:t>
      </w:r>
    </w:p>
    <w:p>
      <w:pPr>
        <w:spacing w:line="360" w:lineRule="auto"/>
        <w:ind w:firstLine="480" w:firstLineChars="200"/>
        <w:jc w:val="left"/>
        <w:rPr>
          <w:sz w:val="24"/>
        </w:rPr>
      </w:pPr>
      <w:r>
        <w:rPr>
          <w:rFonts w:hint="eastAsia"/>
          <w:sz w:val="24"/>
        </w:rPr>
        <w:t>(4)审批各驻地办主持编制的监理细则；</w:t>
      </w:r>
    </w:p>
    <w:p>
      <w:pPr>
        <w:spacing w:line="360" w:lineRule="auto"/>
        <w:ind w:firstLine="480" w:firstLineChars="200"/>
        <w:jc w:val="left"/>
        <w:rPr>
          <w:sz w:val="24"/>
        </w:rPr>
      </w:pPr>
      <w:r>
        <w:rPr>
          <w:rFonts w:hint="eastAsia"/>
          <w:sz w:val="24"/>
        </w:rPr>
        <w:t>(5)参加设计交底；</w:t>
      </w:r>
    </w:p>
    <w:p>
      <w:pPr>
        <w:spacing w:line="360" w:lineRule="auto"/>
        <w:ind w:firstLine="480" w:firstLineChars="200"/>
        <w:jc w:val="left"/>
        <w:rPr>
          <w:sz w:val="24"/>
        </w:rPr>
      </w:pPr>
      <w:r>
        <w:rPr>
          <w:rFonts w:hint="eastAsia"/>
          <w:sz w:val="24"/>
        </w:rPr>
        <w:t>(6)在合同约定的期限内审批承包人提交的施工组织设计（含安全技术措施、应急救援抢险方案、专项施工方案及施工环境保护措施）；</w:t>
      </w:r>
    </w:p>
    <w:p>
      <w:pPr>
        <w:spacing w:line="360" w:lineRule="auto"/>
        <w:ind w:firstLine="480" w:firstLineChars="200"/>
        <w:jc w:val="left"/>
        <w:rPr>
          <w:sz w:val="24"/>
        </w:rPr>
      </w:pPr>
      <w:r>
        <w:rPr>
          <w:rFonts w:hint="eastAsia"/>
          <w:sz w:val="24"/>
        </w:rPr>
        <w:t>(7)审批承包人提交的总体进度计划，核批承包人对总体进度计划的调整计划；</w:t>
      </w:r>
    </w:p>
    <w:p>
      <w:pPr>
        <w:spacing w:line="360" w:lineRule="auto"/>
        <w:ind w:firstLine="480" w:firstLineChars="200"/>
        <w:jc w:val="left"/>
        <w:rPr>
          <w:sz w:val="24"/>
        </w:rPr>
      </w:pPr>
      <w:r>
        <w:rPr>
          <w:rFonts w:hint="eastAsia"/>
          <w:sz w:val="24"/>
        </w:rPr>
        <w:t>(8)签发开工预付款支付证书；</w:t>
      </w:r>
    </w:p>
    <w:p>
      <w:pPr>
        <w:spacing w:line="360" w:lineRule="auto"/>
        <w:ind w:firstLine="480" w:firstLineChars="200"/>
        <w:jc w:val="left"/>
        <w:rPr>
          <w:sz w:val="24"/>
        </w:rPr>
      </w:pPr>
      <w:r>
        <w:rPr>
          <w:rFonts w:hint="eastAsia"/>
          <w:sz w:val="24"/>
        </w:rPr>
        <w:t>(9)审批承包人提交的分项、分部、单位工程划分；</w:t>
      </w:r>
    </w:p>
    <w:p>
      <w:pPr>
        <w:spacing w:line="360" w:lineRule="auto"/>
        <w:ind w:firstLine="480" w:firstLineChars="200"/>
        <w:jc w:val="left"/>
        <w:rPr>
          <w:sz w:val="24"/>
        </w:rPr>
      </w:pPr>
      <w:r>
        <w:rPr>
          <w:rFonts w:hint="eastAsia"/>
          <w:sz w:val="24"/>
        </w:rPr>
        <w:t>(10)检查承包人的质量、安全和环保等保证体系，审核工地试验室，抽查控制桩点复测、测定地面线和工程划分及驻地办工作；</w:t>
      </w:r>
    </w:p>
    <w:p>
      <w:pPr>
        <w:spacing w:line="360" w:lineRule="auto"/>
        <w:ind w:firstLine="480" w:firstLineChars="200"/>
        <w:jc w:val="left"/>
        <w:rPr>
          <w:sz w:val="24"/>
        </w:rPr>
      </w:pPr>
      <w:r>
        <w:rPr>
          <w:rFonts w:hint="eastAsia"/>
          <w:sz w:val="24"/>
        </w:rPr>
        <w:t>(11)主持召开监理交底会；</w:t>
      </w:r>
    </w:p>
    <w:p>
      <w:pPr>
        <w:spacing w:line="360" w:lineRule="auto"/>
        <w:ind w:firstLine="480" w:firstLineChars="200"/>
        <w:jc w:val="left"/>
        <w:rPr>
          <w:sz w:val="24"/>
        </w:rPr>
      </w:pPr>
      <w:r>
        <w:rPr>
          <w:rFonts w:hint="eastAsia"/>
          <w:sz w:val="24"/>
        </w:rPr>
        <w:t>(12)主持召开第一次工地会议；</w:t>
      </w:r>
    </w:p>
    <w:p>
      <w:pPr>
        <w:spacing w:line="360" w:lineRule="auto"/>
        <w:ind w:firstLine="480" w:firstLineChars="200"/>
        <w:jc w:val="left"/>
        <w:rPr>
          <w:sz w:val="24"/>
        </w:rPr>
      </w:pPr>
      <w:r>
        <w:rPr>
          <w:rFonts w:hint="eastAsia"/>
          <w:sz w:val="24"/>
        </w:rPr>
        <w:t>(13)签发合同工程开工令；</w:t>
      </w:r>
    </w:p>
    <w:p>
      <w:pPr>
        <w:spacing w:line="360" w:lineRule="auto"/>
        <w:ind w:firstLine="480" w:firstLineChars="200"/>
        <w:jc w:val="left"/>
        <w:rPr>
          <w:sz w:val="24"/>
        </w:rPr>
      </w:pPr>
      <w:r>
        <w:rPr>
          <w:rFonts w:hint="eastAsia"/>
          <w:sz w:val="24"/>
        </w:rPr>
        <w:t>(14)审批重要工程材料及混合料配合比；</w:t>
      </w:r>
    </w:p>
    <w:p>
      <w:pPr>
        <w:spacing w:line="360" w:lineRule="auto"/>
        <w:ind w:firstLine="480" w:firstLineChars="200"/>
        <w:jc w:val="left"/>
        <w:rPr>
          <w:sz w:val="24"/>
        </w:rPr>
      </w:pPr>
      <w:r>
        <w:rPr>
          <w:rFonts w:hint="eastAsia"/>
          <w:sz w:val="24"/>
        </w:rPr>
        <w:t>(15)审核工程中期支付申请，签发中期支付证书；</w:t>
      </w:r>
    </w:p>
    <w:p>
      <w:pPr>
        <w:spacing w:line="360" w:lineRule="auto"/>
        <w:ind w:firstLine="480" w:firstLineChars="200"/>
        <w:jc w:val="left"/>
        <w:rPr>
          <w:sz w:val="24"/>
        </w:rPr>
      </w:pPr>
      <w:r>
        <w:rPr>
          <w:rFonts w:hint="eastAsia"/>
          <w:sz w:val="24"/>
        </w:rPr>
        <w:t>(16)签发单位工程或合同工程的暂停令和复工令；</w:t>
      </w:r>
    </w:p>
    <w:p>
      <w:pPr>
        <w:spacing w:line="360" w:lineRule="auto"/>
        <w:ind w:firstLine="480" w:firstLineChars="200"/>
        <w:jc w:val="left"/>
        <w:rPr>
          <w:sz w:val="24"/>
        </w:rPr>
      </w:pPr>
      <w:r>
        <w:rPr>
          <w:rFonts w:hint="eastAsia"/>
          <w:sz w:val="24"/>
        </w:rPr>
        <w:t>(17)受理合同其他事项的有关事宜，按合同约定审核、评估和处理工程变更、工程延期、费用索赔、价格调整、保险、违约、争端等合同事项；</w:t>
      </w:r>
    </w:p>
    <w:p>
      <w:pPr>
        <w:spacing w:line="360" w:lineRule="auto"/>
        <w:ind w:firstLine="480" w:firstLineChars="200"/>
        <w:jc w:val="left"/>
        <w:rPr>
          <w:sz w:val="24"/>
        </w:rPr>
      </w:pPr>
      <w:r>
        <w:rPr>
          <w:rFonts w:hint="eastAsia"/>
          <w:sz w:val="24"/>
        </w:rPr>
        <w:t>(18)组织编写监理月报；</w:t>
      </w:r>
    </w:p>
    <w:p>
      <w:pPr>
        <w:spacing w:line="360" w:lineRule="auto"/>
        <w:ind w:firstLine="480" w:firstLineChars="200"/>
        <w:jc w:val="left"/>
        <w:rPr>
          <w:sz w:val="24"/>
        </w:rPr>
      </w:pPr>
      <w:r>
        <w:rPr>
          <w:rFonts w:hint="eastAsia"/>
          <w:sz w:val="24"/>
        </w:rPr>
        <w:t>(19)根据工程需要主持召开专题工地会议；</w:t>
      </w:r>
    </w:p>
    <w:p>
      <w:pPr>
        <w:spacing w:line="360" w:lineRule="auto"/>
        <w:ind w:firstLine="480" w:firstLineChars="200"/>
        <w:jc w:val="left"/>
        <w:rPr>
          <w:sz w:val="24"/>
        </w:rPr>
      </w:pPr>
      <w:r>
        <w:rPr>
          <w:rFonts w:hint="eastAsia"/>
          <w:sz w:val="24"/>
        </w:rPr>
        <w:t>(20)对发生的质量缺陷、质量隐患和质量事故进行调查、处理或督促承包人按规定报告有关部门；</w:t>
      </w:r>
    </w:p>
    <w:p>
      <w:pPr>
        <w:spacing w:line="360" w:lineRule="auto"/>
        <w:ind w:firstLine="480" w:firstLineChars="200"/>
        <w:jc w:val="left"/>
        <w:rPr>
          <w:sz w:val="24"/>
        </w:rPr>
      </w:pPr>
      <w:r>
        <w:rPr>
          <w:rFonts w:hint="eastAsia"/>
          <w:sz w:val="24"/>
        </w:rPr>
        <w:t>(21)协助委托人审查交工验收申请，评定工程质量；</w:t>
      </w:r>
    </w:p>
    <w:p>
      <w:pPr>
        <w:spacing w:line="360" w:lineRule="auto"/>
        <w:ind w:firstLine="480" w:firstLineChars="200"/>
        <w:jc w:val="left"/>
        <w:rPr>
          <w:sz w:val="24"/>
        </w:rPr>
      </w:pPr>
      <w:r>
        <w:rPr>
          <w:rFonts w:hint="eastAsia"/>
          <w:sz w:val="24"/>
        </w:rPr>
        <w:t>(22)参加委托人组织的合同工程交工验收；</w:t>
      </w:r>
    </w:p>
    <w:p>
      <w:pPr>
        <w:spacing w:line="360" w:lineRule="auto"/>
        <w:ind w:firstLine="480" w:firstLineChars="200"/>
        <w:jc w:val="left"/>
        <w:rPr>
          <w:sz w:val="24"/>
        </w:rPr>
      </w:pPr>
      <w:r>
        <w:rPr>
          <w:rFonts w:hint="eastAsia"/>
          <w:sz w:val="24"/>
        </w:rPr>
        <w:t>(23)编写监理工作报告，并提交委托人；</w:t>
      </w:r>
    </w:p>
    <w:p>
      <w:pPr>
        <w:spacing w:line="360" w:lineRule="auto"/>
        <w:ind w:firstLine="480" w:firstLineChars="200"/>
        <w:jc w:val="left"/>
        <w:rPr>
          <w:sz w:val="24"/>
        </w:rPr>
      </w:pPr>
      <w:r>
        <w:rPr>
          <w:rFonts w:hint="eastAsia"/>
          <w:sz w:val="24"/>
        </w:rPr>
        <w:t>(24)签认交工结账证书；</w:t>
      </w:r>
    </w:p>
    <w:p>
      <w:pPr>
        <w:spacing w:line="360" w:lineRule="auto"/>
        <w:ind w:firstLine="480" w:firstLineChars="200"/>
        <w:jc w:val="left"/>
        <w:rPr>
          <w:sz w:val="24"/>
        </w:rPr>
      </w:pPr>
      <w:r>
        <w:rPr>
          <w:rFonts w:hint="eastAsia"/>
          <w:sz w:val="24"/>
        </w:rPr>
        <w:t>(25)组织编制工程监理竣工文件，并督促承包人按合同约定编制和整理竣工资料；</w:t>
      </w:r>
    </w:p>
    <w:p>
      <w:pPr>
        <w:spacing w:line="360" w:lineRule="auto"/>
        <w:ind w:firstLine="480" w:firstLineChars="200"/>
        <w:jc w:val="left"/>
        <w:rPr>
          <w:sz w:val="24"/>
        </w:rPr>
      </w:pPr>
      <w:r>
        <w:rPr>
          <w:rFonts w:hint="eastAsia"/>
          <w:sz w:val="24"/>
        </w:rPr>
        <w:t>(26)在合同工程的缺陷责任期内，检查承包人剩余工程的实施；巡视检查己完工程，指示承包人修复发生的工程缺陷，调查、确认缺陷责任及修复费用；</w:t>
      </w:r>
    </w:p>
    <w:p>
      <w:pPr>
        <w:spacing w:line="360" w:lineRule="auto"/>
        <w:ind w:firstLine="480" w:firstLineChars="200"/>
        <w:jc w:val="left"/>
        <w:rPr>
          <w:sz w:val="24"/>
        </w:rPr>
      </w:pPr>
      <w:r>
        <w:rPr>
          <w:rFonts w:hint="eastAsia"/>
          <w:sz w:val="24"/>
        </w:rPr>
        <w:t>(27)缺陷责任期结束，经检查符合条件时，签发合同工程缺陷责任终止证书；</w:t>
      </w:r>
    </w:p>
    <w:p>
      <w:pPr>
        <w:spacing w:line="360" w:lineRule="auto"/>
        <w:ind w:firstLine="480" w:firstLineChars="200"/>
        <w:jc w:val="left"/>
        <w:rPr>
          <w:sz w:val="24"/>
        </w:rPr>
      </w:pPr>
      <w:r>
        <w:rPr>
          <w:rFonts w:hint="eastAsia"/>
          <w:sz w:val="24"/>
        </w:rPr>
        <w:t>(28)签认最后支付证书；</w:t>
      </w:r>
    </w:p>
    <w:p>
      <w:pPr>
        <w:spacing w:line="360" w:lineRule="auto"/>
        <w:ind w:firstLine="480" w:firstLineChars="200"/>
        <w:jc w:val="left"/>
        <w:rPr>
          <w:sz w:val="24"/>
        </w:rPr>
      </w:pPr>
      <w:r>
        <w:rPr>
          <w:rFonts w:hint="eastAsia"/>
          <w:sz w:val="24"/>
        </w:rPr>
        <w:t>(29)参加工程竣工验收；</w:t>
      </w:r>
    </w:p>
    <w:p>
      <w:pPr>
        <w:spacing w:line="360" w:lineRule="auto"/>
        <w:ind w:firstLine="480" w:firstLineChars="200"/>
        <w:jc w:val="left"/>
        <w:rPr>
          <w:sz w:val="24"/>
        </w:rPr>
      </w:pPr>
      <w:r>
        <w:rPr>
          <w:rFonts w:hint="eastAsia"/>
          <w:sz w:val="24"/>
        </w:rPr>
        <w:t>(30)按照项目专用合同条款约定提供其他工程管理咨询服务。</w:t>
      </w:r>
    </w:p>
    <w:p>
      <w:pPr>
        <w:spacing w:line="360" w:lineRule="auto"/>
        <w:ind w:firstLine="480" w:firstLineChars="200"/>
        <w:jc w:val="left"/>
        <w:rPr>
          <w:sz w:val="24"/>
        </w:rPr>
      </w:pPr>
      <w:r>
        <w:rPr>
          <w:rFonts w:hint="eastAsia"/>
          <w:sz w:val="24"/>
        </w:rPr>
        <w:t>5.3.2在工程同时设置总监办和驻地办时，驻地办的监理服务内容为：</w:t>
      </w:r>
    </w:p>
    <w:p>
      <w:pPr>
        <w:spacing w:line="360" w:lineRule="auto"/>
        <w:ind w:firstLine="480" w:firstLineChars="200"/>
        <w:jc w:val="left"/>
        <w:rPr>
          <w:sz w:val="24"/>
        </w:rPr>
      </w:pPr>
      <w:r>
        <w:rPr>
          <w:rFonts w:hint="eastAsia"/>
          <w:sz w:val="24"/>
        </w:rPr>
        <w:t>(1)按项目专用合同条款的约定建立（或不建立）工地试验室，如需驻地办建立工地试验室，应配备现场抽查常用的试验检测设备，并在项目专用合同条款中明确检查项目和频率的要求；</w:t>
      </w:r>
    </w:p>
    <w:p>
      <w:pPr>
        <w:spacing w:line="360" w:lineRule="auto"/>
        <w:ind w:firstLine="480" w:firstLineChars="200"/>
        <w:jc w:val="left"/>
        <w:rPr>
          <w:sz w:val="24"/>
        </w:rPr>
      </w:pPr>
      <w:r>
        <w:rPr>
          <w:rFonts w:hint="eastAsia"/>
          <w:sz w:val="24"/>
        </w:rPr>
        <w:t>(2)熟悉合同文件，调查施工环境条件；</w:t>
      </w:r>
    </w:p>
    <w:p>
      <w:pPr>
        <w:spacing w:line="360" w:lineRule="auto"/>
        <w:ind w:firstLine="480" w:firstLineChars="200"/>
        <w:jc w:val="left"/>
        <w:rPr>
          <w:sz w:val="24"/>
        </w:rPr>
      </w:pPr>
      <w:r>
        <w:rPr>
          <w:rFonts w:hint="eastAsia"/>
          <w:sz w:val="24"/>
        </w:rPr>
        <w:t>(3)在总监办的安排下，参与编制监理计划，提供本驻地办相关资料；</w:t>
      </w:r>
    </w:p>
    <w:p>
      <w:pPr>
        <w:spacing w:line="360" w:lineRule="auto"/>
        <w:ind w:firstLine="480" w:firstLineChars="200"/>
        <w:jc w:val="left"/>
        <w:rPr>
          <w:sz w:val="24"/>
        </w:rPr>
      </w:pPr>
      <w:r>
        <w:rPr>
          <w:rFonts w:hint="eastAsia"/>
          <w:sz w:val="24"/>
        </w:rPr>
        <w:t>(4)根据监理计划在相应工程开工前主持编制监理细则；</w:t>
      </w:r>
    </w:p>
    <w:p>
      <w:pPr>
        <w:spacing w:line="360" w:lineRule="auto"/>
        <w:ind w:firstLine="480" w:firstLineChars="200"/>
        <w:jc w:val="left"/>
        <w:rPr>
          <w:sz w:val="24"/>
        </w:rPr>
      </w:pPr>
      <w:r>
        <w:rPr>
          <w:rFonts w:hint="eastAsia"/>
          <w:sz w:val="24"/>
        </w:rPr>
        <w:t>(5)参加设计交底；</w:t>
      </w:r>
    </w:p>
    <w:p>
      <w:pPr>
        <w:spacing w:line="360" w:lineRule="auto"/>
        <w:ind w:firstLine="480" w:firstLineChars="200"/>
        <w:jc w:val="left"/>
        <w:rPr>
          <w:sz w:val="24"/>
        </w:rPr>
      </w:pPr>
      <w:r>
        <w:rPr>
          <w:rFonts w:hint="eastAsia"/>
          <w:sz w:val="24"/>
        </w:rPr>
        <w:t>(6)按规定程序初审本驻地监理标段承包人提交的施工组织设计（含安全技术措施、应急救援抢险方案、专项施工方案及施工环境保护措施）；</w:t>
      </w:r>
    </w:p>
    <w:p>
      <w:pPr>
        <w:spacing w:line="360" w:lineRule="auto"/>
        <w:ind w:firstLine="480" w:firstLineChars="200"/>
        <w:jc w:val="left"/>
        <w:rPr>
          <w:sz w:val="24"/>
        </w:rPr>
      </w:pPr>
      <w:r>
        <w:rPr>
          <w:rFonts w:hint="eastAsia"/>
          <w:sz w:val="24"/>
        </w:rPr>
        <w:t>(7)初审本驻地监理标段承包人提交的总体进度计划以及施工中进行的调整计划；</w:t>
      </w:r>
    </w:p>
    <w:p>
      <w:pPr>
        <w:spacing w:line="360" w:lineRule="auto"/>
        <w:ind w:firstLine="480" w:firstLineChars="200"/>
        <w:jc w:val="left"/>
        <w:rPr>
          <w:sz w:val="24"/>
        </w:rPr>
      </w:pPr>
      <w:r>
        <w:rPr>
          <w:rFonts w:hint="eastAsia"/>
          <w:sz w:val="24"/>
        </w:rPr>
        <w:t>(8)对承包人提交的原始基准点、基准线和基准高程的复测结果进行平行复测，审核后予以批复；</w:t>
      </w:r>
    </w:p>
    <w:p>
      <w:pPr>
        <w:spacing w:line="360" w:lineRule="auto"/>
        <w:ind w:firstLine="480" w:firstLineChars="200"/>
        <w:jc w:val="left"/>
        <w:rPr>
          <w:sz w:val="24"/>
        </w:rPr>
      </w:pPr>
      <w:r>
        <w:rPr>
          <w:rFonts w:hint="eastAsia"/>
          <w:sz w:val="24"/>
        </w:rPr>
        <w:t>(9)验收承包人测定的地面线；</w:t>
      </w:r>
    </w:p>
    <w:p>
      <w:pPr>
        <w:spacing w:line="360" w:lineRule="auto"/>
        <w:ind w:firstLine="480" w:firstLineChars="200"/>
        <w:jc w:val="left"/>
        <w:rPr>
          <w:sz w:val="24"/>
        </w:rPr>
      </w:pPr>
      <w:r>
        <w:rPr>
          <w:rFonts w:hint="eastAsia"/>
          <w:sz w:val="24"/>
        </w:rPr>
        <w:t>(10)确认承包人提交的场地占用计划；</w:t>
      </w:r>
    </w:p>
    <w:p>
      <w:pPr>
        <w:spacing w:line="360" w:lineRule="auto"/>
        <w:ind w:firstLine="480" w:firstLineChars="200"/>
        <w:jc w:val="left"/>
        <w:rPr>
          <w:sz w:val="24"/>
        </w:rPr>
      </w:pPr>
      <w:r>
        <w:rPr>
          <w:rFonts w:hint="eastAsia"/>
          <w:sz w:val="24"/>
        </w:rPr>
        <w:t>(11)核算承包人对工程量清单的复核结果；</w:t>
      </w:r>
    </w:p>
    <w:p>
      <w:pPr>
        <w:spacing w:line="360" w:lineRule="auto"/>
        <w:jc w:val="left"/>
        <w:rPr>
          <w:sz w:val="24"/>
        </w:rPr>
      </w:pPr>
      <w:r>
        <w:rPr>
          <w:rFonts w:hint="eastAsia"/>
          <w:sz w:val="24"/>
        </w:rPr>
        <w:t xml:space="preserve">    (12)按合同约定对工程分包计划和协议进行审查，审查分包合同中是否明确了承包人与分包人各自在安全生产方面的责任；</w:t>
      </w:r>
    </w:p>
    <w:p>
      <w:pPr>
        <w:spacing w:line="360" w:lineRule="auto"/>
        <w:ind w:firstLine="480" w:firstLineChars="200"/>
        <w:jc w:val="left"/>
        <w:rPr>
          <w:sz w:val="24"/>
        </w:rPr>
      </w:pPr>
      <w:r>
        <w:rPr>
          <w:rFonts w:hint="eastAsia"/>
          <w:sz w:val="24"/>
        </w:rPr>
        <w:t>(13)审批施工测量放线；</w:t>
      </w:r>
    </w:p>
    <w:p>
      <w:pPr>
        <w:spacing w:line="360" w:lineRule="auto"/>
        <w:ind w:firstLine="480" w:firstLineChars="200"/>
        <w:jc w:val="left"/>
        <w:rPr>
          <w:sz w:val="24"/>
        </w:rPr>
      </w:pPr>
      <w:r>
        <w:rPr>
          <w:rFonts w:hint="eastAsia"/>
          <w:sz w:val="24"/>
        </w:rPr>
        <w:t>(14)审批一般工程原材料和混合料配合比：</w:t>
      </w:r>
    </w:p>
    <w:p>
      <w:pPr>
        <w:spacing w:line="360" w:lineRule="auto"/>
        <w:ind w:firstLine="480" w:firstLineChars="200"/>
        <w:jc w:val="left"/>
        <w:rPr>
          <w:sz w:val="24"/>
        </w:rPr>
      </w:pPr>
      <w:r>
        <w:rPr>
          <w:rFonts w:hint="eastAsia"/>
          <w:sz w:val="24"/>
        </w:rPr>
        <w:t>(15)审查施工组织及人员配备；</w:t>
      </w:r>
    </w:p>
    <w:p>
      <w:pPr>
        <w:spacing w:line="360" w:lineRule="auto"/>
        <w:ind w:firstLine="480" w:firstLineChars="200"/>
        <w:jc w:val="left"/>
        <w:rPr>
          <w:sz w:val="24"/>
        </w:rPr>
      </w:pPr>
      <w:r>
        <w:rPr>
          <w:rFonts w:hint="eastAsia"/>
          <w:sz w:val="24"/>
        </w:rPr>
        <w:t>(16)审查承包人进场的施工机械设备；</w:t>
      </w:r>
    </w:p>
    <w:p>
      <w:pPr>
        <w:spacing w:line="360" w:lineRule="auto"/>
        <w:ind w:firstLine="480" w:firstLineChars="200"/>
        <w:jc w:val="left"/>
        <w:rPr>
          <w:sz w:val="24"/>
        </w:rPr>
      </w:pPr>
      <w:r>
        <w:rPr>
          <w:rFonts w:hint="eastAsia"/>
          <w:sz w:val="24"/>
        </w:rPr>
        <w:t>(17)审查承包人提交的分项、分部工程的施工方案及主要工艺；</w:t>
      </w:r>
    </w:p>
    <w:p>
      <w:pPr>
        <w:spacing w:line="360" w:lineRule="auto"/>
        <w:ind w:firstLine="480" w:firstLineChars="200"/>
        <w:jc w:val="left"/>
        <w:rPr>
          <w:sz w:val="24"/>
        </w:rPr>
      </w:pPr>
      <w:r>
        <w:rPr>
          <w:rFonts w:hint="eastAsia"/>
          <w:sz w:val="24"/>
        </w:rPr>
        <w:t>(18)审批承包人月进度计划，检查和监督进度计划的实施；</w:t>
      </w:r>
    </w:p>
    <w:p>
      <w:pPr>
        <w:spacing w:line="360" w:lineRule="auto"/>
        <w:ind w:firstLine="480" w:firstLineChars="200"/>
        <w:jc w:val="left"/>
        <w:rPr>
          <w:sz w:val="24"/>
        </w:rPr>
      </w:pPr>
      <w:r>
        <w:rPr>
          <w:rFonts w:hint="eastAsia"/>
          <w:sz w:val="24"/>
        </w:rPr>
        <w:t>(19)审批分项（部）工程的开工申请，签发分项、分部工程暂停令和复工令；</w:t>
      </w:r>
    </w:p>
    <w:p>
      <w:pPr>
        <w:spacing w:line="360" w:lineRule="auto"/>
        <w:ind w:firstLine="480" w:firstLineChars="200"/>
        <w:jc w:val="left"/>
        <w:rPr>
          <w:sz w:val="24"/>
        </w:rPr>
      </w:pPr>
      <w:r>
        <w:rPr>
          <w:rFonts w:hint="eastAsia"/>
          <w:sz w:val="24"/>
        </w:rPr>
        <w:t>(20)验收构配件或设备；</w:t>
      </w:r>
    </w:p>
    <w:p>
      <w:pPr>
        <w:spacing w:line="360" w:lineRule="auto"/>
        <w:ind w:firstLine="480" w:firstLineChars="200"/>
        <w:jc w:val="left"/>
        <w:rPr>
          <w:sz w:val="24"/>
        </w:rPr>
      </w:pPr>
      <w:r>
        <w:rPr>
          <w:rFonts w:hint="eastAsia"/>
          <w:sz w:val="24"/>
        </w:rPr>
        <w:t>(21)按有关规定和要求对工程进行巡视、旁站和抽检，并做好记录；</w:t>
      </w:r>
    </w:p>
    <w:p>
      <w:pPr>
        <w:spacing w:line="360" w:lineRule="auto"/>
        <w:ind w:firstLine="480" w:firstLineChars="200"/>
        <w:jc w:val="left"/>
        <w:rPr>
          <w:sz w:val="24"/>
        </w:rPr>
      </w:pPr>
      <w:r>
        <w:rPr>
          <w:rFonts w:hint="eastAsia"/>
          <w:sz w:val="24"/>
        </w:rPr>
        <w:t>(22)对关键工序进行签认；</w:t>
      </w:r>
    </w:p>
    <w:p>
      <w:pPr>
        <w:spacing w:line="360" w:lineRule="auto"/>
        <w:ind w:firstLine="480" w:firstLineChars="200"/>
        <w:jc w:val="left"/>
        <w:rPr>
          <w:sz w:val="24"/>
        </w:rPr>
      </w:pPr>
      <w:r>
        <w:rPr>
          <w:rFonts w:hint="eastAsia"/>
          <w:sz w:val="24"/>
        </w:rPr>
        <w:t>(23)对发生的质量缺陷、质量隐患和质量事故进行调查、处理或对不属于监理人权限处理的质量事故督促承包人按规定报告有关部门；</w:t>
      </w:r>
    </w:p>
    <w:p>
      <w:pPr>
        <w:spacing w:line="360" w:lineRule="auto"/>
        <w:ind w:firstLine="480" w:firstLineChars="200"/>
        <w:jc w:val="left"/>
        <w:rPr>
          <w:sz w:val="24"/>
        </w:rPr>
      </w:pPr>
      <w:r>
        <w:rPr>
          <w:rFonts w:hint="eastAsia"/>
          <w:sz w:val="24"/>
        </w:rPr>
        <w:t>(24)对交工的单位、分部、分项工程进行检验和质量等级评定并签发《中间交工证书》；</w:t>
      </w:r>
    </w:p>
    <w:p>
      <w:pPr>
        <w:spacing w:line="360" w:lineRule="auto"/>
        <w:ind w:firstLine="480" w:firstLineChars="200"/>
        <w:jc w:val="left"/>
        <w:rPr>
          <w:sz w:val="24"/>
        </w:rPr>
      </w:pPr>
      <w:r>
        <w:rPr>
          <w:rFonts w:hint="eastAsia"/>
          <w:sz w:val="24"/>
        </w:rPr>
        <w:t>(25)对己完工程按合同约定的方法进行计量；</w:t>
      </w:r>
    </w:p>
    <w:p>
      <w:pPr>
        <w:spacing w:line="360" w:lineRule="auto"/>
        <w:ind w:firstLine="480" w:firstLineChars="200"/>
        <w:jc w:val="left"/>
        <w:rPr>
          <w:sz w:val="24"/>
        </w:rPr>
      </w:pPr>
      <w:r>
        <w:rPr>
          <w:rFonts w:hint="eastAsia"/>
          <w:sz w:val="24"/>
        </w:rPr>
        <w:t>(26)按有关规定及时对已完分部工程、单位工程及合同工程进行质量评定；</w:t>
      </w:r>
    </w:p>
    <w:p>
      <w:pPr>
        <w:spacing w:line="360" w:lineRule="auto"/>
        <w:ind w:firstLine="480" w:firstLineChars="200"/>
        <w:jc w:val="left"/>
        <w:rPr>
          <w:sz w:val="24"/>
        </w:rPr>
      </w:pPr>
      <w:r>
        <w:rPr>
          <w:rFonts w:hint="eastAsia"/>
          <w:sz w:val="24"/>
        </w:rPr>
        <w:t>(27)编写本驻地监理标段的监理月报；</w:t>
      </w:r>
    </w:p>
    <w:p>
      <w:pPr>
        <w:spacing w:line="360" w:lineRule="auto"/>
        <w:ind w:firstLine="480" w:firstLineChars="200"/>
        <w:jc w:val="left"/>
        <w:rPr>
          <w:sz w:val="24"/>
        </w:rPr>
      </w:pPr>
      <w:r>
        <w:rPr>
          <w:rFonts w:hint="eastAsia"/>
          <w:sz w:val="24"/>
        </w:rPr>
        <w:t>(28)主持召开工地会议和根据工程需要主持召开专题工地会议；</w:t>
      </w:r>
    </w:p>
    <w:p>
      <w:pPr>
        <w:spacing w:line="360" w:lineRule="auto"/>
        <w:ind w:firstLine="480" w:firstLineChars="200"/>
        <w:jc w:val="left"/>
        <w:rPr>
          <w:sz w:val="24"/>
        </w:rPr>
      </w:pPr>
      <w:r>
        <w:rPr>
          <w:rFonts w:hint="eastAsia"/>
          <w:sz w:val="24"/>
        </w:rPr>
        <w:t>(29)编制标段监理竣工文件；</w:t>
      </w:r>
    </w:p>
    <w:p>
      <w:pPr>
        <w:spacing w:line="360" w:lineRule="auto"/>
        <w:ind w:firstLine="480" w:firstLineChars="200"/>
        <w:jc w:val="left"/>
        <w:rPr>
          <w:sz w:val="24"/>
        </w:rPr>
      </w:pPr>
      <w:r>
        <w:rPr>
          <w:rFonts w:hint="eastAsia"/>
          <w:sz w:val="24"/>
        </w:rPr>
        <w:t>(30)编写本驻地监理标段的监理工作报告；</w:t>
      </w:r>
    </w:p>
    <w:p>
      <w:pPr>
        <w:spacing w:line="360" w:lineRule="auto"/>
        <w:ind w:firstLine="480" w:firstLineChars="200"/>
        <w:jc w:val="left"/>
        <w:rPr>
          <w:sz w:val="24"/>
        </w:rPr>
      </w:pPr>
      <w:r>
        <w:rPr>
          <w:rFonts w:hint="eastAsia"/>
          <w:sz w:val="24"/>
        </w:rPr>
        <w:t>(31)参加本驻地监理标段合同工程的交工验收；</w:t>
      </w:r>
    </w:p>
    <w:p>
      <w:pPr>
        <w:spacing w:line="360" w:lineRule="auto"/>
        <w:ind w:firstLine="480" w:firstLineChars="200"/>
        <w:jc w:val="left"/>
        <w:rPr>
          <w:sz w:val="24"/>
        </w:rPr>
      </w:pPr>
      <w:r>
        <w:rPr>
          <w:rFonts w:hint="eastAsia"/>
          <w:sz w:val="24"/>
        </w:rPr>
        <w:t>(32)初审交工结账证书。</w:t>
      </w:r>
    </w:p>
    <w:p>
      <w:pPr>
        <w:spacing w:line="360" w:lineRule="auto"/>
        <w:ind w:firstLine="480" w:firstLineChars="200"/>
        <w:jc w:val="left"/>
        <w:rPr>
          <w:sz w:val="24"/>
        </w:rPr>
      </w:pPr>
      <w:r>
        <w:rPr>
          <w:rFonts w:hint="eastAsia"/>
          <w:sz w:val="24"/>
        </w:rPr>
        <w:t>(33)按照项目专用合同条款约定提供其他工程管理咨询服务。</w:t>
      </w:r>
    </w:p>
    <w:p>
      <w:pPr>
        <w:spacing w:line="360" w:lineRule="auto"/>
        <w:ind w:firstLine="480" w:firstLineChars="200"/>
        <w:jc w:val="left"/>
        <w:rPr>
          <w:sz w:val="24"/>
        </w:rPr>
      </w:pPr>
      <w:r>
        <w:rPr>
          <w:rFonts w:hint="eastAsia"/>
          <w:sz w:val="24"/>
        </w:rPr>
        <w:t>5.3.3在工程只设置总监办一级监理机构时，其监理服务内容为：</w:t>
      </w:r>
    </w:p>
    <w:p>
      <w:pPr>
        <w:spacing w:line="360" w:lineRule="auto"/>
        <w:ind w:firstLine="480" w:firstLineChars="200"/>
        <w:jc w:val="left"/>
        <w:rPr>
          <w:sz w:val="24"/>
        </w:rPr>
      </w:pPr>
      <w:r>
        <w:rPr>
          <w:rFonts w:hint="eastAsia"/>
          <w:sz w:val="24"/>
        </w:rPr>
        <w:t>(1)按监理合同要求建立总监办工地试验室，按监理合同要求配备常规的试验检测设备，并须达到项目专用合同条款中约定的检查项目及频率要求；</w:t>
      </w:r>
    </w:p>
    <w:p>
      <w:pPr>
        <w:spacing w:line="360" w:lineRule="auto"/>
        <w:ind w:firstLine="480" w:firstLineChars="200"/>
        <w:jc w:val="left"/>
        <w:rPr>
          <w:sz w:val="24"/>
        </w:rPr>
      </w:pPr>
      <w:r>
        <w:rPr>
          <w:rFonts w:hint="eastAsia"/>
          <w:sz w:val="24"/>
        </w:rPr>
        <w:t>(2)熟悉合同文件，调查施工环境条件；</w:t>
      </w:r>
    </w:p>
    <w:p>
      <w:pPr>
        <w:spacing w:line="360" w:lineRule="auto"/>
        <w:ind w:firstLine="480" w:firstLineChars="200"/>
        <w:jc w:val="left"/>
        <w:rPr>
          <w:sz w:val="24"/>
        </w:rPr>
      </w:pPr>
      <w:r>
        <w:rPr>
          <w:rFonts w:hint="eastAsia"/>
          <w:sz w:val="24"/>
        </w:rPr>
        <w:t>(3)在合同约定的期限内编制监理计划，根据监理计划在相应工程开工前编制监理细则；</w:t>
      </w:r>
    </w:p>
    <w:p>
      <w:pPr>
        <w:spacing w:line="360" w:lineRule="auto"/>
        <w:ind w:firstLine="480" w:firstLineChars="200"/>
        <w:jc w:val="left"/>
        <w:rPr>
          <w:sz w:val="24"/>
        </w:rPr>
      </w:pPr>
      <w:r>
        <w:rPr>
          <w:rFonts w:hint="eastAsia"/>
          <w:sz w:val="24"/>
        </w:rPr>
        <w:t>(4)在合同约定的期限内审批承包人提交的施工组织设计（含安全技术措施、应急救援抢险方案、专项施工方案及施工环境保护措施）；</w:t>
      </w:r>
    </w:p>
    <w:p>
      <w:pPr>
        <w:spacing w:line="360" w:lineRule="auto"/>
        <w:ind w:firstLine="480" w:firstLineChars="200"/>
        <w:jc w:val="left"/>
        <w:rPr>
          <w:sz w:val="24"/>
        </w:rPr>
      </w:pPr>
      <w:r>
        <w:rPr>
          <w:rFonts w:hint="eastAsia"/>
          <w:sz w:val="24"/>
        </w:rPr>
        <w:t>(5)参加设计交底；</w:t>
      </w:r>
    </w:p>
    <w:p>
      <w:pPr>
        <w:spacing w:line="360" w:lineRule="auto"/>
        <w:ind w:firstLine="480" w:firstLineChars="200"/>
        <w:jc w:val="left"/>
        <w:rPr>
          <w:sz w:val="24"/>
        </w:rPr>
      </w:pPr>
      <w:r>
        <w:rPr>
          <w:rFonts w:hint="eastAsia"/>
          <w:sz w:val="24"/>
        </w:rPr>
        <w:t>(6)审批承包人提交的总体进度计划，核批承包人对总体进度计划的调整计划；</w:t>
      </w:r>
    </w:p>
    <w:p>
      <w:pPr>
        <w:spacing w:line="360" w:lineRule="auto"/>
        <w:ind w:firstLine="480" w:firstLineChars="200"/>
        <w:jc w:val="left"/>
        <w:rPr>
          <w:sz w:val="24"/>
        </w:rPr>
      </w:pPr>
      <w:r>
        <w:rPr>
          <w:rFonts w:hint="eastAsia"/>
          <w:sz w:val="24"/>
        </w:rPr>
        <w:t>(7)检查承包人工程质量、施工安全和施工环境保护等保证体系；</w:t>
      </w:r>
    </w:p>
    <w:p>
      <w:pPr>
        <w:spacing w:line="360" w:lineRule="auto"/>
        <w:ind w:firstLine="480" w:firstLineChars="200"/>
        <w:jc w:val="left"/>
        <w:rPr>
          <w:sz w:val="24"/>
        </w:rPr>
      </w:pPr>
      <w:r>
        <w:rPr>
          <w:rFonts w:hint="eastAsia"/>
          <w:sz w:val="24"/>
        </w:rPr>
        <w:t>(8)审核承包人的工地试验室；</w:t>
      </w:r>
    </w:p>
    <w:p>
      <w:pPr>
        <w:spacing w:line="360" w:lineRule="auto"/>
        <w:ind w:firstLine="480" w:firstLineChars="200"/>
        <w:jc w:val="left"/>
        <w:rPr>
          <w:sz w:val="24"/>
        </w:rPr>
      </w:pPr>
      <w:r>
        <w:rPr>
          <w:rFonts w:hint="eastAsia"/>
          <w:sz w:val="24"/>
        </w:rPr>
        <w:t>(9)对承包人提交的原始基准点、基准线和基准高程的复测结果进行平行复测，审核后予以批复；</w:t>
      </w:r>
    </w:p>
    <w:p>
      <w:pPr>
        <w:spacing w:line="360" w:lineRule="auto"/>
        <w:ind w:firstLine="480" w:firstLineChars="200"/>
        <w:jc w:val="left"/>
        <w:rPr>
          <w:sz w:val="24"/>
        </w:rPr>
      </w:pPr>
      <w:r>
        <w:rPr>
          <w:rFonts w:hint="eastAsia"/>
          <w:sz w:val="24"/>
        </w:rPr>
        <w:t>(10)验收承包人测定的地面线；</w:t>
      </w:r>
    </w:p>
    <w:p>
      <w:pPr>
        <w:spacing w:line="360" w:lineRule="auto"/>
        <w:ind w:firstLine="480" w:firstLineChars="200"/>
        <w:jc w:val="left"/>
        <w:rPr>
          <w:sz w:val="24"/>
        </w:rPr>
      </w:pPr>
      <w:r>
        <w:rPr>
          <w:rFonts w:hint="eastAsia"/>
          <w:sz w:val="24"/>
        </w:rPr>
        <w:t>(11)审批承包人提交的分项、分部、单位工程划分；</w:t>
      </w:r>
    </w:p>
    <w:p>
      <w:pPr>
        <w:spacing w:line="360" w:lineRule="auto"/>
        <w:ind w:firstLine="480" w:firstLineChars="200"/>
        <w:jc w:val="left"/>
        <w:rPr>
          <w:sz w:val="24"/>
        </w:rPr>
      </w:pPr>
      <w:r>
        <w:rPr>
          <w:rFonts w:hint="eastAsia"/>
          <w:sz w:val="24"/>
        </w:rPr>
        <w:t>(12)确认承包人提交的场地占用计划；</w:t>
      </w:r>
    </w:p>
    <w:p>
      <w:pPr>
        <w:spacing w:line="360" w:lineRule="auto"/>
        <w:ind w:firstLine="480" w:firstLineChars="200"/>
        <w:jc w:val="left"/>
        <w:rPr>
          <w:sz w:val="24"/>
        </w:rPr>
      </w:pPr>
      <w:r>
        <w:rPr>
          <w:rFonts w:hint="eastAsia"/>
          <w:sz w:val="24"/>
        </w:rPr>
        <w:t>(13)核算承包人对工程量清单的复核结果；</w:t>
      </w:r>
    </w:p>
    <w:p>
      <w:pPr>
        <w:spacing w:line="360" w:lineRule="auto"/>
        <w:ind w:firstLine="480" w:firstLineChars="200"/>
        <w:jc w:val="left"/>
        <w:rPr>
          <w:sz w:val="24"/>
        </w:rPr>
      </w:pPr>
      <w:r>
        <w:rPr>
          <w:rFonts w:hint="eastAsia"/>
          <w:sz w:val="24"/>
        </w:rPr>
        <w:t>(14)签发开工预付款支付证书；</w:t>
      </w:r>
    </w:p>
    <w:p>
      <w:pPr>
        <w:spacing w:line="360" w:lineRule="auto"/>
        <w:ind w:firstLine="480" w:firstLineChars="200"/>
        <w:jc w:val="left"/>
        <w:rPr>
          <w:sz w:val="24"/>
        </w:rPr>
      </w:pPr>
      <w:r>
        <w:rPr>
          <w:rFonts w:hint="eastAsia"/>
          <w:sz w:val="24"/>
        </w:rPr>
        <w:t>(15)主持召开监理交底会；</w:t>
      </w:r>
    </w:p>
    <w:p>
      <w:pPr>
        <w:spacing w:line="360" w:lineRule="auto"/>
        <w:ind w:firstLine="480" w:firstLineChars="200"/>
        <w:jc w:val="left"/>
        <w:rPr>
          <w:sz w:val="24"/>
        </w:rPr>
      </w:pPr>
      <w:r>
        <w:rPr>
          <w:rFonts w:hint="eastAsia"/>
          <w:sz w:val="24"/>
        </w:rPr>
        <w:t>(16)主持召开第一次工地会议；</w:t>
      </w:r>
    </w:p>
    <w:p>
      <w:pPr>
        <w:spacing w:line="360" w:lineRule="auto"/>
        <w:ind w:firstLine="480" w:firstLineChars="200"/>
        <w:jc w:val="left"/>
        <w:rPr>
          <w:sz w:val="24"/>
        </w:rPr>
      </w:pPr>
      <w:r>
        <w:rPr>
          <w:rFonts w:hint="eastAsia"/>
          <w:sz w:val="24"/>
        </w:rPr>
        <w:t>(17)签发合同工程开工令；</w:t>
      </w:r>
    </w:p>
    <w:p>
      <w:pPr>
        <w:spacing w:line="360" w:lineRule="auto"/>
        <w:ind w:firstLine="480" w:firstLineChars="200"/>
        <w:jc w:val="left"/>
        <w:rPr>
          <w:sz w:val="24"/>
        </w:rPr>
      </w:pPr>
      <w:r>
        <w:rPr>
          <w:rFonts w:hint="eastAsia"/>
          <w:sz w:val="24"/>
        </w:rPr>
        <w:t>(18)按合同约定对工程分包计划和协议进行审查，并审查分包合同中是否明确了承包人与分包单位各自在安全生产方面的责任；</w:t>
      </w:r>
    </w:p>
    <w:p>
      <w:pPr>
        <w:spacing w:line="360" w:lineRule="auto"/>
        <w:ind w:firstLine="480" w:firstLineChars="200"/>
        <w:jc w:val="left"/>
        <w:rPr>
          <w:sz w:val="24"/>
        </w:rPr>
      </w:pPr>
      <w:r>
        <w:rPr>
          <w:rFonts w:hint="eastAsia"/>
          <w:sz w:val="24"/>
        </w:rPr>
        <w:t>(19)审批施工测量放线；</w:t>
      </w:r>
    </w:p>
    <w:p>
      <w:pPr>
        <w:spacing w:line="360" w:lineRule="auto"/>
        <w:ind w:firstLine="480" w:firstLineChars="200"/>
        <w:jc w:val="left"/>
        <w:rPr>
          <w:sz w:val="24"/>
        </w:rPr>
      </w:pPr>
      <w:r>
        <w:rPr>
          <w:rFonts w:hint="eastAsia"/>
          <w:sz w:val="24"/>
        </w:rPr>
        <w:t>(20)审批工程原材料及混合料配合比；</w:t>
      </w:r>
    </w:p>
    <w:p>
      <w:pPr>
        <w:spacing w:line="360" w:lineRule="auto"/>
        <w:ind w:firstLine="480" w:firstLineChars="200"/>
        <w:jc w:val="left"/>
        <w:rPr>
          <w:sz w:val="24"/>
        </w:rPr>
      </w:pPr>
      <w:r>
        <w:rPr>
          <w:rFonts w:hint="eastAsia"/>
          <w:sz w:val="24"/>
        </w:rPr>
        <w:t>(21)审查施工组织及人员配备；</w:t>
      </w:r>
    </w:p>
    <w:p>
      <w:pPr>
        <w:spacing w:line="360" w:lineRule="auto"/>
        <w:ind w:firstLine="480" w:firstLineChars="200"/>
        <w:jc w:val="left"/>
        <w:rPr>
          <w:sz w:val="24"/>
        </w:rPr>
      </w:pPr>
      <w:r>
        <w:rPr>
          <w:rFonts w:hint="eastAsia"/>
          <w:sz w:val="24"/>
        </w:rPr>
        <w:t>(22)审查承包人进场的施工机械设备；</w:t>
      </w:r>
    </w:p>
    <w:p>
      <w:pPr>
        <w:spacing w:line="360" w:lineRule="auto"/>
        <w:ind w:firstLine="480" w:firstLineChars="200"/>
        <w:jc w:val="left"/>
        <w:rPr>
          <w:sz w:val="24"/>
        </w:rPr>
      </w:pPr>
      <w:r>
        <w:rPr>
          <w:rFonts w:hint="eastAsia"/>
          <w:sz w:val="24"/>
        </w:rPr>
        <w:t>(23)审查承包人提交的分项、分部工程的施工方案及主要工艺；</w:t>
      </w:r>
    </w:p>
    <w:p>
      <w:pPr>
        <w:spacing w:line="360" w:lineRule="auto"/>
        <w:ind w:firstLine="480" w:firstLineChars="200"/>
        <w:jc w:val="left"/>
        <w:rPr>
          <w:sz w:val="24"/>
        </w:rPr>
      </w:pPr>
      <w:r>
        <w:rPr>
          <w:rFonts w:hint="eastAsia"/>
          <w:sz w:val="24"/>
        </w:rPr>
        <w:t>(24)审批承包人月进度计划，检查和监督进度计划的实施；</w:t>
      </w:r>
    </w:p>
    <w:p>
      <w:pPr>
        <w:spacing w:line="360" w:lineRule="auto"/>
        <w:ind w:firstLine="480" w:firstLineChars="200"/>
        <w:jc w:val="left"/>
        <w:rPr>
          <w:sz w:val="24"/>
        </w:rPr>
      </w:pPr>
      <w:r>
        <w:rPr>
          <w:rFonts w:hint="eastAsia"/>
          <w:sz w:val="24"/>
        </w:rPr>
        <w:t>(25)审批分项（分部）工程的开工申请；</w:t>
      </w:r>
    </w:p>
    <w:p>
      <w:pPr>
        <w:spacing w:line="360" w:lineRule="auto"/>
        <w:ind w:firstLine="480" w:firstLineChars="200"/>
        <w:jc w:val="left"/>
        <w:rPr>
          <w:sz w:val="24"/>
        </w:rPr>
      </w:pPr>
      <w:r>
        <w:rPr>
          <w:rFonts w:hint="eastAsia"/>
          <w:sz w:val="24"/>
        </w:rPr>
        <w:t>(26)验收构配件或设备；</w:t>
      </w:r>
    </w:p>
    <w:p>
      <w:pPr>
        <w:spacing w:line="360" w:lineRule="auto"/>
        <w:ind w:firstLine="480" w:firstLineChars="200"/>
        <w:jc w:val="left"/>
        <w:rPr>
          <w:sz w:val="24"/>
        </w:rPr>
      </w:pPr>
      <w:r>
        <w:rPr>
          <w:rFonts w:hint="eastAsia"/>
          <w:sz w:val="24"/>
        </w:rPr>
        <w:t>(27)按有关规定和要求对工程进行巡视、旁站和抽检，并做好记录；</w:t>
      </w:r>
    </w:p>
    <w:p>
      <w:pPr>
        <w:spacing w:line="360" w:lineRule="auto"/>
        <w:ind w:firstLine="480" w:firstLineChars="200"/>
        <w:jc w:val="left"/>
        <w:rPr>
          <w:sz w:val="24"/>
        </w:rPr>
      </w:pPr>
      <w:r>
        <w:rPr>
          <w:rFonts w:hint="eastAsia"/>
          <w:sz w:val="24"/>
        </w:rPr>
        <w:t>(28)对关键工序进行签认；</w:t>
      </w:r>
    </w:p>
    <w:p>
      <w:pPr>
        <w:spacing w:line="360" w:lineRule="auto"/>
        <w:ind w:firstLine="480" w:firstLineChars="200"/>
        <w:jc w:val="left"/>
        <w:rPr>
          <w:sz w:val="24"/>
        </w:rPr>
      </w:pPr>
      <w:r>
        <w:rPr>
          <w:rFonts w:hint="eastAsia"/>
          <w:sz w:val="24"/>
        </w:rPr>
        <w:t>(29)对发生的质量缺陷、质量隐患和质量事故进行调查、处理或对不属于监理人权限处理的质量事故督促承包人按规定报告有关部门；</w:t>
      </w:r>
    </w:p>
    <w:p>
      <w:pPr>
        <w:spacing w:line="360" w:lineRule="auto"/>
        <w:ind w:firstLine="480" w:firstLineChars="200"/>
        <w:jc w:val="left"/>
        <w:rPr>
          <w:sz w:val="24"/>
        </w:rPr>
      </w:pPr>
      <w:r>
        <w:rPr>
          <w:rFonts w:hint="eastAsia"/>
          <w:sz w:val="24"/>
        </w:rPr>
        <w:t>(30)签发单位或合同工程及分部（分项）工程的暂停令和复工令；</w:t>
      </w:r>
    </w:p>
    <w:p>
      <w:pPr>
        <w:spacing w:line="360" w:lineRule="auto"/>
        <w:ind w:firstLine="480" w:firstLineChars="200"/>
        <w:jc w:val="left"/>
        <w:rPr>
          <w:sz w:val="24"/>
        </w:rPr>
      </w:pPr>
      <w:r>
        <w:rPr>
          <w:rFonts w:hint="eastAsia"/>
          <w:sz w:val="24"/>
        </w:rPr>
        <w:t>(31)对交工的单位、分部、分项工程进行检验和质量等级评定并签发《中间交工证书》；</w:t>
      </w:r>
    </w:p>
    <w:p>
      <w:pPr>
        <w:spacing w:line="360" w:lineRule="auto"/>
        <w:ind w:firstLine="480" w:firstLineChars="200"/>
        <w:jc w:val="left"/>
        <w:rPr>
          <w:sz w:val="24"/>
        </w:rPr>
      </w:pPr>
      <w:r>
        <w:rPr>
          <w:rFonts w:hint="eastAsia"/>
          <w:sz w:val="24"/>
        </w:rPr>
        <w:t>(32)对己完工程按合同约定的方法进行计量；</w:t>
      </w:r>
    </w:p>
    <w:p>
      <w:pPr>
        <w:spacing w:line="360" w:lineRule="auto"/>
        <w:ind w:firstLine="480" w:firstLineChars="200"/>
        <w:jc w:val="left"/>
        <w:rPr>
          <w:sz w:val="24"/>
        </w:rPr>
      </w:pPr>
      <w:r>
        <w:rPr>
          <w:rFonts w:hint="eastAsia"/>
          <w:sz w:val="24"/>
        </w:rPr>
        <w:t>(33)审核工程中期支付申请，签发中期支付证书；</w:t>
      </w:r>
    </w:p>
    <w:p>
      <w:pPr>
        <w:spacing w:line="360" w:lineRule="auto"/>
        <w:ind w:firstLine="480" w:firstLineChars="200"/>
        <w:jc w:val="left"/>
        <w:rPr>
          <w:sz w:val="24"/>
        </w:rPr>
      </w:pPr>
      <w:r>
        <w:rPr>
          <w:rFonts w:hint="eastAsia"/>
          <w:sz w:val="24"/>
        </w:rPr>
        <w:t>(34)按有关规定及时对已完分部工程、单位工程及合同工程进行质量评定；</w:t>
      </w:r>
    </w:p>
    <w:p>
      <w:pPr>
        <w:spacing w:line="360" w:lineRule="auto"/>
        <w:ind w:firstLine="480" w:firstLineChars="200"/>
        <w:jc w:val="left"/>
        <w:rPr>
          <w:sz w:val="24"/>
        </w:rPr>
      </w:pPr>
      <w:r>
        <w:rPr>
          <w:rFonts w:hint="eastAsia"/>
          <w:sz w:val="24"/>
        </w:rPr>
        <w:t>(35)受理合同其他事项的有关事宜，按合同约定审核、评估和处理工程变更、延期、费用索赔、价格调整、保险、违约、争端等合同事项；</w:t>
      </w:r>
    </w:p>
    <w:p>
      <w:pPr>
        <w:spacing w:line="360" w:lineRule="auto"/>
        <w:ind w:firstLine="480" w:firstLineChars="200"/>
        <w:jc w:val="left"/>
        <w:rPr>
          <w:sz w:val="24"/>
        </w:rPr>
      </w:pPr>
      <w:r>
        <w:rPr>
          <w:rFonts w:hint="eastAsia"/>
          <w:sz w:val="24"/>
        </w:rPr>
        <w:t>(36)组织编写监理月报；</w:t>
      </w:r>
    </w:p>
    <w:p>
      <w:pPr>
        <w:spacing w:line="360" w:lineRule="auto"/>
        <w:ind w:firstLine="480" w:firstLineChars="200"/>
        <w:jc w:val="left"/>
        <w:rPr>
          <w:sz w:val="24"/>
        </w:rPr>
      </w:pPr>
      <w:r>
        <w:rPr>
          <w:rFonts w:hint="eastAsia"/>
          <w:sz w:val="24"/>
        </w:rPr>
        <w:t>(37)主持召开工地例会或根据工程需要主持召开专题工地会议；</w:t>
      </w:r>
    </w:p>
    <w:p>
      <w:pPr>
        <w:spacing w:line="360" w:lineRule="auto"/>
        <w:ind w:firstLine="480" w:firstLineChars="200"/>
        <w:jc w:val="left"/>
        <w:rPr>
          <w:sz w:val="24"/>
        </w:rPr>
      </w:pPr>
      <w:r>
        <w:rPr>
          <w:rFonts w:hint="eastAsia"/>
          <w:sz w:val="24"/>
        </w:rPr>
        <w:t>(38)协助委托人审查交工验收申请，评定工程质量；</w:t>
      </w:r>
    </w:p>
    <w:p>
      <w:pPr>
        <w:spacing w:line="360" w:lineRule="auto"/>
        <w:ind w:firstLine="480" w:firstLineChars="200"/>
        <w:jc w:val="left"/>
        <w:rPr>
          <w:sz w:val="24"/>
        </w:rPr>
      </w:pPr>
      <w:r>
        <w:rPr>
          <w:rFonts w:hint="eastAsia"/>
          <w:sz w:val="24"/>
        </w:rPr>
        <w:t>(39)参加委托人组织的合同工程交工验收；</w:t>
      </w:r>
    </w:p>
    <w:p>
      <w:pPr>
        <w:spacing w:line="360" w:lineRule="auto"/>
        <w:ind w:firstLine="480" w:firstLineChars="200"/>
        <w:jc w:val="left"/>
        <w:rPr>
          <w:sz w:val="24"/>
        </w:rPr>
      </w:pPr>
      <w:r>
        <w:rPr>
          <w:rFonts w:hint="eastAsia"/>
          <w:sz w:val="24"/>
        </w:rPr>
        <w:t>(40)编写监理工作报告，并提交委托人；</w:t>
      </w:r>
    </w:p>
    <w:p>
      <w:pPr>
        <w:spacing w:line="360" w:lineRule="auto"/>
        <w:ind w:firstLine="480" w:firstLineChars="200"/>
        <w:jc w:val="left"/>
        <w:rPr>
          <w:sz w:val="24"/>
        </w:rPr>
      </w:pPr>
      <w:r>
        <w:rPr>
          <w:rFonts w:hint="eastAsia"/>
          <w:sz w:val="24"/>
        </w:rPr>
        <w:t>(41)签认交工结账证书；</w:t>
      </w:r>
    </w:p>
    <w:p>
      <w:pPr>
        <w:spacing w:line="360" w:lineRule="auto"/>
        <w:ind w:firstLine="480" w:firstLineChars="200"/>
        <w:jc w:val="left"/>
        <w:rPr>
          <w:sz w:val="24"/>
        </w:rPr>
      </w:pPr>
      <w:r>
        <w:rPr>
          <w:rFonts w:hint="eastAsia"/>
          <w:sz w:val="24"/>
        </w:rPr>
        <w:t>(42)组织编制工程监理竣工文件，并督促承包人按合同约定编制和整理竣工资料；</w:t>
      </w:r>
    </w:p>
    <w:p>
      <w:pPr>
        <w:spacing w:line="360" w:lineRule="auto"/>
        <w:ind w:firstLine="480" w:firstLineChars="200"/>
        <w:jc w:val="left"/>
        <w:rPr>
          <w:sz w:val="24"/>
        </w:rPr>
      </w:pPr>
      <w:r>
        <w:rPr>
          <w:rFonts w:hint="eastAsia"/>
          <w:sz w:val="24"/>
        </w:rPr>
        <w:t>(43)在合同工程的缺陷责任期内，检查承包人剩余工程的实施；巡视检查已完工程，指示承包人修复发生的工程缺陷，调查、确认缺陷责任及修复费用；</w:t>
      </w:r>
    </w:p>
    <w:p>
      <w:pPr>
        <w:spacing w:line="360" w:lineRule="auto"/>
        <w:ind w:firstLine="480" w:firstLineChars="200"/>
        <w:jc w:val="left"/>
        <w:rPr>
          <w:sz w:val="24"/>
        </w:rPr>
      </w:pPr>
      <w:r>
        <w:rPr>
          <w:rFonts w:hint="eastAsia"/>
          <w:sz w:val="24"/>
        </w:rPr>
        <w:t>(44)缺陷责任期结束，经检查符合条件时，签发合同工程缺陷责任终止证书；</w:t>
      </w:r>
    </w:p>
    <w:p>
      <w:pPr>
        <w:spacing w:line="360" w:lineRule="auto"/>
        <w:ind w:firstLine="480" w:firstLineChars="200"/>
        <w:jc w:val="left"/>
        <w:rPr>
          <w:sz w:val="24"/>
        </w:rPr>
      </w:pPr>
      <w:r>
        <w:rPr>
          <w:rFonts w:hint="eastAsia"/>
          <w:sz w:val="24"/>
        </w:rPr>
        <w:t>(45)签认最后支付证书；</w:t>
      </w:r>
    </w:p>
    <w:p>
      <w:pPr>
        <w:spacing w:line="360" w:lineRule="auto"/>
        <w:ind w:firstLine="480" w:firstLineChars="200"/>
        <w:jc w:val="left"/>
        <w:rPr>
          <w:sz w:val="24"/>
        </w:rPr>
      </w:pPr>
      <w:r>
        <w:rPr>
          <w:rFonts w:hint="eastAsia"/>
          <w:sz w:val="24"/>
        </w:rPr>
        <w:t>(46)参加工程竣工验收；</w:t>
      </w:r>
    </w:p>
    <w:p>
      <w:pPr>
        <w:spacing w:line="360" w:lineRule="auto"/>
        <w:ind w:firstLine="480" w:firstLineChars="200"/>
        <w:jc w:val="left"/>
        <w:rPr>
          <w:sz w:val="24"/>
        </w:rPr>
      </w:pPr>
      <w:r>
        <w:rPr>
          <w:rFonts w:hint="eastAsia"/>
          <w:sz w:val="24"/>
        </w:rPr>
        <w:t>(47)按照项目专用合同条款约定提供其他工程管理咨询服务。</w:t>
      </w:r>
    </w:p>
    <w:p>
      <w:pPr>
        <w:spacing w:line="360" w:lineRule="auto"/>
        <w:jc w:val="left"/>
        <w:rPr>
          <w:b/>
          <w:sz w:val="24"/>
        </w:rPr>
      </w:pPr>
      <w:r>
        <w:rPr>
          <w:rFonts w:hint="eastAsia"/>
          <w:b/>
          <w:sz w:val="24"/>
        </w:rPr>
        <w:t>5.4监理文件要求</w:t>
      </w:r>
    </w:p>
    <w:p>
      <w:pPr>
        <w:spacing w:line="360" w:lineRule="auto"/>
        <w:ind w:firstLine="480" w:firstLineChars="200"/>
        <w:jc w:val="left"/>
        <w:rPr>
          <w:sz w:val="24"/>
        </w:rPr>
      </w:pPr>
      <w:r>
        <w:rPr>
          <w:rFonts w:hint="eastAsia"/>
          <w:sz w:val="24"/>
        </w:rPr>
        <w:t>第5.4.3项细化为：</w:t>
      </w:r>
    </w:p>
    <w:p>
      <w:pPr>
        <w:spacing w:line="360" w:lineRule="auto"/>
        <w:ind w:firstLine="480" w:firstLineChars="200"/>
        <w:jc w:val="left"/>
        <w:rPr>
          <w:sz w:val="24"/>
        </w:rPr>
      </w:pPr>
      <w:r>
        <w:rPr>
          <w:rFonts w:hint="eastAsia"/>
          <w:sz w:val="24"/>
        </w:rPr>
        <w:t>除项目专用合同条款另有约定外，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公路工程施工监理规范》的规定。</w:t>
      </w:r>
    </w:p>
    <w:p>
      <w:pPr>
        <w:spacing w:line="360" w:lineRule="auto"/>
        <w:ind w:firstLine="480" w:firstLineChars="200"/>
        <w:jc w:val="left"/>
        <w:rPr>
          <w:sz w:val="24"/>
        </w:rPr>
      </w:pPr>
      <w:r>
        <w:rPr>
          <w:rFonts w:hint="eastAsia"/>
          <w:sz w:val="24"/>
        </w:rPr>
        <w:t>本条补充第5.5款至第5.7款：</w:t>
      </w:r>
    </w:p>
    <w:p>
      <w:pPr>
        <w:spacing w:line="360" w:lineRule="auto"/>
        <w:jc w:val="left"/>
        <w:rPr>
          <w:b/>
          <w:sz w:val="24"/>
        </w:rPr>
      </w:pPr>
      <w:r>
        <w:rPr>
          <w:rFonts w:hint="eastAsia"/>
          <w:b/>
          <w:sz w:val="24"/>
        </w:rPr>
        <w:t>5.5监理服务形式</w:t>
      </w:r>
    </w:p>
    <w:p>
      <w:pPr>
        <w:spacing w:line="360" w:lineRule="auto"/>
        <w:ind w:firstLine="480" w:firstLineChars="200"/>
        <w:jc w:val="left"/>
        <w:rPr>
          <w:sz w:val="24"/>
        </w:rPr>
      </w:pPr>
      <w:r>
        <w:rPr>
          <w:rFonts w:hint="eastAsia"/>
          <w:sz w:val="24"/>
        </w:rPr>
        <w:t>监理人应根据工程规模、难易程度、合同工期安排、现场条件等因素设置现场监理的组织机构并满足合同要求。委托人对监理人的机构设置要求在项目专用合同条款中约定。</w:t>
      </w:r>
    </w:p>
    <w:p>
      <w:pPr>
        <w:spacing w:line="360" w:lineRule="auto"/>
        <w:jc w:val="left"/>
        <w:rPr>
          <w:b/>
          <w:sz w:val="24"/>
        </w:rPr>
      </w:pPr>
      <w:r>
        <w:rPr>
          <w:rFonts w:hint="eastAsia"/>
          <w:b/>
          <w:sz w:val="24"/>
        </w:rPr>
        <w:t>5.6监理服务目标</w:t>
      </w:r>
    </w:p>
    <w:p>
      <w:pPr>
        <w:spacing w:line="360" w:lineRule="auto"/>
        <w:ind w:firstLine="480" w:firstLineChars="200"/>
        <w:jc w:val="left"/>
        <w:rPr>
          <w:sz w:val="24"/>
        </w:rPr>
      </w:pPr>
      <w:r>
        <w:rPr>
          <w:rFonts w:hint="eastAsia"/>
          <w:sz w:val="24"/>
        </w:rPr>
        <w:t>5.6.1监理服务履约目标：除项目专用合同条款另有约定外，监理人提供的监理服务，应当符合国家有关法律、法规和标准规范，满足合同约定的服务内容和质量等要求。</w:t>
      </w:r>
    </w:p>
    <w:p>
      <w:pPr>
        <w:spacing w:line="360" w:lineRule="auto"/>
        <w:ind w:firstLine="480" w:firstLineChars="200"/>
        <w:jc w:val="left"/>
        <w:rPr>
          <w:sz w:val="24"/>
        </w:rPr>
      </w:pPr>
      <w:r>
        <w:rPr>
          <w:rFonts w:hint="eastAsia"/>
          <w:sz w:val="24"/>
        </w:rPr>
        <w:t>5.6.2对第三方履约管理的服务目标：在项目专用合同条款中约定。</w:t>
      </w:r>
    </w:p>
    <w:p>
      <w:pPr>
        <w:spacing w:line="360" w:lineRule="auto"/>
        <w:jc w:val="left"/>
        <w:rPr>
          <w:b/>
          <w:sz w:val="24"/>
        </w:rPr>
      </w:pPr>
      <w:r>
        <w:rPr>
          <w:rFonts w:hint="eastAsia"/>
          <w:b/>
          <w:sz w:val="24"/>
        </w:rPr>
        <w:t>5.7委托人对监理人的授权</w:t>
      </w:r>
    </w:p>
    <w:p>
      <w:pPr>
        <w:spacing w:line="360" w:lineRule="auto"/>
        <w:ind w:firstLine="480" w:firstLineChars="200"/>
        <w:jc w:val="left"/>
        <w:rPr>
          <w:sz w:val="24"/>
        </w:rPr>
      </w:pPr>
      <w:r>
        <w:rPr>
          <w:rFonts w:hint="eastAsia"/>
          <w:sz w:val="24"/>
        </w:rPr>
        <w:t>5.7.1监理人根据监理合同提供监理服务时，在委托人授权权限范围内开展工作。授权权限在项目专用合同条款中约定。</w:t>
      </w:r>
    </w:p>
    <w:p>
      <w:pPr>
        <w:spacing w:line="360" w:lineRule="auto"/>
        <w:ind w:firstLine="480" w:firstLineChars="200"/>
        <w:jc w:val="left"/>
        <w:rPr>
          <w:sz w:val="24"/>
        </w:rPr>
      </w:pPr>
      <w:r>
        <w:rPr>
          <w:rFonts w:hint="eastAsia"/>
          <w:sz w:val="24"/>
        </w:rPr>
        <w:t>5.7.2如果监理人在监理服务过程中行使的权力或所需的授权，来自于委托人和第三方签订的工程合同文件，该合同文件应成为本监理合同的组成部分，两者之间如出现矛盾，则应编制补充说明文件一并列入监理合同。监理人应：</w:t>
      </w:r>
    </w:p>
    <w:p>
      <w:pPr>
        <w:spacing w:line="360" w:lineRule="auto"/>
        <w:ind w:firstLine="480" w:firstLineChars="200"/>
        <w:jc w:val="left"/>
        <w:rPr>
          <w:sz w:val="24"/>
        </w:rPr>
      </w:pPr>
      <w:r>
        <w:rPr>
          <w:rFonts w:hint="eastAsia"/>
          <w:sz w:val="24"/>
        </w:rPr>
        <w:t>(1)根据监理合同文件和工程合同文件提供监理服务；</w:t>
      </w:r>
    </w:p>
    <w:p>
      <w:pPr>
        <w:spacing w:line="360" w:lineRule="auto"/>
        <w:ind w:firstLine="480" w:firstLineChars="200"/>
        <w:jc w:val="left"/>
        <w:rPr>
          <w:sz w:val="24"/>
        </w:rPr>
      </w:pPr>
      <w:r>
        <w:rPr>
          <w:rFonts w:hint="eastAsia"/>
          <w:sz w:val="24"/>
        </w:rPr>
        <w:t>(2)根据职责范围，在委托人和第三方之间独立公正地行使上述合同文件赋予的权力；</w:t>
      </w:r>
    </w:p>
    <w:p>
      <w:pPr>
        <w:spacing w:line="360" w:lineRule="auto"/>
        <w:ind w:firstLine="480" w:firstLineChars="200"/>
        <w:jc w:val="left"/>
        <w:rPr>
          <w:sz w:val="24"/>
        </w:rPr>
      </w:pPr>
      <w:r>
        <w:rPr>
          <w:rFonts w:hint="eastAsia"/>
          <w:sz w:val="24"/>
        </w:rPr>
        <w:t>(3)根据上述合同文件的授权，对相应的工程和合同事宜进行变更，但未经委托人的书面批准，不得变更工程合同文件中约定的工程标准和第三方的责任与义务。</w:t>
      </w:r>
    </w:p>
    <w:p>
      <w:pPr>
        <w:spacing w:line="360" w:lineRule="auto"/>
        <w:jc w:val="left"/>
        <w:rPr>
          <w:b/>
          <w:sz w:val="24"/>
        </w:rPr>
      </w:pPr>
      <w:r>
        <w:rPr>
          <w:rFonts w:hint="eastAsia"/>
          <w:b/>
          <w:sz w:val="24"/>
        </w:rPr>
        <w:t>6.开始监理和完成监理</w:t>
      </w:r>
    </w:p>
    <w:p>
      <w:pPr>
        <w:spacing w:line="360" w:lineRule="auto"/>
        <w:jc w:val="left"/>
        <w:rPr>
          <w:b/>
          <w:sz w:val="24"/>
        </w:rPr>
      </w:pPr>
      <w:r>
        <w:rPr>
          <w:rFonts w:hint="eastAsia"/>
          <w:b/>
          <w:sz w:val="24"/>
        </w:rPr>
        <w:t>6.1开始监理</w:t>
      </w:r>
    </w:p>
    <w:p>
      <w:pPr>
        <w:spacing w:line="360" w:lineRule="auto"/>
        <w:ind w:firstLine="480" w:firstLineChars="200"/>
        <w:jc w:val="left"/>
        <w:rPr>
          <w:sz w:val="24"/>
        </w:rPr>
      </w:pPr>
      <w:r>
        <w:rPr>
          <w:rFonts w:hint="eastAsia"/>
          <w:sz w:val="24"/>
        </w:rPr>
        <w:t>第6.1.1项细化为：</w:t>
      </w:r>
    </w:p>
    <w:p>
      <w:pPr>
        <w:spacing w:line="360" w:lineRule="auto"/>
        <w:ind w:firstLine="480" w:firstLineChars="200"/>
        <w:jc w:val="left"/>
        <w:rPr>
          <w:sz w:val="24"/>
        </w:rPr>
      </w:pPr>
      <w:r>
        <w:rPr>
          <w:rFonts w:hint="eastAsia"/>
          <w:sz w:val="24"/>
        </w:rPr>
        <w:t>符合项目专用合同条款约定的开始监理条件的，委托人应提前7 天向监理人发出开始监理通知。监理服务期限自开始监理通知中载明的开始监理日期及监理人首批人员实际进场日期起算，以时间在后者为准。</w:t>
      </w:r>
    </w:p>
    <w:p>
      <w:pPr>
        <w:spacing w:line="360" w:lineRule="auto"/>
        <w:ind w:firstLine="480" w:firstLineChars="200"/>
        <w:jc w:val="left"/>
        <w:rPr>
          <w:sz w:val="24"/>
        </w:rPr>
      </w:pPr>
      <w:r>
        <w:rPr>
          <w:rFonts w:hint="eastAsia"/>
          <w:sz w:val="24"/>
        </w:rPr>
        <w:t>监理人应按照监理合同约定的时间和有关期限履行和完成监理服务，根据本项目工程的进展情况和委托人批准的人员进场计划，安排监理人员及时进场。</w:t>
      </w:r>
    </w:p>
    <w:p>
      <w:pPr>
        <w:spacing w:line="360" w:lineRule="auto"/>
        <w:ind w:firstLine="480" w:firstLineChars="200"/>
        <w:jc w:val="left"/>
        <w:rPr>
          <w:sz w:val="24"/>
        </w:rPr>
      </w:pPr>
      <w:r>
        <w:rPr>
          <w:rFonts w:hint="eastAsia"/>
          <w:sz w:val="24"/>
        </w:rPr>
        <w:t>本条补充第6.4款：</w:t>
      </w:r>
    </w:p>
    <w:p>
      <w:pPr>
        <w:spacing w:line="360" w:lineRule="auto"/>
        <w:jc w:val="left"/>
        <w:rPr>
          <w:b/>
          <w:sz w:val="24"/>
        </w:rPr>
      </w:pPr>
      <w:r>
        <w:rPr>
          <w:rFonts w:hint="eastAsia"/>
          <w:b/>
          <w:sz w:val="24"/>
        </w:rPr>
        <w:t>6.4监理工作的暂停与监理合同的解除</w:t>
      </w:r>
    </w:p>
    <w:p>
      <w:pPr>
        <w:spacing w:line="360" w:lineRule="auto"/>
        <w:ind w:firstLine="480" w:firstLineChars="200"/>
        <w:jc w:val="left"/>
        <w:rPr>
          <w:sz w:val="24"/>
        </w:rPr>
      </w:pPr>
      <w:r>
        <w:rPr>
          <w:rFonts w:hint="eastAsia"/>
          <w:sz w:val="24"/>
        </w:rPr>
        <w:t>6.4.1出现根据本监理合同的约定不应由监理人负责的情况，且该情况已使监理人不能继续履行全部或部分监理服务时，监理人应立即书面通知委托人，并视情况采取相应措施：</w:t>
      </w:r>
    </w:p>
    <w:p>
      <w:pPr>
        <w:spacing w:line="360" w:lineRule="auto"/>
        <w:ind w:firstLine="480" w:firstLineChars="200"/>
        <w:jc w:val="left"/>
        <w:rPr>
          <w:sz w:val="24"/>
        </w:rPr>
      </w:pPr>
      <w:r>
        <w:rPr>
          <w:rFonts w:hint="eastAsia"/>
          <w:sz w:val="24"/>
        </w:rPr>
        <w:t>(1)不得不暂停或减缓某些监理服务时，则上述服务的完成期限应予以延长，因此增加的监理服务工作量或延长的服务期限，委托人应按合同条款约定进行调整。</w:t>
      </w:r>
    </w:p>
    <w:p>
      <w:pPr>
        <w:spacing w:line="360" w:lineRule="auto"/>
        <w:ind w:firstLine="480" w:firstLineChars="200"/>
        <w:jc w:val="left"/>
        <w:rPr>
          <w:sz w:val="24"/>
        </w:rPr>
      </w:pPr>
      <w:r>
        <w:rPr>
          <w:rFonts w:hint="eastAsia"/>
          <w:sz w:val="24"/>
        </w:rPr>
        <w:t>(2)全部监理服务已无法继续履行时，监理人在书面通知委托人28日之后，有权单方面解除本监理合同，因此增加的监理服务工作量所涉及费用，委托人应按合同条款约定进行调整，同时应及时向监理人返还全部或剩余部分的履约保证金。</w:t>
      </w:r>
    </w:p>
    <w:p>
      <w:pPr>
        <w:spacing w:line="360" w:lineRule="auto"/>
        <w:ind w:firstLine="480" w:firstLineChars="200"/>
        <w:jc w:val="left"/>
        <w:rPr>
          <w:sz w:val="24"/>
        </w:rPr>
      </w:pPr>
      <w:r>
        <w:rPr>
          <w:rFonts w:hint="eastAsia"/>
          <w:sz w:val="24"/>
        </w:rPr>
        <w:t>(3)因不可抗力致使本监理合同不能履行或只能部分履行时，应按照本合同第10 条规定的程序暂停监理服务或解除监理合同。</w:t>
      </w:r>
    </w:p>
    <w:p>
      <w:pPr>
        <w:spacing w:line="360" w:lineRule="auto"/>
        <w:ind w:firstLine="480" w:firstLineChars="200"/>
        <w:jc w:val="left"/>
        <w:rPr>
          <w:sz w:val="24"/>
        </w:rPr>
      </w:pPr>
      <w:r>
        <w:rPr>
          <w:rFonts w:hint="eastAsia"/>
          <w:sz w:val="24"/>
        </w:rPr>
        <w:t>6.4.2委托人要求监理人全部或部分暂停监理服务或解除本监理合同时，必须在56天之前发出书面通知。监理人在接到通知后，应立即安排停止全部或部分监理服务并将相关费用开支减至最小。因此增加的监理服务工作量所涉及的费用，委托人应按合同条款约定进行调整，同时及时向监理人返还全部或剩余部分的履约保证金。</w:t>
      </w:r>
    </w:p>
    <w:p>
      <w:pPr>
        <w:spacing w:line="360" w:lineRule="auto"/>
        <w:ind w:firstLine="480" w:firstLineChars="200"/>
        <w:jc w:val="left"/>
        <w:rPr>
          <w:sz w:val="24"/>
        </w:rPr>
      </w:pPr>
      <w:r>
        <w:rPr>
          <w:rFonts w:hint="eastAsia"/>
          <w:sz w:val="24"/>
        </w:rPr>
        <w:t>6.4.3监理人无正当的理由，未根据监理合同的约定履行全部或部分监理服务，委托人可书面要求监理人予以解释。若监理人在 28天内未能根据本监理合同给予合理的答复，委托人可在进一步发出书面通知14天后，单方面解除本监理合同，并视情况没收监理人的全部或部分履约保证金。</w:t>
      </w:r>
    </w:p>
    <w:p>
      <w:pPr>
        <w:spacing w:line="360" w:lineRule="auto"/>
        <w:ind w:firstLine="480" w:firstLineChars="200"/>
        <w:jc w:val="left"/>
        <w:rPr>
          <w:sz w:val="24"/>
        </w:rPr>
      </w:pPr>
      <w:r>
        <w:rPr>
          <w:rFonts w:hint="eastAsia"/>
          <w:sz w:val="24"/>
        </w:rPr>
        <w:t>6.4.4委托人拖延支付监理服务费用，并己超过合同条款约定支付期限后28天，或根据本合同第6.4.1 款(1)目或第6.4.2 项的约定，暂停监理服务已超过6 个月，监理人可书面要求委托人予以解释。若委托人在28天内未能根据本监理合同给予合理的答复，监理人可在进一步发出书面通知14天后，单方面解除本监理合同或自行暂停全部或部分监理服务。因此增加的监理服务工作量所涉及的费用，委托人应按合同条款约定进行调整，同时应及时向监理人返还全部或剩余部分的履约保证金。</w:t>
      </w:r>
    </w:p>
    <w:p>
      <w:pPr>
        <w:spacing w:line="360" w:lineRule="auto"/>
        <w:ind w:firstLine="480" w:firstLineChars="200"/>
        <w:jc w:val="left"/>
        <w:rPr>
          <w:sz w:val="24"/>
        </w:rPr>
      </w:pPr>
      <w:r>
        <w:rPr>
          <w:rFonts w:hint="eastAsia"/>
          <w:sz w:val="24"/>
        </w:rPr>
        <w:t>6.4.5监理合同的解除，不得损害或影响双方根据本监理合同应有的义务、责任、权力和利益。</w:t>
      </w:r>
    </w:p>
    <w:p>
      <w:pPr>
        <w:spacing w:line="360" w:lineRule="auto"/>
        <w:jc w:val="left"/>
        <w:rPr>
          <w:b/>
          <w:sz w:val="24"/>
        </w:rPr>
      </w:pPr>
      <w:r>
        <w:rPr>
          <w:rFonts w:hint="eastAsia"/>
          <w:b/>
          <w:sz w:val="24"/>
        </w:rPr>
        <w:t>7.监理责任与保险</w:t>
      </w:r>
    </w:p>
    <w:p>
      <w:pPr>
        <w:spacing w:line="360" w:lineRule="auto"/>
        <w:jc w:val="left"/>
        <w:rPr>
          <w:b/>
          <w:sz w:val="24"/>
        </w:rPr>
      </w:pPr>
      <w:r>
        <w:rPr>
          <w:rFonts w:hint="eastAsia"/>
          <w:b/>
          <w:sz w:val="24"/>
        </w:rPr>
        <w:t>7.1监理责任主体</w:t>
      </w:r>
    </w:p>
    <w:p>
      <w:pPr>
        <w:spacing w:line="360" w:lineRule="auto"/>
        <w:ind w:firstLine="480" w:firstLineChars="200"/>
        <w:jc w:val="left"/>
        <w:rPr>
          <w:sz w:val="24"/>
        </w:rPr>
      </w:pPr>
      <w:r>
        <w:rPr>
          <w:rFonts w:hint="eastAsia"/>
          <w:sz w:val="24"/>
        </w:rPr>
        <w:t>第7.1.2 项、7.1.3项细化为：</w:t>
      </w:r>
    </w:p>
    <w:p>
      <w:pPr>
        <w:spacing w:line="360" w:lineRule="auto"/>
        <w:ind w:firstLine="480" w:firstLineChars="200"/>
        <w:jc w:val="left"/>
        <w:rPr>
          <w:sz w:val="24"/>
        </w:rPr>
      </w:pPr>
      <w:r>
        <w:rPr>
          <w:rFonts w:hint="eastAsia"/>
          <w:sz w:val="24"/>
        </w:rPr>
        <w:t>7.1.2监理人应当建立健全工程质量保证体系，制定质量管理制度，强化工程质量管理措施，完善工程质量目标保障机制。</w:t>
      </w:r>
    </w:p>
    <w:p>
      <w:pPr>
        <w:spacing w:line="360" w:lineRule="auto"/>
        <w:ind w:firstLine="480" w:firstLineChars="200"/>
        <w:jc w:val="left"/>
        <w:rPr>
          <w:sz w:val="24"/>
        </w:rPr>
      </w:pPr>
      <w:r>
        <w:rPr>
          <w:rFonts w:hint="eastAsia"/>
          <w:sz w:val="24"/>
        </w:rPr>
        <w:t>本工程施行质量责任终身制。监理人应当书面明确相应的总监理工程师和质量负责人。监理人的相关人员按照国家法律法规和有关规定在工程合理使用年限内承担相应的质量责任。</w:t>
      </w:r>
    </w:p>
    <w:p>
      <w:pPr>
        <w:spacing w:line="360" w:lineRule="auto"/>
        <w:ind w:firstLine="480" w:firstLineChars="200"/>
        <w:jc w:val="left"/>
        <w:rPr>
          <w:sz w:val="24"/>
        </w:rPr>
      </w:pPr>
      <w:r>
        <w:rPr>
          <w:rFonts w:hint="eastAsia"/>
          <w:sz w:val="24"/>
        </w:rPr>
        <w:t>7.1.3监理人对施工质量负监理责任，应当按合同约定设立现场监理机构，按规定程序和标准进行工程质量检查、检测和验收，对发现的质量问题及时督促整改，不得降低工程质量标准。</w:t>
      </w:r>
    </w:p>
    <w:p>
      <w:pPr>
        <w:spacing w:line="360" w:lineRule="auto"/>
        <w:ind w:firstLine="480" w:firstLineChars="200"/>
        <w:jc w:val="left"/>
        <w:rPr>
          <w:sz w:val="24"/>
        </w:rPr>
      </w:pPr>
      <w:r>
        <w:rPr>
          <w:rFonts w:hint="eastAsia"/>
          <w:sz w:val="24"/>
        </w:rPr>
        <w:t>本工程交工验收前，监理人应当根据有关标准和规范要求对工程质量进行检查验证， 编制工程质量评定或者评估报告，并提交委托人。</w:t>
      </w:r>
    </w:p>
    <w:p>
      <w:pPr>
        <w:spacing w:line="360" w:lineRule="auto"/>
        <w:ind w:firstLine="480" w:firstLineChars="200"/>
        <w:jc w:val="left"/>
        <w:rPr>
          <w:sz w:val="24"/>
        </w:rPr>
      </w:pPr>
      <w:r>
        <w:rPr>
          <w:rFonts w:hint="eastAsia"/>
          <w:sz w:val="24"/>
        </w:rPr>
        <w:t>本款补充第7.1.4项：</w:t>
      </w:r>
    </w:p>
    <w:p>
      <w:pPr>
        <w:spacing w:line="360" w:lineRule="auto"/>
        <w:ind w:firstLine="480" w:firstLineChars="200"/>
        <w:jc w:val="left"/>
        <w:rPr>
          <w:sz w:val="24"/>
        </w:rPr>
      </w:pPr>
      <w:r>
        <w:rPr>
          <w:rFonts w:hint="eastAsia"/>
          <w:sz w:val="24"/>
        </w:rPr>
        <w:t>7.1.4监理人应当按照合同约定设立工地临时试验室，严格按照工程技术标准、检测规范和规程，在核定的试验检测参数范围内开展试验检测活动。</w:t>
      </w:r>
    </w:p>
    <w:p>
      <w:pPr>
        <w:spacing w:line="360" w:lineRule="auto"/>
        <w:ind w:firstLine="480" w:firstLineChars="200"/>
        <w:jc w:val="left"/>
        <w:rPr>
          <w:sz w:val="24"/>
        </w:rPr>
      </w:pPr>
      <w:r>
        <w:rPr>
          <w:rFonts w:hint="eastAsia"/>
          <w:sz w:val="24"/>
        </w:rPr>
        <w:t>监理人应当对其设立的工地临时试验室所出具的试验检测数据和报告的真实性、客观性、准确性负责。</w:t>
      </w:r>
    </w:p>
    <w:p>
      <w:pPr>
        <w:spacing w:line="360" w:lineRule="auto"/>
        <w:ind w:firstLine="480" w:firstLineChars="200"/>
        <w:jc w:val="left"/>
        <w:rPr>
          <w:sz w:val="24"/>
        </w:rPr>
      </w:pPr>
      <w:r>
        <w:rPr>
          <w:rFonts w:hint="eastAsia"/>
          <w:sz w:val="24"/>
        </w:rPr>
        <w:t>本条补充第7.3款：</w:t>
      </w:r>
    </w:p>
    <w:p>
      <w:pPr>
        <w:spacing w:line="360" w:lineRule="auto"/>
        <w:jc w:val="left"/>
        <w:rPr>
          <w:b/>
          <w:sz w:val="24"/>
        </w:rPr>
      </w:pPr>
      <w:r>
        <w:rPr>
          <w:rFonts w:hint="eastAsia"/>
          <w:b/>
          <w:sz w:val="24"/>
        </w:rPr>
        <w:t>7.3人员和设备保险</w:t>
      </w:r>
    </w:p>
    <w:p>
      <w:pPr>
        <w:spacing w:line="360" w:lineRule="auto"/>
        <w:ind w:firstLine="480" w:firstLineChars="200"/>
        <w:jc w:val="left"/>
        <w:rPr>
          <w:sz w:val="24"/>
        </w:rPr>
      </w:pPr>
      <w:r>
        <w:rPr>
          <w:rFonts w:hint="eastAsia"/>
          <w:sz w:val="24"/>
        </w:rPr>
        <w:t>监理人应在监理服务期内，自费办理派驻到工程所在地人员的人身和自备财产的有关保险，保险时间应随服务时间的延长而顺延，并在出险后自行办理索赔。如果监理人不办理上述保险，则应对有关风险及后果自负其责。</w:t>
      </w:r>
    </w:p>
    <w:p>
      <w:pPr>
        <w:spacing w:line="360" w:lineRule="auto"/>
        <w:jc w:val="left"/>
        <w:rPr>
          <w:b/>
          <w:sz w:val="24"/>
        </w:rPr>
      </w:pPr>
      <w:r>
        <w:rPr>
          <w:rFonts w:hint="eastAsia"/>
          <w:b/>
          <w:sz w:val="24"/>
        </w:rPr>
        <w:t>8.合同变更</w:t>
      </w:r>
    </w:p>
    <w:p>
      <w:pPr>
        <w:spacing w:line="360" w:lineRule="auto"/>
        <w:jc w:val="left"/>
        <w:rPr>
          <w:b/>
          <w:sz w:val="24"/>
        </w:rPr>
      </w:pPr>
      <w:r>
        <w:rPr>
          <w:rFonts w:hint="eastAsia"/>
          <w:b/>
          <w:sz w:val="24"/>
        </w:rPr>
        <w:t>8.1变更情形</w:t>
      </w:r>
    </w:p>
    <w:p>
      <w:pPr>
        <w:spacing w:line="360" w:lineRule="auto"/>
        <w:ind w:firstLine="480" w:firstLineChars="200"/>
        <w:jc w:val="left"/>
        <w:rPr>
          <w:sz w:val="24"/>
        </w:rPr>
      </w:pPr>
      <w:r>
        <w:rPr>
          <w:rFonts w:hint="eastAsia"/>
          <w:sz w:val="24"/>
        </w:rPr>
        <w:t>第8.1.1项细化为：</w:t>
      </w:r>
    </w:p>
    <w:p>
      <w:pPr>
        <w:spacing w:line="360" w:lineRule="auto"/>
        <w:ind w:firstLine="480" w:firstLineChars="200"/>
        <w:jc w:val="left"/>
        <w:rPr>
          <w:sz w:val="24"/>
        </w:rPr>
      </w:pPr>
      <w:r>
        <w:rPr>
          <w:rFonts w:hint="eastAsia"/>
          <w:sz w:val="24"/>
        </w:rPr>
        <w:t>合同履行中发生下述情形时，合同一方均可向对方提出变更请求，经双方协商一致后进行变更，监理服务期限和监理报酬的调整方法在项目专用合同条款中约定。</w:t>
      </w:r>
    </w:p>
    <w:p>
      <w:pPr>
        <w:spacing w:line="360" w:lineRule="auto"/>
        <w:ind w:firstLine="480" w:firstLineChars="200"/>
        <w:jc w:val="left"/>
        <w:rPr>
          <w:sz w:val="24"/>
        </w:rPr>
      </w:pPr>
      <w:r>
        <w:rPr>
          <w:rFonts w:hint="eastAsia"/>
          <w:sz w:val="24"/>
        </w:rPr>
        <w:t>(1)监理范围发生变化；</w:t>
      </w:r>
    </w:p>
    <w:p>
      <w:pPr>
        <w:spacing w:line="360" w:lineRule="auto"/>
        <w:ind w:firstLine="480" w:firstLineChars="200"/>
        <w:jc w:val="left"/>
        <w:rPr>
          <w:sz w:val="24"/>
        </w:rPr>
      </w:pPr>
      <w:r>
        <w:rPr>
          <w:rFonts w:hint="eastAsia"/>
          <w:sz w:val="24"/>
        </w:rPr>
        <w:t>(2)除不可抗力外，非监理人的原因引起的周期延误；</w:t>
      </w:r>
    </w:p>
    <w:p>
      <w:pPr>
        <w:spacing w:line="360" w:lineRule="auto"/>
        <w:ind w:firstLine="480" w:firstLineChars="200"/>
        <w:jc w:val="left"/>
        <w:rPr>
          <w:sz w:val="24"/>
        </w:rPr>
      </w:pPr>
      <w:r>
        <w:rPr>
          <w:rFonts w:hint="eastAsia"/>
          <w:sz w:val="24"/>
        </w:rPr>
        <w:t>(3)非监理人的原因，对工程同一部分重复进行监理；</w:t>
      </w:r>
    </w:p>
    <w:p>
      <w:pPr>
        <w:spacing w:line="360" w:lineRule="auto"/>
        <w:ind w:firstLine="480" w:firstLineChars="200"/>
        <w:jc w:val="left"/>
        <w:rPr>
          <w:sz w:val="24"/>
        </w:rPr>
      </w:pPr>
      <w:r>
        <w:rPr>
          <w:rFonts w:hint="eastAsia"/>
          <w:sz w:val="24"/>
        </w:rPr>
        <w:t>(4)非监理人的原因，对工程暂停监理及恢复监理；</w:t>
      </w:r>
    </w:p>
    <w:p>
      <w:pPr>
        <w:spacing w:line="360" w:lineRule="auto"/>
        <w:ind w:firstLine="480" w:firstLineChars="200"/>
        <w:jc w:val="left"/>
        <w:rPr>
          <w:sz w:val="24"/>
        </w:rPr>
      </w:pPr>
      <w:r>
        <w:rPr>
          <w:rFonts w:hint="eastAsia"/>
          <w:sz w:val="24"/>
        </w:rPr>
        <w:t>(5)监理服务的形式与内容发生变化；</w:t>
      </w:r>
    </w:p>
    <w:p>
      <w:pPr>
        <w:spacing w:line="360" w:lineRule="auto"/>
        <w:ind w:firstLine="480" w:firstLineChars="200"/>
        <w:jc w:val="left"/>
        <w:rPr>
          <w:sz w:val="24"/>
        </w:rPr>
      </w:pPr>
      <w:r>
        <w:rPr>
          <w:rFonts w:hint="eastAsia"/>
          <w:sz w:val="24"/>
        </w:rPr>
        <w:t>(6)因委托人或第三方的责任，阻碍或延误了监理人履行监理服务；</w:t>
      </w:r>
    </w:p>
    <w:p>
      <w:pPr>
        <w:spacing w:line="360" w:lineRule="auto"/>
        <w:ind w:firstLine="480" w:firstLineChars="200"/>
        <w:jc w:val="left"/>
        <w:rPr>
          <w:sz w:val="24"/>
        </w:rPr>
      </w:pPr>
      <w:r>
        <w:rPr>
          <w:rFonts w:hint="eastAsia"/>
          <w:sz w:val="24"/>
        </w:rPr>
        <w:t>(7)委托人提出高于监理合同约定的服务目标，监理人为完成此目标导致增加投入。</w:t>
      </w:r>
    </w:p>
    <w:p>
      <w:pPr>
        <w:spacing w:line="360" w:lineRule="auto"/>
        <w:jc w:val="left"/>
        <w:rPr>
          <w:b/>
          <w:sz w:val="24"/>
        </w:rPr>
      </w:pPr>
      <w:r>
        <w:rPr>
          <w:rFonts w:hint="eastAsia"/>
          <w:b/>
          <w:sz w:val="24"/>
        </w:rPr>
        <w:t>9.合同价格与支付</w:t>
      </w:r>
    </w:p>
    <w:p>
      <w:pPr>
        <w:spacing w:line="360" w:lineRule="auto"/>
        <w:jc w:val="left"/>
        <w:rPr>
          <w:b/>
          <w:sz w:val="24"/>
        </w:rPr>
      </w:pPr>
      <w:r>
        <w:rPr>
          <w:rFonts w:hint="eastAsia"/>
          <w:b/>
          <w:sz w:val="24"/>
        </w:rPr>
        <w:t>9.1合同价格</w:t>
      </w:r>
    </w:p>
    <w:p>
      <w:pPr>
        <w:spacing w:line="360" w:lineRule="auto"/>
        <w:ind w:firstLine="480" w:firstLineChars="200"/>
        <w:jc w:val="left"/>
        <w:rPr>
          <w:sz w:val="24"/>
        </w:rPr>
      </w:pPr>
      <w:r>
        <w:rPr>
          <w:rFonts w:hint="eastAsia"/>
          <w:sz w:val="24"/>
        </w:rPr>
        <w:t>第9.1.1项细化为：</w:t>
      </w:r>
    </w:p>
    <w:p>
      <w:pPr>
        <w:spacing w:line="360" w:lineRule="auto"/>
        <w:ind w:firstLine="480" w:firstLineChars="200"/>
        <w:jc w:val="left"/>
        <w:rPr>
          <w:sz w:val="24"/>
        </w:rPr>
      </w:pPr>
      <w:r>
        <w:rPr>
          <w:rFonts w:hint="eastAsia"/>
          <w:sz w:val="24"/>
        </w:rPr>
        <w:t>合同价格是监理人按照合同约定完成施工准备阶段、施工阶段、验收与缺陷责任期阶段监理服务所需的全部费用，应按投标文件格式中报价清单的内容和格式填报。</w:t>
      </w:r>
    </w:p>
    <w:p>
      <w:pPr>
        <w:spacing w:line="360" w:lineRule="auto"/>
        <w:ind w:firstLine="480" w:firstLineChars="200"/>
        <w:jc w:val="left"/>
        <w:rPr>
          <w:sz w:val="24"/>
        </w:rPr>
      </w:pPr>
      <w:r>
        <w:rPr>
          <w:rFonts w:hint="eastAsia"/>
          <w:sz w:val="24"/>
        </w:rPr>
        <w:t>监理服务费用包括以下组成部分：</w:t>
      </w:r>
    </w:p>
    <w:p>
      <w:pPr>
        <w:spacing w:line="360" w:lineRule="auto"/>
        <w:ind w:firstLine="480" w:firstLineChars="200"/>
        <w:jc w:val="left"/>
        <w:rPr>
          <w:sz w:val="24"/>
        </w:rPr>
      </w:pPr>
      <w:r>
        <w:rPr>
          <w:rFonts w:hint="eastAsia"/>
          <w:sz w:val="24"/>
        </w:rPr>
        <w:t>（1）监理人员服务费；</w:t>
      </w:r>
    </w:p>
    <w:p>
      <w:pPr>
        <w:spacing w:line="360" w:lineRule="auto"/>
        <w:ind w:firstLine="480" w:firstLineChars="200"/>
        <w:jc w:val="left"/>
        <w:rPr>
          <w:sz w:val="24"/>
        </w:rPr>
      </w:pPr>
      <w:r>
        <w:rPr>
          <w:rFonts w:hint="eastAsia"/>
          <w:sz w:val="24"/>
        </w:rPr>
        <w:t>（2）监理办公设施费；</w:t>
      </w:r>
    </w:p>
    <w:p>
      <w:pPr>
        <w:spacing w:line="360" w:lineRule="auto"/>
        <w:ind w:firstLine="480" w:firstLineChars="200"/>
        <w:jc w:val="left"/>
        <w:rPr>
          <w:sz w:val="24"/>
        </w:rPr>
      </w:pPr>
      <w:r>
        <w:rPr>
          <w:rFonts w:hint="eastAsia"/>
          <w:sz w:val="24"/>
        </w:rPr>
        <w:t>（3）监理交通设施费；</w:t>
      </w:r>
    </w:p>
    <w:p>
      <w:pPr>
        <w:spacing w:line="360" w:lineRule="auto"/>
        <w:ind w:firstLine="480" w:firstLineChars="200"/>
        <w:jc w:val="left"/>
        <w:rPr>
          <w:sz w:val="24"/>
        </w:rPr>
      </w:pPr>
      <w:r>
        <w:rPr>
          <w:rFonts w:hint="eastAsia"/>
          <w:sz w:val="24"/>
        </w:rPr>
        <w:t>（4）监理试验设施费；</w:t>
      </w:r>
    </w:p>
    <w:p>
      <w:pPr>
        <w:spacing w:line="360" w:lineRule="auto"/>
        <w:ind w:firstLine="480" w:firstLineChars="200"/>
        <w:jc w:val="left"/>
        <w:rPr>
          <w:sz w:val="24"/>
        </w:rPr>
      </w:pPr>
      <w:r>
        <w:rPr>
          <w:rFonts w:hint="eastAsia"/>
          <w:sz w:val="24"/>
        </w:rPr>
        <w:t>（5）监理生活设施费；</w:t>
      </w:r>
    </w:p>
    <w:p>
      <w:pPr>
        <w:spacing w:line="360" w:lineRule="auto"/>
        <w:ind w:firstLine="480" w:firstLineChars="200"/>
        <w:jc w:val="left"/>
        <w:rPr>
          <w:sz w:val="24"/>
        </w:rPr>
      </w:pPr>
      <w:r>
        <w:rPr>
          <w:rFonts w:hint="eastAsia"/>
          <w:sz w:val="24"/>
        </w:rPr>
        <w:t>（6）利润。</w:t>
      </w:r>
    </w:p>
    <w:p>
      <w:pPr>
        <w:spacing w:line="360" w:lineRule="auto"/>
        <w:ind w:firstLine="480" w:firstLineChars="200"/>
        <w:jc w:val="left"/>
        <w:rPr>
          <w:sz w:val="24"/>
        </w:rPr>
      </w:pPr>
      <w:r>
        <w:rPr>
          <w:rFonts w:hint="eastAsia"/>
          <w:sz w:val="24"/>
        </w:rPr>
        <w:t>除利润外，以上各项费用应分别按施工期（涵盖施工准备阶段和施工阶段）和缺陷责任期两个阶段填报，其中监理人员服务费应填报各级监理人员的人月单价及为完成监理服务所需要的总人月数量。各类监理人员的人月单价应包括监理人员履行监理服务时由于施工工艺的连续性导致不可避免的加班费用，在上述情况发生时，委托人将不考虑另行支付监理人员的加班费用。</w:t>
      </w:r>
    </w:p>
    <w:p>
      <w:pPr>
        <w:spacing w:line="360" w:lineRule="auto"/>
        <w:ind w:firstLine="480" w:firstLineChars="200"/>
        <w:jc w:val="left"/>
        <w:rPr>
          <w:sz w:val="24"/>
        </w:rPr>
      </w:pPr>
      <w:r>
        <w:rPr>
          <w:rFonts w:hint="eastAsia"/>
          <w:sz w:val="24"/>
        </w:rPr>
        <w:t>监理人因完成本项目施工监理服务需计取的企业管理费及需缴纳的一切税费均由监理人承担，并包含在所报的各项监理服务费用之内，委托人不单独支付。</w:t>
      </w:r>
    </w:p>
    <w:p>
      <w:pPr>
        <w:spacing w:line="360" w:lineRule="auto"/>
        <w:ind w:firstLine="480" w:firstLineChars="200"/>
        <w:jc w:val="left"/>
        <w:rPr>
          <w:sz w:val="24"/>
        </w:rPr>
      </w:pPr>
      <w:r>
        <w:rPr>
          <w:rFonts w:hint="eastAsia"/>
          <w:sz w:val="24"/>
        </w:rPr>
        <w:t>除本合同第8 条约定的变更情形和项目专用合同条款约定的其他情形外，本监理合同的监理服务费用在合同实施期间一律不予调整。</w:t>
      </w:r>
    </w:p>
    <w:p>
      <w:pPr>
        <w:spacing w:line="360" w:lineRule="auto"/>
        <w:ind w:firstLine="480" w:firstLineChars="200"/>
        <w:jc w:val="left"/>
        <w:rPr>
          <w:sz w:val="24"/>
        </w:rPr>
      </w:pPr>
      <w:r>
        <w:rPr>
          <w:rFonts w:hint="eastAsia"/>
          <w:sz w:val="24"/>
        </w:rPr>
        <w:t>除项目专用合同条款另有约定外，因工程提前完成导致监理服务期限缩短，且在监理人己履行本合同规定义务的情况下，委托人不能以监理人提前完成监理为由而减少监理报酬。</w:t>
      </w:r>
    </w:p>
    <w:p>
      <w:pPr>
        <w:spacing w:line="360" w:lineRule="auto"/>
        <w:jc w:val="left"/>
        <w:rPr>
          <w:b/>
          <w:sz w:val="24"/>
        </w:rPr>
      </w:pPr>
      <w:r>
        <w:rPr>
          <w:rFonts w:hint="eastAsia"/>
          <w:b/>
          <w:sz w:val="24"/>
        </w:rPr>
        <w:t>9.2预付款</w:t>
      </w:r>
    </w:p>
    <w:p>
      <w:pPr>
        <w:spacing w:line="360" w:lineRule="auto"/>
        <w:ind w:firstLine="480" w:firstLineChars="200"/>
        <w:jc w:val="left"/>
        <w:rPr>
          <w:sz w:val="24"/>
        </w:rPr>
      </w:pPr>
      <w:r>
        <w:rPr>
          <w:rFonts w:hint="eastAsia"/>
          <w:sz w:val="24"/>
        </w:rPr>
        <w:t>本款细化为：</w:t>
      </w:r>
    </w:p>
    <w:p>
      <w:pPr>
        <w:spacing w:line="360" w:lineRule="auto"/>
        <w:ind w:firstLine="480" w:firstLineChars="200"/>
        <w:jc w:val="left"/>
        <w:rPr>
          <w:sz w:val="24"/>
        </w:rPr>
      </w:pPr>
      <w:r>
        <w:rPr>
          <w:rFonts w:hint="eastAsia"/>
          <w:sz w:val="24"/>
        </w:rPr>
        <w:t>为使监理服务能够及时开展，委托人应在监理合同签订后7日内按监理服务费总额的10%向监理人支付预付款，项目专用合同条款另有约定的除外。</w:t>
      </w:r>
    </w:p>
    <w:p>
      <w:pPr>
        <w:spacing w:line="360" w:lineRule="auto"/>
        <w:ind w:firstLine="480" w:firstLineChars="200"/>
        <w:jc w:val="left"/>
        <w:rPr>
          <w:sz w:val="24"/>
        </w:rPr>
      </w:pPr>
      <w:r>
        <w:rPr>
          <w:rFonts w:hint="eastAsia"/>
          <w:sz w:val="24"/>
        </w:rPr>
        <w:t>预付款在施工阶段监理服务费支付的累计金额达到“中标监理服务费总价”的30%时开始抵扣，全部预付款应在施工阶段监理服务费累计支付到“中标监理服务费总价”的80%时扣完。</w:t>
      </w:r>
    </w:p>
    <w:p>
      <w:pPr>
        <w:spacing w:line="360" w:lineRule="auto"/>
        <w:ind w:firstLine="480" w:firstLineChars="200"/>
        <w:jc w:val="left"/>
        <w:rPr>
          <w:sz w:val="24"/>
        </w:rPr>
      </w:pPr>
      <w:r>
        <w:rPr>
          <w:rFonts w:hint="eastAsia"/>
          <w:sz w:val="24"/>
        </w:rPr>
        <w:t>预付款应专用于本工程的监理。监理人无须向委托人提交预付款保函，但监理人提交的履约保证金对预付款的正常使用承担保证责任。</w:t>
      </w:r>
    </w:p>
    <w:p>
      <w:pPr>
        <w:spacing w:line="360" w:lineRule="auto"/>
        <w:jc w:val="left"/>
        <w:rPr>
          <w:b/>
          <w:sz w:val="24"/>
        </w:rPr>
      </w:pPr>
      <w:r>
        <w:rPr>
          <w:rFonts w:hint="eastAsia"/>
          <w:b/>
          <w:sz w:val="24"/>
        </w:rPr>
        <w:t>9.3 中期支付</w:t>
      </w:r>
    </w:p>
    <w:p>
      <w:pPr>
        <w:spacing w:line="360" w:lineRule="auto"/>
        <w:ind w:firstLine="480" w:firstLineChars="200"/>
        <w:jc w:val="left"/>
        <w:rPr>
          <w:sz w:val="24"/>
        </w:rPr>
      </w:pPr>
      <w:r>
        <w:rPr>
          <w:rFonts w:hint="eastAsia"/>
          <w:sz w:val="24"/>
        </w:rPr>
        <w:t>本款细化为：</w:t>
      </w:r>
    </w:p>
    <w:p>
      <w:pPr>
        <w:spacing w:line="360" w:lineRule="auto"/>
        <w:ind w:firstLine="480" w:firstLineChars="200"/>
        <w:jc w:val="left"/>
        <w:rPr>
          <w:sz w:val="24"/>
        </w:rPr>
      </w:pPr>
      <w:r>
        <w:rPr>
          <w:rFonts w:hint="eastAsia"/>
          <w:sz w:val="24"/>
        </w:rPr>
        <w:t>9.3.1监理人应在各月末向委托人提交由总监理工程师签署的按委托人批准格式填写的监理服务费付款申请单一式三份，该付款申请单包括以下栏目，监理人应逐项填写清楚：</w:t>
      </w:r>
    </w:p>
    <w:p>
      <w:pPr>
        <w:spacing w:line="360" w:lineRule="auto"/>
        <w:ind w:firstLine="480" w:firstLineChars="200"/>
        <w:jc w:val="left"/>
        <w:rPr>
          <w:sz w:val="24"/>
        </w:rPr>
      </w:pPr>
      <w:r>
        <w:rPr>
          <w:rFonts w:hint="eastAsia"/>
          <w:sz w:val="24"/>
        </w:rPr>
        <w:t>(1)本月应向监理人支付的（结算的）监理服务费用；</w:t>
      </w:r>
    </w:p>
    <w:p>
      <w:pPr>
        <w:spacing w:line="360" w:lineRule="auto"/>
        <w:ind w:firstLine="480" w:firstLineChars="200"/>
        <w:jc w:val="left"/>
        <w:rPr>
          <w:sz w:val="24"/>
        </w:rPr>
      </w:pPr>
      <w:r>
        <w:rPr>
          <w:rFonts w:hint="eastAsia"/>
          <w:sz w:val="24"/>
        </w:rPr>
        <w:t>(2)本月应支付的监理服务变更费用；</w:t>
      </w:r>
    </w:p>
    <w:p>
      <w:pPr>
        <w:spacing w:line="360" w:lineRule="auto"/>
        <w:ind w:firstLine="480" w:firstLineChars="200"/>
        <w:jc w:val="left"/>
        <w:rPr>
          <w:sz w:val="24"/>
        </w:rPr>
      </w:pPr>
      <w:r>
        <w:rPr>
          <w:rFonts w:hint="eastAsia"/>
          <w:sz w:val="24"/>
        </w:rPr>
        <w:t>(3)本月应支付的预付款；</w:t>
      </w:r>
    </w:p>
    <w:p>
      <w:pPr>
        <w:spacing w:line="360" w:lineRule="auto"/>
        <w:ind w:firstLine="480" w:firstLineChars="200"/>
        <w:jc w:val="left"/>
        <w:rPr>
          <w:sz w:val="24"/>
        </w:rPr>
      </w:pPr>
      <w:r>
        <w:rPr>
          <w:rFonts w:hint="eastAsia"/>
          <w:sz w:val="24"/>
        </w:rPr>
        <w:t>(4)根据合同规定，本月应结算的其他款项；</w:t>
      </w:r>
    </w:p>
    <w:p>
      <w:pPr>
        <w:spacing w:line="360" w:lineRule="auto"/>
        <w:ind w:firstLine="480" w:firstLineChars="200"/>
        <w:jc w:val="left"/>
        <w:rPr>
          <w:sz w:val="24"/>
        </w:rPr>
      </w:pPr>
      <w:r>
        <w:rPr>
          <w:rFonts w:hint="eastAsia"/>
          <w:sz w:val="24"/>
        </w:rPr>
        <w:t>(5)本月应扣回的预付款；</w:t>
      </w:r>
    </w:p>
    <w:p>
      <w:pPr>
        <w:spacing w:line="360" w:lineRule="auto"/>
        <w:ind w:firstLine="480" w:firstLineChars="200"/>
        <w:jc w:val="left"/>
        <w:rPr>
          <w:sz w:val="24"/>
        </w:rPr>
      </w:pPr>
      <w:r>
        <w:rPr>
          <w:rFonts w:hint="eastAsia"/>
          <w:sz w:val="24"/>
        </w:rPr>
        <w:t>(6)根据合同规定，本月应扣除的其他款项。</w:t>
      </w:r>
    </w:p>
    <w:p>
      <w:pPr>
        <w:spacing w:line="360" w:lineRule="auto"/>
        <w:ind w:firstLine="480" w:firstLineChars="200"/>
        <w:jc w:val="left"/>
        <w:rPr>
          <w:sz w:val="24"/>
        </w:rPr>
      </w:pPr>
      <w:r>
        <w:rPr>
          <w:rFonts w:hint="eastAsia"/>
          <w:sz w:val="24"/>
        </w:rPr>
        <w:t>9.3.2委托人将在收到监理人提交的监理服务费付款申请单后28天内进行核实并予以支付。除项目专用条款另有约定外，支付原则如下：</w:t>
      </w:r>
    </w:p>
    <w:p>
      <w:pPr>
        <w:spacing w:line="360" w:lineRule="auto"/>
        <w:ind w:firstLine="480" w:firstLineChars="200"/>
        <w:jc w:val="left"/>
        <w:rPr>
          <w:sz w:val="24"/>
        </w:rPr>
      </w:pPr>
      <w:r>
        <w:rPr>
          <w:rFonts w:hint="eastAsia"/>
          <w:sz w:val="24"/>
        </w:rPr>
        <w:t>(1)施工期间的监理人员服务费根据各级监理人员的人月单价及本月实际完成的监理服务时间计算并支付（各岗位监理人员的人月数以监理人记录并经委托人签字确认的监理人员出勤情况为依据）。本项目各月累计支付的监理人员服务费总额不得超过监理人在监理服务费报价清单中填报的施工期监理人员服务费合计金额，超过部分委托人将不再予以支付。</w:t>
      </w:r>
    </w:p>
    <w:p>
      <w:pPr>
        <w:spacing w:line="360" w:lineRule="auto"/>
        <w:ind w:firstLine="480" w:firstLineChars="200"/>
        <w:jc w:val="left"/>
        <w:rPr>
          <w:sz w:val="24"/>
        </w:rPr>
      </w:pPr>
      <w:r>
        <w:rPr>
          <w:rFonts w:hint="eastAsia"/>
          <w:sz w:val="24"/>
        </w:rPr>
        <w:t>(2)施工期间的监理办公设施费、交通设施费、试验设施费及生活设施费由监理人包干使用，上述四项设施费的报价总额按月度等额支付给监理人。监理人必须保证实际投入本项目的办公设施、交通设施、试验设施及生活设施能满足本招标文件的要求和实际工作的需要，且不低于监理人投标文件中所列设施，否则委托人将根据本合同第11.1.2 项的规定从其报价总额中扣除违约赔偿金 。</w:t>
      </w:r>
    </w:p>
    <w:p>
      <w:pPr>
        <w:spacing w:line="360" w:lineRule="auto"/>
        <w:ind w:firstLine="480" w:firstLineChars="200"/>
        <w:jc w:val="left"/>
        <w:rPr>
          <w:sz w:val="24"/>
        </w:rPr>
      </w:pPr>
      <w:r>
        <w:rPr>
          <w:rFonts w:hint="eastAsia"/>
          <w:sz w:val="24"/>
        </w:rPr>
        <w:t>(3)缺陷责任期内的监理人员服务费、监理办公设施费、交通设施费、试验设施费及生活设施费将在本项目的缺陷责任期开始后，分四次等额支付给监理人。</w:t>
      </w:r>
    </w:p>
    <w:p>
      <w:pPr>
        <w:spacing w:line="360" w:lineRule="auto"/>
        <w:ind w:firstLine="480" w:firstLineChars="200"/>
        <w:jc w:val="left"/>
        <w:rPr>
          <w:sz w:val="24"/>
        </w:rPr>
      </w:pPr>
      <w:r>
        <w:rPr>
          <w:rFonts w:hint="eastAsia"/>
          <w:sz w:val="24"/>
        </w:rPr>
        <w:t>(4)监理服务变更费用经双方协商确认后，在监理服务所对应工作期限内按月平均支付或按双方所签订补充协议约定的支付方式进行支付。</w:t>
      </w:r>
    </w:p>
    <w:p>
      <w:pPr>
        <w:spacing w:line="360" w:lineRule="auto"/>
        <w:ind w:firstLine="480" w:firstLineChars="200"/>
        <w:jc w:val="left"/>
        <w:rPr>
          <w:sz w:val="24"/>
        </w:rPr>
      </w:pPr>
      <w:r>
        <w:rPr>
          <w:rFonts w:hint="eastAsia"/>
          <w:sz w:val="24"/>
        </w:rPr>
        <w:t>(5)根据合同条款第 8.2.2 项约定对监理人的奖励，委托人应于对监理人的当期支付费用中一次性支付；</w:t>
      </w:r>
    </w:p>
    <w:p>
      <w:pPr>
        <w:spacing w:line="360" w:lineRule="auto"/>
        <w:ind w:firstLine="480" w:firstLineChars="200"/>
        <w:jc w:val="left"/>
        <w:rPr>
          <w:sz w:val="24"/>
        </w:rPr>
      </w:pPr>
      <w:r>
        <w:rPr>
          <w:rFonts w:hint="eastAsia"/>
          <w:sz w:val="24"/>
        </w:rPr>
        <w:t>(6)根据合同条款第11.1款确定的监理人对委托人的违约赔偿金，由委托人从对监理人的当期监理服务费计量支付报表中予以核减；当期监理服务费不足以抵扣违约赔偿金时，则从后续监理服务费计量支付报表或履约保证金中扣回；</w:t>
      </w:r>
    </w:p>
    <w:p>
      <w:pPr>
        <w:spacing w:line="360" w:lineRule="auto"/>
        <w:ind w:firstLine="480" w:firstLineChars="200"/>
        <w:jc w:val="left"/>
        <w:rPr>
          <w:sz w:val="24"/>
        </w:rPr>
      </w:pPr>
      <w:r>
        <w:rPr>
          <w:rFonts w:hint="eastAsia"/>
          <w:sz w:val="24"/>
        </w:rPr>
        <w:t>(7)根据通用合同条款第11.2 款确定的委托人对监理人的赔偿金，应由委托人与监理人协商确定后在对监理人当期支付费用中一次性支付。</w:t>
      </w:r>
    </w:p>
    <w:p>
      <w:pPr>
        <w:spacing w:line="360" w:lineRule="auto"/>
        <w:ind w:firstLine="480" w:firstLineChars="200"/>
        <w:jc w:val="left"/>
        <w:rPr>
          <w:sz w:val="24"/>
        </w:rPr>
      </w:pPr>
      <w:r>
        <w:rPr>
          <w:rFonts w:hint="eastAsia"/>
          <w:sz w:val="24"/>
        </w:rPr>
        <w:t>9.3.3委托人在收到监理人提交的书面支付申请且监理人提交了合格的增值税专用发票后，应按上述条款约定的支付期限内支付监理服务费用。委托人未能在前述时间内完成审批或不予答复的，视为委托人同意中期支付申请。委托人未按期支付到期应付的款项，应承担违约责任，并支付逾期付款违约金，逾期付款的违约金以到期应付而未付的款项，按照银行同期贷款利率计算相应的利息，时间自未付款项的应付之日起算。</w:t>
      </w:r>
    </w:p>
    <w:p>
      <w:pPr>
        <w:spacing w:line="360" w:lineRule="auto"/>
        <w:ind w:firstLine="480" w:firstLineChars="200"/>
        <w:jc w:val="left"/>
        <w:rPr>
          <w:sz w:val="24"/>
        </w:rPr>
      </w:pPr>
      <w:r>
        <w:rPr>
          <w:rFonts w:hint="eastAsia"/>
          <w:sz w:val="24"/>
        </w:rPr>
        <w:t>9.3.4委托人对监理人要求支付的款项中的任何部分有异议的，应在收到监理人提交的书面支付申请7 天内发出书面通知说明理由，但不得借此延误对监理人其他应得款项的支付。</w:t>
      </w:r>
    </w:p>
    <w:p>
      <w:pPr>
        <w:spacing w:line="360" w:lineRule="auto"/>
        <w:ind w:firstLine="480" w:firstLineChars="200"/>
        <w:jc w:val="left"/>
        <w:rPr>
          <w:sz w:val="24"/>
        </w:rPr>
      </w:pPr>
      <w:r>
        <w:rPr>
          <w:rFonts w:hint="eastAsia"/>
          <w:sz w:val="24"/>
        </w:rPr>
        <w:t>9.3.5中期支付涉及政府投资资金的，按照国库集中支付等国家相关规定和项目专用合同条款的约定执行。</w:t>
      </w:r>
    </w:p>
    <w:p>
      <w:pPr>
        <w:spacing w:line="360" w:lineRule="auto"/>
        <w:jc w:val="left"/>
        <w:rPr>
          <w:b/>
          <w:sz w:val="24"/>
        </w:rPr>
      </w:pPr>
      <w:r>
        <w:rPr>
          <w:rFonts w:hint="eastAsia"/>
          <w:b/>
          <w:sz w:val="24"/>
        </w:rPr>
        <w:t>9.4费用结算</w:t>
      </w:r>
    </w:p>
    <w:p>
      <w:pPr>
        <w:spacing w:line="360" w:lineRule="auto"/>
        <w:ind w:firstLine="480" w:firstLineChars="200"/>
        <w:jc w:val="left"/>
        <w:rPr>
          <w:sz w:val="24"/>
        </w:rPr>
      </w:pPr>
      <w:r>
        <w:rPr>
          <w:rFonts w:hint="eastAsia"/>
          <w:sz w:val="24"/>
        </w:rPr>
        <w:t>本款细化为：</w:t>
      </w:r>
    </w:p>
    <w:p>
      <w:pPr>
        <w:spacing w:line="360" w:lineRule="auto"/>
        <w:ind w:firstLine="480" w:firstLineChars="200"/>
        <w:jc w:val="left"/>
        <w:rPr>
          <w:sz w:val="24"/>
        </w:rPr>
      </w:pPr>
      <w:r>
        <w:rPr>
          <w:rFonts w:hint="eastAsia"/>
          <w:sz w:val="24"/>
        </w:rPr>
        <w:t>9.4.1在施工阶段监理服务工作结束后7天内，监理人应将至交工证书申请之日前实际发生的监理服务费用，扣减预付款和监理人赔偿金后余额的支付申请上报至委托人，委托人应在收到该支付申请后7天内予以审批，在批复后14天内向监理人支付费用。监理人在提交支付申请的同时，应按合同条款第4.2.1项的约定向委托人提交缺陷责任期保函，委托人在收到监理人提交的缺陷责任期保函后7 天内向监理人返还履约保证金。</w:t>
      </w:r>
    </w:p>
    <w:p>
      <w:pPr>
        <w:spacing w:line="360" w:lineRule="auto"/>
        <w:ind w:firstLine="480" w:firstLineChars="200"/>
        <w:jc w:val="left"/>
        <w:rPr>
          <w:sz w:val="24"/>
        </w:rPr>
      </w:pPr>
      <w:r>
        <w:rPr>
          <w:rFonts w:hint="eastAsia"/>
          <w:sz w:val="24"/>
        </w:rPr>
        <w:t>9.4.2在签发工程缺陷责任终止证书后7天内，监理人应将工程缺陷责任期内未结清的监理服务费用和其他应由委托人向监理人支付的剩余款项，扣减其他应由委托人从监理人扣回的款项的支付申请上报至委托人，委托人应在收到该支付申请后7天内予以审批，在批复后14天内向监理人支付费用，同时委托人向监理人返还缺陷责任期保函。</w:t>
      </w:r>
    </w:p>
    <w:p>
      <w:pPr>
        <w:spacing w:line="360" w:lineRule="auto"/>
        <w:ind w:firstLine="480" w:firstLineChars="200"/>
        <w:jc w:val="left"/>
        <w:rPr>
          <w:sz w:val="24"/>
        </w:rPr>
      </w:pPr>
      <w:r>
        <w:rPr>
          <w:rFonts w:hint="eastAsia"/>
          <w:sz w:val="24"/>
        </w:rPr>
        <w:t>9.4.3委托人在收到监理人提交的书面支付申请且监理人提交了合格的增值税专用发票后，应按上述条款约定的支付期限内支付监理服务费用。委托人未能在前述时间内完成审批或不予答复的，视为委托人同意费用结算申请。委托人未按期支付到期应付的款项，应承担违约责任，并支付逾期付款违约金，逾期付款的违约金以到期应付而未付的款项，按照银行同期贷款利率计算相应的利息，时间自未付款项的应付之日起算。</w:t>
      </w:r>
    </w:p>
    <w:p>
      <w:pPr>
        <w:spacing w:line="360" w:lineRule="auto"/>
        <w:ind w:firstLine="480" w:firstLineChars="200"/>
        <w:jc w:val="left"/>
        <w:rPr>
          <w:sz w:val="24"/>
        </w:rPr>
      </w:pPr>
      <w:r>
        <w:rPr>
          <w:rFonts w:hint="eastAsia"/>
          <w:sz w:val="24"/>
        </w:rPr>
        <w:t>9.4.4委托人对费用结算申请内容有异议的，有权要求监理人进行修正和提供补充资料，由监理人重新提交。监理人对此有异议的，按第12条的约定执行。</w:t>
      </w:r>
    </w:p>
    <w:p>
      <w:pPr>
        <w:spacing w:line="360" w:lineRule="auto"/>
        <w:ind w:firstLine="480" w:firstLineChars="200"/>
        <w:jc w:val="left"/>
        <w:rPr>
          <w:sz w:val="24"/>
        </w:rPr>
      </w:pPr>
      <w:r>
        <w:rPr>
          <w:rFonts w:hint="eastAsia"/>
          <w:sz w:val="24"/>
        </w:rPr>
        <w:t>9.4.5最终结清付款涉及政府投资资金的，按第 9.3.5 项的约定执行。</w:t>
      </w:r>
    </w:p>
    <w:p>
      <w:pPr>
        <w:spacing w:line="360" w:lineRule="auto"/>
        <w:ind w:firstLine="480" w:firstLineChars="200"/>
        <w:jc w:val="left"/>
        <w:rPr>
          <w:sz w:val="24"/>
        </w:rPr>
      </w:pPr>
      <w:r>
        <w:rPr>
          <w:rFonts w:hint="eastAsia"/>
          <w:sz w:val="24"/>
        </w:rPr>
        <w:t>本条补充第9.5、9.6款：</w:t>
      </w:r>
    </w:p>
    <w:p>
      <w:pPr>
        <w:spacing w:line="360" w:lineRule="auto"/>
        <w:jc w:val="left"/>
        <w:rPr>
          <w:b/>
          <w:sz w:val="24"/>
        </w:rPr>
      </w:pPr>
      <w:r>
        <w:rPr>
          <w:rFonts w:hint="eastAsia"/>
          <w:b/>
          <w:sz w:val="24"/>
        </w:rPr>
        <w:t>9.5暂列金额</w:t>
      </w:r>
    </w:p>
    <w:p>
      <w:pPr>
        <w:spacing w:line="360" w:lineRule="auto"/>
        <w:ind w:firstLine="480" w:firstLineChars="200"/>
        <w:jc w:val="left"/>
        <w:rPr>
          <w:sz w:val="24"/>
        </w:rPr>
      </w:pPr>
      <w:r>
        <w:rPr>
          <w:rFonts w:hint="eastAsia"/>
          <w:sz w:val="24"/>
        </w:rPr>
        <w:t>本合同的暂列金额在项目专用合同条款中约定。暂列金额应按委托人的书面指示全部或部分地使用，或根本不予动用。暂列金额主要用于支付监理服务的变更费用。</w:t>
      </w:r>
    </w:p>
    <w:p>
      <w:pPr>
        <w:spacing w:line="360" w:lineRule="auto"/>
        <w:jc w:val="left"/>
        <w:rPr>
          <w:b/>
          <w:sz w:val="24"/>
        </w:rPr>
      </w:pPr>
      <w:r>
        <w:rPr>
          <w:rFonts w:hint="eastAsia"/>
          <w:b/>
          <w:sz w:val="24"/>
        </w:rPr>
        <w:t>9.6货币</w:t>
      </w:r>
    </w:p>
    <w:p>
      <w:pPr>
        <w:spacing w:line="360" w:lineRule="auto"/>
        <w:ind w:firstLine="480" w:firstLineChars="200"/>
        <w:jc w:val="left"/>
        <w:rPr>
          <w:sz w:val="24"/>
        </w:rPr>
      </w:pPr>
      <w:r>
        <w:rPr>
          <w:rFonts w:hint="eastAsia"/>
          <w:sz w:val="24"/>
        </w:rPr>
        <w:t>除项目专用合同条款另有约定外，委托人采用人民币支付监理服务费用。涉及外币支付的，其货币种类、比例和汇率等事宜，在项目专用合同条款中约定。</w:t>
      </w:r>
    </w:p>
    <w:p>
      <w:pPr>
        <w:spacing w:line="360" w:lineRule="auto"/>
        <w:jc w:val="left"/>
        <w:rPr>
          <w:b/>
          <w:sz w:val="24"/>
        </w:rPr>
      </w:pPr>
      <w:r>
        <w:rPr>
          <w:rFonts w:hint="eastAsia"/>
          <w:b/>
          <w:sz w:val="24"/>
        </w:rPr>
        <w:t>11.违约</w:t>
      </w:r>
    </w:p>
    <w:p>
      <w:pPr>
        <w:spacing w:line="360" w:lineRule="auto"/>
        <w:jc w:val="left"/>
        <w:rPr>
          <w:b/>
          <w:sz w:val="24"/>
        </w:rPr>
      </w:pPr>
      <w:r>
        <w:rPr>
          <w:rFonts w:hint="eastAsia"/>
          <w:b/>
          <w:sz w:val="24"/>
        </w:rPr>
        <w:t>11.1 监理人违约</w:t>
      </w:r>
    </w:p>
    <w:p>
      <w:pPr>
        <w:spacing w:line="360" w:lineRule="auto"/>
        <w:ind w:firstLine="480" w:firstLineChars="200"/>
        <w:jc w:val="left"/>
        <w:rPr>
          <w:b/>
          <w:sz w:val="24"/>
        </w:rPr>
      </w:pPr>
      <w:r>
        <w:rPr>
          <w:rFonts w:hint="eastAsia"/>
          <w:sz w:val="24"/>
        </w:rPr>
        <w:t>本款细化为：</w:t>
      </w:r>
    </w:p>
    <w:p>
      <w:pPr>
        <w:spacing w:line="360" w:lineRule="auto"/>
        <w:ind w:firstLine="480" w:firstLineChars="200"/>
        <w:jc w:val="left"/>
        <w:rPr>
          <w:sz w:val="24"/>
        </w:rPr>
      </w:pPr>
      <w:r>
        <w:rPr>
          <w:rFonts w:hint="eastAsia"/>
          <w:sz w:val="24"/>
        </w:rPr>
        <w:t>11.1.1合同履行中发生下列情况之一的，属监理人违约：</w:t>
      </w:r>
    </w:p>
    <w:p>
      <w:pPr>
        <w:spacing w:line="360" w:lineRule="auto"/>
        <w:ind w:firstLine="480" w:firstLineChars="200"/>
        <w:jc w:val="left"/>
        <w:rPr>
          <w:sz w:val="24"/>
        </w:rPr>
      </w:pPr>
      <w:r>
        <w:rPr>
          <w:rFonts w:hint="eastAsia"/>
          <w:sz w:val="24"/>
        </w:rPr>
        <w:t>(1)监理文件不符合规范标准以及合同约定；</w:t>
      </w:r>
    </w:p>
    <w:p>
      <w:pPr>
        <w:spacing w:line="360" w:lineRule="auto"/>
        <w:ind w:firstLine="480" w:firstLineChars="200"/>
        <w:jc w:val="left"/>
        <w:rPr>
          <w:sz w:val="24"/>
        </w:rPr>
      </w:pPr>
      <w:r>
        <w:rPr>
          <w:rFonts w:hint="eastAsia"/>
          <w:sz w:val="24"/>
        </w:rPr>
        <w:t>(2)监理人转让或分包监理工作；</w:t>
      </w:r>
    </w:p>
    <w:p>
      <w:pPr>
        <w:spacing w:line="360" w:lineRule="auto"/>
        <w:ind w:firstLine="480" w:firstLineChars="200"/>
        <w:jc w:val="left"/>
        <w:rPr>
          <w:sz w:val="24"/>
        </w:rPr>
      </w:pPr>
      <w:r>
        <w:rPr>
          <w:rFonts w:hint="eastAsia"/>
          <w:sz w:val="24"/>
        </w:rPr>
        <w:t>(3)监理人未按合同约定实施监理并造成工程损失；</w:t>
      </w:r>
    </w:p>
    <w:p>
      <w:pPr>
        <w:spacing w:line="360" w:lineRule="auto"/>
        <w:ind w:firstLine="480" w:firstLineChars="200"/>
        <w:jc w:val="left"/>
        <w:rPr>
          <w:sz w:val="24"/>
        </w:rPr>
      </w:pPr>
      <w:r>
        <w:rPr>
          <w:rFonts w:hint="eastAsia"/>
          <w:sz w:val="24"/>
        </w:rPr>
        <w:t>(4)监理人向承包人索贿、谋取私利，或与承包人串通损害委托人利益，给委托人造成损失；</w:t>
      </w:r>
    </w:p>
    <w:p>
      <w:pPr>
        <w:spacing w:line="360" w:lineRule="auto"/>
        <w:ind w:firstLine="480" w:firstLineChars="200"/>
        <w:jc w:val="left"/>
        <w:rPr>
          <w:sz w:val="24"/>
        </w:rPr>
      </w:pPr>
      <w:r>
        <w:rPr>
          <w:rFonts w:hint="eastAsia"/>
          <w:sz w:val="24"/>
        </w:rPr>
        <w:t>(5)监理人未按《公路工程施工监理规范》的规定对主要工程或关键工序进行旁站、巡视或抽检；</w:t>
      </w:r>
    </w:p>
    <w:p>
      <w:pPr>
        <w:spacing w:line="360" w:lineRule="auto"/>
        <w:ind w:firstLine="480" w:firstLineChars="200"/>
        <w:jc w:val="left"/>
        <w:rPr>
          <w:sz w:val="24"/>
        </w:rPr>
      </w:pPr>
      <w:r>
        <w:rPr>
          <w:rFonts w:hint="eastAsia"/>
          <w:sz w:val="24"/>
        </w:rPr>
        <w:t>(6)监理人未能按照投标文件的承诺或合同文件的约定配备满足监理服务需求的人员或设备；</w:t>
      </w:r>
    </w:p>
    <w:p>
      <w:pPr>
        <w:spacing w:line="360" w:lineRule="auto"/>
        <w:ind w:firstLine="480" w:firstLineChars="200"/>
        <w:jc w:val="left"/>
        <w:rPr>
          <w:sz w:val="24"/>
        </w:rPr>
      </w:pPr>
      <w:r>
        <w:rPr>
          <w:rFonts w:hint="eastAsia"/>
          <w:sz w:val="24"/>
        </w:rPr>
        <w:t>(7)监理人无法履行或停止履行合同；</w:t>
      </w:r>
    </w:p>
    <w:p>
      <w:pPr>
        <w:spacing w:line="360" w:lineRule="auto"/>
        <w:ind w:firstLine="480" w:firstLineChars="200"/>
        <w:jc w:val="left"/>
        <w:rPr>
          <w:sz w:val="24"/>
        </w:rPr>
      </w:pPr>
      <w:r>
        <w:rPr>
          <w:rFonts w:hint="eastAsia"/>
          <w:sz w:val="24"/>
        </w:rPr>
        <w:t>(8)监理人不履行合同约定的其他义务。</w:t>
      </w:r>
    </w:p>
    <w:p>
      <w:pPr>
        <w:spacing w:line="360" w:lineRule="auto"/>
        <w:ind w:firstLine="480" w:firstLineChars="200"/>
        <w:jc w:val="left"/>
        <w:rPr>
          <w:sz w:val="24"/>
        </w:rPr>
      </w:pPr>
      <w:r>
        <w:rPr>
          <w:rFonts w:hint="eastAsia"/>
          <w:sz w:val="24"/>
        </w:rPr>
        <w:t>11.1.2监理人发生违约情况时，委托人可向监理人发出整改通知，要求其在限定期限内纠正；逾期仍不纠正的，委托人有权解除合同并向监理人发出解除合同通知。发生第11.1.1(2) 目或(4)目情形时，委托人可直接发出解除合同通知。</w:t>
      </w:r>
    </w:p>
    <w:p>
      <w:pPr>
        <w:spacing w:line="360" w:lineRule="auto"/>
        <w:ind w:firstLine="480" w:firstLineChars="200"/>
        <w:jc w:val="left"/>
        <w:rPr>
          <w:sz w:val="24"/>
        </w:rPr>
      </w:pPr>
      <w:r>
        <w:rPr>
          <w:rFonts w:hint="eastAsia"/>
          <w:sz w:val="24"/>
        </w:rPr>
        <w:t>监理人应当承担由于违约所造成的费用增加、周期延误和委托人损失等。委托人有权向监理人课以项目专用合同条款中约定的违约金，并由委托人将其违约行为上报省级交通运输主管部门，作为不良记录纳入公路建设市场信用信息管理系统。</w:t>
      </w:r>
    </w:p>
    <w:p>
      <w:pPr>
        <w:spacing w:line="360" w:lineRule="auto"/>
        <w:ind w:firstLine="480" w:firstLineChars="200"/>
        <w:jc w:val="left"/>
        <w:rPr>
          <w:sz w:val="24"/>
        </w:rPr>
      </w:pPr>
      <w:r>
        <w:rPr>
          <w:rFonts w:hint="eastAsia"/>
          <w:sz w:val="24"/>
        </w:rPr>
        <w:t xml:space="preserve">11.1.3监理人对委托人损失的赔偿责任 </w:t>
      </w:r>
    </w:p>
    <w:p>
      <w:pPr>
        <w:spacing w:line="360" w:lineRule="auto"/>
        <w:ind w:firstLine="480" w:firstLineChars="200"/>
        <w:jc w:val="left"/>
        <w:rPr>
          <w:sz w:val="24"/>
        </w:rPr>
      </w:pPr>
      <w:r>
        <w:rPr>
          <w:rFonts w:hint="eastAsia"/>
          <w:sz w:val="24"/>
        </w:rPr>
        <w:t>监理人违反监理合同的约定并造成委托人的经济损失，应向委托人赔偿，除项目专用合同条款另有约定外，赔偿金应按下式计算：</w:t>
      </w:r>
    </w:p>
    <w:p>
      <w:pPr>
        <w:spacing w:line="360" w:lineRule="auto"/>
        <w:ind w:firstLine="480" w:firstLineChars="200"/>
        <w:jc w:val="left"/>
        <w:rPr>
          <w:sz w:val="24"/>
        </w:rPr>
      </w:pPr>
      <w:r>
        <w:rPr>
          <w:rFonts w:hint="eastAsia"/>
          <w:sz w:val="24"/>
        </w:rPr>
        <w:t xml:space="preserve">赔偿金=委托人直接经济损失所对应的监理费×监理人应承担责任的比例 </w:t>
      </w:r>
    </w:p>
    <w:p>
      <w:pPr>
        <w:spacing w:line="360" w:lineRule="auto"/>
        <w:ind w:firstLine="480" w:firstLineChars="200"/>
        <w:jc w:val="left"/>
        <w:rPr>
          <w:sz w:val="24"/>
        </w:rPr>
      </w:pPr>
      <w:r>
        <w:rPr>
          <w:rFonts w:hint="eastAsia"/>
          <w:sz w:val="24"/>
        </w:rPr>
        <w:t>监理人对由于第三方责任造成的任何经济损失，不承担责任。如果监理人与委托人或第三方对有关经济损失共负责任时，应按责任比例计算赔偿。监理人的上述责任赔偿，均应按照本合同条款第11.5 款的约定办理。</w:t>
      </w:r>
    </w:p>
    <w:p>
      <w:pPr>
        <w:spacing w:line="360" w:lineRule="auto"/>
        <w:ind w:firstLine="480" w:firstLineChars="200"/>
        <w:jc w:val="left"/>
        <w:rPr>
          <w:sz w:val="24"/>
        </w:rPr>
      </w:pPr>
      <w:r>
        <w:rPr>
          <w:rFonts w:hint="eastAsia"/>
          <w:sz w:val="24"/>
        </w:rPr>
        <w:t>11.1.4监理人对委托人未授权的监理服务范围不承担监理责任。</w:t>
      </w:r>
    </w:p>
    <w:p>
      <w:pPr>
        <w:spacing w:line="360" w:lineRule="auto"/>
        <w:jc w:val="left"/>
        <w:rPr>
          <w:b/>
          <w:sz w:val="24"/>
        </w:rPr>
      </w:pPr>
      <w:r>
        <w:rPr>
          <w:rFonts w:hint="eastAsia"/>
          <w:b/>
          <w:sz w:val="24"/>
        </w:rPr>
        <w:t>11.2委托人违约</w:t>
      </w:r>
    </w:p>
    <w:p>
      <w:pPr>
        <w:spacing w:line="360" w:lineRule="auto"/>
        <w:ind w:firstLine="480" w:firstLineChars="200"/>
        <w:jc w:val="left"/>
        <w:rPr>
          <w:sz w:val="24"/>
        </w:rPr>
      </w:pPr>
      <w:r>
        <w:rPr>
          <w:rFonts w:hint="eastAsia"/>
          <w:sz w:val="24"/>
        </w:rPr>
        <w:t>本款细化为：</w:t>
      </w:r>
    </w:p>
    <w:p>
      <w:pPr>
        <w:spacing w:line="360" w:lineRule="auto"/>
        <w:ind w:firstLine="480" w:firstLineChars="200"/>
        <w:jc w:val="left"/>
        <w:rPr>
          <w:sz w:val="24"/>
        </w:rPr>
      </w:pPr>
      <w:r>
        <w:rPr>
          <w:rFonts w:hint="eastAsia"/>
          <w:sz w:val="24"/>
        </w:rPr>
        <w:t>11.2.1合同履行中发生下列情况之一的，属委托人违约：</w:t>
      </w:r>
    </w:p>
    <w:p>
      <w:pPr>
        <w:spacing w:line="360" w:lineRule="auto"/>
        <w:ind w:firstLine="480" w:firstLineChars="200"/>
        <w:jc w:val="left"/>
        <w:rPr>
          <w:sz w:val="24"/>
        </w:rPr>
      </w:pPr>
      <w:r>
        <w:rPr>
          <w:rFonts w:hint="eastAsia"/>
          <w:sz w:val="24"/>
        </w:rPr>
        <w:t>(1)委托人未按合同约定支付监理报酬；</w:t>
      </w:r>
    </w:p>
    <w:p>
      <w:pPr>
        <w:spacing w:line="360" w:lineRule="auto"/>
        <w:ind w:firstLine="480" w:firstLineChars="200"/>
        <w:jc w:val="left"/>
        <w:rPr>
          <w:sz w:val="24"/>
        </w:rPr>
      </w:pPr>
      <w:r>
        <w:rPr>
          <w:rFonts w:hint="eastAsia"/>
          <w:sz w:val="24"/>
        </w:rPr>
        <w:t>(2)委托人原因造成监理停止；</w:t>
      </w:r>
    </w:p>
    <w:p>
      <w:pPr>
        <w:spacing w:line="360" w:lineRule="auto"/>
        <w:ind w:firstLine="480" w:firstLineChars="200"/>
        <w:jc w:val="left"/>
        <w:rPr>
          <w:sz w:val="24"/>
        </w:rPr>
      </w:pPr>
      <w:r>
        <w:rPr>
          <w:rFonts w:hint="eastAsia"/>
          <w:sz w:val="24"/>
        </w:rPr>
        <w:t>(3)委托人无法履行或停止履行合同；</w:t>
      </w:r>
    </w:p>
    <w:p>
      <w:pPr>
        <w:spacing w:line="360" w:lineRule="auto"/>
        <w:ind w:firstLine="480" w:firstLineChars="200"/>
        <w:jc w:val="left"/>
        <w:rPr>
          <w:sz w:val="24"/>
        </w:rPr>
      </w:pPr>
      <w:r>
        <w:rPr>
          <w:rFonts w:hint="eastAsia"/>
          <w:sz w:val="24"/>
        </w:rPr>
        <w:t>(4)委托人无正当理由不按时返还履约保证金或缺陷责任期保函；</w:t>
      </w:r>
    </w:p>
    <w:p>
      <w:pPr>
        <w:spacing w:line="360" w:lineRule="auto"/>
        <w:ind w:firstLine="480" w:firstLineChars="200"/>
        <w:jc w:val="left"/>
        <w:rPr>
          <w:sz w:val="24"/>
        </w:rPr>
      </w:pPr>
      <w:r>
        <w:rPr>
          <w:rFonts w:hint="eastAsia"/>
          <w:sz w:val="24"/>
        </w:rPr>
        <w:t>(5)委托人不履行合同约定的其他义务。</w:t>
      </w:r>
    </w:p>
    <w:p>
      <w:pPr>
        <w:spacing w:line="360" w:lineRule="auto"/>
        <w:ind w:firstLine="480" w:firstLineChars="200"/>
        <w:jc w:val="left"/>
        <w:rPr>
          <w:sz w:val="24"/>
        </w:rPr>
      </w:pPr>
      <w:r>
        <w:rPr>
          <w:rFonts w:hint="eastAsia"/>
          <w:sz w:val="24"/>
        </w:rPr>
        <w:t>11.2.2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监理人有权向委托人课以专用合同条款中约定的违约金。</w:t>
      </w:r>
    </w:p>
    <w:p>
      <w:pPr>
        <w:spacing w:line="360" w:lineRule="auto"/>
        <w:ind w:firstLine="480" w:firstLineChars="200"/>
        <w:jc w:val="left"/>
        <w:rPr>
          <w:sz w:val="24"/>
        </w:rPr>
      </w:pPr>
      <w:r>
        <w:rPr>
          <w:rFonts w:hint="eastAsia"/>
          <w:sz w:val="24"/>
        </w:rPr>
        <w:t xml:space="preserve">11.2.3委托人对监理人损失的赔偿责任 </w:t>
      </w:r>
    </w:p>
    <w:p>
      <w:pPr>
        <w:spacing w:line="360" w:lineRule="auto"/>
        <w:ind w:firstLine="480" w:firstLineChars="200"/>
        <w:jc w:val="left"/>
        <w:rPr>
          <w:sz w:val="24"/>
        </w:rPr>
      </w:pPr>
      <w:r>
        <w:rPr>
          <w:rFonts w:hint="eastAsia"/>
          <w:sz w:val="24"/>
        </w:rPr>
        <w:t>委托人违反监理合同的约定并造成监理人的经济损失，除项目专用合同条款另有约定外，委托人应据实赔偿监理人的直接经济损失。</w:t>
      </w:r>
    </w:p>
    <w:p>
      <w:pPr>
        <w:spacing w:line="360" w:lineRule="auto"/>
        <w:ind w:firstLine="480" w:firstLineChars="200"/>
        <w:jc w:val="left"/>
        <w:rPr>
          <w:sz w:val="24"/>
        </w:rPr>
      </w:pPr>
      <w:r>
        <w:rPr>
          <w:rFonts w:hint="eastAsia"/>
          <w:sz w:val="24"/>
        </w:rPr>
        <w:t>本条补充第11.4、第l1.5款：</w:t>
      </w:r>
    </w:p>
    <w:p>
      <w:pPr>
        <w:spacing w:line="360" w:lineRule="auto"/>
        <w:jc w:val="left"/>
        <w:rPr>
          <w:b/>
          <w:sz w:val="24"/>
        </w:rPr>
      </w:pPr>
      <w:r>
        <w:rPr>
          <w:rFonts w:hint="eastAsia"/>
          <w:b/>
          <w:sz w:val="24"/>
        </w:rPr>
        <w:t>11.4赔偿责任的期限</w:t>
      </w:r>
    </w:p>
    <w:p>
      <w:pPr>
        <w:spacing w:line="360" w:lineRule="auto"/>
        <w:ind w:firstLine="480" w:firstLineChars="200"/>
        <w:jc w:val="left"/>
        <w:rPr>
          <w:sz w:val="24"/>
        </w:rPr>
      </w:pPr>
      <w:r>
        <w:rPr>
          <w:rFonts w:hint="eastAsia"/>
          <w:sz w:val="24"/>
        </w:rPr>
        <w:t>委托人或监理人任何一方向另一方要求的赔偿，均应在赔偿事件发生后的28天之内以书面形式提出索赔。如果该事件具有持续性，则应在事件首次发生后7天之内提出索赔意向，并每隔7天提供一次该事件仍在持续发展的证明材料，直至该事件结束后28天之内提出正式的索赔文件。无论是委托人还是监理人，逾期未提出书面索赔意向书，均失去索赔权利。</w:t>
      </w:r>
    </w:p>
    <w:p>
      <w:pPr>
        <w:spacing w:line="360" w:lineRule="auto"/>
        <w:jc w:val="left"/>
        <w:rPr>
          <w:b/>
          <w:sz w:val="24"/>
        </w:rPr>
      </w:pPr>
      <w:r>
        <w:rPr>
          <w:rFonts w:hint="eastAsia"/>
          <w:b/>
          <w:sz w:val="24"/>
        </w:rPr>
        <w:t>11.5赔偿的限额</w:t>
      </w:r>
    </w:p>
    <w:p>
      <w:pPr>
        <w:spacing w:line="360" w:lineRule="auto"/>
        <w:ind w:firstLine="480" w:firstLineChars="200"/>
        <w:jc w:val="left"/>
        <w:rPr>
          <w:sz w:val="24"/>
        </w:rPr>
      </w:pPr>
      <w:r>
        <w:rPr>
          <w:rFonts w:hint="eastAsia"/>
          <w:sz w:val="24"/>
        </w:rPr>
        <w:t>除项目专用合同条款另有约定外，合同一方当事人向对方当事人依据本合同条款第11.1款和第11.2 款支付赔偿的最高限额为：</w:t>
      </w:r>
    </w:p>
    <w:p>
      <w:pPr>
        <w:spacing w:line="360" w:lineRule="auto"/>
        <w:ind w:firstLine="480" w:firstLineChars="200"/>
        <w:jc w:val="left"/>
        <w:rPr>
          <w:sz w:val="24"/>
        </w:rPr>
      </w:pPr>
      <w:r>
        <w:rPr>
          <w:rFonts w:hint="eastAsia"/>
          <w:sz w:val="24"/>
        </w:rPr>
        <w:t>(1)监理人的累计赔偿限额为监理服务费总额的30%，当达到此限额时，委托人有权单方面终止监理合同，没收监理人的履约保证金。</w:t>
      </w:r>
    </w:p>
    <w:p>
      <w:pPr>
        <w:spacing w:line="360" w:lineRule="auto"/>
        <w:ind w:firstLine="480" w:firstLineChars="200"/>
        <w:jc w:val="left"/>
        <w:rPr>
          <w:sz w:val="24"/>
        </w:rPr>
      </w:pPr>
      <w:r>
        <w:rPr>
          <w:rFonts w:hint="eastAsia"/>
          <w:sz w:val="24"/>
        </w:rPr>
        <w:t>(2)委托人赔偿监理人的直接经济损失的累计限额为监理服务费总额。</w:t>
      </w:r>
    </w:p>
    <w:p>
      <w:pPr>
        <w:spacing w:line="360" w:lineRule="auto"/>
        <w:ind w:firstLine="480" w:firstLineChars="200"/>
        <w:jc w:val="left"/>
        <w:rPr>
          <w:sz w:val="24"/>
        </w:rPr>
      </w:pPr>
      <w:r>
        <w:rPr>
          <w:rFonts w:hint="eastAsia"/>
          <w:sz w:val="24"/>
        </w:rPr>
        <w:t>合同双方同意放弃超过上述限额的剩余赔偿要求，但本合同其他条款约定的补偿和由于任何一方故意违约而引起的索赔，不受该限额的限制。</w:t>
      </w:r>
    </w:p>
    <w:p>
      <w:pPr>
        <w:spacing w:line="360" w:lineRule="auto"/>
        <w:jc w:val="left"/>
        <w:rPr>
          <w:b/>
          <w:sz w:val="24"/>
        </w:rPr>
      </w:pPr>
      <w:r>
        <w:rPr>
          <w:rFonts w:hint="eastAsia"/>
          <w:b/>
          <w:sz w:val="24"/>
        </w:rPr>
        <w:t>12.争议的解决</w:t>
      </w:r>
    </w:p>
    <w:p>
      <w:pPr>
        <w:spacing w:line="360" w:lineRule="auto"/>
        <w:ind w:firstLine="480" w:firstLineChars="200"/>
        <w:jc w:val="left"/>
        <w:rPr>
          <w:sz w:val="24"/>
        </w:rPr>
      </w:pPr>
      <w:r>
        <w:rPr>
          <w:rFonts w:hint="eastAsia"/>
          <w:sz w:val="24"/>
        </w:rPr>
        <w:t>本条补充：</w:t>
      </w:r>
    </w:p>
    <w:p>
      <w:pPr>
        <w:spacing w:line="360" w:lineRule="auto"/>
        <w:ind w:firstLine="480" w:firstLineChars="200"/>
        <w:jc w:val="left"/>
        <w:rPr>
          <w:sz w:val="24"/>
        </w:rPr>
      </w:pPr>
      <w:r>
        <w:rPr>
          <w:rFonts w:hint="eastAsia"/>
          <w:sz w:val="24"/>
        </w:rPr>
        <w:t>采用仲裁方式最终解决争议的项目，仲裁裁决是终局性的并对委托人和监理人双方均具有约束力。全部仲裁费用应由败诉方承担，或按仲裁委员会裁决的比例分担。</w:t>
      </w:r>
    </w:p>
    <w:p>
      <w:pPr>
        <w:spacing w:line="360" w:lineRule="auto"/>
        <w:jc w:val="center"/>
      </w:pPr>
      <w:r>
        <w:br w:type="page"/>
      </w:r>
      <w:r>
        <w:rPr>
          <w:rFonts w:hint="eastAsia" w:ascii="黑体" w:hAnsi="黑体" w:eastAsia="黑体"/>
          <w:b/>
          <w:sz w:val="30"/>
          <w:szCs w:val="30"/>
        </w:rPr>
        <w:t>B.项目专用合同条款</w:t>
      </w:r>
    </w:p>
    <w:p>
      <w:pPr>
        <w:spacing w:before="4" w:line="400" w:lineRule="exact"/>
        <w:ind w:left="160"/>
        <w:rPr>
          <w:b/>
          <w:color w:val="000000"/>
          <w:sz w:val="24"/>
        </w:rPr>
      </w:pPr>
      <w:r>
        <w:rPr>
          <w:b/>
          <w:color w:val="000000"/>
          <w:sz w:val="24"/>
        </w:rPr>
        <w:t>1.一般约定</w:t>
      </w:r>
    </w:p>
    <w:p>
      <w:pPr>
        <w:spacing w:line="400" w:lineRule="exact"/>
        <w:ind w:left="160"/>
        <w:rPr>
          <w:b/>
          <w:color w:val="000000"/>
          <w:sz w:val="24"/>
        </w:rPr>
      </w:pPr>
      <w:r>
        <w:rPr>
          <w:b/>
          <w:color w:val="000000"/>
          <w:sz w:val="24"/>
        </w:rPr>
        <w:t>1.1 词语定义</w:t>
      </w:r>
    </w:p>
    <w:p>
      <w:pPr>
        <w:tabs>
          <w:tab w:val="left" w:pos="6693"/>
        </w:tabs>
        <w:spacing w:before="137" w:line="400" w:lineRule="exact"/>
        <w:ind w:left="607"/>
        <w:rPr>
          <w:color w:val="000000"/>
          <w:sz w:val="24"/>
        </w:rPr>
      </w:pPr>
      <w:r>
        <w:rPr>
          <w:color w:val="000000"/>
          <w:sz w:val="24"/>
        </w:rPr>
        <w:t>1.1.2.2 委托人：</w:t>
      </w:r>
      <w:r>
        <w:rPr>
          <w:rFonts w:hint="eastAsia"/>
          <w:sz w:val="24"/>
          <w:u w:val="single"/>
        </w:rPr>
        <w:t xml:space="preserve">                       </w:t>
      </w:r>
      <w:r>
        <w:rPr>
          <w:color w:val="000000"/>
          <w:sz w:val="24"/>
        </w:rPr>
        <w:t>。</w:t>
      </w:r>
    </w:p>
    <w:p>
      <w:pPr>
        <w:tabs>
          <w:tab w:val="left" w:pos="6371"/>
        </w:tabs>
        <w:spacing w:before="143" w:line="400" w:lineRule="exact"/>
        <w:ind w:left="607"/>
        <w:rPr>
          <w:color w:val="000000"/>
          <w:sz w:val="24"/>
        </w:rPr>
      </w:pPr>
      <w:r>
        <w:rPr>
          <w:color w:val="000000"/>
          <w:sz w:val="24"/>
        </w:rPr>
        <w:t>1.1.3.1本次进行施工监理招标的项目为</w:t>
      </w:r>
      <w:r>
        <w:rPr>
          <w:rFonts w:hint="eastAsia"/>
          <w:sz w:val="24"/>
          <w:u w:val="single"/>
        </w:rPr>
        <w:t xml:space="preserve">                       </w:t>
      </w:r>
      <w:r>
        <w:rPr>
          <w:color w:val="000000"/>
          <w:sz w:val="24"/>
        </w:rPr>
        <w:t>。</w:t>
      </w:r>
      <w:r>
        <w:rPr>
          <w:rFonts w:hint="eastAsia"/>
          <w:color w:val="000000"/>
          <w:sz w:val="24"/>
          <w:u w:val="thick" w:color="000000" w:themeColor="text1"/>
          <w:vertAlign w:val="subscript"/>
        </w:rPr>
        <w:t xml:space="preserve"> </w:t>
      </w:r>
    </w:p>
    <w:p>
      <w:pPr>
        <w:tabs>
          <w:tab w:val="left" w:pos="6371"/>
        </w:tabs>
        <w:spacing w:before="120" w:after="120" w:line="400" w:lineRule="exact"/>
        <w:ind w:left="607"/>
        <w:rPr>
          <w:color w:val="000000"/>
          <w:sz w:val="24"/>
        </w:rPr>
      </w:pPr>
      <w:r>
        <w:rPr>
          <w:color w:val="000000"/>
          <w:sz w:val="24"/>
        </w:rPr>
        <w:t>工程地点：</w:t>
      </w:r>
      <w:r>
        <w:rPr>
          <w:rFonts w:hint="eastAsia"/>
          <w:sz w:val="24"/>
          <w:u w:val="single"/>
        </w:rPr>
        <w:t xml:space="preserve">                      </w:t>
      </w:r>
      <w:r>
        <w:rPr>
          <w:sz w:val="24"/>
        </w:rPr>
        <w:t>；</w:t>
      </w:r>
    </w:p>
    <w:p>
      <w:pPr>
        <w:tabs>
          <w:tab w:val="left" w:pos="6371"/>
        </w:tabs>
        <w:spacing w:before="120" w:after="120" w:line="400" w:lineRule="exact"/>
        <w:ind w:left="607"/>
        <w:rPr>
          <w:color w:val="000000"/>
          <w:sz w:val="24"/>
        </w:rPr>
      </w:pPr>
      <w:r>
        <w:rPr>
          <w:color w:val="000000"/>
          <w:sz w:val="24"/>
        </w:rPr>
        <w:t>起迄桩号：</w:t>
      </w:r>
      <w:r>
        <w:rPr>
          <w:sz w:val="24"/>
          <w:u w:val="single"/>
          <w:lang w:val="de-DE"/>
        </w:rPr>
        <w:t xml:space="preserve">  </w:t>
      </w:r>
      <w:r>
        <w:rPr>
          <w:rFonts w:hint="eastAsia"/>
          <w:sz w:val="24"/>
          <w:u w:val="single"/>
        </w:rPr>
        <w:t xml:space="preserve"> </w:t>
      </w:r>
      <w:r>
        <w:rPr>
          <w:sz w:val="24"/>
          <w:u w:val="single"/>
          <w:lang w:val="de-DE"/>
        </w:rPr>
        <w:t xml:space="preserve">  </w:t>
      </w:r>
      <w:r>
        <w:rPr>
          <w:color w:val="000000"/>
          <w:sz w:val="24"/>
        </w:rPr>
        <w:t>；</w:t>
      </w:r>
    </w:p>
    <w:p>
      <w:pPr>
        <w:pStyle w:val="50"/>
        <w:snapToGrid w:val="0"/>
        <w:spacing w:line="400" w:lineRule="exact"/>
        <w:ind w:firstLine="638" w:firstLineChars="266"/>
        <w:rPr>
          <w:rFonts w:ascii="Times New Roman" w:cs="Times New Roman"/>
          <w:color w:val="auto"/>
          <w:u w:val="single"/>
        </w:rPr>
      </w:pPr>
      <w:r>
        <w:rPr>
          <w:rFonts w:ascii="Times New Roman" w:cs="Times New Roman"/>
        </w:rPr>
        <w:t>施工合同标段划分：</w:t>
      </w:r>
      <w:r>
        <w:rPr>
          <w:rFonts w:ascii="Times New Roman" w:cs="Times New Roman"/>
          <w:color w:val="auto"/>
          <w:u w:val="single"/>
        </w:rPr>
        <w:t xml:space="preserve">  </w:t>
      </w:r>
      <w:r>
        <w:rPr>
          <w:rFonts w:hint="eastAsia" w:ascii="Times New Roman" w:cs="Times New Roman"/>
          <w:color w:val="auto"/>
          <w:u w:val="single"/>
        </w:rPr>
        <w:t xml:space="preserve"> </w:t>
      </w:r>
      <w:r>
        <w:rPr>
          <w:rFonts w:ascii="Times New Roman" w:cs="Times New Roman"/>
          <w:color w:val="auto"/>
          <w:u w:val="single"/>
        </w:rPr>
        <w:t xml:space="preserve">   </w:t>
      </w:r>
      <w:r>
        <w:rPr>
          <w:rFonts w:ascii="Times New Roman" w:cs="Times New Roman"/>
          <w:color w:val="auto"/>
        </w:rPr>
        <w:t>；</w:t>
      </w:r>
    </w:p>
    <w:p>
      <w:pPr>
        <w:tabs>
          <w:tab w:val="left" w:pos="6371"/>
        </w:tabs>
        <w:spacing w:before="120" w:after="120" w:line="400" w:lineRule="exact"/>
        <w:ind w:left="607"/>
        <w:rPr>
          <w:color w:val="000000"/>
          <w:sz w:val="24"/>
        </w:rPr>
      </w:pPr>
      <w:r>
        <w:rPr>
          <w:sz w:val="24"/>
        </w:rPr>
        <w:t>监理合同标段划分：</w:t>
      </w:r>
      <w:r>
        <w:rPr>
          <w:sz w:val="24"/>
          <w:u w:val="single"/>
        </w:rPr>
        <w:t xml:space="preserve">  </w:t>
      </w:r>
      <w:r>
        <w:rPr>
          <w:rFonts w:hint="eastAsia"/>
          <w:sz w:val="24"/>
          <w:u w:val="single"/>
        </w:rPr>
        <w:t xml:space="preserve"> </w:t>
      </w:r>
      <w:r>
        <w:rPr>
          <w:sz w:val="24"/>
          <w:u w:val="single"/>
        </w:rPr>
        <w:t xml:space="preserve">  </w:t>
      </w:r>
      <w:r>
        <w:rPr>
          <w:color w:val="000000"/>
          <w:sz w:val="24"/>
        </w:rPr>
        <w:t>；</w:t>
      </w:r>
    </w:p>
    <w:p>
      <w:pPr>
        <w:spacing w:line="400" w:lineRule="exact"/>
        <w:ind w:firstLine="638" w:firstLineChars="266"/>
        <w:rPr>
          <w:sz w:val="24"/>
          <w:lang w:val="de-DE"/>
        </w:rPr>
      </w:pPr>
      <w:r>
        <w:rPr>
          <w:color w:val="000000"/>
          <w:sz w:val="24"/>
        </w:rPr>
        <w:t>工程概况：</w:t>
      </w:r>
      <w:r>
        <w:rPr>
          <w:sz w:val="24"/>
          <w:u w:val="single"/>
        </w:rPr>
        <w:t xml:space="preserve">  </w:t>
      </w:r>
      <w:r>
        <w:rPr>
          <w:rFonts w:hint="eastAsia"/>
          <w:sz w:val="24"/>
          <w:u w:val="single"/>
        </w:rPr>
        <w:t xml:space="preserve"> </w:t>
      </w:r>
      <w:r>
        <w:rPr>
          <w:sz w:val="24"/>
          <w:u w:val="single"/>
        </w:rPr>
        <w:t xml:space="preserve">  </w:t>
      </w:r>
      <w:r>
        <w:rPr>
          <w:sz w:val="24"/>
          <w:lang w:val="de-DE"/>
        </w:rPr>
        <w:t>。</w:t>
      </w:r>
    </w:p>
    <w:p>
      <w:pPr>
        <w:spacing w:before="2" w:line="400" w:lineRule="exact"/>
        <w:ind w:left="160"/>
        <w:rPr>
          <w:b/>
          <w:color w:val="000000"/>
          <w:sz w:val="24"/>
        </w:rPr>
      </w:pPr>
      <w:r>
        <w:rPr>
          <w:b/>
          <w:color w:val="000000"/>
          <w:sz w:val="24"/>
        </w:rPr>
        <w:t>1.12 委托人要求</w:t>
      </w:r>
    </w:p>
    <w:p>
      <w:pPr>
        <w:spacing w:before="120" w:after="120" w:line="400" w:lineRule="exact"/>
        <w:ind w:left="159" w:firstLine="480" w:firstLineChars="200"/>
        <w:rPr>
          <w:color w:val="000000"/>
          <w:sz w:val="24"/>
        </w:rPr>
      </w:pPr>
      <w:r>
        <w:rPr>
          <w:color w:val="000000"/>
          <w:sz w:val="24"/>
        </w:rPr>
        <w:t>1.12.3委托人提供国外规范和标准的时间：</w:t>
      </w:r>
      <w:r>
        <w:rPr>
          <w:color w:val="000000"/>
          <w:sz w:val="24"/>
          <w:u w:val="single" w:color="000000"/>
        </w:rPr>
        <w:t xml:space="preserve">  /  </w:t>
      </w:r>
      <w:r>
        <w:rPr>
          <w:color w:val="000000"/>
          <w:sz w:val="24"/>
        </w:rPr>
        <w:t>，提供数量：</w:t>
      </w:r>
      <w:r>
        <w:rPr>
          <w:color w:val="000000"/>
          <w:sz w:val="24"/>
          <w:u w:val="single" w:color="000000"/>
        </w:rPr>
        <w:t xml:space="preserve">   </w:t>
      </w:r>
      <w:r>
        <w:rPr>
          <w:color w:val="000000"/>
          <w:sz w:val="24"/>
          <w:u w:val="single"/>
        </w:rPr>
        <w:t>/</w:t>
      </w:r>
      <w:r>
        <w:rPr>
          <w:color w:val="000000"/>
          <w:sz w:val="24"/>
          <w:u w:val="single" w:color="000000"/>
        </w:rPr>
        <w:t xml:space="preserve"> </w:t>
      </w:r>
      <w:r>
        <w:rPr>
          <w:color w:val="000000"/>
          <w:sz w:val="24"/>
        </w:rPr>
        <w:t>，其他要求：</w:t>
      </w:r>
      <w:r>
        <w:rPr>
          <w:color w:val="000000"/>
          <w:sz w:val="24"/>
          <w:u w:val="single"/>
        </w:rPr>
        <w:t xml:space="preserve"> </w:t>
      </w:r>
      <w:r>
        <w:rPr>
          <w:color w:val="000000"/>
          <w:sz w:val="24"/>
          <w:u w:val="single" w:color="000000"/>
        </w:rPr>
        <w:t xml:space="preserve"> </w:t>
      </w:r>
      <w:r>
        <w:rPr>
          <w:color w:val="000000"/>
          <w:sz w:val="24"/>
          <w:u w:val="single"/>
        </w:rPr>
        <w:t xml:space="preserve">/ </w:t>
      </w:r>
      <w:r>
        <w:rPr>
          <w:color w:val="000000"/>
          <w:sz w:val="24"/>
        </w:rPr>
        <w:t>。</w:t>
      </w:r>
    </w:p>
    <w:p>
      <w:pPr>
        <w:spacing w:before="134" w:line="400" w:lineRule="exact"/>
        <w:ind w:left="146"/>
        <w:rPr>
          <w:b/>
          <w:color w:val="000000"/>
          <w:sz w:val="24"/>
        </w:rPr>
      </w:pPr>
      <w:r>
        <w:rPr>
          <w:b/>
          <w:color w:val="000000"/>
          <w:sz w:val="24"/>
        </w:rPr>
        <w:t>4.监理人义务</w:t>
      </w:r>
    </w:p>
    <w:p>
      <w:pPr>
        <w:spacing w:line="400" w:lineRule="exact"/>
        <w:ind w:left="146"/>
        <w:rPr>
          <w:b/>
          <w:sz w:val="24"/>
        </w:rPr>
      </w:pPr>
      <w:r>
        <w:rPr>
          <w:b/>
          <w:sz w:val="24"/>
        </w:rPr>
        <w:t>4.2 履约保证金</w:t>
      </w:r>
    </w:p>
    <w:p>
      <w:pPr>
        <w:tabs>
          <w:tab w:val="left" w:pos="5287"/>
        </w:tabs>
        <w:spacing w:before="119" w:line="400" w:lineRule="exact"/>
        <w:ind w:left="583"/>
        <w:rPr>
          <w:sz w:val="24"/>
        </w:rPr>
      </w:pPr>
      <w:r>
        <w:rPr>
          <w:sz w:val="24"/>
        </w:rPr>
        <w:t>4.2.1  缺陷责任期履约保证金的金额：</w:t>
      </w:r>
      <w:r>
        <w:rPr>
          <w:sz w:val="24"/>
          <w:u w:val="single"/>
        </w:rPr>
        <w:t xml:space="preserve"> </w:t>
      </w:r>
      <w:r>
        <w:rPr>
          <w:rFonts w:hint="eastAsia"/>
          <w:sz w:val="24"/>
          <w:u w:val="single"/>
        </w:rPr>
        <w:t xml:space="preserve"> </w:t>
      </w:r>
      <w:r>
        <w:rPr>
          <w:sz w:val="24"/>
        </w:rPr>
        <w:t>%签约合同价，被招标项目所在地省级交通主管部门评为</w:t>
      </w:r>
      <w:r>
        <w:rPr>
          <w:sz w:val="24"/>
          <w:u w:val="single"/>
        </w:rPr>
        <w:t xml:space="preserve"> / </w:t>
      </w:r>
      <w:r>
        <w:rPr>
          <w:sz w:val="24"/>
        </w:rPr>
        <w:t>信用等级的中标人，履约保证金金额为</w:t>
      </w:r>
      <w:r>
        <w:rPr>
          <w:sz w:val="24"/>
          <w:u w:val="single"/>
        </w:rPr>
        <w:t xml:space="preserve"> / </w:t>
      </w:r>
      <w:r>
        <w:rPr>
          <w:sz w:val="24"/>
        </w:rPr>
        <w:t>%签约合同价。</w:t>
      </w:r>
    </w:p>
    <w:p>
      <w:pPr>
        <w:tabs>
          <w:tab w:val="left" w:pos="5287"/>
        </w:tabs>
        <w:spacing w:before="119" w:line="400" w:lineRule="exact"/>
        <w:ind w:left="583"/>
        <w:rPr>
          <w:sz w:val="24"/>
        </w:rPr>
      </w:pPr>
      <w:r>
        <w:rPr>
          <w:sz w:val="24"/>
        </w:rPr>
        <w:t>4.2.2履约保证金的形式：</w:t>
      </w:r>
      <w:r>
        <w:rPr>
          <w:rFonts w:hint="eastAsia"/>
          <w:sz w:val="24"/>
          <w:u w:val="single"/>
        </w:rPr>
        <w:t xml:space="preserve">  </w:t>
      </w:r>
      <w:r>
        <w:rPr>
          <w:sz w:val="24"/>
        </w:rPr>
        <w:t xml:space="preserve">     </w:t>
      </w:r>
    </w:p>
    <w:p>
      <w:pPr>
        <w:spacing w:line="400" w:lineRule="exact"/>
        <w:ind w:left="151"/>
        <w:rPr>
          <w:b/>
          <w:color w:val="000000"/>
          <w:sz w:val="24"/>
        </w:rPr>
      </w:pPr>
      <w:r>
        <w:rPr>
          <w:b/>
          <w:color w:val="000000"/>
          <w:sz w:val="24"/>
        </w:rPr>
        <w:t>5.监理要求</w:t>
      </w:r>
    </w:p>
    <w:p>
      <w:pPr>
        <w:spacing w:line="400" w:lineRule="exact"/>
        <w:ind w:firstLine="118" w:firstLineChars="49"/>
        <w:rPr>
          <w:b/>
          <w:sz w:val="24"/>
        </w:rPr>
      </w:pPr>
      <w:r>
        <w:rPr>
          <w:b/>
          <w:sz w:val="24"/>
        </w:rPr>
        <w:t>5.1 监理范围</w:t>
      </w:r>
    </w:p>
    <w:p>
      <w:pPr>
        <w:tabs>
          <w:tab w:val="left" w:pos="6976"/>
        </w:tabs>
        <w:spacing w:line="400" w:lineRule="exact"/>
        <w:ind w:left="592"/>
        <w:rPr>
          <w:sz w:val="24"/>
        </w:rPr>
      </w:pPr>
      <w:r>
        <w:rPr>
          <w:sz w:val="24"/>
        </w:rPr>
        <w:t>5.1.2 工程范围包括：</w:t>
      </w:r>
      <w:r>
        <w:rPr>
          <w:sz w:val="24"/>
          <w:u w:val="single"/>
        </w:rPr>
        <w:t xml:space="preserve">       </w:t>
      </w:r>
      <w:r>
        <w:rPr>
          <w:sz w:val="24"/>
        </w:rPr>
        <w:t>。</w:t>
      </w:r>
      <w:r>
        <w:rPr>
          <w:rFonts w:hint="eastAsia"/>
          <w:sz w:val="24"/>
          <w:u w:val="single"/>
        </w:rPr>
        <w:t xml:space="preserve"> </w:t>
      </w:r>
    </w:p>
    <w:p>
      <w:pPr>
        <w:tabs>
          <w:tab w:val="left" w:pos="6976"/>
        </w:tabs>
        <w:spacing w:line="400" w:lineRule="exact"/>
        <w:ind w:left="592"/>
        <w:rPr>
          <w:sz w:val="24"/>
        </w:rPr>
      </w:pPr>
      <w:r>
        <w:rPr>
          <w:sz w:val="24"/>
        </w:rPr>
        <w:t>5.1.3 阶段范围包括：</w:t>
      </w:r>
      <w:r>
        <w:rPr>
          <w:sz w:val="24"/>
          <w:u w:val="single"/>
        </w:rPr>
        <w:t xml:space="preserve">     </w:t>
      </w:r>
      <w:r>
        <w:rPr>
          <w:rFonts w:hint="eastAsia"/>
          <w:sz w:val="24"/>
          <w:u w:val="single"/>
        </w:rPr>
        <w:t xml:space="preserve"> </w:t>
      </w:r>
      <w:r>
        <w:rPr>
          <w:sz w:val="24"/>
          <w:u w:val="single"/>
        </w:rPr>
        <w:t xml:space="preserve"> </w:t>
      </w:r>
      <w:r>
        <w:rPr>
          <w:sz w:val="24"/>
        </w:rPr>
        <w:t>。</w:t>
      </w:r>
    </w:p>
    <w:p>
      <w:pPr>
        <w:tabs>
          <w:tab w:val="left" w:pos="6976"/>
        </w:tabs>
        <w:spacing w:line="400" w:lineRule="exact"/>
        <w:ind w:left="592"/>
        <w:rPr>
          <w:sz w:val="24"/>
        </w:rPr>
      </w:pPr>
      <w:r>
        <w:rPr>
          <w:sz w:val="24"/>
        </w:rPr>
        <w:t>5.1.4 工作范围包括：</w:t>
      </w:r>
      <w:r>
        <w:rPr>
          <w:rFonts w:hint="eastAsia"/>
          <w:bCs/>
          <w:sz w:val="24"/>
          <w:u w:val="single"/>
        </w:rPr>
        <w:t xml:space="preserve">       </w:t>
      </w:r>
      <w:r>
        <w:rPr>
          <w:sz w:val="24"/>
        </w:rPr>
        <w:t>。</w:t>
      </w:r>
    </w:p>
    <w:p>
      <w:pPr>
        <w:spacing w:line="400" w:lineRule="exact"/>
        <w:ind w:left="151"/>
        <w:rPr>
          <w:b/>
          <w:color w:val="000000"/>
          <w:sz w:val="24"/>
        </w:rPr>
      </w:pPr>
      <w:r>
        <w:rPr>
          <w:b/>
          <w:color w:val="000000"/>
          <w:sz w:val="24"/>
        </w:rPr>
        <w:t>5.3 监理内容</w:t>
      </w:r>
    </w:p>
    <w:p>
      <w:pPr>
        <w:tabs>
          <w:tab w:val="left" w:pos="6509"/>
        </w:tabs>
        <w:spacing w:before="123" w:line="400" w:lineRule="exact"/>
        <w:ind w:left="146" w:right="-82" w:firstLine="451"/>
        <w:rPr>
          <w:sz w:val="24"/>
        </w:rPr>
      </w:pPr>
      <w:r>
        <w:rPr>
          <w:color w:val="000000"/>
          <w:sz w:val="24"/>
        </w:rPr>
        <w:t xml:space="preserve">□工程同时设置总监理工程师办公室和驻地监理工程师办公室：总监理工程师办公室设立工地试验室，驻地监理工程师办公室不设立工地试验室，总监理工程师办公室工地试验室相应的检查项目和抽检频率： </w:t>
      </w:r>
      <w:r>
        <w:rPr>
          <w:color w:val="000000"/>
          <w:sz w:val="24"/>
          <w:u w:val="single"/>
        </w:rPr>
        <w:t xml:space="preserve">   </w:t>
      </w:r>
      <w:r>
        <w:rPr>
          <w:sz w:val="24"/>
          <w:u w:val="single"/>
        </w:rPr>
        <w:t xml:space="preserve"> /   </w:t>
      </w:r>
      <w:r>
        <w:rPr>
          <w:sz w:val="24"/>
        </w:rPr>
        <w:t>。</w:t>
      </w:r>
    </w:p>
    <w:p>
      <w:pPr>
        <w:tabs>
          <w:tab w:val="left" w:pos="7692"/>
        </w:tabs>
        <w:spacing w:before="38" w:line="400" w:lineRule="exact"/>
        <w:ind w:left="146" w:right="-82" w:firstLine="451"/>
        <w:rPr>
          <w:color w:val="000000"/>
          <w:sz w:val="24"/>
        </w:rPr>
      </w:pPr>
      <w:r>
        <w:rPr>
          <w:sz w:val="24"/>
        </w:rPr>
        <w:t>□工程同时设置总监理工程师办公室和驻地监理工程师办公室：总监理工程师办公室和驻地监理工程师办公室均设立工地试验室，总监理工程师办公室和驻地监理工程师办公室工地试验室相应的检查项目和抽检频率：</w:t>
      </w:r>
      <w:r>
        <w:rPr>
          <w:sz w:val="24"/>
          <w:u w:val="single"/>
        </w:rPr>
        <w:t xml:space="preserve">    /</w:t>
      </w:r>
      <w:r>
        <w:rPr>
          <w:color w:val="000000"/>
          <w:sz w:val="24"/>
          <w:u w:val="single"/>
        </w:rPr>
        <w:t xml:space="preserve">    </w:t>
      </w:r>
      <w:r>
        <w:rPr>
          <w:color w:val="000000"/>
          <w:sz w:val="24"/>
        </w:rPr>
        <w:t>。</w:t>
      </w:r>
    </w:p>
    <w:p>
      <w:pPr>
        <w:tabs>
          <w:tab w:val="left" w:pos="6600"/>
          <w:tab w:val="left" w:pos="7655"/>
        </w:tabs>
        <w:spacing w:before="38" w:line="400" w:lineRule="exact"/>
        <w:ind w:left="151" w:right="-82" w:firstLine="446"/>
        <w:rPr>
          <w:color w:val="000000"/>
          <w:sz w:val="24"/>
        </w:rPr>
      </w:pPr>
      <w:r>
        <w:rPr>
          <w:kern w:val="0"/>
          <w:sz w:val="24"/>
        </w:rPr>
        <w:sym w:font="Wingdings" w:char="00A8"/>
      </w:r>
      <w:r>
        <w:rPr>
          <w:color w:val="000000"/>
          <w:sz w:val="24"/>
        </w:rPr>
        <w:t>工程只设置总监理工程师办公室：总监理工程师办公室设立工地试验室，工地试验室相应的检查项目和抽检频率：</w:t>
      </w:r>
      <w:r>
        <w:rPr>
          <w:color w:val="000000"/>
          <w:sz w:val="24"/>
          <w:u w:val="single"/>
        </w:rPr>
        <w:t>试验室应通过天津市交通运输工程质量安全监督总站审验；检查项目和抽检频率应满足交通部和天津市有关规定，若实施期间有新标准出台，则执行新标准</w:t>
      </w:r>
      <w:r>
        <w:rPr>
          <w:color w:val="000000"/>
          <w:sz w:val="24"/>
        </w:rPr>
        <w:t>。</w:t>
      </w:r>
    </w:p>
    <w:p>
      <w:pPr>
        <w:tabs>
          <w:tab w:val="left" w:pos="6600"/>
        </w:tabs>
        <w:spacing w:before="38" w:line="400" w:lineRule="exact"/>
        <w:ind w:left="151" w:right="-82" w:firstLine="446"/>
        <w:rPr>
          <w:color w:val="000000"/>
          <w:sz w:val="24"/>
        </w:rPr>
      </w:pPr>
      <w:r>
        <w:rPr>
          <w:color w:val="000000"/>
          <w:sz w:val="24"/>
        </w:rPr>
        <w:t>监理人自行设立工地试验室的，应具有相应的《公路水运试验检测机构等级证书》，否则，监理人应委托具有相应资格的第三方试验检测机构设立工地试验室。</w:t>
      </w:r>
    </w:p>
    <w:p>
      <w:pPr>
        <w:spacing w:line="400" w:lineRule="exact"/>
        <w:ind w:left="151"/>
        <w:rPr>
          <w:b/>
          <w:color w:val="000000"/>
          <w:sz w:val="24"/>
        </w:rPr>
      </w:pPr>
      <w:r>
        <w:rPr>
          <w:b/>
          <w:color w:val="000000"/>
          <w:sz w:val="24"/>
        </w:rPr>
        <w:t>5.5 监理服务形式</w:t>
      </w:r>
    </w:p>
    <w:p>
      <w:pPr>
        <w:tabs>
          <w:tab w:val="left" w:pos="8385"/>
        </w:tabs>
        <w:spacing w:before="114" w:line="400" w:lineRule="exact"/>
        <w:ind w:right="1467" w:firstLine="480" w:firstLineChars="200"/>
        <w:rPr>
          <w:color w:val="000000"/>
          <w:sz w:val="24"/>
        </w:rPr>
      </w:pPr>
      <w:r>
        <w:rPr>
          <w:color w:val="000000"/>
          <w:sz w:val="24"/>
        </w:rPr>
        <w:t>监理服务机构设置：</w:t>
      </w:r>
      <w:r>
        <w:rPr>
          <w:rFonts w:hint="eastAsia"/>
          <w:sz w:val="24"/>
          <w:u w:val="single"/>
        </w:rPr>
        <w:t xml:space="preserve">            </w:t>
      </w:r>
      <w:r>
        <w:rPr>
          <w:color w:val="000000"/>
          <w:sz w:val="24"/>
        </w:rPr>
        <w:t>。</w:t>
      </w:r>
    </w:p>
    <w:p>
      <w:pPr>
        <w:tabs>
          <w:tab w:val="left" w:pos="8385"/>
        </w:tabs>
        <w:spacing w:before="114" w:line="400" w:lineRule="exact"/>
        <w:ind w:right="-82" w:firstLine="480" w:firstLineChars="200"/>
        <w:rPr>
          <w:color w:val="000000"/>
          <w:sz w:val="24"/>
        </w:rPr>
      </w:pPr>
      <w:r>
        <w:rPr>
          <w:color w:val="000000"/>
          <w:sz w:val="24"/>
        </w:rPr>
        <w:t>总监理工程师办公室按</w:t>
      </w:r>
      <w:r>
        <w:rPr>
          <w:rFonts w:hint="eastAsia"/>
          <w:sz w:val="24"/>
          <w:u w:val="single"/>
        </w:rPr>
        <w:t xml:space="preserve">           </w:t>
      </w:r>
      <w:r>
        <w:rPr>
          <w:color w:val="000000"/>
          <w:sz w:val="24"/>
        </w:rPr>
        <w:t>组建，下设</w:t>
      </w:r>
      <w:r>
        <w:rPr>
          <w:color w:val="000000"/>
          <w:sz w:val="24"/>
          <w:u w:val="single"/>
        </w:rPr>
        <w:t xml:space="preserve">  /  </w:t>
      </w:r>
      <w:r>
        <w:rPr>
          <w:color w:val="000000"/>
          <w:sz w:val="24"/>
        </w:rPr>
        <w:t>个驻地监理工程师办公室。</w:t>
      </w:r>
    </w:p>
    <w:p>
      <w:pPr>
        <w:spacing w:before="96" w:line="400" w:lineRule="exact"/>
        <w:ind w:left="151"/>
        <w:rPr>
          <w:b/>
          <w:color w:val="000000"/>
          <w:sz w:val="24"/>
        </w:rPr>
      </w:pPr>
      <w:r>
        <w:rPr>
          <w:b/>
          <w:color w:val="000000"/>
          <w:sz w:val="24"/>
        </w:rPr>
        <w:t>5.6 监理服务目标</w:t>
      </w:r>
    </w:p>
    <w:p>
      <w:pPr>
        <w:tabs>
          <w:tab w:val="left" w:pos="8840"/>
        </w:tabs>
        <w:spacing w:before="109" w:line="400" w:lineRule="exact"/>
        <w:ind w:left="592" w:right="-82" w:rightChars="-39"/>
        <w:rPr>
          <w:color w:val="000000"/>
          <w:sz w:val="24"/>
        </w:rPr>
      </w:pPr>
      <w:r>
        <w:rPr>
          <w:color w:val="000000"/>
          <w:sz w:val="24"/>
        </w:rPr>
        <w:t>5.6.2 对第三方履约管理的服务目标：</w:t>
      </w:r>
      <w:r>
        <w:rPr>
          <w:rFonts w:hint="eastAsia"/>
          <w:sz w:val="24"/>
          <w:u w:val="single"/>
        </w:rPr>
        <w:t xml:space="preserve">                             </w:t>
      </w:r>
      <w:r>
        <w:rPr>
          <w:color w:val="000000"/>
          <w:sz w:val="24"/>
        </w:rPr>
        <w:t>。</w:t>
      </w:r>
    </w:p>
    <w:p>
      <w:pPr>
        <w:spacing w:before="81" w:line="400" w:lineRule="exact"/>
        <w:ind w:left="151"/>
        <w:rPr>
          <w:b/>
          <w:color w:val="000000"/>
          <w:sz w:val="24"/>
        </w:rPr>
      </w:pPr>
      <w:r>
        <w:rPr>
          <w:b/>
          <w:color w:val="000000"/>
          <w:sz w:val="24"/>
        </w:rPr>
        <w:t>5.7 委托人对监理人的授权</w:t>
      </w:r>
    </w:p>
    <w:p>
      <w:pPr>
        <w:spacing w:before="81" w:line="400" w:lineRule="exact"/>
        <w:ind w:left="151"/>
        <w:rPr>
          <w:color w:val="000000"/>
          <w:sz w:val="24"/>
        </w:rPr>
      </w:pPr>
      <w:r>
        <w:rPr>
          <w:color w:val="000000"/>
          <w:sz w:val="24"/>
        </w:rPr>
        <w:t>5.7.1 委托人对监理人的授权权限：</w:t>
      </w:r>
      <w:r>
        <w:rPr>
          <w:rFonts w:hint="eastAsia"/>
          <w:sz w:val="24"/>
          <w:u w:val="single"/>
        </w:rPr>
        <w:t xml:space="preserve">                                   </w:t>
      </w:r>
      <w:r>
        <w:rPr>
          <w:color w:val="000000"/>
          <w:sz w:val="24"/>
        </w:rPr>
        <w:t>。</w:t>
      </w:r>
    </w:p>
    <w:p>
      <w:pPr>
        <w:spacing w:line="400" w:lineRule="exact"/>
        <w:ind w:left="151"/>
        <w:rPr>
          <w:b/>
          <w:color w:val="000000"/>
          <w:sz w:val="24"/>
        </w:rPr>
      </w:pPr>
      <w:r>
        <w:rPr>
          <w:b/>
          <w:color w:val="000000"/>
          <w:sz w:val="24"/>
        </w:rPr>
        <w:t>6.开始监理和完成监理</w:t>
      </w:r>
    </w:p>
    <w:p>
      <w:pPr>
        <w:spacing w:line="400" w:lineRule="exact"/>
        <w:ind w:left="151"/>
        <w:rPr>
          <w:b/>
          <w:color w:val="000000"/>
          <w:sz w:val="24"/>
        </w:rPr>
      </w:pPr>
      <w:r>
        <w:rPr>
          <w:b/>
          <w:color w:val="000000"/>
          <w:sz w:val="24"/>
        </w:rPr>
        <w:t>6.1 开始监理</w:t>
      </w:r>
    </w:p>
    <w:p>
      <w:pPr>
        <w:spacing w:line="400" w:lineRule="exact"/>
        <w:ind w:left="588"/>
        <w:rPr>
          <w:color w:val="000000"/>
          <w:sz w:val="24"/>
        </w:rPr>
      </w:pPr>
      <w:r>
        <w:rPr>
          <w:color w:val="000000"/>
          <w:sz w:val="24"/>
        </w:rPr>
        <w:t>6.1.1 满足以下条件时，委托人应向监理人发出开始建立通知：</w:t>
      </w:r>
    </w:p>
    <w:p>
      <w:pPr>
        <w:spacing w:line="400" w:lineRule="exact"/>
        <w:ind w:firstLine="600" w:firstLineChars="250"/>
        <w:rPr>
          <w:color w:val="000000"/>
          <w:sz w:val="24"/>
          <w:u w:val="single"/>
        </w:rPr>
      </w:pPr>
      <w:r>
        <w:rPr>
          <w:rFonts w:hint="eastAsia"/>
          <w:sz w:val="24"/>
          <w:u w:val="single"/>
        </w:rPr>
        <w:t xml:space="preserve">                       </w:t>
      </w:r>
      <w:r>
        <w:rPr>
          <w:color w:val="000000"/>
          <w:sz w:val="24"/>
        </w:rPr>
        <w:t>。</w:t>
      </w:r>
    </w:p>
    <w:p>
      <w:pPr>
        <w:spacing w:before="82" w:line="400" w:lineRule="exact"/>
        <w:ind w:left="151"/>
        <w:rPr>
          <w:b/>
          <w:color w:val="000000"/>
          <w:sz w:val="24"/>
        </w:rPr>
      </w:pPr>
      <w:r>
        <w:rPr>
          <w:b/>
          <w:color w:val="000000"/>
          <w:sz w:val="24"/>
        </w:rPr>
        <w:t>6.2监理周期延误</w:t>
      </w:r>
    </w:p>
    <w:p>
      <w:pPr>
        <w:tabs>
          <w:tab w:val="left" w:pos="2037"/>
          <w:tab w:val="left" w:pos="7960"/>
        </w:tabs>
        <w:spacing w:before="109" w:line="400" w:lineRule="exact"/>
        <w:ind w:left="355" w:leftChars="169" w:right="-82" w:firstLine="290" w:firstLineChars="121"/>
        <w:rPr>
          <w:color w:val="000000"/>
          <w:sz w:val="24"/>
        </w:rPr>
      </w:pPr>
      <w:r>
        <w:rPr>
          <w:color w:val="000000"/>
          <w:sz w:val="24"/>
        </w:rPr>
        <w:t>由于非监理人责任造成监理服务期限延误的，延长监理服务期限的计算方法：</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；增加监理服务费用的计算方法：</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p>
    <w:p>
      <w:pPr>
        <w:spacing w:before="4" w:line="400" w:lineRule="exact"/>
        <w:ind w:right="94"/>
        <w:rPr>
          <w:b/>
          <w:color w:val="000000"/>
          <w:sz w:val="24"/>
        </w:rPr>
      </w:pPr>
      <w:r>
        <w:rPr>
          <w:b/>
          <w:color w:val="000000"/>
          <w:sz w:val="24"/>
        </w:rPr>
        <w:t>8.合同变更</w:t>
      </w:r>
    </w:p>
    <w:p>
      <w:pPr>
        <w:spacing w:line="400" w:lineRule="exact"/>
        <w:ind w:left="151" w:right="94"/>
        <w:rPr>
          <w:b/>
          <w:color w:val="000000"/>
          <w:sz w:val="24"/>
        </w:rPr>
      </w:pPr>
      <w:r>
        <w:rPr>
          <w:b/>
          <w:color w:val="000000"/>
          <w:sz w:val="24"/>
        </w:rPr>
        <w:t>8.1变更情形</w:t>
      </w:r>
    </w:p>
    <w:p>
      <w:pPr>
        <w:tabs>
          <w:tab w:val="left" w:pos="6131"/>
        </w:tabs>
        <w:spacing w:line="400" w:lineRule="exact"/>
        <w:ind w:left="712" w:leftChars="282" w:right="96" w:hanging="120" w:hangingChars="50"/>
        <w:rPr>
          <w:sz w:val="24"/>
          <w:u w:val="single"/>
        </w:rPr>
      </w:pPr>
      <w:r>
        <w:rPr>
          <w:sz w:val="24"/>
        </w:rPr>
        <w:t>8.1.1合同变更时，监理服务期限的调整方法：</w:t>
      </w:r>
      <w:r>
        <w:rPr>
          <w:rFonts w:hint="eastAsia"/>
          <w:sz w:val="24"/>
          <w:u w:val="single"/>
        </w:rPr>
        <w:t xml:space="preserve">           </w:t>
      </w:r>
      <w:r>
        <w:rPr>
          <w:sz w:val="24"/>
        </w:rPr>
        <w:t>；监理服务费用的调整方法：</w:t>
      </w:r>
      <w:r>
        <w:rPr>
          <w:sz w:val="24"/>
          <w:u w:val="single"/>
        </w:rPr>
        <w:t xml:space="preserve"> </w:t>
      </w:r>
      <w:r>
        <w:rPr>
          <w:rFonts w:hint="eastAsia"/>
          <w:sz w:val="24"/>
          <w:u w:val="single"/>
        </w:rPr>
        <w:t xml:space="preserve">     </w:t>
      </w:r>
      <w:r>
        <w:rPr>
          <w:sz w:val="24"/>
        </w:rPr>
        <w:t>。</w:t>
      </w:r>
    </w:p>
    <w:p>
      <w:pPr>
        <w:spacing w:line="400" w:lineRule="exact"/>
        <w:ind w:left="151" w:right="94"/>
        <w:rPr>
          <w:b/>
          <w:color w:val="000000"/>
          <w:sz w:val="24"/>
        </w:rPr>
      </w:pPr>
      <w:r>
        <w:rPr>
          <w:b/>
          <w:color w:val="000000"/>
          <w:sz w:val="24"/>
        </w:rPr>
        <w:t>8.2 合理化建议</w:t>
      </w:r>
    </w:p>
    <w:p>
      <w:pPr>
        <w:spacing w:line="400" w:lineRule="exact"/>
        <w:ind w:left="153" w:right="96" w:firstLine="442"/>
        <w:rPr>
          <w:color w:val="000000"/>
          <w:sz w:val="24"/>
        </w:rPr>
      </w:pPr>
      <w:r>
        <w:rPr>
          <w:color w:val="000000"/>
          <w:sz w:val="24"/>
        </w:rPr>
        <w:t>8.2.2 监理人提出的合理化建议降低了工程投资、缩短了施工期限或者提高了工程经济效益的，委托人给予监理人如下奖励</w:t>
      </w:r>
      <w:r>
        <w:rPr>
          <w:sz w:val="24"/>
        </w:rPr>
        <w:t>：</w:t>
      </w:r>
      <w:r>
        <w:rPr>
          <w:rFonts w:hint="eastAsia"/>
          <w:sz w:val="24"/>
          <w:u w:val="single"/>
        </w:rPr>
        <w:t xml:space="preserve">       </w:t>
      </w:r>
      <w:r>
        <w:rPr>
          <w:sz w:val="24"/>
        </w:rPr>
        <w:t xml:space="preserve"> 。</w:t>
      </w:r>
    </w:p>
    <w:p>
      <w:pPr>
        <w:spacing w:line="400" w:lineRule="exact"/>
        <w:ind w:left="151" w:right="94"/>
        <w:rPr>
          <w:b/>
          <w:color w:val="000000"/>
          <w:sz w:val="24"/>
        </w:rPr>
      </w:pPr>
      <w:r>
        <w:rPr>
          <w:b/>
          <w:color w:val="000000"/>
          <w:sz w:val="24"/>
        </w:rPr>
        <w:t>9.合同价格与支付</w:t>
      </w:r>
    </w:p>
    <w:p>
      <w:pPr>
        <w:spacing w:line="400" w:lineRule="exact"/>
        <w:ind w:left="151" w:right="94"/>
        <w:rPr>
          <w:b/>
          <w:color w:val="000000"/>
          <w:sz w:val="24"/>
        </w:rPr>
      </w:pPr>
      <w:r>
        <w:rPr>
          <w:b/>
          <w:color w:val="000000"/>
          <w:sz w:val="24"/>
        </w:rPr>
        <w:t>9.1 合同价格</w:t>
      </w:r>
    </w:p>
    <w:p>
      <w:pPr>
        <w:spacing w:before="109" w:line="400" w:lineRule="exact"/>
        <w:ind w:left="583" w:right="526" w:firstLine="4"/>
        <w:rPr>
          <w:sz w:val="24"/>
        </w:rPr>
      </w:pPr>
      <w:r>
        <w:rPr>
          <w:sz w:val="24"/>
        </w:rPr>
        <w:t>9.1.1本合同的报价方式：</w:t>
      </w:r>
      <w:r>
        <w:rPr>
          <w:sz w:val="24"/>
          <w:u w:val="single"/>
        </w:rPr>
        <w:t xml:space="preserve">  </w:t>
      </w:r>
      <w:r>
        <w:rPr>
          <w:rFonts w:hint="eastAsia"/>
          <w:sz w:val="24"/>
          <w:u w:val="single"/>
        </w:rPr>
        <w:t xml:space="preserve"> </w:t>
      </w:r>
      <w:r>
        <w:rPr>
          <w:sz w:val="24"/>
          <w:u w:val="single"/>
        </w:rPr>
        <w:t xml:space="preserve">  </w:t>
      </w:r>
      <w:r>
        <w:rPr>
          <w:sz w:val="24"/>
        </w:rPr>
        <w:t>。</w:t>
      </w:r>
    </w:p>
    <w:p>
      <w:pPr>
        <w:spacing w:before="109" w:line="400" w:lineRule="exact"/>
        <w:ind w:left="583" w:right="-82" w:firstLine="4"/>
        <w:rPr>
          <w:color w:val="000000"/>
          <w:sz w:val="24"/>
        </w:rPr>
      </w:pPr>
      <w:r>
        <w:rPr>
          <w:color w:val="000000"/>
          <w:sz w:val="24"/>
        </w:rPr>
        <w:t>在合同实施期间，由于人工、材料、设备等因素的市场价格变化导致本项目监理服务费用变化，合同价格的调整方式和风险范围划分：</w:t>
      </w:r>
      <w:r>
        <w:rPr>
          <w:color w:val="000000"/>
          <w:sz w:val="24"/>
          <w:u w:val="single"/>
        </w:rPr>
        <w:t xml:space="preserve">   /   </w:t>
      </w:r>
      <w:r>
        <w:rPr>
          <w:color w:val="000000"/>
          <w:sz w:val="24"/>
        </w:rPr>
        <w:t>。</w:t>
      </w:r>
    </w:p>
    <w:p>
      <w:pPr>
        <w:tabs>
          <w:tab w:val="left" w:pos="5357"/>
        </w:tabs>
        <w:spacing w:before="114" w:line="400" w:lineRule="exact"/>
        <w:ind w:left="155" w:right="542" w:firstLine="451"/>
        <w:rPr>
          <w:color w:val="000000"/>
          <w:sz w:val="24"/>
        </w:rPr>
      </w:pPr>
      <w:r>
        <w:rPr>
          <w:color w:val="000000"/>
          <w:sz w:val="24"/>
        </w:rPr>
        <w:t>最终施工阶段监理费用以建安费结算额乘以施工阶段监理中标费率为准，交工验收与缺陷责任期阶段监理服务费不变，最终因任何原因导致的施工工期延长，均不增加监理费用。</w:t>
      </w:r>
    </w:p>
    <w:p>
      <w:pPr>
        <w:spacing w:before="92" w:line="400" w:lineRule="exact"/>
        <w:ind w:left="151" w:right="94"/>
        <w:rPr>
          <w:b/>
          <w:color w:val="000000"/>
          <w:sz w:val="24"/>
        </w:rPr>
      </w:pPr>
      <w:r>
        <w:rPr>
          <w:b/>
          <w:color w:val="000000"/>
          <w:sz w:val="24"/>
        </w:rPr>
        <w:t>9.3 中期支付：</w:t>
      </w:r>
    </w:p>
    <w:p>
      <w:pPr>
        <w:spacing w:before="92" w:line="400" w:lineRule="exact"/>
        <w:ind w:left="151" w:right="94"/>
        <w:rPr>
          <w:color w:val="000000"/>
          <w:sz w:val="24"/>
        </w:rPr>
      </w:pPr>
      <w:r>
        <w:rPr>
          <w:color w:val="000000"/>
          <w:sz w:val="24"/>
        </w:rPr>
        <w:t xml:space="preserve">    无</w:t>
      </w:r>
    </w:p>
    <w:p>
      <w:pPr>
        <w:spacing w:before="92" w:line="400" w:lineRule="exact"/>
        <w:ind w:left="151" w:right="94"/>
        <w:rPr>
          <w:b/>
          <w:sz w:val="24"/>
        </w:rPr>
      </w:pPr>
      <w:r>
        <w:rPr>
          <w:b/>
          <w:sz w:val="24"/>
        </w:rPr>
        <w:t>9.5 暂列金额</w:t>
      </w:r>
    </w:p>
    <w:p>
      <w:pPr>
        <w:spacing w:before="109" w:line="400" w:lineRule="exact"/>
        <w:ind w:left="583" w:right="526" w:firstLine="4"/>
        <w:rPr>
          <w:sz w:val="24"/>
        </w:rPr>
      </w:pPr>
      <w:r>
        <w:rPr>
          <w:sz w:val="24"/>
        </w:rPr>
        <w:t>本合同的暂列金额为监理服务费的</w:t>
      </w:r>
      <w:r>
        <w:rPr>
          <w:sz w:val="24"/>
          <w:u w:val="single"/>
        </w:rPr>
        <w:t xml:space="preserve">  /  </w:t>
      </w:r>
      <w:r>
        <w:rPr>
          <w:sz w:val="24"/>
        </w:rPr>
        <w:t xml:space="preserve"> 。</w:t>
      </w:r>
    </w:p>
    <w:p>
      <w:pPr>
        <w:spacing w:before="143" w:line="400" w:lineRule="exact"/>
        <w:ind w:left="160" w:right="94"/>
        <w:rPr>
          <w:b/>
          <w:color w:val="000000"/>
          <w:sz w:val="24"/>
        </w:rPr>
      </w:pPr>
      <w:r>
        <w:rPr>
          <w:b/>
          <w:color w:val="000000"/>
          <w:sz w:val="24"/>
        </w:rPr>
        <w:t>11.违约</w:t>
      </w:r>
    </w:p>
    <w:p>
      <w:pPr>
        <w:spacing w:line="400" w:lineRule="exact"/>
        <w:ind w:left="583" w:right="94"/>
        <w:rPr>
          <w:color w:val="000000"/>
          <w:sz w:val="24"/>
        </w:rPr>
      </w:pPr>
      <w:r>
        <w:rPr>
          <w:color w:val="000000"/>
          <w:sz w:val="24"/>
        </w:rPr>
        <w:t>第 11.1 款细化为：</w:t>
      </w:r>
    </w:p>
    <w:p>
      <w:pPr>
        <w:spacing w:before="69" w:line="400" w:lineRule="exact"/>
        <w:ind w:left="160" w:right="94"/>
        <w:rPr>
          <w:b/>
          <w:color w:val="000000"/>
          <w:sz w:val="24"/>
        </w:rPr>
      </w:pPr>
      <w:r>
        <w:rPr>
          <w:b/>
          <w:color w:val="000000"/>
          <w:sz w:val="24"/>
        </w:rPr>
        <w:t>11.1 监理人违约</w:t>
      </w:r>
    </w:p>
    <w:p>
      <w:pPr>
        <w:tabs>
          <w:tab w:val="left" w:pos="5357"/>
        </w:tabs>
        <w:spacing w:before="114" w:line="400" w:lineRule="exact"/>
        <w:ind w:left="155" w:right="542" w:firstLine="451"/>
        <w:rPr>
          <w:color w:val="000000"/>
          <w:sz w:val="24"/>
        </w:rPr>
      </w:pPr>
      <w:r>
        <w:rPr>
          <w:color w:val="000000"/>
          <w:sz w:val="24"/>
        </w:rPr>
        <w:t>11.1.2 监理人发生违约情况时，委托人有权向监理人课以违约金，具体约定如下：</w:t>
      </w:r>
    </w:p>
    <w:p>
      <w:pPr>
        <w:tabs>
          <w:tab w:val="left" w:pos="5357"/>
        </w:tabs>
        <w:spacing w:before="114" w:line="400" w:lineRule="exact"/>
        <w:ind w:left="155" w:right="542" w:firstLine="451"/>
        <w:rPr>
          <w:color w:val="000000"/>
          <w:sz w:val="24"/>
          <w:u w:val="single"/>
        </w:rPr>
      </w:pPr>
      <w:r>
        <w:rPr>
          <w:rFonts w:hint="eastAsia"/>
          <w:color w:val="000000"/>
          <w:sz w:val="24"/>
          <w:u w:val="single"/>
        </w:rPr>
        <w:t xml:space="preserve">                             </w:t>
      </w:r>
      <w:r>
        <w:rPr>
          <w:color w:val="000000"/>
          <w:sz w:val="24"/>
        </w:rPr>
        <w:t>。</w:t>
      </w:r>
    </w:p>
    <w:p>
      <w:pPr>
        <w:spacing w:before="16" w:line="400" w:lineRule="exact"/>
        <w:ind w:left="160" w:right="109"/>
        <w:rPr>
          <w:b/>
          <w:color w:val="000000"/>
          <w:sz w:val="24"/>
        </w:rPr>
      </w:pPr>
      <w:r>
        <w:rPr>
          <w:b/>
          <w:color w:val="000000"/>
          <w:sz w:val="24"/>
        </w:rPr>
        <w:t>11.2 委托人违约</w:t>
      </w:r>
    </w:p>
    <w:p>
      <w:pPr>
        <w:tabs>
          <w:tab w:val="left" w:pos="5589"/>
        </w:tabs>
        <w:spacing w:before="130" w:line="400" w:lineRule="exact"/>
        <w:ind w:left="155" w:right="-82" w:firstLine="451"/>
        <w:rPr>
          <w:color w:val="000000"/>
          <w:sz w:val="24"/>
        </w:rPr>
      </w:pPr>
      <w:r>
        <w:rPr>
          <w:color w:val="000000"/>
          <w:sz w:val="24"/>
        </w:rPr>
        <w:t>11.2.2 委托人发生违约情况时，监理人有权向委托人课以违约金，具体约定如下：</w:t>
      </w:r>
    </w:p>
    <w:p>
      <w:pPr>
        <w:spacing w:line="400" w:lineRule="exact"/>
        <w:ind w:firstLine="720" w:firstLineChars="300"/>
        <w:rPr>
          <w:color w:val="000000"/>
          <w:sz w:val="24"/>
        </w:rPr>
      </w:pPr>
      <w:r>
        <w:rPr>
          <w:rFonts w:hint="eastAsia"/>
          <w:color w:val="000000"/>
          <w:sz w:val="24"/>
          <w:u w:val="single"/>
        </w:rPr>
        <w:t xml:space="preserve">                                                   </w:t>
      </w:r>
      <w:r>
        <w:rPr>
          <w:color w:val="000000"/>
          <w:sz w:val="24"/>
        </w:rPr>
        <w:t>。</w:t>
      </w:r>
    </w:p>
    <w:p>
      <w:pPr>
        <w:spacing w:line="400" w:lineRule="exact"/>
        <w:ind w:left="160" w:right="109"/>
        <w:rPr>
          <w:b/>
          <w:color w:val="000000"/>
          <w:sz w:val="24"/>
        </w:rPr>
      </w:pPr>
      <w:r>
        <w:rPr>
          <w:b/>
          <w:color w:val="000000"/>
          <w:sz w:val="24"/>
        </w:rPr>
        <w:t>12.争议的解决</w:t>
      </w:r>
    </w:p>
    <w:p>
      <w:pPr>
        <w:spacing w:line="400" w:lineRule="exact"/>
        <w:ind w:right="3214" w:firstLine="720" w:firstLineChars="300"/>
        <w:rPr>
          <w:color w:val="000000"/>
          <w:sz w:val="24"/>
        </w:rPr>
      </w:pPr>
      <w:r>
        <w:rPr>
          <w:color w:val="000000"/>
          <w:sz w:val="24"/>
        </w:rPr>
        <w:t>争议的最终解决方式：</w:t>
      </w:r>
      <w:r>
        <w:rPr>
          <w:rFonts w:hint="eastAsia"/>
          <w:color w:val="000000"/>
          <w:sz w:val="24"/>
          <w:u w:val="single"/>
        </w:rPr>
        <w:t xml:space="preserve">     </w:t>
      </w:r>
      <w:r>
        <w:rPr>
          <w:color w:val="000000"/>
          <w:sz w:val="24"/>
          <w:u w:val="single"/>
        </w:rPr>
        <w:t xml:space="preserve"> </w:t>
      </w:r>
      <w:r>
        <w:rPr>
          <w:color w:val="000000"/>
          <w:sz w:val="24"/>
        </w:rPr>
        <w:t xml:space="preserve">。 </w:t>
      </w:r>
    </w:p>
    <w:p>
      <w:pPr>
        <w:spacing w:line="400" w:lineRule="exact"/>
        <w:ind w:right="1984" w:firstLine="720" w:firstLineChars="300"/>
        <w:rPr>
          <w:color w:val="000000"/>
          <w:sz w:val="24"/>
        </w:rPr>
      </w:pPr>
      <w:r>
        <w:rPr>
          <w:color w:val="000000"/>
          <w:sz w:val="24"/>
        </w:rPr>
        <w:t>如采用仲裁，仲裁机构名称：</w:t>
      </w:r>
      <w:r>
        <w:rPr>
          <w:color w:val="000000"/>
          <w:sz w:val="24"/>
          <w:u w:val="single"/>
        </w:rPr>
        <w:t xml:space="preserve"> /  </w:t>
      </w:r>
      <w:r>
        <w:rPr>
          <w:color w:val="000000"/>
          <w:sz w:val="24"/>
        </w:rPr>
        <w:t xml:space="preserve">仲裁委员会。 </w:t>
      </w:r>
    </w:p>
    <w:p>
      <w:pPr>
        <w:spacing w:line="400" w:lineRule="exact"/>
        <w:ind w:firstLine="720" w:firstLineChars="300"/>
        <w:rPr>
          <w:sz w:val="24"/>
        </w:rPr>
      </w:pPr>
      <w:r>
        <w:rPr>
          <w:color w:val="000000"/>
          <w:sz w:val="24"/>
        </w:rPr>
        <w:t>如采用诉讼，诉讼机构名称：</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法院。</w:t>
      </w:r>
    </w:p>
    <w:p>
      <w:pPr>
        <w:spacing w:line="400" w:lineRule="exact"/>
        <w:ind w:firstLine="118" w:firstLineChars="49"/>
        <w:rPr>
          <w:sz w:val="24"/>
        </w:rPr>
      </w:pPr>
      <w:r>
        <w:rPr>
          <w:b/>
          <w:color w:val="000000"/>
          <w:sz w:val="24"/>
        </w:rPr>
        <w:t>13.补充条款</w:t>
      </w:r>
    </w:p>
    <w:p>
      <w:pPr>
        <w:spacing w:line="400" w:lineRule="exact"/>
        <w:ind w:firstLine="435"/>
        <w:rPr>
          <w:sz w:val="24"/>
        </w:rPr>
      </w:pPr>
      <w:r>
        <w:rPr>
          <w:sz w:val="24"/>
        </w:rPr>
        <w:t>4.5监理人员的管理</w:t>
      </w:r>
    </w:p>
    <w:p>
      <w:pPr>
        <w:spacing w:line="400" w:lineRule="exact"/>
        <w:ind w:firstLine="435"/>
        <w:rPr>
          <w:sz w:val="24"/>
        </w:rPr>
      </w:pPr>
      <w:r>
        <w:rPr>
          <w:sz w:val="24"/>
        </w:rPr>
        <w:t>在通用合同条款后增加4.5.5~4.5.9：</w:t>
      </w:r>
    </w:p>
    <w:p>
      <w:pPr>
        <w:spacing w:line="400" w:lineRule="exact"/>
        <w:ind w:firstLine="435"/>
        <w:rPr>
          <w:sz w:val="24"/>
        </w:rPr>
      </w:pPr>
      <w:r>
        <w:rPr>
          <w:sz w:val="24"/>
        </w:rPr>
        <w:t>4.5.5监理单位派驻到项目所在地履行监理服务的主要监理人员应与投标书中报送的人员名单相一致。若履行监理服务的主要监理人员与投标文件不符或未经业主同意擅自更换，则将视为违约，业主有权解除合同，其损失由违约单位担负。</w:t>
      </w:r>
    </w:p>
    <w:p>
      <w:pPr>
        <w:spacing w:line="400" w:lineRule="exact"/>
        <w:ind w:firstLine="435"/>
        <w:rPr>
          <w:sz w:val="24"/>
        </w:rPr>
      </w:pPr>
      <w:r>
        <w:rPr>
          <w:sz w:val="24"/>
        </w:rPr>
        <w:t>4.5.6若业主认为监理人员不能完成监理工作需更换监理人员时，监理单位应无条件更换不合格监理人员，且更换人员的资质不得低于原人员的资质；若监理单位需要更换监理人员时，更换人员的资质不得低于原人员的资质，且必须得到业主的批准。无论是业主提出更换监理人员还是监理单位自行更换监理人员，监理员每更换一人次应向业主提交违约金5000元，资质为专业监理工程师的人员每更换一人次应向业主提交违约金50000元，资质为监理工程师的人员每更换一人次应向业主提交违约金100000元（其中总监理工程师和驻地监理工程师每更换一人次应向业主提交违约金200000元），处罚的违约金将从监理服务费中扣除。</w:t>
      </w:r>
    </w:p>
    <w:p>
      <w:pPr>
        <w:spacing w:line="400" w:lineRule="exact"/>
        <w:ind w:firstLine="435"/>
        <w:rPr>
          <w:sz w:val="24"/>
        </w:rPr>
      </w:pPr>
      <w:r>
        <w:rPr>
          <w:sz w:val="24"/>
        </w:rPr>
        <w:t>4.5.7监理单位派驻到项目所在地履行监理服务的所有监理人员，必须常驻现场。若出于某种原因需要暂时离开现场时，必须提请业主批准后方可离开，离开期限最多为7天。若超过7天未回，则监理单位必须在3天内派同样资质的人员来替换并交纳每人次违约金100000元（其中总监理工程师和驻地监理工程师每人次交纳违约金200000元）。凡不向业主请假擅自离开工程所在地，按每人次100000元（其中总监理工程师和驻地监理工程师每人次交纳违约金200000元）扣减监理费用，并责成监理单位在7天内派同样资质的人员来替换。</w:t>
      </w:r>
    </w:p>
    <w:p>
      <w:pPr>
        <w:spacing w:line="400" w:lineRule="exact"/>
        <w:ind w:firstLine="435"/>
        <w:rPr>
          <w:sz w:val="24"/>
        </w:rPr>
      </w:pPr>
      <w:r>
        <w:rPr>
          <w:sz w:val="24"/>
        </w:rPr>
        <w:t>4.5.8中标后监理单位所到场的总监、驻地监理在与业主签署合同以前应进行专业知识的考核（包括面试、笔试），不合格者监理单位应无条件进行更换（资格标准不能降低），直至达标为止。</w:t>
      </w:r>
    </w:p>
    <w:p>
      <w:pPr>
        <w:spacing w:line="400" w:lineRule="exact"/>
        <w:ind w:firstLine="435"/>
        <w:rPr>
          <w:sz w:val="24"/>
        </w:rPr>
      </w:pPr>
      <w:r>
        <w:rPr>
          <w:sz w:val="24"/>
        </w:rPr>
        <w:t>4.5.9尽管监理单位已按投标文件中承诺的人员进场计划派遣了监理人员，但还应当满足工程质量及进度的监控要求。若业主认为监理人员超出或不足时，需减少或增加监理人员，或对人员进场计划进行调整时，监理单位应服从业主指令，及时对监理人员的配置进行调整，并将调整后的人员履历、监理证彩色复印件、职称证彩色复印件等证明上报业主进行审核。</w:t>
      </w:r>
    </w:p>
    <w:p>
      <w:pPr>
        <w:spacing w:line="400" w:lineRule="exact"/>
        <w:ind w:firstLine="435"/>
        <w:rPr>
          <w:sz w:val="24"/>
        </w:rPr>
      </w:pPr>
      <w:r>
        <w:rPr>
          <w:sz w:val="24"/>
        </w:rPr>
        <w:t>如监理单位认为监理人员超出或不足时，需减少或增加监理人员，需以书面形式向业主提出申请，经业主审批同意后方可进行调整。</w:t>
      </w:r>
    </w:p>
    <w:p>
      <w:pPr>
        <w:spacing w:line="400" w:lineRule="exact"/>
        <w:ind w:firstLine="435"/>
        <w:rPr>
          <w:sz w:val="24"/>
        </w:rPr>
      </w:pPr>
      <w:r>
        <w:rPr>
          <w:sz w:val="24"/>
        </w:rPr>
        <w:t>5.1监理范围</w:t>
      </w:r>
    </w:p>
    <w:p>
      <w:pPr>
        <w:spacing w:line="400" w:lineRule="exact"/>
        <w:ind w:firstLine="435"/>
        <w:rPr>
          <w:sz w:val="24"/>
        </w:rPr>
      </w:pPr>
      <w:r>
        <w:rPr>
          <w:sz w:val="24"/>
        </w:rPr>
        <w:t>5.1.4修改为: 正常监理服务范围：针对工程施工监理的工作范围，提供施工监理、交工验收、竣工资料、缺陷责任期等全过程监理服务，即五控（质量控制、进度控制、费用控制、安全控制和环保控制）、二管（合同管理、信息管理）、一协调（协调施工中出现的问题）。施工监理按照“严格监理、热情服务、秉公办事、一丝不苟”的原则，做到尽职尽责，保证本项目按业主与承包商签订的施工合同文件施工，做好文明施工、安全生产的监管工作。</w:t>
      </w:r>
    </w:p>
    <w:p>
      <w:pPr>
        <w:spacing w:line="400" w:lineRule="exact"/>
        <w:ind w:firstLine="435"/>
        <w:rPr>
          <w:sz w:val="24"/>
        </w:rPr>
      </w:pPr>
      <w:r>
        <w:rPr>
          <w:sz w:val="24"/>
        </w:rPr>
        <w:t>5.2监理依据</w:t>
      </w:r>
    </w:p>
    <w:p>
      <w:pPr>
        <w:spacing w:line="400" w:lineRule="exact"/>
        <w:ind w:firstLine="435"/>
        <w:rPr>
          <w:sz w:val="24"/>
        </w:rPr>
      </w:pPr>
      <w:r>
        <w:rPr>
          <w:sz w:val="24"/>
        </w:rPr>
        <w:t>5.2（2）修改为：国家和行业有关标准、规范、规程及合同条款规定的招标文件和其他文件；</w:t>
      </w:r>
    </w:p>
    <w:p>
      <w:pPr>
        <w:spacing w:line="400" w:lineRule="exact"/>
        <w:ind w:firstLine="435"/>
        <w:rPr>
          <w:sz w:val="24"/>
        </w:rPr>
      </w:pPr>
      <w:r>
        <w:rPr>
          <w:sz w:val="24"/>
        </w:rPr>
        <w:t>增加5.2（9）</w:t>
      </w:r>
      <w:r>
        <w:rPr>
          <w:bCs/>
          <w:sz w:val="24"/>
        </w:rPr>
        <w:t>工程</w:t>
      </w:r>
      <w:r>
        <w:rPr>
          <w:sz w:val="24"/>
        </w:rPr>
        <w:t>施工监理大纲。</w:t>
      </w:r>
    </w:p>
    <w:p>
      <w:pPr>
        <w:spacing w:line="400" w:lineRule="exact"/>
        <w:ind w:firstLine="435"/>
        <w:rPr>
          <w:sz w:val="24"/>
        </w:rPr>
      </w:pPr>
      <w:r>
        <w:rPr>
          <w:sz w:val="24"/>
        </w:rPr>
        <w:t>5.3监理内容</w:t>
      </w:r>
    </w:p>
    <w:p>
      <w:pPr>
        <w:spacing w:line="400" w:lineRule="exact"/>
        <w:ind w:firstLine="435"/>
        <w:rPr>
          <w:sz w:val="24"/>
        </w:rPr>
      </w:pPr>
      <w:r>
        <w:rPr>
          <w:sz w:val="24"/>
        </w:rPr>
        <w:t>5.3.1和5.3.2不适用；</w:t>
      </w:r>
    </w:p>
    <w:p>
      <w:pPr>
        <w:spacing w:line="400" w:lineRule="exact"/>
        <w:ind w:firstLine="435"/>
        <w:rPr>
          <w:sz w:val="24"/>
        </w:rPr>
      </w:pPr>
      <w:r>
        <w:rPr>
          <w:sz w:val="24"/>
        </w:rPr>
        <w:t>5.3.3（7）修改为：检查承包人的质量、施工安全和施工环境保护等保证体系，审核项目试验室、混凝土拌合站、粒料拌合站，抽查控制桩点复测、测定地面线和工程划分；</w:t>
      </w:r>
    </w:p>
    <w:p>
      <w:pPr>
        <w:spacing w:line="400" w:lineRule="exact"/>
        <w:ind w:firstLine="435"/>
        <w:rPr>
          <w:sz w:val="24"/>
        </w:rPr>
      </w:pPr>
      <w:r>
        <w:rPr>
          <w:sz w:val="24"/>
        </w:rPr>
        <w:t>7.1监理责任主体</w:t>
      </w:r>
    </w:p>
    <w:p>
      <w:pPr>
        <w:spacing w:line="400" w:lineRule="exact"/>
        <w:ind w:firstLine="435"/>
        <w:rPr>
          <w:sz w:val="24"/>
        </w:rPr>
      </w:pPr>
      <w:r>
        <w:rPr>
          <w:sz w:val="24"/>
        </w:rPr>
        <w:t>7.1.1修改为：监理单位应本着严格监理、热情服务、秉公办事、一丝不苟的原则，以监理合同文件、施工合同文件、国家规定的技术规范及施工图纸等为依据，独立、公正、有效地开展施工监理业务。</w:t>
      </w:r>
    </w:p>
    <w:p>
      <w:pPr>
        <w:spacing w:line="400" w:lineRule="exact"/>
        <w:ind w:firstLine="435"/>
        <w:rPr>
          <w:sz w:val="24"/>
        </w:rPr>
      </w:pPr>
      <w:r>
        <w:rPr>
          <w:sz w:val="24"/>
        </w:rPr>
        <w:t>在通用合同条款后增加7.1.5~7.1.7：</w:t>
      </w:r>
    </w:p>
    <w:p>
      <w:pPr>
        <w:spacing w:line="400" w:lineRule="exact"/>
        <w:ind w:firstLine="435"/>
        <w:rPr>
          <w:sz w:val="24"/>
        </w:rPr>
      </w:pPr>
      <w:r>
        <w:rPr>
          <w:sz w:val="24"/>
        </w:rPr>
        <w:t>7.1.5监理单位应根据监理合同文件和施工合同文件（即业主与承包人签订的有关本工程施工的合同文件）、国家规定的技术规范及施工图纸等的规定履行监理服务，并协助业主在授权范围内完成但不限于下列工作：</w:t>
      </w:r>
    </w:p>
    <w:p>
      <w:pPr>
        <w:spacing w:line="400" w:lineRule="exact"/>
        <w:ind w:firstLine="435"/>
        <w:rPr>
          <w:sz w:val="24"/>
        </w:rPr>
      </w:pPr>
      <w:r>
        <w:rPr>
          <w:sz w:val="24"/>
        </w:rPr>
        <w:t>（a）同意分包本工程的非主体部分或施工合同规定；</w:t>
      </w:r>
    </w:p>
    <w:p>
      <w:pPr>
        <w:spacing w:line="400" w:lineRule="exact"/>
        <w:ind w:firstLine="435"/>
        <w:rPr>
          <w:sz w:val="24"/>
        </w:rPr>
      </w:pPr>
      <w:r>
        <w:rPr>
          <w:sz w:val="24"/>
        </w:rPr>
        <w:t>（b）发布开工令、暂时停工或复工令；</w:t>
      </w:r>
    </w:p>
    <w:p>
      <w:pPr>
        <w:spacing w:line="400" w:lineRule="exact"/>
        <w:ind w:firstLine="435"/>
        <w:rPr>
          <w:sz w:val="24"/>
        </w:rPr>
      </w:pPr>
      <w:r>
        <w:rPr>
          <w:sz w:val="24"/>
        </w:rPr>
        <w:t>（c）确定承包人有权得到的工程延期；</w:t>
      </w:r>
    </w:p>
    <w:p>
      <w:pPr>
        <w:spacing w:line="400" w:lineRule="exact"/>
        <w:ind w:firstLine="435"/>
        <w:rPr>
          <w:sz w:val="24"/>
        </w:rPr>
      </w:pPr>
      <w:r>
        <w:rPr>
          <w:sz w:val="24"/>
        </w:rPr>
        <w:t>（d）确定承包人有权得到的索赔款额；</w:t>
      </w:r>
    </w:p>
    <w:p>
      <w:pPr>
        <w:spacing w:line="400" w:lineRule="exact"/>
        <w:ind w:firstLine="435"/>
        <w:rPr>
          <w:sz w:val="24"/>
        </w:rPr>
      </w:pPr>
      <w:r>
        <w:rPr>
          <w:sz w:val="24"/>
        </w:rPr>
        <w:t>（e）审查工程或设计的变更；</w:t>
      </w:r>
    </w:p>
    <w:p>
      <w:pPr>
        <w:spacing w:line="400" w:lineRule="exact"/>
        <w:ind w:firstLine="435"/>
        <w:rPr>
          <w:sz w:val="24"/>
        </w:rPr>
      </w:pPr>
      <w:r>
        <w:rPr>
          <w:sz w:val="24"/>
        </w:rPr>
        <w:t>（f）按有关规定发布变更令；</w:t>
      </w:r>
    </w:p>
    <w:p>
      <w:pPr>
        <w:spacing w:line="400" w:lineRule="exact"/>
        <w:ind w:firstLine="435"/>
        <w:rPr>
          <w:sz w:val="24"/>
        </w:rPr>
      </w:pPr>
      <w:r>
        <w:rPr>
          <w:sz w:val="24"/>
        </w:rPr>
        <w:t>（g）对新增施工细目的单价进行估价；</w:t>
      </w:r>
    </w:p>
    <w:p>
      <w:pPr>
        <w:spacing w:line="400" w:lineRule="exact"/>
        <w:ind w:firstLine="435"/>
        <w:rPr>
          <w:sz w:val="24"/>
        </w:rPr>
      </w:pPr>
      <w:r>
        <w:rPr>
          <w:sz w:val="24"/>
        </w:rPr>
        <w:t>（h）审核有关暂定金额的使用；</w:t>
      </w:r>
    </w:p>
    <w:p>
      <w:pPr>
        <w:spacing w:line="400" w:lineRule="exact"/>
        <w:ind w:firstLine="435"/>
        <w:rPr>
          <w:sz w:val="24"/>
        </w:rPr>
      </w:pPr>
      <w:r>
        <w:rPr>
          <w:sz w:val="24"/>
        </w:rPr>
        <w:t>（i）负责分包人的审核工作；</w:t>
      </w:r>
    </w:p>
    <w:p>
      <w:pPr>
        <w:spacing w:line="400" w:lineRule="exact"/>
        <w:ind w:firstLine="435"/>
        <w:rPr>
          <w:sz w:val="24"/>
        </w:rPr>
      </w:pPr>
      <w:r>
        <w:rPr>
          <w:sz w:val="24"/>
        </w:rPr>
        <w:t>（j）进行文明施工、扬尘治理、安全生产的监管工作；</w:t>
      </w:r>
    </w:p>
    <w:p>
      <w:pPr>
        <w:spacing w:line="400" w:lineRule="exact"/>
        <w:ind w:firstLine="435"/>
        <w:rPr>
          <w:sz w:val="24"/>
        </w:rPr>
      </w:pPr>
      <w:r>
        <w:rPr>
          <w:sz w:val="24"/>
        </w:rPr>
        <w:t>（k）进行农民工工资的监管工作。</w:t>
      </w:r>
    </w:p>
    <w:p>
      <w:pPr>
        <w:spacing w:line="400" w:lineRule="exact"/>
        <w:ind w:firstLine="435"/>
        <w:rPr>
          <w:sz w:val="24"/>
        </w:rPr>
      </w:pPr>
      <w:r>
        <w:rPr>
          <w:sz w:val="24"/>
        </w:rPr>
        <w:t>但如果发生紧急情况，监理单位认为将造成人员伤亡，或危及本工程或邻近的财产需立即采取行动，监理单位有权在未征得业主的批准的情况下向承包人发布处理紧急情况所必需的指令。但监理工程师随后应及时向业主报告情况，并与业主协商进一步应采取的措施。</w:t>
      </w:r>
    </w:p>
    <w:p>
      <w:pPr>
        <w:spacing w:line="400" w:lineRule="exact"/>
        <w:ind w:firstLine="435"/>
        <w:rPr>
          <w:sz w:val="24"/>
        </w:rPr>
      </w:pPr>
      <w:r>
        <w:rPr>
          <w:sz w:val="24"/>
        </w:rPr>
        <w:t>7.1.6监理单位应根据工程进度、难易程度、合同工期、现场条件等因素，建立现场监理机构，配备相应的人员和设备。监理单位应合理调配监理人员的人数及进出场时间，以便很好地满足各阶段施工监理的需要。</w:t>
      </w:r>
    </w:p>
    <w:p>
      <w:pPr>
        <w:spacing w:line="400" w:lineRule="exact"/>
        <w:ind w:firstLine="435"/>
        <w:rPr>
          <w:sz w:val="24"/>
        </w:rPr>
      </w:pPr>
      <w:r>
        <w:rPr>
          <w:sz w:val="24"/>
        </w:rPr>
        <w:t>7.1.7监理单位应根据其职责范围，在业主和承包人之间独立公正地行使监理合同文件赋予的权力。监理单位可在授权范围内对相应的工程和合同事宜进行变更审查，但未经业主的书面批准，监理单位无权变更施工合同文件中规定的工程标准或解除承包人的任何责任与义务。</w:t>
      </w:r>
    </w:p>
    <w:p>
      <w:pPr>
        <w:spacing w:line="400" w:lineRule="exact"/>
        <w:ind w:firstLine="435"/>
        <w:rPr>
          <w:sz w:val="24"/>
        </w:rPr>
      </w:pPr>
      <w:r>
        <w:rPr>
          <w:sz w:val="24"/>
        </w:rPr>
        <w:t>9.2预付款</w:t>
      </w:r>
    </w:p>
    <w:p>
      <w:pPr>
        <w:spacing w:line="400" w:lineRule="exact"/>
        <w:ind w:firstLine="435"/>
        <w:rPr>
          <w:sz w:val="24"/>
        </w:rPr>
      </w:pPr>
      <w:r>
        <w:rPr>
          <w:sz w:val="24"/>
        </w:rPr>
        <w:t>修改为：为使监理服务能够及时开展，发包人应在监理同签订后及银行预付款保函递交后7日内按监理服务费总额的5%向监理人支付动员预付款，监理人员按招标文件规定的时间进驻现场、总监办的驻地建设及总监办监理试验室（满足检测机构要求）建设完成后，发包人按监理服务费总额的5%向监理人支付动员预付款。</w:t>
      </w:r>
    </w:p>
    <w:p>
      <w:pPr>
        <w:spacing w:line="400" w:lineRule="exact"/>
        <w:ind w:firstLine="435"/>
        <w:rPr>
          <w:sz w:val="24"/>
        </w:rPr>
      </w:pPr>
      <w:r>
        <w:rPr>
          <w:sz w:val="24"/>
        </w:rPr>
        <w:t>9.3中期支付</w:t>
      </w:r>
    </w:p>
    <w:p>
      <w:pPr>
        <w:spacing w:line="400" w:lineRule="exact"/>
        <w:ind w:firstLine="435"/>
        <w:rPr>
          <w:sz w:val="24"/>
        </w:rPr>
      </w:pPr>
      <w:r>
        <w:rPr>
          <w:sz w:val="24"/>
        </w:rPr>
        <w:t>9.3.1修改为本合同监理费</w:t>
      </w:r>
      <w:r>
        <w:rPr>
          <w:rFonts w:hint="eastAsia"/>
          <w:sz w:val="24"/>
        </w:rPr>
        <w:t>率</w:t>
      </w:r>
      <w:r>
        <w:rPr>
          <w:sz w:val="24"/>
        </w:rPr>
        <w:t>在合同履行过程中不予调整。</w:t>
      </w:r>
    </w:p>
    <w:p>
      <w:pPr>
        <w:spacing w:line="400" w:lineRule="exact"/>
        <w:ind w:firstLine="435"/>
        <w:rPr>
          <w:sz w:val="24"/>
        </w:rPr>
      </w:pPr>
      <w:r>
        <w:rPr>
          <w:sz w:val="24"/>
        </w:rPr>
        <w:t>监理单位应在每月末向业主提交由总监签署的按业主批准格式填写的月结帐单一式三份，该结帐单包括以下栏目，监理单位应逐项填写清楚：</w:t>
      </w:r>
    </w:p>
    <w:p>
      <w:pPr>
        <w:spacing w:line="400" w:lineRule="exact"/>
        <w:ind w:firstLine="435"/>
        <w:rPr>
          <w:sz w:val="24"/>
        </w:rPr>
      </w:pPr>
      <w:r>
        <w:rPr>
          <w:sz w:val="24"/>
        </w:rPr>
        <w:t>(a) 本月应向监理单位支付的(结算的)监理服务费用；</w:t>
      </w:r>
    </w:p>
    <w:p>
      <w:pPr>
        <w:spacing w:line="400" w:lineRule="exact"/>
        <w:ind w:firstLine="435"/>
        <w:rPr>
          <w:sz w:val="24"/>
        </w:rPr>
      </w:pPr>
      <w:r>
        <w:rPr>
          <w:sz w:val="24"/>
        </w:rPr>
        <w:t>(b) 本月应支付的动员预付款；</w:t>
      </w:r>
    </w:p>
    <w:p>
      <w:pPr>
        <w:spacing w:line="400" w:lineRule="exact"/>
        <w:ind w:firstLine="435"/>
        <w:rPr>
          <w:sz w:val="24"/>
        </w:rPr>
      </w:pPr>
      <w:r>
        <w:rPr>
          <w:sz w:val="24"/>
        </w:rPr>
        <w:t>(c) 根据合同规定，本月应结算的其他款项；</w:t>
      </w:r>
    </w:p>
    <w:p>
      <w:pPr>
        <w:spacing w:line="400" w:lineRule="exact"/>
        <w:ind w:firstLine="435"/>
        <w:rPr>
          <w:sz w:val="24"/>
        </w:rPr>
      </w:pPr>
      <w:r>
        <w:rPr>
          <w:sz w:val="24"/>
        </w:rPr>
        <w:t>(d) 本月应扣回的动员预付款；</w:t>
      </w:r>
    </w:p>
    <w:p>
      <w:pPr>
        <w:spacing w:line="400" w:lineRule="exact"/>
        <w:ind w:firstLine="435"/>
        <w:rPr>
          <w:sz w:val="24"/>
        </w:rPr>
      </w:pPr>
      <w:r>
        <w:rPr>
          <w:sz w:val="24"/>
        </w:rPr>
        <w:t>(e) 根据合同规定，本月应扣除的其他款项。</w:t>
      </w:r>
    </w:p>
    <w:p>
      <w:pPr>
        <w:spacing w:line="400" w:lineRule="exact"/>
        <w:ind w:firstLine="435"/>
        <w:rPr>
          <w:sz w:val="24"/>
        </w:rPr>
      </w:pPr>
      <w:r>
        <w:rPr>
          <w:sz w:val="24"/>
        </w:rPr>
        <w:t>业主将在收到监理单位提交的月结帐单后28天内进行核实。</w:t>
      </w:r>
    </w:p>
    <w:p>
      <w:pPr>
        <w:spacing w:line="400" w:lineRule="exact"/>
        <w:ind w:firstLine="435"/>
        <w:rPr>
          <w:sz w:val="24"/>
        </w:rPr>
      </w:pPr>
      <w:r>
        <w:rPr>
          <w:sz w:val="24"/>
        </w:rPr>
        <w:t>每月监理费用的支付：</w:t>
      </w:r>
    </w:p>
    <w:p>
      <w:pPr>
        <w:spacing w:line="400" w:lineRule="exact"/>
        <w:ind w:firstLine="435"/>
        <w:rPr>
          <w:sz w:val="24"/>
        </w:rPr>
      </w:pPr>
      <w:r>
        <w:rPr>
          <w:sz w:val="24"/>
        </w:rPr>
        <w:t>(a)每月完成的监理服务费计算方式为：</w:t>
      </w:r>
      <w:r>
        <w:rPr>
          <w:rFonts w:hint="eastAsia"/>
          <w:sz w:val="24"/>
        </w:rPr>
        <w:t>按照每月施工单位应支付金额乘以施工阶段监理费率计算</w:t>
      </w:r>
      <w:r>
        <w:rPr>
          <w:sz w:val="24"/>
        </w:rPr>
        <w:t>。</w:t>
      </w:r>
    </w:p>
    <w:p>
      <w:pPr>
        <w:spacing w:line="400" w:lineRule="exact"/>
        <w:ind w:firstLine="435"/>
        <w:rPr>
          <w:sz w:val="24"/>
        </w:rPr>
      </w:pPr>
      <w:r>
        <w:rPr>
          <w:sz w:val="24"/>
        </w:rPr>
        <w:t>(b)缺陷责任期</w:t>
      </w:r>
      <w:r>
        <w:rPr>
          <w:rFonts w:hint="eastAsia"/>
          <w:sz w:val="24"/>
        </w:rPr>
        <w:t>监理费用在缺陷责任期满后一次性</w:t>
      </w:r>
      <w:r>
        <w:rPr>
          <w:sz w:val="24"/>
        </w:rPr>
        <w:t>支付给监理单位。</w:t>
      </w:r>
    </w:p>
    <w:p>
      <w:pPr>
        <w:spacing w:line="400" w:lineRule="exact"/>
        <w:ind w:firstLine="435"/>
        <w:rPr>
          <w:sz w:val="24"/>
        </w:rPr>
      </w:pPr>
      <w:r>
        <w:rPr>
          <w:sz w:val="24"/>
        </w:rPr>
        <w:t>删除9.3.2~9.3.5</w:t>
      </w:r>
    </w:p>
    <w:p>
      <w:pPr>
        <w:spacing w:line="400" w:lineRule="exact"/>
        <w:ind w:firstLine="435"/>
        <w:rPr>
          <w:sz w:val="24"/>
        </w:rPr>
      </w:pPr>
      <w:r>
        <w:rPr>
          <w:sz w:val="24"/>
        </w:rPr>
        <w:t>11.1监理人违约</w:t>
      </w:r>
    </w:p>
    <w:p>
      <w:pPr>
        <w:spacing w:line="400" w:lineRule="exact"/>
        <w:ind w:firstLine="435"/>
        <w:rPr>
          <w:sz w:val="24"/>
        </w:rPr>
      </w:pPr>
      <w:r>
        <w:rPr>
          <w:sz w:val="24"/>
        </w:rPr>
        <w:t>在通用条款后增加11.1.1（9）~11.1.1（13）：</w:t>
      </w:r>
    </w:p>
    <w:p>
      <w:pPr>
        <w:spacing w:line="400" w:lineRule="exact"/>
        <w:ind w:firstLine="435"/>
        <w:rPr>
          <w:sz w:val="24"/>
        </w:rPr>
      </w:pPr>
      <w:r>
        <w:rPr>
          <w:sz w:val="24"/>
        </w:rPr>
        <w:t>11.1.1（9）监理单位承诺的用于本工程的设备未能按时到达现场并影响工作的，接到业主通知后仍未改正；</w:t>
      </w:r>
    </w:p>
    <w:p>
      <w:pPr>
        <w:spacing w:line="400" w:lineRule="exact"/>
        <w:ind w:firstLine="435"/>
        <w:rPr>
          <w:sz w:val="24"/>
        </w:rPr>
      </w:pPr>
      <w:r>
        <w:rPr>
          <w:sz w:val="24"/>
        </w:rPr>
        <w:t>11.1.1（10）监理工程师违反变更审批程序或超权审批；</w:t>
      </w:r>
    </w:p>
    <w:p>
      <w:pPr>
        <w:spacing w:line="400" w:lineRule="exact"/>
        <w:ind w:firstLine="435"/>
        <w:rPr>
          <w:sz w:val="24"/>
        </w:rPr>
      </w:pPr>
      <w:r>
        <w:rPr>
          <w:sz w:val="24"/>
        </w:rPr>
        <w:t>11.1.1（11）监理工程师不能严格执行计量支付程序，存在多计多签或超前计量现象；</w:t>
      </w:r>
    </w:p>
    <w:p>
      <w:pPr>
        <w:spacing w:line="400" w:lineRule="exact"/>
        <w:ind w:firstLine="435"/>
        <w:rPr>
          <w:sz w:val="24"/>
        </w:rPr>
      </w:pPr>
      <w:r>
        <w:rPr>
          <w:sz w:val="24"/>
        </w:rPr>
        <w:t>11.1.1（12）项目在工程质量方面受到行业主管部门、上级部门或业主通报批评的；</w:t>
      </w:r>
    </w:p>
    <w:p>
      <w:pPr>
        <w:spacing w:line="400" w:lineRule="exact"/>
        <w:ind w:firstLine="435"/>
        <w:rPr>
          <w:sz w:val="24"/>
        </w:rPr>
      </w:pPr>
      <w:r>
        <w:rPr>
          <w:sz w:val="24"/>
        </w:rPr>
        <w:t>11.1.1（13）项目在安全管理及文明施工方面受到行业主管部门、上级部门或业主通报批评的。</w:t>
      </w:r>
    </w:p>
    <w:p>
      <w:pPr>
        <w:spacing w:line="400" w:lineRule="exact"/>
        <w:ind w:firstLine="435"/>
        <w:rPr>
          <w:sz w:val="24"/>
        </w:rPr>
      </w:pPr>
      <w:r>
        <w:rPr>
          <w:sz w:val="24"/>
        </w:rPr>
        <w:t>13.增加条款</w:t>
      </w:r>
    </w:p>
    <w:p>
      <w:pPr>
        <w:spacing w:line="400" w:lineRule="exact"/>
        <w:ind w:firstLine="435"/>
        <w:rPr>
          <w:sz w:val="24"/>
        </w:rPr>
      </w:pPr>
      <w:r>
        <w:rPr>
          <w:sz w:val="24"/>
        </w:rPr>
        <w:t>（1）监理单位必须按照招标文件的要求配备足够有施工经验的人员常驻现场，并保证在合同实施过程中不得随意更换。</w:t>
      </w:r>
    </w:p>
    <w:p>
      <w:pPr>
        <w:spacing w:line="400" w:lineRule="exact"/>
        <w:ind w:firstLine="435"/>
        <w:rPr>
          <w:sz w:val="24"/>
        </w:rPr>
      </w:pPr>
      <w:r>
        <w:rPr>
          <w:sz w:val="24"/>
        </w:rPr>
        <w:t>（2）工程质量按《公路工程质量检验评定标准》（JTGF80/1-2017）达到工程验收的质量评定合格。监理单位应有达到该质量标准的监理保证措施。</w:t>
      </w:r>
    </w:p>
    <w:p>
      <w:pPr>
        <w:spacing w:line="400" w:lineRule="exact"/>
        <w:ind w:firstLine="435"/>
        <w:rPr>
          <w:sz w:val="24"/>
        </w:rPr>
      </w:pPr>
      <w:r>
        <w:rPr>
          <w:sz w:val="24"/>
        </w:rPr>
        <w:t>（3）对于该工程任何工程部位，承包人达不到合同要求的质量标准，经监理签字验收认为合格，但由质检等有关部门抽检不合格的，业主有权对监理单位提出警告、通报批评或交违约金的规定，甚至提出更换监理单位终止合同。</w:t>
      </w:r>
    </w:p>
    <w:p>
      <w:pPr>
        <w:spacing w:line="400" w:lineRule="exact"/>
        <w:ind w:firstLine="435"/>
        <w:rPr>
          <w:sz w:val="24"/>
        </w:rPr>
      </w:pPr>
      <w:r>
        <w:rPr>
          <w:sz w:val="24"/>
        </w:rPr>
        <w:t>（4）投入该合同段的监理人员、自备试验、测量仪器、交通工具、通讯工具等招标文件中要求的项目，应根据工程实际需要及时到位，满足工程需要，如业主认为其不能满足工程需要，如拟投入人员、设备等，监理人需无偿调整或更换。</w:t>
      </w:r>
    </w:p>
    <w:p>
      <w:pPr>
        <w:spacing w:line="400" w:lineRule="exact"/>
        <w:ind w:firstLine="435"/>
        <w:rPr>
          <w:sz w:val="24"/>
        </w:rPr>
      </w:pPr>
      <w:r>
        <w:rPr>
          <w:sz w:val="24"/>
        </w:rPr>
        <w:t>（5）达到业主安全生产、文明施工、环保及扬尘治理的要求。</w:t>
      </w:r>
    </w:p>
    <w:p>
      <w:pPr>
        <w:spacing w:line="360" w:lineRule="auto"/>
        <w:ind w:firstLine="435"/>
        <w:rPr>
          <w:b/>
        </w:rPr>
      </w:pPr>
    </w:p>
    <w:p>
      <w:pPr>
        <w:spacing w:line="360" w:lineRule="auto"/>
        <w:ind w:firstLine="435"/>
      </w:pPr>
    </w:p>
    <w:p>
      <w:pPr>
        <w:spacing w:line="360" w:lineRule="auto"/>
        <w:ind w:firstLine="435"/>
      </w:pPr>
      <w:r>
        <w:rPr>
          <w:rFonts w:hint="eastAsia"/>
        </w:rPr>
        <w:br w:type="page"/>
      </w:r>
    </w:p>
    <w:p>
      <w:pPr>
        <w:spacing w:line="360" w:lineRule="auto"/>
        <w:ind w:firstLine="435"/>
      </w:pPr>
    </w:p>
    <w:p>
      <w:pPr>
        <w:spacing w:line="360" w:lineRule="auto"/>
        <w:ind w:firstLine="435"/>
      </w:pPr>
    </w:p>
    <w:p>
      <w:pPr>
        <w:spacing w:line="360" w:lineRule="auto"/>
        <w:ind w:firstLine="435"/>
      </w:pPr>
    </w:p>
    <w:p>
      <w:pPr>
        <w:spacing w:line="360" w:lineRule="auto"/>
        <w:ind w:firstLine="435"/>
      </w:pPr>
    </w:p>
    <w:p>
      <w:pPr>
        <w:spacing w:line="360" w:lineRule="auto"/>
        <w:ind w:firstLine="435"/>
      </w:pPr>
    </w:p>
    <w:p>
      <w:pPr>
        <w:spacing w:line="360" w:lineRule="auto"/>
        <w:ind w:firstLine="435"/>
      </w:pPr>
    </w:p>
    <w:p>
      <w:pPr>
        <w:spacing w:line="360" w:lineRule="auto"/>
        <w:ind w:firstLine="435"/>
      </w:pPr>
    </w:p>
    <w:p>
      <w:pPr>
        <w:spacing w:line="360" w:lineRule="auto"/>
        <w:ind w:firstLine="435"/>
      </w:pPr>
    </w:p>
    <w:p>
      <w:pPr>
        <w:spacing w:line="360" w:lineRule="auto"/>
        <w:ind w:firstLine="435"/>
      </w:pPr>
    </w:p>
    <w:p>
      <w:pPr>
        <w:spacing w:line="360" w:lineRule="auto"/>
        <w:ind w:firstLine="435"/>
      </w:pPr>
    </w:p>
    <w:p>
      <w:pPr>
        <w:spacing w:line="360" w:lineRule="auto"/>
        <w:ind w:firstLine="435"/>
      </w:pPr>
    </w:p>
    <w:p>
      <w:pPr>
        <w:spacing w:line="360" w:lineRule="auto"/>
        <w:ind w:firstLine="435"/>
      </w:pPr>
    </w:p>
    <w:p>
      <w:pPr>
        <w:spacing w:line="360" w:lineRule="auto"/>
        <w:ind w:firstLine="435"/>
        <w:jc w:val="center"/>
        <w:rPr>
          <w:sz w:val="24"/>
        </w:rPr>
      </w:pPr>
      <w:r>
        <w:rPr>
          <w:rFonts w:hint="eastAsia" w:ascii="黑体" w:hAnsi="黑体" w:eastAsia="黑体"/>
          <w:b/>
          <w:sz w:val="32"/>
          <w:szCs w:val="32"/>
        </w:rPr>
        <w:t>第三节 合同附件格式</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rPr>
          <w:color w:val="000000"/>
          <w:sz w:val="17"/>
          <w:szCs w:val="17"/>
        </w:rPr>
        <w:sectPr>
          <w:pgSz w:w="11906" w:h="16838"/>
          <w:pgMar w:top="1304" w:right="1304" w:bottom="1304" w:left="1361" w:header="907" w:footer="907" w:gutter="0"/>
          <w:cols w:space="720" w:num="1"/>
        </w:sectPr>
      </w:pPr>
    </w:p>
    <w:p>
      <w:pPr>
        <w:pStyle w:val="2"/>
        <w:spacing w:before="29" w:line="420" w:lineRule="exact"/>
        <w:ind w:left="155" w:right="-16"/>
        <w:rPr>
          <w:color w:val="000000"/>
          <w:sz w:val="24"/>
        </w:rPr>
      </w:pPr>
      <w:r>
        <w:rPr>
          <w:color w:val="000000"/>
          <w:sz w:val="24"/>
        </w:rPr>
        <w:t>附件一 合同协议书</w:t>
      </w:r>
    </w:p>
    <w:p>
      <w:pPr>
        <w:spacing w:line="420" w:lineRule="exact"/>
        <w:ind w:left="156"/>
        <w:jc w:val="center"/>
        <w:rPr>
          <w:color w:val="000000"/>
          <w:sz w:val="24"/>
        </w:rPr>
      </w:pPr>
      <w:r>
        <w:rPr>
          <w:color w:val="000000"/>
          <w:sz w:val="24"/>
        </w:rPr>
        <w:t>合 同 协 议 书</w:t>
      </w:r>
    </w:p>
    <w:p>
      <w:pPr>
        <w:spacing w:line="420" w:lineRule="exact"/>
        <w:ind w:firstLine="420" w:firstLineChars="175"/>
        <w:rPr>
          <w:color w:val="000000"/>
          <w:sz w:val="24"/>
        </w:rPr>
      </w:pPr>
      <w:r>
        <w:rPr>
          <w:color w:val="000000"/>
          <w:sz w:val="24"/>
        </w:rPr>
        <w:t>（本格式编排在招标文件中，供投标人参考，投标时不需附此表）</w:t>
      </w:r>
    </w:p>
    <w:p>
      <w:pPr>
        <w:pStyle w:val="2"/>
        <w:tabs>
          <w:tab w:val="left" w:pos="9040"/>
        </w:tabs>
        <w:spacing w:before="29" w:line="420" w:lineRule="exact"/>
        <w:ind w:right="-53" w:firstLine="420" w:firstLineChars="175"/>
        <w:rPr>
          <w:color w:val="000000"/>
          <w:sz w:val="24"/>
          <w:u w:val="single"/>
        </w:rPr>
      </w:pPr>
      <w:r>
        <w:rPr>
          <w:color w:val="000000"/>
          <w:sz w:val="24"/>
        </w:rPr>
        <w:t xml:space="preserve"> </w:t>
      </w:r>
      <w:r>
        <w:rPr>
          <w:color w:val="000000"/>
          <w:sz w:val="24"/>
          <w:u w:val="single"/>
        </w:rPr>
        <w:t xml:space="preserve">           </w:t>
      </w:r>
      <w:r>
        <w:rPr>
          <w:color w:val="000000"/>
          <w:sz w:val="24"/>
        </w:rPr>
        <w:t>（委托人名称，以下简称“委托人”）为实施</w:t>
      </w:r>
      <w:r>
        <w:rPr>
          <w:color w:val="000000"/>
          <w:sz w:val="24"/>
          <w:u w:val="single"/>
        </w:rPr>
        <w:tab/>
      </w:r>
    </w:p>
    <w:p>
      <w:pPr>
        <w:pStyle w:val="2"/>
        <w:tabs>
          <w:tab w:val="left" w:pos="9040"/>
        </w:tabs>
        <w:spacing w:before="29" w:line="420" w:lineRule="exact"/>
        <w:ind w:right="-53" w:firstLine="420" w:firstLineChars="175"/>
        <w:rPr>
          <w:color w:val="000000"/>
          <w:sz w:val="24"/>
        </w:rPr>
      </w:pPr>
      <w:r>
        <w:rPr>
          <w:color w:val="000000"/>
          <w:sz w:val="24"/>
        </w:rPr>
        <w:t>（项目名称），己接受</w:t>
      </w:r>
      <w:r>
        <w:rPr>
          <w:color w:val="000000"/>
          <w:sz w:val="24"/>
          <w:u w:val="single"/>
        </w:rPr>
        <w:t xml:space="preserve">           </w:t>
      </w:r>
      <w:r>
        <w:rPr>
          <w:color w:val="000000"/>
          <w:sz w:val="24"/>
        </w:rPr>
        <w:t>（监理人名称，以下简称“监理人”）对该项目施工监理的投标。委托人和监理人共同达成如下协议。</w:t>
      </w:r>
    </w:p>
    <w:p>
      <w:pPr>
        <w:pStyle w:val="2"/>
        <w:spacing w:before="16" w:line="420" w:lineRule="exact"/>
        <w:ind w:right="-53" w:firstLine="420" w:firstLineChars="175"/>
        <w:rPr>
          <w:color w:val="000000"/>
          <w:sz w:val="24"/>
        </w:rPr>
      </w:pPr>
      <w:r>
        <w:rPr>
          <w:color w:val="000000"/>
          <w:sz w:val="24"/>
        </w:rPr>
        <w:t>1.由K</w:t>
      </w:r>
      <w:r>
        <w:rPr>
          <w:color w:val="000000"/>
          <w:sz w:val="24"/>
          <w:u w:val="single"/>
        </w:rPr>
        <w:t xml:space="preserve">  </w:t>
      </w:r>
      <w:r>
        <w:rPr>
          <w:color w:val="000000"/>
          <w:sz w:val="24"/>
        </w:rPr>
        <w:t>＋</w:t>
      </w:r>
      <w:r>
        <w:rPr>
          <w:color w:val="000000"/>
          <w:sz w:val="24"/>
          <w:u w:val="single"/>
        </w:rPr>
        <w:t xml:space="preserve">  </w:t>
      </w:r>
      <w:r>
        <w:rPr>
          <w:color w:val="000000"/>
          <w:sz w:val="24"/>
        </w:rPr>
        <w:t>至K</w:t>
      </w:r>
      <w:r>
        <w:rPr>
          <w:color w:val="000000"/>
          <w:sz w:val="24"/>
          <w:u w:val="single"/>
        </w:rPr>
        <w:t xml:space="preserve">  </w:t>
      </w:r>
      <w:r>
        <w:rPr>
          <w:color w:val="000000"/>
          <w:sz w:val="24"/>
        </w:rPr>
        <w:t>＋</w:t>
      </w:r>
      <w:r>
        <w:rPr>
          <w:color w:val="000000"/>
          <w:sz w:val="24"/>
          <w:u w:val="single"/>
        </w:rPr>
        <w:t xml:space="preserve">  </w:t>
      </w:r>
      <w:r>
        <w:rPr>
          <w:color w:val="000000"/>
          <w:sz w:val="24"/>
        </w:rPr>
        <w:t>，长约</w:t>
      </w:r>
      <w:r>
        <w:rPr>
          <w:color w:val="000000"/>
          <w:sz w:val="24"/>
          <w:u w:val="single"/>
        </w:rPr>
        <w:t xml:space="preserve">   </w:t>
      </w:r>
      <w:r>
        <w:rPr>
          <w:color w:val="000000"/>
          <w:sz w:val="24"/>
        </w:rPr>
        <w:t>km，公路等级为</w:t>
      </w:r>
      <w:r>
        <w:rPr>
          <w:color w:val="000000"/>
          <w:sz w:val="24"/>
          <w:u w:val="single"/>
        </w:rPr>
        <w:t xml:space="preserve">    </w:t>
      </w:r>
      <w:r>
        <w:rPr>
          <w:color w:val="000000"/>
          <w:sz w:val="24"/>
        </w:rPr>
        <w:t>，设计速度为</w:t>
      </w:r>
      <w:r>
        <w:rPr>
          <w:color w:val="000000"/>
          <w:sz w:val="24"/>
          <w:u w:val="single"/>
        </w:rPr>
        <w:t xml:space="preserve">    </w:t>
      </w:r>
      <w:r>
        <w:rPr>
          <w:color w:val="000000"/>
          <w:sz w:val="24"/>
        </w:rPr>
        <w:t>，</w:t>
      </w:r>
      <w:r>
        <w:rPr>
          <w:color w:val="000000"/>
          <w:sz w:val="24"/>
          <w:u w:val="single"/>
        </w:rPr>
        <w:t xml:space="preserve">    </w:t>
      </w:r>
      <w:r>
        <w:rPr>
          <w:color w:val="000000"/>
          <w:sz w:val="24"/>
        </w:rPr>
        <w:t>路面，有</w:t>
      </w:r>
      <w:r>
        <w:rPr>
          <w:color w:val="000000"/>
          <w:sz w:val="24"/>
          <w:u w:val="single"/>
        </w:rPr>
        <w:t xml:space="preserve">  </w:t>
      </w:r>
      <w:r>
        <w:rPr>
          <w:color w:val="000000"/>
          <w:sz w:val="24"/>
        </w:rPr>
        <w:t>立交</w:t>
      </w:r>
      <w:r>
        <w:rPr>
          <w:color w:val="000000"/>
          <w:sz w:val="24"/>
          <w:u w:val="single"/>
        </w:rPr>
        <w:t xml:space="preserve">  </w:t>
      </w:r>
      <w:r>
        <w:rPr>
          <w:color w:val="000000"/>
          <w:sz w:val="24"/>
        </w:rPr>
        <w:t>处；特大桥</w:t>
      </w:r>
      <w:r>
        <w:rPr>
          <w:color w:val="000000"/>
          <w:sz w:val="24"/>
          <w:u w:val="single"/>
        </w:rPr>
        <w:t xml:space="preserve">   </w:t>
      </w:r>
      <w:r>
        <w:rPr>
          <w:color w:val="000000"/>
          <w:sz w:val="24"/>
        </w:rPr>
        <w:t>座，计长</w:t>
      </w:r>
      <w:r>
        <w:rPr>
          <w:color w:val="000000"/>
          <w:sz w:val="24"/>
          <w:u w:val="single"/>
        </w:rPr>
        <w:t xml:space="preserve">    </w:t>
      </w:r>
      <w:r>
        <w:rPr>
          <w:color w:val="000000"/>
          <w:sz w:val="24"/>
        </w:rPr>
        <w:t>m：大中桥</w:t>
      </w:r>
      <w:r>
        <w:rPr>
          <w:color w:val="000000"/>
          <w:sz w:val="24"/>
          <w:u w:val="single"/>
        </w:rPr>
        <w:t xml:space="preserve">   </w:t>
      </w:r>
      <w:r>
        <w:rPr>
          <w:color w:val="000000"/>
          <w:sz w:val="24"/>
        </w:rPr>
        <w:t>座，计长</w:t>
      </w:r>
      <w:r>
        <w:rPr>
          <w:color w:val="000000"/>
          <w:sz w:val="24"/>
          <w:u w:val="single"/>
        </w:rPr>
        <w:t xml:space="preserve">    </w:t>
      </w:r>
      <w:r>
        <w:rPr>
          <w:color w:val="000000"/>
          <w:sz w:val="24"/>
        </w:rPr>
        <w:t>m；隧道</w:t>
      </w:r>
      <w:r>
        <w:rPr>
          <w:color w:val="000000"/>
          <w:sz w:val="24"/>
          <w:u w:val="single"/>
        </w:rPr>
        <w:t xml:space="preserve">   </w:t>
      </w:r>
      <w:r>
        <w:rPr>
          <w:color w:val="000000"/>
          <w:sz w:val="24"/>
        </w:rPr>
        <w:t>座，计长</w:t>
      </w:r>
      <w:r>
        <w:rPr>
          <w:color w:val="000000"/>
          <w:sz w:val="24"/>
          <w:u w:val="single"/>
        </w:rPr>
        <w:t xml:space="preserve">   </w:t>
      </w:r>
      <w:r>
        <w:rPr>
          <w:color w:val="000000"/>
          <w:sz w:val="24"/>
        </w:rPr>
        <w:t>m以及其他构造物工程等。</w:t>
      </w:r>
    </w:p>
    <w:p>
      <w:pPr>
        <w:pStyle w:val="2"/>
        <w:spacing w:line="420" w:lineRule="exact"/>
        <w:ind w:right="1583" w:firstLine="420" w:firstLineChars="175"/>
        <w:rPr>
          <w:color w:val="000000"/>
          <w:sz w:val="24"/>
        </w:rPr>
      </w:pPr>
      <w:r>
        <w:rPr>
          <w:color w:val="000000"/>
          <w:sz w:val="24"/>
        </w:rPr>
        <w:t>2.下列文件应视为构成合同文件的组成部分：</w:t>
      </w:r>
    </w:p>
    <w:p>
      <w:pPr>
        <w:pStyle w:val="2"/>
        <w:spacing w:before="123" w:line="420" w:lineRule="exact"/>
        <w:ind w:right="1583" w:firstLine="420" w:firstLineChars="175"/>
        <w:rPr>
          <w:color w:val="000000"/>
          <w:sz w:val="24"/>
        </w:rPr>
      </w:pPr>
      <w:r>
        <w:rPr>
          <w:color w:val="000000"/>
          <w:sz w:val="24"/>
        </w:rPr>
        <w:t>（1）本合同协议书及各种合同附件；</w:t>
      </w:r>
    </w:p>
    <w:p>
      <w:pPr>
        <w:spacing w:before="129" w:line="420" w:lineRule="exact"/>
        <w:ind w:right="1583" w:firstLine="420" w:firstLineChars="175"/>
        <w:rPr>
          <w:color w:val="000000"/>
          <w:sz w:val="24"/>
        </w:rPr>
      </w:pPr>
      <w:r>
        <w:rPr>
          <w:color w:val="000000"/>
          <w:sz w:val="24"/>
        </w:rPr>
        <w:t>（2）中标通知书；</w:t>
      </w:r>
    </w:p>
    <w:p>
      <w:pPr>
        <w:spacing w:before="129" w:line="420" w:lineRule="exact"/>
        <w:ind w:right="1583" w:firstLine="420" w:firstLineChars="175"/>
        <w:rPr>
          <w:color w:val="000000"/>
          <w:sz w:val="24"/>
        </w:rPr>
      </w:pPr>
      <w:r>
        <w:rPr>
          <w:color w:val="000000"/>
          <w:sz w:val="24"/>
        </w:rPr>
        <w:t>（3）投标函；</w:t>
      </w:r>
    </w:p>
    <w:p>
      <w:pPr>
        <w:spacing w:before="128" w:line="420" w:lineRule="exact"/>
        <w:ind w:right="1583" w:firstLine="420" w:firstLineChars="175"/>
        <w:rPr>
          <w:color w:val="000000"/>
          <w:sz w:val="24"/>
        </w:rPr>
      </w:pPr>
      <w:r>
        <w:rPr>
          <w:color w:val="000000"/>
          <w:sz w:val="24"/>
        </w:rPr>
        <w:t>（4）项目专用合同条款；</w:t>
      </w:r>
    </w:p>
    <w:p>
      <w:pPr>
        <w:spacing w:before="125" w:line="420" w:lineRule="exact"/>
        <w:ind w:right="1583" w:firstLine="420" w:firstLineChars="175"/>
        <w:rPr>
          <w:color w:val="000000"/>
          <w:sz w:val="24"/>
        </w:rPr>
      </w:pPr>
      <w:r>
        <w:rPr>
          <w:color w:val="000000"/>
          <w:sz w:val="24"/>
        </w:rPr>
        <w:t>（5）公路工程专用合同条款；</w:t>
      </w:r>
    </w:p>
    <w:p>
      <w:pPr>
        <w:spacing w:before="134" w:line="420" w:lineRule="exact"/>
        <w:ind w:right="1583" w:firstLine="420" w:firstLineChars="175"/>
        <w:rPr>
          <w:color w:val="000000"/>
          <w:sz w:val="24"/>
        </w:rPr>
      </w:pPr>
      <w:r>
        <w:rPr>
          <w:color w:val="000000"/>
          <w:sz w:val="24"/>
        </w:rPr>
        <w:t>（6）通用合同条款；</w:t>
      </w:r>
    </w:p>
    <w:p>
      <w:pPr>
        <w:spacing w:before="129" w:line="420" w:lineRule="exact"/>
        <w:ind w:right="1583" w:firstLine="420" w:firstLineChars="175"/>
        <w:rPr>
          <w:color w:val="000000"/>
          <w:sz w:val="24"/>
        </w:rPr>
      </w:pPr>
      <w:r>
        <w:rPr>
          <w:color w:val="000000"/>
          <w:sz w:val="24"/>
        </w:rPr>
        <w:t>（7）委托人要求；</w:t>
      </w:r>
    </w:p>
    <w:p>
      <w:pPr>
        <w:pStyle w:val="2"/>
        <w:spacing w:before="125" w:line="420" w:lineRule="exact"/>
        <w:ind w:right="1583" w:firstLine="420" w:firstLineChars="175"/>
        <w:rPr>
          <w:color w:val="000000"/>
          <w:sz w:val="24"/>
        </w:rPr>
      </w:pPr>
      <w:r>
        <w:rPr>
          <w:color w:val="000000"/>
          <w:sz w:val="24"/>
        </w:rPr>
        <w:t>（8）监理服务费用清单；</w:t>
      </w:r>
    </w:p>
    <w:p>
      <w:pPr>
        <w:pStyle w:val="2"/>
        <w:spacing w:before="134" w:line="420" w:lineRule="exact"/>
        <w:ind w:right="1583" w:firstLine="420" w:firstLineChars="175"/>
        <w:rPr>
          <w:color w:val="000000"/>
          <w:sz w:val="24"/>
        </w:rPr>
      </w:pPr>
      <w:r>
        <w:rPr>
          <w:color w:val="000000"/>
          <w:sz w:val="24"/>
        </w:rPr>
        <w:t>（9）监理人有关人员、试验检测设备投入的承诺；</w:t>
      </w:r>
    </w:p>
    <w:p>
      <w:pPr>
        <w:spacing w:before="120" w:line="420" w:lineRule="exact"/>
        <w:ind w:right="1583" w:firstLine="420" w:firstLineChars="175"/>
        <w:rPr>
          <w:color w:val="000000"/>
          <w:sz w:val="24"/>
        </w:rPr>
      </w:pPr>
      <w:r>
        <w:rPr>
          <w:color w:val="000000"/>
          <w:sz w:val="24"/>
        </w:rPr>
        <w:t>（10）其他合同文件。</w:t>
      </w:r>
    </w:p>
    <w:p>
      <w:pPr>
        <w:pStyle w:val="2"/>
        <w:spacing w:before="134" w:line="420" w:lineRule="exact"/>
        <w:ind w:right="1583" w:firstLine="420" w:firstLineChars="175"/>
        <w:rPr>
          <w:color w:val="000000"/>
          <w:sz w:val="24"/>
        </w:rPr>
      </w:pPr>
      <w:r>
        <w:rPr>
          <w:color w:val="000000"/>
          <w:sz w:val="24"/>
        </w:rPr>
        <w:t>上述合同文件互相补充和解释。如果合同文件之间存在矛盾或不一致之处，以上述文件的排列顺序在先者为准。</w:t>
      </w:r>
    </w:p>
    <w:p>
      <w:pPr>
        <w:pStyle w:val="2"/>
        <w:spacing w:before="27" w:line="420" w:lineRule="exact"/>
        <w:ind w:right="-17" w:firstLine="420" w:firstLineChars="175"/>
        <w:rPr>
          <w:color w:val="000000"/>
          <w:sz w:val="24"/>
        </w:rPr>
      </w:pPr>
      <w:r>
        <w:rPr>
          <w:color w:val="000000"/>
          <w:sz w:val="24"/>
        </w:rPr>
        <w:t>3. 签约合同价：人民币（大写）</w:t>
      </w:r>
      <w:r>
        <w:rPr>
          <w:color w:val="000000"/>
          <w:sz w:val="24"/>
          <w:u w:val="single"/>
        </w:rPr>
        <w:t xml:space="preserve">              </w:t>
      </w:r>
      <w:r>
        <w:rPr>
          <w:color w:val="000000"/>
          <w:sz w:val="24"/>
        </w:rPr>
        <w:t xml:space="preserve">元（¥ </w:t>
      </w:r>
      <w:r>
        <w:rPr>
          <w:color w:val="000000"/>
          <w:sz w:val="24"/>
          <w:u w:val="single"/>
        </w:rPr>
        <w:t xml:space="preserve">            </w:t>
      </w:r>
      <w:r>
        <w:rPr>
          <w:color w:val="000000"/>
          <w:sz w:val="24"/>
        </w:rPr>
        <w:t>）。</w:t>
      </w:r>
    </w:p>
    <w:p>
      <w:pPr>
        <w:pStyle w:val="2"/>
        <w:tabs>
          <w:tab w:val="left" w:pos="5440"/>
        </w:tabs>
        <w:spacing w:before="129" w:line="420" w:lineRule="exact"/>
        <w:ind w:firstLine="420" w:firstLineChars="175"/>
        <w:rPr>
          <w:color w:val="000000"/>
          <w:sz w:val="24"/>
        </w:rPr>
      </w:pPr>
      <w:r>
        <w:rPr>
          <w:color w:val="000000"/>
          <w:sz w:val="24"/>
        </w:rPr>
        <w:t>其中：施工阶段（包括施工准备阶段）</w:t>
      </w:r>
      <w:r>
        <w:rPr>
          <w:color w:val="000000"/>
          <w:sz w:val="24"/>
          <w:u w:val="single"/>
        </w:rPr>
        <w:t xml:space="preserve">             </w:t>
      </w:r>
      <w:r>
        <w:rPr>
          <w:color w:val="000000"/>
          <w:sz w:val="24"/>
        </w:rPr>
        <w:t>元；</w:t>
      </w:r>
    </w:p>
    <w:p>
      <w:pPr>
        <w:pStyle w:val="2"/>
        <w:tabs>
          <w:tab w:val="left" w:pos="5440"/>
        </w:tabs>
        <w:spacing w:before="129" w:line="420" w:lineRule="exact"/>
        <w:ind w:firstLine="420" w:firstLineChars="175"/>
        <w:rPr>
          <w:color w:val="000000"/>
          <w:sz w:val="24"/>
        </w:rPr>
      </w:pPr>
      <w:r>
        <w:rPr>
          <w:color w:val="000000"/>
          <w:sz w:val="24"/>
        </w:rPr>
        <w:t xml:space="preserve">      验收与缺陷责任期阶段</w:t>
      </w:r>
      <w:r>
        <w:rPr>
          <w:color w:val="000000"/>
          <w:sz w:val="24"/>
          <w:u w:val="single"/>
        </w:rPr>
        <w:t xml:space="preserve">                </w:t>
      </w:r>
      <w:r>
        <w:rPr>
          <w:color w:val="000000"/>
          <w:sz w:val="24"/>
        </w:rPr>
        <w:t>元；</w:t>
      </w:r>
    </w:p>
    <w:p>
      <w:pPr>
        <w:pStyle w:val="2"/>
        <w:tabs>
          <w:tab w:val="left" w:pos="5440"/>
        </w:tabs>
        <w:spacing w:before="129" w:line="420" w:lineRule="exact"/>
        <w:ind w:firstLine="420" w:firstLineChars="175"/>
        <w:rPr>
          <w:color w:val="000000"/>
          <w:sz w:val="24"/>
        </w:rPr>
      </w:pPr>
      <w:r>
        <w:rPr>
          <w:color w:val="000000"/>
          <w:sz w:val="24"/>
        </w:rPr>
        <w:t>4.总监理工程师或驻地监理工程师：</w:t>
      </w:r>
      <w:r>
        <w:rPr>
          <w:color w:val="000000"/>
          <w:sz w:val="24"/>
          <w:u w:val="single"/>
        </w:rPr>
        <w:t xml:space="preserve">              </w:t>
      </w:r>
      <w:r>
        <w:rPr>
          <w:color w:val="000000"/>
          <w:sz w:val="24"/>
        </w:rPr>
        <w:t>。</w:t>
      </w:r>
    </w:p>
    <w:p>
      <w:pPr>
        <w:pStyle w:val="2"/>
        <w:tabs>
          <w:tab w:val="left" w:pos="5440"/>
        </w:tabs>
        <w:spacing w:before="129" w:after="0" w:line="420" w:lineRule="exact"/>
        <w:ind w:firstLine="420" w:firstLineChars="175"/>
        <w:rPr>
          <w:color w:val="000000"/>
          <w:sz w:val="24"/>
        </w:rPr>
      </w:pPr>
      <w:r>
        <w:rPr>
          <w:color w:val="000000"/>
          <w:sz w:val="24"/>
        </w:rPr>
        <w:t>5.监理工作质量符合的标准和要求：</w:t>
      </w:r>
      <w:r>
        <w:rPr>
          <w:color w:val="000000"/>
          <w:sz w:val="24"/>
          <w:u w:val="single"/>
        </w:rPr>
        <w:t xml:space="preserve">              </w:t>
      </w:r>
      <w:r>
        <w:rPr>
          <w:color w:val="000000"/>
          <w:sz w:val="24"/>
        </w:rPr>
        <w:t>；安全目标：</w:t>
      </w:r>
      <w:r>
        <w:rPr>
          <w:color w:val="000000"/>
          <w:sz w:val="24"/>
          <w:u w:val="single"/>
        </w:rPr>
        <w:t xml:space="preserve">             </w:t>
      </w:r>
      <w:r>
        <w:rPr>
          <w:color w:val="000000"/>
          <w:sz w:val="24"/>
        </w:rPr>
        <w:t>。</w:t>
      </w:r>
    </w:p>
    <w:p>
      <w:pPr>
        <w:pStyle w:val="2"/>
        <w:tabs>
          <w:tab w:val="left" w:pos="5440"/>
        </w:tabs>
        <w:spacing w:before="129" w:after="0" w:line="420" w:lineRule="exact"/>
        <w:ind w:firstLine="420" w:firstLineChars="175"/>
        <w:rPr>
          <w:color w:val="000000"/>
          <w:sz w:val="24"/>
        </w:rPr>
      </w:pPr>
      <w:r>
        <w:rPr>
          <w:color w:val="000000"/>
          <w:sz w:val="24"/>
        </w:rPr>
        <w:t>6.监理人承诺按合同约定承担工程的施工监理。</w:t>
      </w:r>
    </w:p>
    <w:p>
      <w:pPr>
        <w:pStyle w:val="2"/>
        <w:tabs>
          <w:tab w:val="left" w:pos="5440"/>
        </w:tabs>
        <w:spacing w:before="129" w:after="0" w:line="420" w:lineRule="exact"/>
        <w:ind w:firstLine="420" w:firstLineChars="175"/>
        <w:rPr>
          <w:sz w:val="24"/>
        </w:rPr>
      </w:pPr>
      <w:r>
        <w:rPr>
          <w:sz w:val="24"/>
        </w:rPr>
        <w:t>7.委托人承诺按合同约定的条件、时间和方式向监理人支付合同价款。</w:t>
      </w:r>
    </w:p>
    <w:p>
      <w:pPr>
        <w:pStyle w:val="2"/>
        <w:tabs>
          <w:tab w:val="left" w:pos="5440"/>
        </w:tabs>
        <w:spacing w:before="129" w:after="0" w:line="420" w:lineRule="exact"/>
        <w:ind w:firstLine="420" w:firstLineChars="175"/>
        <w:rPr>
          <w:sz w:val="24"/>
        </w:rPr>
      </w:pPr>
      <w:r>
        <w:rPr>
          <w:sz w:val="24"/>
        </w:rPr>
        <w:t>8.监理人计划开始监理日期：</w:t>
      </w:r>
      <w:r>
        <w:rPr>
          <w:sz w:val="24"/>
          <w:u w:val="single"/>
        </w:rPr>
        <w:t xml:space="preserve">  </w:t>
      </w:r>
      <w:r>
        <w:rPr>
          <w:rFonts w:hint="eastAsia"/>
          <w:sz w:val="24"/>
          <w:u w:val="single"/>
        </w:rPr>
        <w:t xml:space="preserve">     </w:t>
      </w:r>
      <w:r>
        <w:rPr>
          <w:sz w:val="24"/>
          <w:u w:val="single"/>
        </w:rPr>
        <w:t xml:space="preserve">  </w:t>
      </w:r>
      <w:r>
        <w:rPr>
          <w:sz w:val="24"/>
        </w:rPr>
        <w:t>，实际日期按照合同条款中约定的开始监理日期为准。监理服务期限：</w:t>
      </w:r>
      <w:r>
        <w:rPr>
          <w:sz w:val="24"/>
          <w:u w:val="single"/>
        </w:rPr>
        <w:t xml:space="preserve"> </w:t>
      </w:r>
      <w:r>
        <w:rPr>
          <w:rFonts w:hint="eastAsia"/>
          <w:sz w:val="24"/>
          <w:u w:val="single"/>
        </w:rPr>
        <w:t xml:space="preserve">     </w:t>
      </w:r>
      <w:r>
        <w:rPr>
          <w:sz w:val="24"/>
          <w:u w:val="single"/>
        </w:rPr>
        <w:t xml:space="preserve"> </w:t>
      </w:r>
      <w:r>
        <w:rPr>
          <w:rFonts w:hint="eastAsia"/>
          <w:sz w:val="24"/>
        </w:rPr>
        <w:t>日历天</w:t>
      </w:r>
      <w:r>
        <w:rPr>
          <w:sz w:val="24"/>
        </w:rPr>
        <w:t>，其中：施工阶段（含施工准备阶段）监理</w:t>
      </w:r>
      <w:r>
        <w:rPr>
          <w:sz w:val="24"/>
          <w:u w:val="single"/>
        </w:rPr>
        <w:t xml:space="preserve"> </w:t>
      </w:r>
      <w:r>
        <w:rPr>
          <w:rFonts w:hint="eastAsia"/>
          <w:sz w:val="24"/>
          <w:u w:val="single"/>
        </w:rPr>
        <w:t xml:space="preserve">    </w:t>
      </w:r>
      <w:r>
        <w:rPr>
          <w:sz w:val="24"/>
          <w:u w:val="single"/>
        </w:rPr>
        <w:t xml:space="preserve"> </w:t>
      </w:r>
      <w:r>
        <w:rPr>
          <w:rFonts w:hint="eastAsia"/>
          <w:sz w:val="24"/>
        </w:rPr>
        <w:t>日历天</w:t>
      </w:r>
      <w:r>
        <w:rPr>
          <w:sz w:val="24"/>
        </w:rPr>
        <w:t>，验收与缺陷责任期阶段监理</w:t>
      </w:r>
      <w:r>
        <w:rPr>
          <w:sz w:val="24"/>
          <w:u w:val="single"/>
        </w:rPr>
        <w:t xml:space="preserve"> </w:t>
      </w:r>
      <w:r>
        <w:rPr>
          <w:rFonts w:hint="eastAsia"/>
          <w:sz w:val="24"/>
          <w:u w:val="single"/>
        </w:rPr>
        <w:t xml:space="preserve">    </w:t>
      </w:r>
      <w:r>
        <w:rPr>
          <w:sz w:val="24"/>
          <w:u w:val="single"/>
        </w:rPr>
        <w:t xml:space="preserve">  </w:t>
      </w:r>
      <w:r>
        <w:rPr>
          <w:rFonts w:hint="eastAsia"/>
          <w:sz w:val="24"/>
        </w:rPr>
        <w:t>日历天</w:t>
      </w:r>
      <w:r>
        <w:rPr>
          <w:sz w:val="24"/>
        </w:rPr>
        <w:t>。</w:t>
      </w:r>
      <w:r>
        <w:rPr>
          <w:rFonts w:hint="eastAsia"/>
          <w:sz w:val="24"/>
        </w:rPr>
        <w:t xml:space="preserve"> </w:t>
      </w:r>
    </w:p>
    <w:p>
      <w:pPr>
        <w:pStyle w:val="2"/>
        <w:spacing w:after="0" w:line="420" w:lineRule="exact"/>
        <w:ind w:right="218" w:firstLine="420" w:firstLineChars="175"/>
        <w:rPr>
          <w:sz w:val="24"/>
        </w:rPr>
      </w:pPr>
      <w:r>
        <w:rPr>
          <w:sz w:val="24"/>
        </w:rPr>
        <w:t>9. 本协议书在监理人提供履约保证金后，由双方法定代表人或其委托代理人签署并加盖单位章后生效。全部工程完工后经交工验收合格、缺陷责任期满签发缺陷责任终止证书后失效。</w:t>
      </w:r>
    </w:p>
    <w:p>
      <w:pPr>
        <w:pStyle w:val="2"/>
        <w:tabs>
          <w:tab w:val="left" w:pos="4303"/>
          <w:tab w:val="left" w:pos="8387"/>
        </w:tabs>
        <w:spacing w:before="44" w:after="0" w:line="420" w:lineRule="exact"/>
        <w:ind w:right="109" w:firstLine="420" w:firstLineChars="175"/>
        <w:rPr>
          <w:color w:val="000000"/>
          <w:sz w:val="24"/>
        </w:rPr>
      </w:pPr>
      <w:r>
        <w:rPr>
          <w:color w:val="000000"/>
          <w:sz w:val="24"/>
        </w:rPr>
        <w:t>10. 本协议书正本二份、副本</w:t>
      </w:r>
      <w:r>
        <w:rPr>
          <w:color w:val="000000"/>
          <w:sz w:val="24"/>
          <w:u w:val="single"/>
        </w:rPr>
        <w:tab/>
      </w:r>
      <w:r>
        <w:rPr>
          <w:color w:val="000000"/>
          <w:sz w:val="24"/>
        </w:rPr>
        <w:t>份，合同双方各执正本一份，副本</w:t>
      </w:r>
      <w:r>
        <w:rPr>
          <w:color w:val="000000"/>
          <w:sz w:val="24"/>
          <w:u w:val="single"/>
        </w:rPr>
        <w:tab/>
      </w:r>
      <w:r>
        <w:rPr>
          <w:color w:val="000000"/>
          <w:sz w:val="24"/>
        </w:rPr>
        <w:t>份， 当正本与副本的内容不一致时，以正本为准。</w:t>
      </w:r>
    </w:p>
    <w:p>
      <w:pPr>
        <w:pStyle w:val="2"/>
        <w:spacing w:before="55" w:after="0" w:line="420" w:lineRule="exact"/>
        <w:ind w:firstLine="420" w:firstLineChars="175"/>
        <w:rPr>
          <w:color w:val="000000"/>
          <w:sz w:val="24"/>
        </w:rPr>
      </w:pPr>
      <w:r>
        <w:rPr>
          <w:color w:val="000000"/>
          <w:sz w:val="24"/>
        </w:rPr>
        <w:t>11. 合同未尽事宜，双方另行签订补充协议。补充协议是合同的组成部分。</w:t>
      </w:r>
    </w:p>
    <w:p>
      <w:pPr>
        <w:pStyle w:val="2"/>
        <w:tabs>
          <w:tab w:val="left" w:pos="2885"/>
          <w:tab w:val="left" w:pos="4470"/>
          <w:tab w:val="left" w:pos="7155"/>
        </w:tabs>
        <w:spacing w:after="0" w:line="420" w:lineRule="exact"/>
        <w:ind w:right="203" w:firstLine="420" w:firstLineChars="175"/>
        <w:rPr>
          <w:color w:val="000000"/>
          <w:sz w:val="24"/>
        </w:rPr>
      </w:pPr>
      <w:r>
        <w:rPr>
          <w:color w:val="000000"/>
          <w:sz w:val="24"/>
        </w:rPr>
        <w:t>委托人：</w:t>
      </w:r>
      <w:r>
        <w:rPr>
          <w:color w:val="000000"/>
          <w:sz w:val="24"/>
          <w:u w:val="single"/>
        </w:rPr>
        <w:tab/>
      </w:r>
      <w:r>
        <w:rPr>
          <w:color w:val="000000"/>
          <w:sz w:val="24"/>
        </w:rPr>
        <w:t>（ 盖单位章）</w:t>
      </w:r>
      <w:r>
        <w:rPr>
          <w:color w:val="000000"/>
          <w:sz w:val="24"/>
        </w:rPr>
        <w:tab/>
      </w:r>
      <w:r>
        <w:rPr>
          <w:color w:val="000000"/>
          <w:sz w:val="24"/>
        </w:rPr>
        <w:t>监理人：</w:t>
      </w:r>
      <w:r>
        <w:rPr>
          <w:color w:val="000000"/>
          <w:sz w:val="24"/>
          <w:u w:val="single"/>
        </w:rPr>
        <w:tab/>
      </w:r>
      <w:r>
        <w:rPr>
          <w:color w:val="000000"/>
          <w:sz w:val="24"/>
        </w:rPr>
        <w:t>（盖单位章） 法定代表人或其委托代理人：</w:t>
      </w:r>
      <w:r>
        <w:rPr>
          <w:color w:val="000000"/>
          <w:sz w:val="24"/>
          <w:u w:val="single"/>
        </w:rPr>
        <w:t xml:space="preserve">   </w:t>
      </w:r>
      <w:r>
        <w:rPr>
          <w:color w:val="000000"/>
          <w:sz w:val="24"/>
        </w:rPr>
        <w:t>（签字）</w:t>
      </w:r>
      <w:r>
        <w:rPr>
          <w:color w:val="000000"/>
          <w:sz w:val="24"/>
        </w:rPr>
        <w:tab/>
      </w:r>
      <w:r>
        <w:rPr>
          <w:color w:val="000000"/>
          <w:sz w:val="24"/>
        </w:rPr>
        <w:t>法定代表人或其委托代理人:</w:t>
      </w:r>
      <w:r>
        <w:rPr>
          <w:color w:val="000000"/>
          <w:sz w:val="24"/>
          <w:u w:val="single"/>
        </w:rPr>
        <w:t xml:space="preserve">    </w:t>
      </w:r>
      <w:r>
        <w:rPr>
          <w:color w:val="000000"/>
          <w:sz w:val="24"/>
        </w:rPr>
        <w:t>（签字）</w:t>
      </w:r>
    </w:p>
    <w:p>
      <w:pPr>
        <w:pStyle w:val="2"/>
        <w:tabs>
          <w:tab w:val="left" w:pos="5675"/>
        </w:tabs>
        <w:spacing w:before="102" w:after="0" w:line="420" w:lineRule="exact"/>
        <w:ind w:firstLine="420" w:firstLineChars="175"/>
        <w:rPr>
          <w:color w:val="000000"/>
          <w:sz w:val="24"/>
        </w:rPr>
      </w:pP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 xml:space="preserve">日            </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 xml:space="preserve"> 日</w:t>
      </w:r>
    </w:p>
    <w:p>
      <w:pPr>
        <w:pStyle w:val="2"/>
        <w:tabs>
          <w:tab w:val="left" w:pos="5675"/>
        </w:tabs>
        <w:spacing w:before="102" w:after="0" w:line="420" w:lineRule="exact"/>
        <w:rPr>
          <w:color w:val="000000"/>
          <w:sz w:val="24"/>
        </w:rPr>
        <w:sectPr>
          <w:pgSz w:w="11906" w:h="16838"/>
          <w:pgMar w:top="1304" w:right="1304" w:bottom="1304" w:left="1361" w:header="907" w:footer="907" w:gutter="0"/>
          <w:cols w:space="720" w:num="1"/>
        </w:sectPr>
      </w:pPr>
    </w:p>
    <w:p>
      <w:pPr>
        <w:pStyle w:val="2"/>
        <w:spacing w:before="180" w:line="420" w:lineRule="exact"/>
        <w:ind w:left="155" w:right="-18"/>
        <w:rPr>
          <w:color w:val="000000"/>
          <w:sz w:val="24"/>
        </w:rPr>
      </w:pPr>
      <w:r>
        <w:rPr>
          <w:color w:val="000000"/>
          <w:sz w:val="24"/>
        </w:rPr>
        <w:t>附件二 廉政合同</w:t>
      </w:r>
    </w:p>
    <w:p>
      <w:pPr>
        <w:spacing w:before="187" w:line="420" w:lineRule="exact"/>
        <w:ind w:left="156"/>
        <w:jc w:val="center"/>
        <w:rPr>
          <w:sz w:val="24"/>
        </w:rPr>
      </w:pPr>
      <w:r>
        <w:rPr>
          <w:sz w:val="24"/>
        </w:rPr>
        <w:t>廉 政 合 同</w:t>
      </w:r>
    </w:p>
    <w:p>
      <w:pPr>
        <w:spacing w:line="420" w:lineRule="exact"/>
        <w:ind w:firstLine="638" w:firstLineChars="266"/>
        <w:rPr>
          <w:color w:val="000000"/>
          <w:sz w:val="24"/>
        </w:rPr>
      </w:pPr>
      <w:r>
        <w:rPr>
          <w:color w:val="000000"/>
          <w:sz w:val="24"/>
        </w:rPr>
        <w:t>（本格式编排在招标文件中，供投标人参考，投标时不需附此表）</w:t>
      </w:r>
    </w:p>
    <w:p>
      <w:pPr>
        <w:pStyle w:val="2"/>
        <w:tabs>
          <w:tab w:val="left" w:pos="2291"/>
          <w:tab w:val="left" w:pos="3116"/>
          <w:tab w:val="left" w:pos="7029"/>
          <w:tab w:val="left" w:pos="8050"/>
        </w:tabs>
        <w:spacing w:before="29" w:line="420" w:lineRule="exact"/>
        <w:ind w:right="139" w:firstLine="638" w:firstLineChars="266"/>
        <w:rPr>
          <w:color w:val="000000"/>
          <w:sz w:val="24"/>
        </w:rPr>
      </w:pPr>
      <w:r>
        <w:rPr>
          <w:color w:val="000000"/>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color w:val="000000"/>
          <w:sz w:val="24"/>
          <w:u w:val="single"/>
        </w:rPr>
        <w:tab/>
      </w:r>
      <w:r>
        <w:rPr>
          <w:color w:val="000000"/>
          <w:sz w:val="24"/>
        </w:rPr>
        <w:t>（项目名称）的项 目法人</w:t>
      </w:r>
      <w:r>
        <w:rPr>
          <w:color w:val="000000"/>
          <w:sz w:val="24"/>
          <w:u w:val="single"/>
        </w:rPr>
        <w:tab/>
      </w:r>
      <w:r>
        <w:rPr>
          <w:color w:val="000000"/>
          <w:sz w:val="24"/>
        </w:rPr>
        <w:t>（项目法人名称，以下简称“委托人”）与该项目的施工监理单位</w:t>
      </w:r>
      <w:r>
        <w:rPr>
          <w:color w:val="000000"/>
          <w:sz w:val="24"/>
          <w:u w:val="single" w:color="000000"/>
        </w:rPr>
        <w:t xml:space="preserve"> </w:t>
      </w:r>
      <w:r>
        <w:rPr>
          <w:color w:val="000000"/>
          <w:sz w:val="24"/>
          <w:u w:val="single" w:color="000000"/>
        </w:rPr>
        <w:tab/>
      </w:r>
      <w:r>
        <w:rPr>
          <w:color w:val="000000"/>
          <w:sz w:val="24"/>
          <w:u w:val="single" w:color="000000"/>
        </w:rPr>
        <w:tab/>
      </w:r>
      <w:r>
        <w:rPr>
          <w:color w:val="000000"/>
          <w:sz w:val="24"/>
        </w:rPr>
        <w:t>（施工监理单位名称，以下简称“监理人”），特订立如下合同。</w:t>
      </w:r>
    </w:p>
    <w:p>
      <w:pPr>
        <w:pStyle w:val="2"/>
        <w:spacing w:before="21" w:line="420" w:lineRule="exact"/>
        <w:ind w:right="16" w:firstLine="638" w:firstLineChars="266"/>
        <w:rPr>
          <w:color w:val="000000"/>
          <w:sz w:val="24"/>
        </w:rPr>
      </w:pPr>
      <w:r>
        <w:rPr>
          <w:color w:val="000000"/>
          <w:sz w:val="24"/>
        </w:rPr>
        <w:t>1. 委托人和监理人双方的权利和义务</w:t>
      </w:r>
    </w:p>
    <w:p>
      <w:pPr>
        <w:pStyle w:val="2"/>
        <w:spacing w:before="75" w:line="420" w:lineRule="exact"/>
        <w:ind w:right="16" w:firstLine="638" w:firstLineChars="266"/>
        <w:rPr>
          <w:color w:val="000000"/>
          <w:sz w:val="24"/>
        </w:rPr>
      </w:pPr>
      <w:r>
        <w:rPr>
          <w:color w:val="000000"/>
          <w:sz w:val="24"/>
        </w:rPr>
        <w:t>(1)严格遵守党的政策规定和国家有关法律法规及交通运输部的有关规定。</w:t>
      </w:r>
    </w:p>
    <w:p>
      <w:pPr>
        <w:pStyle w:val="2"/>
        <w:tabs>
          <w:tab w:val="left" w:pos="3539"/>
        </w:tabs>
        <w:spacing w:before="108" w:line="420" w:lineRule="exact"/>
        <w:ind w:right="283" w:firstLine="638" w:firstLineChars="266"/>
        <w:rPr>
          <w:color w:val="000000"/>
          <w:sz w:val="24"/>
        </w:rPr>
      </w:pPr>
      <w:r>
        <w:rPr>
          <w:color w:val="000000"/>
          <w:sz w:val="24"/>
        </w:rPr>
        <w:t>(2)严格执行</w:t>
      </w:r>
      <w:r>
        <w:rPr>
          <w:color w:val="000000"/>
          <w:sz w:val="24"/>
          <w:u w:val="single"/>
        </w:rPr>
        <w:tab/>
      </w:r>
      <w:r>
        <w:rPr>
          <w:color w:val="000000"/>
          <w:sz w:val="24"/>
        </w:rPr>
        <w:t>（项目名称</w:t>
      </w:r>
      <w:r>
        <w:rPr>
          <w:sz w:val="24"/>
        </w:rPr>
        <w:t>）施工监</w:t>
      </w:r>
      <w:r>
        <w:rPr>
          <w:color w:val="000000"/>
          <w:sz w:val="24"/>
        </w:rPr>
        <w:t>理合同文件，自觉按合同办事。</w:t>
      </w:r>
    </w:p>
    <w:p>
      <w:pPr>
        <w:pStyle w:val="2"/>
        <w:spacing w:before="44" w:line="420" w:lineRule="exact"/>
        <w:ind w:right="314" w:firstLine="638" w:firstLineChars="266"/>
        <w:rPr>
          <w:color w:val="000000"/>
          <w:sz w:val="24"/>
        </w:rPr>
      </w:pPr>
      <w:r>
        <w:rPr>
          <w:color w:val="000000"/>
          <w:sz w:val="24"/>
        </w:rPr>
        <w:t>(3)双方的业务活动坚持公开、公正、诚信、透明的原则（法律认定的商业秘密和合同文件另有规定除外），不得损害国家和集体利益，不得违反工程建设管理规章制度。</w:t>
      </w:r>
    </w:p>
    <w:p>
      <w:pPr>
        <w:pStyle w:val="2"/>
        <w:spacing w:before="14" w:line="420" w:lineRule="exact"/>
        <w:ind w:right="287" w:firstLine="638" w:firstLineChars="266"/>
        <w:rPr>
          <w:color w:val="000000"/>
          <w:sz w:val="24"/>
        </w:rPr>
      </w:pPr>
      <w:r>
        <w:rPr>
          <w:color w:val="000000"/>
          <w:sz w:val="24"/>
        </w:rPr>
        <w:t>(4)建立健全廉政制度，开展廉政教育，设立廉政告示牌，公布举报电话，监督并认真查处违法违纪行为。</w:t>
      </w:r>
    </w:p>
    <w:p>
      <w:pPr>
        <w:pStyle w:val="2"/>
        <w:spacing w:before="35" w:line="420" w:lineRule="exact"/>
        <w:ind w:right="346" w:firstLine="638" w:firstLineChars="266"/>
        <w:rPr>
          <w:color w:val="000000"/>
          <w:sz w:val="24"/>
        </w:rPr>
      </w:pPr>
      <w:r>
        <w:rPr>
          <w:color w:val="000000"/>
          <w:sz w:val="24"/>
        </w:rPr>
        <w:t>(5)发现对方在业务活动中有违反廉政规定的行为，有及时提醒对方纠正的权利和义务。</w:t>
      </w:r>
    </w:p>
    <w:p>
      <w:pPr>
        <w:pStyle w:val="2"/>
        <w:spacing w:before="26" w:line="420" w:lineRule="exact"/>
        <w:ind w:right="247" w:firstLine="638" w:firstLineChars="266"/>
        <w:rPr>
          <w:color w:val="000000"/>
          <w:sz w:val="24"/>
        </w:rPr>
      </w:pPr>
      <w:r>
        <w:rPr>
          <w:color w:val="000000"/>
          <w:sz w:val="24"/>
        </w:rPr>
        <w:t>(6)发现对方严重违反本合同义务条款的行为，有向其上级有关部门举报、建议给予处理并要求告知处理结果的权利。</w:t>
      </w:r>
    </w:p>
    <w:p>
      <w:pPr>
        <w:spacing w:before="38" w:line="420" w:lineRule="exact"/>
        <w:ind w:right="16" w:firstLine="638" w:firstLineChars="266"/>
        <w:rPr>
          <w:color w:val="000000"/>
          <w:sz w:val="24"/>
        </w:rPr>
      </w:pPr>
      <w:r>
        <w:rPr>
          <w:color w:val="000000"/>
          <w:sz w:val="24"/>
        </w:rPr>
        <w:t>2. 委托人的义务</w:t>
      </w:r>
    </w:p>
    <w:p>
      <w:pPr>
        <w:pStyle w:val="2"/>
        <w:spacing w:before="85" w:line="420" w:lineRule="exact"/>
        <w:ind w:right="320" w:firstLine="638" w:firstLineChars="266"/>
        <w:rPr>
          <w:color w:val="000000"/>
          <w:sz w:val="24"/>
        </w:rPr>
      </w:pPr>
      <w:r>
        <w:rPr>
          <w:color w:val="000000"/>
          <w:sz w:val="24"/>
        </w:rPr>
        <w:t>(1) 委托人及其工作人员不得索要或接受监理人的礼金、有价证券和贵重物品，不得让监理人报销任何应由委托人或委托人工作人员个人支付的费用等。</w:t>
      </w:r>
    </w:p>
    <w:p>
      <w:pPr>
        <w:pStyle w:val="2"/>
        <w:spacing w:before="31" w:line="420" w:lineRule="exact"/>
        <w:ind w:right="328" w:firstLine="638" w:firstLineChars="266"/>
        <w:rPr>
          <w:color w:val="000000"/>
          <w:sz w:val="24"/>
        </w:rPr>
      </w:pPr>
      <w:r>
        <w:rPr>
          <w:color w:val="000000"/>
          <w:sz w:val="24"/>
        </w:rPr>
        <w:t>(2) 委托人工作人员不得参加监理人安排的超标准宴请和娱乐活动；不得接 受监理人提供的通信工具、交通工具和高档办公用品等。</w:t>
      </w:r>
    </w:p>
    <w:p>
      <w:pPr>
        <w:pStyle w:val="2"/>
        <w:spacing w:before="21" w:line="420" w:lineRule="exact"/>
        <w:ind w:right="346" w:firstLine="638" w:firstLineChars="266"/>
        <w:rPr>
          <w:color w:val="000000"/>
          <w:sz w:val="24"/>
        </w:rPr>
      </w:pPr>
      <w:r>
        <w:rPr>
          <w:color w:val="000000"/>
          <w:sz w:val="24"/>
        </w:rPr>
        <w:t>(3) 委托人及其工作人员不得要求或者接受监理人为其住房装修、婚丧嫁娶 活动、配偶子女的工作安排以及出国出境、旅游等提供方便等。</w:t>
      </w:r>
    </w:p>
    <w:p>
      <w:pPr>
        <w:pStyle w:val="2"/>
        <w:spacing w:before="35" w:line="420" w:lineRule="exact"/>
        <w:ind w:right="314" w:firstLine="638" w:firstLineChars="266"/>
        <w:rPr>
          <w:color w:val="000000"/>
          <w:sz w:val="24"/>
        </w:rPr>
      </w:pPr>
      <w:r>
        <w:rPr>
          <w:color w:val="000000"/>
          <w:sz w:val="24"/>
        </w:rPr>
        <w:t>(4) 委托人工作人员及其配偶、子女不得从事与委托人工程有关的材料设备供应、工程分包、劳务等经济活动等。</w:t>
      </w:r>
    </w:p>
    <w:p>
      <w:pPr>
        <w:pStyle w:val="2"/>
        <w:spacing w:before="33" w:line="420" w:lineRule="exact"/>
        <w:ind w:right="86" w:firstLine="638" w:firstLineChars="266"/>
        <w:rPr>
          <w:color w:val="000000"/>
          <w:sz w:val="24"/>
        </w:rPr>
      </w:pPr>
      <w:r>
        <w:rPr>
          <w:color w:val="000000"/>
          <w:sz w:val="24"/>
        </w:rPr>
        <w:t>(5) 委托人及其工作人员不得以任何理由向监理人推荐分包单位或推销材料，不得要求监理人购买合同规定外的材料和设备。</w:t>
      </w:r>
    </w:p>
    <w:p>
      <w:pPr>
        <w:pStyle w:val="2"/>
        <w:spacing w:before="33" w:line="420" w:lineRule="exact"/>
        <w:ind w:right="86" w:firstLine="638" w:firstLineChars="266"/>
        <w:rPr>
          <w:color w:val="000000"/>
          <w:sz w:val="24"/>
        </w:rPr>
      </w:pPr>
      <w:r>
        <w:rPr>
          <w:color w:val="000000"/>
          <w:sz w:val="24"/>
        </w:rPr>
        <w:t>(6) 委托人工作人员要秉公办事，不准营私舞弊，不准利用职权从事各种个人有偿中介活动和安排个人施工监理队伍。</w:t>
      </w:r>
    </w:p>
    <w:p>
      <w:pPr>
        <w:pStyle w:val="2"/>
        <w:spacing w:before="35" w:line="420" w:lineRule="exact"/>
        <w:ind w:right="16" w:firstLine="638" w:firstLineChars="266"/>
        <w:rPr>
          <w:color w:val="000000"/>
          <w:sz w:val="24"/>
        </w:rPr>
      </w:pPr>
      <w:r>
        <w:rPr>
          <w:color w:val="000000"/>
          <w:sz w:val="24"/>
        </w:rPr>
        <w:t>3. 监理人的义务</w:t>
      </w:r>
    </w:p>
    <w:p>
      <w:pPr>
        <w:pStyle w:val="2"/>
        <w:spacing w:before="75" w:line="420" w:lineRule="exact"/>
        <w:ind w:right="333" w:firstLine="638" w:firstLineChars="266"/>
        <w:rPr>
          <w:color w:val="000000"/>
          <w:sz w:val="24"/>
        </w:rPr>
      </w:pPr>
      <w:r>
        <w:rPr>
          <w:color w:val="000000"/>
          <w:sz w:val="24"/>
        </w:rPr>
        <w:t>(1)监理人不得以任何理由向委托人及其工作人员行贿或馈赠礼金、有价证券、贵重礼品。</w:t>
      </w:r>
    </w:p>
    <w:p>
      <w:pPr>
        <w:pStyle w:val="2"/>
        <w:spacing w:before="26" w:line="420" w:lineRule="exact"/>
        <w:ind w:right="16" w:firstLine="638" w:firstLineChars="266"/>
        <w:rPr>
          <w:color w:val="000000"/>
          <w:sz w:val="24"/>
        </w:rPr>
      </w:pPr>
      <w:r>
        <w:rPr>
          <w:color w:val="000000"/>
          <w:sz w:val="24"/>
        </w:rPr>
        <w:t>(2)监理人不得以任何名义为委托人及其工作人员报销应由委托人单位或个人支付的任何费用。</w:t>
      </w:r>
    </w:p>
    <w:p>
      <w:pPr>
        <w:pStyle w:val="2"/>
        <w:spacing w:before="26" w:line="420" w:lineRule="exact"/>
        <w:ind w:right="16" w:firstLine="638" w:firstLineChars="266"/>
        <w:rPr>
          <w:color w:val="000000"/>
          <w:sz w:val="24"/>
        </w:rPr>
      </w:pPr>
      <w:r>
        <w:rPr>
          <w:color w:val="000000"/>
          <w:sz w:val="24"/>
        </w:rPr>
        <w:t>(3)监理人不得以任何理由安排委托人工作人员参加超标准宴请及娱乐活动。</w:t>
      </w:r>
    </w:p>
    <w:p>
      <w:pPr>
        <w:pStyle w:val="2"/>
        <w:spacing w:before="91" w:line="420" w:lineRule="exact"/>
        <w:ind w:right="347" w:firstLine="638" w:firstLineChars="266"/>
        <w:rPr>
          <w:color w:val="000000"/>
          <w:sz w:val="24"/>
        </w:rPr>
      </w:pPr>
      <w:r>
        <w:rPr>
          <w:color w:val="000000"/>
          <w:sz w:val="24"/>
        </w:rPr>
        <w:t>(4)监理人不得为委托人单位和个人购置或提供通信工具、交通工具和高档办公用品等。</w:t>
      </w:r>
    </w:p>
    <w:p>
      <w:pPr>
        <w:pStyle w:val="2"/>
        <w:spacing w:before="30" w:after="0" w:line="420" w:lineRule="exact"/>
        <w:ind w:right="16" w:firstLine="638" w:firstLineChars="266"/>
        <w:rPr>
          <w:color w:val="000000"/>
          <w:sz w:val="24"/>
        </w:rPr>
      </w:pPr>
      <w:r>
        <w:rPr>
          <w:color w:val="000000"/>
          <w:sz w:val="24"/>
        </w:rPr>
        <w:t>4.  违约责任</w:t>
      </w:r>
    </w:p>
    <w:p>
      <w:pPr>
        <w:pStyle w:val="2"/>
        <w:spacing w:before="75" w:after="0" w:line="420" w:lineRule="exact"/>
        <w:ind w:right="321" w:firstLine="638" w:firstLineChars="266"/>
        <w:rPr>
          <w:color w:val="000000"/>
          <w:sz w:val="24"/>
        </w:rPr>
      </w:pPr>
      <w:r>
        <w:rPr>
          <w:color w:val="000000"/>
          <w:sz w:val="24"/>
        </w:rPr>
        <w:t>(1)委托人及其工作人员违反本合同第1、2 条，按管理权限，依据有关规定 给予党纪、政纪或组织处理；涉嫌犯罪的，移交司法机关追究刑事责任；给监理人单位造成经济损失的，应予以赔偿。</w:t>
      </w:r>
    </w:p>
    <w:p>
      <w:pPr>
        <w:pStyle w:val="2"/>
        <w:spacing w:before="21" w:after="0" w:line="420" w:lineRule="exact"/>
        <w:ind w:right="316" w:firstLine="638" w:firstLineChars="266"/>
        <w:rPr>
          <w:color w:val="000000"/>
          <w:sz w:val="24"/>
        </w:rPr>
      </w:pPr>
      <w:r>
        <w:rPr>
          <w:color w:val="000000"/>
          <w:sz w:val="24"/>
        </w:rPr>
        <w:t>(2)监理人及其工作人员违反本合同第1、3 条，按管理权限，依据有关规定给予党纪、政纪或组织处理；给委托人单位造成经济损失的，应予以赔偿；情节严重的，委托人建议交通运输主管部门给予监理人一至三年内不得进入其主管的公路建设市场的处罚。</w:t>
      </w:r>
    </w:p>
    <w:p>
      <w:pPr>
        <w:pStyle w:val="2"/>
        <w:spacing w:before="33" w:after="0" w:line="420" w:lineRule="exact"/>
        <w:ind w:right="16" w:firstLine="638" w:firstLineChars="266"/>
        <w:rPr>
          <w:color w:val="000000"/>
          <w:sz w:val="24"/>
        </w:rPr>
      </w:pPr>
      <w:r>
        <w:rPr>
          <w:color w:val="000000"/>
          <w:sz w:val="24"/>
        </w:rPr>
        <w:t>5. 双方约定：本合同由双方或双方上级单位的纪检监察部门负责监督执行。由委托人或委托人上级单位的纪检监察部门约请监理人或监理人上级单位纪检监察部门对本合同执行情况进行检查，提出在本合同规定范围内的裁定意见。</w:t>
      </w:r>
    </w:p>
    <w:p>
      <w:pPr>
        <w:pStyle w:val="2"/>
        <w:spacing w:before="28" w:after="0" w:line="420" w:lineRule="exact"/>
        <w:ind w:right="16" w:firstLine="638" w:firstLineChars="266"/>
        <w:rPr>
          <w:color w:val="000000"/>
          <w:sz w:val="24"/>
        </w:rPr>
      </w:pPr>
      <w:r>
        <w:rPr>
          <w:color w:val="000000"/>
          <w:sz w:val="24"/>
        </w:rPr>
        <w:t>6. 本合同有效期为委托人和监理人签署之日起至该工程项目竣工验收后止。</w:t>
      </w:r>
    </w:p>
    <w:p>
      <w:pPr>
        <w:pStyle w:val="2"/>
        <w:tabs>
          <w:tab w:val="left" w:pos="3501"/>
        </w:tabs>
        <w:spacing w:before="95" w:after="0" w:line="420" w:lineRule="exact"/>
        <w:ind w:right="316" w:firstLine="638" w:firstLineChars="266"/>
        <w:rPr>
          <w:color w:val="000000"/>
          <w:sz w:val="24"/>
        </w:rPr>
      </w:pPr>
      <w:r>
        <w:rPr>
          <w:color w:val="000000"/>
          <w:sz w:val="24"/>
        </w:rPr>
        <w:t>7. 本合同作为</w:t>
      </w:r>
      <w:r>
        <w:rPr>
          <w:color w:val="000000"/>
          <w:sz w:val="24"/>
          <w:u w:val="single"/>
        </w:rPr>
        <w:tab/>
      </w:r>
      <w:r>
        <w:rPr>
          <w:color w:val="000000"/>
          <w:sz w:val="24"/>
        </w:rPr>
        <w:t>（项目名称）施工监理合同的附件，与工程施工监理合同具有同等的法律效力，经合同双方签署后立即生效。</w:t>
      </w:r>
    </w:p>
    <w:p>
      <w:pPr>
        <w:pStyle w:val="2"/>
        <w:spacing w:before="40" w:after="0" w:line="420" w:lineRule="exact"/>
        <w:ind w:right="16" w:firstLine="638" w:firstLineChars="266"/>
        <w:rPr>
          <w:color w:val="000000"/>
          <w:sz w:val="24"/>
        </w:rPr>
      </w:pPr>
      <w:r>
        <w:rPr>
          <w:color w:val="000000"/>
          <w:sz w:val="24"/>
        </w:rPr>
        <w:t>8. 本合同一式四份，由委托人和监理人各执一份，送交委托人和监理人的监督单位各一份。</w:t>
      </w:r>
    </w:p>
    <w:p>
      <w:pPr>
        <w:spacing w:line="420" w:lineRule="exact"/>
        <w:ind w:firstLine="638" w:firstLineChars="266"/>
        <w:rPr>
          <w:color w:val="000000"/>
          <w:sz w:val="24"/>
        </w:rPr>
      </w:pPr>
    </w:p>
    <w:p>
      <w:pPr>
        <w:pStyle w:val="2"/>
        <w:tabs>
          <w:tab w:val="left" w:pos="2741"/>
          <w:tab w:val="left" w:pos="3002"/>
          <w:tab w:val="left" w:pos="4470"/>
          <w:tab w:val="left" w:pos="7410"/>
        </w:tabs>
        <w:spacing w:before="184" w:line="420" w:lineRule="exact"/>
        <w:ind w:right="307" w:firstLine="638" w:firstLineChars="266"/>
        <w:rPr>
          <w:color w:val="000000"/>
          <w:sz w:val="24"/>
        </w:rPr>
      </w:pPr>
      <w:r>
        <w:rPr>
          <w:color w:val="000000"/>
          <w:sz w:val="24"/>
        </w:rPr>
        <w:t>委托人：</w:t>
      </w:r>
      <w:r>
        <w:rPr>
          <w:color w:val="000000"/>
          <w:sz w:val="24"/>
          <w:u w:val="single" w:color="000000"/>
        </w:rPr>
        <w:tab/>
      </w:r>
      <w:r>
        <w:rPr>
          <w:color w:val="000000"/>
          <w:sz w:val="24"/>
          <w:u w:val="single"/>
        </w:rPr>
        <w:tab/>
      </w:r>
      <w:r>
        <w:rPr>
          <w:color w:val="000000"/>
          <w:sz w:val="24"/>
        </w:rPr>
        <w:t>（盖单位章）监理人：</w:t>
      </w:r>
      <w:r>
        <w:rPr>
          <w:color w:val="000000"/>
          <w:sz w:val="24"/>
          <w:u w:val="single" w:color="000000"/>
        </w:rPr>
        <w:tab/>
      </w:r>
      <w:r>
        <w:rPr>
          <w:color w:val="000000"/>
          <w:sz w:val="24"/>
        </w:rPr>
        <w:t>（盖单位章） 法定代表人或其委托代理人：</w:t>
      </w:r>
      <w:r>
        <w:rPr>
          <w:color w:val="000000"/>
          <w:sz w:val="24"/>
          <w:u w:val="single"/>
        </w:rPr>
        <w:t xml:space="preserve">   </w:t>
      </w:r>
      <w:r>
        <w:rPr>
          <w:color w:val="000000"/>
          <w:sz w:val="24"/>
        </w:rPr>
        <w:t>(签字)</w:t>
      </w:r>
      <w:r>
        <w:rPr>
          <w:color w:val="000000"/>
          <w:sz w:val="24"/>
        </w:rPr>
        <w:tab/>
      </w:r>
      <w:r>
        <w:rPr>
          <w:color w:val="000000"/>
          <w:sz w:val="24"/>
        </w:rPr>
        <w:t>法定代表人或其委托代理人：</w:t>
      </w:r>
      <w:r>
        <w:rPr>
          <w:color w:val="000000"/>
          <w:sz w:val="24"/>
          <w:u w:val="single"/>
        </w:rPr>
        <w:t xml:space="preserve">    </w:t>
      </w:r>
      <w:r>
        <w:rPr>
          <w:color w:val="000000"/>
          <w:sz w:val="24"/>
        </w:rPr>
        <w:t>(签字）</w:t>
      </w:r>
    </w:p>
    <w:p>
      <w:pPr>
        <w:pStyle w:val="2"/>
        <w:tabs>
          <w:tab w:val="left" w:pos="2675"/>
          <w:tab w:val="left" w:pos="3664"/>
          <w:tab w:val="left" w:pos="4730"/>
          <w:tab w:val="left" w:pos="6270"/>
          <w:tab w:val="left" w:pos="7111"/>
          <w:tab w:val="left" w:pos="7599"/>
          <w:tab w:val="left" w:pos="8474"/>
        </w:tabs>
        <w:spacing w:before="20" w:line="420" w:lineRule="exact"/>
        <w:ind w:right="313" w:firstLine="638" w:firstLineChars="266"/>
        <w:rPr>
          <w:color w:val="000000"/>
          <w:sz w:val="24"/>
        </w:rPr>
      </w:pP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r>
        <w:rPr>
          <w:color w:val="000000"/>
          <w:sz w:val="24"/>
        </w:rPr>
        <w:tab/>
      </w:r>
      <w:r>
        <w:rPr>
          <w:color w:val="000000"/>
          <w:sz w:val="24"/>
        </w:rPr>
        <w:tab/>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pPr>
        <w:pStyle w:val="2"/>
        <w:tabs>
          <w:tab w:val="left" w:pos="2675"/>
          <w:tab w:val="left" w:pos="3664"/>
          <w:tab w:val="left" w:pos="4730"/>
          <w:tab w:val="left" w:pos="6031"/>
          <w:tab w:val="left" w:pos="7111"/>
          <w:tab w:val="left" w:pos="7722"/>
          <w:tab w:val="left" w:pos="8474"/>
        </w:tabs>
        <w:spacing w:before="20" w:line="420" w:lineRule="exact"/>
        <w:ind w:right="313" w:firstLine="638" w:firstLineChars="266"/>
        <w:rPr>
          <w:color w:val="000000"/>
          <w:sz w:val="24"/>
        </w:rPr>
      </w:pPr>
      <w:r>
        <w:rPr>
          <w:color w:val="000000"/>
          <w:sz w:val="24"/>
        </w:rPr>
        <w:t>委托人监督单位 ：</w:t>
      </w:r>
      <w:r>
        <w:rPr>
          <w:color w:val="000000"/>
          <w:sz w:val="24"/>
          <w:u w:val="single" w:color="000000"/>
        </w:rPr>
        <w:t>(全称） (盖单位章）</w:t>
      </w:r>
      <w:r>
        <w:rPr>
          <w:color w:val="000000"/>
          <w:sz w:val="24"/>
        </w:rPr>
        <w:tab/>
      </w:r>
      <w:r>
        <w:rPr>
          <w:color w:val="000000"/>
          <w:sz w:val="24"/>
        </w:rPr>
        <w:t>监理人监督单位：</w:t>
      </w:r>
      <w:r>
        <w:rPr>
          <w:color w:val="000000"/>
          <w:sz w:val="24"/>
          <w:u w:val="single" w:color="000000"/>
        </w:rPr>
        <w:t xml:space="preserve"> （全称） (盖单位章）</w:t>
      </w:r>
    </w:p>
    <w:p>
      <w:pPr>
        <w:spacing w:line="420" w:lineRule="exact"/>
        <w:ind w:firstLine="638" w:firstLineChars="266"/>
        <w:rPr>
          <w:color w:val="000000"/>
          <w:sz w:val="24"/>
        </w:rPr>
        <w:sectPr>
          <w:pgSz w:w="11906" w:h="16838"/>
          <w:pgMar w:top="1304" w:right="1304" w:bottom="1304" w:left="1361" w:header="907" w:footer="907" w:gutter="0"/>
          <w:cols w:space="720" w:num="1"/>
        </w:sectPr>
      </w:pPr>
    </w:p>
    <w:p>
      <w:pPr>
        <w:pStyle w:val="2"/>
        <w:spacing w:before="29"/>
        <w:ind w:left="235"/>
        <w:rPr>
          <w:color w:val="000000"/>
          <w:spacing w:val="-3"/>
          <w:sz w:val="24"/>
        </w:rPr>
      </w:pPr>
      <w:r>
        <w:rPr>
          <w:color w:val="000000"/>
          <w:sz w:val="24"/>
        </w:rPr>
        <w:t xml:space="preserve">附件三 </w:t>
      </w:r>
      <w:r>
        <w:rPr>
          <w:color w:val="000000"/>
          <w:spacing w:val="-3"/>
          <w:sz w:val="24"/>
        </w:rPr>
        <w:t>其他主要监理人员最低要求</w:t>
      </w:r>
    </w:p>
    <w:p>
      <w:pPr>
        <w:pStyle w:val="2"/>
        <w:spacing w:before="29"/>
        <w:ind w:left="235" w:firstLine="720" w:firstLineChars="300"/>
        <w:rPr>
          <w:color w:val="000000"/>
          <w:sz w:val="24"/>
        </w:rPr>
      </w:pPr>
      <w:r>
        <w:rPr>
          <w:color w:val="000000"/>
          <w:sz w:val="24"/>
        </w:rPr>
        <w:t>（本格式编排在招标文件中，供投标人参考，投标时不需附此表）</w:t>
      </w:r>
    </w:p>
    <w:tbl>
      <w:tblPr>
        <w:tblStyle w:val="40"/>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880"/>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10" w:type="dxa"/>
            <w:vAlign w:val="center"/>
          </w:tcPr>
          <w:p>
            <w:pPr>
              <w:jc w:val="center"/>
              <w:rPr>
                <w:sz w:val="24"/>
              </w:rPr>
            </w:pPr>
            <w:r>
              <w:rPr>
                <w:sz w:val="24"/>
              </w:rPr>
              <w:t>人   员</w:t>
            </w:r>
          </w:p>
        </w:tc>
        <w:tc>
          <w:tcPr>
            <w:tcW w:w="1880" w:type="dxa"/>
            <w:vAlign w:val="center"/>
          </w:tcPr>
          <w:p>
            <w:pPr>
              <w:jc w:val="center"/>
              <w:rPr>
                <w:sz w:val="24"/>
              </w:rPr>
            </w:pPr>
            <w:r>
              <w:rPr>
                <w:sz w:val="24"/>
              </w:rPr>
              <w:t>数   量</w:t>
            </w:r>
          </w:p>
        </w:tc>
        <w:tc>
          <w:tcPr>
            <w:tcW w:w="4499" w:type="dxa"/>
            <w:vAlign w:val="center"/>
          </w:tcPr>
          <w:p>
            <w:pPr>
              <w:jc w:val="center"/>
              <w:rPr>
                <w:sz w:val="24"/>
              </w:rPr>
            </w:pPr>
            <w:r>
              <w:rPr>
                <w:sz w:val="24"/>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10" w:type="dxa"/>
            <w:vAlign w:val="center"/>
          </w:tcPr>
          <w:p>
            <w:pPr>
              <w:jc w:val="center"/>
              <w:rPr>
                <w:sz w:val="24"/>
              </w:rPr>
            </w:pPr>
            <w:r>
              <w:rPr>
                <w:sz w:val="24"/>
              </w:rPr>
              <w:t>专业监理工程师</w:t>
            </w:r>
          </w:p>
        </w:tc>
        <w:tc>
          <w:tcPr>
            <w:tcW w:w="1880" w:type="dxa"/>
            <w:vAlign w:val="center"/>
          </w:tcPr>
          <w:p>
            <w:pPr>
              <w:jc w:val="center"/>
              <w:rPr>
                <w:sz w:val="24"/>
              </w:rPr>
            </w:pPr>
            <w:r>
              <w:rPr>
                <w:rFonts w:hint="eastAsia"/>
                <w:sz w:val="24"/>
              </w:rPr>
              <w:t>4</w:t>
            </w:r>
          </w:p>
        </w:tc>
        <w:tc>
          <w:tcPr>
            <w:tcW w:w="4499" w:type="dxa"/>
            <w:vAlign w:val="center"/>
          </w:tcPr>
          <w:p>
            <w:pPr>
              <w:ind w:left="-107" w:leftChars="-51" w:right="34" w:rightChars="16"/>
              <w:jc w:val="left"/>
              <w:rPr>
                <w:sz w:val="24"/>
              </w:rPr>
            </w:pPr>
            <w:r>
              <w:rPr>
                <w:spacing w:val="-2"/>
                <w:sz w:val="24"/>
              </w:rPr>
              <w:t>具有交通运输部公路工程监理工程师资格（</w:t>
            </w:r>
            <w:r>
              <w:rPr>
                <w:spacing w:val="-2"/>
                <w:sz w:val="24"/>
                <w:u w:val="single"/>
              </w:rPr>
              <w:t xml:space="preserve"> 道路与桥梁 </w:t>
            </w:r>
            <w:r>
              <w:rPr>
                <w:spacing w:val="-2"/>
                <w:sz w:val="24"/>
              </w:rPr>
              <w:t>专业）</w:t>
            </w:r>
            <w:r>
              <w:rPr>
                <w:sz w:val="24"/>
              </w:rPr>
              <w:t>，中级技术职称</w:t>
            </w:r>
            <w:r>
              <w:rPr>
                <w:rFonts w:hint="eastAsia"/>
                <w:sz w:val="24"/>
              </w:rPr>
              <w:t>及以上</w:t>
            </w:r>
            <w:r>
              <w:rPr>
                <w:sz w:val="24"/>
              </w:rPr>
              <w:t>，担任过公路工程的专业监理工程师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2410" w:type="dxa"/>
            <w:vAlign w:val="center"/>
          </w:tcPr>
          <w:p>
            <w:pPr>
              <w:jc w:val="center"/>
              <w:rPr>
                <w:sz w:val="24"/>
              </w:rPr>
            </w:pPr>
            <w:r>
              <w:rPr>
                <w:sz w:val="24"/>
              </w:rPr>
              <w:t>监理员</w:t>
            </w:r>
          </w:p>
        </w:tc>
        <w:tc>
          <w:tcPr>
            <w:tcW w:w="1880" w:type="dxa"/>
            <w:vAlign w:val="center"/>
          </w:tcPr>
          <w:p>
            <w:pPr>
              <w:jc w:val="center"/>
              <w:rPr>
                <w:sz w:val="24"/>
              </w:rPr>
            </w:pPr>
            <w:r>
              <w:rPr>
                <w:rFonts w:hint="eastAsia"/>
                <w:sz w:val="24"/>
              </w:rPr>
              <w:t>6</w:t>
            </w:r>
          </w:p>
        </w:tc>
        <w:tc>
          <w:tcPr>
            <w:tcW w:w="4499" w:type="dxa"/>
            <w:vAlign w:val="center"/>
          </w:tcPr>
          <w:p>
            <w:pPr>
              <w:adjustRightInd w:val="0"/>
              <w:snapToGrid w:val="0"/>
              <w:spacing w:line="240" w:lineRule="atLeast"/>
              <w:ind w:left="-107" w:leftChars="-51" w:right="-107" w:rightChars="-51"/>
              <w:jc w:val="left"/>
              <w:rPr>
                <w:sz w:val="24"/>
              </w:rPr>
            </w:pPr>
            <w:r>
              <w:rPr>
                <w:sz w:val="24"/>
              </w:rPr>
              <w:t>省级或以上</w:t>
            </w:r>
            <w:r>
              <w:rPr>
                <w:rFonts w:hint="eastAsia"/>
                <w:sz w:val="24"/>
              </w:rPr>
              <w:t>交通主管部门颁发的</w:t>
            </w:r>
            <w:r>
              <w:rPr>
                <w:sz w:val="24"/>
              </w:rPr>
              <w:t>监理员培训证，初级技术职称</w:t>
            </w:r>
            <w:r>
              <w:rPr>
                <w:rFonts w:hint="eastAsia"/>
                <w:sz w:val="24"/>
              </w:rPr>
              <w:t>及以上</w:t>
            </w:r>
            <w:r>
              <w:rPr>
                <w:sz w:val="24"/>
              </w:rPr>
              <w:t>，担任过公路工程的监理员</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10" w:type="dxa"/>
            <w:vAlign w:val="center"/>
          </w:tcPr>
          <w:p>
            <w:pPr>
              <w:jc w:val="center"/>
              <w:rPr>
                <w:color w:val="000000"/>
                <w:sz w:val="24"/>
              </w:rPr>
            </w:pPr>
          </w:p>
        </w:tc>
        <w:tc>
          <w:tcPr>
            <w:tcW w:w="1880" w:type="dxa"/>
            <w:vAlign w:val="center"/>
          </w:tcPr>
          <w:p>
            <w:pPr>
              <w:jc w:val="center"/>
              <w:rPr>
                <w:color w:val="000000"/>
                <w:sz w:val="24"/>
              </w:rPr>
            </w:pPr>
          </w:p>
        </w:tc>
        <w:tc>
          <w:tcPr>
            <w:tcW w:w="4499"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10" w:type="dxa"/>
            <w:vAlign w:val="center"/>
          </w:tcPr>
          <w:p>
            <w:pPr>
              <w:jc w:val="center"/>
              <w:rPr>
                <w:color w:val="000000"/>
                <w:sz w:val="24"/>
              </w:rPr>
            </w:pPr>
          </w:p>
        </w:tc>
        <w:tc>
          <w:tcPr>
            <w:tcW w:w="1880" w:type="dxa"/>
            <w:vAlign w:val="center"/>
          </w:tcPr>
          <w:p>
            <w:pPr>
              <w:jc w:val="center"/>
              <w:rPr>
                <w:color w:val="000000"/>
                <w:sz w:val="24"/>
              </w:rPr>
            </w:pPr>
          </w:p>
        </w:tc>
        <w:tc>
          <w:tcPr>
            <w:tcW w:w="4499"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410" w:type="dxa"/>
            <w:vAlign w:val="center"/>
          </w:tcPr>
          <w:p>
            <w:pPr>
              <w:jc w:val="center"/>
              <w:rPr>
                <w:color w:val="000000"/>
                <w:sz w:val="24"/>
              </w:rPr>
            </w:pPr>
          </w:p>
        </w:tc>
        <w:tc>
          <w:tcPr>
            <w:tcW w:w="1880" w:type="dxa"/>
            <w:vAlign w:val="center"/>
          </w:tcPr>
          <w:p>
            <w:pPr>
              <w:jc w:val="center"/>
              <w:rPr>
                <w:color w:val="000000"/>
                <w:sz w:val="24"/>
              </w:rPr>
            </w:pPr>
          </w:p>
        </w:tc>
        <w:tc>
          <w:tcPr>
            <w:tcW w:w="4499" w:type="dxa"/>
            <w:vAlign w:val="center"/>
          </w:tcPr>
          <w:p>
            <w:pPr>
              <w:jc w:val="center"/>
              <w:rPr>
                <w:color w:val="000000"/>
                <w:sz w:val="24"/>
              </w:rPr>
            </w:pPr>
          </w:p>
        </w:tc>
      </w:tr>
    </w:tbl>
    <w:p>
      <w:pPr>
        <w:rPr>
          <w:color w:val="000000"/>
          <w:sz w:val="24"/>
        </w:rPr>
      </w:pPr>
    </w:p>
    <w:p>
      <w:pPr>
        <w:spacing w:line="20" w:lineRule="exact"/>
        <w:ind w:left="105"/>
        <w:rPr>
          <w:color w:val="000000"/>
          <w:sz w:val="24"/>
        </w:rPr>
      </w:pPr>
    </w:p>
    <w:p>
      <w:pPr>
        <w:spacing w:before="127" w:line="309" w:lineRule="auto"/>
        <w:ind w:left="586" w:hanging="370"/>
        <w:rPr>
          <w:sz w:val="24"/>
        </w:rPr>
      </w:pPr>
    </w:p>
    <w:p>
      <w:pPr>
        <w:spacing w:before="127" w:line="309" w:lineRule="auto"/>
        <w:ind w:left="586" w:hanging="370"/>
        <w:rPr>
          <w:color w:val="000000"/>
          <w:sz w:val="24"/>
        </w:rPr>
      </w:pPr>
      <w:r>
        <w:rPr>
          <w:sz w:val="24"/>
        </w:rPr>
        <w:t>注：</w:t>
      </w:r>
      <w:r>
        <w:rPr>
          <w:color w:val="000000"/>
          <w:sz w:val="24"/>
        </w:rPr>
        <w:t>上述人员的具体人选由招标人和中标人在合同谈判阶段确定，且经招标人审批后作为派驻本标段的主要监理人员，不允许更换。如中标人拟派驻的人员数量和资格条件不满足本表要求，招标人应取消其中标资格。</w:t>
      </w:r>
    </w:p>
    <w:p>
      <w:pPr>
        <w:rPr>
          <w:color w:val="FF0000"/>
          <w:sz w:val="24"/>
        </w:rPr>
      </w:pPr>
    </w:p>
    <w:p>
      <w:pPr>
        <w:rPr>
          <w:color w:val="000000"/>
          <w:sz w:val="24"/>
        </w:rPr>
      </w:pPr>
      <w:r>
        <w:rPr>
          <w:color w:val="000000"/>
          <w:sz w:val="24"/>
        </w:rPr>
        <w:br w:type="page"/>
      </w:r>
      <w:r>
        <w:rPr>
          <w:color w:val="000000"/>
          <w:spacing w:val="-4"/>
          <w:sz w:val="24"/>
        </w:rPr>
        <w:t>附件四</w:t>
      </w:r>
      <w:r>
        <w:rPr>
          <w:color w:val="000000"/>
          <w:spacing w:val="56"/>
          <w:sz w:val="24"/>
        </w:rPr>
        <w:t xml:space="preserve"> </w:t>
      </w:r>
      <w:r>
        <w:rPr>
          <w:color w:val="000000"/>
          <w:sz w:val="24"/>
        </w:rPr>
        <w:t>主要试验检测设备最低要求</w:t>
      </w:r>
    </w:p>
    <w:p>
      <w:pPr>
        <w:pStyle w:val="2"/>
        <w:spacing w:before="29"/>
        <w:ind w:left="155" w:right="109"/>
        <w:rPr>
          <w:color w:val="000000"/>
          <w:sz w:val="24"/>
        </w:rPr>
      </w:pPr>
    </w:p>
    <w:p>
      <w:pPr>
        <w:spacing w:before="12"/>
        <w:ind w:firstLine="1440" w:firstLineChars="600"/>
        <w:rPr>
          <w:color w:val="000000"/>
          <w:sz w:val="24"/>
        </w:rPr>
      </w:pPr>
      <w:r>
        <w:rPr>
          <w:color w:val="000000"/>
          <w:sz w:val="24"/>
        </w:rPr>
        <w:t>（本格式编排在招标文件中，供投标人参考，投标时不需附此表）</w:t>
      </w:r>
    </w:p>
    <w:p>
      <w:pPr>
        <w:spacing w:line="380" w:lineRule="exact"/>
        <w:rPr>
          <w:sz w:val="24"/>
        </w:rPr>
      </w:pPr>
    </w:p>
    <w:tbl>
      <w:tblPr>
        <w:tblStyle w:val="40"/>
        <w:tblW w:w="889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2031"/>
        <w:gridCol w:w="1275"/>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789" w:type="dxa"/>
            <w:vAlign w:val="center"/>
          </w:tcPr>
          <w:p>
            <w:pPr>
              <w:jc w:val="center"/>
              <w:rPr>
                <w:sz w:val="24"/>
              </w:rPr>
            </w:pPr>
            <w:r>
              <w:rPr>
                <w:sz w:val="24"/>
              </w:rPr>
              <w:t>设备名称</w:t>
            </w:r>
          </w:p>
        </w:tc>
        <w:tc>
          <w:tcPr>
            <w:tcW w:w="2031" w:type="dxa"/>
            <w:vAlign w:val="center"/>
          </w:tcPr>
          <w:p>
            <w:pPr>
              <w:jc w:val="center"/>
              <w:rPr>
                <w:sz w:val="24"/>
              </w:rPr>
            </w:pPr>
            <w:r>
              <w:rPr>
                <w:sz w:val="24"/>
              </w:rPr>
              <w:t>规格、功率及容量</w:t>
            </w:r>
          </w:p>
        </w:tc>
        <w:tc>
          <w:tcPr>
            <w:tcW w:w="1275" w:type="dxa"/>
            <w:vAlign w:val="center"/>
          </w:tcPr>
          <w:p>
            <w:pPr>
              <w:jc w:val="center"/>
              <w:rPr>
                <w:sz w:val="24"/>
              </w:rPr>
            </w:pPr>
            <w:r>
              <w:rPr>
                <w:sz w:val="24"/>
              </w:rPr>
              <w:t>单 位</w:t>
            </w:r>
          </w:p>
        </w:tc>
        <w:tc>
          <w:tcPr>
            <w:tcW w:w="2801" w:type="dxa"/>
            <w:vAlign w:val="center"/>
          </w:tcPr>
          <w:p>
            <w:pPr>
              <w:jc w:val="center"/>
              <w:rPr>
                <w:sz w:val="24"/>
              </w:rPr>
            </w:pPr>
            <w:r>
              <w:rPr>
                <w:sz w:val="24"/>
              </w:rPr>
              <w:t>最低数量要求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8896" w:type="dxa"/>
            <w:gridSpan w:val="4"/>
            <w:vAlign w:val="center"/>
          </w:tcPr>
          <w:p>
            <w:pPr>
              <w:spacing w:line="0" w:lineRule="atLeast"/>
              <w:jc w:val="left"/>
              <w:rPr>
                <w:color w:val="000000"/>
                <w:sz w:val="24"/>
              </w:rPr>
            </w:pPr>
            <w:r>
              <w:rPr>
                <w:b/>
                <w:kern w:val="0"/>
                <w:sz w:val="24"/>
              </w:rPr>
              <w:t>一、路基工程的试验仪器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89" w:type="dxa"/>
            <w:vAlign w:val="center"/>
          </w:tcPr>
          <w:p>
            <w:pPr>
              <w:ind w:firstLine="90"/>
              <w:rPr>
                <w:sz w:val="24"/>
              </w:rPr>
            </w:pPr>
            <w:r>
              <w:rPr>
                <w:kern w:val="0"/>
                <w:sz w:val="24"/>
              </w:rPr>
              <w:t>土壤液塑限联合测定仪</w:t>
            </w:r>
          </w:p>
        </w:tc>
        <w:tc>
          <w:tcPr>
            <w:tcW w:w="2031" w:type="dxa"/>
            <w:vAlign w:val="center"/>
          </w:tcPr>
          <w:p>
            <w:pPr>
              <w:ind w:firstLine="90"/>
              <w:rPr>
                <w:sz w:val="24"/>
              </w:rPr>
            </w:pPr>
          </w:p>
        </w:tc>
        <w:tc>
          <w:tcPr>
            <w:tcW w:w="1275" w:type="dxa"/>
            <w:vAlign w:val="center"/>
          </w:tcPr>
          <w:p>
            <w:pPr>
              <w:jc w:val="center"/>
              <w:rPr>
                <w:sz w:val="24"/>
              </w:rPr>
            </w:pPr>
            <w:r>
              <w:rPr>
                <w:kern w:val="0"/>
                <w:sz w:val="24"/>
              </w:rPr>
              <w:t>台</w:t>
            </w:r>
          </w:p>
        </w:tc>
        <w:tc>
          <w:tcPr>
            <w:tcW w:w="2801" w:type="dxa"/>
            <w:vAlign w:val="center"/>
          </w:tcPr>
          <w:p>
            <w:pPr>
              <w:jc w:val="center"/>
              <w:rPr>
                <w:color w:val="000000"/>
                <w:sz w:val="24"/>
              </w:rPr>
            </w:pPr>
            <w:r>
              <w:rPr>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89" w:type="dxa"/>
            <w:vAlign w:val="center"/>
          </w:tcPr>
          <w:p>
            <w:pPr>
              <w:ind w:firstLine="90"/>
              <w:rPr>
                <w:sz w:val="24"/>
              </w:rPr>
            </w:pPr>
            <w:r>
              <w:rPr>
                <w:kern w:val="0"/>
                <w:sz w:val="24"/>
              </w:rPr>
              <w:t>标准击实仪</w:t>
            </w:r>
          </w:p>
        </w:tc>
        <w:tc>
          <w:tcPr>
            <w:tcW w:w="2031" w:type="dxa"/>
            <w:vAlign w:val="center"/>
          </w:tcPr>
          <w:p>
            <w:pPr>
              <w:ind w:firstLine="90"/>
              <w:rPr>
                <w:sz w:val="24"/>
              </w:rPr>
            </w:pPr>
          </w:p>
        </w:tc>
        <w:tc>
          <w:tcPr>
            <w:tcW w:w="1275" w:type="dxa"/>
            <w:vAlign w:val="center"/>
          </w:tcPr>
          <w:p>
            <w:pPr>
              <w:jc w:val="center"/>
              <w:rPr>
                <w:sz w:val="24"/>
              </w:rPr>
            </w:pPr>
            <w:r>
              <w:rPr>
                <w:sz w:val="24"/>
              </w:rPr>
              <w:t>台</w:t>
            </w:r>
          </w:p>
        </w:tc>
        <w:tc>
          <w:tcPr>
            <w:tcW w:w="2801" w:type="dxa"/>
            <w:vAlign w:val="center"/>
          </w:tcPr>
          <w:p>
            <w:pPr>
              <w:jc w:val="center"/>
              <w:rPr>
                <w:color w:val="000000"/>
                <w:sz w:val="24"/>
              </w:rPr>
            </w:pPr>
            <w:r>
              <w:rPr>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exact"/>
        </w:trPr>
        <w:tc>
          <w:tcPr>
            <w:tcW w:w="2789" w:type="dxa"/>
            <w:vAlign w:val="center"/>
          </w:tcPr>
          <w:p>
            <w:pPr>
              <w:ind w:firstLine="90"/>
              <w:rPr>
                <w:sz w:val="24"/>
              </w:rPr>
            </w:pPr>
            <w:r>
              <w:rPr>
                <w:kern w:val="0"/>
                <w:sz w:val="24"/>
              </w:rPr>
              <w:t>路基密实度检测设备(灌砂，环刀法)</w:t>
            </w:r>
          </w:p>
        </w:tc>
        <w:tc>
          <w:tcPr>
            <w:tcW w:w="2031" w:type="dxa"/>
            <w:vAlign w:val="center"/>
          </w:tcPr>
          <w:p>
            <w:pPr>
              <w:ind w:firstLine="90"/>
              <w:rPr>
                <w:sz w:val="24"/>
              </w:rPr>
            </w:pPr>
          </w:p>
        </w:tc>
        <w:tc>
          <w:tcPr>
            <w:tcW w:w="1275" w:type="dxa"/>
            <w:vAlign w:val="center"/>
          </w:tcPr>
          <w:p>
            <w:pPr>
              <w:jc w:val="center"/>
              <w:rPr>
                <w:sz w:val="24"/>
              </w:rPr>
            </w:pPr>
            <w:r>
              <w:rPr>
                <w:kern w:val="0"/>
                <w:sz w:val="24"/>
              </w:rPr>
              <w:t>套</w:t>
            </w:r>
          </w:p>
        </w:tc>
        <w:tc>
          <w:tcPr>
            <w:tcW w:w="2801" w:type="dxa"/>
            <w:vAlign w:val="center"/>
          </w:tcPr>
          <w:p>
            <w:pPr>
              <w:jc w:val="center"/>
              <w:rPr>
                <w:color w:val="000000"/>
                <w:sz w:val="24"/>
              </w:rPr>
            </w:pPr>
            <w:r>
              <w:rPr>
                <w:rFonts w:hint="eastAsia"/>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exact"/>
        </w:trPr>
        <w:tc>
          <w:tcPr>
            <w:tcW w:w="2789" w:type="dxa"/>
            <w:vAlign w:val="center"/>
          </w:tcPr>
          <w:p>
            <w:pPr>
              <w:ind w:firstLine="90"/>
              <w:rPr>
                <w:sz w:val="24"/>
              </w:rPr>
            </w:pPr>
            <w:r>
              <w:rPr>
                <w:kern w:val="0"/>
                <w:sz w:val="24"/>
              </w:rPr>
              <w:t>简易化学分析设备(灰剂量测定、有效氧化钙及氧化镁含量测定等)</w:t>
            </w:r>
          </w:p>
        </w:tc>
        <w:tc>
          <w:tcPr>
            <w:tcW w:w="2031" w:type="dxa"/>
            <w:vAlign w:val="center"/>
          </w:tcPr>
          <w:p>
            <w:pPr>
              <w:ind w:firstLine="90"/>
              <w:rPr>
                <w:sz w:val="24"/>
              </w:rPr>
            </w:pPr>
          </w:p>
        </w:tc>
        <w:tc>
          <w:tcPr>
            <w:tcW w:w="1275" w:type="dxa"/>
            <w:vAlign w:val="center"/>
          </w:tcPr>
          <w:p>
            <w:pPr>
              <w:jc w:val="center"/>
              <w:rPr>
                <w:sz w:val="24"/>
              </w:rPr>
            </w:pPr>
            <w:r>
              <w:rPr>
                <w:kern w:val="0"/>
                <w:sz w:val="24"/>
              </w:rPr>
              <w:t>套</w:t>
            </w:r>
          </w:p>
        </w:tc>
        <w:tc>
          <w:tcPr>
            <w:tcW w:w="2801" w:type="dxa"/>
            <w:vAlign w:val="center"/>
          </w:tcPr>
          <w:p>
            <w:pPr>
              <w:jc w:val="center"/>
              <w:rPr>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trPr>
        <w:tc>
          <w:tcPr>
            <w:tcW w:w="2789" w:type="dxa"/>
            <w:vAlign w:val="center"/>
          </w:tcPr>
          <w:p>
            <w:pPr>
              <w:ind w:firstLine="90"/>
              <w:rPr>
                <w:kern w:val="0"/>
                <w:sz w:val="24"/>
              </w:rPr>
            </w:pPr>
            <w:r>
              <w:rPr>
                <w:kern w:val="0"/>
                <w:sz w:val="24"/>
              </w:rPr>
              <w:t>弯沉仪</w:t>
            </w:r>
          </w:p>
        </w:tc>
        <w:tc>
          <w:tcPr>
            <w:tcW w:w="2031" w:type="dxa"/>
            <w:vAlign w:val="center"/>
          </w:tcPr>
          <w:p>
            <w:pPr>
              <w:ind w:firstLine="90"/>
              <w:rPr>
                <w:kern w:val="0"/>
                <w:sz w:val="24"/>
              </w:rPr>
            </w:pPr>
          </w:p>
        </w:tc>
        <w:tc>
          <w:tcPr>
            <w:tcW w:w="1275" w:type="dxa"/>
            <w:vAlign w:val="center"/>
          </w:tcPr>
          <w:p>
            <w:pPr>
              <w:jc w:val="center"/>
              <w:rPr>
                <w:sz w:val="24"/>
              </w:rPr>
            </w:pPr>
            <w:r>
              <w:rPr>
                <w:sz w:val="24"/>
              </w:rPr>
              <w:t>套</w:t>
            </w:r>
          </w:p>
        </w:tc>
        <w:tc>
          <w:tcPr>
            <w:tcW w:w="2801" w:type="dxa"/>
            <w:vAlign w:val="center"/>
          </w:tcPr>
          <w:p>
            <w:pPr>
              <w:jc w:val="center"/>
              <w:rPr>
                <w:color w:val="000000"/>
                <w:sz w:val="24"/>
              </w:rPr>
            </w:pPr>
            <w:r>
              <w:rPr>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exact"/>
        </w:trPr>
        <w:tc>
          <w:tcPr>
            <w:tcW w:w="2789" w:type="dxa"/>
            <w:vAlign w:val="center"/>
          </w:tcPr>
          <w:p>
            <w:pPr>
              <w:ind w:firstLine="90"/>
              <w:rPr>
                <w:sz w:val="24"/>
              </w:rPr>
            </w:pPr>
            <w:r>
              <w:rPr>
                <w:kern w:val="0"/>
                <w:sz w:val="24"/>
              </w:rPr>
              <w:t>全站仪</w:t>
            </w:r>
          </w:p>
        </w:tc>
        <w:tc>
          <w:tcPr>
            <w:tcW w:w="2031" w:type="dxa"/>
            <w:vAlign w:val="center"/>
          </w:tcPr>
          <w:p>
            <w:pPr>
              <w:ind w:firstLine="90"/>
              <w:rPr>
                <w:sz w:val="24"/>
              </w:rPr>
            </w:pPr>
          </w:p>
        </w:tc>
        <w:tc>
          <w:tcPr>
            <w:tcW w:w="1275" w:type="dxa"/>
            <w:vAlign w:val="center"/>
          </w:tcPr>
          <w:p>
            <w:pPr>
              <w:jc w:val="center"/>
              <w:rPr>
                <w:sz w:val="24"/>
              </w:rPr>
            </w:pPr>
            <w:r>
              <w:rPr>
                <w:sz w:val="24"/>
              </w:rPr>
              <w:t>台</w:t>
            </w:r>
          </w:p>
        </w:tc>
        <w:tc>
          <w:tcPr>
            <w:tcW w:w="2801" w:type="dxa"/>
            <w:vAlign w:val="center"/>
          </w:tcPr>
          <w:p>
            <w:pPr>
              <w:jc w:val="center"/>
              <w:rPr>
                <w:color w:val="000000"/>
                <w:sz w:val="24"/>
              </w:rPr>
            </w:pPr>
            <w:r>
              <w:rPr>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896" w:type="dxa"/>
            <w:gridSpan w:val="4"/>
            <w:vAlign w:val="center"/>
          </w:tcPr>
          <w:p>
            <w:pPr>
              <w:jc w:val="left"/>
              <w:rPr>
                <w:color w:val="000000"/>
                <w:sz w:val="24"/>
              </w:rPr>
            </w:pPr>
            <w:r>
              <w:rPr>
                <w:b/>
                <w:kern w:val="0"/>
                <w:sz w:val="24"/>
              </w:rPr>
              <w:t>二、桥梁工程的试验仪器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exact"/>
        </w:trPr>
        <w:tc>
          <w:tcPr>
            <w:tcW w:w="2789" w:type="dxa"/>
            <w:vAlign w:val="center"/>
          </w:tcPr>
          <w:p>
            <w:pPr>
              <w:ind w:firstLine="90"/>
              <w:rPr>
                <w:sz w:val="24"/>
              </w:rPr>
            </w:pPr>
            <w:r>
              <w:rPr>
                <w:kern w:val="0"/>
                <w:sz w:val="24"/>
              </w:rPr>
              <w:t>压力机</w:t>
            </w:r>
          </w:p>
        </w:tc>
        <w:tc>
          <w:tcPr>
            <w:tcW w:w="2031" w:type="dxa"/>
            <w:vAlign w:val="center"/>
          </w:tcPr>
          <w:p>
            <w:pPr>
              <w:ind w:firstLine="90"/>
              <w:rPr>
                <w:sz w:val="24"/>
              </w:rPr>
            </w:pPr>
            <w:r>
              <w:rPr>
                <w:kern w:val="0"/>
                <w:sz w:val="24"/>
              </w:rPr>
              <w:t>2000KN</w:t>
            </w:r>
          </w:p>
        </w:tc>
        <w:tc>
          <w:tcPr>
            <w:tcW w:w="1275" w:type="dxa"/>
            <w:vAlign w:val="center"/>
          </w:tcPr>
          <w:p>
            <w:pPr>
              <w:jc w:val="center"/>
              <w:rPr>
                <w:sz w:val="24"/>
              </w:rPr>
            </w:pPr>
            <w:r>
              <w:rPr>
                <w:sz w:val="24"/>
              </w:rPr>
              <w:t>台</w:t>
            </w:r>
          </w:p>
        </w:tc>
        <w:tc>
          <w:tcPr>
            <w:tcW w:w="2801" w:type="dxa"/>
            <w:vAlign w:val="center"/>
          </w:tcPr>
          <w:p>
            <w:pPr>
              <w:jc w:val="center"/>
              <w:rPr>
                <w:color w:val="000000"/>
                <w:sz w:val="24"/>
              </w:rPr>
            </w:pPr>
            <w:r>
              <w:rPr>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exact"/>
        </w:trPr>
        <w:tc>
          <w:tcPr>
            <w:tcW w:w="2789" w:type="dxa"/>
            <w:vAlign w:val="center"/>
          </w:tcPr>
          <w:p>
            <w:pPr>
              <w:ind w:firstLine="90"/>
              <w:rPr>
                <w:kern w:val="0"/>
                <w:sz w:val="24"/>
              </w:rPr>
            </w:pPr>
            <w:r>
              <w:rPr>
                <w:kern w:val="0"/>
                <w:sz w:val="24"/>
              </w:rPr>
              <w:t>拉力机或万能试验机</w:t>
            </w:r>
          </w:p>
        </w:tc>
        <w:tc>
          <w:tcPr>
            <w:tcW w:w="2031" w:type="dxa"/>
            <w:vAlign w:val="center"/>
          </w:tcPr>
          <w:p>
            <w:pPr>
              <w:ind w:firstLine="90"/>
              <w:rPr>
                <w:kern w:val="0"/>
                <w:sz w:val="24"/>
              </w:rPr>
            </w:pPr>
            <w:r>
              <w:rPr>
                <w:kern w:val="0"/>
                <w:sz w:val="24"/>
              </w:rPr>
              <w:t>1000KN</w:t>
            </w:r>
          </w:p>
        </w:tc>
        <w:tc>
          <w:tcPr>
            <w:tcW w:w="1275" w:type="dxa"/>
            <w:vAlign w:val="center"/>
          </w:tcPr>
          <w:p>
            <w:pPr>
              <w:jc w:val="center"/>
              <w:rPr>
                <w:sz w:val="24"/>
              </w:rPr>
            </w:pPr>
            <w:r>
              <w:rPr>
                <w:sz w:val="24"/>
              </w:rPr>
              <w:t>台</w:t>
            </w:r>
          </w:p>
        </w:tc>
        <w:tc>
          <w:tcPr>
            <w:tcW w:w="2801" w:type="dxa"/>
            <w:vAlign w:val="center"/>
          </w:tcPr>
          <w:p>
            <w:pPr>
              <w:jc w:val="center"/>
              <w:rPr>
                <w:color w:val="000000"/>
                <w:sz w:val="24"/>
              </w:rPr>
            </w:pPr>
            <w:r>
              <w:rPr>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exact"/>
        </w:trPr>
        <w:tc>
          <w:tcPr>
            <w:tcW w:w="2789" w:type="dxa"/>
            <w:vAlign w:val="center"/>
          </w:tcPr>
          <w:p>
            <w:pPr>
              <w:ind w:firstLine="90"/>
              <w:rPr>
                <w:sz w:val="24"/>
              </w:rPr>
            </w:pPr>
            <w:r>
              <w:rPr>
                <w:kern w:val="0"/>
                <w:sz w:val="24"/>
              </w:rPr>
              <w:t>水泥标号及相关项目试验仪器设备</w:t>
            </w:r>
          </w:p>
        </w:tc>
        <w:tc>
          <w:tcPr>
            <w:tcW w:w="2031" w:type="dxa"/>
            <w:vAlign w:val="center"/>
          </w:tcPr>
          <w:p>
            <w:pPr>
              <w:ind w:firstLine="90"/>
              <w:rPr>
                <w:sz w:val="24"/>
              </w:rPr>
            </w:pPr>
          </w:p>
        </w:tc>
        <w:tc>
          <w:tcPr>
            <w:tcW w:w="1275" w:type="dxa"/>
            <w:vAlign w:val="center"/>
          </w:tcPr>
          <w:p>
            <w:pPr>
              <w:jc w:val="center"/>
              <w:rPr>
                <w:sz w:val="24"/>
              </w:rPr>
            </w:pPr>
            <w:r>
              <w:rPr>
                <w:kern w:val="0"/>
                <w:sz w:val="24"/>
              </w:rPr>
              <w:t>套</w:t>
            </w:r>
          </w:p>
        </w:tc>
        <w:tc>
          <w:tcPr>
            <w:tcW w:w="2801" w:type="dxa"/>
            <w:vAlign w:val="center"/>
          </w:tcPr>
          <w:p>
            <w:pPr>
              <w:jc w:val="center"/>
              <w:rPr>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exact"/>
        </w:trPr>
        <w:tc>
          <w:tcPr>
            <w:tcW w:w="2789" w:type="dxa"/>
            <w:vAlign w:val="center"/>
          </w:tcPr>
          <w:p>
            <w:pPr>
              <w:ind w:firstLine="90"/>
              <w:rPr>
                <w:sz w:val="24"/>
              </w:rPr>
            </w:pPr>
            <w:r>
              <w:rPr>
                <w:kern w:val="0"/>
                <w:sz w:val="24"/>
              </w:rPr>
              <w:t>振动台和搅拌设备</w:t>
            </w:r>
          </w:p>
        </w:tc>
        <w:tc>
          <w:tcPr>
            <w:tcW w:w="2031" w:type="dxa"/>
            <w:vAlign w:val="center"/>
          </w:tcPr>
          <w:p>
            <w:pPr>
              <w:ind w:firstLine="90"/>
              <w:rPr>
                <w:sz w:val="24"/>
              </w:rPr>
            </w:pPr>
          </w:p>
        </w:tc>
        <w:tc>
          <w:tcPr>
            <w:tcW w:w="1275" w:type="dxa"/>
            <w:vAlign w:val="center"/>
          </w:tcPr>
          <w:p>
            <w:pPr>
              <w:jc w:val="center"/>
              <w:rPr>
                <w:sz w:val="24"/>
              </w:rPr>
            </w:pPr>
            <w:r>
              <w:rPr>
                <w:kern w:val="0"/>
                <w:sz w:val="24"/>
              </w:rPr>
              <w:t>套</w:t>
            </w:r>
          </w:p>
        </w:tc>
        <w:tc>
          <w:tcPr>
            <w:tcW w:w="2801" w:type="dxa"/>
            <w:vAlign w:val="center"/>
          </w:tcPr>
          <w:p>
            <w:pPr>
              <w:jc w:val="center"/>
              <w:rPr>
                <w:color w:val="000000"/>
                <w:sz w:val="24"/>
              </w:rPr>
            </w:pPr>
            <w:r>
              <w:rPr>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exact"/>
        </w:trPr>
        <w:tc>
          <w:tcPr>
            <w:tcW w:w="2789" w:type="dxa"/>
            <w:vAlign w:val="center"/>
          </w:tcPr>
          <w:p>
            <w:pPr>
              <w:ind w:firstLine="90"/>
              <w:rPr>
                <w:kern w:val="0"/>
                <w:sz w:val="24"/>
              </w:rPr>
            </w:pPr>
            <w:r>
              <w:rPr>
                <w:kern w:val="0"/>
                <w:sz w:val="24"/>
              </w:rPr>
              <w:t>标准养护箱</w:t>
            </w:r>
          </w:p>
        </w:tc>
        <w:tc>
          <w:tcPr>
            <w:tcW w:w="2031" w:type="dxa"/>
            <w:vAlign w:val="center"/>
          </w:tcPr>
          <w:p>
            <w:pPr>
              <w:ind w:firstLine="90"/>
              <w:rPr>
                <w:kern w:val="0"/>
                <w:sz w:val="24"/>
              </w:rPr>
            </w:pPr>
          </w:p>
        </w:tc>
        <w:tc>
          <w:tcPr>
            <w:tcW w:w="1275" w:type="dxa"/>
            <w:vAlign w:val="center"/>
          </w:tcPr>
          <w:p>
            <w:pPr>
              <w:jc w:val="center"/>
              <w:rPr>
                <w:kern w:val="0"/>
                <w:sz w:val="24"/>
              </w:rPr>
            </w:pPr>
            <w:r>
              <w:rPr>
                <w:kern w:val="0"/>
                <w:sz w:val="24"/>
              </w:rPr>
              <w:t>台</w:t>
            </w:r>
          </w:p>
        </w:tc>
        <w:tc>
          <w:tcPr>
            <w:tcW w:w="2801" w:type="dxa"/>
            <w:vAlign w:val="center"/>
          </w:tcPr>
          <w:p>
            <w:pPr>
              <w:jc w:val="center"/>
              <w:rPr>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trPr>
        <w:tc>
          <w:tcPr>
            <w:tcW w:w="2789" w:type="dxa"/>
            <w:vAlign w:val="center"/>
          </w:tcPr>
          <w:p>
            <w:pPr>
              <w:ind w:firstLine="90"/>
              <w:rPr>
                <w:kern w:val="0"/>
                <w:sz w:val="24"/>
              </w:rPr>
            </w:pPr>
            <w:r>
              <w:rPr>
                <w:kern w:val="0"/>
                <w:sz w:val="24"/>
              </w:rPr>
              <w:t>标准养护室</w:t>
            </w:r>
          </w:p>
        </w:tc>
        <w:tc>
          <w:tcPr>
            <w:tcW w:w="2031" w:type="dxa"/>
            <w:vAlign w:val="center"/>
          </w:tcPr>
          <w:p>
            <w:pPr>
              <w:ind w:firstLine="90"/>
              <w:rPr>
                <w:kern w:val="0"/>
                <w:sz w:val="24"/>
              </w:rPr>
            </w:pPr>
          </w:p>
        </w:tc>
        <w:tc>
          <w:tcPr>
            <w:tcW w:w="1275" w:type="dxa"/>
            <w:vAlign w:val="center"/>
          </w:tcPr>
          <w:p>
            <w:pPr>
              <w:jc w:val="center"/>
              <w:rPr>
                <w:kern w:val="0"/>
                <w:sz w:val="24"/>
              </w:rPr>
            </w:pPr>
            <w:r>
              <w:rPr>
                <w:kern w:val="0"/>
                <w:sz w:val="24"/>
              </w:rPr>
              <w:t>套</w:t>
            </w:r>
          </w:p>
        </w:tc>
        <w:tc>
          <w:tcPr>
            <w:tcW w:w="2801" w:type="dxa"/>
            <w:vAlign w:val="center"/>
          </w:tcPr>
          <w:p>
            <w:pPr>
              <w:jc w:val="center"/>
              <w:rPr>
                <w:color w:val="000000"/>
                <w:sz w:val="24"/>
              </w:rPr>
            </w:pPr>
            <w:r>
              <w:rPr>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exact"/>
        </w:trPr>
        <w:tc>
          <w:tcPr>
            <w:tcW w:w="2789" w:type="dxa"/>
            <w:vAlign w:val="center"/>
          </w:tcPr>
          <w:p>
            <w:pPr>
              <w:ind w:firstLine="90"/>
              <w:rPr>
                <w:kern w:val="0"/>
                <w:sz w:val="24"/>
              </w:rPr>
            </w:pPr>
            <w:r>
              <w:rPr>
                <w:kern w:val="0"/>
                <w:sz w:val="24"/>
              </w:rPr>
              <w:t>钢筋保护层测厚仪</w:t>
            </w:r>
          </w:p>
        </w:tc>
        <w:tc>
          <w:tcPr>
            <w:tcW w:w="2031" w:type="dxa"/>
            <w:vAlign w:val="center"/>
          </w:tcPr>
          <w:p>
            <w:pPr>
              <w:ind w:firstLine="90"/>
              <w:rPr>
                <w:kern w:val="0"/>
                <w:sz w:val="24"/>
              </w:rPr>
            </w:pPr>
          </w:p>
        </w:tc>
        <w:tc>
          <w:tcPr>
            <w:tcW w:w="1275" w:type="dxa"/>
            <w:vAlign w:val="center"/>
          </w:tcPr>
          <w:p>
            <w:pPr>
              <w:jc w:val="center"/>
              <w:rPr>
                <w:kern w:val="0"/>
                <w:sz w:val="24"/>
              </w:rPr>
            </w:pPr>
            <w:r>
              <w:rPr>
                <w:kern w:val="0"/>
                <w:sz w:val="24"/>
              </w:rPr>
              <w:t>台</w:t>
            </w:r>
          </w:p>
        </w:tc>
        <w:tc>
          <w:tcPr>
            <w:tcW w:w="2801" w:type="dxa"/>
            <w:vAlign w:val="center"/>
          </w:tcPr>
          <w:p>
            <w:pPr>
              <w:jc w:val="center"/>
              <w:rPr>
                <w:color w:val="000000"/>
                <w:sz w:val="24"/>
              </w:rPr>
            </w:pPr>
            <w:r>
              <w:rPr>
                <w:rFonts w:hint="eastAsia"/>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896" w:type="dxa"/>
            <w:gridSpan w:val="4"/>
            <w:vAlign w:val="center"/>
          </w:tcPr>
          <w:p>
            <w:pPr>
              <w:jc w:val="left"/>
              <w:rPr>
                <w:color w:val="000000"/>
                <w:sz w:val="24"/>
              </w:rPr>
            </w:pPr>
            <w:r>
              <w:rPr>
                <w:b/>
                <w:kern w:val="0"/>
                <w:sz w:val="24"/>
              </w:rPr>
              <w:t>三、路面工程的试验仪器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89" w:type="dxa"/>
            <w:vAlign w:val="center"/>
          </w:tcPr>
          <w:p>
            <w:pPr>
              <w:rPr>
                <w:sz w:val="24"/>
              </w:rPr>
            </w:pPr>
            <w:r>
              <w:rPr>
                <w:sz w:val="24"/>
              </w:rPr>
              <w:t>智能数显沥青针入度仪</w:t>
            </w:r>
          </w:p>
        </w:tc>
        <w:tc>
          <w:tcPr>
            <w:tcW w:w="2031" w:type="dxa"/>
            <w:vAlign w:val="center"/>
          </w:tcPr>
          <w:p>
            <w:pPr>
              <w:rPr>
                <w:sz w:val="24"/>
              </w:rPr>
            </w:pPr>
          </w:p>
        </w:tc>
        <w:tc>
          <w:tcPr>
            <w:tcW w:w="1275" w:type="dxa"/>
            <w:vAlign w:val="center"/>
          </w:tcPr>
          <w:p>
            <w:pPr>
              <w:jc w:val="center"/>
              <w:rPr>
                <w:sz w:val="24"/>
              </w:rPr>
            </w:pPr>
            <w:r>
              <w:rPr>
                <w:sz w:val="24"/>
              </w:rPr>
              <w:t>台</w:t>
            </w:r>
          </w:p>
        </w:tc>
        <w:tc>
          <w:tcPr>
            <w:tcW w:w="2801" w:type="dxa"/>
            <w:vAlign w:val="center"/>
          </w:tcPr>
          <w:p>
            <w:pPr>
              <w:jc w:val="center"/>
              <w:rPr>
                <w:color w:val="000000"/>
                <w:sz w:val="24"/>
              </w:rPr>
            </w:pPr>
            <w:r>
              <w:rPr>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789" w:type="dxa"/>
            <w:vAlign w:val="center"/>
          </w:tcPr>
          <w:p>
            <w:pPr>
              <w:rPr>
                <w:sz w:val="24"/>
              </w:rPr>
            </w:pPr>
            <w:r>
              <w:rPr>
                <w:sz w:val="24"/>
              </w:rPr>
              <w:t>沥青混合料稳定度测定仪</w:t>
            </w:r>
          </w:p>
        </w:tc>
        <w:tc>
          <w:tcPr>
            <w:tcW w:w="2031" w:type="dxa"/>
            <w:vAlign w:val="center"/>
          </w:tcPr>
          <w:p>
            <w:pPr>
              <w:rPr>
                <w:sz w:val="24"/>
              </w:rPr>
            </w:pPr>
          </w:p>
        </w:tc>
        <w:tc>
          <w:tcPr>
            <w:tcW w:w="1275" w:type="dxa"/>
            <w:vAlign w:val="center"/>
          </w:tcPr>
          <w:p>
            <w:pPr>
              <w:jc w:val="center"/>
              <w:rPr>
                <w:sz w:val="24"/>
              </w:rPr>
            </w:pPr>
            <w:r>
              <w:rPr>
                <w:sz w:val="24"/>
              </w:rPr>
              <w:t>台</w:t>
            </w:r>
          </w:p>
        </w:tc>
        <w:tc>
          <w:tcPr>
            <w:tcW w:w="2801" w:type="dxa"/>
            <w:vAlign w:val="center"/>
          </w:tcPr>
          <w:p>
            <w:pPr>
              <w:jc w:val="center"/>
              <w:rPr>
                <w:color w:val="000000"/>
                <w:sz w:val="24"/>
              </w:rPr>
            </w:pPr>
            <w:r>
              <w:rPr>
                <w:rFonts w:hint="eastAsia"/>
                <w:color w:val="000000"/>
                <w:sz w:val="24"/>
              </w:rPr>
              <w:t>1</w:t>
            </w:r>
          </w:p>
        </w:tc>
      </w:tr>
    </w:tbl>
    <w:p>
      <w:pPr>
        <w:spacing w:before="12"/>
        <w:ind w:firstLine="240" w:firstLineChars="100"/>
        <w:rPr>
          <w:color w:val="00B050"/>
          <w:sz w:val="24"/>
        </w:rPr>
      </w:pPr>
    </w:p>
    <w:p>
      <w:pPr>
        <w:spacing w:line="360" w:lineRule="auto"/>
        <w:rPr>
          <w:sz w:val="24"/>
        </w:rPr>
      </w:pPr>
      <w:r>
        <w:rPr>
          <w:sz w:val="24"/>
        </w:rPr>
        <w:t>注 ：</w:t>
      </w:r>
      <w:r>
        <w:rPr>
          <w:color w:val="000000"/>
          <w:sz w:val="24"/>
        </w:rPr>
        <w:t>招标人将在合同谈判阶段要求中标人按照本表的最低要求填报为本标段配备的主要设备，在经招标人审批后作为投入本标段的主要设备且不允许更换。如招标人拟提供的设备数量和规格指标等不满足本表要求，招标人应取消其中标资格。</w:t>
      </w:r>
      <w:bookmarkStart w:id="23" w:name="_Toc234345890"/>
      <w:bookmarkStart w:id="24" w:name="_Toc234348971"/>
      <w:bookmarkStart w:id="25" w:name="_Toc234346105"/>
      <w:bookmarkStart w:id="26" w:name="_Toc234349545"/>
      <w:r>
        <w:rPr>
          <w:sz w:val="24"/>
        </w:rPr>
        <w:br w:type="page"/>
      </w:r>
      <w:r>
        <w:rPr>
          <w:sz w:val="24"/>
        </w:rPr>
        <w:t>附件五  履约</w:t>
      </w:r>
      <w:r>
        <w:rPr>
          <w:rFonts w:hint="eastAsia"/>
          <w:sz w:val="24"/>
        </w:rPr>
        <w:t>保证金</w:t>
      </w:r>
      <w:r>
        <w:rPr>
          <w:sz w:val="24"/>
        </w:rPr>
        <w:t>格式</w:t>
      </w:r>
      <w:bookmarkEnd w:id="23"/>
      <w:bookmarkEnd w:id="24"/>
      <w:bookmarkEnd w:id="25"/>
      <w:bookmarkEnd w:id="26"/>
    </w:p>
    <w:p>
      <w:pPr>
        <w:spacing w:line="380" w:lineRule="exact"/>
        <w:rPr>
          <w:sz w:val="24"/>
        </w:rPr>
      </w:pPr>
      <w:r>
        <w:rPr>
          <w:sz w:val="24"/>
        </w:rPr>
        <w:t>如采用银行保函，格式如下。</w:t>
      </w:r>
    </w:p>
    <w:p>
      <w:pPr>
        <w:spacing w:line="380" w:lineRule="exact"/>
        <w:jc w:val="center"/>
        <w:rPr>
          <w:b/>
          <w:sz w:val="24"/>
        </w:rPr>
      </w:pPr>
      <w:r>
        <w:rPr>
          <w:b/>
          <w:sz w:val="24"/>
        </w:rPr>
        <w:t>履 约 保 证 金</w:t>
      </w:r>
    </w:p>
    <w:p>
      <w:pPr>
        <w:spacing w:line="360" w:lineRule="auto"/>
        <w:rPr>
          <w:sz w:val="24"/>
          <w:u w:val="single"/>
        </w:rPr>
      </w:pPr>
    </w:p>
    <w:p>
      <w:pPr>
        <w:spacing w:line="360" w:lineRule="auto"/>
        <w:rPr>
          <w:sz w:val="24"/>
        </w:rPr>
      </w:pPr>
      <w:r>
        <w:rPr>
          <w:sz w:val="24"/>
          <w:u w:val="single"/>
        </w:rPr>
        <w:t xml:space="preserve">                </w:t>
      </w:r>
      <w:r>
        <w:rPr>
          <w:sz w:val="24"/>
        </w:rPr>
        <w:t>(</w:t>
      </w:r>
      <w:r>
        <w:rPr>
          <w:rFonts w:hint="eastAsia"/>
          <w:sz w:val="24"/>
        </w:rPr>
        <w:t>委托人</w:t>
      </w:r>
      <w:r>
        <w:rPr>
          <w:sz w:val="24"/>
        </w:rPr>
        <w:t>名称)：</w:t>
      </w:r>
    </w:p>
    <w:p>
      <w:pPr>
        <w:spacing w:line="360" w:lineRule="auto"/>
        <w:ind w:firstLine="480" w:firstLineChars="200"/>
        <w:rPr>
          <w:sz w:val="24"/>
        </w:rPr>
      </w:pPr>
      <w:r>
        <w:rPr>
          <w:sz w:val="24"/>
        </w:rPr>
        <w:t>鉴于</w:t>
      </w:r>
      <w:r>
        <w:rPr>
          <w:sz w:val="24"/>
          <w:u w:val="single"/>
        </w:rPr>
        <w:t xml:space="preserve">                 </w:t>
      </w:r>
      <w:r>
        <w:rPr>
          <w:sz w:val="24"/>
        </w:rPr>
        <w:t xml:space="preserve">  (</w:t>
      </w:r>
      <w:r>
        <w:rPr>
          <w:rFonts w:hint="eastAsia"/>
          <w:sz w:val="24"/>
        </w:rPr>
        <w:t>委托人</w:t>
      </w:r>
      <w:r>
        <w:rPr>
          <w:sz w:val="24"/>
        </w:rPr>
        <w:t>名称，以下简称“</w:t>
      </w:r>
      <w:r>
        <w:rPr>
          <w:rFonts w:hint="eastAsia"/>
          <w:sz w:val="24"/>
        </w:rPr>
        <w:t>委托人</w:t>
      </w:r>
      <w:r>
        <w:rPr>
          <w:sz w:val="24"/>
        </w:rPr>
        <w:t xml:space="preserve">”)接受 </w:t>
      </w:r>
      <w:r>
        <w:rPr>
          <w:sz w:val="24"/>
          <w:u w:val="single"/>
        </w:rPr>
        <w:t xml:space="preserve">       </w:t>
      </w:r>
      <w:r>
        <w:rPr>
          <w:sz w:val="24"/>
        </w:rPr>
        <w:t>(</w:t>
      </w:r>
      <w:r>
        <w:rPr>
          <w:rFonts w:hint="eastAsia"/>
          <w:sz w:val="24"/>
        </w:rPr>
        <w:t>监理人名称</w:t>
      </w:r>
      <w:r>
        <w:rPr>
          <w:sz w:val="24"/>
        </w:rPr>
        <w:t>)(以下称“</w:t>
      </w:r>
      <w:r>
        <w:rPr>
          <w:rFonts w:hint="eastAsia"/>
          <w:sz w:val="24"/>
        </w:rPr>
        <w:t>监理</w:t>
      </w:r>
      <w:r>
        <w:rPr>
          <w:sz w:val="24"/>
        </w:rPr>
        <w:t>人”)于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日参加</w:t>
      </w:r>
      <w:r>
        <w:rPr>
          <w:sz w:val="24"/>
          <w:u w:val="single"/>
        </w:rPr>
        <w:t xml:space="preserve">       </w:t>
      </w:r>
      <w:r>
        <w:rPr>
          <w:sz w:val="24"/>
        </w:rPr>
        <w:t>（项目名称）施工</w:t>
      </w:r>
      <w:r>
        <w:rPr>
          <w:rFonts w:hint="eastAsia"/>
          <w:sz w:val="24"/>
        </w:rPr>
        <w:t>监理</w:t>
      </w:r>
      <w:r>
        <w:rPr>
          <w:sz w:val="24"/>
        </w:rPr>
        <w:t>的投标。我方愿意无条件地、不可撤销地就</w:t>
      </w:r>
      <w:r>
        <w:rPr>
          <w:rFonts w:hint="eastAsia"/>
          <w:sz w:val="24"/>
        </w:rPr>
        <w:t>监理</w:t>
      </w:r>
      <w:r>
        <w:rPr>
          <w:sz w:val="24"/>
        </w:rPr>
        <w:t>人履行与你方订立的合同，向你方提供担保。</w:t>
      </w:r>
    </w:p>
    <w:p>
      <w:pPr>
        <w:spacing w:line="360" w:lineRule="auto"/>
        <w:ind w:firstLine="480" w:firstLineChars="200"/>
        <w:rPr>
          <w:sz w:val="24"/>
        </w:rPr>
      </w:pPr>
      <w:r>
        <w:rPr>
          <w:sz w:val="24"/>
        </w:rPr>
        <w:t>1.担保金额人民币(大写)</w:t>
      </w:r>
      <w:r>
        <w:rPr>
          <w:sz w:val="24"/>
          <w:u w:val="single"/>
        </w:rPr>
        <w:t xml:space="preserve">                </w:t>
      </w:r>
      <w:r>
        <w:rPr>
          <w:sz w:val="24"/>
        </w:rPr>
        <w:t>元(￥</w:t>
      </w:r>
      <w:r>
        <w:rPr>
          <w:sz w:val="24"/>
          <w:u w:val="single"/>
        </w:rPr>
        <w:t xml:space="preserve">               </w:t>
      </w:r>
      <w:r>
        <w:rPr>
          <w:sz w:val="24"/>
        </w:rPr>
        <w:t>)。</w:t>
      </w:r>
    </w:p>
    <w:p>
      <w:pPr>
        <w:spacing w:line="360" w:lineRule="auto"/>
        <w:ind w:firstLine="480" w:firstLineChars="200"/>
        <w:rPr>
          <w:sz w:val="24"/>
        </w:rPr>
      </w:pPr>
      <w:r>
        <w:rPr>
          <w:sz w:val="24"/>
        </w:rPr>
        <w:t>2.担保有效期自</w:t>
      </w:r>
      <w:r>
        <w:rPr>
          <w:rFonts w:hint="eastAsia"/>
          <w:sz w:val="24"/>
        </w:rPr>
        <w:t>委托</w:t>
      </w:r>
      <w:r>
        <w:rPr>
          <w:sz w:val="24"/>
        </w:rPr>
        <w:t>人与</w:t>
      </w:r>
      <w:r>
        <w:rPr>
          <w:rFonts w:hint="eastAsia"/>
          <w:sz w:val="24"/>
        </w:rPr>
        <w:t>监理</w:t>
      </w:r>
      <w:r>
        <w:rPr>
          <w:sz w:val="24"/>
        </w:rPr>
        <w:t>人签订的合同生效之日起至</w:t>
      </w:r>
      <w:r>
        <w:rPr>
          <w:rFonts w:hint="eastAsia"/>
          <w:sz w:val="24"/>
        </w:rPr>
        <w:t>委托</w:t>
      </w:r>
      <w:r>
        <w:rPr>
          <w:sz w:val="24"/>
        </w:rPr>
        <w:t>人签发交工验收证书且</w:t>
      </w:r>
      <w:r>
        <w:rPr>
          <w:rFonts w:hint="eastAsia"/>
          <w:sz w:val="24"/>
        </w:rPr>
        <w:t>监理</w:t>
      </w:r>
      <w:r>
        <w:rPr>
          <w:sz w:val="24"/>
        </w:rPr>
        <w:t>人按照合同约定</w:t>
      </w:r>
      <w:r>
        <w:rPr>
          <w:rFonts w:hint="eastAsia"/>
          <w:sz w:val="24"/>
        </w:rPr>
        <w:t>提交缺陷责任期保函</w:t>
      </w:r>
      <w:r>
        <w:rPr>
          <w:sz w:val="24"/>
        </w:rPr>
        <w:t>之日止。</w:t>
      </w:r>
    </w:p>
    <w:p>
      <w:pPr>
        <w:spacing w:line="360" w:lineRule="auto"/>
        <w:ind w:firstLine="480" w:firstLineChars="200"/>
        <w:rPr>
          <w:sz w:val="24"/>
        </w:rPr>
      </w:pPr>
      <w:r>
        <w:rPr>
          <w:sz w:val="24"/>
        </w:rPr>
        <w:t>3.在本担保有效期内，因</w:t>
      </w:r>
      <w:r>
        <w:rPr>
          <w:rFonts w:hint="eastAsia"/>
          <w:sz w:val="24"/>
        </w:rPr>
        <w:t>监理</w:t>
      </w:r>
      <w:r>
        <w:rPr>
          <w:sz w:val="24"/>
        </w:rPr>
        <w:t>人违反合同约定的义务给你方造成经济损失时，我方在收到你方以书面形式提出的在担保金额内的赔偿要求后，在7天内无条件支付，无须你方出具证明或陈述理由。</w:t>
      </w:r>
    </w:p>
    <w:p>
      <w:pPr>
        <w:spacing w:line="360" w:lineRule="auto"/>
        <w:ind w:firstLine="480"/>
        <w:rPr>
          <w:sz w:val="24"/>
        </w:rPr>
      </w:pPr>
      <w:r>
        <w:rPr>
          <w:sz w:val="24"/>
        </w:rPr>
        <w:t>4.</w:t>
      </w:r>
      <w:r>
        <w:rPr>
          <w:rFonts w:hint="eastAsia"/>
          <w:sz w:val="24"/>
        </w:rPr>
        <w:t>委托</w:t>
      </w:r>
      <w:r>
        <w:rPr>
          <w:sz w:val="24"/>
        </w:rPr>
        <w:t>人和</w:t>
      </w:r>
      <w:r>
        <w:rPr>
          <w:rFonts w:hint="eastAsia"/>
          <w:sz w:val="24"/>
        </w:rPr>
        <w:t>监理</w:t>
      </w:r>
      <w:r>
        <w:rPr>
          <w:sz w:val="24"/>
        </w:rPr>
        <w:t>人按合同条款变更合同时，我方承担本担保规定的义务不变。</w:t>
      </w:r>
    </w:p>
    <w:p>
      <w:pPr>
        <w:spacing w:line="460" w:lineRule="exact"/>
        <w:ind w:firstLine="480"/>
        <w:rPr>
          <w:sz w:val="24"/>
        </w:rPr>
      </w:pPr>
    </w:p>
    <w:p>
      <w:pPr>
        <w:spacing w:line="460" w:lineRule="exact"/>
        <w:ind w:firstLine="3600" w:firstLineChars="1500"/>
        <w:rPr>
          <w:sz w:val="24"/>
        </w:rPr>
      </w:pPr>
      <w:r>
        <w:rPr>
          <w:sz w:val="24"/>
        </w:rPr>
        <w:t>担 保 人：</w:t>
      </w:r>
      <w:r>
        <w:rPr>
          <w:sz w:val="24"/>
          <w:u w:val="single"/>
        </w:rPr>
        <w:t xml:space="preserve">                    </w:t>
      </w:r>
      <w:r>
        <w:rPr>
          <w:sz w:val="24"/>
        </w:rPr>
        <w:t xml:space="preserve"> (盖单位章)</w:t>
      </w:r>
    </w:p>
    <w:p>
      <w:pPr>
        <w:spacing w:line="460" w:lineRule="exact"/>
        <w:ind w:firstLine="3600" w:firstLineChars="1500"/>
        <w:rPr>
          <w:sz w:val="24"/>
        </w:rPr>
      </w:pPr>
      <w:r>
        <w:rPr>
          <w:sz w:val="24"/>
        </w:rPr>
        <w:t>法定代表人或其委托代理人：</w:t>
      </w:r>
      <w:r>
        <w:rPr>
          <w:sz w:val="24"/>
          <w:u w:val="single"/>
        </w:rPr>
        <w:t xml:space="preserve">        </w:t>
      </w:r>
      <w:r>
        <w:rPr>
          <w:sz w:val="24"/>
        </w:rPr>
        <w:t xml:space="preserve"> (签字)</w:t>
      </w:r>
    </w:p>
    <w:p>
      <w:pPr>
        <w:tabs>
          <w:tab w:val="left" w:pos="8640"/>
        </w:tabs>
        <w:spacing w:line="460" w:lineRule="exact"/>
        <w:ind w:firstLine="3600" w:firstLineChars="1500"/>
        <w:rPr>
          <w:sz w:val="24"/>
        </w:rPr>
      </w:pPr>
      <w:r>
        <w:rPr>
          <w:sz w:val="24"/>
        </w:rPr>
        <w:t>地    址：_______________________________</w:t>
      </w:r>
    </w:p>
    <w:p>
      <w:pPr>
        <w:tabs>
          <w:tab w:val="left" w:pos="8640"/>
        </w:tabs>
        <w:spacing w:line="460" w:lineRule="exact"/>
        <w:ind w:firstLine="3600" w:firstLineChars="1500"/>
        <w:rPr>
          <w:sz w:val="24"/>
          <w:u w:val="single"/>
        </w:rPr>
      </w:pPr>
      <w:r>
        <w:rPr>
          <w:sz w:val="24"/>
        </w:rPr>
        <w:t>邮政编码：_______________________________</w:t>
      </w:r>
    </w:p>
    <w:p>
      <w:pPr>
        <w:tabs>
          <w:tab w:val="left" w:pos="8640"/>
        </w:tabs>
        <w:spacing w:line="460" w:lineRule="exact"/>
        <w:ind w:firstLine="3600" w:firstLineChars="1500"/>
        <w:rPr>
          <w:sz w:val="24"/>
        </w:rPr>
      </w:pPr>
      <w:r>
        <w:rPr>
          <w:sz w:val="24"/>
        </w:rPr>
        <w:t>电    话：_______________________________</w:t>
      </w:r>
    </w:p>
    <w:p>
      <w:pPr>
        <w:tabs>
          <w:tab w:val="left" w:pos="8640"/>
        </w:tabs>
        <w:spacing w:line="460" w:lineRule="exact"/>
        <w:ind w:firstLine="3600" w:firstLineChars="1500"/>
        <w:rPr>
          <w:sz w:val="24"/>
          <w:u w:val="single"/>
        </w:rPr>
      </w:pPr>
      <w:r>
        <w:rPr>
          <w:sz w:val="24"/>
        </w:rPr>
        <w:t>传    真：_______________________________</w:t>
      </w:r>
    </w:p>
    <w:p>
      <w:pPr>
        <w:spacing w:line="360" w:lineRule="auto"/>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360" w:lineRule="auto"/>
        <w:ind w:firstLine="435"/>
        <w:rPr>
          <w:szCs w:val="32"/>
        </w:rPr>
      </w:pPr>
      <w:r>
        <w:rPr>
          <w:sz w:val="24"/>
        </w:rPr>
        <w:br w:type="page"/>
      </w:r>
      <w:bookmarkStart w:id="27" w:name="_Toc196474987"/>
      <w:bookmarkStart w:id="28" w:name="_Toc492717360"/>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spacing w:line="360" w:lineRule="auto"/>
        <w:jc w:val="center"/>
        <w:rPr>
          <w:sz w:val="24"/>
        </w:rPr>
      </w:pPr>
      <w:bookmarkStart w:id="29" w:name="_Toc459295789"/>
      <w:r>
        <w:rPr>
          <w:rFonts w:hint="eastAsia"/>
          <w:b/>
          <w:bCs/>
          <w:sz w:val="72"/>
          <w:szCs w:val="72"/>
        </w:rPr>
        <w:t>第二卷</w:t>
      </w:r>
      <w:r>
        <w:rPr>
          <w:rFonts w:hint="eastAsia"/>
          <w:szCs w:val="32"/>
        </w:rPr>
        <w:br w:type="page"/>
      </w:r>
      <w:bookmarkEnd w:id="27"/>
      <w:bookmarkEnd w:id="28"/>
      <w:bookmarkEnd w:id="29"/>
      <w:bookmarkStart w:id="30" w:name="_Toc196474991"/>
      <w:bookmarkStart w:id="31" w:name="_Toc139431626"/>
      <w:bookmarkStart w:id="32" w:name="_Toc139237033"/>
      <w:bookmarkStart w:id="33" w:name="_Toc139435630"/>
      <w:bookmarkStart w:id="34" w:name="_Toc139433269"/>
      <w:bookmarkStart w:id="35" w:name="_Toc139453227"/>
      <w:bookmarkStart w:id="36" w:name="_Toc139451012"/>
    </w:p>
    <w:p>
      <w:pPr>
        <w:pStyle w:val="4"/>
        <w:jc w:val="center"/>
      </w:pPr>
    </w:p>
    <w:p>
      <w:pPr>
        <w:pStyle w:val="4"/>
        <w:jc w:val="center"/>
      </w:pPr>
    </w:p>
    <w:p>
      <w:pPr>
        <w:pStyle w:val="4"/>
        <w:jc w:val="center"/>
      </w:pPr>
    </w:p>
    <w:p>
      <w:pPr>
        <w:pStyle w:val="4"/>
        <w:jc w:val="center"/>
        <w:rPr>
          <w:sz w:val="24"/>
        </w:rPr>
      </w:pPr>
      <w:r>
        <w:rPr>
          <w:rFonts w:hint="eastAsia"/>
        </w:rPr>
        <w:t>第五章 委托人要求</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color w:val="FF0000"/>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before="187"/>
        <w:ind w:left="657" w:right="868"/>
        <w:jc w:val="center"/>
        <w:rPr>
          <w:b/>
          <w:color w:val="000000"/>
          <w:sz w:val="30"/>
          <w:szCs w:val="30"/>
        </w:rPr>
      </w:pPr>
      <w:r>
        <w:rPr>
          <w:b/>
          <w:color w:val="000000"/>
          <w:sz w:val="30"/>
          <w:szCs w:val="30"/>
        </w:rPr>
        <w:br w:type="page"/>
      </w:r>
      <w:r>
        <w:rPr>
          <w:b/>
          <w:color w:val="000000"/>
          <w:sz w:val="30"/>
          <w:szCs w:val="30"/>
        </w:rPr>
        <w:t>委托人要求</w:t>
      </w:r>
    </w:p>
    <w:p>
      <w:pPr>
        <w:pStyle w:val="2"/>
        <w:spacing w:before="35"/>
        <w:ind w:left="146" w:right="4094" w:firstLine="480"/>
        <w:rPr>
          <w:sz w:val="24"/>
        </w:rPr>
      </w:pPr>
      <w:r>
        <w:rPr>
          <w:color w:val="FF0000"/>
          <w:sz w:val="24"/>
        </w:rPr>
        <w:t xml:space="preserve"> </w:t>
      </w:r>
      <w:r>
        <w:rPr>
          <w:b/>
          <w:sz w:val="24"/>
        </w:rPr>
        <w:t>一、监理要求</w:t>
      </w:r>
    </w:p>
    <w:p>
      <w:pPr>
        <w:pStyle w:val="2"/>
        <w:spacing w:before="140" w:line="420" w:lineRule="exact"/>
        <w:ind w:left="151" w:right="232" w:firstLine="475"/>
        <w:rPr>
          <w:sz w:val="24"/>
        </w:rPr>
      </w:pPr>
      <w:r>
        <w:rPr>
          <w:sz w:val="24"/>
        </w:rPr>
        <w:t>（一）项目概况</w:t>
      </w:r>
    </w:p>
    <w:p>
      <w:pPr>
        <w:spacing w:line="420" w:lineRule="exact"/>
        <w:ind w:firstLine="638" w:firstLineChars="266"/>
        <w:jc w:val="left"/>
        <w:rPr>
          <w:sz w:val="24"/>
        </w:rPr>
      </w:pPr>
      <w:r>
        <w:rPr>
          <w:sz w:val="24"/>
        </w:rPr>
        <w:t>（1）项目名称：</w:t>
      </w:r>
      <w:r>
        <w:rPr>
          <w:rFonts w:hint="eastAsia"/>
          <w:sz w:val="24"/>
        </w:rPr>
        <w:t>滨海新区2020年绿色生态屏障建设一期工程（双城绿廊内部连接道路-永定新河巡堤路维修）</w:t>
      </w:r>
      <w:r>
        <w:rPr>
          <w:sz w:val="24"/>
        </w:rPr>
        <w:t>；</w:t>
      </w:r>
    </w:p>
    <w:p>
      <w:pPr>
        <w:pStyle w:val="2"/>
        <w:spacing w:before="39" w:after="0" w:line="420" w:lineRule="exact"/>
        <w:ind w:right="232" w:firstLine="638" w:firstLineChars="266"/>
        <w:rPr>
          <w:sz w:val="24"/>
        </w:rPr>
      </w:pPr>
      <w:r>
        <w:rPr>
          <w:sz w:val="24"/>
        </w:rPr>
        <w:t>（2）建设单位：</w:t>
      </w:r>
      <w:r>
        <w:rPr>
          <w:rFonts w:hint="eastAsia"/>
          <w:sz w:val="24"/>
        </w:rPr>
        <w:t>天津市滨海新区农业农村委员会</w:t>
      </w:r>
      <w:r>
        <w:rPr>
          <w:sz w:val="24"/>
        </w:rPr>
        <w:t>；</w:t>
      </w:r>
    </w:p>
    <w:p>
      <w:pPr>
        <w:pStyle w:val="2"/>
        <w:spacing w:before="39" w:after="0" w:line="420" w:lineRule="exact"/>
        <w:ind w:right="232" w:firstLine="638" w:firstLineChars="266"/>
        <w:rPr>
          <w:sz w:val="24"/>
        </w:rPr>
      </w:pPr>
      <w:r>
        <w:rPr>
          <w:sz w:val="24"/>
        </w:rPr>
        <w:t>（3）建设规模：</w:t>
      </w:r>
      <w:r>
        <w:rPr>
          <w:rFonts w:hint="eastAsia"/>
          <w:sz w:val="24"/>
        </w:rPr>
        <w:t>项目实施对现有永定新河巡堤路进行维修改造，使其成为以步行、自行车通行为主，兼顾游览汽车通行的游览路，维修改造后，路宽6米、车行道设计速度20km/h。主要建设内容包括道路工程、交通工程及照明工程等。</w:t>
      </w:r>
    </w:p>
    <w:p>
      <w:pPr>
        <w:pStyle w:val="2"/>
        <w:spacing w:before="39" w:after="0" w:line="420" w:lineRule="exact"/>
        <w:ind w:right="232" w:firstLine="638" w:firstLineChars="266"/>
        <w:rPr>
          <w:sz w:val="24"/>
        </w:rPr>
      </w:pPr>
      <w:r>
        <w:rPr>
          <w:sz w:val="24"/>
        </w:rPr>
        <w:t>（4）技术标准：</w:t>
      </w:r>
      <w:r>
        <w:rPr>
          <w:rFonts w:hint="eastAsia"/>
          <w:sz w:val="24"/>
        </w:rPr>
        <w:t>二级及以上公路</w:t>
      </w:r>
    </w:p>
    <w:p>
      <w:pPr>
        <w:adjustRightInd w:val="0"/>
        <w:snapToGrid w:val="0"/>
        <w:spacing w:line="440" w:lineRule="exact"/>
        <w:ind w:firstLine="638" w:firstLineChars="266"/>
        <w:jc w:val="left"/>
        <w:rPr>
          <w:sz w:val="24"/>
        </w:rPr>
      </w:pPr>
      <w:r>
        <w:rPr>
          <w:sz w:val="24"/>
        </w:rPr>
        <w:t>（5）项目地理位置：</w:t>
      </w:r>
      <w:r>
        <w:rPr>
          <w:rFonts w:hint="eastAsia"/>
          <w:sz w:val="24"/>
        </w:rPr>
        <w:t xml:space="preserve">该项目位于滨海新区永定新河巡堤路，东西走向，西起东丽管辖边界，沿线下穿唐津高速，东至绕城高速，道路全长1485.084米。 </w:t>
      </w:r>
      <w:r>
        <w:rPr>
          <w:rFonts w:hint="eastAsia" w:asciiTheme="majorEastAsia" w:hAnsiTheme="majorEastAsia" w:eastAsiaTheme="majorEastAsia" w:cstheme="majorEastAsia"/>
          <w:color w:val="FF0000"/>
          <w:kern w:val="0"/>
          <w:sz w:val="24"/>
        </w:rPr>
        <w:t xml:space="preserve"> </w:t>
      </w:r>
    </w:p>
    <w:p>
      <w:pPr>
        <w:spacing w:line="420" w:lineRule="exact"/>
        <w:ind w:firstLine="480" w:firstLineChars="200"/>
        <w:rPr>
          <w:sz w:val="24"/>
        </w:rPr>
      </w:pPr>
      <w:r>
        <w:rPr>
          <w:sz w:val="24"/>
        </w:rPr>
        <w:t>（二）监理范围及内容等：</w:t>
      </w:r>
    </w:p>
    <w:p>
      <w:pPr>
        <w:spacing w:line="420" w:lineRule="exact"/>
        <w:ind w:firstLine="480" w:firstLineChars="200"/>
        <w:rPr>
          <w:sz w:val="24"/>
        </w:rPr>
      </w:pPr>
      <w:r>
        <w:rPr>
          <w:sz w:val="24"/>
        </w:rPr>
        <w:t>本工程项目监理范围、主要监理及施工标段划分内容详见：B项目专用合同条款，主要工程数量表见施工合同工程量清单。</w:t>
      </w:r>
    </w:p>
    <w:p>
      <w:pPr>
        <w:spacing w:line="420" w:lineRule="exact"/>
        <w:ind w:firstLine="480" w:firstLineChars="200"/>
        <w:rPr>
          <w:sz w:val="24"/>
        </w:rPr>
      </w:pPr>
      <w:r>
        <w:rPr>
          <w:sz w:val="24"/>
        </w:rPr>
        <w:t>（三）监理依据：国家和行业有关标准、规范、规程及合同条款规定的招标文件和其他文件；</w:t>
      </w:r>
    </w:p>
    <w:p>
      <w:pPr>
        <w:spacing w:line="420" w:lineRule="exact"/>
        <w:ind w:firstLine="480" w:firstLineChars="200"/>
        <w:rPr>
          <w:sz w:val="24"/>
        </w:rPr>
      </w:pPr>
      <w:r>
        <w:rPr>
          <w:sz w:val="24"/>
        </w:rPr>
        <w:t>（四）监理人员和试验检测仪器设备要求：详见招标文件合同附件要求；</w:t>
      </w:r>
    </w:p>
    <w:p>
      <w:pPr>
        <w:spacing w:line="420" w:lineRule="exact"/>
        <w:ind w:firstLine="480" w:firstLineChars="200"/>
        <w:rPr>
          <w:sz w:val="24"/>
        </w:rPr>
      </w:pPr>
      <w:r>
        <w:rPr>
          <w:sz w:val="24"/>
        </w:rPr>
        <w:t>（五）其他要求：无。</w:t>
      </w:r>
    </w:p>
    <w:p>
      <w:pPr>
        <w:pStyle w:val="2"/>
        <w:spacing w:before="35" w:line="420" w:lineRule="exact"/>
        <w:ind w:left="146" w:right="4094" w:hanging="4"/>
        <w:rPr>
          <w:b/>
          <w:sz w:val="24"/>
        </w:rPr>
      </w:pPr>
      <w:r>
        <w:rPr>
          <w:b/>
          <w:sz w:val="24"/>
        </w:rPr>
        <w:t>二、适用规范标准</w:t>
      </w:r>
    </w:p>
    <w:p>
      <w:pPr>
        <w:spacing w:line="420" w:lineRule="exact"/>
        <w:ind w:firstLine="480" w:firstLineChars="200"/>
        <w:rPr>
          <w:sz w:val="24"/>
        </w:rPr>
      </w:pPr>
      <w:r>
        <w:rPr>
          <w:sz w:val="24"/>
        </w:rPr>
        <w:t>（一） 通用施工监理规范：执行《公路工程施工监理规范》（JTG  G10-2016）；</w:t>
      </w:r>
    </w:p>
    <w:p>
      <w:pPr>
        <w:spacing w:line="420" w:lineRule="exact"/>
        <w:ind w:firstLine="480" w:firstLineChars="200"/>
        <w:rPr>
          <w:sz w:val="24"/>
        </w:rPr>
      </w:pPr>
      <w:r>
        <w:rPr>
          <w:sz w:val="24"/>
        </w:rPr>
        <w:t>（二）专用施工监理规范：无；</w:t>
      </w:r>
    </w:p>
    <w:p>
      <w:pPr>
        <w:spacing w:line="420" w:lineRule="exact"/>
        <w:ind w:firstLine="480" w:firstLineChars="200"/>
        <w:rPr>
          <w:sz w:val="24"/>
        </w:rPr>
      </w:pPr>
      <w:r>
        <w:rPr>
          <w:sz w:val="24"/>
        </w:rPr>
        <w:t xml:space="preserve">（三）施工技术规范 </w:t>
      </w:r>
    </w:p>
    <w:p>
      <w:pPr>
        <w:spacing w:line="420" w:lineRule="exact"/>
        <w:ind w:firstLine="480" w:firstLineChars="200"/>
        <w:rPr>
          <w:sz w:val="24"/>
        </w:rPr>
      </w:pPr>
      <w:r>
        <w:rPr>
          <w:sz w:val="24"/>
        </w:rPr>
        <w:t>1. 本工程施工标段招标文件中的技术规范；</w:t>
      </w:r>
    </w:p>
    <w:p>
      <w:pPr>
        <w:spacing w:line="420" w:lineRule="exact"/>
        <w:ind w:firstLine="480" w:firstLineChars="200"/>
        <w:rPr>
          <w:sz w:val="24"/>
        </w:rPr>
      </w:pPr>
      <w:r>
        <w:rPr>
          <w:sz w:val="24"/>
        </w:rPr>
        <w:t>2. 所有与工程施工有关的国家现行的公路建设标准、规范、规程及相关文件。</w:t>
      </w:r>
    </w:p>
    <w:p>
      <w:pPr>
        <w:spacing w:line="420" w:lineRule="exact"/>
        <w:ind w:firstLine="480" w:firstLineChars="200"/>
        <w:rPr>
          <w:sz w:val="24"/>
        </w:rPr>
      </w:pPr>
      <w:r>
        <w:rPr>
          <w:sz w:val="24"/>
        </w:rPr>
        <w:t>（四）国家、行业、项目所在地适用本工程的其他规范、标准或规程。</w:t>
      </w:r>
    </w:p>
    <w:p>
      <w:pPr>
        <w:pStyle w:val="2"/>
        <w:spacing w:before="35" w:line="420" w:lineRule="exact"/>
        <w:ind w:left="146" w:right="4094" w:hanging="4"/>
        <w:rPr>
          <w:b/>
          <w:sz w:val="24"/>
        </w:rPr>
      </w:pPr>
      <w:r>
        <w:rPr>
          <w:b/>
          <w:sz w:val="24"/>
        </w:rPr>
        <w:t>三、成果文件要求</w:t>
      </w:r>
    </w:p>
    <w:p>
      <w:pPr>
        <w:spacing w:line="420" w:lineRule="exact"/>
        <w:ind w:firstLine="480" w:firstLineChars="200"/>
        <w:rPr>
          <w:sz w:val="24"/>
        </w:rPr>
      </w:pPr>
      <w:r>
        <w:rPr>
          <w:sz w:val="24"/>
        </w:rPr>
        <w:t>（一）成果文件的组成：满足项目竣工验收需要。</w:t>
      </w:r>
    </w:p>
    <w:p>
      <w:pPr>
        <w:spacing w:line="420" w:lineRule="exact"/>
        <w:ind w:firstLine="480" w:firstLineChars="200"/>
        <w:rPr>
          <w:sz w:val="24"/>
        </w:rPr>
      </w:pPr>
      <w:r>
        <w:rPr>
          <w:sz w:val="24"/>
        </w:rPr>
        <w:t>（二）成果文件的深度：满足项目竣工验收需要。</w:t>
      </w:r>
    </w:p>
    <w:p>
      <w:pPr>
        <w:spacing w:line="420" w:lineRule="exact"/>
        <w:ind w:firstLine="480" w:firstLineChars="200"/>
        <w:rPr>
          <w:sz w:val="24"/>
        </w:rPr>
      </w:pPr>
      <w:r>
        <w:rPr>
          <w:sz w:val="24"/>
        </w:rPr>
        <w:t>（三）成果文件的格式要求：满足项目竣工验收需要。</w:t>
      </w:r>
    </w:p>
    <w:p>
      <w:pPr>
        <w:spacing w:line="420" w:lineRule="exact"/>
        <w:ind w:firstLine="480" w:firstLineChars="200"/>
        <w:rPr>
          <w:sz w:val="24"/>
        </w:rPr>
      </w:pPr>
      <w:r>
        <w:rPr>
          <w:sz w:val="24"/>
        </w:rPr>
        <w:t>（四）成果文件的份数要求：满足项目竣工验收需要。</w:t>
      </w:r>
    </w:p>
    <w:p>
      <w:pPr>
        <w:spacing w:line="420" w:lineRule="exact"/>
        <w:ind w:firstLine="600" w:firstLineChars="250"/>
        <w:rPr>
          <w:sz w:val="24"/>
        </w:rPr>
      </w:pPr>
      <w:r>
        <w:rPr>
          <w:sz w:val="24"/>
        </w:rPr>
        <w:t>（五）成果文件的载体要求：满足项目竣工验收需要。</w:t>
      </w:r>
    </w:p>
    <w:p>
      <w:pPr>
        <w:spacing w:line="420" w:lineRule="exact"/>
        <w:ind w:firstLine="1200" w:firstLineChars="500"/>
        <w:rPr>
          <w:sz w:val="24"/>
        </w:rPr>
      </w:pPr>
      <w:r>
        <w:rPr>
          <w:sz w:val="24"/>
        </w:rPr>
        <w:t>1.纸质版的要求：满足项目竣工验收需要。</w:t>
      </w:r>
    </w:p>
    <w:p>
      <w:pPr>
        <w:spacing w:line="420" w:lineRule="exact"/>
        <w:ind w:firstLine="1200" w:firstLineChars="500"/>
        <w:rPr>
          <w:sz w:val="24"/>
        </w:rPr>
      </w:pPr>
      <w:r>
        <w:rPr>
          <w:sz w:val="24"/>
        </w:rPr>
        <w:t>2.电子版的要求：无。</w:t>
      </w:r>
    </w:p>
    <w:p>
      <w:pPr>
        <w:spacing w:line="420" w:lineRule="exact"/>
        <w:ind w:firstLine="1200" w:firstLineChars="500"/>
        <w:rPr>
          <w:sz w:val="24"/>
        </w:rPr>
      </w:pPr>
      <w:r>
        <w:rPr>
          <w:sz w:val="24"/>
        </w:rPr>
        <w:t>3.其他要求：无。</w:t>
      </w:r>
    </w:p>
    <w:p>
      <w:pPr>
        <w:spacing w:line="420" w:lineRule="exact"/>
        <w:ind w:firstLine="600" w:firstLineChars="250"/>
        <w:rPr>
          <w:color w:val="FF0000"/>
          <w:sz w:val="24"/>
        </w:rPr>
      </w:pPr>
      <w:r>
        <w:rPr>
          <w:sz w:val="24"/>
        </w:rPr>
        <w:t>（六）成果文件的其他要求 ：无。</w:t>
      </w:r>
    </w:p>
    <w:p>
      <w:pPr>
        <w:pStyle w:val="2"/>
        <w:spacing w:before="35" w:line="420" w:lineRule="exact"/>
        <w:ind w:left="146" w:right="4094" w:hanging="4"/>
        <w:rPr>
          <w:b/>
          <w:sz w:val="24"/>
        </w:rPr>
      </w:pPr>
      <w:r>
        <w:rPr>
          <w:b/>
          <w:sz w:val="24"/>
        </w:rPr>
        <w:t>四、委托人财产清单</w:t>
      </w:r>
    </w:p>
    <w:p>
      <w:pPr>
        <w:pStyle w:val="2"/>
        <w:spacing w:before="55" w:after="0" w:line="400" w:lineRule="exact"/>
        <w:ind w:left="754" w:right="300"/>
        <w:rPr>
          <w:sz w:val="24"/>
        </w:rPr>
      </w:pPr>
      <w:r>
        <w:rPr>
          <w:sz w:val="24"/>
        </w:rPr>
        <w:t>（一）委托人提供的设备、设施</w:t>
      </w:r>
    </w:p>
    <w:p>
      <w:pPr>
        <w:pStyle w:val="2"/>
        <w:spacing w:before="55" w:after="0" w:line="400" w:lineRule="exact"/>
        <w:ind w:left="754" w:right="300"/>
        <w:rPr>
          <w:sz w:val="24"/>
        </w:rPr>
      </w:pPr>
      <w:r>
        <w:rPr>
          <w:sz w:val="24"/>
        </w:rPr>
        <w:t>1. 委托人提供的办公房屋及冷暖设施：无；</w:t>
      </w:r>
    </w:p>
    <w:p>
      <w:pPr>
        <w:pStyle w:val="2"/>
        <w:spacing w:before="55" w:after="0" w:line="400" w:lineRule="exact"/>
        <w:ind w:left="754" w:right="300"/>
        <w:rPr>
          <w:sz w:val="24"/>
        </w:rPr>
      </w:pPr>
      <w:r>
        <w:rPr>
          <w:sz w:val="24"/>
        </w:rPr>
        <w:t>2. 委托人提供的设备清单：无；</w:t>
      </w:r>
    </w:p>
    <w:p>
      <w:pPr>
        <w:pStyle w:val="2"/>
        <w:spacing w:before="55" w:after="0" w:line="400" w:lineRule="exact"/>
        <w:ind w:left="754" w:right="300"/>
        <w:rPr>
          <w:sz w:val="24"/>
        </w:rPr>
      </w:pPr>
      <w:r>
        <w:rPr>
          <w:sz w:val="24"/>
        </w:rPr>
        <w:t>3. 委托人提供的设施清单：无；</w:t>
      </w:r>
    </w:p>
    <w:p>
      <w:pPr>
        <w:pStyle w:val="2"/>
        <w:spacing w:before="55" w:after="0" w:line="400" w:lineRule="exact"/>
        <w:ind w:left="754" w:right="300"/>
        <w:rPr>
          <w:sz w:val="24"/>
        </w:rPr>
      </w:pPr>
      <w:r>
        <w:rPr>
          <w:sz w:val="24"/>
        </w:rPr>
        <w:t>（二）委托人提供的资料</w:t>
      </w:r>
    </w:p>
    <w:p>
      <w:pPr>
        <w:pStyle w:val="2"/>
        <w:spacing w:before="55" w:after="0" w:line="400" w:lineRule="exact"/>
        <w:ind w:left="754" w:right="300"/>
        <w:rPr>
          <w:sz w:val="24"/>
        </w:rPr>
      </w:pPr>
      <w:r>
        <w:rPr>
          <w:sz w:val="24"/>
        </w:rPr>
        <w:t>1.施工场地及毗邻区域内的供水、排水、供电、供气、供热、通信、广播电视等地下管线资料、气象和水文观测资料，相邻建筑物和构筑物、地下工程的有关资料，以及其他与公路工程有关的原始资料</w:t>
      </w:r>
    </w:p>
    <w:p>
      <w:pPr>
        <w:pStyle w:val="2"/>
        <w:spacing w:before="55" w:after="0" w:line="400" w:lineRule="exact"/>
        <w:ind w:left="754" w:right="300"/>
        <w:rPr>
          <w:sz w:val="24"/>
        </w:rPr>
      </w:pPr>
      <w:r>
        <w:rPr>
          <w:sz w:val="24"/>
        </w:rPr>
        <w:t>2. 定位放线的基准点、基准线和基准标高</w:t>
      </w:r>
    </w:p>
    <w:p>
      <w:pPr>
        <w:pStyle w:val="2"/>
        <w:spacing w:before="55" w:after="0" w:line="400" w:lineRule="exact"/>
        <w:ind w:left="754" w:right="300"/>
        <w:rPr>
          <w:sz w:val="24"/>
        </w:rPr>
      </w:pPr>
      <w:r>
        <w:rPr>
          <w:sz w:val="24"/>
        </w:rPr>
        <w:t>3. 委托人取得的有关审批、核准和备案材料</w:t>
      </w:r>
    </w:p>
    <w:p>
      <w:pPr>
        <w:pStyle w:val="2"/>
        <w:spacing w:before="55" w:after="0" w:line="400" w:lineRule="exact"/>
        <w:ind w:left="754" w:right="300"/>
        <w:rPr>
          <w:sz w:val="24"/>
        </w:rPr>
      </w:pPr>
      <w:r>
        <w:rPr>
          <w:sz w:val="24"/>
        </w:rPr>
        <w:t>4. 勘察文件、设计文件等资料</w:t>
      </w:r>
    </w:p>
    <w:p>
      <w:pPr>
        <w:pStyle w:val="2"/>
        <w:spacing w:before="55" w:after="0" w:line="400" w:lineRule="exact"/>
        <w:ind w:left="754" w:right="300"/>
        <w:rPr>
          <w:sz w:val="24"/>
        </w:rPr>
      </w:pPr>
      <w:r>
        <w:rPr>
          <w:sz w:val="24"/>
        </w:rPr>
        <w:t>5. 技术标准、规范</w:t>
      </w:r>
    </w:p>
    <w:p>
      <w:pPr>
        <w:pStyle w:val="2"/>
        <w:spacing w:before="55" w:after="0" w:line="400" w:lineRule="exact"/>
        <w:ind w:left="754" w:right="300"/>
        <w:rPr>
          <w:sz w:val="24"/>
        </w:rPr>
      </w:pPr>
      <w:r>
        <w:rPr>
          <w:sz w:val="24"/>
        </w:rPr>
        <w:t>6. 工程承包合同及其他相关合同</w:t>
      </w:r>
    </w:p>
    <w:p>
      <w:pPr>
        <w:pStyle w:val="2"/>
        <w:spacing w:before="55" w:after="0" w:line="400" w:lineRule="exact"/>
        <w:ind w:left="754" w:right="300"/>
        <w:rPr>
          <w:sz w:val="24"/>
        </w:rPr>
      </w:pPr>
      <w:r>
        <w:rPr>
          <w:sz w:val="24"/>
        </w:rPr>
        <w:t>7. 其他资料：无</w:t>
      </w:r>
    </w:p>
    <w:p>
      <w:pPr>
        <w:pStyle w:val="2"/>
        <w:spacing w:before="55" w:after="0" w:line="400" w:lineRule="exact"/>
        <w:ind w:left="754" w:right="300"/>
        <w:rPr>
          <w:sz w:val="24"/>
        </w:rPr>
      </w:pPr>
      <w:r>
        <w:rPr>
          <w:sz w:val="24"/>
        </w:rPr>
        <w:t>（三）委托人财产使用要求及退还要求：无。</w:t>
      </w:r>
    </w:p>
    <w:p>
      <w:pPr>
        <w:pStyle w:val="2"/>
        <w:spacing w:before="35" w:line="420" w:lineRule="exact"/>
        <w:ind w:left="146" w:right="4094" w:hanging="4"/>
        <w:rPr>
          <w:b/>
          <w:sz w:val="24"/>
        </w:rPr>
      </w:pPr>
      <w:r>
        <w:rPr>
          <w:b/>
          <w:sz w:val="24"/>
        </w:rPr>
        <w:t>五、委托人提供的便利条件</w:t>
      </w:r>
    </w:p>
    <w:p>
      <w:pPr>
        <w:pStyle w:val="2"/>
        <w:spacing w:after="0" w:line="400" w:lineRule="exact"/>
        <w:ind w:left="754" w:right="300"/>
        <w:rPr>
          <w:sz w:val="24"/>
        </w:rPr>
      </w:pPr>
      <w:r>
        <w:rPr>
          <w:sz w:val="24"/>
        </w:rPr>
        <w:t>（一）委托人提供的生活条件：无；</w:t>
      </w:r>
    </w:p>
    <w:p>
      <w:pPr>
        <w:pStyle w:val="2"/>
        <w:spacing w:after="0" w:line="400" w:lineRule="exact"/>
        <w:ind w:left="754" w:right="300"/>
        <w:rPr>
          <w:sz w:val="24"/>
        </w:rPr>
      </w:pPr>
      <w:r>
        <w:rPr>
          <w:sz w:val="24"/>
        </w:rPr>
        <w:t>（二）委托人提供的交通条件：无；</w:t>
      </w:r>
    </w:p>
    <w:p>
      <w:pPr>
        <w:pStyle w:val="2"/>
        <w:spacing w:after="0" w:line="400" w:lineRule="exact"/>
        <w:ind w:left="754" w:right="300"/>
        <w:rPr>
          <w:sz w:val="24"/>
        </w:rPr>
      </w:pPr>
      <w:r>
        <w:rPr>
          <w:sz w:val="24"/>
        </w:rPr>
        <w:t>（三）委托人提供的网络、通讯条件：无；</w:t>
      </w:r>
    </w:p>
    <w:p>
      <w:pPr>
        <w:pStyle w:val="2"/>
        <w:spacing w:after="0" w:line="400" w:lineRule="exact"/>
        <w:ind w:left="754" w:right="300"/>
        <w:rPr>
          <w:sz w:val="24"/>
        </w:rPr>
      </w:pPr>
      <w:r>
        <w:rPr>
          <w:sz w:val="24"/>
        </w:rPr>
        <w:t>（四）委托人提供的协助人员：业主经理部相关工作人员等。</w:t>
      </w:r>
    </w:p>
    <w:p>
      <w:pPr>
        <w:pStyle w:val="2"/>
        <w:spacing w:before="35" w:line="420" w:lineRule="exact"/>
        <w:ind w:left="146" w:right="4094" w:hanging="4"/>
        <w:rPr>
          <w:b/>
          <w:sz w:val="24"/>
        </w:rPr>
      </w:pPr>
      <w:r>
        <w:rPr>
          <w:b/>
          <w:sz w:val="24"/>
        </w:rPr>
        <w:t>六、监理人需要自备的工作条件</w:t>
      </w:r>
    </w:p>
    <w:p>
      <w:pPr>
        <w:pStyle w:val="2"/>
        <w:spacing w:before="29" w:after="0" w:line="300" w:lineRule="exact"/>
        <w:ind w:left="754" w:right="109"/>
        <w:rPr>
          <w:sz w:val="24"/>
        </w:rPr>
      </w:pPr>
      <w:r>
        <w:rPr>
          <w:sz w:val="24"/>
        </w:rPr>
        <w:t>（一）监理人自备的工作手册：如本项目必备的规范标准、图集等</w:t>
      </w:r>
    </w:p>
    <w:p>
      <w:pPr>
        <w:pStyle w:val="2"/>
        <w:spacing w:before="140" w:after="0" w:line="300" w:lineRule="exact"/>
        <w:ind w:left="754"/>
        <w:rPr>
          <w:sz w:val="24"/>
        </w:rPr>
      </w:pPr>
      <w:r>
        <w:rPr>
          <w:sz w:val="24"/>
        </w:rPr>
        <w:t>（二）监理人自备的办公设备：如电脑、软件、投影、打印机、复印机、照相机等</w:t>
      </w:r>
    </w:p>
    <w:p>
      <w:pPr>
        <w:pStyle w:val="2"/>
        <w:spacing w:before="136" w:after="0" w:line="300" w:lineRule="exact"/>
        <w:ind w:left="754" w:right="109"/>
        <w:rPr>
          <w:sz w:val="24"/>
        </w:rPr>
      </w:pPr>
      <w:r>
        <w:rPr>
          <w:sz w:val="24"/>
        </w:rPr>
        <w:t>（三）监理人自备的交通工具：如出行车辆等</w:t>
      </w:r>
    </w:p>
    <w:p>
      <w:pPr>
        <w:pStyle w:val="2"/>
        <w:spacing w:before="136" w:after="0" w:line="300" w:lineRule="exact"/>
        <w:ind w:left="754" w:right="109"/>
        <w:rPr>
          <w:sz w:val="24"/>
        </w:rPr>
      </w:pPr>
      <w:r>
        <w:rPr>
          <w:sz w:val="24"/>
        </w:rPr>
        <w:t>（四）监理人自备的现场办公设施：如办公桌椅、文件柜等</w:t>
      </w:r>
    </w:p>
    <w:p>
      <w:pPr>
        <w:pStyle w:val="2"/>
        <w:spacing w:before="140" w:after="0" w:line="300" w:lineRule="exact"/>
        <w:ind w:left="754" w:right="109"/>
        <w:rPr>
          <w:sz w:val="24"/>
        </w:rPr>
      </w:pPr>
      <w:r>
        <w:rPr>
          <w:sz w:val="24"/>
        </w:rPr>
        <w:t>（五）监理人自备的安全设施：如安全帽、安全鞋、手电筒等</w:t>
      </w:r>
    </w:p>
    <w:p>
      <w:pPr>
        <w:pStyle w:val="2"/>
        <w:spacing w:before="140" w:after="0" w:line="300" w:lineRule="exact"/>
        <w:ind w:left="754" w:right="109"/>
        <w:rPr>
          <w:sz w:val="24"/>
        </w:rPr>
      </w:pPr>
      <w:r>
        <w:rPr>
          <w:sz w:val="24"/>
        </w:rPr>
        <w:t>（六）监理人自备的试验检测仪器、设备、工具</w:t>
      </w:r>
    </w:p>
    <w:p>
      <w:pPr>
        <w:pStyle w:val="2"/>
        <w:spacing w:before="140" w:after="0" w:line="300" w:lineRule="exact"/>
        <w:ind w:left="754" w:right="109"/>
        <w:rPr>
          <w:sz w:val="24"/>
        </w:rPr>
      </w:pPr>
      <w:r>
        <w:rPr>
          <w:sz w:val="24"/>
        </w:rPr>
        <w:t>（七）监理人自备的试验用房、样品用房</w:t>
      </w:r>
    </w:p>
    <w:p>
      <w:pPr>
        <w:pStyle w:val="2"/>
        <w:spacing w:before="35" w:line="420" w:lineRule="exact"/>
        <w:ind w:left="146" w:right="4094" w:hanging="4"/>
        <w:rPr>
          <w:b/>
          <w:sz w:val="24"/>
        </w:rPr>
      </w:pPr>
      <w:r>
        <w:rPr>
          <w:b/>
          <w:sz w:val="24"/>
        </w:rPr>
        <w:t xml:space="preserve">七、委托人的其他要求 </w:t>
      </w:r>
    </w:p>
    <w:p>
      <w:pPr>
        <w:pStyle w:val="2"/>
        <w:spacing w:before="140" w:line="420" w:lineRule="exact"/>
        <w:ind w:left="756" w:right="109"/>
        <w:rPr>
          <w:color w:val="FF0000"/>
          <w:sz w:val="24"/>
        </w:rPr>
      </w:pPr>
      <w:r>
        <w:rPr>
          <w:sz w:val="24"/>
        </w:rPr>
        <w:t>委托人的其他要求：无</w:t>
      </w:r>
      <w:r>
        <w:rPr>
          <w:rFonts w:hint="eastAsia" w:ascii="黑体" w:eastAsia="黑体"/>
          <w:b/>
          <w:bCs/>
          <w:sz w:val="36"/>
          <w:szCs w:val="28"/>
        </w:rPr>
        <w:br w:type="page"/>
      </w:r>
    </w:p>
    <w:p>
      <w:pPr>
        <w:pStyle w:val="4"/>
        <w:jc w:val="center"/>
        <w:rPr>
          <w:rFonts w:ascii="黑体" w:eastAsia="黑体"/>
          <w:b w:val="0"/>
          <w:bCs w:val="0"/>
          <w:sz w:val="36"/>
          <w:szCs w:val="28"/>
        </w:rPr>
      </w:pPr>
    </w:p>
    <w:p>
      <w:pPr>
        <w:pStyle w:val="4"/>
        <w:numPr>
          <w:ilvl w:val="0"/>
          <w:numId w:val="3"/>
        </w:numPr>
        <w:jc w:val="center"/>
      </w:pPr>
      <w:r>
        <w:rPr>
          <w:rFonts w:hint="eastAsia"/>
        </w:rPr>
        <w:t>图纸和资料</w:t>
      </w:r>
    </w:p>
    <w:p>
      <w:pPr>
        <w:jc w:val="center"/>
        <w:rPr>
          <w:b/>
          <w:bCs/>
          <w:sz w:val="32"/>
          <w:szCs w:val="32"/>
        </w:rPr>
      </w:pPr>
      <w:r>
        <w:rPr>
          <w:rFonts w:hint="eastAsia"/>
          <w:b/>
          <w:bCs/>
          <w:sz w:val="32"/>
          <w:szCs w:val="32"/>
        </w:rPr>
        <w:t>无</w:t>
      </w:r>
    </w:p>
    <w:p>
      <w:pPr>
        <w:spacing w:line="360" w:lineRule="auto"/>
        <w:jc w:val="center"/>
        <w:rPr>
          <w:rFonts w:ascii="黑体" w:eastAsia="黑体"/>
          <w:b/>
          <w:bCs/>
          <w:kern w:val="44"/>
          <w:sz w:val="36"/>
          <w:szCs w:val="28"/>
        </w:rPr>
      </w:pPr>
    </w:p>
    <w:p>
      <w:pPr>
        <w:pStyle w:val="5"/>
        <w:spacing w:before="120" w:after="120" w:line="360" w:lineRule="auto"/>
        <w:jc w:val="center"/>
        <w:rPr>
          <w:rFonts w:ascii="宋体" w:hAnsi="宋体" w:eastAsia="宋体"/>
          <w:szCs w:val="32"/>
        </w:rPr>
      </w:pPr>
      <w:r>
        <w:rPr>
          <w:rFonts w:ascii="宋体" w:hAnsi="宋体" w:eastAsia="宋体"/>
          <w:szCs w:val="32"/>
        </w:rPr>
        <w:br w:type="page"/>
      </w: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bookmarkStart w:id="37" w:name="_Toc459295793"/>
      <w:r>
        <w:rPr>
          <w:rFonts w:hint="eastAsia" w:ascii="宋体" w:hAnsi="宋体" w:eastAsia="宋体"/>
          <w:sz w:val="72"/>
          <w:szCs w:val="72"/>
        </w:rPr>
        <w:t>第三卷</w:t>
      </w:r>
      <w:r>
        <w:rPr>
          <w:rFonts w:hint="eastAsia" w:ascii="宋体" w:hAnsi="宋体" w:eastAsia="宋体"/>
          <w:szCs w:val="32"/>
        </w:rPr>
        <w:br w:type="page"/>
      </w:r>
      <w:bookmarkStart w:id="38" w:name="_Toc459295794"/>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szCs w:val="32"/>
        </w:rPr>
      </w:pPr>
    </w:p>
    <w:p>
      <w:pPr>
        <w:pStyle w:val="5"/>
        <w:spacing w:before="120" w:after="120" w:line="360" w:lineRule="auto"/>
        <w:jc w:val="center"/>
        <w:rPr>
          <w:rFonts w:ascii="宋体" w:hAnsi="宋体" w:eastAsia="宋体"/>
          <w:color w:val="FF0000"/>
          <w:szCs w:val="32"/>
        </w:rPr>
      </w:pPr>
    </w:p>
    <w:p>
      <w:pPr>
        <w:pStyle w:val="5"/>
        <w:spacing w:before="120" w:after="120" w:line="360" w:lineRule="auto"/>
        <w:jc w:val="center"/>
        <w:rPr>
          <w:rFonts w:ascii="宋体" w:hAnsi="宋体" w:eastAsia="宋体"/>
          <w:szCs w:val="32"/>
        </w:rPr>
      </w:pPr>
      <w:r>
        <w:rPr>
          <w:rFonts w:hint="eastAsia" w:ascii="宋体" w:hAnsi="宋体" w:eastAsia="宋体"/>
          <w:szCs w:val="32"/>
        </w:rPr>
        <w:t>第七章  投标文件格式</w:t>
      </w:r>
      <w:bookmarkEnd w:id="30"/>
      <w:bookmarkEnd w:id="31"/>
      <w:bookmarkEnd w:id="32"/>
      <w:bookmarkEnd w:id="33"/>
      <w:bookmarkEnd w:id="34"/>
      <w:bookmarkEnd w:id="35"/>
      <w:bookmarkEnd w:id="36"/>
      <w:bookmarkEnd w:id="37"/>
      <w:bookmarkEnd w:id="38"/>
    </w:p>
    <w:p>
      <w:pPr>
        <w:spacing w:line="360" w:lineRule="auto"/>
        <w:ind w:firstLine="1284" w:firstLineChars="428"/>
        <w:rPr>
          <w:sz w:val="30"/>
          <w:szCs w:val="30"/>
        </w:rPr>
      </w:pPr>
    </w:p>
    <w:p>
      <w:pPr>
        <w:spacing w:line="360" w:lineRule="auto"/>
        <w:jc w:val="center"/>
      </w:pPr>
      <w:bookmarkStart w:id="39" w:name="_Toc196474996"/>
      <w:bookmarkStart w:id="40" w:name="_Toc139433274"/>
      <w:bookmarkStart w:id="41" w:name="_Toc139453232"/>
      <w:bookmarkStart w:id="42" w:name="_Toc139237038"/>
      <w:bookmarkStart w:id="43" w:name="_Toc139435635"/>
      <w:bookmarkStart w:id="44" w:name="_Toc139451017"/>
      <w:bookmarkStart w:id="45" w:name="_Toc139431631"/>
      <w:r>
        <w:br w:type="page"/>
      </w:r>
    </w:p>
    <w:bookmarkEnd w:id="39"/>
    <w:bookmarkEnd w:id="40"/>
    <w:bookmarkEnd w:id="41"/>
    <w:bookmarkEnd w:id="42"/>
    <w:bookmarkEnd w:id="43"/>
    <w:bookmarkEnd w:id="44"/>
    <w:bookmarkEnd w:id="45"/>
    <w:p>
      <w:pPr>
        <w:pStyle w:val="50"/>
        <w:ind w:firstLine="2040" w:firstLineChars="850"/>
        <w:rPr>
          <w:color w:val="auto"/>
          <w:u w:val="single"/>
        </w:rPr>
      </w:pPr>
    </w:p>
    <w:p>
      <w:pPr>
        <w:pStyle w:val="50"/>
        <w:ind w:firstLine="2040" w:firstLineChars="850"/>
        <w:rPr>
          <w:color w:val="auto"/>
          <w:u w:val="single"/>
        </w:rPr>
      </w:pPr>
    </w:p>
    <w:p>
      <w:pPr>
        <w:pStyle w:val="50"/>
        <w:ind w:firstLine="2040" w:firstLineChars="850"/>
        <w:rPr>
          <w:color w:val="auto"/>
          <w:u w:val="single"/>
        </w:rPr>
      </w:pPr>
    </w:p>
    <w:p>
      <w:pPr>
        <w:pStyle w:val="50"/>
        <w:ind w:firstLine="2040" w:firstLineChars="850"/>
        <w:rPr>
          <w:rFonts w:ascii="Times New Roman" w:cs="Times New Roman"/>
          <w:color w:val="auto"/>
          <w:sz w:val="31"/>
          <w:szCs w:val="31"/>
        </w:rPr>
      </w:pPr>
      <w:r>
        <w:rPr>
          <w:rFonts w:hint="eastAsia"/>
          <w:color w:val="auto"/>
          <w:u w:val="single"/>
        </w:rPr>
        <w:t xml:space="preserve">                 </w:t>
      </w:r>
      <w:r>
        <w:rPr>
          <w:rFonts w:hint="eastAsia"/>
          <w:color w:val="auto"/>
          <w:sz w:val="31"/>
          <w:szCs w:val="31"/>
        </w:rPr>
        <w:t>省</w:t>
      </w:r>
      <w:r>
        <w:rPr>
          <w:rFonts w:ascii="Times New Roman" w:cs="Times New Roman"/>
          <w:color w:val="auto"/>
          <w:sz w:val="31"/>
          <w:szCs w:val="31"/>
        </w:rPr>
        <w:t>（</w:t>
      </w:r>
      <w:r>
        <w:rPr>
          <w:rFonts w:hint="eastAsia"/>
          <w:color w:val="auto"/>
          <w:sz w:val="31"/>
          <w:szCs w:val="31"/>
        </w:rPr>
        <w:t>自治区、直辖市</w:t>
      </w:r>
      <w:r>
        <w:rPr>
          <w:rFonts w:ascii="Times New Roman" w:cs="Times New Roman"/>
          <w:color w:val="auto"/>
          <w:sz w:val="31"/>
          <w:szCs w:val="31"/>
        </w:rPr>
        <w:t>）</w:t>
      </w:r>
    </w:p>
    <w:p>
      <w:pPr>
        <w:pStyle w:val="50"/>
        <w:ind w:firstLine="2635" w:firstLineChars="850"/>
        <w:rPr>
          <w:rFonts w:ascii="Times New Roman" w:cs="Times New Roman"/>
          <w:color w:val="auto"/>
          <w:sz w:val="31"/>
          <w:szCs w:val="31"/>
        </w:rPr>
      </w:pPr>
    </w:p>
    <w:p>
      <w:pPr>
        <w:pStyle w:val="50"/>
        <w:jc w:val="center"/>
        <w:rPr>
          <w:color w:val="auto"/>
        </w:rPr>
      </w:pPr>
      <w:r>
        <w:rPr>
          <w:rFonts w:hint="eastAsia" w:ascii="Times New Roman" w:cs="Times New Roman"/>
          <w:color w:val="auto"/>
          <w:sz w:val="28"/>
          <w:szCs w:val="28"/>
          <w:u w:val="single"/>
        </w:rPr>
        <w:t xml:space="preserve">                           </w:t>
      </w:r>
      <w:r>
        <w:rPr>
          <w:color w:val="auto"/>
          <w:sz w:val="31"/>
          <w:szCs w:val="31"/>
        </w:rPr>
        <w:t>（</w:t>
      </w:r>
      <w:r>
        <w:rPr>
          <w:rFonts w:hint="eastAsia"/>
          <w:color w:val="auto"/>
          <w:sz w:val="31"/>
          <w:szCs w:val="31"/>
        </w:rPr>
        <w:t>项目名称</w:t>
      </w:r>
      <w:r>
        <w:rPr>
          <w:color w:val="auto"/>
          <w:sz w:val="31"/>
          <w:szCs w:val="31"/>
        </w:rPr>
        <w:t>）</w:t>
      </w:r>
      <w:r>
        <w:rPr>
          <w:rFonts w:hint="eastAsia"/>
          <w:color w:val="auto"/>
          <w:sz w:val="31"/>
          <w:szCs w:val="31"/>
        </w:rPr>
        <w:t>施工监理招标</w:t>
      </w: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autoSpaceDE w:val="0"/>
        <w:autoSpaceDN w:val="0"/>
        <w:adjustRightInd w:val="0"/>
        <w:jc w:val="center"/>
        <w:rPr>
          <w:rFonts w:ascii="黑体" w:eastAsia="黑体" w:cs="黑体"/>
          <w:kern w:val="0"/>
          <w:sz w:val="72"/>
          <w:szCs w:val="72"/>
        </w:rPr>
      </w:pPr>
      <w:r>
        <w:rPr>
          <w:rFonts w:hint="eastAsia" w:ascii="黑体" w:eastAsia="黑体" w:cs="黑体"/>
          <w:kern w:val="0"/>
          <w:sz w:val="72"/>
          <w:szCs w:val="72"/>
        </w:rPr>
        <w:t>投</w:t>
      </w:r>
      <w:r>
        <w:rPr>
          <w:rFonts w:ascii="黑体" w:eastAsia="黑体" w:cs="黑体"/>
          <w:kern w:val="0"/>
          <w:sz w:val="72"/>
          <w:szCs w:val="72"/>
        </w:rPr>
        <w:t xml:space="preserve"> </w:t>
      </w:r>
      <w:r>
        <w:rPr>
          <w:rFonts w:hint="eastAsia" w:ascii="黑体" w:eastAsia="黑体" w:cs="黑体"/>
          <w:kern w:val="0"/>
          <w:sz w:val="72"/>
          <w:szCs w:val="72"/>
        </w:rPr>
        <w:t>标</w:t>
      </w:r>
      <w:r>
        <w:rPr>
          <w:rFonts w:ascii="黑体" w:eastAsia="黑体" w:cs="黑体"/>
          <w:kern w:val="0"/>
          <w:sz w:val="72"/>
          <w:szCs w:val="72"/>
        </w:rPr>
        <w:t xml:space="preserve"> </w:t>
      </w:r>
      <w:r>
        <w:rPr>
          <w:rFonts w:hint="eastAsia" w:ascii="黑体" w:eastAsia="黑体" w:cs="黑体"/>
          <w:kern w:val="0"/>
          <w:sz w:val="72"/>
          <w:szCs w:val="72"/>
        </w:rPr>
        <w:t>文</w:t>
      </w:r>
      <w:r>
        <w:rPr>
          <w:rFonts w:ascii="黑体" w:eastAsia="黑体" w:cs="黑体"/>
          <w:kern w:val="0"/>
          <w:sz w:val="72"/>
          <w:szCs w:val="72"/>
        </w:rPr>
        <w:t xml:space="preserve"> </w:t>
      </w:r>
      <w:r>
        <w:rPr>
          <w:rFonts w:hint="eastAsia" w:ascii="黑体" w:eastAsia="黑体" w:cs="黑体"/>
          <w:kern w:val="0"/>
          <w:sz w:val="72"/>
          <w:szCs w:val="72"/>
        </w:rPr>
        <w:t>件</w:t>
      </w:r>
    </w:p>
    <w:p>
      <w:pPr>
        <w:autoSpaceDE w:val="0"/>
        <w:autoSpaceDN w:val="0"/>
        <w:adjustRightInd w:val="0"/>
        <w:jc w:val="center"/>
        <w:rPr>
          <w:rFonts w:ascii="黑体" w:eastAsia="黑体" w:cs="黑体"/>
          <w:kern w:val="0"/>
          <w:sz w:val="48"/>
          <w:szCs w:val="48"/>
        </w:rPr>
      </w:pPr>
      <w:r>
        <w:rPr>
          <w:rFonts w:hint="eastAsia" w:ascii="黑体" w:eastAsia="黑体" w:cs="黑体"/>
          <w:kern w:val="0"/>
          <w:sz w:val="48"/>
          <w:szCs w:val="48"/>
        </w:rPr>
        <w:t>（商务及技术文件）</w:t>
      </w:r>
    </w:p>
    <w:p>
      <w:pPr>
        <w:autoSpaceDE w:val="0"/>
        <w:autoSpaceDN w:val="0"/>
        <w:adjustRightInd w:val="0"/>
        <w:jc w:val="center"/>
        <w:rPr>
          <w:rFonts w:ascii="黑体" w:eastAsia="黑体" w:cs="黑体"/>
          <w:kern w:val="0"/>
          <w:sz w:val="44"/>
          <w:szCs w:val="44"/>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autoSpaceDE w:val="0"/>
        <w:autoSpaceDN w:val="0"/>
        <w:adjustRightInd w:val="0"/>
        <w:jc w:val="center"/>
        <w:rPr>
          <w:rFonts w:eastAsia="黑体"/>
          <w:kern w:val="0"/>
          <w:sz w:val="28"/>
          <w:szCs w:val="28"/>
          <w:u w:val="single"/>
        </w:rPr>
      </w:pPr>
      <w:r>
        <w:rPr>
          <w:rFonts w:hint="eastAsia" w:ascii="黑体" w:eastAsia="黑体" w:cs="黑体"/>
          <w:kern w:val="0"/>
          <w:sz w:val="28"/>
          <w:szCs w:val="28"/>
        </w:rPr>
        <w:t>投标人：</w:t>
      </w:r>
      <w:r>
        <w:rPr>
          <w:rFonts w:ascii="黑体" w:eastAsia="黑体" w:cs="黑体"/>
          <w:kern w:val="0"/>
          <w:sz w:val="28"/>
          <w:szCs w:val="28"/>
        </w:rPr>
        <w:t xml:space="preserve"> </w:t>
      </w:r>
      <w:r>
        <w:rPr>
          <w:rFonts w:hint="eastAsia" w:ascii="黑体" w:eastAsia="黑体" w:cs="黑体"/>
          <w:kern w:val="0"/>
          <w:sz w:val="28"/>
          <w:szCs w:val="28"/>
          <w:u w:val="single"/>
        </w:rPr>
        <w:t xml:space="preserve">                  </w:t>
      </w:r>
      <w:r>
        <w:rPr>
          <w:rFonts w:eastAsia="黑体"/>
          <w:kern w:val="0"/>
          <w:sz w:val="28"/>
          <w:szCs w:val="28"/>
        </w:rPr>
        <w:t>（</w:t>
      </w:r>
      <w:r>
        <w:rPr>
          <w:rFonts w:hint="eastAsia" w:ascii="黑体" w:eastAsia="黑体" w:cs="黑体"/>
          <w:kern w:val="0"/>
          <w:sz w:val="28"/>
          <w:szCs w:val="28"/>
        </w:rPr>
        <w:t>盖单位章</w:t>
      </w:r>
      <w:r>
        <w:rPr>
          <w:rFonts w:eastAsia="黑体"/>
          <w:kern w:val="0"/>
          <w:sz w:val="28"/>
          <w:szCs w:val="28"/>
        </w:rPr>
        <w:t>）</w:t>
      </w:r>
    </w:p>
    <w:p>
      <w:pPr>
        <w:autoSpaceDE w:val="0"/>
        <w:autoSpaceDN w:val="0"/>
        <w:adjustRightInd w:val="0"/>
        <w:jc w:val="center"/>
        <w:rPr>
          <w:rFonts w:eastAsia="黑体"/>
          <w:kern w:val="0"/>
          <w:sz w:val="28"/>
          <w:szCs w:val="28"/>
          <w:u w:val="single"/>
        </w:rPr>
      </w:pPr>
    </w:p>
    <w:p>
      <w:pPr>
        <w:autoSpaceDE w:val="0"/>
        <w:autoSpaceDN w:val="0"/>
        <w:adjustRightInd w:val="0"/>
        <w:jc w:val="center"/>
        <w:rPr>
          <w:rFonts w:eastAsia="黑体"/>
          <w:kern w:val="0"/>
          <w:sz w:val="28"/>
          <w:szCs w:val="28"/>
        </w:rPr>
      </w:pPr>
      <w:r>
        <w:rPr>
          <w:rFonts w:hint="eastAsia" w:ascii="黑体" w:eastAsia="黑体" w:cs="黑体"/>
          <w:kern w:val="0"/>
          <w:sz w:val="28"/>
          <w:szCs w:val="28"/>
          <w:u w:val="single"/>
        </w:rPr>
        <w:t xml:space="preserve">           </w:t>
      </w:r>
      <w:r>
        <w:rPr>
          <w:rFonts w:hint="eastAsia" w:ascii="黑体" w:eastAsia="黑体" w:cs="黑体"/>
          <w:kern w:val="0"/>
          <w:sz w:val="28"/>
          <w:szCs w:val="28"/>
        </w:rPr>
        <w:t>年</w:t>
      </w:r>
      <w:r>
        <w:rPr>
          <w:rFonts w:hint="eastAsia" w:ascii="黑体" w:eastAsia="黑体" w:cs="黑体"/>
          <w:kern w:val="0"/>
          <w:sz w:val="28"/>
          <w:szCs w:val="28"/>
          <w:u w:val="single"/>
        </w:rPr>
        <w:t xml:space="preserve">          </w:t>
      </w:r>
      <w:r>
        <w:rPr>
          <w:rFonts w:hint="eastAsia" w:ascii="黑体" w:eastAsia="黑体" w:cs="黑体"/>
          <w:kern w:val="0"/>
          <w:sz w:val="28"/>
          <w:szCs w:val="28"/>
        </w:rPr>
        <w:t>月</w:t>
      </w:r>
      <w:r>
        <w:rPr>
          <w:rFonts w:ascii="黑体" w:eastAsia="黑体" w:cs="黑体"/>
          <w:kern w:val="0"/>
          <w:sz w:val="28"/>
          <w:szCs w:val="28"/>
        </w:rPr>
        <w:t xml:space="preserve"> </w:t>
      </w:r>
      <w:r>
        <w:rPr>
          <w:rFonts w:hint="eastAsia" w:ascii="黑体" w:eastAsia="黑体" w:cs="黑体"/>
          <w:kern w:val="0"/>
          <w:sz w:val="28"/>
          <w:szCs w:val="28"/>
          <w:u w:val="single"/>
        </w:rPr>
        <w:t xml:space="preserve">         </w:t>
      </w:r>
      <w:r>
        <w:rPr>
          <w:rFonts w:hint="eastAsia" w:ascii="黑体" w:eastAsia="黑体" w:cs="黑体"/>
          <w:kern w:val="0"/>
          <w:sz w:val="28"/>
          <w:szCs w:val="28"/>
        </w:rPr>
        <w:t>日</w:t>
      </w:r>
    </w:p>
    <w:p>
      <w:pPr>
        <w:pStyle w:val="50"/>
        <w:jc w:val="center"/>
        <w:rPr>
          <w:rFonts w:hAnsi="宋体"/>
          <w:b/>
          <w:color w:val="auto"/>
          <w:sz w:val="32"/>
          <w:szCs w:val="32"/>
        </w:rPr>
      </w:pPr>
      <w:r>
        <w:rPr>
          <w:color w:val="auto"/>
        </w:rPr>
        <w:br w:type="page"/>
      </w:r>
      <w:r>
        <w:rPr>
          <w:rFonts w:hint="eastAsia" w:hAnsi="宋体"/>
          <w:color w:val="auto"/>
        </w:rPr>
        <w:t xml:space="preserve">    </w:t>
      </w:r>
      <w:r>
        <w:rPr>
          <w:rFonts w:hint="eastAsia" w:hAnsi="宋体"/>
          <w:b/>
          <w:color w:val="auto"/>
          <w:sz w:val="32"/>
          <w:szCs w:val="32"/>
        </w:rPr>
        <w:t>目  录</w:t>
      </w:r>
    </w:p>
    <w:p>
      <w:pPr>
        <w:pStyle w:val="50"/>
        <w:rPr>
          <w:rFonts w:hAnsi="宋体"/>
          <w:color w:val="auto"/>
          <w:sz w:val="28"/>
          <w:szCs w:val="28"/>
        </w:rPr>
      </w:pPr>
      <w:r>
        <w:rPr>
          <w:rFonts w:hint="eastAsia" w:hAnsi="宋体"/>
          <w:color w:val="auto"/>
          <w:sz w:val="28"/>
          <w:szCs w:val="28"/>
        </w:rPr>
        <w:t xml:space="preserve"> </w:t>
      </w:r>
    </w:p>
    <w:p>
      <w:pPr>
        <w:pStyle w:val="50"/>
        <w:spacing w:line="360" w:lineRule="auto"/>
        <w:rPr>
          <w:rFonts w:hAnsi="宋体"/>
          <w:color w:val="auto"/>
        </w:rPr>
      </w:pPr>
    </w:p>
    <w:p>
      <w:pPr>
        <w:pStyle w:val="50"/>
        <w:spacing w:line="360" w:lineRule="auto"/>
        <w:ind w:left="424" w:leftChars="202"/>
        <w:rPr>
          <w:rFonts w:hAnsi="宋体"/>
          <w:color w:val="auto"/>
        </w:rPr>
      </w:pPr>
      <w:r>
        <w:rPr>
          <w:rFonts w:hint="eastAsia" w:hAnsi="宋体"/>
          <w:color w:val="auto"/>
        </w:rPr>
        <w:t>一、投标函</w:t>
      </w:r>
    </w:p>
    <w:p>
      <w:pPr>
        <w:pStyle w:val="50"/>
        <w:spacing w:line="360" w:lineRule="auto"/>
        <w:ind w:left="424" w:leftChars="202"/>
        <w:rPr>
          <w:rFonts w:hAnsi="宋体"/>
          <w:color w:val="auto"/>
        </w:rPr>
      </w:pPr>
      <w:r>
        <w:rPr>
          <w:rFonts w:hint="eastAsia" w:hAnsi="宋体"/>
          <w:color w:val="auto"/>
        </w:rPr>
        <w:t>二、授权委托书或法定代表人身份证明</w:t>
      </w:r>
    </w:p>
    <w:p>
      <w:pPr>
        <w:pStyle w:val="50"/>
        <w:spacing w:line="360" w:lineRule="auto"/>
        <w:ind w:left="424" w:leftChars="202"/>
        <w:rPr>
          <w:rFonts w:hAnsi="宋体"/>
          <w:color w:val="auto"/>
        </w:rPr>
      </w:pPr>
      <w:r>
        <w:rPr>
          <w:rFonts w:hint="eastAsia" w:hAnsi="宋体"/>
          <w:color w:val="auto"/>
        </w:rPr>
        <w:t>三、投标保证金</w:t>
      </w:r>
    </w:p>
    <w:p>
      <w:pPr>
        <w:pStyle w:val="50"/>
        <w:spacing w:line="360" w:lineRule="auto"/>
        <w:ind w:left="424" w:leftChars="202"/>
        <w:rPr>
          <w:rFonts w:hAnsi="宋体"/>
          <w:color w:val="auto"/>
        </w:rPr>
      </w:pPr>
      <w:r>
        <w:rPr>
          <w:rFonts w:hint="eastAsia" w:hAnsi="宋体"/>
          <w:color w:val="auto"/>
        </w:rPr>
        <w:t>四、资格审查资料</w:t>
      </w:r>
    </w:p>
    <w:p>
      <w:pPr>
        <w:pStyle w:val="50"/>
        <w:spacing w:line="360" w:lineRule="auto"/>
        <w:ind w:left="424" w:leftChars="202"/>
        <w:rPr>
          <w:rFonts w:hAnsi="宋体"/>
          <w:color w:val="auto"/>
        </w:rPr>
      </w:pPr>
      <w:r>
        <w:rPr>
          <w:rFonts w:hint="eastAsia" w:hAnsi="宋体"/>
          <w:color w:val="auto"/>
        </w:rPr>
        <w:t>五、技术建议书</w:t>
      </w:r>
    </w:p>
    <w:p>
      <w:pPr>
        <w:pStyle w:val="50"/>
        <w:spacing w:line="360" w:lineRule="auto"/>
        <w:ind w:left="424" w:leftChars="202"/>
        <w:rPr>
          <w:rFonts w:hAnsi="宋体"/>
          <w:color w:val="auto"/>
        </w:rPr>
      </w:pPr>
      <w:r>
        <w:rPr>
          <w:rFonts w:hint="eastAsia" w:hAnsi="宋体"/>
          <w:color w:val="auto"/>
        </w:rPr>
        <w:t>六、其他资料</w:t>
      </w:r>
    </w:p>
    <w:p>
      <w:pPr>
        <w:pStyle w:val="50"/>
        <w:spacing w:line="360" w:lineRule="auto"/>
        <w:rPr>
          <w:rFonts w:hAnsi="宋体"/>
          <w:color w:val="FF0000"/>
        </w:rPr>
      </w:pPr>
    </w:p>
    <w:p>
      <w:pPr>
        <w:pStyle w:val="50"/>
        <w:jc w:val="center"/>
        <w:rPr>
          <w:rFonts w:hAnsi="宋体"/>
          <w:b/>
          <w:color w:val="auto"/>
          <w:sz w:val="30"/>
          <w:szCs w:val="30"/>
        </w:rPr>
      </w:pPr>
      <w:r>
        <w:rPr>
          <w:rFonts w:hint="eastAsia" w:hAnsi="宋体"/>
          <w:color w:val="auto"/>
        </w:rPr>
        <w:br w:type="page"/>
      </w:r>
      <w:r>
        <w:rPr>
          <w:rFonts w:hint="eastAsia" w:hAnsi="宋体"/>
          <w:b/>
          <w:color w:val="auto"/>
          <w:sz w:val="30"/>
          <w:szCs w:val="30"/>
        </w:rPr>
        <w:t xml:space="preserve">一、投标函  </w:t>
      </w:r>
    </w:p>
    <w:p>
      <w:pPr>
        <w:autoSpaceDE w:val="0"/>
        <w:autoSpaceDN w:val="0"/>
        <w:adjustRightInd w:val="0"/>
        <w:jc w:val="left"/>
        <w:rPr>
          <w:kern w:val="0"/>
          <w:szCs w:val="21"/>
          <w:u w:val="single"/>
        </w:rPr>
      </w:pPr>
    </w:p>
    <w:p>
      <w:pPr>
        <w:autoSpaceDE w:val="0"/>
        <w:autoSpaceDN w:val="0"/>
        <w:adjustRightInd w:val="0"/>
        <w:spacing w:line="360" w:lineRule="auto"/>
        <w:jc w:val="left"/>
        <w:rPr>
          <w:kern w:val="0"/>
          <w:sz w:val="24"/>
        </w:rPr>
      </w:pPr>
      <w:r>
        <w:rPr>
          <w:kern w:val="0"/>
          <w:sz w:val="24"/>
          <w:u w:val="single"/>
        </w:rPr>
        <w:t xml:space="preserve">              </w:t>
      </w:r>
      <w:r>
        <w:rPr>
          <w:rFonts w:hint="eastAsia"/>
          <w:kern w:val="0"/>
          <w:sz w:val="24"/>
        </w:rPr>
        <w:t>（招标人名称）：</w:t>
      </w:r>
      <w:r>
        <w:rPr>
          <w:kern w:val="0"/>
          <w:sz w:val="24"/>
        </w:rPr>
        <w:t xml:space="preserve"> </w:t>
      </w:r>
    </w:p>
    <w:p>
      <w:pPr>
        <w:autoSpaceDE w:val="0"/>
        <w:autoSpaceDN w:val="0"/>
        <w:adjustRightInd w:val="0"/>
        <w:spacing w:line="360" w:lineRule="exact"/>
        <w:ind w:firstLine="480" w:firstLineChars="200"/>
        <w:jc w:val="left"/>
        <w:rPr>
          <w:kern w:val="0"/>
          <w:sz w:val="24"/>
        </w:rPr>
      </w:pPr>
      <w:r>
        <w:rPr>
          <w:kern w:val="0"/>
          <w:sz w:val="24"/>
        </w:rPr>
        <w:t xml:space="preserve">1. </w:t>
      </w:r>
      <w:r>
        <w:rPr>
          <w:rFonts w:hint="eastAsia"/>
          <w:kern w:val="0"/>
          <w:sz w:val="24"/>
        </w:rPr>
        <w:t>我方已仔细研究</w:t>
      </w:r>
      <w:r>
        <w:rPr>
          <w:kern w:val="0"/>
          <w:sz w:val="24"/>
          <w:u w:val="single"/>
        </w:rPr>
        <w:t xml:space="preserve">             </w:t>
      </w:r>
      <w:r>
        <w:rPr>
          <w:rFonts w:hint="eastAsia"/>
          <w:kern w:val="0"/>
          <w:sz w:val="24"/>
        </w:rPr>
        <w:t>（项目名称）施工监理招标文件的全部内容（含补遗书第</w:t>
      </w:r>
      <w:r>
        <w:rPr>
          <w:kern w:val="0"/>
          <w:sz w:val="24"/>
          <w:u w:val="single"/>
        </w:rPr>
        <w:t xml:space="preserve">    </w:t>
      </w:r>
      <w:r>
        <w:rPr>
          <w:rFonts w:hint="eastAsia"/>
          <w:kern w:val="0"/>
          <w:sz w:val="24"/>
        </w:rPr>
        <w:t>号至第</w:t>
      </w:r>
      <w:r>
        <w:rPr>
          <w:kern w:val="0"/>
          <w:sz w:val="24"/>
          <w:u w:val="single"/>
        </w:rPr>
        <w:t xml:space="preserve">    </w:t>
      </w:r>
      <w:r>
        <w:rPr>
          <w:rFonts w:hint="eastAsia"/>
          <w:kern w:val="0"/>
          <w:sz w:val="24"/>
        </w:rPr>
        <w:t>号），在考察工程现场后，愿意以</w:t>
      </w:r>
      <w:r>
        <w:rPr>
          <w:rFonts w:hint="eastAsia"/>
          <w:sz w:val="24"/>
        </w:rPr>
        <w:t>第二个信封（报价文件）中的投标总报价（或根据招标文件规定修正核实后确定的另一金额），按合同约定完成施工监理工作</w:t>
      </w:r>
      <w:r>
        <w:rPr>
          <w:rFonts w:hint="eastAsia"/>
          <w:kern w:val="0"/>
          <w:sz w:val="24"/>
        </w:rPr>
        <w:t>。</w:t>
      </w:r>
    </w:p>
    <w:p>
      <w:pPr>
        <w:pStyle w:val="50"/>
        <w:spacing w:line="360" w:lineRule="exact"/>
        <w:ind w:firstLine="480" w:firstLineChars="200"/>
        <w:jc w:val="both"/>
        <w:rPr>
          <w:color w:val="auto"/>
        </w:rPr>
      </w:pPr>
      <w:r>
        <w:rPr>
          <w:rFonts w:ascii="Times New Roman" w:cs="Times New Roman"/>
          <w:color w:val="auto"/>
        </w:rPr>
        <w:t>2.</w:t>
      </w:r>
      <w:r>
        <w:rPr>
          <w:color w:val="auto"/>
        </w:rPr>
        <w:t xml:space="preserve"> </w:t>
      </w:r>
      <w:r>
        <w:rPr>
          <w:rFonts w:hint="eastAsia"/>
          <w:szCs w:val="21"/>
        </w:rPr>
        <w:t>我方承诺在招标文件规定的投标有效期内不撤销投标文件。</w:t>
      </w:r>
    </w:p>
    <w:p>
      <w:pPr>
        <w:autoSpaceDE w:val="0"/>
        <w:autoSpaceDN w:val="0"/>
        <w:adjustRightInd w:val="0"/>
        <w:spacing w:line="360" w:lineRule="exact"/>
        <w:ind w:firstLine="480" w:firstLineChars="200"/>
        <w:jc w:val="left"/>
        <w:rPr>
          <w:kern w:val="0"/>
          <w:sz w:val="24"/>
          <w:u w:val="single"/>
        </w:rPr>
      </w:pPr>
      <w:r>
        <w:rPr>
          <w:kern w:val="0"/>
          <w:sz w:val="24"/>
        </w:rPr>
        <w:t xml:space="preserve">3. </w:t>
      </w:r>
      <w:r>
        <w:rPr>
          <w:rFonts w:hint="eastAsia"/>
          <w:kern w:val="0"/>
          <w:sz w:val="24"/>
        </w:rPr>
        <w:t>总监理工程师姓名：</w:t>
      </w:r>
      <w:r>
        <w:rPr>
          <w:kern w:val="0"/>
          <w:sz w:val="24"/>
          <w:u w:val="single"/>
        </w:rPr>
        <w:t xml:space="preserve">      </w:t>
      </w:r>
      <w:r>
        <w:rPr>
          <w:rFonts w:hint="eastAsia"/>
          <w:kern w:val="0"/>
          <w:sz w:val="24"/>
        </w:rPr>
        <w:t>，年龄：</w:t>
      </w:r>
      <w:r>
        <w:rPr>
          <w:kern w:val="0"/>
          <w:sz w:val="24"/>
          <w:u w:val="single"/>
        </w:rPr>
        <w:t xml:space="preserve">     </w:t>
      </w:r>
      <w:r>
        <w:rPr>
          <w:rFonts w:hint="eastAsia"/>
          <w:kern w:val="0"/>
          <w:sz w:val="24"/>
        </w:rPr>
        <w:t>，职称：</w:t>
      </w:r>
      <w:r>
        <w:rPr>
          <w:kern w:val="0"/>
          <w:sz w:val="24"/>
          <w:u w:val="single"/>
        </w:rPr>
        <w:t xml:space="preserve">      </w:t>
      </w:r>
      <w:r>
        <w:rPr>
          <w:rFonts w:hint="eastAsia"/>
          <w:kern w:val="0"/>
          <w:sz w:val="24"/>
        </w:rPr>
        <w:t>，监理工程师证书________。</w:t>
      </w:r>
      <w:r>
        <w:rPr>
          <w:kern w:val="0"/>
          <w:sz w:val="24"/>
        </w:rPr>
        <w:t xml:space="preserve"> </w:t>
      </w:r>
    </w:p>
    <w:p>
      <w:pPr>
        <w:autoSpaceDE w:val="0"/>
        <w:autoSpaceDN w:val="0"/>
        <w:adjustRightInd w:val="0"/>
        <w:spacing w:line="360" w:lineRule="exact"/>
        <w:ind w:firstLine="480" w:firstLineChars="200"/>
        <w:jc w:val="left"/>
        <w:rPr>
          <w:kern w:val="0"/>
          <w:sz w:val="24"/>
        </w:rPr>
      </w:pPr>
      <w:r>
        <w:rPr>
          <w:rFonts w:hint="eastAsia"/>
          <w:kern w:val="0"/>
          <w:sz w:val="24"/>
        </w:rPr>
        <w:t xml:space="preserve">4. </w:t>
      </w:r>
      <w:r>
        <w:rPr>
          <w:rFonts w:hint="eastAsia"/>
          <w:sz w:val="24"/>
        </w:rPr>
        <w:t>质量要求：</w:t>
      </w:r>
      <w:r>
        <w:rPr>
          <w:rFonts w:hint="eastAsia"/>
          <w:sz w:val="24"/>
          <w:u w:val="single"/>
        </w:rPr>
        <w:t xml:space="preserve">         </w:t>
      </w:r>
      <w:r>
        <w:rPr>
          <w:rFonts w:hint="eastAsia"/>
          <w:sz w:val="24"/>
        </w:rPr>
        <w:t>，安全目标：</w:t>
      </w:r>
      <w:r>
        <w:rPr>
          <w:rFonts w:hint="eastAsia"/>
          <w:sz w:val="24"/>
          <w:u w:val="single"/>
        </w:rPr>
        <w:t xml:space="preserve">         </w:t>
      </w:r>
      <w:r>
        <w:rPr>
          <w:rFonts w:hint="eastAsia"/>
          <w:sz w:val="24"/>
        </w:rPr>
        <w:t>，监理服务期限：______。</w:t>
      </w:r>
    </w:p>
    <w:p>
      <w:pPr>
        <w:spacing w:line="360" w:lineRule="exact"/>
        <w:ind w:firstLine="480" w:firstLineChars="200"/>
        <w:rPr>
          <w:sz w:val="24"/>
        </w:rPr>
      </w:pPr>
      <w:r>
        <w:rPr>
          <w:rFonts w:hint="eastAsia"/>
          <w:kern w:val="0"/>
          <w:sz w:val="24"/>
        </w:rPr>
        <w:t xml:space="preserve">5. </w:t>
      </w:r>
      <w:r>
        <w:rPr>
          <w:rFonts w:hint="eastAsia"/>
          <w:sz w:val="24"/>
        </w:rPr>
        <w:t>如我方中标，我方承诺：</w:t>
      </w:r>
    </w:p>
    <w:p>
      <w:pPr>
        <w:spacing w:line="360" w:lineRule="exact"/>
        <w:ind w:firstLine="480" w:firstLineChars="200"/>
        <w:rPr>
          <w:sz w:val="24"/>
        </w:rPr>
      </w:pPr>
      <w:r>
        <w:rPr>
          <w:rFonts w:hint="eastAsia"/>
          <w:sz w:val="24"/>
        </w:rPr>
        <w:t>（1）在收到中标通知书后，在中标通知书规定的期限内与你方签订合同；</w:t>
      </w:r>
    </w:p>
    <w:p>
      <w:pPr>
        <w:spacing w:line="360" w:lineRule="exact"/>
        <w:ind w:firstLine="480" w:firstLineChars="200"/>
        <w:rPr>
          <w:sz w:val="24"/>
        </w:rPr>
      </w:pPr>
      <w:r>
        <w:rPr>
          <w:rFonts w:hint="eastAsia"/>
          <w:sz w:val="24"/>
        </w:rPr>
        <w:t>（2）在签订合同时不向你方提出附加条件；</w:t>
      </w:r>
    </w:p>
    <w:p>
      <w:pPr>
        <w:spacing w:line="360" w:lineRule="exact"/>
        <w:ind w:firstLine="480" w:firstLineChars="200"/>
        <w:rPr>
          <w:sz w:val="24"/>
        </w:rPr>
      </w:pPr>
      <w:r>
        <w:rPr>
          <w:rFonts w:hint="eastAsia"/>
          <w:sz w:val="24"/>
        </w:rPr>
        <w:t>（3）按照招标文件要求提交履约保证金；</w:t>
      </w:r>
    </w:p>
    <w:p>
      <w:pPr>
        <w:spacing w:line="360" w:lineRule="exact"/>
        <w:ind w:firstLine="480" w:firstLineChars="200"/>
        <w:rPr>
          <w:sz w:val="24"/>
        </w:rPr>
      </w:pPr>
      <w:r>
        <w:rPr>
          <w:rFonts w:hint="eastAsia"/>
          <w:sz w:val="24"/>
        </w:rPr>
        <w:t>（4）在合同约定的期限内完成合同规定的全部义务；</w:t>
      </w:r>
    </w:p>
    <w:p>
      <w:pPr>
        <w:spacing w:line="360" w:lineRule="exact"/>
        <w:ind w:firstLine="480" w:firstLineChars="200"/>
        <w:rPr>
          <w:sz w:val="24"/>
        </w:rPr>
      </w:pPr>
      <w:r>
        <w:rPr>
          <w:rFonts w:hint="eastAsia"/>
          <w:sz w:val="24"/>
        </w:rPr>
        <w:t>（5）在你方和我方进行合同谈判之前，我方将按照合同附件提出的最低要求填报派驻本标段的其他主要监理人员及主要试验检测设备，经你方审批后作为派驻本标段的主要监理人员和主要试验检测设备且不进行更换。如我方拟派驻的人员和设备不满足合同附件要求，你方有权取消我方中标资格。</w:t>
      </w:r>
    </w:p>
    <w:p>
      <w:pPr>
        <w:spacing w:line="360" w:lineRule="exact"/>
        <w:ind w:firstLine="480" w:firstLineChars="200"/>
        <w:rPr>
          <w:sz w:val="24"/>
        </w:rPr>
      </w:pPr>
      <w:r>
        <w:rPr>
          <w:rFonts w:hint="eastAsia"/>
          <w:kern w:val="0"/>
          <w:sz w:val="24"/>
        </w:rPr>
        <w:t xml:space="preserve">6. </w:t>
      </w:r>
      <w:r>
        <w:rPr>
          <w:rFonts w:hint="eastAsia"/>
          <w:sz w:val="24"/>
        </w:rPr>
        <w:t>我方在此声明，所递交的投标文件及有关资料内容完整、真实和准确，且不存在招标文件第二章“投标人须知”第1.4.3项和第1.4.4项规定的任何一种情形。</w:t>
      </w:r>
    </w:p>
    <w:p>
      <w:pPr>
        <w:spacing w:line="360" w:lineRule="exact"/>
        <w:ind w:firstLine="480" w:firstLineChars="200"/>
        <w:rPr>
          <w:sz w:val="24"/>
        </w:rPr>
      </w:pPr>
      <w:r>
        <w:rPr>
          <w:rFonts w:hint="eastAsia"/>
          <w:kern w:val="0"/>
          <w:sz w:val="24"/>
        </w:rPr>
        <w:t xml:space="preserve">7. </w:t>
      </w:r>
      <w:r>
        <w:rPr>
          <w:rFonts w:hint="eastAsia"/>
          <w:sz w:val="24"/>
        </w:rPr>
        <w:t>在合同协议书正式签署生效之前，本投标函连同你方的中标通知书将构成我们双方之间共同遵守的文件，对双方具有约束力。</w:t>
      </w:r>
    </w:p>
    <w:p>
      <w:pPr>
        <w:spacing w:line="360" w:lineRule="exact"/>
        <w:ind w:firstLine="480" w:firstLineChars="200"/>
        <w:rPr>
          <w:sz w:val="24"/>
        </w:rPr>
      </w:pPr>
      <w:r>
        <w:rPr>
          <w:rFonts w:hint="eastAsia"/>
          <w:sz w:val="24"/>
        </w:rPr>
        <w:t xml:space="preserve">8. </w:t>
      </w:r>
      <w:r>
        <w:rPr>
          <w:rFonts w:hint="eastAsia"/>
          <w:sz w:val="24"/>
          <w:u w:val="single"/>
        </w:rPr>
        <w:t>我方在此声明：近三年内我单位及法定代表人、拟委任的拟委任的总监理工程师或驻地监理工程师均无行贿犯罪行为。</w:t>
      </w:r>
    </w:p>
    <w:p>
      <w:pPr>
        <w:autoSpaceDE w:val="0"/>
        <w:autoSpaceDN w:val="0"/>
        <w:adjustRightInd w:val="0"/>
        <w:jc w:val="right"/>
        <w:rPr>
          <w:kern w:val="0"/>
          <w:szCs w:val="21"/>
        </w:rPr>
      </w:pPr>
    </w:p>
    <w:p>
      <w:pPr>
        <w:pStyle w:val="2"/>
      </w:pPr>
    </w:p>
    <w:p>
      <w:pPr>
        <w:pStyle w:val="50"/>
        <w:spacing w:line="360" w:lineRule="auto"/>
        <w:ind w:right="-73" w:firstLine="3240" w:firstLineChars="1350"/>
        <w:jc w:val="both"/>
        <w:rPr>
          <w:color w:val="auto"/>
        </w:rPr>
      </w:pPr>
      <w:r>
        <w:rPr>
          <w:rFonts w:hint="eastAsia"/>
          <w:color w:val="auto"/>
        </w:rPr>
        <w:t>投</w:t>
      </w:r>
      <w:r>
        <w:rPr>
          <w:color w:val="auto"/>
        </w:rPr>
        <w:t xml:space="preserve"> </w:t>
      </w:r>
      <w:r>
        <w:rPr>
          <w:rFonts w:hint="eastAsia"/>
          <w:color w:val="auto"/>
        </w:rPr>
        <w:t>标</w:t>
      </w:r>
      <w:r>
        <w:rPr>
          <w:color w:val="auto"/>
        </w:rPr>
        <w:t xml:space="preserve"> </w:t>
      </w:r>
      <w:r>
        <w:rPr>
          <w:rFonts w:hint="eastAsia"/>
          <w:color w:val="auto"/>
        </w:rPr>
        <w:t>人：</w:t>
      </w:r>
      <w:r>
        <w:rPr>
          <w:color w:val="auto"/>
          <w:u w:val="single"/>
        </w:rPr>
        <w:t xml:space="preserve">                     </w:t>
      </w:r>
      <w:r>
        <w:rPr>
          <w:color w:val="auto"/>
        </w:rPr>
        <w:t xml:space="preserve"> (</w:t>
      </w:r>
      <w:r>
        <w:rPr>
          <w:rFonts w:hint="eastAsia"/>
          <w:color w:val="auto"/>
        </w:rPr>
        <w:t>盖单位章</w:t>
      </w:r>
      <w:r>
        <w:rPr>
          <w:color w:val="auto"/>
        </w:rPr>
        <w:t xml:space="preserve">) </w:t>
      </w:r>
    </w:p>
    <w:p>
      <w:pPr>
        <w:pStyle w:val="50"/>
        <w:spacing w:line="360" w:lineRule="auto"/>
        <w:ind w:firstLine="3240" w:firstLineChars="1350"/>
        <w:jc w:val="both"/>
        <w:rPr>
          <w:color w:val="auto"/>
        </w:rPr>
      </w:pPr>
      <w:r>
        <w:rPr>
          <w:rFonts w:hint="eastAsia"/>
          <w:color w:val="auto"/>
        </w:rPr>
        <w:t>法定代表人或其委托代理人：</w:t>
      </w:r>
      <w:r>
        <w:rPr>
          <w:color w:val="auto"/>
          <w:u w:val="single"/>
        </w:rPr>
        <w:t xml:space="preserve">           </w:t>
      </w:r>
      <w:r>
        <w:rPr>
          <w:color w:val="auto"/>
        </w:rPr>
        <w:t>(</w:t>
      </w:r>
      <w:r>
        <w:rPr>
          <w:rFonts w:hint="eastAsia"/>
          <w:color w:val="auto"/>
        </w:rPr>
        <w:t>签字</w:t>
      </w:r>
      <w:r>
        <w:rPr>
          <w:color w:val="auto"/>
        </w:rPr>
        <w:t>)</w:t>
      </w:r>
    </w:p>
    <w:p>
      <w:pPr>
        <w:pStyle w:val="50"/>
        <w:spacing w:line="360" w:lineRule="auto"/>
        <w:ind w:firstLine="3240" w:firstLineChars="1350"/>
        <w:jc w:val="both"/>
        <w:rPr>
          <w:color w:val="auto"/>
        </w:rPr>
      </w:pPr>
      <w:r>
        <w:rPr>
          <w:rFonts w:hint="eastAsia"/>
          <w:color w:val="auto"/>
        </w:rPr>
        <w:t>地址：</w:t>
      </w:r>
      <w:r>
        <w:rPr>
          <w:rFonts w:hint="eastAsia"/>
          <w:color w:val="FFFFFF"/>
          <w:u w:val="single"/>
        </w:rPr>
        <w:t>.</w:t>
      </w:r>
      <w:r>
        <w:rPr>
          <w:rFonts w:hint="eastAsia"/>
          <w:color w:val="auto"/>
          <w:u w:val="single"/>
        </w:rPr>
        <w:t xml:space="preserve">                                   </w:t>
      </w:r>
      <w:r>
        <w:rPr>
          <w:rFonts w:hint="eastAsia"/>
          <w:color w:val="FFFFFF"/>
          <w:u w:val="single"/>
        </w:rPr>
        <w:t>.</w:t>
      </w:r>
      <w:r>
        <w:rPr>
          <w:color w:val="auto"/>
          <w:u w:val="single"/>
        </w:rPr>
        <w:t xml:space="preserve">                                     </w:t>
      </w:r>
    </w:p>
    <w:p>
      <w:pPr>
        <w:pStyle w:val="50"/>
        <w:spacing w:line="360" w:lineRule="auto"/>
        <w:ind w:firstLine="3240" w:firstLineChars="1350"/>
        <w:jc w:val="both"/>
        <w:rPr>
          <w:color w:val="auto"/>
        </w:rPr>
      </w:pPr>
      <w:r>
        <w:rPr>
          <w:rFonts w:hint="eastAsia"/>
          <w:color w:val="auto"/>
        </w:rPr>
        <w:t>网址：</w:t>
      </w:r>
      <w:r>
        <w:rPr>
          <w:rFonts w:hint="eastAsia"/>
          <w:color w:val="FFFFFF"/>
          <w:u w:val="single"/>
        </w:rPr>
        <w:t>.</w:t>
      </w:r>
      <w:r>
        <w:rPr>
          <w:rFonts w:hint="eastAsia"/>
          <w:color w:val="auto"/>
          <w:u w:val="single"/>
        </w:rPr>
        <w:t xml:space="preserve">                                   </w:t>
      </w:r>
      <w:r>
        <w:rPr>
          <w:rFonts w:hint="eastAsia"/>
          <w:color w:val="FFFFFF"/>
          <w:u w:val="single"/>
        </w:rPr>
        <w:t>.</w:t>
      </w:r>
      <w:r>
        <w:rPr>
          <w:color w:val="auto"/>
          <w:u w:val="single"/>
        </w:rPr>
        <w:t xml:space="preserve">                                      </w:t>
      </w:r>
    </w:p>
    <w:p>
      <w:pPr>
        <w:pStyle w:val="50"/>
        <w:spacing w:line="360" w:lineRule="auto"/>
        <w:ind w:firstLine="3240" w:firstLineChars="1350"/>
        <w:jc w:val="both"/>
        <w:rPr>
          <w:color w:val="auto"/>
        </w:rPr>
      </w:pPr>
      <w:r>
        <w:rPr>
          <w:rFonts w:hint="eastAsia"/>
          <w:color w:val="auto"/>
        </w:rPr>
        <w:t>电话：</w:t>
      </w:r>
      <w:r>
        <w:rPr>
          <w:rFonts w:hint="eastAsia"/>
          <w:color w:val="FFFFFF"/>
          <w:u w:val="single"/>
        </w:rPr>
        <w:t>.</w:t>
      </w:r>
      <w:r>
        <w:rPr>
          <w:rFonts w:hint="eastAsia"/>
          <w:color w:val="auto"/>
          <w:u w:val="single"/>
        </w:rPr>
        <w:t xml:space="preserve">                                   </w:t>
      </w:r>
      <w:r>
        <w:rPr>
          <w:rFonts w:hint="eastAsia"/>
          <w:color w:val="FFFFFF"/>
          <w:u w:val="single"/>
        </w:rPr>
        <w:t>.</w:t>
      </w:r>
      <w:r>
        <w:rPr>
          <w:color w:val="auto"/>
          <w:u w:val="single"/>
        </w:rPr>
        <w:t xml:space="preserve">                                     </w:t>
      </w:r>
      <w:r>
        <w:rPr>
          <w:color w:val="auto"/>
        </w:rPr>
        <w:t xml:space="preserve"> </w:t>
      </w:r>
    </w:p>
    <w:p>
      <w:pPr>
        <w:pStyle w:val="50"/>
        <w:spacing w:line="360" w:lineRule="auto"/>
        <w:ind w:firstLine="3240" w:firstLineChars="1350"/>
        <w:jc w:val="both"/>
        <w:rPr>
          <w:color w:val="auto"/>
        </w:rPr>
      </w:pPr>
      <w:r>
        <w:rPr>
          <w:rFonts w:hint="eastAsia"/>
          <w:color w:val="auto"/>
        </w:rPr>
        <w:t>传真：</w:t>
      </w:r>
      <w:r>
        <w:rPr>
          <w:rFonts w:hint="eastAsia"/>
          <w:color w:val="FFFFFF"/>
          <w:u w:val="single"/>
        </w:rPr>
        <w:t>.</w:t>
      </w:r>
      <w:r>
        <w:rPr>
          <w:rFonts w:hint="eastAsia"/>
          <w:color w:val="auto"/>
          <w:u w:val="single"/>
        </w:rPr>
        <w:t xml:space="preserve">                                   </w:t>
      </w:r>
      <w:r>
        <w:rPr>
          <w:rFonts w:hint="eastAsia"/>
          <w:color w:val="FFFFFF"/>
          <w:u w:val="single"/>
        </w:rPr>
        <w:t>.</w:t>
      </w:r>
      <w:r>
        <w:rPr>
          <w:color w:val="auto"/>
          <w:u w:val="single"/>
        </w:rPr>
        <w:t xml:space="preserve">                                      </w:t>
      </w:r>
    </w:p>
    <w:p>
      <w:pPr>
        <w:pStyle w:val="50"/>
        <w:spacing w:line="360" w:lineRule="auto"/>
        <w:ind w:firstLine="3240" w:firstLineChars="1350"/>
        <w:jc w:val="both"/>
        <w:rPr>
          <w:color w:val="auto"/>
        </w:rPr>
      </w:pPr>
      <w:r>
        <w:rPr>
          <w:rFonts w:hint="eastAsia"/>
          <w:color w:val="auto"/>
        </w:rPr>
        <w:t>邮政编码：</w:t>
      </w:r>
      <w:r>
        <w:rPr>
          <w:rFonts w:hint="eastAsia"/>
          <w:color w:val="FFFFFF"/>
          <w:u w:val="single"/>
        </w:rPr>
        <w:t>.</w:t>
      </w:r>
      <w:r>
        <w:rPr>
          <w:rFonts w:hint="eastAsia"/>
          <w:color w:val="auto"/>
          <w:u w:val="single"/>
        </w:rPr>
        <w:t xml:space="preserve">                               </w:t>
      </w:r>
      <w:r>
        <w:rPr>
          <w:rFonts w:hint="eastAsia"/>
          <w:color w:val="FFFFFF"/>
          <w:u w:val="single"/>
        </w:rPr>
        <w:t>.</w:t>
      </w:r>
      <w:r>
        <w:rPr>
          <w:color w:val="auto"/>
          <w:u w:val="single"/>
        </w:rPr>
        <w:t xml:space="preserve">                                  </w:t>
      </w:r>
    </w:p>
    <w:p>
      <w:pPr>
        <w:pStyle w:val="50"/>
        <w:spacing w:line="360" w:lineRule="auto"/>
        <w:ind w:firstLine="3240" w:firstLineChars="1350"/>
        <w:jc w:val="right"/>
        <w:rPr>
          <w:color w:val="auto"/>
        </w:rPr>
      </w:pPr>
      <w:r>
        <w:rPr>
          <w:color w:val="auto"/>
        </w:rPr>
        <w:t xml:space="preserve">      </w:t>
      </w:r>
      <w:r>
        <w:rPr>
          <w:color w:val="auto"/>
          <w:u w:val="single"/>
        </w:rPr>
        <w:t xml:space="preserve">      </w:t>
      </w:r>
      <w:r>
        <w:rPr>
          <w:rFonts w:hint="eastAsia"/>
          <w:color w:val="auto"/>
        </w:rPr>
        <w:t>年</w:t>
      </w:r>
      <w:r>
        <w:rPr>
          <w:color w:val="auto"/>
          <w:u w:val="single"/>
        </w:rPr>
        <w:t xml:space="preserve">      </w:t>
      </w:r>
      <w:r>
        <w:rPr>
          <w:rFonts w:hint="eastAsia"/>
          <w:color w:val="auto"/>
        </w:rPr>
        <w:t>月</w:t>
      </w:r>
      <w:r>
        <w:rPr>
          <w:color w:val="auto"/>
          <w:u w:val="single"/>
        </w:rPr>
        <w:t xml:space="preserve">      </w:t>
      </w:r>
      <w:r>
        <w:rPr>
          <w:rFonts w:hint="eastAsia"/>
          <w:color w:val="auto"/>
        </w:rPr>
        <w:t>日</w:t>
      </w:r>
    </w:p>
    <w:p>
      <w:pPr>
        <w:pStyle w:val="50"/>
        <w:spacing w:line="360" w:lineRule="auto"/>
      </w:pPr>
      <w:r>
        <w:rPr>
          <w:rFonts w:hint="eastAsia"/>
          <w:sz w:val="21"/>
          <w:szCs w:val="21"/>
        </w:rPr>
        <w:t>注：投标人仅须在投标函上加盖单位章，或由法定代表人或其委托代理人签字。</w:t>
      </w:r>
    </w:p>
    <w:p>
      <w:pPr>
        <w:pStyle w:val="50"/>
        <w:spacing w:line="360" w:lineRule="auto"/>
        <w:jc w:val="center"/>
        <w:rPr>
          <w:rFonts w:ascii="黑体" w:eastAsia="黑体"/>
          <w:b/>
          <w:color w:val="auto"/>
          <w:sz w:val="30"/>
          <w:szCs w:val="30"/>
        </w:rPr>
      </w:pPr>
      <w:r>
        <w:br w:type="page"/>
      </w:r>
      <w:r>
        <w:rPr>
          <w:rFonts w:hint="eastAsia" w:ascii="黑体" w:eastAsia="黑体"/>
          <w:b/>
          <w:color w:val="auto"/>
          <w:sz w:val="30"/>
          <w:szCs w:val="30"/>
        </w:rPr>
        <w:t>二、授权委托书或法定代表人身份证明</w:t>
      </w:r>
    </w:p>
    <w:p>
      <w:pPr>
        <w:autoSpaceDE w:val="0"/>
        <w:autoSpaceDN w:val="0"/>
        <w:adjustRightInd w:val="0"/>
        <w:jc w:val="center"/>
        <w:rPr>
          <w:rFonts w:ascii="黑体" w:eastAsia="黑体" w:cs="黑体"/>
          <w:b/>
          <w:kern w:val="0"/>
          <w:sz w:val="30"/>
          <w:szCs w:val="30"/>
        </w:rPr>
      </w:pPr>
    </w:p>
    <w:p>
      <w:pPr>
        <w:spacing w:line="360" w:lineRule="auto"/>
        <w:jc w:val="center"/>
        <w:rPr>
          <w:b/>
          <w:sz w:val="32"/>
          <w:szCs w:val="32"/>
        </w:rPr>
      </w:pPr>
      <w:bookmarkStart w:id="46" w:name="_Toc265483677"/>
      <w:bookmarkStart w:id="47" w:name="_Toc234345905"/>
      <w:bookmarkStart w:id="48" w:name="_Toc234349565"/>
      <w:bookmarkStart w:id="49" w:name="_Toc234346120"/>
      <w:bookmarkStart w:id="50" w:name="_Toc234348991"/>
      <w:r>
        <w:rPr>
          <w:rFonts w:hint="eastAsia"/>
          <w:b/>
          <w:sz w:val="32"/>
          <w:szCs w:val="32"/>
        </w:rPr>
        <w:t>（一）授权委托书</w:t>
      </w:r>
      <w:bookmarkEnd w:id="46"/>
      <w:bookmarkEnd w:id="47"/>
      <w:bookmarkEnd w:id="48"/>
      <w:bookmarkEnd w:id="49"/>
      <w:bookmarkEnd w:id="50"/>
    </w:p>
    <w:p>
      <w:pPr>
        <w:jc w:val="center"/>
        <w:rPr>
          <w:b/>
          <w:sz w:val="32"/>
          <w:szCs w:val="32"/>
        </w:rPr>
      </w:pPr>
    </w:p>
    <w:p>
      <w:pPr>
        <w:spacing w:line="360" w:lineRule="auto"/>
        <w:ind w:firstLine="480" w:firstLineChars="200"/>
        <w:rPr>
          <w:sz w:val="24"/>
        </w:rPr>
      </w:pPr>
      <w:r>
        <w:rPr>
          <w:rFonts w:hint="eastAsia"/>
          <w:sz w:val="24"/>
        </w:rPr>
        <w:t>本人</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（投标人名称）的法定代表人，现委托</w:t>
      </w:r>
      <w:r>
        <w:rPr>
          <w:rFonts w:hint="eastAsia"/>
          <w:sz w:val="24"/>
          <w:u w:val="single"/>
        </w:rPr>
        <w:t xml:space="preserve">       </w:t>
      </w:r>
      <w:r>
        <w:rPr>
          <w:rFonts w:hint="eastAsia"/>
          <w:sz w:val="24"/>
        </w:rPr>
        <w:t>(姓名)为我方代理人。代理人根据授权，以我方名义签署、澄清确认、递交、撤回、修改</w:t>
      </w:r>
    </w:p>
    <w:p>
      <w:pPr>
        <w:spacing w:line="360" w:lineRule="auto"/>
        <w:rPr>
          <w:sz w:val="24"/>
        </w:rPr>
      </w:pPr>
      <w:r>
        <w:rPr>
          <w:rFonts w:hint="eastAsia"/>
          <w:sz w:val="24"/>
          <w:u w:val="single"/>
        </w:rPr>
        <w:t xml:space="preserve">               </w:t>
      </w:r>
      <w:r>
        <w:rPr>
          <w:rFonts w:hint="eastAsia"/>
          <w:sz w:val="24"/>
        </w:rPr>
        <w:t>（项目名称）施工监理投标文件、签订合同和处理有关事宜，其法律后果由我方承担。</w:t>
      </w:r>
    </w:p>
    <w:p>
      <w:pPr>
        <w:spacing w:line="360" w:lineRule="auto"/>
        <w:ind w:firstLine="480" w:firstLineChars="200"/>
        <w:rPr>
          <w:sz w:val="24"/>
        </w:rPr>
      </w:pPr>
      <w:r>
        <w:rPr>
          <w:rFonts w:hint="eastAsia"/>
          <w:sz w:val="24"/>
        </w:rPr>
        <w:t>委托期限：自本委托书签署之日起至投标有效期期满。</w:t>
      </w:r>
    </w:p>
    <w:p>
      <w:pPr>
        <w:spacing w:line="360" w:lineRule="auto"/>
        <w:ind w:firstLine="480" w:firstLineChars="200"/>
        <w:rPr>
          <w:sz w:val="24"/>
        </w:rPr>
      </w:pPr>
      <w:r>
        <w:rPr>
          <w:rFonts w:hint="eastAsia"/>
          <w:sz w:val="24"/>
        </w:rPr>
        <w:t>代理人无转委托权。</w:t>
      </w:r>
    </w:p>
    <w:p>
      <w:pPr>
        <w:spacing w:line="360" w:lineRule="auto"/>
        <w:ind w:firstLine="480" w:firstLineChars="200"/>
        <w:rPr>
          <w:sz w:val="24"/>
        </w:rPr>
      </w:pPr>
      <w:r>
        <w:rPr>
          <w:rFonts w:hint="eastAsia"/>
          <w:sz w:val="24"/>
        </w:rPr>
        <w:t>附：法定代表人身份证复印件及委托代理人身份证复印件</w:t>
      </w:r>
    </w:p>
    <w:p>
      <w:pPr>
        <w:tabs>
          <w:tab w:val="left" w:pos="3969"/>
        </w:tabs>
        <w:spacing w:line="460" w:lineRule="exact"/>
        <w:ind w:firstLine="3967" w:firstLineChars="1653"/>
        <w:rPr>
          <w:sz w:val="24"/>
        </w:rPr>
      </w:pPr>
      <w:r>
        <w:rPr>
          <w:rFonts w:hint="eastAsia"/>
          <w:sz w:val="24"/>
        </w:rPr>
        <w:t>投标人：</w:t>
      </w:r>
      <w:r>
        <w:rPr>
          <w:rFonts w:hint="eastAsia"/>
          <w:sz w:val="24"/>
          <w:u w:val="single"/>
        </w:rPr>
        <w:t xml:space="preserve">                 </w:t>
      </w:r>
      <w:r>
        <w:rPr>
          <w:rFonts w:hint="eastAsia"/>
          <w:sz w:val="24"/>
        </w:rPr>
        <w:t>(盖单位章)</w:t>
      </w:r>
    </w:p>
    <w:p>
      <w:pPr>
        <w:tabs>
          <w:tab w:val="left" w:pos="3969"/>
        </w:tabs>
        <w:spacing w:line="460" w:lineRule="exact"/>
        <w:ind w:firstLine="3967" w:firstLineChars="1653"/>
        <w:rPr>
          <w:sz w:val="24"/>
        </w:rPr>
      </w:pPr>
      <w:r>
        <w:rPr>
          <w:rFonts w:hint="eastAsia"/>
          <w:sz w:val="24"/>
        </w:rPr>
        <w:t>法定代表人：</w:t>
      </w:r>
      <w:r>
        <w:rPr>
          <w:rFonts w:hint="eastAsia"/>
          <w:sz w:val="24"/>
          <w:u w:val="single"/>
        </w:rPr>
        <w:t xml:space="preserve">                 </w:t>
      </w:r>
      <w:r>
        <w:rPr>
          <w:rFonts w:hint="eastAsia"/>
          <w:sz w:val="24"/>
        </w:rPr>
        <w:t>(签字)</w:t>
      </w:r>
    </w:p>
    <w:p>
      <w:pPr>
        <w:tabs>
          <w:tab w:val="left" w:pos="3969"/>
        </w:tabs>
        <w:spacing w:line="460" w:lineRule="exact"/>
        <w:ind w:firstLine="3967" w:firstLineChars="1653"/>
        <w:rPr>
          <w:sz w:val="24"/>
          <w:u w:val="single"/>
        </w:rPr>
      </w:pPr>
      <w:r>
        <w:rPr>
          <w:rFonts w:hint="eastAsia"/>
          <w:sz w:val="24"/>
        </w:rPr>
        <w:t>身份证号码：_______________________</w:t>
      </w:r>
    </w:p>
    <w:p>
      <w:pPr>
        <w:tabs>
          <w:tab w:val="left" w:pos="3969"/>
        </w:tabs>
        <w:spacing w:line="460" w:lineRule="exact"/>
        <w:ind w:firstLine="3967" w:firstLineChars="1653"/>
        <w:rPr>
          <w:sz w:val="24"/>
        </w:rPr>
      </w:pPr>
      <w:r>
        <w:rPr>
          <w:rFonts w:hint="eastAsia"/>
          <w:sz w:val="24"/>
        </w:rPr>
        <w:t>委托代理人：</w:t>
      </w:r>
      <w:r>
        <w:rPr>
          <w:rFonts w:hint="eastAsia"/>
          <w:sz w:val="24"/>
          <w:u w:val="single"/>
        </w:rPr>
        <w:t xml:space="preserve">                 </w:t>
      </w:r>
      <w:r>
        <w:rPr>
          <w:rFonts w:hint="eastAsia"/>
          <w:sz w:val="24"/>
        </w:rPr>
        <w:t>(签字)</w:t>
      </w:r>
    </w:p>
    <w:p>
      <w:pPr>
        <w:tabs>
          <w:tab w:val="left" w:pos="3969"/>
        </w:tabs>
        <w:spacing w:line="460" w:lineRule="exact"/>
        <w:ind w:firstLine="3967" w:firstLineChars="1653"/>
        <w:rPr>
          <w:sz w:val="24"/>
        </w:rPr>
      </w:pPr>
      <w:r>
        <w:rPr>
          <w:rFonts w:hint="eastAsia"/>
          <w:sz w:val="24"/>
        </w:rPr>
        <w:t>身份证号码：______________________</w:t>
      </w:r>
    </w:p>
    <w:p>
      <w:pPr>
        <w:tabs>
          <w:tab w:val="left" w:pos="3969"/>
        </w:tabs>
        <w:spacing w:line="460" w:lineRule="exact"/>
        <w:ind w:firstLine="3967" w:firstLineChars="1653"/>
        <w:rPr>
          <w:sz w:val="24"/>
        </w:rPr>
      </w:pPr>
    </w:p>
    <w:p>
      <w:pPr>
        <w:tabs>
          <w:tab w:val="left" w:pos="3969"/>
        </w:tabs>
        <w:spacing w:line="460" w:lineRule="exact"/>
        <w:ind w:firstLine="6098" w:firstLineChars="2541"/>
        <w:jc w:val="center"/>
        <w:rPr>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60" w:lineRule="exact"/>
        <w:ind w:firstLine="420" w:firstLineChars="200"/>
        <w:rPr>
          <w:szCs w:val="21"/>
        </w:rPr>
      </w:pPr>
      <w:r>
        <w:rPr>
          <w:rFonts w:hint="eastAsia"/>
          <w:szCs w:val="21"/>
        </w:rPr>
        <w:t>注：</w:t>
      </w:r>
    </w:p>
    <w:p>
      <w:pPr>
        <w:spacing w:line="460" w:lineRule="exact"/>
        <w:ind w:firstLine="420" w:firstLineChars="200"/>
        <w:rPr>
          <w:szCs w:val="21"/>
        </w:rPr>
      </w:pPr>
      <w:r>
        <w:rPr>
          <w:rFonts w:hint="eastAsia"/>
          <w:szCs w:val="21"/>
        </w:rPr>
        <w:t>1.法定代表人和委托代理人必须在授权书上亲笔签名，不得使用印章、签名章或其他电子制版签名代替；</w:t>
      </w:r>
    </w:p>
    <w:p>
      <w:pPr>
        <w:autoSpaceDE w:val="0"/>
        <w:autoSpaceDN w:val="0"/>
        <w:adjustRightInd w:val="0"/>
        <w:spacing w:line="360" w:lineRule="auto"/>
        <w:ind w:firstLine="420" w:firstLineChars="200"/>
        <w:jc w:val="left"/>
        <w:rPr>
          <w:szCs w:val="21"/>
        </w:rPr>
      </w:pPr>
    </w:p>
    <w:p>
      <w:pPr>
        <w:pStyle w:val="50"/>
        <w:spacing w:line="360" w:lineRule="auto"/>
        <w:jc w:val="both"/>
        <w:rPr>
          <w:color w:val="auto"/>
        </w:rPr>
      </w:pPr>
    </w:p>
    <w:p>
      <w:pPr>
        <w:pStyle w:val="50"/>
        <w:spacing w:line="360" w:lineRule="auto"/>
        <w:jc w:val="both"/>
        <w:rPr>
          <w:color w:val="auto"/>
        </w:rPr>
      </w:pPr>
    </w:p>
    <w:p>
      <w:pPr>
        <w:pStyle w:val="50"/>
        <w:spacing w:line="360" w:lineRule="auto"/>
        <w:jc w:val="both"/>
        <w:rPr>
          <w:color w:val="auto"/>
        </w:rPr>
      </w:pPr>
    </w:p>
    <w:p>
      <w:pPr>
        <w:pStyle w:val="50"/>
        <w:spacing w:line="360" w:lineRule="auto"/>
        <w:jc w:val="both"/>
        <w:rPr>
          <w:color w:val="auto"/>
        </w:rPr>
      </w:pPr>
    </w:p>
    <w:p>
      <w:pPr>
        <w:pStyle w:val="50"/>
        <w:spacing w:line="360" w:lineRule="auto"/>
        <w:jc w:val="both"/>
        <w:rPr>
          <w:color w:val="auto"/>
        </w:rPr>
      </w:pPr>
    </w:p>
    <w:p>
      <w:pPr>
        <w:pStyle w:val="50"/>
        <w:spacing w:line="360" w:lineRule="auto"/>
        <w:jc w:val="both"/>
        <w:rPr>
          <w:color w:val="auto"/>
        </w:rPr>
      </w:pPr>
    </w:p>
    <w:p>
      <w:pPr>
        <w:spacing w:line="360" w:lineRule="auto"/>
        <w:jc w:val="center"/>
        <w:rPr>
          <w:b/>
          <w:sz w:val="32"/>
          <w:szCs w:val="32"/>
        </w:rPr>
      </w:pPr>
      <w:bookmarkStart w:id="51" w:name="_Toc234349564"/>
      <w:bookmarkStart w:id="52" w:name="_Toc234345904"/>
      <w:bookmarkStart w:id="53" w:name="_Toc265483676"/>
      <w:bookmarkStart w:id="54" w:name="_Toc234346119"/>
      <w:bookmarkStart w:id="55" w:name="_Toc234348990"/>
      <w:r>
        <w:rPr>
          <w:rFonts w:hint="eastAsia"/>
          <w:b/>
          <w:sz w:val="32"/>
          <w:szCs w:val="32"/>
        </w:rPr>
        <w:br w:type="page"/>
      </w:r>
      <w:r>
        <w:rPr>
          <w:rFonts w:hint="eastAsia"/>
          <w:b/>
          <w:sz w:val="32"/>
          <w:szCs w:val="32"/>
        </w:rPr>
        <w:t>(二)法定代表人身份证明</w:t>
      </w:r>
      <w:bookmarkEnd w:id="51"/>
      <w:bookmarkEnd w:id="52"/>
      <w:bookmarkEnd w:id="53"/>
      <w:bookmarkEnd w:id="54"/>
      <w:bookmarkEnd w:id="55"/>
    </w:p>
    <w:p>
      <w:pPr>
        <w:tabs>
          <w:tab w:val="left" w:pos="3960"/>
        </w:tabs>
        <w:spacing w:line="500" w:lineRule="exact"/>
        <w:jc w:val="left"/>
        <w:rPr>
          <w:szCs w:val="21"/>
        </w:rPr>
      </w:pPr>
    </w:p>
    <w:p>
      <w:pPr>
        <w:tabs>
          <w:tab w:val="left" w:pos="3960"/>
        </w:tabs>
        <w:spacing w:line="500" w:lineRule="exact"/>
        <w:jc w:val="left"/>
        <w:rPr>
          <w:sz w:val="24"/>
        </w:rPr>
      </w:pPr>
      <w:r>
        <w:rPr>
          <w:rFonts w:hint="eastAsia"/>
          <w:sz w:val="24"/>
        </w:rPr>
        <w:t>投标人名称：____________________________</w:t>
      </w:r>
    </w:p>
    <w:p>
      <w:pPr>
        <w:tabs>
          <w:tab w:val="left" w:pos="3960"/>
        </w:tabs>
        <w:spacing w:line="500" w:lineRule="exact"/>
        <w:jc w:val="left"/>
        <w:rPr>
          <w:sz w:val="24"/>
          <w:u w:val="single"/>
        </w:rPr>
      </w:pPr>
      <w:r>
        <w:rPr>
          <w:rFonts w:hint="eastAsia"/>
          <w:sz w:val="24"/>
        </w:rPr>
        <w:t>姓名：</w:t>
      </w:r>
      <w:r>
        <w:rPr>
          <w:rFonts w:hint="eastAsia"/>
          <w:sz w:val="24"/>
          <w:u w:val="single"/>
        </w:rPr>
        <w:t xml:space="preserve"> （法定代表人亲笔签字）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职务：________</w:t>
      </w:r>
    </w:p>
    <w:p>
      <w:pPr>
        <w:tabs>
          <w:tab w:val="left" w:pos="3960"/>
        </w:tabs>
        <w:spacing w:line="500" w:lineRule="exact"/>
        <w:jc w:val="left"/>
        <w:rPr>
          <w:sz w:val="24"/>
        </w:rPr>
      </w:pPr>
      <w:r>
        <w:rPr>
          <w:rFonts w:hint="eastAsia"/>
          <w:sz w:val="24"/>
        </w:rPr>
        <w:t>系</w:t>
      </w:r>
      <w:r>
        <w:rPr>
          <w:rFonts w:hint="eastAsia"/>
          <w:sz w:val="24"/>
          <w:u w:val="single"/>
        </w:rPr>
        <w:t xml:space="preserve">                        </w:t>
      </w:r>
      <w:r>
        <w:rPr>
          <w:rFonts w:hint="eastAsia"/>
          <w:sz w:val="24"/>
        </w:rPr>
        <w:t>（投标人名称）的法定代表人。</w:t>
      </w:r>
    </w:p>
    <w:p>
      <w:pPr>
        <w:tabs>
          <w:tab w:val="left" w:pos="3960"/>
        </w:tabs>
        <w:spacing w:line="500" w:lineRule="exact"/>
        <w:ind w:firstLine="570"/>
        <w:jc w:val="left"/>
        <w:rPr>
          <w:sz w:val="24"/>
        </w:rPr>
      </w:pPr>
      <w:r>
        <w:rPr>
          <w:rFonts w:hint="eastAsia"/>
          <w:sz w:val="24"/>
        </w:rPr>
        <w:t>特此证明。</w:t>
      </w:r>
    </w:p>
    <w:p>
      <w:pPr>
        <w:tabs>
          <w:tab w:val="left" w:pos="3960"/>
        </w:tabs>
        <w:spacing w:line="500" w:lineRule="exact"/>
        <w:ind w:firstLine="570"/>
        <w:jc w:val="left"/>
        <w:rPr>
          <w:sz w:val="24"/>
        </w:rPr>
      </w:pPr>
    </w:p>
    <w:p>
      <w:pPr>
        <w:tabs>
          <w:tab w:val="left" w:pos="3960"/>
        </w:tabs>
        <w:spacing w:line="500" w:lineRule="exact"/>
        <w:ind w:firstLine="570"/>
        <w:jc w:val="left"/>
        <w:rPr>
          <w:sz w:val="24"/>
        </w:rPr>
      </w:pPr>
    </w:p>
    <w:p>
      <w:pPr>
        <w:tabs>
          <w:tab w:val="left" w:pos="3960"/>
        </w:tabs>
        <w:spacing w:line="500" w:lineRule="exact"/>
        <w:ind w:firstLine="570"/>
        <w:jc w:val="left"/>
        <w:rPr>
          <w:sz w:val="24"/>
        </w:rPr>
      </w:pPr>
      <w:r>
        <w:rPr>
          <w:rFonts w:hint="eastAsia"/>
          <w:sz w:val="24"/>
        </w:rPr>
        <w:t>附：法定代表人身份证复印件。</w:t>
      </w:r>
    </w:p>
    <w:p>
      <w:pPr>
        <w:spacing w:line="460" w:lineRule="exact"/>
        <w:ind w:firstLine="465"/>
        <w:rPr>
          <w:sz w:val="24"/>
        </w:rPr>
      </w:pPr>
    </w:p>
    <w:p>
      <w:pPr>
        <w:spacing w:line="460" w:lineRule="exact"/>
        <w:ind w:firstLine="465"/>
        <w:rPr>
          <w:sz w:val="24"/>
        </w:rPr>
      </w:pPr>
    </w:p>
    <w:p>
      <w:pPr>
        <w:spacing w:line="460" w:lineRule="exact"/>
        <w:ind w:firstLine="465"/>
        <w:rPr>
          <w:sz w:val="24"/>
        </w:rPr>
      </w:pPr>
    </w:p>
    <w:p>
      <w:pPr>
        <w:spacing w:line="460" w:lineRule="exact"/>
        <w:ind w:firstLine="465"/>
        <w:rPr>
          <w:sz w:val="24"/>
        </w:rPr>
      </w:pPr>
    </w:p>
    <w:p>
      <w:pPr>
        <w:wordWrap w:val="0"/>
        <w:spacing w:line="460" w:lineRule="exact"/>
        <w:jc w:val="right"/>
        <w:rPr>
          <w:sz w:val="24"/>
        </w:rPr>
      </w:pPr>
      <w:r>
        <w:rPr>
          <w:rFonts w:hint="eastAsia"/>
          <w:sz w:val="24"/>
        </w:rPr>
        <w:t>投标人：</w:t>
      </w:r>
      <w:r>
        <w:rPr>
          <w:rFonts w:hint="eastAsia"/>
          <w:sz w:val="24"/>
          <w:u w:val="single"/>
        </w:rPr>
        <w:t xml:space="preserve">                     </w:t>
      </w:r>
      <w:r>
        <w:rPr>
          <w:rFonts w:hint="eastAsia"/>
          <w:sz w:val="24"/>
        </w:rPr>
        <w:t>(盖单位章)</w:t>
      </w:r>
    </w:p>
    <w:p>
      <w:pPr>
        <w:wordWrap w:val="0"/>
        <w:spacing w:line="460" w:lineRule="exact"/>
        <w:jc w:val="right"/>
        <w:rPr>
          <w:szCs w:val="21"/>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60" w:lineRule="exact"/>
        <w:jc w:val="right"/>
        <w:rPr>
          <w:sz w:val="24"/>
        </w:rPr>
      </w:pPr>
    </w:p>
    <w:p>
      <w:pPr>
        <w:spacing w:line="460" w:lineRule="exact"/>
        <w:rPr>
          <w:sz w:val="24"/>
        </w:rPr>
      </w:pPr>
    </w:p>
    <w:p>
      <w:pPr>
        <w:spacing w:line="460" w:lineRule="exact"/>
        <w:rPr>
          <w:sz w:val="24"/>
        </w:rPr>
      </w:pPr>
    </w:p>
    <w:p>
      <w:pPr>
        <w:autoSpaceDE w:val="0"/>
        <w:autoSpaceDN w:val="0"/>
        <w:adjustRightInd w:val="0"/>
        <w:spacing w:line="360" w:lineRule="auto"/>
        <w:ind w:left="102"/>
        <w:jc w:val="left"/>
        <w:rPr>
          <w:kern w:val="0"/>
          <w:szCs w:val="21"/>
        </w:rPr>
      </w:pPr>
      <w:r>
        <w:rPr>
          <w:rFonts w:hint="eastAsia"/>
          <w:kern w:val="0"/>
          <w:szCs w:val="21"/>
        </w:rPr>
        <w:t>注：</w:t>
      </w:r>
      <w:r>
        <w:rPr>
          <w:kern w:val="0"/>
          <w:szCs w:val="21"/>
        </w:rPr>
        <w:t>1.</w:t>
      </w:r>
      <w:r>
        <w:rPr>
          <w:rFonts w:hint="eastAsia"/>
          <w:kern w:val="0"/>
          <w:szCs w:val="21"/>
        </w:rPr>
        <w:t>法定代表人的签字必须是亲笔签名，不得使用印章、签名章或其他电子制版签名代替。</w:t>
      </w:r>
    </w:p>
    <w:p>
      <w:pPr>
        <w:autoSpaceDE w:val="0"/>
        <w:autoSpaceDN w:val="0"/>
        <w:adjustRightInd w:val="0"/>
        <w:spacing w:line="360" w:lineRule="auto"/>
        <w:ind w:left="103" w:leftChars="49" w:firstLine="420" w:firstLineChars="200"/>
        <w:jc w:val="left"/>
        <w:rPr>
          <w:kern w:val="0"/>
          <w:szCs w:val="21"/>
        </w:rPr>
      </w:pPr>
    </w:p>
    <w:p>
      <w:pPr>
        <w:autoSpaceDE w:val="0"/>
        <w:autoSpaceDN w:val="0"/>
        <w:adjustRightInd w:val="0"/>
        <w:spacing w:line="341" w:lineRule="exact"/>
        <w:ind w:right="33"/>
        <w:jc w:val="center"/>
        <w:rPr>
          <w:rFonts w:ascii="宋体" w:hAnsi="宋体" w:cs="宋体"/>
          <w:b/>
          <w:kern w:val="0"/>
          <w:position w:val="-3"/>
          <w:sz w:val="30"/>
          <w:szCs w:val="30"/>
        </w:rPr>
      </w:pPr>
      <w:r>
        <w:rPr>
          <w:kern w:val="0"/>
          <w:szCs w:val="21"/>
        </w:rPr>
        <w:br w:type="page"/>
      </w:r>
      <w:r>
        <w:rPr>
          <w:rFonts w:hint="eastAsia" w:ascii="宋体" w:hAnsi="宋体" w:cs="宋体"/>
          <w:b/>
          <w:kern w:val="0"/>
          <w:position w:val="-3"/>
          <w:sz w:val="30"/>
          <w:szCs w:val="30"/>
        </w:rPr>
        <w:t>三、投</w:t>
      </w:r>
      <w:r>
        <w:rPr>
          <w:rFonts w:hint="eastAsia" w:ascii="宋体" w:hAnsi="宋体" w:cs="宋体"/>
          <w:b/>
          <w:spacing w:val="-3"/>
          <w:kern w:val="0"/>
          <w:position w:val="-3"/>
          <w:sz w:val="30"/>
          <w:szCs w:val="30"/>
        </w:rPr>
        <w:t>标</w:t>
      </w:r>
      <w:r>
        <w:rPr>
          <w:rFonts w:hint="eastAsia" w:ascii="宋体" w:hAnsi="宋体" w:cs="宋体"/>
          <w:b/>
          <w:kern w:val="0"/>
          <w:position w:val="-3"/>
          <w:sz w:val="30"/>
          <w:szCs w:val="30"/>
        </w:rPr>
        <w:t>保证金</w:t>
      </w:r>
    </w:p>
    <w:p>
      <w:pPr>
        <w:autoSpaceDE w:val="0"/>
        <w:autoSpaceDN w:val="0"/>
        <w:adjustRightInd w:val="0"/>
        <w:spacing w:line="341" w:lineRule="exact"/>
        <w:ind w:right="33"/>
        <w:jc w:val="center"/>
        <w:rPr>
          <w:rFonts w:ascii="宋体" w:hAnsi="宋体" w:cs="宋体"/>
          <w:b/>
          <w:kern w:val="0"/>
          <w:sz w:val="30"/>
          <w:szCs w:val="30"/>
        </w:rPr>
      </w:pPr>
    </w:p>
    <w:p>
      <w:pPr>
        <w:ind w:firstLine="566" w:firstLineChars="236"/>
        <w:rPr>
          <w:rFonts w:ascii="宋体" w:hAnsi="宋体" w:cs="宋体"/>
          <w:sz w:val="24"/>
        </w:rPr>
      </w:pPr>
      <w:r>
        <w:rPr>
          <w:rFonts w:hint="eastAsia" w:ascii="宋体" w:hAnsi="宋体" w:cs="宋体"/>
          <w:sz w:val="24"/>
        </w:rPr>
        <w:t>若采用现金或支票，投标人应在此提供汇款凭证的复印件。</w:t>
      </w:r>
    </w:p>
    <w:p>
      <w:pPr>
        <w:ind w:firstLine="566" w:firstLineChars="236"/>
        <w:rPr>
          <w:rFonts w:ascii="宋体" w:hAnsi="宋体" w:cs="宋体"/>
          <w:sz w:val="24"/>
        </w:rPr>
      </w:pPr>
      <w:r>
        <w:rPr>
          <w:rFonts w:hint="eastAsia" w:ascii="宋体" w:hAnsi="宋体" w:cs="宋体"/>
          <w:sz w:val="24"/>
        </w:rPr>
        <w:t>如采用银行保函，银行保函复印件装订在投标文件中，格式如下。</w:t>
      </w:r>
    </w:p>
    <w:p>
      <w:pPr>
        <w:spacing w:line="440" w:lineRule="exact"/>
        <w:rPr>
          <w:rFonts w:ascii="宋体" w:hAnsi="宋体" w:cs="宋体"/>
          <w:sz w:val="24"/>
        </w:rPr>
      </w:pPr>
      <w:r>
        <w:rPr>
          <w:rFonts w:hint="eastAsia" w:ascii="宋体" w:hAnsi="宋体" w:cs="宋体"/>
          <w:sz w:val="24"/>
        </w:rPr>
        <w:t xml:space="preserve">    </w:t>
      </w:r>
    </w:p>
    <w:p>
      <w:pPr>
        <w:spacing w:afterLines="100" w:line="44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(招标人名称)：</w:t>
      </w:r>
    </w:p>
    <w:p>
      <w:pPr>
        <w:spacing w:line="440" w:lineRule="exact"/>
        <w:rPr>
          <w:rFonts w:ascii="宋体" w:hAnsi="宋体" w:cs="宋体"/>
          <w:sz w:val="24"/>
        </w:rPr>
      </w:pPr>
      <w:r>
        <w:rPr>
          <w:rFonts w:hint="eastAsia" w:ascii="宋体" w:hAnsi="宋体" w:cs="宋体"/>
          <w:sz w:val="24"/>
        </w:rPr>
        <w:t xml:space="preserve">     鉴于</w:t>
      </w:r>
      <w:r>
        <w:rPr>
          <w:rFonts w:hint="eastAsia" w:ascii="宋体" w:hAnsi="宋体" w:cs="宋体"/>
          <w:sz w:val="24"/>
          <w:u w:val="single"/>
        </w:rPr>
        <w:t xml:space="preserve">             </w:t>
      </w:r>
      <w:r>
        <w:rPr>
          <w:rFonts w:hint="eastAsia" w:ascii="宋体" w:hAnsi="宋体" w:cs="宋体"/>
          <w:sz w:val="24"/>
        </w:rPr>
        <w:t>(投标人名称)(以下称“投标人”)于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日参加</w:t>
      </w:r>
    </w:p>
    <w:p>
      <w:pPr>
        <w:spacing w:line="440" w:lineRule="exact"/>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rPr>
        <w:t>（项目名称）施工监理的投标，</w:t>
      </w:r>
      <w:r>
        <w:rPr>
          <w:rFonts w:hint="eastAsia" w:ascii="宋体" w:hAnsi="宋体" w:cs="宋体"/>
          <w:sz w:val="24"/>
          <w:u w:val="single"/>
        </w:rPr>
        <w:t xml:space="preserve">        </w:t>
      </w:r>
      <w:r>
        <w:rPr>
          <w:rFonts w:hint="eastAsia" w:ascii="宋体" w:hAnsi="宋体" w:cs="宋体"/>
          <w:sz w:val="24"/>
        </w:rPr>
        <w:t xml:space="preserve"> (担保人名称，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我方在7日内向你方无条件支付人民币(大写)</w:t>
      </w:r>
      <w:r>
        <w:rPr>
          <w:rFonts w:hint="eastAsia" w:ascii="宋体" w:hAnsi="宋体" w:cs="宋体"/>
          <w:sz w:val="24"/>
          <w:u w:val="single"/>
        </w:rPr>
        <w:t xml:space="preserve"> </w:t>
      </w:r>
    </w:p>
    <w:p>
      <w:pPr>
        <w:spacing w:line="44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元。</w:t>
      </w:r>
    </w:p>
    <w:p>
      <w:pPr>
        <w:spacing w:line="440" w:lineRule="exact"/>
        <w:ind w:firstLine="480"/>
        <w:rPr>
          <w:rFonts w:ascii="宋体" w:hAnsi="宋体" w:cs="宋体"/>
          <w:sz w:val="24"/>
        </w:rPr>
      </w:pPr>
      <w:r>
        <w:rPr>
          <w:rFonts w:hint="eastAsia" w:ascii="宋体" w:hAnsi="宋体" w:cs="宋体"/>
          <w:sz w:val="24"/>
        </w:rPr>
        <w:t>本保函在投标有效期或经延长的投标有效期内保持有效。要求我方承担保证责任的通知应在上述期限内送达我方。你方延长投标有效期的决定，应通知我方。</w:t>
      </w:r>
    </w:p>
    <w:p>
      <w:pPr>
        <w:spacing w:line="440" w:lineRule="exact"/>
        <w:rPr>
          <w:rFonts w:ascii="宋体" w:hAnsi="宋体" w:cs="宋体"/>
          <w:sz w:val="24"/>
        </w:rPr>
      </w:pPr>
      <w:r>
        <w:rPr>
          <w:rFonts w:hint="eastAsia" w:ascii="宋体" w:hAnsi="宋体" w:cs="宋体"/>
          <w:sz w:val="24"/>
        </w:rPr>
        <w:t xml:space="preserve">    </w:t>
      </w:r>
    </w:p>
    <w:p>
      <w:pPr>
        <w:spacing w:line="440" w:lineRule="exact"/>
        <w:rPr>
          <w:rFonts w:ascii="宋体" w:hAnsi="宋体" w:cs="宋体"/>
          <w:sz w:val="24"/>
        </w:rPr>
      </w:pPr>
    </w:p>
    <w:p>
      <w:pPr>
        <w:spacing w:line="440" w:lineRule="exact"/>
        <w:rPr>
          <w:rFonts w:ascii="宋体" w:hAnsi="宋体" w:cs="宋体"/>
          <w:sz w:val="24"/>
        </w:rPr>
      </w:pPr>
    </w:p>
    <w:p>
      <w:pPr>
        <w:autoSpaceDE w:val="0"/>
        <w:autoSpaceDN w:val="0"/>
        <w:adjustRightInd w:val="0"/>
        <w:spacing w:line="400" w:lineRule="atLeast"/>
        <w:ind w:firstLine="480" w:firstLineChars="200"/>
        <w:rPr>
          <w:rFonts w:ascii="宋体" w:hAnsi="宋体" w:cs="宋体"/>
          <w:kern w:val="0"/>
          <w:sz w:val="24"/>
        </w:rPr>
      </w:pPr>
      <w:r>
        <w:rPr>
          <w:rFonts w:hint="eastAsia" w:ascii="宋体" w:hAnsi="宋体" w:cs="宋体"/>
          <w:kern w:val="0"/>
          <w:sz w:val="24"/>
        </w:rPr>
        <w:t xml:space="preserve">                       担保人名称：</w:t>
      </w:r>
      <w:r>
        <w:rPr>
          <w:rFonts w:hint="eastAsia" w:ascii="宋体" w:hAnsi="宋体" w:cs="宋体"/>
          <w:kern w:val="0"/>
          <w:sz w:val="24"/>
          <w:u w:val="single"/>
        </w:rPr>
        <w:t xml:space="preserve">                    </w:t>
      </w:r>
      <w:r>
        <w:rPr>
          <w:rFonts w:hint="eastAsia" w:ascii="宋体" w:hAnsi="宋体" w:cs="宋体"/>
          <w:kern w:val="0"/>
          <w:sz w:val="24"/>
        </w:rPr>
        <w:t>（盖单位章）</w:t>
      </w:r>
    </w:p>
    <w:p>
      <w:pPr>
        <w:wordWrap w:val="0"/>
        <w:autoSpaceDE w:val="0"/>
        <w:autoSpaceDN w:val="0"/>
        <w:adjustRightInd w:val="0"/>
        <w:spacing w:line="400" w:lineRule="atLeast"/>
        <w:jc w:val="center"/>
        <w:rPr>
          <w:rFonts w:ascii="宋体" w:hAnsi="宋体" w:cs="宋体"/>
          <w:kern w:val="0"/>
          <w:sz w:val="24"/>
        </w:rPr>
      </w:pPr>
      <w:r>
        <w:rPr>
          <w:rFonts w:hint="eastAsia" w:ascii="宋体" w:hAnsi="宋体" w:cs="宋体"/>
          <w:kern w:val="0"/>
          <w:sz w:val="24"/>
        </w:rPr>
        <w:t xml:space="preserve">                    法定代表人或其委托代理人：</w:t>
      </w:r>
      <w:r>
        <w:rPr>
          <w:rFonts w:hint="eastAsia" w:ascii="宋体" w:hAnsi="宋体" w:cs="宋体"/>
          <w:kern w:val="0"/>
          <w:sz w:val="24"/>
          <w:u w:val="single"/>
        </w:rPr>
        <w:t xml:space="preserve">          </w:t>
      </w:r>
      <w:r>
        <w:rPr>
          <w:rFonts w:hint="eastAsia" w:ascii="宋体" w:hAnsi="宋体" w:cs="宋体"/>
          <w:kern w:val="0"/>
          <w:sz w:val="24"/>
        </w:rPr>
        <w:t>（签字）</w:t>
      </w:r>
    </w:p>
    <w:p>
      <w:pPr>
        <w:autoSpaceDE w:val="0"/>
        <w:autoSpaceDN w:val="0"/>
        <w:adjustRightInd w:val="0"/>
        <w:spacing w:line="400" w:lineRule="atLeast"/>
        <w:ind w:firstLine="3240" w:firstLineChars="1350"/>
        <w:rPr>
          <w:rFonts w:ascii="宋体" w:hAnsi="宋体" w:cs="宋体"/>
          <w:kern w:val="0"/>
          <w:sz w:val="24"/>
        </w:rPr>
      </w:pPr>
      <w:r>
        <w:rPr>
          <w:rFonts w:hint="eastAsia" w:ascii="宋体" w:hAnsi="宋体" w:cs="宋体"/>
          <w:kern w:val="0"/>
          <w:sz w:val="24"/>
        </w:rPr>
        <w:t>地    址：________________________________</w:t>
      </w:r>
    </w:p>
    <w:p>
      <w:pPr>
        <w:autoSpaceDE w:val="0"/>
        <w:autoSpaceDN w:val="0"/>
        <w:adjustRightInd w:val="0"/>
        <w:spacing w:line="400" w:lineRule="atLeast"/>
        <w:ind w:firstLine="3240" w:firstLineChars="1350"/>
        <w:rPr>
          <w:rFonts w:ascii="宋体" w:hAnsi="宋体" w:cs="宋体"/>
          <w:kern w:val="0"/>
          <w:sz w:val="24"/>
          <w:u w:val="single"/>
        </w:rPr>
      </w:pPr>
      <w:r>
        <w:rPr>
          <w:rFonts w:hint="eastAsia" w:ascii="宋体" w:hAnsi="宋体" w:cs="宋体"/>
          <w:kern w:val="0"/>
          <w:sz w:val="24"/>
        </w:rPr>
        <w:t>邮政编码：________________________________</w:t>
      </w:r>
    </w:p>
    <w:p>
      <w:pPr>
        <w:autoSpaceDE w:val="0"/>
        <w:autoSpaceDN w:val="0"/>
        <w:adjustRightInd w:val="0"/>
        <w:spacing w:line="400" w:lineRule="atLeast"/>
        <w:ind w:firstLine="3240" w:firstLineChars="1350"/>
        <w:rPr>
          <w:rFonts w:ascii="宋体" w:hAnsi="宋体" w:cs="宋体"/>
          <w:kern w:val="0"/>
          <w:sz w:val="24"/>
          <w:u w:val="single"/>
        </w:rPr>
      </w:pPr>
      <w:r>
        <w:rPr>
          <w:rFonts w:hint="eastAsia" w:ascii="宋体" w:hAnsi="宋体" w:cs="宋体"/>
          <w:kern w:val="0"/>
          <w:sz w:val="24"/>
        </w:rPr>
        <w:t>电    话：________________________________</w:t>
      </w:r>
    </w:p>
    <w:p>
      <w:pPr>
        <w:autoSpaceDE w:val="0"/>
        <w:autoSpaceDN w:val="0"/>
        <w:adjustRightInd w:val="0"/>
        <w:spacing w:line="400" w:lineRule="atLeast"/>
        <w:ind w:firstLine="3240" w:firstLineChars="1350"/>
        <w:rPr>
          <w:rFonts w:ascii="宋体" w:hAnsi="宋体" w:cs="宋体"/>
          <w:kern w:val="0"/>
          <w:sz w:val="24"/>
          <w:u w:val="single"/>
        </w:rPr>
      </w:pPr>
      <w:r>
        <w:rPr>
          <w:rFonts w:hint="eastAsia" w:ascii="宋体" w:hAnsi="宋体" w:cs="宋体"/>
          <w:kern w:val="0"/>
          <w:sz w:val="24"/>
        </w:rPr>
        <w:t>传    真：________________________________</w:t>
      </w:r>
    </w:p>
    <w:p>
      <w:pPr>
        <w:autoSpaceDE w:val="0"/>
        <w:autoSpaceDN w:val="0"/>
        <w:adjustRightInd w:val="0"/>
        <w:spacing w:line="400" w:lineRule="atLeast"/>
        <w:ind w:firstLine="3840" w:firstLineChars="1600"/>
        <w:rPr>
          <w:rFonts w:ascii="宋体" w:hAnsi="宋体" w:cs="宋体"/>
          <w:kern w:val="0"/>
          <w:sz w:val="24"/>
          <w:u w:val="single"/>
        </w:rPr>
      </w:pPr>
    </w:p>
    <w:p>
      <w:pPr>
        <w:autoSpaceDE w:val="0"/>
        <w:autoSpaceDN w:val="0"/>
        <w:adjustRightInd w:val="0"/>
        <w:spacing w:line="360" w:lineRule="auto"/>
        <w:ind w:left="102"/>
        <w:jc w:val="right"/>
        <w:rPr>
          <w:rFonts w:ascii="宋体" w:hAnsi="宋体" w:cs="宋体"/>
          <w:kern w:val="0"/>
          <w:szCs w:val="21"/>
        </w:rPr>
      </w:pP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 xml:space="preserve"> 月</w:t>
      </w:r>
      <w:r>
        <w:rPr>
          <w:rFonts w:hint="eastAsia" w:ascii="宋体" w:hAnsi="宋体" w:cs="宋体"/>
          <w:kern w:val="0"/>
          <w:sz w:val="24"/>
          <w:u w:val="single"/>
        </w:rPr>
        <w:t xml:space="preserve">     </w:t>
      </w:r>
      <w:r>
        <w:rPr>
          <w:rFonts w:hint="eastAsia" w:ascii="宋体" w:hAnsi="宋体" w:cs="宋体"/>
          <w:kern w:val="0"/>
          <w:sz w:val="24"/>
        </w:rPr>
        <w:t>日</w:t>
      </w:r>
    </w:p>
    <w:p>
      <w:pPr>
        <w:autoSpaceDE w:val="0"/>
        <w:autoSpaceDN w:val="0"/>
        <w:adjustRightInd w:val="0"/>
        <w:spacing w:line="341" w:lineRule="exact"/>
        <w:ind w:right="33"/>
        <w:jc w:val="center"/>
        <w:rPr>
          <w:rFonts w:ascii="宋体" w:hAnsi="宋体" w:cs="宋体"/>
          <w:b/>
          <w:kern w:val="0"/>
          <w:sz w:val="30"/>
          <w:szCs w:val="30"/>
        </w:rPr>
      </w:pPr>
      <w:r>
        <w:rPr>
          <w:rFonts w:hint="eastAsia" w:ascii="宋体" w:hAnsi="宋体" w:cs="宋体"/>
        </w:rPr>
        <w:br w:type="page"/>
      </w:r>
      <w:r>
        <w:rPr>
          <w:rFonts w:hint="eastAsia" w:ascii="宋体" w:hAnsi="宋体" w:cs="宋体"/>
          <w:b/>
          <w:kern w:val="0"/>
          <w:position w:val="-3"/>
          <w:sz w:val="30"/>
          <w:szCs w:val="30"/>
        </w:rPr>
        <w:t>四、</w:t>
      </w:r>
      <w:r>
        <w:rPr>
          <w:rFonts w:hint="eastAsia" w:ascii="宋体" w:hAnsi="宋体" w:cs="宋体"/>
          <w:b/>
          <w:kern w:val="0"/>
          <w:position w:val="-4"/>
          <w:sz w:val="30"/>
          <w:szCs w:val="30"/>
        </w:rPr>
        <w:t>资</w:t>
      </w:r>
      <w:r>
        <w:rPr>
          <w:rFonts w:hint="eastAsia" w:ascii="宋体" w:hAnsi="宋体" w:cs="宋体"/>
          <w:b/>
          <w:spacing w:val="-3"/>
          <w:kern w:val="0"/>
          <w:position w:val="-4"/>
          <w:sz w:val="30"/>
          <w:szCs w:val="30"/>
        </w:rPr>
        <w:t>格</w:t>
      </w:r>
      <w:r>
        <w:rPr>
          <w:rFonts w:hint="eastAsia" w:ascii="宋体" w:hAnsi="宋体" w:cs="宋体"/>
          <w:b/>
          <w:kern w:val="0"/>
          <w:position w:val="-4"/>
          <w:sz w:val="30"/>
          <w:szCs w:val="30"/>
        </w:rPr>
        <w:t>审</w:t>
      </w:r>
      <w:r>
        <w:rPr>
          <w:rFonts w:hint="eastAsia" w:ascii="宋体" w:hAnsi="宋体" w:cs="宋体"/>
          <w:b/>
          <w:spacing w:val="1"/>
          <w:kern w:val="0"/>
          <w:position w:val="-4"/>
          <w:sz w:val="30"/>
          <w:szCs w:val="30"/>
        </w:rPr>
        <w:t>查</w:t>
      </w:r>
      <w:r>
        <w:rPr>
          <w:rFonts w:hint="eastAsia" w:ascii="宋体" w:hAnsi="宋体" w:cs="宋体"/>
          <w:b/>
          <w:kern w:val="0"/>
          <w:position w:val="-4"/>
          <w:sz w:val="30"/>
          <w:szCs w:val="30"/>
        </w:rPr>
        <w:t>资料</w:t>
      </w:r>
    </w:p>
    <w:p>
      <w:pPr>
        <w:autoSpaceDE w:val="0"/>
        <w:autoSpaceDN w:val="0"/>
        <w:adjustRightInd w:val="0"/>
        <w:spacing w:line="200" w:lineRule="exact"/>
        <w:jc w:val="left"/>
        <w:rPr>
          <w:rFonts w:ascii="宋体" w:hAnsi="宋体" w:cs="宋体"/>
          <w:kern w:val="0"/>
          <w:sz w:val="20"/>
          <w:szCs w:val="20"/>
        </w:rPr>
      </w:pPr>
    </w:p>
    <w:p>
      <w:pPr>
        <w:autoSpaceDE w:val="0"/>
        <w:autoSpaceDN w:val="0"/>
        <w:adjustRightInd w:val="0"/>
        <w:ind w:right="3"/>
        <w:jc w:val="center"/>
        <w:rPr>
          <w:rFonts w:ascii="宋体" w:hAnsi="宋体" w:cs="宋体"/>
          <w:b/>
          <w:kern w:val="0"/>
          <w:sz w:val="28"/>
          <w:szCs w:val="28"/>
        </w:rPr>
      </w:pPr>
      <w:r>
        <w:rPr>
          <w:rFonts w:hint="eastAsia" w:ascii="宋体" w:hAnsi="宋体" w:cs="宋体"/>
          <w:b/>
          <w:kern w:val="0"/>
          <w:sz w:val="28"/>
          <w:szCs w:val="28"/>
        </w:rPr>
        <w:t>（一）投标人基本情况表</w:t>
      </w:r>
    </w:p>
    <w:tbl>
      <w:tblPr>
        <w:tblStyle w:val="40"/>
        <w:tblW w:w="91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4"/>
        <w:gridCol w:w="1079"/>
        <w:gridCol w:w="1078"/>
        <w:gridCol w:w="1258"/>
        <w:gridCol w:w="189"/>
        <w:gridCol w:w="1387"/>
        <w:gridCol w:w="191"/>
        <w:gridCol w:w="762"/>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投标人名称</w:t>
            </w:r>
          </w:p>
        </w:tc>
        <w:tc>
          <w:tcPr>
            <w:tcW w:w="6844" w:type="dxa"/>
            <w:gridSpan w:val="8"/>
            <w:vAlign w:val="center"/>
          </w:tcPr>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注册地址</w:t>
            </w:r>
          </w:p>
        </w:tc>
        <w:tc>
          <w:tcPr>
            <w:tcW w:w="3604" w:type="dxa"/>
            <w:gridSpan w:val="4"/>
            <w:vAlign w:val="center"/>
          </w:tcPr>
          <w:p>
            <w:pPr>
              <w:tabs>
                <w:tab w:val="left" w:pos="3960"/>
              </w:tabs>
              <w:spacing w:line="400" w:lineRule="exact"/>
              <w:jc w:val="center"/>
              <w:rPr>
                <w:rFonts w:ascii="宋体" w:hAnsi="宋体" w:cs="宋体"/>
                <w:szCs w:val="21"/>
              </w:rPr>
            </w:pPr>
          </w:p>
        </w:tc>
        <w:tc>
          <w:tcPr>
            <w:tcW w:w="1387"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邮政编码</w:t>
            </w:r>
          </w:p>
        </w:tc>
        <w:tc>
          <w:tcPr>
            <w:tcW w:w="1853" w:type="dxa"/>
            <w:gridSpan w:val="3"/>
            <w:vAlign w:val="center"/>
          </w:tcPr>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Merge w:val="restart"/>
            <w:vAlign w:val="center"/>
          </w:tcPr>
          <w:p>
            <w:pPr>
              <w:tabs>
                <w:tab w:val="left" w:pos="3960"/>
              </w:tabs>
              <w:spacing w:line="400" w:lineRule="exact"/>
              <w:jc w:val="center"/>
              <w:rPr>
                <w:rFonts w:ascii="宋体" w:hAnsi="宋体" w:cs="宋体"/>
                <w:szCs w:val="21"/>
              </w:rPr>
            </w:pPr>
            <w:r>
              <w:rPr>
                <w:rFonts w:hint="eastAsia" w:ascii="宋体" w:hAnsi="宋体" w:cs="宋体"/>
                <w:szCs w:val="21"/>
              </w:rPr>
              <w:t>联系方式</w:t>
            </w:r>
          </w:p>
        </w:tc>
        <w:tc>
          <w:tcPr>
            <w:tcW w:w="1079"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联系人</w:t>
            </w:r>
          </w:p>
        </w:tc>
        <w:tc>
          <w:tcPr>
            <w:tcW w:w="2525" w:type="dxa"/>
            <w:gridSpan w:val="3"/>
            <w:vAlign w:val="center"/>
          </w:tcPr>
          <w:p>
            <w:pPr>
              <w:tabs>
                <w:tab w:val="left" w:pos="3960"/>
              </w:tabs>
              <w:spacing w:line="400" w:lineRule="exact"/>
              <w:jc w:val="center"/>
              <w:rPr>
                <w:rFonts w:ascii="宋体" w:hAnsi="宋体" w:cs="宋体"/>
                <w:szCs w:val="21"/>
              </w:rPr>
            </w:pPr>
          </w:p>
        </w:tc>
        <w:tc>
          <w:tcPr>
            <w:tcW w:w="1387"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电  话</w:t>
            </w:r>
          </w:p>
        </w:tc>
        <w:tc>
          <w:tcPr>
            <w:tcW w:w="1853" w:type="dxa"/>
            <w:gridSpan w:val="3"/>
            <w:vAlign w:val="center"/>
          </w:tcPr>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Merge w:val="continue"/>
            <w:vAlign w:val="center"/>
          </w:tcPr>
          <w:p>
            <w:pPr>
              <w:tabs>
                <w:tab w:val="left" w:pos="3960"/>
              </w:tabs>
              <w:spacing w:line="400" w:lineRule="exact"/>
              <w:jc w:val="center"/>
              <w:rPr>
                <w:rFonts w:ascii="宋体" w:hAnsi="宋体" w:cs="宋体"/>
                <w:szCs w:val="21"/>
              </w:rPr>
            </w:pPr>
          </w:p>
        </w:tc>
        <w:tc>
          <w:tcPr>
            <w:tcW w:w="1079"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传  真</w:t>
            </w:r>
          </w:p>
        </w:tc>
        <w:tc>
          <w:tcPr>
            <w:tcW w:w="2525" w:type="dxa"/>
            <w:gridSpan w:val="3"/>
            <w:vAlign w:val="center"/>
          </w:tcPr>
          <w:p>
            <w:pPr>
              <w:tabs>
                <w:tab w:val="left" w:pos="3960"/>
              </w:tabs>
              <w:spacing w:line="400" w:lineRule="exact"/>
              <w:jc w:val="center"/>
              <w:rPr>
                <w:rFonts w:ascii="宋体" w:hAnsi="宋体" w:cs="宋体"/>
                <w:szCs w:val="21"/>
              </w:rPr>
            </w:pPr>
          </w:p>
        </w:tc>
        <w:tc>
          <w:tcPr>
            <w:tcW w:w="1387"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电子邮件</w:t>
            </w:r>
          </w:p>
        </w:tc>
        <w:tc>
          <w:tcPr>
            <w:tcW w:w="1853" w:type="dxa"/>
            <w:gridSpan w:val="3"/>
            <w:vAlign w:val="center"/>
          </w:tcPr>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法定代表人</w:t>
            </w:r>
          </w:p>
        </w:tc>
        <w:tc>
          <w:tcPr>
            <w:tcW w:w="1079"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姓名</w:t>
            </w:r>
          </w:p>
        </w:tc>
        <w:tc>
          <w:tcPr>
            <w:tcW w:w="1078" w:type="dxa"/>
            <w:vAlign w:val="center"/>
          </w:tcPr>
          <w:p>
            <w:pPr>
              <w:tabs>
                <w:tab w:val="left" w:pos="3960"/>
              </w:tabs>
              <w:spacing w:line="400" w:lineRule="exact"/>
              <w:jc w:val="center"/>
              <w:rPr>
                <w:rFonts w:ascii="宋体" w:hAnsi="宋体" w:cs="宋体"/>
                <w:szCs w:val="21"/>
              </w:rPr>
            </w:pPr>
          </w:p>
        </w:tc>
        <w:tc>
          <w:tcPr>
            <w:tcW w:w="1258"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技术职称</w:t>
            </w:r>
          </w:p>
        </w:tc>
        <w:tc>
          <w:tcPr>
            <w:tcW w:w="1767" w:type="dxa"/>
            <w:gridSpan w:val="3"/>
            <w:vAlign w:val="center"/>
          </w:tcPr>
          <w:p>
            <w:pPr>
              <w:tabs>
                <w:tab w:val="left" w:pos="3960"/>
              </w:tabs>
              <w:spacing w:line="400" w:lineRule="exact"/>
              <w:jc w:val="center"/>
              <w:rPr>
                <w:rFonts w:ascii="宋体" w:hAnsi="宋体" w:cs="宋体"/>
                <w:szCs w:val="21"/>
              </w:rPr>
            </w:pPr>
          </w:p>
        </w:tc>
        <w:tc>
          <w:tcPr>
            <w:tcW w:w="762"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电话</w:t>
            </w:r>
          </w:p>
        </w:tc>
        <w:tc>
          <w:tcPr>
            <w:tcW w:w="900" w:type="dxa"/>
            <w:vAlign w:val="center"/>
          </w:tcPr>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技术负责人</w:t>
            </w:r>
          </w:p>
        </w:tc>
        <w:tc>
          <w:tcPr>
            <w:tcW w:w="1079"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姓名</w:t>
            </w:r>
          </w:p>
        </w:tc>
        <w:tc>
          <w:tcPr>
            <w:tcW w:w="1078" w:type="dxa"/>
            <w:vAlign w:val="center"/>
          </w:tcPr>
          <w:p>
            <w:pPr>
              <w:tabs>
                <w:tab w:val="left" w:pos="3960"/>
              </w:tabs>
              <w:spacing w:line="400" w:lineRule="exact"/>
              <w:jc w:val="center"/>
              <w:rPr>
                <w:rFonts w:ascii="宋体" w:hAnsi="宋体" w:cs="宋体"/>
                <w:szCs w:val="21"/>
              </w:rPr>
            </w:pPr>
          </w:p>
        </w:tc>
        <w:tc>
          <w:tcPr>
            <w:tcW w:w="1258"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技术职称</w:t>
            </w:r>
          </w:p>
        </w:tc>
        <w:tc>
          <w:tcPr>
            <w:tcW w:w="1767" w:type="dxa"/>
            <w:gridSpan w:val="3"/>
            <w:vAlign w:val="center"/>
          </w:tcPr>
          <w:p>
            <w:pPr>
              <w:tabs>
                <w:tab w:val="left" w:pos="3960"/>
              </w:tabs>
              <w:spacing w:line="400" w:lineRule="exact"/>
              <w:jc w:val="center"/>
              <w:rPr>
                <w:rFonts w:ascii="宋体" w:hAnsi="宋体" w:cs="宋体"/>
                <w:szCs w:val="21"/>
              </w:rPr>
            </w:pPr>
          </w:p>
        </w:tc>
        <w:tc>
          <w:tcPr>
            <w:tcW w:w="762"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电话</w:t>
            </w:r>
          </w:p>
        </w:tc>
        <w:tc>
          <w:tcPr>
            <w:tcW w:w="900" w:type="dxa"/>
            <w:vAlign w:val="center"/>
          </w:tcPr>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企业监理资质证书</w:t>
            </w:r>
          </w:p>
        </w:tc>
        <w:tc>
          <w:tcPr>
            <w:tcW w:w="6844" w:type="dxa"/>
            <w:gridSpan w:val="8"/>
            <w:vAlign w:val="center"/>
          </w:tcPr>
          <w:p>
            <w:pPr>
              <w:tabs>
                <w:tab w:val="left" w:pos="3960"/>
              </w:tabs>
              <w:spacing w:line="400" w:lineRule="exact"/>
              <w:jc w:val="left"/>
              <w:rPr>
                <w:rFonts w:ascii="宋体" w:hAnsi="宋体" w:cs="宋体"/>
                <w:szCs w:val="21"/>
              </w:rPr>
            </w:pPr>
            <w:r>
              <w:rPr>
                <w:rFonts w:hint="eastAsia" w:ascii="宋体" w:hAnsi="宋体" w:cs="宋体"/>
                <w:szCs w:val="21"/>
              </w:rPr>
              <w:t>类型：             等级：                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营业执照号</w:t>
            </w:r>
          </w:p>
        </w:tc>
        <w:tc>
          <w:tcPr>
            <w:tcW w:w="2157" w:type="dxa"/>
            <w:gridSpan w:val="2"/>
            <w:vAlign w:val="center"/>
          </w:tcPr>
          <w:p>
            <w:pPr>
              <w:tabs>
                <w:tab w:val="left" w:pos="3960"/>
              </w:tabs>
              <w:spacing w:line="400" w:lineRule="exact"/>
              <w:jc w:val="center"/>
              <w:rPr>
                <w:rFonts w:ascii="宋体" w:hAnsi="宋体" w:cs="宋体"/>
                <w:szCs w:val="21"/>
              </w:rPr>
            </w:pPr>
          </w:p>
        </w:tc>
        <w:tc>
          <w:tcPr>
            <w:tcW w:w="4687" w:type="dxa"/>
            <w:gridSpan w:val="6"/>
            <w:vAlign w:val="center"/>
          </w:tcPr>
          <w:p>
            <w:pPr>
              <w:tabs>
                <w:tab w:val="left" w:pos="3960"/>
              </w:tabs>
              <w:spacing w:line="400" w:lineRule="exact"/>
              <w:jc w:val="center"/>
              <w:rPr>
                <w:rFonts w:ascii="宋体" w:hAnsi="宋体" w:cs="宋体"/>
                <w:szCs w:val="21"/>
              </w:rPr>
            </w:pPr>
            <w:r>
              <w:rPr>
                <w:rFonts w:hint="eastAsia" w:ascii="宋体" w:hAnsi="宋体" w:cs="宋体"/>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注册资本</w:t>
            </w:r>
          </w:p>
        </w:tc>
        <w:tc>
          <w:tcPr>
            <w:tcW w:w="2157" w:type="dxa"/>
            <w:gridSpan w:val="2"/>
            <w:vAlign w:val="center"/>
          </w:tcPr>
          <w:p>
            <w:pPr>
              <w:tabs>
                <w:tab w:val="left" w:pos="3960"/>
              </w:tabs>
              <w:spacing w:line="400" w:lineRule="exact"/>
              <w:jc w:val="center"/>
              <w:rPr>
                <w:rFonts w:ascii="宋体" w:hAnsi="宋体" w:cs="宋体"/>
                <w:szCs w:val="21"/>
              </w:rPr>
            </w:pPr>
          </w:p>
        </w:tc>
        <w:tc>
          <w:tcPr>
            <w:tcW w:w="1258" w:type="dxa"/>
            <w:vMerge w:val="restart"/>
            <w:vAlign w:val="center"/>
          </w:tcPr>
          <w:p>
            <w:pPr>
              <w:tabs>
                <w:tab w:val="left" w:pos="3960"/>
              </w:tabs>
              <w:spacing w:line="400" w:lineRule="exact"/>
              <w:jc w:val="center"/>
              <w:rPr>
                <w:rFonts w:ascii="宋体" w:hAnsi="宋体" w:cs="宋体"/>
                <w:szCs w:val="21"/>
              </w:rPr>
            </w:pPr>
          </w:p>
        </w:tc>
        <w:tc>
          <w:tcPr>
            <w:tcW w:w="1767" w:type="dxa"/>
            <w:gridSpan w:val="3"/>
            <w:vAlign w:val="center"/>
          </w:tcPr>
          <w:p>
            <w:pPr>
              <w:tabs>
                <w:tab w:val="left" w:pos="3960"/>
              </w:tabs>
              <w:spacing w:line="400" w:lineRule="exact"/>
              <w:jc w:val="center"/>
              <w:rPr>
                <w:rFonts w:ascii="宋体" w:hAnsi="宋体" w:cs="宋体"/>
                <w:szCs w:val="21"/>
              </w:rPr>
            </w:pPr>
            <w:r>
              <w:rPr>
                <w:rFonts w:hint="eastAsia" w:ascii="宋体" w:hAnsi="宋体" w:cs="宋体"/>
                <w:szCs w:val="21"/>
              </w:rPr>
              <w:t>高级职称人员</w:t>
            </w:r>
          </w:p>
        </w:tc>
        <w:tc>
          <w:tcPr>
            <w:tcW w:w="1662" w:type="dxa"/>
            <w:gridSpan w:val="2"/>
            <w:vAlign w:val="center"/>
          </w:tcPr>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成立日期</w:t>
            </w:r>
          </w:p>
        </w:tc>
        <w:tc>
          <w:tcPr>
            <w:tcW w:w="2157" w:type="dxa"/>
            <w:gridSpan w:val="2"/>
            <w:vAlign w:val="center"/>
          </w:tcPr>
          <w:p>
            <w:pPr>
              <w:tabs>
                <w:tab w:val="left" w:pos="3960"/>
              </w:tabs>
              <w:spacing w:line="400" w:lineRule="exact"/>
              <w:jc w:val="center"/>
              <w:rPr>
                <w:rFonts w:ascii="宋体" w:hAnsi="宋体" w:cs="宋体"/>
                <w:szCs w:val="21"/>
              </w:rPr>
            </w:pPr>
          </w:p>
        </w:tc>
        <w:tc>
          <w:tcPr>
            <w:tcW w:w="1258" w:type="dxa"/>
            <w:vMerge w:val="continue"/>
            <w:vAlign w:val="center"/>
          </w:tcPr>
          <w:p>
            <w:pPr>
              <w:tabs>
                <w:tab w:val="left" w:pos="3960"/>
              </w:tabs>
              <w:spacing w:line="400" w:lineRule="exact"/>
              <w:jc w:val="center"/>
              <w:rPr>
                <w:rFonts w:ascii="宋体" w:hAnsi="宋体" w:cs="宋体"/>
                <w:szCs w:val="21"/>
              </w:rPr>
            </w:pPr>
          </w:p>
        </w:tc>
        <w:tc>
          <w:tcPr>
            <w:tcW w:w="1767" w:type="dxa"/>
            <w:gridSpan w:val="3"/>
            <w:vAlign w:val="center"/>
          </w:tcPr>
          <w:p>
            <w:pPr>
              <w:tabs>
                <w:tab w:val="left" w:pos="3960"/>
              </w:tabs>
              <w:spacing w:line="400" w:lineRule="exact"/>
              <w:jc w:val="center"/>
              <w:rPr>
                <w:rFonts w:ascii="宋体" w:hAnsi="宋体" w:cs="宋体"/>
                <w:szCs w:val="21"/>
              </w:rPr>
            </w:pPr>
            <w:r>
              <w:rPr>
                <w:rFonts w:hint="eastAsia" w:ascii="宋体" w:hAnsi="宋体" w:cs="宋体"/>
                <w:szCs w:val="21"/>
              </w:rPr>
              <w:t>中级职称人员</w:t>
            </w:r>
          </w:p>
        </w:tc>
        <w:tc>
          <w:tcPr>
            <w:tcW w:w="1662" w:type="dxa"/>
            <w:gridSpan w:val="2"/>
            <w:vAlign w:val="center"/>
          </w:tcPr>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基本账户开户银行</w:t>
            </w:r>
          </w:p>
        </w:tc>
        <w:tc>
          <w:tcPr>
            <w:tcW w:w="2157" w:type="dxa"/>
            <w:gridSpan w:val="2"/>
            <w:vAlign w:val="center"/>
          </w:tcPr>
          <w:p>
            <w:pPr>
              <w:tabs>
                <w:tab w:val="left" w:pos="3960"/>
              </w:tabs>
              <w:spacing w:line="400" w:lineRule="exact"/>
              <w:jc w:val="center"/>
              <w:rPr>
                <w:rFonts w:ascii="宋体" w:hAnsi="宋体" w:cs="宋体"/>
                <w:szCs w:val="21"/>
              </w:rPr>
            </w:pPr>
          </w:p>
        </w:tc>
        <w:tc>
          <w:tcPr>
            <w:tcW w:w="1258" w:type="dxa"/>
            <w:vMerge w:val="continue"/>
            <w:vAlign w:val="center"/>
          </w:tcPr>
          <w:p>
            <w:pPr>
              <w:tabs>
                <w:tab w:val="left" w:pos="3960"/>
              </w:tabs>
              <w:spacing w:line="400" w:lineRule="exact"/>
              <w:jc w:val="center"/>
              <w:rPr>
                <w:rFonts w:ascii="宋体" w:hAnsi="宋体" w:cs="宋体"/>
                <w:szCs w:val="21"/>
              </w:rPr>
            </w:pPr>
          </w:p>
        </w:tc>
        <w:tc>
          <w:tcPr>
            <w:tcW w:w="1767" w:type="dxa"/>
            <w:gridSpan w:val="3"/>
            <w:vAlign w:val="center"/>
          </w:tcPr>
          <w:p>
            <w:pPr>
              <w:tabs>
                <w:tab w:val="left" w:pos="3960"/>
              </w:tabs>
              <w:spacing w:line="400" w:lineRule="exact"/>
              <w:jc w:val="center"/>
              <w:rPr>
                <w:rFonts w:ascii="宋体" w:hAnsi="宋体" w:cs="宋体"/>
                <w:szCs w:val="21"/>
              </w:rPr>
            </w:pPr>
            <w:r>
              <w:rPr>
                <w:rFonts w:hint="eastAsia" w:ascii="宋体" w:hAnsi="宋体" w:cs="宋体"/>
                <w:szCs w:val="21"/>
              </w:rPr>
              <w:t>技术人员数量</w:t>
            </w:r>
          </w:p>
        </w:tc>
        <w:tc>
          <w:tcPr>
            <w:tcW w:w="1662" w:type="dxa"/>
            <w:gridSpan w:val="2"/>
            <w:vAlign w:val="center"/>
          </w:tcPr>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基本账户银行账号</w:t>
            </w:r>
          </w:p>
        </w:tc>
        <w:tc>
          <w:tcPr>
            <w:tcW w:w="2157" w:type="dxa"/>
            <w:gridSpan w:val="2"/>
            <w:vAlign w:val="center"/>
          </w:tcPr>
          <w:p>
            <w:pPr>
              <w:tabs>
                <w:tab w:val="left" w:pos="3960"/>
              </w:tabs>
              <w:spacing w:line="400" w:lineRule="exact"/>
              <w:jc w:val="center"/>
              <w:rPr>
                <w:rFonts w:ascii="宋体" w:hAnsi="宋体" w:cs="宋体"/>
                <w:szCs w:val="21"/>
              </w:rPr>
            </w:pPr>
          </w:p>
        </w:tc>
        <w:tc>
          <w:tcPr>
            <w:tcW w:w="1258" w:type="dxa"/>
            <w:vMerge w:val="continue"/>
            <w:vAlign w:val="center"/>
          </w:tcPr>
          <w:p>
            <w:pPr>
              <w:tabs>
                <w:tab w:val="left" w:pos="3960"/>
              </w:tabs>
              <w:spacing w:line="400" w:lineRule="exact"/>
              <w:jc w:val="center"/>
              <w:rPr>
                <w:rFonts w:ascii="宋体" w:hAnsi="宋体" w:cs="宋体"/>
                <w:szCs w:val="21"/>
              </w:rPr>
            </w:pPr>
          </w:p>
        </w:tc>
        <w:tc>
          <w:tcPr>
            <w:tcW w:w="1767" w:type="dxa"/>
            <w:gridSpan w:val="3"/>
            <w:vAlign w:val="center"/>
          </w:tcPr>
          <w:p>
            <w:pPr>
              <w:tabs>
                <w:tab w:val="left" w:pos="3960"/>
              </w:tabs>
              <w:spacing w:line="400" w:lineRule="exact"/>
              <w:jc w:val="center"/>
              <w:rPr>
                <w:rFonts w:ascii="宋体" w:hAnsi="宋体" w:cs="宋体"/>
                <w:szCs w:val="21"/>
              </w:rPr>
            </w:pPr>
            <w:r>
              <w:rPr>
                <w:rFonts w:hint="eastAsia" w:ascii="宋体" w:hAnsi="宋体" w:cs="宋体"/>
                <w:szCs w:val="21"/>
              </w:rPr>
              <w:t>各类注册人员</w:t>
            </w:r>
          </w:p>
        </w:tc>
        <w:tc>
          <w:tcPr>
            <w:tcW w:w="1662" w:type="dxa"/>
            <w:gridSpan w:val="2"/>
            <w:vAlign w:val="center"/>
          </w:tcPr>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经营范围</w:t>
            </w:r>
          </w:p>
        </w:tc>
        <w:tc>
          <w:tcPr>
            <w:tcW w:w="6844" w:type="dxa"/>
            <w:gridSpan w:val="8"/>
            <w:vAlign w:val="center"/>
          </w:tcPr>
          <w:p>
            <w:pPr>
              <w:tabs>
                <w:tab w:val="left" w:pos="3960"/>
              </w:tabs>
              <w:spacing w:line="400" w:lineRule="exact"/>
              <w:jc w:val="center"/>
              <w:rPr>
                <w:rFonts w:ascii="宋体" w:hAnsi="宋体" w:cs="宋体"/>
                <w:szCs w:val="21"/>
              </w:rPr>
            </w:pPr>
          </w:p>
          <w:p>
            <w:pPr>
              <w:tabs>
                <w:tab w:val="left" w:pos="3960"/>
              </w:tabs>
              <w:spacing w:line="400" w:lineRule="exact"/>
              <w:jc w:val="center"/>
              <w:rPr>
                <w:rFonts w:ascii="宋体" w:hAnsi="宋体" w:cs="宋体"/>
                <w:szCs w:val="21"/>
              </w:rPr>
            </w:pPr>
          </w:p>
          <w:p>
            <w:pPr>
              <w:tabs>
                <w:tab w:val="left" w:pos="3960"/>
              </w:tabs>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投标人</w:t>
            </w:r>
          </w:p>
          <w:p>
            <w:pPr>
              <w:tabs>
                <w:tab w:val="left" w:pos="3960"/>
              </w:tabs>
              <w:spacing w:line="400" w:lineRule="exact"/>
              <w:jc w:val="center"/>
              <w:rPr>
                <w:rFonts w:ascii="宋体" w:hAnsi="宋体" w:cs="宋体"/>
                <w:szCs w:val="21"/>
              </w:rPr>
            </w:pPr>
            <w:r>
              <w:rPr>
                <w:rFonts w:hint="eastAsia" w:ascii="宋体" w:hAnsi="宋体" w:cs="宋体"/>
                <w:szCs w:val="21"/>
              </w:rPr>
              <w:t>关联企业情况</w:t>
            </w:r>
          </w:p>
        </w:tc>
        <w:tc>
          <w:tcPr>
            <w:tcW w:w="6844" w:type="dxa"/>
            <w:gridSpan w:val="8"/>
            <w:vAlign w:val="center"/>
          </w:tcPr>
          <w:p>
            <w:pPr>
              <w:tabs>
                <w:tab w:val="left" w:pos="3960"/>
              </w:tabs>
              <w:jc w:val="left"/>
              <w:rPr>
                <w:rFonts w:ascii="宋体" w:hAnsi="宋体" w:cs="宋体"/>
                <w:szCs w:val="21"/>
              </w:rPr>
            </w:pPr>
            <w:r>
              <w:rPr>
                <w:rFonts w:hint="eastAsia" w:ascii="宋体" w:hAnsi="宋体" w:cs="宋体"/>
                <w:szCs w:val="21"/>
              </w:rPr>
              <w:t>投标人应提供关联企业情况，包括：</w:t>
            </w:r>
          </w:p>
          <w:p>
            <w:pPr>
              <w:tabs>
                <w:tab w:val="left" w:pos="3960"/>
              </w:tabs>
              <w:jc w:val="left"/>
              <w:rPr>
                <w:rFonts w:ascii="宋体" w:hAnsi="宋体" w:cs="宋体"/>
                <w:szCs w:val="21"/>
              </w:rPr>
            </w:pPr>
            <w:r>
              <w:rPr>
                <w:rFonts w:hint="eastAsia" w:ascii="宋体" w:hAnsi="宋体" w:cs="宋体"/>
                <w:szCs w:val="21"/>
              </w:rPr>
              <w:t>（1）投标人的所有股东名称及相应股权（出资额）比例；如投标人为上市公司，投标人应提供股权占公司股份总数</w:t>
            </w:r>
            <w:r>
              <w:rPr>
                <w:rFonts w:hint="eastAsia" w:ascii="宋体" w:hAnsi="宋体" w:cs="宋体"/>
                <w:szCs w:val="21"/>
                <w:u w:val="single"/>
              </w:rPr>
              <w:t xml:space="preserve"> 20 </w:t>
            </w:r>
            <w:r>
              <w:rPr>
                <w:rFonts w:hint="eastAsia" w:ascii="宋体" w:hAnsi="宋体" w:cs="宋体"/>
                <w:szCs w:val="21"/>
              </w:rPr>
              <w:t>%以上的所有股东名称及相应股权比例；</w:t>
            </w:r>
          </w:p>
          <w:p>
            <w:pPr>
              <w:tabs>
                <w:tab w:val="left" w:pos="3960"/>
              </w:tabs>
              <w:jc w:val="left"/>
              <w:rPr>
                <w:rFonts w:ascii="宋体" w:hAnsi="宋体" w:cs="宋体"/>
                <w:szCs w:val="21"/>
              </w:rPr>
            </w:pPr>
            <w:r>
              <w:rPr>
                <w:rFonts w:hint="eastAsia" w:ascii="宋体" w:hAnsi="宋体" w:cs="宋体"/>
                <w:szCs w:val="21"/>
              </w:rPr>
              <w:t>（2）投标人投资（控股）或管理的下属企业名称、持有股权（出资额）比例；</w:t>
            </w:r>
          </w:p>
          <w:p>
            <w:pPr>
              <w:tabs>
                <w:tab w:val="left" w:pos="3960"/>
              </w:tabs>
              <w:jc w:val="left"/>
              <w:rPr>
                <w:rFonts w:ascii="宋体" w:hAnsi="宋体" w:cs="宋体"/>
                <w:szCs w:val="21"/>
              </w:rPr>
            </w:pPr>
            <w:r>
              <w:rPr>
                <w:rFonts w:hint="eastAsia" w:ascii="宋体" w:hAnsi="宋体" w:cs="宋体"/>
                <w:szCs w:val="21"/>
              </w:rPr>
              <w:t>（3）与投标人单位负责人（即法定代表人）为同一人的其他单位名称；</w:t>
            </w:r>
          </w:p>
          <w:p>
            <w:pPr>
              <w:tabs>
                <w:tab w:val="left" w:pos="3960"/>
              </w:tabs>
              <w:jc w:val="left"/>
              <w:rPr>
                <w:rFonts w:ascii="宋体" w:hAnsi="宋体" w:cs="宋体"/>
                <w:sz w:val="24"/>
              </w:rPr>
            </w:pPr>
            <w:r>
              <w:rPr>
                <w:rFonts w:hint="eastAsia" w:ascii="宋体" w:hAnsi="宋体" w:cs="宋体"/>
                <w:szCs w:val="21"/>
              </w:rPr>
              <w:t>（4）登记类型为全民所有制企业的，可只附主管部门信息，其主管部门视为其全资股东。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4" w:hRule="atLeast"/>
          <w:jc w:val="center"/>
        </w:trPr>
        <w:tc>
          <w:tcPr>
            <w:tcW w:w="2264" w:type="dxa"/>
            <w:vAlign w:val="center"/>
          </w:tcPr>
          <w:p>
            <w:pPr>
              <w:tabs>
                <w:tab w:val="left" w:pos="3960"/>
              </w:tabs>
              <w:spacing w:line="400" w:lineRule="exact"/>
              <w:jc w:val="center"/>
              <w:rPr>
                <w:rFonts w:ascii="宋体" w:hAnsi="宋体" w:cs="宋体"/>
                <w:szCs w:val="21"/>
              </w:rPr>
            </w:pPr>
            <w:r>
              <w:rPr>
                <w:rFonts w:hint="eastAsia" w:ascii="宋体" w:hAnsi="宋体" w:cs="宋体"/>
                <w:szCs w:val="21"/>
              </w:rPr>
              <w:t>备注</w:t>
            </w:r>
          </w:p>
        </w:tc>
        <w:tc>
          <w:tcPr>
            <w:tcW w:w="6844" w:type="dxa"/>
            <w:gridSpan w:val="8"/>
            <w:vAlign w:val="center"/>
          </w:tcPr>
          <w:p>
            <w:pPr>
              <w:tabs>
                <w:tab w:val="left" w:pos="3960"/>
              </w:tabs>
              <w:spacing w:line="400" w:lineRule="exact"/>
              <w:jc w:val="center"/>
              <w:rPr>
                <w:rFonts w:ascii="宋体" w:hAnsi="宋体" w:cs="宋体"/>
                <w:szCs w:val="21"/>
              </w:rPr>
            </w:pPr>
          </w:p>
        </w:tc>
      </w:tr>
    </w:tbl>
    <w:p>
      <w:pPr>
        <w:autoSpaceDE w:val="0"/>
        <w:autoSpaceDN w:val="0"/>
        <w:adjustRightInd w:val="0"/>
        <w:spacing w:before="75" w:line="360" w:lineRule="auto"/>
        <w:ind w:left="16" w:right="171" w:hanging="16"/>
        <w:jc w:val="left"/>
        <w:rPr>
          <w:rFonts w:ascii="宋体" w:hAnsi="宋体" w:cs="宋体"/>
          <w:szCs w:val="21"/>
        </w:rPr>
      </w:pPr>
      <w:r>
        <w:rPr>
          <w:rFonts w:hint="eastAsia" w:ascii="宋体" w:hAnsi="宋体" w:cs="宋体"/>
          <w:szCs w:val="21"/>
        </w:rPr>
        <w:t>注：1.投标人应根据招标文件第二章“投标人须知”第3.5.1项的要求在本表后附相关证明材料。</w:t>
      </w:r>
    </w:p>
    <w:p>
      <w:pPr>
        <w:autoSpaceDE w:val="0"/>
        <w:autoSpaceDN w:val="0"/>
        <w:adjustRightInd w:val="0"/>
        <w:ind w:right="3"/>
        <w:jc w:val="center"/>
        <w:rPr>
          <w:rFonts w:ascii="宋体" w:hAnsi="宋体" w:cs="宋体"/>
          <w:b/>
          <w:sz w:val="32"/>
          <w:szCs w:val="32"/>
        </w:rPr>
      </w:pPr>
      <w:r>
        <w:rPr>
          <w:rFonts w:hint="eastAsia" w:ascii="宋体" w:hAnsi="宋体" w:cs="宋体"/>
          <w:szCs w:val="21"/>
        </w:rPr>
        <w:br w:type="page"/>
      </w:r>
      <w:r>
        <w:rPr>
          <w:rFonts w:hint="eastAsia" w:ascii="宋体" w:hAnsi="宋体" w:cs="宋体"/>
          <w:b/>
          <w:kern w:val="0"/>
          <w:sz w:val="28"/>
          <w:szCs w:val="28"/>
        </w:rPr>
        <w:t>（二）投标人企业组织机构框图</w:t>
      </w:r>
    </w:p>
    <w:tbl>
      <w:tblPr>
        <w:tblStyle w:val="40"/>
        <w:tblW w:w="924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242" w:type="dxa"/>
          </w:tcPr>
          <w:p/>
          <w:p>
            <w:r>
              <w:rPr>
                <w:rFonts w:hint="eastAsia"/>
              </w:rPr>
              <w:t>以框图方式表示。</w:t>
            </w:r>
          </w:p>
          <w:p/>
          <w:p/>
          <w:p/>
          <w:p/>
          <w:p/>
          <w:p/>
          <w:p/>
          <w:p/>
          <w:p/>
          <w:p/>
          <w:p/>
          <w:p/>
          <w:p/>
          <w:p/>
          <w:p/>
          <w:p/>
          <w:p/>
          <w:p/>
          <w:p/>
          <w:p/>
          <w:p/>
          <w:p/>
          <w:p/>
          <w:p/>
          <w:p/>
          <w:p/>
          <w:p/>
          <w:p/>
          <w:p/>
          <w:p/>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9242" w:type="dxa"/>
          </w:tcPr>
          <w:p/>
          <w:p>
            <w:r>
              <w:rPr>
                <w:rFonts w:hint="eastAsia"/>
              </w:rPr>
              <w:t>说明</w:t>
            </w:r>
          </w:p>
          <w:p/>
          <w:p/>
          <w:p/>
          <w:p/>
          <w:p/>
        </w:tc>
      </w:tr>
    </w:tbl>
    <w:p>
      <w:pPr>
        <w:autoSpaceDE w:val="0"/>
        <w:autoSpaceDN w:val="0"/>
        <w:adjustRightInd w:val="0"/>
        <w:spacing w:before="75" w:line="360" w:lineRule="auto"/>
        <w:ind w:left="16" w:right="171" w:hanging="16"/>
        <w:jc w:val="center"/>
        <w:rPr>
          <w:rFonts w:ascii="宋体" w:hAnsi="宋体" w:cs="宋体"/>
          <w:b/>
          <w:kern w:val="0"/>
          <w:sz w:val="28"/>
          <w:szCs w:val="28"/>
        </w:rPr>
      </w:pPr>
      <w:r>
        <w:br w:type="page"/>
      </w:r>
      <w:r>
        <w:rPr>
          <w:rFonts w:hint="eastAsia" w:ascii="宋体" w:hAnsi="宋体" w:cs="宋体"/>
          <w:b/>
          <w:spacing w:val="-1"/>
          <w:kern w:val="0"/>
          <w:position w:val="-2"/>
          <w:sz w:val="28"/>
          <w:szCs w:val="28"/>
        </w:rPr>
        <w:t>（</w:t>
      </w:r>
      <w:r>
        <w:rPr>
          <w:rFonts w:hint="eastAsia" w:ascii="宋体" w:hAnsi="宋体" w:cs="宋体"/>
          <w:b/>
          <w:kern w:val="0"/>
          <w:position w:val="-2"/>
          <w:sz w:val="28"/>
          <w:szCs w:val="28"/>
        </w:rPr>
        <w:t>三</w:t>
      </w:r>
      <w:r>
        <w:rPr>
          <w:rFonts w:hint="eastAsia" w:ascii="宋体" w:hAnsi="宋体" w:cs="宋体"/>
          <w:b/>
          <w:spacing w:val="-1"/>
          <w:kern w:val="0"/>
          <w:position w:val="-2"/>
          <w:sz w:val="28"/>
          <w:szCs w:val="28"/>
        </w:rPr>
        <w:t>）</w:t>
      </w:r>
      <w:r>
        <w:rPr>
          <w:rFonts w:hint="eastAsia" w:ascii="宋体" w:hAnsi="宋体" w:cs="宋体"/>
          <w:b/>
          <w:kern w:val="0"/>
          <w:position w:val="-2"/>
          <w:sz w:val="28"/>
          <w:szCs w:val="28"/>
        </w:rPr>
        <w:t>近年完成的类似</w:t>
      </w:r>
      <w:r>
        <w:rPr>
          <w:rFonts w:hint="eastAsia" w:ascii="宋体" w:hAnsi="宋体" w:cs="宋体"/>
          <w:b/>
          <w:spacing w:val="2"/>
          <w:kern w:val="0"/>
          <w:position w:val="-2"/>
          <w:sz w:val="28"/>
          <w:szCs w:val="28"/>
        </w:rPr>
        <w:t>项</w:t>
      </w:r>
      <w:r>
        <w:rPr>
          <w:rFonts w:hint="eastAsia" w:ascii="宋体" w:hAnsi="宋体" w:cs="宋体"/>
          <w:b/>
          <w:kern w:val="0"/>
          <w:position w:val="-2"/>
          <w:sz w:val="28"/>
          <w:szCs w:val="28"/>
        </w:rPr>
        <w:t>目情况表</w:t>
      </w:r>
    </w:p>
    <w:p>
      <w:pPr>
        <w:autoSpaceDE w:val="0"/>
        <w:autoSpaceDN w:val="0"/>
        <w:adjustRightInd w:val="0"/>
        <w:jc w:val="center"/>
        <w:rPr>
          <w:rFonts w:ascii="宋体" w:hAnsi="宋体" w:cs="宋体"/>
          <w:b/>
          <w:sz w:val="28"/>
          <w:szCs w:val="28"/>
        </w:rPr>
      </w:pPr>
    </w:p>
    <w:tbl>
      <w:tblPr>
        <w:tblStyle w:val="40"/>
        <w:tblW w:w="8821"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2366"/>
        <w:gridCol w:w="645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6" w:hRule="exact"/>
          <w:jc w:val="center"/>
        </w:trPr>
        <w:tc>
          <w:tcPr>
            <w:tcW w:w="2366" w:type="dxa"/>
            <w:vAlign w:val="center"/>
          </w:tcPr>
          <w:p>
            <w:pPr>
              <w:pStyle w:val="61"/>
              <w:tabs>
                <w:tab w:val="left" w:pos="1328"/>
              </w:tabs>
              <w:jc w:val="center"/>
              <w:rPr>
                <w:rFonts w:ascii="宋体" w:hAnsi="宋体" w:cs="宋体"/>
                <w:color w:val="000000"/>
                <w:szCs w:val="21"/>
              </w:rPr>
            </w:pPr>
            <w:r>
              <w:rPr>
                <w:rFonts w:hint="eastAsia" w:ascii="宋体" w:hAnsi="宋体" w:cs="宋体"/>
                <w:color w:val="000000"/>
                <w:szCs w:val="21"/>
              </w:rPr>
              <w:t>序号</w:t>
            </w:r>
          </w:p>
        </w:tc>
        <w:tc>
          <w:tcPr>
            <w:tcW w:w="6455" w:type="dxa"/>
            <w:vAlign w:val="center"/>
          </w:tcPr>
          <w:p>
            <w:pPr>
              <w:pStyle w:val="61"/>
              <w:ind w:left="763"/>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4" w:hRule="exact"/>
          <w:jc w:val="center"/>
        </w:trPr>
        <w:tc>
          <w:tcPr>
            <w:tcW w:w="2366" w:type="dxa"/>
            <w:vAlign w:val="center"/>
          </w:tcPr>
          <w:p>
            <w:pPr>
              <w:pStyle w:val="61"/>
              <w:jc w:val="center"/>
              <w:rPr>
                <w:rFonts w:ascii="宋体" w:hAnsi="宋体" w:cs="宋体"/>
                <w:color w:val="000000"/>
                <w:szCs w:val="21"/>
              </w:rPr>
            </w:pPr>
            <w:r>
              <w:rPr>
                <w:rFonts w:hint="eastAsia" w:ascii="宋体" w:hAnsi="宋体" w:cs="宋体"/>
                <w:color w:val="000000"/>
                <w:szCs w:val="21"/>
              </w:rPr>
              <w:t>项目名称</w:t>
            </w:r>
          </w:p>
        </w:tc>
        <w:tc>
          <w:tcPr>
            <w:tcW w:w="6455" w:type="dxa"/>
            <w:vAlign w:val="center"/>
          </w:tcPr>
          <w:p>
            <w:pPr>
              <w:pStyle w:val="61"/>
              <w:spacing w:before="3"/>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6" w:hRule="exact"/>
          <w:jc w:val="center"/>
        </w:trPr>
        <w:tc>
          <w:tcPr>
            <w:tcW w:w="2366" w:type="dxa"/>
            <w:vAlign w:val="center"/>
          </w:tcPr>
          <w:p>
            <w:pPr>
              <w:pStyle w:val="61"/>
              <w:tabs>
                <w:tab w:val="left" w:pos="2366"/>
              </w:tabs>
              <w:jc w:val="center"/>
              <w:rPr>
                <w:rFonts w:ascii="宋体" w:hAnsi="宋体" w:cs="宋体"/>
                <w:color w:val="000000"/>
                <w:szCs w:val="21"/>
              </w:rPr>
            </w:pPr>
            <w:r>
              <w:rPr>
                <w:rFonts w:hint="eastAsia" w:ascii="宋体" w:hAnsi="宋体" w:cs="宋体"/>
                <w:color w:val="000000"/>
                <w:szCs w:val="21"/>
              </w:rPr>
              <w:t>项日所在地</w:t>
            </w:r>
          </w:p>
        </w:tc>
        <w:tc>
          <w:tcPr>
            <w:tcW w:w="6455" w:type="dxa"/>
            <w:vAlign w:val="center"/>
          </w:tcPr>
          <w:p>
            <w:pPr>
              <w:pStyle w:val="61"/>
              <w:spacing w:before="8"/>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4" w:hRule="exact"/>
          <w:jc w:val="center"/>
        </w:trPr>
        <w:tc>
          <w:tcPr>
            <w:tcW w:w="2366" w:type="dxa"/>
            <w:vAlign w:val="center"/>
          </w:tcPr>
          <w:p>
            <w:pPr>
              <w:pStyle w:val="61"/>
              <w:tabs>
                <w:tab w:val="left" w:pos="2366"/>
              </w:tabs>
              <w:jc w:val="center"/>
              <w:rPr>
                <w:rFonts w:ascii="宋体" w:hAnsi="宋体" w:cs="宋体"/>
                <w:color w:val="000000"/>
                <w:szCs w:val="21"/>
              </w:rPr>
            </w:pPr>
            <w:r>
              <w:rPr>
                <w:rFonts w:hint="eastAsia" w:ascii="宋体" w:hAnsi="宋体" w:cs="宋体"/>
                <w:color w:val="000000"/>
                <w:szCs w:val="21"/>
              </w:rPr>
              <w:t>委托人名称</w:t>
            </w:r>
          </w:p>
        </w:tc>
        <w:tc>
          <w:tcPr>
            <w:tcW w:w="6455" w:type="dxa"/>
            <w:vAlign w:val="center"/>
          </w:tcPr>
          <w:p>
            <w:pPr>
              <w:pStyle w:val="61"/>
              <w:spacing w:before="6"/>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4" w:hRule="exact"/>
          <w:jc w:val="center"/>
        </w:trPr>
        <w:tc>
          <w:tcPr>
            <w:tcW w:w="2366" w:type="dxa"/>
            <w:vAlign w:val="center"/>
          </w:tcPr>
          <w:p>
            <w:pPr>
              <w:pStyle w:val="61"/>
              <w:tabs>
                <w:tab w:val="left" w:pos="2366"/>
              </w:tabs>
              <w:jc w:val="center"/>
              <w:rPr>
                <w:rFonts w:ascii="宋体" w:hAnsi="宋体" w:cs="宋体"/>
                <w:color w:val="000000"/>
                <w:szCs w:val="21"/>
              </w:rPr>
            </w:pPr>
            <w:r>
              <w:rPr>
                <w:rFonts w:hint="eastAsia" w:ascii="宋体" w:hAnsi="宋体" w:cs="宋体"/>
                <w:color w:val="000000"/>
                <w:szCs w:val="21"/>
              </w:rPr>
              <w:t>委托人地址</w:t>
            </w:r>
          </w:p>
        </w:tc>
        <w:tc>
          <w:tcPr>
            <w:tcW w:w="6455" w:type="dxa"/>
            <w:vAlign w:val="center"/>
          </w:tcPr>
          <w:p>
            <w:pPr>
              <w:pStyle w:val="61"/>
              <w:spacing w:before="11"/>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4" w:hRule="exact"/>
          <w:jc w:val="center"/>
        </w:trPr>
        <w:tc>
          <w:tcPr>
            <w:tcW w:w="2366" w:type="dxa"/>
            <w:vAlign w:val="center"/>
          </w:tcPr>
          <w:p>
            <w:pPr>
              <w:pStyle w:val="61"/>
              <w:tabs>
                <w:tab w:val="left" w:pos="2366"/>
              </w:tabs>
              <w:jc w:val="center"/>
              <w:rPr>
                <w:rFonts w:ascii="宋体" w:hAnsi="宋体" w:cs="宋体"/>
                <w:color w:val="000000"/>
                <w:szCs w:val="21"/>
              </w:rPr>
            </w:pPr>
            <w:r>
              <w:rPr>
                <w:rFonts w:hint="eastAsia" w:ascii="宋体" w:hAnsi="宋体" w:cs="宋体"/>
                <w:color w:val="000000"/>
                <w:szCs w:val="21"/>
              </w:rPr>
              <w:t>委托人电话</w:t>
            </w:r>
          </w:p>
        </w:tc>
        <w:tc>
          <w:tcPr>
            <w:tcW w:w="6455" w:type="dxa"/>
            <w:vAlign w:val="center"/>
          </w:tcPr>
          <w:p>
            <w:pPr>
              <w:pStyle w:val="61"/>
              <w:spacing w:before="6"/>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6" w:hRule="exact"/>
          <w:jc w:val="center"/>
        </w:trPr>
        <w:tc>
          <w:tcPr>
            <w:tcW w:w="2366" w:type="dxa"/>
            <w:vAlign w:val="center"/>
          </w:tcPr>
          <w:p>
            <w:pPr>
              <w:pStyle w:val="61"/>
              <w:ind w:left="763"/>
              <w:rPr>
                <w:rFonts w:ascii="宋体" w:hAnsi="宋体" w:cs="宋体"/>
                <w:color w:val="000000"/>
                <w:szCs w:val="21"/>
              </w:rPr>
            </w:pPr>
            <w:r>
              <w:rPr>
                <w:rFonts w:hint="eastAsia" w:ascii="宋体" w:hAnsi="宋体" w:cs="宋体"/>
                <w:color w:val="000000"/>
                <w:szCs w:val="21"/>
              </w:rPr>
              <w:t>项目等级</w:t>
            </w:r>
          </w:p>
        </w:tc>
        <w:tc>
          <w:tcPr>
            <w:tcW w:w="6455" w:type="dxa"/>
            <w:vAlign w:val="center"/>
          </w:tcPr>
          <w:p>
            <w:pPr>
              <w:pStyle w:val="61"/>
              <w:spacing w:before="11"/>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4" w:hRule="exact"/>
          <w:jc w:val="center"/>
        </w:trPr>
        <w:tc>
          <w:tcPr>
            <w:tcW w:w="2366" w:type="dxa"/>
            <w:vAlign w:val="center"/>
          </w:tcPr>
          <w:p>
            <w:pPr>
              <w:pStyle w:val="61"/>
              <w:jc w:val="center"/>
              <w:rPr>
                <w:rFonts w:ascii="宋体" w:hAnsi="宋体" w:cs="宋体"/>
                <w:color w:val="000000"/>
                <w:szCs w:val="21"/>
              </w:rPr>
            </w:pPr>
            <w:r>
              <w:rPr>
                <w:rFonts w:hint="eastAsia" w:ascii="宋体" w:hAnsi="宋体" w:cs="宋体"/>
                <w:color w:val="000000"/>
                <w:szCs w:val="21"/>
              </w:rPr>
              <w:t>项目总投资</w:t>
            </w:r>
          </w:p>
        </w:tc>
        <w:tc>
          <w:tcPr>
            <w:tcW w:w="6455" w:type="dxa"/>
            <w:vAlign w:val="center"/>
          </w:tcPr>
          <w:p>
            <w:pPr>
              <w:pStyle w:val="61"/>
              <w:spacing w:before="3"/>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6" w:hRule="exact"/>
          <w:jc w:val="center"/>
        </w:trPr>
        <w:tc>
          <w:tcPr>
            <w:tcW w:w="2366" w:type="dxa"/>
            <w:vAlign w:val="center"/>
          </w:tcPr>
          <w:p>
            <w:pPr>
              <w:pStyle w:val="61"/>
              <w:jc w:val="center"/>
              <w:rPr>
                <w:rFonts w:ascii="宋体" w:hAnsi="宋体" w:cs="宋体"/>
                <w:color w:val="000000"/>
                <w:szCs w:val="21"/>
              </w:rPr>
            </w:pPr>
            <w:r>
              <w:rPr>
                <w:rFonts w:hint="eastAsia" w:ascii="宋体" w:hAnsi="宋体" w:cs="宋体"/>
                <w:color w:val="000000"/>
                <w:szCs w:val="21"/>
              </w:rPr>
              <w:t>监理服务费</w:t>
            </w:r>
          </w:p>
        </w:tc>
        <w:tc>
          <w:tcPr>
            <w:tcW w:w="6455" w:type="dxa"/>
            <w:vAlign w:val="center"/>
          </w:tcPr>
          <w:p>
            <w:pPr>
              <w:pStyle w:val="61"/>
              <w:spacing w:before="8"/>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6" w:hRule="exact"/>
          <w:jc w:val="center"/>
        </w:trPr>
        <w:tc>
          <w:tcPr>
            <w:tcW w:w="2366" w:type="dxa"/>
            <w:vAlign w:val="center"/>
          </w:tcPr>
          <w:p>
            <w:pPr>
              <w:pStyle w:val="61"/>
              <w:jc w:val="center"/>
              <w:rPr>
                <w:rFonts w:ascii="宋体" w:hAnsi="宋体" w:cs="宋体"/>
                <w:color w:val="000000"/>
                <w:szCs w:val="21"/>
              </w:rPr>
            </w:pPr>
            <w:r>
              <w:rPr>
                <w:rFonts w:hint="eastAsia" w:ascii="宋体" w:hAnsi="宋体" w:cs="宋体"/>
                <w:color w:val="000000"/>
                <w:szCs w:val="21"/>
              </w:rPr>
              <w:t>监理服务期限</w:t>
            </w:r>
          </w:p>
        </w:tc>
        <w:tc>
          <w:tcPr>
            <w:tcW w:w="6455" w:type="dxa"/>
            <w:vAlign w:val="center"/>
          </w:tcPr>
          <w:p>
            <w:pPr>
              <w:pStyle w:val="61"/>
              <w:spacing w:before="6"/>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34" w:hRule="exact"/>
          <w:jc w:val="center"/>
        </w:trPr>
        <w:tc>
          <w:tcPr>
            <w:tcW w:w="2366" w:type="dxa"/>
            <w:vAlign w:val="center"/>
          </w:tcPr>
          <w:p>
            <w:pPr>
              <w:pStyle w:val="61"/>
              <w:ind w:left="763"/>
              <w:rPr>
                <w:rFonts w:ascii="宋体" w:hAnsi="宋体" w:cs="宋体"/>
                <w:color w:val="000000"/>
                <w:szCs w:val="21"/>
              </w:rPr>
            </w:pPr>
            <w:r>
              <w:rPr>
                <w:rFonts w:hint="eastAsia" w:ascii="宋体" w:hAnsi="宋体" w:cs="宋体"/>
                <w:color w:val="000000"/>
                <w:szCs w:val="21"/>
              </w:rPr>
              <w:t>监理内容</w:t>
            </w:r>
          </w:p>
        </w:tc>
        <w:tc>
          <w:tcPr>
            <w:tcW w:w="6455" w:type="dxa"/>
            <w:vAlign w:val="center"/>
          </w:tcPr>
          <w:p>
            <w:pPr>
              <w:pStyle w:val="61"/>
              <w:spacing w:before="3"/>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811" w:hRule="exact"/>
          <w:jc w:val="center"/>
        </w:trPr>
        <w:tc>
          <w:tcPr>
            <w:tcW w:w="2366" w:type="dxa"/>
            <w:vAlign w:val="center"/>
          </w:tcPr>
          <w:p>
            <w:pPr>
              <w:pStyle w:val="61"/>
              <w:spacing w:before="17" w:line="398" w:lineRule="exact"/>
              <w:ind w:left="36" w:hanging="18"/>
              <w:jc w:val="center"/>
              <w:rPr>
                <w:rFonts w:ascii="宋体" w:hAnsi="宋体" w:cs="宋体"/>
                <w:color w:val="000000"/>
                <w:szCs w:val="21"/>
              </w:rPr>
            </w:pPr>
            <w:r>
              <w:rPr>
                <w:rFonts w:hint="eastAsia" w:ascii="宋体" w:hAnsi="宋体" w:cs="宋体"/>
                <w:color w:val="000000"/>
                <w:szCs w:val="21"/>
              </w:rPr>
              <w:t>总监理工程师</w:t>
            </w:r>
          </w:p>
        </w:tc>
        <w:tc>
          <w:tcPr>
            <w:tcW w:w="6455" w:type="dxa"/>
            <w:vAlign w:val="center"/>
          </w:tcPr>
          <w:p>
            <w:pPr>
              <w:pStyle w:val="61"/>
              <w:spacing w:before="17" w:line="398" w:lineRule="exact"/>
              <w:ind w:left="763" w:right="119" w:hanging="634"/>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1447" w:hRule="exact"/>
          <w:jc w:val="center"/>
        </w:trPr>
        <w:tc>
          <w:tcPr>
            <w:tcW w:w="2366" w:type="dxa"/>
            <w:vAlign w:val="center"/>
          </w:tcPr>
          <w:p>
            <w:pPr>
              <w:pStyle w:val="61"/>
              <w:ind w:left="763"/>
              <w:rPr>
                <w:rFonts w:ascii="宋体" w:hAnsi="宋体" w:cs="宋体"/>
                <w:color w:val="000000"/>
                <w:szCs w:val="21"/>
              </w:rPr>
            </w:pPr>
            <w:r>
              <w:rPr>
                <w:rFonts w:hint="eastAsia" w:ascii="宋体" w:hAnsi="宋体" w:cs="宋体"/>
                <w:color w:val="000000"/>
                <w:szCs w:val="21"/>
              </w:rPr>
              <w:t>项目描述</w:t>
            </w:r>
          </w:p>
        </w:tc>
        <w:tc>
          <w:tcPr>
            <w:tcW w:w="6455" w:type="dxa"/>
            <w:vAlign w:val="center"/>
          </w:tcPr>
          <w:p>
            <w:pPr>
              <w:pStyle w:val="61"/>
              <w:jc w:val="center"/>
              <w:rPr>
                <w:rFonts w:ascii="宋体" w:hAnsi="宋体" w:cs="宋体"/>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814" w:hRule="exact"/>
          <w:jc w:val="center"/>
        </w:trPr>
        <w:tc>
          <w:tcPr>
            <w:tcW w:w="2366" w:type="dxa"/>
            <w:vAlign w:val="center"/>
          </w:tcPr>
          <w:p>
            <w:pPr>
              <w:pStyle w:val="61"/>
              <w:ind w:left="14"/>
              <w:jc w:val="center"/>
              <w:rPr>
                <w:rFonts w:ascii="宋体" w:hAnsi="宋体" w:cs="宋体"/>
                <w:color w:val="000000"/>
                <w:szCs w:val="21"/>
              </w:rPr>
            </w:pPr>
            <w:r>
              <w:rPr>
                <w:rFonts w:hint="eastAsia" w:ascii="宋体" w:hAnsi="宋体" w:cs="宋体"/>
                <w:color w:val="000000"/>
                <w:szCs w:val="21"/>
              </w:rPr>
              <w:t>备注</w:t>
            </w:r>
          </w:p>
        </w:tc>
        <w:tc>
          <w:tcPr>
            <w:tcW w:w="6455" w:type="dxa"/>
            <w:vAlign w:val="center"/>
          </w:tcPr>
          <w:p>
            <w:pPr>
              <w:pStyle w:val="61"/>
              <w:spacing w:before="1"/>
              <w:jc w:val="center"/>
              <w:rPr>
                <w:rFonts w:ascii="宋体" w:hAnsi="宋体" w:cs="宋体"/>
                <w:color w:val="000000"/>
                <w:szCs w:val="21"/>
              </w:rPr>
            </w:pPr>
          </w:p>
        </w:tc>
      </w:tr>
    </w:tbl>
    <w:p>
      <w:pPr>
        <w:tabs>
          <w:tab w:val="left" w:pos="2400"/>
        </w:tabs>
        <w:autoSpaceDE w:val="0"/>
        <w:autoSpaceDN w:val="0"/>
        <w:adjustRightInd w:val="0"/>
        <w:spacing w:before="57"/>
        <w:ind w:right="-86" w:rightChars="-41"/>
        <w:jc w:val="center"/>
        <w:rPr>
          <w:rFonts w:ascii="宋体" w:hAnsi="宋体" w:cs="宋体"/>
          <w:kern w:val="0"/>
          <w:szCs w:val="21"/>
        </w:rPr>
      </w:pPr>
    </w:p>
    <w:p>
      <w:pPr>
        <w:ind w:leftChars="-67" w:hanging="140" w:hangingChars="67"/>
        <w:rPr>
          <w:rFonts w:ascii="宋体" w:hAnsi="宋体" w:cs="宋体"/>
        </w:rPr>
      </w:pPr>
      <w:r>
        <w:rPr>
          <w:rFonts w:hint="eastAsia" w:ascii="宋体" w:hAnsi="宋体" w:cs="宋体"/>
        </w:rPr>
        <w:t>注：1.每张表格只填写一个项目，并标明序号。</w:t>
      </w:r>
    </w:p>
    <w:p>
      <w:pPr>
        <w:ind w:firstLine="283" w:firstLineChars="135"/>
        <w:rPr>
          <w:rFonts w:ascii="宋体" w:hAnsi="宋体" w:cs="宋体"/>
          <w:szCs w:val="21"/>
        </w:rPr>
      </w:pPr>
      <w:r>
        <w:rPr>
          <w:rFonts w:hint="eastAsia" w:ascii="宋体" w:hAnsi="宋体" w:cs="宋体"/>
        </w:rPr>
        <w:t>2.</w:t>
      </w:r>
      <w:r>
        <w:rPr>
          <w:rFonts w:hint="eastAsia" w:ascii="宋体" w:hAnsi="宋体" w:cs="宋体"/>
          <w:szCs w:val="21"/>
        </w:rPr>
        <w:t>投标人应根据招标文件第二章“投标人须知”第3.5.2项的要求在本表后附相关证明材料。</w:t>
      </w:r>
    </w:p>
    <w:p>
      <w:pPr>
        <w:tabs>
          <w:tab w:val="left" w:pos="2400"/>
        </w:tabs>
        <w:autoSpaceDE w:val="0"/>
        <w:autoSpaceDN w:val="0"/>
        <w:adjustRightInd w:val="0"/>
        <w:spacing w:before="57"/>
        <w:ind w:right="-86" w:rightChars="-41" w:firstLine="315" w:firstLineChars="150"/>
        <w:jc w:val="left"/>
        <w:rPr>
          <w:rFonts w:ascii="宋体" w:hAnsi="宋体" w:cs="宋体"/>
          <w:spacing w:val="-2"/>
          <w:kern w:val="0"/>
          <w:szCs w:val="21"/>
        </w:rPr>
      </w:pPr>
      <w:r>
        <w:rPr>
          <w:rFonts w:hint="eastAsia" w:ascii="宋体" w:hAnsi="宋体" w:cs="宋体"/>
        </w:rPr>
        <w:t>3.如近年来，投标人法人机构发生合法变更或重组或法人名称变更时，应提供相关部门的合法批件或其他相关证明材料来证明其所附业绩的继承性。</w:t>
      </w:r>
    </w:p>
    <w:p>
      <w:pPr>
        <w:autoSpaceDE w:val="0"/>
        <w:autoSpaceDN w:val="0"/>
        <w:adjustRightInd w:val="0"/>
        <w:spacing w:before="75" w:line="360" w:lineRule="auto"/>
        <w:ind w:left="16" w:right="171" w:hanging="16"/>
        <w:jc w:val="center"/>
        <w:rPr>
          <w:rFonts w:ascii="宋体" w:hAnsi="宋体" w:cs="宋体"/>
          <w:bCs/>
          <w:szCs w:val="32"/>
        </w:rPr>
      </w:pPr>
      <w:r>
        <w:rPr>
          <w:rFonts w:hint="eastAsia" w:ascii="宋体" w:hAnsi="宋体" w:cs="宋体"/>
        </w:rPr>
        <w:br w:type="page"/>
      </w:r>
      <w:bookmarkStart w:id="56" w:name="_Toc508797000"/>
      <w:r>
        <w:rPr>
          <w:rFonts w:hint="eastAsia" w:ascii="宋体" w:hAnsi="宋体" w:cs="宋体"/>
          <w:b/>
          <w:spacing w:val="-1"/>
          <w:kern w:val="0"/>
          <w:position w:val="-2"/>
          <w:sz w:val="28"/>
          <w:szCs w:val="28"/>
        </w:rPr>
        <w:t>（四）投标人的信誉情况</w:t>
      </w:r>
      <w:bookmarkEnd w:id="56"/>
      <w:r>
        <w:rPr>
          <w:rFonts w:hint="eastAsia" w:ascii="宋体" w:hAnsi="宋体" w:cs="宋体"/>
          <w:b/>
          <w:spacing w:val="-1"/>
          <w:kern w:val="0"/>
          <w:position w:val="-2"/>
          <w:sz w:val="28"/>
          <w:szCs w:val="28"/>
        </w:rPr>
        <w:t>表</w:t>
      </w:r>
    </w:p>
    <w:tbl>
      <w:tblPr>
        <w:tblStyle w:val="40"/>
        <w:tblW w:w="913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39"/>
        <w:gridCol w:w="53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3" w:hRule="atLeast"/>
          <w:jc w:val="center"/>
        </w:trPr>
        <w:tc>
          <w:tcPr>
            <w:tcW w:w="3739" w:type="dxa"/>
            <w:vAlign w:val="center"/>
          </w:tcPr>
          <w:p>
            <w:pPr>
              <w:jc w:val="center"/>
              <w:rPr>
                <w:rFonts w:ascii="宋体" w:hAnsi="宋体" w:cs="宋体"/>
                <w:sz w:val="24"/>
              </w:rPr>
            </w:pPr>
            <w:r>
              <w:rPr>
                <w:rFonts w:hint="eastAsia" w:ascii="宋体" w:hAnsi="宋体" w:cs="宋体"/>
                <w:sz w:val="24"/>
              </w:rPr>
              <w:t>项  目</w:t>
            </w:r>
          </w:p>
        </w:tc>
        <w:tc>
          <w:tcPr>
            <w:tcW w:w="5393" w:type="dxa"/>
            <w:vAlign w:val="center"/>
          </w:tcPr>
          <w:p>
            <w:pPr>
              <w:jc w:val="center"/>
              <w:rPr>
                <w:rFonts w:ascii="宋体" w:hAnsi="宋体" w:cs="宋体"/>
                <w:sz w:val="24"/>
              </w:rPr>
            </w:pPr>
            <w:r>
              <w:rPr>
                <w:rFonts w:hint="eastAsia" w:ascii="宋体" w:hAnsi="宋体" w:cs="宋体"/>
                <w:sz w:val="24"/>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3739" w:type="dxa"/>
            <w:vAlign w:val="center"/>
          </w:tcPr>
          <w:p>
            <w:pPr>
              <w:rPr>
                <w:rFonts w:ascii="宋体" w:hAnsi="宋体" w:cs="宋体"/>
                <w:sz w:val="24"/>
              </w:rPr>
            </w:pPr>
          </w:p>
        </w:tc>
        <w:tc>
          <w:tcPr>
            <w:tcW w:w="5393" w:type="dxa"/>
            <w:vAlign w:val="center"/>
          </w:tcPr>
          <w:p>
            <w:pP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3739" w:type="dxa"/>
            <w:vAlign w:val="center"/>
          </w:tcPr>
          <w:p>
            <w:pPr>
              <w:rPr>
                <w:rFonts w:ascii="宋体" w:hAnsi="宋体" w:cs="宋体"/>
                <w:sz w:val="24"/>
              </w:rPr>
            </w:pPr>
          </w:p>
        </w:tc>
        <w:tc>
          <w:tcPr>
            <w:tcW w:w="5393" w:type="dxa"/>
            <w:vAlign w:val="center"/>
          </w:tcPr>
          <w:p>
            <w:pP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3739" w:type="dxa"/>
            <w:vAlign w:val="center"/>
          </w:tcPr>
          <w:p>
            <w:pPr>
              <w:rPr>
                <w:rFonts w:ascii="宋体" w:hAnsi="宋体" w:cs="宋体"/>
                <w:sz w:val="24"/>
              </w:rPr>
            </w:pPr>
          </w:p>
        </w:tc>
        <w:tc>
          <w:tcPr>
            <w:tcW w:w="5393" w:type="dxa"/>
            <w:vAlign w:val="center"/>
          </w:tcPr>
          <w:p>
            <w:pP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3739" w:type="dxa"/>
            <w:vAlign w:val="center"/>
          </w:tcPr>
          <w:p>
            <w:pPr>
              <w:rPr>
                <w:rFonts w:ascii="宋体" w:hAnsi="宋体" w:cs="宋体"/>
                <w:sz w:val="24"/>
              </w:rPr>
            </w:pPr>
          </w:p>
        </w:tc>
        <w:tc>
          <w:tcPr>
            <w:tcW w:w="5393" w:type="dxa"/>
            <w:vAlign w:val="center"/>
          </w:tcPr>
          <w:p>
            <w:pP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34" w:hRule="exact"/>
          <w:jc w:val="center"/>
        </w:trPr>
        <w:tc>
          <w:tcPr>
            <w:tcW w:w="3739" w:type="dxa"/>
            <w:vAlign w:val="center"/>
          </w:tcPr>
          <w:p>
            <w:pPr>
              <w:rPr>
                <w:rFonts w:ascii="宋体" w:hAnsi="宋体" w:cs="宋体"/>
                <w:sz w:val="24"/>
              </w:rPr>
            </w:pPr>
          </w:p>
        </w:tc>
        <w:tc>
          <w:tcPr>
            <w:tcW w:w="5393" w:type="dxa"/>
            <w:vAlign w:val="center"/>
          </w:tcPr>
          <w:p>
            <w:pPr>
              <w:rPr>
                <w:rFonts w:ascii="宋体" w:hAnsi="宋体" w:cs="宋体"/>
                <w:sz w:val="24"/>
              </w:rPr>
            </w:pPr>
          </w:p>
          <w:p>
            <w:pPr>
              <w:rPr>
                <w:rFonts w:ascii="宋体" w:hAnsi="宋体" w:cs="宋体"/>
                <w:sz w:val="24"/>
              </w:rPr>
            </w:pPr>
          </w:p>
        </w:tc>
      </w:tr>
    </w:tbl>
    <w:p>
      <w:pPr>
        <w:ind w:firstLine="420" w:firstLineChars="200"/>
        <w:rPr>
          <w:rFonts w:ascii="宋体" w:hAnsi="宋体" w:cs="宋体"/>
          <w:szCs w:val="21"/>
        </w:rPr>
      </w:pPr>
    </w:p>
    <w:p>
      <w:pPr>
        <w:spacing w:line="360" w:lineRule="auto"/>
        <w:ind w:left="420" w:hanging="420" w:hangingChars="200"/>
        <w:rPr>
          <w:rFonts w:ascii="宋体" w:hAnsi="宋体" w:cs="宋体"/>
        </w:rPr>
      </w:pPr>
      <w:r>
        <w:rPr>
          <w:rFonts w:hint="eastAsia" w:ascii="宋体" w:hAnsi="宋体" w:cs="宋体"/>
        </w:rPr>
        <w:t>注：1.投标人应根据招标文件第二章“投标人须知”前附表附录3和“投标人须知”正文第1.4.4项规定，逐条说明其信誉情况。</w:t>
      </w:r>
    </w:p>
    <w:p>
      <w:pPr>
        <w:autoSpaceDE w:val="0"/>
        <w:autoSpaceDN w:val="0"/>
        <w:adjustRightInd w:val="0"/>
        <w:spacing w:before="75" w:line="360" w:lineRule="auto"/>
        <w:ind w:left="16" w:right="171" w:hanging="16"/>
        <w:jc w:val="left"/>
        <w:rPr>
          <w:rFonts w:ascii="宋体" w:hAnsi="宋体" w:cs="宋体"/>
        </w:rPr>
      </w:pPr>
      <w:r>
        <w:rPr>
          <w:rFonts w:hint="eastAsia" w:ascii="宋体" w:hAnsi="宋体" w:cs="宋体"/>
        </w:rPr>
        <w:t xml:space="preserve">    2.投标人应根据招标文件第二章“投标人须知”第3.5.3项的要求在本表后附相关证明材料。</w:t>
      </w:r>
    </w:p>
    <w:p>
      <w:pPr>
        <w:autoSpaceDE w:val="0"/>
        <w:autoSpaceDN w:val="0"/>
        <w:adjustRightInd w:val="0"/>
        <w:spacing w:before="75" w:line="360" w:lineRule="auto"/>
        <w:ind w:left="16" w:right="171" w:hanging="16"/>
        <w:jc w:val="center"/>
        <w:rPr>
          <w:rFonts w:ascii="宋体" w:hAnsi="宋体" w:cs="宋体"/>
          <w:b/>
          <w:kern w:val="0"/>
          <w:position w:val="-3"/>
          <w:sz w:val="28"/>
          <w:szCs w:val="28"/>
        </w:rPr>
      </w:pPr>
      <w:r>
        <w:rPr>
          <w:rFonts w:hint="eastAsia" w:ascii="宋体" w:hAnsi="宋体" w:cs="宋体"/>
        </w:rPr>
        <w:br w:type="page"/>
      </w:r>
      <w:r>
        <w:rPr>
          <w:rFonts w:hint="eastAsia" w:ascii="宋体" w:hAnsi="宋体" w:cs="宋体"/>
          <w:b/>
          <w:kern w:val="0"/>
          <w:position w:val="-3"/>
          <w:sz w:val="28"/>
          <w:szCs w:val="28"/>
        </w:rPr>
        <w:t>（五）拟委任的总监理工程师或驻地监理工程师资历表</w:t>
      </w:r>
    </w:p>
    <w:p>
      <w:pPr>
        <w:autoSpaceDE w:val="0"/>
        <w:autoSpaceDN w:val="0"/>
        <w:adjustRightInd w:val="0"/>
        <w:spacing w:line="300" w:lineRule="exact"/>
        <w:ind w:right="3"/>
        <w:jc w:val="center"/>
        <w:rPr>
          <w:rFonts w:ascii="黑体" w:eastAsia="黑体" w:cs="黑体"/>
          <w:b/>
          <w:kern w:val="0"/>
          <w:position w:val="-3"/>
          <w:sz w:val="28"/>
          <w:szCs w:val="28"/>
        </w:rPr>
      </w:pPr>
    </w:p>
    <w:tbl>
      <w:tblPr>
        <w:tblStyle w:val="40"/>
        <w:tblW w:w="936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6"/>
        <w:gridCol w:w="1333"/>
        <w:gridCol w:w="389"/>
        <w:gridCol w:w="1363"/>
        <w:gridCol w:w="1835"/>
        <w:gridCol w:w="1843"/>
        <w:gridCol w:w="13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1" w:hRule="atLeast"/>
          <w:jc w:val="center"/>
        </w:trPr>
        <w:tc>
          <w:tcPr>
            <w:tcW w:w="1246" w:type="dxa"/>
            <w:vAlign w:val="center"/>
          </w:tcPr>
          <w:p>
            <w:pPr>
              <w:tabs>
                <w:tab w:val="left" w:pos="3960"/>
              </w:tabs>
              <w:spacing w:afterLines="50" w:line="400" w:lineRule="exact"/>
              <w:jc w:val="center"/>
              <w:rPr>
                <w:szCs w:val="21"/>
              </w:rPr>
            </w:pPr>
            <w:r>
              <w:rPr>
                <w:rFonts w:hint="eastAsia"/>
                <w:szCs w:val="21"/>
              </w:rPr>
              <w:t>姓  名</w:t>
            </w:r>
          </w:p>
        </w:tc>
        <w:tc>
          <w:tcPr>
            <w:tcW w:w="1722" w:type="dxa"/>
            <w:gridSpan w:val="2"/>
            <w:vAlign w:val="center"/>
          </w:tcPr>
          <w:p>
            <w:pPr>
              <w:tabs>
                <w:tab w:val="left" w:pos="3960"/>
              </w:tabs>
              <w:spacing w:afterLines="50" w:line="400" w:lineRule="exact"/>
              <w:jc w:val="center"/>
              <w:rPr>
                <w:szCs w:val="21"/>
              </w:rPr>
            </w:pPr>
          </w:p>
        </w:tc>
        <w:tc>
          <w:tcPr>
            <w:tcW w:w="1363" w:type="dxa"/>
            <w:vAlign w:val="center"/>
          </w:tcPr>
          <w:p>
            <w:pPr>
              <w:tabs>
                <w:tab w:val="left" w:pos="3960"/>
              </w:tabs>
              <w:spacing w:afterLines="50" w:line="400" w:lineRule="exact"/>
              <w:jc w:val="center"/>
              <w:rPr>
                <w:szCs w:val="21"/>
              </w:rPr>
            </w:pPr>
            <w:r>
              <w:rPr>
                <w:rFonts w:hint="eastAsia"/>
                <w:szCs w:val="21"/>
              </w:rPr>
              <w:t>年  龄</w:t>
            </w:r>
          </w:p>
        </w:tc>
        <w:tc>
          <w:tcPr>
            <w:tcW w:w="1835" w:type="dxa"/>
            <w:vAlign w:val="center"/>
          </w:tcPr>
          <w:p>
            <w:pPr>
              <w:tabs>
                <w:tab w:val="left" w:pos="3960"/>
              </w:tabs>
              <w:spacing w:afterLines="50" w:line="400" w:lineRule="exact"/>
              <w:jc w:val="center"/>
              <w:rPr>
                <w:szCs w:val="21"/>
              </w:rPr>
            </w:pPr>
          </w:p>
        </w:tc>
        <w:tc>
          <w:tcPr>
            <w:tcW w:w="1843" w:type="dxa"/>
            <w:vAlign w:val="center"/>
          </w:tcPr>
          <w:p>
            <w:pPr>
              <w:tabs>
                <w:tab w:val="left" w:pos="3960"/>
              </w:tabs>
              <w:spacing w:afterLines="50" w:line="400" w:lineRule="exact"/>
              <w:jc w:val="center"/>
              <w:rPr>
                <w:szCs w:val="21"/>
              </w:rPr>
            </w:pPr>
            <w:r>
              <w:rPr>
                <w:rFonts w:hint="eastAsia"/>
                <w:szCs w:val="21"/>
              </w:rPr>
              <w:t>执业或职业资格证书名称</w:t>
            </w:r>
          </w:p>
        </w:tc>
        <w:tc>
          <w:tcPr>
            <w:tcW w:w="1355" w:type="dxa"/>
            <w:vAlign w:val="center"/>
          </w:tcPr>
          <w:p>
            <w:pPr>
              <w:tabs>
                <w:tab w:val="left" w:pos="3960"/>
              </w:tabs>
              <w:spacing w:afterLines="50" w:line="40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4" w:hRule="atLeast"/>
          <w:jc w:val="center"/>
        </w:trPr>
        <w:tc>
          <w:tcPr>
            <w:tcW w:w="1246" w:type="dxa"/>
            <w:vAlign w:val="center"/>
          </w:tcPr>
          <w:p>
            <w:pPr>
              <w:tabs>
                <w:tab w:val="left" w:pos="3960"/>
              </w:tabs>
              <w:spacing w:line="400" w:lineRule="exact"/>
              <w:jc w:val="center"/>
              <w:rPr>
                <w:szCs w:val="21"/>
              </w:rPr>
            </w:pPr>
            <w:r>
              <w:rPr>
                <w:rFonts w:hint="eastAsia"/>
                <w:szCs w:val="21"/>
              </w:rPr>
              <w:t>技术职称</w:t>
            </w:r>
          </w:p>
        </w:tc>
        <w:tc>
          <w:tcPr>
            <w:tcW w:w="1722" w:type="dxa"/>
            <w:gridSpan w:val="2"/>
            <w:vAlign w:val="center"/>
          </w:tcPr>
          <w:p>
            <w:pPr>
              <w:tabs>
                <w:tab w:val="left" w:pos="3960"/>
              </w:tabs>
              <w:spacing w:line="400" w:lineRule="exact"/>
              <w:jc w:val="center"/>
              <w:rPr>
                <w:szCs w:val="21"/>
              </w:rPr>
            </w:pPr>
          </w:p>
        </w:tc>
        <w:tc>
          <w:tcPr>
            <w:tcW w:w="1363" w:type="dxa"/>
            <w:vAlign w:val="center"/>
          </w:tcPr>
          <w:p>
            <w:pPr>
              <w:tabs>
                <w:tab w:val="left" w:pos="3960"/>
              </w:tabs>
              <w:spacing w:line="400" w:lineRule="exact"/>
              <w:jc w:val="center"/>
              <w:rPr>
                <w:szCs w:val="21"/>
              </w:rPr>
            </w:pPr>
            <w:r>
              <w:rPr>
                <w:rFonts w:hint="eastAsia"/>
                <w:szCs w:val="21"/>
              </w:rPr>
              <w:t xml:space="preserve">学  历 </w:t>
            </w:r>
          </w:p>
        </w:tc>
        <w:tc>
          <w:tcPr>
            <w:tcW w:w="1835" w:type="dxa"/>
            <w:vAlign w:val="center"/>
          </w:tcPr>
          <w:p>
            <w:pPr>
              <w:tabs>
                <w:tab w:val="left" w:pos="3960"/>
              </w:tabs>
              <w:spacing w:line="400" w:lineRule="exact"/>
              <w:jc w:val="center"/>
              <w:rPr>
                <w:szCs w:val="21"/>
              </w:rPr>
            </w:pPr>
          </w:p>
        </w:tc>
        <w:tc>
          <w:tcPr>
            <w:tcW w:w="1843" w:type="dxa"/>
            <w:vAlign w:val="center"/>
          </w:tcPr>
          <w:p>
            <w:pPr>
              <w:tabs>
                <w:tab w:val="left" w:pos="3960"/>
              </w:tabs>
              <w:spacing w:line="400" w:lineRule="exact"/>
              <w:jc w:val="center"/>
              <w:rPr>
                <w:szCs w:val="21"/>
              </w:rPr>
            </w:pPr>
            <w:r>
              <w:rPr>
                <w:rFonts w:hint="eastAsia"/>
                <w:szCs w:val="21"/>
              </w:rPr>
              <w:t>拟在本标段</w:t>
            </w:r>
          </w:p>
          <w:p>
            <w:pPr>
              <w:tabs>
                <w:tab w:val="left" w:pos="3960"/>
              </w:tabs>
              <w:spacing w:line="400" w:lineRule="exact"/>
              <w:jc w:val="center"/>
              <w:rPr>
                <w:szCs w:val="21"/>
              </w:rPr>
            </w:pPr>
            <w:r>
              <w:rPr>
                <w:rFonts w:hint="eastAsia"/>
                <w:szCs w:val="21"/>
              </w:rPr>
              <w:t>工程任职</w:t>
            </w:r>
          </w:p>
        </w:tc>
        <w:tc>
          <w:tcPr>
            <w:tcW w:w="1355" w:type="dxa"/>
            <w:vAlign w:val="center"/>
          </w:tcPr>
          <w:p>
            <w:pPr>
              <w:tabs>
                <w:tab w:val="left" w:pos="3960"/>
              </w:tabs>
              <w:spacing w:afterLines="50" w:line="40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4" w:hRule="atLeast"/>
          <w:jc w:val="center"/>
        </w:trPr>
        <w:tc>
          <w:tcPr>
            <w:tcW w:w="1246" w:type="dxa"/>
            <w:vAlign w:val="center"/>
          </w:tcPr>
          <w:p>
            <w:pPr>
              <w:tabs>
                <w:tab w:val="left" w:pos="3960"/>
              </w:tabs>
              <w:spacing w:line="400" w:lineRule="exact"/>
              <w:jc w:val="center"/>
              <w:rPr>
                <w:szCs w:val="21"/>
              </w:rPr>
            </w:pPr>
            <w:r>
              <w:rPr>
                <w:rFonts w:hint="eastAsia"/>
                <w:szCs w:val="21"/>
              </w:rPr>
              <w:t>工作年限</w:t>
            </w:r>
          </w:p>
        </w:tc>
        <w:tc>
          <w:tcPr>
            <w:tcW w:w="4920" w:type="dxa"/>
            <w:gridSpan w:val="4"/>
            <w:vAlign w:val="center"/>
          </w:tcPr>
          <w:p>
            <w:pPr>
              <w:tabs>
                <w:tab w:val="left" w:pos="3960"/>
              </w:tabs>
              <w:spacing w:line="400" w:lineRule="exact"/>
              <w:jc w:val="center"/>
              <w:rPr>
                <w:szCs w:val="21"/>
              </w:rPr>
            </w:pPr>
          </w:p>
        </w:tc>
        <w:tc>
          <w:tcPr>
            <w:tcW w:w="1843" w:type="dxa"/>
            <w:vAlign w:val="center"/>
          </w:tcPr>
          <w:p>
            <w:pPr>
              <w:tabs>
                <w:tab w:val="left" w:pos="3960"/>
              </w:tabs>
              <w:spacing w:line="400" w:lineRule="exact"/>
              <w:jc w:val="center"/>
              <w:rPr>
                <w:szCs w:val="21"/>
              </w:rPr>
            </w:pPr>
            <w:r>
              <w:rPr>
                <w:rFonts w:hint="eastAsia"/>
                <w:szCs w:val="21"/>
              </w:rPr>
              <w:t>从事监理</w:t>
            </w:r>
          </w:p>
          <w:p>
            <w:pPr>
              <w:tabs>
                <w:tab w:val="left" w:pos="3960"/>
              </w:tabs>
              <w:spacing w:line="400" w:lineRule="exact"/>
              <w:jc w:val="center"/>
              <w:rPr>
                <w:szCs w:val="21"/>
              </w:rPr>
            </w:pPr>
            <w:r>
              <w:rPr>
                <w:rFonts w:hint="eastAsia"/>
                <w:szCs w:val="21"/>
              </w:rPr>
              <w:t>工作年限</w:t>
            </w:r>
          </w:p>
        </w:tc>
        <w:tc>
          <w:tcPr>
            <w:tcW w:w="1355" w:type="dxa"/>
            <w:vAlign w:val="center"/>
          </w:tcPr>
          <w:p>
            <w:pPr>
              <w:tabs>
                <w:tab w:val="left" w:pos="3960"/>
              </w:tabs>
              <w:spacing w:afterLines="50" w:line="40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1" w:hRule="atLeast"/>
          <w:jc w:val="center"/>
        </w:trPr>
        <w:tc>
          <w:tcPr>
            <w:tcW w:w="1246" w:type="dxa"/>
            <w:vAlign w:val="center"/>
          </w:tcPr>
          <w:p>
            <w:pPr>
              <w:tabs>
                <w:tab w:val="left" w:pos="3960"/>
              </w:tabs>
              <w:spacing w:afterLines="50" w:line="400" w:lineRule="exact"/>
              <w:jc w:val="center"/>
              <w:rPr>
                <w:szCs w:val="21"/>
              </w:rPr>
            </w:pPr>
            <w:r>
              <w:rPr>
                <w:rFonts w:hint="eastAsia"/>
                <w:szCs w:val="21"/>
              </w:rPr>
              <w:t>毕业学校</w:t>
            </w:r>
          </w:p>
        </w:tc>
        <w:tc>
          <w:tcPr>
            <w:tcW w:w="8118" w:type="dxa"/>
            <w:gridSpan w:val="6"/>
            <w:vAlign w:val="center"/>
          </w:tcPr>
          <w:p>
            <w:pPr>
              <w:tabs>
                <w:tab w:val="left" w:pos="3960"/>
              </w:tabs>
              <w:spacing w:afterLines="50" w:line="400" w:lineRule="exact"/>
              <w:jc w:val="center"/>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月毕业于</w:t>
            </w:r>
            <w:r>
              <w:rPr>
                <w:rFonts w:hint="eastAsia"/>
                <w:szCs w:val="21"/>
                <w:u w:val="single"/>
              </w:rPr>
              <w:t xml:space="preserve">                  </w:t>
            </w:r>
            <w:r>
              <w:rPr>
                <w:rFonts w:hint="eastAsia"/>
                <w:szCs w:val="21"/>
              </w:rPr>
              <w:t>学校</w:t>
            </w:r>
            <w:r>
              <w:rPr>
                <w:rFonts w:hint="eastAsia"/>
                <w:szCs w:val="21"/>
                <w:u w:val="single"/>
              </w:rPr>
              <w:t xml:space="preserve">           </w:t>
            </w:r>
            <w:r>
              <w:rPr>
                <w:rFonts w:hint="eastAsia"/>
                <w:szCs w:val="21"/>
              </w:rPr>
              <w:t>专业，学制</w:t>
            </w:r>
            <w:r>
              <w:rPr>
                <w:rFonts w:hint="eastAsia"/>
                <w:szCs w:val="21"/>
                <w:u w:val="single"/>
              </w:rPr>
              <w:t xml:space="preserve">    </w:t>
            </w:r>
            <w:r>
              <w:rPr>
                <w:rFonts w:hint="eastAsia"/>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3" w:hRule="atLeast"/>
          <w:jc w:val="center"/>
        </w:trPr>
        <w:tc>
          <w:tcPr>
            <w:tcW w:w="9364" w:type="dxa"/>
            <w:gridSpan w:val="7"/>
            <w:vAlign w:val="center"/>
          </w:tcPr>
          <w:p>
            <w:pPr>
              <w:tabs>
                <w:tab w:val="left" w:pos="3960"/>
              </w:tabs>
              <w:jc w:val="center"/>
              <w:rPr>
                <w:szCs w:val="21"/>
              </w:rPr>
            </w:pPr>
            <w:r>
              <w:rPr>
                <w:rFonts w:hint="eastAsia"/>
                <w:szCs w:val="21"/>
              </w:rPr>
              <w:t>经      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74" w:hRule="atLeast"/>
          <w:jc w:val="center"/>
        </w:trPr>
        <w:tc>
          <w:tcPr>
            <w:tcW w:w="1246" w:type="dxa"/>
            <w:vAlign w:val="center"/>
          </w:tcPr>
          <w:p>
            <w:pPr>
              <w:tabs>
                <w:tab w:val="left" w:pos="3960"/>
              </w:tabs>
              <w:spacing w:afterLines="50" w:line="400" w:lineRule="exact"/>
              <w:jc w:val="center"/>
              <w:rPr>
                <w:szCs w:val="21"/>
              </w:rPr>
            </w:pPr>
            <w:r>
              <w:rPr>
                <w:rFonts w:hint="eastAsia"/>
                <w:szCs w:val="21"/>
              </w:rPr>
              <w:t>时  间</w:t>
            </w:r>
          </w:p>
        </w:tc>
        <w:tc>
          <w:tcPr>
            <w:tcW w:w="4920" w:type="dxa"/>
            <w:gridSpan w:val="4"/>
            <w:vAlign w:val="center"/>
          </w:tcPr>
          <w:p>
            <w:pPr>
              <w:tabs>
                <w:tab w:val="left" w:pos="3960"/>
              </w:tabs>
              <w:spacing w:afterLines="50" w:line="400" w:lineRule="exact"/>
              <w:jc w:val="center"/>
              <w:rPr>
                <w:szCs w:val="21"/>
              </w:rPr>
            </w:pPr>
            <w:r>
              <w:rPr>
                <w:rFonts w:hint="eastAsia"/>
                <w:szCs w:val="21"/>
              </w:rPr>
              <w:t>参加过的类似工程项目名称</w:t>
            </w:r>
          </w:p>
        </w:tc>
        <w:tc>
          <w:tcPr>
            <w:tcW w:w="1843" w:type="dxa"/>
            <w:vAlign w:val="center"/>
          </w:tcPr>
          <w:p>
            <w:pPr>
              <w:tabs>
                <w:tab w:val="left" w:pos="3960"/>
              </w:tabs>
              <w:spacing w:afterLines="50" w:line="400" w:lineRule="exact"/>
              <w:jc w:val="center"/>
              <w:rPr>
                <w:szCs w:val="21"/>
              </w:rPr>
            </w:pPr>
            <w:r>
              <w:rPr>
                <w:rFonts w:hint="eastAsia"/>
                <w:szCs w:val="21"/>
              </w:rPr>
              <w:t>担任职务</w:t>
            </w:r>
          </w:p>
        </w:tc>
        <w:tc>
          <w:tcPr>
            <w:tcW w:w="1355" w:type="dxa"/>
            <w:vAlign w:val="center"/>
          </w:tcPr>
          <w:p>
            <w:pPr>
              <w:tabs>
                <w:tab w:val="left" w:pos="3960"/>
              </w:tabs>
              <w:spacing w:afterLines="50" w:line="400" w:lineRule="exact"/>
              <w:jc w:val="center"/>
              <w:rPr>
                <w:szCs w:val="21"/>
              </w:rPr>
            </w:pPr>
            <w:r>
              <w:rPr>
                <w:rFonts w:hint="eastAsia"/>
                <w:szCs w:val="21"/>
              </w:rPr>
              <w:t>委托人及</w:t>
            </w:r>
          </w:p>
          <w:p>
            <w:pPr>
              <w:tabs>
                <w:tab w:val="left" w:pos="3960"/>
              </w:tabs>
              <w:spacing w:afterLines="50" w:line="400" w:lineRule="exact"/>
              <w:jc w:val="center"/>
              <w:rPr>
                <w:szCs w:val="21"/>
              </w:rPr>
            </w:pPr>
            <w:r>
              <w:rPr>
                <w:rFonts w:hint="eastAsia"/>
                <w:szCs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8" w:hRule="exact"/>
          <w:jc w:val="center"/>
        </w:trPr>
        <w:tc>
          <w:tcPr>
            <w:tcW w:w="1246" w:type="dxa"/>
            <w:vAlign w:val="center"/>
          </w:tcPr>
          <w:p>
            <w:pPr>
              <w:tabs>
                <w:tab w:val="left" w:pos="3960"/>
              </w:tabs>
              <w:spacing w:afterLines="50" w:line="400" w:lineRule="exact"/>
              <w:jc w:val="center"/>
              <w:rPr>
                <w:szCs w:val="21"/>
              </w:rPr>
            </w:pPr>
          </w:p>
        </w:tc>
        <w:tc>
          <w:tcPr>
            <w:tcW w:w="4920" w:type="dxa"/>
            <w:gridSpan w:val="4"/>
            <w:vAlign w:val="center"/>
          </w:tcPr>
          <w:p>
            <w:pPr>
              <w:tabs>
                <w:tab w:val="left" w:pos="3960"/>
              </w:tabs>
              <w:spacing w:afterLines="50" w:line="400" w:lineRule="exact"/>
              <w:jc w:val="center"/>
              <w:rPr>
                <w:szCs w:val="21"/>
              </w:rPr>
            </w:pPr>
          </w:p>
        </w:tc>
        <w:tc>
          <w:tcPr>
            <w:tcW w:w="1843" w:type="dxa"/>
            <w:vAlign w:val="center"/>
          </w:tcPr>
          <w:p>
            <w:pPr>
              <w:tabs>
                <w:tab w:val="left" w:pos="3960"/>
              </w:tabs>
              <w:spacing w:afterLines="50" w:line="400" w:lineRule="exact"/>
              <w:jc w:val="center"/>
              <w:rPr>
                <w:szCs w:val="21"/>
              </w:rPr>
            </w:pPr>
          </w:p>
        </w:tc>
        <w:tc>
          <w:tcPr>
            <w:tcW w:w="1355" w:type="dxa"/>
            <w:vAlign w:val="center"/>
          </w:tcPr>
          <w:p>
            <w:pPr>
              <w:tabs>
                <w:tab w:val="left" w:pos="3960"/>
              </w:tabs>
              <w:spacing w:afterLines="50" w:line="40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8" w:hRule="exact"/>
          <w:jc w:val="center"/>
        </w:trPr>
        <w:tc>
          <w:tcPr>
            <w:tcW w:w="1246" w:type="dxa"/>
            <w:vAlign w:val="center"/>
          </w:tcPr>
          <w:p>
            <w:pPr>
              <w:tabs>
                <w:tab w:val="left" w:pos="3960"/>
              </w:tabs>
              <w:spacing w:afterLines="50" w:line="400" w:lineRule="exact"/>
              <w:jc w:val="center"/>
              <w:rPr>
                <w:szCs w:val="21"/>
              </w:rPr>
            </w:pPr>
          </w:p>
        </w:tc>
        <w:tc>
          <w:tcPr>
            <w:tcW w:w="4920" w:type="dxa"/>
            <w:gridSpan w:val="4"/>
            <w:vAlign w:val="center"/>
          </w:tcPr>
          <w:p>
            <w:pPr>
              <w:tabs>
                <w:tab w:val="left" w:pos="3960"/>
              </w:tabs>
              <w:spacing w:afterLines="50" w:line="400" w:lineRule="exact"/>
              <w:jc w:val="center"/>
              <w:rPr>
                <w:szCs w:val="21"/>
              </w:rPr>
            </w:pPr>
          </w:p>
        </w:tc>
        <w:tc>
          <w:tcPr>
            <w:tcW w:w="1843" w:type="dxa"/>
            <w:vAlign w:val="center"/>
          </w:tcPr>
          <w:p>
            <w:pPr>
              <w:tabs>
                <w:tab w:val="left" w:pos="3960"/>
              </w:tabs>
              <w:spacing w:afterLines="50" w:line="400" w:lineRule="exact"/>
              <w:jc w:val="center"/>
              <w:rPr>
                <w:szCs w:val="21"/>
              </w:rPr>
            </w:pPr>
          </w:p>
        </w:tc>
        <w:tc>
          <w:tcPr>
            <w:tcW w:w="1355" w:type="dxa"/>
            <w:vAlign w:val="center"/>
          </w:tcPr>
          <w:p>
            <w:pPr>
              <w:tabs>
                <w:tab w:val="left" w:pos="3960"/>
              </w:tabs>
              <w:spacing w:afterLines="50" w:line="40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8" w:hRule="exact"/>
          <w:jc w:val="center"/>
        </w:trPr>
        <w:tc>
          <w:tcPr>
            <w:tcW w:w="1246" w:type="dxa"/>
            <w:vAlign w:val="center"/>
          </w:tcPr>
          <w:p>
            <w:pPr>
              <w:tabs>
                <w:tab w:val="left" w:pos="3960"/>
              </w:tabs>
              <w:spacing w:afterLines="50" w:line="400" w:lineRule="exact"/>
              <w:jc w:val="center"/>
              <w:rPr>
                <w:szCs w:val="21"/>
              </w:rPr>
            </w:pPr>
          </w:p>
        </w:tc>
        <w:tc>
          <w:tcPr>
            <w:tcW w:w="4920" w:type="dxa"/>
            <w:gridSpan w:val="4"/>
            <w:vAlign w:val="center"/>
          </w:tcPr>
          <w:p>
            <w:pPr>
              <w:tabs>
                <w:tab w:val="left" w:pos="3960"/>
              </w:tabs>
              <w:spacing w:afterLines="50" w:line="400" w:lineRule="exact"/>
              <w:jc w:val="center"/>
              <w:rPr>
                <w:szCs w:val="21"/>
              </w:rPr>
            </w:pPr>
          </w:p>
        </w:tc>
        <w:tc>
          <w:tcPr>
            <w:tcW w:w="1843" w:type="dxa"/>
            <w:vAlign w:val="center"/>
          </w:tcPr>
          <w:p>
            <w:pPr>
              <w:tabs>
                <w:tab w:val="left" w:pos="3960"/>
              </w:tabs>
              <w:spacing w:afterLines="50" w:line="400" w:lineRule="exact"/>
              <w:jc w:val="center"/>
              <w:rPr>
                <w:szCs w:val="21"/>
              </w:rPr>
            </w:pPr>
          </w:p>
        </w:tc>
        <w:tc>
          <w:tcPr>
            <w:tcW w:w="1355" w:type="dxa"/>
            <w:vAlign w:val="center"/>
          </w:tcPr>
          <w:p>
            <w:pPr>
              <w:tabs>
                <w:tab w:val="left" w:pos="3960"/>
              </w:tabs>
              <w:spacing w:afterLines="50" w:line="40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8" w:hRule="exact"/>
          <w:jc w:val="center"/>
        </w:trPr>
        <w:tc>
          <w:tcPr>
            <w:tcW w:w="1246" w:type="dxa"/>
            <w:vAlign w:val="center"/>
          </w:tcPr>
          <w:p>
            <w:pPr>
              <w:tabs>
                <w:tab w:val="left" w:pos="3960"/>
              </w:tabs>
              <w:spacing w:afterLines="50" w:line="400" w:lineRule="exact"/>
              <w:jc w:val="center"/>
              <w:rPr>
                <w:szCs w:val="21"/>
              </w:rPr>
            </w:pPr>
          </w:p>
        </w:tc>
        <w:tc>
          <w:tcPr>
            <w:tcW w:w="4920" w:type="dxa"/>
            <w:gridSpan w:val="4"/>
            <w:vAlign w:val="center"/>
          </w:tcPr>
          <w:p>
            <w:pPr>
              <w:tabs>
                <w:tab w:val="left" w:pos="3960"/>
              </w:tabs>
              <w:spacing w:afterLines="50" w:line="400" w:lineRule="exact"/>
              <w:jc w:val="center"/>
              <w:rPr>
                <w:szCs w:val="21"/>
              </w:rPr>
            </w:pPr>
          </w:p>
        </w:tc>
        <w:tc>
          <w:tcPr>
            <w:tcW w:w="1843" w:type="dxa"/>
            <w:vAlign w:val="center"/>
          </w:tcPr>
          <w:p>
            <w:pPr>
              <w:tabs>
                <w:tab w:val="left" w:pos="3960"/>
              </w:tabs>
              <w:spacing w:afterLines="50" w:line="400" w:lineRule="exact"/>
              <w:jc w:val="center"/>
              <w:rPr>
                <w:szCs w:val="21"/>
              </w:rPr>
            </w:pPr>
          </w:p>
        </w:tc>
        <w:tc>
          <w:tcPr>
            <w:tcW w:w="1355" w:type="dxa"/>
            <w:vAlign w:val="center"/>
          </w:tcPr>
          <w:p>
            <w:pPr>
              <w:tabs>
                <w:tab w:val="left" w:pos="3960"/>
              </w:tabs>
              <w:spacing w:afterLines="50" w:line="40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8" w:hRule="exact"/>
          <w:jc w:val="center"/>
        </w:trPr>
        <w:tc>
          <w:tcPr>
            <w:tcW w:w="1246" w:type="dxa"/>
            <w:vAlign w:val="center"/>
          </w:tcPr>
          <w:p>
            <w:pPr>
              <w:tabs>
                <w:tab w:val="left" w:pos="3960"/>
              </w:tabs>
              <w:spacing w:afterLines="50" w:line="400" w:lineRule="exact"/>
              <w:jc w:val="center"/>
              <w:rPr>
                <w:szCs w:val="21"/>
              </w:rPr>
            </w:pPr>
          </w:p>
        </w:tc>
        <w:tc>
          <w:tcPr>
            <w:tcW w:w="4920" w:type="dxa"/>
            <w:gridSpan w:val="4"/>
            <w:vAlign w:val="center"/>
          </w:tcPr>
          <w:p>
            <w:pPr>
              <w:tabs>
                <w:tab w:val="left" w:pos="3960"/>
              </w:tabs>
              <w:spacing w:afterLines="50" w:line="400" w:lineRule="exact"/>
              <w:jc w:val="center"/>
              <w:rPr>
                <w:szCs w:val="21"/>
              </w:rPr>
            </w:pPr>
          </w:p>
        </w:tc>
        <w:tc>
          <w:tcPr>
            <w:tcW w:w="1843" w:type="dxa"/>
            <w:vAlign w:val="center"/>
          </w:tcPr>
          <w:p>
            <w:pPr>
              <w:tabs>
                <w:tab w:val="left" w:pos="3960"/>
              </w:tabs>
              <w:spacing w:afterLines="50" w:line="400" w:lineRule="exact"/>
              <w:jc w:val="center"/>
              <w:rPr>
                <w:szCs w:val="21"/>
              </w:rPr>
            </w:pPr>
          </w:p>
        </w:tc>
        <w:tc>
          <w:tcPr>
            <w:tcW w:w="1355" w:type="dxa"/>
            <w:vAlign w:val="center"/>
          </w:tcPr>
          <w:p>
            <w:pPr>
              <w:tabs>
                <w:tab w:val="left" w:pos="3960"/>
              </w:tabs>
              <w:spacing w:afterLines="50" w:line="40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8" w:hRule="exact"/>
          <w:jc w:val="center"/>
        </w:trPr>
        <w:tc>
          <w:tcPr>
            <w:tcW w:w="2579" w:type="dxa"/>
            <w:gridSpan w:val="2"/>
            <w:vAlign w:val="center"/>
          </w:tcPr>
          <w:p>
            <w:pPr>
              <w:tabs>
                <w:tab w:val="left" w:pos="3960"/>
              </w:tabs>
              <w:spacing w:afterLines="50" w:line="400" w:lineRule="exact"/>
              <w:jc w:val="center"/>
              <w:rPr>
                <w:szCs w:val="21"/>
              </w:rPr>
            </w:pPr>
            <w:r>
              <w:rPr>
                <w:rFonts w:hint="eastAsia"/>
                <w:szCs w:val="21"/>
              </w:rPr>
              <w:t>获奖情况</w:t>
            </w:r>
          </w:p>
        </w:tc>
        <w:tc>
          <w:tcPr>
            <w:tcW w:w="6785" w:type="dxa"/>
            <w:gridSpan w:val="5"/>
            <w:vAlign w:val="center"/>
          </w:tcPr>
          <w:p>
            <w:pPr>
              <w:tabs>
                <w:tab w:val="left" w:pos="3960"/>
              </w:tabs>
              <w:spacing w:afterLines="50" w:line="400" w:lineRule="exac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70" w:hRule="exact"/>
          <w:jc w:val="center"/>
        </w:trPr>
        <w:tc>
          <w:tcPr>
            <w:tcW w:w="2579" w:type="dxa"/>
            <w:gridSpan w:val="2"/>
            <w:vAlign w:val="center"/>
          </w:tcPr>
          <w:p>
            <w:pPr>
              <w:tabs>
                <w:tab w:val="left" w:pos="3960"/>
              </w:tabs>
              <w:spacing w:afterLines="50" w:line="400" w:lineRule="exact"/>
              <w:jc w:val="center"/>
              <w:rPr>
                <w:szCs w:val="21"/>
              </w:rPr>
            </w:pPr>
            <w:r>
              <w:rPr>
                <w:rFonts w:hint="eastAsia"/>
                <w:szCs w:val="21"/>
              </w:rPr>
              <w:t>说明在岗情况</w:t>
            </w:r>
          </w:p>
        </w:tc>
        <w:tc>
          <w:tcPr>
            <w:tcW w:w="6785" w:type="dxa"/>
            <w:gridSpan w:val="5"/>
            <w:vAlign w:val="center"/>
          </w:tcPr>
          <w:p>
            <w:pPr>
              <w:ind w:left="34" w:leftChars="16" w:firstLine="27" w:firstLineChars="13"/>
              <w:rPr>
                <w:kern w:val="0"/>
              </w:rPr>
            </w:pPr>
            <w:r>
              <w:rPr>
                <w:rFonts w:hint="eastAsia"/>
                <w:kern w:val="0"/>
              </w:rPr>
              <w:t>□目前未在其他项目上任职，现从事工作为：</w:t>
            </w:r>
            <w:r>
              <w:rPr>
                <w:rFonts w:hint="eastAsia"/>
                <w:kern w:val="0"/>
                <w:u w:val="single"/>
              </w:rPr>
              <w:t xml:space="preserve">                </w:t>
            </w:r>
            <w:r>
              <w:rPr>
                <w:rFonts w:hint="eastAsia"/>
                <w:kern w:val="0"/>
              </w:rPr>
              <w:t>。</w:t>
            </w:r>
          </w:p>
          <w:p>
            <w:pPr>
              <w:tabs>
                <w:tab w:val="left" w:pos="3960"/>
              </w:tabs>
              <w:spacing w:afterLines="50" w:line="400" w:lineRule="exact"/>
              <w:ind w:left="34" w:leftChars="16" w:firstLine="27" w:firstLineChars="13"/>
              <w:rPr>
                <w:szCs w:val="21"/>
              </w:rPr>
            </w:pPr>
            <w:r>
              <w:rPr>
                <w:rFonts w:hint="eastAsia"/>
                <w:kern w:val="0"/>
              </w:rPr>
              <w:t>□目前虽在其他项目上任职，但本项目中标后能够从该项目撤离，目前任职项目：</w:t>
            </w:r>
            <w:r>
              <w:rPr>
                <w:rFonts w:hint="eastAsia"/>
                <w:kern w:val="0"/>
                <w:u w:val="single"/>
              </w:rPr>
              <w:t xml:space="preserve">                </w:t>
            </w:r>
            <w:r>
              <w:rPr>
                <w:rFonts w:hint="eastAsia"/>
                <w:kern w:val="0"/>
              </w:rPr>
              <w:t>，担任职位</w:t>
            </w:r>
            <w:r>
              <w:rPr>
                <w:rFonts w:hint="eastAsia"/>
                <w:kern w:val="0"/>
                <w:u w:val="single"/>
              </w:rPr>
              <w:t xml:space="preserve">                  </w:t>
            </w:r>
            <w:r>
              <w:rPr>
                <w:rFonts w:hint="eastAsia"/>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95" w:hRule="atLeast"/>
          <w:jc w:val="center"/>
        </w:trPr>
        <w:tc>
          <w:tcPr>
            <w:tcW w:w="2579" w:type="dxa"/>
            <w:gridSpan w:val="2"/>
            <w:vAlign w:val="center"/>
          </w:tcPr>
          <w:p>
            <w:pPr>
              <w:tabs>
                <w:tab w:val="left" w:pos="3960"/>
              </w:tabs>
              <w:spacing w:afterLines="50" w:line="400" w:lineRule="exact"/>
              <w:jc w:val="center"/>
              <w:rPr>
                <w:szCs w:val="21"/>
              </w:rPr>
            </w:pPr>
            <w:r>
              <w:rPr>
                <w:rFonts w:hint="eastAsia"/>
                <w:szCs w:val="21"/>
              </w:rPr>
              <w:t>备  注</w:t>
            </w:r>
          </w:p>
        </w:tc>
        <w:tc>
          <w:tcPr>
            <w:tcW w:w="6785" w:type="dxa"/>
            <w:gridSpan w:val="5"/>
            <w:vAlign w:val="center"/>
          </w:tcPr>
          <w:p>
            <w:pPr>
              <w:tabs>
                <w:tab w:val="left" w:pos="3960"/>
              </w:tabs>
              <w:spacing w:afterLines="50" w:line="400" w:lineRule="exact"/>
              <w:jc w:val="center"/>
              <w:rPr>
                <w:szCs w:val="21"/>
              </w:rPr>
            </w:pPr>
          </w:p>
        </w:tc>
      </w:tr>
    </w:tbl>
    <w:p>
      <w:pPr>
        <w:tabs>
          <w:tab w:val="left" w:pos="3960"/>
        </w:tabs>
        <w:spacing w:line="360" w:lineRule="auto"/>
        <w:ind w:firstLine="420"/>
        <w:jc w:val="left"/>
        <w:rPr>
          <w:szCs w:val="21"/>
        </w:rPr>
      </w:pPr>
    </w:p>
    <w:p>
      <w:pPr>
        <w:tabs>
          <w:tab w:val="left" w:pos="3960"/>
        </w:tabs>
        <w:spacing w:line="360" w:lineRule="auto"/>
        <w:ind w:firstLine="420"/>
        <w:jc w:val="left"/>
        <w:rPr>
          <w:szCs w:val="21"/>
        </w:rPr>
      </w:pPr>
      <w:r>
        <w:rPr>
          <w:rFonts w:hint="eastAsia"/>
          <w:szCs w:val="21"/>
        </w:rPr>
        <w:t>注:1.本表应填写总监理工程师或驻地监理工程师相关情况。</w:t>
      </w:r>
    </w:p>
    <w:p>
      <w:pPr>
        <w:ind w:firstLine="735" w:firstLineChars="350"/>
        <w:rPr>
          <w:szCs w:val="21"/>
        </w:rPr>
      </w:pPr>
      <w:r>
        <w:rPr>
          <w:rFonts w:hint="eastAsia"/>
          <w:szCs w:val="21"/>
        </w:rPr>
        <w:t>2.投标人应根据招标文件第二章“投标人须知”第3.5.4项的要求在本表后附相关证明材料。</w:t>
      </w:r>
    </w:p>
    <w:p>
      <w:pPr>
        <w:ind w:firstLine="735" w:firstLineChars="350"/>
        <w:rPr>
          <w:szCs w:val="21"/>
        </w:rPr>
      </w:pPr>
    </w:p>
    <w:p>
      <w:pPr>
        <w:spacing w:line="360" w:lineRule="auto"/>
        <w:ind w:firstLine="420" w:firstLineChars="200"/>
        <w:rPr>
          <w:szCs w:val="21"/>
        </w:rPr>
        <w:sectPr>
          <w:headerReference r:id="rId11" w:type="default"/>
          <w:footerReference r:id="rId12" w:type="default"/>
          <w:footnotePr>
            <w:numFmt w:val="decimalEnclosedCircle"/>
            <w:numRestart w:val="eachPage"/>
          </w:footnotePr>
          <w:pgSz w:w="11906" w:h="16838"/>
          <w:pgMar w:top="1304" w:right="1304" w:bottom="1304" w:left="1361" w:header="907" w:footer="907" w:gutter="0"/>
          <w:cols w:space="720" w:num="1"/>
        </w:sectPr>
      </w:pPr>
    </w:p>
    <w:p>
      <w:pPr>
        <w:autoSpaceDE w:val="0"/>
        <w:autoSpaceDN w:val="0"/>
        <w:adjustRightInd w:val="0"/>
        <w:spacing w:beforeLines="50" w:afterLines="50" w:line="403" w:lineRule="exact"/>
        <w:ind w:right="6"/>
        <w:jc w:val="center"/>
        <w:rPr>
          <w:rFonts w:ascii="宋体" w:hAnsi="宋体" w:cs="宋体"/>
          <w:b/>
          <w:kern w:val="0"/>
          <w:sz w:val="32"/>
          <w:szCs w:val="32"/>
        </w:rPr>
      </w:pPr>
      <w:r>
        <w:rPr>
          <w:rFonts w:hint="eastAsia" w:ascii="宋体" w:hAnsi="宋体" w:cs="宋体"/>
          <w:b/>
          <w:kern w:val="0"/>
          <w:position w:val="-4"/>
          <w:sz w:val="32"/>
          <w:szCs w:val="32"/>
        </w:rPr>
        <w:t>五、技术</w:t>
      </w:r>
      <w:r>
        <w:rPr>
          <w:rFonts w:hint="eastAsia" w:ascii="宋体" w:hAnsi="宋体" w:cs="宋体"/>
          <w:b/>
          <w:spacing w:val="-3"/>
          <w:kern w:val="0"/>
          <w:position w:val="-4"/>
          <w:sz w:val="32"/>
          <w:szCs w:val="32"/>
        </w:rPr>
        <w:t>建</w:t>
      </w:r>
      <w:r>
        <w:rPr>
          <w:rFonts w:hint="eastAsia" w:ascii="宋体" w:hAnsi="宋体" w:cs="宋体"/>
          <w:b/>
          <w:kern w:val="0"/>
          <w:position w:val="-4"/>
          <w:sz w:val="32"/>
          <w:szCs w:val="32"/>
        </w:rPr>
        <w:t>议</w:t>
      </w:r>
      <w:r>
        <w:rPr>
          <w:rFonts w:hint="eastAsia" w:ascii="宋体" w:hAnsi="宋体" w:cs="宋体"/>
          <w:b/>
          <w:spacing w:val="-2"/>
          <w:kern w:val="0"/>
          <w:position w:val="-4"/>
          <w:sz w:val="32"/>
          <w:szCs w:val="32"/>
        </w:rPr>
        <w:t>书</w:t>
      </w:r>
    </w:p>
    <w:p>
      <w:pPr>
        <w:autoSpaceDE w:val="0"/>
        <w:autoSpaceDN w:val="0"/>
        <w:adjustRightInd w:val="0"/>
        <w:spacing w:before="18" w:line="200" w:lineRule="exact"/>
        <w:jc w:val="left"/>
        <w:rPr>
          <w:rFonts w:ascii="宋体" w:hAnsi="宋体" w:cs="宋体"/>
          <w:b/>
          <w:kern w:val="0"/>
          <w:sz w:val="30"/>
          <w:szCs w:val="30"/>
        </w:rPr>
      </w:pPr>
    </w:p>
    <w:p>
      <w:pPr>
        <w:autoSpaceDE w:val="0"/>
        <w:autoSpaceDN w:val="0"/>
        <w:adjustRightInd w:val="0"/>
        <w:spacing w:before="4" w:line="200" w:lineRule="exact"/>
        <w:jc w:val="left"/>
        <w:rPr>
          <w:rFonts w:ascii="宋体" w:hAnsi="宋体" w:cs="宋体"/>
          <w:kern w:val="0"/>
          <w:sz w:val="20"/>
          <w:szCs w:val="20"/>
        </w:rPr>
      </w:pPr>
    </w:p>
    <w:p>
      <w:pPr>
        <w:autoSpaceDE w:val="0"/>
        <w:autoSpaceDN w:val="0"/>
        <w:adjustRightInd w:val="0"/>
        <w:spacing w:before="4" w:line="200" w:lineRule="exact"/>
        <w:jc w:val="left"/>
        <w:rPr>
          <w:rFonts w:ascii="宋体" w:hAnsi="宋体" w:cs="宋体"/>
          <w:kern w:val="0"/>
          <w:sz w:val="20"/>
          <w:szCs w:val="20"/>
        </w:rPr>
      </w:pPr>
    </w:p>
    <w:p>
      <w:pPr>
        <w:pStyle w:val="50"/>
        <w:spacing w:line="360" w:lineRule="auto"/>
        <w:ind w:firstLine="480" w:firstLineChars="200"/>
        <w:rPr>
          <w:rFonts w:hAnsi="宋体"/>
          <w:color w:val="auto"/>
          <w:szCs w:val="21"/>
        </w:rPr>
      </w:pPr>
      <w:r>
        <w:rPr>
          <w:rFonts w:hint="eastAsia" w:hAnsi="宋体"/>
          <w:color w:val="auto"/>
          <w:szCs w:val="21"/>
        </w:rPr>
        <w:t>1. 工程概述 ：主要对拟投监理标段的工程总体概况进行简单描述。</w:t>
      </w:r>
    </w:p>
    <w:p>
      <w:pPr>
        <w:pStyle w:val="50"/>
        <w:spacing w:line="360" w:lineRule="auto"/>
        <w:ind w:firstLine="480" w:firstLineChars="200"/>
        <w:rPr>
          <w:rFonts w:hAnsi="宋体"/>
          <w:color w:val="auto"/>
          <w:szCs w:val="21"/>
        </w:rPr>
      </w:pPr>
      <w:r>
        <w:rPr>
          <w:rFonts w:hint="eastAsia" w:hAnsi="宋体"/>
          <w:color w:val="auto"/>
          <w:szCs w:val="21"/>
        </w:rPr>
        <w:t>2. 监理工作范围：依据监理合同中约定的监理服务的要求和范围，对拟投监理标段的监理工作安排、主要监理人员的岗位职责进行必要的阐述 。</w:t>
      </w:r>
    </w:p>
    <w:p>
      <w:pPr>
        <w:pStyle w:val="50"/>
        <w:spacing w:line="360" w:lineRule="auto"/>
        <w:ind w:firstLine="480" w:firstLineChars="200"/>
        <w:rPr>
          <w:rFonts w:hAnsi="宋体"/>
          <w:color w:val="auto"/>
          <w:szCs w:val="21"/>
        </w:rPr>
      </w:pPr>
      <w:r>
        <w:rPr>
          <w:rFonts w:hint="eastAsia" w:hAnsi="宋体"/>
          <w:color w:val="auto"/>
          <w:szCs w:val="21"/>
        </w:rPr>
        <w:t>3. 现场监理机构设置与人员安排：通过框图形式，明确拟投监理标段的组织机 构设置。</w:t>
      </w:r>
    </w:p>
    <w:p>
      <w:pPr>
        <w:pStyle w:val="50"/>
        <w:spacing w:line="360" w:lineRule="auto"/>
        <w:ind w:firstLine="480" w:firstLineChars="200"/>
        <w:rPr>
          <w:rFonts w:hAnsi="宋体"/>
          <w:color w:val="auto"/>
          <w:szCs w:val="21"/>
        </w:rPr>
      </w:pPr>
      <w:r>
        <w:rPr>
          <w:rFonts w:hint="eastAsia" w:hAnsi="宋体"/>
          <w:color w:val="auto"/>
          <w:szCs w:val="21"/>
        </w:rPr>
        <w:t>4. 监理仪器、设备和设施的配备：投标人根据拟投监理标段的现场工作需要，对其拟投入本工程的监理仪器、设备和设施的配备等情况做简要介绍。</w:t>
      </w:r>
    </w:p>
    <w:p>
      <w:pPr>
        <w:pStyle w:val="50"/>
        <w:spacing w:line="360" w:lineRule="auto"/>
        <w:ind w:firstLine="480" w:firstLineChars="200"/>
        <w:rPr>
          <w:rFonts w:hAnsi="宋体"/>
          <w:color w:val="auto"/>
          <w:szCs w:val="21"/>
        </w:rPr>
      </w:pPr>
      <w:r>
        <w:rPr>
          <w:rFonts w:hint="eastAsia" w:hAnsi="宋体"/>
          <w:color w:val="auto"/>
          <w:szCs w:val="21"/>
        </w:rPr>
        <w:t>5. 监理工作程序：结合监理工作的阶段划分，对工程质量控制、进度控制、施工安全控制、施工环境保护、费用控制、合同及其他事项管理、文件资料管理等方面，进行监理工作的方法与流程的简要阐述。</w:t>
      </w:r>
    </w:p>
    <w:p>
      <w:pPr>
        <w:pStyle w:val="50"/>
        <w:spacing w:line="360" w:lineRule="auto"/>
        <w:ind w:firstLine="480" w:firstLineChars="200"/>
        <w:rPr>
          <w:rFonts w:hAnsi="宋体"/>
          <w:color w:val="auto"/>
          <w:szCs w:val="21"/>
        </w:rPr>
      </w:pPr>
      <w:r>
        <w:rPr>
          <w:rFonts w:hint="eastAsia" w:hAnsi="宋体"/>
          <w:color w:val="auto"/>
          <w:szCs w:val="21"/>
        </w:rPr>
        <w:t>6.  监理大纲（或监理方案）和措施。</w:t>
      </w:r>
    </w:p>
    <w:p>
      <w:pPr>
        <w:pStyle w:val="50"/>
        <w:spacing w:line="360" w:lineRule="auto"/>
        <w:ind w:firstLine="480" w:firstLineChars="200"/>
        <w:rPr>
          <w:rFonts w:hAnsi="宋体"/>
          <w:color w:val="auto"/>
          <w:szCs w:val="21"/>
        </w:rPr>
      </w:pPr>
      <w:r>
        <w:rPr>
          <w:rFonts w:hint="eastAsia" w:hAnsi="宋体"/>
          <w:color w:val="auto"/>
          <w:szCs w:val="21"/>
        </w:rPr>
        <w:t>7. 本工程监理工作的重点与难点分析：根据招标文件及现场考察，对本工程监理工作需要特别给予重视的问题逐一论述并给出解决方法。</w:t>
      </w:r>
    </w:p>
    <w:p>
      <w:pPr>
        <w:pStyle w:val="50"/>
        <w:spacing w:line="360" w:lineRule="auto"/>
        <w:ind w:firstLine="480" w:firstLineChars="200"/>
        <w:rPr>
          <w:rFonts w:hAnsi="宋体"/>
          <w:color w:val="auto"/>
          <w:szCs w:val="21"/>
        </w:rPr>
      </w:pPr>
      <w:r>
        <w:rPr>
          <w:rFonts w:hint="eastAsia" w:hAnsi="宋体"/>
          <w:color w:val="auto"/>
          <w:szCs w:val="21"/>
        </w:rPr>
        <w:t xml:space="preserve">8. 对本工程建议：为更好地完成本工程的监理工作，监理单位可根据以往的经验，对本工程监理工作提出建议。 </w:t>
      </w:r>
    </w:p>
    <w:p>
      <w:pPr>
        <w:autoSpaceDE w:val="0"/>
        <w:autoSpaceDN w:val="0"/>
        <w:adjustRightInd w:val="0"/>
        <w:spacing w:beforeLines="50" w:afterLines="50" w:line="341" w:lineRule="exact"/>
        <w:ind w:right="-40"/>
        <w:jc w:val="center"/>
        <w:rPr>
          <w:rFonts w:ascii="宋体" w:hAnsi="宋体" w:cs="宋体"/>
          <w:b/>
          <w:kern w:val="0"/>
          <w:position w:val="-4"/>
          <w:sz w:val="30"/>
          <w:szCs w:val="30"/>
        </w:rPr>
      </w:pPr>
      <w:r>
        <w:rPr>
          <w:rFonts w:hint="eastAsia" w:ascii="宋体" w:hAnsi="宋体" w:cs="宋体"/>
          <w:b/>
          <w:kern w:val="0"/>
          <w:position w:val="-3"/>
          <w:sz w:val="28"/>
          <w:szCs w:val="28"/>
        </w:rPr>
        <w:br w:type="page"/>
      </w:r>
      <w:r>
        <w:rPr>
          <w:rFonts w:hint="eastAsia" w:ascii="宋体" w:hAnsi="宋体" w:cs="宋体"/>
          <w:b/>
          <w:kern w:val="0"/>
          <w:position w:val="-4"/>
          <w:sz w:val="30"/>
          <w:szCs w:val="30"/>
        </w:rPr>
        <w:t>六、其他资料</w:t>
      </w:r>
    </w:p>
    <w:p>
      <w:pPr>
        <w:pStyle w:val="50"/>
        <w:ind w:firstLine="2380" w:firstLineChars="850"/>
        <w:rPr>
          <w:rFonts w:ascii="黑体" w:eastAsia="黑体"/>
          <w:sz w:val="28"/>
        </w:rPr>
      </w:pPr>
      <w:r>
        <w:rPr>
          <w:rFonts w:ascii="黑体" w:eastAsia="黑体"/>
          <w:sz w:val="28"/>
        </w:rPr>
        <w:br w:type="page"/>
      </w:r>
    </w:p>
    <w:p>
      <w:pPr>
        <w:pStyle w:val="50"/>
        <w:ind w:firstLine="2380" w:firstLineChars="850"/>
        <w:rPr>
          <w:rFonts w:ascii="黑体" w:eastAsia="黑体"/>
          <w:sz w:val="28"/>
        </w:rPr>
      </w:pPr>
    </w:p>
    <w:p>
      <w:pPr>
        <w:pStyle w:val="50"/>
        <w:ind w:firstLine="2380" w:firstLineChars="850"/>
        <w:rPr>
          <w:rFonts w:ascii="黑体" w:eastAsia="黑体"/>
          <w:sz w:val="28"/>
        </w:rPr>
      </w:pPr>
    </w:p>
    <w:p>
      <w:pPr>
        <w:pStyle w:val="50"/>
        <w:ind w:firstLine="2040" w:firstLineChars="850"/>
        <w:rPr>
          <w:color w:val="auto"/>
          <w:u w:val="single"/>
        </w:rPr>
      </w:pPr>
    </w:p>
    <w:p>
      <w:pPr>
        <w:pStyle w:val="50"/>
        <w:ind w:firstLine="2040" w:firstLineChars="850"/>
        <w:rPr>
          <w:rFonts w:ascii="Times New Roman" w:cs="Times New Roman"/>
          <w:color w:val="auto"/>
          <w:sz w:val="31"/>
          <w:szCs w:val="31"/>
        </w:rPr>
      </w:pPr>
      <w:r>
        <w:rPr>
          <w:color w:val="auto"/>
          <w:u w:val="single"/>
        </w:rPr>
        <w:t xml:space="preserve">                 </w:t>
      </w:r>
      <w:r>
        <w:rPr>
          <w:rFonts w:hint="eastAsia"/>
          <w:color w:val="auto"/>
          <w:sz w:val="31"/>
          <w:szCs w:val="31"/>
        </w:rPr>
        <w:t>省</w:t>
      </w:r>
      <w:r>
        <w:rPr>
          <w:rFonts w:hint="eastAsia" w:ascii="Times New Roman" w:cs="Times New Roman"/>
          <w:color w:val="auto"/>
          <w:sz w:val="31"/>
          <w:szCs w:val="31"/>
        </w:rPr>
        <w:t>（</w:t>
      </w:r>
      <w:r>
        <w:rPr>
          <w:rFonts w:hint="eastAsia"/>
          <w:color w:val="auto"/>
          <w:sz w:val="31"/>
          <w:szCs w:val="31"/>
        </w:rPr>
        <w:t>自治区、直辖市</w:t>
      </w:r>
      <w:r>
        <w:rPr>
          <w:rFonts w:hint="eastAsia" w:ascii="Times New Roman" w:cs="Times New Roman"/>
          <w:color w:val="auto"/>
          <w:sz w:val="31"/>
          <w:szCs w:val="31"/>
        </w:rPr>
        <w:t>）</w:t>
      </w:r>
    </w:p>
    <w:p>
      <w:pPr>
        <w:pStyle w:val="50"/>
        <w:ind w:firstLine="2635" w:firstLineChars="850"/>
        <w:rPr>
          <w:rFonts w:ascii="Times New Roman" w:cs="Times New Roman"/>
          <w:color w:val="auto"/>
          <w:sz w:val="31"/>
          <w:szCs w:val="31"/>
        </w:rPr>
      </w:pPr>
    </w:p>
    <w:p>
      <w:pPr>
        <w:pStyle w:val="50"/>
        <w:jc w:val="center"/>
        <w:rPr>
          <w:color w:val="auto"/>
          <w:sz w:val="31"/>
          <w:szCs w:val="31"/>
        </w:rPr>
      </w:pPr>
      <w:r>
        <w:rPr>
          <w:rFonts w:ascii="Times New Roman" w:cs="Times New Roman"/>
          <w:color w:val="auto"/>
          <w:sz w:val="28"/>
          <w:szCs w:val="28"/>
          <w:u w:val="single"/>
        </w:rPr>
        <w:t xml:space="preserve">              </w:t>
      </w:r>
      <w:r>
        <w:rPr>
          <w:rFonts w:hint="eastAsia" w:ascii="Times New Roman" w:cs="Times New Roman"/>
          <w:color w:val="auto"/>
          <w:sz w:val="28"/>
          <w:szCs w:val="28"/>
          <w:u w:val="single"/>
        </w:rPr>
        <w:t xml:space="preserve">         </w:t>
      </w:r>
      <w:r>
        <w:rPr>
          <w:rFonts w:ascii="Times New Roman" w:cs="Times New Roman"/>
          <w:color w:val="auto"/>
          <w:sz w:val="28"/>
          <w:szCs w:val="28"/>
          <w:u w:val="single"/>
        </w:rPr>
        <w:t xml:space="preserve">  </w:t>
      </w:r>
      <w:r>
        <w:rPr>
          <w:rFonts w:hint="eastAsia"/>
          <w:color w:val="auto"/>
          <w:sz w:val="31"/>
          <w:szCs w:val="31"/>
        </w:rPr>
        <w:t>（项目名称）施工监理招标</w:t>
      </w:r>
    </w:p>
    <w:p>
      <w:pPr>
        <w:pStyle w:val="50"/>
        <w:rPr>
          <w:color w:val="auto"/>
        </w:rPr>
      </w:pPr>
    </w:p>
    <w:p>
      <w:pPr>
        <w:pStyle w:val="50"/>
        <w:rPr>
          <w:color w:val="auto"/>
        </w:rPr>
      </w:pPr>
    </w:p>
    <w:p>
      <w:pPr>
        <w:pStyle w:val="50"/>
        <w:rPr>
          <w:color w:val="auto"/>
        </w:rPr>
      </w:pPr>
    </w:p>
    <w:p>
      <w:pPr>
        <w:pStyle w:val="50"/>
        <w:rPr>
          <w:color w:val="auto"/>
        </w:rPr>
      </w:pPr>
    </w:p>
    <w:p>
      <w:pPr>
        <w:autoSpaceDE w:val="0"/>
        <w:autoSpaceDN w:val="0"/>
        <w:adjustRightInd w:val="0"/>
        <w:jc w:val="center"/>
        <w:rPr>
          <w:rFonts w:ascii="黑体" w:eastAsia="黑体" w:cs="黑体"/>
          <w:kern w:val="0"/>
          <w:sz w:val="50"/>
          <w:szCs w:val="50"/>
        </w:rPr>
      </w:pPr>
    </w:p>
    <w:p>
      <w:pPr>
        <w:autoSpaceDE w:val="0"/>
        <w:autoSpaceDN w:val="0"/>
        <w:adjustRightInd w:val="0"/>
        <w:jc w:val="center"/>
        <w:rPr>
          <w:rFonts w:ascii="黑体" w:eastAsia="黑体" w:cs="黑体"/>
          <w:kern w:val="0"/>
          <w:sz w:val="72"/>
          <w:szCs w:val="72"/>
        </w:rPr>
      </w:pPr>
      <w:r>
        <w:rPr>
          <w:rFonts w:hint="eastAsia" w:ascii="黑体" w:eastAsia="黑体" w:cs="黑体"/>
          <w:kern w:val="0"/>
          <w:sz w:val="72"/>
          <w:szCs w:val="72"/>
        </w:rPr>
        <w:t>投</w:t>
      </w:r>
      <w:r>
        <w:rPr>
          <w:rFonts w:ascii="黑体" w:eastAsia="黑体" w:cs="黑体"/>
          <w:kern w:val="0"/>
          <w:sz w:val="72"/>
          <w:szCs w:val="72"/>
        </w:rPr>
        <w:t xml:space="preserve"> </w:t>
      </w:r>
      <w:r>
        <w:rPr>
          <w:rFonts w:hint="eastAsia" w:ascii="黑体" w:eastAsia="黑体" w:cs="黑体"/>
          <w:kern w:val="0"/>
          <w:sz w:val="72"/>
          <w:szCs w:val="72"/>
        </w:rPr>
        <w:t>标</w:t>
      </w:r>
      <w:r>
        <w:rPr>
          <w:rFonts w:ascii="黑体" w:eastAsia="黑体" w:cs="黑体"/>
          <w:kern w:val="0"/>
          <w:sz w:val="72"/>
          <w:szCs w:val="72"/>
        </w:rPr>
        <w:t xml:space="preserve"> </w:t>
      </w:r>
      <w:r>
        <w:rPr>
          <w:rFonts w:hint="eastAsia" w:ascii="黑体" w:eastAsia="黑体" w:cs="黑体"/>
          <w:kern w:val="0"/>
          <w:sz w:val="72"/>
          <w:szCs w:val="72"/>
        </w:rPr>
        <w:t>文</w:t>
      </w:r>
      <w:r>
        <w:rPr>
          <w:rFonts w:ascii="黑体" w:eastAsia="黑体" w:cs="黑体"/>
          <w:kern w:val="0"/>
          <w:sz w:val="72"/>
          <w:szCs w:val="72"/>
        </w:rPr>
        <w:t xml:space="preserve"> </w:t>
      </w:r>
      <w:r>
        <w:rPr>
          <w:rFonts w:hint="eastAsia" w:ascii="黑体" w:eastAsia="黑体" w:cs="黑体"/>
          <w:kern w:val="0"/>
          <w:sz w:val="72"/>
          <w:szCs w:val="72"/>
        </w:rPr>
        <w:t>件</w:t>
      </w:r>
    </w:p>
    <w:p>
      <w:pPr>
        <w:autoSpaceDE w:val="0"/>
        <w:autoSpaceDN w:val="0"/>
        <w:adjustRightInd w:val="0"/>
        <w:jc w:val="center"/>
      </w:pPr>
      <w:r>
        <w:rPr>
          <w:rFonts w:ascii="黑体" w:eastAsia="黑体" w:cs="黑体"/>
          <w:kern w:val="0"/>
          <w:sz w:val="44"/>
          <w:szCs w:val="44"/>
        </w:rPr>
        <w:t xml:space="preserve">  </w:t>
      </w:r>
    </w:p>
    <w:p>
      <w:pPr>
        <w:pStyle w:val="50"/>
        <w:jc w:val="center"/>
        <w:rPr>
          <w:color w:val="auto"/>
          <w:sz w:val="32"/>
          <w:szCs w:val="32"/>
        </w:rPr>
      </w:pPr>
      <w:r>
        <w:rPr>
          <w:rFonts w:hint="eastAsia" w:ascii="黑体" w:eastAsia="黑体" w:cs="黑体"/>
          <w:color w:val="auto"/>
          <w:sz w:val="44"/>
          <w:szCs w:val="44"/>
        </w:rPr>
        <w:t>（报价文件）</w:t>
      </w:r>
    </w:p>
    <w:p>
      <w:pPr>
        <w:pStyle w:val="50"/>
        <w:jc w:val="center"/>
        <w:rPr>
          <w:color w:val="auto"/>
          <w:sz w:val="32"/>
          <w:szCs w:val="32"/>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pStyle w:val="50"/>
        <w:rPr>
          <w:color w:val="auto"/>
        </w:rPr>
      </w:pPr>
    </w:p>
    <w:p>
      <w:pPr>
        <w:autoSpaceDE w:val="0"/>
        <w:autoSpaceDN w:val="0"/>
        <w:adjustRightInd w:val="0"/>
        <w:jc w:val="center"/>
        <w:rPr>
          <w:rFonts w:eastAsia="黑体"/>
          <w:kern w:val="0"/>
          <w:sz w:val="28"/>
          <w:szCs w:val="28"/>
          <w:u w:val="single"/>
        </w:rPr>
      </w:pPr>
      <w:r>
        <w:rPr>
          <w:rFonts w:hint="eastAsia" w:ascii="黑体" w:eastAsia="黑体" w:cs="黑体"/>
          <w:kern w:val="0"/>
          <w:sz w:val="28"/>
          <w:szCs w:val="28"/>
        </w:rPr>
        <w:t>投标人：</w:t>
      </w:r>
      <w:r>
        <w:rPr>
          <w:rFonts w:ascii="黑体" w:eastAsia="黑体" w:cs="黑体"/>
          <w:kern w:val="0"/>
          <w:sz w:val="28"/>
          <w:szCs w:val="28"/>
        </w:rPr>
        <w:t xml:space="preserve"> </w:t>
      </w:r>
      <w:r>
        <w:rPr>
          <w:rFonts w:ascii="黑体" w:eastAsia="黑体" w:cs="黑体"/>
          <w:kern w:val="0"/>
          <w:sz w:val="28"/>
          <w:szCs w:val="28"/>
          <w:u w:val="single"/>
        </w:rPr>
        <w:t xml:space="preserve">                  </w:t>
      </w:r>
      <w:r>
        <w:rPr>
          <w:rFonts w:hint="eastAsia" w:eastAsia="黑体"/>
          <w:kern w:val="0"/>
          <w:sz w:val="28"/>
          <w:szCs w:val="28"/>
        </w:rPr>
        <w:t>（</w:t>
      </w:r>
      <w:r>
        <w:rPr>
          <w:rFonts w:hint="eastAsia" w:ascii="黑体" w:eastAsia="黑体" w:cs="黑体"/>
          <w:kern w:val="0"/>
          <w:sz w:val="28"/>
          <w:szCs w:val="28"/>
        </w:rPr>
        <w:t>盖单位章</w:t>
      </w:r>
      <w:r>
        <w:rPr>
          <w:rFonts w:hint="eastAsia" w:eastAsia="黑体"/>
          <w:kern w:val="0"/>
          <w:sz w:val="28"/>
          <w:szCs w:val="28"/>
        </w:rPr>
        <w:t>）</w:t>
      </w:r>
    </w:p>
    <w:p>
      <w:pPr>
        <w:autoSpaceDE w:val="0"/>
        <w:autoSpaceDN w:val="0"/>
        <w:adjustRightInd w:val="0"/>
        <w:jc w:val="center"/>
        <w:rPr>
          <w:rFonts w:eastAsia="黑体"/>
          <w:kern w:val="0"/>
          <w:sz w:val="28"/>
          <w:szCs w:val="28"/>
          <w:u w:val="single"/>
        </w:rPr>
      </w:pPr>
    </w:p>
    <w:p>
      <w:pPr>
        <w:ind w:firstLine="1960" w:firstLineChars="700"/>
        <w:jc w:val="left"/>
      </w:pPr>
      <w:r>
        <w:rPr>
          <w:rFonts w:ascii="黑体" w:eastAsia="黑体" w:cs="黑体"/>
          <w:kern w:val="0"/>
          <w:sz w:val="28"/>
          <w:szCs w:val="28"/>
          <w:u w:val="single"/>
        </w:rPr>
        <w:t xml:space="preserve">        </w:t>
      </w:r>
      <w:r>
        <w:rPr>
          <w:rFonts w:hint="eastAsia" w:ascii="黑体" w:eastAsia="黑体" w:cs="黑体"/>
          <w:kern w:val="0"/>
          <w:sz w:val="28"/>
          <w:szCs w:val="28"/>
        </w:rPr>
        <w:t>年</w:t>
      </w:r>
      <w:r>
        <w:rPr>
          <w:rFonts w:ascii="黑体" w:eastAsia="黑体" w:cs="黑体"/>
          <w:kern w:val="0"/>
          <w:sz w:val="28"/>
          <w:szCs w:val="28"/>
          <w:u w:val="single"/>
        </w:rPr>
        <w:t xml:space="preserve">        </w:t>
      </w:r>
      <w:r>
        <w:rPr>
          <w:rFonts w:hint="eastAsia" w:ascii="黑体" w:eastAsia="黑体" w:cs="黑体"/>
          <w:kern w:val="0"/>
          <w:sz w:val="28"/>
          <w:szCs w:val="28"/>
        </w:rPr>
        <w:t>月</w:t>
      </w:r>
      <w:r>
        <w:rPr>
          <w:rFonts w:ascii="黑体" w:eastAsia="黑体" w:cs="黑体"/>
          <w:kern w:val="0"/>
          <w:sz w:val="28"/>
          <w:szCs w:val="28"/>
        </w:rPr>
        <w:t xml:space="preserve"> </w:t>
      </w:r>
      <w:r>
        <w:rPr>
          <w:rFonts w:ascii="黑体" w:eastAsia="黑体" w:cs="黑体"/>
          <w:kern w:val="0"/>
          <w:sz w:val="28"/>
          <w:szCs w:val="28"/>
          <w:u w:val="single"/>
        </w:rPr>
        <w:t xml:space="preserve">        </w:t>
      </w:r>
      <w:r>
        <w:rPr>
          <w:rFonts w:hint="eastAsia" w:ascii="黑体" w:eastAsia="黑体" w:cs="黑体"/>
          <w:kern w:val="0"/>
          <w:sz w:val="28"/>
          <w:szCs w:val="28"/>
        </w:rPr>
        <w:t>日</w:t>
      </w:r>
    </w:p>
    <w:p>
      <w:pPr>
        <w:jc w:val="center"/>
      </w:pPr>
    </w:p>
    <w:p>
      <w:pPr>
        <w:spacing w:before="240" w:afterLines="25" w:line="360" w:lineRule="auto"/>
        <w:rPr>
          <w:szCs w:val="21"/>
        </w:rPr>
      </w:pPr>
    </w:p>
    <w:p>
      <w:pPr>
        <w:spacing w:before="179"/>
        <w:ind w:left="237"/>
        <w:jc w:val="center"/>
        <w:rPr>
          <w:color w:val="000000"/>
          <w:sz w:val="29"/>
          <w:szCs w:val="29"/>
        </w:rPr>
      </w:pPr>
      <w:r>
        <w:rPr>
          <w:color w:val="000000"/>
          <w:sz w:val="29"/>
          <w:szCs w:val="29"/>
        </w:rPr>
        <w:br w:type="page"/>
      </w:r>
    </w:p>
    <w:p>
      <w:pPr>
        <w:spacing w:before="179"/>
        <w:ind w:left="237"/>
        <w:jc w:val="center"/>
        <w:rPr>
          <w:color w:val="000000"/>
          <w:sz w:val="44"/>
          <w:szCs w:val="44"/>
        </w:rPr>
      </w:pPr>
      <w:r>
        <w:rPr>
          <w:color w:val="000000"/>
          <w:sz w:val="44"/>
          <w:szCs w:val="44"/>
        </w:rPr>
        <w:t>目 录</w:t>
      </w:r>
    </w:p>
    <w:p>
      <w:pPr>
        <w:rPr>
          <w:color w:val="000000"/>
          <w:sz w:val="20"/>
          <w:szCs w:val="20"/>
        </w:rPr>
      </w:pPr>
    </w:p>
    <w:p>
      <w:pPr>
        <w:rPr>
          <w:color w:val="000000"/>
          <w:sz w:val="20"/>
          <w:szCs w:val="20"/>
        </w:rPr>
      </w:pPr>
    </w:p>
    <w:p>
      <w:pPr>
        <w:rPr>
          <w:color w:val="000000"/>
          <w:sz w:val="20"/>
          <w:szCs w:val="20"/>
        </w:rPr>
      </w:pPr>
    </w:p>
    <w:p>
      <w:pPr>
        <w:rPr>
          <w:color w:val="000000"/>
          <w:sz w:val="20"/>
          <w:szCs w:val="20"/>
        </w:rPr>
      </w:pPr>
    </w:p>
    <w:p>
      <w:pPr>
        <w:spacing w:before="197"/>
        <w:ind w:left="1737" w:right="1925"/>
        <w:rPr>
          <w:color w:val="000000"/>
          <w:sz w:val="32"/>
          <w:szCs w:val="32"/>
        </w:rPr>
      </w:pPr>
      <w:r>
        <w:rPr>
          <w:rFonts w:hint="eastAsia"/>
          <w:color w:val="000000"/>
          <w:sz w:val="32"/>
          <w:szCs w:val="32"/>
        </w:rPr>
        <w:t>一</w:t>
      </w:r>
      <w:r>
        <w:rPr>
          <w:color w:val="000000"/>
          <w:sz w:val="32"/>
          <w:szCs w:val="32"/>
        </w:rPr>
        <w:t>、投标函</w:t>
      </w:r>
    </w:p>
    <w:p>
      <w:pPr>
        <w:spacing w:before="7"/>
        <w:rPr>
          <w:color w:val="000000"/>
          <w:sz w:val="32"/>
          <w:szCs w:val="32"/>
        </w:rPr>
      </w:pPr>
    </w:p>
    <w:p>
      <w:pPr>
        <w:spacing w:before="197"/>
        <w:ind w:left="1737" w:right="1925"/>
        <w:rPr>
          <w:color w:val="000000"/>
          <w:sz w:val="32"/>
          <w:szCs w:val="32"/>
        </w:rPr>
      </w:pPr>
      <w:r>
        <w:rPr>
          <w:rFonts w:hint="eastAsia"/>
          <w:color w:val="000000"/>
          <w:sz w:val="32"/>
          <w:szCs w:val="32"/>
        </w:rPr>
        <w:t>二</w:t>
      </w:r>
      <w:r>
        <w:rPr>
          <w:color w:val="000000"/>
          <w:sz w:val="32"/>
          <w:szCs w:val="32"/>
        </w:rPr>
        <w:t>、监理服务费用清单</w:t>
      </w:r>
    </w:p>
    <w:p>
      <w:pPr>
        <w:spacing w:before="10"/>
        <w:ind w:right="547" w:firstLine="3255" w:firstLineChars="1550"/>
        <w:rPr>
          <w:szCs w:val="21"/>
        </w:rPr>
      </w:pPr>
      <w:r>
        <w:rPr>
          <w:szCs w:val="21"/>
        </w:rPr>
        <w:br w:type="page"/>
      </w:r>
    </w:p>
    <w:p>
      <w:pPr>
        <w:spacing w:before="10"/>
        <w:ind w:right="547"/>
        <w:jc w:val="center"/>
        <w:rPr>
          <w:color w:val="000000"/>
          <w:sz w:val="32"/>
          <w:szCs w:val="32"/>
        </w:rPr>
      </w:pPr>
      <w:r>
        <w:rPr>
          <w:rFonts w:hint="eastAsia"/>
          <w:sz w:val="32"/>
          <w:szCs w:val="32"/>
        </w:rPr>
        <w:t>一</w:t>
      </w:r>
      <w:r>
        <w:rPr>
          <w:color w:val="000000"/>
          <w:sz w:val="32"/>
          <w:szCs w:val="32"/>
        </w:rPr>
        <w:t>、投标函</w:t>
      </w:r>
    </w:p>
    <w:p>
      <w:pPr>
        <w:rPr>
          <w:color w:val="000000"/>
          <w:sz w:val="28"/>
          <w:szCs w:val="28"/>
        </w:rPr>
      </w:pPr>
    </w:p>
    <w:p>
      <w:pPr>
        <w:tabs>
          <w:tab w:val="left" w:pos="3251"/>
        </w:tabs>
        <w:spacing w:before="242"/>
        <w:ind w:left="268" w:right="3429"/>
        <w:rPr>
          <w:color w:val="000000"/>
          <w:sz w:val="24"/>
        </w:rPr>
      </w:pPr>
      <w:r>
        <w:rPr>
          <w:color w:val="000000"/>
          <w:sz w:val="24"/>
          <w:u w:val="single" w:color="000000"/>
        </w:rPr>
        <w:t xml:space="preserve"> </w:t>
      </w:r>
      <w:r>
        <w:rPr>
          <w:color w:val="000000"/>
          <w:sz w:val="24"/>
          <w:u w:val="single" w:color="000000"/>
        </w:rPr>
        <w:tab/>
      </w:r>
      <w:r>
        <w:rPr>
          <w:color w:val="000000"/>
          <w:sz w:val="24"/>
        </w:rPr>
        <w:t>（招标人名称）：</w:t>
      </w:r>
    </w:p>
    <w:p>
      <w:pPr>
        <w:tabs>
          <w:tab w:val="left" w:pos="4328"/>
          <w:tab w:val="left" w:pos="6782"/>
        </w:tabs>
        <w:spacing w:before="209" w:line="360" w:lineRule="auto"/>
        <w:ind w:right="-81" w:firstLine="460" w:firstLineChars="200"/>
        <w:jc w:val="left"/>
        <w:rPr>
          <w:color w:val="000000"/>
          <w:sz w:val="24"/>
        </w:rPr>
      </w:pPr>
      <w:r>
        <w:rPr>
          <w:rFonts w:ascii="Arial" w:hAnsi="Arial" w:eastAsia="Arial" w:cs="Arial"/>
          <w:color w:val="000000"/>
          <w:sz w:val="23"/>
          <w:szCs w:val="23"/>
        </w:rPr>
        <w:t>1.</w:t>
      </w:r>
      <w:r>
        <w:rPr>
          <w:color w:val="000000"/>
          <w:sz w:val="24"/>
        </w:rPr>
        <w:t>我方己仔细研究</w:t>
      </w:r>
      <w:r>
        <w:rPr>
          <w:color w:val="000000"/>
          <w:sz w:val="24"/>
          <w:u w:val="single" w:color="000000"/>
        </w:rPr>
        <w:t xml:space="preserve"> </w:t>
      </w:r>
      <w:r>
        <w:rPr>
          <w:color w:val="000000"/>
          <w:sz w:val="24"/>
          <w:u w:val="single" w:color="000000"/>
        </w:rPr>
        <w:tab/>
      </w:r>
      <w:r>
        <w:rPr>
          <w:color w:val="000000"/>
          <w:sz w:val="24"/>
        </w:rPr>
        <w:t>（项目名称）施工监理招标文件的全部内容（含补遗书第</w:t>
      </w:r>
      <w:r>
        <w:rPr>
          <w:color w:val="000000"/>
          <w:sz w:val="24"/>
          <w:u w:val="single"/>
        </w:rPr>
        <w:tab/>
      </w:r>
      <w:r>
        <w:rPr>
          <w:color w:val="000000"/>
          <w:sz w:val="24"/>
        </w:rPr>
        <w:t>号至第</w:t>
      </w:r>
      <w:r>
        <w:rPr>
          <w:color w:val="000000"/>
          <w:sz w:val="24"/>
          <w:u w:val="single"/>
        </w:rPr>
        <w:tab/>
      </w:r>
      <w:r>
        <w:rPr>
          <w:color w:val="000000"/>
          <w:sz w:val="24"/>
        </w:rPr>
        <w:t>号），在考察工程现场后，愿意以人民币（大写）</w:t>
      </w:r>
      <w:r>
        <w:rPr>
          <w:color w:val="000000"/>
          <w:sz w:val="24"/>
          <w:u w:val="single" w:color="000000"/>
        </w:rPr>
        <w:t xml:space="preserve"> </w:t>
      </w:r>
      <w:r>
        <w:rPr>
          <w:color w:val="000000"/>
          <w:sz w:val="24"/>
          <w:u w:val="single" w:color="000000"/>
        </w:rPr>
        <w:tab/>
      </w:r>
      <w:r>
        <w:rPr>
          <w:color w:val="000000"/>
          <w:sz w:val="24"/>
        </w:rPr>
        <w:t>元（</w:t>
      </w:r>
      <w:r>
        <w:rPr>
          <w:rFonts w:hint="eastAsia"/>
          <w:color w:val="000000"/>
          <w:sz w:val="24"/>
        </w:rPr>
        <w:t>¥</w:t>
      </w:r>
      <w:r>
        <w:rPr>
          <w:color w:val="000000"/>
          <w:sz w:val="24"/>
          <w:u w:val="single"/>
        </w:rPr>
        <w:t xml:space="preserve">       </w:t>
      </w:r>
      <w:r>
        <w:rPr>
          <w:color w:val="000000"/>
          <w:sz w:val="24"/>
        </w:rPr>
        <w:t>）的投标总报价（或根据招标文件规定 修正核实后确定的另一金额</w:t>
      </w:r>
      <w:r>
        <w:rPr>
          <w:rFonts w:hint="eastAsia"/>
          <w:color w:val="000000"/>
          <w:sz w:val="24"/>
        </w:rPr>
        <w:t>，</w:t>
      </w:r>
      <w:r>
        <w:rPr>
          <w:color w:val="000000"/>
          <w:sz w:val="24"/>
        </w:rPr>
        <w:t>其中，增值税税率为</w:t>
      </w:r>
      <w:r>
        <w:rPr>
          <w:rFonts w:hint="eastAsia"/>
          <w:color w:val="000000"/>
          <w:sz w:val="24"/>
          <w:u w:val="single"/>
        </w:rPr>
        <w:t xml:space="preserve">      </w:t>
      </w:r>
      <w:r>
        <w:rPr>
          <w:color w:val="000000"/>
          <w:sz w:val="24"/>
        </w:rPr>
        <w:t>），按合同约定完成施工 监理工作。</w:t>
      </w:r>
    </w:p>
    <w:p>
      <w:pPr>
        <w:tabs>
          <w:tab w:val="left" w:pos="5438"/>
          <w:tab w:val="left" w:pos="6638"/>
        </w:tabs>
        <w:spacing w:before="17" w:line="360" w:lineRule="auto"/>
        <w:ind w:left="638" w:right="3038" w:hanging="5"/>
        <w:rPr>
          <w:color w:val="000000"/>
          <w:sz w:val="24"/>
        </w:rPr>
      </w:pPr>
      <w:r>
        <w:rPr>
          <w:color w:val="000000"/>
          <w:sz w:val="24"/>
        </w:rPr>
        <w:t>其中：施工阶段监理服务费 ：</w:t>
      </w:r>
      <w:r>
        <w:rPr>
          <w:color w:val="000000"/>
          <w:sz w:val="24"/>
          <w:u w:val="single"/>
        </w:rPr>
        <w:tab/>
      </w:r>
      <w:r>
        <w:rPr>
          <w:rFonts w:hint="eastAsia"/>
          <w:color w:val="000000"/>
          <w:sz w:val="24"/>
        </w:rPr>
        <w:t>元；</w:t>
      </w:r>
      <w:r>
        <w:rPr>
          <w:color w:val="000000"/>
          <w:sz w:val="24"/>
        </w:rPr>
        <w:t xml:space="preserve"> </w:t>
      </w:r>
    </w:p>
    <w:p>
      <w:pPr>
        <w:tabs>
          <w:tab w:val="left" w:pos="5438"/>
          <w:tab w:val="left" w:pos="6638"/>
        </w:tabs>
        <w:spacing w:before="17" w:line="360" w:lineRule="auto"/>
        <w:ind w:left="638" w:right="3038" w:hanging="5"/>
        <w:rPr>
          <w:color w:val="000000"/>
          <w:sz w:val="24"/>
        </w:rPr>
      </w:pPr>
      <w:r>
        <w:rPr>
          <w:color w:val="000000"/>
          <w:sz w:val="24"/>
        </w:rPr>
        <w:t>交工验收与缺陷责任期阶段监理服务费 ：</w:t>
      </w:r>
      <w:r>
        <w:rPr>
          <w:color w:val="000000"/>
          <w:sz w:val="24"/>
          <w:u w:val="single"/>
        </w:rPr>
        <w:tab/>
      </w:r>
      <w:r>
        <w:rPr>
          <w:color w:val="000000"/>
          <w:sz w:val="24"/>
          <w:u w:val="single"/>
        </w:rPr>
        <w:tab/>
      </w:r>
      <w:r>
        <w:rPr>
          <w:color w:val="000000"/>
          <w:sz w:val="24"/>
        </w:rPr>
        <w:t>元</w:t>
      </w:r>
    </w:p>
    <w:p>
      <w:pPr>
        <w:spacing w:before="24" w:line="360" w:lineRule="auto"/>
        <w:ind w:right="-81" w:firstLine="484"/>
        <w:rPr>
          <w:color w:val="000000"/>
          <w:sz w:val="24"/>
        </w:rPr>
      </w:pPr>
      <w:r>
        <w:rPr>
          <w:rFonts w:eastAsia="Times New Roman"/>
          <w:color w:val="000000"/>
          <w:sz w:val="24"/>
        </w:rPr>
        <w:t>2.</w:t>
      </w:r>
      <w:r>
        <w:rPr>
          <w:color w:val="000000"/>
          <w:sz w:val="24"/>
        </w:rPr>
        <w:t>在合同协议书正式签署生效之前，本投标函连同你方的中标通知书将构成我 们双方之间共同遵守的文件，对双方具有约束力 。</w:t>
      </w:r>
    </w:p>
    <w:p>
      <w:pPr>
        <w:tabs>
          <w:tab w:val="left" w:pos="5713"/>
        </w:tabs>
        <w:spacing w:before="46" w:line="360" w:lineRule="auto"/>
        <w:ind w:right="284" w:firstLine="460" w:firstLineChars="200"/>
        <w:rPr>
          <w:color w:val="000000"/>
          <w:sz w:val="24"/>
        </w:rPr>
      </w:pPr>
      <w:r>
        <w:rPr>
          <w:rFonts w:eastAsia="Times New Roman"/>
          <w:color w:val="000000"/>
          <w:sz w:val="23"/>
          <w:szCs w:val="23"/>
        </w:rPr>
        <w:t>3.</w:t>
      </w:r>
      <w:r>
        <w:rPr>
          <w:rFonts w:eastAsia="Times New Roman"/>
          <w:color w:val="000000"/>
          <w:sz w:val="23"/>
          <w:szCs w:val="23"/>
          <w:u w:val="single" w:color="000000"/>
        </w:rPr>
        <w:t xml:space="preserve"> </w:t>
      </w:r>
      <w:r>
        <w:rPr>
          <w:rFonts w:eastAsia="Times New Roman"/>
          <w:color w:val="000000"/>
          <w:sz w:val="23"/>
          <w:szCs w:val="23"/>
          <w:u w:val="single" w:color="000000"/>
        </w:rPr>
        <w:tab/>
      </w:r>
      <w:r>
        <w:rPr>
          <w:color w:val="000000"/>
          <w:sz w:val="24"/>
        </w:rPr>
        <w:t>（其他补充说明）。</w:t>
      </w:r>
    </w:p>
    <w:p>
      <w:pPr>
        <w:spacing w:before="3"/>
        <w:rPr>
          <w:color w:val="000000"/>
          <w:sz w:val="34"/>
          <w:szCs w:val="34"/>
        </w:rPr>
      </w:pPr>
    </w:p>
    <w:p>
      <w:pPr>
        <w:tabs>
          <w:tab w:val="left" w:pos="7415"/>
        </w:tabs>
        <w:ind w:left="3576"/>
        <w:rPr>
          <w:rFonts w:eastAsia="Times New Roman"/>
          <w:color w:val="000000"/>
          <w:sz w:val="16"/>
          <w:szCs w:val="16"/>
        </w:rPr>
      </w:pPr>
      <w:r>
        <w:rPr>
          <w:color w:val="000000"/>
          <w:position w:val="-2"/>
          <w:sz w:val="24"/>
        </w:rPr>
        <w:t>投 标 人：</w:t>
      </w:r>
      <w:r>
        <w:rPr>
          <w:rFonts w:hint="eastAsia"/>
          <w:color w:val="000000"/>
          <w:position w:val="-2"/>
          <w:sz w:val="24"/>
          <w:u w:val="single"/>
        </w:rPr>
        <w:t xml:space="preserve">                </w:t>
      </w:r>
      <w:r>
        <w:rPr>
          <w:color w:val="000000"/>
          <w:sz w:val="24"/>
        </w:rPr>
        <w:t>（ 盖单位章）</w:t>
      </w:r>
    </w:p>
    <w:p>
      <w:pPr>
        <w:tabs>
          <w:tab w:val="left" w:pos="8140"/>
        </w:tabs>
        <w:spacing w:before="78"/>
        <w:ind w:left="3571"/>
        <w:rPr>
          <w:color w:val="000000"/>
          <w:sz w:val="24"/>
        </w:rPr>
      </w:pPr>
      <w:r>
        <w:rPr>
          <w:color w:val="000000"/>
          <w:sz w:val="24"/>
        </w:rPr>
        <w:t>法定代表人或其委托代理人：</w:t>
      </w:r>
      <w:r>
        <w:rPr>
          <w:rFonts w:hint="eastAsia"/>
          <w:color w:val="000000"/>
          <w:sz w:val="24"/>
          <w:u w:val="single"/>
        </w:rPr>
        <w:t xml:space="preserve">        </w:t>
      </w:r>
      <w:r>
        <w:rPr>
          <w:color w:val="000000"/>
          <w:sz w:val="24"/>
        </w:rPr>
        <w:t>（签字）</w:t>
      </w:r>
    </w:p>
    <w:p>
      <w:pPr>
        <w:tabs>
          <w:tab w:val="left" w:pos="8140"/>
        </w:tabs>
        <w:spacing w:before="78"/>
        <w:ind w:left="3571"/>
        <w:rPr>
          <w:color w:val="000000"/>
          <w:sz w:val="24"/>
        </w:rPr>
      </w:pPr>
      <w:r>
        <w:rPr>
          <w:color w:val="000000"/>
          <w:sz w:val="24"/>
        </w:rPr>
        <w:t xml:space="preserve">地  </w:t>
      </w:r>
      <w:r>
        <w:rPr>
          <w:rFonts w:hint="eastAsia"/>
          <w:color w:val="000000"/>
          <w:sz w:val="24"/>
        </w:rPr>
        <w:t xml:space="preserve"> </w:t>
      </w:r>
      <w:r>
        <w:rPr>
          <w:color w:val="000000"/>
          <w:sz w:val="24"/>
        </w:rPr>
        <w:t xml:space="preserve"> 址：</w:t>
      </w:r>
      <w:r>
        <w:rPr>
          <w:color w:val="000000"/>
          <w:sz w:val="24"/>
          <w:u w:val="single"/>
        </w:rPr>
        <w:tab/>
      </w:r>
      <w:r>
        <w:rPr>
          <w:color w:val="000000"/>
          <w:sz w:val="24"/>
          <w:u w:val="single"/>
        </w:rPr>
        <w:tab/>
      </w:r>
      <w:r>
        <w:rPr>
          <w:color w:val="000000"/>
          <w:sz w:val="24"/>
          <w:u w:val="single"/>
        </w:rPr>
        <w:t xml:space="preserve">  </w:t>
      </w:r>
    </w:p>
    <w:p>
      <w:pPr>
        <w:tabs>
          <w:tab w:val="left" w:pos="8140"/>
        </w:tabs>
        <w:spacing w:before="78"/>
        <w:ind w:left="3571"/>
        <w:rPr>
          <w:color w:val="000000"/>
          <w:sz w:val="24"/>
        </w:rPr>
      </w:pPr>
      <w:r>
        <w:rPr>
          <w:color w:val="000000"/>
          <w:sz w:val="24"/>
        </w:rPr>
        <w:t>网    址：</w:t>
      </w:r>
      <w:r>
        <w:rPr>
          <w:color w:val="000000"/>
          <w:sz w:val="24"/>
          <w:u w:val="single"/>
        </w:rPr>
        <w:tab/>
      </w:r>
      <w:r>
        <w:rPr>
          <w:color w:val="000000"/>
          <w:sz w:val="24"/>
          <w:u w:val="single"/>
        </w:rPr>
        <w:t xml:space="preserve">  </w:t>
      </w:r>
      <w:r>
        <w:rPr>
          <w:rFonts w:hint="eastAsia"/>
          <w:color w:val="000000"/>
          <w:sz w:val="24"/>
          <w:u w:val="single"/>
        </w:rPr>
        <w:t xml:space="preserve">    </w:t>
      </w:r>
    </w:p>
    <w:p>
      <w:pPr>
        <w:tabs>
          <w:tab w:val="left" w:pos="8140"/>
        </w:tabs>
        <w:spacing w:before="78"/>
        <w:ind w:left="3571"/>
        <w:rPr>
          <w:color w:val="000000"/>
          <w:sz w:val="24"/>
        </w:rPr>
      </w:pPr>
      <w:r>
        <w:rPr>
          <w:color w:val="000000"/>
          <w:sz w:val="24"/>
        </w:rPr>
        <w:t xml:space="preserve">电   </w:t>
      </w:r>
      <w:r>
        <w:rPr>
          <w:rFonts w:hint="eastAsia"/>
          <w:color w:val="000000"/>
          <w:sz w:val="24"/>
        </w:rPr>
        <w:t xml:space="preserve"> </w:t>
      </w:r>
      <w:r>
        <w:rPr>
          <w:color w:val="000000"/>
          <w:sz w:val="24"/>
        </w:rPr>
        <w:t>话：</w:t>
      </w:r>
      <w:r>
        <w:rPr>
          <w:color w:val="000000"/>
          <w:sz w:val="24"/>
          <w:u w:val="single"/>
        </w:rPr>
        <w:tab/>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tabs>
          <w:tab w:val="left" w:pos="8140"/>
        </w:tabs>
        <w:spacing w:before="78"/>
        <w:ind w:left="3571"/>
        <w:rPr>
          <w:color w:val="000000"/>
          <w:sz w:val="24"/>
        </w:rPr>
      </w:pPr>
      <w:r>
        <w:rPr>
          <w:color w:val="000000"/>
          <w:sz w:val="24"/>
        </w:rPr>
        <w:t>传    真：</w:t>
      </w:r>
      <w:r>
        <w:rPr>
          <w:color w:val="000000"/>
          <w:sz w:val="24"/>
          <w:u w:val="single"/>
        </w:rPr>
        <w:tab/>
      </w:r>
      <w:r>
        <w:rPr>
          <w:color w:val="000000"/>
          <w:sz w:val="24"/>
          <w:u w:val="single"/>
        </w:rPr>
        <w:tab/>
      </w:r>
      <w:r>
        <w:rPr>
          <w:color w:val="000000"/>
          <w:sz w:val="24"/>
          <w:u w:val="single"/>
        </w:rPr>
        <w:t xml:space="preserve">  </w:t>
      </w:r>
    </w:p>
    <w:p>
      <w:pPr>
        <w:tabs>
          <w:tab w:val="left" w:pos="8865"/>
        </w:tabs>
        <w:spacing w:before="78"/>
        <w:ind w:left="3571"/>
        <w:rPr>
          <w:color w:val="000000"/>
          <w:sz w:val="24"/>
        </w:rPr>
      </w:pPr>
      <w:r>
        <w:rPr>
          <w:color w:val="000000"/>
          <w:sz w:val="24"/>
        </w:rPr>
        <w:t>邮政编码：</w:t>
      </w:r>
      <w:r>
        <w:rPr>
          <w:color w:val="000000"/>
          <w:sz w:val="24"/>
          <w:u w:val="single"/>
        </w:rPr>
        <w:tab/>
      </w:r>
    </w:p>
    <w:p>
      <w:pPr>
        <w:spacing w:before="1"/>
        <w:rPr>
          <w:color w:val="000000"/>
          <w:sz w:val="33"/>
          <w:szCs w:val="33"/>
        </w:rPr>
      </w:pPr>
    </w:p>
    <w:p>
      <w:pPr>
        <w:ind w:right="284" w:firstLine="5400" w:firstLineChars="2250"/>
        <w:rPr>
          <w:color w:val="000000"/>
          <w:sz w:val="24"/>
        </w:rPr>
      </w:pPr>
      <w:r>
        <w:rPr>
          <w:rFonts w:hint="eastAsia"/>
          <w:color w:val="000000"/>
          <w:sz w:val="24"/>
        </w:rPr>
        <w:t xml:space="preserve"> </w:t>
      </w:r>
      <w:r>
        <w:rPr>
          <w:rFonts w:hint="eastAsia"/>
          <w:color w:val="000000"/>
          <w:sz w:val="24"/>
          <w:u w:val="single"/>
        </w:rPr>
        <w:t xml:space="preserve">      </w:t>
      </w:r>
      <w:r>
        <w:rPr>
          <w:color w:val="000000"/>
          <w:sz w:val="24"/>
        </w:rPr>
        <w:t>年</w:t>
      </w:r>
      <w:r>
        <w:rPr>
          <w:rFonts w:hint="eastAsia"/>
          <w:color w:val="000000"/>
          <w:sz w:val="24"/>
          <w:u w:val="single"/>
        </w:rPr>
        <w:t xml:space="preserve">     </w:t>
      </w:r>
      <w:r>
        <w:rPr>
          <w:color w:val="000000"/>
          <w:sz w:val="24"/>
        </w:rPr>
        <w:t>月</w:t>
      </w:r>
      <w:r>
        <w:rPr>
          <w:rFonts w:hint="eastAsia"/>
          <w:color w:val="000000"/>
          <w:sz w:val="24"/>
          <w:u w:val="single"/>
        </w:rPr>
        <w:t xml:space="preserve">      </w:t>
      </w:r>
      <w:r>
        <w:rPr>
          <w:color w:val="000000"/>
          <w:sz w:val="24"/>
        </w:rPr>
        <w:t>日</w:t>
      </w:r>
    </w:p>
    <w:p>
      <w:pPr>
        <w:rPr>
          <w:color w:val="000000"/>
          <w:sz w:val="20"/>
          <w:szCs w:val="20"/>
        </w:rPr>
      </w:pPr>
    </w:p>
    <w:p>
      <w:pPr>
        <w:spacing w:before="240" w:afterLines="25" w:line="360" w:lineRule="auto"/>
        <w:rPr>
          <w:szCs w:val="21"/>
        </w:rPr>
      </w:pPr>
    </w:p>
    <w:p>
      <w:pPr>
        <w:pStyle w:val="2"/>
        <w:tabs>
          <w:tab w:val="left" w:pos="4295"/>
          <w:tab w:val="left" w:pos="10584"/>
        </w:tabs>
        <w:spacing w:before="97" w:line="316" w:lineRule="auto"/>
        <w:ind w:right="-23"/>
        <w:jc w:val="left"/>
        <w:rPr>
          <w:szCs w:val="21"/>
        </w:rPr>
      </w:pPr>
      <w:r>
        <w:rPr>
          <w:rFonts w:hint="eastAsia"/>
          <w:szCs w:val="21"/>
        </w:rPr>
        <w:t>注：投标人仅须在投标函上加盖单位章，或由法定代表人或其委托代理人签字。</w:t>
      </w:r>
    </w:p>
    <w:p>
      <w:pPr>
        <w:spacing w:before="240" w:afterLines="25" w:line="360" w:lineRule="auto"/>
        <w:rPr>
          <w:szCs w:val="21"/>
        </w:rPr>
      </w:pPr>
    </w:p>
    <w:p>
      <w:pPr>
        <w:spacing w:before="147"/>
        <w:ind w:left="3038" w:right="1925"/>
        <w:rPr>
          <w:sz w:val="24"/>
          <w:szCs w:val="28"/>
          <w:u w:val="single"/>
        </w:rPr>
      </w:pPr>
    </w:p>
    <w:p>
      <w:pPr>
        <w:spacing w:before="147"/>
        <w:ind w:left="3038" w:right="1925"/>
        <w:rPr>
          <w:sz w:val="24"/>
          <w:szCs w:val="28"/>
          <w:u w:val="single"/>
        </w:rPr>
      </w:pPr>
    </w:p>
    <w:p>
      <w:pPr>
        <w:spacing w:before="147"/>
        <w:ind w:left="3038" w:right="1925"/>
        <w:rPr>
          <w:sz w:val="24"/>
          <w:szCs w:val="28"/>
          <w:u w:val="single"/>
        </w:rPr>
      </w:pPr>
    </w:p>
    <w:p>
      <w:pPr>
        <w:tabs>
          <w:tab w:val="left" w:pos="3150"/>
        </w:tabs>
        <w:spacing w:beforeLines="50" w:afterLines="50"/>
        <w:ind w:left="6" w:hanging="6"/>
        <w:jc w:val="center"/>
        <w:rPr>
          <w:color w:val="000000"/>
          <w:sz w:val="32"/>
          <w:szCs w:val="32"/>
        </w:rPr>
      </w:pPr>
      <w:r>
        <w:rPr>
          <w:color w:val="000000"/>
          <w:sz w:val="32"/>
          <w:szCs w:val="32"/>
        </w:rPr>
        <w:br w:type="page"/>
      </w:r>
      <w:r>
        <w:rPr>
          <w:color w:val="000000"/>
          <w:sz w:val="32"/>
          <w:szCs w:val="32"/>
        </w:rPr>
        <w:t>二、监理服务费用清单</w:t>
      </w:r>
    </w:p>
    <w:p>
      <w:pPr>
        <w:spacing w:line="420" w:lineRule="exact"/>
        <w:ind w:right="3094" w:firstLine="2880" w:firstLineChars="1200"/>
        <w:jc w:val="left"/>
        <w:rPr>
          <w:color w:val="000000"/>
          <w:sz w:val="24"/>
        </w:rPr>
      </w:pPr>
      <w:r>
        <w:rPr>
          <w:rFonts w:hint="eastAsia"/>
          <w:color w:val="000000"/>
          <w:sz w:val="24"/>
        </w:rPr>
        <w:t>（一） 报价清单说明</w:t>
      </w:r>
    </w:p>
    <w:p>
      <w:pPr>
        <w:pStyle w:val="2"/>
        <w:spacing w:before="82" w:after="0" w:line="420" w:lineRule="exact"/>
        <w:ind w:right="-23" w:firstLine="420" w:firstLineChars="175"/>
        <w:jc w:val="left"/>
        <w:rPr>
          <w:color w:val="000000"/>
          <w:sz w:val="24"/>
        </w:rPr>
      </w:pPr>
      <w:r>
        <w:rPr>
          <w:rFonts w:hint="eastAsia"/>
          <w:color w:val="000000"/>
          <w:sz w:val="24"/>
        </w:rPr>
        <w:t>1. 本报价表中各表项目和数量由投标人根据工程需要填写，除此之外，还应在每张报价表后附报价计算说明 。如折旧费计算说明中应指出每种监理设 施折旧寿命、折旧期、年折旧费等，使用、维修、管理费等计算说 明中应指出每年各项费用情况、计算公式等 。</w:t>
      </w:r>
    </w:p>
    <w:p>
      <w:pPr>
        <w:pStyle w:val="2"/>
        <w:spacing w:before="28" w:after="0" w:line="420" w:lineRule="exact"/>
        <w:ind w:right="-23" w:firstLine="420" w:firstLineChars="175"/>
        <w:jc w:val="left"/>
        <w:rPr>
          <w:color w:val="000000"/>
          <w:sz w:val="24"/>
        </w:rPr>
      </w:pPr>
      <w:r>
        <w:rPr>
          <w:rFonts w:hint="eastAsia"/>
          <w:color w:val="000000"/>
          <w:sz w:val="24"/>
        </w:rPr>
        <w:t>2. 监理人员配备数量应根据招标文件的要求 、投标人编写的技术建议书并参考投标人以往监理工作经验填报 。</w:t>
      </w:r>
    </w:p>
    <w:p>
      <w:pPr>
        <w:pStyle w:val="2"/>
        <w:spacing w:before="34" w:after="0" w:line="420" w:lineRule="exact"/>
        <w:ind w:right="-23" w:firstLine="420" w:firstLineChars="175"/>
        <w:jc w:val="left"/>
        <w:rPr>
          <w:color w:val="000000"/>
          <w:sz w:val="24"/>
        </w:rPr>
      </w:pPr>
      <w:r>
        <w:rPr>
          <w:rFonts w:hint="eastAsia"/>
          <w:color w:val="000000"/>
          <w:sz w:val="24"/>
        </w:rPr>
        <w:t>3. 投标人必须配备施工监理所需的监理办公设施（含通讯设施）、试验检测设施 、 交通设施、生活设施等。监理办公设施（含通讯设施）、试验检测设施 、交通设施、生 活设施等应根据招标文件的要求、投标人编写的技术建议书并参考投标人以往监理工作经验配置 。</w:t>
      </w:r>
    </w:p>
    <w:p>
      <w:pPr>
        <w:pStyle w:val="2"/>
        <w:spacing w:before="23" w:after="0" w:line="420" w:lineRule="exact"/>
        <w:ind w:right="-23" w:firstLine="420" w:firstLineChars="175"/>
        <w:jc w:val="left"/>
        <w:rPr>
          <w:color w:val="000000"/>
          <w:sz w:val="24"/>
        </w:rPr>
      </w:pPr>
      <w:r>
        <w:rPr>
          <w:rFonts w:hint="eastAsia"/>
          <w:color w:val="000000"/>
          <w:sz w:val="24"/>
        </w:rPr>
        <w:t>4. 监理工程师的驻地设施及配备的设备，如交通、通讯工具及燃料消耗、维护 等均由投标人按规定列入投标报价中 。</w:t>
      </w:r>
    </w:p>
    <w:p>
      <w:pPr>
        <w:pStyle w:val="2"/>
        <w:spacing w:before="41" w:after="0" w:line="420" w:lineRule="exact"/>
        <w:ind w:right="-23" w:firstLine="420" w:firstLineChars="175"/>
        <w:jc w:val="left"/>
        <w:rPr>
          <w:color w:val="000000"/>
          <w:sz w:val="24"/>
        </w:rPr>
      </w:pPr>
      <w:r>
        <w:rPr>
          <w:rFonts w:hint="eastAsia"/>
          <w:color w:val="000000"/>
          <w:sz w:val="24"/>
        </w:rPr>
        <w:t>5.投标人在填报监理服务费用时应 综合考虑下列因素：</w:t>
      </w:r>
    </w:p>
    <w:p>
      <w:pPr>
        <w:pStyle w:val="2"/>
        <w:spacing w:before="65" w:after="0" w:line="420" w:lineRule="exact"/>
        <w:ind w:right="-23" w:firstLine="420" w:firstLineChars="175"/>
        <w:jc w:val="left"/>
        <w:rPr>
          <w:color w:val="000000"/>
          <w:sz w:val="24"/>
        </w:rPr>
      </w:pPr>
      <w:r>
        <w:rPr>
          <w:rFonts w:hint="eastAsia"/>
          <w:color w:val="000000"/>
          <w:sz w:val="24"/>
        </w:rPr>
        <w:t>（1） 监理人所提供的各级监理人员、试验检测仪器、车辆均应满足委托人在专 用合同条款中提出的最低限度要求 。</w:t>
      </w:r>
    </w:p>
    <w:p>
      <w:pPr>
        <w:pStyle w:val="2"/>
        <w:spacing w:before="32" w:after="0" w:line="420" w:lineRule="exact"/>
        <w:ind w:right="-23" w:firstLine="420" w:firstLineChars="175"/>
        <w:jc w:val="left"/>
        <w:rPr>
          <w:color w:val="000000"/>
          <w:sz w:val="24"/>
        </w:rPr>
      </w:pPr>
      <w:r>
        <w:rPr>
          <w:rFonts w:hint="eastAsia"/>
          <w:color w:val="000000"/>
          <w:sz w:val="24"/>
        </w:rPr>
        <w:t>（2） 除合同条款第 8 条约定的变更情形和项 目专用合同条款第 9.1.1 项约定的 其他情形外 ，本监理合同的监理服务费用在合同实施期间一律不予调整 。</w:t>
      </w:r>
    </w:p>
    <w:p>
      <w:pPr>
        <w:pStyle w:val="2"/>
        <w:spacing w:before="23" w:after="0" w:line="420" w:lineRule="exact"/>
        <w:ind w:right="-23" w:firstLine="420" w:firstLineChars="175"/>
        <w:jc w:val="left"/>
        <w:rPr>
          <w:color w:val="000000"/>
          <w:sz w:val="24"/>
        </w:rPr>
      </w:pPr>
      <w:r>
        <w:rPr>
          <w:rFonts w:hint="eastAsia"/>
          <w:color w:val="000000"/>
          <w:sz w:val="24"/>
        </w:rPr>
        <w:t>6.投标人因完成本项目施工监理服务需缴纳的一切税费均由投标人承担，并包含在所报的单价或总额价内 ，委托人不单独支付 。</w:t>
      </w:r>
    </w:p>
    <w:p>
      <w:pPr>
        <w:pStyle w:val="2"/>
        <w:spacing w:before="32" w:after="0" w:line="420" w:lineRule="exact"/>
        <w:ind w:right="-23" w:firstLine="420" w:firstLineChars="175"/>
        <w:jc w:val="left"/>
        <w:rPr>
          <w:color w:val="000000"/>
          <w:sz w:val="24"/>
        </w:rPr>
      </w:pPr>
      <w:r>
        <w:rPr>
          <w:rFonts w:hint="eastAsia"/>
          <w:color w:val="000000"/>
          <w:sz w:val="24"/>
        </w:rPr>
        <w:t>7.投标人应认真填写报价清单中所列的监理服务费用各细目的单价和总额价。投 标人没有填入单价或总额价的工程细目委托人将不予支付 ，并认为该细目的价款己 包括在报价清单其他细目的单价或总额价中 。</w:t>
      </w:r>
    </w:p>
    <w:p>
      <w:pPr>
        <w:pStyle w:val="2"/>
        <w:spacing w:before="30" w:after="0" w:line="420" w:lineRule="exact"/>
        <w:ind w:right="-23" w:firstLine="420" w:firstLineChars="175"/>
        <w:jc w:val="left"/>
        <w:rPr>
          <w:color w:val="000000"/>
          <w:sz w:val="24"/>
        </w:rPr>
      </w:pPr>
      <w:r>
        <w:rPr>
          <w:rFonts w:hint="eastAsia"/>
          <w:color w:val="000000"/>
          <w:sz w:val="24"/>
        </w:rPr>
        <w:t>8.在表 2 监理人员服务费报价表和表 4 监理工程师交通设施费报价表后应附相应 项目的单价分析表。</w:t>
      </w:r>
    </w:p>
    <w:p>
      <w:pPr>
        <w:pStyle w:val="2"/>
        <w:spacing w:before="39" w:after="0" w:line="420" w:lineRule="exact"/>
        <w:ind w:right="-23" w:firstLine="420" w:firstLineChars="175"/>
        <w:jc w:val="left"/>
        <w:rPr>
          <w:color w:val="000000"/>
          <w:sz w:val="24"/>
        </w:rPr>
      </w:pPr>
      <w:r>
        <w:rPr>
          <w:rFonts w:hint="eastAsia"/>
          <w:color w:val="000000"/>
          <w:sz w:val="24"/>
        </w:rPr>
        <w:t>9.投标人在表 2 中填报的各类监理人员的人月单价应包括监理人 员的工资、加班 费、生活伙食费、奖金及各种补贴等一切费用在内。若监理人员因履行正常监理服务而加班 ，委托人将不考虑、另行支付监理人员的加班费用 。投标报价中应考虑、加班费。</w:t>
      </w:r>
    </w:p>
    <w:p>
      <w:pPr>
        <w:pStyle w:val="2"/>
        <w:spacing w:before="23" w:after="0" w:line="420" w:lineRule="exact"/>
        <w:ind w:right="-23" w:firstLine="420" w:firstLineChars="175"/>
        <w:jc w:val="left"/>
        <w:rPr>
          <w:color w:val="000000"/>
          <w:sz w:val="24"/>
        </w:rPr>
      </w:pPr>
      <w:r>
        <w:rPr>
          <w:rFonts w:hint="eastAsia"/>
          <w:color w:val="000000"/>
          <w:sz w:val="24"/>
        </w:rPr>
        <w:t>10.对于同一设施或物品，投标人不能重复填报监理服务费用，一经发现，委托 人将有权从投标价中扣除多报的费用，投标人对此应予确认，否则，委托人有权取消其中标资格。</w:t>
      </w:r>
    </w:p>
    <w:p>
      <w:pPr>
        <w:spacing w:before="147"/>
        <w:ind w:left="3038" w:right="1925"/>
        <w:rPr>
          <w:color w:val="FF0000"/>
          <w:sz w:val="24"/>
          <w:szCs w:val="28"/>
          <w:u w:val="single"/>
        </w:rPr>
      </w:pPr>
    </w:p>
    <w:p>
      <w:pPr>
        <w:spacing w:afterLines="50"/>
        <w:ind w:right="62"/>
        <w:jc w:val="center"/>
        <w:rPr>
          <w:color w:val="000000"/>
          <w:sz w:val="32"/>
          <w:szCs w:val="32"/>
        </w:rPr>
      </w:pPr>
    </w:p>
    <w:p>
      <w:pPr>
        <w:spacing w:afterLines="50"/>
        <w:ind w:right="62"/>
        <w:jc w:val="center"/>
        <w:rPr>
          <w:color w:val="000000"/>
          <w:sz w:val="32"/>
          <w:szCs w:val="32"/>
        </w:rPr>
      </w:pPr>
      <w:r>
        <w:rPr>
          <w:color w:val="000000"/>
          <w:sz w:val="32"/>
          <w:szCs w:val="32"/>
        </w:rPr>
        <w:t>（二） 监理服务费报价表</w:t>
      </w:r>
    </w:p>
    <w:p>
      <w:pPr>
        <w:pStyle w:val="2"/>
        <w:spacing w:before="247"/>
        <w:ind w:left="8" w:right="1925" w:firstLine="470" w:firstLineChars="196"/>
        <w:rPr>
          <w:color w:val="000000"/>
          <w:sz w:val="24"/>
        </w:rPr>
      </w:pPr>
      <w:r>
        <w:rPr>
          <w:color w:val="000000"/>
          <w:sz w:val="24"/>
        </w:rPr>
        <w:t xml:space="preserve">表 </w:t>
      </w:r>
      <w:r>
        <w:rPr>
          <w:rFonts w:eastAsia="Times New Roman"/>
          <w:color w:val="000000"/>
          <w:sz w:val="24"/>
        </w:rPr>
        <w:t>1</w:t>
      </w:r>
      <w:r>
        <w:rPr>
          <w:rFonts w:eastAsia="Times New Roman"/>
          <w:color w:val="000000"/>
          <w:sz w:val="24"/>
        </w:rPr>
        <w:tab/>
      </w:r>
      <w:r>
        <w:rPr>
          <w:color w:val="000000"/>
          <w:sz w:val="24"/>
        </w:rPr>
        <w:t>监理服务费用报价汇总表</w:t>
      </w:r>
    </w:p>
    <w:p>
      <w:pPr>
        <w:spacing w:before="8"/>
        <w:ind w:left="8" w:firstLine="470" w:firstLineChars="196"/>
        <w:rPr>
          <w:color w:val="000000"/>
          <w:sz w:val="24"/>
        </w:rPr>
      </w:pPr>
    </w:p>
    <w:p>
      <w:pPr>
        <w:pStyle w:val="2"/>
        <w:ind w:left="8" w:right="1925" w:firstLine="470" w:firstLineChars="196"/>
        <w:rPr>
          <w:color w:val="000000"/>
          <w:sz w:val="24"/>
        </w:rPr>
      </w:pPr>
      <w:r>
        <w:rPr>
          <w:color w:val="000000"/>
          <w:sz w:val="24"/>
        </w:rPr>
        <w:t xml:space="preserve">表 </w:t>
      </w:r>
      <w:r>
        <w:rPr>
          <w:rFonts w:eastAsia="Times New Roman"/>
          <w:color w:val="000000"/>
          <w:sz w:val="24"/>
        </w:rPr>
        <w:t>2</w:t>
      </w:r>
      <w:r>
        <w:rPr>
          <w:rFonts w:eastAsia="Times New Roman"/>
          <w:color w:val="000000"/>
          <w:sz w:val="24"/>
        </w:rPr>
        <w:tab/>
      </w:r>
      <w:r>
        <w:rPr>
          <w:color w:val="000000"/>
          <w:sz w:val="24"/>
        </w:rPr>
        <w:t>监理人员服务费报价表</w:t>
      </w:r>
    </w:p>
    <w:p>
      <w:pPr>
        <w:spacing w:before="3"/>
        <w:ind w:left="8" w:firstLine="470" w:firstLineChars="196"/>
        <w:rPr>
          <w:color w:val="000000"/>
          <w:sz w:val="24"/>
        </w:rPr>
      </w:pPr>
    </w:p>
    <w:p>
      <w:pPr>
        <w:pStyle w:val="2"/>
        <w:ind w:left="8" w:right="1925" w:firstLine="470" w:firstLineChars="196"/>
        <w:rPr>
          <w:color w:val="000000"/>
          <w:sz w:val="24"/>
        </w:rPr>
      </w:pPr>
      <w:r>
        <w:rPr>
          <w:color w:val="000000"/>
          <w:sz w:val="24"/>
        </w:rPr>
        <w:t xml:space="preserve">表 </w:t>
      </w:r>
      <w:r>
        <w:rPr>
          <w:rFonts w:eastAsia="Times New Roman"/>
          <w:color w:val="000000"/>
          <w:sz w:val="24"/>
        </w:rPr>
        <w:t>3</w:t>
      </w:r>
      <w:r>
        <w:rPr>
          <w:rFonts w:eastAsia="Times New Roman"/>
          <w:color w:val="000000"/>
          <w:sz w:val="24"/>
        </w:rPr>
        <w:tab/>
      </w:r>
      <w:r>
        <w:rPr>
          <w:color w:val="000000"/>
          <w:sz w:val="24"/>
        </w:rPr>
        <w:t>监理工程师办公设施费报价表</w:t>
      </w:r>
    </w:p>
    <w:p>
      <w:pPr>
        <w:spacing w:before="8"/>
        <w:ind w:left="8" w:firstLine="470" w:firstLineChars="196"/>
        <w:rPr>
          <w:color w:val="000000"/>
          <w:sz w:val="24"/>
        </w:rPr>
      </w:pPr>
    </w:p>
    <w:p>
      <w:pPr>
        <w:pStyle w:val="2"/>
        <w:ind w:left="8" w:right="1925" w:firstLine="470" w:firstLineChars="196"/>
        <w:rPr>
          <w:color w:val="000000"/>
          <w:sz w:val="24"/>
        </w:rPr>
      </w:pPr>
      <w:r>
        <w:rPr>
          <w:color w:val="000000"/>
          <w:sz w:val="24"/>
        </w:rPr>
        <w:t xml:space="preserve">表 </w:t>
      </w:r>
      <w:r>
        <w:rPr>
          <w:rFonts w:eastAsia="Times New Roman"/>
          <w:color w:val="000000"/>
          <w:sz w:val="24"/>
        </w:rPr>
        <w:t>4</w:t>
      </w:r>
      <w:r>
        <w:rPr>
          <w:rFonts w:eastAsia="Times New Roman"/>
          <w:color w:val="000000"/>
          <w:sz w:val="24"/>
        </w:rPr>
        <w:tab/>
      </w:r>
      <w:r>
        <w:rPr>
          <w:color w:val="000000"/>
          <w:sz w:val="24"/>
        </w:rPr>
        <w:t>监理工程师交通设施费报价表</w:t>
      </w:r>
    </w:p>
    <w:p>
      <w:pPr>
        <w:spacing w:before="8"/>
        <w:ind w:left="8" w:firstLine="470" w:firstLineChars="196"/>
        <w:rPr>
          <w:color w:val="000000"/>
          <w:sz w:val="24"/>
        </w:rPr>
      </w:pPr>
    </w:p>
    <w:p>
      <w:pPr>
        <w:pStyle w:val="2"/>
        <w:ind w:left="8" w:right="1925" w:firstLine="470" w:firstLineChars="196"/>
        <w:rPr>
          <w:color w:val="000000"/>
          <w:sz w:val="24"/>
        </w:rPr>
      </w:pPr>
      <w:r>
        <w:rPr>
          <w:color w:val="000000"/>
          <w:sz w:val="24"/>
        </w:rPr>
        <w:t xml:space="preserve">表 </w:t>
      </w:r>
      <w:r>
        <w:rPr>
          <w:rFonts w:eastAsia="Times New Roman"/>
          <w:color w:val="000000"/>
          <w:sz w:val="24"/>
        </w:rPr>
        <w:t>5</w:t>
      </w:r>
      <w:r>
        <w:rPr>
          <w:rFonts w:eastAsia="Times New Roman"/>
          <w:color w:val="000000"/>
          <w:sz w:val="24"/>
        </w:rPr>
        <w:tab/>
      </w:r>
      <w:r>
        <w:rPr>
          <w:color w:val="000000"/>
          <w:sz w:val="24"/>
        </w:rPr>
        <w:t>监理试验设施费报价表</w:t>
      </w:r>
    </w:p>
    <w:p>
      <w:pPr>
        <w:spacing w:before="12"/>
        <w:ind w:left="8" w:firstLine="470" w:firstLineChars="196"/>
        <w:rPr>
          <w:color w:val="000000"/>
          <w:sz w:val="24"/>
        </w:rPr>
      </w:pPr>
    </w:p>
    <w:p>
      <w:pPr>
        <w:pStyle w:val="2"/>
        <w:ind w:left="8" w:right="1925" w:firstLine="470" w:firstLineChars="196"/>
        <w:rPr>
          <w:color w:val="000000"/>
          <w:sz w:val="24"/>
        </w:rPr>
      </w:pPr>
      <w:r>
        <w:rPr>
          <w:color w:val="000000"/>
          <w:sz w:val="24"/>
        </w:rPr>
        <w:t xml:space="preserve">表 </w:t>
      </w:r>
      <w:r>
        <w:rPr>
          <w:rFonts w:eastAsia="Times New Roman"/>
          <w:color w:val="000000"/>
          <w:sz w:val="24"/>
        </w:rPr>
        <w:t>6</w:t>
      </w:r>
      <w:r>
        <w:rPr>
          <w:rFonts w:eastAsia="Times New Roman"/>
          <w:color w:val="000000"/>
          <w:sz w:val="24"/>
        </w:rPr>
        <w:tab/>
      </w:r>
      <w:r>
        <w:rPr>
          <w:color w:val="000000"/>
          <w:sz w:val="24"/>
        </w:rPr>
        <w:t>监理工程师生活设施费报价表</w:t>
      </w:r>
    </w:p>
    <w:p>
      <w:pPr>
        <w:spacing w:before="8"/>
        <w:ind w:left="8" w:firstLine="470" w:firstLineChars="196"/>
        <w:rPr>
          <w:color w:val="000000"/>
          <w:sz w:val="24"/>
        </w:rPr>
      </w:pPr>
    </w:p>
    <w:p>
      <w:pPr>
        <w:pStyle w:val="2"/>
        <w:ind w:left="8" w:right="1925" w:firstLine="470" w:firstLineChars="196"/>
        <w:rPr>
          <w:color w:val="000000"/>
          <w:sz w:val="24"/>
        </w:rPr>
      </w:pPr>
      <w:r>
        <w:rPr>
          <w:color w:val="000000"/>
          <w:sz w:val="24"/>
        </w:rPr>
        <w:t xml:space="preserve">表 </w:t>
      </w:r>
      <w:r>
        <w:rPr>
          <w:rFonts w:eastAsia="Times New Roman"/>
          <w:color w:val="000000"/>
          <w:sz w:val="24"/>
        </w:rPr>
        <w:t>7</w:t>
      </w:r>
      <w:r>
        <w:rPr>
          <w:rFonts w:eastAsia="Times New Roman"/>
          <w:color w:val="000000"/>
          <w:sz w:val="24"/>
        </w:rPr>
        <w:tab/>
      </w:r>
      <w:r>
        <w:rPr>
          <w:color w:val="000000"/>
          <w:sz w:val="24"/>
        </w:rPr>
        <w:t>监理费用支付估算表</w:t>
      </w:r>
    </w:p>
    <w:p>
      <w:pPr>
        <w:spacing w:before="1"/>
        <w:ind w:left="8" w:firstLine="470" w:firstLineChars="196"/>
        <w:rPr>
          <w:color w:val="000000"/>
          <w:sz w:val="24"/>
        </w:rPr>
      </w:pPr>
    </w:p>
    <w:p>
      <w:pPr>
        <w:pStyle w:val="2"/>
        <w:spacing w:line="444" w:lineRule="auto"/>
        <w:ind w:left="8" w:right="3463" w:firstLine="470" w:firstLineChars="196"/>
        <w:rPr>
          <w:color w:val="000000"/>
          <w:sz w:val="24"/>
        </w:rPr>
      </w:pPr>
      <w:r>
        <w:rPr>
          <w:color w:val="000000"/>
          <w:sz w:val="24"/>
        </w:rPr>
        <w:t xml:space="preserve">附件 </w:t>
      </w:r>
      <w:r>
        <w:rPr>
          <w:rFonts w:hint="eastAsia"/>
          <w:color w:val="000000"/>
          <w:sz w:val="24"/>
        </w:rPr>
        <w:t xml:space="preserve">1 </w:t>
      </w:r>
      <w:r>
        <w:rPr>
          <w:color w:val="000000"/>
          <w:sz w:val="24"/>
        </w:rPr>
        <w:t xml:space="preserve">监理人员工作计划安排表 </w:t>
      </w:r>
    </w:p>
    <w:p>
      <w:pPr>
        <w:pStyle w:val="2"/>
        <w:spacing w:line="444" w:lineRule="auto"/>
        <w:ind w:left="8" w:right="3463" w:firstLine="470" w:firstLineChars="196"/>
        <w:rPr>
          <w:color w:val="000000"/>
          <w:sz w:val="24"/>
        </w:rPr>
      </w:pPr>
      <w:r>
        <w:rPr>
          <w:color w:val="000000"/>
          <w:sz w:val="24"/>
        </w:rPr>
        <w:t xml:space="preserve">附件 </w:t>
      </w:r>
      <w:r>
        <w:rPr>
          <w:rFonts w:eastAsia="Times New Roman"/>
          <w:color w:val="000000"/>
          <w:sz w:val="24"/>
        </w:rPr>
        <w:t xml:space="preserve">2 </w:t>
      </w:r>
      <w:r>
        <w:rPr>
          <w:rFonts w:hint="eastAsia"/>
          <w:color w:val="000000"/>
          <w:sz w:val="24"/>
        </w:rPr>
        <w:t xml:space="preserve"> </w:t>
      </w:r>
      <w:r>
        <w:rPr>
          <w:color w:val="000000"/>
          <w:sz w:val="24"/>
        </w:rPr>
        <w:t>监理设施进出场时间表</w:t>
      </w:r>
    </w:p>
    <w:p>
      <w:pPr>
        <w:pStyle w:val="61"/>
        <w:spacing w:before="77"/>
        <w:ind w:right="11"/>
        <w:jc w:val="center"/>
        <w:rPr>
          <w:szCs w:val="21"/>
        </w:rPr>
      </w:pPr>
      <w:r>
        <w:rPr>
          <w:szCs w:val="21"/>
        </w:rPr>
        <w:br w:type="page"/>
      </w:r>
    </w:p>
    <w:p>
      <w:pPr>
        <w:pStyle w:val="61"/>
        <w:spacing w:before="77"/>
        <w:ind w:right="11"/>
        <w:jc w:val="center"/>
        <w:rPr>
          <w:color w:val="000000"/>
        </w:rPr>
      </w:pPr>
      <w:r>
        <w:rPr>
          <w:rFonts w:hint="eastAsia"/>
          <w:color w:val="000000"/>
          <w:sz w:val="32"/>
          <w:szCs w:val="32"/>
        </w:rPr>
        <w:t>表1 监理服务费用报价汇总表</w:t>
      </w:r>
    </w:p>
    <w:p>
      <w:pPr>
        <w:pStyle w:val="61"/>
        <w:spacing w:before="77"/>
        <w:ind w:right="11"/>
        <w:jc w:val="right"/>
        <w:rPr>
          <w:color w:val="000000"/>
        </w:rPr>
      </w:pPr>
      <w:r>
        <w:rPr>
          <w:rFonts w:hint="eastAsia"/>
          <w:color w:val="000000"/>
        </w:rPr>
        <w:t>单位：人民币元</w:t>
      </w:r>
    </w:p>
    <w:tbl>
      <w:tblPr>
        <w:tblStyle w:val="40"/>
        <w:tblW w:w="8752" w:type="dxa"/>
        <w:jc w:val="center"/>
        <w:tblInd w:w="0" w:type="dxa"/>
        <w:tblLayout w:type="fixed"/>
        <w:tblCellMar>
          <w:top w:w="0" w:type="dxa"/>
          <w:left w:w="0" w:type="dxa"/>
          <w:bottom w:w="0" w:type="dxa"/>
          <w:right w:w="0" w:type="dxa"/>
        </w:tblCellMar>
      </w:tblPr>
      <w:tblGrid>
        <w:gridCol w:w="974"/>
        <w:gridCol w:w="2580"/>
        <w:gridCol w:w="1958"/>
        <w:gridCol w:w="1815"/>
        <w:gridCol w:w="1425"/>
      </w:tblGrid>
      <w:tr>
        <w:tblPrEx>
          <w:tblLayout w:type="fixed"/>
          <w:tblCellMar>
            <w:top w:w="0" w:type="dxa"/>
            <w:left w:w="0" w:type="dxa"/>
            <w:bottom w:w="0" w:type="dxa"/>
            <w:right w:w="0" w:type="dxa"/>
          </w:tblCellMar>
        </w:tblPrEx>
        <w:trPr>
          <w:trHeight w:val="526" w:hRule="exact"/>
          <w:jc w:val="center"/>
        </w:trPr>
        <w:tc>
          <w:tcPr>
            <w:tcW w:w="974" w:type="dxa"/>
            <w:tcBorders>
              <w:top w:val="single" w:color="000000" w:sz="8" w:space="0"/>
              <w:left w:val="single" w:color="000000" w:sz="8" w:space="0"/>
              <w:bottom w:val="single" w:color="000000" w:sz="4" w:space="0"/>
              <w:right w:val="single" w:color="000000" w:sz="4" w:space="0"/>
            </w:tcBorders>
          </w:tcPr>
          <w:p>
            <w:pPr>
              <w:pStyle w:val="61"/>
              <w:spacing w:before="77"/>
              <w:ind w:right="11"/>
              <w:jc w:val="center"/>
              <w:rPr>
                <w:color w:val="000000"/>
                <w:sz w:val="23"/>
                <w:szCs w:val="23"/>
              </w:rPr>
            </w:pPr>
            <w:r>
              <w:rPr>
                <w:color w:val="000000"/>
                <w:sz w:val="23"/>
                <w:szCs w:val="23"/>
              </w:rPr>
              <w:t>序号</w:t>
            </w:r>
          </w:p>
        </w:tc>
        <w:tc>
          <w:tcPr>
            <w:tcW w:w="2580" w:type="dxa"/>
            <w:tcBorders>
              <w:top w:val="single" w:color="000000" w:sz="8" w:space="0"/>
              <w:left w:val="single" w:color="000000" w:sz="4" w:space="0"/>
              <w:bottom w:val="single" w:color="000000" w:sz="4" w:space="0"/>
              <w:right w:val="single" w:color="000000" w:sz="4" w:space="0"/>
            </w:tcBorders>
          </w:tcPr>
          <w:p>
            <w:pPr>
              <w:pStyle w:val="61"/>
              <w:tabs>
                <w:tab w:val="left" w:pos="584"/>
              </w:tabs>
              <w:spacing w:before="81"/>
              <w:ind w:left="65"/>
              <w:jc w:val="center"/>
              <w:rPr>
                <w:color w:val="000000"/>
                <w:sz w:val="23"/>
                <w:szCs w:val="23"/>
              </w:rPr>
            </w:pPr>
            <w:r>
              <w:rPr>
                <w:color w:val="000000"/>
                <w:sz w:val="23"/>
                <w:szCs w:val="23"/>
              </w:rPr>
              <w:t>项</w:t>
            </w:r>
            <w:r>
              <w:rPr>
                <w:color w:val="000000"/>
                <w:sz w:val="23"/>
                <w:szCs w:val="23"/>
              </w:rPr>
              <w:tab/>
            </w:r>
            <w:r>
              <w:rPr>
                <w:color w:val="000000"/>
                <w:sz w:val="23"/>
                <w:szCs w:val="23"/>
              </w:rPr>
              <w:t>目</w:t>
            </w:r>
          </w:p>
        </w:tc>
        <w:tc>
          <w:tcPr>
            <w:tcW w:w="1958" w:type="dxa"/>
            <w:tcBorders>
              <w:top w:val="single" w:color="000000" w:sz="8" w:space="0"/>
              <w:left w:val="single" w:color="000000" w:sz="4" w:space="0"/>
              <w:bottom w:val="single" w:color="000000" w:sz="4" w:space="0"/>
              <w:right w:val="single" w:color="000000" w:sz="4" w:space="0"/>
            </w:tcBorders>
          </w:tcPr>
          <w:p>
            <w:pPr>
              <w:pStyle w:val="61"/>
              <w:spacing w:before="81"/>
              <w:ind w:right="12"/>
              <w:jc w:val="center"/>
              <w:rPr>
                <w:color w:val="000000"/>
                <w:sz w:val="23"/>
                <w:szCs w:val="23"/>
              </w:rPr>
            </w:pPr>
            <w:r>
              <w:rPr>
                <w:color w:val="000000"/>
                <w:sz w:val="23"/>
                <w:szCs w:val="23"/>
              </w:rPr>
              <w:t>施工期</w:t>
            </w:r>
          </w:p>
        </w:tc>
        <w:tc>
          <w:tcPr>
            <w:tcW w:w="1815" w:type="dxa"/>
            <w:tcBorders>
              <w:top w:val="single" w:color="000000" w:sz="8" w:space="0"/>
              <w:left w:val="single" w:color="000000" w:sz="4" w:space="0"/>
              <w:bottom w:val="single" w:color="000000" w:sz="4" w:space="0"/>
              <w:right w:val="single" w:color="000000" w:sz="4" w:space="0"/>
            </w:tcBorders>
          </w:tcPr>
          <w:p>
            <w:pPr>
              <w:pStyle w:val="61"/>
              <w:spacing w:before="77"/>
              <w:ind w:left="7" w:hanging="7"/>
              <w:jc w:val="center"/>
              <w:rPr>
                <w:color w:val="000000"/>
                <w:sz w:val="23"/>
                <w:szCs w:val="23"/>
              </w:rPr>
            </w:pPr>
            <w:r>
              <w:rPr>
                <w:color w:val="000000"/>
                <w:sz w:val="23"/>
                <w:szCs w:val="23"/>
              </w:rPr>
              <w:t>缺陷责任期</w:t>
            </w:r>
          </w:p>
        </w:tc>
        <w:tc>
          <w:tcPr>
            <w:tcW w:w="1425" w:type="dxa"/>
            <w:tcBorders>
              <w:top w:val="single" w:color="000000" w:sz="8" w:space="0"/>
              <w:left w:val="single" w:color="000000" w:sz="4" w:space="0"/>
              <w:bottom w:val="single" w:color="000000" w:sz="4" w:space="0"/>
              <w:right w:val="single" w:color="000000" w:sz="8" w:space="0"/>
            </w:tcBorders>
          </w:tcPr>
          <w:p>
            <w:pPr>
              <w:pStyle w:val="61"/>
              <w:spacing w:before="77"/>
              <w:ind w:left="8"/>
              <w:jc w:val="center"/>
              <w:rPr>
                <w:color w:val="000000"/>
                <w:sz w:val="23"/>
                <w:szCs w:val="23"/>
              </w:rPr>
            </w:pPr>
            <w:r>
              <w:rPr>
                <w:color w:val="000000"/>
                <w:sz w:val="23"/>
                <w:szCs w:val="23"/>
              </w:rPr>
              <w:t>小计金额</w:t>
            </w:r>
          </w:p>
        </w:tc>
      </w:tr>
      <w:tr>
        <w:tblPrEx>
          <w:tblLayout w:type="fixed"/>
          <w:tblCellMar>
            <w:top w:w="0" w:type="dxa"/>
            <w:left w:w="0" w:type="dxa"/>
            <w:bottom w:w="0" w:type="dxa"/>
            <w:right w:w="0" w:type="dxa"/>
          </w:tblCellMar>
        </w:tblPrEx>
        <w:trPr>
          <w:trHeight w:val="521" w:hRule="exact"/>
          <w:jc w:val="center"/>
        </w:trPr>
        <w:tc>
          <w:tcPr>
            <w:tcW w:w="974" w:type="dxa"/>
            <w:tcBorders>
              <w:top w:val="single" w:color="000000" w:sz="4" w:space="0"/>
              <w:left w:val="single" w:color="000000" w:sz="8" w:space="0"/>
              <w:bottom w:val="single" w:color="000000" w:sz="4" w:space="0"/>
              <w:right w:val="single" w:color="000000" w:sz="4" w:space="0"/>
            </w:tcBorders>
          </w:tcPr>
          <w:p>
            <w:pPr>
              <w:pStyle w:val="61"/>
              <w:spacing w:before="131"/>
              <w:ind w:right="1"/>
              <w:jc w:val="center"/>
              <w:rPr>
                <w:rFonts w:eastAsia="Times New Roman"/>
                <w:color w:val="000000"/>
                <w:sz w:val="24"/>
              </w:rPr>
            </w:pPr>
            <w:r>
              <w:rPr>
                <w:rFonts w:hint="eastAsia" w:eastAsia="Times New Roman"/>
                <w:color w:val="000000"/>
                <w:sz w:val="24"/>
              </w:rPr>
              <w:t>1</w:t>
            </w:r>
          </w:p>
        </w:tc>
        <w:tc>
          <w:tcPr>
            <w:tcW w:w="2580" w:type="dxa"/>
            <w:tcBorders>
              <w:top w:val="single" w:color="000000" w:sz="4" w:space="0"/>
              <w:left w:val="single" w:color="000000" w:sz="4" w:space="0"/>
              <w:bottom w:val="single" w:color="000000" w:sz="4" w:space="0"/>
              <w:right w:val="single" w:color="000000" w:sz="4" w:space="0"/>
            </w:tcBorders>
          </w:tcPr>
          <w:p>
            <w:pPr>
              <w:pStyle w:val="61"/>
              <w:spacing w:before="74"/>
              <w:ind w:right="14"/>
              <w:jc w:val="center"/>
              <w:rPr>
                <w:color w:val="000000"/>
                <w:sz w:val="23"/>
                <w:szCs w:val="23"/>
              </w:rPr>
            </w:pPr>
            <w:r>
              <w:rPr>
                <w:color w:val="000000"/>
                <w:sz w:val="23"/>
                <w:szCs w:val="23"/>
              </w:rPr>
              <w:t>监理人员服务费</w:t>
            </w:r>
          </w:p>
        </w:tc>
        <w:tc>
          <w:tcPr>
            <w:tcW w:w="1958" w:type="dxa"/>
            <w:tcBorders>
              <w:top w:val="single" w:color="000000" w:sz="4" w:space="0"/>
              <w:left w:val="single" w:color="000000" w:sz="4" w:space="0"/>
              <w:bottom w:val="single" w:color="000000" w:sz="4" w:space="0"/>
              <w:right w:val="single" w:color="000000" w:sz="4" w:space="0"/>
            </w:tcBorders>
          </w:tcPr>
          <w:p>
            <w:pPr>
              <w:rPr>
                <w:color w:val="000000"/>
              </w:rPr>
            </w:pPr>
          </w:p>
        </w:tc>
        <w:tc>
          <w:tcPr>
            <w:tcW w:w="18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425"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77" w:hRule="exact"/>
          <w:jc w:val="center"/>
        </w:trPr>
        <w:tc>
          <w:tcPr>
            <w:tcW w:w="974" w:type="dxa"/>
            <w:tcBorders>
              <w:top w:val="single" w:color="000000" w:sz="4" w:space="0"/>
              <w:left w:val="single" w:color="000000" w:sz="8" w:space="0"/>
              <w:bottom w:val="single" w:color="000000" w:sz="4" w:space="0"/>
              <w:right w:val="single" w:color="000000" w:sz="4" w:space="0"/>
            </w:tcBorders>
          </w:tcPr>
          <w:p>
            <w:pPr>
              <w:pStyle w:val="61"/>
              <w:spacing w:before="131"/>
              <w:ind w:right="1"/>
              <w:jc w:val="center"/>
              <w:rPr>
                <w:rFonts w:eastAsia="Times New Roman"/>
                <w:color w:val="000000"/>
                <w:sz w:val="24"/>
              </w:rPr>
            </w:pPr>
            <w:r>
              <w:rPr>
                <w:rFonts w:eastAsia="Times New Roman"/>
                <w:color w:val="000000"/>
                <w:sz w:val="24"/>
              </w:rPr>
              <w:t>2</w:t>
            </w:r>
          </w:p>
        </w:tc>
        <w:tc>
          <w:tcPr>
            <w:tcW w:w="2580" w:type="dxa"/>
            <w:tcBorders>
              <w:top w:val="single" w:color="000000" w:sz="4" w:space="0"/>
              <w:left w:val="single" w:color="000000" w:sz="4" w:space="0"/>
              <w:bottom w:val="single" w:color="000000" w:sz="4" w:space="0"/>
              <w:right w:val="single" w:color="000000" w:sz="4" w:space="0"/>
            </w:tcBorders>
          </w:tcPr>
          <w:p>
            <w:pPr>
              <w:pStyle w:val="61"/>
              <w:spacing w:before="72"/>
              <w:ind w:left="25"/>
              <w:jc w:val="center"/>
              <w:rPr>
                <w:color w:val="000000"/>
                <w:sz w:val="23"/>
                <w:szCs w:val="23"/>
              </w:rPr>
            </w:pPr>
            <w:r>
              <w:rPr>
                <w:color w:val="000000"/>
                <w:sz w:val="23"/>
                <w:szCs w:val="23"/>
              </w:rPr>
              <w:t>监理办公设施费</w:t>
            </w:r>
          </w:p>
        </w:tc>
        <w:tc>
          <w:tcPr>
            <w:tcW w:w="1958" w:type="dxa"/>
            <w:tcBorders>
              <w:top w:val="single" w:color="000000" w:sz="4" w:space="0"/>
              <w:left w:val="single" w:color="000000" w:sz="4" w:space="0"/>
              <w:bottom w:val="single" w:color="000000" w:sz="4" w:space="0"/>
              <w:right w:val="single" w:color="000000" w:sz="4" w:space="0"/>
            </w:tcBorders>
          </w:tcPr>
          <w:p>
            <w:pPr>
              <w:rPr>
                <w:color w:val="000000"/>
              </w:rPr>
            </w:pPr>
          </w:p>
        </w:tc>
        <w:tc>
          <w:tcPr>
            <w:tcW w:w="18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425"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650" w:hRule="exact"/>
          <w:jc w:val="center"/>
        </w:trPr>
        <w:tc>
          <w:tcPr>
            <w:tcW w:w="974" w:type="dxa"/>
            <w:tcBorders>
              <w:top w:val="single" w:color="000000" w:sz="4" w:space="0"/>
              <w:left w:val="single" w:color="000000" w:sz="8" w:space="0"/>
              <w:bottom w:val="single" w:color="000000" w:sz="4" w:space="0"/>
              <w:right w:val="single" w:color="000000" w:sz="4" w:space="0"/>
            </w:tcBorders>
          </w:tcPr>
          <w:p>
            <w:pPr>
              <w:pStyle w:val="61"/>
              <w:spacing w:before="198"/>
              <w:ind w:left="2"/>
              <w:jc w:val="center"/>
              <w:rPr>
                <w:rFonts w:eastAsia="Times New Roman"/>
                <w:color w:val="000000"/>
                <w:sz w:val="24"/>
              </w:rPr>
            </w:pPr>
            <w:r>
              <w:rPr>
                <w:color w:val="000000"/>
                <w:sz w:val="24"/>
              </w:rPr>
              <w:t>3</w:t>
            </w:r>
          </w:p>
        </w:tc>
        <w:tc>
          <w:tcPr>
            <w:tcW w:w="2580" w:type="dxa"/>
            <w:tcBorders>
              <w:top w:val="single" w:color="000000" w:sz="4" w:space="0"/>
              <w:left w:val="single" w:color="000000" w:sz="4" w:space="0"/>
              <w:bottom w:val="single" w:color="000000" w:sz="4" w:space="0"/>
              <w:right w:val="single" w:color="000000" w:sz="4" w:space="0"/>
            </w:tcBorders>
          </w:tcPr>
          <w:p>
            <w:pPr>
              <w:pStyle w:val="61"/>
              <w:spacing w:line="287" w:lineRule="exact"/>
              <w:ind w:right="14"/>
              <w:jc w:val="center"/>
              <w:rPr>
                <w:color w:val="000000"/>
                <w:sz w:val="23"/>
                <w:szCs w:val="23"/>
              </w:rPr>
            </w:pPr>
            <w:r>
              <w:rPr>
                <w:color w:val="000000"/>
                <w:sz w:val="23"/>
                <w:szCs w:val="23"/>
              </w:rPr>
              <w:t>监理交通设施费</w:t>
            </w:r>
          </w:p>
          <w:p>
            <w:pPr>
              <w:pStyle w:val="61"/>
              <w:spacing w:before="20"/>
              <w:ind w:left="12"/>
              <w:jc w:val="center"/>
              <w:rPr>
                <w:color w:val="000000"/>
                <w:sz w:val="23"/>
                <w:szCs w:val="23"/>
              </w:rPr>
            </w:pPr>
            <w:r>
              <w:rPr>
                <w:color w:val="000000"/>
                <w:sz w:val="23"/>
                <w:szCs w:val="23"/>
              </w:rPr>
              <w:t>（含燃料消耗等费用）</w:t>
            </w:r>
          </w:p>
        </w:tc>
        <w:tc>
          <w:tcPr>
            <w:tcW w:w="1958" w:type="dxa"/>
            <w:tcBorders>
              <w:top w:val="single" w:color="000000" w:sz="4" w:space="0"/>
              <w:left w:val="single" w:color="000000" w:sz="4" w:space="0"/>
              <w:bottom w:val="single" w:color="000000" w:sz="4" w:space="0"/>
              <w:right w:val="single" w:color="000000" w:sz="4" w:space="0"/>
            </w:tcBorders>
          </w:tcPr>
          <w:p>
            <w:pPr>
              <w:rPr>
                <w:color w:val="000000"/>
              </w:rPr>
            </w:pPr>
          </w:p>
        </w:tc>
        <w:tc>
          <w:tcPr>
            <w:tcW w:w="18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425"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521" w:hRule="exact"/>
          <w:jc w:val="center"/>
        </w:trPr>
        <w:tc>
          <w:tcPr>
            <w:tcW w:w="974" w:type="dxa"/>
            <w:tcBorders>
              <w:top w:val="single" w:color="000000" w:sz="4" w:space="0"/>
              <w:left w:val="single" w:color="000000" w:sz="8" w:space="0"/>
              <w:bottom w:val="single" w:color="000000" w:sz="4" w:space="0"/>
              <w:right w:val="single" w:color="000000" w:sz="4" w:space="0"/>
            </w:tcBorders>
          </w:tcPr>
          <w:p>
            <w:pPr>
              <w:pStyle w:val="61"/>
              <w:spacing w:before="133"/>
              <w:ind w:right="4"/>
              <w:jc w:val="center"/>
              <w:rPr>
                <w:rFonts w:eastAsia="Times New Roman"/>
                <w:color w:val="000000"/>
                <w:sz w:val="24"/>
              </w:rPr>
            </w:pPr>
            <w:r>
              <w:rPr>
                <w:color w:val="000000"/>
                <w:sz w:val="24"/>
              </w:rPr>
              <w:t>4</w:t>
            </w:r>
          </w:p>
        </w:tc>
        <w:tc>
          <w:tcPr>
            <w:tcW w:w="2580" w:type="dxa"/>
            <w:tcBorders>
              <w:top w:val="single" w:color="000000" w:sz="4" w:space="0"/>
              <w:left w:val="single" w:color="000000" w:sz="4" w:space="0"/>
              <w:bottom w:val="single" w:color="000000" w:sz="4" w:space="0"/>
              <w:right w:val="single" w:color="000000" w:sz="4" w:space="0"/>
            </w:tcBorders>
          </w:tcPr>
          <w:p>
            <w:pPr>
              <w:pStyle w:val="61"/>
              <w:spacing w:before="74"/>
              <w:ind w:right="3"/>
              <w:jc w:val="center"/>
              <w:rPr>
                <w:color w:val="000000"/>
                <w:sz w:val="23"/>
                <w:szCs w:val="23"/>
              </w:rPr>
            </w:pPr>
            <w:r>
              <w:rPr>
                <w:color w:val="000000"/>
                <w:sz w:val="23"/>
                <w:szCs w:val="23"/>
              </w:rPr>
              <w:t>监理试验设施费</w:t>
            </w:r>
          </w:p>
        </w:tc>
        <w:tc>
          <w:tcPr>
            <w:tcW w:w="1958" w:type="dxa"/>
            <w:tcBorders>
              <w:top w:val="single" w:color="000000" w:sz="4" w:space="0"/>
              <w:left w:val="single" w:color="000000" w:sz="4" w:space="0"/>
              <w:bottom w:val="single" w:color="000000" w:sz="4" w:space="0"/>
              <w:right w:val="single" w:color="000000" w:sz="4" w:space="0"/>
            </w:tcBorders>
          </w:tcPr>
          <w:p>
            <w:pPr>
              <w:rPr>
                <w:color w:val="000000"/>
              </w:rPr>
            </w:pPr>
          </w:p>
        </w:tc>
        <w:tc>
          <w:tcPr>
            <w:tcW w:w="18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425"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521" w:hRule="exact"/>
          <w:jc w:val="center"/>
        </w:trPr>
        <w:tc>
          <w:tcPr>
            <w:tcW w:w="974" w:type="dxa"/>
            <w:tcBorders>
              <w:top w:val="single" w:color="000000" w:sz="4" w:space="0"/>
              <w:left w:val="single" w:color="000000" w:sz="8" w:space="0"/>
              <w:bottom w:val="single" w:color="000000" w:sz="4" w:space="0"/>
              <w:right w:val="single" w:color="000000" w:sz="4" w:space="0"/>
            </w:tcBorders>
          </w:tcPr>
          <w:p>
            <w:pPr>
              <w:pStyle w:val="61"/>
              <w:spacing w:before="136"/>
              <w:ind w:left="9"/>
              <w:jc w:val="center"/>
              <w:rPr>
                <w:rFonts w:eastAsia="Times New Roman"/>
                <w:color w:val="000000"/>
                <w:sz w:val="24"/>
              </w:rPr>
            </w:pPr>
            <w:r>
              <w:rPr>
                <w:color w:val="000000"/>
                <w:sz w:val="24"/>
              </w:rPr>
              <w:t>5</w:t>
            </w:r>
          </w:p>
        </w:tc>
        <w:tc>
          <w:tcPr>
            <w:tcW w:w="2580" w:type="dxa"/>
            <w:tcBorders>
              <w:top w:val="single" w:color="000000" w:sz="4" w:space="0"/>
              <w:left w:val="single" w:color="000000" w:sz="4" w:space="0"/>
              <w:bottom w:val="single" w:color="000000" w:sz="4" w:space="0"/>
              <w:right w:val="single" w:color="000000" w:sz="4" w:space="0"/>
            </w:tcBorders>
          </w:tcPr>
          <w:p>
            <w:pPr>
              <w:pStyle w:val="61"/>
              <w:spacing w:before="81"/>
              <w:ind w:right="14"/>
              <w:jc w:val="center"/>
              <w:rPr>
                <w:color w:val="000000"/>
                <w:sz w:val="23"/>
                <w:szCs w:val="23"/>
              </w:rPr>
            </w:pPr>
            <w:r>
              <w:rPr>
                <w:color w:val="000000"/>
                <w:sz w:val="23"/>
                <w:szCs w:val="23"/>
              </w:rPr>
              <w:t>监理生活设施费</w:t>
            </w:r>
          </w:p>
        </w:tc>
        <w:tc>
          <w:tcPr>
            <w:tcW w:w="1958" w:type="dxa"/>
            <w:tcBorders>
              <w:top w:val="single" w:color="000000" w:sz="4" w:space="0"/>
              <w:left w:val="single" w:color="000000" w:sz="4" w:space="0"/>
              <w:bottom w:val="single" w:color="000000" w:sz="4" w:space="0"/>
              <w:right w:val="single" w:color="000000" w:sz="4" w:space="0"/>
            </w:tcBorders>
          </w:tcPr>
          <w:p>
            <w:pPr>
              <w:rPr>
                <w:color w:val="000000"/>
              </w:rPr>
            </w:pPr>
          </w:p>
        </w:tc>
        <w:tc>
          <w:tcPr>
            <w:tcW w:w="18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425"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518" w:hRule="exact"/>
          <w:jc w:val="center"/>
        </w:trPr>
        <w:tc>
          <w:tcPr>
            <w:tcW w:w="974" w:type="dxa"/>
            <w:tcBorders>
              <w:top w:val="single" w:color="000000" w:sz="4" w:space="0"/>
              <w:left w:val="single" w:color="000000" w:sz="8" w:space="0"/>
              <w:bottom w:val="single" w:color="000000" w:sz="4" w:space="0"/>
              <w:right w:val="single" w:color="000000" w:sz="4" w:space="0"/>
            </w:tcBorders>
          </w:tcPr>
          <w:p>
            <w:pPr>
              <w:pStyle w:val="61"/>
              <w:spacing w:before="128"/>
              <w:ind w:left="10"/>
              <w:jc w:val="center"/>
              <w:rPr>
                <w:rFonts w:eastAsia="Times New Roman"/>
                <w:color w:val="000000"/>
                <w:sz w:val="24"/>
              </w:rPr>
            </w:pPr>
            <w:r>
              <w:rPr>
                <w:color w:val="000000"/>
                <w:sz w:val="24"/>
              </w:rPr>
              <w:t>6</w:t>
            </w:r>
          </w:p>
        </w:tc>
        <w:tc>
          <w:tcPr>
            <w:tcW w:w="6353" w:type="dxa"/>
            <w:gridSpan w:val="3"/>
            <w:tcBorders>
              <w:top w:val="single" w:color="000000" w:sz="4" w:space="0"/>
              <w:left w:val="single" w:color="000000" w:sz="4" w:space="0"/>
              <w:bottom w:val="single" w:color="000000" w:sz="4" w:space="0"/>
              <w:right w:val="single" w:color="000000" w:sz="4" w:space="0"/>
            </w:tcBorders>
          </w:tcPr>
          <w:p>
            <w:pPr>
              <w:pStyle w:val="61"/>
              <w:spacing w:before="65"/>
              <w:ind w:left="5" w:hanging="5"/>
              <w:jc w:val="center"/>
              <w:rPr>
                <w:rFonts w:eastAsia="Times New Roman"/>
                <w:color w:val="000000"/>
                <w:sz w:val="24"/>
              </w:rPr>
            </w:pPr>
            <w:r>
              <w:rPr>
                <w:color w:val="000000"/>
                <w:sz w:val="23"/>
                <w:szCs w:val="23"/>
              </w:rPr>
              <w:t xml:space="preserve">各项费用合计 （ </w:t>
            </w:r>
            <w:r>
              <w:rPr>
                <w:rFonts w:eastAsia="Times New Roman"/>
                <w:color w:val="000000"/>
                <w:sz w:val="24"/>
              </w:rPr>
              <w:t>6=1+2+3+4+5 )</w:t>
            </w:r>
          </w:p>
        </w:tc>
        <w:tc>
          <w:tcPr>
            <w:tcW w:w="1425"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521" w:hRule="exact"/>
          <w:jc w:val="center"/>
        </w:trPr>
        <w:tc>
          <w:tcPr>
            <w:tcW w:w="974" w:type="dxa"/>
            <w:tcBorders>
              <w:top w:val="single" w:color="000000" w:sz="4" w:space="0"/>
              <w:left w:val="single" w:color="000000" w:sz="8" w:space="0"/>
              <w:bottom w:val="single" w:color="000000" w:sz="4" w:space="0"/>
              <w:right w:val="single" w:color="000000" w:sz="4" w:space="0"/>
            </w:tcBorders>
          </w:tcPr>
          <w:p>
            <w:pPr>
              <w:pStyle w:val="61"/>
              <w:spacing w:before="133"/>
              <w:ind w:left="1"/>
              <w:jc w:val="center"/>
              <w:rPr>
                <w:rFonts w:eastAsia="Times New Roman"/>
                <w:color w:val="000000"/>
                <w:sz w:val="24"/>
              </w:rPr>
            </w:pPr>
            <w:r>
              <w:rPr>
                <w:color w:val="000000"/>
                <w:sz w:val="24"/>
              </w:rPr>
              <w:t>7</w:t>
            </w:r>
          </w:p>
        </w:tc>
        <w:tc>
          <w:tcPr>
            <w:tcW w:w="6353" w:type="dxa"/>
            <w:gridSpan w:val="3"/>
            <w:tcBorders>
              <w:top w:val="single" w:color="000000" w:sz="4" w:space="0"/>
              <w:left w:val="single" w:color="000000" w:sz="4" w:space="0"/>
              <w:bottom w:val="single" w:color="000000" w:sz="4" w:space="0"/>
              <w:right w:val="single" w:color="000000" w:sz="4" w:space="0"/>
            </w:tcBorders>
          </w:tcPr>
          <w:p>
            <w:pPr>
              <w:pStyle w:val="61"/>
              <w:spacing w:before="69"/>
              <w:ind w:left="5" w:right="92" w:hanging="5"/>
              <w:jc w:val="center"/>
              <w:rPr>
                <w:color w:val="000000"/>
                <w:sz w:val="23"/>
                <w:szCs w:val="23"/>
              </w:rPr>
            </w:pPr>
            <w:r>
              <w:rPr>
                <w:color w:val="000000"/>
                <w:sz w:val="23"/>
                <w:szCs w:val="23"/>
              </w:rPr>
              <w:t xml:space="preserve">利润 （按 </w:t>
            </w:r>
            <w:r>
              <w:rPr>
                <w:rFonts w:eastAsia="Times New Roman"/>
                <w:color w:val="000000"/>
                <w:sz w:val="24"/>
              </w:rPr>
              <w:t xml:space="preserve">6 </w:t>
            </w:r>
            <w:r>
              <w:rPr>
                <w:color w:val="000000"/>
                <w:sz w:val="23"/>
                <w:szCs w:val="23"/>
              </w:rPr>
              <w:t>的百分比报价）</w:t>
            </w:r>
          </w:p>
        </w:tc>
        <w:tc>
          <w:tcPr>
            <w:tcW w:w="1425"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521" w:hRule="exact"/>
          <w:jc w:val="center"/>
        </w:trPr>
        <w:tc>
          <w:tcPr>
            <w:tcW w:w="974" w:type="dxa"/>
            <w:tcBorders>
              <w:top w:val="single" w:color="000000" w:sz="4" w:space="0"/>
              <w:left w:val="single" w:color="000000" w:sz="8" w:space="0"/>
              <w:bottom w:val="single" w:color="000000" w:sz="4" w:space="0"/>
              <w:right w:val="single" w:color="000000" w:sz="4" w:space="0"/>
            </w:tcBorders>
          </w:tcPr>
          <w:p>
            <w:pPr>
              <w:pStyle w:val="61"/>
              <w:spacing w:before="136"/>
              <w:ind w:left="16"/>
              <w:jc w:val="center"/>
              <w:rPr>
                <w:rFonts w:eastAsia="Times New Roman"/>
                <w:color w:val="000000"/>
                <w:sz w:val="24"/>
              </w:rPr>
            </w:pPr>
            <w:r>
              <w:rPr>
                <w:color w:val="000000"/>
                <w:sz w:val="24"/>
              </w:rPr>
              <w:t>8</w:t>
            </w:r>
          </w:p>
        </w:tc>
        <w:tc>
          <w:tcPr>
            <w:tcW w:w="6353" w:type="dxa"/>
            <w:gridSpan w:val="3"/>
            <w:tcBorders>
              <w:top w:val="single" w:color="000000" w:sz="4" w:space="0"/>
              <w:left w:val="single" w:color="000000" w:sz="4" w:space="0"/>
              <w:bottom w:val="single" w:color="000000" w:sz="4" w:space="0"/>
              <w:right w:val="single" w:color="000000" w:sz="4" w:space="0"/>
            </w:tcBorders>
          </w:tcPr>
          <w:p>
            <w:pPr>
              <w:pStyle w:val="61"/>
              <w:tabs>
                <w:tab w:val="left" w:pos="5827"/>
              </w:tabs>
              <w:spacing w:before="62"/>
              <w:ind w:left="5" w:hanging="5"/>
              <w:jc w:val="center"/>
              <w:rPr>
                <w:color w:val="000000"/>
                <w:sz w:val="23"/>
                <w:szCs w:val="23"/>
              </w:rPr>
            </w:pPr>
            <w:r>
              <w:rPr>
                <w:color w:val="000000"/>
                <w:position w:val="1"/>
                <w:sz w:val="23"/>
                <w:szCs w:val="23"/>
              </w:rPr>
              <w:t xml:space="preserve">暂列金额 （ </w:t>
            </w:r>
            <w:r>
              <w:rPr>
                <w:rFonts w:eastAsia="Times New Roman"/>
                <w:color w:val="000000"/>
                <w:position w:val="1"/>
                <w:sz w:val="24"/>
              </w:rPr>
              <w:t>8= (6+7</w:t>
            </w:r>
            <w:r>
              <w:rPr>
                <w:color w:val="000000"/>
                <w:position w:val="1"/>
                <w:sz w:val="23"/>
                <w:szCs w:val="23"/>
              </w:rPr>
              <w:t>）×</w:t>
            </w:r>
            <w:r>
              <w:rPr>
                <w:rFonts w:hint="eastAsia"/>
                <w:color w:val="000000"/>
                <w:position w:val="1"/>
                <w:sz w:val="23"/>
                <w:szCs w:val="23"/>
                <w:u w:val="single"/>
              </w:rPr>
              <w:t xml:space="preserve">  </w:t>
            </w:r>
            <w:r>
              <w:rPr>
                <w:color w:val="000000"/>
                <w:sz w:val="23"/>
                <w:szCs w:val="23"/>
              </w:rPr>
              <w:t>%）</w:t>
            </w:r>
          </w:p>
        </w:tc>
        <w:tc>
          <w:tcPr>
            <w:tcW w:w="1425"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526" w:hRule="exact"/>
          <w:jc w:val="center"/>
        </w:trPr>
        <w:tc>
          <w:tcPr>
            <w:tcW w:w="974" w:type="dxa"/>
            <w:tcBorders>
              <w:top w:val="single" w:color="000000" w:sz="4" w:space="0"/>
              <w:left w:val="single" w:color="000000" w:sz="8" w:space="0"/>
              <w:bottom w:val="single" w:color="000000" w:sz="8" w:space="0"/>
              <w:right w:val="single" w:color="000000" w:sz="4" w:space="0"/>
            </w:tcBorders>
          </w:tcPr>
          <w:p>
            <w:pPr>
              <w:pStyle w:val="61"/>
              <w:spacing w:before="128"/>
              <w:ind w:left="2"/>
              <w:jc w:val="center"/>
              <w:rPr>
                <w:rFonts w:eastAsia="Times New Roman"/>
                <w:color w:val="000000"/>
                <w:sz w:val="24"/>
              </w:rPr>
            </w:pPr>
            <w:r>
              <w:rPr>
                <w:color w:val="000000"/>
                <w:sz w:val="24"/>
              </w:rPr>
              <w:t>9</w:t>
            </w:r>
          </w:p>
        </w:tc>
        <w:tc>
          <w:tcPr>
            <w:tcW w:w="6353" w:type="dxa"/>
            <w:gridSpan w:val="3"/>
            <w:tcBorders>
              <w:top w:val="single" w:color="000000" w:sz="4" w:space="0"/>
              <w:left w:val="single" w:color="000000" w:sz="4" w:space="0"/>
              <w:bottom w:val="single" w:color="000000" w:sz="8" w:space="0"/>
              <w:right w:val="single" w:color="000000" w:sz="4" w:space="0"/>
            </w:tcBorders>
          </w:tcPr>
          <w:p>
            <w:pPr>
              <w:pStyle w:val="61"/>
              <w:spacing w:before="65"/>
              <w:ind w:left="5" w:right="112" w:hanging="5"/>
              <w:jc w:val="center"/>
              <w:rPr>
                <w:rFonts w:eastAsia="Times New Roman"/>
                <w:color w:val="000000"/>
                <w:sz w:val="24"/>
              </w:rPr>
            </w:pPr>
            <w:r>
              <w:rPr>
                <w:color w:val="000000"/>
                <w:sz w:val="23"/>
                <w:szCs w:val="23"/>
              </w:rPr>
              <w:t>投标报价总计  （</w:t>
            </w:r>
            <w:r>
              <w:rPr>
                <w:rFonts w:eastAsia="Times New Roman"/>
                <w:color w:val="000000"/>
                <w:sz w:val="24"/>
              </w:rPr>
              <w:t>9=6+7+8)</w:t>
            </w:r>
          </w:p>
        </w:tc>
        <w:tc>
          <w:tcPr>
            <w:tcW w:w="1425" w:type="dxa"/>
            <w:tcBorders>
              <w:top w:val="single" w:color="000000" w:sz="4" w:space="0"/>
              <w:left w:val="single" w:color="000000" w:sz="4" w:space="0"/>
              <w:bottom w:val="single" w:color="000000" w:sz="8" w:space="0"/>
              <w:right w:val="single" w:color="000000" w:sz="8" w:space="0"/>
            </w:tcBorders>
          </w:tcPr>
          <w:p>
            <w:pPr>
              <w:rPr>
                <w:color w:val="000000"/>
              </w:rPr>
            </w:pPr>
          </w:p>
        </w:tc>
      </w:tr>
    </w:tbl>
    <w:p>
      <w:pPr>
        <w:tabs>
          <w:tab w:val="left" w:pos="883"/>
        </w:tabs>
        <w:spacing w:before="4" w:after="32"/>
        <w:ind w:right="216"/>
        <w:jc w:val="center"/>
        <w:rPr>
          <w:color w:val="000000"/>
          <w:sz w:val="32"/>
          <w:szCs w:val="32"/>
        </w:rPr>
        <w:sectPr>
          <w:headerReference r:id="rId13" w:type="default"/>
          <w:endnotePr>
            <w:numFmt w:val="decimal"/>
          </w:endnotePr>
          <w:pgSz w:w="11906" w:h="16838"/>
          <w:pgMar w:top="1304" w:right="1304" w:bottom="1304" w:left="1361" w:header="907" w:footer="907" w:gutter="0"/>
          <w:cols w:space="720" w:num="1"/>
          <w:docGrid w:linePitch="312" w:charSpace="0"/>
        </w:sectPr>
      </w:pPr>
    </w:p>
    <w:p>
      <w:pPr>
        <w:tabs>
          <w:tab w:val="left" w:pos="883"/>
        </w:tabs>
        <w:spacing w:before="4" w:after="32"/>
        <w:ind w:right="216"/>
        <w:jc w:val="center"/>
        <w:rPr>
          <w:color w:val="000000"/>
          <w:sz w:val="32"/>
          <w:szCs w:val="32"/>
        </w:rPr>
      </w:pPr>
      <w:r>
        <w:rPr>
          <w:rFonts w:hint="eastAsia"/>
          <w:color w:val="000000"/>
          <w:sz w:val="32"/>
          <w:szCs w:val="32"/>
        </w:rPr>
        <w:t>表2 监理人员服务费报价表</w:t>
      </w:r>
    </w:p>
    <w:tbl>
      <w:tblPr>
        <w:tblStyle w:val="40"/>
        <w:tblW w:w="14169" w:type="dxa"/>
        <w:tblInd w:w="119" w:type="dxa"/>
        <w:tblLayout w:type="fixed"/>
        <w:tblCellMar>
          <w:top w:w="0" w:type="dxa"/>
          <w:left w:w="0" w:type="dxa"/>
          <w:bottom w:w="0" w:type="dxa"/>
          <w:right w:w="0" w:type="dxa"/>
        </w:tblCellMar>
      </w:tblPr>
      <w:tblGrid>
        <w:gridCol w:w="648"/>
        <w:gridCol w:w="3062"/>
        <w:gridCol w:w="1742"/>
        <w:gridCol w:w="1747"/>
        <w:gridCol w:w="1743"/>
        <w:gridCol w:w="1740"/>
        <w:gridCol w:w="1745"/>
        <w:gridCol w:w="1742"/>
      </w:tblGrid>
      <w:tr>
        <w:tblPrEx>
          <w:tblLayout w:type="fixed"/>
          <w:tblCellMar>
            <w:top w:w="0" w:type="dxa"/>
            <w:left w:w="0" w:type="dxa"/>
            <w:bottom w:w="0" w:type="dxa"/>
            <w:right w:w="0" w:type="dxa"/>
          </w:tblCellMar>
        </w:tblPrEx>
        <w:trPr>
          <w:trHeight w:val="577" w:hRule="exact"/>
        </w:trPr>
        <w:tc>
          <w:tcPr>
            <w:tcW w:w="648" w:type="dxa"/>
            <w:vMerge w:val="restart"/>
            <w:tcBorders>
              <w:top w:val="single" w:color="000000" w:sz="4" w:space="0"/>
              <w:left w:val="single" w:color="000000" w:sz="4" w:space="0"/>
              <w:right w:val="single" w:color="000000" w:sz="4" w:space="0"/>
            </w:tcBorders>
            <w:vAlign w:val="center"/>
          </w:tcPr>
          <w:p>
            <w:pPr>
              <w:pStyle w:val="61"/>
              <w:spacing w:before="7"/>
              <w:jc w:val="center"/>
              <w:rPr>
                <w:color w:val="000000"/>
                <w:sz w:val="16"/>
                <w:szCs w:val="16"/>
              </w:rPr>
            </w:pPr>
          </w:p>
          <w:p>
            <w:pPr>
              <w:pStyle w:val="61"/>
              <w:spacing w:before="58"/>
              <w:ind w:left="205"/>
              <w:jc w:val="center"/>
              <w:rPr>
                <w:color w:val="000000"/>
                <w:sz w:val="14"/>
                <w:szCs w:val="14"/>
              </w:rPr>
            </w:pPr>
            <w:r>
              <w:rPr>
                <w:rFonts w:hint="eastAsia"/>
                <w:color w:val="000000"/>
                <w:sz w:val="23"/>
                <w:szCs w:val="23"/>
              </w:rPr>
              <w:t>序号</w:t>
            </w:r>
          </w:p>
        </w:tc>
        <w:tc>
          <w:tcPr>
            <w:tcW w:w="3062" w:type="dxa"/>
            <w:vMerge w:val="restart"/>
            <w:tcBorders>
              <w:top w:val="single" w:color="000000" w:sz="4" w:space="0"/>
              <w:left w:val="single" w:color="000000" w:sz="4" w:space="0"/>
              <w:right w:val="single" w:color="000000" w:sz="4" w:space="0"/>
            </w:tcBorders>
            <w:vAlign w:val="center"/>
          </w:tcPr>
          <w:p>
            <w:pPr>
              <w:pStyle w:val="61"/>
              <w:spacing w:before="6"/>
              <w:jc w:val="center"/>
              <w:rPr>
                <w:color w:val="000000"/>
                <w:sz w:val="19"/>
                <w:szCs w:val="19"/>
              </w:rPr>
            </w:pPr>
          </w:p>
          <w:p>
            <w:pPr>
              <w:pStyle w:val="61"/>
              <w:ind w:left="5"/>
              <w:jc w:val="center"/>
              <w:rPr>
                <w:color w:val="000000"/>
                <w:sz w:val="23"/>
                <w:szCs w:val="23"/>
              </w:rPr>
            </w:pPr>
            <w:r>
              <w:rPr>
                <w:color w:val="000000"/>
                <w:sz w:val="23"/>
                <w:szCs w:val="23"/>
              </w:rPr>
              <w:t>人员</w:t>
            </w:r>
          </w:p>
        </w:tc>
        <w:tc>
          <w:tcPr>
            <w:tcW w:w="5232" w:type="dxa"/>
            <w:gridSpan w:val="3"/>
            <w:tcBorders>
              <w:top w:val="single" w:color="000000" w:sz="4" w:space="0"/>
              <w:left w:val="single" w:color="000000" w:sz="4" w:space="0"/>
              <w:bottom w:val="single" w:color="000000" w:sz="2" w:space="0"/>
              <w:right w:val="single" w:color="000000" w:sz="4" w:space="0"/>
            </w:tcBorders>
            <w:vAlign w:val="center"/>
          </w:tcPr>
          <w:p>
            <w:pPr>
              <w:pStyle w:val="61"/>
              <w:spacing w:before="57"/>
              <w:ind w:right="12"/>
              <w:jc w:val="center"/>
              <w:rPr>
                <w:color w:val="000000"/>
                <w:sz w:val="23"/>
                <w:szCs w:val="23"/>
              </w:rPr>
            </w:pPr>
            <w:r>
              <w:rPr>
                <w:color w:val="000000"/>
                <w:sz w:val="23"/>
                <w:szCs w:val="23"/>
              </w:rPr>
              <w:t>施工期</w:t>
            </w:r>
          </w:p>
        </w:tc>
        <w:tc>
          <w:tcPr>
            <w:tcW w:w="5227" w:type="dxa"/>
            <w:gridSpan w:val="3"/>
            <w:tcBorders>
              <w:top w:val="single" w:color="000000" w:sz="4" w:space="0"/>
              <w:left w:val="single" w:color="000000" w:sz="4" w:space="0"/>
              <w:bottom w:val="single" w:color="000000" w:sz="2" w:space="0"/>
              <w:right w:val="single" w:color="000000" w:sz="4" w:space="0"/>
            </w:tcBorders>
            <w:vAlign w:val="center"/>
          </w:tcPr>
          <w:p>
            <w:pPr>
              <w:pStyle w:val="61"/>
              <w:spacing w:before="53"/>
              <w:ind w:left="15"/>
              <w:jc w:val="center"/>
              <w:rPr>
                <w:color w:val="000000"/>
                <w:sz w:val="23"/>
                <w:szCs w:val="23"/>
              </w:rPr>
            </w:pPr>
            <w:r>
              <w:rPr>
                <w:color w:val="000000"/>
                <w:sz w:val="23"/>
                <w:szCs w:val="23"/>
              </w:rPr>
              <w:t>缺陷责任期</w:t>
            </w:r>
          </w:p>
        </w:tc>
      </w:tr>
      <w:tr>
        <w:tblPrEx>
          <w:tblLayout w:type="fixed"/>
          <w:tblCellMar>
            <w:top w:w="0" w:type="dxa"/>
            <w:left w:w="0" w:type="dxa"/>
            <w:bottom w:w="0" w:type="dxa"/>
            <w:right w:w="0" w:type="dxa"/>
          </w:tblCellMar>
        </w:tblPrEx>
        <w:trPr>
          <w:trHeight w:val="888" w:hRule="exact"/>
        </w:trPr>
        <w:tc>
          <w:tcPr>
            <w:tcW w:w="648" w:type="dxa"/>
            <w:vMerge w:val="continue"/>
            <w:tcBorders>
              <w:left w:val="single" w:color="000000" w:sz="4" w:space="0"/>
              <w:bottom w:val="single" w:color="000000" w:sz="4" w:space="0"/>
              <w:right w:val="single" w:color="000000" w:sz="4" w:space="0"/>
            </w:tcBorders>
            <w:vAlign w:val="center"/>
          </w:tcPr>
          <w:p>
            <w:pPr>
              <w:jc w:val="center"/>
              <w:rPr>
                <w:color w:val="000000"/>
              </w:rPr>
            </w:pPr>
          </w:p>
        </w:tc>
        <w:tc>
          <w:tcPr>
            <w:tcW w:w="3062" w:type="dxa"/>
            <w:vMerge w:val="continue"/>
            <w:tcBorders>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2" w:space="0"/>
              <w:left w:val="single" w:color="000000" w:sz="4" w:space="0"/>
              <w:bottom w:val="single" w:color="000000" w:sz="4" w:space="0"/>
              <w:right w:val="single" w:color="000000" w:sz="4" w:space="0"/>
            </w:tcBorders>
            <w:vAlign w:val="center"/>
          </w:tcPr>
          <w:p>
            <w:pPr>
              <w:pStyle w:val="61"/>
              <w:spacing w:before="41"/>
              <w:ind w:left="5"/>
              <w:jc w:val="center"/>
              <w:rPr>
                <w:color w:val="000000"/>
                <w:sz w:val="23"/>
                <w:szCs w:val="23"/>
              </w:rPr>
            </w:pPr>
            <w:r>
              <w:rPr>
                <w:color w:val="000000"/>
                <w:sz w:val="23"/>
                <w:szCs w:val="23"/>
              </w:rPr>
              <w:t>数量</w:t>
            </w:r>
          </w:p>
        </w:tc>
        <w:tc>
          <w:tcPr>
            <w:tcW w:w="1747" w:type="dxa"/>
            <w:tcBorders>
              <w:top w:val="single" w:color="0F0F13" w:sz="2" w:space="0"/>
              <w:left w:val="single" w:color="000000" w:sz="4" w:space="0"/>
              <w:bottom w:val="single" w:color="000000" w:sz="4" w:space="0"/>
              <w:right w:val="single" w:color="000000" w:sz="4" w:space="0"/>
            </w:tcBorders>
            <w:vAlign w:val="center"/>
          </w:tcPr>
          <w:p>
            <w:pPr>
              <w:pStyle w:val="61"/>
              <w:spacing w:before="25"/>
              <w:ind w:left="7"/>
              <w:jc w:val="center"/>
              <w:rPr>
                <w:color w:val="000000"/>
                <w:sz w:val="23"/>
                <w:szCs w:val="23"/>
              </w:rPr>
            </w:pPr>
            <w:r>
              <w:rPr>
                <w:rFonts w:hint="eastAsia"/>
                <w:color w:val="000000"/>
                <w:sz w:val="23"/>
                <w:szCs w:val="23"/>
              </w:rPr>
              <w:t>单价</w:t>
            </w:r>
          </w:p>
          <w:p>
            <w:pPr>
              <w:pStyle w:val="61"/>
              <w:spacing w:before="25"/>
              <w:ind w:left="7"/>
              <w:jc w:val="center"/>
              <w:rPr>
                <w:color w:val="000000"/>
                <w:sz w:val="23"/>
                <w:szCs w:val="23"/>
              </w:rPr>
            </w:pPr>
            <w:r>
              <w:rPr>
                <w:color w:val="000000"/>
                <w:sz w:val="23"/>
                <w:szCs w:val="23"/>
              </w:rPr>
              <w:t>（元／人 月）</w:t>
            </w:r>
          </w:p>
        </w:tc>
        <w:tc>
          <w:tcPr>
            <w:tcW w:w="1743" w:type="dxa"/>
            <w:tcBorders>
              <w:top w:val="single" w:color="000000" w:sz="2" w:space="0"/>
              <w:left w:val="single" w:color="000000" w:sz="4" w:space="0"/>
              <w:bottom w:val="single" w:color="000000" w:sz="4" w:space="0"/>
              <w:right w:val="single" w:color="000000" w:sz="4" w:space="0"/>
            </w:tcBorders>
            <w:vAlign w:val="center"/>
          </w:tcPr>
          <w:p>
            <w:pPr>
              <w:pStyle w:val="61"/>
              <w:spacing w:before="60"/>
              <w:ind w:left="420"/>
              <w:jc w:val="center"/>
              <w:rPr>
                <w:color w:val="000000"/>
                <w:sz w:val="23"/>
                <w:szCs w:val="23"/>
              </w:rPr>
            </w:pPr>
            <w:r>
              <w:rPr>
                <w:color w:val="000000"/>
                <w:sz w:val="23"/>
                <w:szCs w:val="23"/>
              </w:rPr>
              <w:t>金额（元）</w:t>
            </w:r>
          </w:p>
        </w:tc>
        <w:tc>
          <w:tcPr>
            <w:tcW w:w="1740" w:type="dxa"/>
            <w:tcBorders>
              <w:top w:val="single" w:color="000000" w:sz="2" w:space="0"/>
              <w:left w:val="single" w:color="000000" w:sz="4" w:space="0"/>
              <w:bottom w:val="single" w:color="000000" w:sz="4" w:space="0"/>
              <w:right w:val="single" w:color="000000" w:sz="4" w:space="0"/>
            </w:tcBorders>
            <w:vAlign w:val="center"/>
          </w:tcPr>
          <w:p>
            <w:pPr>
              <w:pStyle w:val="61"/>
              <w:spacing w:before="41"/>
              <w:ind w:right="4"/>
              <w:jc w:val="center"/>
              <w:rPr>
                <w:color w:val="000000"/>
                <w:sz w:val="23"/>
                <w:szCs w:val="23"/>
              </w:rPr>
            </w:pPr>
            <w:r>
              <w:rPr>
                <w:color w:val="000000"/>
                <w:sz w:val="23"/>
                <w:szCs w:val="23"/>
              </w:rPr>
              <w:t>数量</w:t>
            </w:r>
          </w:p>
        </w:tc>
        <w:tc>
          <w:tcPr>
            <w:tcW w:w="1745" w:type="dxa"/>
            <w:tcBorders>
              <w:top w:val="single" w:color="0F0F13" w:sz="2" w:space="0"/>
              <w:left w:val="single" w:color="000000" w:sz="4" w:space="0"/>
              <w:bottom w:val="single" w:color="000000" w:sz="4" w:space="0"/>
              <w:right w:val="single" w:color="000000" w:sz="4" w:space="0"/>
            </w:tcBorders>
            <w:vAlign w:val="center"/>
          </w:tcPr>
          <w:p>
            <w:pPr>
              <w:pStyle w:val="61"/>
              <w:spacing w:before="25"/>
              <w:ind w:left="7"/>
              <w:jc w:val="center"/>
              <w:rPr>
                <w:color w:val="000000"/>
                <w:sz w:val="23"/>
                <w:szCs w:val="23"/>
              </w:rPr>
            </w:pPr>
            <w:r>
              <w:rPr>
                <w:rFonts w:hint="eastAsia"/>
                <w:color w:val="000000"/>
                <w:sz w:val="23"/>
                <w:szCs w:val="23"/>
              </w:rPr>
              <w:t>单价</w:t>
            </w:r>
          </w:p>
          <w:p>
            <w:pPr>
              <w:pStyle w:val="61"/>
              <w:spacing w:before="25"/>
              <w:ind w:left="5"/>
              <w:jc w:val="center"/>
              <w:rPr>
                <w:color w:val="000000"/>
                <w:sz w:val="23"/>
                <w:szCs w:val="23"/>
              </w:rPr>
            </w:pPr>
            <w:r>
              <w:rPr>
                <w:color w:val="000000"/>
                <w:sz w:val="23"/>
                <w:szCs w:val="23"/>
              </w:rPr>
              <w:t>（元／人 月）</w:t>
            </w:r>
          </w:p>
        </w:tc>
        <w:tc>
          <w:tcPr>
            <w:tcW w:w="1742" w:type="dxa"/>
            <w:tcBorders>
              <w:top w:val="single" w:color="000000" w:sz="2" w:space="0"/>
              <w:left w:val="single" w:color="000000" w:sz="4" w:space="0"/>
              <w:bottom w:val="single" w:color="000000" w:sz="4" w:space="0"/>
              <w:right w:val="single" w:color="000000" w:sz="4" w:space="0"/>
            </w:tcBorders>
            <w:vAlign w:val="center"/>
          </w:tcPr>
          <w:p>
            <w:pPr>
              <w:pStyle w:val="61"/>
              <w:spacing w:before="60"/>
              <w:ind w:left="444"/>
              <w:jc w:val="center"/>
              <w:rPr>
                <w:color w:val="000000"/>
                <w:sz w:val="23"/>
                <w:szCs w:val="23"/>
              </w:rPr>
            </w:pPr>
            <w:r>
              <w:rPr>
                <w:color w:val="000000"/>
                <w:sz w:val="23"/>
                <w:szCs w:val="23"/>
              </w:rPr>
              <w:t>金额（元）</w:t>
            </w: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rFonts w:hint="eastAsia"/>
                <w:color w:val="000000"/>
              </w:rPr>
              <w:t>1</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57"/>
              <w:ind w:left="26" w:leftChars="-133" w:hanging="305" w:hangingChars="133"/>
              <w:jc w:val="center"/>
              <w:rPr>
                <w:color w:val="000000"/>
                <w:sz w:val="23"/>
                <w:szCs w:val="23"/>
              </w:rPr>
            </w:pPr>
            <w:r>
              <w:rPr>
                <w:color w:val="000000"/>
                <w:sz w:val="23"/>
                <w:szCs w:val="23"/>
              </w:rPr>
              <w:t>总监理工程师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2</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12"/>
              <w:ind w:left="26" w:leftChars="-133" w:hanging="305" w:hangingChars="133"/>
              <w:jc w:val="center"/>
              <w:rPr>
                <w:color w:val="000000"/>
                <w:sz w:val="23"/>
                <w:szCs w:val="23"/>
              </w:rPr>
            </w:pPr>
            <w:r>
              <w:rPr>
                <w:rFonts w:hint="eastAsia"/>
                <w:color w:val="000000"/>
                <w:sz w:val="23"/>
                <w:szCs w:val="23"/>
              </w:rPr>
              <w:t>**</w:t>
            </w:r>
            <w:r>
              <w:rPr>
                <w:color w:val="000000"/>
                <w:sz w:val="23"/>
                <w:szCs w:val="23"/>
              </w:rPr>
              <w:t>专业监理工程师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3</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43"/>
              <w:ind w:left="26" w:leftChars="-133" w:hanging="305" w:hangingChars="133"/>
              <w:jc w:val="center"/>
              <w:rPr>
                <w:color w:val="000000"/>
                <w:sz w:val="23"/>
                <w:szCs w:val="23"/>
              </w:rPr>
            </w:pPr>
            <w:r>
              <w:rPr>
                <w:rFonts w:hint="eastAsia"/>
                <w:color w:val="000000"/>
                <w:sz w:val="23"/>
                <w:szCs w:val="23"/>
              </w:rPr>
              <w:t>**</w:t>
            </w:r>
            <w:r>
              <w:rPr>
                <w:color w:val="000000"/>
                <w:sz w:val="23"/>
                <w:szCs w:val="23"/>
              </w:rPr>
              <w:t>专业监理工程师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4</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45"/>
              <w:ind w:left="26" w:leftChars="-133" w:hanging="305" w:hangingChars="133"/>
              <w:jc w:val="center"/>
              <w:rPr>
                <w:color w:val="000000"/>
                <w:sz w:val="23"/>
                <w:szCs w:val="23"/>
              </w:rPr>
            </w:pPr>
            <w:r>
              <w:rPr>
                <w:rFonts w:hint="eastAsia"/>
                <w:color w:val="000000"/>
                <w:sz w:val="23"/>
                <w:szCs w:val="23"/>
              </w:rPr>
              <w:t>**</w:t>
            </w:r>
            <w:r>
              <w:rPr>
                <w:color w:val="000000"/>
                <w:sz w:val="23"/>
                <w:szCs w:val="23"/>
              </w:rPr>
              <w:t>专业监理工程师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5</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48"/>
              <w:ind w:left="26" w:leftChars="-133" w:hanging="305" w:hangingChars="133"/>
              <w:jc w:val="center"/>
              <w:rPr>
                <w:color w:val="000000"/>
                <w:sz w:val="23"/>
                <w:szCs w:val="23"/>
              </w:rPr>
            </w:pPr>
            <w:r>
              <w:rPr>
                <w:rFonts w:hint="eastAsia"/>
                <w:color w:val="000000"/>
                <w:sz w:val="23"/>
                <w:szCs w:val="23"/>
              </w:rPr>
              <w:t>**</w:t>
            </w:r>
            <w:r>
              <w:rPr>
                <w:color w:val="000000"/>
                <w:sz w:val="23"/>
                <w:szCs w:val="23"/>
              </w:rPr>
              <w:t>专业监理工程师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6</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45"/>
              <w:ind w:left="26" w:leftChars="-133" w:hanging="305" w:hangingChars="133"/>
              <w:jc w:val="center"/>
              <w:rPr>
                <w:color w:val="000000"/>
                <w:sz w:val="23"/>
                <w:szCs w:val="23"/>
              </w:rPr>
            </w:pPr>
            <w:r>
              <w:rPr>
                <w:rFonts w:hint="eastAsia"/>
                <w:color w:val="000000"/>
                <w:sz w:val="23"/>
                <w:szCs w:val="23"/>
              </w:rPr>
              <w:t>**</w:t>
            </w:r>
            <w:r>
              <w:rPr>
                <w:color w:val="000000"/>
                <w:sz w:val="23"/>
                <w:szCs w:val="23"/>
              </w:rPr>
              <w:t>专业监理工程师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7</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48"/>
              <w:ind w:left="26" w:leftChars="-133" w:hanging="305" w:hangingChars="133"/>
              <w:jc w:val="center"/>
              <w:rPr>
                <w:color w:val="000000"/>
                <w:sz w:val="23"/>
                <w:szCs w:val="23"/>
              </w:rPr>
            </w:pPr>
            <w:r>
              <w:rPr>
                <w:rFonts w:hint="eastAsia"/>
                <w:color w:val="000000"/>
                <w:sz w:val="23"/>
                <w:szCs w:val="23"/>
              </w:rPr>
              <w:t>**</w:t>
            </w:r>
            <w:r>
              <w:rPr>
                <w:color w:val="000000"/>
                <w:sz w:val="23"/>
                <w:szCs w:val="23"/>
              </w:rPr>
              <w:t>专业监理工程师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8</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50"/>
              <w:ind w:left="26" w:leftChars="-133" w:hanging="305" w:hangingChars="133"/>
              <w:jc w:val="center"/>
              <w:rPr>
                <w:color w:val="000000"/>
                <w:sz w:val="23"/>
                <w:szCs w:val="23"/>
              </w:rPr>
            </w:pPr>
            <w:r>
              <w:rPr>
                <w:rFonts w:hint="eastAsia"/>
                <w:color w:val="000000"/>
                <w:sz w:val="23"/>
                <w:szCs w:val="23"/>
              </w:rPr>
              <w:t>**</w:t>
            </w:r>
            <w:r>
              <w:rPr>
                <w:color w:val="000000"/>
                <w:sz w:val="23"/>
                <w:szCs w:val="23"/>
              </w:rPr>
              <w:t>专业监理工程师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9</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38"/>
              <w:ind w:left="26" w:leftChars="-133" w:hanging="305" w:hangingChars="133"/>
              <w:jc w:val="center"/>
              <w:rPr>
                <w:color w:val="000000"/>
                <w:sz w:val="23"/>
                <w:szCs w:val="23"/>
              </w:rPr>
            </w:pPr>
            <w:r>
              <w:rPr>
                <w:rFonts w:hint="eastAsia"/>
                <w:color w:val="000000"/>
                <w:sz w:val="23"/>
                <w:szCs w:val="23"/>
              </w:rPr>
              <w:t>**</w:t>
            </w:r>
            <w:r>
              <w:rPr>
                <w:color w:val="000000"/>
                <w:sz w:val="23"/>
                <w:szCs w:val="23"/>
              </w:rPr>
              <w:t>专业监理工程师</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10</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135"/>
              <w:ind w:left="-53" w:leftChars="-133" w:hanging="226" w:hangingChars="133"/>
              <w:jc w:val="center"/>
              <w:rPr>
                <w:color w:val="000000"/>
                <w:sz w:val="17"/>
                <w:szCs w:val="17"/>
              </w:rPr>
            </w:pPr>
            <w:r>
              <w:rPr>
                <w:rFonts w:hint="eastAsia"/>
                <w:color w:val="000000"/>
                <w:sz w:val="17"/>
                <w:szCs w:val="17"/>
              </w:rPr>
              <w:t>……</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11</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123"/>
              <w:ind w:left="-53" w:leftChars="-133" w:hanging="226" w:hangingChars="133"/>
              <w:jc w:val="center"/>
              <w:rPr>
                <w:color w:val="000000"/>
                <w:sz w:val="17"/>
                <w:szCs w:val="17"/>
              </w:rPr>
            </w:pPr>
            <w:r>
              <w:rPr>
                <w:rFonts w:hint="eastAsia"/>
                <w:color w:val="000000"/>
                <w:sz w:val="17"/>
                <w:szCs w:val="17"/>
              </w:rPr>
              <w:t>……</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6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color w:val="000000"/>
              </w:rPr>
              <w:t>12</w:t>
            </w:r>
          </w:p>
        </w:tc>
        <w:tc>
          <w:tcPr>
            <w:tcW w:w="3062" w:type="dxa"/>
            <w:tcBorders>
              <w:top w:val="single" w:color="000000" w:sz="4" w:space="0"/>
              <w:left w:val="single" w:color="000000" w:sz="4" w:space="0"/>
              <w:bottom w:val="single" w:color="000000" w:sz="4" w:space="0"/>
              <w:right w:val="single" w:color="000000" w:sz="4" w:space="0"/>
            </w:tcBorders>
            <w:vAlign w:val="center"/>
          </w:tcPr>
          <w:p>
            <w:pPr>
              <w:pStyle w:val="61"/>
              <w:spacing w:before="120"/>
              <w:ind w:left="-53" w:leftChars="-133" w:hanging="226" w:hangingChars="133"/>
              <w:jc w:val="center"/>
              <w:rPr>
                <w:color w:val="000000"/>
                <w:sz w:val="17"/>
                <w:szCs w:val="17"/>
              </w:rPr>
            </w:pPr>
            <w:r>
              <w:rPr>
                <w:rFonts w:hint="eastAsia"/>
                <w:color w:val="000000"/>
                <w:sz w:val="17"/>
                <w:szCs w:val="17"/>
              </w:rPr>
              <w:t>……</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r>
        <w:tblPrEx>
          <w:tblLayout w:type="fixed"/>
          <w:tblCellMar>
            <w:top w:w="0" w:type="dxa"/>
            <w:left w:w="0" w:type="dxa"/>
            <w:bottom w:w="0" w:type="dxa"/>
            <w:right w:w="0" w:type="dxa"/>
          </w:tblCellMar>
        </w:tblPrEx>
        <w:trPr>
          <w:trHeight w:val="492" w:hRule="exact"/>
        </w:trPr>
        <w:tc>
          <w:tcPr>
            <w:tcW w:w="3710" w:type="dxa"/>
            <w:gridSpan w:val="2"/>
            <w:tcBorders>
              <w:top w:val="single" w:color="000000" w:sz="4" w:space="0"/>
              <w:left w:val="single" w:color="000000" w:sz="4" w:space="0"/>
              <w:bottom w:val="single" w:color="000000" w:sz="4" w:space="0"/>
              <w:right w:val="single" w:color="000000" w:sz="4" w:space="0"/>
            </w:tcBorders>
            <w:vAlign w:val="center"/>
          </w:tcPr>
          <w:p>
            <w:pPr>
              <w:pStyle w:val="61"/>
              <w:spacing w:before="53"/>
              <w:ind w:right="98"/>
              <w:jc w:val="center"/>
              <w:rPr>
                <w:color w:val="000000"/>
                <w:sz w:val="23"/>
                <w:szCs w:val="23"/>
              </w:rPr>
            </w:pPr>
            <w:r>
              <w:rPr>
                <w:color w:val="000000"/>
                <w:sz w:val="23"/>
                <w:szCs w:val="23"/>
              </w:rPr>
              <w:t>合计 （元）</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r>
    </w:tbl>
    <w:p>
      <w:pPr>
        <w:tabs>
          <w:tab w:val="left" w:pos="883"/>
        </w:tabs>
        <w:spacing w:before="4" w:after="32"/>
        <w:ind w:right="216"/>
        <w:jc w:val="center"/>
        <w:rPr>
          <w:color w:val="000000"/>
          <w:sz w:val="32"/>
          <w:szCs w:val="32"/>
        </w:rPr>
      </w:pPr>
      <w:r>
        <w:rPr>
          <w:szCs w:val="21"/>
        </w:rPr>
        <w:br w:type="page"/>
      </w:r>
      <w:r>
        <w:rPr>
          <w:rFonts w:hint="eastAsia"/>
          <w:color w:val="000000"/>
          <w:sz w:val="32"/>
          <w:szCs w:val="32"/>
        </w:rPr>
        <w:t xml:space="preserve">表3 </w:t>
      </w:r>
      <w:r>
        <w:rPr>
          <w:color w:val="000000"/>
          <w:sz w:val="31"/>
          <w:szCs w:val="31"/>
        </w:rPr>
        <w:t>监理工程师办公设施费报价表</w:t>
      </w:r>
    </w:p>
    <w:tbl>
      <w:tblPr>
        <w:tblStyle w:val="40"/>
        <w:tblW w:w="13912" w:type="dxa"/>
        <w:jc w:val="center"/>
        <w:tblInd w:w="0" w:type="dxa"/>
        <w:tblLayout w:type="fixed"/>
        <w:tblCellMar>
          <w:top w:w="0" w:type="dxa"/>
          <w:left w:w="0" w:type="dxa"/>
          <w:bottom w:w="0" w:type="dxa"/>
          <w:right w:w="0" w:type="dxa"/>
        </w:tblCellMar>
      </w:tblPr>
      <w:tblGrid>
        <w:gridCol w:w="648"/>
        <w:gridCol w:w="1102"/>
        <w:gridCol w:w="782"/>
        <w:gridCol w:w="1190"/>
        <w:gridCol w:w="1001"/>
        <w:gridCol w:w="1051"/>
        <w:gridCol w:w="1388"/>
        <w:gridCol w:w="1289"/>
        <w:gridCol w:w="986"/>
        <w:gridCol w:w="1145"/>
        <w:gridCol w:w="1082"/>
        <w:gridCol w:w="1080"/>
        <w:gridCol w:w="1168"/>
      </w:tblGrid>
      <w:tr>
        <w:tblPrEx>
          <w:tblLayout w:type="fixed"/>
          <w:tblCellMar>
            <w:top w:w="0" w:type="dxa"/>
            <w:left w:w="0" w:type="dxa"/>
            <w:bottom w:w="0" w:type="dxa"/>
            <w:right w:w="0" w:type="dxa"/>
          </w:tblCellMar>
        </w:tblPrEx>
        <w:trPr>
          <w:trHeight w:val="452" w:hRule="exact"/>
          <w:jc w:val="center"/>
        </w:trPr>
        <w:tc>
          <w:tcPr>
            <w:tcW w:w="648" w:type="dxa"/>
            <w:vMerge w:val="restart"/>
            <w:tcBorders>
              <w:top w:val="single" w:color="000000" w:sz="8" w:space="0"/>
              <w:left w:val="single" w:color="000000" w:sz="8" w:space="0"/>
              <w:right w:val="single" w:color="000000" w:sz="4" w:space="0"/>
            </w:tcBorders>
            <w:vAlign w:val="center"/>
          </w:tcPr>
          <w:p>
            <w:pPr>
              <w:pStyle w:val="61"/>
              <w:spacing w:before="131"/>
              <w:jc w:val="center"/>
              <w:rPr>
                <w:rFonts w:ascii="Arial" w:hAnsi="Arial" w:eastAsia="Arial" w:cs="Arial"/>
                <w:color w:val="000000"/>
              </w:rPr>
            </w:pPr>
            <w:r>
              <w:rPr>
                <w:rFonts w:hint="eastAsia"/>
                <w:color w:val="000000"/>
                <w:sz w:val="23"/>
                <w:szCs w:val="23"/>
              </w:rPr>
              <w:t>序号</w:t>
            </w:r>
          </w:p>
        </w:tc>
        <w:tc>
          <w:tcPr>
            <w:tcW w:w="6514" w:type="dxa"/>
            <w:gridSpan w:val="6"/>
            <w:tcBorders>
              <w:top w:val="single" w:color="000000" w:sz="8" w:space="0"/>
              <w:left w:val="single" w:color="000000" w:sz="4" w:space="0"/>
              <w:bottom w:val="single" w:color="000000" w:sz="2" w:space="0"/>
              <w:right w:val="single" w:color="000000" w:sz="4" w:space="0"/>
            </w:tcBorders>
            <w:vAlign w:val="center"/>
          </w:tcPr>
          <w:p>
            <w:pPr>
              <w:pStyle w:val="61"/>
              <w:spacing w:before="112"/>
              <w:ind w:left="4"/>
              <w:jc w:val="center"/>
              <w:rPr>
                <w:color w:val="000000"/>
              </w:rPr>
            </w:pPr>
            <w:r>
              <w:rPr>
                <w:color w:val="000000"/>
              </w:rPr>
              <w:t>施工期</w:t>
            </w:r>
          </w:p>
        </w:tc>
        <w:tc>
          <w:tcPr>
            <w:tcW w:w="6750" w:type="dxa"/>
            <w:gridSpan w:val="6"/>
            <w:tcBorders>
              <w:top w:val="single" w:color="000000" w:sz="8" w:space="0"/>
              <w:left w:val="single" w:color="000000" w:sz="4" w:space="0"/>
              <w:bottom w:val="single" w:color="000000" w:sz="2" w:space="0"/>
              <w:right w:val="single" w:color="000000" w:sz="8" w:space="0"/>
            </w:tcBorders>
            <w:vAlign w:val="center"/>
          </w:tcPr>
          <w:p>
            <w:pPr>
              <w:pStyle w:val="61"/>
              <w:spacing w:before="117"/>
              <w:ind w:right="7"/>
              <w:jc w:val="center"/>
              <w:rPr>
                <w:color w:val="000000"/>
              </w:rPr>
            </w:pPr>
            <w:r>
              <w:rPr>
                <w:color w:val="000000"/>
              </w:rPr>
              <w:t>缺陷责任期</w:t>
            </w:r>
          </w:p>
        </w:tc>
      </w:tr>
      <w:tr>
        <w:tblPrEx>
          <w:tblLayout w:type="fixed"/>
          <w:tblCellMar>
            <w:top w:w="0" w:type="dxa"/>
            <w:left w:w="0" w:type="dxa"/>
            <w:bottom w:w="0" w:type="dxa"/>
            <w:right w:w="0" w:type="dxa"/>
          </w:tblCellMar>
        </w:tblPrEx>
        <w:trPr>
          <w:trHeight w:val="1084" w:hRule="exact"/>
          <w:jc w:val="center"/>
        </w:trPr>
        <w:tc>
          <w:tcPr>
            <w:tcW w:w="648" w:type="dxa"/>
            <w:vMerge w:val="continue"/>
            <w:tcBorders>
              <w:left w:val="single" w:color="000000" w:sz="8" w:space="0"/>
              <w:bottom w:val="single" w:color="000000" w:sz="4" w:space="0"/>
              <w:right w:val="single" w:color="000000" w:sz="4" w:space="0"/>
            </w:tcBorders>
            <w:vAlign w:val="center"/>
          </w:tcPr>
          <w:p>
            <w:pPr>
              <w:jc w:val="center"/>
              <w:rPr>
                <w:color w:val="000000"/>
              </w:rPr>
            </w:pPr>
          </w:p>
        </w:tc>
        <w:tc>
          <w:tcPr>
            <w:tcW w:w="1102" w:type="dxa"/>
            <w:tcBorders>
              <w:top w:val="single" w:color="000000" w:sz="2" w:space="0"/>
              <w:left w:val="single" w:color="000000" w:sz="4" w:space="0"/>
              <w:bottom w:val="single" w:color="000000" w:sz="4" w:space="0"/>
              <w:right w:val="single" w:color="000000" w:sz="4" w:space="0"/>
            </w:tcBorders>
            <w:vAlign w:val="center"/>
          </w:tcPr>
          <w:p>
            <w:pPr>
              <w:pStyle w:val="61"/>
              <w:spacing w:before="3"/>
              <w:jc w:val="center"/>
              <w:rPr>
                <w:color w:val="000000"/>
                <w:szCs w:val="21"/>
              </w:rPr>
            </w:pPr>
          </w:p>
          <w:p>
            <w:pPr>
              <w:pStyle w:val="61"/>
              <w:spacing w:line="336" w:lineRule="auto"/>
              <w:ind w:left="314" w:right="178" w:hanging="125"/>
              <w:jc w:val="center"/>
              <w:rPr>
                <w:color w:val="000000"/>
              </w:rPr>
            </w:pPr>
            <w:r>
              <w:rPr>
                <w:color w:val="000000"/>
              </w:rPr>
              <w:t>名称及 型号</w:t>
            </w:r>
          </w:p>
        </w:tc>
        <w:tc>
          <w:tcPr>
            <w:tcW w:w="782" w:type="dxa"/>
            <w:tcBorders>
              <w:top w:val="single" w:color="000000" w:sz="2" w:space="0"/>
              <w:left w:val="single" w:color="000000" w:sz="4" w:space="0"/>
              <w:bottom w:val="single" w:color="000000" w:sz="4" w:space="0"/>
              <w:right w:val="single" w:color="000000" w:sz="4" w:space="0"/>
            </w:tcBorders>
            <w:vAlign w:val="center"/>
          </w:tcPr>
          <w:p>
            <w:pPr>
              <w:pStyle w:val="61"/>
              <w:spacing w:before="192"/>
              <w:ind w:right="139"/>
              <w:jc w:val="center"/>
              <w:rPr>
                <w:color w:val="000000"/>
              </w:rPr>
            </w:pPr>
            <w:r>
              <w:rPr>
                <w:color w:val="000000"/>
              </w:rPr>
              <w:t>数量</w:t>
            </w:r>
          </w:p>
        </w:tc>
        <w:tc>
          <w:tcPr>
            <w:tcW w:w="1190" w:type="dxa"/>
            <w:tcBorders>
              <w:top w:val="single" w:color="000000" w:sz="2" w:space="0"/>
              <w:left w:val="single" w:color="000000" w:sz="4" w:space="0"/>
              <w:bottom w:val="single" w:color="000000" w:sz="4" w:space="0"/>
              <w:right w:val="single" w:color="000000" w:sz="4" w:space="0"/>
            </w:tcBorders>
            <w:vAlign w:val="center"/>
          </w:tcPr>
          <w:p>
            <w:pPr>
              <w:pStyle w:val="61"/>
              <w:spacing w:before="3"/>
              <w:jc w:val="center"/>
              <w:rPr>
                <w:color w:val="000000"/>
                <w:szCs w:val="21"/>
              </w:rPr>
            </w:pPr>
          </w:p>
          <w:p>
            <w:pPr>
              <w:pStyle w:val="61"/>
              <w:ind w:right="15"/>
              <w:jc w:val="center"/>
              <w:rPr>
                <w:color w:val="000000"/>
              </w:rPr>
            </w:pPr>
            <w:r>
              <w:rPr>
                <w:color w:val="000000"/>
              </w:rPr>
              <w:t>购置合价</w:t>
            </w:r>
          </w:p>
          <w:p>
            <w:pPr>
              <w:pStyle w:val="61"/>
              <w:spacing w:before="57"/>
              <w:ind w:left="17"/>
              <w:jc w:val="center"/>
              <w:rPr>
                <w:color w:val="000000"/>
              </w:rPr>
            </w:pPr>
            <w:r>
              <w:rPr>
                <w:rFonts w:hint="eastAsia"/>
                <w:color w:val="000000"/>
              </w:rPr>
              <w:t>(</w:t>
            </w:r>
            <w:r>
              <w:rPr>
                <w:color w:val="000000"/>
              </w:rPr>
              <w:t>元</w:t>
            </w:r>
            <w:r>
              <w:rPr>
                <w:rFonts w:hint="eastAsia"/>
                <w:color w:val="000000"/>
              </w:rPr>
              <w:t>)</w:t>
            </w:r>
          </w:p>
        </w:tc>
        <w:tc>
          <w:tcPr>
            <w:tcW w:w="1001" w:type="dxa"/>
            <w:tcBorders>
              <w:top w:val="single" w:color="000000" w:sz="2" w:space="0"/>
              <w:left w:val="single" w:color="000000" w:sz="4" w:space="0"/>
              <w:bottom w:val="single" w:color="000000" w:sz="4" w:space="0"/>
              <w:right w:val="single" w:color="000000" w:sz="4" w:space="0"/>
            </w:tcBorders>
            <w:vAlign w:val="center"/>
          </w:tcPr>
          <w:p>
            <w:pPr>
              <w:pStyle w:val="61"/>
              <w:spacing w:before="8"/>
              <w:jc w:val="center"/>
              <w:rPr>
                <w:color w:val="000000"/>
                <w:szCs w:val="21"/>
              </w:rPr>
            </w:pPr>
          </w:p>
          <w:p>
            <w:pPr>
              <w:pStyle w:val="61"/>
              <w:ind w:right="2"/>
              <w:jc w:val="center"/>
              <w:rPr>
                <w:color w:val="000000"/>
              </w:rPr>
            </w:pPr>
            <w:r>
              <w:rPr>
                <w:color w:val="000000"/>
              </w:rPr>
              <w:t>折旧费</w:t>
            </w:r>
          </w:p>
          <w:p>
            <w:pPr>
              <w:pStyle w:val="61"/>
              <w:spacing w:before="48"/>
              <w:ind w:left="8"/>
              <w:jc w:val="center"/>
              <w:rPr>
                <w:color w:val="000000"/>
              </w:rPr>
            </w:pPr>
            <w:r>
              <w:rPr>
                <w:rFonts w:hint="eastAsia"/>
                <w:color w:val="000000"/>
              </w:rPr>
              <w:t>(</w:t>
            </w:r>
            <w:r>
              <w:rPr>
                <w:color w:val="000000"/>
              </w:rPr>
              <w:t>元</w:t>
            </w:r>
            <w:r>
              <w:rPr>
                <w:rFonts w:hint="eastAsia"/>
                <w:color w:val="000000"/>
              </w:rPr>
              <w:t>)</w:t>
            </w:r>
          </w:p>
        </w:tc>
        <w:tc>
          <w:tcPr>
            <w:tcW w:w="1051" w:type="dxa"/>
            <w:tcBorders>
              <w:top w:val="single" w:color="000000" w:sz="2" w:space="0"/>
              <w:left w:val="single" w:color="000000" w:sz="4" w:space="0"/>
              <w:bottom w:val="single" w:color="000000" w:sz="4" w:space="0"/>
              <w:right w:val="single" w:color="000000" w:sz="4" w:space="0"/>
            </w:tcBorders>
            <w:vAlign w:val="center"/>
          </w:tcPr>
          <w:p>
            <w:pPr>
              <w:pStyle w:val="61"/>
              <w:spacing w:before="3"/>
              <w:jc w:val="center"/>
              <w:rPr>
                <w:color w:val="000000"/>
                <w:szCs w:val="21"/>
              </w:rPr>
            </w:pPr>
          </w:p>
          <w:p>
            <w:pPr>
              <w:pStyle w:val="61"/>
              <w:ind w:right="5"/>
              <w:jc w:val="center"/>
              <w:rPr>
                <w:color w:val="000000"/>
              </w:rPr>
            </w:pPr>
            <w:r>
              <w:rPr>
                <w:color w:val="000000"/>
              </w:rPr>
              <w:t>使用费</w:t>
            </w:r>
          </w:p>
          <w:p>
            <w:pPr>
              <w:pStyle w:val="61"/>
              <w:spacing w:before="57"/>
              <w:ind w:left="8"/>
              <w:jc w:val="center"/>
              <w:rPr>
                <w:color w:val="000000"/>
              </w:rPr>
            </w:pPr>
            <w:r>
              <w:rPr>
                <w:rFonts w:hint="eastAsia"/>
                <w:color w:val="000000"/>
              </w:rPr>
              <w:t>(</w:t>
            </w:r>
            <w:r>
              <w:rPr>
                <w:color w:val="000000"/>
              </w:rPr>
              <w:t>元</w:t>
            </w:r>
            <w:r>
              <w:rPr>
                <w:rFonts w:hint="eastAsia"/>
                <w:color w:val="000000"/>
              </w:rPr>
              <w:t>)</w:t>
            </w:r>
          </w:p>
        </w:tc>
        <w:tc>
          <w:tcPr>
            <w:tcW w:w="1388" w:type="dxa"/>
            <w:tcBorders>
              <w:top w:val="single" w:color="000000" w:sz="2" w:space="0"/>
              <w:left w:val="single" w:color="000000" w:sz="4" w:space="0"/>
              <w:bottom w:val="single" w:color="000000" w:sz="4" w:space="0"/>
              <w:right w:val="single" w:color="000000" w:sz="4" w:space="0"/>
            </w:tcBorders>
            <w:vAlign w:val="center"/>
          </w:tcPr>
          <w:p>
            <w:pPr>
              <w:pStyle w:val="61"/>
              <w:tabs>
                <w:tab w:val="left" w:pos="685"/>
              </w:tabs>
              <w:ind w:left="199" w:right="209" w:firstLine="11"/>
              <w:jc w:val="center"/>
              <w:rPr>
                <w:color w:val="000000"/>
              </w:rPr>
            </w:pPr>
            <w:r>
              <w:rPr>
                <w:color w:val="000000"/>
              </w:rPr>
              <w:t>小</w:t>
            </w:r>
            <w:r>
              <w:rPr>
                <w:color w:val="000000"/>
              </w:rPr>
              <w:tab/>
            </w:r>
            <w:r>
              <w:rPr>
                <w:color w:val="000000"/>
              </w:rPr>
              <w:t>计</w:t>
            </w:r>
          </w:p>
          <w:p>
            <w:pPr>
              <w:pStyle w:val="61"/>
              <w:tabs>
                <w:tab w:val="left" w:pos="685"/>
              </w:tabs>
              <w:ind w:left="199" w:right="209" w:firstLine="11"/>
              <w:jc w:val="center"/>
              <w:rPr>
                <w:color w:val="000000"/>
              </w:rPr>
            </w:pPr>
            <w:r>
              <w:rPr>
                <w:color w:val="000000"/>
              </w:rPr>
              <w:t>折旧及使用费</w:t>
            </w:r>
            <w:r>
              <w:rPr>
                <w:rFonts w:hint="eastAsia"/>
                <w:color w:val="000000"/>
              </w:rPr>
              <w:t>(</w:t>
            </w:r>
            <w:r>
              <w:rPr>
                <w:color w:val="000000"/>
              </w:rPr>
              <w:t>元</w:t>
            </w:r>
            <w:r>
              <w:rPr>
                <w:rFonts w:hint="eastAsia"/>
                <w:color w:val="000000"/>
              </w:rPr>
              <w:t>)</w:t>
            </w:r>
          </w:p>
        </w:tc>
        <w:tc>
          <w:tcPr>
            <w:tcW w:w="1289" w:type="dxa"/>
            <w:tcBorders>
              <w:top w:val="single" w:color="000000" w:sz="2" w:space="0"/>
              <w:left w:val="single" w:color="000000" w:sz="4" w:space="0"/>
              <w:bottom w:val="single" w:color="000000" w:sz="4" w:space="0"/>
              <w:right w:val="single" w:color="000000" w:sz="4" w:space="0"/>
            </w:tcBorders>
            <w:vAlign w:val="center"/>
          </w:tcPr>
          <w:p>
            <w:pPr>
              <w:pStyle w:val="61"/>
              <w:spacing w:before="3"/>
              <w:jc w:val="center"/>
              <w:rPr>
                <w:color w:val="000000"/>
                <w:szCs w:val="21"/>
              </w:rPr>
            </w:pPr>
          </w:p>
          <w:p>
            <w:pPr>
              <w:pStyle w:val="61"/>
              <w:spacing w:line="336" w:lineRule="auto"/>
              <w:ind w:left="520" w:right="167" w:hanging="360"/>
              <w:jc w:val="center"/>
              <w:rPr>
                <w:color w:val="000000"/>
              </w:rPr>
            </w:pPr>
            <w:r>
              <w:rPr>
                <w:color w:val="000000"/>
              </w:rPr>
              <w:t>名称及</w:t>
            </w:r>
          </w:p>
          <w:p>
            <w:pPr>
              <w:pStyle w:val="61"/>
              <w:spacing w:line="336" w:lineRule="auto"/>
              <w:ind w:left="520" w:right="167" w:hanging="360"/>
              <w:jc w:val="center"/>
              <w:rPr>
                <w:color w:val="000000"/>
              </w:rPr>
            </w:pPr>
            <w:r>
              <w:rPr>
                <w:color w:val="000000"/>
              </w:rPr>
              <w:t>型 号</w:t>
            </w:r>
          </w:p>
        </w:tc>
        <w:tc>
          <w:tcPr>
            <w:tcW w:w="986" w:type="dxa"/>
            <w:tcBorders>
              <w:top w:val="single" w:color="000000" w:sz="2" w:space="0"/>
              <w:left w:val="single" w:color="000000" w:sz="4" w:space="0"/>
              <w:bottom w:val="single" w:color="000000" w:sz="4" w:space="0"/>
              <w:right w:val="single" w:color="000000" w:sz="4" w:space="0"/>
            </w:tcBorders>
            <w:vAlign w:val="center"/>
          </w:tcPr>
          <w:p>
            <w:pPr>
              <w:pStyle w:val="61"/>
              <w:spacing w:before="192"/>
              <w:jc w:val="center"/>
              <w:rPr>
                <w:color w:val="000000"/>
              </w:rPr>
            </w:pPr>
            <w:r>
              <w:rPr>
                <w:color w:val="000000"/>
              </w:rPr>
              <w:t>数量</w:t>
            </w:r>
          </w:p>
        </w:tc>
        <w:tc>
          <w:tcPr>
            <w:tcW w:w="1145" w:type="dxa"/>
            <w:tcBorders>
              <w:top w:val="single" w:color="000000" w:sz="2" w:space="0"/>
              <w:left w:val="single" w:color="000000" w:sz="4" w:space="0"/>
              <w:bottom w:val="single" w:color="000000" w:sz="4" w:space="0"/>
              <w:right w:val="single" w:color="000000" w:sz="4" w:space="0"/>
            </w:tcBorders>
            <w:vAlign w:val="center"/>
          </w:tcPr>
          <w:p>
            <w:pPr>
              <w:pStyle w:val="61"/>
              <w:spacing w:before="3"/>
              <w:jc w:val="center"/>
              <w:rPr>
                <w:color w:val="000000"/>
                <w:szCs w:val="21"/>
              </w:rPr>
            </w:pPr>
          </w:p>
          <w:p>
            <w:pPr>
              <w:pStyle w:val="61"/>
              <w:spacing w:line="280" w:lineRule="auto"/>
              <w:ind w:left="247" w:right="204" w:hanging="44"/>
              <w:jc w:val="center"/>
              <w:rPr>
                <w:color w:val="000000"/>
              </w:rPr>
            </w:pPr>
            <w:r>
              <w:rPr>
                <w:color w:val="000000"/>
              </w:rPr>
              <w:t>购置合 价</w:t>
            </w:r>
            <w:r>
              <w:rPr>
                <w:rFonts w:hint="eastAsia"/>
                <w:color w:val="000000"/>
              </w:rPr>
              <w:t>(</w:t>
            </w:r>
            <w:r>
              <w:rPr>
                <w:color w:val="000000"/>
              </w:rPr>
              <w:t>元</w:t>
            </w:r>
            <w:r>
              <w:rPr>
                <w:rFonts w:hint="eastAsia"/>
                <w:color w:val="000000"/>
              </w:rPr>
              <w:t>)</w:t>
            </w:r>
          </w:p>
        </w:tc>
        <w:tc>
          <w:tcPr>
            <w:tcW w:w="1082" w:type="dxa"/>
            <w:tcBorders>
              <w:top w:val="single" w:color="000000" w:sz="2" w:space="0"/>
              <w:left w:val="single" w:color="000000" w:sz="4" w:space="0"/>
              <w:bottom w:val="single" w:color="000000" w:sz="4" w:space="0"/>
              <w:right w:val="single" w:color="000000" w:sz="4" w:space="0"/>
            </w:tcBorders>
            <w:vAlign w:val="center"/>
          </w:tcPr>
          <w:p>
            <w:pPr>
              <w:pStyle w:val="61"/>
              <w:spacing w:before="8"/>
              <w:jc w:val="center"/>
              <w:rPr>
                <w:color w:val="000000"/>
                <w:szCs w:val="21"/>
              </w:rPr>
            </w:pPr>
          </w:p>
          <w:p>
            <w:pPr>
              <w:pStyle w:val="61"/>
              <w:ind w:right="8"/>
              <w:jc w:val="center"/>
              <w:rPr>
                <w:color w:val="000000"/>
              </w:rPr>
            </w:pPr>
            <w:r>
              <w:rPr>
                <w:color w:val="000000"/>
              </w:rPr>
              <w:t>折旧费</w:t>
            </w:r>
          </w:p>
          <w:p>
            <w:pPr>
              <w:pStyle w:val="61"/>
              <w:spacing w:before="48"/>
              <w:jc w:val="center"/>
              <w:rPr>
                <w:color w:val="000000"/>
              </w:rPr>
            </w:pPr>
            <w:r>
              <w:rPr>
                <w:rFonts w:hint="eastAsia"/>
                <w:color w:val="000000"/>
              </w:rPr>
              <w:t>(</w:t>
            </w:r>
            <w:r>
              <w:rPr>
                <w:color w:val="000000"/>
              </w:rPr>
              <w:t>元</w:t>
            </w:r>
            <w:r>
              <w:rPr>
                <w:rFonts w:hint="eastAsia"/>
                <w:color w:val="000000"/>
              </w:rPr>
              <w:t>)</w:t>
            </w:r>
          </w:p>
        </w:tc>
        <w:tc>
          <w:tcPr>
            <w:tcW w:w="1080" w:type="dxa"/>
            <w:tcBorders>
              <w:top w:val="single" w:color="000000" w:sz="2" w:space="0"/>
              <w:left w:val="single" w:color="000000" w:sz="4" w:space="0"/>
              <w:bottom w:val="single" w:color="000000" w:sz="4" w:space="0"/>
              <w:right w:val="single" w:color="000000" w:sz="4" w:space="0"/>
            </w:tcBorders>
            <w:vAlign w:val="center"/>
          </w:tcPr>
          <w:p>
            <w:pPr>
              <w:pStyle w:val="61"/>
              <w:spacing w:before="3"/>
              <w:jc w:val="center"/>
              <w:rPr>
                <w:color w:val="000000"/>
                <w:szCs w:val="21"/>
              </w:rPr>
            </w:pPr>
          </w:p>
          <w:p>
            <w:pPr>
              <w:pStyle w:val="61"/>
              <w:jc w:val="center"/>
              <w:rPr>
                <w:color w:val="000000"/>
              </w:rPr>
            </w:pPr>
            <w:r>
              <w:rPr>
                <w:color w:val="000000"/>
              </w:rPr>
              <w:t>使用费</w:t>
            </w:r>
          </w:p>
          <w:p>
            <w:pPr>
              <w:pStyle w:val="61"/>
              <w:spacing w:before="53"/>
              <w:ind w:right="1"/>
              <w:jc w:val="center"/>
              <w:rPr>
                <w:color w:val="000000"/>
              </w:rPr>
            </w:pPr>
            <w:r>
              <w:rPr>
                <w:rFonts w:hint="eastAsia"/>
                <w:color w:val="000000"/>
              </w:rPr>
              <w:t>(</w:t>
            </w:r>
            <w:r>
              <w:rPr>
                <w:color w:val="000000"/>
              </w:rPr>
              <w:t>元</w:t>
            </w:r>
            <w:r>
              <w:rPr>
                <w:rFonts w:hint="eastAsia"/>
                <w:color w:val="000000"/>
              </w:rPr>
              <w:t>)</w:t>
            </w:r>
          </w:p>
        </w:tc>
        <w:tc>
          <w:tcPr>
            <w:tcW w:w="1168" w:type="dxa"/>
            <w:tcBorders>
              <w:top w:val="single" w:color="000000" w:sz="2" w:space="0"/>
              <w:left w:val="single" w:color="000000" w:sz="4" w:space="0"/>
              <w:bottom w:val="single" w:color="000000" w:sz="4" w:space="0"/>
              <w:right w:val="single" w:color="000000" w:sz="8" w:space="0"/>
            </w:tcBorders>
            <w:vAlign w:val="center"/>
          </w:tcPr>
          <w:p>
            <w:pPr>
              <w:pStyle w:val="61"/>
              <w:tabs>
                <w:tab w:val="left" w:pos="685"/>
              </w:tabs>
              <w:ind w:left="199" w:right="209" w:firstLine="11"/>
              <w:jc w:val="center"/>
              <w:rPr>
                <w:color w:val="000000"/>
              </w:rPr>
            </w:pPr>
            <w:r>
              <w:rPr>
                <w:color w:val="000000"/>
              </w:rPr>
              <w:t>小</w:t>
            </w:r>
            <w:r>
              <w:rPr>
                <w:color w:val="000000"/>
              </w:rPr>
              <w:tab/>
            </w:r>
            <w:r>
              <w:rPr>
                <w:color w:val="000000"/>
              </w:rPr>
              <w:t>计</w:t>
            </w:r>
          </w:p>
          <w:p>
            <w:pPr>
              <w:pStyle w:val="61"/>
              <w:tabs>
                <w:tab w:val="left" w:pos="685"/>
              </w:tabs>
              <w:ind w:left="27" w:firstLine="11"/>
              <w:jc w:val="center"/>
              <w:rPr>
                <w:color w:val="000000"/>
              </w:rPr>
            </w:pPr>
            <w:r>
              <w:rPr>
                <w:color w:val="000000"/>
              </w:rPr>
              <w:t>折旧及使用费</w:t>
            </w:r>
            <w:r>
              <w:rPr>
                <w:rFonts w:hint="eastAsia"/>
                <w:color w:val="000000"/>
              </w:rPr>
              <w:t>(</w:t>
            </w:r>
            <w:r>
              <w:rPr>
                <w:color w:val="000000"/>
              </w:rPr>
              <w:t>元</w:t>
            </w:r>
            <w:r>
              <w:rPr>
                <w:rFonts w:hint="eastAsia"/>
                <w:color w:val="000000"/>
              </w:rPr>
              <w:t>)</w:t>
            </w:r>
          </w:p>
        </w:tc>
      </w:tr>
      <w:tr>
        <w:tblPrEx>
          <w:tblLayout w:type="fixed"/>
          <w:tblCellMar>
            <w:top w:w="0" w:type="dxa"/>
            <w:left w:w="0" w:type="dxa"/>
            <w:bottom w:w="0" w:type="dxa"/>
            <w:right w:w="0" w:type="dxa"/>
          </w:tblCellMar>
        </w:tblPrEx>
        <w:trPr>
          <w:trHeight w:val="473" w:hRule="exact"/>
          <w:jc w:val="center"/>
        </w:trPr>
        <w:tc>
          <w:tcPr>
            <w:tcW w:w="648" w:type="dxa"/>
            <w:tcBorders>
              <w:top w:val="single" w:color="000000" w:sz="4" w:space="0"/>
              <w:left w:val="single" w:color="000000" w:sz="8" w:space="0"/>
              <w:bottom w:val="single" w:color="000000" w:sz="4" w:space="0"/>
              <w:right w:val="single" w:color="000000" w:sz="4" w:space="0"/>
            </w:tcBorders>
            <w:vAlign w:val="center"/>
          </w:tcPr>
          <w:p>
            <w:pPr>
              <w:jc w:val="center"/>
              <w:rPr>
                <w:color w:val="000000"/>
              </w:rPr>
            </w:pPr>
            <w:r>
              <w:rPr>
                <w:rFonts w:hint="eastAsia"/>
                <w:color w:val="000000"/>
              </w:rPr>
              <w:t>1</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4" w:space="0"/>
              <w:right w:val="single" w:color="000000" w:sz="8" w:space="0"/>
            </w:tcBorders>
            <w:vAlign w:val="center"/>
          </w:tcPr>
          <w:p>
            <w:pPr>
              <w:pStyle w:val="61"/>
              <w:tabs>
                <w:tab w:val="left" w:pos="685"/>
              </w:tabs>
              <w:ind w:left="199" w:right="209" w:firstLine="11"/>
              <w:jc w:val="center"/>
              <w:rPr>
                <w:color w:val="000000"/>
              </w:rPr>
            </w:pPr>
          </w:p>
        </w:tc>
      </w:tr>
      <w:tr>
        <w:tblPrEx>
          <w:tblLayout w:type="fixed"/>
          <w:tblCellMar>
            <w:top w:w="0" w:type="dxa"/>
            <w:left w:w="0" w:type="dxa"/>
            <w:bottom w:w="0" w:type="dxa"/>
            <w:right w:w="0" w:type="dxa"/>
          </w:tblCellMar>
        </w:tblPrEx>
        <w:trPr>
          <w:trHeight w:val="473" w:hRule="exact"/>
          <w:jc w:val="center"/>
        </w:trPr>
        <w:tc>
          <w:tcPr>
            <w:tcW w:w="648" w:type="dxa"/>
            <w:tcBorders>
              <w:top w:val="single" w:color="000000" w:sz="4" w:space="0"/>
              <w:left w:val="single" w:color="000000" w:sz="8" w:space="0"/>
              <w:bottom w:val="single" w:color="000000" w:sz="4" w:space="0"/>
              <w:right w:val="single" w:color="000000" w:sz="4" w:space="0"/>
            </w:tcBorders>
            <w:vAlign w:val="center"/>
          </w:tcPr>
          <w:p>
            <w:pPr>
              <w:jc w:val="center"/>
              <w:rPr>
                <w:color w:val="000000"/>
              </w:rPr>
            </w:pPr>
            <w:r>
              <w:rPr>
                <w:color w:val="000000"/>
              </w:rPr>
              <w:t>2</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4" w:space="0"/>
              <w:right w:val="single" w:color="000000" w:sz="8" w:space="0"/>
            </w:tcBorders>
            <w:vAlign w:val="center"/>
          </w:tcPr>
          <w:p>
            <w:pPr>
              <w:jc w:val="center"/>
              <w:rPr>
                <w:color w:val="000000"/>
              </w:rPr>
            </w:pPr>
          </w:p>
        </w:tc>
      </w:tr>
      <w:tr>
        <w:tblPrEx>
          <w:tblLayout w:type="fixed"/>
          <w:tblCellMar>
            <w:top w:w="0" w:type="dxa"/>
            <w:left w:w="0" w:type="dxa"/>
            <w:bottom w:w="0" w:type="dxa"/>
            <w:right w:w="0" w:type="dxa"/>
          </w:tblCellMar>
        </w:tblPrEx>
        <w:trPr>
          <w:trHeight w:val="470" w:hRule="exact"/>
          <w:jc w:val="center"/>
        </w:trPr>
        <w:tc>
          <w:tcPr>
            <w:tcW w:w="648" w:type="dxa"/>
            <w:tcBorders>
              <w:top w:val="single" w:color="000000" w:sz="4" w:space="0"/>
              <w:left w:val="single" w:color="000000" w:sz="8" w:space="0"/>
              <w:bottom w:val="single" w:color="000000" w:sz="4" w:space="0"/>
              <w:right w:val="single" w:color="000000" w:sz="4" w:space="0"/>
            </w:tcBorders>
            <w:vAlign w:val="center"/>
          </w:tcPr>
          <w:p>
            <w:pPr>
              <w:jc w:val="center"/>
              <w:rPr>
                <w:color w:val="000000"/>
              </w:rPr>
            </w:pPr>
            <w:r>
              <w:rPr>
                <w:color w:val="000000"/>
              </w:rPr>
              <w:t>3</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4" w:space="0"/>
              <w:right w:val="single" w:color="000000" w:sz="8" w:space="0"/>
            </w:tcBorders>
            <w:vAlign w:val="center"/>
          </w:tcPr>
          <w:p>
            <w:pPr>
              <w:jc w:val="center"/>
              <w:rPr>
                <w:color w:val="000000"/>
              </w:rPr>
            </w:pPr>
          </w:p>
        </w:tc>
      </w:tr>
      <w:tr>
        <w:tblPrEx>
          <w:tblLayout w:type="fixed"/>
          <w:tblCellMar>
            <w:top w:w="0" w:type="dxa"/>
            <w:left w:w="0" w:type="dxa"/>
            <w:bottom w:w="0" w:type="dxa"/>
            <w:right w:w="0" w:type="dxa"/>
          </w:tblCellMar>
        </w:tblPrEx>
        <w:trPr>
          <w:trHeight w:val="473" w:hRule="exact"/>
          <w:jc w:val="center"/>
        </w:trPr>
        <w:tc>
          <w:tcPr>
            <w:tcW w:w="648" w:type="dxa"/>
            <w:tcBorders>
              <w:top w:val="single" w:color="000000" w:sz="4" w:space="0"/>
              <w:left w:val="single" w:color="000000" w:sz="8" w:space="0"/>
              <w:bottom w:val="single" w:color="000000" w:sz="4" w:space="0"/>
              <w:right w:val="single" w:color="000000" w:sz="4" w:space="0"/>
            </w:tcBorders>
            <w:vAlign w:val="center"/>
          </w:tcPr>
          <w:p>
            <w:pPr>
              <w:jc w:val="center"/>
              <w:rPr>
                <w:color w:val="000000"/>
              </w:rPr>
            </w:pPr>
            <w:r>
              <w:rPr>
                <w:color w:val="000000"/>
              </w:rPr>
              <w:t>4</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4" w:space="0"/>
              <w:right w:val="single" w:color="000000" w:sz="8" w:space="0"/>
            </w:tcBorders>
            <w:vAlign w:val="center"/>
          </w:tcPr>
          <w:p>
            <w:pPr>
              <w:jc w:val="center"/>
              <w:rPr>
                <w:color w:val="000000"/>
              </w:rPr>
            </w:pPr>
          </w:p>
        </w:tc>
      </w:tr>
      <w:tr>
        <w:tblPrEx>
          <w:tblLayout w:type="fixed"/>
          <w:tblCellMar>
            <w:top w:w="0" w:type="dxa"/>
            <w:left w:w="0" w:type="dxa"/>
            <w:bottom w:w="0" w:type="dxa"/>
            <w:right w:w="0" w:type="dxa"/>
          </w:tblCellMar>
        </w:tblPrEx>
        <w:trPr>
          <w:trHeight w:val="473" w:hRule="exact"/>
          <w:jc w:val="center"/>
        </w:trPr>
        <w:tc>
          <w:tcPr>
            <w:tcW w:w="648" w:type="dxa"/>
            <w:tcBorders>
              <w:top w:val="single" w:color="000000" w:sz="4" w:space="0"/>
              <w:left w:val="single" w:color="000000" w:sz="8" w:space="0"/>
              <w:bottom w:val="single" w:color="000000" w:sz="4" w:space="0"/>
              <w:right w:val="single" w:color="000000" w:sz="4" w:space="0"/>
            </w:tcBorders>
            <w:vAlign w:val="center"/>
          </w:tcPr>
          <w:p>
            <w:pPr>
              <w:jc w:val="center"/>
              <w:rPr>
                <w:color w:val="000000"/>
              </w:rPr>
            </w:pPr>
            <w:r>
              <w:rPr>
                <w:color w:val="000000"/>
              </w:rPr>
              <w:t>5</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4" w:space="0"/>
              <w:right w:val="single" w:color="000000" w:sz="8" w:space="0"/>
            </w:tcBorders>
            <w:vAlign w:val="center"/>
          </w:tcPr>
          <w:p>
            <w:pPr>
              <w:jc w:val="center"/>
              <w:rPr>
                <w:color w:val="000000"/>
              </w:rPr>
            </w:pPr>
          </w:p>
        </w:tc>
      </w:tr>
      <w:tr>
        <w:tblPrEx>
          <w:tblLayout w:type="fixed"/>
          <w:tblCellMar>
            <w:top w:w="0" w:type="dxa"/>
            <w:left w:w="0" w:type="dxa"/>
            <w:bottom w:w="0" w:type="dxa"/>
            <w:right w:w="0" w:type="dxa"/>
          </w:tblCellMar>
        </w:tblPrEx>
        <w:trPr>
          <w:trHeight w:val="473" w:hRule="exact"/>
          <w:jc w:val="center"/>
        </w:trPr>
        <w:tc>
          <w:tcPr>
            <w:tcW w:w="648" w:type="dxa"/>
            <w:tcBorders>
              <w:top w:val="single" w:color="000000" w:sz="4" w:space="0"/>
              <w:left w:val="single" w:color="000000" w:sz="8" w:space="0"/>
              <w:bottom w:val="single" w:color="000000" w:sz="4" w:space="0"/>
              <w:right w:val="single" w:color="000000" w:sz="4" w:space="0"/>
            </w:tcBorders>
            <w:vAlign w:val="center"/>
          </w:tcPr>
          <w:p>
            <w:pPr>
              <w:jc w:val="center"/>
              <w:rPr>
                <w:color w:val="000000"/>
              </w:rPr>
            </w:pPr>
            <w:r>
              <w:rPr>
                <w:color w:val="000000"/>
              </w:rPr>
              <w:t>6</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4" w:space="0"/>
              <w:right w:val="single" w:color="000000" w:sz="8" w:space="0"/>
            </w:tcBorders>
            <w:vAlign w:val="center"/>
          </w:tcPr>
          <w:p>
            <w:pPr>
              <w:jc w:val="center"/>
              <w:rPr>
                <w:color w:val="000000"/>
              </w:rPr>
            </w:pPr>
          </w:p>
        </w:tc>
      </w:tr>
      <w:tr>
        <w:tblPrEx>
          <w:tblLayout w:type="fixed"/>
          <w:tblCellMar>
            <w:top w:w="0" w:type="dxa"/>
            <w:left w:w="0" w:type="dxa"/>
            <w:bottom w:w="0" w:type="dxa"/>
            <w:right w:w="0" w:type="dxa"/>
          </w:tblCellMar>
        </w:tblPrEx>
        <w:trPr>
          <w:trHeight w:val="470" w:hRule="exact"/>
          <w:jc w:val="center"/>
        </w:trPr>
        <w:tc>
          <w:tcPr>
            <w:tcW w:w="648" w:type="dxa"/>
            <w:tcBorders>
              <w:top w:val="single" w:color="000000" w:sz="4" w:space="0"/>
              <w:left w:val="single" w:color="000000" w:sz="8" w:space="0"/>
              <w:bottom w:val="single" w:color="000000" w:sz="4" w:space="0"/>
              <w:right w:val="single" w:color="000000" w:sz="4" w:space="0"/>
            </w:tcBorders>
            <w:vAlign w:val="center"/>
          </w:tcPr>
          <w:p>
            <w:pPr>
              <w:jc w:val="center"/>
              <w:rPr>
                <w:color w:val="000000"/>
              </w:rPr>
            </w:pPr>
            <w:r>
              <w:rPr>
                <w:color w:val="000000"/>
              </w:rPr>
              <w:t>7</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4" w:space="0"/>
              <w:right w:val="single" w:color="000000" w:sz="8" w:space="0"/>
            </w:tcBorders>
            <w:vAlign w:val="center"/>
          </w:tcPr>
          <w:p>
            <w:pPr>
              <w:jc w:val="center"/>
              <w:rPr>
                <w:color w:val="000000"/>
              </w:rPr>
            </w:pPr>
          </w:p>
        </w:tc>
      </w:tr>
      <w:tr>
        <w:tblPrEx>
          <w:tblLayout w:type="fixed"/>
          <w:tblCellMar>
            <w:top w:w="0" w:type="dxa"/>
            <w:left w:w="0" w:type="dxa"/>
            <w:bottom w:w="0" w:type="dxa"/>
            <w:right w:w="0" w:type="dxa"/>
          </w:tblCellMar>
        </w:tblPrEx>
        <w:trPr>
          <w:trHeight w:val="473" w:hRule="exact"/>
          <w:jc w:val="center"/>
        </w:trPr>
        <w:tc>
          <w:tcPr>
            <w:tcW w:w="648" w:type="dxa"/>
            <w:tcBorders>
              <w:top w:val="single" w:color="000000" w:sz="4" w:space="0"/>
              <w:left w:val="single" w:color="000000" w:sz="8" w:space="0"/>
              <w:bottom w:val="single" w:color="000000" w:sz="4" w:space="0"/>
              <w:right w:val="single" w:color="000000" w:sz="4" w:space="0"/>
            </w:tcBorders>
            <w:vAlign w:val="center"/>
          </w:tcPr>
          <w:p>
            <w:pPr>
              <w:jc w:val="center"/>
              <w:rPr>
                <w:color w:val="000000"/>
              </w:rPr>
            </w:pPr>
            <w:r>
              <w:rPr>
                <w:color w:val="000000"/>
              </w:rPr>
              <w:t>8</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4" w:space="0"/>
              <w:right w:val="single" w:color="000000" w:sz="8" w:space="0"/>
            </w:tcBorders>
            <w:vAlign w:val="center"/>
          </w:tcPr>
          <w:p>
            <w:pPr>
              <w:jc w:val="center"/>
              <w:rPr>
                <w:color w:val="000000"/>
              </w:rPr>
            </w:pPr>
          </w:p>
        </w:tc>
      </w:tr>
      <w:tr>
        <w:tblPrEx>
          <w:tblLayout w:type="fixed"/>
          <w:tblCellMar>
            <w:top w:w="0" w:type="dxa"/>
            <w:left w:w="0" w:type="dxa"/>
            <w:bottom w:w="0" w:type="dxa"/>
            <w:right w:w="0" w:type="dxa"/>
          </w:tblCellMar>
        </w:tblPrEx>
        <w:trPr>
          <w:trHeight w:val="473" w:hRule="exact"/>
          <w:jc w:val="center"/>
        </w:trPr>
        <w:tc>
          <w:tcPr>
            <w:tcW w:w="648" w:type="dxa"/>
            <w:tcBorders>
              <w:top w:val="single" w:color="000000" w:sz="4" w:space="0"/>
              <w:left w:val="single" w:color="000000" w:sz="8" w:space="0"/>
              <w:bottom w:val="single" w:color="000000" w:sz="4" w:space="0"/>
              <w:right w:val="single" w:color="000000" w:sz="4" w:space="0"/>
            </w:tcBorders>
            <w:vAlign w:val="center"/>
          </w:tcPr>
          <w:p>
            <w:pPr>
              <w:jc w:val="center"/>
              <w:rPr>
                <w:color w:val="000000"/>
              </w:rPr>
            </w:pPr>
            <w:r>
              <w:rPr>
                <w:rFonts w:hint="eastAsia"/>
                <w:color w:val="000000"/>
              </w:rPr>
              <w:t>9</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4" w:space="0"/>
              <w:right w:val="single" w:color="000000" w:sz="8" w:space="0"/>
            </w:tcBorders>
            <w:vAlign w:val="center"/>
          </w:tcPr>
          <w:p>
            <w:pPr>
              <w:jc w:val="center"/>
              <w:rPr>
                <w:color w:val="000000"/>
              </w:rPr>
            </w:pPr>
          </w:p>
        </w:tc>
      </w:tr>
      <w:tr>
        <w:tblPrEx>
          <w:tblLayout w:type="fixed"/>
          <w:tblCellMar>
            <w:top w:w="0" w:type="dxa"/>
            <w:left w:w="0" w:type="dxa"/>
            <w:bottom w:w="0" w:type="dxa"/>
            <w:right w:w="0" w:type="dxa"/>
          </w:tblCellMar>
        </w:tblPrEx>
        <w:trPr>
          <w:trHeight w:val="470" w:hRule="exact"/>
          <w:jc w:val="center"/>
        </w:trPr>
        <w:tc>
          <w:tcPr>
            <w:tcW w:w="648" w:type="dxa"/>
            <w:tcBorders>
              <w:top w:val="single" w:color="000000" w:sz="4" w:space="0"/>
              <w:left w:val="single" w:color="000000" w:sz="8" w:space="0"/>
              <w:bottom w:val="single" w:color="000000" w:sz="4" w:space="0"/>
              <w:right w:val="single" w:color="000000" w:sz="4" w:space="0"/>
            </w:tcBorders>
            <w:vAlign w:val="center"/>
          </w:tcPr>
          <w:p>
            <w:pPr>
              <w:jc w:val="center"/>
              <w:rPr>
                <w:color w:val="000000"/>
              </w:rPr>
            </w:pPr>
            <w:r>
              <w:rPr>
                <w:rFonts w:hint="eastAsia"/>
                <w:color w:val="000000"/>
              </w:rPr>
              <w:t>10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9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289"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45"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4" w:space="0"/>
              <w:right w:val="single" w:color="000000" w:sz="8" w:space="0"/>
            </w:tcBorders>
            <w:vAlign w:val="center"/>
          </w:tcPr>
          <w:p>
            <w:pPr>
              <w:jc w:val="center"/>
              <w:rPr>
                <w:color w:val="000000"/>
              </w:rPr>
            </w:pPr>
          </w:p>
        </w:tc>
      </w:tr>
      <w:tr>
        <w:tblPrEx>
          <w:tblLayout w:type="fixed"/>
          <w:tblCellMar>
            <w:top w:w="0" w:type="dxa"/>
            <w:left w:w="0" w:type="dxa"/>
            <w:bottom w:w="0" w:type="dxa"/>
            <w:right w:w="0" w:type="dxa"/>
          </w:tblCellMar>
        </w:tblPrEx>
        <w:trPr>
          <w:trHeight w:val="551" w:hRule="exact"/>
          <w:jc w:val="center"/>
        </w:trPr>
        <w:tc>
          <w:tcPr>
            <w:tcW w:w="3722" w:type="dxa"/>
            <w:gridSpan w:val="4"/>
            <w:tcBorders>
              <w:top w:val="single" w:color="000000" w:sz="4" w:space="0"/>
              <w:left w:val="single" w:color="000000" w:sz="8" w:space="0"/>
              <w:bottom w:val="single" w:color="000000" w:sz="8" w:space="0"/>
              <w:right w:val="single" w:color="000000" w:sz="4" w:space="0"/>
            </w:tcBorders>
            <w:vAlign w:val="center"/>
          </w:tcPr>
          <w:p>
            <w:pPr>
              <w:jc w:val="center"/>
              <w:rPr>
                <w:color w:val="000000"/>
              </w:rPr>
            </w:pPr>
            <w:r>
              <w:rPr>
                <w:color w:val="000000"/>
              </w:rPr>
              <w:t>合计（元）</w:t>
            </w:r>
          </w:p>
        </w:tc>
        <w:tc>
          <w:tcPr>
            <w:tcW w:w="1001" w:type="dxa"/>
            <w:tcBorders>
              <w:top w:val="single" w:color="000000" w:sz="4" w:space="0"/>
              <w:left w:val="single" w:color="000000" w:sz="4" w:space="0"/>
              <w:bottom w:val="single" w:color="000000" w:sz="8" w:space="0"/>
              <w:right w:val="single" w:color="000000" w:sz="4" w:space="0"/>
            </w:tcBorders>
            <w:vAlign w:val="center"/>
          </w:tcPr>
          <w:p>
            <w:pPr>
              <w:jc w:val="center"/>
              <w:rPr>
                <w:color w:val="000000"/>
              </w:rPr>
            </w:pPr>
          </w:p>
        </w:tc>
        <w:tc>
          <w:tcPr>
            <w:tcW w:w="1051" w:type="dxa"/>
            <w:tcBorders>
              <w:top w:val="single" w:color="000000" w:sz="4" w:space="0"/>
              <w:left w:val="single" w:color="000000" w:sz="4" w:space="0"/>
              <w:bottom w:val="single" w:color="000000" w:sz="8" w:space="0"/>
              <w:right w:val="single" w:color="000000" w:sz="4" w:space="0"/>
            </w:tcBorders>
            <w:vAlign w:val="center"/>
          </w:tcPr>
          <w:p>
            <w:pPr>
              <w:jc w:val="center"/>
              <w:rPr>
                <w:color w:val="000000"/>
              </w:rPr>
            </w:pPr>
          </w:p>
        </w:tc>
        <w:tc>
          <w:tcPr>
            <w:tcW w:w="1388" w:type="dxa"/>
            <w:tcBorders>
              <w:top w:val="single" w:color="000000" w:sz="4" w:space="0"/>
              <w:left w:val="single" w:color="000000" w:sz="4" w:space="0"/>
              <w:bottom w:val="single" w:color="000000" w:sz="8" w:space="0"/>
              <w:right w:val="single" w:color="000000" w:sz="4" w:space="0"/>
            </w:tcBorders>
            <w:vAlign w:val="center"/>
          </w:tcPr>
          <w:p>
            <w:pPr>
              <w:jc w:val="center"/>
              <w:rPr>
                <w:color w:val="000000"/>
              </w:rPr>
            </w:pPr>
          </w:p>
        </w:tc>
        <w:tc>
          <w:tcPr>
            <w:tcW w:w="3420" w:type="dxa"/>
            <w:gridSpan w:val="3"/>
            <w:tcBorders>
              <w:top w:val="single" w:color="000000" w:sz="4" w:space="0"/>
              <w:left w:val="single" w:color="000000" w:sz="4" w:space="0"/>
              <w:bottom w:val="single" w:color="000000" w:sz="8" w:space="0"/>
              <w:right w:val="single" w:color="000000" w:sz="4" w:space="0"/>
            </w:tcBorders>
            <w:vAlign w:val="center"/>
          </w:tcPr>
          <w:p>
            <w:pPr>
              <w:jc w:val="center"/>
              <w:rPr>
                <w:color w:val="000000"/>
              </w:rPr>
            </w:pPr>
            <w:r>
              <w:rPr>
                <w:color w:val="000000"/>
              </w:rPr>
              <w:t>合计（元）</w:t>
            </w:r>
          </w:p>
        </w:tc>
        <w:tc>
          <w:tcPr>
            <w:tcW w:w="1082" w:type="dxa"/>
            <w:tcBorders>
              <w:top w:val="single" w:color="000000" w:sz="4" w:space="0"/>
              <w:left w:val="single" w:color="000000" w:sz="4" w:space="0"/>
              <w:bottom w:val="single" w:color="000000" w:sz="8" w:space="0"/>
              <w:right w:val="single" w:color="000000" w:sz="4" w:space="0"/>
            </w:tcBorders>
            <w:vAlign w:val="center"/>
          </w:tcPr>
          <w:p>
            <w:pPr>
              <w:jc w:val="center"/>
              <w:rPr>
                <w:color w:val="000000"/>
              </w:rPr>
            </w:pPr>
          </w:p>
        </w:tc>
        <w:tc>
          <w:tcPr>
            <w:tcW w:w="1080" w:type="dxa"/>
            <w:tcBorders>
              <w:top w:val="single" w:color="000000" w:sz="4" w:space="0"/>
              <w:left w:val="single" w:color="000000" w:sz="4" w:space="0"/>
              <w:bottom w:val="single" w:color="000000" w:sz="8" w:space="0"/>
              <w:right w:val="single" w:color="000000" w:sz="4" w:space="0"/>
            </w:tcBorders>
            <w:vAlign w:val="center"/>
          </w:tcPr>
          <w:p>
            <w:pPr>
              <w:jc w:val="center"/>
              <w:rPr>
                <w:color w:val="000000"/>
              </w:rPr>
            </w:pPr>
          </w:p>
        </w:tc>
        <w:tc>
          <w:tcPr>
            <w:tcW w:w="1168" w:type="dxa"/>
            <w:tcBorders>
              <w:top w:val="single" w:color="000000" w:sz="4" w:space="0"/>
              <w:left w:val="single" w:color="000000" w:sz="4" w:space="0"/>
              <w:bottom w:val="single" w:color="000000" w:sz="8" w:space="0"/>
              <w:right w:val="single" w:color="000000" w:sz="8" w:space="0"/>
            </w:tcBorders>
            <w:vAlign w:val="center"/>
          </w:tcPr>
          <w:p>
            <w:pPr>
              <w:jc w:val="center"/>
              <w:rPr>
                <w:color w:val="000000"/>
              </w:rPr>
            </w:pPr>
          </w:p>
        </w:tc>
      </w:tr>
    </w:tbl>
    <w:p>
      <w:pPr>
        <w:pStyle w:val="61"/>
        <w:ind w:left="43" w:right="2"/>
        <w:jc w:val="center"/>
        <w:rPr>
          <w:color w:val="000000"/>
        </w:rPr>
      </w:pPr>
      <w:r>
        <w:rPr>
          <w:szCs w:val="21"/>
        </w:rPr>
        <w:br w:type="page"/>
      </w:r>
      <w:r>
        <w:rPr>
          <w:rFonts w:hint="eastAsia"/>
          <w:color w:val="000000"/>
          <w:sz w:val="31"/>
          <w:szCs w:val="31"/>
        </w:rPr>
        <w:t xml:space="preserve">表4 </w:t>
      </w:r>
      <w:r>
        <w:rPr>
          <w:color w:val="000000"/>
          <w:sz w:val="31"/>
          <w:szCs w:val="31"/>
        </w:rPr>
        <w:t>监理工程师交通设施费报价表</w:t>
      </w:r>
    </w:p>
    <w:tbl>
      <w:tblPr>
        <w:tblStyle w:val="40"/>
        <w:tblW w:w="14546" w:type="dxa"/>
        <w:tblInd w:w="114" w:type="dxa"/>
        <w:tblLayout w:type="fixed"/>
        <w:tblCellMar>
          <w:top w:w="0" w:type="dxa"/>
          <w:left w:w="0" w:type="dxa"/>
          <w:bottom w:w="0" w:type="dxa"/>
          <w:right w:w="0" w:type="dxa"/>
        </w:tblCellMar>
      </w:tblPr>
      <w:tblGrid>
        <w:gridCol w:w="576"/>
        <w:gridCol w:w="907"/>
        <w:gridCol w:w="910"/>
        <w:gridCol w:w="907"/>
        <w:gridCol w:w="912"/>
        <w:gridCol w:w="910"/>
        <w:gridCol w:w="907"/>
        <w:gridCol w:w="1634"/>
        <w:gridCol w:w="941"/>
        <w:gridCol w:w="900"/>
        <w:gridCol w:w="842"/>
        <w:gridCol w:w="900"/>
        <w:gridCol w:w="1082"/>
        <w:gridCol w:w="984"/>
        <w:gridCol w:w="1234"/>
      </w:tblGrid>
      <w:tr>
        <w:tblPrEx>
          <w:tblLayout w:type="fixed"/>
          <w:tblCellMar>
            <w:top w:w="0" w:type="dxa"/>
            <w:left w:w="0" w:type="dxa"/>
            <w:bottom w:w="0" w:type="dxa"/>
            <w:right w:w="0" w:type="dxa"/>
          </w:tblCellMar>
        </w:tblPrEx>
        <w:trPr>
          <w:trHeight w:val="605" w:hRule="exact"/>
        </w:trPr>
        <w:tc>
          <w:tcPr>
            <w:tcW w:w="576" w:type="dxa"/>
            <w:vMerge w:val="restart"/>
            <w:tcBorders>
              <w:top w:val="single" w:color="000000" w:sz="8" w:space="0"/>
              <w:left w:val="single" w:color="000000" w:sz="8" w:space="0"/>
              <w:right w:val="single" w:color="000000" w:sz="4" w:space="0"/>
            </w:tcBorders>
            <w:vAlign w:val="center"/>
          </w:tcPr>
          <w:p>
            <w:pPr>
              <w:pStyle w:val="61"/>
              <w:ind w:left="43" w:right="2"/>
              <w:jc w:val="center"/>
              <w:rPr>
                <w:color w:val="000000"/>
              </w:rPr>
            </w:pPr>
            <w:r>
              <w:rPr>
                <w:color w:val="000000"/>
              </w:rPr>
              <w:t>序号</w:t>
            </w:r>
          </w:p>
        </w:tc>
        <w:tc>
          <w:tcPr>
            <w:tcW w:w="7087" w:type="dxa"/>
            <w:gridSpan w:val="7"/>
            <w:tcBorders>
              <w:top w:val="single" w:color="000000" w:sz="8" w:space="0"/>
              <w:left w:val="single" w:color="000000" w:sz="4" w:space="0"/>
              <w:bottom w:val="single" w:color="000000" w:sz="4" w:space="0"/>
              <w:right w:val="single" w:color="000000" w:sz="4" w:space="0"/>
            </w:tcBorders>
            <w:vAlign w:val="center"/>
          </w:tcPr>
          <w:p>
            <w:pPr>
              <w:pStyle w:val="61"/>
              <w:ind w:right="2"/>
              <w:jc w:val="center"/>
              <w:rPr>
                <w:color w:val="000000"/>
              </w:rPr>
            </w:pPr>
            <w:r>
              <w:rPr>
                <w:color w:val="000000"/>
              </w:rPr>
              <w:t>施工期</w:t>
            </w:r>
          </w:p>
        </w:tc>
        <w:tc>
          <w:tcPr>
            <w:tcW w:w="6883" w:type="dxa"/>
            <w:gridSpan w:val="7"/>
            <w:tcBorders>
              <w:top w:val="single" w:color="000000" w:sz="8" w:space="0"/>
              <w:left w:val="single" w:color="000000" w:sz="4" w:space="0"/>
              <w:bottom w:val="single" w:color="000000" w:sz="4" w:space="0"/>
              <w:right w:val="single" w:color="000000" w:sz="8" w:space="0"/>
            </w:tcBorders>
            <w:vAlign w:val="center"/>
          </w:tcPr>
          <w:p>
            <w:pPr>
              <w:pStyle w:val="61"/>
              <w:ind w:right="2"/>
              <w:jc w:val="center"/>
              <w:rPr>
                <w:color w:val="000000"/>
              </w:rPr>
            </w:pPr>
            <w:r>
              <w:rPr>
                <w:color w:val="000000"/>
              </w:rPr>
              <w:t>缺陷责任期</w:t>
            </w:r>
          </w:p>
        </w:tc>
      </w:tr>
      <w:tr>
        <w:tblPrEx>
          <w:tblLayout w:type="fixed"/>
          <w:tblCellMar>
            <w:top w:w="0" w:type="dxa"/>
            <w:left w:w="0" w:type="dxa"/>
            <w:bottom w:w="0" w:type="dxa"/>
            <w:right w:w="0" w:type="dxa"/>
          </w:tblCellMar>
        </w:tblPrEx>
        <w:trPr>
          <w:trHeight w:val="1219" w:hRule="exact"/>
        </w:trPr>
        <w:tc>
          <w:tcPr>
            <w:tcW w:w="576" w:type="dxa"/>
            <w:vMerge w:val="continue"/>
            <w:tcBorders>
              <w:left w:val="single" w:color="000000" w:sz="8" w:space="0"/>
              <w:bottom w:val="single" w:color="000000" w:sz="4" w:space="0"/>
              <w:right w:val="single" w:color="000000" w:sz="4" w:space="0"/>
            </w:tcBorders>
            <w:vAlign w:val="center"/>
          </w:tcPr>
          <w:p>
            <w:pPr>
              <w:pStyle w:val="61"/>
              <w:ind w:right="2"/>
              <w:jc w:val="center"/>
              <w:rPr>
                <w:color w:val="000000"/>
              </w:rPr>
            </w:pPr>
          </w:p>
        </w:tc>
        <w:tc>
          <w:tcPr>
            <w:tcW w:w="907" w:type="dxa"/>
            <w:tcBorders>
              <w:top w:val="single" w:color="000000" w:sz="4" w:space="0"/>
              <w:left w:val="single" w:color="000000" w:sz="4" w:space="0"/>
              <w:bottom w:val="single" w:color="000000" w:sz="4" w:space="0"/>
              <w:right w:val="single" w:color="000000" w:sz="4" w:space="0"/>
            </w:tcBorders>
            <w:vAlign w:val="center"/>
          </w:tcPr>
          <w:p>
            <w:pPr>
              <w:pStyle w:val="61"/>
              <w:ind w:right="2"/>
              <w:rPr>
                <w:color w:val="000000"/>
              </w:rPr>
            </w:pPr>
          </w:p>
          <w:p>
            <w:pPr>
              <w:pStyle w:val="61"/>
              <w:ind w:right="2"/>
              <w:jc w:val="center"/>
              <w:rPr>
                <w:color w:val="000000"/>
              </w:rPr>
            </w:pPr>
            <w:r>
              <w:rPr>
                <w:color w:val="000000"/>
              </w:rPr>
              <w:t>名称及 型号</w:t>
            </w: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color w:val="000000"/>
              </w:rPr>
              <w:t>数量</w:t>
            </w:r>
          </w:p>
          <w:p>
            <w:pPr>
              <w:pStyle w:val="61"/>
              <w:ind w:right="2"/>
              <w:jc w:val="center"/>
              <w:rPr>
                <w:color w:val="000000"/>
              </w:rPr>
            </w:pPr>
            <w:r>
              <w:rPr>
                <w:color w:val="000000"/>
              </w:rPr>
              <w:t>（辆）</w:t>
            </w:r>
          </w:p>
        </w:tc>
        <w:tc>
          <w:tcPr>
            <w:tcW w:w="907"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color w:val="000000"/>
              </w:rPr>
              <w:t>单价</w:t>
            </w:r>
          </w:p>
          <w:p>
            <w:pPr>
              <w:pStyle w:val="61"/>
              <w:ind w:right="2"/>
              <w:jc w:val="center"/>
              <w:rPr>
                <w:color w:val="000000"/>
              </w:rPr>
            </w:pPr>
            <w:r>
              <w:rPr>
                <w:color w:val="000000"/>
              </w:rPr>
              <w:t>（</w:t>
            </w:r>
            <w:r>
              <w:rPr>
                <w:rFonts w:hint="eastAsia"/>
                <w:color w:val="000000"/>
              </w:rPr>
              <w:t>元</w:t>
            </w:r>
            <w:r>
              <w:rPr>
                <w:color w:val="000000"/>
              </w:rPr>
              <w:t>）</w:t>
            </w: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color w:val="000000"/>
              </w:rPr>
              <w:t>合价</w:t>
            </w:r>
          </w:p>
          <w:p>
            <w:pPr>
              <w:pStyle w:val="61"/>
              <w:ind w:right="2"/>
              <w:jc w:val="center"/>
              <w:rPr>
                <w:color w:val="000000"/>
              </w:rPr>
            </w:pPr>
            <w:r>
              <w:rPr>
                <w:color w:val="000000"/>
              </w:rPr>
              <w:t>（</w:t>
            </w:r>
            <w:r>
              <w:rPr>
                <w:rFonts w:hint="eastAsia"/>
                <w:color w:val="000000"/>
              </w:rPr>
              <w:t>元</w:t>
            </w:r>
            <w:r>
              <w:rPr>
                <w:color w:val="000000"/>
              </w:rPr>
              <w:t>）</w:t>
            </w: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color w:val="000000"/>
              </w:rPr>
              <w:t>折旧 费（元）</w:t>
            </w:r>
          </w:p>
        </w:tc>
        <w:tc>
          <w:tcPr>
            <w:tcW w:w="907"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color w:val="000000"/>
              </w:rPr>
              <w:t>使用 费（元）</w:t>
            </w:r>
          </w:p>
        </w:tc>
        <w:tc>
          <w:tcPr>
            <w:tcW w:w="1634"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r>
              <w:rPr>
                <w:color w:val="000000"/>
              </w:rPr>
              <w:t xml:space="preserve">小计 </w:t>
            </w:r>
          </w:p>
          <w:p>
            <w:pPr>
              <w:pStyle w:val="61"/>
              <w:ind w:right="2"/>
              <w:jc w:val="center"/>
              <w:rPr>
                <w:color w:val="000000"/>
              </w:rPr>
            </w:pPr>
            <w:r>
              <w:rPr>
                <w:color w:val="000000"/>
              </w:rPr>
              <w:t>折旧及使用费</w:t>
            </w:r>
          </w:p>
          <w:p>
            <w:pPr>
              <w:pStyle w:val="61"/>
              <w:ind w:right="2"/>
              <w:jc w:val="center"/>
              <w:rPr>
                <w:color w:val="000000"/>
              </w:rPr>
            </w:pPr>
            <w:r>
              <w:rPr>
                <w:color w:val="000000"/>
              </w:rPr>
              <w:t>（</w:t>
            </w:r>
            <w:r>
              <w:rPr>
                <w:rFonts w:hint="eastAsia"/>
                <w:color w:val="000000"/>
              </w:rPr>
              <w:t>元</w:t>
            </w:r>
            <w:r>
              <w:rPr>
                <w:color w:val="000000"/>
              </w:rPr>
              <w:t>）</w:t>
            </w: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color w:val="000000"/>
              </w:rPr>
              <w:t>名称及 型号</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color w:val="000000"/>
              </w:rPr>
              <w:t>数量</w:t>
            </w:r>
          </w:p>
          <w:p>
            <w:pPr>
              <w:pStyle w:val="61"/>
              <w:ind w:right="2"/>
              <w:jc w:val="center"/>
              <w:rPr>
                <w:color w:val="000000"/>
              </w:rPr>
            </w:pPr>
            <w:r>
              <w:rPr>
                <w:color w:val="000000"/>
              </w:rPr>
              <w:t>（辆）</w:t>
            </w:r>
          </w:p>
        </w:tc>
        <w:tc>
          <w:tcPr>
            <w:tcW w:w="842"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color w:val="000000"/>
              </w:rPr>
              <w:t>单价</w:t>
            </w:r>
          </w:p>
          <w:p>
            <w:pPr>
              <w:pStyle w:val="61"/>
              <w:ind w:right="2"/>
              <w:jc w:val="center"/>
              <w:rPr>
                <w:color w:val="000000"/>
              </w:rPr>
            </w:pPr>
            <w:r>
              <w:rPr>
                <w:color w:val="000000"/>
              </w:rPr>
              <w:t>（</w:t>
            </w:r>
            <w:r>
              <w:rPr>
                <w:rFonts w:hint="eastAsia"/>
                <w:color w:val="000000"/>
              </w:rPr>
              <w:t>元</w:t>
            </w:r>
            <w:r>
              <w:rPr>
                <w:color w:val="000000"/>
              </w:rPr>
              <w:t>）</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rFonts w:hint="eastAsia"/>
                <w:color w:val="000000"/>
              </w:rPr>
              <w:t>合价</w:t>
            </w:r>
          </w:p>
          <w:p>
            <w:pPr>
              <w:pStyle w:val="61"/>
              <w:ind w:right="2"/>
              <w:jc w:val="center"/>
              <w:rPr>
                <w:color w:val="000000"/>
              </w:rPr>
            </w:pPr>
            <w:r>
              <w:rPr>
                <w:color w:val="000000"/>
              </w:rPr>
              <w:t>（</w:t>
            </w:r>
            <w:r>
              <w:rPr>
                <w:rFonts w:hint="eastAsia"/>
                <w:color w:val="000000"/>
              </w:rPr>
              <w:t>元</w:t>
            </w:r>
            <w:r>
              <w:rPr>
                <w:color w:val="000000"/>
              </w:rPr>
              <w:t>）</w:t>
            </w:r>
          </w:p>
        </w:tc>
        <w:tc>
          <w:tcPr>
            <w:tcW w:w="1082"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color w:val="000000"/>
              </w:rPr>
              <w:t>折旧费</w:t>
            </w:r>
          </w:p>
          <w:p>
            <w:pPr>
              <w:pStyle w:val="61"/>
              <w:ind w:right="2"/>
              <w:jc w:val="center"/>
              <w:rPr>
                <w:color w:val="000000"/>
              </w:rPr>
            </w:pPr>
            <w:r>
              <w:rPr>
                <w:color w:val="000000"/>
              </w:rPr>
              <w:t>（</w:t>
            </w:r>
            <w:r>
              <w:rPr>
                <w:rFonts w:hint="eastAsia"/>
                <w:color w:val="000000"/>
              </w:rPr>
              <w:t>元</w:t>
            </w:r>
            <w:r>
              <w:rPr>
                <w:color w:val="000000"/>
              </w:rPr>
              <w:t>）</w:t>
            </w: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right="2"/>
              <w:jc w:val="center"/>
              <w:rPr>
                <w:color w:val="000000"/>
              </w:rPr>
            </w:pPr>
            <w:r>
              <w:rPr>
                <w:color w:val="000000"/>
              </w:rPr>
              <w:t>使用费</w:t>
            </w:r>
          </w:p>
          <w:p>
            <w:pPr>
              <w:pStyle w:val="61"/>
              <w:ind w:right="2"/>
              <w:jc w:val="center"/>
              <w:rPr>
                <w:color w:val="000000"/>
              </w:rPr>
            </w:pPr>
            <w:r>
              <w:rPr>
                <w:color w:val="000000"/>
              </w:rPr>
              <w:t>（</w:t>
            </w:r>
            <w:r>
              <w:rPr>
                <w:rFonts w:hint="eastAsia"/>
                <w:color w:val="000000"/>
              </w:rPr>
              <w:t>元</w:t>
            </w:r>
            <w:r>
              <w:rPr>
                <w:color w:val="000000"/>
              </w:rPr>
              <w:t>）</w:t>
            </w:r>
          </w:p>
        </w:tc>
        <w:tc>
          <w:tcPr>
            <w:tcW w:w="1234" w:type="dxa"/>
            <w:tcBorders>
              <w:top w:val="single" w:color="000000" w:sz="4" w:space="0"/>
              <w:left w:val="single" w:color="000000" w:sz="4" w:space="0"/>
              <w:bottom w:val="single" w:color="000000" w:sz="4" w:space="0"/>
              <w:right w:val="single" w:color="000000" w:sz="8" w:space="0"/>
            </w:tcBorders>
            <w:vAlign w:val="center"/>
          </w:tcPr>
          <w:p>
            <w:pPr>
              <w:pStyle w:val="61"/>
              <w:ind w:right="2"/>
              <w:jc w:val="center"/>
              <w:rPr>
                <w:color w:val="000000"/>
              </w:rPr>
            </w:pPr>
            <w:r>
              <w:rPr>
                <w:color w:val="000000"/>
              </w:rPr>
              <w:t xml:space="preserve">小计 </w:t>
            </w:r>
          </w:p>
          <w:p>
            <w:pPr>
              <w:pStyle w:val="61"/>
              <w:ind w:right="2"/>
              <w:jc w:val="center"/>
              <w:rPr>
                <w:color w:val="000000"/>
              </w:rPr>
            </w:pPr>
            <w:r>
              <w:rPr>
                <w:color w:val="000000"/>
              </w:rPr>
              <w:t>折旧及使</w:t>
            </w:r>
          </w:p>
          <w:p>
            <w:pPr>
              <w:pStyle w:val="61"/>
              <w:ind w:right="2"/>
              <w:jc w:val="center"/>
              <w:rPr>
                <w:color w:val="000000"/>
              </w:rPr>
            </w:pPr>
            <w:r>
              <w:rPr>
                <w:color w:val="000000"/>
              </w:rPr>
              <w:t>用费（元）</w:t>
            </w:r>
          </w:p>
        </w:tc>
      </w:tr>
      <w:tr>
        <w:tblPrEx>
          <w:tblLayout w:type="fixed"/>
          <w:tblCellMar>
            <w:top w:w="0" w:type="dxa"/>
            <w:left w:w="0" w:type="dxa"/>
            <w:bottom w:w="0" w:type="dxa"/>
            <w:right w:w="0" w:type="dxa"/>
          </w:tblCellMar>
        </w:tblPrEx>
        <w:trPr>
          <w:trHeight w:val="650" w:hRule="exact"/>
        </w:trPr>
        <w:tc>
          <w:tcPr>
            <w:tcW w:w="576" w:type="dxa"/>
            <w:tcBorders>
              <w:top w:val="single" w:color="000000" w:sz="4" w:space="0"/>
              <w:left w:val="single" w:color="000000" w:sz="8" w:space="0"/>
              <w:bottom w:val="single" w:color="000000" w:sz="4" w:space="0"/>
              <w:right w:val="single" w:color="000000" w:sz="4" w:space="0"/>
            </w:tcBorders>
            <w:vAlign w:val="center"/>
          </w:tcPr>
          <w:p>
            <w:pPr>
              <w:pStyle w:val="61"/>
              <w:ind w:right="2"/>
              <w:jc w:val="center"/>
              <w:rPr>
                <w:color w:val="000000"/>
              </w:rPr>
            </w:pPr>
            <w:r>
              <w:rPr>
                <w:rFonts w:hint="eastAsia"/>
                <w:color w:val="000000"/>
              </w:rPr>
              <w:t>1</w:t>
            </w:r>
          </w:p>
        </w:tc>
        <w:tc>
          <w:tcPr>
            <w:tcW w:w="907"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907"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912"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907"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1634"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842"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984"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tc>
        <w:tc>
          <w:tcPr>
            <w:tcW w:w="1234" w:type="dxa"/>
            <w:tcBorders>
              <w:top w:val="single" w:color="000000" w:sz="4" w:space="0"/>
              <w:left w:val="single" w:color="000000" w:sz="4" w:space="0"/>
              <w:bottom w:val="single" w:color="000000" w:sz="4" w:space="0"/>
              <w:right w:val="single" w:color="000000" w:sz="8" w:space="0"/>
            </w:tcBorders>
            <w:vAlign w:val="center"/>
          </w:tcPr>
          <w:p>
            <w:pPr>
              <w:pStyle w:val="61"/>
              <w:ind w:right="2"/>
              <w:jc w:val="center"/>
              <w:rPr>
                <w:color w:val="000000"/>
              </w:rPr>
            </w:pPr>
          </w:p>
        </w:tc>
      </w:tr>
      <w:tr>
        <w:tblPrEx>
          <w:tblLayout w:type="fixed"/>
          <w:tblCellMar>
            <w:top w:w="0" w:type="dxa"/>
            <w:left w:w="0" w:type="dxa"/>
            <w:bottom w:w="0" w:type="dxa"/>
            <w:right w:w="0" w:type="dxa"/>
          </w:tblCellMar>
        </w:tblPrEx>
        <w:trPr>
          <w:trHeight w:val="650" w:hRule="exact"/>
        </w:trPr>
        <w:tc>
          <w:tcPr>
            <w:tcW w:w="576" w:type="dxa"/>
            <w:tcBorders>
              <w:top w:val="single" w:color="000000" w:sz="4" w:space="0"/>
              <w:left w:val="single" w:color="000000" w:sz="8" w:space="0"/>
              <w:bottom w:val="single" w:color="000000" w:sz="4" w:space="0"/>
              <w:right w:val="single" w:color="000000" w:sz="4" w:space="0"/>
            </w:tcBorders>
            <w:vAlign w:val="center"/>
          </w:tcPr>
          <w:p>
            <w:pPr>
              <w:pStyle w:val="61"/>
              <w:ind w:left="215" w:right="2"/>
              <w:rPr>
                <w:color w:val="000000"/>
              </w:rPr>
            </w:pPr>
            <w:r>
              <w:rPr>
                <w:color w:val="000000"/>
              </w:rPr>
              <w:t>2</w:t>
            </w:r>
          </w:p>
        </w:tc>
        <w:tc>
          <w:tcPr>
            <w:tcW w:w="907"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1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7"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12"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1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7"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1634"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41"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842"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84"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1234" w:type="dxa"/>
            <w:tcBorders>
              <w:top w:val="single" w:color="000000" w:sz="4" w:space="0"/>
              <w:left w:val="single" w:color="000000" w:sz="4" w:space="0"/>
              <w:bottom w:val="single" w:color="000000" w:sz="4" w:space="0"/>
              <w:right w:val="single" w:color="000000" w:sz="8" w:space="0"/>
            </w:tcBorders>
            <w:vAlign w:val="center"/>
          </w:tcPr>
          <w:p>
            <w:pPr>
              <w:ind w:right="2"/>
              <w:jc w:val="center"/>
              <w:rPr>
                <w:color w:val="000000"/>
              </w:rPr>
            </w:pPr>
          </w:p>
        </w:tc>
      </w:tr>
      <w:tr>
        <w:tblPrEx>
          <w:tblLayout w:type="fixed"/>
          <w:tblCellMar>
            <w:top w:w="0" w:type="dxa"/>
            <w:left w:w="0" w:type="dxa"/>
            <w:bottom w:w="0" w:type="dxa"/>
            <w:right w:w="0" w:type="dxa"/>
          </w:tblCellMar>
        </w:tblPrEx>
        <w:trPr>
          <w:trHeight w:val="650" w:hRule="exact"/>
        </w:trPr>
        <w:tc>
          <w:tcPr>
            <w:tcW w:w="576" w:type="dxa"/>
            <w:tcBorders>
              <w:top w:val="single" w:color="000000" w:sz="4" w:space="0"/>
              <w:left w:val="single" w:color="000000" w:sz="8" w:space="0"/>
              <w:bottom w:val="single" w:color="000000" w:sz="4" w:space="0"/>
              <w:right w:val="single" w:color="000000" w:sz="4" w:space="0"/>
            </w:tcBorders>
            <w:vAlign w:val="center"/>
          </w:tcPr>
          <w:p>
            <w:pPr>
              <w:pStyle w:val="61"/>
              <w:ind w:left="220" w:right="2"/>
              <w:rPr>
                <w:color w:val="000000"/>
              </w:rPr>
            </w:pPr>
            <w:r>
              <w:rPr>
                <w:color w:val="000000"/>
              </w:rPr>
              <w:t>3</w:t>
            </w:r>
          </w:p>
        </w:tc>
        <w:tc>
          <w:tcPr>
            <w:tcW w:w="907"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1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7"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12"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1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7"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1634"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41"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842"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84"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1234" w:type="dxa"/>
            <w:tcBorders>
              <w:top w:val="single" w:color="000000" w:sz="4" w:space="0"/>
              <w:left w:val="single" w:color="000000" w:sz="4" w:space="0"/>
              <w:bottom w:val="single" w:color="000000" w:sz="4" w:space="0"/>
              <w:right w:val="single" w:color="000000" w:sz="8" w:space="0"/>
            </w:tcBorders>
            <w:vAlign w:val="center"/>
          </w:tcPr>
          <w:p>
            <w:pPr>
              <w:ind w:right="2"/>
              <w:jc w:val="center"/>
              <w:rPr>
                <w:color w:val="000000"/>
              </w:rPr>
            </w:pPr>
          </w:p>
        </w:tc>
      </w:tr>
      <w:tr>
        <w:tblPrEx>
          <w:tblLayout w:type="fixed"/>
          <w:tblCellMar>
            <w:top w:w="0" w:type="dxa"/>
            <w:left w:w="0" w:type="dxa"/>
            <w:bottom w:w="0" w:type="dxa"/>
            <w:right w:w="0" w:type="dxa"/>
          </w:tblCellMar>
        </w:tblPrEx>
        <w:trPr>
          <w:trHeight w:val="650" w:hRule="exact"/>
        </w:trPr>
        <w:tc>
          <w:tcPr>
            <w:tcW w:w="576" w:type="dxa"/>
            <w:tcBorders>
              <w:top w:val="single" w:color="000000" w:sz="4" w:space="0"/>
              <w:left w:val="single" w:color="000000" w:sz="8" w:space="0"/>
              <w:bottom w:val="single" w:color="000000" w:sz="4" w:space="0"/>
              <w:right w:val="single" w:color="000000" w:sz="4" w:space="0"/>
            </w:tcBorders>
            <w:vAlign w:val="center"/>
          </w:tcPr>
          <w:p>
            <w:pPr>
              <w:pStyle w:val="61"/>
              <w:ind w:left="39" w:right="2"/>
              <w:jc w:val="center"/>
              <w:rPr>
                <w:color w:val="000000"/>
              </w:rPr>
            </w:pPr>
            <w:r>
              <w:rPr>
                <w:rFonts w:hint="eastAsia"/>
                <w:color w:val="000000"/>
              </w:rPr>
              <w:t>…</w:t>
            </w:r>
          </w:p>
        </w:tc>
        <w:tc>
          <w:tcPr>
            <w:tcW w:w="907" w:type="dxa"/>
            <w:tcBorders>
              <w:top w:val="single" w:color="000000" w:sz="4" w:space="0"/>
              <w:left w:val="single" w:color="000000" w:sz="4" w:space="0"/>
              <w:bottom w:val="single" w:color="000000" w:sz="4" w:space="0"/>
              <w:right w:val="single" w:color="000000" w:sz="4" w:space="0"/>
            </w:tcBorders>
            <w:vAlign w:val="center"/>
          </w:tcPr>
          <w:p>
            <w:pPr>
              <w:pStyle w:val="61"/>
              <w:ind w:right="2"/>
              <w:jc w:val="center"/>
              <w:rPr>
                <w:color w:val="000000"/>
              </w:rPr>
            </w:pPr>
          </w:p>
          <w:p>
            <w:pPr>
              <w:pStyle w:val="61"/>
              <w:ind w:left="-241" w:right="2"/>
              <w:rPr>
                <w:color w:val="000000"/>
              </w:rPr>
            </w:pPr>
          </w:p>
        </w:tc>
        <w:tc>
          <w:tcPr>
            <w:tcW w:w="91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7"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12"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1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7"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1634"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41"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842"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00"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1082"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984" w:type="dxa"/>
            <w:tcBorders>
              <w:top w:val="single" w:color="000000" w:sz="4" w:space="0"/>
              <w:left w:val="single" w:color="000000" w:sz="4" w:space="0"/>
              <w:bottom w:val="single" w:color="000000" w:sz="4" w:space="0"/>
              <w:right w:val="single" w:color="000000" w:sz="4" w:space="0"/>
            </w:tcBorders>
            <w:vAlign w:val="center"/>
          </w:tcPr>
          <w:p>
            <w:pPr>
              <w:ind w:right="2"/>
              <w:jc w:val="center"/>
              <w:rPr>
                <w:color w:val="000000"/>
              </w:rPr>
            </w:pPr>
          </w:p>
        </w:tc>
        <w:tc>
          <w:tcPr>
            <w:tcW w:w="1234" w:type="dxa"/>
            <w:tcBorders>
              <w:top w:val="single" w:color="000000" w:sz="4" w:space="0"/>
              <w:left w:val="single" w:color="000000" w:sz="4" w:space="0"/>
              <w:bottom w:val="single" w:color="000000" w:sz="4" w:space="0"/>
              <w:right w:val="single" w:color="000000" w:sz="8" w:space="0"/>
            </w:tcBorders>
            <w:vAlign w:val="center"/>
          </w:tcPr>
          <w:p>
            <w:pPr>
              <w:ind w:right="2"/>
              <w:jc w:val="center"/>
              <w:rPr>
                <w:color w:val="000000"/>
              </w:rPr>
            </w:pPr>
          </w:p>
        </w:tc>
      </w:tr>
      <w:tr>
        <w:tblPrEx>
          <w:tblLayout w:type="fixed"/>
          <w:tblCellMar>
            <w:top w:w="0" w:type="dxa"/>
            <w:left w:w="0" w:type="dxa"/>
            <w:bottom w:w="0" w:type="dxa"/>
            <w:right w:w="0" w:type="dxa"/>
          </w:tblCellMar>
        </w:tblPrEx>
        <w:trPr>
          <w:trHeight w:val="655" w:hRule="exact"/>
        </w:trPr>
        <w:tc>
          <w:tcPr>
            <w:tcW w:w="4212" w:type="dxa"/>
            <w:gridSpan w:val="5"/>
            <w:tcBorders>
              <w:top w:val="single" w:color="000000" w:sz="4" w:space="0"/>
              <w:left w:val="single" w:color="000000" w:sz="8" w:space="0"/>
              <w:bottom w:val="single" w:color="000000" w:sz="8" w:space="0"/>
              <w:right w:val="single" w:color="000000" w:sz="4" w:space="0"/>
            </w:tcBorders>
            <w:vAlign w:val="center"/>
          </w:tcPr>
          <w:p>
            <w:pPr>
              <w:pStyle w:val="61"/>
              <w:tabs>
                <w:tab w:val="left" w:pos="485"/>
              </w:tabs>
              <w:ind w:left="10" w:right="2"/>
              <w:jc w:val="center"/>
              <w:rPr>
                <w:color w:val="000000"/>
              </w:rPr>
            </w:pPr>
            <w:r>
              <w:rPr>
                <w:color w:val="000000"/>
              </w:rPr>
              <w:t>合</w:t>
            </w:r>
            <w:r>
              <w:rPr>
                <w:color w:val="000000"/>
              </w:rPr>
              <w:tab/>
            </w:r>
            <w:r>
              <w:rPr>
                <w:color w:val="000000"/>
              </w:rPr>
              <w:t>计 （元）</w:t>
            </w:r>
          </w:p>
        </w:tc>
        <w:tc>
          <w:tcPr>
            <w:tcW w:w="910" w:type="dxa"/>
            <w:tcBorders>
              <w:top w:val="single" w:color="000000" w:sz="4" w:space="0"/>
              <w:left w:val="single" w:color="000000" w:sz="4" w:space="0"/>
              <w:bottom w:val="single" w:color="000000" w:sz="8" w:space="0"/>
              <w:right w:val="single" w:color="000000" w:sz="4" w:space="0"/>
            </w:tcBorders>
            <w:vAlign w:val="center"/>
          </w:tcPr>
          <w:p>
            <w:pPr>
              <w:ind w:right="2"/>
              <w:jc w:val="center"/>
              <w:rPr>
                <w:color w:val="000000"/>
              </w:rPr>
            </w:pPr>
          </w:p>
        </w:tc>
        <w:tc>
          <w:tcPr>
            <w:tcW w:w="907" w:type="dxa"/>
            <w:tcBorders>
              <w:top w:val="single" w:color="000000" w:sz="4" w:space="0"/>
              <w:left w:val="single" w:color="000000" w:sz="4" w:space="0"/>
              <w:bottom w:val="single" w:color="000000" w:sz="8" w:space="0"/>
              <w:right w:val="single" w:color="000000" w:sz="4" w:space="0"/>
            </w:tcBorders>
            <w:vAlign w:val="center"/>
          </w:tcPr>
          <w:p>
            <w:pPr>
              <w:ind w:right="2"/>
              <w:jc w:val="center"/>
              <w:rPr>
                <w:color w:val="000000"/>
              </w:rPr>
            </w:pPr>
          </w:p>
        </w:tc>
        <w:tc>
          <w:tcPr>
            <w:tcW w:w="1634" w:type="dxa"/>
            <w:tcBorders>
              <w:top w:val="single" w:color="000000" w:sz="4" w:space="0"/>
              <w:left w:val="single" w:color="000000" w:sz="4" w:space="0"/>
              <w:bottom w:val="single" w:color="000000" w:sz="8" w:space="0"/>
              <w:right w:val="single" w:color="000000" w:sz="4" w:space="0"/>
            </w:tcBorders>
            <w:vAlign w:val="center"/>
          </w:tcPr>
          <w:p>
            <w:pPr>
              <w:ind w:right="2"/>
              <w:jc w:val="center"/>
              <w:rPr>
                <w:color w:val="000000"/>
              </w:rPr>
            </w:pPr>
          </w:p>
        </w:tc>
        <w:tc>
          <w:tcPr>
            <w:tcW w:w="3583" w:type="dxa"/>
            <w:gridSpan w:val="4"/>
            <w:tcBorders>
              <w:top w:val="single" w:color="000000" w:sz="4" w:space="0"/>
              <w:left w:val="single" w:color="000000" w:sz="4" w:space="0"/>
              <w:bottom w:val="single" w:color="000000" w:sz="8" w:space="0"/>
              <w:right w:val="single" w:color="000000" w:sz="4" w:space="0"/>
            </w:tcBorders>
            <w:vAlign w:val="center"/>
          </w:tcPr>
          <w:p>
            <w:pPr>
              <w:pStyle w:val="61"/>
              <w:tabs>
                <w:tab w:val="left" w:pos="1643"/>
              </w:tabs>
              <w:ind w:left="1164" w:right="2"/>
              <w:rPr>
                <w:color w:val="000000"/>
              </w:rPr>
            </w:pPr>
            <w:r>
              <w:rPr>
                <w:color w:val="000000"/>
              </w:rPr>
              <w:t>合</w:t>
            </w:r>
            <w:r>
              <w:rPr>
                <w:color w:val="000000"/>
              </w:rPr>
              <w:tab/>
            </w:r>
            <w:r>
              <w:rPr>
                <w:color w:val="000000"/>
              </w:rPr>
              <w:t>计 （元）</w:t>
            </w:r>
          </w:p>
        </w:tc>
        <w:tc>
          <w:tcPr>
            <w:tcW w:w="1082" w:type="dxa"/>
            <w:tcBorders>
              <w:top w:val="single" w:color="000000" w:sz="4" w:space="0"/>
              <w:left w:val="single" w:color="000000" w:sz="4" w:space="0"/>
              <w:bottom w:val="single" w:color="000000" w:sz="8" w:space="0"/>
              <w:right w:val="single" w:color="000000" w:sz="4" w:space="0"/>
            </w:tcBorders>
            <w:vAlign w:val="center"/>
          </w:tcPr>
          <w:p>
            <w:pPr>
              <w:ind w:right="2"/>
              <w:jc w:val="center"/>
              <w:rPr>
                <w:color w:val="000000"/>
              </w:rPr>
            </w:pPr>
          </w:p>
        </w:tc>
        <w:tc>
          <w:tcPr>
            <w:tcW w:w="984" w:type="dxa"/>
            <w:tcBorders>
              <w:top w:val="single" w:color="000000" w:sz="4" w:space="0"/>
              <w:left w:val="single" w:color="000000" w:sz="4" w:space="0"/>
              <w:bottom w:val="single" w:color="000000" w:sz="8" w:space="0"/>
              <w:right w:val="single" w:color="000000" w:sz="4" w:space="0"/>
            </w:tcBorders>
            <w:vAlign w:val="center"/>
          </w:tcPr>
          <w:p>
            <w:pPr>
              <w:ind w:right="2"/>
              <w:jc w:val="center"/>
              <w:rPr>
                <w:color w:val="000000"/>
              </w:rPr>
            </w:pPr>
          </w:p>
        </w:tc>
        <w:tc>
          <w:tcPr>
            <w:tcW w:w="1234" w:type="dxa"/>
            <w:tcBorders>
              <w:top w:val="single" w:color="000000" w:sz="4" w:space="0"/>
              <w:left w:val="single" w:color="000000" w:sz="4" w:space="0"/>
              <w:bottom w:val="single" w:color="000000" w:sz="8" w:space="0"/>
              <w:right w:val="single" w:color="000000" w:sz="8" w:space="0"/>
            </w:tcBorders>
            <w:vAlign w:val="center"/>
          </w:tcPr>
          <w:p>
            <w:pPr>
              <w:ind w:right="2"/>
              <w:jc w:val="center"/>
              <w:rPr>
                <w:color w:val="000000"/>
              </w:rPr>
            </w:pPr>
          </w:p>
        </w:tc>
      </w:tr>
    </w:tbl>
    <w:p>
      <w:pPr>
        <w:pStyle w:val="61"/>
        <w:jc w:val="center"/>
        <w:rPr>
          <w:color w:val="000000"/>
        </w:rPr>
      </w:pPr>
      <w:r>
        <w:rPr>
          <w:szCs w:val="21"/>
        </w:rPr>
        <w:br w:type="page"/>
      </w:r>
      <w:r>
        <w:rPr>
          <w:rFonts w:hint="eastAsia"/>
          <w:color w:val="000000"/>
          <w:sz w:val="32"/>
          <w:szCs w:val="32"/>
        </w:rPr>
        <w:t>表 5</w:t>
      </w:r>
      <w:r>
        <w:rPr>
          <w:rFonts w:hint="eastAsia"/>
          <w:color w:val="000000"/>
          <w:sz w:val="32"/>
          <w:szCs w:val="32"/>
        </w:rPr>
        <w:tab/>
      </w:r>
      <w:r>
        <w:rPr>
          <w:rFonts w:hint="eastAsia"/>
          <w:color w:val="000000"/>
          <w:sz w:val="32"/>
          <w:szCs w:val="32"/>
        </w:rPr>
        <w:t>监理试验设施费报价表</w:t>
      </w:r>
    </w:p>
    <w:tbl>
      <w:tblPr>
        <w:tblStyle w:val="40"/>
        <w:tblW w:w="14537" w:type="dxa"/>
        <w:jc w:val="center"/>
        <w:tblInd w:w="0" w:type="dxa"/>
        <w:tblLayout w:type="fixed"/>
        <w:tblCellMar>
          <w:top w:w="0" w:type="dxa"/>
          <w:left w:w="0" w:type="dxa"/>
          <w:bottom w:w="0" w:type="dxa"/>
          <w:right w:w="0" w:type="dxa"/>
        </w:tblCellMar>
      </w:tblPr>
      <w:tblGrid>
        <w:gridCol w:w="494"/>
        <w:gridCol w:w="1082"/>
        <w:gridCol w:w="835"/>
        <w:gridCol w:w="734"/>
        <w:gridCol w:w="1127"/>
        <w:gridCol w:w="984"/>
        <w:gridCol w:w="986"/>
        <w:gridCol w:w="1046"/>
        <w:gridCol w:w="1286"/>
        <w:gridCol w:w="874"/>
        <w:gridCol w:w="720"/>
        <w:gridCol w:w="1080"/>
        <w:gridCol w:w="1082"/>
        <w:gridCol w:w="1080"/>
        <w:gridCol w:w="1127"/>
      </w:tblGrid>
      <w:tr>
        <w:tblPrEx>
          <w:tblLayout w:type="fixed"/>
        </w:tblPrEx>
        <w:trPr>
          <w:trHeight w:val="605" w:hRule="exact"/>
          <w:jc w:val="center"/>
        </w:trPr>
        <w:tc>
          <w:tcPr>
            <w:tcW w:w="494" w:type="dxa"/>
            <w:vMerge w:val="restart"/>
            <w:tcBorders>
              <w:top w:val="single" w:color="000000" w:sz="8" w:space="0"/>
              <w:left w:val="single" w:color="000000" w:sz="8" w:space="0"/>
              <w:right w:val="single" w:color="000000" w:sz="4" w:space="0"/>
            </w:tcBorders>
          </w:tcPr>
          <w:p>
            <w:pPr>
              <w:pStyle w:val="61"/>
              <w:rPr>
                <w:color w:val="000000"/>
              </w:rPr>
            </w:pPr>
          </w:p>
          <w:p>
            <w:pPr>
              <w:pStyle w:val="61"/>
              <w:spacing w:before="4"/>
              <w:rPr>
                <w:color w:val="000000"/>
                <w:szCs w:val="21"/>
              </w:rPr>
            </w:pPr>
          </w:p>
          <w:p>
            <w:pPr>
              <w:pStyle w:val="61"/>
              <w:ind w:left="122"/>
              <w:rPr>
                <w:color w:val="000000"/>
                <w:sz w:val="23"/>
                <w:szCs w:val="23"/>
              </w:rPr>
            </w:pPr>
            <w:r>
              <w:rPr>
                <w:color w:val="000000"/>
                <w:sz w:val="23"/>
                <w:szCs w:val="23"/>
              </w:rPr>
              <w:t>序</w:t>
            </w:r>
          </w:p>
          <w:p>
            <w:pPr>
              <w:pStyle w:val="61"/>
              <w:spacing w:before="109"/>
              <w:ind w:left="127"/>
              <w:rPr>
                <w:color w:val="000000"/>
              </w:rPr>
            </w:pPr>
            <w:r>
              <w:rPr>
                <w:color w:val="000000"/>
              </w:rPr>
              <w:t>号</w:t>
            </w:r>
          </w:p>
        </w:tc>
        <w:tc>
          <w:tcPr>
            <w:tcW w:w="6794" w:type="dxa"/>
            <w:gridSpan w:val="7"/>
            <w:tcBorders>
              <w:top w:val="single" w:color="000000" w:sz="8" w:space="0"/>
              <w:left w:val="single" w:color="000000" w:sz="4" w:space="0"/>
              <w:bottom w:val="single" w:color="000000" w:sz="4" w:space="0"/>
              <w:right w:val="single" w:color="000000" w:sz="4" w:space="0"/>
            </w:tcBorders>
          </w:tcPr>
          <w:p>
            <w:pPr>
              <w:pStyle w:val="61"/>
              <w:spacing w:before="117"/>
              <w:jc w:val="center"/>
              <w:rPr>
                <w:color w:val="000000"/>
              </w:rPr>
            </w:pPr>
            <w:r>
              <w:rPr>
                <w:color w:val="000000"/>
              </w:rPr>
              <w:t>施工期</w:t>
            </w:r>
          </w:p>
        </w:tc>
        <w:tc>
          <w:tcPr>
            <w:tcW w:w="7249" w:type="dxa"/>
            <w:gridSpan w:val="7"/>
            <w:tcBorders>
              <w:top w:val="single" w:color="000000" w:sz="8" w:space="0"/>
              <w:left w:val="single" w:color="000000" w:sz="4" w:space="0"/>
              <w:bottom w:val="single" w:color="000000" w:sz="4" w:space="0"/>
              <w:right w:val="single" w:color="000000" w:sz="8" w:space="0"/>
            </w:tcBorders>
          </w:tcPr>
          <w:p>
            <w:pPr>
              <w:pStyle w:val="61"/>
              <w:spacing w:before="122"/>
              <w:ind w:left="2"/>
              <w:jc w:val="center"/>
              <w:rPr>
                <w:color w:val="000000"/>
              </w:rPr>
            </w:pPr>
            <w:r>
              <w:rPr>
                <w:color w:val="000000"/>
              </w:rPr>
              <w:t>缺陷责任期</w:t>
            </w:r>
          </w:p>
        </w:tc>
      </w:tr>
      <w:tr>
        <w:tblPrEx>
          <w:tblLayout w:type="fixed"/>
          <w:tblCellMar>
            <w:top w:w="0" w:type="dxa"/>
            <w:left w:w="0" w:type="dxa"/>
            <w:bottom w:w="0" w:type="dxa"/>
            <w:right w:w="0" w:type="dxa"/>
          </w:tblCellMar>
        </w:tblPrEx>
        <w:trPr>
          <w:trHeight w:val="784" w:hRule="exact"/>
          <w:jc w:val="center"/>
        </w:trPr>
        <w:tc>
          <w:tcPr>
            <w:tcW w:w="494" w:type="dxa"/>
            <w:vMerge w:val="continue"/>
            <w:tcBorders>
              <w:left w:val="single" w:color="000000" w:sz="8" w:space="0"/>
              <w:right w:val="single" w:color="000000" w:sz="4" w:space="0"/>
            </w:tcBorders>
          </w:tcPr>
          <w:p>
            <w:pPr>
              <w:rPr>
                <w:color w:val="000000"/>
              </w:rPr>
            </w:pPr>
          </w:p>
        </w:tc>
        <w:tc>
          <w:tcPr>
            <w:tcW w:w="1082" w:type="dxa"/>
            <w:tcBorders>
              <w:top w:val="single" w:color="000000" w:sz="4" w:space="0"/>
              <w:left w:val="single" w:color="000000" w:sz="4" w:space="0"/>
              <w:bottom w:val="nil"/>
              <w:right w:val="single" w:color="000000" w:sz="4" w:space="0"/>
            </w:tcBorders>
          </w:tcPr>
          <w:p>
            <w:pPr>
              <w:pStyle w:val="61"/>
              <w:rPr>
                <w:color w:val="000000"/>
              </w:rPr>
            </w:pPr>
          </w:p>
          <w:p>
            <w:pPr>
              <w:pStyle w:val="61"/>
              <w:spacing w:before="187"/>
              <w:ind w:left="55"/>
              <w:rPr>
                <w:color w:val="000000"/>
                <w:sz w:val="23"/>
                <w:szCs w:val="23"/>
              </w:rPr>
            </w:pPr>
            <w:r>
              <w:rPr>
                <w:color w:val="000000"/>
                <w:sz w:val="23"/>
                <w:szCs w:val="23"/>
              </w:rPr>
              <w:t>设备名称</w:t>
            </w:r>
          </w:p>
        </w:tc>
        <w:tc>
          <w:tcPr>
            <w:tcW w:w="835" w:type="dxa"/>
            <w:tcBorders>
              <w:top w:val="single" w:color="000000" w:sz="4" w:space="0"/>
              <w:left w:val="single" w:color="000000" w:sz="4" w:space="0"/>
              <w:bottom w:val="nil"/>
              <w:right w:val="single" w:color="000000" w:sz="4" w:space="0"/>
            </w:tcBorders>
          </w:tcPr>
          <w:p>
            <w:pPr>
              <w:pStyle w:val="61"/>
              <w:rPr>
                <w:color w:val="000000"/>
              </w:rPr>
            </w:pPr>
          </w:p>
          <w:p>
            <w:pPr>
              <w:pStyle w:val="61"/>
              <w:spacing w:before="194"/>
              <w:ind w:left="182"/>
              <w:rPr>
                <w:color w:val="000000"/>
              </w:rPr>
            </w:pPr>
            <w:r>
              <w:rPr>
                <w:color w:val="000000"/>
              </w:rPr>
              <w:t>型号</w:t>
            </w:r>
          </w:p>
        </w:tc>
        <w:tc>
          <w:tcPr>
            <w:tcW w:w="734" w:type="dxa"/>
            <w:tcBorders>
              <w:top w:val="single" w:color="000000" w:sz="4" w:space="0"/>
              <w:left w:val="single" w:color="000000" w:sz="4" w:space="0"/>
              <w:bottom w:val="nil"/>
              <w:right w:val="single" w:color="000000" w:sz="4" w:space="0"/>
            </w:tcBorders>
          </w:tcPr>
          <w:p>
            <w:pPr>
              <w:pStyle w:val="61"/>
              <w:rPr>
                <w:color w:val="000000"/>
              </w:rPr>
            </w:pPr>
          </w:p>
          <w:p>
            <w:pPr>
              <w:pStyle w:val="61"/>
              <w:spacing w:before="194"/>
              <w:ind w:left="124"/>
              <w:rPr>
                <w:color w:val="000000"/>
              </w:rPr>
            </w:pPr>
            <w:r>
              <w:rPr>
                <w:color w:val="000000"/>
              </w:rPr>
              <w:t>数量</w:t>
            </w:r>
          </w:p>
        </w:tc>
        <w:tc>
          <w:tcPr>
            <w:tcW w:w="1127" w:type="dxa"/>
            <w:tcBorders>
              <w:top w:val="single" w:color="000000" w:sz="4" w:space="0"/>
              <w:left w:val="single" w:color="000000" w:sz="4" w:space="0"/>
              <w:bottom w:val="nil"/>
              <w:right w:val="single" w:color="000000" w:sz="4" w:space="0"/>
            </w:tcBorders>
          </w:tcPr>
          <w:p>
            <w:pPr>
              <w:pStyle w:val="61"/>
              <w:spacing w:before="6"/>
              <w:rPr>
                <w:color w:val="000000"/>
                <w:szCs w:val="21"/>
              </w:rPr>
            </w:pPr>
          </w:p>
          <w:p>
            <w:pPr>
              <w:pStyle w:val="61"/>
              <w:ind w:left="9"/>
              <w:jc w:val="center"/>
              <w:rPr>
                <w:color w:val="000000"/>
              </w:rPr>
            </w:pPr>
            <w:r>
              <w:rPr>
                <w:color w:val="000000"/>
              </w:rPr>
              <w:t>购置合价</w:t>
            </w:r>
          </w:p>
        </w:tc>
        <w:tc>
          <w:tcPr>
            <w:tcW w:w="984" w:type="dxa"/>
            <w:tcBorders>
              <w:top w:val="single" w:color="000000" w:sz="4" w:space="0"/>
              <w:left w:val="single" w:color="000000" w:sz="4" w:space="0"/>
              <w:bottom w:val="nil"/>
              <w:right w:val="single" w:color="000000" w:sz="4" w:space="0"/>
            </w:tcBorders>
          </w:tcPr>
          <w:p>
            <w:pPr>
              <w:pStyle w:val="61"/>
              <w:spacing w:before="6"/>
              <w:rPr>
                <w:color w:val="000000"/>
                <w:szCs w:val="21"/>
              </w:rPr>
            </w:pPr>
          </w:p>
          <w:p>
            <w:pPr>
              <w:pStyle w:val="61"/>
              <w:ind w:right="1"/>
              <w:jc w:val="center"/>
              <w:rPr>
                <w:color w:val="000000"/>
              </w:rPr>
            </w:pPr>
            <w:r>
              <w:rPr>
                <w:color w:val="000000"/>
              </w:rPr>
              <w:t>折旧费</w:t>
            </w:r>
          </w:p>
        </w:tc>
        <w:tc>
          <w:tcPr>
            <w:tcW w:w="986" w:type="dxa"/>
            <w:tcBorders>
              <w:top w:val="single" w:color="000000" w:sz="4" w:space="0"/>
              <w:left w:val="single" w:color="000000" w:sz="4" w:space="0"/>
              <w:bottom w:val="nil"/>
              <w:right w:val="single" w:color="000000" w:sz="4" w:space="0"/>
            </w:tcBorders>
          </w:tcPr>
          <w:p>
            <w:pPr>
              <w:pStyle w:val="61"/>
              <w:spacing w:before="6"/>
              <w:rPr>
                <w:color w:val="000000"/>
                <w:szCs w:val="21"/>
              </w:rPr>
            </w:pPr>
          </w:p>
          <w:p>
            <w:pPr>
              <w:pStyle w:val="61"/>
              <w:ind w:right="5"/>
              <w:jc w:val="center"/>
              <w:rPr>
                <w:color w:val="000000"/>
              </w:rPr>
            </w:pPr>
            <w:r>
              <w:rPr>
                <w:color w:val="000000"/>
              </w:rPr>
              <w:t>使用费</w:t>
            </w:r>
          </w:p>
        </w:tc>
        <w:tc>
          <w:tcPr>
            <w:tcW w:w="1046" w:type="dxa"/>
            <w:tcBorders>
              <w:top w:val="single" w:color="000000" w:sz="4" w:space="0"/>
              <w:left w:val="single" w:color="000000" w:sz="4" w:space="0"/>
              <w:bottom w:val="nil"/>
              <w:right w:val="single" w:color="000000" w:sz="4" w:space="0"/>
            </w:tcBorders>
          </w:tcPr>
          <w:p>
            <w:pPr>
              <w:pStyle w:val="61"/>
              <w:spacing w:before="12" w:line="404" w:lineRule="exact"/>
              <w:ind w:left="28" w:right="55" w:firstLine="364"/>
              <w:rPr>
                <w:color w:val="000000"/>
              </w:rPr>
            </w:pPr>
            <w:r>
              <w:rPr>
                <w:color w:val="000000"/>
              </w:rPr>
              <w:t>小计 折旧及使用</w:t>
            </w:r>
          </w:p>
        </w:tc>
        <w:tc>
          <w:tcPr>
            <w:tcW w:w="1286" w:type="dxa"/>
            <w:tcBorders>
              <w:top w:val="single" w:color="000000" w:sz="4" w:space="0"/>
              <w:left w:val="single" w:color="000000" w:sz="4" w:space="0"/>
              <w:bottom w:val="nil"/>
              <w:right w:val="single" w:color="000000" w:sz="4" w:space="0"/>
            </w:tcBorders>
          </w:tcPr>
          <w:p>
            <w:pPr>
              <w:pStyle w:val="61"/>
              <w:rPr>
                <w:color w:val="000000"/>
              </w:rPr>
            </w:pPr>
          </w:p>
          <w:p>
            <w:pPr>
              <w:pStyle w:val="61"/>
              <w:spacing w:before="187"/>
              <w:ind w:left="158"/>
              <w:rPr>
                <w:color w:val="000000"/>
                <w:sz w:val="23"/>
                <w:szCs w:val="23"/>
              </w:rPr>
            </w:pPr>
            <w:r>
              <w:rPr>
                <w:color w:val="000000"/>
                <w:sz w:val="23"/>
                <w:szCs w:val="23"/>
              </w:rPr>
              <w:t>设备名称</w:t>
            </w:r>
          </w:p>
        </w:tc>
        <w:tc>
          <w:tcPr>
            <w:tcW w:w="874" w:type="dxa"/>
            <w:tcBorders>
              <w:top w:val="single" w:color="000000" w:sz="4" w:space="0"/>
              <w:left w:val="single" w:color="000000" w:sz="4" w:space="0"/>
              <w:bottom w:val="nil"/>
              <w:right w:val="single" w:color="000000" w:sz="4" w:space="0"/>
            </w:tcBorders>
          </w:tcPr>
          <w:p>
            <w:pPr>
              <w:pStyle w:val="61"/>
              <w:rPr>
                <w:color w:val="000000"/>
              </w:rPr>
            </w:pPr>
          </w:p>
          <w:p>
            <w:pPr>
              <w:pStyle w:val="61"/>
              <w:spacing w:before="194"/>
              <w:ind w:left="196"/>
              <w:rPr>
                <w:color w:val="000000"/>
              </w:rPr>
            </w:pPr>
            <w:r>
              <w:rPr>
                <w:color w:val="000000"/>
              </w:rPr>
              <w:t>型号</w:t>
            </w:r>
          </w:p>
        </w:tc>
        <w:tc>
          <w:tcPr>
            <w:tcW w:w="720" w:type="dxa"/>
            <w:tcBorders>
              <w:top w:val="single" w:color="000000" w:sz="4" w:space="0"/>
              <w:left w:val="single" w:color="000000" w:sz="4" w:space="0"/>
              <w:bottom w:val="nil"/>
              <w:right w:val="single" w:color="000000" w:sz="4" w:space="0"/>
            </w:tcBorders>
          </w:tcPr>
          <w:p>
            <w:pPr>
              <w:pStyle w:val="61"/>
              <w:rPr>
                <w:color w:val="000000"/>
              </w:rPr>
            </w:pPr>
          </w:p>
          <w:p>
            <w:pPr>
              <w:pStyle w:val="61"/>
              <w:spacing w:before="194"/>
              <w:ind w:left="120"/>
              <w:rPr>
                <w:color w:val="000000"/>
              </w:rPr>
            </w:pPr>
            <w:r>
              <w:rPr>
                <w:color w:val="000000"/>
              </w:rPr>
              <w:t>数量</w:t>
            </w:r>
          </w:p>
        </w:tc>
        <w:tc>
          <w:tcPr>
            <w:tcW w:w="1080" w:type="dxa"/>
            <w:tcBorders>
              <w:top w:val="single" w:color="000000" w:sz="4" w:space="0"/>
              <w:left w:val="single" w:color="000000" w:sz="4" w:space="0"/>
              <w:bottom w:val="nil"/>
              <w:right w:val="single" w:color="000000" w:sz="4" w:space="0"/>
            </w:tcBorders>
          </w:tcPr>
          <w:p>
            <w:pPr>
              <w:pStyle w:val="61"/>
              <w:spacing w:before="6"/>
              <w:rPr>
                <w:color w:val="000000"/>
                <w:szCs w:val="21"/>
              </w:rPr>
            </w:pPr>
          </w:p>
          <w:p>
            <w:pPr>
              <w:pStyle w:val="61"/>
              <w:ind w:right="1"/>
              <w:jc w:val="center"/>
              <w:rPr>
                <w:color w:val="000000"/>
              </w:rPr>
            </w:pPr>
            <w:r>
              <w:rPr>
                <w:color w:val="000000"/>
              </w:rPr>
              <w:t>购置合价</w:t>
            </w:r>
          </w:p>
        </w:tc>
        <w:tc>
          <w:tcPr>
            <w:tcW w:w="1082" w:type="dxa"/>
            <w:tcBorders>
              <w:top w:val="single" w:color="000000" w:sz="4" w:space="0"/>
              <w:left w:val="single" w:color="000000" w:sz="4" w:space="0"/>
              <w:bottom w:val="nil"/>
              <w:right w:val="single" w:color="000000" w:sz="4" w:space="0"/>
            </w:tcBorders>
          </w:tcPr>
          <w:p>
            <w:pPr>
              <w:pStyle w:val="61"/>
              <w:spacing w:before="6"/>
              <w:rPr>
                <w:color w:val="000000"/>
                <w:szCs w:val="21"/>
              </w:rPr>
            </w:pPr>
          </w:p>
          <w:p>
            <w:pPr>
              <w:pStyle w:val="61"/>
              <w:ind w:left="20"/>
              <w:jc w:val="center"/>
              <w:rPr>
                <w:color w:val="000000"/>
              </w:rPr>
            </w:pPr>
            <w:r>
              <w:rPr>
                <w:color w:val="000000"/>
              </w:rPr>
              <w:t>折旧费</w:t>
            </w:r>
          </w:p>
        </w:tc>
        <w:tc>
          <w:tcPr>
            <w:tcW w:w="1080" w:type="dxa"/>
            <w:tcBorders>
              <w:top w:val="single" w:color="000000" w:sz="4" w:space="0"/>
              <w:left w:val="single" w:color="000000" w:sz="4" w:space="0"/>
              <w:bottom w:val="nil"/>
              <w:right w:val="single" w:color="000000" w:sz="4" w:space="0"/>
            </w:tcBorders>
          </w:tcPr>
          <w:p>
            <w:pPr>
              <w:pStyle w:val="61"/>
              <w:spacing w:before="6"/>
              <w:rPr>
                <w:color w:val="000000"/>
                <w:szCs w:val="21"/>
              </w:rPr>
            </w:pPr>
          </w:p>
          <w:p>
            <w:pPr>
              <w:pStyle w:val="61"/>
              <w:jc w:val="center"/>
              <w:rPr>
                <w:color w:val="000000"/>
              </w:rPr>
            </w:pPr>
            <w:r>
              <w:rPr>
                <w:color w:val="000000"/>
              </w:rPr>
              <w:t>使用费</w:t>
            </w:r>
          </w:p>
        </w:tc>
        <w:tc>
          <w:tcPr>
            <w:tcW w:w="1127" w:type="dxa"/>
            <w:tcBorders>
              <w:top w:val="single" w:color="000000" w:sz="4" w:space="0"/>
              <w:left w:val="single" w:color="000000" w:sz="4" w:space="0"/>
              <w:bottom w:val="nil"/>
              <w:right w:val="single" w:color="000000" w:sz="8" w:space="0"/>
            </w:tcBorders>
          </w:tcPr>
          <w:p>
            <w:pPr>
              <w:pStyle w:val="61"/>
              <w:spacing w:before="12" w:line="404" w:lineRule="exact"/>
              <w:ind w:left="26" w:right="50" w:firstLine="364"/>
              <w:rPr>
                <w:color w:val="000000"/>
              </w:rPr>
            </w:pPr>
            <w:r>
              <w:rPr>
                <w:color w:val="000000"/>
              </w:rPr>
              <w:t>小计 折旧及使用</w:t>
            </w:r>
          </w:p>
        </w:tc>
      </w:tr>
      <w:tr>
        <w:tblPrEx>
          <w:tblLayout w:type="fixed"/>
          <w:tblCellMar>
            <w:top w:w="0" w:type="dxa"/>
            <w:left w:w="0" w:type="dxa"/>
            <w:bottom w:w="0" w:type="dxa"/>
            <w:right w:w="0" w:type="dxa"/>
          </w:tblCellMar>
        </w:tblPrEx>
        <w:trPr>
          <w:trHeight w:val="435" w:hRule="exact"/>
          <w:jc w:val="center"/>
        </w:trPr>
        <w:tc>
          <w:tcPr>
            <w:tcW w:w="494" w:type="dxa"/>
            <w:vMerge w:val="continue"/>
            <w:tcBorders>
              <w:left w:val="single" w:color="000000" w:sz="8" w:space="0"/>
              <w:bottom w:val="single" w:color="000000" w:sz="4" w:space="0"/>
              <w:right w:val="single" w:color="000000" w:sz="4" w:space="0"/>
            </w:tcBorders>
          </w:tcPr>
          <w:p>
            <w:pPr>
              <w:rPr>
                <w:color w:val="000000"/>
              </w:rPr>
            </w:pPr>
          </w:p>
        </w:tc>
        <w:tc>
          <w:tcPr>
            <w:tcW w:w="1082" w:type="dxa"/>
            <w:tcBorders>
              <w:top w:val="nil"/>
              <w:left w:val="single" w:color="000000" w:sz="4" w:space="0"/>
              <w:bottom w:val="single" w:color="000000" w:sz="4" w:space="0"/>
              <w:right w:val="single" w:color="000000" w:sz="4" w:space="0"/>
            </w:tcBorders>
          </w:tcPr>
          <w:p>
            <w:pPr>
              <w:rPr>
                <w:color w:val="000000"/>
              </w:rPr>
            </w:pPr>
          </w:p>
        </w:tc>
        <w:tc>
          <w:tcPr>
            <w:tcW w:w="835" w:type="dxa"/>
            <w:tcBorders>
              <w:top w:val="nil"/>
              <w:left w:val="single" w:color="000000" w:sz="4" w:space="0"/>
              <w:bottom w:val="single" w:color="000000" w:sz="4" w:space="0"/>
              <w:right w:val="single" w:color="000000" w:sz="4" w:space="0"/>
            </w:tcBorders>
          </w:tcPr>
          <w:p>
            <w:pPr>
              <w:rPr>
                <w:color w:val="000000"/>
              </w:rPr>
            </w:pPr>
          </w:p>
        </w:tc>
        <w:tc>
          <w:tcPr>
            <w:tcW w:w="734" w:type="dxa"/>
            <w:tcBorders>
              <w:top w:val="nil"/>
              <w:left w:val="single" w:color="000000" w:sz="4" w:space="0"/>
              <w:bottom w:val="single" w:color="000000" w:sz="4" w:space="0"/>
              <w:right w:val="single" w:color="000000" w:sz="4" w:space="0"/>
            </w:tcBorders>
          </w:tcPr>
          <w:p>
            <w:pPr>
              <w:rPr>
                <w:color w:val="000000"/>
              </w:rPr>
            </w:pPr>
          </w:p>
        </w:tc>
        <w:tc>
          <w:tcPr>
            <w:tcW w:w="1127" w:type="dxa"/>
            <w:tcBorders>
              <w:top w:val="nil"/>
              <w:left w:val="single" w:color="000000" w:sz="4" w:space="0"/>
              <w:bottom w:val="single" w:color="000000" w:sz="4" w:space="0"/>
              <w:right w:val="single" w:color="000000" w:sz="4" w:space="0"/>
            </w:tcBorders>
          </w:tcPr>
          <w:p>
            <w:pPr>
              <w:pStyle w:val="61"/>
              <w:spacing w:line="222" w:lineRule="exact"/>
              <w:ind w:left="32"/>
              <w:jc w:val="center"/>
              <w:rPr>
                <w:color w:val="000000"/>
              </w:rPr>
            </w:pPr>
            <w:r>
              <w:rPr>
                <w:color w:val="000000"/>
              </w:rPr>
              <w:t>（</w:t>
            </w:r>
            <w:r>
              <w:rPr>
                <w:rFonts w:hint="eastAsia"/>
                <w:color w:val="000000"/>
              </w:rPr>
              <w:t>元</w:t>
            </w:r>
            <w:r>
              <w:rPr>
                <w:color w:val="000000"/>
              </w:rPr>
              <w:t>）</w:t>
            </w:r>
          </w:p>
        </w:tc>
        <w:tc>
          <w:tcPr>
            <w:tcW w:w="984" w:type="dxa"/>
            <w:tcBorders>
              <w:top w:val="nil"/>
              <w:left w:val="single" w:color="000000" w:sz="4" w:space="0"/>
              <w:bottom w:val="single" w:color="000000" w:sz="4" w:space="0"/>
              <w:right w:val="single" w:color="000000" w:sz="4" w:space="0"/>
            </w:tcBorders>
          </w:tcPr>
          <w:p>
            <w:pPr>
              <w:pStyle w:val="61"/>
              <w:spacing w:line="222" w:lineRule="exact"/>
              <w:ind w:left="17"/>
              <w:jc w:val="center"/>
              <w:rPr>
                <w:color w:val="000000"/>
              </w:rPr>
            </w:pPr>
            <w:r>
              <w:rPr>
                <w:color w:val="000000"/>
              </w:rPr>
              <w:t>（</w:t>
            </w:r>
            <w:r>
              <w:rPr>
                <w:rFonts w:hint="eastAsia"/>
                <w:color w:val="000000"/>
              </w:rPr>
              <w:t>元</w:t>
            </w:r>
            <w:r>
              <w:rPr>
                <w:color w:val="000000"/>
              </w:rPr>
              <w:t>）</w:t>
            </w:r>
          </w:p>
        </w:tc>
        <w:tc>
          <w:tcPr>
            <w:tcW w:w="986" w:type="dxa"/>
            <w:tcBorders>
              <w:top w:val="nil"/>
              <w:left w:val="single" w:color="000000" w:sz="4" w:space="0"/>
              <w:bottom w:val="single" w:color="000000" w:sz="4" w:space="0"/>
              <w:right w:val="single" w:color="000000" w:sz="4" w:space="0"/>
            </w:tcBorders>
          </w:tcPr>
          <w:p>
            <w:pPr>
              <w:pStyle w:val="61"/>
              <w:spacing w:line="222" w:lineRule="exact"/>
              <w:ind w:left="8"/>
              <w:jc w:val="center"/>
              <w:rPr>
                <w:color w:val="000000"/>
              </w:rPr>
            </w:pPr>
            <w:r>
              <w:rPr>
                <w:color w:val="000000"/>
              </w:rPr>
              <w:t>（</w:t>
            </w:r>
            <w:r>
              <w:rPr>
                <w:rFonts w:hint="eastAsia"/>
                <w:color w:val="000000"/>
              </w:rPr>
              <w:t>元</w:t>
            </w:r>
            <w:r>
              <w:rPr>
                <w:color w:val="000000"/>
              </w:rPr>
              <w:t>）</w:t>
            </w:r>
          </w:p>
        </w:tc>
        <w:tc>
          <w:tcPr>
            <w:tcW w:w="1046" w:type="dxa"/>
            <w:tcBorders>
              <w:top w:val="nil"/>
              <w:left w:val="single" w:color="000000" w:sz="4" w:space="0"/>
              <w:bottom w:val="single" w:color="000000" w:sz="4" w:space="0"/>
              <w:right w:val="single" w:color="000000" w:sz="4" w:space="0"/>
            </w:tcBorders>
          </w:tcPr>
          <w:p>
            <w:pPr>
              <w:pStyle w:val="61"/>
              <w:spacing w:before="121"/>
              <w:ind w:left="321"/>
              <w:rPr>
                <w:color w:val="000000"/>
              </w:rPr>
            </w:pPr>
            <w:r>
              <w:rPr>
                <w:color w:val="000000"/>
              </w:rPr>
              <w:t>费（元）</w:t>
            </w:r>
          </w:p>
        </w:tc>
        <w:tc>
          <w:tcPr>
            <w:tcW w:w="1286" w:type="dxa"/>
            <w:tcBorders>
              <w:top w:val="nil"/>
              <w:left w:val="single" w:color="000000" w:sz="4" w:space="0"/>
              <w:bottom w:val="single" w:color="000000" w:sz="4" w:space="0"/>
              <w:right w:val="single" w:color="000000" w:sz="4" w:space="0"/>
            </w:tcBorders>
          </w:tcPr>
          <w:p>
            <w:pPr>
              <w:rPr>
                <w:color w:val="000000"/>
              </w:rPr>
            </w:pPr>
          </w:p>
        </w:tc>
        <w:tc>
          <w:tcPr>
            <w:tcW w:w="874" w:type="dxa"/>
            <w:tcBorders>
              <w:top w:val="nil"/>
              <w:left w:val="single" w:color="000000" w:sz="4" w:space="0"/>
              <w:bottom w:val="single" w:color="000000" w:sz="4" w:space="0"/>
              <w:right w:val="single" w:color="000000" w:sz="4" w:space="0"/>
            </w:tcBorders>
          </w:tcPr>
          <w:p>
            <w:pPr>
              <w:rPr>
                <w:color w:val="000000"/>
              </w:rPr>
            </w:pPr>
          </w:p>
        </w:tc>
        <w:tc>
          <w:tcPr>
            <w:tcW w:w="720" w:type="dxa"/>
            <w:tcBorders>
              <w:top w:val="nil"/>
              <w:left w:val="single" w:color="000000" w:sz="4" w:space="0"/>
              <w:bottom w:val="single" w:color="000000" w:sz="4" w:space="0"/>
              <w:right w:val="single" w:color="000000" w:sz="4" w:space="0"/>
            </w:tcBorders>
          </w:tcPr>
          <w:p>
            <w:pPr>
              <w:rPr>
                <w:color w:val="000000"/>
              </w:rPr>
            </w:pPr>
          </w:p>
        </w:tc>
        <w:tc>
          <w:tcPr>
            <w:tcW w:w="1080" w:type="dxa"/>
            <w:tcBorders>
              <w:top w:val="nil"/>
              <w:left w:val="single" w:color="000000" w:sz="4" w:space="0"/>
              <w:bottom w:val="single" w:color="000000" w:sz="4" w:space="0"/>
              <w:right w:val="single" w:color="000000" w:sz="4" w:space="0"/>
            </w:tcBorders>
          </w:tcPr>
          <w:p>
            <w:pPr>
              <w:pStyle w:val="61"/>
              <w:spacing w:line="222" w:lineRule="exact"/>
              <w:ind w:left="32"/>
              <w:jc w:val="center"/>
              <w:rPr>
                <w:color w:val="000000"/>
              </w:rPr>
            </w:pPr>
            <w:r>
              <w:rPr>
                <w:color w:val="000000"/>
              </w:rPr>
              <w:t>（</w:t>
            </w:r>
            <w:r>
              <w:rPr>
                <w:rFonts w:hint="eastAsia"/>
                <w:color w:val="000000"/>
              </w:rPr>
              <w:t>元</w:t>
            </w:r>
            <w:r>
              <w:rPr>
                <w:color w:val="000000"/>
              </w:rPr>
              <w:t>）</w:t>
            </w:r>
          </w:p>
        </w:tc>
        <w:tc>
          <w:tcPr>
            <w:tcW w:w="1082" w:type="dxa"/>
            <w:tcBorders>
              <w:top w:val="nil"/>
              <w:left w:val="single" w:color="000000" w:sz="4" w:space="0"/>
              <w:bottom w:val="single" w:color="000000" w:sz="4" w:space="0"/>
              <w:right w:val="single" w:color="000000" w:sz="4" w:space="0"/>
            </w:tcBorders>
          </w:tcPr>
          <w:p>
            <w:pPr>
              <w:pStyle w:val="61"/>
              <w:spacing w:line="222" w:lineRule="exact"/>
              <w:jc w:val="center"/>
              <w:rPr>
                <w:color w:val="000000"/>
              </w:rPr>
            </w:pPr>
            <w:r>
              <w:rPr>
                <w:color w:val="000000"/>
              </w:rPr>
              <w:t>（</w:t>
            </w:r>
            <w:r>
              <w:rPr>
                <w:rFonts w:hint="eastAsia"/>
                <w:color w:val="000000"/>
              </w:rPr>
              <w:t>元</w:t>
            </w:r>
            <w:r>
              <w:rPr>
                <w:color w:val="000000"/>
              </w:rPr>
              <w:t>）</w:t>
            </w:r>
          </w:p>
        </w:tc>
        <w:tc>
          <w:tcPr>
            <w:tcW w:w="1080" w:type="dxa"/>
            <w:tcBorders>
              <w:top w:val="nil"/>
              <w:left w:val="single" w:color="000000" w:sz="4" w:space="0"/>
              <w:bottom w:val="single" w:color="000000" w:sz="4" w:space="0"/>
              <w:right w:val="single" w:color="000000" w:sz="4" w:space="0"/>
            </w:tcBorders>
          </w:tcPr>
          <w:p>
            <w:pPr>
              <w:pStyle w:val="61"/>
              <w:spacing w:line="222" w:lineRule="exact"/>
              <w:ind w:right="1"/>
              <w:jc w:val="center"/>
              <w:rPr>
                <w:color w:val="000000"/>
              </w:rPr>
            </w:pPr>
            <w:r>
              <w:rPr>
                <w:color w:val="000000"/>
              </w:rPr>
              <w:t>（</w:t>
            </w:r>
            <w:r>
              <w:rPr>
                <w:rFonts w:hint="eastAsia"/>
                <w:color w:val="000000"/>
              </w:rPr>
              <w:t>元</w:t>
            </w:r>
            <w:r>
              <w:rPr>
                <w:color w:val="000000"/>
              </w:rPr>
              <w:t>）</w:t>
            </w:r>
          </w:p>
        </w:tc>
        <w:tc>
          <w:tcPr>
            <w:tcW w:w="1127" w:type="dxa"/>
            <w:tcBorders>
              <w:top w:val="nil"/>
              <w:left w:val="single" w:color="000000" w:sz="4" w:space="0"/>
              <w:bottom w:val="single" w:color="000000" w:sz="4" w:space="0"/>
              <w:right w:val="single" w:color="000000" w:sz="8" w:space="0"/>
            </w:tcBorders>
          </w:tcPr>
          <w:p>
            <w:pPr>
              <w:pStyle w:val="61"/>
              <w:spacing w:before="121"/>
              <w:ind w:left="319"/>
              <w:rPr>
                <w:color w:val="000000"/>
              </w:rPr>
            </w:pPr>
            <w:r>
              <w:rPr>
                <w:color w:val="000000"/>
              </w:rPr>
              <w:t>费（元）</w:t>
            </w:r>
          </w:p>
        </w:tc>
      </w:tr>
      <w:tr>
        <w:tblPrEx>
          <w:tblLayout w:type="fixed"/>
          <w:tblCellMar>
            <w:top w:w="0" w:type="dxa"/>
            <w:left w:w="0" w:type="dxa"/>
            <w:bottom w:w="0" w:type="dxa"/>
            <w:right w:w="0" w:type="dxa"/>
          </w:tblCellMar>
        </w:tblPrEx>
        <w:trPr>
          <w:trHeight w:val="490" w:hRule="exact"/>
          <w:jc w:val="center"/>
        </w:trPr>
        <w:tc>
          <w:tcPr>
            <w:tcW w:w="494" w:type="dxa"/>
            <w:tcBorders>
              <w:top w:val="single" w:color="000000" w:sz="4" w:space="0"/>
              <w:left w:val="single" w:color="000000" w:sz="8" w:space="0"/>
              <w:bottom w:val="single" w:color="000000" w:sz="4" w:space="0"/>
              <w:right w:val="single" w:color="000000" w:sz="4" w:space="0"/>
            </w:tcBorders>
          </w:tcPr>
          <w:p>
            <w:pPr>
              <w:pStyle w:val="61"/>
              <w:spacing w:before="174"/>
              <w:ind w:right="176"/>
              <w:jc w:val="right"/>
              <w:rPr>
                <w:rFonts w:eastAsia="Times New Roman"/>
                <w:color w:val="000000"/>
              </w:rPr>
            </w:pPr>
            <w:r>
              <w:rPr>
                <w:rFonts w:hint="eastAsia" w:eastAsia="Times New Roman"/>
                <w:color w:val="000000"/>
              </w:rPr>
              <w:t>1</w:t>
            </w:r>
          </w:p>
        </w:tc>
        <w:tc>
          <w:tcPr>
            <w:tcW w:w="1082" w:type="dxa"/>
            <w:tcBorders>
              <w:top w:val="single" w:color="000000" w:sz="4" w:space="0"/>
              <w:left w:val="single" w:color="000000" w:sz="4" w:space="0"/>
              <w:bottom w:val="single" w:color="000000" w:sz="4" w:space="0"/>
              <w:right w:val="single" w:color="000000" w:sz="4" w:space="0"/>
            </w:tcBorders>
          </w:tcPr>
          <w:p>
            <w:pPr>
              <w:pStyle w:val="61"/>
              <w:spacing w:before="174"/>
              <w:ind w:right="176"/>
              <w:jc w:val="right"/>
              <w:rPr>
                <w:rFonts w:eastAsia="Times New Roman"/>
                <w:color w:val="000000"/>
              </w:rPr>
            </w:pPr>
          </w:p>
        </w:tc>
        <w:tc>
          <w:tcPr>
            <w:tcW w:w="835" w:type="dxa"/>
            <w:tcBorders>
              <w:top w:val="single" w:color="000000" w:sz="4" w:space="0"/>
              <w:left w:val="single" w:color="000000" w:sz="4" w:space="0"/>
              <w:bottom w:val="single" w:color="000000" w:sz="4" w:space="0"/>
              <w:right w:val="single" w:color="000000" w:sz="4" w:space="0"/>
            </w:tcBorders>
          </w:tcPr>
          <w:p>
            <w:pPr>
              <w:rPr>
                <w:color w:val="000000"/>
              </w:rPr>
            </w:pPr>
          </w:p>
        </w:tc>
        <w:tc>
          <w:tcPr>
            <w:tcW w:w="734"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4" w:space="0"/>
            </w:tcBorders>
          </w:tcPr>
          <w:p>
            <w:pPr>
              <w:rPr>
                <w:color w:val="000000"/>
              </w:rPr>
            </w:pPr>
          </w:p>
        </w:tc>
        <w:tc>
          <w:tcPr>
            <w:tcW w:w="986"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6" w:type="dxa"/>
            <w:tcBorders>
              <w:top w:val="single" w:color="000000" w:sz="4" w:space="0"/>
              <w:left w:val="single" w:color="000000" w:sz="4" w:space="0"/>
              <w:bottom w:val="single" w:color="000000" w:sz="4" w:space="0"/>
              <w:right w:val="single" w:color="000000" w:sz="4" w:space="0"/>
            </w:tcBorders>
          </w:tcPr>
          <w:p>
            <w:pPr>
              <w:rPr>
                <w:color w:val="000000"/>
              </w:rPr>
            </w:pPr>
          </w:p>
        </w:tc>
        <w:tc>
          <w:tcPr>
            <w:tcW w:w="1286" w:type="dxa"/>
            <w:tcBorders>
              <w:top w:val="single" w:color="000000" w:sz="4" w:space="0"/>
              <w:left w:val="single" w:color="000000" w:sz="4" w:space="0"/>
              <w:bottom w:val="single" w:color="000000" w:sz="4" w:space="0"/>
              <w:right w:val="single" w:color="000000" w:sz="4" w:space="0"/>
            </w:tcBorders>
          </w:tcPr>
          <w:p>
            <w:pPr>
              <w:rPr>
                <w:color w:val="000000"/>
              </w:rPr>
            </w:pPr>
          </w:p>
        </w:tc>
        <w:tc>
          <w:tcPr>
            <w:tcW w:w="874" w:type="dxa"/>
            <w:tcBorders>
              <w:top w:val="single" w:color="000000" w:sz="4" w:space="0"/>
              <w:left w:val="single" w:color="000000" w:sz="4" w:space="0"/>
              <w:bottom w:val="single" w:color="000000" w:sz="4" w:space="0"/>
              <w:right w:val="single" w:color="000000" w:sz="4" w:space="0"/>
            </w:tcBorders>
          </w:tcPr>
          <w:p>
            <w:pPr>
              <w:rPr>
                <w:color w:val="000000"/>
              </w:rPr>
            </w:pPr>
          </w:p>
        </w:tc>
        <w:tc>
          <w:tcPr>
            <w:tcW w:w="72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92" w:hRule="exact"/>
          <w:jc w:val="center"/>
        </w:trPr>
        <w:tc>
          <w:tcPr>
            <w:tcW w:w="494" w:type="dxa"/>
            <w:tcBorders>
              <w:top w:val="single" w:color="000000" w:sz="4" w:space="0"/>
              <w:left w:val="single" w:color="000000" w:sz="8" w:space="0"/>
              <w:bottom w:val="single" w:color="000000" w:sz="4" w:space="0"/>
              <w:right w:val="single" w:color="000000" w:sz="4" w:space="0"/>
            </w:tcBorders>
          </w:tcPr>
          <w:p>
            <w:pPr>
              <w:pStyle w:val="61"/>
              <w:spacing w:before="174"/>
              <w:ind w:right="176"/>
              <w:jc w:val="right"/>
              <w:rPr>
                <w:rFonts w:eastAsia="Times New Roman"/>
                <w:color w:val="000000"/>
              </w:rPr>
            </w:pPr>
            <w:r>
              <w:rPr>
                <w:rFonts w:eastAsia="Times New Roman"/>
                <w:color w:val="000000"/>
              </w:rPr>
              <w:t>2</w:t>
            </w:r>
          </w:p>
        </w:tc>
        <w:tc>
          <w:tcPr>
            <w:tcW w:w="1082" w:type="dxa"/>
            <w:tcBorders>
              <w:top w:val="single" w:color="000000" w:sz="4" w:space="0"/>
              <w:left w:val="single" w:color="000000" w:sz="4" w:space="0"/>
              <w:bottom w:val="single" w:color="000000" w:sz="4" w:space="0"/>
              <w:right w:val="single" w:color="000000" w:sz="4" w:space="0"/>
            </w:tcBorders>
          </w:tcPr>
          <w:p>
            <w:pPr>
              <w:rPr>
                <w:rFonts w:eastAsia="Times New Roman"/>
                <w:color w:val="000000"/>
              </w:rPr>
            </w:pPr>
          </w:p>
        </w:tc>
        <w:tc>
          <w:tcPr>
            <w:tcW w:w="835" w:type="dxa"/>
            <w:tcBorders>
              <w:top w:val="single" w:color="000000" w:sz="4" w:space="0"/>
              <w:left w:val="single" w:color="000000" w:sz="4" w:space="0"/>
              <w:bottom w:val="single" w:color="000000" w:sz="4" w:space="0"/>
              <w:right w:val="single" w:color="000000" w:sz="4" w:space="0"/>
            </w:tcBorders>
          </w:tcPr>
          <w:p>
            <w:pPr>
              <w:rPr>
                <w:color w:val="000000"/>
              </w:rPr>
            </w:pPr>
          </w:p>
        </w:tc>
        <w:tc>
          <w:tcPr>
            <w:tcW w:w="734"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4" w:space="0"/>
            </w:tcBorders>
          </w:tcPr>
          <w:p>
            <w:pPr>
              <w:rPr>
                <w:color w:val="000000"/>
              </w:rPr>
            </w:pPr>
          </w:p>
        </w:tc>
        <w:tc>
          <w:tcPr>
            <w:tcW w:w="986"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6" w:type="dxa"/>
            <w:tcBorders>
              <w:top w:val="single" w:color="000000" w:sz="4" w:space="0"/>
              <w:left w:val="single" w:color="000000" w:sz="4" w:space="0"/>
              <w:bottom w:val="single" w:color="000000" w:sz="4" w:space="0"/>
              <w:right w:val="single" w:color="000000" w:sz="4" w:space="0"/>
            </w:tcBorders>
          </w:tcPr>
          <w:p>
            <w:pPr>
              <w:rPr>
                <w:color w:val="000000"/>
              </w:rPr>
            </w:pPr>
          </w:p>
        </w:tc>
        <w:tc>
          <w:tcPr>
            <w:tcW w:w="1286" w:type="dxa"/>
            <w:tcBorders>
              <w:top w:val="single" w:color="000000" w:sz="4" w:space="0"/>
              <w:left w:val="single" w:color="000000" w:sz="4" w:space="0"/>
              <w:bottom w:val="single" w:color="000000" w:sz="4" w:space="0"/>
              <w:right w:val="single" w:color="000000" w:sz="4" w:space="0"/>
            </w:tcBorders>
          </w:tcPr>
          <w:p>
            <w:pPr>
              <w:rPr>
                <w:color w:val="000000"/>
              </w:rPr>
            </w:pPr>
          </w:p>
        </w:tc>
        <w:tc>
          <w:tcPr>
            <w:tcW w:w="874" w:type="dxa"/>
            <w:tcBorders>
              <w:top w:val="single" w:color="000000" w:sz="4" w:space="0"/>
              <w:left w:val="single" w:color="000000" w:sz="4" w:space="0"/>
              <w:bottom w:val="single" w:color="000000" w:sz="4" w:space="0"/>
              <w:right w:val="single" w:color="000000" w:sz="4" w:space="0"/>
            </w:tcBorders>
          </w:tcPr>
          <w:p>
            <w:pPr>
              <w:rPr>
                <w:color w:val="000000"/>
              </w:rPr>
            </w:pPr>
          </w:p>
        </w:tc>
        <w:tc>
          <w:tcPr>
            <w:tcW w:w="72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90" w:hRule="exact"/>
          <w:jc w:val="center"/>
        </w:trPr>
        <w:tc>
          <w:tcPr>
            <w:tcW w:w="494" w:type="dxa"/>
            <w:tcBorders>
              <w:top w:val="single" w:color="000000" w:sz="4" w:space="0"/>
              <w:left w:val="single" w:color="000000" w:sz="8" w:space="0"/>
              <w:bottom w:val="single" w:color="000000" w:sz="4" w:space="0"/>
              <w:right w:val="single" w:color="000000" w:sz="4" w:space="0"/>
            </w:tcBorders>
          </w:tcPr>
          <w:p>
            <w:pPr>
              <w:pStyle w:val="61"/>
              <w:spacing w:before="162"/>
              <w:ind w:right="165"/>
              <w:jc w:val="right"/>
              <w:rPr>
                <w:rFonts w:eastAsia="Times New Roman"/>
                <w:color w:val="000000"/>
                <w:sz w:val="23"/>
                <w:szCs w:val="23"/>
              </w:rPr>
            </w:pPr>
            <w:r>
              <w:rPr>
                <w:color w:val="000000"/>
                <w:sz w:val="23"/>
              </w:rPr>
              <w:t>3</w:t>
            </w: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835" w:type="dxa"/>
            <w:tcBorders>
              <w:top w:val="single" w:color="000000" w:sz="4" w:space="0"/>
              <w:left w:val="single" w:color="000000" w:sz="4" w:space="0"/>
              <w:bottom w:val="single" w:color="000000" w:sz="4" w:space="0"/>
              <w:right w:val="single" w:color="000000" w:sz="4" w:space="0"/>
            </w:tcBorders>
          </w:tcPr>
          <w:p>
            <w:pPr>
              <w:rPr>
                <w:color w:val="000000"/>
              </w:rPr>
            </w:pPr>
          </w:p>
        </w:tc>
        <w:tc>
          <w:tcPr>
            <w:tcW w:w="734"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4" w:space="0"/>
            </w:tcBorders>
          </w:tcPr>
          <w:p>
            <w:pPr>
              <w:rPr>
                <w:color w:val="000000"/>
              </w:rPr>
            </w:pPr>
          </w:p>
        </w:tc>
        <w:tc>
          <w:tcPr>
            <w:tcW w:w="986"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6" w:type="dxa"/>
            <w:tcBorders>
              <w:top w:val="single" w:color="000000" w:sz="4" w:space="0"/>
              <w:left w:val="single" w:color="000000" w:sz="4" w:space="0"/>
              <w:bottom w:val="single" w:color="000000" w:sz="4" w:space="0"/>
              <w:right w:val="single" w:color="000000" w:sz="4" w:space="0"/>
            </w:tcBorders>
          </w:tcPr>
          <w:p>
            <w:pPr>
              <w:rPr>
                <w:color w:val="000000"/>
              </w:rPr>
            </w:pPr>
          </w:p>
        </w:tc>
        <w:tc>
          <w:tcPr>
            <w:tcW w:w="1286" w:type="dxa"/>
            <w:tcBorders>
              <w:top w:val="single" w:color="000000" w:sz="4" w:space="0"/>
              <w:left w:val="single" w:color="000000" w:sz="4" w:space="0"/>
              <w:bottom w:val="single" w:color="000000" w:sz="4" w:space="0"/>
              <w:right w:val="single" w:color="000000" w:sz="4" w:space="0"/>
            </w:tcBorders>
          </w:tcPr>
          <w:p>
            <w:pPr>
              <w:rPr>
                <w:color w:val="000000"/>
              </w:rPr>
            </w:pPr>
          </w:p>
        </w:tc>
        <w:tc>
          <w:tcPr>
            <w:tcW w:w="874" w:type="dxa"/>
            <w:tcBorders>
              <w:top w:val="single" w:color="000000" w:sz="4" w:space="0"/>
              <w:left w:val="single" w:color="000000" w:sz="4" w:space="0"/>
              <w:bottom w:val="single" w:color="000000" w:sz="4" w:space="0"/>
              <w:right w:val="single" w:color="000000" w:sz="4" w:space="0"/>
            </w:tcBorders>
          </w:tcPr>
          <w:p>
            <w:pPr>
              <w:rPr>
                <w:color w:val="000000"/>
              </w:rPr>
            </w:pPr>
          </w:p>
        </w:tc>
        <w:tc>
          <w:tcPr>
            <w:tcW w:w="72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90" w:hRule="exact"/>
          <w:jc w:val="center"/>
        </w:trPr>
        <w:tc>
          <w:tcPr>
            <w:tcW w:w="494" w:type="dxa"/>
            <w:tcBorders>
              <w:top w:val="single" w:color="000000" w:sz="4" w:space="0"/>
              <w:left w:val="single" w:color="000000" w:sz="8" w:space="0"/>
              <w:bottom w:val="single" w:color="000000" w:sz="4" w:space="0"/>
              <w:right w:val="single" w:color="000000" w:sz="4" w:space="0"/>
            </w:tcBorders>
          </w:tcPr>
          <w:p>
            <w:pPr>
              <w:pStyle w:val="61"/>
              <w:spacing w:before="162"/>
              <w:ind w:right="173"/>
              <w:jc w:val="right"/>
              <w:rPr>
                <w:rFonts w:eastAsia="Times New Roman"/>
                <w:color w:val="000000"/>
                <w:sz w:val="23"/>
                <w:szCs w:val="23"/>
              </w:rPr>
            </w:pPr>
            <w:r>
              <w:rPr>
                <w:color w:val="000000"/>
                <w:sz w:val="23"/>
              </w:rPr>
              <w:t>4</w:t>
            </w: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835" w:type="dxa"/>
            <w:tcBorders>
              <w:top w:val="single" w:color="000000" w:sz="4" w:space="0"/>
              <w:left w:val="single" w:color="000000" w:sz="4" w:space="0"/>
              <w:bottom w:val="single" w:color="000000" w:sz="4" w:space="0"/>
              <w:right w:val="single" w:color="000000" w:sz="4" w:space="0"/>
            </w:tcBorders>
          </w:tcPr>
          <w:p>
            <w:pPr>
              <w:rPr>
                <w:color w:val="000000"/>
              </w:rPr>
            </w:pPr>
          </w:p>
        </w:tc>
        <w:tc>
          <w:tcPr>
            <w:tcW w:w="734"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4" w:space="0"/>
            </w:tcBorders>
          </w:tcPr>
          <w:p>
            <w:pPr>
              <w:rPr>
                <w:color w:val="000000"/>
              </w:rPr>
            </w:pPr>
          </w:p>
        </w:tc>
        <w:tc>
          <w:tcPr>
            <w:tcW w:w="986"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6" w:type="dxa"/>
            <w:tcBorders>
              <w:top w:val="single" w:color="000000" w:sz="4" w:space="0"/>
              <w:left w:val="single" w:color="000000" w:sz="4" w:space="0"/>
              <w:bottom w:val="single" w:color="000000" w:sz="4" w:space="0"/>
              <w:right w:val="single" w:color="000000" w:sz="4" w:space="0"/>
            </w:tcBorders>
          </w:tcPr>
          <w:p>
            <w:pPr>
              <w:rPr>
                <w:color w:val="000000"/>
              </w:rPr>
            </w:pPr>
          </w:p>
        </w:tc>
        <w:tc>
          <w:tcPr>
            <w:tcW w:w="1286" w:type="dxa"/>
            <w:tcBorders>
              <w:top w:val="single" w:color="000000" w:sz="4" w:space="0"/>
              <w:left w:val="single" w:color="000000" w:sz="4" w:space="0"/>
              <w:bottom w:val="single" w:color="000000" w:sz="4" w:space="0"/>
              <w:right w:val="single" w:color="000000" w:sz="4" w:space="0"/>
            </w:tcBorders>
          </w:tcPr>
          <w:p>
            <w:pPr>
              <w:rPr>
                <w:color w:val="000000"/>
              </w:rPr>
            </w:pPr>
          </w:p>
        </w:tc>
        <w:tc>
          <w:tcPr>
            <w:tcW w:w="874" w:type="dxa"/>
            <w:tcBorders>
              <w:top w:val="single" w:color="000000" w:sz="4" w:space="0"/>
              <w:left w:val="single" w:color="000000" w:sz="4" w:space="0"/>
              <w:bottom w:val="single" w:color="000000" w:sz="4" w:space="0"/>
              <w:right w:val="single" w:color="000000" w:sz="4" w:space="0"/>
            </w:tcBorders>
          </w:tcPr>
          <w:p>
            <w:pPr>
              <w:rPr>
                <w:color w:val="000000"/>
              </w:rPr>
            </w:pPr>
          </w:p>
        </w:tc>
        <w:tc>
          <w:tcPr>
            <w:tcW w:w="72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90" w:hRule="exact"/>
          <w:jc w:val="center"/>
        </w:trPr>
        <w:tc>
          <w:tcPr>
            <w:tcW w:w="494" w:type="dxa"/>
            <w:tcBorders>
              <w:top w:val="single" w:color="000000" w:sz="4" w:space="0"/>
              <w:left w:val="single" w:color="000000" w:sz="8" w:space="0"/>
              <w:bottom w:val="single" w:color="000000" w:sz="4" w:space="0"/>
              <w:right w:val="single" w:color="000000" w:sz="4" w:space="0"/>
            </w:tcBorders>
          </w:tcPr>
          <w:p>
            <w:pPr>
              <w:pStyle w:val="61"/>
              <w:spacing w:before="171"/>
              <w:ind w:right="168"/>
              <w:jc w:val="right"/>
              <w:rPr>
                <w:rFonts w:eastAsia="Times New Roman"/>
                <w:color w:val="000000"/>
                <w:sz w:val="23"/>
                <w:szCs w:val="23"/>
              </w:rPr>
            </w:pPr>
            <w:r>
              <w:rPr>
                <w:color w:val="000000"/>
                <w:sz w:val="23"/>
              </w:rPr>
              <w:t>5</w:t>
            </w: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835" w:type="dxa"/>
            <w:tcBorders>
              <w:top w:val="single" w:color="000000" w:sz="4" w:space="0"/>
              <w:left w:val="single" w:color="000000" w:sz="4" w:space="0"/>
              <w:bottom w:val="single" w:color="000000" w:sz="4" w:space="0"/>
              <w:right w:val="single" w:color="000000" w:sz="4" w:space="0"/>
            </w:tcBorders>
          </w:tcPr>
          <w:p>
            <w:pPr>
              <w:rPr>
                <w:color w:val="000000"/>
              </w:rPr>
            </w:pPr>
          </w:p>
        </w:tc>
        <w:tc>
          <w:tcPr>
            <w:tcW w:w="734"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4" w:space="0"/>
            </w:tcBorders>
          </w:tcPr>
          <w:p>
            <w:pPr>
              <w:rPr>
                <w:color w:val="000000"/>
              </w:rPr>
            </w:pPr>
          </w:p>
        </w:tc>
        <w:tc>
          <w:tcPr>
            <w:tcW w:w="986"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6" w:type="dxa"/>
            <w:tcBorders>
              <w:top w:val="single" w:color="000000" w:sz="4" w:space="0"/>
              <w:left w:val="single" w:color="000000" w:sz="4" w:space="0"/>
              <w:bottom w:val="single" w:color="000000" w:sz="4" w:space="0"/>
              <w:right w:val="single" w:color="000000" w:sz="4" w:space="0"/>
            </w:tcBorders>
          </w:tcPr>
          <w:p>
            <w:pPr>
              <w:rPr>
                <w:color w:val="000000"/>
              </w:rPr>
            </w:pPr>
          </w:p>
        </w:tc>
        <w:tc>
          <w:tcPr>
            <w:tcW w:w="1286" w:type="dxa"/>
            <w:tcBorders>
              <w:top w:val="single" w:color="000000" w:sz="4" w:space="0"/>
              <w:left w:val="single" w:color="000000" w:sz="4" w:space="0"/>
              <w:bottom w:val="single" w:color="000000" w:sz="4" w:space="0"/>
              <w:right w:val="single" w:color="000000" w:sz="4" w:space="0"/>
            </w:tcBorders>
          </w:tcPr>
          <w:p>
            <w:pPr>
              <w:rPr>
                <w:color w:val="000000"/>
              </w:rPr>
            </w:pPr>
          </w:p>
        </w:tc>
        <w:tc>
          <w:tcPr>
            <w:tcW w:w="874" w:type="dxa"/>
            <w:tcBorders>
              <w:top w:val="single" w:color="000000" w:sz="4" w:space="0"/>
              <w:left w:val="single" w:color="000000" w:sz="4" w:space="0"/>
              <w:bottom w:val="single" w:color="000000" w:sz="4" w:space="0"/>
              <w:right w:val="single" w:color="000000" w:sz="4" w:space="0"/>
            </w:tcBorders>
          </w:tcPr>
          <w:p>
            <w:pPr>
              <w:rPr>
                <w:color w:val="000000"/>
              </w:rPr>
            </w:pPr>
          </w:p>
        </w:tc>
        <w:tc>
          <w:tcPr>
            <w:tcW w:w="72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90" w:hRule="exact"/>
          <w:jc w:val="center"/>
        </w:trPr>
        <w:tc>
          <w:tcPr>
            <w:tcW w:w="494" w:type="dxa"/>
            <w:tcBorders>
              <w:top w:val="single" w:color="000000" w:sz="4" w:space="0"/>
              <w:left w:val="single" w:color="000000" w:sz="8" w:space="0"/>
              <w:bottom w:val="single" w:color="000000" w:sz="4" w:space="0"/>
              <w:right w:val="single" w:color="000000" w:sz="4" w:space="0"/>
            </w:tcBorders>
          </w:tcPr>
          <w:p>
            <w:pPr>
              <w:pStyle w:val="61"/>
              <w:spacing w:before="176"/>
              <w:ind w:right="166"/>
              <w:jc w:val="right"/>
              <w:rPr>
                <w:rFonts w:eastAsia="Times New Roman"/>
                <w:color w:val="000000"/>
              </w:rPr>
            </w:pPr>
            <w:r>
              <w:rPr>
                <w:color w:val="000000"/>
              </w:rPr>
              <w:t>6</w:t>
            </w: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835" w:type="dxa"/>
            <w:tcBorders>
              <w:top w:val="single" w:color="000000" w:sz="4" w:space="0"/>
              <w:left w:val="single" w:color="000000" w:sz="4" w:space="0"/>
              <w:bottom w:val="single" w:color="000000" w:sz="4" w:space="0"/>
              <w:right w:val="single" w:color="000000" w:sz="4" w:space="0"/>
            </w:tcBorders>
          </w:tcPr>
          <w:p>
            <w:pPr>
              <w:rPr>
                <w:color w:val="000000"/>
              </w:rPr>
            </w:pPr>
          </w:p>
        </w:tc>
        <w:tc>
          <w:tcPr>
            <w:tcW w:w="734"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4" w:space="0"/>
            </w:tcBorders>
          </w:tcPr>
          <w:p>
            <w:pPr>
              <w:rPr>
                <w:color w:val="000000"/>
              </w:rPr>
            </w:pPr>
          </w:p>
        </w:tc>
        <w:tc>
          <w:tcPr>
            <w:tcW w:w="986"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6" w:type="dxa"/>
            <w:tcBorders>
              <w:top w:val="single" w:color="000000" w:sz="4" w:space="0"/>
              <w:left w:val="single" w:color="000000" w:sz="4" w:space="0"/>
              <w:bottom w:val="single" w:color="000000" w:sz="4" w:space="0"/>
              <w:right w:val="single" w:color="000000" w:sz="4" w:space="0"/>
            </w:tcBorders>
          </w:tcPr>
          <w:p>
            <w:pPr>
              <w:rPr>
                <w:color w:val="000000"/>
              </w:rPr>
            </w:pPr>
          </w:p>
        </w:tc>
        <w:tc>
          <w:tcPr>
            <w:tcW w:w="1286" w:type="dxa"/>
            <w:tcBorders>
              <w:top w:val="single" w:color="000000" w:sz="4" w:space="0"/>
              <w:left w:val="single" w:color="000000" w:sz="4" w:space="0"/>
              <w:bottom w:val="single" w:color="000000" w:sz="4" w:space="0"/>
              <w:right w:val="single" w:color="000000" w:sz="4" w:space="0"/>
            </w:tcBorders>
          </w:tcPr>
          <w:p>
            <w:pPr>
              <w:rPr>
                <w:color w:val="000000"/>
              </w:rPr>
            </w:pPr>
          </w:p>
        </w:tc>
        <w:tc>
          <w:tcPr>
            <w:tcW w:w="874" w:type="dxa"/>
            <w:tcBorders>
              <w:top w:val="single" w:color="000000" w:sz="4" w:space="0"/>
              <w:left w:val="single" w:color="000000" w:sz="4" w:space="0"/>
              <w:bottom w:val="single" w:color="000000" w:sz="4" w:space="0"/>
              <w:right w:val="single" w:color="000000" w:sz="4" w:space="0"/>
            </w:tcBorders>
          </w:tcPr>
          <w:p>
            <w:pPr>
              <w:rPr>
                <w:color w:val="000000"/>
              </w:rPr>
            </w:pPr>
          </w:p>
        </w:tc>
        <w:tc>
          <w:tcPr>
            <w:tcW w:w="72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90" w:hRule="exact"/>
          <w:jc w:val="center"/>
        </w:trPr>
        <w:tc>
          <w:tcPr>
            <w:tcW w:w="494" w:type="dxa"/>
            <w:tcBorders>
              <w:top w:val="single" w:color="000000" w:sz="4" w:space="0"/>
              <w:left w:val="single" w:color="000000" w:sz="8" w:space="0"/>
              <w:bottom w:val="single" w:color="000000" w:sz="4" w:space="0"/>
              <w:right w:val="single" w:color="000000" w:sz="4" w:space="0"/>
            </w:tcBorders>
          </w:tcPr>
          <w:p>
            <w:pPr>
              <w:pStyle w:val="61"/>
              <w:spacing w:before="162"/>
              <w:ind w:left="136"/>
              <w:rPr>
                <w:color w:val="000000"/>
                <w:sz w:val="20"/>
                <w:szCs w:val="20"/>
              </w:rPr>
            </w:pPr>
            <w:r>
              <w:rPr>
                <w:rFonts w:hint="eastAsia"/>
                <w:color w:val="000000"/>
                <w:sz w:val="20"/>
                <w:szCs w:val="20"/>
              </w:rPr>
              <w:t>…</w:t>
            </w:r>
          </w:p>
        </w:tc>
        <w:tc>
          <w:tcPr>
            <w:tcW w:w="1082" w:type="dxa"/>
            <w:tcBorders>
              <w:top w:val="single" w:color="000000" w:sz="4" w:space="0"/>
              <w:left w:val="single" w:color="000000" w:sz="4" w:space="0"/>
              <w:bottom w:val="single" w:color="000000" w:sz="4" w:space="0"/>
              <w:right w:val="single" w:color="000000" w:sz="4" w:space="0"/>
            </w:tcBorders>
          </w:tcPr>
          <w:p>
            <w:pPr>
              <w:pStyle w:val="61"/>
              <w:spacing w:before="162"/>
              <w:ind w:left="-195"/>
              <w:rPr>
                <w:color w:val="000000"/>
                <w:sz w:val="20"/>
                <w:szCs w:val="20"/>
              </w:rPr>
            </w:pPr>
          </w:p>
        </w:tc>
        <w:tc>
          <w:tcPr>
            <w:tcW w:w="835" w:type="dxa"/>
            <w:tcBorders>
              <w:top w:val="single" w:color="000000" w:sz="4" w:space="0"/>
              <w:left w:val="single" w:color="000000" w:sz="4" w:space="0"/>
              <w:bottom w:val="single" w:color="000000" w:sz="4" w:space="0"/>
              <w:right w:val="single" w:color="000000" w:sz="4" w:space="0"/>
            </w:tcBorders>
          </w:tcPr>
          <w:p>
            <w:pPr>
              <w:rPr>
                <w:color w:val="000000"/>
              </w:rPr>
            </w:pPr>
          </w:p>
        </w:tc>
        <w:tc>
          <w:tcPr>
            <w:tcW w:w="734"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4" w:space="0"/>
            </w:tcBorders>
          </w:tcPr>
          <w:p>
            <w:pPr>
              <w:rPr>
                <w:color w:val="000000"/>
              </w:rPr>
            </w:pPr>
          </w:p>
        </w:tc>
        <w:tc>
          <w:tcPr>
            <w:tcW w:w="986"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6" w:type="dxa"/>
            <w:tcBorders>
              <w:top w:val="single" w:color="000000" w:sz="4" w:space="0"/>
              <w:left w:val="single" w:color="000000" w:sz="4" w:space="0"/>
              <w:bottom w:val="single" w:color="000000" w:sz="4" w:space="0"/>
              <w:right w:val="single" w:color="000000" w:sz="4" w:space="0"/>
            </w:tcBorders>
          </w:tcPr>
          <w:p>
            <w:pPr>
              <w:rPr>
                <w:color w:val="000000"/>
              </w:rPr>
            </w:pPr>
          </w:p>
        </w:tc>
        <w:tc>
          <w:tcPr>
            <w:tcW w:w="1286" w:type="dxa"/>
            <w:tcBorders>
              <w:top w:val="single" w:color="000000" w:sz="4" w:space="0"/>
              <w:left w:val="single" w:color="000000" w:sz="4" w:space="0"/>
              <w:bottom w:val="single" w:color="000000" w:sz="4" w:space="0"/>
              <w:right w:val="single" w:color="000000" w:sz="4" w:space="0"/>
            </w:tcBorders>
          </w:tcPr>
          <w:p>
            <w:pPr>
              <w:rPr>
                <w:color w:val="000000"/>
              </w:rPr>
            </w:pPr>
          </w:p>
        </w:tc>
        <w:tc>
          <w:tcPr>
            <w:tcW w:w="874" w:type="dxa"/>
            <w:tcBorders>
              <w:top w:val="single" w:color="000000" w:sz="4" w:space="0"/>
              <w:left w:val="single" w:color="000000" w:sz="4" w:space="0"/>
              <w:bottom w:val="single" w:color="000000" w:sz="4" w:space="0"/>
              <w:right w:val="single" w:color="000000" w:sz="4" w:space="0"/>
            </w:tcBorders>
          </w:tcPr>
          <w:p>
            <w:pPr>
              <w:rPr>
                <w:color w:val="000000"/>
              </w:rPr>
            </w:pPr>
          </w:p>
        </w:tc>
        <w:tc>
          <w:tcPr>
            <w:tcW w:w="72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97" w:hRule="exact"/>
          <w:jc w:val="center"/>
        </w:trPr>
        <w:tc>
          <w:tcPr>
            <w:tcW w:w="4272" w:type="dxa"/>
            <w:gridSpan w:val="5"/>
            <w:tcBorders>
              <w:top w:val="single" w:color="000000" w:sz="4" w:space="0"/>
              <w:left w:val="single" w:color="000000" w:sz="8" w:space="0"/>
              <w:bottom w:val="single" w:color="000000" w:sz="8" w:space="0"/>
              <w:right w:val="single" w:color="000000" w:sz="4" w:space="0"/>
            </w:tcBorders>
          </w:tcPr>
          <w:p>
            <w:pPr>
              <w:pStyle w:val="61"/>
              <w:tabs>
                <w:tab w:val="left" w:pos="499"/>
              </w:tabs>
              <w:spacing w:before="129"/>
              <w:ind w:left="24"/>
              <w:jc w:val="center"/>
              <w:rPr>
                <w:color w:val="000000"/>
              </w:rPr>
            </w:pPr>
            <w:r>
              <w:rPr>
                <w:color w:val="000000"/>
              </w:rPr>
              <w:t>合</w:t>
            </w:r>
            <w:r>
              <w:rPr>
                <w:color w:val="000000"/>
              </w:rPr>
              <w:tab/>
            </w:r>
            <w:r>
              <w:rPr>
                <w:color w:val="000000"/>
              </w:rPr>
              <w:t>计 （元）</w:t>
            </w:r>
          </w:p>
        </w:tc>
        <w:tc>
          <w:tcPr>
            <w:tcW w:w="984" w:type="dxa"/>
            <w:tcBorders>
              <w:top w:val="single" w:color="000000" w:sz="4" w:space="0"/>
              <w:left w:val="single" w:color="000000" w:sz="4" w:space="0"/>
              <w:bottom w:val="single" w:color="000000" w:sz="8" w:space="0"/>
              <w:right w:val="single" w:color="000000" w:sz="4" w:space="0"/>
            </w:tcBorders>
          </w:tcPr>
          <w:p>
            <w:pPr>
              <w:rPr>
                <w:color w:val="000000"/>
              </w:rPr>
            </w:pPr>
          </w:p>
        </w:tc>
        <w:tc>
          <w:tcPr>
            <w:tcW w:w="986" w:type="dxa"/>
            <w:tcBorders>
              <w:top w:val="single" w:color="000000" w:sz="4" w:space="0"/>
              <w:left w:val="single" w:color="000000" w:sz="4" w:space="0"/>
              <w:bottom w:val="single" w:color="000000" w:sz="8" w:space="0"/>
              <w:right w:val="single" w:color="000000" w:sz="4" w:space="0"/>
            </w:tcBorders>
          </w:tcPr>
          <w:p>
            <w:pPr>
              <w:rPr>
                <w:color w:val="000000"/>
              </w:rPr>
            </w:pPr>
          </w:p>
        </w:tc>
        <w:tc>
          <w:tcPr>
            <w:tcW w:w="1046" w:type="dxa"/>
            <w:tcBorders>
              <w:top w:val="single" w:color="000000" w:sz="4" w:space="0"/>
              <w:left w:val="single" w:color="000000" w:sz="4" w:space="0"/>
              <w:bottom w:val="single" w:color="000000" w:sz="8" w:space="0"/>
              <w:right w:val="single" w:color="000000" w:sz="4" w:space="0"/>
            </w:tcBorders>
          </w:tcPr>
          <w:p>
            <w:pPr>
              <w:rPr>
                <w:color w:val="000000"/>
              </w:rPr>
            </w:pPr>
          </w:p>
        </w:tc>
        <w:tc>
          <w:tcPr>
            <w:tcW w:w="3960" w:type="dxa"/>
            <w:gridSpan w:val="4"/>
            <w:tcBorders>
              <w:top w:val="single" w:color="000000" w:sz="4" w:space="0"/>
              <w:left w:val="single" w:color="000000" w:sz="4" w:space="0"/>
              <w:bottom w:val="single" w:color="000000" w:sz="8" w:space="0"/>
              <w:right w:val="single" w:color="000000" w:sz="4" w:space="0"/>
            </w:tcBorders>
          </w:tcPr>
          <w:p>
            <w:pPr>
              <w:pStyle w:val="61"/>
              <w:tabs>
                <w:tab w:val="left" w:pos="487"/>
              </w:tabs>
              <w:spacing w:before="129"/>
              <w:ind w:left="8"/>
              <w:jc w:val="center"/>
              <w:rPr>
                <w:color w:val="000000"/>
              </w:rPr>
            </w:pPr>
            <w:r>
              <w:rPr>
                <w:color w:val="000000"/>
              </w:rPr>
              <w:t>合</w:t>
            </w:r>
            <w:r>
              <w:rPr>
                <w:color w:val="000000"/>
              </w:rPr>
              <w:tab/>
            </w:r>
            <w:r>
              <w:rPr>
                <w:color w:val="000000"/>
              </w:rPr>
              <w:t>计 （元）</w:t>
            </w:r>
          </w:p>
        </w:tc>
        <w:tc>
          <w:tcPr>
            <w:tcW w:w="1082" w:type="dxa"/>
            <w:tcBorders>
              <w:top w:val="single" w:color="000000" w:sz="4" w:space="0"/>
              <w:left w:val="single" w:color="000000" w:sz="4" w:space="0"/>
              <w:bottom w:val="single" w:color="000000" w:sz="8"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8" w:space="0"/>
              <w:right w:val="single" w:color="000000" w:sz="4" w:space="0"/>
            </w:tcBorders>
          </w:tcPr>
          <w:p>
            <w:pPr>
              <w:rPr>
                <w:color w:val="000000"/>
              </w:rPr>
            </w:pPr>
          </w:p>
        </w:tc>
        <w:tc>
          <w:tcPr>
            <w:tcW w:w="1127" w:type="dxa"/>
            <w:tcBorders>
              <w:top w:val="single" w:color="000000" w:sz="4" w:space="0"/>
              <w:left w:val="single" w:color="000000" w:sz="4" w:space="0"/>
              <w:bottom w:val="single" w:color="000000" w:sz="8" w:space="0"/>
              <w:right w:val="single" w:color="000000" w:sz="8" w:space="0"/>
            </w:tcBorders>
          </w:tcPr>
          <w:p>
            <w:pPr>
              <w:rPr>
                <w:color w:val="000000"/>
              </w:rPr>
            </w:pPr>
          </w:p>
        </w:tc>
      </w:tr>
    </w:tbl>
    <w:p>
      <w:pPr>
        <w:pStyle w:val="61"/>
        <w:jc w:val="center"/>
        <w:rPr>
          <w:color w:val="000000"/>
        </w:rPr>
      </w:pPr>
      <w:r>
        <w:rPr>
          <w:szCs w:val="21"/>
        </w:rPr>
        <w:br w:type="page"/>
      </w:r>
      <w:r>
        <w:rPr>
          <w:rFonts w:hint="eastAsia"/>
          <w:color w:val="000000"/>
          <w:sz w:val="32"/>
          <w:szCs w:val="32"/>
        </w:rPr>
        <w:t>表 6</w:t>
      </w:r>
      <w:r>
        <w:rPr>
          <w:rFonts w:hint="eastAsia"/>
          <w:color w:val="000000"/>
          <w:sz w:val="32"/>
          <w:szCs w:val="32"/>
        </w:rPr>
        <w:tab/>
      </w:r>
      <w:r>
        <w:rPr>
          <w:rFonts w:hint="eastAsia"/>
          <w:color w:val="000000"/>
          <w:sz w:val="32"/>
          <w:szCs w:val="32"/>
        </w:rPr>
        <w:t>监理工程师生活设施费报价表</w:t>
      </w:r>
    </w:p>
    <w:p>
      <w:pPr>
        <w:pStyle w:val="61"/>
        <w:rPr>
          <w:color w:val="000000"/>
        </w:rPr>
      </w:pPr>
    </w:p>
    <w:tbl>
      <w:tblPr>
        <w:tblStyle w:val="40"/>
        <w:tblW w:w="14257" w:type="dxa"/>
        <w:tblInd w:w="118" w:type="dxa"/>
        <w:tblLayout w:type="fixed"/>
        <w:tblCellMar>
          <w:top w:w="0" w:type="dxa"/>
          <w:left w:w="0" w:type="dxa"/>
          <w:bottom w:w="0" w:type="dxa"/>
          <w:right w:w="0" w:type="dxa"/>
        </w:tblCellMar>
      </w:tblPr>
      <w:tblGrid>
        <w:gridCol w:w="648"/>
        <w:gridCol w:w="1332"/>
        <w:gridCol w:w="785"/>
        <w:gridCol w:w="1025"/>
        <w:gridCol w:w="1001"/>
        <w:gridCol w:w="1049"/>
        <w:gridCol w:w="1553"/>
        <w:gridCol w:w="1342"/>
        <w:gridCol w:w="862"/>
        <w:gridCol w:w="1109"/>
        <w:gridCol w:w="1082"/>
        <w:gridCol w:w="1080"/>
        <w:gridCol w:w="1389"/>
      </w:tblGrid>
      <w:tr>
        <w:tblPrEx>
          <w:tblLayout w:type="fixed"/>
          <w:tblCellMar>
            <w:top w:w="0" w:type="dxa"/>
            <w:left w:w="0" w:type="dxa"/>
            <w:bottom w:w="0" w:type="dxa"/>
            <w:right w:w="0" w:type="dxa"/>
          </w:tblCellMar>
        </w:tblPrEx>
        <w:trPr>
          <w:trHeight w:val="602" w:hRule="exact"/>
        </w:trPr>
        <w:tc>
          <w:tcPr>
            <w:tcW w:w="648" w:type="dxa"/>
            <w:vMerge w:val="restart"/>
            <w:tcBorders>
              <w:top w:val="single" w:color="000000" w:sz="8" w:space="0"/>
              <w:left w:val="single" w:color="000000" w:sz="8" w:space="0"/>
              <w:right w:val="single" w:color="000000" w:sz="4" w:space="0"/>
            </w:tcBorders>
          </w:tcPr>
          <w:p>
            <w:pPr>
              <w:pStyle w:val="61"/>
              <w:rPr>
                <w:color w:val="000000"/>
              </w:rPr>
            </w:pPr>
          </w:p>
          <w:p>
            <w:pPr>
              <w:pStyle w:val="61"/>
              <w:spacing w:before="2"/>
              <w:rPr>
                <w:color w:val="000000"/>
              </w:rPr>
            </w:pPr>
          </w:p>
          <w:p>
            <w:pPr>
              <w:pStyle w:val="61"/>
              <w:spacing w:before="111"/>
              <w:ind w:right="41"/>
              <w:jc w:val="center"/>
              <w:rPr>
                <w:rFonts w:eastAsia="Times New Roman"/>
                <w:color w:val="000000"/>
                <w:sz w:val="10"/>
                <w:szCs w:val="10"/>
              </w:rPr>
            </w:pPr>
            <w:r>
              <w:rPr>
                <w:rFonts w:hint="eastAsia"/>
                <w:color w:val="000000"/>
              </w:rPr>
              <w:t>序号</w:t>
            </w:r>
          </w:p>
        </w:tc>
        <w:tc>
          <w:tcPr>
            <w:tcW w:w="6745" w:type="dxa"/>
            <w:gridSpan w:val="6"/>
            <w:tcBorders>
              <w:top w:val="single" w:color="000000" w:sz="8" w:space="0"/>
              <w:left w:val="single" w:color="000000" w:sz="4" w:space="0"/>
              <w:bottom w:val="single" w:color="000000" w:sz="4" w:space="0"/>
              <w:right w:val="single" w:color="000000" w:sz="4" w:space="0"/>
            </w:tcBorders>
          </w:tcPr>
          <w:p>
            <w:pPr>
              <w:pStyle w:val="61"/>
              <w:spacing w:before="122"/>
              <w:ind w:left="8"/>
              <w:jc w:val="center"/>
              <w:rPr>
                <w:color w:val="000000"/>
              </w:rPr>
            </w:pPr>
            <w:r>
              <w:rPr>
                <w:color w:val="000000"/>
              </w:rPr>
              <w:t>施工期</w:t>
            </w:r>
          </w:p>
        </w:tc>
        <w:tc>
          <w:tcPr>
            <w:tcW w:w="6864" w:type="dxa"/>
            <w:gridSpan w:val="6"/>
            <w:tcBorders>
              <w:top w:val="single" w:color="000000" w:sz="8" w:space="0"/>
              <w:left w:val="single" w:color="000000" w:sz="4" w:space="0"/>
              <w:bottom w:val="single" w:color="000000" w:sz="4" w:space="0"/>
              <w:right w:val="single" w:color="000000" w:sz="8" w:space="0"/>
            </w:tcBorders>
          </w:tcPr>
          <w:p>
            <w:pPr>
              <w:pStyle w:val="61"/>
              <w:spacing w:before="122"/>
              <w:ind w:right="3"/>
              <w:jc w:val="center"/>
              <w:rPr>
                <w:color w:val="000000"/>
              </w:rPr>
            </w:pPr>
            <w:r>
              <w:rPr>
                <w:color w:val="000000"/>
              </w:rPr>
              <w:t>缺陷责任期</w:t>
            </w:r>
          </w:p>
        </w:tc>
      </w:tr>
      <w:tr>
        <w:tblPrEx>
          <w:tblLayout w:type="fixed"/>
          <w:tblCellMar>
            <w:top w:w="0" w:type="dxa"/>
            <w:left w:w="0" w:type="dxa"/>
            <w:bottom w:w="0" w:type="dxa"/>
            <w:right w:w="0" w:type="dxa"/>
          </w:tblCellMar>
        </w:tblPrEx>
        <w:trPr>
          <w:trHeight w:val="777" w:hRule="exact"/>
        </w:trPr>
        <w:tc>
          <w:tcPr>
            <w:tcW w:w="648" w:type="dxa"/>
            <w:vMerge w:val="continue"/>
            <w:tcBorders>
              <w:left w:val="single" w:color="000000" w:sz="8" w:space="0"/>
              <w:right w:val="single" w:color="000000" w:sz="4" w:space="0"/>
            </w:tcBorders>
          </w:tcPr>
          <w:p>
            <w:pPr>
              <w:rPr>
                <w:color w:val="000000"/>
              </w:rPr>
            </w:pPr>
          </w:p>
        </w:tc>
        <w:tc>
          <w:tcPr>
            <w:tcW w:w="1332" w:type="dxa"/>
            <w:tcBorders>
              <w:top w:val="single" w:color="000000" w:sz="4" w:space="0"/>
              <w:left w:val="single" w:color="000000" w:sz="4" w:space="0"/>
              <w:bottom w:val="nil"/>
              <w:right w:val="single" w:color="000000" w:sz="4" w:space="0"/>
            </w:tcBorders>
          </w:tcPr>
          <w:p>
            <w:pPr>
              <w:pStyle w:val="61"/>
              <w:rPr>
                <w:color w:val="000000"/>
              </w:rPr>
            </w:pPr>
          </w:p>
          <w:p>
            <w:pPr>
              <w:pStyle w:val="61"/>
              <w:spacing w:before="192"/>
              <w:ind w:left="119"/>
              <w:rPr>
                <w:color w:val="000000"/>
              </w:rPr>
            </w:pPr>
            <w:r>
              <w:rPr>
                <w:color w:val="000000"/>
              </w:rPr>
              <w:t>名称及型号</w:t>
            </w:r>
          </w:p>
        </w:tc>
        <w:tc>
          <w:tcPr>
            <w:tcW w:w="785" w:type="dxa"/>
            <w:tcBorders>
              <w:top w:val="single" w:color="000000" w:sz="4" w:space="0"/>
              <w:left w:val="single" w:color="000000" w:sz="4" w:space="0"/>
              <w:bottom w:val="nil"/>
              <w:right w:val="single" w:color="000000" w:sz="4" w:space="0"/>
            </w:tcBorders>
          </w:tcPr>
          <w:p>
            <w:pPr>
              <w:pStyle w:val="61"/>
              <w:rPr>
                <w:color w:val="000000"/>
              </w:rPr>
            </w:pPr>
          </w:p>
          <w:p>
            <w:pPr>
              <w:pStyle w:val="61"/>
              <w:spacing w:before="187"/>
              <w:ind w:left="151"/>
              <w:rPr>
                <w:color w:val="000000"/>
              </w:rPr>
            </w:pPr>
            <w:r>
              <w:rPr>
                <w:color w:val="000000"/>
              </w:rPr>
              <w:t>数量</w:t>
            </w:r>
          </w:p>
        </w:tc>
        <w:tc>
          <w:tcPr>
            <w:tcW w:w="1025" w:type="dxa"/>
            <w:tcBorders>
              <w:top w:val="single" w:color="000000" w:sz="4" w:space="0"/>
              <w:left w:val="single" w:color="000000" w:sz="4" w:space="0"/>
              <w:bottom w:val="nil"/>
              <w:right w:val="single" w:color="000000" w:sz="4" w:space="0"/>
            </w:tcBorders>
          </w:tcPr>
          <w:p>
            <w:pPr>
              <w:pStyle w:val="61"/>
              <w:spacing w:before="3"/>
              <w:rPr>
                <w:color w:val="000000"/>
                <w:szCs w:val="21"/>
              </w:rPr>
            </w:pPr>
          </w:p>
          <w:p>
            <w:pPr>
              <w:pStyle w:val="61"/>
              <w:ind w:left="148"/>
              <w:rPr>
                <w:color w:val="000000"/>
              </w:rPr>
            </w:pPr>
            <w:r>
              <w:rPr>
                <w:color w:val="000000"/>
              </w:rPr>
              <w:t>购置合</w:t>
            </w:r>
          </w:p>
        </w:tc>
        <w:tc>
          <w:tcPr>
            <w:tcW w:w="1001" w:type="dxa"/>
            <w:tcBorders>
              <w:top w:val="single" w:color="000000" w:sz="4" w:space="0"/>
              <w:left w:val="single" w:color="000000" w:sz="4" w:space="0"/>
              <w:bottom w:val="nil"/>
              <w:right w:val="single" w:color="000000" w:sz="4" w:space="0"/>
            </w:tcBorders>
          </w:tcPr>
          <w:p>
            <w:pPr>
              <w:pStyle w:val="61"/>
              <w:spacing w:before="8"/>
              <w:rPr>
                <w:color w:val="000000"/>
                <w:szCs w:val="21"/>
              </w:rPr>
            </w:pPr>
          </w:p>
          <w:p>
            <w:pPr>
              <w:pStyle w:val="61"/>
              <w:jc w:val="center"/>
              <w:rPr>
                <w:color w:val="000000"/>
              </w:rPr>
            </w:pPr>
            <w:r>
              <w:rPr>
                <w:color w:val="000000"/>
              </w:rPr>
              <w:t>折旧费</w:t>
            </w:r>
          </w:p>
        </w:tc>
        <w:tc>
          <w:tcPr>
            <w:tcW w:w="1049" w:type="dxa"/>
            <w:tcBorders>
              <w:top w:val="single" w:color="000000" w:sz="4" w:space="0"/>
              <w:left w:val="single" w:color="000000" w:sz="4" w:space="0"/>
              <w:bottom w:val="nil"/>
              <w:right w:val="single" w:color="000000" w:sz="4" w:space="0"/>
            </w:tcBorders>
          </w:tcPr>
          <w:p>
            <w:pPr>
              <w:pStyle w:val="61"/>
              <w:spacing w:before="3"/>
              <w:rPr>
                <w:color w:val="000000"/>
                <w:szCs w:val="21"/>
              </w:rPr>
            </w:pPr>
          </w:p>
          <w:p>
            <w:pPr>
              <w:pStyle w:val="61"/>
              <w:jc w:val="center"/>
              <w:rPr>
                <w:color w:val="000000"/>
              </w:rPr>
            </w:pPr>
            <w:r>
              <w:rPr>
                <w:color w:val="000000"/>
              </w:rPr>
              <w:t>使用费</w:t>
            </w:r>
          </w:p>
        </w:tc>
        <w:tc>
          <w:tcPr>
            <w:tcW w:w="1553" w:type="dxa"/>
            <w:tcBorders>
              <w:top w:val="single" w:color="000000" w:sz="4" w:space="0"/>
              <w:left w:val="single" w:color="000000" w:sz="4" w:space="0"/>
              <w:bottom w:val="nil"/>
              <w:right w:val="single" w:color="000000" w:sz="4" w:space="0"/>
            </w:tcBorders>
          </w:tcPr>
          <w:p>
            <w:pPr>
              <w:pStyle w:val="61"/>
              <w:tabs>
                <w:tab w:val="left" w:pos="890"/>
              </w:tabs>
              <w:spacing w:before="20" w:line="398" w:lineRule="exact"/>
              <w:ind w:left="170" w:right="180" w:firstLine="244"/>
              <w:rPr>
                <w:color w:val="000000"/>
              </w:rPr>
            </w:pPr>
            <w:r>
              <w:rPr>
                <w:color w:val="000000"/>
              </w:rPr>
              <w:t>小</w:t>
            </w:r>
            <w:r>
              <w:rPr>
                <w:color w:val="000000"/>
              </w:rPr>
              <w:tab/>
            </w:r>
            <w:r>
              <w:rPr>
                <w:color w:val="000000"/>
              </w:rPr>
              <w:t>计 折旧及使用</w:t>
            </w:r>
          </w:p>
        </w:tc>
        <w:tc>
          <w:tcPr>
            <w:tcW w:w="1342" w:type="dxa"/>
            <w:tcBorders>
              <w:top w:val="single" w:color="000000" w:sz="4" w:space="0"/>
              <w:left w:val="single" w:color="000000" w:sz="4" w:space="0"/>
              <w:bottom w:val="nil"/>
              <w:right w:val="single" w:color="000000" w:sz="4" w:space="0"/>
            </w:tcBorders>
          </w:tcPr>
          <w:p>
            <w:pPr>
              <w:pStyle w:val="61"/>
              <w:rPr>
                <w:color w:val="000000"/>
              </w:rPr>
            </w:pPr>
          </w:p>
          <w:p>
            <w:pPr>
              <w:pStyle w:val="61"/>
              <w:spacing w:before="192"/>
              <w:ind w:left="172"/>
              <w:rPr>
                <w:color w:val="000000"/>
              </w:rPr>
            </w:pPr>
            <w:r>
              <w:rPr>
                <w:color w:val="000000"/>
              </w:rPr>
              <w:t>名称及型号</w:t>
            </w:r>
          </w:p>
        </w:tc>
        <w:tc>
          <w:tcPr>
            <w:tcW w:w="862" w:type="dxa"/>
            <w:tcBorders>
              <w:top w:val="single" w:color="000000" w:sz="4" w:space="0"/>
              <w:left w:val="single" w:color="000000" w:sz="4" w:space="0"/>
              <w:bottom w:val="nil"/>
              <w:right w:val="single" w:color="000000" w:sz="4" w:space="0"/>
            </w:tcBorders>
          </w:tcPr>
          <w:p>
            <w:pPr>
              <w:pStyle w:val="61"/>
              <w:rPr>
                <w:color w:val="000000"/>
              </w:rPr>
            </w:pPr>
          </w:p>
          <w:p>
            <w:pPr>
              <w:pStyle w:val="61"/>
              <w:spacing w:before="192"/>
              <w:ind w:left="182"/>
              <w:rPr>
                <w:color w:val="000000"/>
              </w:rPr>
            </w:pPr>
            <w:r>
              <w:rPr>
                <w:color w:val="000000"/>
              </w:rPr>
              <w:t>数量</w:t>
            </w:r>
          </w:p>
        </w:tc>
        <w:tc>
          <w:tcPr>
            <w:tcW w:w="1109" w:type="dxa"/>
            <w:tcBorders>
              <w:top w:val="single" w:color="000000" w:sz="4" w:space="0"/>
              <w:left w:val="single" w:color="000000" w:sz="4" w:space="0"/>
              <w:bottom w:val="nil"/>
              <w:right w:val="single" w:color="000000" w:sz="4" w:space="0"/>
            </w:tcBorders>
          </w:tcPr>
          <w:p>
            <w:pPr>
              <w:pStyle w:val="61"/>
              <w:spacing w:before="3"/>
              <w:rPr>
                <w:color w:val="000000"/>
                <w:szCs w:val="21"/>
              </w:rPr>
            </w:pPr>
          </w:p>
          <w:p>
            <w:pPr>
              <w:pStyle w:val="61"/>
              <w:ind w:left="184"/>
              <w:rPr>
                <w:color w:val="000000"/>
              </w:rPr>
            </w:pPr>
            <w:r>
              <w:rPr>
                <w:color w:val="000000"/>
              </w:rPr>
              <w:t>购置合</w:t>
            </w:r>
          </w:p>
        </w:tc>
        <w:tc>
          <w:tcPr>
            <w:tcW w:w="1082" w:type="dxa"/>
            <w:tcBorders>
              <w:top w:val="single" w:color="000000" w:sz="4" w:space="0"/>
              <w:left w:val="single" w:color="000000" w:sz="4" w:space="0"/>
              <w:bottom w:val="nil"/>
              <w:right w:val="single" w:color="000000" w:sz="4" w:space="0"/>
            </w:tcBorders>
          </w:tcPr>
          <w:p>
            <w:pPr>
              <w:pStyle w:val="61"/>
              <w:spacing w:before="8"/>
              <w:rPr>
                <w:color w:val="000000"/>
                <w:szCs w:val="21"/>
              </w:rPr>
            </w:pPr>
          </w:p>
          <w:p>
            <w:pPr>
              <w:pStyle w:val="61"/>
              <w:ind w:right="11"/>
              <w:jc w:val="center"/>
              <w:rPr>
                <w:color w:val="000000"/>
              </w:rPr>
            </w:pPr>
            <w:r>
              <w:rPr>
                <w:color w:val="000000"/>
              </w:rPr>
              <w:t>折旧费</w:t>
            </w:r>
          </w:p>
        </w:tc>
        <w:tc>
          <w:tcPr>
            <w:tcW w:w="1080" w:type="dxa"/>
            <w:tcBorders>
              <w:top w:val="single" w:color="000000" w:sz="4" w:space="0"/>
              <w:left w:val="single" w:color="000000" w:sz="4" w:space="0"/>
              <w:bottom w:val="nil"/>
              <w:right w:val="single" w:color="000000" w:sz="4" w:space="0"/>
            </w:tcBorders>
          </w:tcPr>
          <w:p>
            <w:pPr>
              <w:pStyle w:val="61"/>
              <w:spacing w:before="3"/>
              <w:rPr>
                <w:color w:val="000000"/>
                <w:szCs w:val="21"/>
              </w:rPr>
            </w:pPr>
          </w:p>
          <w:p>
            <w:pPr>
              <w:pStyle w:val="61"/>
              <w:ind w:right="7"/>
              <w:jc w:val="center"/>
              <w:rPr>
                <w:color w:val="000000"/>
              </w:rPr>
            </w:pPr>
            <w:r>
              <w:rPr>
                <w:color w:val="000000"/>
              </w:rPr>
              <w:t>使用费</w:t>
            </w:r>
          </w:p>
        </w:tc>
        <w:tc>
          <w:tcPr>
            <w:tcW w:w="1389" w:type="dxa"/>
            <w:tcBorders>
              <w:top w:val="single" w:color="000000" w:sz="4" w:space="0"/>
              <w:left w:val="single" w:color="000000" w:sz="4" w:space="0"/>
              <w:bottom w:val="nil"/>
              <w:right w:val="single" w:color="000000" w:sz="8" w:space="0"/>
            </w:tcBorders>
          </w:tcPr>
          <w:p>
            <w:pPr>
              <w:pStyle w:val="61"/>
              <w:tabs>
                <w:tab w:val="left" w:pos="883"/>
              </w:tabs>
              <w:spacing w:before="10" w:line="404" w:lineRule="exact"/>
              <w:ind w:left="163" w:right="161" w:firstLine="244"/>
              <w:rPr>
                <w:color w:val="000000"/>
              </w:rPr>
            </w:pPr>
            <w:r>
              <w:rPr>
                <w:color w:val="000000"/>
              </w:rPr>
              <w:t>小</w:t>
            </w:r>
            <w:r>
              <w:rPr>
                <w:color w:val="000000"/>
              </w:rPr>
              <w:tab/>
            </w:r>
            <w:r>
              <w:rPr>
                <w:color w:val="000000"/>
              </w:rPr>
              <w:t>计 折旧及使用</w:t>
            </w:r>
          </w:p>
        </w:tc>
      </w:tr>
      <w:tr>
        <w:tblPrEx>
          <w:tblLayout w:type="fixed"/>
          <w:tblCellMar>
            <w:top w:w="0" w:type="dxa"/>
            <w:left w:w="0" w:type="dxa"/>
            <w:bottom w:w="0" w:type="dxa"/>
            <w:right w:w="0" w:type="dxa"/>
          </w:tblCellMar>
        </w:tblPrEx>
        <w:trPr>
          <w:trHeight w:val="445" w:hRule="exact"/>
        </w:trPr>
        <w:tc>
          <w:tcPr>
            <w:tcW w:w="648" w:type="dxa"/>
            <w:vMerge w:val="continue"/>
            <w:tcBorders>
              <w:left w:val="single" w:color="000000" w:sz="8" w:space="0"/>
              <w:bottom w:val="single" w:color="000000" w:sz="4" w:space="0"/>
              <w:right w:val="single" w:color="000000" w:sz="4" w:space="0"/>
            </w:tcBorders>
          </w:tcPr>
          <w:p>
            <w:pPr>
              <w:rPr>
                <w:color w:val="000000"/>
              </w:rPr>
            </w:pPr>
          </w:p>
        </w:tc>
        <w:tc>
          <w:tcPr>
            <w:tcW w:w="1332" w:type="dxa"/>
            <w:tcBorders>
              <w:top w:val="nil"/>
              <w:left w:val="single" w:color="000000" w:sz="4" w:space="0"/>
              <w:bottom w:val="single" w:color="000000" w:sz="4" w:space="0"/>
              <w:right w:val="single" w:color="000000" w:sz="4" w:space="0"/>
            </w:tcBorders>
          </w:tcPr>
          <w:p>
            <w:pPr>
              <w:rPr>
                <w:color w:val="000000"/>
              </w:rPr>
            </w:pPr>
          </w:p>
        </w:tc>
        <w:tc>
          <w:tcPr>
            <w:tcW w:w="785" w:type="dxa"/>
            <w:tcBorders>
              <w:top w:val="nil"/>
              <w:left w:val="single" w:color="000000" w:sz="4" w:space="0"/>
              <w:bottom w:val="single" w:color="000000" w:sz="4" w:space="0"/>
              <w:right w:val="single" w:color="000000" w:sz="4" w:space="0"/>
            </w:tcBorders>
          </w:tcPr>
          <w:p>
            <w:pPr>
              <w:rPr>
                <w:color w:val="000000"/>
              </w:rPr>
            </w:pPr>
          </w:p>
        </w:tc>
        <w:tc>
          <w:tcPr>
            <w:tcW w:w="1025" w:type="dxa"/>
            <w:tcBorders>
              <w:top w:val="nil"/>
              <w:left w:val="single" w:color="000000" w:sz="4" w:space="0"/>
              <w:bottom w:val="single" w:color="000000" w:sz="4" w:space="0"/>
              <w:right w:val="single" w:color="000000" w:sz="4" w:space="0"/>
            </w:tcBorders>
          </w:tcPr>
          <w:p>
            <w:pPr>
              <w:pStyle w:val="61"/>
              <w:spacing w:line="223" w:lineRule="exact"/>
              <w:ind w:left="187"/>
              <w:rPr>
                <w:color w:val="000000"/>
              </w:rPr>
            </w:pPr>
            <w:r>
              <w:rPr>
                <w:color w:val="000000"/>
              </w:rPr>
              <w:t>价</w:t>
            </w:r>
            <w:r>
              <w:rPr>
                <w:rFonts w:hint="eastAsia"/>
                <w:color w:val="000000"/>
              </w:rPr>
              <w:t>（元）</w:t>
            </w:r>
          </w:p>
        </w:tc>
        <w:tc>
          <w:tcPr>
            <w:tcW w:w="1001" w:type="dxa"/>
            <w:tcBorders>
              <w:top w:val="nil"/>
              <w:left w:val="single" w:color="000000" w:sz="4" w:space="0"/>
              <w:bottom w:val="single" w:color="000000" w:sz="4" w:space="0"/>
              <w:right w:val="single" w:color="000000" w:sz="4" w:space="0"/>
            </w:tcBorders>
          </w:tcPr>
          <w:p>
            <w:pPr>
              <w:pStyle w:val="61"/>
              <w:spacing w:line="232" w:lineRule="exact"/>
              <w:ind w:left="8"/>
              <w:jc w:val="center"/>
              <w:rPr>
                <w:color w:val="000000"/>
              </w:rPr>
            </w:pPr>
            <w:r>
              <w:rPr>
                <w:color w:val="000000"/>
              </w:rPr>
              <w:t>（</w:t>
            </w:r>
            <w:r>
              <w:rPr>
                <w:rFonts w:hint="eastAsia"/>
                <w:color w:val="000000"/>
              </w:rPr>
              <w:t>元</w:t>
            </w:r>
            <w:r>
              <w:rPr>
                <w:color w:val="000000"/>
              </w:rPr>
              <w:t>）</w:t>
            </w:r>
          </w:p>
        </w:tc>
        <w:tc>
          <w:tcPr>
            <w:tcW w:w="1049" w:type="dxa"/>
            <w:tcBorders>
              <w:top w:val="nil"/>
              <w:left w:val="single" w:color="000000" w:sz="4" w:space="0"/>
              <w:bottom w:val="single" w:color="000000" w:sz="4" w:space="0"/>
              <w:right w:val="single" w:color="000000" w:sz="4" w:space="0"/>
            </w:tcBorders>
          </w:tcPr>
          <w:p>
            <w:pPr>
              <w:pStyle w:val="61"/>
              <w:spacing w:line="232" w:lineRule="exact"/>
              <w:ind w:left="10"/>
              <w:jc w:val="center"/>
              <w:rPr>
                <w:color w:val="000000"/>
              </w:rPr>
            </w:pPr>
            <w:r>
              <w:rPr>
                <w:color w:val="000000"/>
              </w:rPr>
              <w:t>（元）</w:t>
            </w:r>
          </w:p>
        </w:tc>
        <w:tc>
          <w:tcPr>
            <w:tcW w:w="1553" w:type="dxa"/>
            <w:tcBorders>
              <w:top w:val="nil"/>
              <w:left w:val="single" w:color="000000" w:sz="4" w:space="0"/>
              <w:bottom w:val="single" w:color="000000" w:sz="4" w:space="0"/>
              <w:right w:val="single" w:color="000000" w:sz="4" w:space="0"/>
            </w:tcBorders>
          </w:tcPr>
          <w:p>
            <w:pPr>
              <w:pStyle w:val="61"/>
              <w:spacing w:before="136"/>
              <w:ind w:left="463"/>
              <w:rPr>
                <w:color w:val="000000"/>
              </w:rPr>
            </w:pPr>
            <w:r>
              <w:rPr>
                <w:color w:val="000000"/>
              </w:rPr>
              <w:t>费</w:t>
            </w:r>
            <w:r>
              <w:rPr>
                <w:rFonts w:hint="eastAsia"/>
                <w:color w:val="000000"/>
              </w:rPr>
              <w:t>（元）</w:t>
            </w:r>
          </w:p>
        </w:tc>
        <w:tc>
          <w:tcPr>
            <w:tcW w:w="1342" w:type="dxa"/>
            <w:tcBorders>
              <w:top w:val="nil"/>
              <w:left w:val="single" w:color="000000" w:sz="4" w:space="0"/>
              <w:bottom w:val="single" w:color="000000" w:sz="4" w:space="0"/>
              <w:right w:val="single" w:color="000000" w:sz="4" w:space="0"/>
            </w:tcBorders>
          </w:tcPr>
          <w:p>
            <w:pPr>
              <w:rPr>
                <w:color w:val="000000"/>
              </w:rPr>
            </w:pPr>
          </w:p>
        </w:tc>
        <w:tc>
          <w:tcPr>
            <w:tcW w:w="862" w:type="dxa"/>
            <w:tcBorders>
              <w:top w:val="nil"/>
              <w:left w:val="single" w:color="000000" w:sz="4" w:space="0"/>
              <w:bottom w:val="single" w:color="000000" w:sz="4" w:space="0"/>
              <w:right w:val="single" w:color="000000" w:sz="4" w:space="0"/>
            </w:tcBorders>
          </w:tcPr>
          <w:p>
            <w:pPr>
              <w:rPr>
                <w:color w:val="000000"/>
              </w:rPr>
            </w:pPr>
          </w:p>
        </w:tc>
        <w:tc>
          <w:tcPr>
            <w:tcW w:w="1109" w:type="dxa"/>
            <w:tcBorders>
              <w:top w:val="nil"/>
              <w:left w:val="single" w:color="000000" w:sz="4" w:space="0"/>
              <w:bottom w:val="single" w:color="000000" w:sz="4" w:space="0"/>
              <w:right w:val="single" w:color="000000" w:sz="4" w:space="0"/>
            </w:tcBorders>
          </w:tcPr>
          <w:p>
            <w:pPr>
              <w:pStyle w:val="61"/>
              <w:spacing w:line="223" w:lineRule="exact"/>
              <w:ind w:left="228"/>
              <w:rPr>
                <w:color w:val="000000"/>
              </w:rPr>
            </w:pPr>
            <w:r>
              <w:rPr>
                <w:color w:val="000000"/>
              </w:rPr>
              <w:t>价</w:t>
            </w:r>
            <w:r>
              <w:rPr>
                <w:rFonts w:hint="eastAsia"/>
                <w:color w:val="000000"/>
              </w:rPr>
              <w:t>（元）</w:t>
            </w:r>
          </w:p>
        </w:tc>
        <w:tc>
          <w:tcPr>
            <w:tcW w:w="1082" w:type="dxa"/>
            <w:tcBorders>
              <w:top w:val="nil"/>
              <w:left w:val="single" w:color="000000" w:sz="4" w:space="0"/>
              <w:bottom w:val="single" w:color="000000" w:sz="4" w:space="0"/>
              <w:right w:val="single" w:color="000000" w:sz="4" w:space="0"/>
            </w:tcBorders>
          </w:tcPr>
          <w:p>
            <w:pPr>
              <w:pStyle w:val="61"/>
              <w:spacing w:line="228" w:lineRule="exact"/>
              <w:ind w:right="3"/>
              <w:jc w:val="center"/>
              <w:rPr>
                <w:color w:val="000000"/>
              </w:rPr>
            </w:pPr>
            <w:r>
              <w:rPr>
                <w:rFonts w:hint="eastAsia"/>
                <w:color w:val="000000"/>
              </w:rPr>
              <w:t>（元）</w:t>
            </w:r>
          </w:p>
        </w:tc>
        <w:tc>
          <w:tcPr>
            <w:tcW w:w="1080" w:type="dxa"/>
            <w:tcBorders>
              <w:top w:val="nil"/>
              <w:left w:val="single" w:color="000000" w:sz="4" w:space="0"/>
              <w:bottom w:val="single" w:color="000000" w:sz="4" w:space="0"/>
              <w:right w:val="single" w:color="000000" w:sz="4" w:space="0"/>
            </w:tcBorders>
          </w:tcPr>
          <w:p>
            <w:pPr>
              <w:pStyle w:val="61"/>
              <w:spacing w:line="232" w:lineRule="exact"/>
              <w:ind w:right="6"/>
              <w:jc w:val="center"/>
              <w:rPr>
                <w:color w:val="000000"/>
              </w:rPr>
            </w:pPr>
            <w:r>
              <w:rPr>
                <w:color w:val="000000"/>
              </w:rPr>
              <w:t>（元）</w:t>
            </w:r>
          </w:p>
        </w:tc>
        <w:tc>
          <w:tcPr>
            <w:tcW w:w="1389" w:type="dxa"/>
            <w:tcBorders>
              <w:top w:val="nil"/>
              <w:left w:val="single" w:color="000000" w:sz="4" w:space="0"/>
              <w:bottom w:val="single" w:color="000000" w:sz="4" w:space="0"/>
              <w:right w:val="single" w:color="000000" w:sz="8" w:space="0"/>
            </w:tcBorders>
          </w:tcPr>
          <w:p>
            <w:pPr>
              <w:pStyle w:val="61"/>
              <w:spacing w:before="136"/>
              <w:ind w:left="460"/>
              <w:rPr>
                <w:color w:val="000000"/>
              </w:rPr>
            </w:pPr>
            <w:r>
              <w:rPr>
                <w:color w:val="000000"/>
              </w:rPr>
              <w:t>费</w:t>
            </w:r>
            <w:r>
              <w:rPr>
                <w:rFonts w:hint="eastAsia"/>
                <w:color w:val="000000"/>
              </w:rPr>
              <w:t>（元）</w:t>
            </w:r>
          </w:p>
        </w:tc>
      </w:tr>
      <w:tr>
        <w:tblPrEx>
          <w:tblLayout w:type="fixed"/>
          <w:tblCellMar>
            <w:top w:w="0" w:type="dxa"/>
            <w:left w:w="0" w:type="dxa"/>
            <w:bottom w:w="0" w:type="dxa"/>
            <w:right w:w="0" w:type="dxa"/>
          </w:tblCellMar>
        </w:tblPrEx>
        <w:trPr>
          <w:trHeight w:val="470" w:hRule="exact"/>
        </w:trPr>
        <w:tc>
          <w:tcPr>
            <w:tcW w:w="648" w:type="dxa"/>
            <w:tcBorders>
              <w:top w:val="single" w:color="000000" w:sz="4" w:space="0"/>
              <w:left w:val="single" w:color="000000" w:sz="8" w:space="0"/>
              <w:bottom w:val="single" w:color="000000" w:sz="4" w:space="0"/>
              <w:right w:val="single" w:color="000000" w:sz="4" w:space="0"/>
            </w:tcBorders>
          </w:tcPr>
          <w:p>
            <w:pPr>
              <w:pStyle w:val="61"/>
              <w:spacing w:before="155"/>
              <w:ind w:left="249"/>
              <w:rPr>
                <w:rFonts w:eastAsia="Times New Roman"/>
                <w:color w:val="000000"/>
                <w:sz w:val="23"/>
                <w:szCs w:val="23"/>
              </w:rPr>
            </w:pPr>
            <w:r>
              <w:rPr>
                <w:rFonts w:hint="eastAsia" w:eastAsia="Times New Roman"/>
                <w:color w:val="000000"/>
                <w:sz w:val="23"/>
                <w:szCs w:val="23"/>
              </w:rPr>
              <w:t>1</w:t>
            </w:r>
          </w:p>
        </w:tc>
        <w:tc>
          <w:tcPr>
            <w:tcW w:w="1332" w:type="dxa"/>
            <w:tcBorders>
              <w:top w:val="single" w:color="000000" w:sz="4" w:space="0"/>
              <w:left w:val="single" w:color="000000" w:sz="4" w:space="0"/>
              <w:bottom w:val="single" w:color="000000" w:sz="4" w:space="0"/>
              <w:right w:val="single" w:color="000000" w:sz="4" w:space="0"/>
            </w:tcBorders>
          </w:tcPr>
          <w:p>
            <w:pPr>
              <w:pStyle w:val="61"/>
              <w:spacing w:before="155"/>
              <w:ind w:left="249"/>
              <w:rPr>
                <w:rFonts w:eastAsia="Times New Roman"/>
                <w:color w:val="000000"/>
                <w:sz w:val="23"/>
                <w:szCs w:val="23"/>
              </w:rPr>
            </w:pPr>
          </w:p>
        </w:tc>
        <w:tc>
          <w:tcPr>
            <w:tcW w:w="78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2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9" w:type="dxa"/>
            <w:tcBorders>
              <w:top w:val="single" w:color="000000" w:sz="4" w:space="0"/>
              <w:left w:val="single" w:color="000000" w:sz="4" w:space="0"/>
              <w:bottom w:val="single" w:color="000000" w:sz="4" w:space="0"/>
              <w:right w:val="single" w:color="000000" w:sz="4" w:space="0"/>
            </w:tcBorders>
          </w:tcPr>
          <w:p>
            <w:pPr>
              <w:rPr>
                <w:color w:val="000000"/>
              </w:rPr>
            </w:pPr>
          </w:p>
        </w:tc>
        <w:tc>
          <w:tcPr>
            <w:tcW w:w="1553" w:type="dxa"/>
            <w:tcBorders>
              <w:top w:val="single" w:color="000000" w:sz="4" w:space="0"/>
              <w:left w:val="single" w:color="000000" w:sz="4" w:space="0"/>
              <w:bottom w:val="single" w:color="000000" w:sz="4" w:space="0"/>
              <w:right w:val="single" w:color="000000" w:sz="4" w:space="0"/>
            </w:tcBorders>
          </w:tcPr>
          <w:p>
            <w:pPr>
              <w:rPr>
                <w:color w:val="000000"/>
              </w:rPr>
            </w:pPr>
          </w:p>
        </w:tc>
        <w:tc>
          <w:tcPr>
            <w:tcW w:w="1342" w:type="dxa"/>
            <w:tcBorders>
              <w:top w:val="single" w:color="000000" w:sz="4" w:space="0"/>
              <w:left w:val="single" w:color="000000" w:sz="4" w:space="0"/>
              <w:bottom w:val="single" w:color="000000" w:sz="4" w:space="0"/>
              <w:right w:val="single" w:color="000000" w:sz="4" w:space="0"/>
            </w:tcBorders>
          </w:tcPr>
          <w:p>
            <w:pPr>
              <w:rPr>
                <w:color w:val="000000"/>
              </w:rPr>
            </w:pPr>
          </w:p>
        </w:tc>
        <w:tc>
          <w:tcPr>
            <w:tcW w:w="862" w:type="dxa"/>
            <w:tcBorders>
              <w:top w:val="single" w:color="000000" w:sz="4" w:space="0"/>
              <w:left w:val="single" w:color="000000" w:sz="4" w:space="0"/>
              <w:bottom w:val="single" w:color="000000" w:sz="4" w:space="0"/>
              <w:right w:val="single" w:color="000000" w:sz="4" w:space="0"/>
            </w:tcBorders>
          </w:tcPr>
          <w:p>
            <w:pPr>
              <w:rPr>
                <w:color w:val="000000"/>
              </w:rPr>
            </w:pPr>
          </w:p>
        </w:tc>
        <w:tc>
          <w:tcPr>
            <w:tcW w:w="1109"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89"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73" w:hRule="exact"/>
        </w:trPr>
        <w:tc>
          <w:tcPr>
            <w:tcW w:w="648" w:type="dxa"/>
            <w:tcBorders>
              <w:top w:val="single" w:color="000000" w:sz="4" w:space="0"/>
              <w:left w:val="single" w:color="000000" w:sz="8" w:space="0"/>
              <w:bottom w:val="single" w:color="000000" w:sz="4" w:space="0"/>
              <w:right w:val="single" w:color="000000" w:sz="4" w:space="0"/>
            </w:tcBorders>
          </w:tcPr>
          <w:p>
            <w:pPr>
              <w:pStyle w:val="61"/>
              <w:spacing w:before="155"/>
              <w:ind w:left="249"/>
              <w:rPr>
                <w:rFonts w:eastAsia="Times New Roman"/>
                <w:color w:val="000000"/>
                <w:sz w:val="23"/>
                <w:szCs w:val="23"/>
              </w:rPr>
            </w:pPr>
            <w:r>
              <w:rPr>
                <w:rFonts w:eastAsia="Times New Roman"/>
                <w:color w:val="000000"/>
                <w:sz w:val="23"/>
                <w:szCs w:val="23"/>
              </w:rPr>
              <w:t>2</w:t>
            </w:r>
          </w:p>
        </w:tc>
        <w:tc>
          <w:tcPr>
            <w:tcW w:w="1332" w:type="dxa"/>
            <w:tcBorders>
              <w:top w:val="single" w:color="000000" w:sz="4" w:space="0"/>
              <w:left w:val="single" w:color="000000" w:sz="4" w:space="0"/>
              <w:bottom w:val="single" w:color="000000" w:sz="4" w:space="0"/>
              <w:right w:val="single" w:color="000000" w:sz="4" w:space="0"/>
            </w:tcBorders>
          </w:tcPr>
          <w:p>
            <w:pPr>
              <w:rPr>
                <w:rFonts w:eastAsia="Times New Roman"/>
                <w:color w:val="000000"/>
                <w:sz w:val="23"/>
                <w:szCs w:val="23"/>
              </w:rPr>
            </w:pPr>
          </w:p>
        </w:tc>
        <w:tc>
          <w:tcPr>
            <w:tcW w:w="78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2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9" w:type="dxa"/>
            <w:tcBorders>
              <w:top w:val="single" w:color="000000" w:sz="4" w:space="0"/>
              <w:left w:val="single" w:color="000000" w:sz="4" w:space="0"/>
              <w:bottom w:val="single" w:color="000000" w:sz="4" w:space="0"/>
              <w:right w:val="single" w:color="000000" w:sz="4" w:space="0"/>
            </w:tcBorders>
          </w:tcPr>
          <w:p>
            <w:pPr>
              <w:rPr>
                <w:color w:val="000000"/>
              </w:rPr>
            </w:pPr>
          </w:p>
        </w:tc>
        <w:tc>
          <w:tcPr>
            <w:tcW w:w="1553" w:type="dxa"/>
            <w:tcBorders>
              <w:top w:val="single" w:color="000000" w:sz="4" w:space="0"/>
              <w:left w:val="single" w:color="000000" w:sz="4" w:space="0"/>
              <w:bottom w:val="single" w:color="000000" w:sz="4" w:space="0"/>
              <w:right w:val="single" w:color="000000" w:sz="4" w:space="0"/>
            </w:tcBorders>
          </w:tcPr>
          <w:p>
            <w:pPr>
              <w:rPr>
                <w:color w:val="000000"/>
              </w:rPr>
            </w:pPr>
          </w:p>
        </w:tc>
        <w:tc>
          <w:tcPr>
            <w:tcW w:w="1342" w:type="dxa"/>
            <w:tcBorders>
              <w:top w:val="single" w:color="000000" w:sz="4" w:space="0"/>
              <w:left w:val="single" w:color="000000" w:sz="4" w:space="0"/>
              <w:bottom w:val="single" w:color="000000" w:sz="4" w:space="0"/>
              <w:right w:val="single" w:color="000000" w:sz="4" w:space="0"/>
            </w:tcBorders>
          </w:tcPr>
          <w:p>
            <w:pPr>
              <w:rPr>
                <w:color w:val="000000"/>
              </w:rPr>
            </w:pPr>
          </w:p>
        </w:tc>
        <w:tc>
          <w:tcPr>
            <w:tcW w:w="862" w:type="dxa"/>
            <w:tcBorders>
              <w:top w:val="single" w:color="000000" w:sz="4" w:space="0"/>
              <w:left w:val="single" w:color="000000" w:sz="4" w:space="0"/>
              <w:bottom w:val="single" w:color="000000" w:sz="4" w:space="0"/>
              <w:right w:val="single" w:color="000000" w:sz="4" w:space="0"/>
            </w:tcBorders>
          </w:tcPr>
          <w:p>
            <w:pPr>
              <w:rPr>
                <w:color w:val="000000"/>
              </w:rPr>
            </w:pPr>
          </w:p>
        </w:tc>
        <w:tc>
          <w:tcPr>
            <w:tcW w:w="1109"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89"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73" w:hRule="exact"/>
        </w:trPr>
        <w:tc>
          <w:tcPr>
            <w:tcW w:w="648" w:type="dxa"/>
            <w:tcBorders>
              <w:top w:val="single" w:color="000000" w:sz="4" w:space="0"/>
              <w:left w:val="single" w:color="000000" w:sz="8" w:space="0"/>
              <w:bottom w:val="single" w:color="000000" w:sz="4" w:space="0"/>
              <w:right w:val="single" w:color="000000" w:sz="4" w:space="0"/>
            </w:tcBorders>
          </w:tcPr>
          <w:p>
            <w:pPr>
              <w:pStyle w:val="61"/>
              <w:spacing w:before="157"/>
              <w:ind w:left="254"/>
              <w:rPr>
                <w:rFonts w:eastAsia="Times New Roman"/>
                <w:color w:val="000000"/>
                <w:sz w:val="23"/>
                <w:szCs w:val="23"/>
              </w:rPr>
            </w:pPr>
            <w:r>
              <w:rPr>
                <w:color w:val="000000"/>
                <w:sz w:val="23"/>
              </w:rPr>
              <w:t>3</w:t>
            </w:r>
          </w:p>
        </w:tc>
        <w:tc>
          <w:tcPr>
            <w:tcW w:w="1332" w:type="dxa"/>
            <w:tcBorders>
              <w:top w:val="single" w:color="000000" w:sz="4" w:space="0"/>
              <w:left w:val="single" w:color="000000" w:sz="4" w:space="0"/>
              <w:bottom w:val="single" w:color="000000" w:sz="4" w:space="0"/>
              <w:right w:val="single" w:color="000000" w:sz="4" w:space="0"/>
            </w:tcBorders>
          </w:tcPr>
          <w:p>
            <w:pPr>
              <w:rPr>
                <w:color w:val="000000"/>
              </w:rPr>
            </w:pPr>
          </w:p>
        </w:tc>
        <w:tc>
          <w:tcPr>
            <w:tcW w:w="78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2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9" w:type="dxa"/>
            <w:tcBorders>
              <w:top w:val="single" w:color="000000" w:sz="4" w:space="0"/>
              <w:left w:val="single" w:color="000000" w:sz="4" w:space="0"/>
              <w:bottom w:val="single" w:color="000000" w:sz="4" w:space="0"/>
              <w:right w:val="single" w:color="000000" w:sz="4" w:space="0"/>
            </w:tcBorders>
          </w:tcPr>
          <w:p>
            <w:pPr>
              <w:rPr>
                <w:color w:val="000000"/>
              </w:rPr>
            </w:pPr>
          </w:p>
        </w:tc>
        <w:tc>
          <w:tcPr>
            <w:tcW w:w="1553" w:type="dxa"/>
            <w:tcBorders>
              <w:top w:val="single" w:color="000000" w:sz="4" w:space="0"/>
              <w:left w:val="single" w:color="000000" w:sz="4" w:space="0"/>
              <w:bottom w:val="single" w:color="000000" w:sz="4" w:space="0"/>
              <w:right w:val="single" w:color="000000" w:sz="4" w:space="0"/>
            </w:tcBorders>
          </w:tcPr>
          <w:p>
            <w:pPr>
              <w:rPr>
                <w:color w:val="000000"/>
              </w:rPr>
            </w:pPr>
          </w:p>
        </w:tc>
        <w:tc>
          <w:tcPr>
            <w:tcW w:w="1342" w:type="dxa"/>
            <w:tcBorders>
              <w:top w:val="single" w:color="000000" w:sz="4" w:space="0"/>
              <w:left w:val="single" w:color="000000" w:sz="4" w:space="0"/>
              <w:bottom w:val="single" w:color="000000" w:sz="4" w:space="0"/>
              <w:right w:val="single" w:color="000000" w:sz="4" w:space="0"/>
            </w:tcBorders>
          </w:tcPr>
          <w:p>
            <w:pPr>
              <w:rPr>
                <w:color w:val="000000"/>
              </w:rPr>
            </w:pPr>
          </w:p>
        </w:tc>
        <w:tc>
          <w:tcPr>
            <w:tcW w:w="862" w:type="dxa"/>
            <w:tcBorders>
              <w:top w:val="single" w:color="000000" w:sz="4" w:space="0"/>
              <w:left w:val="single" w:color="000000" w:sz="4" w:space="0"/>
              <w:bottom w:val="single" w:color="000000" w:sz="4" w:space="0"/>
              <w:right w:val="single" w:color="000000" w:sz="4" w:space="0"/>
            </w:tcBorders>
          </w:tcPr>
          <w:p>
            <w:pPr>
              <w:rPr>
                <w:color w:val="000000"/>
              </w:rPr>
            </w:pPr>
          </w:p>
        </w:tc>
        <w:tc>
          <w:tcPr>
            <w:tcW w:w="1109"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89"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70" w:hRule="exact"/>
        </w:trPr>
        <w:tc>
          <w:tcPr>
            <w:tcW w:w="648" w:type="dxa"/>
            <w:tcBorders>
              <w:top w:val="single" w:color="000000" w:sz="4" w:space="0"/>
              <w:left w:val="single" w:color="000000" w:sz="8" w:space="0"/>
              <w:bottom w:val="single" w:color="000000" w:sz="4" w:space="0"/>
              <w:right w:val="single" w:color="000000" w:sz="4" w:space="0"/>
            </w:tcBorders>
          </w:tcPr>
          <w:p>
            <w:pPr>
              <w:pStyle w:val="61"/>
              <w:spacing w:before="155"/>
              <w:ind w:left="249"/>
              <w:rPr>
                <w:rFonts w:eastAsia="Times New Roman"/>
                <w:color w:val="000000"/>
                <w:sz w:val="23"/>
                <w:szCs w:val="23"/>
              </w:rPr>
            </w:pPr>
            <w:r>
              <w:rPr>
                <w:color w:val="000000"/>
                <w:sz w:val="23"/>
              </w:rPr>
              <w:t>4</w:t>
            </w:r>
          </w:p>
        </w:tc>
        <w:tc>
          <w:tcPr>
            <w:tcW w:w="1332" w:type="dxa"/>
            <w:tcBorders>
              <w:top w:val="single" w:color="000000" w:sz="4" w:space="0"/>
              <w:left w:val="single" w:color="000000" w:sz="4" w:space="0"/>
              <w:bottom w:val="single" w:color="000000" w:sz="4" w:space="0"/>
              <w:right w:val="single" w:color="000000" w:sz="4" w:space="0"/>
            </w:tcBorders>
          </w:tcPr>
          <w:p>
            <w:pPr>
              <w:rPr>
                <w:color w:val="000000"/>
              </w:rPr>
            </w:pPr>
          </w:p>
        </w:tc>
        <w:tc>
          <w:tcPr>
            <w:tcW w:w="78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2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9" w:type="dxa"/>
            <w:tcBorders>
              <w:top w:val="single" w:color="000000" w:sz="4" w:space="0"/>
              <w:left w:val="single" w:color="000000" w:sz="4" w:space="0"/>
              <w:bottom w:val="single" w:color="000000" w:sz="4" w:space="0"/>
              <w:right w:val="single" w:color="000000" w:sz="4" w:space="0"/>
            </w:tcBorders>
          </w:tcPr>
          <w:p>
            <w:pPr>
              <w:rPr>
                <w:color w:val="000000"/>
              </w:rPr>
            </w:pPr>
          </w:p>
        </w:tc>
        <w:tc>
          <w:tcPr>
            <w:tcW w:w="1553" w:type="dxa"/>
            <w:tcBorders>
              <w:top w:val="single" w:color="000000" w:sz="4" w:space="0"/>
              <w:left w:val="single" w:color="000000" w:sz="4" w:space="0"/>
              <w:bottom w:val="single" w:color="000000" w:sz="4" w:space="0"/>
              <w:right w:val="single" w:color="000000" w:sz="4" w:space="0"/>
            </w:tcBorders>
          </w:tcPr>
          <w:p>
            <w:pPr>
              <w:rPr>
                <w:color w:val="000000"/>
              </w:rPr>
            </w:pPr>
          </w:p>
        </w:tc>
        <w:tc>
          <w:tcPr>
            <w:tcW w:w="1342" w:type="dxa"/>
            <w:tcBorders>
              <w:top w:val="single" w:color="000000" w:sz="4" w:space="0"/>
              <w:left w:val="single" w:color="000000" w:sz="4" w:space="0"/>
              <w:bottom w:val="single" w:color="000000" w:sz="4" w:space="0"/>
              <w:right w:val="single" w:color="000000" w:sz="4" w:space="0"/>
            </w:tcBorders>
          </w:tcPr>
          <w:p>
            <w:pPr>
              <w:rPr>
                <w:color w:val="000000"/>
              </w:rPr>
            </w:pPr>
          </w:p>
        </w:tc>
        <w:tc>
          <w:tcPr>
            <w:tcW w:w="862" w:type="dxa"/>
            <w:tcBorders>
              <w:top w:val="single" w:color="000000" w:sz="4" w:space="0"/>
              <w:left w:val="single" w:color="000000" w:sz="4" w:space="0"/>
              <w:bottom w:val="single" w:color="000000" w:sz="4" w:space="0"/>
              <w:right w:val="single" w:color="000000" w:sz="4" w:space="0"/>
            </w:tcBorders>
          </w:tcPr>
          <w:p>
            <w:pPr>
              <w:rPr>
                <w:color w:val="000000"/>
              </w:rPr>
            </w:pPr>
          </w:p>
        </w:tc>
        <w:tc>
          <w:tcPr>
            <w:tcW w:w="1109"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89"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73" w:hRule="exact"/>
        </w:trPr>
        <w:tc>
          <w:tcPr>
            <w:tcW w:w="648" w:type="dxa"/>
            <w:tcBorders>
              <w:top w:val="single" w:color="000000" w:sz="4" w:space="0"/>
              <w:left w:val="single" w:color="000000" w:sz="8" w:space="0"/>
              <w:bottom w:val="single" w:color="000000" w:sz="4" w:space="0"/>
              <w:right w:val="single" w:color="000000" w:sz="4" w:space="0"/>
            </w:tcBorders>
          </w:tcPr>
          <w:p>
            <w:pPr>
              <w:pStyle w:val="61"/>
              <w:spacing w:before="159"/>
              <w:ind w:left="259"/>
              <w:rPr>
                <w:rFonts w:eastAsia="Times New Roman"/>
                <w:color w:val="000000"/>
                <w:sz w:val="23"/>
                <w:szCs w:val="23"/>
              </w:rPr>
            </w:pPr>
            <w:r>
              <w:rPr>
                <w:color w:val="000000"/>
                <w:sz w:val="23"/>
              </w:rPr>
              <w:t>5</w:t>
            </w:r>
          </w:p>
        </w:tc>
        <w:tc>
          <w:tcPr>
            <w:tcW w:w="1332" w:type="dxa"/>
            <w:tcBorders>
              <w:top w:val="single" w:color="000000" w:sz="4" w:space="0"/>
              <w:left w:val="single" w:color="000000" w:sz="4" w:space="0"/>
              <w:bottom w:val="single" w:color="000000" w:sz="4" w:space="0"/>
              <w:right w:val="single" w:color="000000" w:sz="4" w:space="0"/>
            </w:tcBorders>
          </w:tcPr>
          <w:p>
            <w:pPr>
              <w:rPr>
                <w:color w:val="000000"/>
              </w:rPr>
            </w:pPr>
          </w:p>
        </w:tc>
        <w:tc>
          <w:tcPr>
            <w:tcW w:w="78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2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9" w:type="dxa"/>
            <w:tcBorders>
              <w:top w:val="single" w:color="000000" w:sz="4" w:space="0"/>
              <w:left w:val="single" w:color="000000" w:sz="4" w:space="0"/>
              <w:bottom w:val="single" w:color="000000" w:sz="4" w:space="0"/>
              <w:right w:val="single" w:color="000000" w:sz="4" w:space="0"/>
            </w:tcBorders>
          </w:tcPr>
          <w:p>
            <w:pPr>
              <w:rPr>
                <w:color w:val="000000"/>
              </w:rPr>
            </w:pPr>
          </w:p>
        </w:tc>
        <w:tc>
          <w:tcPr>
            <w:tcW w:w="1553" w:type="dxa"/>
            <w:tcBorders>
              <w:top w:val="single" w:color="000000" w:sz="4" w:space="0"/>
              <w:left w:val="single" w:color="000000" w:sz="4" w:space="0"/>
              <w:bottom w:val="single" w:color="000000" w:sz="4" w:space="0"/>
              <w:right w:val="single" w:color="000000" w:sz="4" w:space="0"/>
            </w:tcBorders>
          </w:tcPr>
          <w:p>
            <w:pPr>
              <w:rPr>
                <w:color w:val="000000"/>
              </w:rPr>
            </w:pPr>
          </w:p>
        </w:tc>
        <w:tc>
          <w:tcPr>
            <w:tcW w:w="1342" w:type="dxa"/>
            <w:tcBorders>
              <w:top w:val="single" w:color="000000" w:sz="4" w:space="0"/>
              <w:left w:val="single" w:color="000000" w:sz="4" w:space="0"/>
              <w:bottom w:val="single" w:color="000000" w:sz="4" w:space="0"/>
              <w:right w:val="single" w:color="000000" w:sz="4" w:space="0"/>
            </w:tcBorders>
          </w:tcPr>
          <w:p>
            <w:pPr>
              <w:rPr>
                <w:color w:val="000000"/>
              </w:rPr>
            </w:pPr>
          </w:p>
        </w:tc>
        <w:tc>
          <w:tcPr>
            <w:tcW w:w="862" w:type="dxa"/>
            <w:tcBorders>
              <w:top w:val="single" w:color="000000" w:sz="4" w:space="0"/>
              <w:left w:val="single" w:color="000000" w:sz="4" w:space="0"/>
              <w:bottom w:val="single" w:color="000000" w:sz="4" w:space="0"/>
              <w:right w:val="single" w:color="000000" w:sz="4" w:space="0"/>
            </w:tcBorders>
          </w:tcPr>
          <w:p>
            <w:pPr>
              <w:rPr>
                <w:color w:val="000000"/>
              </w:rPr>
            </w:pPr>
          </w:p>
        </w:tc>
        <w:tc>
          <w:tcPr>
            <w:tcW w:w="1109"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89"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73" w:hRule="exact"/>
        </w:trPr>
        <w:tc>
          <w:tcPr>
            <w:tcW w:w="648" w:type="dxa"/>
            <w:tcBorders>
              <w:top w:val="single" w:color="000000" w:sz="4" w:space="0"/>
              <w:left w:val="single" w:color="000000" w:sz="8" w:space="0"/>
              <w:bottom w:val="single" w:color="000000" w:sz="4" w:space="0"/>
              <w:right w:val="single" w:color="000000" w:sz="4" w:space="0"/>
            </w:tcBorders>
          </w:tcPr>
          <w:p>
            <w:pPr>
              <w:pStyle w:val="61"/>
              <w:spacing w:before="162"/>
              <w:ind w:left="254"/>
              <w:rPr>
                <w:rFonts w:eastAsia="Times New Roman"/>
                <w:color w:val="000000"/>
                <w:sz w:val="23"/>
                <w:szCs w:val="23"/>
              </w:rPr>
            </w:pPr>
            <w:r>
              <w:rPr>
                <w:color w:val="000000"/>
                <w:sz w:val="23"/>
              </w:rPr>
              <w:t>6</w:t>
            </w:r>
          </w:p>
        </w:tc>
        <w:tc>
          <w:tcPr>
            <w:tcW w:w="1332" w:type="dxa"/>
            <w:tcBorders>
              <w:top w:val="single" w:color="000000" w:sz="4" w:space="0"/>
              <w:left w:val="single" w:color="000000" w:sz="4" w:space="0"/>
              <w:bottom w:val="single" w:color="000000" w:sz="4" w:space="0"/>
              <w:right w:val="single" w:color="000000" w:sz="4" w:space="0"/>
            </w:tcBorders>
          </w:tcPr>
          <w:p>
            <w:pPr>
              <w:rPr>
                <w:color w:val="000000"/>
              </w:rPr>
            </w:pPr>
          </w:p>
        </w:tc>
        <w:tc>
          <w:tcPr>
            <w:tcW w:w="78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2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9" w:type="dxa"/>
            <w:tcBorders>
              <w:top w:val="single" w:color="000000" w:sz="4" w:space="0"/>
              <w:left w:val="single" w:color="000000" w:sz="4" w:space="0"/>
              <w:bottom w:val="single" w:color="000000" w:sz="4" w:space="0"/>
              <w:right w:val="single" w:color="000000" w:sz="4" w:space="0"/>
            </w:tcBorders>
          </w:tcPr>
          <w:p>
            <w:pPr>
              <w:rPr>
                <w:color w:val="000000"/>
              </w:rPr>
            </w:pPr>
          </w:p>
        </w:tc>
        <w:tc>
          <w:tcPr>
            <w:tcW w:w="1553" w:type="dxa"/>
            <w:tcBorders>
              <w:top w:val="single" w:color="000000" w:sz="4" w:space="0"/>
              <w:left w:val="single" w:color="000000" w:sz="4" w:space="0"/>
              <w:bottom w:val="single" w:color="000000" w:sz="4" w:space="0"/>
              <w:right w:val="single" w:color="000000" w:sz="4" w:space="0"/>
            </w:tcBorders>
          </w:tcPr>
          <w:p>
            <w:pPr>
              <w:rPr>
                <w:color w:val="000000"/>
              </w:rPr>
            </w:pPr>
          </w:p>
        </w:tc>
        <w:tc>
          <w:tcPr>
            <w:tcW w:w="1342" w:type="dxa"/>
            <w:tcBorders>
              <w:top w:val="single" w:color="000000" w:sz="4" w:space="0"/>
              <w:left w:val="single" w:color="000000" w:sz="4" w:space="0"/>
              <w:bottom w:val="single" w:color="000000" w:sz="4" w:space="0"/>
              <w:right w:val="single" w:color="000000" w:sz="4" w:space="0"/>
            </w:tcBorders>
          </w:tcPr>
          <w:p>
            <w:pPr>
              <w:rPr>
                <w:color w:val="000000"/>
              </w:rPr>
            </w:pPr>
          </w:p>
        </w:tc>
        <w:tc>
          <w:tcPr>
            <w:tcW w:w="862" w:type="dxa"/>
            <w:tcBorders>
              <w:top w:val="single" w:color="000000" w:sz="4" w:space="0"/>
              <w:left w:val="single" w:color="000000" w:sz="4" w:space="0"/>
              <w:bottom w:val="single" w:color="000000" w:sz="4" w:space="0"/>
              <w:right w:val="single" w:color="000000" w:sz="4" w:space="0"/>
            </w:tcBorders>
          </w:tcPr>
          <w:p>
            <w:pPr>
              <w:rPr>
                <w:color w:val="000000"/>
              </w:rPr>
            </w:pPr>
          </w:p>
        </w:tc>
        <w:tc>
          <w:tcPr>
            <w:tcW w:w="1109"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89"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73" w:hRule="exact"/>
        </w:trPr>
        <w:tc>
          <w:tcPr>
            <w:tcW w:w="648" w:type="dxa"/>
            <w:tcBorders>
              <w:top w:val="single" w:color="000000" w:sz="4" w:space="0"/>
              <w:left w:val="single" w:color="000000" w:sz="8" w:space="0"/>
              <w:bottom w:val="single" w:color="000000" w:sz="4" w:space="0"/>
              <w:right w:val="single" w:color="000000" w:sz="4" w:space="0"/>
            </w:tcBorders>
          </w:tcPr>
          <w:p>
            <w:pPr>
              <w:pStyle w:val="61"/>
              <w:spacing w:before="159"/>
              <w:ind w:left="254"/>
              <w:rPr>
                <w:rFonts w:eastAsia="Times New Roman"/>
                <w:color w:val="000000"/>
                <w:sz w:val="23"/>
                <w:szCs w:val="23"/>
              </w:rPr>
            </w:pPr>
            <w:r>
              <w:rPr>
                <w:color w:val="000000"/>
                <w:sz w:val="23"/>
              </w:rPr>
              <w:t>7</w:t>
            </w:r>
          </w:p>
        </w:tc>
        <w:tc>
          <w:tcPr>
            <w:tcW w:w="1332" w:type="dxa"/>
            <w:tcBorders>
              <w:top w:val="single" w:color="000000" w:sz="4" w:space="0"/>
              <w:left w:val="single" w:color="000000" w:sz="4" w:space="0"/>
              <w:bottom w:val="single" w:color="000000" w:sz="4" w:space="0"/>
              <w:right w:val="single" w:color="000000" w:sz="4" w:space="0"/>
            </w:tcBorders>
          </w:tcPr>
          <w:p>
            <w:pPr>
              <w:rPr>
                <w:color w:val="000000"/>
              </w:rPr>
            </w:pPr>
          </w:p>
        </w:tc>
        <w:tc>
          <w:tcPr>
            <w:tcW w:w="78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2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9" w:type="dxa"/>
            <w:tcBorders>
              <w:top w:val="single" w:color="000000" w:sz="4" w:space="0"/>
              <w:left w:val="single" w:color="000000" w:sz="4" w:space="0"/>
              <w:bottom w:val="single" w:color="000000" w:sz="4" w:space="0"/>
              <w:right w:val="single" w:color="000000" w:sz="4" w:space="0"/>
            </w:tcBorders>
          </w:tcPr>
          <w:p>
            <w:pPr>
              <w:rPr>
                <w:color w:val="000000"/>
              </w:rPr>
            </w:pPr>
          </w:p>
        </w:tc>
        <w:tc>
          <w:tcPr>
            <w:tcW w:w="1553" w:type="dxa"/>
            <w:tcBorders>
              <w:top w:val="single" w:color="000000" w:sz="4" w:space="0"/>
              <w:left w:val="single" w:color="000000" w:sz="4" w:space="0"/>
              <w:bottom w:val="single" w:color="000000" w:sz="4" w:space="0"/>
              <w:right w:val="single" w:color="000000" w:sz="4" w:space="0"/>
            </w:tcBorders>
          </w:tcPr>
          <w:p>
            <w:pPr>
              <w:rPr>
                <w:color w:val="000000"/>
              </w:rPr>
            </w:pPr>
          </w:p>
        </w:tc>
        <w:tc>
          <w:tcPr>
            <w:tcW w:w="1342" w:type="dxa"/>
            <w:tcBorders>
              <w:top w:val="single" w:color="000000" w:sz="4" w:space="0"/>
              <w:left w:val="single" w:color="000000" w:sz="4" w:space="0"/>
              <w:bottom w:val="single" w:color="000000" w:sz="4" w:space="0"/>
              <w:right w:val="single" w:color="000000" w:sz="4" w:space="0"/>
            </w:tcBorders>
          </w:tcPr>
          <w:p>
            <w:pPr>
              <w:rPr>
                <w:color w:val="000000"/>
              </w:rPr>
            </w:pPr>
          </w:p>
        </w:tc>
        <w:tc>
          <w:tcPr>
            <w:tcW w:w="862" w:type="dxa"/>
            <w:tcBorders>
              <w:top w:val="single" w:color="000000" w:sz="4" w:space="0"/>
              <w:left w:val="single" w:color="000000" w:sz="4" w:space="0"/>
              <w:bottom w:val="single" w:color="000000" w:sz="4" w:space="0"/>
              <w:right w:val="single" w:color="000000" w:sz="4" w:space="0"/>
            </w:tcBorders>
          </w:tcPr>
          <w:p>
            <w:pPr>
              <w:rPr>
                <w:color w:val="000000"/>
              </w:rPr>
            </w:pPr>
          </w:p>
        </w:tc>
        <w:tc>
          <w:tcPr>
            <w:tcW w:w="1109"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89"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70" w:hRule="exact"/>
        </w:trPr>
        <w:tc>
          <w:tcPr>
            <w:tcW w:w="648" w:type="dxa"/>
            <w:tcBorders>
              <w:top w:val="single" w:color="000000" w:sz="4" w:space="0"/>
              <w:left w:val="single" w:color="000000" w:sz="8" w:space="0"/>
              <w:bottom w:val="single" w:color="000000" w:sz="4" w:space="0"/>
              <w:right w:val="single" w:color="000000" w:sz="4" w:space="0"/>
            </w:tcBorders>
          </w:tcPr>
          <w:p>
            <w:pPr>
              <w:pStyle w:val="61"/>
              <w:spacing w:before="165"/>
              <w:ind w:left="259"/>
              <w:rPr>
                <w:rFonts w:ascii="Arial" w:hAnsi="Arial" w:eastAsia="Arial" w:cs="Arial"/>
                <w:color w:val="000000"/>
              </w:rPr>
            </w:pPr>
            <w:r>
              <w:rPr>
                <w:rFonts w:ascii="Arial"/>
                <w:color w:val="000000"/>
              </w:rPr>
              <w:t>8</w:t>
            </w:r>
          </w:p>
        </w:tc>
        <w:tc>
          <w:tcPr>
            <w:tcW w:w="1332" w:type="dxa"/>
            <w:tcBorders>
              <w:top w:val="single" w:color="000000" w:sz="4" w:space="0"/>
              <w:left w:val="single" w:color="000000" w:sz="4" w:space="0"/>
              <w:bottom w:val="single" w:color="000000" w:sz="4" w:space="0"/>
              <w:right w:val="single" w:color="000000" w:sz="4" w:space="0"/>
            </w:tcBorders>
          </w:tcPr>
          <w:p>
            <w:pPr>
              <w:rPr>
                <w:color w:val="000000"/>
              </w:rPr>
            </w:pPr>
          </w:p>
        </w:tc>
        <w:tc>
          <w:tcPr>
            <w:tcW w:w="78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2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9" w:type="dxa"/>
            <w:tcBorders>
              <w:top w:val="single" w:color="000000" w:sz="4" w:space="0"/>
              <w:left w:val="single" w:color="000000" w:sz="4" w:space="0"/>
              <w:bottom w:val="single" w:color="000000" w:sz="4" w:space="0"/>
              <w:right w:val="single" w:color="000000" w:sz="4" w:space="0"/>
            </w:tcBorders>
          </w:tcPr>
          <w:p>
            <w:pPr>
              <w:rPr>
                <w:color w:val="000000"/>
              </w:rPr>
            </w:pPr>
          </w:p>
        </w:tc>
        <w:tc>
          <w:tcPr>
            <w:tcW w:w="1553" w:type="dxa"/>
            <w:tcBorders>
              <w:top w:val="single" w:color="000000" w:sz="4" w:space="0"/>
              <w:left w:val="single" w:color="000000" w:sz="4" w:space="0"/>
              <w:bottom w:val="single" w:color="000000" w:sz="4" w:space="0"/>
              <w:right w:val="single" w:color="000000" w:sz="4" w:space="0"/>
            </w:tcBorders>
          </w:tcPr>
          <w:p>
            <w:pPr>
              <w:rPr>
                <w:color w:val="000000"/>
              </w:rPr>
            </w:pPr>
          </w:p>
        </w:tc>
        <w:tc>
          <w:tcPr>
            <w:tcW w:w="1342" w:type="dxa"/>
            <w:tcBorders>
              <w:top w:val="single" w:color="000000" w:sz="4" w:space="0"/>
              <w:left w:val="single" w:color="000000" w:sz="4" w:space="0"/>
              <w:bottom w:val="single" w:color="000000" w:sz="4" w:space="0"/>
              <w:right w:val="single" w:color="000000" w:sz="4" w:space="0"/>
            </w:tcBorders>
          </w:tcPr>
          <w:p>
            <w:pPr>
              <w:rPr>
                <w:color w:val="000000"/>
              </w:rPr>
            </w:pPr>
          </w:p>
        </w:tc>
        <w:tc>
          <w:tcPr>
            <w:tcW w:w="862" w:type="dxa"/>
            <w:tcBorders>
              <w:top w:val="single" w:color="000000" w:sz="4" w:space="0"/>
              <w:left w:val="single" w:color="000000" w:sz="4" w:space="0"/>
              <w:bottom w:val="single" w:color="000000" w:sz="4" w:space="0"/>
              <w:right w:val="single" w:color="000000" w:sz="4" w:space="0"/>
            </w:tcBorders>
          </w:tcPr>
          <w:p>
            <w:pPr>
              <w:rPr>
                <w:color w:val="000000"/>
              </w:rPr>
            </w:pPr>
          </w:p>
        </w:tc>
        <w:tc>
          <w:tcPr>
            <w:tcW w:w="1109"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89"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73" w:hRule="exact"/>
        </w:trPr>
        <w:tc>
          <w:tcPr>
            <w:tcW w:w="648" w:type="dxa"/>
            <w:tcBorders>
              <w:top w:val="single" w:color="000000" w:sz="4" w:space="0"/>
              <w:left w:val="single" w:color="000000" w:sz="8" w:space="0"/>
              <w:bottom w:val="single" w:color="000000" w:sz="4" w:space="0"/>
              <w:right w:val="single" w:color="000000" w:sz="4" w:space="0"/>
            </w:tcBorders>
          </w:tcPr>
          <w:p>
            <w:pPr>
              <w:pStyle w:val="61"/>
              <w:spacing w:before="165"/>
              <w:ind w:left="259"/>
              <w:rPr>
                <w:rFonts w:ascii="Arial"/>
                <w:color w:val="000000"/>
              </w:rPr>
            </w:pPr>
            <w:r>
              <w:rPr>
                <w:rFonts w:hint="eastAsia" w:ascii="Arial"/>
                <w:color w:val="000000"/>
              </w:rPr>
              <w:t>…</w:t>
            </w:r>
          </w:p>
        </w:tc>
        <w:tc>
          <w:tcPr>
            <w:tcW w:w="1332" w:type="dxa"/>
            <w:tcBorders>
              <w:top w:val="single" w:color="000000" w:sz="4" w:space="0"/>
              <w:left w:val="single" w:color="000000" w:sz="4" w:space="0"/>
              <w:bottom w:val="single" w:color="000000" w:sz="4" w:space="0"/>
              <w:right w:val="single" w:color="000000" w:sz="4" w:space="0"/>
            </w:tcBorders>
          </w:tcPr>
          <w:p>
            <w:pPr>
              <w:spacing w:before="165"/>
              <w:ind w:left="259"/>
              <w:rPr>
                <w:rFonts w:ascii="Arial"/>
                <w:color w:val="000000"/>
              </w:rPr>
            </w:pPr>
          </w:p>
        </w:tc>
        <w:tc>
          <w:tcPr>
            <w:tcW w:w="78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25" w:type="dxa"/>
            <w:tcBorders>
              <w:top w:val="single" w:color="000000" w:sz="4" w:space="0"/>
              <w:left w:val="single" w:color="000000" w:sz="4" w:space="0"/>
              <w:bottom w:val="single" w:color="000000" w:sz="4" w:space="0"/>
              <w:right w:val="single" w:color="000000" w:sz="4" w:space="0"/>
            </w:tcBorders>
          </w:tcPr>
          <w:p>
            <w:pPr>
              <w:rPr>
                <w:color w:val="000000"/>
              </w:rPr>
            </w:pPr>
          </w:p>
        </w:tc>
        <w:tc>
          <w:tcPr>
            <w:tcW w:w="1001" w:type="dxa"/>
            <w:tcBorders>
              <w:top w:val="single" w:color="000000" w:sz="4" w:space="0"/>
              <w:left w:val="single" w:color="000000" w:sz="4" w:space="0"/>
              <w:bottom w:val="single" w:color="000000" w:sz="4" w:space="0"/>
              <w:right w:val="single" w:color="000000" w:sz="4" w:space="0"/>
            </w:tcBorders>
          </w:tcPr>
          <w:p>
            <w:pPr>
              <w:rPr>
                <w:color w:val="000000"/>
              </w:rPr>
            </w:pPr>
          </w:p>
        </w:tc>
        <w:tc>
          <w:tcPr>
            <w:tcW w:w="1049" w:type="dxa"/>
            <w:tcBorders>
              <w:top w:val="single" w:color="000000" w:sz="4" w:space="0"/>
              <w:left w:val="single" w:color="000000" w:sz="4" w:space="0"/>
              <w:bottom w:val="single" w:color="000000" w:sz="4" w:space="0"/>
              <w:right w:val="single" w:color="000000" w:sz="4" w:space="0"/>
            </w:tcBorders>
          </w:tcPr>
          <w:p>
            <w:pPr>
              <w:rPr>
                <w:color w:val="000000"/>
              </w:rPr>
            </w:pPr>
          </w:p>
        </w:tc>
        <w:tc>
          <w:tcPr>
            <w:tcW w:w="1553" w:type="dxa"/>
            <w:tcBorders>
              <w:top w:val="single" w:color="000000" w:sz="4" w:space="0"/>
              <w:left w:val="single" w:color="000000" w:sz="4" w:space="0"/>
              <w:bottom w:val="single" w:color="000000" w:sz="4" w:space="0"/>
              <w:right w:val="single" w:color="000000" w:sz="4" w:space="0"/>
            </w:tcBorders>
          </w:tcPr>
          <w:p>
            <w:pPr>
              <w:rPr>
                <w:color w:val="000000"/>
              </w:rPr>
            </w:pPr>
          </w:p>
        </w:tc>
        <w:tc>
          <w:tcPr>
            <w:tcW w:w="1342" w:type="dxa"/>
            <w:tcBorders>
              <w:top w:val="single" w:color="000000" w:sz="4" w:space="0"/>
              <w:left w:val="single" w:color="000000" w:sz="4" w:space="0"/>
              <w:bottom w:val="single" w:color="000000" w:sz="4" w:space="0"/>
              <w:right w:val="single" w:color="000000" w:sz="4" w:space="0"/>
            </w:tcBorders>
          </w:tcPr>
          <w:p>
            <w:pPr>
              <w:rPr>
                <w:color w:val="000000"/>
              </w:rPr>
            </w:pPr>
          </w:p>
        </w:tc>
        <w:tc>
          <w:tcPr>
            <w:tcW w:w="862" w:type="dxa"/>
            <w:tcBorders>
              <w:top w:val="single" w:color="000000" w:sz="4" w:space="0"/>
              <w:left w:val="single" w:color="000000" w:sz="4" w:space="0"/>
              <w:bottom w:val="single" w:color="000000" w:sz="4" w:space="0"/>
              <w:right w:val="single" w:color="000000" w:sz="4" w:space="0"/>
            </w:tcBorders>
          </w:tcPr>
          <w:p>
            <w:pPr>
              <w:rPr>
                <w:color w:val="000000"/>
              </w:rPr>
            </w:pPr>
          </w:p>
        </w:tc>
        <w:tc>
          <w:tcPr>
            <w:tcW w:w="1109"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2" w:type="dxa"/>
            <w:tcBorders>
              <w:top w:val="single" w:color="000000" w:sz="4" w:space="0"/>
              <w:left w:val="single" w:color="000000" w:sz="4" w:space="0"/>
              <w:bottom w:val="single" w:color="000000" w:sz="4" w:space="0"/>
              <w:right w:val="single" w:color="000000" w:sz="4" w:space="0"/>
            </w:tcBorders>
          </w:tcPr>
          <w:p>
            <w:pPr>
              <w:rPr>
                <w:color w:val="000000"/>
              </w:rPr>
            </w:pPr>
          </w:p>
        </w:tc>
        <w:tc>
          <w:tcPr>
            <w:tcW w:w="108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89" w:type="dxa"/>
            <w:tcBorders>
              <w:top w:val="single" w:color="000000" w:sz="4" w:space="0"/>
              <w:left w:val="single" w:color="000000" w:sz="4" w:space="0"/>
              <w:bottom w:val="single" w:color="000000" w:sz="4" w:space="0"/>
              <w:right w:val="single" w:color="000000" w:sz="8" w:space="0"/>
            </w:tcBorders>
          </w:tcPr>
          <w:p>
            <w:pPr>
              <w:rPr>
                <w:color w:val="000000"/>
              </w:rPr>
            </w:pPr>
          </w:p>
        </w:tc>
      </w:tr>
      <w:tr>
        <w:tblPrEx>
          <w:tblLayout w:type="fixed"/>
          <w:tblCellMar>
            <w:top w:w="0" w:type="dxa"/>
            <w:left w:w="0" w:type="dxa"/>
            <w:bottom w:w="0" w:type="dxa"/>
            <w:right w:w="0" w:type="dxa"/>
          </w:tblCellMar>
        </w:tblPrEx>
        <w:trPr>
          <w:trHeight w:val="480" w:hRule="exact"/>
        </w:trPr>
        <w:tc>
          <w:tcPr>
            <w:tcW w:w="3790" w:type="dxa"/>
            <w:gridSpan w:val="4"/>
            <w:tcBorders>
              <w:top w:val="single" w:color="000000" w:sz="4" w:space="0"/>
              <w:left w:val="single" w:color="000000" w:sz="8" w:space="0"/>
              <w:bottom w:val="single" w:color="000000" w:sz="8" w:space="0"/>
              <w:right w:val="single" w:color="000000" w:sz="4" w:space="0"/>
            </w:tcBorders>
          </w:tcPr>
          <w:p>
            <w:pPr>
              <w:pStyle w:val="61"/>
              <w:tabs>
                <w:tab w:val="left" w:pos="482"/>
              </w:tabs>
              <w:spacing w:before="122"/>
              <w:ind w:left="7"/>
              <w:jc w:val="center"/>
              <w:rPr>
                <w:color w:val="000000"/>
              </w:rPr>
            </w:pPr>
            <w:r>
              <w:rPr>
                <w:color w:val="000000"/>
              </w:rPr>
              <w:t>合</w:t>
            </w:r>
            <w:r>
              <w:rPr>
                <w:color w:val="000000"/>
              </w:rPr>
              <w:tab/>
            </w:r>
            <w:r>
              <w:rPr>
                <w:color w:val="000000"/>
              </w:rPr>
              <w:t>计（元）</w:t>
            </w:r>
          </w:p>
        </w:tc>
        <w:tc>
          <w:tcPr>
            <w:tcW w:w="1001" w:type="dxa"/>
            <w:tcBorders>
              <w:top w:val="single" w:color="000000" w:sz="4" w:space="0"/>
              <w:left w:val="single" w:color="000000" w:sz="4" w:space="0"/>
              <w:bottom w:val="single" w:color="000000" w:sz="8" w:space="0"/>
              <w:right w:val="single" w:color="000000" w:sz="4" w:space="0"/>
            </w:tcBorders>
          </w:tcPr>
          <w:p>
            <w:pPr>
              <w:rPr>
                <w:color w:val="000000"/>
              </w:rPr>
            </w:pPr>
          </w:p>
        </w:tc>
        <w:tc>
          <w:tcPr>
            <w:tcW w:w="1049" w:type="dxa"/>
            <w:tcBorders>
              <w:top w:val="single" w:color="000000" w:sz="4" w:space="0"/>
              <w:left w:val="single" w:color="000000" w:sz="4" w:space="0"/>
              <w:bottom w:val="single" w:color="000000" w:sz="8" w:space="0"/>
              <w:right w:val="single" w:color="000000" w:sz="4" w:space="0"/>
            </w:tcBorders>
          </w:tcPr>
          <w:p>
            <w:pPr>
              <w:rPr>
                <w:color w:val="000000"/>
              </w:rPr>
            </w:pPr>
          </w:p>
        </w:tc>
        <w:tc>
          <w:tcPr>
            <w:tcW w:w="1553" w:type="dxa"/>
            <w:tcBorders>
              <w:top w:val="single" w:color="000000" w:sz="4" w:space="0"/>
              <w:left w:val="single" w:color="000000" w:sz="4" w:space="0"/>
              <w:bottom w:val="single" w:color="000000" w:sz="8" w:space="0"/>
              <w:right w:val="single" w:color="000000" w:sz="4" w:space="0"/>
            </w:tcBorders>
          </w:tcPr>
          <w:p>
            <w:pPr>
              <w:pStyle w:val="61"/>
              <w:tabs>
                <w:tab w:val="left" w:pos="482"/>
              </w:tabs>
              <w:spacing w:before="122"/>
              <w:ind w:left="7"/>
              <w:jc w:val="center"/>
              <w:rPr>
                <w:color w:val="000000"/>
              </w:rPr>
            </w:pPr>
          </w:p>
        </w:tc>
        <w:tc>
          <w:tcPr>
            <w:tcW w:w="3313" w:type="dxa"/>
            <w:gridSpan w:val="3"/>
            <w:tcBorders>
              <w:top w:val="single" w:color="000000" w:sz="4" w:space="0"/>
              <w:left w:val="single" w:color="000000" w:sz="4" w:space="0"/>
              <w:bottom w:val="single" w:color="000000" w:sz="8" w:space="0"/>
              <w:right w:val="single" w:color="000000" w:sz="4" w:space="0"/>
            </w:tcBorders>
          </w:tcPr>
          <w:p>
            <w:pPr>
              <w:pStyle w:val="61"/>
              <w:tabs>
                <w:tab w:val="left" w:pos="482"/>
              </w:tabs>
              <w:spacing w:before="122"/>
              <w:ind w:left="7"/>
              <w:jc w:val="center"/>
              <w:rPr>
                <w:color w:val="000000"/>
              </w:rPr>
            </w:pPr>
            <w:r>
              <w:rPr>
                <w:color w:val="000000"/>
              </w:rPr>
              <w:t>合</w:t>
            </w:r>
            <w:r>
              <w:rPr>
                <w:color w:val="000000"/>
              </w:rPr>
              <w:tab/>
            </w:r>
            <w:r>
              <w:rPr>
                <w:color w:val="000000"/>
              </w:rPr>
              <w:t>计（元）</w:t>
            </w:r>
          </w:p>
        </w:tc>
        <w:tc>
          <w:tcPr>
            <w:tcW w:w="1082" w:type="dxa"/>
            <w:tcBorders>
              <w:top w:val="single" w:color="000000" w:sz="4" w:space="0"/>
              <w:left w:val="single" w:color="000000" w:sz="4" w:space="0"/>
              <w:bottom w:val="single" w:color="000000" w:sz="8" w:space="0"/>
              <w:right w:val="single" w:color="000000" w:sz="4" w:space="0"/>
            </w:tcBorders>
          </w:tcPr>
          <w:p>
            <w:pPr>
              <w:pStyle w:val="61"/>
              <w:tabs>
                <w:tab w:val="left" w:pos="482"/>
              </w:tabs>
              <w:spacing w:before="122"/>
              <w:ind w:left="7"/>
              <w:jc w:val="center"/>
              <w:rPr>
                <w:color w:val="000000"/>
              </w:rPr>
            </w:pPr>
          </w:p>
        </w:tc>
        <w:tc>
          <w:tcPr>
            <w:tcW w:w="1080" w:type="dxa"/>
            <w:tcBorders>
              <w:top w:val="single" w:color="000000" w:sz="4" w:space="0"/>
              <w:left w:val="single" w:color="000000" w:sz="4" w:space="0"/>
              <w:bottom w:val="single" w:color="000000" w:sz="8" w:space="0"/>
              <w:right w:val="single" w:color="000000" w:sz="4" w:space="0"/>
            </w:tcBorders>
          </w:tcPr>
          <w:p>
            <w:pPr>
              <w:rPr>
                <w:color w:val="000000"/>
              </w:rPr>
            </w:pPr>
          </w:p>
        </w:tc>
        <w:tc>
          <w:tcPr>
            <w:tcW w:w="1389" w:type="dxa"/>
            <w:tcBorders>
              <w:top w:val="single" w:color="000000" w:sz="4" w:space="0"/>
              <w:left w:val="single" w:color="000000" w:sz="4" w:space="0"/>
              <w:bottom w:val="single" w:color="000000" w:sz="8" w:space="0"/>
              <w:right w:val="single" w:color="000000" w:sz="8" w:space="0"/>
            </w:tcBorders>
          </w:tcPr>
          <w:p>
            <w:pPr>
              <w:rPr>
                <w:color w:val="000000"/>
              </w:rPr>
            </w:pPr>
          </w:p>
        </w:tc>
      </w:tr>
    </w:tbl>
    <w:p>
      <w:pPr>
        <w:spacing w:before="4"/>
        <w:ind w:right="194"/>
        <w:jc w:val="center"/>
        <w:rPr>
          <w:szCs w:val="21"/>
        </w:rPr>
        <w:sectPr>
          <w:endnotePr>
            <w:numFmt w:val="decimal"/>
          </w:endnotePr>
          <w:pgSz w:w="16838" w:h="11906" w:orient="landscape"/>
          <w:pgMar w:top="1361" w:right="1304" w:bottom="1304" w:left="1304" w:header="907" w:footer="907" w:gutter="0"/>
          <w:cols w:space="720" w:num="1"/>
          <w:docGrid w:linePitch="312" w:charSpace="0"/>
        </w:sectPr>
      </w:pPr>
    </w:p>
    <w:p>
      <w:pPr>
        <w:spacing w:before="4"/>
        <w:ind w:right="194"/>
        <w:jc w:val="center"/>
        <w:rPr>
          <w:color w:val="000000"/>
          <w:sz w:val="32"/>
          <w:szCs w:val="32"/>
        </w:rPr>
      </w:pPr>
      <w:r>
        <w:rPr>
          <w:rFonts w:hint="eastAsia"/>
          <w:color w:val="000000"/>
          <w:sz w:val="32"/>
          <w:szCs w:val="32"/>
        </w:rPr>
        <w:t>表 7 监理服务费用支付估算表</w:t>
      </w:r>
    </w:p>
    <w:p>
      <w:pPr>
        <w:spacing w:before="1"/>
        <w:rPr>
          <w:color w:val="000000"/>
          <w:sz w:val="32"/>
          <w:szCs w:val="32"/>
        </w:rPr>
      </w:pPr>
    </w:p>
    <w:tbl>
      <w:tblPr>
        <w:tblStyle w:val="40"/>
        <w:tblW w:w="9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567"/>
        <w:gridCol w:w="567"/>
        <w:gridCol w:w="567"/>
        <w:gridCol w:w="567"/>
        <w:gridCol w:w="567"/>
        <w:gridCol w:w="567"/>
        <w:gridCol w:w="567"/>
        <w:gridCol w:w="567"/>
        <w:gridCol w:w="122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3" w:type="dxa"/>
            <w:vMerge w:val="restart"/>
            <w:tcBorders>
              <w:tl2br w:val="single" w:color="auto" w:sz="4" w:space="0"/>
            </w:tcBorders>
          </w:tcPr>
          <w:p>
            <w:pPr>
              <w:rPr>
                <w:color w:val="000000"/>
                <w:sz w:val="20"/>
                <w:szCs w:val="20"/>
              </w:rPr>
            </w:pPr>
            <w:r>
              <w:rPr>
                <w:rFonts w:hint="eastAsia"/>
                <w:color w:val="000000"/>
                <w:sz w:val="20"/>
                <w:szCs w:val="20"/>
              </w:rPr>
              <w:t xml:space="preserve">            </w:t>
            </w:r>
          </w:p>
          <w:p>
            <w:pPr>
              <w:ind w:firstLine="1100" w:firstLineChars="550"/>
              <w:rPr>
                <w:color w:val="000000"/>
                <w:sz w:val="20"/>
                <w:szCs w:val="20"/>
              </w:rPr>
            </w:pPr>
            <w:r>
              <w:rPr>
                <w:rFonts w:hint="eastAsia"/>
                <w:color w:val="000000"/>
                <w:sz w:val="20"/>
                <w:szCs w:val="20"/>
              </w:rPr>
              <w:t>时间</w:t>
            </w:r>
          </w:p>
          <w:p>
            <w:pPr>
              <w:rPr>
                <w:color w:val="000000"/>
                <w:sz w:val="20"/>
                <w:szCs w:val="20"/>
              </w:rPr>
            </w:pPr>
          </w:p>
          <w:p>
            <w:pPr>
              <w:rPr>
                <w:color w:val="000000"/>
                <w:sz w:val="20"/>
                <w:szCs w:val="20"/>
              </w:rPr>
            </w:pPr>
            <w:r>
              <w:rPr>
                <w:rFonts w:hint="eastAsia"/>
                <w:color w:val="000000"/>
                <w:sz w:val="20"/>
                <w:szCs w:val="20"/>
              </w:rPr>
              <w:t>项目</w:t>
            </w:r>
          </w:p>
        </w:tc>
        <w:tc>
          <w:tcPr>
            <w:tcW w:w="2268" w:type="dxa"/>
            <w:gridSpan w:val="4"/>
            <w:vAlign w:val="center"/>
          </w:tcPr>
          <w:p>
            <w:pPr>
              <w:jc w:val="center"/>
              <w:rPr>
                <w:color w:val="000000"/>
                <w:sz w:val="20"/>
                <w:szCs w:val="20"/>
              </w:rPr>
            </w:pPr>
            <w:r>
              <w:rPr>
                <w:rFonts w:hint="eastAsia"/>
                <w:color w:val="000000"/>
                <w:sz w:val="20"/>
                <w:szCs w:val="20"/>
                <w:u w:val="single"/>
              </w:rPr>
              <w:t>_____</w:t>
            </w:r>
            <w:r>
              <w:rPr>
                <w:rFonts w:hint="eastAsia"/>
                <w:color w:val="000000"/>
                <w:sz w:val="20"/>
                <w:szCs w:val="20"/>
              </w:rPr>
              <w:t>年</w:t>
            </w:r>
            <w:r>
              <w:rPr>
                <w:rFonts w:hint="eastAsia"/>
                <w:color w:val="000000"/>
                <w:sz w:val="20"/>
                <w:szCs w:val="20"/>
                <w:u w:val="single"/>
              </w:rPr>
              <w:t xml:space="preserve">      </w:t>
            </w:r>
            <w:r>
              <w:rPr>
                <w:rFonts w:hint="eastAsia"/>
                <w:color w:val="000000"/>
                <w:sz w:val="20"/>
                <w:szCs w:val="20"/>
              </w:rPr>
              <w:t>季度</w:t>
            </w:r>
          </w:p>
        </w:tc>
        <w:tc>
          <w:tcPr>
            <w:tcW w:w="2268" w:type="dxa"/>
            <w:gridSpan w:val="4"/>
            <w:vAlign w:val="center"/>
          </w:tcPr>
          <w:p>
            <w:pPr>
              <w:jc w:val="center"/>
              <w:rPr>
                <w:color w:val="000000"/>
                <w:sz w:val="20"/>
                <w:szCs w:val="20"/>
              </w:rPr>
            </w:pPr>
            <w:r>
              <w:rPr>
                <w:rFonts w:hint="eastAsia"/>
                <w:color w:val="000000"/>
                <w:sz w:val="20"/>
                <w:szCs w:val="20"/>
                <w:u w:val="single"/>
              </w:rPr>
              <w:t>_____</w:t>
            </w:r>
            <w:r>
              <w:rPr>
                <w:rFonts w:hint="eastAsia"/>
                <w:color w:val="000000"/>
                <w:sz w:val="20"/>
                <w:szCs w:val="20"/>
              </w:rPr>
              <w:t>年</w:t>
            </w:r>
            <w:r>
              <w:rPr>
                <w:rFonts w:hint="eastAsia"/>
                <w:color w:val="000000"/>
                <w:sz w:val="20"/>
                <w:szCs w:val="20"/>
                <w:u w:val="single"/>
              </w:rPr>
              <w:t xml:space="preserve">      </w:t>
            </w:r>
            <w:r>
              <w:rPr>
                <w:rFonts w:hint="eastAsia"/>
                <w:color w:val="000000"/>
                <w:sz w:val="20"/>
                <w:szCs w:val="20"/>
              </w:rPr>
              <w:t>季度</w:t>
            </w:r>
          </w:p>
        </w:tc>
        <w:tc>
          <w:tcPr>
            <w:tcW w:w="1229" w:type="dxa"/>
            <w:vMerge w:val="restart"/>
            <w:vAlign w:val="center"/>
          </w:tcPr>
          <w:p>
            <w:pPr>
              <w:jc w:val="center"/>
              <w:rPr>
                <w:color w:val="000000"/>
                <w:sz w:val="20"/>
                <w:szCs w:val="20"/>
              </w:rPr>
            </w:pPr>
            <w:r>
              <w:rPr>
                <w:rFonts w:hint="eastAsia"/>
                <w:color w:val="000000"/>
                <w:sz w:val="20"/>
                <w:szCs w:val="20"/>
              </w:rPr>
              <w:t>缺陷责任期</w:t>
            </w:r>
          </w:p>
        </w:tc>
        <w:tc>
          <w:tcPr>
            <w:tcW w:w="1417" w:type="dxa"/>
            <w:vMerge w:val="restart"/>
            <w:vAlign w:val="center"/>
          </w:tcPr>
          <w:p>
            <w:pPr>
              <w:jc w:val="center"/>
              <w:rPr>
                <w:color w:val="000000"/>
                <w:sz w:val="20"/>
                <w:szCs w:val="20"/>
              </w:rPr>
            </w:pPr>
            <w:r>
              <w:rPr>
                <w:rFonts w:hint="eastAsia"/>
                <w:color w:val="000000"/>
                <w:sz w:val="20"/>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3" w:type="dxa"/>
            <w:vMerge w:val="continue"/>
          </w:tcPr>
          <w:p>
            <w:pPr>
              <w:rPr>
                <w:color w:val="000000"/>
                <w:sz w:val="20"/>
                <w:szCs w:val="20"/>
              </w:rPr>
            </w:pPr>
          </w:p>
        </w:tc>
        <w:tc>
          <w:tcPr>
            <w:tcW w:w="567" w:type="dxa"/>
            <w:vAlign w:val="center"/>
          </w:tcPr>
          <w:p>
            <w:pPr>
              <w:jc w:val="center"/>
              <w:rPr>
                <w:color w:val="000000"/>
                <w:sz w:val="20"/>
                <w:szCs w:val="20"/>
              </w:rPr>
            </w:pPr>
            <w:r>
              <w:rPr>
                <w:rFonts w:hint="eastAsia"/>
                <w:color w:val="000000"/>
                <w:sz w:val="20"/>
                <w:szCs w:val="20"/>
              </w:rPr>
              <w:t>1</w:t>
            </w:r>
          </w:p>
        </w:tc>
        <w:tc>
          <w:tcPr>
            <w:tcW w:w="567" w:type="dxa"/>
            <w:vAlign w:val="center"/>
          </w:tcPr>
          <w:p>
            <w:pPr>
              <w:jc w:val="center"/>
              <w:rPr>
                <w:color w:val="000000"/>
                <w:sz w:val="20"/>
                <w:szCs w:val="20"/>
              </w:rPr>
            </w:pPr>
            <w:r>
              <w:rPr>
                <w:rFonts w:hint="eastAsia"/>
                <w:color w:val="000000"/>
                <w:sz w:val="20"/>
                <w:szCs w:val="20"/>
              </w:rPr>
              <w:t>2</w:t>
            </w:r>
          </w:p>
        </w:tc>
        <w:tc>
          <w:tcPr>
            <w:tcW w:w="567" w:type="dxa"/>
            <w:vAlign w:val="center"/>
          </w:tcPr>
          <w:p>
            <w:pPr>
              <w:jc w:val="center"/>
              <w:rPr>
                <w:color w:val="000000"/>
                <w:sz w:val="20"/>
                <w:szCs w:val="20"/>
              </w:rPr>
            </w:pPr>
            <w:r>
              <w:rPr>
                <w:rFonts w:hint="eastAsia"/>
                <w:color w:val="000000"/>
                <w:sz w:val="20"/>
                <w:szCs w:val="20"/>
              </w:rPr>
              <w:t>3</w:t>
            </w:r>
          </w:p>
        </w:tc>
        <w:tc>
          <w:tcPr>
            <w:tcW w:w="567" w:type="dxa"/>
            <w:vAlign w:val="center"/>
          </w:tcPr>
          <w:p>
            <w:pPr>
              <w:jc w:val="center"/>
              <w:rPr>
                <w:color w:val="000000"/>
                <w:sz w:val="20"/>
                <w:szCs w:val="20"/>
              </w:rPr>
            </w:pPr>
            <w:r>
              <w:rPr>
                <w:rFonts w:hint="eastAsia"/>
                <w:color w:val="000000"/>
                <w:sz w:val="20"/>
                <w:szCs w:val="20"/>
              </w:rPr>
              <w:t>4</w:t>
            </w:r>
          </w:p>
        </w:tc>
        <w:tc>
          <w:tcPr>
            <w:tcW w:w="567" w:type="dxa"/>
            <w:vAlign w:val="center"/>
          </w:tcPr>
          <w:p>
            <w:pPr>
              <w:jc w:val="center"/>
              <w:rPr>
                <w:color w:val="000000"/>
                <w:sz w:val="20"/>
                <w:szCs w:val="20"/>
              </w:rPr>
            </w:pPr>
            <w:r>
              <w:rPr>
                <w:rFonts w:hint="eastAsia"/>
                <w:color w:val="000000"/>
                <w:sz w:val="20"/>
                <w:szCs w:val="20"/>
              </w:rPr>
              <w:t>1</w:t>
            </w:r>
          </w:p>
        </w:tc>
        <w:tc>
          <w:tcPr>
            <w:tcW w:w="567" w:type="dxa"/>
            <w:vAlign w:val="center"/>
          </w:tcPr>
          <w:p>
            <w:pPr>
              <w:jc w:val="center"/>
              <w:rPr>
                <w:color w:val="000000"/>
                <w:sz w:val="20"/>
                <w:szCs w:val="20"/>
              </w:rPr>
            </w:pPr>
            <w:r>
              <w:rPr>
                <w:rFonts w:hint="eastAsia"/>
                <w:color w:val="000000"/>
                <w:sz w:val="20"/>
                <w:szCs w:val="20"/>
              </w:rPr>
              <w:t>2</w:t>
            </w:r>
          </w:p>
        </w:tc>
        <w:tc>
          <w:tcPr>
            <w:tcW w:w="567" w:type="dxa"/>
            <w:vAlign w:val="center"/>
          </w:tcPr>
          <w:p>
            <w:pPr>
              <w:jc w:val="center"/>
              <w:rPr>
                <w:color w:val="000000"/>
                <w:sz w:val="20"/>
                <w:szCs w:val="20"/>
              </w:rPr>
            </w:pPr>
            <w:r>
              <w:rPr>
                <w:rFonts w:hint="eastAsia"/>
                <w:color w:val="000000"/>
                <w:sz w:val="20"/>
                <w:szCs w:val="20"/>
              </w:rPr>
              <w:t>3</w:t>
            </w:r>
          </w:p>
        </w:tc>
        <w:tc>
          <w:tcPr>
            <w:tcW w:w="567" w:type="dxa"/>
            <w:vAlign w:val="center"/>
          </w:tcPr>
          <w:p>
            <w:pPr>
              <w:jc w:val="center"/>
              <w:rPr>
                <w:color w:val="000000"/>
                <w:sz w:val="20"/>
                <w:szCs w:val="20"/>
              </w:rPr>
            </w:pPr>
            <w:r>
              <w:rPr>
                <w:rFonts w:hint="eastAsia"/>
                <w:color w:val="000000"/>
                <w:sz w:val="20"/>
                <w:szCs w:val="20"/>
              </w:rPr>
              <w:t>4</w:t>
            </w:r>
          </w:p>
        </w:tc>
        <w:tc>
          <w:tcPr>
            <w:tcW w:w="1229" w:type="dxa"/>
            <w:vMerge w:val="continue"/>
            <w:vAlign w:val="center"/>
          </w:tcPr>
          <w:p>
            <w:pPr>
              <w:jc w:val="center"/>
              <w:rPr>
                <w:color w:val="000000"/>
                <w:sz w:val="20"/>
                <w:szCs w:val="20"/>
              </w:rPr>
            </w:pPr>
          </w:p>
        </w:tc>
        <w:tc>
          <w:tcPr>
            <w:tcW w:w="1417" w:type="dxa"/>
            <w:vMerge w:val="continue"/>
            <w:vAlign w:val="center"/>
          </w:tcPr>
          <w:p>
            <w:pPr>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3" w:type="dxa"/>
            <w:vAlign w:val="center"/>
          </w:tcPr>
          <w:p>
            <w:pPr>
              <w:jc w:val="center"/>
              <w:rPr>
                <w:color w:val="000000"/>
                <w:sz w:val="20"/>
                <w:szCs w:val="20"/>
              </w:rPr>
            </w:pPr>
            <w:r>
              <w:rPr>
                <w:rFonts w:hint="eastAsia"/>
                <w:color w:val="000000"/>
                <w:sz w:val="20"/>
                <w:szCs w:val="20"/>
              </w:rPr>
              <w:t>监理人员服务费</w:t>
            </w: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1229" w:type="dxa"/>
            <w:vAlign w:val="center"/>
          </w:tcPr>
          <w:p>
            <w:pPr>
              <w:jc w:val="center"/>
              <w:rPr>
                <w:color w:val="000000"/>
                <w:sz w:val="20"/>
                <w:szCs w:val="20"/>
              </w:rPr>
            </w:pPr>
          </w:p>
        </w:tc>
        <w:tc>
          <w:tcPr>
            <w:tcW w:w="1417" w:type="dxa"/>
            <w:vAlign w:val="center"/>
          </w:tcPr>
          <w:p>
            <w:pPr>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3" w:type="dxa"/>
            <w:vAlign w:val="center"/>
          </w:tcPr>
          <w:p>
            <w:pPr>
              <w:jc w:val="center"/>
              <w:rPr>
                <w:color w:val="000000"/>
                <w:sz w:val="20"/>
                <w:szCs w:val="20"/>
              </w:rPr>
            </w:pPr>
            <w:r>
              <w:rPr>
                <w:rFonts w:hint="eastAsia"/>
                <w:color w:val="000000"/>
                <w:sz w:val="20"/>
                <w:szCs w:val="20"/>
              </w:rPr>
              <w:t>监理办公设施费</w:t>
            </w: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1229" w:type="dxa"/>
            <w:vAlign w:val="center"/>
          </w:tcPr>
          <w:p>
            <w:pPr>
              <w:jc w:val="center"/>
              <w:rPr>
                <w:color w:val="000000"/>
                <w:sz w:val="20"/>
                <w:szCs w:val="20"/>
              </w:rPr>
            </w:pPr>
          </w:p>
        </w:tc>
        <w:tc>
          <w:tcPr>
            <w:tcW w:w="1417" w:type="dxa"/>
            <w:vAlign w:val="center"/>
          </w:tcPr>
          <w:p>
            <w:pPr>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3" w:type="dxa"/>
            <w:vAlign w:val="center"/>
          </w:tcPr>
          <w:p>
            <w:pPr>
              <w:jc w:val="center"/>
              <w:rPr>
                <w:color w:val="000000"/>
                <w:sz w:val="20"/>
                <w:szCs w:val="20"/>
              </w:rPr>
            </w:pPr>
            <w:r>
              <w:rPr>
                <w:rFonts w:hint="eastAsia"/>
                <w:color w:val="000000"/>
                <w:sz w:val="20"/>
                <w:szCs w:val="20"/>
              </w:rPr>
              <w:t>监理交通设施费</w:t>
            </w: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1229" w:type="dxa"/>
            <w:vAlign w:val="center"/>
          </w:tcPr>
          <w:p>
            <w:pPr>
              <w:jc w:val="center"/>
              <w:rPr>
                <w:color w:val="000000"/>
                <w:sz w:val="20"/>
                <w:szCs w:val="20"/>
              </w:rPr>
            </w:pPr>
          </w:p>
        </w:tc>
        <w:tc>
          <w:tcPr>
            <w:tcW w:w="1417" w:type="dxa"/>
            <w:vAlign w:val="center"/>
          </w:tcPr>
          <w:p>
            <w:pPr>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3" w:type="dxa"/>
            <w:vAlign w:val="center"/>
          </w:tcPr>
          <w:p>
            <w:pPr>
              <w:jc w:val="center"/>
              <w:rPr>
                <w:color w:val="000000"/>
                <w:sz w:val="20"/>
                <w:szCs w:val="20"/>
              </w:rPr>
            </w:pPr>
            <w:r>
              <w:rPr>
                <w:rFonts w:hint="eastAsia"/>
                <w:color w:val="000000"/>
                <w:sz w:val="20"/>
                <w:szCs w:val="20"/>
              </w:rPr>
              <w:t>监理试验设施费</w:t>
            </w: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1229" w:type="dxa"/>
            <w:vAlign w:val="center"/>
          </w:tcPr>
          <w:p>
            <w:pPr>
              <w:jc w:val="center"/>
              <w:rPr>
                <w:color w:val="000000"/>
                <w:sz w:val="20"/>
                <w:szCs w:val="20"/>
              </w:rPr>
            </w:pPr>
          </w:p>
        </w:tc>
        <w:tc>
          <w:tcPr>
            <w:tcW w:w="1417" w:type="dxa"/>
            <w:vAlign w:val="center"/>
          </w:tcPr>
          <w:p>
            <w:pPr>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3" w:type="dxa"/>
            <w:vAlign w:val="center"/>
          </w:tcPr>
          <w:p>
            <w:pPr>
              <w:jc w:val="center"/>
              <w:rPr>
                <w:color w:val="000000"/>
                <w:sz w:val="20"/>
                <w:szCs w:val="20"/>
              </w:rPr>
            </w:pPr>
            <w:r>
              <w:rPr>
                <w:rFonts w:hint="eastAsia"/>
                <w:color w:val="000000"/>
                <w:sz w:val="20"/>
                <w:szCs w:val="20"/>
              </w:rPr>
              <w:t>监理生活设施费</w:t>
            </w: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1229" w:type="dxa"/>
            <w:vAlign w:val="center"/>
          </w:tcPr>
          <w:p>
            <w:pPr>
              <w:jc w:val="center"/>
              <w:rPr>
                <w:color w:val="000000"/>
                <w:sz w:val="20"/>
                <w:szCs w:val="20"/>
              </w:rPr>
            </w:pPr>
          </w:p>
        </w:tc>
        <w:tc>
          <w:tcPr>
            <w:tcW w:w="1417" w:type="dxa"/>
            <w:vAlign w:val="center"/>
          </w:tcPr>
          <w:p>
            <w:pPr>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63" w:type="dxa"/>
            <w:vAlign w:val="center"/>
          </w:tcPr>
          <w:p>
            <w:pPr>
              <w:jc w:val="center"/>
              <w:rPr>
                <w:color w:val="000000"/>
                <w:sz w:val="20"/>
                <w:szCs w:val="20"/>
              </w:rPr>
            </w:pPr>
            <w:r>
              <w:rPr>
                <w:rFonts w:hint="eastAsia"/>
                <w:color w:val="000000"/>
                <w:sz w:val="20"/>
                <w:szCs w:val="20"/>
              </w:rPr>
              <w:t>合计</w:t>
            </w: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567" w:type="dxa"/>
            <w:vAlign w:val="center"/>
          </w:tcPr>
          <w:p>
            <w:pPr>
              <w:jc w:val="center"/>
              <w:rPr>
                <w:color w:val="000000"/>
                <w:sz w:val="20"/>
                <w:szCs w:val="20"/>
              </w:rPr>
            </w:pPr>
          </w:p>
        </w:tc>
        <w:tc>
          <w:tcPr>
            <w:tcW w:w="1229" w:type="dxa"/>
            <w:vAlign w:val="center"/>
          </w:tcPr>
          <w:p>
            <w:pPr>
              <w:jc w:val="center"/>
              <w:rPr>
                <w:color w:val="000000"/>
                <w:sz w:val="20"/>
                <w:szCs w:val="20"/>
              </w:rPr>
            </w:pPr>
          </w:p>
        </w:tc>
        <w:tc>
          <w:tcPr>
            <w:tcW w:w="1417" w:type="dxa"/>
            <w:vAlign w:val="center"/>
          </w:tcPr>
          <w:p>
            <w:pPr>
              <w:jc w:val="center"/>
              <w:rPr>
                <w:color w:val="000000"/>
                <w:sz w:val="20"/>
                <w:szCs w:val="20"/>
              </w:rPr>
            </w:pPr>
          </w:p>
        </w:tc>
      </w:tr>
    </w:tbl>
    <w:p>
      <w:pPr>
        <w:rPr>
          <w:color w:val="000000"/>
          <w:sz w:val="20"/>
          <w:szCs w:val="20"/>
        </w:rPr>
      </w:pPr>
    </w:p>
    <w:p>
      <w:pPr>
        <w:rPr>
          <w:color w:val="000000"/>
          <w:sz w:val="20"/>
          <w:szCs w:val="20"/>
        </w:rPr>
      </w:pPr>
    </w:p>
    <w:p>
      <w:pPr>
        <w:spacing w:before="36"/>
        <w:ind w:left="226" w:right="194"/>
        <w:rPr>
          <w:color w:val="000000"/>
        </w:rPr>
      </w:pPr>
      <w:r>
        <w:rPr>
          <w:rFonts w:hint="eastAsia"/>
          <w:color w:val="000000"/>
          <w:sz w:val="24"/>
        </w:rPr>
        <w:t>注</w:t>
      </w:r>
      <w:r>
        <w:rPr>
          <w:color w:val="000000"/>
        </w:rPr>
        <w:t>：</w:t>
      </w:r>
    </w:p>
    <w:p>
      <w:pPr>
        <w:spacing w:before="122"/>
        <w:ind w:left="250" w:right="194"/>
        <w:rPr>
          <w:color w:val="000000"/>
          <w:sz w:val="20"/>
          <w:szCs w:val="20"/>
        </w:rPr>
      </w:pPr>
      <w:r>
        <w:rPr>
          <w:rFonts w:ascii="Arial" w:hAnsi="Arial" w:eastAsia="Arial" w:cs="Arial"/>
          <w:color w:val="000000"/>
          <w:sz w:val="19"/>
          <w:szCs w:val="19"/>
        </w:rPr>
        <w:t xml:space="preserve">1.  </w:t>
      </w:r>
      <w:r>
        <w:rPr>
          <w:color w:val="000000"/>
          <w:sz w:val="20"/>
          <w:szCs w:val="20"/>
        </w:rPr>
        <w:t>本表应按附件</w:t>
      </w:r>
      <w:r>
        <w:rPr>
          <w:rFonts w:hint="eastAsia"/>
          <w:color w:val="000000"/>
        </w:rPr>
        <w:t>1</w:t>
      </w:r>
      <w:r>
        <w:rPr>
          <w:color w:val="000000"/>
          <w:sz w:val="20"/>
          <w:szCs w:val="20"/>
        </w:rPr>
        <w:t>和附件</w:t>
      </w:r>
      <w:r>
        <w:rPr>
          <w:rFonts w:hint="eastAsia"/>
          <w:color w:val="000000"/>
        </w:rPr>
        <w:t>2</w:t>
      </w:r>
      <w:r>
        <w:rPr>
          <w:color w:val="000000"/>
          <w:sz w:val="20"/>
          <w:szCs w:val="20"/>
        </w:rPr>
        <w:t>监理人员和监理设施进场时间及数量安排计算相应的费用。</w:t>
      </w:r>
    </w:p>
    <w:p>
      <w:pPr>
        <w:spacing w:before="122"/>
        <w:ind w:left="226" w:right="194" w:firstLine="1"/>
        <w:rPr>
          <w:color w:val="000000"/>
          <w:sz w:val="20"/>
          <w:szCs w:val="20"/>
        </w:rPr>
      </w:pPr>
      <w:r>
        <w:rPr>
          <w:rFonts w:eastAsia="Times New Roman"/>
          <w:color w:val="000000"/>
          <w:sz w:val="20"/>
          <w:szCs w:val="20"/>
        </w:rPr>
        <w:t xml:space="preserve">2.  </w:t>
      </w:r>
      <w:r>
        <w:rPr>
          <w:color w:val="000000"/>
          <w:sz w:val="20"/>
          <w:szCs w:val="20"/>
        </w:rPr>
        <w:t>本表各项合计费用应与监理服务费用报价汇总表相一致。</w:t>
      </w:r>
    </w:p>
    <w:p>
      <w:pPr>
        <w:spacing w:before="121"/>
        <w:ind w:left="231" w:right="194"/>
        <w:rPr>
          <w:color w:val="000000"/>
          <w:sz w:val="20"/>
          <w:szCs w:val="20"/>
        </w:rPr>
      </w:pPr>
      <w:r>
        <w:rPr>
          <w:rFonts w:eastAsia="Times New Roman"/>
          <w:color w:val="000000"/>
          <w:sz w:val="20"/>
          <w:szCs w:val="20"/>
        </w:rPr>
        <w:t xml:space="preserve">3.  </w:t>
      </w:r>
      <w:r>
        <w:rPr>
          <w:color w:val="000000"/>
          <w:sz w:val="20"/>
          <w:szCs w:val="20"/>
        </w:rPr>
        <w:t>本表将作为监理合同履行过程中委托人支付监理费用的参考依据。</w:t>
      </w:r>
    </w:p>
    <w:p>
      <w:pPr>
        <w:spacing w:before="1"/>
        <w:jc w:val="center"/>
        <w:rPr>
          <w:color w:val="000000"/>
          <w:sz w:val="30"/>
          <w:szCs w:val="30"/>
        </w:rPr>
      </w:pPr>
      <w:r>
        <w:rPr>
          <w:szCs w:val="21"/>
        </w:rPr>
        <w:br w:type="page"/>
      </w:r>
      <w:r>
        <w:rPr>
          <w:color w:val="000000"/>
          <w:sz w:val="30"/>
          <w:szCs w:val="30"/>
        </w:rPr>
        <w:t>附件</w:t>
      </w:r>
      <w:r>
        <w:rPr>
          <w:rFonts w:eastAsia="Times New Roman"/>
          <w:color w:val="000000"/>
          <w:sz w:val="30"/>
          <w:szCs w:val="30"/>
        </w:rPr>
        <w:t>1</w:t>
      </w:r>
      <w:r>
        <w:rPr>
          <w:rFonts w:eastAsia="Times New Roman"/>
          <w:color w:val="000000"/>
          <w:sz w:val="30"/>
          <w:szCs w:val="30"/>
        </w:rPr>
        <w:tab/>
      </w:r>
      <w:r>
        <w:rPr>
          <w:color w:val="000000"/>
          <w:sz w:val="30"/>
          <w:szCs w:val="30"/>
        </w:rPr>
        <w:t>监理人员工作计划安排表</w:t>
      </w:r>
    </w:p>
    <w:p>
      <w:pPr>
        <w:spacing w:before="1"/>
        <w:jc w:val="center"/>
        <w:rPr>
          <w:color w:val="000000"/>
          <w:sz w:val="19"/>
          <w:szCs w:val="19"/>
        </w:rPr>
      </w:pPr>
    </w:p>
    <w:tbl>
      <w:tblPr>
        <w:tblStyle w:val="40"/>
        <w:tblW w:w="8978"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32"/>
        <w:gridCol w:w="630"/>
        <w:gridCol w:w="397"/>
        <w:gridCol w:w="397"/>
        <w:gridCol w:w="397"/>
        <w:gridCol w:w="397"/>
        <w:gridCol w:w="397"/>
        <w:gridCol w:w="397"/>
        <w:gridCol w:w="397"/>
        <w:gridCol w:w="397"/>
        <w:gridCol w:w="397"/>
        <w:gridCol w:w="397"/>
        <w:gridCol w:w="397"/>
        <w:gridCol w:w="397"/>
        <w:gridCol w:w="397"/>
        <w:gridCol w:w="544"/>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67" w:type="dxa"/>
            <w:vMerge w:val="restart"/>
            <w:vAlign w:val="center"/>
          </w:tcPr>
          <w:p>
            <w:pPr>
              <w:spacing w:before="1"/>
              <w:jc w:val="center"/>
              <w:rPr>
                <w:color w:val="000000"/>
                <w:sz w:val="19"/>
                <w:szCs w:val="19"/>
              </w:rPr>
            </w:pPr>
            <w:r>
              <w:rPr>
                <w:rFonts w:hint="eastAsia"/>
                <w:color w:val="000000"/>
                <w:sz w:val="19"/>
                <w:szCs w:val="19"/>
              </w:rPr>
              <w:t>序号</w:t>
            </w:r>
          </w:p>
        </w:tc>
        <w:tc>
          <w:tcPr>
            <w:tcW w:w="1532" w:type="dxa"/>
            <w:vMerge w:val="restart"/>
            <w:vAlign w:val="center"/>
          </w:tcPr>
          <w:p>
            <w:pPr>
              <w:spacing w:before="1"/>
              <w:jc w:val="center"/>
              <w:rPr>
                <w:color w:val="000000"/>
                <w:sz w:val="19"/>
                <w:szCs w:val="19"/>
              </w:rPr>
            </w:pPr>
            <w:r>
              <w:rPr>
                <w:rFonts w:hint="eastAsia"/>
                <w:color w:val="000000"/>
                <w:sz w:val="19"/>
                <w:szCs w:val="19"/>
              </w:rPr>
              <w:t>人员</w:t>
            </w:r>
          </w:p>
        </w:tc>
        <w:tc>
          <w:tcPr>
            <w:tcW w:w="630" w:type="dxa"/>
            <w:vMerge w:val="restart"/>
            <w:vAlign w:val="center"/>
          </w:tcPr>
          <w:p>
            <w:pPr>
              <w:spacing w:before="1"/>
              <w:jc w:val="center"/>
              <w:rPr>
                <w:color w:val="000000"/>
                <w:sz w:val="19"/>
                <w:szCs w:val="19"/>
              </w:rPr>
            </w:pPr>
            <w:r>
              <w:rPr>
                <w:rFonts w:hint="eastAsia"/>
                <w:color w:val="000000"/>
                <w:sz w:val="19"/>
                <w:szCs w:val="19"/>
              </w:rPr>
              <w:t>驻场时间(月)</w:t>
            </w:r>
          </w:p>
        </w:tc>
        <w:tc>
          <w:tcPr>
            <w:tcW w:w="5161" w:type="dxa"/>
            <w:gridSpan w:val="13"/>
            <w:vAlign w:val="center"/>
          </w:tcPr>
          <w:p>
            <w:pPr>
              <w:spacing w:before="1"/>
              <w:jc w:val="center"/>
              <w:rPr>
                <w:color w:val="000000"/>
                <w:sz w:val="19"/>
                <w:szCs w:val="19"/>
              </w:rPr>
            </w:pPr>
            <w:r>
              <w:rPr>
                <w:rFonts w:hint="eastAsia"/>
                <w:color w:val="000000"/>
                <w:sz w:val="19"/>
                <w:szCs w:val="19"/>
              </w:rPr>
              <w:t>监理人员投入安排（共   个月）</w:t>
            </w:r>
          </w:p>
        </w:tc>
        <w:tc>
          <w:tcPr>
            <w:tcW w:w="544" w:type="dxa"/>
            <w:vMerge w:val="restart"/>
            <w:vAlign w:val="center"/>
          </w:tcPr>
          <w:p>
            <w:pPr>
              <w:spacing w:before="1"/>
              <w:jc w:val="center"/>
              <w:rPr>
                <w:color w:val="000000"/>
                <w:sz w:val="19"/>
                <w:szCs w:val="19"/>
              </w:rPr>
            </w:pPr>
            <w:r>
              <w:rPr>
                <w:rFonts w:hint="eastAsia"/>
                <w:color w:val="000000"/>
                <w:sz w:val="19"/>
                <w:szCs w:val="19"/>
              </w:rPr>
              <w:t>合计</w:t>
            </w:r>
          </w:p>
        </w:tc>
        <w:tc>
          <w:tcPr>
            <w:tcW w:w="544" w:type="dxa"/>
            <w:vMerge w:val="restart"/>
            <w:vAlign w:val="center"/>
          </w:tcPr>
          <w:p>
            <w:pPr>
              <w:spacing w:before="1"/>
              <w:jc w:val="center"/>
              <w:rPr>
                <w:color w:val="000000"/>
                <w:sz w:val="19"/>
                <w:szCs w:val="19"/>
              </w:rPr>
            </w:pPr>
            <w:r>
              <w:rPr>
                <w:rFonts w:hint="eastAsia"/>
                <w:color w:val="000000"/>
                <w:sz w:val="19"/>
                <w:szCs w:val="19"/>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67" w:type="dxa"/>
            <w:vMerge w:val="continue"/>
            <w:vAlign w:val="center"/>
          </w:tcPr>
          <w:p>
            <w:pPr>
              <w:spacing w:before="1"/>
              <w:jc w:val="center"/>
              <w:rPr>
                <w:color w:val="000000"/>
                <w:sz w:val="19"/>
                <w:szCs w:val="19"/>
              </w:rPr>
            </w:pPr>
          </w:p>
        </w:tc>
        <w:tc>
          <w:tcPr>
            <w:tcW w:w="1532" w:type="dxa"/>
            <w:vMerge w:val="continue"/>
            <w:vAlign w:val="center"/>
          </w:tcPr>
          <w:p>
            <w:pPr>
              <w:spacing w:before="1"/>
              <w:jc w:val="center"/>
              <w:rPr>
                <w:color w:val="000000"/>
                <w:sz w:val="19"/>
                <w:szCs w:val="19"/>
              </w:rPr>
            </w:pPr>
          </w:p>
        </w:tc>
        <w:tc>
          <w:tcPr>
            <w:tcW w:w="630" w:type="dxa"/>
            <w:vMerge w:val="continue"/>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r>
              <w:rPr>
                <w:rFonts w:hint="eastAsia"/>
                <w:color w:val="000000"/>
                <w:sz w:val="19"/>
                <w:szCs w:val="19"/>
              </w:rPr>
              <w:t>1</w:t>
            </w:r>
          </w:p>
        </w:tc>
        <w:tc>
          <w:tcPr>
            <w:tcW w:w="397" w:type="dxa"/>
            <w:vAlign w:val="center"/>
          </w:tcPr>
          <w:p>
            <w:pPr>
              <w:spacing w:before="1"/>
              <w:jc w:val="center"/>
              <w:rPr>
                <w:color w:val="000000"/>
                <w:sz w:val="19"/>
                <w:szCs w:val="19"/>
              </w:rPr>
            </w:pPr>
            <w:r>
              <w:rPr>
                <w:rFonts w:hint="eastAsia"/>
                <w:color w:val="000000"/>
                <w:sz w:val="19"/>
                <w:szCs w:val="19"/>
              </w:rPr>
              <w:t>2</w:t>
            </w:r>
          </w:p>
        </w:tc>
        <w:tc>
          <w:tcPr>
            <w:tcW w:w="397" w:type="dxa"/>
            <w:vAlign w:val="center"/>
          </w:tcPr>
          <w:p>
            <w:pPr>
              <w:spacing w:before="1"/>
              <w:jc w:val="center"/>
              <w:rPr>
                <w:color w:val="000000"/>
                <w:sz w:val="19"/>
                <w:szCs w:val="19"/>
              </w:rPr>
            </w:pPr>
            <w:r>
              <w:rPr>
                <w:rFonts w:hint="eastAsia"/>
                <w:color w:val="000000"/>
                <w:sz w:val="19"/>
                <w:szCs w:val="19"/>
              </w:rPr>
              <w:t>3</w:t>
            </w:r>
          </w:p>
        </w:tc>
        <w:tc>
          <w:tcPr>
            <w:tcW w:w="397" w:type="dxa"/>
            <w:vAlign w:val="center"/>
          </w:tcPr>
          <w:p>
            <w:pPr>
              <w:spacing w:before="1"/>
              <w:jc w:val="center"/>
              <w:rPr>
                <w:color w:val="000000"/>
                <w:sz w:val="19"/>
                <w:szCs w:val="19"/>
              </w:rPr>
            </w:pPr>
            <w:r>
              <w:rPr>
                <w:rFonts w:hint="eastAsia"/>
                <w:color w:val="000000"/>
                <w:sz w:val="19"/>
                <w:szCs w:val="19"/>
              </w:rPr>
              <w:t>4</w:t>
            </w:r>
          </w:p>
        </w:tc>
        <w:tc>
          <w:tcPr>
            <w:tcW w:w="397" w:type="dxa"/>
            <w:vAlign w:val="center"/>
          </w:tcPr>
          <w:p>
            <w:pPr>
              <w:spacing w:before="1"/>
              <w:jc w:val="center"/>
              <w:rPr>
                <w:color w:val="000000"/>
                <w:sz w:val="19"/>
                <w:szCs w:val="19"/>
              </w:rPr>
            </w:pPr>
            <w:r>
              <w:rPr>
                <w:rFonts w:hint="eastAsia"/>
                <w:color w:val="000000"/>
                <w:sz w:val="19"/>
                <w:szCs w:val="19"/>
              </w:rPr>
              <w:t>5</w:t>
            </w:r>
          </w:p>
        </w:tc>
        <w:tc>
          <w:tcPr>
            <w:tcW w:w="397" w:type="dxa"/>
            <w:vAlign w:val="center"/>
          </w:tcPr>
          <w:p>
            <w:pPr>
              <w:spacing w:before="1"/>
              <w:jc w:val="center"/>
              <w:rPr>
                <w:color w:val="000000"/>
                <w:sz w:val="19"/>
                <w:szCs w:val="19"/>
              </w:rPr>
            </w:pPr>
            <w:r>
              <w:rPr>
                <w:rFonts w:hint="eastAsia"/>
                <w:color w:val="000000"/>
                <w:sz w:val="19"/>
                <w:szCs w:val="19"/>
              </w:rPr>
              <w:t>6</w:t>
            </w:r>
          </w:p>
        </w:tc>
        <w:tc>
          <w:tcPr>
            <w:tcW w:w="397" w:type="dxa"/>
            <w:vAlign w:val="center"/>
          </w:tcPr>
          <w:p>
            <w:pPr>
              <w:spacing w:before="1"/>
              <w:jc w:val="center"/>
              <w:rPr>
                <w:color w:val="000000"/>
                <w:sz w:val="19"/>
                <w:szCs w:val="19"/>
              </w:rPr>
            </w:pPr>
            <w:r>
              <w:rPr>
                <w:rFonts w:hint="eastAsia"/>
                <w:color w:val="000000"/>
                <w:sz w:val="19"/>
                <w:szCs w:val="19"/>
              </w:rPr>
              <w:t>7</w:t>
            </w:r>
          </w:p>
        </w:tc>
        <w:tc>
          <w:tcPr>
            <w:tcW w:w="397" w:type="dxa"/>
            <w:vAlign w:val="center"/>
          </w:tcPr>
          <w:p>
            <w:pPr>
              <w:spacing w:before="1"/>
              <w:jc w:val="center"/>
              <w:rPr>
                <w:color w:val="000000"/>
                <w:sz w:val="19"/>
                <w:szCs w:val="19"/>
              </w:rPr>
            </w:pPr>
            <w:r>
              <w:rPr>
                <w:rFonts w:hint="eastAsia"/>
                <w:color w:val="000000"/>
                <w:sz w:val="19"/>
                <w:szCs w:val="19"/>
              </w:rPr>
              <w:t>8</w:t>
            </w:r>
          </w:p>
        </w:tc>
        <w:tc>
          <w:tcPr>
            <w:tcW w:w="397" w:type="dxa"/>
            <w:vAlign w:val="center"/>
          </w:tcPr>
          <w:p>
            <w:pPr>
              <w:spacing w:before="1"/>
              <w:jc w:val="center"/>
              <w:rPr>
                <w:color w:val="000000"/>
                <w:sz w:val="19"/>
                <w:szCs w:val="19"/>
              </w:rPr>
            </w:pPr>
            <w:r>
              <w:rPr>
                <w:rFonts w:hint="eastAsia"/>
                <w:color w:val="000000"/>
                <w:sz w:val="19"/>
                <w:szCs w:val="19"/>
              </w:rPr>
              <w:t>9</w:t>
            </w:r>
          </w:p>
        </w:tc>
        <w:tc>
          <w:tcPr>
            <w:tcW w:w="397" w:type="dxa"/>
            <w:vAlign w:val="center"/>
          </w:tcPr>
          <w:p>
            <w:pPr>
              <w:spacing w:before="1"/>
              <w:jc w:val="center"/>
              <w:rPr>
                <w:color w:val="000000"/>
                <w:sz w:val="18"/>
                <w:szCs w:val="19"/>
              </w:rPr>
            </w:pPr>
            <w:r>
              <w:rPr>
                <w:rFonts w:hint="eastAsia"/>
                <w:color w:val="000000"/>
                <w:sz w:val="18"/>
                <w:szCs w:val="19"/>
              </w:rPr>
              <w:t>10</w:t>
            </w:r>
          </w:p>
        </w:tc>
        <w:tc>
          <w:tcPr>
            <w:tcW w:w="397" w:type="dxa"/>
            <w:vAlign w:val="center"/>
          </w:tcPr>
          <w:p>
            <w:pPr>
              <w:spacing w:before="1"/>
              <w:jc w:val="center"/>
              <w:rPr>
                <w:color w:val="000000"/>
                <w:sz w:val="18"/>
                <w:szCs w:val="19"/>
              </w:rPr>
            </w:pPr>
            <w:r>
              <w:rPr>
                <w:rFonts w:hint="eastAsia"/>
                <w:color w:val="000000"/>
                <w:sz w:val="18"/>
                <w:szCs w:val="19"/>
              </w:rPr>
              <w:t>11</w:t>
            </w:r>
          </w:p>
        </w:tc>
        <w:tc>
          <w:tcPr>
            <w:tcW w:w="397" w:type="dxa"/>
            <w:vAlign w:val="center"/>
          </w:tcPr>
          <w:p>
            <w:pPr>
              <w:spacing w:before="1"/>
              <w:jc w:val="center"/>
              <w:rPr>
                <w:color w:val="000000"/>
                <w:sz w:val="18"/>
                <w:szCs w:val="19"/>
              </w:rPr>
            </w:pPr>
            <w:r>
              <w:rPr>
                <w:rFonts w:hint="eastAsia"/>
                <w:color w:val="000000"/>
                <w:sz w:val="18"/>
                <w:szCs w:val="19"/>
              </w:rPr>
              <w:t>12</w:t>
            </w:r>
          </w:p>
        </w:tc>
        <w:tc>
          <w:tcPr>
            <w:tcW w:w="397" w:type="dxa"/>
            <w:vAlign w:val="center"/>
          </w:tcPr>
          <w:p>
            <w:pPr>
              <w:spacing w:before="1"/>
              <w:jc w:val="center"/>
              <w:rPr>
                <w:color w:val="000000"/>
                <w:sz w:val="19"/>
                <w:szCs w:val="19"/>
              </w:rPr>
            </w:pPr>
            <w:r>
              <w:rPr>
                <w:color w:val="000000"/>
                <w:sz w:val="19"/>
                <w:szCs w:val="19"/>
              </w:rPr>
              <w:t>…</w:t>
            </w:r>
          </w:p>
        </w:tc>
        <w:tc>
          <w:tcPr>
            <w:tcW w:w="544" w:type="dxa"/>
            <w:vMerge w:val="continue"/>
            <w:vAlign w:val="center"/>
          </w:tcPr>
          <w:p>
            <w:pPr>
              <w:spacing w:before="1"/>
              <w:jc w:val="center"/>
              <w:rPr>
                <w:color w:val="000000"/>
                <w:sz w:val="19"/>
                <w:szCs w:val="19"/>
              </w:rPr>
            </w:pPr>
          </w:p>
        </w:tc>
        <w:tc>
          <w:tcPr>
            <w:tcW w:w="544" w:type="dxa"/>
            <w:vMerge w:val="continue"/>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1</w:t>
            </w:r>
          </w:p>
        </w:tc>
        <w:tc>
          <w:tcPr>
            <w:tcW w:w="1532" w:type="dxa"/>
            <w:vAlign w:val="center"/>
          </w:tcPr>
          <w:p>
            <w:pPr>
              <w:spacing w:before="1"/>
              <w:jc w:val="center"/>
              <w:rPr>
                <w:color w:val="000000"/>
                <w:sz w:val="19"/>
                <w:szCs w:val="19"/>
              </w:rPr>
            </w:pPr>
            <w:r>
              <w:rPr>
                <w:rFonts w:hint="eastAsia"/>
                <w:color w:val="000000"/>
                <w:sz w:val="19"/>
                <w:szCs w:val="19"/>
              </w:rPr>
              <w:t>总监理工程师</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2</w:t>
            </w:r>
          </w:p>
        </w:tc>
        <w:tc>
          <w:tcPr>
            <w:tcW w:w="1532" w:type="dxa"/>
            <w:vAlign w:val="center"/>
          </w:tcPr>
          <w:p>
            <w:pPr>
              <w:spacing w:before="1"/>
              <w:jc w:val="center"/>
              <w:rPr>
                <w:color w:val="000000"/>
                <w:sz w:val="19"/>
                <w:szCs w:val="19"/>
              </w:rPr>
            </w:pPr>
            <w:r>
              <w:rPr>
                <w:rFonts w:hint="eastAsia"/>
                <w:color w:val="000000"/>
                <w:sz w:val="19"/>
                <w:szCs w:val="19"/>
              </w:rPr>
              <w:t>**专业监理工程师</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3</w:t>
            </w:r>
          </w:p>
        </w:tc>
        <w:tc>
          <w:tcPr>
            <w:tcW w:w="1532" w:type="dxa"/>
            <w:vAlign w:val="center"/>
          </w:tcPr>
          <w:p>
            <w:pPr>
              <w:jc w:val="center"/>
              <w:rPr>
                <w:color w:val="000000"/>
              </w:rPr>
            </w:pPr>
            <w:r>
              <w:rPr>
                <w:rFonts w:hint="eastAsia"/>
                <w:color w:val="000000"/>
                <w:sz w:val="19"/>
                <w:szCs w:val="19"/>
              </w:rPr>
              <w:t>**专业监理工程师</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4</w:t>
            </w:r>
          </w:p>
        </w:tc>
        <w:tc>
          <w:tcPr>
            <w:tcW w:w="1532" w:type="dxa"/>
            <w:vAlign w:val="center"/>
          </w:tcPr>
          <w:p>
            <w:pPr>
              <w:jc w:val="center"/>
              <w:rPr>
                <w:color w:val="000000"/>
              </w:rPr>
            </w:pPr>
            <w:r>
              <w:rPr>
                <w:rFonts w:hint="eastAsia"/>
                <w:color w:val="000000"/>
                <w:sz w:val="19"/>
                <w:szCs w:val="19"/>
              </w:rPr>
              <w:t>**专业监理工程师</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5</w:t>
            </w:r>
          </w:p>
        </w:tc>
        <w:tc>
          <w:tcPr>
            <w:tcW w:w="1532" w:type="dxa"/>
            <w:vAlign w:val="center"/>
          </w:tcPr>
          <w:p>
            <w:pPr>
              <w:jc w:val="center"/>
              <w:rPr>
                <w:color w:val="000000"/>
              </w:rPr>
            </w:pPr>
            <w:r>
              <w:rPr>
                <w:rFonts w:hint="eastAsia"/>
                <w:color w:val="000000"/>
                <w:sz w:val="19"/>
                <w:szCs w:val="19"/>
              </w:rPr>
              <w:t>**专业监理工程师</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6</w:t>
            </w:r>
          </w:p>
        </w:tc>
        <w:tc>
          <w:tcPr>
            <w:tcW w:w="1532" w:type="dxa"/>
            <w:vAlign w:val="center"/>
          </w:tcPr>
          <w:p>
            <w:pPr>
              <w:jc w:val="center"/>
              <w:rPr>
                <w:color w:val="000000"/>
              </w:rPr>
            </w:pPr>
            <w:r>
              <w:rPr>
                <w:rFonts w:hint="eastAsia"/>
                <w:color w:val="000000"/>
                <w:sz w:val="19"/>
                <w:szCs w:val="19"/>
              </w:rPr>
              <w:t>**专业监理工程师</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7</w:t>
            </w:r>
          </w:p>
        </w:tc>
        <w:tc>
          <w:tcPr>
            <w:tcW w:w="1532" w:type="dxa"/>
            <w:vAlign w:val="center"/>
          </w:tcPr>
          <w:p>
            <w:pPr>
              <w:jc w:val="center"/>
              <w:rPr>
                <w:color w:val="000000"/>
              </w:rPr>
            </w:pPr>
            <w:r>
              <w:rPr>
                <w:rFonts w:hint="eastAsia"/>
                <w:color w:val="000000"/>
                <w:sz w:val="19"/>
                <w:szCs w:val="19"/>
              </w:rPr>
              <w:t>**专业监理工程师</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8</w:t>
            </w:r>
          </w:p>
        </w:tc>
        <w:tc>
          <w:tcPr>
            <w:tcW w:w="1532" w:type="dxa"/>
            <w:vAlign w:val="center"/>
          </w:tcPr>
          <w:p>
            <w:pPr>
              <w:jc w:val="center"/>
              <w:rPr>
                <w:color w:val="000000"/>
              </w:rPr>
            </w:pPr>
            <w:r>
              <w:rPr>
                <w:rFonts w:hint="eastAsia"/>
                <w:color w:val="000000"/>
                <w:sz w:val="19"/>
                <w:szCs w:val="19"/>
              </w:rPr>
              <w:t>**专业监理工程师</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9</w:t>
            </w:r>
          </w:p>
        </w:tc>
        <w:tc>
          <w:tcPr>
            <w:tcW w:w="1532" w:type="dxa"/>
            <w:vAlign w:val="center"/>
          </w:tcPr>
          <w:p>
            <w:pPr>
              <w:jc w:val="center"/>
              <w:rPr>
                <w:color w:val="000000"/>
              </w:rPr>
            </w:pPr>
            <w:r>
              <w:rPr>
                <w:rFonts w:hint="eastAsia"/>
                <w:color w:val="000000"/>
                <w:sz w:val="19"/>
                <w:szCs w:val="19"/>
              </w:rPr>
              <w:t>**专业监理工程师</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10</w:t>
            </w:r>
          </w:p>
        </w:tc>
        <w:tc>
          <w:tcPr>
            <w:tcW w:w="1532" w:type="dxa"/>
            <w:vAlign w:val="center"/>
          </w:tcPr>
          <w:p>
            <w:pPr>
              <w:spacing w:before="1"/>
              <w:jc w:val="center"/>
              <w:rPr>
                <w:color w:val="000000"/>
                <w:sz w:val="19"/>
                <w:szCs w:val="19"/>
              </w:rPr>
            </w:pPr>
            <w:r>
              <w:rPr>
                <w:rFonts w:hint="eastAsia"/>
                <w:color w:val="000000"/>
                <w:sz w:val="19"/>
                <w:szCs w:val="19"/>
              </w:rPr>
              <w:t>……</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11</w:t>
            </w:r>
          </w:p>
        </w:tc>
        <w:tc>
          <w:tcPr>
            <w:tcW w:w="1532" w:type="dxa"/>
            <w:vAlign w:val="center"/>
          </w:tcPr>
          <w:p>
            <w:pPr>
              <w:spacing w:before="1"/>
              <w:jc w:val="center"/>
              <w:rPr>
                <w:color w:val="000000"/>
                <w:sz w:val="19"/>
                <w:szCs w:val="19"/>
              </w:rPr>
            </w:pPr>
            <w:r>
              <w:rPr>
                <w:rFonts w:hint="eastAsia"/>
                <w:color w:val="000000"/>
                <w:sz w:val="19"/>
                <w:szCs w:val="19"/>
              </w:rPr>
              <w:t>……</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12</w:t>
            </w:r>
          </w:p>
        </w:tc>
        <w:tc>
          <w:tcPr>
            <w:tcW w:w="1532" w:type="dxa"/>
            <w:vAlign w:val="center"/>
          </w:tcPr>
          <w:p>
            <w:pPr>
              <w:spacing w:before="1"/>
              <w:jc w:val="center"/>
              <w:rPr>
                <w:color w:val="000000"/>
                <w:sz w:val="19"/>
                <w:szCs w:val="19"/>
              </w:rPr>
            </w:pPr>
            <w:r>
              <w:rPr>
                <w:rFonts w:hint="eastAsia"/>
                <w:color w:val="000000"/>
                <w:sz w:val="19"/>
                <w:szCs w:val="19"/>
              </w:rPr>
              <w:t>……</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13</w:t>
            </w:r>
          </w:p>
        </w:tc>
        <w:tc>
          <w:tcPr>
            <w:tcW w:w="1532" w:type="dxa"/>
            <w:vAlign w:val="center"/>
          </w:tcPr>
          <w:p>
            <w:pPr>
              <w:spacing w:before="1"/>
              <w:jc w:val="center"/>
              <w:rPr>
                <w:color w:val="000000"/>
                <w:sz w:val="19"/>
                <w:szCs w:val="19"/>
              </w:rPr>
            </w:pPr>
            <w:r>
              <w:rPr>
                <w:rFonts w:hint="eastAsia"/>
                <w:color w:val="000000"/>
                <w:sz w:val="19"/>
                <w:szCs w:val="19"/>
              </w:rPr>
              <w:t>……</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14</w:t>
            </w:r>
          </w:p>
        </w:tc>
        <w:tc>
          <w:tcPr>
            <w:tcW w:w="1532" w:type="dxa"/>
            <w:vAlign w:val="center"/>
          </w:tcPr>
          <w:p>
            <w:pPr>
              <w:spacing w:before="1"/>
              <w:jc w:val="center"/>
              <w:rPr>
                <w:color w:val="000000"/>
                <w:sz w:val="19"/>
                <w:szCs w:val="19"/>
              </w:rPr>
            </w:pPr>
            <w:r>
              <w:rPr>
                <w:rFonts w:hint="eastAsia"/>
                <w:color w:val="000000"/>
                <w:sz w:val="19"/>
                <w:szCs w:val="19"/>
              </w:rPr>
              <w:t>……</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rFonts w:hint="eastAsia"/>
                <w:color w:val="000000"/>
                <w:sz w:val="19"/>
                <w:szCs w:val="19"/>
              </w:rPr>
              <w:t>15</w:t>
            </w:r>
          </w:p>
        </w:tc>
        <w:tc>
          <w:tcPr>
            <w:tcW w:w="1532" w:type="dxa"/>
            <w:vAlign w:val="center"/>
          </w:tcPr>
          <w:p>
            <w:pPr>
              <w:spacing w:before="1"/>
              <w:jc w:val="center"/>
              <w:rPr>
                <w:color w:val="000000"/>
                <w:sz w:val="19"/>
                <w:szCs w:val="19"/>
              </w:rPr>
            </w:pPr>
            <w:r>
              <w:rPr>
                <w:rFonts w:hint="eastAsia"/>
                <w:color w:val="000000"/>
                <w:sz w:val="19"/>
                <w:szCs w:val="19"/>
              </w:rPr>
              <w:t>……</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67" w:type="dxa"/>
            <w:vAlign w:val="center"/>
          </w:tcPr>
          <w:p>
            <w:pPr>
              <w:spacing w:before="1"/>
              <w:jc w:val="center"/>
              <w:rPr>
                <w:color w:val="000000"/>
                <w:sz w:val="19"/>
                <w:szCs w:val="19"/>
              </w:rPr>
            </w:pPr>
            <w:r>
              <w:rPr>
                <w:color w:val="000000"/>
                <w:sz w:val="19"/>
                <w:szCs w:val="19"/>
              </w:rPr>
              <w:t>…</w:t>
            </w:r>
          </w:p>
        </w:tc>
        <w:tc>
          <w:tcPr>
            <w:tcW w:w="1532" w:type="dxa"/>
            <w:vAlign w:val="center"/>
          </w:tcPr>
          <w:p>
            <w:pPr>
              <w:spacing w:before="1"/>
              <w:jc w:val="center"/>
              <w:rPr>
                <w:color w:val="000000"/>
                <w:sz w:val="19"/>
                <w:szCs w:val="19"/>
              </w:rPr>
            </w:pPr>
            <w:r>
              <w:rPr>
                <w:rFonts w:hint="eastAsia"/>
                <w:color w:val="000000"/>
                <w:sz w:val="19"/>
                <w:szCs w:val="19"/>
              </w:rPr>
              <w:t>……</w:t>
            </w:r>
          </w:p>
        </w:tc>
        <w:tc>
          <w:tcPr>
            <w:tcW w:w="630"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397"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c>
          <w:tcPr>
            <w:tcW w:w="544" w:type="dxa"/>
            <w:vAlign w:val="center"/>
          </w:tcPr>
          <w:p>
            <w:pPr>
              <w:spacing w:before="1"/>
              <w:jc w:val="center"/>
              <w:rPr>
                <w:color w:val="000000"/>
                <w:sz w:val="19"/>
                <w:szCs w:val="19"/>
              </w:rPr>
            </w:pPr>
          </w:p>
        </w:tc>
      </w:tr>
    </w:tbl>
    <w:p>
      <w:pPr>
        <w:spacing w:before="1"/>
        <w:rPr>
          <w:color w:val="000000"/>
          <w:w w:val="110"/>
          <w:sz w:val="19"/>
          <w:szCs w:val="19"/>
        </w:rPr>
      </w:pPr>
    </w:p>
    <w:p>
      <w:pPr>
        <w:tabs>
          <w:tab w:val="left" w:pos="0"/>
          <w:tab w:val="left" w:pos="3639"/>
        </w:tabs>
        <w:spacing w:before="4"/>
        <w:ind w:right="106"/>
        <w:jc w:val="center"/>
        <w:rPr>
          <w:color w:val="000000"/>
          <w:sz w:val="31"/>
          <w:szCs w:val="31"/>
        </w:rPr>
      </w:pPr>
      <w:r>
        <w:rPr>
          <w:color w:val="000000"/>
          <w:sz w:val="18"/>
          <w:szCs w:val="17"/>
        </w:rPr>
        <w:t>注：按照拟投入本工程现场监理人员的计划在岗安排据实填报</w:t>
      </w:r>
      <w:r>
        <w:rPr>
          <w:rFonts w:hint="eastAsia"/>
          <w:color w:val="000000"/>
          <w:sz w:val="18"/>
          <w:szCs w:val="17"/>
        </w:rPr>
        <w:t>。</w:t>
      </w:r>
      <w:r>
        <w:rPr>
          <w:color w:val="000000"/>
          <w:sz w:val="18"/>
          <w:szCs w:val="17"/>
        </w:rPr>
        <w:t>在岗时间为：进场时间为当月第一</w:t>
      </w:r>
      <w:r>
        <w:rPr>
          <w:rFonts w:hint="eastAsia"/>
          <w:color w:val="000000"/>
          <w:sz w:val="18"/>
          <w:szCs w:val="17"/>
        </w:rPr>
        <w:t>日</w:t>
      </w:r>
      <w:r>
        <w:rPr>
          <w:color w:val="000000"/>
          <w:sz w:val="18"/>
          <w:szCs w:val="17"/>
        </w:rPr>
        <w:t>：在岗表示为</w:t>
      </w:r>
      <w:r>
        <w:rPr>
          <w:color w:val="000000"/>
          <w:sz w:val="20"/>
          <w:szCs w:val="18"/>
        </w:rPr>
        <w:t>“</w:t>
      </w:r>
      <w:r>
        <w:rPr>
          <w:rFonts w:hint="eastAsia"/>
          <w:color w:val="000000"/>
          <w:sz w:val="20"/>
          <w:szCs w:val="19"/>
        </w:rPr>
        <w:t>—</w:t>
      </w:r>
      <w:r>
        <w:rPr>
          <w:color w:val="000000"/>
          <w:sz w:val="20"/>
          <w:szCs w:val="18"/>
        </w:rPr>
        <w:t>”</w:t>
      </w:r>
      <w:r>
        <w:rPr>
          <w:color w:val="000000"/>
          <w:sz w:val="20"/>
          <w:szCs w:val="19"/>
        </w:rPr>
        <w:t>。</w:t>
      </w:r>
      <w:r>
        <w:rPr>
          <w:szCs w:val="21"/>
        </w:rPr>
        <w:br w:type="page"/>
      </w:r>
      <w:r>
        <w:rPr>
          <w:color w:val="000000"/>
          <w:sz w:val="30"/>
          <w:szCs w:val="30"/>
        </w:rPr>
        <w:t xml:space="preserve">附件 </w:t>
      </w:r>
      <w:r>
        <w:rPr>
          <w:rFonts w:eastAsia="Times New Roman"/>
          <w:color w:val="000000"/>
          <w:sz w:val="30"/>
          <w:szCs w:val="30"/>
        </w:rPr>
        <w:t>2</w:t>
      </w:r>
      <w:r>
        <w:rPr>
          <w:rFonts w:hint="eastAsia"/>
          <w:color w:val="000000"/>
          <w:sz w:val="30"/>
          <w:szCs w:val="30"/>
        </w:rPr>
        <w:t xml:space="preserve">  </w:t>
      </w:r>
      <w:r>
        <w:rPr>
          <w:color w:val="000000"/>
          <w:sz w:val="30"/>
          <w:szCs w:val="30"/>
        </w:rPr>
        <w:t>监理设施进出场时间表</w:t>
      </w:r>
    </w:p>
    <w:p>
      <w:pPr>
        <w:rPr>
          <w:color w:val="000000"/>
          <w:sz w:val="20"/>
          <w:szCs w:val="20"/>
        </w:rPr>
      </w:pPr>
    </w:p>
    <w:p>
      <w:pPr>
        <w:spacing w:before="2"/>
        <w:rPr>
          <w:color w:val="000000"/>
          <w:sz w:val="12"/>
          <w:szCs w:val="12"/>
        </w:rPr>
      </w:pPr>
    </w:p>
    <w:tbl>
      <w:tblPr>
        <w:tblStyle w:val="40"/>
        <w:tblW w:w="8832" w:type="dxa"/>
        <w:tblInd w:w="101" w:type="dxa"/>
        <w:tblLayout w:type="fixed"/>
        <w:tblCellMar>
          <w:top w:w="0" w:type="dxa"/>
          <w:left w:w="0" w:type="dxa"/>
          <w:bottom w:w="0" w:type="dxa"/>
          <w:right w:w="0" w:type="dxa"/>
        </w:tblCellMar>
      </w:tblPr>
      <w:tblGrid>
        <w:gridCol w:w="1915"/>
        <w:gridCol w:w="1330"/>
        <w:gridCol w:w="1315"/>
        <w:gridCol w:w="1327"/>
        <w:gridCol w:w="1961"/>
        <w:gridCol w:w="984"/>
      </w:tblGrid>
      <w:tr>
        <w:tblPrEx>
          <w:tblLayout w:type="fixed"/>
          <w:tblCellMar>
            <w:top w:w="0" w:type="dxa"/>
            <w:left w:w="0" w:type="dxa"/>
            <w:bottom w:w="0" w:type="dxa"/>
            <w:right w:w="0" w:type="dxa"/>
          </w:tblCellMar>
        </w:tblPrEx>
        <w:trPr>
          <w:trHeight w:val="383" w:hRule="exact"/>
        </w:trPr>
        <w:tc>
          <w:tcPr>
            <w:tcW w:w="1915" w:type="dxa"/>
            <w:vMerge w:val="restart"/>
            <w:tcBorders>
              <w:top w:val="single" w:color="000000" w:sz="12" w:space="0"/>
              <w:left w:val="single" w:color="000000" w:sz="12" w:space="0"/>
              <w:right w:val="single" w:color="000000" w:sz="4" w:space="0"/>
            </w:tcBorders>
          </w:tcPr>
          <w:p>
            <w:pPr>
              <w:pStyle w:val="61"/>
              <w:spacing w:before="7"/>
              <w:rPr>
                <w:color w:val="000000"/>
                <w:sz w:val="24"/>
              </w:rPr>
            </w:pPr>
          </w:p>
          <w:p>
            <w:pPr>
              <w:pStyle w:val="61"/>
              <w:ind w:left="13"/>
              <w:jc w:val="center"/>
              <w:rPr>
                <w:color w:val="000000"/>
                <w:sz w:val="20"/>
                <w:szCs w:val="20"/>
              </w:rPr>
            </w:pPr>
            <w:r>
              <w:rPr>
                <w:color w:val="000000"/>
                <w:sz w:val="20"/>
                <w:szCs w:val="20"/>
              </w:rPr>
              <w:t>时段</w:t>
            </w:r>
          </w:p>
        </w:tc>
        <w:tc>
          <w:tcPr>
            <w:tcW w:w="6917" w:type="dxa"/>
            <w:gridSpan w:val="5"/>
            <w:tcBorders>
              <w:top w:val="single" w:color="000000" w:sz="12" w:space="0"/>
              <w:left w:val="single" w:color="000000" w:sz="4" w:space="0"/>
              <w:bottom w:val="single" w:color="000000" w:sz="2" w:space="0"/>
              <w:right w:val="single" w:color="000000" w:sz="12" w:space="0"/>
            </w:tcBorders>
          </w:tcPr>
          <w:p>
            <w:pPr>
              <w:pStyle w:val="61"/>
              <w:spacing w:before="105"/>
              <w:ind w:left="16"/>
              <w:jc w:val="center"/>
              <w:rPr>
                <w:color w:val="000000"/>
                <w:sz w:val="20"/>
                <w:szCs w:val="20"/>
              </w:rPr>
            </w:pPr>
            <w:r>
              <w:rPr>
                <w:color w:val="000000"/>
                <w:sz w:val="20"/>
                <w:szCs w:val="20"/>
              </w:rPr>
              <w:t>监理设施</w:t>
            </w:r>
          </w:p>
        </w:tc>
      </w:tr>
      <w:tr>
        <w:tblPrEx>
          <w:tblLayout w:type="fixed"/>
          <w:tblCellMar>
            <w:top w:w="0" w:type="dxa"/>
            <w:left w:w="0" w:type="dxa"/>
            <w:bottom w:w="0" w:type="dxa"/>
            <w:right w:w="0" w:type="dxa"/>
          </w:tblCellMar>
        </w:tblPrEx>
        <w:trPr>
          <w:trHeight w:val="469" w:hRule="exact"/>
        </w:trPr>
        <w:tc>
          <w:tcPr>
            <w:tcW w:w="1915" w:type="dxa"/>
            <w:vMerge w:val="continue"/>
            <w:tcBorders>
              <w:left w:val="single" w:color="000000" w:sz="12" w:space="0"/>
              <w:bottom w:val="single" w:color="000000" w:sz="4" w:space="0"/>
              <w:right w:val="single" w:color="000000" w:sz="4" w:space="0"/>
            </w:tcBorders>
          </w:tcPr>
          <w:p>
            <w:pPr>
              <w:rPr>
                <w:color w:val="000000"/>
              </w:rPr>
            </w:pPr>
          </w:p>
        </w:tc>
        <w:tc>
          <w:tcPr>
            <w:tcW w:w="1330" w:type="dxa"/>
            <w:tcBorders>
              <w:top w:val="single" w:color="000000" w:sz="2" w:space="0"/>
              <w:left w:val="single" w:color="000000" w:sz="4" w:space="0"/>
              <w:bottom w:val="single" w:color="000000" w:sz="4" w:space="0"/>
              <w:right w:val="single" w:color="000000" w:sz="4" w:space="0"/>
            </w:tcBorders>
          </w:tcPr>
          <w:p>
            <w:pPr>
              <w:pStyle w:val="61"/>
              <w:spacing w:before="162"/>
              <w:ind w:left="242"/>
              <w:rPr>
                <w:color w:val="000000"/>
                <w:sz w:val="20"/>
                <w:szCs w:val="20"/>
              </w:rPr>
            </w:pPr>
            <w:r>
              <w:rPr>
                <w:color w:val="000000"/>
                <w:sz w:val="20"/>
                <w:szCs w:val="20"/>
              </w:rPr>
              <w:t>交通设施</w:t>
            </w:r>
          </w:p>
        </w:tc>
        <w:tc>
          <w:tcPr>
            <w:tcW w:w="1315" w:type="dxa"/>
            <w:tcBorders>
              <w:top w:val="single" w:color="000000" w:sz="2" w:space="0"/>
              <w:left w:val="single" w:color="000000" w:sz="4" w:space="0"/>
              <w:bottom w:val="single" w:color="000000" w:sz="4" w:space="0"/>
              <w:right w:val="single" w:color="000000" w:sz="4" w:space="0"/>
            </w:tcBorders>
          </w:tcPr>
          <w:p>
            <w:pPr>
              <w:pStyle w:val="61"/>
              <w:spacing w:before="167"/>
              <w:ind w:left="237"/>
              <w:rPr>
                <w:color w:val="000000"/>
                <w:sz w:val="20"/>
                <w:szCs w:val="20"/>
              </w:rPr>
            </w:pPr>
            <w:r>
              <w:rPr>
                <w:color w:val="000000"/>
                <w:sz w:val="20"/>
                <w:szCs w:val="20"/>
              </w:rPr>
              <w:t>办公设施</w:t>
            </w:r>
          </w:p>
        </w:tc>
        <w:tc>
          <w:tcPr>
            <w:tcW w:w="1327" w:type="dxa"/>
            <w:tcBorders>
              <w:top w:val="single" w:color="000000" w:sz="2" w:space="0"/>
              <w:left w:val="single" w:color="000000" w:sz="4" w:space="0"/>
              <w:bottom w:val="single" w:color="000000" w:sz="4" w:space="0"/>
              <w:right w:val="single" w:color="000000" w:sz="4" w:space="0"/>
            </w:tcBorders>
          </w:tcPr>
          <w:p>
            <w:pPr>
              <w:pStyle w:val="61"/>
              <w:spacing w:before="167"/>
              <w:ind w:left="242"/>
              <w:rPr>
                <w:color w:val="000000"/>
                <w:sz w:val="20"/>
                <w:szCs w:val="20"/>
              </w:rPr>
            </w:pPr>
            <w:r>
              <w:rPr>
                <w:color w:val="000000"/>
                <w:sz w:val="20"/>
                <w:szCs w:val="20"/>
              </w:rPr>
              <w:t>生活设施</w:t>
            </w:r>
          </w:p>
        </w:tc>
        <w:tc>
          <w:tcPr>
            <w:tcW w:w="1961" w:type="dxa"/>
            <w:tcBorders>
              <w:top w:val="single" w:color="000000" w:sz="2" w:space="0"/>
              <w:left w:val="single" w:color="000000" w:sz="4" w:space="0"/>
              <w:bottom w:val="single" w:color="000000" w:sz="4" w:space="0"/>
              <w:right w:val="single" w:color="000000" w:sz="4" w:space="0"/>
            </w:tcBorders>
          </w:tcPr>
          <w:p>
            <w:pPr>
              <w:pStyle w:val="61"/>
              <w:spacing w:before="162"/>
              <w:ind w:left="239"/>
              <w:rPr>
                <w:color w:val="000000"/>
                <w:sz w:val="20"/>
                <w:szCs w:val="20"/>
              </w:rPr>
            </w:pPr>
            <w:r>
              <w:rPr>
                <w:color w:val="000000"/>
                <w:sz w:val="20"/>
                <w:szCs w:val="20"/>
              </w:rPr>
              <w:t>试验、检测仪器</w:t>
            </w:r>
          </w:p>
        </w:tc>
        <w:tc>
          <w:tcPr>
            <w:tcW w:w="984" w:type="dxa"/>
            <w:tcBorders>
              <w:top w:val="single" w:color="000000" w:sz="2" w:space="0"/>
              <w:left w:val="single" w:color="000000" w:sz="4" w:space="0"/>
              <w:bottom w:val="single" w:color="000000" w:sz="4" w:space="0"/>
              <w:right w:val="single" w:color="000000" w:sz="12" w:space="0"/>
            </w:tcBorders>
          </w:tcPr>
          <w:p>
            <w:pPr>
              <w:pStyle w:val="61"/>
              <w:spacing w:before="162"/>
              <w:ind w:left="280"/>
              <w:rPr>
                <w:color w:val="000000"/>
                <w:sz w:val="20"/>
                <w:szCs w:val="20"/>
              </w:rPr>
            </w:pPr>
            <w:r>
              <w:rPr>
                <w:color w:val="000000"/>
                <w:sz w:val="20"/>
                <w:szCs w:val="20"/>
              </w:rPr>
              <w:t>其它</w:t>
            </w:r>
          </w:p>
        </w:tc>
      </w:tr>
      <w:tr>
        <w:tblPrEx>
          <w:tblLayout w:type="fixed"/>
          <w:tblCellMar>
            <w:top w:w="0" w:type="dxa"/>
            <w:left w:w="0" w:type="dxa"/>
            <w:bottom w:w="0" w:type="dxa"/>
            <w:right w:w="0" w:type="dxa"/>
          </w:tblCellMar>
        </w:tblPrEx>
        <w:trPr>
          <w:trHeight w:val="410"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7"/>
              </w:tabs>
              <w:spacing w:before="107"/>
              <w:ind w:left="420"/>
              <w:rPr>
                <w:color w:val="000000"/>
                <w:sz w:val="20"/>
                <w:szCs w:val="20"/>
              </w:rPr>
            </w:pPr>
            <w:r>
              <w:rPr>
                <w:color w:val="000000"/>
                <w:sz w:val="20"/>
                <w:szCs w:val="20"/>
              </w:rPr>
              <w:t>年</w:t>
            </w:r>
            <w:r>
              <w:rPr>
                <w:color w:val="000000"/>
                <w:sz w:val="20"/>
                <w:szCs w:val="20"/>
              </w:rPr>
              <w:tab/>
            </w:r>
            <w:r>
              <w:rPr>
                <w:color w:val="000000"/>
                <w:sz w:val="20"/>
                <w:szCs w:val="20"/>
              </w:rPr>
              <w:t>月至 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10"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2"/>
                <w:tab w:val="left" w:pos="1370"/>
              </w:tabs>
              <w:spacing w:before="109"/>
              <w:ind w:left="420"/>
              <w:rPr>
                <w:color w:val="000000"/>
                <w:sz w:val="20"/>
                <w:szCs w:val="20"/>
              </w:rPr>
            </w:pPr>
            <w:r>
              <w:rPr>
                <w:color w:val="000000"/>
                <w:sz w:val="20"/>
                <w:szCs w:val="20"/>
              </w:rPr>
              <w:t>年</w:t>
            </w:r>
            <w:r>
              <w:rPr>
                <w:color w:val="000000"/>
                <w:sz w:val="20"/>
                <w:szCs w:val="20"/>
              </w:rPr>
              <w:tab/>
            </w:r>
            <w:r>
              <w:rPr>
                <w:color w:val="000000"/>
                <w:sz w:val="20"/>
                <w:szCs w:val="20"/>
              </w:rPr>
              <w:t>月至</w:t>
            </w:r>
            <w:r>
              <w:rPr>
                <w:color w:val="000000"/>
                <w:sz w:val="20"/>
                <w:szCs w:val="20"/>
              </w:rPr>
              <w:tab/>
            </w:r>
            <w:r>
              <w:rPr>
                <w:color w:val="000000"/>
                <w:sz w:val="20"/>
                <w:szCs w:val="20"/>
              </w:rPr>
              <w:t>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10"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7"/>
              </w:tabs>
              <w:spacing w:before="102"/>
              <w:ind w:left="420"/>
              <w:rPr>
                <w:color w:val="000000"/>
                <w:sz w:val="20"/>
                <w:szCs w:val="20"/>
              </w:rPr>
            </w:pPr>
            <w:r>
              <w:rPr>
                <w:color w:val="000000"/>
                <w:sz w:val="20"/>
                <w:szCs w:val="20"/>
              </w:rPr>
              <w:t>年</w:t>
            </w:r>
            <w:r>
              <w:rPr>
                <w:color w:val="000000"/>
                <w:sz w:val="20"/>
                <w:szCs w:val="20"/>
              </w:rPr>
              <w:tab/>
            </w:r>
            <w:r>
              <w:rPr>
                <w:color w:val="000000"/>
                <w:sz w:val="20"/>
                <w:szCs w:val="20"/>
              </w:rPr>
              <w:t>月至 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10"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7"/>
              </w:tabs>
              <w:spacing w:before="105"/>
              <w:ind w:left="420"/>
              <w:rPr>
                <w:color w:val="000000"/>
                <w:sz w:val="20"/>
                <w:szCs w:val="20"/>
              </w:rPr>
            </w:pPr>
            <w:r>
              <w:rPr>
                <w:color w:val="000000"/>
                <w:sz w:val="20"/>
                <w:szCs w:val="20"/>
              </w:rPr>
              <w:t>年</w:t>
            </w:r>
            <w:r>
              <w:rPr>
                <w:color w:val="000000"/>
                <w:sz w:val="20"/>
                <w:szCs w:val="20"/>
              </w:rPr>
              <w:tab/>
            </w:r>
            <w:r>
              <w:rPr>
                <w:color w:val="000000"/>
                <w:sz w:val="20"/>
                <w:szCs w:val="20"/>
              </w:rPr>
              <w:t>月至 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10"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7"/>
              </w:tabs>
              <w:spacing w:before="107"/>
              <w:ind w:left="420"/>
              <w:rPr>
                <w:color w:val="000000"/>
                <w:sz w:val="20"/>
                <w:szCs w:val="20"/>
              </w:rPr>
            </w:pPr>
            <w:r>
              <w:rPr>
                <w:color w:val="000000"/>
                <w:sz w:val="20"/>
                <w:szCs w:val="20"/>
              </w:rPr>
              <w:t>年</w:t>
            </w:r>
            <w:r>
              <w:rPr>
                <w:color w:val="000000"/>
                <w:sz w:val="20"/>
                <w:szCs w:val="20"/>
              </w:rPr>
              <w:tab/>
            </w:r>
            <w:r>
              <w:rPr>
                <w:color w:val="000000"/>
                <w:sz w:val="20"/>
                <w:szCs w:val="20"/>
              </w:rPr>
              <w:t>月至 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10"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7"/>
              </w:tabs>
              <w:spacing w:before="100"/>
              <w:ind w:left="420"/>
              <w:rPr>
                <w:color w:val="000000"/>
                <w:sz w:val="20"/>
                <w:szCs w:val="20"/>
              </w:rPr>
            </w:pPr>
            <w:r>
              <w:rPr>
                <w:color w:val="000000"/>
                <w:sz w:val="20"/>
                <w:szCs w:val="20"/>
              </w:rPr>
              <w:t>年</w:t>
            </w:r>
            <w:r>
              <w:rPr>
                <w:color w:val="000000"/>
                <w:sz w:val="20"/>
                <w:szCs w:val="20"/>
              </w:rPr>
              <w:tab/>
            </w:r>
            <w:r>
              <w:rPr>
                <w:color w:val="000000"/>
                <w:sz w:val="20"/>
                <w:szCs w:val="20"/>
              </w:rPr>
              <w:t>月至 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10"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2"/>
                <w:tab w:val="left" w:pos="1370"/>
              </w:tabs>
              <w:spacing w:before="102"/>
              <w:ind w:left="420"/>
              <w:rPr>
                <w:color w:val="000000"/>
                <w:sz w:val="20"/>
                <w:szCs w:val="20"/>
              </w:rPr>
            </w:pPr>
            <w:r>
              <w:rPr>
                <w:color w:val="000000"/>
                <w:sz w:val="20"/>
                <w:szCs w:val="20"/>
              </w:rPr>
              <w:t>年</w:t>
            </w:r>
            <w:r>
              <w:rPr>
                <w:color w:val="000000"/>
                <w:sz w:val="20"/>
                <w:szCs w:val="20"/>
              </w:rPr>
              <w:tab/>
            </w:r>
            <w:r>
              <w:rPr>
                <w:color w:val="000000"/>
                <w:sz w:val="20"/>
                <w:szCs w:val="20"/>
              </w:rPr>
              <w:t>月至</w:t>
            </w:r>
            <w:r>
              <w:rPr>
                <w:color w:val="000000"/>
                <w:sz w:val="20"/>
                <w:szCs w:val="20"/>
              </w:rPr>
              <w:tab/>
            </w:r>
            <w:r>
              <w:rPr>
                <w:color w:val="000000"/>
                <w:sz w:val="20"/>
                <w:szCs w:val="20"/>
              </w:rPr>
              <w:t>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08"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2"/>
                <w:tab w:val="left" w:pos="1370"/>
              </w:tabs>
              <w:spacing w:before="105"/>
              <w:ind w:left="420"/>
              <w:rPr>
                <w:color w:val="000000"/>
                <w:sz w:val="20"/>
                <w:szCs w:val="20"/>
              </w:rPr>
            </w:pPr>
            <w:r>
              <w:rPr>
                <w:color w:val="000000"/>
                <w:sz w:val="20"/>
                <w:szCs w:val="20"/>
              </w:rPr>
              <w:t>年</w:t>
            </w:r>
            <w:r>
              <w:rPr>
                <w:color w:val="000000"/>
                <w:sz w:val="20"/>
                <w:szCs w:val="20"/>
              </w:rPr>
              <w:tab/>
            </w:r>
            <w:r>
              <w:rPr>
                <w:color w:val="000000"/>
                <w:sz w:val="20"/>
                <w:szCs w:val="20"/>
              </w:rPr>
              <w:t>月至</w:t>
            </w:r>
            <w:r>
              <w:rPr>
                <w:color w:val="000000"/>
                <w:sz w:val="20"/>
                <w:szCs w:val="20"/>
              </w:rPr>
              <w:tab/>
            </w:r>
            <w:r>
              <w:rPr>
                <w:color w:val="000000"/>
                <w:sz w:val="20"/>
                <w:szCs w:val="20"/>
              </w:rPr>
              <w:t>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10"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2"/>
                <w:tab w:val="left" w:pos="1370"/>
              </w:tabs>
              <w:spacing w:before="109"/>
              <w:ind w:left="420"/>
              <w:rPr>
                <w:color w:val="000000"/>
                <w:sz w:val="20"/>
                <w:szCs w:val="20"/>
              </w:rPr>
            </w:pPr>
            <w:r>
              <w:rPr>
                <w:color w:val="000000"/>
                <w:sz w:val="20"/>
                <w:szCs w:val="20"/>
              </w:rPr>
              <w:t>年</w:t>
            </w:r>
            <w:r>
              <w:rPr>
                <w:color w:val="000000"/>
                <w:sz w:val="20"/>
                <w:szCs w:val="20"/>
              </w:rPr>
              <w:tab/>
            </w:r>
            <w:r>
              <w:rPr>
                <w:color w:val="000000"/>
                <w:sz w:val="20"/>
                <w:szCs w:val="20"/>
              </w:rPr>
              <w:t>月至</w:t>
            </w:r>
            <w:r>
              <w:rPr>
                <w:color w:val="000000"/>
                <w:sz w:val="20"/>
                <w:szCs w:val="20"/>
              </w:rPr>
              <w:tab/>
            </w:r>
            <w:r>
              <w:rPr>
                <w:color w:val="000000"/>
                <w:sz w:val="20"/>
                <w:szCs w:val="20"/>
              </w:rPr>
              <w:t>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10"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2"/>
                <w:tab w:val="left" w:pos="1370"/>
              </w:tabs>
              <w:spacing w:before="102"/>
              <w:ind w:left="420"/>
              <w:rPr>
                <w:color w:val="000000"/>
                <w:sz w:val="20"/>
                <w:szCs w:val="20"/>
              </w:rPr>
            </w:pPr>
            <w:r>
              <w:rPr>
                <w:color w:val="000000"/>
                <w:sz w:val="20"/>
                <w:szCs w:val="20"/>
              </w:rPr>
              <w:t>年</w:t>
            </w:r>
            <w:r>
              <w:rPr>
                <w:color w:val="000000"/>
                <w:sz w:val="20"/>
                <w:szCs w:val="20"/>
              </w:rPr>
              <w:tab/>
            </w:r>
            <w:r>
              <w:rPr>
                <w:color w:val="000000"/>
                <w:sz w:val="20"/>
                <w:szCs w:val="20"/>
              </w:rPr>
              <w:t>月至</w:t>
            </w:r>
            <w:r>
              <w:rPr>
                <w:color w:val="000000"/>
                <w:sz w:val="20"/>
                <w:szCs w:val="20"/>
              </w:rPr>
              <w:tab/>
            </w:r>
            <w:r>
              <w:rPr>
                <w:color w:val="000000"/>
                <w:sz w:val="20"/>
                <w:szCs w:val="20"/>
              </w:rPr>
              <w:t>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10"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7"/>
              </w:tabs>
              <w:spacing w:before="105"/>
              <w:ind w:left="420"/>
              <w:rPr>
                <w:color w:val="000000"/>
                <w:sz w:val="20"/>
                <w:szCs w:val="20"/>
              </w:rPr>
            </w:pPr>
            <w:r>
              <w:rPr>
                <w:color w:val="000000"/>
                <w:sz w:val="20"/>
                <w:szCs w:val="20"/>
              </w:rPr>
              <w:t>年</w:t>
            </w:r>
            <w:r>
              <w:rPr>
                <w:color w:val="000000"/>
                <w:sz w:val="20"/>
                <w:szCs w:val="20"/>
              </w:rPr>
              <w:tab/>
            </w:r>
            <w:r>
              <w:rPr>
                <w:color w:val="000000"/>
                <w:sz w:val="20"/>
                <w:szCs w:val="20"/>
              </w:rPr>
              <w:t>月至 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13" w:hRule="exact"/>
        </w:trPr>
        <w:tc>
          <w:tcPr>
            <w:tcW w:w="1915" w:type="dxa"/>
            <w:tcBorders>
              <w:top w:val="single" w:color="000000" w:sz="4" w:space="0"/>
              <w:left w:val="single" w:color="000000" w:sz="12" w:space="0"/>
              <w:bottom w:val="single" w:color="000000" w:sz="4" w:space="0"/>
              <w:right w:val="single" w:color="000000" w:sz="4" w:space="0"/>
            </w:tcBorders>
          </w:tcPr>
          <w:p>
            <w:pPr>
              <w:pStyle w:val="61"/>
              <w:tabs>
                <w:tab w:val="left" w:pos="842"/>
                <w:tab w:val="left" w:pos="1370"/>
              </w:tabs>
              <w:spacing w:before="107"/>
              <w:ind w:left="420"/>
              <w:rPr>
                <w:color w:val="000000"/>
                <w:sz w:val="20"/>
                <w:szCs w:val="20"/>
              </w:rPr>
            </w:pPr>
            <w:r>
              <w:rPr>
                <w:color w:val="000000"/>
                <w:sz w:val="20"/>
                <w:szCs w:val="20"/>
              </w:rPr>
              <w:t>年</w:t>
            </w:r>
            <w:r>
              <w:rPr>
                <w:color w:val="000000"/>
                <w:sz w:val="20"/>
                <w:szCs w:val="20"/>
              </w:rPr>
              <w:tab/>
            </w:r>
            <w:r>
              <w:rPr>
                <w:color w:val="000000"/>
                <w:sz w:val="20"/>
                <w:szCs w:val="20"/>
              </w:rPr>
              <w:t>月至</w:t>
            </w:r>
            <w:r>
              <w:rPr>
                <w:color w:val="000000"/>
                <w:sz w:val="20"/>
                <w:szCs w:val="20"/>
              </w:rPr>
              <w:tab/>
            </w:r>
            <w:r>
              <w:rPr>
                <w:color w:val="000000"/>
                <w:sz w:val="20"/>
                <w:szCs w:val="20"/>
              </w:rPr>
              <w:t>月</w:t>
            </w:r>
          </w:p>
        </w:tc>
        <w:tc>
          <w:tcPr>
            <w:tcW w:w="1330" w:type="dxa"/>
            <w:tcBorders>
              <w:top w:val="single" w:color="000000" w:sz="4" w:space="0"/>
              <w:left w:val="single" w:color="000000" w:sz="4" w:space="0"/>
              <w:bottom w:val="single" w:color="000000" w:sz="4"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4"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4"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4" w:space="0"/>
              <w:right w:val="single" w:color="000000" w:sz="4" w:space="0"/>
            </w:tcBorders>
          </w:tcPr>
          <w:p>
            <w:pPr>
              <w:rPr>
                <w:color w:val="000000"/>
              </w:rPr>
            </w:pPr>
          </w:p>
        </w:tc>
        <w:tc>
          <w:tcPr>
            <w:tcW w:w="984" w:type="dxa"/>
            <w:tcBorders>
              <w:top w:val="single" w:color="000000" w:sz="4" w:space="0"/>
              <w:left w:val="single" w:color="000000" w:sz="4" w:space="0"/>
              <w:bottom w:val="single" w:color="000000" w:sz="4" w:space="0"/>
              <w:right w:val="single" w:color="000000" w:sz="12" w:space="0"/>
            </w:tcBorders>
          </w:tcPr>
          <w:p>
            <w:pPr>
              <w:rPr>
                <w:color w:val="000000"/>
              </w:rPr>
            </w:pPr>
          </w:p>
        </w:tc>
      </w:tr>
      <w:tr>
        <w:tblPrEx>
          <w:tblLayout w:type="fixed"/>
          <w:tblCellMar>
            <w:top w:w="0" w:type="dxa"/>
            <w:left w:w="0" w:type="dxa"/>
            <w:bottom w:w="0" w:type="dxa"/>
            <w:right w:w="0" w:type="dxa"/>
          </w:tblCellMar>
        </w:tblPrEx>
        <w:trPr>
          <w:trHeight w:val="420" w:hRule="exact"/>
        </w:trPr>
        <w:tc>
          <w:tcPr>
            <w:tcW w:w="1915" w:type="dxa"/>
            <w:tcBorders>
              <w:top w:val="single" w:color="000000" w:sz="4" w:space="0"/>
              <w:left w:val="single" w:color="000000" w:sz="12" w:space="0"/>
              <w:bottom w:val="single" w:color="000000" w:sz="12" w:space="0"/>
              <w:right w:val="single" w:color="000000" w:sz="4" w:space="0"/>
            </w:tcBorders>
          </w:tcPr>
          <w:p>
            <w:pPr>
              <w:pStyle w:val="61"/>
              <w:spacing w:before="102"/>
              <w:ind w:left="415"/>
              <w:rPr>
                <w:color w:val="000000"/>
                <w:sz w:val="20"/>
                <w:szCs w:val="20"/>
              </w:rPr>
            </w:pPr>
            <w:r>
              <w:rPr>
                <w:color w:val="000000"/>
                <w:sz w:val="20"/>
                <w:szCs w:val="20"/>
              </w:rPr>
              <w:t>缺陷责任期</w:t>
            </w:r>
          </w:p>
        </w:tc>
        <w:tc>
          <w:tcPr>
            <w:tcW w:w="1330" w:type="dxa"/>
            <w:tcBorders>
              <w:top w:val="single" w:color="000000" w:sz="4" w:space="0"/>
              <w:left w:val="single" w:color="000000" w:sz="4" w:space="0"/>
              <w:bottom w:val="single" w:color="000000" w:sz="12" w:space="0"/>
              <w:right w:val="single" w:color="000000" w:sz="4" w:space="0"/>
            </w:tcBorders>
          </w:tcPr>
          <w:p>
            <w:pPr>
              <w:rPr>
                <w:color w:val="000000"/>
              </w:rPr>
            </w:pPr>
          </w:p>
        </w:tc>
        <w:tc>
          <w:tcPr>
            <w:tcW w:w="1315" w:type="dxa"/>
            <w:tcBorders>
              <w:top w:val="single" w:color="000000" w:sz="4" w:space="0"/>
              <w:left w:val="single" w:color="000000" w:sz="4" w:space="0"/>
              <w:bottom w:val="single" w:color="000000" w:sz="12" w:space="0"/>
              <w:right w:val="single" w:color="000000" w:sz="4" w:space="0"/>
            </w:tcBorders>
          </w:tcPr>
          <w:p>
            <w:pPr>
              <w:rPr>
                <w:color w:val="000000"/>
              </w:rPr>
            </w:pPr>
          </w:p>
        </w:tc>
        <w:tc>
          <w:tcPr>
            <w:tcW w:w="1327" w:type="dxa"/>
            <w:tcBorders>
              <w:top w:val="single" w:color="000000" w:sz="4" w:space="0"/>
              <w:left w:val="single" w:color="000000" w:sz="4" w:space="0"/>
              <w:bottom w:val="single" w:color="000000" w:sz="12" w:space="0"/>
              <w:right w:val="single" w:color="000000" w:sz="4" w:space="0"/>
            </w:tcBorders>
          </w:tcPr>
          <w:p>
            <w:pPr>
              <w:rPr>
                <w:color w:val="000000"/>
              </w:rPr>
            </w:pPr>
          </w:p>
        </w:tc>
        <w:tc>
          <w:tcPr>
            <w:tcW w:w="1961" w:type="dxa"/>
            <w:tcBorders>
              <w:top w:val="single" w:color="000000" w:sz="4" w:space="0"/>
              <w:left w:val="single" w:color="000000" w:sz="4" w:space="0"/>
              <w:bottom w:val="single" w:color="000000" w:sz="12" w:space="0"/>
              <w:right w:val="single" w:color="000000" w:sz="4" w:space="0"/>
            </w:tcBorders>
          </w:tcPr>
          <w:p>
            <w:pPr>
              <w:rPr>
                <w:color w:val="000000"/>
              </w:rPr>
            </w:pPr>
          </w:p>
        </w:tc>
        <w:tc>
          <w:tcPr>
            <w:tcW w:w="984" w:type="dxa"/>
            <w:tcBorders>
              <w:top w:val="single" w:color="000000" w:sz="4" w:space="0"/>
              <w:left w:val="single" w:color="000000" w:sz="4" w:space="0"/>
              <w:bottom w:val="single" w:color="000000" w:sz="12" w:space="0"/>
              <w:right w:val="single" w:color="000000" w:sz="12" w:space="0"/>
            </w:tcBorders>
          </w:tcPr>
          <w:p>
            <w:pPr>
              <w:rPr>
                <w:color w:val="000000"/>
              </w:rPr>
            </w:pPr>
          </w:p>
        </w:tc>
      </w:tr>
    </w:tbl>
    <w:p>
      <w:pPr>
        <w:spacing w:before="2"/>
        <w:rPr>
          <w:color w:val="000000"/>
          <w:sz w:val="29"/>
          <w:szCs w:val="29"/>
        </w:rPr>
      </w:pPr>
    </w:p>
    <w:p>
      <w:pPr>
        <w:spacing w:line="300" w:lineRule="auto"/>
        <w:ind w:firstLine="510"/>
        <w:jc w:val="center"/>
        <w:rPr>
          <w:szCs w:val="21"/>
        </w:rPr>
      </w:pPr>
    </w:p>
    <w:sectPr>
      <w:endnotePr>
        <w:numFmt w:val="decimal"/>
      </w:endnotePr>
      <w:pgSz w:w="11906" w:h="16838"/>
      <w:pgMar w:top="1304" w:right="1304" w:bottom="1304" w:left="1361" w:header="907" w:footer="90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FangSong_GB2312">
    <w:altName w:val="仿宋_GB2312"/>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Pr>
    </w:pPr>
    <w:r>
      <w:fldChar w:fldCharType="begin"/>
    </w:r>
    <w:r>
      <w:rPr>
        <w:rStyle w:val="37"/>
      </w:rPr>
      <w:instrText xml:space="preserve">PAGE  </w:instrText>
    </w:r>
    <w:r>
      <w:fldChar w:fldCharType="separate"/>
    </w:r>
    <w:r>
      <w:rPr>
        <w:rStyle w:val="37"/>
      </w:rPr>
      <w:t>1</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Pr>
    </w:pPr>
    <w:r>
      <w:fldChar w:fldCharType="begin"/>
    </w:r>
    <w:r>
      <w:rPr>
        <w:rStyle w:val="37"/>
      </w:rPr>
      <w:instrText xml:space="preserve">PAGE  </w:instrText>
    </w:r>
    <w:r>
      <w:fldChar w:fldCharType="separate"/>
    </w:r>
    <w:r>
      <w:rPr>
        <w:rStyle w:val="37"/>
      </w:rPr>
      <w:t>0</w: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7"/>
      </w:rPr>
      <w:instrText xml:space="preserve"> PAGE </w:instrText>
    </w:r>
    <w:r>
      <w:fldChar w:fldCharType="separate"/>
    </w:r>
    <w:r>
      <w:rPr>
        <w:rStyle w:val="37"/>
      </w:rP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113</w:t>
    </w:r>
    <w:r>
      <w:rPr>
        <w:lang w:val="zh-CN"/>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nThickSmallGap" w:color="auto" w:sz="24" w:space="1"/>
      </w:pBdr>
      <w:jc w:val="both"/>
    </w:pPr>
    <w:r>
      <w:rPr>
        <w:rFonts w:hint="eastAsia" w:ascii="黑体" w:eastAsia="黑体"/>
        <w:b/>
        <w:bCs/>
      </w:rPr>
      <w:t>施工监理招标招标文件                                                                                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nThickSmallGap" w:color="auto" w:sz="24" w:space="1"/>
      </w:pBdr>
      <w:ind w:firstLine="7770" w:firstLineChars="4300"/>
      <w:jc w:val="both"/>
    </w:pPr>
    <w:r>
      <w:rPr>
        <w:rFonts w:hint="eastAsia" w:ascii="黑体" w:eastAsia="黑体"/>
        <w:b/>
        <w:bCs/>
      </w:rPr>
      <w:t>监理招标招标文件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nThickSmallGap" w:color="auto" w:sz="24" w:space="1"/>
      </w:pBdr>
      <w:jc w:val="right"/>
    </w:pPr>
    <w:r>
      <w:rPr>
        <w:rFonts w:hint="eastAsia" w:ascii="黑体" w:eastAsia="黑体"/>
        <w:b/>
        <w:bCs/>
      </w:rPr>
      <w:t>施工监理招标招标文件</w:t>
    </w:r>
  </w:p>
  <w:p>
    <w:pPr>
      <w:pStyle w:val="25"/>
      <w:pBdr>
        <w:bottom w:val="none" w:color="auto" w:sz="0" w:space="0"/>
      </w:pBdr>
      <w:rPr>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nThickSmallGap" w:color="auto" w:sz="24" w:space="1"/>
      </w:pBdr>
      <w:jc w:val="right"/>
    </w:pPr>
    <w:r>
      <w:rPr>
        <w:rFonts w:hint="eastAsia" w:ascii="黑体" w:eastAsia="黑体"/>
        <w:b/>
        <w:bCs/>
      </w:rPr>
      <w:t>施工监理招标招标文件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C3B8A"/>
    <w:multiLevelType w:val="singleLevel"/>
    <w:tmpl w:val="3A6C3B8A"/>
    <w:lvl w:ilvl="0" w:tentative="0">
      <w:start w:val="6"/>
      <w:numFmt w:val="chineseCounting"/>
      <w:suff w:val="space"/>
      <w:lvlText w:val="第%1章"/>
      <w:lvlJc w:val="left"/>
      <w:rPr>
        <w:rFonts w:hint="eastAsia"/>
      </w:rPr>
    </w:lvl>
  </w:abstractNum>
  <w:abstractNum w:abstractNumId="1">
    <w:nsid w:val="3D61D933"/>
    <w:multiLevelType w:val="singleLevel"/>
    <w:tmpl w:val="3D61D933"/>
    <w:lvl w:ilvl="0" w:tentative="0">
      <w:start w:val="1"/>
      <w:numFmt w:val="decimal"/>
      <w:suff w:val="nothing"/>
      <w:lvlText w:val="（%1）"/>
      <w:lvlJc w:val="left"/>
    </w:lvl>
  </w:abstractNum>
  <w:abstractNum w:abstractNumId="2">
    <w:nsid w:val="7575A0B5"/>
    <w:multiLevelType w:val="singleLevel"/>
    <w:tmpl w:val="7575A0B5"/>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HorizontalSpacing w:val="210"/>
  <w:drawingGridVerticalSpacing w:val="-794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41"/>
    <w:rsid w:val="000012FE"/>
    <w:rsid w:val="00001A45"/>
    <w:rsid w:val="00002FBA"/>
    <w:rsid w:val="000052BD"/>
    <w:rsid w:val="00007B0B"/>
    <w:rsid w:val="00010F39"/>
    <w:rsid w:val="00011A88"/>
    <w:rsid w:val="000125ED"/>
    <w:rsid w:val="00020101"/>
    <w:rsid w:val="000202B3"/>
    <w:rsid w:val="000203D8"/>
    <w:rsid w:val="00024C76"/>
    <w:rsid w:val="00030C8A"/>
    <w:rsid w:val="000342E5"/>
    <w:rsid w:val="000348C7"/>
    <w:rsid w:val="00034E74"/>
    <w:rsid w:val="00035421"/>
    <w:rsid w:val="000362DB"/>
    <w:rsid w:val="00040790"/>
    <w:rsid w:val="000412D2"/>
    <w:rsid w:val="00042BF7"/>
    <w:rsid w:val="00044F62"/>
    <w:rsid w:val="00045225"/>
    <w:rsid w:val="000458CD"/>
    <w:rsid w:val="00045F2C"/>
    <w:rsid w:val="00046BFC"/>
    <w:rsid w:val="00046F79"/>
    <w:rsid w:val="00050797"/>
    <w:rsid w:val="000516B7"/>
    <w:rsid w:val="0005266B"/>
    <w:rsid w:val="00054570"/>
    <w:rsid w:val="00055013"/>
    <w:rsid w:val="00057F8C"/>
    <w:rsid w:val="00060060"/>
    <w:rsid w:val="00060B9F"/>
    <w:rsid w:val="00061575"/>
    <w:rsid w:val="0006288A"/>
    <w:rsid w:val="00065E13"/>
    <w:rsid w:val="000670F5"/>
    <w:rsid w:val="00067324"/>
    <w:rsid w:val="000707DC"/>
    <w:rsid w:val="00072F20"/>
    <w:rsid w:val="00074F28"/>
    <w:rsid w:val="00075125"/>
    <w:rsid w:val="000751B4"/>
    <w:rsid w:val="00075A3D"/>
    <w:rsid w:val="000761E8"/>
    <w:rsid w:val="000809D2"/>
    <w:rsid w:val="00082355"/>
    <w:rsid w:val="000843F8"/>
    <w:rsid w:val="0008476D"/>
    <w:rsid w:val="00084B38"/>
    <w:rsid w:val="00084D14"/>
    <w:rsid w:val="000852CE"/>
    <w:rsid w:val="00087E39"/>
    <w:rsid w:val="00090505"/>
    <w:rsid w:val="000905C5"/>
    <w:rsid w:val="00090C30"/>
    <w:rsid w:val="000914F2"/>
    <w:rsid w:val="000927FE"/>
    <w:rsid w:val="000935EA"/>
    <w:rsid w:val="0009371C"/>
    <w:rsid w:val="00093835"/>
    <w:rsid w:val="00097C20"/>
    <w:rsid w:val="000A0E64"/>
    <w:rsid w:val="000A2A67"/>
    <w:rsid w:val="000A4553"/>
    <w:rsid w:val="000A4D5C"/>
    <w:rsid w:val="000A6A57"/>
    <w:rsid w:val="000A79B8"/>
    <w:rsid w:val="000B2645"/>
    <w:rsid w:val="000B5DAA"/>
    <w:rsid w:val="000B6B0E"/>
    <w:rsid w:val="000B6E91"/>
    <w:rsid w:val="000B725A"/>
    <w:rsid w:val="000B768D"/>
    <w:rsid w:val="000C04FD"/>
    <w:rsid w:val="000C1F38"/>
    <w:rsid w:val="000C2438"/>
    <w:rsid w:val="000C27DF"/>
    <w:rsid w:val="000C299B"/>
    <w:rsid w:val="000C4144"/>
    <w:rsid w:val="000C4D39"/>
    <w:rsid w:val="000C6619"/>
    <w:rsid w:val="000C6D10"/>
    <w:rsid w:val="000C701C"/>
    <w:rsid w:val="000C7AD8"/>
    <w:rsid w:val="000D00BA"/>
    <w:rsid w:val="000D0274"/>
    <w:rsid w:val="000D1184"/>
    <w:rsid w:val="000D3D17"/>
    <w:rsid w:val="000D3E55"/>
    <w:rsid w:val="000D4A31"/>
    <w:rsid w:val="000D59BB"/>
    <w:rsid w:val="000D5DA5"/>
    <w:rsid w:val="000D63D1"/>
    <w:rsid w:val="000D6F67"/>
    <w:rsid w:val="000D7001"/>
    <w:rsid w:val="000E150E"/>
    <w:rsid w:val="000E16C3"/>
    <w:rsid w:val="000E23FB"/>
    <w:rsid w:val="000E2890"/>
    <w:rsid w:val="000E4215"/>
    <w:rsid w:val="000E6626"/>
    <w:rsid w:val="000E6A9E"/>
    <w:rsid w:val="000E7033"/>
    <w:rsid w:val="000E7036"/>
    <w:rsid w:val="000F0055"/>
    <w:rsid w:val="000F0933"/>
    <w:rsid w:val="000F0A5F"/>
    <w:rsid w:val="000F2B4B"/>
    <w:rsid w:val="000F3B2A"/>
    <w:rsid w:val="000F3DAC"/>
    <w:rsid w:val="000F46CF"/>
    <w:rsid w:val="00100BFE"/>
    <w:rsid w:val="00102B48"/>
    <w:rsid w:val="00102B7D"/>
    <w:rsid w:val="001050FF"/>
    <w:rsid w:val="001063A8"/>
    <w:rsid w:val="0010735F"/>
    <w:rsid w:val="00107AB1"/>
    <w:rsid w:val="001106EF"/>
    <w:rsid w:val="00111C97"/>
    <w:rsid w:val="001132CD"/>
    <w:rsid w:val="001176D4"/>
    <w:rsid w:val="00117C19"/>
    <w:rsid w:val="00120615"/>
    <w:rsid w:val="00127047"/>
    <w:rsid w:val="001308B0"/>
    <w:rsid w:val="0013180E"/>
    <w:rsid w:val="00131AB0"/>
    <w:rsid w:val="00131DEE"/>
    <w:rsid w:val="001323ED"/>
    <w:rsid w:val="00133778"/>
    <w:rsid w:val="00133E18"/>
    <w:rsid w:val="00133EA6"/>
    <w:rsid w:val="001344BC"/>
    <w:rsid w:val="001349A8"/>
    <w:rsid w:val="00134E8D"/>
    <w:rsid w:val="00135A7F"/>
    <w:rsid w:val="00142095"/>
    <w:rsid w:val="001425D7"/>
    <w:rsid w:val="001456AD"/>
    <w:rsid w:val="00152890"/>
    <w:rsid w:val="00152BA3"/>
    <w:rsid w:val="00152C70"/>
    <w:rsid w:val="00154AA2"/>
    <w:rsid w:val="00155A95"/>
    <w:rsid w:val="001571A1"/>
    <w:rsid w:val="00160C09"/>
    <w:rsid w:val="00163436"/>
    <w:rsid w:val="001638B2"/>
    <w:rsid w:val="00167D72"/>
    <w:rsid w:val="001729D8"/>
    <w:rsid w:val="00172A27"/>
    <w:rsid w:val="00172F50"/>
    <w:rsid w:val="001739B1"/>
    <w:rsid w:val="00177883"/>
    <w:rsid w:val="00180153"/>
    <w:rsid w:val="0018058C"/>
    <w:rsid w:val="00182F7B"/>
    <w:rsid w:val="0018350E"/>
    <w:rsid w:val="00185CC9"/>
    <w:rsid w:val="001863A1"/>
    <w:rsid w:val="00186BA2"/>
    <w:rsid w:val="00187A35"/>
    <w:rsid w:val="001907CC"/>
    <w:rsid w:val="0019577F"/>
    <w:rsid w:val="00195AB1"/>
    <w:rsid w:val="00197A10"/>
    <w:rsid w:val="001A0513"/>
    <w:rsid w:val="001A2269"/>
    <w:rsid w:val="001A357C"/>
    <w:rsid w:val="001A57BB"/>
    <w:rsid w:val="001A588E"/>
    <w:rsid w:val="001A6BE9"/>
    <w:rsid w:val="001A7AB0"/>
    <w:rsid w:val="001A7B2E"/>
    <w:rsid w:val="001A7BD3"/>
    <w:rsid w:val="001B1B8D"/>
    <w:rsid w:val="001B1EC5"/>
    <w:rsid w:val="001B3970"/>
    <w:rsid w:val="001B678E"/>
    <w:rsid w:val="001B7D80"/>
    <w:rsid w:val="001C1D2C"/>
    <w:rsid w:val="001C3628"/>
    <w:rsid w:val="001C47EE"/>
    <w:rsid w:val="001C6A7B"/>
    <w:rsid w:val="001D0890"/>
    <w:rsid w:val="001D17ED"/>
    <w:rsid w:val="001D209F"/>
    <w:rsid w:val="001D234E"/>
    <w:rsid w:val="001D2D80"/>
    <w:rsid w:val="001D3AFB"/>
    <w:rsid w:val="001D43D9"/>
    <w:rsid w:val="001D5093"/>
    <w:rsid w:val="001D5911"/>
    <w:rsid w:val="001D677E"/>
    <w:rsid w:val="001E13B2"/>
    <w:rsid w:val="001E1F41"/>
    <w:rsid w:val="001E32D7"/>
    <w:rsid w:val="001E3739"/>
    <w:rsid w:val="001E3D6F"/>
    <w:rsid w:val="001E47BA"/>
    <w:rsid w:val="001E5337"/>
    <w:rsid w:val="001E6CBF"/>
    <w:rsid w:val="001F2EF0"/>
    <w:rsid w:val="001F48DB"/>
    <w:rsid w:val="001F5E12"/>
    <w:rsid w:val="001F62AE"/>
    <w:rsid w:val="001F676F"/>
    <w:rsid w:val="001F6B1F"/>
    <w:rsid w:val="001F7052"/>
    <w:rsid w:val="001F7B42"/>
    <w:rsid w:val="001F7D7E"/>
    <w:rsid w:val="001F7EA2"/>
    <w:rsid w:val="00201C67"/>
    <w:rsid w:val="002026D7"/>
    <w:rsid w:val="00202E99"/>
    <w:rsid w:val="00204C1A"/>
    <w:rsid w:val="002054BD"/>
    <w:rsid w:val="00207091"/>
    <w:rsid w:val="00207478"/>
    <w:rsid w:val="00207673"/>
    <w:rsid w:val="00207691"/>
    <w:rsid w:val="00207D5F"/>
    <w:rsid w:val="002121C4"/>
    <w:rsid w:val="00213442"/>
    <w:rsid w:val="002136FD"/>
    <w:rsid w:val="00222052"/>
    <w:rsid w:val="00222E7E"/>
    <w:rsid w:val="00224183"/>
    <w:rsid w:val="00224C87"/>
    <w:rsid w:val="00226EBD"/>
    <w:rsid w:val="0023002A"/>
    <w:rsid w:val="00230133"/>
    <w:rsid w:val="00230416"/>
    <w:rsid w:val="00231E34"/>
    <w:rsid w:val="0023308F"/>
    <w:rsid w:val="002333EF"/>
    <w:rsid w:val="00233F59"/>
    <w:rsid w:val="002345D9"/>
    <w:rsid w:val="00236526"/>
    <w:rsid w:val="00236D30"/>
    <w:rsid w:val="00237145"/>
    <w:rsid w:val="002406FE"/>
    <w:rsid w:val="002409DA"/>
    <w:rsid w:val="002410AA"/>
    <w:rsid w:val="00242167"/>
    <w:rsid w:val="00242772"/>
    <w:rsid w:val="00242D26"/>
    <w:rsid w:val="00245E52"/>
    <w:rsid w:val="00246B0E"/>
    <w:rsid w:val="00247176"/>
    <w:rsid w:val="00247E3B"/>
    <w:rsid w:val="00250B7E"/>
    <w:rsid w:val="00250E0A"/>
    <w:rsid w:val="002518DA"/>
    <w:rsid w:val="00252541"/>
    <w:rsid w:val="0025488E"/>
    <w:rsid w:val="00254EF4"/>
    <w:rsid w:val="002616D0"/>
    <w:rsid w:val="00262E81"/>
    <w:rsid w:val="00263967"/>
    <w:rsid w:val="00265971"/>
    <w:rsid w:val="00266BC9"/>
    <w:rsid w:val="0027098B"/>
    <w:rsid w:val="00271B38"/>
    <w:rsid w:val="00273410"/>
    <w:rsid w:val="00274333"/>
    <w:rsid w:val="00274C6C"/>
    <w:rsid w:val="00274F75"/>
    <w:rsid w:val="00276C91"/>
    <w:rsid w:val="002816FB"/>
    <w:rsid w:val="002821BE"/>
    <w:rsid w:val="00282254"/>
    <w:rsid w:val="002824BF"/>
    <w:rsid w:val="002840E0"/>
    <w:rsid w:val="002840ED"/>
    <w:rsid w:val="002845A4"/>
    <w:rsid w:val="0028722B"/>
    <w:rsid w:val="002877BE"/>
    <w:rsid w:val="002879F1"/>
    <w:rsid w:val="0029048B"/>
    <w:rsid w:val="00294E52"/>
    <w:rsid w:val="00296320"/>
    <w:rsid w:val="002964D5"/>
    <w:rsid w:val="00296F4C"/>
    <w:rsid w:val="002A1658"/>
    <w:rsid w:val="002A36AD"/>
    <w:rsid w:val="002A3B7B"/>
    <w:rsid w:val="002A5F9B"/>
    <w:rsid w:val="002A7362"/>
    <w:rsid w:val="002B0462"/>
    <w:rsid w:val="002B1CB3"/>
    <w:rsid w:val="002B1FF3"/>
    <w:rsid w:val="002B2830"/>
    <w:rsid w:val="002B2913"/>
    <w:rsid w:val="002B4F2E"/>
    <w:rsid w:val="002B5D46"/>
    <w:rsid w:val="002B7E73"/>
    <w:rsid w:val="002C3A81"/>
    <w:rsid w:val="002C4417"/>
    <w:rsid w:val="002C5963"/>
    <w:rsid w:val="002C6335"/>
    <w:rsid w:val="002C6F25"/>
    <w:rsid w:val="002D0369"/>
    <w:rsid w:val="002D072D"/>
    <w:rsid w:val="002D1F46"/>
    <w:rsid w:val="002D2A6F"/>
    <w:rsid w:val="002D3608"/>
    <w:rsid w:val="002D3B47"/>
    <w:rsid w:val="002D73EB"/>
    <w:rsid w:val="002D7469"/>
    <w:rsid w:val="002D76E5"/>
    <w:rsid w:val="002E0262"/>
    <w:rsid w:val="002E1D30"/>
    <w:rsid w:val="002E1D71"/>
    <w:rsid w:val="002E1DB2"/>
    <w:rsid w:val="002E2B53"/>
    <w:rsid w:val="002E3DC1"/>
    <w:rsid w:val="002F191D"/>
    <w:rsid w:val="002F2CC1"/>
    <w:rsid w:val="002F5E87"/>
    <w:rsid w:val="002F7217"/>
    <w:rsid w:val="00301075"/>
    <w:rsid w:val="00301571"/>
    <w:rsid w:val="00301D58"/>
    <w:rsid w:val="00303383"/>
    <w:rsid w:val="003039DB"/>
    <w:rsid w:val="00303DFB"/>
    <w:rsid w:val="00306662"/>
    <w:rsid w:val="00306D52"/>
    <w:rsid w:val="00307141"/>
    <w:rsid w:val="00310293"/>
    <w:rsid w:val="003102FB"/>
    <w:rsid w:val="00310603"/>
    <w:rsid w:val="003125A4"/>
    <w:rsid w:val="00312E4B"/>
    <w:rsid w:val="003135F5"/>
    <w:rsid w:val="00313D5A"/>
    <w:rsid w:val="003143EE"/>
    <w:rsid w:val="00315A71"/>
    <w:rsid w:val="00315AC1"/>
    <w:rsid w:val="003214D6"/>
    <w:rsid w:val="00321DEC"/>
    <w:rsid w:val="003254F2"/>
    <w:rsid w:val="003267F0"/>
    <w:rsid w:val="0032727E"/>
    <w:rsid w:val="00334892"/>
    <w:rsid w:val="003356D6"/>
    <w:rsid w:val="00336DA8"/>
    <w:rsid w:val="003374F9"/>
    <w:rsid w:val="00337511"/>
    <w:rsid w:val="00337E8B"/>
    <w:rsid w:val="0034376B"/>
    <w:rsid w:val="00343CDD"/>
    <w:rsid w:val="00344785"/>
    <w:rsid w:val="00345DF4"/>
    <w:rsid w:val="00345E20"/>
    <w:rsid w:val="00346A5D"/>
    <w:rsid w:val="00346C31"/>
    <w:rsid w:val="003479AC"/>
    <w:rsid w:val="00350692"/>
    <w:rsid w:val="00352C76"/>
    <w:rsid w:val="003537A5"/>
    <w:rsid w:val="00353CD1"/>
    <w:rsid w:val="003571F9"/>
    <w:rsid w:val="0035725F"/>
    <w:rsid w:val="003605D8"/>
    <w:rsid w:val="00360D3A"/>
    <w:rsid w:val="00361D2A"/>
    <w:rsid w:val="00362C05"/>
    <w:rsid w:val="00365053"/>
    <w:rsid w:val="00366D1B"/>
    <w:rsid w:val="00370994"/>
    <w:rsid w:val="0037387B"/>
    <w:rsid w:val="00373E70"/>
    <w:rsid w:val="003745CE"/>
    <w:rsid w:val="003773DD"/>
    <w:rsid w:val="003775FB"/>
    <w:rsid w:val="00377641"/>
    <w:rsid w:val="00377998"/>
    <w:rsid w:val="00381DD1"/>
    <w:rsid w:val="003844B4"/>
    <w:rsid w:val="00385453"/>
    <w:rsid w:val="003868DB"/>
    <w:rsid w:val="00386DD0"/>
    <w:rsid w:val="003907A2"/>
    <w:rsid w:val="00390DE5"/>
    <w:rsid w:val="003932C3"/>
    <w:rsid w:val="00393842"/>
    <w:rsid w:val="0039450E"/>
    <w:rsid w:val="003946BB"/>
    <w:rsid w:val="003949AC"/>
    <w:rsid w:val="00395531"/>
    <w:rsid w:val="0039590D"/>
    <w:rsid w:val="003971A5"/>
    <w:rsid w:val="00397587"/>
    <w:rsid w:val="003A36C0"/>
    <w:rsid w:val="003A527E"/>
    <w:rsid w:val="003A6882"/>
    <w:rsid w:val="003A75D2"/>
    <w:rsid w:val="003B0141"/>
    <w:rsid w:val="003B11B5"/>
    <w:rsid w:val="003B353B"/>
    <w:rsid w:val="003B4BC5"/>
    <w:rsid w:val="003B54AB"/>
    <w:rsid w:val="003B6C8B"/>
    <w:rsid w:val="003B6F74"/>
    <w:rsid w:val="003C0628"/>
    <w:rsid w:val="003C234F"/>
    <w:rsid w:val="003C4B86"/>
    <w:rsid w:val="003D0AD7"/>
    <w:rsid w:val="003D1FF1"/>
    <w:rsid w:val="003D439A"/>
    <w:rsid w:val="003D4CDE"/>
    <w:rsid w:val="003D723A"/>
    <w:rsid w:val="003E24B3"/>
    <w:rsid w:val="003E2E48"/>
    <w:rsid w:val="003E33B1"/>
    <w:rsid w:val="003E5E2D"/>
    <w:rsid w:val="003E6133"/>
    <w:rsid w:val="003E6AF5"/>
    <w:rsid w:val="003F342D"/>
    <w:rsid w:val="003F5D2F"/>
    <w:rsid w:val="003F758A"/>
    <w:rsid w:val="00400026"/>
    <w:rsid w:val="0040080A"/>
    <w:rsid w:val="00400AD9"/>
    <w:rsid w:val="00400B58"/>
    <w:rsid w:val="00400DF5"/>
    <w:rsid w:val="004024F6"/>
    <w:rsid w:val="00403796"/>
    <w:rsid w:val="004057F7"/>
    <w:rsid w:val="0040793B"/>
    <w:rsid w:val="004104F0"/>
    <w:rsid w:val="0041132F"/>
    <w:rsid w:val="00411445"/>
    <w:rsid w:val="0041271F"/>
    <w:rsid w:val="0041378E"/>
    <w:rsid w:val="00416590"/>
    <w:rsid w:val="00416B76"/>
    <w:rsid w:val="004232B6"/>
    <w:rsid w:val="00423D81"/>
    <w:rsid w:val="004242B1"/>
    <w:rsid w:val="00424AC8"/>
    <w:rsid w:val="00425BA0"/>
    <w:rsid w:val="004266AA"/>
    <w:rsid w:val="00427272"/>
    <w:rsid w:val="00430A30"/>
    <w:rsid w:val="00431A2E"/>
    <w:rsid w:val="00433E4D"/>
    <w:rsid w:val="00434073"/>
    <w:rsid w:val="00437D9E"/>
    <w:rsid w:val="0044255F"/>
    <w:rsid w:val="00443A96"/>
    <w:rsid w:val="00443AE1"/>
    <w:rsid w:val="004467FD"/>
    <w:rsid w:val="00447816"/>
    <w:rsid w:val="00447E67"/>
    <w:rsid w:val="00450678"/>
    <w:rsid w:val="004509C9"/>
    <w:rsid w:val="00450B5F"/>
    <w:rsid w:val="00451367"/>
    <w:rsid w:val="00451A47"/>
    <w:rsid w:val="00454419"/>
    <w:rsid w:val="00456C80"/>
    <w:rsid w:val="00456E7F"/>
    <w:rsid w:val="00460521"/>
    <w:rsid w:val="00461FC7"/>
    <w:rsid w:val="00462195"/>
    <w:rsid w:val="004628FC"/>
    <w:rsid w:val="00463749"/>
    <w:rsid w:val="00465C57"/>
    <w:rsid w:val="0047133B"/>
    <w:rsid w:val="00472608"/>
    <w:rsid w:val="004729B7"/>
    <w:rsid w:val="004729BC"/>
    <w:rsid w:val="004750ED"/>
    <w:rsid w:val="0047522E"/>
    <w:rsid w:val="00475B94"/>
    <w:rsid w:val="00476B23"/>
    <w:rsid w:val="004820A9"/>
    <w:rsid w:val="00482353"/>
    <w:rsid w:val="00483374"/>
    <w:rsid w:val="0048384C"/>
    <w:rsid w:val="00484076"/>
    <w:rsid w:val="00484868"/>
    <w:rsid w:val="0048573E"/>
    <w:rsid w:val="004864F6"/>
    <w:rsid w:val="00487036"/>
    <w:rsid w:val="004910AA"/>
    <w:rsid w:val="00492C4F"/>
    <w:rsid w:val="004936B6"/>
    <w:rsid w:val="00493E85"/>
    <w:rsid w:val="00493FFD"/>
    <w:rsid w:val="0049401C"/>
    <w:rsid w:val="004968A0"/>
    <w:rsid w:val="004A018E"/>
    <w:rsid w:val="004A148E"/>
    <w:rsid w:val="004A160F"/>
    <w:rsid w:val="004A3732"/>
    <w:rsid w:val="004A3EB4"/>
    <w:rsid w:val="004A4765"/>
    <w:rsid w:val="004A56E2"/>
    <w:rsid w:val="004A5833"/>
    <w:rsid w:val="004A5E6A"/>
    <w:rsid w:val="004A5E7D"/>
    <w:rsid w:val="004A5FCB"/>
    <w:rsid w:val="004A768C"/>
    <w:rsid w:val="004B1BCD"/>
    <w:rsid w:val="004B2A7F"/>
    <w:rsid w:val="004C03D4"/>
    <w:rsid w:val="004C38A2"/>
    <w:rsid w:val="004C4603"/>
    <w:rsid w:val="004C52C3"/>
    <w:rsid w:val="004C60FF"/>
    <w:rsid w:val="004C6867"/>
    <w:rsid w:val="004C798E"/>
    <w:rsid w:val="004C79AB"/>
    <w:rsid w:val="004C7D94"/>
    <w:rsid w:val="004C7ECC"/>
    <w:rsid w:val="004D1C05"/>
    <w:rsid w:val="004D6059"/>
    <w:rsid w:val="004D79F3"/>
    <w:rsid w:val="004E08A9"/>
    <w:rsid w:val="004E10E1"/>
    <w:rsid w:val="004E111E"/>
    <w:rsid w:val="004E11F8"/>
    <w:rsid w:val="004E1CC3"/>
    <w:rsid w:val="004E29B9"/>
    <w:rsid w:val="004E4A2C"/>
    <w:rsid w:val="004E50CA"/>
    <w:rsid w:val="004E6FC1"/>
    <w:rsid w:val="004E7455"/>
    <w:rsid w:val="004E7DC0"/>
    <w:rsid w:val="004F2F6F"/>
    <w:rsid w:val="004F3BA7"/>
    <w:rsid w:val="004F53ED"/>
    <w:rsid w:val="004F7DA4"/>
    <w:rsid w:val="005006ED"/>
    <w:rsid w:val="005022CD"/>
    <w:rsid w:val="005035B0"/>
    <w:rsid w:val="00505AA7"/>
    <w:rsid w:val="00506CAC"/>
    <w:rsid w:val="0050712E"/>
    <w:rsid w:val="00507F0C"/>
    <w:rsid w:val="0051066A"/>
    <w:rsid w:val="00513F08"/>
    <w:rsid w:val="0051564B"/>
    <w:rsid w:val="00515B46"/>
    <w:rsid w:val="00516AEE"/>
    <w:rsid w:val="005214D6"/>
    <w:rsid w:val="00522845"/>
    <w:rsid w:val="00523337"/>
    <w:rsid w:val="0053213A"/>
    <w:rsid w:val="0053395D"/>
    <w:rsid w:val="005345A1"/>
    <w:rsid w:val="00537A0F"/>
    <w:rsid w:val="00544233"/>
    <w:rsid w:val="00545CCC"/>
    <w:rsid w:val="00546E0B"/>
    <w:rsid w:val="00550A58"/>
    <w:rsid w:val="00557173"/>
    <w:rsid w:val="005610C5"/>
    <w:rsid w:val="0056706D"/>
    <w:rsid w:val="00571577"/>
    <w:rsid w:val="00572E3B"/>
    <w:rsid w:val="00576A63"/>
    <w:rsid w:val="00577988"/>
    <w:rsid w:val="00577B13"/>
    <w:rsid w:val="00585035"/>
    <w:rsid w:val="00585511"/>
    <w:rsid w:val="00586D0F"/>
    <w:rsid w:val="00587705"/>
    <w:rsid w:val="00587977"/>
    <w:rsid w:val="00587AC0"/>
    <w:rsid w:val="00590896"/>
    <w:rsid w:val="00593E52"/>
    <w:rsid w:val="005A2898"/>
    <w:rsid w:val="005A515F"/>
    <w:rsid w:val="005A7D5E"/>
    <w:rsid w:val="005B02BF"/>
    <w:rsid w:val="005B02D4"/>
    <w:rsid w:val="005B0CF6"/>
    <w:rsid w:val="005B2285"/>
    <w:rsid w:val="005B5873"/>
    <w:rsid w:val="005B5FE2"/>
    <w:rsid w:val="005B7D3D"/>
    <w:rsid w:val="005C04F7"/>
    <w:rsid w:val="005C104A"/>
    <w:rsid w:val="005C1402"/>
    <w:rsid w:val="005C34DC"/>
    <w:rsid w:val="005C6B99"/>
    <w:rsid w:val="005C72DA"/>
    <w:rsid w:val="005C7485"/>
    <w:rsid w:val="005D159B"/>
    <w:rsid w:val="005D2FDA"/>
    <w:rsid w:val="005D3766"/>
    <w:rsid w:val="005D6748"/>
    <w:rsid w:val="005D6B87"/>
    <w:rsid w:val="005E1E4B"/>
    <w:rsid w:val="005E2150"/>
    <w:rsid w:val="005E4A4C"/>
    <w:rsid w:val="005E5042"/>
    <w:rsid w:val="005E5396"/>
    <w:rsid w:val="005E6209"/>
    <w:rsid w:val="005F011F"/>
    <w:rsid w:val="005F029D"/>
    <w:rsid w:val="005F4210"/>
    <w:rsid w:val="005F4B1F"/>
    <w:rsid w:val="005F5FE0"/>
    <w:rsid w:val="005F6B9A"/>
    <w:rsid w:val="005F722A"/>
    <w:rsid w:val="006008EF"/>
    <w:rsid w:val="00602A0A"/>
    <w:rsid w:val="006041D5"/>
    <w:rsid w:val="00605315"/>
    <w:rsid w:val="00606CF3"/>
    <w:rsid w:val="00614618"/>
    <w:rsid w:val="00615C6B"/>
    <w:rsid w:val="0062293F"/>
    <w:rsid w:val="00623B2C"/>
    <w:rsid w:val="006245B2"/>
    <w:rsid w:val="00624B8B"/>
    <w:rsid w:val="00625914"/>
    <w:rsid w:val="00625FC4"/>
    <w:rsid w:val="00626F43"/>
    <w:rsid w:val="006304CC"/>
    <w:rsid w:val="006305C7"/>
    <w:rsid w:val="006326BB"/>
    <w:rsid w:val="00633112"/>
    <w:rsid w:val="00634254"/>
    <w:rsid w:val="00634349"/>
    <w:rsid w:val="00635338"/>
    <w:rsid w:val="006368D0"/>
    <w:rsid w:val="00641053"/>
    <w:rsid w:val="00644967"/>
    <w:rsid w:val="00650FB0"/>
    <w:rsid w:val="00651BCA"/>
    <w:rsid w:val="006567EE"/>
    <w:rsid w:val="00656979"/>
    <w:rsid w:val="00656EBD"/>
    <w:rsid w:val="006574CA"/>
    <w:rsid w:val="00657664"/>
    <w:rsid w:val="0066011C"/>
    <w:rsid w:val="00660D08"/>
    <w:rsid w:val="006624E9"/>
    <w:rsid w:val="00666139"/>
    <w:rsid w:val="00666EB3"/>
    <w:rsid w:val="006704E7"/>
    <w:rsid w:val="00670718"/>
    <w:rsid w:val="006719BF"/>
    <w:rsid w:val="00671FF9"/>
    <w:rsid w:val="006727E4"/>
    <w:rsid w:val="00675BE3"/>
    <w:rsid w:val="006762C3"/>
    <w:rsid w:val="00686E49"/>
    <w:rsid w:val="00690CE4"/>
    <w:rsid w:val="00691569"/>
    <w:rsid w:val="00693635"/>
    <w:rsid w:val="00693701"/>
    <w:rsid w:val="0069444A"/>
    <w:rsid w:val="0069557F"/>
    <w:rsid w:val="006A15A3"/>
    <w:rsid w:val="006A1817"/>
    <w:rsid w:val="006A541C"/>
    <w:rsid w:val="006B2E01"/>
    <w:rsid w:val="006B32C1"/>
    <w:rsid w:val="006B37D8"/>
    <w:rsid w:val="006B418C"/>
    <w:rsid w:val="006B53AF"/>
    <w:rsid w:val="006C2524"/>
    <w:rsid w:val="006C2F0F"/>
    <w:rsid w:val="006C621D"/>
    <w:rsid w:val="006C6478"/>
    <w:rsid w:val="006C6FB5"/>
    <w:rsid w:val="006C7C44"/>
    <w:rsid w:val="006D0382"/>
    <w:rsid w:val="006E1AAD"/>
    <w:rsid w:val="006E3634"/>
    <w:rsid w:val="006E3A13"/>
    <w:rsid w:val="006E4654"/>
    <w:rsid w:val="006E4D80"/>
    <w:rsid w:val="006E6B41"/>
    <w:rsid w:val="006E6D3E"/>
    <w:rsid w:val="006F05B1"/>
    <w:rsid w:val="006F1E02"/>
    <w:rsid w:val="006F2097"/>
    <w:rsid w:val="006F2BCD"/>
    <w:rsid w:val="006F4E99"/>
    <w:rsid w:val="006F58A4"/>
    <w:rsid w:val="006F6E14"/>
    <w:rsid w:val="006F7A31"/>
    <w:rsid w:val="007013B5"/>
    <w:rsid w:val="007013D3"/>
    <w:rsid w:val="00706767"/>
    <w:rsid w:val="0070781C"/>
    <w:rsid w:val="00707D6E"/>
    <w:rsid w:val="00710B01"/>
    <w:rsid w:val="00710BF9"/>
    <w:rsid w:val="00714110"/>
    <w:rsid w:val="00714286"/>
    <w:rsid w:val="00714499"/>
    <w:rsid w:val="00714DC9"/>
    <w:rsid w:val="007164DE"/>
    <w:rsid w:val="007207ED"/>
    <w:rsid w:val="0072080C"/>
    <w:rsid w:val="0072113B"/>
    <w:rsid w:val="00722AF9"/>
    <w:rsid w:val="0072382E"/>
    <w:rsid w:val="00726C57"/>
    <w:rsid w:val="00730424"/>
    <w:rsid w:val="00731CFD"/>
    <w:rsid w:val="00733C23"/>
    <w:rsid w:val="00735744"/>
    <w:rsid w:val="0073652F"/>
    <w:rsid w:val="00740198"/>
    <w:rsid w:val="00742B1E"/>
    <w:rsid w:val="00742F58"/>
    <w:rsid w:val="007432E0"/>
    <w:rsid w:val="00743AA0"/>
    <w:rsid w:val="00744EC2"/>
    <w:rsid w:val="007454D6"/>
    <w:rsid w:val="00745686"/>
    <w:rsid w:val="007459C2"/>
    <w:rsid w:val="007461B1"/>
    <w:rsid w:val="00746EF9"/>
    <w:rsid w:val="00750E6B"/>
    <w:rsid w:val="00751843"/>
    <w:rsid w:val="00752998"/>
    <w:rsid w:val="0075363A"/>
    <w:rsid w:val="0075382A"/>
    <w:rsid w:val="00754757"/>
    <w:rsid w:val="00754920"/>
    <w:rsid w:val="0075642A"/>
    <w:rsid w:val="00757D50"/>
    <w:rsid w:val="00761F15"/>
    <w:rsid w:val="00770E83"/>
    <w:rsid w:val="0077118C"/>
    <w:rsid w:val="0077344C"/>
    <w:rsid w:val="007743FC"/>
    <w:rsid w:val="007750C1"/>
    <w:rsid w:val="00775318"/>
    <w:rsid w:val="00776DB2"/>
    <w:rsid w:val="00777309"/>
    <w:rsid w:val="007801BB"/>
    <w:rsid w:val="00780F53"/>
    <w:rsid w:val="00781409"/>
    <w:rsid w:val="007831A5"/>
    <w:rsid w:val="0078475D"/>
    <w:rsid w:val="00787342"/>
    <w:rsid w:val="00794791"/>
    <w:rsid w:val="00794E3E"/>
    <w:rsid w:val="00795983"/>
    <w:rsid w:val="00796114"/>
    <w:rsid w:val="007965E8"/>
    <w:rsid w:val="00796AA0"/>
    <w:rsid w:val="007A13B5"/>
    <w:rsid w:val="007A4904"/>
    <w:rsid w:val="007A508A"/>
    <w:rsid w:val="007A5299"/>
    <w:rsid w:val="007B0C29"/>
    <w:rsid w:val="007B1FA2"/>
    <w:rsid w:val="007B31AD"/>
    <w:rsid w:val="007B5F93"/>
    <w:rsid w:val="007B61FD"/>
    <w:rsid w:val="007B7804"/>
    <w:rsid w:val="007C0CBE"/>
    <w:rsid w:val="007C165E"/>
    <w:rsid w:val="007C4231"/>
    <w:rsid w:val="007C630F"/>
    <w:rsid w:val="007D0D41"/>
    <w:rsid w:val="007D344E"/>
    <w:rsid w:val="007D7C9E"/>
    <w:rsid w:val="007E0631"/>
    <w:rsid w:val="007E1315"/>
    <w:rsid w:val="007E1B5E"/>
    <w:rsid w:val="007E289B"/>
    <w:rsid w:val="007E4F01"/>
    <w:rsid w:val="007E4FBE"/>
    <w:rsid w:val="007E6C1C"/>
    <w:rsid w:val="007E6D5E"/>
    <w:rsid w:val="007E6D68"/>
    <w:rsid w:val="007F1086"/>
    <w:rsid w:val="007F12AE"/>
    <w:rsid w:val="007F2E1E"/>
    <w:rsid w:val="007F5416"/>
    <w:rsid w:val="007F5581"/>
    <w:rsid w:val="007F718C"/>
    <w:rsid w:val="007F77A9"/>
    <w:rsid w:val="008015A2"/>
    <w:rsid w:val="00801B66"/>
    <w:rsid w:val="008025CC"/>
    <w:rsid w:val="00804465"/>
    <w:rsid w:val="00806BB7"/>
    <w:rsid w:val="00807999"/>
    <w:rsid w:val="008079B0"/>
    <w:rsid w:val="008101BF"/>
    <w:rsid w:val="008103E9"/>
    <w:rsid w:val="0081531A"/>
    <w:rsid w:val="00816257"/>
    <w:rsid w:val="00817012"/>
    <w:rsid w:val="0081780B"/>
    <w:rsid w:val="0082103A"/>
    <w:rsid w:val="00821A9E"/>
    <w:rsid w:val="0082381B"/>
    <w:rsid w:val="008240C6"/>
    <w:rsid w:val="0082546E"/>
    <w:rsid w:val="00826315"/>
    <w:rsid w:val="00826E5C"/>
    <w:rsid w:val="00830E8D"/>
    <w:rsid w:val="00832F2C"/>
    <w:rsid w:val="00836D4E"/>
    <w:rsid w:val="00837ED3"/>
    <w:rsid w:val="008418DA"/>
    <w:rsid w:val="00841ACB"/>
    <w:rsid w:val="008438B9"/>
    <w:rsid w:val="00843C27"/>
    <w:rsid w:val="008500F9"/>
    <w:rsid w:val="0085145A"/>
    <w:rsid w:val="00851DCE"/>
    <w:rsid w:val="00851F92"/>
    <w:rsid w:val="00851FA2"/>
    <w:rsid w:val="008521F4"/>
    <w:rsid w:val="00854A22"/>
    <w:rsid w:val="00854F27"/>
    <w:rsid w:val="0085546A"/>
    <w:rsid w:val="00855672"/>
    <w:rsid w:val="008559DC"/>
    <w:rsid w:val="00856928"/>
    <w:rsid w:val="00863E0A"/>
    <w:rsid w:val="0086551C"/>
    <w:rsid w:val="00866C5A"/>
    <w:rsid w:val="00867F68"/>
    <w:rsid w:val="00870197"/>
    <w:rsid w:val="0087216B"/>
    <w:rsid w:val="008767F3"/>
    <w:rsid w:val="00877718"/>
    <w:rsid w:val="00880B18"/>
    <w:rsid w:val="00880B67"/>
    <w:rsid w:val="00881651"/>
    <w:rsid w:val="008838A0"/>
    <w:rsid w:val="00884B7E"/>
    <w:rsid w:val="00884BE5"/>
    <w:rsid w:val="008921F5"/>
    <w:rsid w:val="00892EB2"/>
    <w:rsid w:val="00893E84"/>
    <w:rsid w:val="008950F4"/>
    <w:rsid w:val="00895880"/>
    <w:rsid w:val="008975D1"/>
    <w:rsid w:val="008A0A07"/>
    <w:rsid w:val="008A17C4"/>
    <w:rsid w:val="008A248D"/>
    <w:rsid w:val="008A35F5"/>
    <w:rsid w:val="008A4DCB"/>
    <w:rsid w:val="008A62AA"/>
    <w:rsid w:val="008A6516"/>
    <w:rsid w:val="008A6931"/>
    <w:rsid w:val="008B235F"/>
    <w:rsid w:val="008B6A8A"/>
    <w:rsid w:val="008B71A0"/>
    <w:rsid w:val="008C0B30"/>
    <w:rsid w:val="008C5039"/>
    <w:rsid w:val="008C5131"/>
    <w:rsid w:val="008C6801"/>
    <w:rsid w:val="008C697F"/>
    <w:rsid w:val="008D00B4"/>
    <w:rsid w:val="008D2B6A"/>
    <w:rsid w:val="008D6BB7"/>
    <w:rsid w:val="008E11DB"/>
    <w:rsid w:val="008E1D36"/>
    <w:rsid w:val="008E37C0"/>
    <w:rsid w:val="008E5F67"/>
    <w:rsid w:val="008E69C1"/>
    <w:rsid w:val="008E7EF3"/>
    <w:rsid w:val="008F16D7"/>
    <w:rsid w:val="008F1999"/>
    <w:rsid w:val="008F3C15"/>
    <w:rsid w:val="008F3FB5"/>
    <w:rsid w:val="008F68F4"/>
    <w:rsid w:val="008F75A2"/>
    <w:rsid w:val="009014B8"/>
    <w:rsid w:val="00905BD9"/>
    <w:rsid w:val="00906AEB"/>
    <w:rsid w:val="00906C30"/>
    <w:rsid w:val="00906EFE"/>
    <w:rsid w:val="00910AD3"/>
    <w:rsid w:val="0091418C"/>
    <w:rsid w:val="00915CEF"/>
    <w:rsid w:val="009161C8"/>
    <w:rsid w:val="0091639F"/>
    <w:rsid w:val="00916FF4"/>
    <w:rsid w:val="009201A8"/>
    <w:rsid w:val="00920E2F"/>
    <w:rsid w:val="00921349"/>
    <w:rsid w:val="00921748"/>
    <w:rsid w:val="009220D6"/>
    <w:rsid w:val="00923F1F"/>
    <w:rsid w:val="009262D3"/>
    <w:rsid w:val="009275E9"/>
    <w:rsid w:val="00930734"/>
    <w:rsid w:val="00930E9C"/>
    <w:rsid w:val="00931A7F"/>
    <w:rsid w:val="009321BC"/>
    <w:rsid w:val="00934BF1"/>
    <w:rsid w:val="009369DA"/>
    <w:rsid w:val="00941288"/>
    <w:rsid w:val="0094167D"/>
    <w:rsid w:val="00944636"/>
    <w:rsid w:val="00946276"/>
    <w:rsid w:val="00946FCF"/>
    <w:rsid w:val="00947470"/>
    <w:rsid w:val="00947A02"/>
    <w:rsid w:val="00947F2E"/>
    <w:rsid w:val="009515D2"/>
    <w:rsid w:val="0095651C"/>
    <w:rsid w:val="00960B09"/>
    <w:rsid w:val="00961D0C"/>
    <w:rsid w:val="00964C32"/>
    <w:rsid w:val="00966EDF"/>
    <w:rsid w:val="00970A68"/>
    <w:rsid w:val="0097455E"/>
    <w:rsid w:val="009753A2"/>
    <w:rsid w:val="00976E6A"/>
    <w:rsid w:val="009779EE"/>
    <w:rsid w:val="00977DF6"/>
    <w:rsid w:val="00981168"/>
    <w:rsid w:val="00982639"/>
    <w:rsid w:val="00983AB3"/>
    <w:rsid w:val="00984996"/>
    <w:rsid w:val="00984A05"/>
    <w:rsid w:val="00985ADF"/>
    <w:rsid w:val="009860D3"/>
    <w:rsid w:val="00986357"/>
    <w:rsid w:val="00986AFD"/>
    <w:rsid w:val="00986CDF"/>
    <w:rsid w:val="0098708B"/>
    <w:rsid w:val="009918C5"/>
    <w:rsid w:val="00993134"/>
    <w:rsid w:val="00993309"/>
    <w:rsid w:val="00994306"/>
    <w:rsid w:val="00994771"/>
    <w:rsid w:val="00995A8E"/>
    <w:rsid w:val="00995F95"/>
    <w:rsid w:val="00996478"/>
    <w:rsid w:val="00996C99"/>
    <w:rsid w:val="00996F94"/>
    <w:rsid w:val="00997C6D"/>
    <w:rsid w:val="009A0083"/>
    <w:rsid w:val="009A07A2"/>
    <w:rsid w:val="009A2031"/>
    <w:rsid w:val="009A24E6"/>
    <w:rsid w:val="009A34E2"/>
    <w:rsid w:val="009A49D0"/>
    <w:rsid w:val="009A57E9"/>
    <w:rsid w:val="009B1239"/>
    <w:rsid w:val="009B4750"/>
    <w:rsid w:val="009B6A8A"/>
    <w:rsid w:val="009B735B"/>
    <w:rsid w:val="009C0522"/>
    <w:rsid w:val="009C24E7"/>
    <w:rsid w:val="009C2A13"/>
    <w:rsid w:val="009C42CC"/>
    <w:rsid w:val="009D0C41"/>
    <w:rsid w:val="009D12E3"/>
    <w:rsid w:val="009D6365"/>
    <w:rsid w:val="009D7657"/>
    <w:rsid w:val="009E1CB9"/>
    <w:rsid w:val="009E2E3E"/>
    <w:rsid w:val="009E3509"/>
    <w:rsid w:val="009E43ED"/>
    <w:rsid w:val="009E4ABA"/>
    <w:rsid w:val="009E5251"/>
    <w:rsid w:val="009E5789"/>
    <w:rsid w:val="009E7F03"/>
    <w:rsid w:val="009F0B9C"/>
    <w:rsid w:val="009F4901"/>
    <w:rsid w:val="009F5A96"/>
    <w:rsid w:val="009F6B45"/>
    <w:rsid w:val="009F7E12"/>
    <w:rsid w:val="00A00A2B"/>
    <w:rsid w:val="00A02645"/>
    <w:rsid w:val="00A02CF1"/>
    <w:rsid w:val="00A044FB"/>
    <w:rsid w:val="00A04653"/>
    <w:rsid w:val="00A054C1"/>
    <w:rsid w:val="00A0798E"/>
    <w:rsid w:val="00A11853"/>
    <w:rsid w:val="00A11BEF"/>
    <w:rsid w:val="00A14D3A"/>
    <w:rsid w:val="00A17469"/>
    <w:rsid w:val="00A2014B"/>
    <w:rsid w:val="00A223F5"/>
    <w:rsid w:val="00A23468"/>
    <w:rsid w:val="00A27D7B"/>
    <w:rsid w:val="00A27FAF"/>
    <w:rsid w:val="00A313B9"/>
    <w:rsid w:val="00A3173A"/>
    <w:rsid w:val="00A31F4A"/>
    <w:rsid w:val="00A338D2"/>
    <w:rsid w:val="00A34414"/>
    <w:rsid w:val="00A3539F"/>
    <w:rsid w:val="00A35B00"/>
    <w:rsid w:val="00A361E8"/>
    <w:rsid w:val="00A36D6A"/>
    <w:rsid w:val="00A376A9"/>
    <w:rsid w:val="00A40866"/>
    <w:rsid w:val="00A42A07"/>
    <w:rsid w:val="00A43C63"/>
    <w:rsid w:val="00A4687B"/>
    <w:rsid w:val="00A4796C"/>
    <w:rsid w:val="00A51256"/>
    <w:rsid w:val="00A5261D"/>
    <w:rsid w:val="00A53EFB"/>
    <w:rsid w:val="00A54A07"/>
    <w:rsid w:val="00A55A9E"/>
    <w:rsid w:val="00A55F29"/>
    <w:rsid w:val="00A55FBA"/>
    <w:rsid w:val="00A5609A"/>
    <w:rsid w:val="00A568D4"/>
    <w:rsid w:val="00A6029C"/>
    <w:rsid w:val="00A62588"/>
    <w:rsid w:val="00A642A4"/>
    <w:rsid w:val="00A67F84"/>
    <w:rsid w:val="00A70189"/>
    <w:rsid w:val="00A71391"/>
    <w:rsid w:val="00A71F70"/>
    <w:rsid w:val="00A73775"/>
    <w:rsid w:val="00A744ED"/>
    <w:rsid w:val="00A74F3A"/>
    <w:rsid w:val="00A81505"/>
    <w:rsid w:val="00A81F37"/>
    <w:rsid w:val="00A83197"/>
    <w:rsid w:val="00A83FC3"/>
    <w:rsid w:val="00A871F9"/>
    <w:rsid w:val="00A8742A"/>
    <w:rsid w:val="00A938D9"/>
    <w:rsid w:val="00A964D7"/>
    <w:rsid w:val="00A9685D"/>
    <w:rsid w:val="00AA15BE"/>
    <w:rsid w:val="00AA633C"/>
    <w:rsid w:val="00AA71BC"/>
    <w:rsid w:val="00AA763A"/>
    <w:rsid w:val="00AB0C97"/>
    <w:rsid w:val="00AB1F25"/>
    <w:rsid w:val="00AB3162"/>
    <w:rsid w:val="00AB3ECE"/>
    <w:rsid w:val="00AB53F1"/>
    <w:rsid w:val="00AB5E38"/>
    <w:rsid w:val="00AB7FB2"/>
    <w:rsid w:val="00AC1996"/>
    <w:rsid w:val="00AC1D10"/>
    <w:rsid w:val="00AC3FB3"/>
    <w:rsid w:val="00AC4A0A"/>
    <w:rsid w:val="00AC4A33"/>
    <w:rsid w:val="00AC7770"/>
    <w:rsid w:val="00AD175D"/>
    <w:rsid w:val="00AD2668"/>
    <w:rsid w:val="00AD28AC"/>
    <w:rsid w:val="00AD306A"/>
    <w:rsid w:val="00AD4B95"/>
    <w:rsid w:val="00AD778D"/>
    <w:rsid w:val="00AE0CDD"/>
    <w:rsid w:val="00AE0F5E"/>
    <w:rsid w:val="00AE43E2"/>
    <w:rsid w:val="00AE46C2"/>
    <w:rsid w:val="00AE4ED3"/>
    <w:rsid w:val="00AE506A"/>
    <w:rsid w:val="00AF0649"/>
    <w:rsid w:val="00AF091D"/>
    <w:rsid w:val="00AF5467"/>
    <w:rsid w:val="00AF61F3"/>
    <w:rsid w:val="00AF6D3C"/>
    <w:rsid w:val="00B01FB0"/>
    <w:rsid w:val="00B0227D"/>
    <w:rsid w:val="00B05615"/>
    <w:rsid w:val="00B0568C"/>
    <w:rsid w:val="00B10C85"/>
    <w:rsid w:val="00B10CD4"/>
    <w:rsid w:val="00B13B18"/>
    <w:rsid w:val="00B14AD4"/>
    <w:rsid w:val="00B2029C"/>
    <w:rsid w:val="00B20E23"/>
    <w:rsid w:val="00B21EB2"/>
    <w:rsid w:val="00B224A6"/>
    <w:rsid w:val="00B228BC"/>
    <w:rsid w:val="00B229CD"/>
    <w:rsid w:val="00B236EB"/>
    <w:rsid w:val="00B2374F"/>
    <w:rsid w:val="00B25921"/>
    <w:rsid w:val="00B25992"/>
    <w:rsid w:val="00B3192F"/>
    <w:rsid w:val="00B32741"/>
    <w:rsid w:val="00B40072"/>
    <w:rsid w:val="00B41029"/>
    <w:rsid w:val="00B47372"/>
    <w:rsid w:val="00B5098F"/>
    <w:rsid w:val="00B50A8D"/>
    <w:rsid w:val="00B5230A"/>
    <w:rsid w:val="00B55770"/>
    <w:rsid w:val="00B55E36"/>
    <w:rsid w:val="00B666ED"/>
    <w:rsid w:val="00B66E3D"/>
    <w:rsid w:val="00B67360"/>
    <w:rsid w:val="00B67849"/>
    <w:rsid w:val="00B67C6E"/>
    <w:rsid w:val="00B71D63"/>
    <w:rsid w:val="00B71D8E"/>
    <w:rsid w:val="00B758AF"/>
    <w:rsid w:val="00B76545"/>
    <w:rsid w:val="00B81F28"/>
    <w:rsid w:val="00B822AB"/>
    <w:rsid w:val="00B82903"/>
    <w:rsid w:val="00B83D03"/>
    <w:rsid w:val="00B84468"/>
    <w:rsid w:val="00B8734D"/>
    <w:rsid w:val="00B87BC0"/>
    <w:rsid w:val="00B915C5"/>
    <w:rsid w:val="00B91A4F"/>
    <w:rsid w:val="00B91AC9"/>
    <w:rsid w:val="00B9353F"/>
    <w:rsid w:val="00B94152"/>
    <w:rsid w:val="00B94C53"/>
    <w:rsid w:val="00B957D4"/>
    <w:rsid w:val="00BA003E"/>
    <w:rsid w:val="00BA0D2A"/>
    <w:rsid w:val="00BA2E8B"/>
    <w:rsid w:val="00BA3DF9"/>
    <w:rsid w:val="00BA5378"/>
    <w:rsid w:val="00BB14D0"/>
    <w:rsid w:val="00BB1A90"/>
    <w:rsid w:val="00BB2431"/>
    <w:rsid w:val="00BB2D03"/>
    <w:rsid w:val="00BB34DB"/>
    <w:rsid w:val="00BB3A87"/>
    <w:rsid w:val="00BB43B4"/>
    <w:rsid w:val="00BB4FDB"/>
    <w:rsid w:val="00BC4523"/>
    <w:rsid w:val="00BD18F8"/>
    <w:rsid w:val="00BD1CE6"/>
    <w:rsid w:val="00BD1D0C"/>
    <w:rsid w:val="00BD41E0"/>
    <w:rsid w:val="00BD4539"/>
    <w:rsid w:val="00BD5076"/>
    <w:rsid w:val="00BD5FBA"/>
    <w:rsid w:val="00BD69B8"/>
    <w:rsid w:val="00BD6C31"/>
    <w:rsid w:val="00BD7A45"/>
    <w:rsid w:val="00BE0D05"/>
    <w:rsid w:val="00BE1E4E"/>
    <w:rsid w:val="00BE37AC"/>
    <w:rsid w:val="00BE47A5"/>
    <w:rsid w:val="00BE548C"/>
    <w:rsid w:val="00BF3F26"/>
    <w:rsid w:val="00BF5940"/>
    <w:rsid w:val="00BF687E"/>
    <w:rsid w:val="00BF7A8D"/>
    <w:rsid w:val="00C00972"/>
    <w:rsid w:val="00C017EA"/>
    <w:rsid w:val="00C02ECB"/>
    <w:rsid w:val="00C045AB"/>
    <w:rsid w:val="00C04BC4"/>
    <w:rsid w:val="00C059C0"/>
    <w:rsid w:val="00C05F94"/>
    <w:rsid w:val="00C07A5E"/>
    <w:rsid w:val="00C07BEB"/>
    <w:rsid w:val="00C07CEA"/>
    <w:rsid w:val="00C10AF0"/>
    <w:rsid w:val="00C111BC"/>
    <w:rsid w:val="00C1360F"/>
    <w:rsid w:val="00C139C5"/>
    <w:rsid w:val="00C14A1C"/>
    <w:rsid w:val="00C15F5D"/>
    <w:rsid w:val="00C15F9B"/>
    <w:rsid w:val="00C1630F"/>
    <w:rsid w:val="00C227D4"/>
    <w:rsid w:val="00C25A63"/>
    <w:rsid w:val="00C25C6E"/>
    <w:rsid w:val="00C274D9"/>
    <w:rsid w:val="00C27FBD"/>
    <w:rsid w:val="00C320B0"/>
    <w:rsid w:val="00C345B2"/>
    <w:rsid w:val="00C35DE9"/>
    <w:rsid w:val="00C36BD5"/>
    <w:rsid w:val="00C412DF"/>
    <w:rsid w:val="00C435DF"/>
    <w:rsid w:val="00C46CCF"/>
    <w:rsid w:val="00C47C10"/>
    <w:rsid w:val="00C47C65"/>
    <w:rsid w:val="00C552C0"/>
    <w:rsid w:val="00C557CB"/>
    <w:rsid w:val="00C61313"/>
    <w:rsid w:val="00C62121"/>
    <w:rsid w:val="00C6298A"/>
    <w:rsid w:val="00C643D4"/>
    <w:rsid w:val="00C65AE5"/>
    <w:rsid w:val="00C66B54"/>
    <w:rsid w:val="00C70BC8"/>
    <w:rsid w:val="00C71362"/>
    <w:rsid w:val="00C72C74"/>
    <w:rsid w:val="00C7306A"/>
    <w:rsid w:val="00C779BF"/>
    <w:rsid w:val="00C80164"/>
    <w:rsid w:val="00C83CAC"/>
    <w:rsid w:val="00C83D1D"/>
    <w:rsid w:val="00C866F0"/>
    <w:rsid w:val="00C871E0"/>
    <w:rsid w:val="00C87E8F"/>
    <w:rsid w:val="00C90898"/>
    <w:rsid w:val="00C923B6"/>
    <w:rsid w:val="00C94168"/>
    <w:rsid w:val="00C964C9"/>
    <w:rsid w:val="00C9698A"/>
    <w:rsid w:val="00C97D3E"/>
    <w:rsid w:val="00C97FBF"/>
    <w:rsid w:val="00CA0D78"/>
    <w:rsid w:val="00CA0FFB"/>
    <w:rsid w:val="00CA2082"/>
    <w:rsid w:val="00CA4118"/>
    <w:rsid w:val="00CB1788"/>
    <w:rsid w:val="00CB1A0B"/>
    <w:rsid w:val="00CB2B9E"/>
    <w:rsid w:val="00CB5C36"/>
    <w:rsid w:val="00CB6953"/>
    <w:rsid w:val="00CB721E"/>
    <w:rsid w:val="00CC49B4"/>
    <w:rsid w:val="00CC559D"/>
    <w:rsid w:val="00CC6E6D"/>
    <w:rsid w:val="00CC7D2F"/>
    <w:rsid w:val="00CD0CCB"/>
    <w:rsid w:val="00CD2002"/>
    <w:rsid w:val="00CD27AF"/>
    <w:rsid w:val="00CD3E5E"/>
    <w:rsid w:val="00CD4BD2"/>
    <w:rsid w:val="00CD7F47"/>
    <w:rsid w:val="00CE16C7"/>
    <w:rsid w:val="00CE21DE"/>
    <w:rsid w:val="00CE3662"/>
    <w:rsid w:val="00CE3AFD"/>
    <w:rsid w:val="00CE4C4C"/>
    <w:rsid w:val="00CE7BF8"/>
    <w:rsid w:val="00CF2968"/>
    <w:rsid w:val="00CF3B5D"/>
    <w:rsid w:val="00CF43D6"/>
    <w:rsid w:val="00CF4EBF"/>
    <w:rsid w:val="00CF57A3"/>
    <w:rsid w:val="00CF6864"/>
    <w:rsid w:val="00D0052E"/>
    <w:rsid w:val="00D01F96"/>
    <w:rsid w:val="00D0262A"/>
    <w:rsid w:val="00D057CD"/>
    <w:rsid w:val="00D0656C"/>
    <w:rsid w:val="00D067A5"/>
    <w:rsid w:val="00D06BAB"/>
    <w:rsid w:val="00D0777E"/>
    <w:rsid w:val="00D07C17"/>
    <w:rsid w:val="00D11452"/>
    <w:rsid w:val="00D13062"/>
    <w:rsid w:val="00D1334D"/>
    <w:rsid w:val="00D16D01"/>
    <w:rsid w:val="00D16FE6"/>
    <w:rsid w:val="00D200DD"/>
    <w:rsid w:val="00D226C6"/>
    <w:rsid w:val="00D30804"/>
    <w:rsid w:val="00D35776"/>
    <w:rsid w:val="00D36296"/>
    <w:rsid w:val="00D36C31"/>
    <w:rsid w:val="00D37585"/>
    <w:rsid w:val="00D40377"/>
    <w:rsid w:val="00D4051D"/>
    <w:rsid w:val="00D43057"/>
    <w:rsid w:val="00D43E6A"/>
    <w:rsid w:val="00D4618E"/>
    <w:rsid w:val="00D46D2C"/>
    <w:rsid w:val="00D46F2B"/>
    <w:rsid w:val="00D47492"/>
    <w:rsid w:val="00D52C6E"/>
    <w:rsid w:val="00D653AC"/>
    <w:rsid w:val="00D66290"/>
    <w:rsid w:val="00D6644F"/>
    <w:rsid w:val="00D70FD0"/>
    <w:rsid w:val="00D72BA1"/>
    <w:rsid w:val="00D76883"/>
    <w:rsid w:val="00D82744"/>
    <w:rsid w:val="00D8364C"/>
    <w:rsid w:val="00D8483D"/>
    <w:rsid w:val="00D87317"/>
    <w:rsid w:val="00D908A7"/>
    <w:rsid w:val="00D9171A"/>
    <w:rsid w:val="00D91EDE"/>
    <w:rsid w:val="00D93A15"/>
    <w:rsid w:val="00D95070"/>
    <w:rsid w:val="00D9643F"/>
    <w:rsid w:val="00D966B9"/>
    <w:rsid w:val="00D9758E"/>
    <w:rsid w:val="00D97A8C"/>
    <w:rsid w:val="00DA10DC"/>
    <w:rsid w:val="00DA1EC1"/>
    <w:rsid w:val="00DA20A8"/>
    <w:rsid w:val="00DA2348"/>
    <w:rsid w:val="00DA33E4"/>
    <w:rsid w:val="00DA4355"/>
    <w:rsid w:val="00DA6187"/>
    <w:rsid w:val="00DA6B3F"/>
    <w:rsid w:val="00DB06BA"/>
    <w:rsid w:val="00DB6251"/>
    <w:rsid w:val="00DB6BDA"/>
    <w:rsid w:val="00DC37E1"/>
    <w:rsid w:val="00DC5C42"/>
    <w:rsid w:val="00DC6AA8"/>
    <w:rsid w:val="00DC73F4"/>
    <w:rsid w:val="00DC7613"/>
    <w:rsid w:val="00DD0334"/>
    <w:rsid w:val="00DD2B7B"/>
    <w:rsid w:val="00DD2E6E"/>
    <w:rsid w:val="00DD4182"/>
    <w:rsid w:val="00DD4BD9"/>
    <w:rsid w:val="00DD770D"/>
    <w:rsid w:val="00DD779F"/>
    <w:rsid w:val="00DD7FCD"/>
    <w:rsid w:val="00DE1560"/>
    <w:rsid w:val="00DE1F4D"/>
    <w:rsid w:val="00DE2D2E"/>
    <w:rsid w:val="00DE544C"/>
    <w:rsid w:val="00DF06F7"/>
    <w:rsid w:val="00DF0F8F"/>
    <w:rsid w:val="00DF21CD"/>
    <w:rsid w:val="00DF2772"/>
    <w:rsid w:val="00DF3DBD"/>
    <w:rsid w:val="00DF648C"/>
    <w:rsid w:val="00DF651D"/>
    <w:rsid w:val="00DF7C83"/>
    <w:rsid w:val="00E00DBF"/>
    <w:rsid w:val="00E02A7E"/>
    <w:rsid w:val="00E05411"/>
    <w:rsid w:val="00E06836"/>
    <w:rsid w:val="00E0717A"/>
    <w:rsid w:val="00E114B1"/>
    <w:rsid w:val="00E123DC"/>
    <w:rsid w:val="00E141FC"/>
    <w:rsid w:val="00E15DA5"/>
    <w:rsid w:val="00E1667A"/>
    <w:rsid w:val="00E16C25"/>
    <w:rsid w:val="00E171DF"/>
    <w:rsid w:val="00E17AEE"/>
    <w:rsid w:val="00E17CCD"/>
    <w:rsid w:val="00E2040B"/>
    <w:rsid w:val="00E21411"/>
    <w:rsid w:val="00E21EEB"/>
    <w:rsid w:val="00E22942"/>
    <w:rsid w:val="00E24102"/>
    <w:rsid w:val="00E244D1"/>
    <w:rsid w:val="00E26B6A"/>
    <w:rsid w:val="00E310B6"/>
    <w:rsid w:val="00E3542C"/>
    <w:rsid w:val="00E36F75"/>
    <w:rsid w:val="00E4066F"/>
    <w:rsid w:val="00E42883"/>
    <w:rsid w:val="00E436CA"/>
    <w:rsid w:val="00E441A7"/>
    <w:rsid w:val="00E44D8B"/>
    <w:rsid w:val="00E450FD"/>
    <w:rsid w:val="00E47351"/>
    <w:rsid w:val="00E502B7"/>
    <w:rsid w:val="00E55019"/>
    <w:rsid w:val="00E556F3"/>
    <w:rsid w:val="00E55F11"/>
    <w:rsid w:val="00E5649C"/>
    <w:rsid w:val="00E56AFA"/>
    <w:rsid w:val="00E602FC"/>
    <w:rsid w:val="00E6275E"/>
    <w:rsid w:val="00E63203"/>
    <w:rsid w:val="00E64CF8"/>
    <w:rsid w:val="00E65058"/>
    <w:rsid w:val="00E67007"/>
    <w:rsid w:val="00E673B6"/>
    <w:rsid w:val="00E714E2"/>
    <w:rsid w:val="00E71AD1"/>
    <w:rsid w:val="00E75EA0"/>
    <w:rsid w:val="00E7750D"/>
    <w:rsid w:val="00E77AA2"/>
    <w:rsid w:val="00E805F2"/>
    <w:rsid w:val="00E83781"/>
    <w:rsid w:val="00E83F24"/>
    <w:rsid w:val="00E8421A"/>
    <w:rsid w:val="00E84E25"/>
    <w:rsid w:val="00E92CCD"/>
    <w:rsid w:val="00E943ED"/>
    <w:rsid w:val="00E97EB7"/>
    <w:rsid w:val="00EA04B9"/>
    <w:rsid w:val="00EA1391"/>
    <w:rsid w:val="00EA2BD2"/>
    <w:rsid w:val="00EA3A10"/>
    <w:rsid w:val="00EA42CF"/>
    <w:rsid w:val="00EA7737"/>
    <w:rsid w:val="00EA7919"/>
    <w:rsid w:val="00EB015C"/>
    <w:rsid w:val="00EB01BA"/>
    <w:rsid w:val="00EB0FFF"/>
    <w:rsid w:val="00EB2F29"/>
    <w:rsid w:val="00EB3E77"/>
    <w:rsid w:val="00EB4596"/>
    <w:rsid w:val="00EB52BC"/>
    <w:rsid w:val="00EB6128"/>
    <w:rsid w:val="00EB75A2"/>
    <w:rsid w:val="00EB7B75"/>
    <w:rsid w:val="00EC4BCE"/>
    <w:rsid w:val="00EC5606"/>
    <w:rsid w:val="00EC5EC1"/>
    <w:rsid w:val="00ED0799"/>
    <w:rsid w:val="00ED205A"/>
    <w:rsid w:val="00ED2911"/>
    <w:rsid w:val="00ED2CCE"/>
    <w:rsid w:val="00ED4213"/>
    <w:rsid w:val="00ED5A03"/>
    <w:rsid w:val="00ED64CC"/>
    <w:rsid w:val="00EE060D"/>
    <w:rsid w:val="00EE0B1E"/>
    <w:rsid w:val="00EE0F29"/>
    <w:rsid w:val="00EE2FA9"/>
    <w:rsid w:val="00EE6C0A"/>
    <w:rsid w:val="00EE78D2"/>
    <w:rsid w:val="00EE7AFF"/>
    <w:rsid w:val="00EF15B1"/>
    <w:rsid w:val="00EF265E"/>
    <w:rsid w:val="00EF294C"/>
    <w:rsid w:val="00EF5176"/>
    <w:rsid w:val="00EF7ADD"/>
    <w:rsid w:val="00F00347"/>
    <w:rsid w:val="00F0176E"/>
    <w:rsid w:val="00F03327"/>
    <w:rsid w:val="00F051BF"/>
    <w:rsid w:val="00F06B42"/>
    <w:rsid w:val="00F07E61"/>
    <w:rsid w:val="00F07E6E"/>
    <w:rsid w:val="00F101ED"/>
    <w:rsid w:val="00F10A99"/>
    <w:rsid w:val="00F13107"/>
    <w:rsid w:val="00F1386D"/>
    <w:rsid w:val="00F15A42"/>
    <w:rsid w:val="00F15C71"/>
    <w:rsid w:val="00F1767E"/>
    <w:rsid w:val="00F23926"/>
    <w:rsid w:val="00F24DCE"/>
    <w:rsid w:val="00F255AD"/>
    <w:rsid w:val="00F26D05"/>
    <w:rsid w:val="00F30A9E"/>
    <w:rsid w:val="00F31CD4"/>
    <w:rsid w:val="00F326AF"/>
    <w:rsid w:val="00F37239"/>
    <w:rsid w:val="00F3774F"/>
    <w:rsid w:val="00F43B5D"/>
    <w:rsid w:val="00F44233"/>
    <w:rsid w:val="00F446A9"/>
    <w:rsid w:val="00F4478A"/>
    <w:rsid w:val="00F46BD7"/>
    <w:rsid w:val="00F50E91"/>
    <w:rsid w:val="00F52ACC"/>
    <w:rsid w:val="00F52FD3"/>
    <w:rsid w:val="00F52FF1"/>
    <w:rsid w:val="00F53077"/>
    <w:rsid w:val="00F54FDC"/>
    <w:rsid w:val="00F55F40"/>
    <w:rsid w:val="00F56B79"/>
    <w:rsid w:val="00F56E66"/>
    <w:rsid w:val="00F6495F"/>
    <w:rsid w:val="00F66E32"/>
    <w:rsid w:val="00F66FA0"/>
    <w:rsid w:val="00F679EC"/>
    <w:rsid w:val="00F719B2"/>
    <w:rsid w:val="00F72890"/>
    <w:rsid w:val="00F732AD"/>
    <w:rsid w:val="00F73BD1"/>
    <w:rsid w:val="00F73DE8"/>
    <w:rsid w:val="00F75BD8"/>
    <w:rsid w:val="00F76654"/>
    <w:rsid w:val="00F80AFF"/>
    <w:rsid w:val="00F81DF0"/>
    <w:rsid w:val="00F83560"/>
    <w:rsid w:val="00F84819"/>
    <w:rsid w:val="00F84949"/>
    <w:rsid w:val="00F8602D"/>
    <w:rsid w:val="00F868AC"/>
    <w:rsid w:val="00F8748E"/>
    <w:rsid w:val="00F9057D"/>
    <w:rsid w:val="00F9201D"/>
    <w:rsid w:val="00F93745"/>
    <w:rsid w:val="00FA0270"/>
    <w:rsid w:val="00FA09DA"/>
    <w:rsid w:val="00FA1B5C"/>
    <w:rsid w:val="00FA2825"/>
    <w:rsid w:val="00FB3672"/>
    <w:rsid w:val="00FB5A6E"/>
    <w:rsid w:val="00FC3491"/>
    <w:rsid w:val="00FC3E62"/>
    <w:rsid w:val="00FC4A48"/>
    <w:rsid w:val="00FC4F78"/>
    <w:rsid w:val="00FC5151"/>
    <w:rsid w:val="00FC5BD2"/>
    <w:rsid w:val="00FC67F9"/>
    <w:rsid w:val="00FC6DCA"/>
    <w:rsid w:val="00FD2ECC"/>
    <w:rsid w:val="00FD4ABD"/>
    <w:rsid w:val="00FD6AF0"/>
    <w:rsid w:val="00FE01FB"/>
    <w:rsid w:val="00FE0B97"/>
    <w:rsid w:val="00FE274B"/>
    <w:rsid w:val="00FE2EB7"/>
    <w:rsid w:val="00FE3624"/>
    <w:rsid w:val="00FE4793"/>
    <w:rsid w:val="00FE5662"/>
    <w:rsid w:val="00FE57E8"/>
    <w:rsid w:val="00FE7724"/>
    <w:rsid w:val="00FF291B"/>
    <w:rsid w:val="00FF5C0B"/>
    <w:rsid w:val="00FF6B27"/>
    <w:rsid w:val="00FF718E"/>
    <w:rsid w:val="00FF791A"/>
    <w:rsid w:val="01297D00"/>
    <w:rsid w:val="015B1EBC"/>
    <w:rsid w:val="01A441D7"/>
    <w:rsid w:val="01A73641"/>
    <w:rsid w:val="024F32ED"/>
    <w:rsid w:val="02647676"/>
    <w:rsid w:val="02865105"/>
    <w:rsid w:val="02B426E6"/>
    <w:rsid w:val="02C27C00"/>
    <w:rsid w:val="02F275FB"/>
    <w:rsid w:val="03575F0B"/>
    <w:rsid w:val="036D6207"/>
    <w:rsid w:val="04A82C4E"/>
    <w:rsid w:val="04DB5A82"/>
    <w:rsid w:val="04DE2216"/>
    <w:rsid w:val="04EE54D0"/>
    <w:rsid w:val="0505162F"/>
    <w:rsid w:val="054B22C5"/>
    <w:rsid w:val="060E23CB"/>
    <w:rsid w:val="0619570F"/>
    <w:rsid w:val="06464E80"/>
    <w:rsid w:val="0650366A"/>
    <w:rsid w:val="07171DAE"/>
    <w:rsid w:val="07254947"/>
    <w:rsid w:val="07417CDD"/>
    <w:rsid w:val="075B7EE6"/>
    <w:rsid w:val="07D46470"/>
    <w:rsid w:val="07D63D84"/>
    <w:rsid w:val="087A7D6E"/>
    <w:rsid w:val="08C04AB4"/>
    <w:rsid w:val="08DD5674"/>
    <w:rsid w:val="09143FEA"/>
    <w:rsid w:val="091A528C"/>
    <w:rsid w:val="092A3D98"/>
    <w:rsid w:val="094E2F88"/>
    <w:rsid w:val="09C55E9F"/>
    <w:rsid w:val="09EF67AA"/>
    <w:rsid w:val="0A39237B"/>
    <w:rsid w:val="0A7B745A"/>
    <w:rsid w:val="0AE465EC"/>
    <w:rsid w:val="0B481421"/>
    <w:rsid w:val="0C267029"/>
    <w:rsid w:val="0C3B0E78"/>
    <w:rsid w:val="0C3D248C"/>
    <w:rsid w:val="0C9B7EBC"/>
    <w:rsid w:val="0CDE4D30"/>
    <w:rsid w:val="0D676CBA"/>
    <w:rsid w:val="0D6A4343"/>
    <w:rsid w:val="0E1E30CD"/>
    <w:rsid w:val="0E79233C"/>
    <w:rsid w:val="0F1D1E83"/>
    <w:rsid w:val="0FDE0E3B"/>
    <w:rsid w:val="0FFD6C54"/>
    <w:rsid w:val="102F4C92"/>
    <w:rsid w:val="10C062EE"/>
    <w:rsid w:val="10DC662F"/>
    <w:rsid w:val="10F811FB"/>
    <w:rsid w:val="110A4283"/>
    <w:rsid w:val="11A57CD3"/>
    <w:rsid w:val="11EF0CAA"/>
    <w:rsid w:val="11F93B8B"/>
    <w:rsid w:val="12080923"/>
    <w:rsid w:val="12E15B4C"/>
    <w:rsid w:val="12F6356B"/>
    <w:rsid w:val="130B4CCD"/>
    <w:rsid w:val="13684F92"/>
    <w:rsid w:val="13722755"/>
    <w:rsid w:val="13B82DF7"/>
    <w:rsid w:val="13E87D69"/>
    <w:rsid w:val="13EC70C4"/>
    <w:rsid w:val="13FB0827"/>
    <w:rsid w:val="13FD1831"/>
    <w:rsid w:val="147140EC"/>
    <w:rsid w:val="147A2C38"/>
    <w:rsid w:val="14F7225E"/>
    <w:rsid w:val="15335017"/>
    <w:rsid w:val="155F03DB"/>
    <w:rsid w:val="15EB0F78"/>
    <w:rsid w:val="15F91772"/>
    <w:rsid w:val="16833FFF"/>
    <w:rsid w:val="16C42F9D"/>
    <w:rsid w:val="16DF15E8"/>
    <w:rsid w:val="1713760E"/>
    <w:rsid w:val="176C06FA"/>
    <w:rsid w:val="17A40988"/>
    <w:rsid w:val="180A72FE"/>
    <w:rsid w:val="18373E51"/>
    <w:rsid w:val="18C272ED"/>
    <w:rsid w:val="19452005"/>
    <w:rsid w:val="194C6A11"/>
    <w:rsid w:val="196D031B"/>
    <w:rsid w:val="198F74FA"/>
    <w:rsid w:val="19E47E89"/>
    <w:rsid w:val="1A21446B"/>
    <w:rsid w:val="1A8A3108"/>
    <w:rsid w:val="1BBE2263"/>
    <w:rsid w:val="1BF53154"/>
    <w:rsid w:val="1C060E08"/>
    <w:rsid w:val="1C6E0A78"/>
    <w:rsid w:val="1C6F4FB4"/>
    <w:rsid w:val="1C7E0358"/>
    <w:rsid w:val="1CA44594"/>
    <w:rsid w:val="1D0E45E0"/>
    <w:rsid w:val="1D150FC5"/>
    <w:rsid w:val="1D2B10AA"/>
    <w:rsid w:val="1D3535DF"/>
    <w:rsid w:val="1D622C9C"/>
    <w:rsid w:val="1D637AE3"/>
    <w:rsid w:val="1D677C65"/>
    <w:rsid w:val="1DD33FFF"/>
    <w:rsid w:val="1E2143D0"/>
    <w:rsid w:val="1E2D4494"/>
    <w:rsid w:val="1E424F5B"/>
    <w:rsid w:val="1E6346C2"/>
    <w:rsid w:val="1E9C7103"/>
    <w:rsid w:val="1EC87D2E"/>
    <w:rsid w:val="1F041157"/>
    <w:rsid w:val="1F452552"/>
    <w:rsid w:val="1F8D531C"/>
    <w:rsid w:val="1FA844BE"/>
    <w:rsid w:val="1FE62A9F"/>
    <w:rsid w:val="1FFE1C92"/>
    <w:rsid w:val="200070B2"/>
    <w:rsid w:val="205A244F"/>
    <w:rsid w:val="20B419C3"/>
    <w:rsid w:val="20CF7D2B"/>
    <w:rsid w:val="2271738F"/>
    <w:rsid w:val="23220949"/>
    <w:rsid w:val="23372454"/>
    <w:rsid w:val="2362488F"/>
    <w:rsid w:val="23C50DBF"/>
    <w:rsid w:val="24664236"/>
    <w:rsid w:val="24D50BFC"/>
    <w:rsid w:val="25805AC1"/>
    <w:rsid w:val="2629392B"/>
    <w:rsid w:val="271D5C77"/>
    <w:rsid w:val="273D00DA"/>
    <w:rsid w:val="27657746"/>
    <w:rsid w:val="27B21571"/>
    <w:rsid w:val="27B97619"/>
    <w:rsid w:val="27E3087F"/>
    <w:rsid w:val="280F72AA"/>
    <w:rsid w:val="281F3E4B"/>
    <w:rsid w:val="28256E6D"/>
    <w:rsid w:val="28272CAF"/>
    <w:rsid w:val="285125F2"/>
    <w:rsid w:val="28635007"/>
    <w:rsid w:val="28B002F5"/>
    <w:rsid w:val="28D03491"/>
    <w:rsid w:val="28E3683E"/>
    <w:rsid w:val="291A31A9"/>
    <w:rsid w:val="29517892"/>
    <w:rsid w:val="29976634"/>
    <w:rsid w:val="29AF3AAA"/>
    <w:rsid w:val="29C003FD"/>
    <w:rsid w:val="29F43AE2"/>
    <w:rsid w:val="2AA7238D"/>
    <w:rsid w:val="2AE237FE"/>
    <w:rsid w:val="2B14628A"/>
    <w:rsid w:val="2B3B07E7"/>
    <w:rsid w:val="2B500A86"/>
    <w:rsid w:val="2B8D66C3"/>
    <w:rsid w:val="2BB7170B"/>
    <w:rsid w:val="2BBF35F2"/>
    <w:rsid w:val="2C073A77"/>
    <w:rsid w:val="2C7D0F8D"/>
    <w:rsid w:val="2C923559"/>
    <w:rsid w:val="2CAD3CDB"/>
    <w:rsid w:val="2CC57775"/>
    <w:rsid w:val="2CD45119"/>
    <w:rsid w:val="2DF674F5"/>
    <w:rsid w:val="2DFD2703"/>
    <w:rsid w:val="2E22295D"/>
    <w:rsid w:val="2E6279CD"/>
    <w:rsid w:val="2ED9610F"/>
    <w:rsid w:val="2F215E91"/>
    <w:rsid w:val="2F70002A"/>
    <w:rsid w:val="2F725AB3"/>
    <w:rsid w:val="2FA12449"/>
    <w:rsid w:val="302658AE"/>
    <w:rsid w:val="309D06CD"/>
    <w:rsid w:val="30E346C5"/>
    <w:rsid w:val="313B6D25"/>
    <w:rsid w:val="314B2019"/>
    <w:rsid w:val="31BB4DF1"/>
    <w:rsid w:val="31BB6819"/>
    <w:rsid w:val="31E802B5"/>
    <w:rsid w:val="32116EB8"/>
    <w:rsid w:val="32140EF9"/>
    <w:rsid w:val="323B5561"/>
    <w:rsid w:val="323E367C"/>
    <w:rsid w:val="32B568D8"/>
    <w:rsid w:val="32B77AC3"/>
    <w:rsid w:val="32CB76C5"/>
    <w:rsid w:val="32F24BE0"/>
    <w:rsid w:val="330B352F"/>
    <w:rsid w:val="33975199"/>
    <w:rsid w:val="33C137F8"/>
    <w:rsid w:val="33EB438C"/>
    <w:rsid w:val="33F82C28"/>
    <w:rsid w:val="343259DB"/>
    <w:rsid w:val="34401B48"/>
    <w:rsid w:val="344754E9"/>
    <w:rsid w:val="34B353E4"/>
    <w:rsid w:val="34BD5CAB"/>
    <w:rsid w:val="3507601B"/>
    <w:rsid w:val="35916017"/>
    <w:rsid w:val="369F3C03"/>
    <w:rsid w:val="36FC1390"/>
    <w:rsid w:val="3775168B"/>
    <w:rsid w:val="37E20A7F"/>
    <w:rsid w:val="37F00FD4"/>
    <w:rsid w:val="38111172"/>
    <w:rsid w:val="381540E1"/>
    <w:rsid w:val="38A01143"/>
    <w:rsid w:val="38FC4989"/>
    <w:rsid w:val="39086891"/>
    <w:rsid w:val="394264DF"/>
    <w:rsid w:val="395D3131"/>
    <w:rsid w:val="3A18533C"/>
    <w:rsid w:val="3A1E6651"/>
    <w:rsid w:val="3A1F5B3B"/>
    <w:rsid w:val="3A631A5D"/>
    <w:rsid w:val="3A8F5F86"/>
    <w:rsid w:val="3ABE4312"/>
    <w:rsid w:val="3ACE6A75"/>
    <w:rsid w:val="3B232F69"/>
    <w:rsid w:val="3B4E5537"/>
    <w:rsid w:val="3B5542CC"/>
    <w:rsid w:val="3B955B6B"/>
    <w:rsid w:val="3BC20EFA"/>
    <w:rsid w:val="3BC83B22"/>
    <w:rsid w:val="3C2506B9"/>
    <w:rsid w:val="3C2D5AC6"/>
    <w:rsid w:val="3C8B155E"/>
    <w:rsid w:val="3D1D236C"/>
    <w:rsid w:val="3D21750F"/>
    <w:rsid w:val="3D702366"/>
    <w:rsid w:val="3D812D25"/>
    <w:rsid w:val="3DCF4DEF"/>
    <w:rsid w:val="3E357962"/>
    <w:rsid w:val="3E445960"/>
    <w:rsid w:val="3EFC3429"/>
    <w:rsid w:val="3F0C772D"/>
    <w:rsid w:val="3FE5087C"/>
    <w:rsid w:val="3FE77654"/>
    <w:rsid w:val="3FF876C4"/>
    <w:rsid w:val="40970B7B"/>
    <w:rsid w:val="40D601A3"/>
    <w:rsid w:val="40F17018"/>
    <w:rsid w:val="41E966FF"/>
    <w:rsid w:val="421A5F0E"/>
    <w:rsid w:val="422F21E7"/>
    <w:rsid w:val="42587C79"/>
    <w:rsid w:val="42936D40"/>
    <w:rsid w:val="42C30786"/>
    <w:rsid w:val="42CF1728"/>
    <w:rsid w:val="42E73C50"/>
    <w:rsid w:val="43541BB5"/>
    <w:rsid w:val="43C107FC"/>
    <w:rsid w:val="44116F3A"/>
    <w:rsid w:val="443B1F74"/>
    <w:rsid w:val="44574F66"/>
    <w:rsid w:val="44D73011"/>
    <w:rsid w:val="45696FCD"/>
    <w:rsid w:val="456E1E56"/>
    <w:rsid w:val="4570067B"/>
    <w:rsid w:val="458A6716"/>
    <w:rsid w:val="458D4A28"/>
    <w:rsid w:val="45F922D9"/>
    <w:rsid w:val="460E69FB"/>
    <w:rsid w:val="46BD26A8"/>
    <w:rsid w:val="46F14A6F"/>
    <w:rsid w:val="47210E42"/>
    <w:rsid w:val="47373E59"/>
    <w:rsid w:val="47441939"/>
    <w:rsid w:val="47516903"/>
    <w:rsid w:val="47CA3E79"/>
    <w:rsid w:val="47D00939"/>
    <w:rsid w:val="47E86CF8"/>
    <w:rsid w:val="48857ADF"/>
    <w:rsid w:val="48902BAE"/>
    <w:rsid w:val="48F30A81"/>
    <w:rsid w:val="48FE22A8"/>
    <w:rsid w:val="49736BFE"/>
    <w:rsid w:val="49AE5171"/>
    <w:rsid w:val="49B5687D"/>
    <w:rsid w:val="49F62DDD"/>
    <w:rsid w:val="4A0C3A94"/>
    <w:rsid w:val="4A1850E6"/>
    <w:rsid w:val="4AB9489C"/>
    <w:rsid w:val="4B5B18C4"/>
    <w:rsid w:val="4B787FF5"/>
    <w:rsid w:val="4BC972E9"/>
    <w:rsid w:val="4BCC17AB"/>
    <w:rsid w:val="4BEF41F1"/>
    <w:rsid w:val="4C88751F"/>
    <w:rsid w:val="4C9934F4"/>
    <w:rsid w:val="4C9F10D6"/>
    <w:rsid w:val="4CD36E4F"/>
    <w:rsid w:val="4D4A417B"/>
    <w:rsid w:val="4D987EB5"/>
    <w:rsid w:val="4DB53488"/>
    <w:rsid w:val="4DE825F0"/>
    <w:rsid w:val="4E720151"/>
    <w:rsid w:val="4E7D0189"/>
    <w:rsid w:val="4EC23A47"/>
    <w:rsid w:val="4F1618B1"/>
    <w:rsid w:val="4F260C1A"/>
    <w:rsid w:val="4F7C2E75"/>
    <w:rsid w:val="4FBC3D15"/>
    <w:rsid w:val="4FFB55C5"/>
    <w:rsid w:val="50294B8F"/>
    <w:rsid w:val="51721B09"/>
    <w:rsid w:val="51C365B2"/>
    <w:rsid w:val="51C71E68"/>
    <w:rsid w:val="51D12400"/>
    <w:rsid w:val="52011509"/>
    <w:rsid w:val="5231608E"/>
    <w:rsid w:val="52953056"/>
    <w:rsid w:val="52F13125"/>
    <w:rsid w:val="52FD5035"/>
    <w:rsid w:val="53031198"/>
    <w:rsid w:val="532B0498"/>
    <w:rsid w:val="538802F4"/>
    <w:rsid w:val="53910F21"/>
    <w:rsid w:val="53D03499"/>
    <w:rsid w:val="5411646F"/>
    <w:rsid w:val="543F7D5E"/>
    <w:rsid w:val="54D7630E"/>
    <w:rsid w:val="55B96AF9"/>
    <w:rsid w:val="56E3765D"/>
    <w:rsid w:val="57A26CCB"/>
    <w:rsid w:val="57B23D6F"/>
    <w:rsid w:val="57B826AA"/>
    <w:rsid w:val="57DC3216"/>
    <w:rsid w:val="58C45197"/>
    <w:rsid w:val="592817EC"/>
    <w:rsid w:val="59A2202C"/>
    <w:rsid w:val="5A4A00E3"/>
    <w:rsid w:val="5A504941"/>
    <w:rsid w:val="5AA32F7F"/>
    <w:rsid w:val="5AC85E5F"/>
    <w:rsid w:val="5ACC5286"/>
    <w:rsid w:val="5AE333DC"/>
    <w:rsid w:val="5B1623E2"/>
    <w:rsid w:val="5B2E5C5D"/>
    <w:rsid w:val="5B3A12F2"/>
    <w:rsid w:val="5B5E5A5A"/>
    <w:rsid w:val="5B856C33"/>
    <w:rsid w:val="5B8B660B"/>
    <w:rsid w:val="5BFD0E7B"/>
    <w:rsid w:val="5C5037BB"/>
    <w:rsid w:val="5E2B5C0D"/>
    <w:rsid w:val="5E4A599E"/>
    <w:rsid w:val="5E64706B"/>
    <w:rsid w:val="5E8C0186"/>
    <w:rsid w:val="5EB74191"/>
    <w:rsid w:val="5EBF067F"/>
    <w:rsid w:val="5EC149B6"/>
    <w:rsid w:val="5F04310A"/>
    <w:rsid w:val="5F812DFB"/>
    <w:rsid w:val="5FE11328"/>
    <w:rsid w:val="60BC45B3"/>
    <w:rsid w:val="60F4061E"/>
    <w:rsid w:val="612A5275"/>
    <w:rsid w:val="61583AB1"/>
    <w:rsid w:val="61943F0D"/>
    <w:rsid w:val="61A652D8"/>
    <w:rsid w:val="61D30E0A"/>
    <w:rsid w:val="61EA7212"/>
    <w:rsid w:val="61ED6638"/>
    <w:rsid w:val="623F6384"/>
    <w:rsid w:val="62A1736B"/>
    <w:rsid w:val="63041247"/>
    <w:rsid w:val="6333694F"/>
    <w:rsid w:val="63490AF3"/>
    <w:rsid w:val="636D3D9C"/>
    <w:rsid w:val="63A948F9"/>
    <w:rsid w:val="63CB2613"/>
    <w:rsid w:val="63EB55BE"/>
    <w:rsid w:val="65187EF3"/>
    <w:rsid w:val="65D0109C"/>
    <w:rsid w:val="665C72D6"/>
    <w:rsid w:val="674E3012"/>
    <w:rsid w:val="675E4190"/>
    <w:rsid w:val="67677D9E"/>
    <w:rsid w:val="680142DD"/>
    <w:rsid w:val="68C223AD"/>
    <w:rsid w:val="68EC5643"/>
    <w:rsid w:val="691D6A3A"/>
    <w:rsid w:val="69CE1D72"/>
    <w:rsid w:val="69DB0F8A"/>
    <w:rsid w:val="6A0D2257"/>
    <w:rsid w:val="6A3D663E"/>
    <w:rsid w:val="6A48066B"/>
    <w:rsid w:val="6AA3387C"/>
    <w:rsid w:val="6ACF7FDD"/>
    <w:rsid w:val="6B341A56"/>
    <w:rsid w:val="6B5228F7"/>
    <w:rsid w:val="6B650E43"/>
    <w:rsid w:val="6B75365C"/>
    <w:rsid w:val="6CA46FE4"/>
    <w:rsid w:val="6D262934"/>
    <w:rsid w:val="6D56621B"/>
    <w:rsid w:val="6D9B2FF0"/>
    <w:rsid w:val="6DC53E25"/>
    <w:rsid w:val="6DD703FA"/>
    <w:rsid w:val="6DE05E84"/>
    <w:rsid w:val="6E4E1D05"/>
    <w:rsid w:val="6E807948"/>
    <w:rsid w:val="6E9C29CE"/>
    <w:rsid w:val="6EE132F8"/>
    <w:rsid w:val="6F075B71"/>
    <w:rsid w:val="6F4F0080"/>
    <w:rsid w:val="6F7A7FF3"/>
    <w:rsid w:val="6FDE1F16"/>
    <w:rsid w:val="705E3F5B"/>
    <w:rsid w:val="707573D7"/>
    <w:rsid w:val="70913167"/>
    <w:rsid w:val="70BB5D45"/>
    <w:rsid w:val="713E7BC2"/>
    <w:rsid w:val="715E63F6"/>
    <w:rsid w:val="719A7B2A"/>
    <w:rsid w:val="726901B8"/>
    <w:rsid w:val="72D231ED"/>
    <w:rsid w:val="72DB7067"/>
    <w:rsid w:val="72EB422C"/>
    <w:rsid w:val="73054CC1"/>
    <w:rsid w:val="73061483"/>
    <w:rsid w:val="732A39DA"/>
    <w:rsid w:val="7364021A"/>
    <w:rsid w:val="73674D66"/>
    <w:rsid w:val="73F02E21"/>
    <w:rsid w:val="74095D95"/>
    <w:rsid w:val="74287C1A"/>
    <w:rsid w:val="74685738"/>
    <w:rsid w:val="74747882"/>
    <w:rsid w:val="7475160D"/>
    <w:rsid w:val="748154B2"/>
    <w:rsid w:val="74B91BEA"/>
    <w:rsid w:val="75263B97"/>
    <w:rsid w:val="753474DC"/>
    <w:rsid w:val="75402573"/>
    <w:rsid w:val="75B35077"/>
    <w:rsid w:val="764E23ED"/>
    <w:rsid w:val="766E1474"/>
    <w:rsid w:val="76D46C00"/>
    <w:rsid w:val="77137D6A"/>
    <w:rsid w:val="77E4362E"/>
    <w:rsid w:val="77F57398"/>
    <w:rsid w:val="77FF56EE"/>
    <w:rsid w:val="784D23A7"/>
    <w:rsid w:val="78711EA5"/>
    <w:rsid w:val="793F40A8"/>
    <w:rsid w:val="79531EB9"/>
    <w:rsid w:val="79700C2A"/>
    <w:rsid w:val="797D6481"/>
    <w:rsid w:val="7A17381F"/>
    <w:rsid w:val="7A50394D"/>
    <w:rsid w:val="7A645B58"/>
    <w:rsid w:val="7BCB5704"/>
    <w:rsid w:val="7BE0256C"/>
    <w:rsid w:val="7C6547C6"/>
    <w:rsid w:val="7C9752A7"/>
    <w:rsid w:val="7CD4055B"/>
    <w:rsid w:val="7CF51868"/>
    <w:rsid w:val="7D8D5B9F"/>
    <w:rsid w:val="7DAC4B52"/>
    <w:rsid w:val="7DB80307"/>
    <w:rsid w:val="7E1717EC"/>
    <w:rsid w:val="7E701BF1"/>
    <w:rsid w:val="7E8B500A"/>
    <w:rsid w:val="7EA15ECD"/>
    <w:rsid w:val="7EA62BB0"/>
    <w:rsid w:val="7ED16ABF"/>
    <w:rsid w:val="7EF20255"/>
    <w:rsid w:val="7F582223"/>
    <w:rsid w:val="7F6C6B1C"/>
    <w:rsid w:val="7FF75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9"/>
    <w:qFormat/>
    <w:uiPriority w:val="99"/>
    <w:pPr>
      <w:keepNext/>
      <w:keepLines/>
      <w:spacing w:before="260" w:after="260" w:line="416" w:lineRule="auto"/>
      <w:outlineLvl w:val="1"/>
    </w:pPr>
    <w:rPr>
      <w:rFonts w:ascii="Arial" w:hAnsi="Arial" w:eastAsia="黑体"/>
      <w:b/>
      <w:sz w:val="32"/>
      <w:szCs w:val="20"/>
    </w:rPr>
  </w:style>
  <w:style w:type="paragraph" w:styleId="6">
    <w:name w:val="heading 3"/>
    <w:basedOn w:val="1"/>
    <w:next w:val="1"/>
    <w:link w:val="47"/>
    <w:qFormat/>
    <w:uiPriority w:val="9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36">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48"/>
    <w:qFormat/>
    <w:uiPriority w:val="0"/>
    <w:pPr>
      <w:spacing w:after="120"/>
    </w:pPr>
  </w:style>
  <w:style w:type="paragraph" w:styleId="3">
    <w:name w:val="Body Text 2"/>
    <w:basedOn w:val="1"/>
    <w:qFormat/>
    <w:uiPriority w:val="0"/>
    <w:rPr>
      <w:rFonts w:ascii="FangSong_GB2312" w:eastAsia="FangSong_GB2312"/>
      <w:b/>
      <w:sz w:val="28"/>
      <w:szCs w:val="20"/>
    </w:rPr>
  </w:style>
  <w:style w:type="paragraph" w:styleId="9">
    <w:name w:val="annotation subject"/>
    <w:basedOn w:val="10"/>
    <w:next w:val="10"/>
    <w:semiHidden/>
    <w:qFormat/>
    <w:uiPriority w:val="0"/>
    <w:rPr>
      <w:rFonts w:ascii="Times New Roman" w:hAnsi="Times New Roman" w:cs="Times New Roman"/>
      <w:b/>
      <w:bCs/>
      <w:color w:val="auto"/>
      <w:sz w:val="21"/>
    </w:rPr>
  </w:style>
  <w:style w:type="paragraph" w:styleId="10">
    <w:name w:val="annotation text"/>
    <w:basedOn w:val="1"/>
    <w:semiHidden/>
    <w:qFormat/>
    <w:uiPriority w:val="0"/>
    <w:pPr>
      <w:jc w:val="left"/>
    </w:pPr>
    <w:rPr>
      <w:rFonts w:ascii="宋体" w:hAnsi="宋体" w:cs="Arial"/>
      <w:color w:val="0000FF"/>
      <w:sz w:val="24"/>
    </w:rPr>
  </w:style>
  <w:style w:type="paragraph" w:styleId="11">
    <w:name w:val="toc 7"/>
    <w:basedOn w:val="1"/>
    <w:next w:val="1"/>
    <w:semiHidden/>
    <w:qFormat/>
    <w:uiPriority w:val="0"/>
    <w:pPr>
      <w:ind w:left="1260"/>
      <w:jc w:val="left"/>
    </w:pPr>
    <w:rPr>
      <w:sz w:val="18"/>
      <w:szCs w:val="18"/>
    </w:rPr>
  </w:style>
  <w:style w:type="paragraph" w:styleId="12">
    <w:name w:val="Body Text First Indent"/>
    <w:basedOn w:val="2"/>
    <w:qFormat/>
    <w:uiPriority w:val="0"/>
    <w:pPr>
      <w:autoSpaceDE w:val="0"/>
      <w:autoSpaceDN w:val="0"/>
      <w:adjustRightInd w:val="0"/>
      <w:ind w:firstLine="420"/>
      <w:jc w:val="left"/>
      <w:textAlignment w:val="baseline"/>
    </w:pPr>
    <w:rPr>
      <w:rFonts w:ascii="宋体"/>
      <w:kern w:val="0"/>
      <w:sz w:val="34"/>
      <w:szCs w:val="20"/>
    </w:rPr>
  </w:style>
  <w:style w:type="paragraph" w:styleId="13">
    <w:name w:val="Normal Indent"/>
    <w:basedOn w:val="1"/>
    <w:qFormat/>
    <w:uiPriority w:val="0"/>
    <w:pPr>
      <w:ind w:firstLine="420"/>
    </w:pPr>
    <w:rPr>
      <w:szCs w:val="20"/>
    </w:rPr>
  </w:style>
  <w:style w:type="paragraph" w:styleId="14">
    <w:name w:val="Document Map"/>
    <w:basedOn w:val="1"/>
    <w:semiHidden/>
    <w:qFormat/>
    <w:uiPriority w:val="0"/>
    <w:pPr>
      <w:shd w:val="clear" w:color="auto" w:fill="000080"/>
    </w:pPr>
  </w:style>
  <w:style w:type="paragraph" w:styleId="15">
    <w:name w:val="Body Text 3"/>
    <w:basedOn w:val="1"/>
    <w:link w:val="46"/>
    <w:qFormat/>
    <w:uiPriority w:val="0"/>
    <w:pPr>
      <w:spacing w:after="120"/>
    </w:pPr>
    <w:rPr>
      <w:sz w:val="16"/>
      <w:szCs w:val="16"/>
    </w:rPr>
  </w:style>
  <w:style w:type="paragraph" w:styleId="16">
    <w:name w:val="Body Text Indent"/>
    <w:basedOn w:val="1"/>
    <w:qFormat/>
    <w:uiPriority w:val="0"/>
    <w:pPr>
      <w:spacing w:line="360" w:lineRule="auto"/>
      <w:ind w:firstLine="480"/>
    </w:pPr>
    <w:rPr>
      <w:sz w:val="24"/>
      <w:szCs w:val="20"/>
    </w:rPr>
  </w:style>
  <w:style w:type="paragraph" w:styleId="17">
    <w:name w:val="toc 5"/>
    <w:basedOn w:val="1"/>
    <w:next w:val="1"/>
    <w:semiHidden/>
    <w:qFormat/>
    <w:uiPriority w:val="0"/>
    <w:pPr>
      <w:ind w:left="840"/>
      <w:jc w:val="left"/>
    </w:pPr>
    <w:rPr>
      <w:sz w:val="18"/>
      <w:szCs w:val="18"/>
    </w:rPr>
  </w:style>
  <w:style w:type="paragraph" w:styleId="18">
    <w:name w:val="toc 3"/>
    <w:basedOn w:val="1"/>
    <w:next w:val="1"/>
    <w:semiHidden/>
    <w:qFormat/>
    <w:uiPriority w:val="0"/>
    <w:pPr>
      <w:ind w:left="420"/>
      <w:jc w:val="left"/>
    </w:pPr>
    <w:rPr>
      <w:i/>
      <w:iCs/>
      <w:sz w:val="20"/>
      <w:szCs w:val="20"/>
    </w:rPr>
  </w:style>
  <w:style w:type="paragraph" w:styleId="19">
    <w:name w:val="Plain Text"/>
    <w:basedOn w:val="1"/>
    <w:link w:val="44"/>
    <w:qFormat/>
    <w:uiPriority w:val="0"/>
    <w:rPr>
      <w:rFonts w:ascii="宋体" w:hAnsi="Courier New"/>
      <w:szCs w:val="20"/>
    </w:rPr>
  </w:style>
  <w:style w:type="paragraph" w:styleId="20">
    <w:name w:val="toc 8"/>
    <w:basedOn w:val="1"/>
    <w:next w:val="1"/>
    <w:semiHidden/>
    <w:qFormat/>
    <w:uiPriority w:val="0"/>
    <w:pPr>
      <w:ind w:left="1470"/>
      <w:jc w:val="left"/>
    </w:pPr>
    <w:rPr>
      <w:sz w:val="18"/>
      <w:szCs w:val="18"/>
    </w:rPr>
  </w:style>
  <w:style w:type="paragraph" w:styleId="21">
    <w:name w:val="Date"/>
    <w:basedOn w:val="1"/>
    <w:next w:val="1"/>
    <w:qFormat/>
    <w:uiPriority w:val="0"/>
    <w:rPr>
      <w:rFonts w:ascii="宋体"/>
      <w:sz w:val="24"/>
      <w:szCs w:val="20"/>
    </w:rPr>
  </w:style>
  <w:style w:type="paragraph" w:styleId="22">
    <w:name w:val="Body Text Indent 2"/>
    <w:basedOn w:val="1"/>
    <w:qFormat/>
    <w:uiPriority w:val="0"/>
    <w:pPr>
      <w:spacing w:after="120" w:line="480" w:lineRule="auto"/>
      <w:ind w:left="420" w:leftChars="200"/>
    </w:p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458"/>
      </w:tabs>
      <w:spacing w:before="120" w:after="120" w:line="360" w:lineRule="auto"/>
      <w:jc w:val="left"/>
    </w:pPr>
    <w:rPr>
      <w:b/>
      <w:bCs/>
      <w:caps/>
      <w:sz w:val="20"/>
      <w:szCs w:val="20"/>
    </w:rPr>
  </w:style>
  <w:style w:type="paragraph" w:styleId="27">
    <w:name w:val="toc 4"/>
    <w:basedOn w:val="1"/>
    <w:next w:val="1"/>
    <w:semiHidden/>
    <w:qFormat/>
    <w:uiPriority w:val="0"/>
    <w:pPr>
      <w:ind w:left="630"/>
      <w:jc w:val="left"/>
    </w:pPr>
    <w:rPr>
      <w:sz w:val="18"/>
      <w:szCs w:val="18"/>
    </w:rPr>
  </w:style>
  <w:style w:type="paragraph" w:styleId="28">
    <w:name w:val="index heading"/>
    <w:basedOn w:val="1"/>
    <w:next w:val="29"/>
    <w:semiHidden/>
    <w:qFormat/>
    <w:uiPriority w:val="0"/>
    <w:rPr>
      <w:szCs w:val="20"/>
    </w:rPr>
  </w:style>
  <w:style w:type="paragraph" w:styleId="29">
    <w:name w:val="index 1"/>
    <w:basedOn w:val="1"/>
    <w:next w:val="1"/>
    <w:semiHidden/>
    <w:qFormat/>
    <w:uiPriority w:val="0"/>
  </w:style>
  <w:style w:type="paragraph" w:styleId="30">
    <w:name w:val="toc 6"/>
    <w:basedOn w:val="1"/>
    <w:next w:val="1"/>
    <w:semiHidden/>
    <w:qFormat/>
    <w:uiPriority w:val="0"/>
    <w:pPr>
      <w:ind w:left="1050"/>
      <w:jc w:val="left"/>
    </w:pPr>
    <w:rPr>
      <w:sz w:val="18"/>
      <w:szCs w:val="18"/>
    </w:rPr>
  </w:style>
  <w:style w:type="paragraph" w:styleId="31">
    <w:name w:val="Body Text Indent 3"/>
    <w:basedOn w:val="1"/>
    <w:qFormat/>
    <w:uiPriority w:val="0"/>
    <w:pPr>
      <w:spacing w:after="120"/>
      <w:ind w:left="420" w:leftChars="200"/>
    </w:pPr>
    <w:rPr>
      <w:sz w:val="16"/>
      <w:szCs w:val="16"/>
    </w:rPr>
  </w:style>
  <w:style w:type="paragraph" w:styleId="32">
    <w:name w:val="toc 2"/>
    <w:basedOn w:val="1"/>
    <w:next w:val="1"/>
    <w:qFormat/>
    <w:uiPriority w:val="39"/>
    <w:pPr>
      <w:tabs>
        <w:tab w:val="right" w:leader="dot" w:pos="9458"/>
      </w:tabs>
      <w:spacing w:line="360" w:lineRule="auto"/>
      <w:ind w:left="210"/>
      <w:jc w:val="left"/>
    </w:pPr>
    <w:rPr>
      <w:smallCaps/>
      <w:sz w:val="20"/>
      <w:szCs w:val="20"/>
    </w:rPr>
  </w:style>
  <w:style w:type="paragraph" w:styleId="33">
    <w:name w:val="toc 9"/>
    <w:basedOn w:val="1"/>
    <w:next w:val="1"/>
    <w:semiHidden/>
    <w:qFormat/>
    <w:uiPriority w:val="0"/>
    <w:pPr>
      <w:ind w:left="1680"/>
      <w:jc w:val="left"/>
    </w:pPr>
    <w:rPr>
      <w:sz w:val="18"/>
      <w:szCs w:val="18"/>
    </w:rPr>
  </w:style>
  <w:style w:type="paragraph" w:styleId="34">
    <w:name w:val="Normal (Web)"/>
    <w:basedOn w:val="1"/>
    <w:qFormat/>
    <w:uiPriority w:val="99"/>
    <w:pPr>
      <w:widowControl/>
      <w:spacing w:before="100" w:beforeAutospacing="1" w:after="100" w:afterAutospacing="1"/>
      <w:jc w:val="left"/>
    </w:pPr>
    <w:rPr>
      <w:rFonts w:ascii="宋体" w:hAnsi="宋体" w:cs="Arial"/>
      <w:color w:val="0000FF"/>
      <w:kern w:val="0"/>
      <w:sz w:val="24"/>
    </w:rPr>
  </w:style>
  <w:style w:type="paragraph" w:styleId="35">
    <w:name w:val="Title"/>
    <w:basedOn w:val="1"/>
    <w:link w:val="43"/>
    <w:qFormat/>
    <w:uiPriority w:val="0"/>
    <w:pPr>
      <w:adjustRightInd w:val="0"/>
      <w:spacing w:before="600" w:after="360" w:line="0" w:lineRule="atLeast"/>
      <w:jc w:val="center"/>
      <w:textAlignment w:val="baseline"/>
    </w:pPr>
    <w:rPr>
      <w:b/>
      <w:kern w:val="0"/>
      <w:sz w:val="28"/>
      <w:szCs w:val="20"/>
    </w:rPr>
  </w:style>
  <w:style w:type="character" w:styleId="37">
    <w:name w:val="page number"/>
    <w:basedOn w:val="36"/>
    <w:qFormat/>
    <w:uiPriority w:val="0"/>
  </w:style>
  <w:style w:type="character" w:styleId="38">
    <w:name w:val="Hyperlink"/>
    <w:basedOn w:val="36"/>
    <w:qFormat/>
    <w:uiPriority w:val="99"/>
    <w:rPr>
      <w:color w:val="0000FF"/>
      <w:u w:val="single"/>
    </w:rPr>
  </w:style>
  <w:style w:type="character" w:styleId="39">
    <w:name w:val="annotation reference"/>
    <w:semiHidden/>
    <w:qFormat/>
    <w:uiPriority w:val="0"/>
    <w:rPr>
      <w:sz w:val="21"/>
      <w:szCs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2">
    <w:name w:val="访问过的超链接"/>
    <w:qFormat/>
    <w:uiPriority w:val="0"/>
    <w:rPr>
      <w:color w:val="800080"/>
      <w:u w:val="single"/>
    </w:rPr>
  </w:style>
  <w:style w:type="character" w:customStyle="1" w:styleId="43">
    <w:name w:val="标题 Char"/>
    <w:link w:val="35"/>
    <w:qFormat/>
    <w:uiPriority w:val="0"/>
    <w:rPr>
      <w:b/>
      <w:sz w:val="28"/>
    </w:rPr>
  </w:style>
  <w:style w:type="character" w:customStyle="1" w:styleId="44">
    <w:name w:val="纯文本 Char"/>
    <w:link w:val="19"/>
    <w:qFormat/>
    <w:uiPriority w:val="0"/>
    <w:rPr>
      <w:rFonts w:ascii="宋体" w:hAnsi="Courier New"/>
      <w:kern w:val="2"/>
      <w:sz w:val="21"/>
    </w:rPr>
  </w:style>
  <w:style w:type="character" w:customStyle="1" w:styleId="45">
    <w:name w:val="tpc_content1"/>
    <w:qFormat/>
    <w:uiPriority w:val="0"/>
    <w:rPr>
      <w:sz w:val="20"/>
      <w:szCs w:val="20"/>
    </w:rPr>
  </w:style>
  <w:style w:type="character" w:customStyle="1" w:styleId="46">
    <w:name w:val="正文文本 3 Char"/>
    <w:link w:val="15"/>
    <w:qFormat/>
    <w:uiPriority w:val="0"/>
    <w:rPr>
      <w:kern w:val="2"/>
      <w:sz w:val="16"/>
      <w:szCs w:val="16"/>
    </w:rPr>
  </w:style>
  <w:style w:type="character" w:customStyle="1" w:styleId="47">
    <w:name w:val="标题 3 Char"/>
    <w:link w:val="6"/>
    <w:qFormat/>
    <w:uiPriority w:val="99"/>
    <w:rPr>
      <w:b/>
      <w:bCs/>
      <w:kern w:val="2"/>
      <w:sz w:val="32"/>
      <w:szCs w:val="32"/>
    </w:rPr>
  </w:style>
  <w:style w:type="character" w:customStyle="1" w:styleId="48">
    <w:name w:val="正文文本 Char"/>
    <w:link w:val="2"/>
    <w:qFormat/>
    <w:uiPriority w:val="0"/>
    <w:rPr>
      <w:rFonts w:eastAsia="宋体"/>
      <w:kern w:val="2"/>
      <w:sz w:val="21"/>
      <w:szCs w:val="24"/>
      <w:lang w:val="en-US" w:eastAsia="zh-CN" w:bidi="ar-SA"/>
    </w:rPr>
  </w:style>
  <w:style w:type="character" w:customStyle="1" w:styleId="49">
    <w:name w:val="标题 2 Char"/>
    <w:link w:val="5"/>
    <w:qFormat/>
    <w:uiPriority w:val="99"/>
    <w:rPr>
      <w:rFonts w:ascii="Arial" w:hAnsi="Arial" w:eastAsia="黑体"/>
      <w:b/>
      <w:kern w:val="2"/>
      <w:sz w:val="32"/>
    </w:rPr>
  </w:style>
  <w:style w:type="paragraph" w:customStyle="1" w:styleId="5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p17"/>
    <w:basedOn w:val="1"/>
    <w:qFormat/>
    <w:uiPriority w:val="99"/>
    <w:pPr>
      <w:widowControl/>
      <w:snapToGrid w:val="0"/>
      <w:jc w:val="left"/>
    </w:pPr>
    <w:rPr>
      <w:rFonts w:ascii="宋体" w:hAnsi="宋体" w:cs="宋体"/>
      <w:color w:val="000000"/>
      <w:kern w:val="0"/>
      <w:sz w:val="24"/>
    </w:rPr>
  </w:style>
  <w:style w:type="paragraph" w:customStyle="1" w:styleId="52">
    <w:name w:val="1."/>
    <w:basedOn w:val="1"/>
    <w:qFormat/>
    <w:uiPriority w:val="0"/>
    <w:pPr>
      <w:tabs>
        <w:tab w:val="left" w:pos="425"/>
      </w:tabs>
      <w:spacing w:line="360" w:lineRule="auto"/>
      <w:ind w:firstLine="482"/>
    </w:pPr>
    <w:rPr>
      <w:sz w:val="28"/>
      <w:szCs w:val="20"/>
    </w:rPr>
  </w:style>
  <w:style w:type="paragraph" w:customStyle="1" w:styleId="53">
    <w:name w:val="Char1"/>
    <w:basedOn w:val="1"/>
    <w:qFormat/>
    <w:uiPriority w:val="0"/>
    <w:rPr>
      <w:sz w:val="24"/>
    </w:rPr>
  </w:style>
  <w:style w:type="paragraph" w:customStyle="1" w:styleId="54">
    <w:name w:val="aa"/>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Char Char Char Char Char Char Char Char Char Char Char Char Char"/>
    <w:basedOn w:val="1"/>
    <w:qFormat/>
    <w:uiPriority w:val="0"/>
    <w:rPr>
      <w:rFonts w:ascii="FangSong_GB2312" w:eastAsia="FangSong_GB2312"/>
      <w:b/>
      <w:sz w:val="32"/>
      <w:szCs w:val="32"/>
    </w:rPr>
  </w:style>
  <w:style w:type="paragraph" w:customStyle="1" w:styleId="56">
    <w:name w:val="表中"/>
    <w:basedOn w:val="1"/>
    <w:qFormat/>
    <w:uiPriority w:val="0"/>
    <w:pPr>
      <w:adjustRightInd w:val="0"/>
      <w:spacing w:line="360" w:lineRule="atLeast"/>
      <w:jc w:val="center"/>
      <w:textAlignment w:val="baseline"/>
    </w:pPr>
    <w:rPr>
      <w:kern w:val="0"/>
      <w:szCs w:val="20"/>
    </w:rPr>
  </w:style>
  <w:style w:type="paragraph" w:customStyle="1" w:styleId="57">
    <w:name w:val="Char"/>
    <w:basedOn w:val="1"/>
    <w:qFormat/>
    <w:uiPriority w:val="0"/>
    <w:pPr>
      <w:widowControl/>
      <w:spacing w:after="160" w:line="240" w:lineRule="exact"/>
      <w:jc w:val="left"/>
    </w:pPr>
    <w:rPr>
      <w:szCs w:val="20"/>
    </w:rPr>
  </w:style>
  <w:style w:type="paragraph" w:customStyle="1" w:styleId="58">
    <w:name w:val="Char Char Char Char"/>
    <w:basedOn w:val="1"/>
    <w:qFormat/>
    <w:uiPriority w:val="0"/>
    <w:pPr>
      <w:widowControl/>
      <w:spacing w:after="160" w:line="240" w:lineRule="exact"/>
      <w:jc w:val="left"/>
    </w:pPr>
    <w:rPr>
      <w:szCs w:val="20"/>
    </w:rPr>
  </w:style>
  <w:style w:type="paragraph" w:customStyle="1" w:styleId="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60">
    <w:name w:val="一、"/>
    <w:next w:val="12"/>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61">
    <w:name w:val="Table Paragraph"/>
    <w:basedOn w:val="1"/>
    <w:qFormat/>
    <w:uiPriority w:val="1"/>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Char Char Char Char Char Char1 Char Char Char Char"/>
    <w:basedOn w:val="1"/>
    <w:qFormat/>
    <w:uiPriority w:val="0"/>
    <w:rPr>
      <w:rFonts w:ascii="FangSong_GB2312" w:eastAsia="FangSong_GB2312"/>
      <w:b/>
      <w:sz w:val="32"/>
      <w:szCs w:val="32"/>
    </w:rPr>
  </w:style>
  <w:style w:type="paragraph" w:customStyle="1" w:styleId="64">
    <w:name w:val="目录1"/>
    <w:basedOn w:val="1"/>
    <w:qFormat/>
    <w:uiPriority w:val="0"/>
    <w:pPr>
      <w:adjustRightInd w:val="0"/>
      <w:spacing w:line="420" w:lineRule="atLeast"/>
      <w:textAlignment w:val="baseline"/>
    </w:pPr>
    <w:rPr>
      <w:rFonts w:eastAsia="黑体"/>
      <w:b/>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8E4739-4BDF-4FE5-9E36-A6563F6E5E99}">
  <ds:schemaRefs/>
</ds:datastoreItem>
</file>

<file path=docProps/app.xml><?xml version="1.0" encoding="utf-8"?>
<Properties xmlns="http://schemas.openxmlformats.org/officeDocument/2006/extended-properties" xmlns:vt="http://schemas.openxmlformats.org/officeDocument/2006/docPropsVTypes">
  <Template>Normal.dotm</Template>
  <Company>BJyiqun</Company>
  <Pages>114</Pages>
  <Words>9929</Words>
  <Characters>56599</Characters>
  <Lines>471</Lines>
  <Paragraphs>132</Paragraphs>
  <TotalTime>266</TotalTime>
  <ScaleCrop>false</ScaleCrop>
  <LinksUpToDate>false</LinksUpToDate>
  <CharactersWithSpaces>66396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2019-08-09T06:02:00Z</dcterms:created>
  <dc:creator>wangying</dc:creator>
  <cp:lastModifiedBy>Lenovo</cp:lastModifiedBy>
  <cp:lastPrinted>2019-08-13T02:09:00Z</cp:lastPrinted>
  <dcterms:modified xsi:type="dcterms:W3CDTF">2025-08-19T02:08:09Z</dcterms:modified>
  <dc:title>公路工程施工监理招标文件范本</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