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cs="宋体"/>
          <w:b/>
          <w:bCs/>
          <w:color w:val="auto"/>
          <w:sz w:val="44"/>
          <w:szCs w:val="44"/>
          <w:highlight w:val="none"/>
        </w:rPr>
      </w:pPr>
    </w:p>
    <w:p>
      <w:pPr>
        <w:pStyle w:val="6"/>
        <w:jc w:val="center"/>
        <w:rPr>
          <w:rFonts w:hint="eastAsia" w:ascii="宋体" w:hAnsi="宋体" w:cs="宋体"/>
          <w:b/>
          <w:bCs/>
          <w:color w:val="auto"/>
          <w:sz w:val="44"/>
          <w:highlight w:val="none"/>
        </w:rPr>
      </w:pPr>
    </w:p>
    <w:p>
      <w:pPr>
        <w:pStyle w:val="6"/>
        <w:jc w:val="center"/>
        <w:rPr>
          <w:rFonts w:hint="eastAsia" w:ascii="宋体" w:hAnsi="宋体" w:cs="宋体"/>
          <w:b/>
          <w:bCs/>
          <w:color w:val="auto"/>
          <w:sz w:val="44"/>
          <w:highlight w:val="none"/>
        </w:rPr>
      </w:pPr>
      <w:r>
        <w:rPr>
          <w:rFonts w:hint="eastAsia" w:ascii="宋体" w:hAnsi="宋体" w:cs="宋体"/>
          <w:b/>
          <w:bCs/>
          <w:color w:val="auto"/>
          <w:sz w:val="44"/>
          <w:highlight w:val="none"/>
        </w:rPr>
        <w:t>2025年滨海新区农村公路路面严重破损路段维修工程</w:t>
      </w:r>
    </w:p>
    <w:p>
      <w:pPr>
        <w:pStyle w:val="7"/>
        <w:rPr>
          <w:rFonts w:hint="eastAsia"/>
          <w:color w:val="auto"/>
          <w:highlight w:val="none"/>
        </w:rPr>
      </w:pPr>
    </w:p>
    <w:p>
      <w:pPr>
        <w:pStyle w:val="6"/>
        <w:jc w:val="center"/>
        <w:rPr>
          <w:rFonts w:hint="eastAsia" w:ascii="宋体" w:hAnsi="宋体" w:cs="宋体"/>
          <w:color w:val="auto"/>
          <w:sz w:val="36"/>
          <w:highlight w:val="none"/>
        </w:rPr>
      </w:pPr>
    </w:p>
    <w:p>
      <w:pPr>
        <w:pStyle w:val="7"/>
        <w:rPr>
          <w:rFonts w:hint="eastAsia" w:ascii="宋体" w:hAnsi="宋体" w:eastAsia="宋体" w:cs="宋体"/>
          <w:color w:val="auto"/>
          <w:sz w:val="36"/>
          <w:highlight w:val="none"/>
        </w:rPr>
      </w:pPr>
    </w:p>
    <w:p>
      <w:pPr>
        <w:pStyle w:val="7"/>
        <w:rPr>
          <w:rFonts w:hint="eastAsia"/>
          <w:color w:val="auto"/>
          <w:highlight w:val="none"/>
        </w:rPr>
      </w:pPr>
    </w:p>
    <w:p>
      <w:pPr>
        <w:pStyle w:val="6"/>
        <w:jc w:val="center"/>
        <w:rPr>
          <w:rFonts w:hint="eastAsia" w:ascii="宋体" w:hAnsi="宋体" w:cs="宋体"/>
          <w:color w:val="auto"/>
          <w:sz w:val="36"/>
          <w:highlight w:val="none"/>
        </w:rPr>
      </w:pPr>
    </w:p>
    <w:p>
      <w:pPr>
        <w:pStyle w:val="6"/>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（招标编号：</w:t>
      </w:r>
      <w:r>
        <w:rPr>
          <w:rFonts w:hint="eastAsia" w:ascii="宋体" w:hAnsi="宋体" w:cs="宋体"/>
          <w:b/>
          <w:bCs/>
          <w:color w:val="auto"/>
          <w:sz w:val="36"/>
          <w:szCs w:val="36"/>
          <w:highlight w:val="none"/>
          <w:lang w:val="en-US" w:eastAsia="zh-CN"/>
        </w:rPr>
        <w:t>TJWS-2025-H-547</w:t>
      </w:r>
      <w:r>
        <w:rPr>
          <w:rFonts w:hint="eastAsia" w:ascii="宋体" w:hAnsi="宋体" w:cs="宋体"/>
          <w:b/>
          <w:bCs/>
          <w:color w:val="auto"/>
          <w:sz w:val="36"/>
          <w:szCs w:val="36"/>
          <w:highlight w:val="none"/>
        </w:rPr>
        <w:t>）</w:t>
      </w:r>
    </w:p>
    <w:p>
      <w:pPr>
        <w:pStyle w:val="6"/>
        <w:jc w:val="center"/>
        <w:rPr>
          <w:rFonts w:hint="eastAsia" w:ascii="宋体" w:hAnsi="宋体" w:cs="宋体"/>
          <w:b/>
          <w:color w:val="auto"/>
          <w:sz w:val="72"/>
          <w:highlight w:val="none"/>
        </w:rPr>
      </w:pPr>
      <w:r>
        <w:rPr>
          <w:rFonts w:hint="eastAsia" w:ascii="宋体" w:hAnsi="宋体" w:cs="宋体"/>
          <w:b/>
          <w:color w:val="auto"/>
          <w:sz w:val="72"/>
          <w:highlight w:val="none"/>
        </w:rPr>
        <w:t>招 标 文 件</w:t>
      </w:r>
    </w:p>
    <w:p>
      <w:pPr>
        <w:pStyle w:val="6"/>
        <w:jc w:val="center"/>
        <w:rPr>
          <w:rFonts w:hint="eastAsia" w:ascii="宋体" w:hAnsi="宋体" w:cs="宋体"/>
          <w:color w:val="auto"/>
          <w:sz w:val="36"/>
          <w:highlight w:val="none"/>
        </w:rPr>
      </w:pPr>
    </w:p>
    <w:p>
      <w:pPr>
        <w:pStyle w:val="6"/>
        <w:tabs>
          <w:tab w:val="left" w:pos="7077"/>
        </w:tabs>
        <w:jc w:val="center"/>
        <w:rPr>
          <w:rFonts w:hint="eastAsia" w:ascii="宋体" w:hAnsi="宋体" w:cs="宋体"/>
          <w:color w:val="auto"/>
          <w:sz w:val="36"/>
          <w:highlight w:val="none"/>
        </w:rPr>
      </w:pPr>
    </w:p>
    <w:p>
      <w:pPr>
        <w:pStyle w:val="7"/>
        <w:rPr>
          <w:rFonts w:hint="eastAsia" w:ascii="宋体" w:hAnsi="宋体" w:eastAsia="宋体" w:cs="宋体"/>
          <w:color w:val="auto"/>
          <w:sz w:val="36"/>
          <w:highlight w:val="none"/>
        </w:rPr>
      </w:pPr>
    </w:p>
    <w:p>
      <w:pPr>
        <w:pStyle w:val="7"/>
        <w:rPr>
          <w:rFonts w:hint="eastAsia" w:ascii="宋体" w:hAnsi="宋体" w:eastAsia="宋体" w:cs="宋体"/>
          <w:color w:val="auto"/>
          <w:sz w:val="36"/>
          <w:highlight w:val="none"/>
        </w:rPr>
      </w:pPr>
    </w:p>
    <w:p>
      <w:pPr>
        <w:pStyle w:val="6"/>
        <w:tabs>
          <w:tab w:val="left" w:pos="7052"/>
        </w:tabs>
        <w:rPr>
          <w:rFonts w:hint="eastAsia" w:ascii="宋体" w:hAnsi="宋体" w:cs="宋体"/>
          <w:color w:val="auto"/>
          <w:sz w:val="36"/>
          <w:highlight w:val="none"/>
        </w:rPr>
      </w:pPr>
    </w:p>
    <w:p>
      <w:pPr>
        <w:pStyle w:val="6"/>
        <w:ind w:firstLine="736" w:firstLineChars="262"/>
        <w:rPr>
          <w:rFonts w:hint="eastAsia" w:ascii="宋体" w:hAnsi="宋体" w:cs="宋体"/>
          <w:b/>
          <w:color w:val="auto"/>
          <w:sz w:val="28"/>
          <w:szCs w:val="22"/>
          <w:highlight w:val="none"/>
        </w:rPr>
      </w:pPr>
      <w:r>
        <w:rPr>
          <w:rFonts w:hint="eastAsia" w:ascii="宋体" w:hAnsi="宋体" w:cs="宋体"/>
          <w:b/>
          <w:color w:val="auto"/>
          <w:sz w:val="28"/>
          <w:szCs w:val="22"/>
          <w:highlight w:val="none"/>
        </w:rPr>
        <w:t>招标单位：天津市滨海新区太平镇人民政府（盖单位章）</w:t>
      </w:r>
    </w:p>
    <w:p>
      <w:pPr>
        <w:pStyle w:val="6"/>
        <w:ind w:firstLine="736" w:firstLineChars="262"/>
        <w:rPr>
          <w:rFonts w:hint="eastAsia" w:ascii="宋体" w:hAnsi="宋体" w:cs="宋体"/>
          <w:b/>
          <w:color w:val="auto"/>
          <w:sz w:val="28"/>
          <w:szCs w:val="22"/>
          <w:highlight w:val="none"/>
        </w:rPr>
      </w:pPr>
      <w:r>
        <w:rPr>
          <w:rFonts w:hint="eastAsia" w:ascii="宋体" w:hAnsi="宋体" w:cs="宋体"/>
          <w:b/>
          <w:color w:val="auto"/>
          <w:sz w:val="28"/>
          <w:szCs w:val="22"/>
          <w:highlight w:val="none"/>
        </w:rPr>
        <w:t>代理机构：天津市沃盛工程咨询有限公司（盖单位章）</w:t>
      </w:r>
    </w:p>
    <w:p>
      <w:pPr>
        <w:snapToGrid w:val="0"/>
        <w:spacing w:line="480" w:lineRule="auto"/>
        <w:jc w:val="center"/>
        <w:rPr>
          <w:rFonts w:hint="eastAsia" w:ascii="宋体" w:hAnsi="宋体" w:cs="宋体"/>
          <w:b/>
          <w:color w:val="auto"/>
          <w:sz w:val="28"/>
          <w:szCs w:val="22"/>
          <w:highlight w:val="none"/>
        </w:rPr>
      </w:pPr>
      <w:r>
        <w:rPr>
          <w:rFonts w:hint="eastAsia" w:ascii="宋体" w:hAnsi="宋体" w:cs="宋体"/>
          <w:b/>
          <w:color w:val="auto"/>
          <w:sz w:val="28"/>
          <w:szCs w:val="22"/>
          <w:highlight w:val="none"/>
        </w:rPr>
        <w:t>二○二五年</w:t>
      </w:r>
      <w:r>
        <w:rPr>
          <w:rFonts w:hint="eastAsia" w:ascii="宋体" w:hAnsi="宋体" w:cs="宋体"/>
          <w:b/>
          <w:color w:val="auto"/>
          <w:sz w:val="28"/>
          <w:szCs w:val="22"/>
          <w:highlight w:val="none"/>
          <w:lang w:val="en-US" w:eastAsia="zh-CN"/>
        </w:rPr>
        <w:t>八</w:t>
      </w:r>
      <w:r>
        <w:rPr>
          <w:rFonts w:hint="eastAsia" w:ascii="宋体" w:hAnsi="宋体" w:cs="宋体"/>
          <w:b/>
          <w:color w:val="auto"/>
          <w:sz w:val="28"/>
          <w:szCs w:val="22"/>
          <w:highlight w:val="none"/>
        </w:rPr>
        <w:t>月</w:t>
      </w:r>
      <w:r>
        <w:rPr>
          <w:rFonts w:hint="eastAsia" w:ascii="宋体" w:hAnsi="宋体" w:cs="宋体"/>
          <w:b/>
          <w:color w:val="auto"/>
          <w:sz w:val="28"/>
          <w:szCs w:val="22"/>
          <w:highlight w:val="none"/>
          <w:lang w:val="en-US" w:eastAsia="zh-CN"/>
        </w:rPr>
        <w:t>十八</w:t>
      </w:r>
      <w:r>
        <w:rPr>
          <w:rFonts w:hint="eastAsia" w:ascii="宋体" w:hAnsi="宋体" w:cs="宋体"/>
          <w:b/>
          <w:color w:val="auto"/>
          <w:sz w:val="28"/>
          <w:szCs w:val="22"/>
          <w:highlight w:val="none"/>
        </w:rPr>
        <w:t>日</w:t>
      </w:r>
    </w:p>
    <w:p>
      <w:pPr>
        <w:snapToGrid w:val="0"/>
        <w:spacing w:line="480" w:lineRule="auto"/>
        <w:jc w:val="center"/>
        <w:rPr>
          <w:rFonts w:hint="eastAsia" w:ascii="宋体" w:hAnsi="宋体" w:cs="宋体"/>
          <w:color w:val="auto"/>
          <w:sz w:val="48"/>
          <w:szCs w:val="48"/>
          <w:highlight w:val="none"/>
          <w:lang w:val="zh-CN"/>
        </w:rPr>
        <w:sectPr>
          <w:headerReference r:id="rId3" w:type="default"/>
          <w:footerReference r:id="rId4" w:type="default"/>
          <w:footnotePr>
            <w:numFmt w:val="decimalEnclosedCircleChinese"/>
            <w:numRestart w:val="eachPage"/>
          </w:footnotePr>
          <w:pgSz w:w="11905" w:h="16838"/>
          <w:pgMar w:top="1304" w:right="1304" w:bottom="1304" w:left="1361" w:header="720" w:footer="720" w:gutter="0"/>
          <w:paperSrc w:first="7" w:other="7"/>
          <w:cols w:space="720" w:num="1"/>
          <w:titlePg/>
          <w:docGrid w:linePitch="312" w:charSpace="0"/>
        </w:sectPr>
      </w:pPr>
    </w:p>
    <w:p>
      <w:pPr>
        <w:pStyle w:val="12"/>
        <w:spacing w:line="360" w:lineRule="auto"/>
        <w:rPr>
          <w:rFonts w:hint="eastAsia" w:ascii="宋体" w:hAnsi="宋体" w:eastAsia="宋体" w:cs="宋体"/>
          <w:color w:val="auto"/>
          <w:highlight w:val="none"/>
        </w:rPr>
      </w:pPr>
    </w:p>
    <w:p>
      <w:pPr>
        <w:snapToGrid w:val="0"/>
        <w:spacing w:line="480" w:lineRule="auto"/>
        <w:jc w:val="center"/>
        <w:rPr>
          <w:rFonts w:hint="eastAsia" w:ascii="宋体" w:hAnsi="宋体" w:cs="宋体"/>
          <w:color w:val="auto"/>
          <w:sz w:val="48"/>
          <w:szCs w:val="48"/>
          <w:highlight w:val="none"/>
          <w:lang w:val="zh-CN"/>
        </w:rPr>
      </w:pPr>
      <w:r>
        <w:rPr>
          <w:rFonts w:hint="eastAsia" w:ascii="宋体" w:hAnsi="宋体" w:cs="宋体"/>
          <w:color w:val="auto"/>
          <w:sz w:val="48"/>
          <w:szCs w:val="48"/>
          <w:highlight w:val="none"/>
          <w:lang w:val="zh-CN"/>
        </w:rPr>
        <w:t>目  录</w:t>
      </w:r>
    </w:p>
    <w:p>
      <w:pPr>
        <w:pStyle w:val="12"/>
        <w:spacing w:line="360" w:lineRule="auto"/>
        <w:jc w:val="center"/>
        <w:rPr>
          <w:rStyle w:val="17"/>
          <w:rFonts w:hint="eastAsia" w:ascii="宋体" w:hAnsi="宋体" w:eastAsia="宋体" w:cs="宋体"/>
          <w:b/>
          <w:color w:val="auto"/>
          <w:sz w:val="28"/>
          <w:szCs w:val="28"/>
          <w:highlight w:val="none"/>
          <w:u w:val="none"/>
          <w:lang w:val="zh-CN"/>
        </w:rPr>
      </w:pPr>
      <w:r>
        <w:rPr>
          <w:rStyle w:val="17"/>
          <w:rFonts w:hint="eastAsia" w:ascii="宋体" w:hAnsi="宋体" w:eastAsia="宋体" w:cs="宋体"/>
          <w:b/>
          <w:color w:val="auto"/>
          <w:sz w:val="28"/>
          <w:szCs w:val="28"/>
          <w:highlight w:val="none"/>
          <w:u w:val="none"/>
          <w:lang w:val="zh-CN"/>
        </w:rPr>
        <w:t>第一卷</w:t>
      </w:r>
    </w:p>
    <w:p>
      <w:pPr>
        <w:pStyle w:val="12"/>
        <w:tabs>
          <w:tab w:val="right" w:leader="dot" w:pos="9240"/>
          <w:tab w:val="clear" w:pos="9016"/>
        </w:tabs>
        <w:rPr>
          <w:highlight w:val="none"/>
        </w:rPr>
      </w:pPr>
      <w:r>
        <w:rPr>
          <w:rFonts w:hint="eastAsia" w:ascii="宋体" w:hAnsi="宋体" w:eastAsia="宋体" w:cs="宋体"/>
          <w:b/>
          <w:color w:val="auto"/>
          <w:sz w:val="28"/>
          <w:szCs w:val="28"/>
          <w:highlight w:val="none"/>
        </w:rPr>
        <w:fldChar w:fldCharType="begin"/>
      </w:r>
      <w:r>
        <w:rPr>
          <w:rStyle w:val="17"/>
          <w:rFonts w:hint="eastAsia" w:ascii="宋体" w:hAnsi="宋体" w:eastAsia="宋体" w:cs="宋体"/>
          <w:b/>
          <w:color w:val="auto"/>
          <w:sz w:val="28"/>
          <w:szCs w:val="28"/>
          <w:highlight w:val="none"/>
        </w:rPr>
        <w:instrText xml:space="preserve"> TOC \o "1-3" \h \z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_Toc5034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第一章  招标公告</w:t>
      </w:r>
      <w:r>
        <w:rPr>
          <w:highlight w:val="none"/>
        </w:rPr>
        <w:tab/>
      </w:r>
      <w:r>
        <w:rPr>
          <w:highlight w:val="none"/>
        </w:rPr>
        <w:fldChar w:fldCharType="begin"/>
      </w:r>
      <w:r>
        <w:rPr>
          <w:highlight w:val="none"/>
        </w:rPr>
        <w:instrText xml:space="preserve"> PAGEREF _Toc5034 \h </w:instrText>
      </w:r>
      <w:r>
        <w:rPr>
          <w:highlight w:val="none"/>
        </w:rPr>
        <w:fldChar w:fldCharType="separate"/>
      </w:r>
      <w:r>
        <w:rPr>
          <w:highlight w:val="none"/>
        </w:rPr>
        <w:t>- 3 -</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240"/>
          <w:tab w:val="clear" w:pos="901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_Toc186 </w:instrText>
      </w:r>
      <w:r>
        <w:rPr>
          <w:rFonts w:hint="eastAsia" w:ascii="宋体" w:hAnsi="宋体" w:cs="宋体"/>
          <w:szCs w:val="28"/>
          <w:highlight w:val="none"/>
        </w:rPr>
        <w:fldChar w:fldCharType="separate"/>
      </w:r>
      <w:r>
        <w:rPr>
          <w:rFonts w:hint="eastAsia" w:ascii="宋体" w:hAnsi="宋体" w:eastAsia="宋体" w:cs="宋体"/>
          <w:highlight w:val="none"/>
        </w:rPr>
        <w:t>第二章  投标人须知</w:t>
      </w:r>
      <w:r>
        <w:rPr>
          <w:highlight w:val="none"/>
        </w:rPr>
        <w:tab/>
      </w:r>
      <w:r>
        <w:rPr>
          <w:highlight w:val="none"/>
        </w:rPr>
        <w:fldChar w:fldCharType="begin"/>
      </w:r>
      <w:r>
        <w:rPr>
          <w:highlight w:val="none"/>
        </w:rPr>
        <w:instrText xml:space="preserve"> PAGEREF _Toc186 \h </w:instrText>
      </w:r>
      <w:r>
        <w:rPr>
          <w:highlight w:val="none"/>
        </w:rPr>
        <w:fldChar w:fldCharType="separate"/>
      </w:r>
      <w:r>
        <w:rPr>
          <w:highlight w:val="none"/>
        </w:rPr>
        <w:t>- 7 -</w:t>
      </w:r>
      <w:r>
        <w:rPr>
          <w:highlight w:val="none"/>
        </w:rPr>
        <w:fldChar w:fldCharType="end"/>
      </w:r>
      <w:r>
        <w:rPr>
          <w:rFonts w:hint="eastAsia" w:ascii="宋体" w:hAnsi="宋体" w:cs="宋体"/>
          <w:color w:val="auto"/>
          <w:szCs w:val="28"/>
          <w:highlight w:val="none"/>
        </w:rPr>
        <w:fldChar w:fldCharType="end"/>
      </w:r>
    </w:p>
    <w:p>
      <w:pPr>
        <w:pStyle w:val="12"/>
        <w:tabs>
          <w:tab w:val="right" w:leader="dot" w:pos="9240"/>
          <w:tab w:val="clear" w:pos="901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_Toc12608 </w:instrText>
      </w:r>
      <w:r>
        <w:rPr>
          <w:rFonts w:hint="eastAsia" w:ascii="宋体" w:hAnsi="宋体" w:cs="宋体"/>
          <w:szCs w:val="28"/>
          <w:highlight w:val="none"/>
        </w:rPr>
        <w:fldChar w:fldCharType="separate"/>
      </w:r>
      <w:r>
        <w:rPr>
          <w:rFonts w:hint="eastAsia" w:ascii="宋体" w:hAnsi="宋体" w:eastAsia="宋体" w:cs="宋体"/>
          <w:highlight w:val="none"/>
        </w:rPr>
        <w:t>第三章  评标办法</w:t>
      </w:r>
      <w:r>
        <w:rPr>
          <w:highlight w:val="none"/>
        </w:rPr>
        <w:tab/>
      </w:r>
      <w:r>
        <w:rPr>
          <w:highlight w:val="none"/>
        </w:rPr>
        <w:fldChar w:fldCharType="begin"/>
      </w:r>
      <w:r>
        <w:rPr>
          <w:highlight w:val="none"/>
        </w:rPr>
        <w:instrText xml:space="preserve"> PAGEREF _Toc12608 \h </w:instrText>
      </w:r>
      <w:r>
        <w:rPr>
          <w:highlight w:val="none"/>
        </w:rPr>
        <w:fldChar w:fldCharType="separate"/>
      </w:r>
      <w:r>
        <w:rPr>
          <w:highlight w:val="none"/>
        </w:rPr>
        <w:t>- 40 -</w:t>
      </w:r>
      <w:r>
        <w:rPr>
          <w:highlight w:val="none"/>
        </w:rPr>
        <w:fldChar w:fldCharType="end"/>
      </w:r>
      <w:r>
        <w:rPr>
          <w:rFonts w:hint="eastAsia" w:ascii="宋体" w:hAnsi="宋体" w:cs="宋体"/>
          <w:color w:val="auto"/>
          <w:szCs w:val="28"/>
          <w:highlight w:val="none"/>
        </w:rPr>
        <w:fldChar w:fldCharType="end"/>
      </w:r>
    </w:p>
    <w:p>
      <w:pPr>
        <w:pStyle w:val="12"/>
        <w:tabs>
          <w:tab w:val="right" w:leader="dot" w:pos="9240"/>
          <w:tab w:val="clear" w:pos="901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_Toc9632 </w:instrText>
      </w:r>
      <w:r>
        <w:rPr>
          <w:rFonts w:hint="eastAsia" w:ascii="宋体" w:hAnsi="宋体" w:cs="宋体"/>
          <w:szCs w:val="28"/>
          <w:highlight w:val="none"/>
        </w:rPr>
        <w:fldChar w:fldCharType="separate"/>
      </w:r>
      <w:r>
        <w:rPr>
          <w:rFonts w:hint="eastAsia" w:ascii="宋体" w:hAnsi="宋体" w:eastAsia="宋体" w:cs="宋体"/>
          <w:highlight w:val="none"/>
        </w:rPr>
        <w:t>第三章  评标办法（技术评分最低标价法）</w:t>
      </w:r>
      <w:r>
        <w:rPr>
          <w:highlight w:val="none"/>
        </w:rPr>
        <w:tab/>
      </w:r>
      <w:r>
        <w:rPr>
          <w:highlight w:val="none"/>
        </w:rPr>
        <w:fldChar w:fldCharType="begin"/>
      </w:r>
      <w:r>
        <w:rPr>
          <w:highlight w:val="none"/>
        </w:rPr>
        <w:instrText xml:space="preserve"> PAGEREF _Toc9632 \h </w:instrText>
      </w:r>
      <w:r>
        <w:rPr>
          <w:highlight w:val="none"/>
        </w:rPr>
        <w:fldChar w:fldCharType="separate"/>
      </w:r>
      <w:r>
        <w:rPr>
          <w:highlight w:val="none"/>
        </w:rPr>
        <w:t>- 41 -</w:t>
      </w:r>
      <w:r>
        <w:rPr>
          <w:highlight w:val="none"/>
        </w:rPr>
        <w:fldChar w:fldCharType="end"/>
      </w:r>
      <w:r>
        <w:rPr>
          <w:rFonts w:hint="eastAsia" w:ascii="宋体" w:hAnsi="宋体" w:cs="宋体"/>
          <w:color w:val="auto"/>
          <w:szCs w:val="28"/>
          <w:highlight w:val="none"/>
        </w:rPr>
        <w:fldChar w:fldCharType="end"/>
      </w:r>
    </w:p>
    <w:p>
      <w:pPr>
        <w:pStyle w:val="12"/>
        <w:tabs>
          <w:tab w:val="right" w:leader="dot" w:pos="9240"/>
          <w:tab w:val="clear" w:pos="901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_Toc5742 </w:instrText>
      </w:r>
      <w:r>
        <w:rPr>
          <w:rFonts w:hint="eastAsia" w:ascii="宋体" w:hAnsi="宋体" w:cs="宋体"/>
          <w:szCs w:val="28"/>
          <w:highlight w:val="none"/>
        </w:rPr>
        <w:fldChar w:fldCharType="separate"/>
      </w:r>
      <w:r>
        <w:rPr>
          <w:rFonts w:hint="eastAsia" w:ascii="宋体" w:hAnsi="宋体" w:eastAsia="宋体" w:cs="宋体"/>
          <w:highlight w:val="none"/>
        </w:rPr>
        <w:t>第四章  合同条款及格式</w:t>
      </w:r>
      <w:r>
        <w:rPr>
          <w:highlight w:val="none"/>
        </w:rPr>
        <w:tab/>
      </w:r>
      <w:r>
        <w:rPr>
          <w:highlight w:val="none"/>
        </w:rPr>
        <w:fldChar w:fldCharType="begin"/>
      </w:r>
      <w:r>
        <w:rPr>
          <w:highlight w:val="none"/>
        </w:rPr>
        <w:instrText xml:space="preserve"> PAGEREF _Toc5742 \h </w:instrText>
      </w:r>
      <w:r>
        <w:rPr>
          <w:highlight w:val="none"/>
        </w:rPr>
        <w:fldChar w:fldCharType="separate"/>
      </w:r>
      <w:r>
        <w:rPr>
          <w:highlight w:val="none"/>
        </w:rPr>
        <w:t>- 51 -</w:t>
      </w:r>
      <w:r>
        <w:rPr>
          <w:highlight w:val="none"/>
        </w:rPr>
        <w:fldChar w:fldCharType="end"/>
      </w:r>
      <w:r>
        <w:rPr>
          <w:rFonts w:hint="eastAsia" w:ascii="宋体" w:hAnsi="宋体" w:cs="宋体"/>
          <w:color w:val="auto"/>
          <w:szCs w:val="28"/>
          <w:highlight w:val="none"/>
        </w:rPr>
        <w:fldChar w:fldCharType="end"/>
      </w:r>
    </w:p>
    <w:p>
      <w:pPr>
        <w:pStyle w:val="12"/>
        <w:tabs>
          <w:tab w:val="right" w:leader="dot" w:pos="9240"/>
          <w:tab w:val="clear" w:pos="901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_Toc29415 </w:instrText>
      </w:r>
      <w:r>
        <w:rPr>
          <w:rFonts w:hint="eastAsia" w:ascii="宋体" w:hAnsi="宋体" w:cs="宋体"/>
          <w:szCs w:val="28"/>
          <w:highlight w:val="none"/>
        </w:rPr>
        <w:fldChar w:fldCharType="separate"/>
      </w:r>
      <w:r>
        <w:rPr>
          <w:rFonts w:hint="eastAsia" w:ascii="宋体" w:hAnsi="宋体" w:eastAsia="宋体" w:cs="宋体"/>
          <w:highlight w:val="none"/>
        </w:rPr>
        <w:t>第五章  工程量清单</w:t>
      </w:r>
      <w:r>
        <w:rPr>
          <w:highlight w:val="none"/>
        </w:rPr>
        <w:tab/>
      </w:r>
      <w:r>
        <w:rPr>
          <w:highlight w:val="none"/>
        </w:rPr>
        <w:fldChar w:fldCharType="begin"/>
      </w:r>
      <w:r>
        <w:rPr>
          <w:highlight w:val="none"/>
        </w:rPr>
        <w:instrText xml:space="preserve"> PAGEREF _Toc29415 \h </w:instrText>
      </w:r>
      <w:r>
        <w:rPr>
          <w:highlight w:val="none"/>
        </w:rPr>
        <w:fldChar w:fldCharType="separate"/>
      </w:r>
      <w:r>
        <w:rPr>
          <w:highlight w:val="none"/>
        </w:rPr>
        <w:t>- 69 -</w:t>
      </w:r>
      <w:r>
        <w:rPr>
          <w:highlight w:val="none"/>
        </w:rPr>
        <w:fldChar w:fldCharType="end"/>
      </w:r>
      <w:r>
        <w:rPr>
          <w:rFonts w:hint="eastAsia" w:ascii="宋体" w:hAnsi="宋体" w:cs="宋体"/>
          <w:color w:val="auto"/>
          <w:szCs w:val="28"/>
          <w:highlight w:val="none"/>
        </w:rPr>
        <w:fldChar w:fldCharType="end"/>
      </w:r>
    </w:p>
    <w:p>
      <w:pPr>
        <w:pStyle w:val="12"/>
        <w:tabs>
          <w:tab w:val="right" w:leader="dot" w:pos="9240"/>
          <w:tab w:val="clear" w:pos="901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_Toc9100 </w:instrText>
      </w:r>
      <w:r>
        <w:rPr>
          <w:rFonts w:hint="eastAsia" w:ascii="宋体" w:hAnsi="宋体" w:cs="宋体"/>
          <w:szCs w:val="28"/>
          <w:highlight w:val="none"/>
        </w:rPr>
        <w:fldChar w:fldCharType="separate"/>
      </w:r>
      <w:r>
        <w:rPr>
          <w:rFonts w:hint="eastAsia" w:ascii="宋体" w:hAnsi="宋体" w:eastAsia="宋体" w:cs="宋体"/>
          <w:highlight w:val="none"/>
        </w:rPr>
        <w:t>第六章  图纸（另册）</w:t>
      </w:r>
      <w:r>
        <w:rPr>
          <w:highlight w:val="none"/>
        </w:rPr>
        <w:tab/>
      </w:r>
      <w:r>
        <w:rPr>
          <w:highlight w:val="none"/>
        </w:rPr>
        <w:fldChar w:fldCharType="begin"/>
      </w:r>
      <w:r>
        <w:rPr>
          <w:highlight w:val="none"/>
        </w:rPr>
        <w:instrText xml:space="preserve"> PAGEREF _Toc9100 \h </w:instrText>
      </w:r>
      <w:r>
        <w:rPr>
          <w:highlight w:val="none"/>
        </w:rPr>
        <w:fldChar w:fldCharType="separate"/>
      </w:r>
      <w:r>
        <w:rPr>
          <w:highlight w:val="none"/>
        </w:rPr>
        <w:t>- 82 -</w:t>
      </w:r>
      <w:r>
        <w:rPr>
          <w:highlight w:val="none"/>
        </w:rPr>
        <w:fldChar w:fldCharType="end"/>
      </w:r>
      <w:r>
        <w:rPr>
          <w:rFonts w:hint="eastAsia" w:ascii="宋体" w:hAnsi="宋体" w:cs="宋体"/>
          <w:color w:val="auto"/>
          <w:szCs w:val="28"/>
          <w:highlight w:val="none"/>
        </w:rPr>
        <w:fldChar w:fldCharType="end"/>
      </w:r>
    </w:p>
    <w:p>
      <w:pPr>
        <w:pStyle w:val="12"/>
        <w:tabs>
          <w:tab w:val="right" w:leader="dot" w:pos="9240"/>
          <w:tab w:val="clear" w:pos="9016"/>
        </w:tabs>
        <w:rPr>
          <w:rFonts w:hint="eastAsia" w:ascii="宋体" w:hAnsi="宋体" w:cs="宋体"/>
          <w:color w:val="auto"/>
          <w:szCs w:val="28"/>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_Toc27978 </w:instrText>
      </w:r>
      <w:r>
        <w:rPr>
          <w:rFonts w:hint="eastAsia" w:ascii="宋体" w:hAnsi="宋体" w:cs="宋体"/>
          <w:szCs w:val="28"/>
          <w:highlight w:val="none"/>
        </w:rPr>
        <w:fldChar w:fldCharType="separate"/>
      </w:r>
      <w:r>
        <w:rPr>
          <w:rFonts w:hint="eastAsia" w:ascii="宋体" w:hAnsi="宋体" w:eastAsia="宋体" w:cs="宋体"/>
          <w:highlight w:val="none"/>
        </w:rPr>
        <w:t>第七章  技术规范</w:t>
      </w:r>
      <w:r>
        <w:rPr>
          <w:highlight w:val="none"/>
        </w:rPr>
        <w:tab/>
      </w:r>
      <w:r>
        <w:rPr>
          <w:highlight w:val="none"/>
        </w:rPr>
        <w:fldChar w:fldCharType="begin"/>
      </w:r>
      <w:r>
        <w:rPr>
          <w:highlight w:val="none"/>
        </w:rPr>
        <w:instrText xml:space="preserve"> PAGEREF _Toc27978 \h </w:instrText>
      </w:r>
      <w:r>
        <w:rPr>
          <w:highlight w:val="none"/>
        </w:rPr>
        <w:fldChar w:fldCharType="separate"/>
      </w:r>
      <w:r>
        <w:rPr>
          <w:highlight w:val="none"/>
        </w:rPr>
        <w:t>- 84 -</w:t>
      </w:r>
      <w:r>
        <w:rPr>
          <w:highlight w:val="none"/>
        </w:rPr>
        <w:fldChar w:fldCharType="end"/>
      </w:r>
      <w:r>
        <w:rPr>
          <w:rFonts w:hint="eastAsia" w:ascii="宋体" w:hAnsi="宋体" w:cs="宋体"/>
          <w:color w:val="auto"/>
          <w:szCs w:val="28"/>
          <w:highlight w:val="none"/>
        </w:rPr>
        <w:fldChar w:fldCharType="end"/>
      </w:r>
    </w:p>
    <w:p>
      <w:pPr>
        <w:pStyle w:val="12"/>
        <w:tabs>
          <w:tab w:val="right" w:leader="dot" w:pos="9240"/>
          <w:tab w:val="clear" w:pos="901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_Toc3806 </w:instrText>
      </w:r>
      <w:r>
        <w:rPr>
          <w:rFonts w:hint="eastAsia" w:ascii="宋体" w:hAnsi="宋体" w:cs="宋体"/>
          <w:szCs w:val="28"/>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八</w:t>
      </w:r>
      <w:r>
        <w:rPr>
          <w:rFonts w:hint="eastAsia" w:ascii="宋体" w:hAnsi="宋体" w:eastAsia="宋体" w:cs="宋体"/>
          <w:highlight w:val="none"/>
        </w:rPr>
        <w:t xml:space="preserve">章  </w:t>
      </w:r>
      <w:r>
        <w:rPr>
          <w:rFonts w:hint="eastAsia" w:ascii="宋体" w:hAnsi="宋体" w:eastAsia="宋体" w:cs="宋体"/>
          <w:highlight w:val="none"/>
          <w:lang w:val="en-US" w:eastAsia="zh-CN"/>
        </w:rPr>
        <w:t>工程量清单计算规则</w:t>
      </w:r>
      <w:r>
        <w:rPr>
          <w:highlight w:val="none"/>
        </w:rPr>
        <w:tab/>
      </w:r>
      <w:r>
        <w:rPr>
          <w:highlight w:val="none"/>
        </w:rPr>
        <w:fldChar w:fldCharType="begin"/>
      </w:r>
      <w:r>
        <w:rPr>
          <w:highlight w:val="none"/>
        </w:rPr>
        <w:instrText xml:space="preserve"> PAGEREF _Toc3806 \h </w:instrText>
      </w:r>
      <w:r>
        <w:rPr>
          <w:highlight w:val="none"/>
        </w:rPr>
        <w:fldChar w:fldCharType="separate"/>
      </w:r>
      <w:r>
        <w:rPr>
          <w:highlight w:val="none"/>
        </w:rPr>
        <w:t>- 87 -</w:t>
      </w:r>
      <w:r>
        <w:rPr>
          <w:highlight w:val="none"/>
        </w:rPr>
        <w:fldChar w:fldCharType="end"/>
      </w:r>
      <w:r>
        <w:rPr>
          <w:rFonts w:hint="eastAsia" w:ascii="宋体" w:hAnsi="宋体" w:cs="宋体"/>
          <w:color w:val="auto"/>
          <w:szCs w:val="28"/>
          <w:highlight w:val="none"/>
        </w:rPr>
        <w:fldChar w:fldCharType="end"/>
      </w:r>
    </w:p>
    <w:p>
      <w:pPr>
        <w:pStyle w:val="12"/>
        <w:tabs>
          <w:tab w:val="right" w:leader="dot" w:pos="9240"/>
          <w:tab w:val="clear" w:pos="9016"/>
        </w:tabs>
        <w:rPr>
          <w:highlight w:val="none"/>
        </w:rPr>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_Toc3806 </w:instrText>
      </w:r>
      <w:r>
        <w:rPr>
          <w:rFonts w:hint="eastAsia" w:ascii="宋体" w:hAnsi="宋体" w:cs="宋体"/>
          <w:szCs w:val="28"/>
          <w:highlight w:val="none"/>
        </w:rPr>
        <w:fldChar w:fldCharType="separate"/>
      </w:r>
      <w:r>
        <w:rPr>
          <w:rFonts w:hint="eastAsia" w:ascii="宋体" w:hAnsi="宋体" w:eastAsia="宋体" w:cs="宋体"/>
          <w:highlight w:val="none"/>
        </w:rPr>
        <w:t>第九章  投标文件格式</w:t>
      </w:r>
      <w:r>
        <w:rPr>
          <w:highlight w:val="none"/>
        </w:rPr>
        <w:tab/>
      </w:r>
      <w:r>
        <w:rPr>
          <w:highlight w:val="none"/>
        </w:rPr>
        <w:fldChar w:fldCharType="begin"/>
      </w:r>
      <w:r>
        <w:rPr>
          <w:highlight w:val="none"/>
        </w:rPr>
        <w:instrText xml:space="preserve"> PAGEREF _Toc3806 \h </w:instrText>
      </w:r>
      <w:r>
        <w:rPr>
          <w:highlight w:val="none"/>
        </w:rPr>
        <w:fldChar w:fldCharType="separate"/>
      </w:r>
      <w:r>
        <w:rPr>
          <w:highlight w:val="none"/>
        </w:rPr>
        <w:t>- 87 -</w:t>
      </w:r>
      <w:r>
        <w:rPr>
          <w:highlight w:val="none"/>
        </w:rPr>
        <w:fldChar w:fldCharType="end"/>
      </w:r>
      <w:r>
        <w:rPr>
          <w:rFonts w:hint="eastAsia" w:ascii="宋体" w:hAnsi="宋体" w:cs="宋体"/>
          <w:color w:val="auto"/>
          <w:szCs w:val="28"/>
          <w:highlight w:val="none"/>
        </w:rPr>
        <w:fldChar w:fldCharType="end"/>
      </w:r>
    </w:p>
    <w:p>
      <w:pPr>
        <w:pStyle w:val="13"/>
        <w:tabs>
          <w:tab w:val="right" w:leader="dot" w:pos="9240"/>
        </w:tabs>
        <w:rPr>
          <w:highlight w:val="none"/>
        </w:rPr>
      </w:pPr>
    </w:p>
    <w:p>
      <w:pPr>
        <w:snapToGrid w:val="0"/>
        <w:spacing w:line="480" w:lineRule="auto"/>
        <w:jc w:val="center"/>
        <w:rPr>
          <w:rFonts w:hint="eastAsia" w:ascii="宋体" w:hAnsi="宋体" w:cs="宋体"/>
          <w:b/>
          <w:color w:val="auto"/>
          <w:sz w:val="44"/>
          <w:szCs w:val="44"/>
          <w:highlight w:val="none"/>
        </w:rPr>
      </w:pPr>
      <w:r>
        <w:rPr>
          <w:rFonts w:hint="eastAsia" w:ascii="宋体" w:hAnsi="宋体" w:cs="宋体"/>
          <w:color w:val="auto"/>
          <w:szCs w:val="28"/>
          <w:highlight w:val="none"/>
        </w:rPr>
        <w:fldChar w:fldCharType="end"/>
      </w:r>
    </w:p>
    <w:p>
      <w:pPr>
        <w:snapToGrid w:val="0"/>
        <w:spacing w:line="480" w:lineRule="auto"/>
        <w:jc w:val="center"/>
        <w:rPr>
          <w:rFonts w:hint="eastAsia" w:ascii="宋体" w:hAnsi="宋体" w:cs="宋体"/>
          <w:b/>
          <w:color w:val="auto"/>
          <w:sz w:val="44"/>
          <w:szCs w:val="44"/>
          <w:highlight w:val="none"/>
        </w:rPr>
      </w:pPr>
    </w:p>
    <w:p>
      <w:pPr>
        <w:snapToGrid w:val="0"/>
        <w:spacing w:line="480" w:lineRule="auto"/>
        <w:jc w:val="center"/>
        <w:rPr>
          <w:rFonts w:hint="eastAsia" w:ascii="宋体" w:hAnsi="宋体" w:cs="宋体"/>
          <w:b/>
          <w:color w:val="auto"/>
          <w:sz w:val="44"/>
          <w:szCs w:val="44"/>
          <w:highlight w:val="none"/>
        </w:rPr>
      </w:pPr>
    </w:p>
    <w:p>
      <w:pPr>
        <w:snapToGrid w:val="0"/>
        <w:spacing w:line="480" w:lineRule="auto"/>
        <w:jc w:val="center"/>
        <w:rPr>
          <w:rFonts w:hint="eastAsia" w:ascii="宋体" w:hAnsi="宋体" w:cs="宋体"/>
          <w:b/>
          <w:color w:val="auto"/>
          <w:sz w:val="44"/>
          <w:szCs w:val="44"/>
          <w:highlight w:val="none"/>
        </w:rPr>
        <w:sectPr>
          <w:headerReference r:id="rId5" w:type="first"/>
          <w:footerReference r:id="rId7" w:type="first"/>
          <w:footerReference r:id="rId6" w:type="default"/>
          <w:footnotePr>
            <w:numFmt w:val="decimalEnclosedCircleChinese"/>
            <w:numRestart w:val="eachPage"/>
          </w:footnotePr>
          <w:pgSz w:w="11905" w:h="16838"/>
          <w:pgMar w:top="1304" w:right="1304" w:bottom="1304" w:left="1361" w:header="720" w:footer="720" w:gutter="0"/>
          <w:paperSrc w:first="7" w:other="7"/>
          <w:pgNumType w:fmt="numberInDash" w:start="1"/>
          <w:cols w:space="720" w:num="1"/>
          <w:titlePg/>
          <w:docGrid w:linePitch="312" w:charSpace="0"/>
        </w:sectPr>
      </w:pPr>
    </w:p>
    <w:p>
      <w:pPr>
        <w:snapToGrid w:val="0"/>
        <w:spacing w:line="480" w:lineRule="auto"/>
        <w:jc w:val="center"/>
        <w:rPr>
          <w:rFonts w:hint="eastAsia" w:ascii="宋体" w:hAnsi="宋体" w:cs="宋体"/>
          <w:b/>
          <w:color w:val="auto"/>
          <w:sz w:val="52"/>
          <w:szCs w:val="52"/>
          <w:highlight w:val="none"/>
        </w:rPr>
      </w:pPr>
    </w:p>
    <w:p>
      <w:pPr>
        <w:snapToGrid w:val="0"/>
        <w:spacing w:line="480" w:lineRule="auto"/>
        <w:jc w:val="center"/>
        <w:rPr>
          <w:rFonts w:hint="eastAsia" w:ascii="宋体" w:hAnsi="宋体" w:cs="宋体"/>
          <w:b/>
          <w:color w:val="auto"/>
          <w:sz w:val="52"/>
          <w:szCs w:val="52"/>
          <w:highlight w:val="none"/>
        </w:rPr>
      </w:pPr>
    </w:p>
    <w:p>
      <w:pPr>
        <w:snapToGrid w:val="0"/>
        <w:spacing w:line="480" w:lineRule="auto"/>
        <w:jc w:val="center"/>
        <w:rPr>
          <w:rFonts w:hint="eastAsia" w:ascii="宋体" w:hAnsi="宋体" w:cs="宋体"/>
          <w:b/>
          <w:color w:val="auto"/>
          <w:sz w:val="52"/>
          <w:szCs w:val="52"/>
          <w:highlight w:val="none"/>
        </w:rPr>
      </w:pPr>
    </w:p>
    <w:p>
      <w:pPr>
        <w:snapToGrid w:val="0"/>
        <w:spacing w:line="480" w:lineRule="auto"/>
        <w:jc w:val="center"/>
        <w:rPr>
          <w:rFonts w:hint="eastAsia" w:ascii="宋体" w:hAnsi="宋体" w:cs="宋体"/>
          <w:b/>
          <w:color w:val="auto"/>
          <w:sz w:val="52"/>
          <w:szCs w:val="52"/>
          <w:highlight w:val="none"/>
        </w:rPr>
      </w:pPr>
    </w:p>
    <w:p>
      <w:pPr>
        <w:snapToGrid w:val="0"/>
        <w:spacing w:line="480" w:lineRule="auto"/>
        <w:jc w:val="center"/>
        <w:rPr>
          <w:rFonts w:hint="eastAsia" w:ascii="宋体" w:hAnsi="宋体" w:cs="宋体"/>
          <w:b/>
          <w:color w:val="auto"/>
          <w:sz w:val="52"/>
          <w:szCs w:val="52"/>
          <w:highlight w:val="none"/>
        </w:rPr>
      </w:pPr>
      <w:r>
        <w:rPr>
          <w:rFonts w:hint="eastAsia" w:ascii="宋体" w:hAnsi="宋体" w:cs="宋体"/>
          <w:b/>
          <w:bCs/>
          <w:color w:val="auto"/>
          <w:sz w:val="76"/>
          <w:szCs w:val="76"/>
          <w:highlight w:val="none"/>
        </w:rPr>
        <w:t>第一卷</w:t>
      </w:r>
      <w:r>
        <w:rPr>
          <w:rFonts w:hint="eastAsia" w:ascii="宋体" w:hAnsi="宋体" w:cs="宋体"/>
          <w:b/>
          <w:color w:val="auto"/>
          <w:sz w:val="52"/>
          <w:szCs w:val="52"/>
          <w:highlight w:val="none"/>
        </w:rPr>
        <w:br w:type="page"/>
      </w:r>
    </w:p>
    <w:p>
      <w:pPr>
        <w:spacing w:line="420" w:lineRule="atLeast"/>
        <w:ind w:right="480"/>
        <w:jc w:val="center"/>
        <w:rPr>
          <w:rFonts w:hint="eastAsia" w:ascii="宋体" w:hAnsi="宋体" w:cs="宋体"/>
          <w:color w:val="auto"/>
          <w:sz w:val="24"/>
          <w:highlight w:val="none"/>
        </w:rPr>
      </w:pPr>
      <w:bookmarkStart w:id="0" w:name="_Toc234349306"/>
      <w:bookmarkStart w:id="1" w:name="_Toc234350664"/>
      <w:bookmarkStart w:id="2" w:name="_Toc234345927"/>
      <w:bookmarkStart w:id="3" w:name="_Toc234348735"/>
      <w:bookmarkStart w:id="4" w:name="_Toc234345712"/>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pStyle w:val="2"/>
        <w:spacing w:before="480" w:after="240"/>
        <w:rPr>
          <w:rFonts w:hint="eastAsia" w:ascii="宋体" w:hAnsi="宋体" w:eastAsia="宋体" w:cs="宋体"/>
          <w:color w:val="auto"/>
          <w:highlight w:val="none"/>
        </w:rPr>
      </w:pPr>
      <w:bookmarkStart w:id="5" w:name="_Toc5034"/>
      <w:bookmarkStart w:id="6" w:name="_Toc511896821"/>
      <w:r>
        <w:rPr>
          <w:rFonts w:hint="eastAsia" w:ascii="宋体" w:hAnsi="宋体" w:eastAsia="宋体" w:cs="宋体"/>
          <w:color w:val="auto"/>
          <w:highlight w:val="none"/>
        </w:rPr>
        <w:t xml:space="preserve">第一章  </w:t>
      </w:r>
      <w:bookmarkEnd w:id="0"/>
      <w:bookmarkEnd w:id="1"/>
      <w:bookmarkEnd w:id="2"/>
      <w:bookmarkEnd w:id="3"/>
      <w:bookmarkEnd w:id="4"/>
      <w:r>
        <w:rPr>
          <w:rFonts w:hint="eastAsia" w:ascii="宋体" w:hAnsi="宋体" w:eastAsia="宋体" w:cs="宋体"/>
          <w:color w:val="auto"/>
          <w:highlight w:val="none"/>
        </w:rPr>
        <w:t>招标公告</w:t>
      </w:r>
      <w:bookmarkEnd w:id="5"/>
      <w:bookmarkEnd w:id="6"/>
    </w:p>
    <w:p>
      <w:pPr>
        <w:snapToGrid w:val="0"/>
        <w:jc w:val="center"/>
        <w:rPr>
          <w:rFonts w:hint="eastAsia" w:ascii="宋体" w:hAnsi="宋体" w:cs="宋体"/>
          <w:color w:val="auto"/>
          <w:sz w:val="6"/>
          <w:szCs w:val="36"/>
          <w:highlight w:val="none"/>
        </w:rPr>
      </w:pPr>
      <w:r>
        <w:rPr>
          <w:rFonts w:hint="eastAsia" w:ascii="宋体" w:hAnsi="宋体" w:cs="宋体"/>
          <w:color w:val="auto"/>
          <w:szCs w:val="21"/>
          <w:highlight w:val="none"/>
        </w:rPr>
        <w:br w:type="page"/>
      </w:r>
      <w:r>
        <w:rPr>
          <w:rFonts w:hint="eastAsia" w:ascii="宋体" w:hAnsi="宋体" w:cs="宋体"/>
          <w:color w:val="auto"/>
          <w:sz w:val="6"/>
          <w:szCs w:val="36"/>
          <w:highlight w:val="none"/>
        </w:rPr>
        <w:t xml:space="preserve"> </w:t>
      </w:r>
    </w:p>
    <w:p>
      <w:pPr>
        <w:jc w:val="center"/>
        <w:rPr>
          <w:rFonts w:hint="eastAsia" w:ascii="宋体" w:hAnsi="宋体" w:cs="宋体"/>
          <w:b/>
          <w:color w:val="auto"/>
          <w:sz w:val="32"/>
          <w:szCs w:val="32"/>
          <w:highlight w:val="none"/>
        </w:rPr>
      </w:pPr>
      <w:bookmarkStart w:id="7" w:name="_Toc234345715"/>
      <w:bookmarkStart w:id="8" w:name="_Toc234345930"/>
      <w:bookmarkStart w:id="9" w:name="_Toc234349323"/>
      <w:bookmarkStart w:id="10" w:name="_Toc234350667"/>
      <w:bookmarkStart w:id="11" w:name="_Toc234348749"/>
      <w:r>
        <w:rPr>
          <w:rFonts w:hint="eastAsia" w:ascii="宋体" w:hAnsi="宋体" w:cs="宋体"/>
          <w:b/>
          <w:color w:val="auto"/>
          <w:sz w:val="32"/>
          <w:szCs w:val="32"/>
          <w:highlight w:val="none"/>
        </w:rPr>
        <w:t xml:space="preserve">第一章  </w:t>
      </w:r>
      <w:bookmarkEnd w:id="7"/>
      <w:bookmarkEnd w:id="8"/>
      <w:bookmarkEnd w:id="9"/>
      <w:bookmarkEnd w:id="10"/>
      <w:bookmarkEnd w:id="11"/>
      <w:r>
        <w:rPr>
          <w:rFonts w:hint="eastAsia" w:ascii="宋体" w:hAnsi="宋体" w:cs="宋体"/>
          <w:b/>
          <w:color w:val="auto"/>
          <w:sz w:val="32"/>
          <w:szCs w:val="32"/>
          <w:highlight w:val="none"/>
        </w:rPr>
        <w:t>招标公告</w:t>
      </w:r>
    </w:p>
    <w:p>
      <w:pPr>
        <w:spacing w:line="420" w:lineRule="atLeast"/>
        <w:jc w:val="center"/>
        <w:rPr>
          <w:rFonts w:hint="eastAsia" w:ascii="宋体" w:hAnsi="宋体" w:cs="宋体"/>
          <w:b/>
          <w:color w:val="auto"/>
          <w:sz w:val="24"/>
          <w:highlight w:val="none"/>
        </w:rPr>
      </w:pPr>
      <w:bookmarkStart w:id="12" w:name="_Toc234350668"/>
      <w:bookmarkStart w:id="13" w:name="_Toc234348750"/>
      <w:bookmarkStart w:id="14" w:name="_Toc234345931"/>
      <w:bookmarkStart w:id="15" w:name="_Toc234349324"/>
      <w:bookmarkStart w:id="16" w:name="_Toc234345716"/>
      <w:r>
        <w:rPr>
          <w:rFonts w:hint="eastAsia" w:ascii="宋体" w:hAnsi="宋体" w:cs="宋体"/>
          <w:b/>
          <w:color w:val="auto"/>
          <w:sz w:val="24"/>
          <w:highlight w:val="none"/>
        </w:rPr>
        <w:t>2025年滨海新区农村公路路面严重破损路段维修工程施工招标</w:t>
      </w:r>
    </w:p>
    <w:p>
      <w:pPr>
        <w:spacing w:line="42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招标公告</w:t>
      </w:r>
    </w:p>
    <w:p>
      <w:pPr>
        <w:spacing w:line="420" w:lineRule="exact"/>
        <w:jc w:val="left"/>
        <w:rPr>
          <w:rFonts w:hint="eastAsia" w:ascii="宋体" w:hAnsi="宋体" w:cs="宋体"/>
          <w:b/>
          <w:color w:val="auto"/>
          <w:sz w:val="24"/>
          <w:highlight w:val="none"/>
        </w:rPr>
      </w:pPr>
      <w:bookmarkStart w:id="17" w:name="_Toc234349308"/>
      <w:r>
        <w:rPr>
          <w:rFonts w:hint="eastAsia" w:ascii="宋体" w:hAnsi="宋体" w:cs="宋体"/>
          <w:b/>
          <w:color w:val="auto"/>
          <w:sz w:val="24"/>
          <w:highlight w:val="none"/>
        </w:rPr>
        <w:t>1.招标条件</w:t>
      </w:r>
      <w:bookmarkEnd w:id="17"/>
    </w:p>
    <w:p>
      <w:pPr>
        <w:pStyle w:val="19"/>
        <w:snapToGrid w:val="0"/>
        <w:spacing w:line="440" w:lineRule="exact"/>
        <w:ind w:firstLine="420" w:firstLineChars="200"/>
        <w:rPr>
          <w:rFonts w:hint="eastAsia" w:hAnsi="宋体"/>
          <w:color w:val="auto"/>
          <w:szCs w:val="21"/>
          <w:highlight w:val="none"/>
        </w:rPr>
      </w:pPr>
      <w:r>
        <w:rPr>
          <w:rFonts w:ascii="Times New Roman" w:cs="Times New Roman"/>
          <w:color w:val="auto"/>
          <w:sz w:val="21"/>
          <w:szCs w:val="21"/>
          <w:highlight w:val="none"/>
        </w:rPr>
        <w:t>本招标项目</w:t>
      </w:r>
      <w:r>
        <w:rPr>
          <w:rFonts w:hint="eastAsia" w:ascii="Times New Roman" w:cs="Times New Roman"/>
          <w:bCs/>
          <w:color w:val="auto"/>
          <w:sz w:val="21"/>
          <w:szCs w:val="21"/>
          <w:highlight w:val="none"/>
          <w:u w:val="single"/>
        </w:rPr>
        <w:t>2025年滨海新区农村公路路面严重破损路段维修工程</w:t>
      </w:r>
      <w:r>
        <w:rPr>
          <w:rFonts w:ascii="Times New Roman" w:cs="Times New Roman"/>
          <w:color w:val="auto"/>
          <w:sz w:val="21"/>
          <w:szCs w:val="21"/>
          <w:highlight w:val="none"/>
        </w:rPr>
        <w:t>已</w:t>
      </w:r>
      <w:r>
        <w:rPr>
          <w:rFonts w:hint="eastAsia" w:ascii="Times New Roman" w:cs="Times New Roman"/>
          <w:color w:val="auto"/>
          <w:sz w:val="21"/>
          <w:szCs w:val="21"/>
          <w:highlight w:val="none"/>
        </w:rPr>
        <w:t>由</w:t>
      </w:r>
      <w:r>
        <w:rPr>
          <w:rFonts w:hint="eastAsia"/>
          <w:color w:val="auto"/>
          <w:sz w:val="21"/>
          <w:szCs w:val="21"/>
          <w:highlight w:val="none"/>
          <w:u w:val="single"/>
          <w:lang w:eastAsia="zh-CN"/>
        </w:rPr>
        <w:t>天津市滨海新区交通运输局</w:t>
      </w:r>
      <w:r>
        <w:rPr>
          <w:color w:val="auto"/>
          <w:sz w:val="21"/>
          <w:szCs w:val="21"/>
          <w:highlight w:val="none"/>
        </w:rPr>
        <w:t>以</w:t>
      </w:r>
      <w:r>
        <w:rPr>
          <w:rFonts w:hint="eastAsia"/>
          <w:color w:val="auto"/>
          <w:sz w:val="21"/>
          <w:szCs w:val="21"/>
          <w:highlight w:val="none"/>
          <w:u w:val="single"/>
        </w:rPr>
        <w:t>《关于2025年滨海新区农村公路路面严重破损路段维修工程立项的批复》（</w:t>
      </w:r>
      <w:r>
        <w:rPr>
          <w:rFonts w:hint="eastAsia"/>
          <w:color w:val="auto"/>
          <w:sz w:val="21"/>
          <w:szCs w:val="21"/>
          <w:highlight w:val="none"/>
          <w:u w:val="single"/>
          <w:lang w:eastAsia="zh-CN"/>
        </w:rPr>
        <w:t>津滨交运发</w:t>
      </w:r>
      <w:r>
        <w:rPr>
          <w:rFonts w:hint="eastAsia"/>
          <w:color w:val="auto"/>
          <w:sz w:val="21"/>
          <w:szCs w:val="21"/>
          <w:highlight w:val="none"/>
          <w:u w:val="single"/>
          <w:lang w:val="en-US" w:eastAsia="zh-CN"/>
        </w:rPr>
        <w:t>[2025]8号</w:t>
      </w:r>
      <w:r>
        <w:rPr>
          <w:rFonts w:hint="eastAsia"/>
          <w:color w:val="auto"/>
          <w:sz w:val="21"/>
          <w:szCs w:val="21"/>
          <w:highlight w:val="none"/>
          <w:u w:val="single"/>
        </w:rPr>
        <w:t>）</w:t>
      </w:r>
      <w:r>
        <w:rPr>
          <w:color w:val="auto"/>
          <w:sz w:val="21"/>
          <w:szCs w:val="21"/>
          <w:highlight w:val="none"/>
        </w:rPr>
        <w:t>批准</w:t>
      </w:r>
      <w:r>
        <w:rPr>
          <w:rFonts w:ascii="Times New Roman" w:cs="Times New Roman"/>
          <w:color w:val="auto"/>
          <w:sz w:val="21"/>
          <w:szCs w:val="21"/>
          <w:highlight w:val="none"/>
        </w:rPr>
        <w:t>，施工图设计文件已由</w:t>
      </w:r>
      <w:r>
        <w:rPr>
          <w:rFonts w:hint="eastAsia" w:ascii="Times New Roman" w:cs="Times New Roman"/>
          <w:color w:val="auto"/>
          <w:sz w:val="21"/>
          <w:szCs w:val="21"/>
          <w:highlight w:val="none"/>
          <w:u w:val="single"/>
        </w:rPr>
        <w:t>天津市滨海新区交通运输局</w:t>
      </w:r>
      <w:r>
        <w:rPr>
          <w:rFonts w:hint="eastAsia" w:ascii="Times New Roman" w:cs="Times New Roman"/>
          <w:color w:val="auto"/>
          <w:sz w:val="21"/>
          <w:szCs w:val="21"/>
          <w:highlight w:val="none"/>
        </w:rPr>
        <w:t>以</w:t>
      </w:r>
      <w:r>
        <w:rPr>
          <w:rFonts w:hint="eastAsia" w:ascii="Times New Roman" w:cs="Times New Roman"/>
          <w:color w:val="auto"/>
          <w:sz w:val="21"/>
          <w:szCs w:val="21"/>
          <w:highlight w:val="none"/>
          <w:u w:val="single"/>
        </w:rPr>
        <w:t>《关于 2025年滨海新区农村公路路面严重破损路段维修工程施工图设计及预算的批复》（</w:t>
      </w:r>
      <w:r>
        <w:rPr>
          <w:rFonts w:hint="eastAsia" w:ascii="Times New Roman" w:cs="Times New Roman"/>
          <w:color w:val="auto"/>
          <w:sz w:val="21"/>
          <w:szCs w:val="21"/>
          <w:highlight w:val="none"/>
          <w:u w:val="single"/>
          <w:lang w:eastAsia="zh-CN"/>
        </w:rPr>
        <w:t>津滨交运发</w:t>
      </w:r>
      <w:r>
        <w:rPr>
          <w:rFonts w:hint="eastAsia"/>
          <w:color w:val="auto"/>
          <w:sz w:val="21"/>
          <w:szCs w:val="21"/>
          <w:highlight w:val="none"/>
          <w:u w:val="single"/>
          <w:lang w:val="en-US" w:eastAsia="zh-CN"/>
        </w:rPr>
        <w:t>[2025]46号</w:t>
      </w:r>
      <w:r>
        <w:rPr>
          <w:rFonts w:hint="eastAsia" w:ascii="Times New Roman" w:cs="Times New Roman"/>
          <w:color w:val="auto"/>
          <w:sz w:val="21"/>
          <w:szCs w:val="21"/>
          <w:highlight w:val="none"/>
          <w:u w:val="single"/>
        </w:rPr>
        <w:t>）</w:t>
      </w:r>
      <w:r>
        <w:rPr>
          <w:rFonts w:hint="eastAsia" w:ascii="Times New Roman" w:cs="Times New Roman"/>
          <w:color w:val="auto"/>
          <w:sz w:val="21"/>
          <w:szCs w:val="21"/>
          <w:highlight w:val="none"/>
        </w:rPr>
        <w:t>批准建设，</w:t>
      </w:r>
      <w:r>
        <w:rPr>
          <w:rFonts w:ascii="Times New Roman" w:cs="Times New Roman"/>
          <w:color w:val="auto"/>
          <w:sz w:val="21"/>
          <w:szCs w:val="21"/>
          <w:highlight w:val="none"/>
        </w:rPr>
        <w:t>项目业主为</w:t>
      </w:r>
      <w:r>
        <w:rPr>
          <w:rFonts w:hint="eastAsia" w:ascii="Times New Roman" w:cs="Times New Roman"/>
          <w:color w:val="auto"/>
          <w:sz w:val="21"/>
          <w:szCs w:val="21"/>
          <w:highlight w:val="none"/>
          <w:u w:val="single"/>
        </w:rPr>
        <w:t>天津市滨海新区太平镇人民政府</w:t>
      </w:r>
      <w:r>
        <w:rPr>
          <w:rFonts w:ascii="Times New Roman" w:cs="Times New Roman"/>
          <w:color w:val="auto"/>
          <w:sz w:val="21"/>
          <w:szCs w:val="21"/>
          <w:highlight w:val="none"/>
        </w:rPr>
        <w:t>，建设资金来自</w:t>
      </w:r>
      <w:r>
        <w:rPr>
          <w:rFonts w:hint="eastAsia"/>
          <w:color w:val="auto"/>
          <w:sz w:val="21"/>
          <w:szCs w:val="21"/>
          <w:highlight w:val="none"/>
          <w:u w:val="single"/>
          <w:lang w:eastAsia="zh-CN"/>
        </w:rPr>
        <w:t>财政拨款</w:t>
      </w:r>
      <w:r>
        <w:rPr>
          <w:rFonts w:ascii="Times New Roman" w:cs="Times New Roman"/>
          <w:color w:val="auto"/>
          <w:sz w:val="21"/>
          <w:szCs w:val="21"/>
          <w:highlight w:val="none"/>
        </w:rPr>
        <w:t>，出资比例为</w:t>
      </w:r>
      <w:r>
        <w:rPr>
          <w:rFonts w:hint="eastAsia"/>
          <w:color w:val="auto"/>
          <w:sz w:val="21"/>
          <w:szCs w:val="21"/>
          <w:highlight w:val="none"/>
          <w:u w:val="single"/>
        </w:rPr>
        <w:t>100%</w:t>
      </w:r>
      <w:r>
        <w:rPr>
          <w:rFonts w:ascii="Times New Roman" w:cs="Times New Roman"/>
          <w:color w:val="auto"/>
          <w:sz w:val="21"/>
          <w:szCs w:val="21"/>
          <w:highlight w:val="none"/>
        </w:rPr>
        <w:t>，招标人为</w:t>
      </w:r>
      <w:r>
        <w:rPr>
          <w:rFonts w:hint="eastAsia" w:ascii="Times New Roman" w:cs="Times New Roman"/>
          <w:color w:val="auto"/>
          <w:sz w:val="21"/>
          <w:szCs w:val="21"/>
          <w:highlight w:val="none"/>
          <w:u w:val="single"/>
        </w:rPr>
        <w:t>天津市滨海新区太平镇人民政府</w:t>
      </w:r>
      <w:r>
        <w:rPr>
          <w:rFonts w:ascii="Times New Roman" w:cs="Times New Roman"/>
          <w:color w:val="auto"/>
          <w:sz w:val="21"/>
          <w:szCs w:val="21"/>
          <w:highlight w:val="none"/>
        </w:rPr>
        <w:t>。项目已具备招标条件，现对该项目的</w:t>
      </w:r>
      <w:r>
        <w:rPr>
          <w:rFonts w:hint="eastAsia" w:ascii="Times New Roman" w:cs="Times New Roman"/>
          <w:color w:val="auto"/>
          <w:sz w:val="21"/>
          <w:szCs w:val="21"/>
          <w:highlight w:val="none"/>
        </w:rPr>
        <w:t>工程</w:t>
      </w:r>
      <w:r>
        <w:rPr>
          <w:rFonts w:ascii="Times New Roman" w:cs="Times New Roman"/>
          <w:color w:val="auto"/>
          <w:sz w:val="21"/>
          <w:szCs w:val="21"/>
          <w:highlight w:val="none"/>
        </w:rPr>
        <w:t>施工进行公开招标。</w:t>
      </w:r>
    </w:p>
    <w:p>
      <w:pPr>
        <w:spacing w:line="420" w:lineRule="exact"/>
        <w:jc w:val="left"/>
        <w:rPr>
          <w:rFonts w:hint="eastAsia" w:ascii="宋体" w:hAnsi="宋体" w:cs="宋体"/>
          <w:b/>
          <w:color w:val="auto"/>
          <w:sz w:val="24"/>
          <w:highlight w:val="none"/>
        </w:rPr>
      </w:pPr>
      <w:bookmarkStart w:id="18" w:name="_Toc234349309"/>
      <w:r>
        <w:rPr>
          <w:rFonts w:hint="eastAsia" w:ascii="宋体" w:hAnsi="宋体" w:cs="宋体"/>
          <w:b/>
          <w:color w:val="auto"/>
          <w:sz w:val="24"/>
          <w:highlight w:val="none"/>
        </w:rPr>
        <w:t>2.项目概况与招标范围</w:t>
      </w:r>
      <w:bookmarkEnd w:id="18"/>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2.1项目概况</w:t>
      </w:r>
    </w:p>
    <w:p>
      <w:pPr>
        <w:spacing w:line="420" w:lineRule="exact"/>
        <w:ind w:firstLine="408"/>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对苏翟路(徐太路一翟庄子),长度为5.559km范围内道路结构实施结构性修复。本次维修内容包含:路基路面、桥涵、交通工程及沿线设施等</w:t>
      </w:r>
      <w:r>
        <w:rPr>
          <w:rFonts w:hint="eastAsia" w:ascii="宋体" w:hAnsi="宋体" w:cs="宋体"/>
          <w:color w:val="auto"/>
          <w:szCs w:val="21"/>
          <w:highlight w:val="none"/>
          <w:lang w:eastAsia="zh-CN"/>
        </w:rPr>
        <w:t>。</w:t>
      </w:r>
    </w:p>
    <w:p>
      <w:pPr>
        <w:spacing w:line="420" w:lineRule="exact"/>
        <w:ind w:firstLine="408"/>
        <w:rPr>
          <w:rFonts w:hint="eastAsia" w:ascii="宋体" w:hAnsi="宋体" w:cs="宋体"/>
          <w:color w:val="auto"/>
          <w:szCs w:val="21"/>
          <w:highlight w:val="none"/>
        </w:rPr>
      </w:pPr>
      <w:r>
        <w:rPr>
          <w:rFonts w:hint="eastAsia" w:ascii="宋体" w:hAnsi="宋体" w:cs="宋体"/>
          <w:color w:val="auto"/>
          <w:szCs w:val="21"/>
          <w:highlight w:val="none"/>
        </w:rPr>
        <w:t>2.2招标范围：</w:t>
      </w:r>
    </w:p>
    <w:p>
      <w:pPr>
        <w:spacing w:line="420" w:lineRule="exact"/>
        <w:ind w:firstLine="408"/>
        <w:rPr>
          <w:rFonts w:hint="eastAsia" w:ascii="宋体" w:hAnsi="宋体" w:cs="宋体"/>
          <w:color w:val="auto"/>
          <w:szCs w:val="21"/>
          <w:highlight w:val="none"/>
        </w:rPr>
      </w:pPr>
      <w:bookmarkStart w:id="19" w:name="OLE_LINK1"/>
      <w:r>
        <w:rPr>
          <w:rFonts w:hint="eastAsia" w:ascii="宋体" w:hAnsi="宋体" w:cs="宋体"/>
          <w:color w:val="auto"/>
          <w:szCs w:val="21"/>
          <w:highlight w:val="none"/>
        </w:rPr>
        <w:t>本次招标为1个标段，对苏翟路(徐太路一翟庄子),长度为5.559km范围内道路结构实施结构性修复，包括路基路面、桥涵、交通工程及沿线设施等。</w:t>
      </w:r>
    </w:p>
    <w:bookmarkEnd w:id="19"/>
    <w:p>
      <w:pPr>
        <w:spacing w:line="420" w:lineRule="exact"/>
        <w:ind w:firstLine="408"/>
        <w:rPr>
          <w:rFonts w:hint="eastAsia" w:ascii="宋体" w:hAnsi="宋体" w:cs="宋体"/>
          <w:color w:val="auto"/>
          <w:szCs w:val="21"/>
          <w:highlight w:val="none"/>
        </w:rPr>
      </w:pPr>
      <w:r>
        <w:rPr>
          <w:rFonts w:hint="eastAsia" w:ascii="宋体" w:hAnsi="宋体" w:cs="宋体"/>
          <w:color w:val="auto"/>
          <w:szCs w:val="21"/>
          <w:highlight w:val="none"/>
        </w:rPr>
        <w:t>2.3计划施工工期：</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计划施工工期为2025年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日，共计</w:t>
      </w:r>
      <w:r>
        <w:rPr>
          <w:rFonts w:hint="eastAsia" w:ascii="宋体" w:hAnsi="宋体" w:cs="宋体"/>
          <w:color w:val="auto"/>
          <w:szCs w:val="21"/>
          <w:highlight w:val="none"/>
          <w:lang w:val="en-US" w:eastAsia="zh-CN"/>
        </w:rPr>
        <w:t>77</w:t>
      </w:r>
      <w:r>
        <w:rPr>
          <w:rFonts w:hint="eastAsia" w:ascii="宋体" w:hAnsi="宋体" w:cs="宋体"/>
          <w:color w:val="auto"/>
          <w:szCs w:val="21"/>
          <w:highlight w:val="none"/>
        </w:rPr>
        <w:t>日历天。</w:t>
      </w:r>
    </w:p>
    <w:p>
      <w:pPr>
        <w:spacing w:line="420" w:lineRule="exact"/>
        <w:jc w:val="left"/>
        <w:rPr>
          <w:rFonts w:hint="eastAsia" w:ascii="宋体" w:hAnsi="宋体" w:cs="宋体"/>
          <w:b/>
          <w:color w:val="auto"/>
          <w:sz w:val="24"/>
          <w:highlight w:val="none"/>
        </w:rPr>
      </w:pPr>
      <w:r>
        <w:rPr>
          <w:rFonts w:hint="eastAsia" w:ascii="宋体" w:hAnsi="宋体" w:cs="宋体"/>
          <w:b/>
          <w:color w:val="auto"/>
          <w:sz w:val="24"/>
          <w:highlight w:val="none"/>
        </w:rPr>
        <w:t xml:space="preserve">3．投标人资格要求 </w:t>
      </w:r>
    </w:p>
    <w:p>
      <w:pPr>
        <w:spacing w:line="360" w:lineRule="auto"/>
        <w:ind w:firstLine="420" w:firstLineChars="200"/>
        <w:jc w:val="left"/>
        <w:rPr>
          <w:rFonts w:hint="eastAsia" w:ascii="宋体" w:hAnsi="宋体" w:cs="宋体"/>
          <w:sz w:val="21"/>
          <w:szCs w:val="21"/>
        </w:rPr>
      </w:pPr>
      <w:bookmarkStart w:id="20" w:name="_Toc234349311"/>
      <w:bookmarkStart w:id="21" w:name="_Toc234348737"/>
      <w:r>
        <w:rPr>
          <w:rFonts w:hint="eastAsia" w:ascii="宋体" w:hAnsi="宋体" w:cs="宋体"/>
          <w:sz w:val="21"/>
          <w:szCs w:val="21"/>
        </w:rPr>
        <w:t>3.1本次招标要求</w:t>
      </w:r>
      <w:r>
        <w:rPr>
          <w:rFonts w:hint="eastAsia" w:ascii="宋体" w:hAnsi="宋体" w:cs="宋体"/>
          <w:sz w:val="21"/>
          <w:szCs w:val="21"/>
          <w:u w:val="single"/>
        </w:rPr>
        <w:t>投标人须具备以下资质之一：1、天津市交通运输主管部门颁发的原养护资质证书，类别级别要求为公路养护工程二类（乙级）资质（在有效期内）；</w:t>
      </w:r>
      <w:r>
        <w:rPr>
          <w:rFonts w:hint="eastAsia" w:ascii="宋体" w:hAnsi="宋体" w:cs="宋体"/>
          <w:sz w:val="21"/>
          <w:szCs w:val="21"/>
          <w:u w:val="single"/>
          <w:lang w:val="en-US" w:eastAsia="zh-CN"/>
        </w:rPr>
        <w:t>2、</w:t>
      </w:r>
      <w:r>
        <w:rPr>
          <w:rFonts w:hint="eastAsia" w:ascii="宋体" w:hAnsi="宋体" w:cs="宋体"/>
          <w:sz w:val="21"/>
          <w:szCs w:val="21"/>
          <w:u w:val="single"/>
        </w:rPr>
        <w:t>各省、自治区、直辖市人民政府交通运输主管部门颁发的养护资质证书，序列等级要求为路基路面养护</w:t>
      </w:r>
      <w:r>
        <w:rPr>
          <w:rFonts w:hint="eastAsia" w:ascii="宋体" w:hAnsi="宋体" w:cs="宋体"/>
          <w:sz w:val="21"/>
          <w:szCs w:val="21"/>
          <w:u w:val="single"/>
          <w:lang w:eastAsia="zh-CN"/>
        </w:rPr>
        <w:t>乙</w:t>
      </w:r>
      <w:r>
        <w:rPr>
          <w:rFonts w:hint="eastAsia" w:ascii="宋体" w:hAnsi="宋体" w:cs="宋体"/>
          <w:sz w:val="21"/>
          <w:szCs w:val="21"/>
          <w:u w:val="single"/>
        </w:rPr>
        <w:t>级、桥梁养护</w:t>
      </w:r>
      <w:r>
        <w:rPr>
          <w:rFonts w:hint="eastAsia" w:ascii="宋体" w:hAnsi="宋体" w:cs="宋体"/>
          <w:sz w:val="21"/>
          <w:szCs w:val="21"/>
          <w:u w:val="single"/>
          <w:lang w:eastAsia="zh-CN"/>
        </w:rPr>
        <w:t>乙</w:t>
      </w:r>
      <w:r>
        <w:rPr>
          <w:rFonts w:hint="eastAsia" w:ascii="宋体" w:hAnsi="宋体" w:cs="宋体"/>
          <w:sz w:val="21"/>
          <w:szCs w:val="21"/>
          <w:u w:val="single"/>
        </w:rPr>
        <w:t>级</w:t>
      </w:r>
      <w:r>
        <w:rPr>
          <w:rFonts w:hint="eastAsia" w:ascii="宋体" w:hAnsi="宋体" w:cs="宋体"/>
          <w:sz w:val="21"/>
          <w:szCs w:val="21"/>
          <w:u w:val="single"/>
          <w:lang w:eastAsia="zh-CN"/>
        </w:rPr>
        <w:t>及以上资质和交通安全设施养护资质；</w:t>
      </w:r>
      <w:r>
        <w:rPr>
          <w:rFonts w:hint="eastAsia" w:ascii="宋体" w:hAnsi="宋体" w:cs="宋体"/>
          <w:sz w:val="21"/>
          <w:szCs w:val="21"/>
          <w:u w:val="single"/>
        </w:rPr>
        <w:t>近五年内（工程竣工或一阶段验收时间为2020年1月1日至投标截止之日）至少完成过一项公路养护工程施工业绩，并在人员、设备、资金等方面具备相应的施工能力。</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3.2本次招标</w:t>
      </w:r>
      <w:r>
        <w:rPr>
          <w:rFonts w:hint="eastAsia" w:ascii="宋体" w:hAnsi="宋体" w:cs="宋体"/>
          <w:sz w:val="21"/>
          <w:szCs w:val="21"/>
          <w:u w:val="single"/>
        </w:rPr>
        <w:t>不接受</w:t>
      </w:r>
      <w:r>
        <w:rPr>
          <w:rFonts w:hint="eastAsia" w:ascii="宋体" w:hAnsi="宋体" w:cs="宋体"/>
          <w:sz w:val="21"/>
          <w:szCs w:val="21"/>
        </w:rPr>
        <w:t xml:space="preserve">联合体投标。 </w:t>
      </w:r>
    </w:p>
    <w:p>
      <w:pPr>
        <w:spacing w:line="360" w:lineRule="auto"/>
        <w:ind w:firstLine="420" w:firstLineChars="200"/>
        <w:jc w:val="left"/>
        <w:rPr>
          <w:rFonts w:hint="eastAsia" w:ascii="宋体" w:hAnsi="宋体" w:cs="宋体"/>
          <w:sz w:val="21"/>
          <w:szCs w:val="21"/>
          <w:u w:val="single"/>
        </w:rPr>
      </w:pPr>
      <w:r>
        <w:rPr>
          <w:rFonts w:hint="eastAsia" w:ascii="宋体" w:hAnsi="宋体" w:cs="宋体"/>
          <w:sz w:val="21"/>
          <w:szCs w:val="21"/>
        </w:rPr>
        <w:t>3.3每个投标人最多可对 1 个标段投标，每个投标人允许中 1 个标。对投标人信用等级的认定条件为：企业在国家企业信用信息公示系统（http://www.gsxt.gov.cn/）中无经营异常情况。</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3.4与招标人存在利害关系可能影响招标公正性的单位，不得参加投标。单位负责人为同一人或存在控股、管理关系的不同单位，不得参加同一标段投标，否则，相关投标均无效。</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3.5在“信用中国”网站（http://www.creditchina.gov.cn/）中被列入失信被执行人名单或在中国执行信息公开网（http://zxgk.court.gov.cn/shixin/）被列入失信被执行人的投标人，不得参加投标。</w:t>
      </w:r>
    </w:p>
    <w:p>
      <w:pPr>
        <w:spacing w:line="420" w:lineRule="exact"/>
        <w:jc w:val="left"/>
        <w:rPr>
          <w:rFonts w:hint="eastAsia" w:ascii="宋体" w:hAnsi="宋体" w:cs="宋体"/>
          <w:b/>
          <w:color w:val="auto"/>
          <w:sz w:val="24"/>
          <w:highlight w:val="none"/>
        </w:rPr>
      </w:pPr>
      <w:r>
        <w:rPr>
          <w:rFonts w:hint="eastAsia" w:ascii="宋体" w:hAnsi="宋体" w:cs="宋体"/>
          <w:b/>
          <w:color w:val="auto"/>
          <w:sz w:val="24"/>
          <w:highlight w:val="none"/>
        </w:rPr>
        <w:t>4．招标文件的获取</w:t>
      </w:r>
      <w:bookmarkEnd w:id="20"/>
      <w:bookmarkEnd w:id="21"/>
    </w:p>
    <w:p>
      <w:pPr>
        <w:spacing w:line="420" w:lineRule="exact"/>
        <w:ind w:firstLine="420" w:firstLineChars="200"/>
        <w:jc w:val="left"/>
        <w:rPr>
          <w:rFonts w:hint="eastAsia" w:ascii="宋体" w:hAnsi="宋体" w:cs="宋体"/>
          <w:color w:val="auto"/>
          <w:szCs w:val="21"/>
          <w:highlight w:val="none"/>
        </w:rPr>
      </w:pPr>
      <w:bookmarkStart w:id="22" w:name="_Toc234348738"/>
      <w:bookmarkStart w:id="23" w:name="_Toc234349312"/>
      <w:r>
        <w:rPr>
          <w:rFonts w:hint="eastAsia" w:ascii="宋体" w:hAnsi="宋体" w:cs="宋体"/>
          <w:color w:val="auto"/>
          <w:szCs w:val="21"/>
          <w:highlight w:val="none"/>
        </w:rPr>
        <w:t>4.1招标文件的获取时间：2025年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日09时00分至2025年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日17时00分（北京时间，下同）。</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4.2招标文件的获取方法：通过天津市公共资源交易中心（www.tjggzy.cn）进行注册，完成系统注册的投标单位可直接登陆天津市公共资源交易-投标服务平台（https://ebid.tjggzy.cn:8052）针对本项目领取招标文件。</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投标人应在招标文件</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获取时间内前往</w:t>
      </w:r>
      <w:r>
        <w:rPr>
          <w:rFonts w:hint="eastAsia" w:ascii="宋体" w:hAnsi="宋体" w:cs="宋体"/>
          <w:color w:val="auto"/>
          <w:szCs w:val="21"/>
          <w:highlight w:val="none"/>
          <w:lang w:eastAsia="zh-CN"/>
        </w:rPr>
        <w:t>天津市沃盛工程咨询有限公司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天津市津南区双港镇海天南苑13号楼2</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lang w:eastAsia="zh-CN"/>
        </w:rPr>
        <w:t>室</w:t>
      </w:r>
      <w:r>
        <w:rPr>
          <w:rFonts w:hint="eastAsia" w:ascii="宋体" w:hAnsi="宋体" w:cs="宋体"/>
          <w:color w:val="auto"/>
          <w:szCs w:val="21"/>
          <w:highlight w:val="none"/>
        </w:rPr>
        <w:t>）获取本项目图纸，图纸每套售价2000元，售后不退。</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图纸费用可采用现金及银行电汇形式，户名：</w:t>
      </w:r>
      <w:r>
        <w:rPr>
          <w:rFonts w:hint="eastAsia" w:ascii="宋体" w:hAnsi="宋体" w:cs="宋体"/>
          <w:color w:val="auto"/>
          <w:szCs w:val="21"/>
          <w:highlight w:val="none"/>
          <w:lang w:eastAsia="zh-CN"/>
        </w:rPr>
        <w:t>天津市沃盛工程咨询有限公司</w:t>
      </w:r>
      <w:r>
        <w:rPr>
          <w:rFonts w:hint="eastAsia" w:ascii="宋体" w:hAnsi="宋体" w:cs="宋体"/>
          <w:color w:val="auto"/>
          <w:szCs w:val="21"/>
          <w:highlight w:val="none"/>
        </w:rPr>
        <w:t>；开户行：华夏银行股份有限公司天津滨海新区永明路支行；账号：12371000000204210；行号：304110036832；图纸费用若采用银行电汇形式，需从投标单位银行账户汇出（银行账户名称与投标人名称保持一致），电汇时请在“用途”（或“摘要”、“备注”、“附言”）处填写项目名称+图纸费。</w:t>
      </w:r>
    </w:p>
    <w:p>
      <w:pPr>
        <w:spacing w:line="420" w:lineRule="exact"/>
        <w:jc w:val="left"/>
        <w:rPr>
          <w:rFonts w:hint="eastAsia" w:ascii="宋体" w:hAnsi="宋体" w:cs="宋体"/>
          <w:b/>
          <w:color w:val="auto"/>
          <w:sz w:val="24"/>
          <w:highlight w:val="none"/>
        </w:rPr>
      </w:pPr>
      <w:r>
        <w:rPr>
          <w:rFonts w:hint="eastAsia" w:ascii="宋体" w:hAnsi="宋体" w:cs="宋体"/>
          <w:b/>
          <w:color w:val="auto"/>
          <w:sz w:val="24"/>
          <w:highlight w:val="none"/>
        </w:rPr>
        <w:t>5．投标文件的递交及相关事宜</w:t>
      </w:r>
      <w:bookmarkEnd w:id="22"/>
      <w:bookmarkEnd w:id="23"/>
    </w:p>
    <w:p>
      <w:pPr>
        <w:spacing w:line="420" w:lineRule="exact"/>
        <w:jc w:val="left"/>
        <w:rPr>
          <w:rFonts w:hint="eastAsia" w:ascii="宋体" w:hAnsi="宋体" w:cs="宋体"/>
          <w:color w:val="auto"/>
          <w:szCs w:val="21"/>
          <w:highlight w:val="none"/>
        </w:rPr>
      </w:pPr>
      <w:bookmarkStart w:id="24" w:name="_Toc234348739"/>
      <w:bookmarkStart w:id="25" w:name="_Toc234349313"/>
      <w:r>
        <w:rPr>
          <w:rFonts w:hint="eastAsia" w:ascii="宋体" w:hAnsi="宋体" w:cs="宋体"/>
          <w:color w:val="auto"/>
          <w:szCs w:val="21"/>
          <w:highlight w:val="none"/>
        </w:rPr>
        <w:t>5.1招标人将于下列时间和地点组织进行工程现场踏勘并召开投标预备会。</w:t>
      </w:r>
    </w:p>
    <w:p>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踏勘现场时间：不组织；</w:t>
      </w:r>
    </w:p>
    <w:p>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投标预备会时间：不组织。</w:t>
      </w:r>
    </w:p>
    <w:p>
      <w:pPr>
        <w:wordWrap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5.2投标文件递交的截止时间（投标截止时间，下同）为2025年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日09时30分，投标人应于当日09时30分前将电子投标文件上传至天津市公共资源交易-投标服务平台 （https://ebid.tjggzy.cn:8052）。并于当日09时00分至09时30分将投标文件纸质版递交至天津市公共资源交易中心开标室（天津市河西区广顺道1号）。</w:t>
      </w:r>
    </w:p>
    <w:p>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5.3投标人应在投标截止时间前，通过互联网使用CA数字证书登录“天津市公共资源交易-投标服务平台 https://ebid.tjggzy.cn:8052”，将加密的投标文件上传，并保存上传成功后系统自动生成的投标文件递交回执，递交时间即为投标文件递交回执时间。逾期未完成上传或未按规定加密的投标文件，招标人予以拒收。</w:t>
      </w:r>
    </w:p>
    <w:p>
      <w:pPr>
        <w:spacing w:line="420" w:lineRule="exact"/>
        <w:jc w:val="left"/>
        <w:rPr>
          <w:rFonts w:hint="eastAsia" w:ascii="宋体" w:hAnsi="宋体" w:cs="宋体"/>
          <w:b/>
          <w:color w:val="auto"/>
          <w:sz w:val="24"/>
          <w:highlight w:val="none"/>
        </w:rPr>
      </w:pPr>
      <w:r>
        <w:rPr>
          <w:rFonts w:hint="eastAsia" w:ascii="宋体" w:hAnsi="宋体" w:cs="宋体"/>
          <w:b/>
          <w:color w:val="auto"/>
          <w:sz w:val="24"/>
          <w:highlight w:val="none"/>
        </w:rPr>
        <w:t>6．发布公告的媒介</w:t>
      </w:r>
      <w:bookmarkEnd w:id="24"/>
      <w:bookmarkEnd w:id="25"/>
    </w:p>
    <w:p>
      <w:pPr>
        <w:wordWrap w:val="0"/>
        <w:spacing w:line="450" w:lineRule="exact"/>
        <w:ind w:firstLine="420" w:firstLineChars="200"/>
        <w:jc w:val="left"/>
        <w:rPr>
          <w:color w:val="auto"/>
          <w:szCs w:val="21"/>
          <w:highlight w:val="none"/>
        </w:rPr>
      </w:pPr>
      <w:bookmarkStart w:id="26" w:name="_Toc322609494"/>
      <w:r>
        <w:rPr>
          <w:color w:val="auto"/>
          <w:szCs w:val="21"/>
          <w:highlight w:val="none"/>
        </w:rPr>
        <w:t>本次招标公告同时在</w:t>
      </w:r>
      <w:r>
        <w:rPr>
          <w:rFonts w:hint="eastAsia"/>
          <w:color w:val="auto"/>
          <w:szCs w:val="21"/>
          <w:highlight w:val="none"/>
          <w:u w:val="single"/>
          <w:lang w:eastAsia="zh-CN"/>
        </w:rPr>
        <w:t>天津市滨海新区交通运输局</w:t>
      </w:r>
      <w:r>
        <w:rPr>
          <w:color w:val="auto"/>
          <w:szCs w:val="21"/>
          <w:highlight w:val="none"/>
          <w:u w:val="single"/>
        </w:rPr>
        <w:t xml:space="preserve">（ </w:t>
      </w:r>
      <w:r>
        <w:rPr>
          <w:rFonts w:hint="eastAsia"/>
          <w:color w:val="auto"/>
          <w:szCs w:val="21"/>
          <w:highlight w:val="none"/>
          <w:u w:val="single"/>
        </w:rPr>
        <w:t>https://jtysj.tjbh.gov.cn/</w:t>
      </w:r>
      <w:r>
        <w:rPr>
          <w:color w:val="auto"/>
          <w:szCs w:val="21"/>
          <w:highlight w:val="none"/>
          <w:u w:val="single"/>
        </w:rPr>
        <w:t>）、天津市公共资源交易平台（http://ggzy.zwfwb.tj.gov.cn）、天津市公共资源交易中心（天津市政府采购中心）（http://www.tjggzy.cn）、中国招标投标公共服务平台（http://www.cebpubservice.com）</w:t>
      </w:r>
      <w:r>
        <w:rPr>
          <w:color w:val="auto"/>
          <w:szCs w:val="21"/>
          <w:highlight w:val="none"/>
        </w:rPr>
        <w:t>上发布。</w:t>
      </w:r>
    </w:p>
    <w:p>
      <w:pPr>
        <w:spacing w:line="420" w:lineRule="exact"/>
        <w:ind w:firstLine="422" w:firstLineChars="200"/>
        <w:rPr>
          <w:b/>
          <w:bCs/>
          <w:color w:val="auto"/>
          <w:kern w:val="0"/>
          <w:szCs w:val="21"/>
          <w:highlight w:val="none"/>
        </w:rPr>
      </w:pPr>
      <w:r>
        <w:rPr>
          <w:b/>
          <w:bCs/>
          <w:color w:val="auto"/>
          <w:kern w:val="0"/>
          <w:szCs w:val="21"/>
          <w:highlight w:val="none"/>
        </w:rPr>
        <w:t>提示：通过天津市公共资源交易中心（www.tjggzy.cn）进行注册，完成系统注册的投标单位可直接登陆天津市公共资源交易-投标服务平台（https://ebid.tjggzy.cn:8052）获取项目相关信息，未及时获取相关信息的投标人一切后果自行承担。</w:t>
      </w:r>
    </w:p>
    <w:p>
      <w:pPr>
        <w:spacing w:line="420" w:lineRule="exact"/>
        <w:jc w:val="left"/>
        <w:rPr>
          <w:rFonts w:hint="eastAsia" w:ascii="宋体" w:hAnsi="宋体" w:cs="宋体"/>
          <w:b/>
          <w:color w:val="auto"/>
          <w:sz w:val="24"/>
          <w:highlight w:val="none"/>
        </w:rPr>
      </w:pPr>
      <w:r>
        <w:rPr>
          <w:rFonts w:hint="eastAsia" w:ascii="宋体" w:hAnsi="宋体" w:cs="宋体"/>
          <w:b/>
          <w:color w:val="auto"/>
          <w:sz w:val="24"/>
          <w:highlight w:val="none"/>
        </w:rPr>
        <w:t xml:space="preserve">7. </w:t>
      </w:r>
      <w:bookmarkEnd w:id="26"/>
      <w:r>
        <w:rPr>
          <w:rFonts w:hint="eastAsia" w:ascii="宋体" w:hAnsi="宋体" w:cs="宋体"/>
          <w:b/>
          <w:color w:val="auto"/>
          <w:sz w:val="24"/>
          <w:highlight w:val="none"/>
        </w:rPr>
        <w:t>招标文件关键内容</w:t>
      </w:r>
    </w:p>
    <w:p>
      <w:pPr>
        <w:pStyle w:val="19"/>
        <w:adjustRightInd/>
        <w:spacing w:line="42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另见附件，最终以发售纸质招标文件为准。</w:t>
      </w:r>
    </w:p>
    <w:p>
      <w:pPr>
        <w:numPr>
          <w:ilvl w:val="0"/>
          <w:numId w:val="1"/>
        </w:numPr>
        <w:spacing w:line="420" w:lineRule="exact"/>
        <w:jc w:val="left"/>
        <w:rPr>
          <w:rFonts w:hint="eastAsia" w:ascii="宋体" w:hAnsi="宋体" w:cs="宋体"/>
          <w:b/>
          <w:color w:val="auto"/>
          <w:sz w:val="24"/>
          <w:highlight w:val="none"/>
        </w:rPr>
      </w:pPr>
      <w:r>
        <w:rPr>
          <w:rFonts w:hint="eastAsia" w:ascii="宋体" w:hAnsi="宋体" w:cs="宋体"/>
          <w:b/>
          <w:color w:val="auto"/>
          <w:sz w:val="24"/>
          <w:highlight w:val="none"/>
        </w:rPr>
        <w:t>联系方式</w:t>
      </w:r>
    </w:p>
    <w:p>
      <w:pPr>
        <w:pStyle w:val="6"/>
        <w:rPr>
          <w:rFonts w:hint="eastAsia"/>
          <w:color w:val="auto"/>
          <w:highlight w:val="none"/>
        </w:rPr>
      </w:pPr>
    </w:p>
    <w:tbl>
      <w:tblPr>
        <w:tblStyle w:val="18"/>
        <w:tblW w:w="10152" w:type="dxa"/>
        <w:jc w:val="center"/>
        <w:tblInd w:w="0" w:type="dxa"/>
        <w:tblLayout w:type="fixed"/>
        <w:tblCellMar>
          <w:top w:w="0" w:type="dxa"/>
          <w:left w:w="108" w:type="dxa"/>
          <w:bottom w:w="0" w:type="dxa"/>
          <w:right w:w="108" w:type="dxa"/>
        </w:tblCellMar>
      </w:tblPr>
      <w:tblGrid>
        <w:gridCol w:w="1227"/>
        <w:gridCol w:w="3195"/>
        <w:gridCol w:w="1590"/>
        <w:gridCol w:w="4140"/>
      </w:tblGrid>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3195"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天津市滨海新区太平镇人民政府</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4140"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天津市沃盛工程咨询有限公司</w:t>
            </w:r>
          </w:p>
        </w:tc>
      </w:tr>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3195"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天津市滨海新区太平第二小学北侧300米</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4140"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天津市津南区双港镇海天南苑13号楼203室</w:t>
            </w:r>
          </w:p>
        </w:tc>
      </w:tr>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邮  编：</w:t>
            </w:r>
          </w:p>
        </w:tc>
        <w:tc>
          <w:tcPr>
            <w:tcW w:w="3195" w:type="dxa"/>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300</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0</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邮  编：</w:t>
            </w:r>
          </w:p>
        </w:tc>
        <w:tc>
          <w:tcPr>
            <w:tcW w:w="414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3000</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w:t>
            </w:r>
          </w:p>
        </w:tc>
      </w:tr>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3195" w:type="dxa"/>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商钦涵</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4140"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张静</w:t>
            </w:r>
          </w:p>
        </w:tc>
      </w:tr>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195" w:type="dxa"/>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022-63185778</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414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022-28219819</w:t>
            </w:r>
          </w:p>
        </w:tc>
      </w:tr>
      <w:tr>
        <w:tblPrEx>
          <w:tblLayout w:type="fixed"/>
          <w:tblCellMar>
            <w:top w:w="0" w:type="dxa"/>
            <w:left w:w="108" w:type="dxa"/>
            <w:bottom w:w="0" w:type="dxa"/>
            <w:right w:w="108" w:type="dxa"/>
          </w:tblCellMar>
        </w:tblPrEx>
        <w:trPr>
          <w:trHeight w:val="90"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3195" w:type="dxa"/>
            <w:vAlign w:val="center"/>
          </w:tcPr>
          <w:p>
            <w:pPr>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022-63185778</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4140"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val="en-US" w:eastAsia="zh-CN"/>
              </w:rPr>
              <w:t>/</w:t>
            </w:r>
          </w:p>
        </w:tc>
      </w:tr>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电子邮件：</w:t>
            </w:r>
          </w:p>
        </w:tc>
        <w:tc>
          <w:tcPr>
            <w:tcW w:w="3195"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电子邮件：</w:t>
            </w:r>
          </w:p>
        </w:tc>
        <w:tc>
          <w:tcPr>
            <w:tcW w:w="4140"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dsfys2420@163.com</w:t>
            </w:r>
          </w:p>
        </w:tc>
      </w:tr>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3195"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4140"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r>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3195"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140"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华夏银行股份有限公司天津滨海新区永明路支行</w:t>
            </w:r>
          </w:p>
        </w:tc>
      </w:tr>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账  号：</w:t>
            </w:r>
          </w:p>
        </w:tc>
        <w:tc>
          <w:tcPr>
            <w:tcW w:w="3195"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c>
          <w:tcPr>
            <w:tcW w:w="1590"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账  号：</w:t>
            </w:r>
          </w:p>
        </w:tc>
        <w:tc>
          <w:tcPr>
            <w:tcW w:w="4140"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12371000000204210</w:t>
            </w:r>
          </w:p>
        </w:tc>
      </w:tr>
      <w:tr>
        <w:tblPrEx>
          <w:tblLayout w:type="fixed"/>
          <w:tblCellMar>
            <w:top w:w="0" w:type="dxa"/>
            <w:left w:w="108" w:type="dxa"/>
            <w:bottom w:w="0" w:type="dxa"/>
            <w:right w:w="108" w:type="dxa"/>
          </w:tblCellMar>
        </w:tblPrEx>
        <w:trPr>
          <w:trHeight w:val="454" w:hRule="atLeast"/>
          <w:jc w:val="center"/>
        </w:trPr>
        <w:tc>
          <w:tcPr>
            <w:tcW w:w="1227" w:type="dxa"/>
            <w:vAlign w:val="center"/>
          </w:tcPr>
          <w:p>
            <w:pPr>
              <w:rPr>
                <w:rFonts w:hint="eastAsia" w:ascii="宋体" w:hAnsi="宋体" w:cs="宋体"/>
                <w:color w:val="auto"/>
                <w:szCs w:val="21"/>
                <w:highlight w:val="none"/>
              </w:rPr>
            </w:pPr>
          </w:p>
        </w:tc>
        <w:tc>
          <w:tcPr>
            <w:tcW w:w="3195" w:type="dxa"/>
            <w:vAlign w:val="center"/>
          </w:tcPr>
          <w:p>
            <w:pPr>
              <w:rPr>
                <w:rFonts w:hint="eastAsia" w:ascii="宋体" w:hAnsi="宋体" w:cs="宋体"/>
                <w:color w:val="auto"/>
                <w:szCs w:val="21"/>
                <w:highlight w:val="none"/>
              </w:rPr>
            </w:pPr>
          </w:p>
        </w:tc>
        <w:tc>
          <w:tcPr>
            <w:tcW w:w="1590" w:type="dxa"/>
            <w:vAlign w:val="center"/>
          </w:tcPr>
          <w:p>
            <w:pPr>
              <w:rPr>
                <w:rFonts w:hint="eastAsia" w:ascii="宋体" w:hAnsi="宋体" w:cs="宋体"/>
                <w:color w:val="auto"/>
                <w:szCs w:val="21"/>
                <w:highlight w:val="none"/>
              </w:rPr>
            </w:pPr>
          </w:p>
        </w:tc>
        <w:tc>
          <w:tcPr>
            <w:tcW w:w="4140"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日</w:t>
            </w:r>
          </w:p>
        </w:tc>
      </w:tr>
    </w:tbl>
    <w:p>
      <w:pPr>
        <w:pStyle w:val="6"/>
        <w:rPr>
          <w:rFonts w:hint="eastAsia"/>
          <w:color w:val="auto"/>
          <w:highlight w:val="none"/>
        </w:rPr>
      </w:pPr>
    </w:p>
    <w:p>
      <w:pPr>
        <w:spacing w:line="420" w:lineRule="atLeast"/>
        <w:ind w:right="480"/>
        <w:jc w:val="cente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pStyle w:val="2"/>
        <w:spacing w:before="480" w:after="240"/>
        <w:rPr>
          <w:rFonts w:hint="eastAsia" w:ascii="宋体" w:hAnsi="宋体" w:eastAsia="宋体" w:cs="宋体"/>
          <w:color w:val="auto"/>
          <w:highlight w:val="none"/>
        </w:rPr>
      </w:pPr>
      <w:bookmarkStart w:id="27" w:name="_Toc186"/>
      <w:bookmarkStart w:id="28" w:name="_Toc511896822"/>
      <w:r>
        <w:rPr>
          <w:rFonts w:hint="eastAsia" w:ascii="宋体" w:hAnsi="宋体" w:eastAsia="宋体" w:cs="宋体"/>
          <w:color w:val="auto"/>
          <w:highlight w:val="none"/>
        </w:rPr>
        <w:t>第二章  投标人须知</w:t>
      </w:r>
      <w:bookmarkEnd w:id="12"/>
      <w:bookmarkEnd w:id="13"/>
      <w:bookmarkEnd w:id="14"/>
      <w:bookmarkEnd w:id="15"/>
      <w:bookmarkEnd w:id="16"/>
      <w:bookmarkEnd w:id="27"/>
      <w:bookmarkEnd w:id="28"/>
    </w:p>
    <w:p>
      <w:pPr>
        <w:spacing w:line="420" w:lineRule="atLeast"/>
        <w:ind w:right="480"/>
        <w:jc w:val="center"/>
        <w:rPr>
          <w:rFonts w:hint="eastAsia" w:ascii="宋体" w:hAnsi="宋体" w:cs="宋体"/>
          <w:b/>
          <w:color w:val="auto"/>
          <w:sz w:val="32"/>
          <w:szCs w:val="32"/>
          <w:highlight w:val="none"/>
        </w:rPr>
      </w:pPr>
      <w:r>
        <w:rPr>
          <w:rFonts w:hint="eastAsia" w:ascii="宋体" w:hAnsi="宋体" w:cs="宋体"/>
          <w:color w:val="auto"/>
          <w:sz w:val="52"/>
          <w:szCs w:val="52"/>
          <w:highlight w:val="none"/>
        </w:rPr>
        <w:br w:type="page"/>
      </w:r>
      <w:bookmarkStart w:id="29" w:name="_Toc234345717"/>
      <w:bookmarkStart w:id="30" w:name="_Toc234350669"/>
      <w:bookmarkStart w:id="31" w:name="_Toc234349325"/>
      <w:bookmarkStart w:id="32" w:name="_Toc234348751"/>
      <w:bookmarkStart w:id="33" w:name="_Toc234345932"/>
      <w:r>
        <w:rPr>
          <w:rFonts w:hint="eastAsia" w:ascii="宋体" w:hAnsi="宋体" w:cs="宋体"/>
          <w:b/>
          <w:color w:val="auto"/>
          <w:sz w:val="32"/>
          <w:szCs w:val="32"/>
          <w:highlight w:val="none"/>
        </w:rPr>
        <w:t>第二章  投标人须知</w:t>
      </w:r>
      <w:bookmarkEnd w:id="29"/>
      <w:bookmarkEnd w:id="30"/>
      <w:bookmarkEnd w:id="31"/>
      <w:bookmarkEnd w:id="32"/>
      <w:bookmarkEnd w:id="33"/>
    </w:p>
    <w:p>
      <w:pPr>
        <w:spacing w:line="420" w:lineRule="atLeast"/>
        <w:ind w:right="480"/>
        <w:rPr>
          <w:rFonts w:hint="eastAsia" w:ascii="宋体" w:hAnsi="宋体" w:cs="宋体"/>
          <w:b/>
          <w:color w:val="auto"/>
          <w:sz w:val="32"/>
          <w:szCs w:val="32"/>
          <w:highlight w:val="none"/>
        </w:rPr>
      </w:pPr>
      <w:bookmarkStart w:id="34" w:name="_Toc234348752"/>
      <w:bookmarkStart w:id="35" w:name="_Toc234349326"/>
      <w:bookmarkStart w:id="36" w:name="_Toc234349334"/>
      <w:bookmarkStart w:id="37" w:name="_Toc234348760"/>
      <w:r>
        <w:rPr>
          <w:rFonts w:hint="eastAsia" w:ascii="宋体" w:hAnsi="宋体" w:cs="宋体"/>
          <w:b/>
          <w:color w:val="auto"/>
          <w:sz w:val="32"/>
          <w:szCs w:val="32"/>
          <w:highlight w:val="none"/>
        </w:rPr>
        <w:t>投标人须知前附表</w:t>
      </w:r>
      <w:bookmarkEnd w:id="34"/>
      <w:bookmarkEnd w:id="35"/>
    </w:p>
    <w:p>
      <w:pPr>
        <w:jc w:val="right"/>
        <w:rPr>
          <w:rFonts w:hint="eastAsia" w:ascii="宋体" w:hAnsi="宋体" w:cs="宋体"/>
          <w:color w:val="auto"/>
          <w:highlight w:val="none"/>
        </w:rPr>
      </w:pPr>
    </w:p>
    <w:tbl>
      <w:tblPr>
        <w:tblStyle w:val="18"/>
        <w:tblW w:w="9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6"/>
        <w:gridCol w:w="2816"/>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blHeader/>
          <w:jc w:val="center"/>
        </w:trPr>
        <w:tc>
          <w:tcPr>
            <w:tcW w:w="1255" w:type="dxa"/>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822" w:type="dxa"/>
            <w:gridSpan w:val="2"/>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5719" w:type="dxa"/>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5719" w:type="dxa"/>
            <w:vAlign w:val="center"/>
          </w:tcPr>
          <w:p>
            <w:pPr>
              <w:autoSpaceDE w:val="0"/>
              <w:autoSpaceDN w:val="0"/>
              <w:snapToGrid w:val="0"/>
              <w:spacing w:line="400" w:lineRule="atLeast"/>
              <w:rPr>
                <w:rFonts w:hint="eastAsia" w:eastAsia="宋体"/>
                <w:color w:val="auto"/>
                <w:kern w:val="0"/>
                <w:szCs w:val="21"/>
                <w:highlight w:val="none"/>
                <w:lang w:eastAsia="zh-CN" w:bidi="ar"/>
              </w:rPr>
            </w:pPr>
            <w:r>
              <w:rPr>
                <w:color w:val="auto"/>
                <w:kern w:val="0"/>
                <w:szCs w:val="21"/>
                <w:highlight w:val="none"/>
                <w:lang w:bidi="ar"/>
              </w:rPr>
              <w:t>名称：</w:t>
            </w:r>
            <w:r>
              <w:rPr>
                <w:rFonts w:hint="eastAsia"/>
                <w:color w:val="auto"/>
                <w:kern w:val="0"/>
                <w:szCs w:val="21"/>
                <w:highlight w:val="none"/>
                <w:lang w:eastAsia="zh-CN" w:bidi="ar"/>
              </w:rPr>
              <w:t>天津市滨海新区太平镇人民政府</w:t>
            </w:r>
          </w:p>
          <w:p>
            <w:pPr>
              <w:autoSpaceDE w:val="0"/>
              <w:autoSpaceDN w:val="0"/>
              <w:snapToGrid w:val="0"/>
              <w:spacing w:line="400" w:lineRule="atLeast"/>
              <w:rPr>
                <w:rFonts w:hint="eastAsia" w:eastAsia="宋体"/>
                <w:color w:val="auto"/>
                <w:kern w:val="0"/>
                <w:szCs w:val="21"/>
                <w:highlight w:val="none"/>
                <w:lang w:eastAsia="zh-CN" w:bidi="ar"/>
              </w:rPr>
            </w:pPr>
            <w:r>
              <w:rPr>
                <w:color w:val="auto"/>
                <w:kern w:val="0"/>
                <w:szCs w:val="21"/>
                <w:highlight w:val="none"/>
                <w:lang w:bidi="ar"/>
              </w:rPr>
              <w:t>地址：</w:t>
            </w:r>
            <w:r>
              <w:rPr>
                <w:rFonts w:hint="eastAsia"/>
                <w:color w:val="auto"/>
                <w:kern w:val="0"/>
                <w:szCs w:val="21"/>
                <w:highlight w:val="none"/>
                <w:lang w:eastAsia="zh-CN" w:bidi="ar"/>
              </w:rPr>
              <w:t>天津市滨海新区太平第二小学北侧300米</w:t>
            </w:r>
          </w:p>
          <w:p>
            <w:pPr>
              <w:autoSpaceDE w:val="0"/>
              <w:autoSpaceDN w:val="0"/>
              <w:snapToGrid w:val="0"/>
              <w:spacing w:line="400" w:lineRule="atLeast"/>
              <w:rPr>
                <w:rFonts w:hint="default" w:eastAsia="宋体"/>
                <w:color w:val="auto"/>
                <w:kern w:val="0"/>
                <w:szCs w:val="21"/>
                <w:highlight w:val="none"/>
                <w:lang w:val="en-US" w:eastAsia="zh-CN" w:bidi="ar"/>
              </w:rPr>
            </w:pPr>
            <w:r>
              <w:rPr>
                <w:color w:val="auto"/>
                <w:kern w:val="0"/>
                <w:szCs w:val="21"/>
                <w:highlight w:val="none"/>
                <w:lang w:bidi="ar"/>
              </w:rPr>
              <w:t>联系人：</w:t>
            </w:r>
            <w:r>
              <w:rPr>
                <w:rFonts w:hint="eastAsia"/>
                <w:color w:val="auto"/>
                <w:kern w:val="0"/>
                <w:szCs w:val="21"/>
                <w:highlight w:val="none"/>
                <w:lang w:val="en-US" w:eastAsia="zh-CN" w:bidi="ar"/>
              </w:rPr>
              <w:t>商钦涵</w:t>
            </w:r>
          </w:p>
          <w:p>
            <w:pPr>
              <w:autoSpaceDE w:val="0"/>
              <w:autoSpaceDN w:val="0"/>
              <w:snapToGrid w:val="0"/>
              <w:spacing w:line="400" w:lineRule="atLeast"/>
              <w:rPr>
                <w:rFonts w:hint="eastAsia"/>
                <w:color w:val="auto"/>
                <w:kern w:val="0"/>
                <w:szCs w:val="21"/>
                <w:highlight w:val="none"/>
                <w:lang w:bidi="ar"/>
              </w:rPr>
            </w:pPr>
            <w:r>
              <w:rPr>
                <w:color w:val="auto"/>
                <w:kern w:val="0"/>
                <w:szCs w:val="21"/>
                <w:highlight w:val="none"/>
                <w:lang w:bidi="ar"/>
              </w:rPr>
              <w:t>电话：</w:t>
            </w:r>
            <w:r>
              <w:rPr>
                <w:rFonts w:hint="eastAsia"/>
                <w:color w:val="auto"/>
                <w:kern w:val="0"/>
                <w:szCs w:val="21"/>
                <w:highlight w:val="none"/>
                <w:lang w:val="en-US" w:eastAsia="zh-CN" w:bidi="ar"/>
              </w:rPr>
              <w:t>022-</w:t>
            </w:r>
            <w:r>
              <w:rPr>
                <w:rFonts w:hint="eastAsia"/>
                <w:color w:val="auto"/>
                <w:kern w:val="0"/>
                <w:szCs w:val="21"/>
                <w:highlight w:val="none"/>
                <w:lang w:bidi="ar"/>
              </w:rPr>
              <w:t>63185778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5719" w:type="dxa"/>
            <w:vAlign w:val="center"/>
          </w:tcPr>
          <w:p>
            <w:pPr>
              <w:autoSpaceDE w:val="0"/>
              <w:autoSpaceDN w:val="0"/>
              <w:snapToGrid w:val="0"/>
              <w:spacing w:line="400" w:lineRule="atLeast"/>
              <w:rPr>
                <w:rFonts w:hint="eastAsia" w:eastAsia="宋体"/>
                <w:color w:val="auto"/>
                <w:szCs w:val="21"/>
                <w:highlight w:val="none"/>
                <w:lang w:eastAsia="zh-CN"/>
              </w:rPr>
            </w:pPr>
            <w:r>
              <w:rPr>
                <w:color w:val="auto"/>
                <w:kern w:val="0"/>
                <w:szCs w:val="21"/>
                <w:highlight w:val="none"/>
                <w:lang w:bidi="ar"/>
              </w:rPr>
              <w:t>名  称：</w:t>
            </w:r>
            <w:r>
              <w:rPr>
                <w:rFonts w:hint="eastAsia"/>
                <w:color w:val="auto"/>
                <w:kern w:val="0"/>
                <w:szCs w:val="21"/>
                <w:highlight w:val="none"/>
                <w:lang w:eastAsia="zh-CN" w:bidi="ar"/>
              </w:rPr>
              <w:t>天津市沃盛工程咨询有限公司</w:t>
            </w:r>
          </w:p>
          <w:p>
            <w:pPr>
              <w:autoSpaceDE w:val="0"/>
              <w:autoSpaceDN w:val="0"/>
              <w:snapToGrid w:val="0"/>
              <w:spacing w:line="400" w:lineRule="atLeast"/>
              <w:rPr>
                <w:rFonts w:hint="eastAsia" w:eastAsia="宋体"/>
                <w:color w:val="auto"/>
                <w:szCs w:val="21"/>
                <w:highlight w:val="none"/>
                <w:lang w:eastAsia="zh-CN"/>
              </w:rPr>
            </w:pPr>
            <w:r>
              <w:rPr>
                <w:color w:val="auto"/>
                <w:kern w:val="0"/>
                <w:szCs w:val="21"/>
                <w:highlight w:val="none"/>
                <w:lang w:bidi="ar"/>
              </w:rPr>
              <w:t>地  址：</w:t>
            </w:r>
            <w:r>
              <w:rPr>
                <w:rFonts w:hint="eastAsia"/>
                <w:color w:val="auto"/>
                <w:kern w:val="0"/>
                <w:szCs w:val="21"/>
                <w:highlight w:val="none"/>
                <w:lang w:eastAsia="zh-CN" w:bidi="ar"/>
              </w:rPr>
              <w:t>天津市津南区双港镇海天南苑13号楼203室</w:t>
            </w:r>
          </w:p>
          <w:p>
            <w:pPr>
              <w:autoSpaceDE w:val="0"/>
              <w:autoSpaceDN w:val="0"/>
              <w:snapToGrid w:val="0"/>
              <w:spacing w:line="400" w:lineRule="atLeast"/>
              <w:rPr>
                <w:rFonts w:hint="eastAsia" w:eastAsia="宋体"/>
                <w:color w:val="auto"/>
                <w:szCs w:val="21"/>
                <w:highlight w:val="none"/>
                <w:u w:val="single"/>
                <w:lang w:eastAsia="zh-CN"/>
              </w:rPr>
            </w:pPr>
            <w:r>
              <w:rPr>
                <w:color w:val="auto"/>
                <w:kern w:val="0"/>
                <w:szCs w:val="21"/>
                <w:highlight w:val="none"/>
                <w:lang w:bidi="ar"/>
              </w:rPr>
              <w:t>联系人：</w:t>
            </w:r>
            <w:r>
              <w:rPr>
                <w:rFonts w:hint="eastAsia"/>
                <w:color w:val="auto"/>
                <w:kern w:val="0"/>
                <w:szCs w:val="21"/>
                <w:highlight w:val="none"/>
                <w:lang w:eastAsia="zh-CN" w:bidi="ar"/>
              </w:rPr>
              <w:t>张静</w:t>
            </w:r>
          </w:p>
          <w:p>
            <w:pPr>
              <w:autoSpaceDE w:val="0"/>
              <w:autoSpaceDN w:val="0"/>
              <w:adjustRightInd w:val="0"/>
              <w:spacing w:line="400" w:lineRule="atLeast"/>
              <w:rPr>
                <w:color w:val="auto"/>
                <w:kern w:val="0"/>
                <w:szCs w:val="21"/>
                <w:highlight w:val="none"/>
              </w:rPr>
            </w:pPr>
            <w:r>
              <w:rPr>
                <w:color w:val="auto"/>
                <w:kern w:val="0"/>
                <w:szCs w:val="21"/>
                <w:highlight w:val="none"/>
                <w:lang w:bidi="ar"/>
              </w:rPr>
              <w:t>电  话：</w:t>
            </w:r>
            <w:r>
              <w:rPr>
                <w:rFonts w:hint="eastAsia"/>
                <w:color w:val="auto"/>
                <w:kern w:val="0"/>
                <w:szCs w:val="21"/>
                <w:highlight w:val="none"/>
                <w:lang w:bidi="ar"/>
              </w:rPr>
              <w:t>022-28219819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招标项目名称</w:t>
            </w:r>
          </w:p>
        </w:tc>
        <w:tc>
          <w:tcPr>
            <w:tcW w:w="5719" w:type="dxa"/>
            <w:vAlign w:val="center"/>
          </w:tcPr>
          <w:p>
            <w:pPr>
              <w:rPr>
                <w:rFonts w:hint="eastAsia" w:ascii="宋体" w:hAnsi="宋体" w:cs="宋体"/>
                <w:color w:val="auto"/>
                <w:szCs w:val="21"/>
                <w:highlight w:val="none"/>
              </w:rPr>
            </w:pPr>
            <w:r>
              <w:rPr>
                <w:rFonts w:hint="eastAsia" w:ascii="宋体" w:hAnsi="宋体" w:cs="宋体"/>
                <w:bCs/>
                <w:color w:val="auto"/>
                <w:szCs w:val="21"/>
                <w:highlight w:val="none"/>
                <w:lang w:eastAsia="zh-CN"/>
              </w:rPr>
              <w:t>2025年滨海新区农村公路路面严重破损路段维修工程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标段建设地点</w:t>
            </w:r>
          </w:p>
        </w:tc>
        <w:tc>
          <w:tcPr>
            <w:tcW w:w="5719" w:type="dxa"/>
            <w:vAlign w:val="center"/>
          </w:tcPr>
          <w:p>
            <w:pPr>
              <w:rPr>
                <w:rFonts w:ascii="宋体" w:hAnsi="宋体" w:cs="宋体"/>
                <w:color w:val="auto"/>
                <w:szCs w:val="21"/>
                <w:highlight w:val="none"/>
              </w:rPr>
            </w:pPr>
            <w:r>
              <w:rPr>
                <w:rFonts w:hint="eastAsia" w:ascii="宋体" w:hAnsi="宋体" w:cs="宋体"/>
                <w:color w:val="auto"/>
                <w:szCs w:val="21"/>
                <w:highlight w:val="none"/>
              </w:rPr>
              <w:t>天津市</w:t>
            </w:r>
            <w:r>
              <w:rPr>
                <w:rFonts w:hint="eastAsia" w:ascii="宋体" w:hAnsi="宋体" w:cs="宋体"/>
                <w:color w:val="auto"/>
                <w:szCs w:val="21"/>
                <w:highlight w:val="none"/>
                <w:lang w:eastAsia="zh-CN"/>
              </w:rPr>
              <w:t>滨海新区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5719" w:type="dxa"/>
            <w:vAlign w:val="center"/>
          </w:tcPr>
          <w:p>
            <w:pPr>
              <w:rPr>
                <w:rFonts w:hint="default" w:ascii="宋体" w:hAnsi="宋体" w:eastAsia="宋体" w:cs="宋体"/>
                <w:color w:val="auto"/>
                <w:szCs w:val="21"/>
                <w:highlight w:val="none"/>
                <w:lang w:val="en-US" w:eastAsia="zh-CN"/>
              </w:rPr>
            </w:pPr>
            <w:r>
              <w:rPr>
                <w:rFonts w:hint="eastAsia"/>
                <w:color w:val="auto"/>
                <w:kern w:val="0"/>
                <w:szCs w:val="21"/>
                <w:highlight w:val="none"/>
                <w:lang w:eastAsia="zh-CN"/>
              </w:rPr>
              <w:t>财政拨款</w:t>
            </w:r>
            <w:r>
              <w:rPr>
                <w:rFonts w:hint="eastAsia"/>
                <w:color w:val="auto"/>
                <w:kern w:val="0"/>
                <w:szCs w:val="21"/>
                <w:highlight w:val="none"/>
                <w:lang w:val="en-US" w:eastAsia="zh-CN"/>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5719"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5719" w:type="dxa"/>
            <w:vAlign w:val="center"/>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本次招标为1个标段，对苏翟路(徐太路一翟庄子),长度为5.559km范围内道路结构实施结构性修复，包括路基路面、桥涵、交通工程及沿线设施等。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计划工期</w:t>
            </w:r>
          </w:p>
        </w:tc>
        <w:tc>
          <w:tcPr>
            <w:tcW w:w="5719" w:type="dxa"/>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计划工期：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jc w:val="left"/>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rPr>
              <w:t>日</w:t>
            </w:r>
          </w:p>
          <w:p>
            <w:pPr>
              <w:jc w:val="left"/>
              <w:rPr>
                <w:rFonts w:hint="eastAsia" w:ascii="宋体" w:hAnsi="宋体" w:cs="宋体"/>
                <w:color w:val="auto"/>
                <w:szCs w:val="21"/>
                <w:highlight w:val="none"/>
              </w:rPr>
            </w:pPr>
            <w:r>
              <w:rPr>
                <w:rFonts w:hint="eastAsia" w:ascii="宋体" w:hAnsi="宋体" w:cs="宋体"/>
                <w:color w:val="auto"/>
                <w:szCs w:val="21"/>
                <w:highlight w:val="none"/>
              </w:rPr>
              <w:t>计划交工日期：</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质量要求</w:t>
            </w:r>
          </w:p>
        </w:tc>
        <w:tc>
          <w:tcPr>
            <w:tcW w:w="5719" w:type="dxa"/>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rPr>
              <w:t>标段工程交工验收的质量评定：</w:t>
            </w:r>
            <w:r>
              <w:rPr>
                <w:rFonts w:hint="eastAsia" w:ascii="宋体" w:hAnsi="宋体" w:cs="宋体"/>
                <w:color w:val="auto"/>
                <w:szCs w:val="21"/>
                <w:highlight w:val="none"/>
                <w:u w:val="single"/>
              </w:rPr>
              <w:t>合格</w:t>
            </w:r>
          </w:p>
          <w:p>
            <w:pPr>
              <w:rPr>
                <w:rFonts w:hint="eastAsia" w:ascii="宋体" w:hAnsi="宋体" w:cs="宋体"/>
                <w:color w:val="auto"/>
                <w:szCs w:val="21"/>
                <w:highlight w:val="none"/>
                <w:u w:val="single"/>
              </w:rPr>
            </w:pPr>
            <w:r>
              <w:rPr>
                <w:rFonts w:hint="eastAsia" w:ascii="宋体" w:hAnsi="宋体" w:cs="宋体"/>
                <w:color w:val="auto"/>
                <w:szCs w:val="21"/>
                <w:highlight w:val="none"/>
              </w:rPr>
              <w:t>工程竣工验收的质量评定：</w:t>
            </w:r>
            <w:r>
              <w:rPr>
                <w:rFonts w:hint="eastAsia" w:ascii="宋体" w:hAnsi="宋体" w:cs="宋体"/>
                <w:color w:val="auto"/>
                <w:szCs w:val="21"/>
                <w:highlight w:val="none"/>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1.3.4</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安全目标</w:t>
            </w:r>
          </w:p>
        </w:tc>
        <w:tc>
          <w:tcPr>
            <w:tcW w:w="5719" w:type="dxa"/>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t>在生产过程中无生产责任事故、重大伤亡事故和死亡事故的发生。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822"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5719"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资质条件：见附录1</w:t>
            </w:r>
          </w:p>
          <w:p>
            <w:pPr>
              <w:rPr>
                <w:rFonts w:hint="eastAsia" w:ascii="宋体" w:hAnsi="宋体" w:cs="宋体"/>
                <w:color w:val="auto"/>
                <w:szCs w:val="21"/>
                <w:highlight w:val="none"/>
              </w:rPr>
            </w:pPr>
            <w:r>
              <w:rPr>
                <w:rFonts w:hint="eastAsia" w:ascii="宋体" w:hAnsi="宋体" w:cs="宋体"/>
                <w:color w:val="auto"/>
                <w:szCs w:val="21"/>
                <w:highlight w:val="none"/>
              </w:rPr>
              <w:t>财务要求：见附录2</w:t>
            </w:r>
          </w:p>
          <w:p>
            <w:pPr>
              <w:rPr>
                <w:rFonts w:hint="eastAsia" w:ascii="宋体" w:hAnsi="宋体" w:cs="宋体"/>
                <w:color w:val="auto"/>
                <w:szCs w:val="21"/>
                <w:highlight w:val="none"/>
              </w:rPr>
            </w:pPr>
            <w:r>
              <w:rPr>
                <w:rFonts w:hint="eastAsia" w:ascii="宋体" w:hAnsi="宋体" w:cs="宋体"/>
                <w:color w:val="auto"/>
                <w:szCs w:val="21"/>
                <w:highlight w:val="none"/>
              </w:rPr>
              <w:t>业绩要求：见附录3</w:t>
            </w:r>
          </w:p>
          <w:p>
            <w:pPr>
              <w:rPr>
                <w:rFonts w:hint="eastAsia" w:ascii="宋体" w:hAnsi="宋体" w:cs="宋体"/>
                <w:color w:val="auto"/>
                <w:szCs w:val="21"/>
                <w:highlight w:val="none"/>
              </w:rPr>
            </w:pPr>
            <w:r>
              <w:rPr>
                <w:rFonts w:hint="eastAsia" w:ascii="宋体" w:hAnsi="宋体" w:cs="宋体"/>
                <w:color w:val="auto"/>
                <w:szCs w:val="21"/>
                <w:highlight w:val="none"/>
              </w:rPr>
              <w:t>信誉要求：见附录4</w:t>
            </w:r>
          </w:p>
          <w:p>
            <w:pPr>
              <w:rPr>
                <w:rFonts w:hint="eastAsia" w:ascii="宋体" w:hAnsi="宋体" w:cs="宋体"/>
                <w:color w:val="auto"/>
                <w:szCs w:val="21"/>
                <w:highlight w:val="none"/>
              </w:rPr>
            </w:pPr>
            <w:r>
              <w:rPr>
                <w:rFonts w:hint="eastAsia" w:ascii="宋体" w:hAnsi="宋体" w:cs="宋体"/>
                <w:color w:val="auto"/>
                <w:szCs w:val="21"/>
                <w:highlight w:val="none"/>
              </w:rPr>
              <w:t>项目经理和项目总工资格：见附录5</w:t>
            </w:r>
          </w:p>
          <w:p>
            <w:pPr>
              <w:rPr>
                <w:rFonts w:ascii="宋体" w:hAnsi="宋体" w:cs="宋体"/>
                <w:color w:val="auto"/>
                <w:szCs w:val="21"/>
                <w:highlight w:val="none"/>
              </w:rPr>
            </w:pPr>
            <w:r>
              <w:rPr>
                <w:rFonts w:hint="eastAsia" w:ascii="宋体" w:hAnsi="宋体" w:cs="宋体"/>
                <w:color w:val="auto"/>
                <w:szCs w:val="21"/>
                <w:highlight w:val="none"/>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不接受</w:t>
            </w:r>
          </w:p>
          <w:p>
            <w:pPr>
              <w:rPr>
                <w:rFonts w:hint="eastAsia" w:ascii="宋体" w:hAnsi="宋体" w:cs="宋体"/>
                <w:color w:val="auto"/>
                <w:szCs w:val="21"/>
                <w:highlight w:val="none"/>
              </w:rPr>
            </w:pPr>
            <w:r>
              <w:rPr>
                <w:rFonts w:hint="eastAsia" w:ascii="宋体" w:hAnsi="宋体" w:cs="宋体"/>
                <w:color w:val="auto"/>
                <w:szCs w:val="21"/>
                <w:highlight w:val="none"/>
              </w:rPr>
              <w:t>□接受，满足下列要求：</w:t>
            </w:r>
          </w:p>
          <w:p>
            <w:pPr>
              <w:rPr>
                <w:rFonts w:hint="eastAsia" w:ascii="宋体" w:hAnsi="宋体" w:cs="宋体"/>
                <w:color w:val="auto"/>
                <w:szCs w:val="21"/>
                <w:highlight w:val="none"/>
              </w:rPr>
            </w:pPr>
            <w:r>
              <w:rPr>
                <w:rFonts w:hint="eastAsia" w:ascii="宋体" w:hAnsi="宋体" w:cs="宋体"/>
                <w:color w:val="auto"/>
                <w:szCs w:val="21"/>
                <w:highlight w:val="none"/>
              </w:rPr>
              <w:t>（1）联合体所有成员数量不得超过</w:t>
            </w:r>
            <w:r>
              <w:rPr>
                <w:rFonts w:hint="eastAsia" w:ascii="宋体" w:hAnsi="宋体" w:cs="宋体"/>
                <w:color w:val="auto"/>
                <w:szCs w:val="21"/>
                <w:highlight w:val="none"/>
                <w:u w:val="single"/>
              </w:rPr>
              <w:t>/</w:t>
            </w:r>
            <w:r>
              <w:rPr>
                <w:rFonts w:hint="eastAsia" w:ascii="宋体" w:hAnsi="宋体" w:cs="宋体"/>
                <w:color w:val="auto"/>
                <w:szCs w:val="21"/>
                <w:highlight w:val="none"/>
              </w:rPr>
              <w:t>家；</w:t>
            </w:r>
          </w:p>
          <w:p>
            <w:pPr>
              <w:rPr>
                <w:rFonts w:hint="eastAsia" w:ascii="宋体" w:hAnsi="宋体" w:cs="宋体"/>
                <w:color w:val="auto"/>
                <w:szCs w:val="21"/>
                <w:highlight w:val="none"/>
              </w:rPr>
            </w:pPr>
            <w:r>
              <w:rPr>
                <w:rFonts w:hint="eastAsia" w:ascii="宋体" w:hAnsi="宋体" w:cs="宋体"/>
                <w:color w:val="auto"/>
                <w:szCs w:val="21"/>
                <w:highlight w:val="none"/>
              </w:rPr>
              <w:t>（2）联合体牵头人应具有</w:t>
            </w:r>
            <w:r>
              <w:rPr>
                <w:rFonts w:hint="eastAsia" w:ascii="宋体" w:hAnsi="宋体" w:cs="宋体"/>
                <w:color w:val="auto"/>
                <w:szCs w:val="21"/>
                <w:highlight w:val="none"/>
                <w:u w:val="single"/>
              </w:rPr>
              <w:t>/</w:t>
            </w:r>
            <w:r>
              <w:rPr>
                <w:rFonts w:hint="eastAsia" w:ascii="宋体" w:hAnsi="宋体" w:cs="宋体"/>
                <w:color w:val="auto"/>
                <w:szCs w:val="21"/>
                <w:highlight w:val="none"/>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Style w:val="20"/>
                <w:rFonts w:hint="eastAsia" w:ascii="宋体" w:hAnsi="宋体" w:eastAsia="宋体" w:cs="宋体"/>
                <w:color w:val="auto"/>
                <w:sz w:val="21"/>
                <w:szCs w:val="21"/>
                <w:highlight w:val="none"/>
                <w:shd w:val="clear" w:color="auto" w:fill="auto"/>
              </w:rPr>
              <w:t>1.4.3</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Style w:val="21"/>
                <w:rFonts w:hint="eastAsia" w:ascii="宋体" w:hAnsi="宋体" w:eastAsia="宋体" w:cs="宋体"/>
                <w:color w:val="auto"/>
                <w:sz w:val="21"/>
                <w:szCs w:val="21"/>
                <w:highlight w:val="none"/>
                <w:shd w:val="clear" w:color="auto" w:fill="auto"/>
                <w:lang w:val="en-US"/>
              </w:rPr>
              <w:t>投标人不得存在的其他关联情况</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Style w:val="20"/>
                <w:rFonts w:hint="eastAsia" w:ascii="宋体" w:hAnsi="宋体" w:eastAsia="宋体" w:cs="宋体"/>
                <w:color w:val="auto"/>
                <w:sz w:val="21"/>
                <w:szCs w:val="21"/>
                <w:highlight w:val="none"/>
                <w:shd w:val="clear" w:color="auto" w:fill="auto"/>
              </w:rPr>
            </w:pPr>
            <w:r>
              <w:rPr>
                <w:rStyle w:val="20"/>
                <w:rFonts w:hint="eastAsia" w:ascii="宋体" w:hAnsi="宋体" w:eastAsia="宋体" w:cs="宋体"/>
                <w:color w:val="auto"/>
                <w:sz w:val="21"/>
                <w:szCs w:val="21"/>
                <w:highlight w:val="none"/>
                <w:shd w:val="clear" w:color="auto" w:fill="auto"/>
              </w:rPr>
              <w:t>1.4.4</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rPr>
                <w:rStyle w:val="20"/>
                <w:rFonts w:hint="eastAsia" w:ascii="宋体" w:hAnsi="宋体" w:eastAsia="宋体" w:cs="宋体"/>
                <w:color w:val="auto"/>
                <w:sz w:val="21"/>
                <w:szCs w:val="21"/>
                <w:highlight w:val="none"/>
                <w:shd w:val="clear" w:color="auto" w:fill="auto"/>
              </w:rPr>
            </w:pPr>
            <w:r>
              <w:rPr>
                <w:rStyle w:val="20"/>
                <w:rFonts w:hint="eastAsia" w:ascii="宋体" w:hAnsi="宋体" w:eastAsia="宋体" w:cs="宋体"/>
                <w:color w:val="auto"/>
                <w:sz w:val="21"/>
                <w:szCs w:val="21"/>
                <w:highlight w:val="none"/>
                <w:shd w:val="clear" w:color="auto" w:fill="auto"/>
              </w:rPr>
              <w:t>投标人不得存在的其他不良状况或不良信用</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vMerge w:val="restart"/>
            <w:tcBorders>
              <w:top w:val="single" w:color="auto" w:sz="4" w:space="0"/>
              <w:left w:val="single" w:color="auto" w:sz="4" w:space="0"/>
              <w:right w:val="single" w:color="auto" w:sz="4" w:space="0"/>
            </w:tcBorders>
            <w:vAlign w:val="center"/>
          </w:tcPr>
          <w:p>
            <w:pPr>
              <w:jc w:val="center"/>
              <w:rPr>
                <w:rStyle w:val="20"/>
                <w:rFonts w:hint="eastAsia" w:ascii="宋体" w:hAnsi="宋体" w:eastAsia="宋体" w:cs="宋体"/>
                <w:color w:val="auto"/>
                <w:sz w:val="21"/>
                <w:szCs w:val="21"/>
                <w:highlight w:val="none"/>
                <w:shd w:val="clear" w:color="auto" w:fill="auto"/>
              </w:rPr>
            </w:pPr>
            <w:r>
              <w:rPr>
                <w:rStyle w:val="20"/>
                <w:rFonts w:hint="eastAsia" w:ascii="宋体" w:hAnsi="宋体" w:eastAsia="宋体" w:cs="宋体"/>
                <w:color w:val="auto"/>
                <w:sz w:val="21"/>
                <w:szCs w:val="21"/>
                <w:highlight w:val="none"/>
                <w:shd w:val="clear" w:color="auto" w:fill="auto"/>
              </w:rPr>
              <w:t>1.10.2</w:t>
            </w:r>
          </w:p>
        </w:tc>
        <w:tc>
          <w:tcPr>
            <w:tcW w:w="2822" w:type="dxa"/>
            <w:gridSpan w:val="2"/>
            <w:vMerge w:val="restart"/>
            <w:tcBorders>
              <w:top w:val="single" w:color="auto" w:sz="4" w:space="0"/>
              <w:left w:val="single" w:color="auto" w:sz="4" w:space="0"/>
              <w:right w:val="single" w:color="auto" w:sz="4" w:space="0"/>
            </w:tcBorders>
            <w:vAlign w:val="center"/>
          </w:tcPr>
          <w:p>
            <w:pPr>
              <w:rPr>
                <w:rStyle w:val="20"/>
                <w:rFonts w:hint="eastAsia" w:ascii="宋体" w:hAnsi="宋体" w:eastAsia="宋体" w:cs="宋体"/>
                <w:color w:val="auto"/>
                <w:sz w:val="21"/>
                <w:szCs w:val="21"/>
                <w:highlight w:val="none"/>
                <w:shd w:val="clear" w:color="auto" w:fill="auto"/>
              </w:rPr>
            </w:pPr>
            <w:r>
              <w:rPr>
                <w:rFonts w:hint="eastAsia" w:ascii="宋体" w:hAnsi="宋体" w:cs="宋体"/>
                <w:color w:val="auto"/>
                <w:szCs w:val="21"/>
                <w:highlight w:val="none"/>
              </w:rPr>
              <w:t>投标人在投标预备会前提出问题</w:t>
            </w:r>
          </w:p>
        </w:tc>
        <w:tc>
          <w:tcPr>
            <w:tcW w:w="5719" w:type="dxa"/>
            <w:tcBorders>
              <w:top w:val="single" w:color="auto" w:sz="4" w:space="0"/>
              <w:left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t xml:space="preserve">时间：不组织投标预备会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2822"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kern w:val="0"/>
                <w:szCs w:val="21"/>
                <w:highlight w:val="none"/>
              </w:rPr>
              <w:t>不组织投标预备会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1.11.1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分  包</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不允许（本次招标范围内全部工程）</w:t>
            </w:r>
          </w:p>
          <w:p>
            <w:pPr>
              <w:rPr>
                <w:rFonts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允许，允许分包的专项工程：仅允许劳务分包</w:t>
            </w:r>
          </w:p>
          <w:p>
            <w:pPr>
              <w:rPr>
                <w:rFonts w:hint="eastAsia" w:ascii="宋体" w:hAnsi="宋体" w:cs="宋体"/>
                <w:color w:val="auto"/>
                <w:szCs w:val="21"/>
                <w:highlight w:val="none"/>
              </w:rPr>
            </w:pPr>
            <w:r>
              <w:rPr>
                <w:rFonts w:hint="eastAsia" w:ascii="宋体" w:hAnsi="宋体" w:cs="宋体"/>
                <w:color w:val="auto"/>
                <w:szCs w:val="21"/>
                <w:highlight w:val="none"/>
              </w:rPr>
              <w:t>对分包人的资格要求：</w:t>
            </w:r>
            <w:r>
              <w:rPr>
                <w:rFonts w:hint="eastAsia" w:ascii="宋体" w:hAnsi="宋体" w:cs="宋体"/>
                <w:color w:val="auto"/>
                <w:kern w:val="0"/>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822"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color w:val="auto"/>
                <w:kern w:val="0"/>
                <w:szCs w:val="21"/>
                <w:highlight w:val="none"/>
              </w:rPr>
              <w:t>时间：递交投标文件截止之日10天前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2822"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color w:val="auto"/>
                <w:szCs w:val="21"/>
                <w:highlight w:val="none"/>
              </w:rPr>
              <w:t>形式：</w:t>
            </w:r>
            <w:r>
              <w:rPr>
                <w:rFonts w:hint="eastAsia" w:ascii="宋体" w:hAnsi="宋体" w:cs="宋体"/>
                <w:kern w:val="0"/>
                <w:szCs w:val="21"/>
              </w:rPr>
              <w:t>在规定时间内使用CA数字证书登录“电子交易平台”，在“投标答疑”菜单以书面形式要求招标人对招标文件予以澄清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color w:val="auto"/>
                <w:szCs w:val="21"/>
                <w:highlight w:val="none"/>
              </w:rPr>
              <w:t>在</w:t>
            </w:r>
            <w:r>
              <w:rPr>
                <w:rFonts w:hint="eastAsia"/>
                <w:color w:val="auto"/>
                <w:szCs w:val="21"/>
                <w:highlight w:val="none"/>
                <w:lang w:eastAsia="zh-CN"/>
              </w:rPr>
              <w:t>天津市滨海新区交通运输局</w:t>
            </w:r>
            <w:r>
              <w:rPr>
                <w:color w:val="auto"/>
                <w:szCs w:val="21"/>
                <w:highlight w:val="none"/>
              </w:rPr>
              <w:t>和天津市公共资源工程建设招投标平台发布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822"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color w:val="auto"/>
                <w:szCs w:val="21"/>
                <w:highlight w:val="none"/>
              </w:rPr>
              <w:t>时间：收到澄清后24小时内(以发出时间为准)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2822"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5719"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宋体" w:hAnsi="宋体" w:cs="宋体"/>
                <w:color w:val="auto"/>
                <w:szCs w:val="21"/>
                <w:highlight w:val="none"/>
              </w:rPr>
            </w:pPr>
            <w:r>
              <w:rPr>
                <w:color w:val="auto"/>
                <w:szCs w:val="21"/>
                <w:highlight w:val="none"/>
              </w:rPr>
              <w:t>形式：</w:t>
            </w:r>
            <w:r>
              <w:rPr>
                <w:rFonts w:hint="eastAsia" w:ascii="宋体" w:hAnsi="宋体" w:cs="宋体"/>
                <w:kern w:val="0"/>
                <w:szCs w:val="21"/>
              </w:rPr>
              <w:t>通过“</w:t>
            </w:r>
            <w:r>
              <w:rPr>
                <w:rFonts w:hint="eastAsia" w:hAnsi="宋体"/>
                <w:szCs w:val="21"/>
              </w:rPr>
              <w:t>天津市公共资源交易-投标服务平</w:t>
            </w:r>
            <w:r>
              <w:rPr>
                <w:rFonts w:hint="eastAsia" w:ascii="宋体" w:hAnsi="宋体" w:cs="宋体"/>
                <w:kern w:val="0"/>
                <w:szCs w:val="21"/>
              </w:rPr>
              <w:t>台https://ebid.tjggzy.cn:8052”获取招标文件澄清并回函确认</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color w:val="auto"/>
                <w:szCs w:val="21"/>
                <w:highlight w:val="none"/>
              </w:rPr>
              <w:t>在</w:t>
            </w:r>
            <w:r>
              <w:rPr>
                <w:rFonts w:hint="eastAsia"/>
                <w:color w:val="auto"/>
                <w:szCs w:val="21"/>
                <w:highlight w:val="none"/>
                <w:lang w:eastAsia="zh-CN"/>
              </w:rPr>
              <w:t>天津市滨海新区交通运输局</w:t>
            </w:r>
            <w:r>
              <w:rPr>
                <w:color w:val="auto"/>
                <w:szCs w:val="21"/>
                <w:highlight w:val="none"/>
              </w:rPr>
              <w:t>和天津市公共资源工程建设招投标平台发布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822"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color w:val="auto"/>
                <w:szCs w:val="21"/>
                <w:highlight w:val="none"/>
              </w:rPr>
              <w:t>时间：收到澄清后24小时内(以发出时间为准)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2822"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p>
        </w:tc>
        <w:tc>
          <w:tcPr>
            <w:tcW w:w="5719"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宋体" w:hAnsi="宋体" w:cs="宋体"/>
                <w:color w:val="auto"/>
                <w:szCs w:val="21"/>
                <w:highlight w:val="none"/>
              </w:rPr>
            </w:pPr>
            <w:r>
              <w:rPr>
                <w:color w:val="auto"/>
                <w:szCs w:val="21"/>
                <w:highlight w:val="none"/>
              </w:rPr>
              <w:t>形式：传真或扫描件电子文件传至招标代理电子邮箱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投标文件密封形式</w:t>
            </w:r>
          </w:p>
        </w:tc>
        <w:tc>
          <w:tcPr>
            <w:tcW w:w="5719"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highlight w:val="none"/>
              </w:rPr>
            </w:pPr>
            <w:r>
              <w:rPr>
                <w:color w:val="auto"/>
                <w:kern w:val="0"/>
                <w:szCs w:val="21"/>
                <w:highlight w:val="none"/>
              </w:rPr>
              <w:sym w:font="Wingdings" w:char="00FE"/>
            </w:r>
            <w:r>
              <w:rPr>
                <w:color w:val="auto"/>
                <w:szCs w:val="21"/>
                <w:highlight w:val="none"/>
              </w:rPr>
              <w:t>双信封</w:t>
            </w:r>
          </w:p>
          <w:p>
            <w:pPr>
              <w:rPr>
                <w:rFonts w:hint="eastAsia" w:ascii="宋体" w:hAnsi="宋体" w:cs="宋体"/>
                <w:color w:val="auto"/>
                <w:szCs w:val="21"/>
                <w:highlight w:val="none"/>
              </w:rPr>
            </w:pPr>
            <w:r>
              <w:rPr>
                <w:rFonts w:hint="eastAsia" w:ascii="宋体" w:hAnsi="宋体" w:cs="宋体"/>
                <w:color w:val="auto"/>
                <w:szCs w:val="21"/>
                <w:highlight w:val="none"/>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t>投标</w:t>
            </w:r>
            <w:r>
              <w:rPr>
                <w:rFonts w:hint="eastAsia" w:ascii="宋体" w:hAnsi="宋体" w:cs="宋体"/>
                <w:color w:val="auto"/>
                <w:szCs w:val="21"/>
                <w:highlight w:val="none"/>
              </w:rPr>
              <w:t>人须将招标文件的澄清、修改文件的复印件附在第一信封投标文件其他资料中。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增值税税金的计算方法</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工程量清单的填写方式</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投标人按照招标人提供的工程量固化清单电子文件填写工程量清单。工程量固化清单电子文件将以邮件形式发送至各投标人，投标人需自行准备光盘（或U盘）存储工程量固化清单电子文件。</w:t>
            </w:r>
          </w:p>
          <w:p>
            <w:pPr>
              <w:rPr>
                <w:rFonts w:hint="eastAsia" w:ascii="宋体" w:hAnsi="宋体" w:cs="宋体"/>
                <w:color w:val="auto"/>
                <w:szCs w:val="21"/>
                <w:highlight w:val="none"/>
              </w:rPr>
            </w:pPr>
            <w:r>
              <w:rPr>
                <w:rFonts w:hint="eastAsia" w:ascii="宋体" w:hAnsi="宋体" w:cs="宋体"/>
                <w:color w:val="auto"/>
                <w:szCs w:val="21"/>
                <w:highlight w:val="none"/>
              </w:rPr>
              <w:t>□投标人按照招标人提供的书面工程量清单填写工程量清单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报价方式</w:t>
            </w:r>
          </w:p>
        </w:tc>
        <w:tc>
          <w:tcPr>
            <w:tcW w:w="5719"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highlight w:val="none"/>
              </w:rPr>
            </w:pPr>
            <w:r>
              <w:rPr>
                <w:color w:val="auto"/>
                <w:kern w:val="0"/>
                <w:szCs w:val="21"/>
                <w:highlight w:val="none"/>
              </w:rPr>
              <w:sym w:font="Wingdings" w:char="00FE"/>
            </w:r>
            <w:r>
              <w:rPr>
                <w:color w:val="auto"/>
                <w:szCs w:val="21"/>
                <w:highlight w:val="none"/>
              </w:rPr>
              <w:t>单价</w:t>
            </w:r>
          </w:p>
          <w:p>
            <w:pPr>
              <w:rPr>
                <w:rFonts w:hint="eastAsia" w:ascii="宋体" w:hAnsi="宋体" w:cs="宋体"/>
                <w:color w:val="auto"/>
                <w:szCs w:val="21"/>
                <w:highlight w:val="none"/>
              </w:rPr>
            </w:pPr>
            <w:r>
              <w:rPr>
                <w:color w:val="auto"/>
                <w:kern w:val="0"/>
                <w:szCs w:val="21"/>
                <w:highlight w:val="none"/>
              </w:rPr>
              <w:sym w:font="Wingdings" w:char="00A8"/>
            </w:r>
            <w:r>
              <w:rPr>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3.2.6</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是否接受调价函</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□是</w:t>
            </w:r>
          </w:p>
          <w:p>
            <w:pPr>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3.2.8</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□无</w:t>
            </w:r>
          </w:p>
          <w:p>
            <w:pP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有，</w:t>
            </w:r>
            <w:r>
              <w:rPr>
                <w:rFonts w:hint="eastAsia" w:ascii="宋体" w:hAnsi="宋体" w:cs="宋体"/>
                <w:b/>
                <w:bCs/>
                <w:color w:val="auto"/>
                <w:szCs w:val="21"/>
                <w:highlight w:val="none"/>
              </w:rPr>
              <w:t>最高投标限价</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7601213</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其中暂列金额为0</w:t>
            </w:r>
            <w:r>
              <w:rPr>
                <w:rFonts w:hint="eastAsia" w:ascii="宋体" w:hAnsi="宋体" w:cs="宋体"/>
                <w:b/>
                <w:bCs/>
                <w:color w:val="auto"/>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3.2.9</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自投标人提交投标文件截止之日起计算90天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是否要求投标人递交投标保证金：</w:t>
            </w:r>
          </w:p>
          <w:p>
            <w:pPr>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szCs w:val="21"/>
                <w:highlight w:val="none"/>
              </w:rPr>
              <w:t>要求，投标保证金的金额：</w:t>
            </w:r>
            <w:r>
              <w:rPr>
                <w:rFonts w:hint="eastAsia" w:ascii="宋体" w:hAnsi="宋体" w:cs="宋体"/>
                <w:b/>
                <w:bCs/>
                <w:color w:val="auto"/>
                <w:szCs w:val="21"/>
                <w:highlight w:val="none"/>
                <w:u w:val="single"/>
              </w:rPr>
              <w:t>人民币</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0万元</w:t>
            </w:r>
          </w:p>
          <w:p>
            <w:pPr>
              <w:rPr>
                <w:rFonts w:hint="eastAsia" w:ascii="宋体" w:hAnsi="宋体" w:cs="宋体"/>
                <w:b/>
                <w:bCs/>
                <w:color w:val="auto"/>
                <w:szCs w:val="21"/>
                <w:highlight w:val="none"/>
                <w:u w:val="single"/>
              </w:rPr>
            </w:pPr>
            <w:r>
              <w:rPr>
                <w:rFonts w:hint="eastAsia" w:ascii="宋体" w:hAnsi="宋体" w:cs="宋体"/>
                <w:color w:val="auto"/>
                <w:szCs w:val="21"/>
                <w:highlight w:val="none"/>
              </w:rPr>
              <w:t>投标保证金可采用的其他形式：</w:t>
            </w:r>
            <w:r>
              <w:rPr>
                <w:rFonts w:hint="eastAsia" w:ascii="宋体" w:hAnsi="宋体" w:cs="宋体"/>
                <w:b/>
                <w:bCs/>
                <w:color w:val="auto"/>
                <w:szCs w:val="21"/>
                <w:highlight w:val="none"/>
                <w:u w:val="single"/>
              </w:rPr>
              <w:t>电汇、支票、银行保函（含电子保函）、保险（含电子保单）等</w:t>
            </w:r>
          </w:p>
          <w:p>
            <w:pPr>
              <w:rPr>
                <w:rFonts w:hint="eastAsia" w:ascii="宋体" w:hAnsi="宋体" w:cs="宋体"/>
                <w:color w:val="auto"/>
                <w:szCs w:val="21"/>
                <w:highlight w:val="none"/>
              </w:rPr>
            </w:pPr>
            <w:r>
              <w:rPr>
                <w:rFonts w:hint="eastAsia" w:ascii="宋体" w:hAnsi="宋体" w:cs="宋体"/>
                <w:color w:val="auto"/>
                <w:szCs w:val="21"/>
                <w:highlight w:val="none"/>
              </w:rPr>
              <w:t>招标人指定的开户银行及账号</w:t>
            </w:r>
            <w:bookmarkStart w:id="1062" w:name="_GoBack"/>
            <w:bookmarkEnd w:id="1062"/>
            <w:r>
              <w:rPr>
                <w:rFonts w:hint="eastAsia" w:ascii="宋体" w:hAnsi="宋体" w:cs="宋体"/>
                <w:color w:val="auto"/>
                <w:szCs w:val="21"/>
                <w:highlight w:val="none"/>
              </w:rPr>
              <w:t>如下：</w:t>
            </w:r>
          </w:p>
          <w:p>
            <w:pPr>
              <w:pStyle w:val="19"/>
              <w:rPr>
                <w:rFonts w:hint="eastAsia" w:hAnsi="宋体"/>
                <w:color w:val="auto"/>
                <w:sz w:val="21"/>
                <w:szCs w:val="21"/>
                <w:highlight w:val="none"/>
              </w:rPr>
            </w:pPr>
            <w:r>
              <w:rPr>
                <w:rFonts w:hint="eastAsia" w:hAnsi="宋体"/>
                <w:color w:val="auto"/>
                <w:sz w:val="21"/>
                <w:szCs w:val="21"/>
                <w:highlight w:val="none"/>
              </w:rPr>
              <w:t>账户名称：天津市沃盛工程咨询有限公司</w:t>
            </w:r>
          </w:p>
          <w:p>
            <w:pPr>
              <w:pStyle w:val="19"/>
              <w:rPr>
                <w:rFonts w:hint="eastAsia" w:hAnsi="宋体"/>
                <w:color w:val="auto"/>
                <w:sz w:val="21"/>
                <w:szCs w:val="21"/>
                <w:highlight w:val="none"/>
              </w:rPr>
            </w:pPr>
            <w:r>
              <w:rPr>
                <w:rFonts w:hint="eastAsia" w:hAnsi="宋体"/>
                <w:color w:val="auto"/>
                <w:sz w:val="21"/>
                <w:szCs w:val="21"/>
                <w:highlight w:val="none"/>
              </w:rPr>
              <w:t>开户银行：华夏银行股份有限公司天津滨海新区永明路支行</w:t>
            </w:r>
          </w:p>
          <w:p>
            <w:pPr>
              <w:pStyle w:val="19"/>
              <w:adjustRightInd/>
              <w:rPr>
                <w:rFonts w:hint="eastAsia" w:hAnsi="宋体"/>
                <w:color w:val="auto"/>
                <w:sz w:val="21"/>
                <w:szCs w:val="21"/>
                <w:highlight w:val="none"/>
                <w:u w:val="single"/>
              </w:rPr>
            </w:pPr>
            <w:r>
              <w:rPr>
                <w:rFonts w:hint="eastAsia" w:hAnsi="宋体"/>
                <w:color w:val="auto"/>
                <w:sz w:val="21"/>
                <w:szCs w:val="21"/>
                <w:highlight w:val="none"/>
              </w:rPr>
              <w:t>账    号：12371000000204210</w:t>
            </w:r>
          </w:p>
          <w:p>
            <w:pPr>
              <w:pStyle w:val="19"/>
              <w:adjustRightInd/>
              <w:rPr>
                <w:rFonts w:hint="eastAsia" w:hAnsi="宋体"/>
                <w:color w:val="auto"/>
                <w:sz w:val="21"/>
                <w:szCs w:val="21"/>
                <w:highlight w:val="none"/>
              </w:rPr>
            </w:pPr>
            <w:r>
              <w:rPr>
                <w:rFonts w:hint="eastAsia" w:hAnsi="宋体"/>
                <w:color w:val="auto"/>
                <w:sz w:val="21"/>
                <w:szCs w:val="21"/>
                <w:highlight w:val="none"/>
              </w:rPr>
              <w:t xml:space="preserve">采用银行保函时，出具保函的银行级别：支行及以上 </w:t>
            </w:r>
          </w:p>
          <w:p>
            <w:pPr>
              <w:rPr>
                <w:rFonts w:ascii="宋体" w:hAnsi="宋体" w:cs="宋体"/>
                <w:color w:val="auto"/>
                <w:szCs w:val="21"/>
                <w:highlight w:val="none"/>
              </w:rPr>
            </w:pPr>
            <w:r>
              <w:rPr>
                <w:rFonts w:hint="eastAsia" w:ascii="宋体" w:hAnsi="宋体" w:cs="宋体"/>
                <w:b/>
                <w:bCs/>
                <w:color w:val="auto"/>
                <w:szCs w:val="21"/>
                <w:highlight w:val="none"/>
              </w:rPr>
              <w:t>（推荐使用：银行保函或电子保函、保单）</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3.4.3</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投标保证金的利息计算原则</w:t>
            </w:r>
          </w:p>
        </w:tc>
        <w:tc>
          <w:tcPr>
            <w:tcW w:w="5719" w:type="dxa"/>
            <w:tcBorders>
              <w:top w:val="single" w:color="auto" w:sz="4" w:space="0"/>
              <w:left w:val="single" w:color="auto" w:sz="4" w:space="0"/>
              <w:bottom w:val="single" w:color="auto" w:sz="4" w:space="0"/>
              <w:right w:val="single" w:color="auto" w:sz="4" w:space="0"/>
            </w:tcBorders>
            <w:vAlign w:val="center"/>
          </w:tcPr>
          <w:p>
            <w:pPr>
              <w:pStyle w:val="19"/>
              <w:adjustRightInd/>
              <w:rPr>
                <w:rFonts w:hint="eastAsia" w:hAnsi="宋体"/>
                <w:color w:val="auto"/>
                <w:sz w:val="21"/>
                <w:szCs w:val="21"/>
                <w:highlight w:val="none"/>
              </w:rPr>
            </w:pPr>
            <w:r>
              <w:rPr>
                <w:rFonts w:hint="eastAsia" w:hAnsi="宋体"/>
                <w:color w:val="auto"/>
                <w:sz w:val="21"/>
                <w:szCs w:val="21"/>
                <w:highlight w:val="none"/>
              </w:rPr>
              <w:t>（1）计算利息的起始日期为投标截至当日，终止日期为招标人退还投标保证金日期的前一日；</w:t>
            </w:r>
          </w:p>
          <w:p>
            <w:pPr>
              <w:pStyle w:val="19"/>
              <w:adjustRightInd/>
              <w:rPr>
                <w:rFonts w:hint="eastAsia" w:hAnsi="宋体"/>
                <w:color w:val="auto"/>
                <w:sz w:val="21"/>
                <w:szCs w:val="21"/>
                <w:highlight w:val="none"/>
              </w:rPr>
            </w:pPr>
            <w:r>
              <w:rPr>
                <w:rFonts w:hint="eastAsia" w:hAnsi="宋体"/>
                <w:color w:val="auto"/>
                <w:sz w:val="21"/>
                <w:szCs w:val="21"/>
                <w:highlight w:val="none"/>
              </w:rPr>
              <w:t>（2）投标保证金的利息按照第（1）款所述计息时间段内招标人指定汇入银行公告的活期存款利率计付，并扣除招标人汇款手续费；</w:t>
            </w:r>
          </w:p>
          <w:p>
            <w:pPr>
              <w:pStyle w:val="19"/>
              <w:adjustRightInd/>
              <w:rPr>
                <w:rFonts w:hint="eastAsia" w:hAnsi="宋体"/>
                <w:color w:val="auto"/>
                <w:sz w:val="21"/>
                <w:szCs w:val="21"/>
                <w:highlight w:val="none"/>
              </w:rPr>
            </w:pPr>
            <w:r>
              <w:rPr>
                <w:rFonts w:hint="eastAsia" w:hAnsi="宋体"/>
                <w:color w:val="auto"/>
                <w:sz w:val="21"/>
                <w:szCs w:val="21"/>
                <w:highlight w:val="none"/>
              </w:rPr>
              <w:t>（3）利息金额计算至分位，分位以下四舍五入。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5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无</w:t>
            </w:r>
          </w:p>
          <w:p>
            <w:pPr>
              <w:rPr>
                <w:rFonts w:hint="eastAsia" w:ascii="宋体" w:hAnsi="宋体" w:cs="宋体"/>
                <w:color w:val="auto"/>
                <w:szCs w:val="21"/>
                <w:highlight w:val="none"/>
              </w:rPr>
            </w:pPr>
            <w:r>
              <w:rPr>
                <w:rFonts w:hint="eastAsia" w:ascii="宋体" w:hAnsi="宋体" w:cs="宋体"/>
                <w:color w:val="auto"/>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2021年~2023年，或2022年~2024年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szCs w:val="21"/>
                <w:u w:val="single"/>
              </w:rPr>
              <w:t>2020</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w:t>
            </w:r>
            <w:r>
              <w:rPr>
                <w:rFonts w:hint="eastAsia" w:ascii="宋体" w:hAnsi="宋体" w:cs="宋体"/>
                <w:szCs w:val="21"/>
                <w:u w:val="single"/>
              </w:rPr>
              <w:t>1</w:t>
            </w:r>
            <w:r>
              <w:rPr>
                <w:rFonts w:hint="eastAsia" w:ascii="宋体" w:hAnsi="宋体" w:cs="宋体"/>
                <w:szCs w:val="21"/>
              </w:rPr>
              <w:t>日至投标截止之日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不允许</w:t>
            </w:r>
          </w:p>
          <w:p>
            <w:pPr>
              <w:rPr>
                <w:rFonts w:hint="eastAsia" w:ascii="宋体" w:hAnsi="宋体" w:cs="宋体"/>
                <w:color w:val="auto"/>
                <w:szCs w:val="21"/>
                <w:highlight w:val="none"/>
              </w:rPr>
            </w:pPr>
            <w:r>
              <w:rPr>
                <w:rFonts w:hint="eastAsia" w:ascii="宋体" w:hAnsi="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3.7.4</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投标文件副本份数及其他要求</w:t>
            </w:r>
          </w:p>
        </w:tc>
        <w:tc>
          <w:tcPr>
            <w:tcW w:w="571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投标文件副本份数：4份</w:t>
            </w:r>
          </w:p>
          <w:p>
            <w:pPr>
              <w:jc w:val="left"/>
              <w:rPr>
                <w:rFonts w:hint="eastAsia" w:ascii="宋体" w:hAnsi="宋体" w:cs="宋体"/>
                <w:color w:val="auto"/>
                <w:szCs w:val="21"/>
                <w:highlight w:val="none"/>
              </w:rPr>
            </w:pPr>
            <w:r>
              <w:rPr>
                <w:rFonts w:hint="eastAsia" w:ascii="宋体" w:hAnsi="宋体" w:cs="宋体"/>
                <w:color w:val="auto"/>
                <w:szCs w:val="21"/>
                <w:highlight w:val="none"/>
              </w:rPr>
              <w:t>是否要求提交电子版文件：要求，与第一信封（商务及技术文件）投标文件正本和第二信封（报价文件）投标文件正本完全一致的word文件和PDF（签字盖章后扫描）文件各1份、已报价的固化工程量清单1份。</w:t>
            </w:r>
          </w:p>
          <w:p>
            <w:pPr>
              <w:jc w:val="left"/>
              <w:rPr>
                <w:rFonts w:hint="eastAsia" w:ascii="宋体" w:hAnsi="宋体" w:cs="宋体"/>
                <w:color w:val="auto"/>
                <w:szCs w:val="21"/>
                <w:highlight w:val="none"/>
              </w:rPr>
            </w:pPr>
            <w:r>
              <w:rPr>
                <w:rFonts w:hint="eastAsia" w:ascii="宋体" w:hAnsi="宋体" w:cs="宋体"/>
                <w:color w:val="auto"/>
                <w:szCs w:val="21"/>
                <w:highlight w:val="none"/>
              </w:rPr>
              <w:t>其他要求：第一信封（商务及技术文件）投标文件正本1份，副本4份，电子文件1份，密封在同一封套内。</w:t>
            </w:r>
          </w:p>
          <w:p>
            <w:pPr>
              <w:jc w:val="left"/>
              <w:rPr>
                <w:rFonts w:hint="eastAsia" w:ascii="宋体" w:hAnsi="宋体" w:cs="宋体"/>
                <w:color w:val="auto"/>
                <w:szCs w:val="21"/>
                <w:highlight w:val="none"/>
              </w:rPr>
            </w:pPr>
            <w:r>
              <w:rPr>
                <w:rFonts w:hint="eastAsia" w:ascii="宋体" w:hAnsi="宋体" w:cs="宋体"/>
                <w:color w:val="auto"/>
                <w:szCs w:val="21"/>
                <w:highlight w:val="none"/>
              </w:rPr>
              <w:t>第二信封（报价文件）投标文件正本1份，副本4份；电子文件1份，共同密封在同一封套内。</w:t>
            </w:r>
          </w:p>
          <w:p>
            <w:pPr>
              <w:jc w:val="left"/>
              <w:rPr>
                <w:rFonts w:hint="eastAsia" w:ascii="宋体" w:hAnsi="宋体" w:cs="宋体"/>
                <w:color w:val="auto"/>
                <w:szCs w:val="21"/>
                <w:highlight w:val="none"/>
              </w:rPr>
            </w:pPr>
            <w:r>
              <w:rPr>
                <w:rFonts w:hint="eastAsia" w:ascii="宋体" w:hAnsi="宋体" w:cs="宋体"/>
                <w:color w:val="auto"/>
                <w:szCs w:val="21"/>
                <w:highlight w:val="none"/>
              </w:rPr>
              <w:t>光盘或U盘投标人自备，且需标明投标单位全称及项目名称。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3.7.5</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装订的其他要求</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封套上应载明的信息</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color w:val="auto"/>
                <w:szCs w:val="21"/>
                <w:highlight w:val="none"/>
              </w:rPr>
            </w:pPr>
            <w:r>
              <w:rPr>
                <w:rFonts w:hint="eastAsia" w:ascii="宋体" w:hAnsi="宋体" w:cs="宋体"/>
                <w:b/>
                <w:color w:val="auto"/>
                <w:szCs w:val="21"/>
                <w:highlight w:val="none"/>
              </w:rPr>
              <w:t>投标文件第一个信封(商务及技术文件) 封套：</w:t>
            </w:r>
          </w:p>
          <w:p>
            <w:pPr>
              <w:rPr>
                <w:rFonts w:hint="eastAsia" w:ascii="宋体" w:hAnsi="宋体" w:cs="宋体"/>
                <w:color w:val="auto"/>
                <w:szCs w:val="21"/>
                <w:highlight w:val="none"/>
              </w:rPr>
            </w:pPr>
            <w:r>
              <w:rPr>
                <w:rFonts w:hint="eastAsia" w:ascii="宋体" w:hAnsi="宋体" w:cs="宋体"/>
                <w:color w:val="auto"/>
                <w:szCs w:val="21"/>
                <w:highlight w:val="none"/>
              </w:rPr>
              <w:t>招标人名称：____________</w:t>
            </w:r>
          </w:p>
          <w:p>
            <w:pPr>
              <w:rPr>
                <w:rFonts w:hint="eastAsia" w:ascii="宋体" w:hAnsi="宋体" w:cs="宋体"/>
                <w:color w:val="auto"/>
                <w:szCs w:val="21"/>
                <w:highlight w:val="none"/>
              </w:rPr>
            </w:pPr>
            <w:r>
              <w:rPr>
                <w:rFonts w:hint="eastAsia" w:ascii="宋体" w:hAnsi="宋体" w:cs="宋体"/>
                <w:color w:val="auto"/>
                <w:szCs w:val="21"/>
                <w:highlight w:val="none"/>
              </w:rPr>
              <w:t>招标人地址：____________</w:t>
            </w:r>
          </w:p>
          <w:p>
            <w:pPr>
              <w:rPr>
                <w:rFonts w:hint="eastAsia" w:ascii="宋体" w:hAnsi="宋体" w:cs="宋体"/>
                <w:color w:val="auto"/>
                <w:szCs w:val="21"/>
                <w:highlight w:val="none"/>
              </w:rPr>
            </w:pPr>
            <w:r>
              <w:rPr>
                <w:rFonts w:hint="eastAsia" w:ascii="宋体" w:hAnsi="宋体" w:cs="宋体"/>
                <w:color w:val="auto"/>
                <w:szCs w:val="21"/>
                <w:highlight w:val="none"/>
              </w:rPr>
              <w:t>____________(项目名称) _________标段施工招标第一个信封(商务及技术文件)投标文件</w:t>
            </w:r>
          </w:p>
          <w:p>
            <w:pPr>
              <w:rPr>
                <w:rFonts w:hint="eastAsia" w:ascii="宋体" w:hAnsi="宋体" w:cs="宋体"/>
                <w:color w:val="auto"/>
                <w:szCs w:val="21"/>
                <w:highlight w:val="none"/>
              </w:rPr>
            </w:pPr>
            <w:r>
              <w:rPr>
                <w:rFonts w:hint="eastAsia" w:ascii="宋体" w:hAnsi="宋体" w:cs="宋体"/>
                <w:color w:val="auto"/>
                <w:szCs w:val="21"/>
                <w:highlight w:val="none"/>
              </w:rPr>
              <w:t>招标项目编号：</w:t>
            </w:r>
          </w:p>
          <w:p>
            <w:pPr>
              <w:rPr>
                <w:rFonts w:hint="eastAsia" w:ascii="宋体" w:hAnsi="宋体" w:cs="宋体"/>
                <w:color w:val="auto"/>
                <w:szCs w:val="21"/>
                <w:highlight w:val="none"/>
              </w:rPr>
            </w:pPr>
            <w:r>
              <w:rPr>
                <w:rFonts w:hint="eastAsia" w:ascii="宋体" w:hAnsi="宋体" w:cs="宋体"/>
                <w:color w:val="auto"/>
                <w:szCs w:val="21"/>
                <w:highlight w:val="none"/>
              </w:rPr>
              <w:t>在_______年____月____日____时____分前不得开启</w:t>
            </w:r>
          </w:p>
          <w:p>
            <w:pPr>
              <w:rPr>
                <w:rFonts w:hint="eastAsia" w:ascii="宋体" w:hAnsi="宋体" w:cs="宋体"/>
                <w:color w:val="auto"/>
                <w:szCs w:val="21"/>
                <w:highlight w:val="none"/>
              </w:rPr>
            </w:pPr>
            <w:r>
              <w:rPr>
                <w:rFonts w:hint="eastAsia" w:ascii="宋体" w:hAnsi="宋体" w:cs="宋体"/>
                <w:color w:val="auto"/>
                <w:szCs w:val="21"/>
                <w:highlight w:val="none"/>
              </w:rPr>
              <w:t>投标人名称：____________________</w:t>
            </w:r>
          </w:p>
          <w:p>
            <w:pPr>
              <w:rPr>
                <w:rFonts w:hint="eastAsia" w:ascii="宋体" w:hAnsi="宋体" w:cs="宋体"/>
                <w:b/>
                <w:color w:val="auto"/>
                <w:szCs w:val="21"/>
                <w:highlight w:val="none"/>
              </w:rPr>
            </w:pPr>
            <w:r>
              <w:rPr>
                <w:rFonts w:hint="eastAsia" w:ascii="宋体" w:hAnsi="宋体" w:cs="宋体"/>
                <w:b/>
                <w:color w:val="auto"/>
                <w:szCs w:val="21"/>
                <w:highlight w:val="none"/>
              </w:rPr>
              <w:t>投标文件第二个信封(报价文件)封套：</w:t>
            </w:r>
          </w:p>
          <w:p>
            <w:pPr>
              <w:rPr>
                <w:rFonts w:hint="eastAsia" w:ascii="宋体" w:hAnsi="宋体" w:cs="宋体"/>
                <w:color w:val="auto"/>
                <w:szCs w:val="21"/>
                <w:highlight w:val="none"/>
              </w:rPr>
            </w:pPr>
            <w:r>
              <w:rPr>
                <w:rFonts w:hint="eastAsia" w:ascii="宋体" w:hAnsi="宋体" w:cs="宋体"/>
                <w:color w:val="auto"/>
                <w:szCs w:val="21"/>
                <w:highlight w:val="none"/>
              </w:rPr>
              <w:t>招标人名称：____________</w:t>
            </w:r>
          </w:p>
          <w:p>
            <w:pPr>
              <w:rPr>
                <w:rFonts w:hint="eastAsia" w:ascii="宋体" w:hAnsi="宋体" w:cs="宋体"/>
                <w:color w:val="auto"/>
                <w:szCs w:val="21"/>
                <w:highlight w:val="none"/>
              </w:rPr>
            </w:pPr>
            <w:r>
              <w:rPr>
                <w:rFonts w:hint="eastAsia" w:ascii="宋体" w:hAnsi="宋体" w:cs="宋体"/>
                <w:color w:val="auto"/>
                <w:szCs w:val="21"/>
                <w:highlight w:val="none"/>
              </w:rPr>
              <w:t>招标人地址：____________</w:t>
            </w:r>
          </w:p>
          <w:p>
            <w:pPr>
              <w:rPr>
                <w:rFonts w:hint="eastAsia" w:ascii="宋体" w:hAnsi="宋体" w:cs="宋体"/>
                <w:color w:val="auto"/>
                <w:szCs w:val="21"/>
                <w:highlight w:val="none"/>
              </w:rPr>
            </w:pPr>
            <w:r>
              <w:rPr>
                <w:rFonts w:hint="eastAsia" w:ascii="宋体" w:hAnsi="宋体" w:cs="宋体"/>
                <w:color w:val="auto"/>
                <w:szCs w:val="21"/>
                <w:highlight w:val="none"/>
              </w:rPr>
              <w:t>____________(项目名称) _________标段施工招标第二个信封(报价文件)投标文件</w:t>
            </w:r>
          </w:p>
          <w:p>
            <w:pPr>
              <w:rPr>
                <w:rFonts w:hint="eastAsia" w:ascii="宋体" w:hAnsi="宋体" w:cs="宋体"/>
                <w:color w:val="auto"/>
                <w:szCs w:val="21"/>
                <w:highlight w:val="none"/>
              </w:rPr>
            </w:pPr>
            <w:r>
              <w:rPr>
                <w:rFonts w:hint="eastAsia" w:ascii="宋体" w:hAnsi="宋体" w:cs="宋体"/>
                <w:color w:val="auto"/>
                <w:szCs w:val="21"/>
                <w:highlight w:val="none"/>
              </w:rPr>
              <w:t>招标项目编号：</w:t>
            </w:r>
          </w:p>
          <w:p>
            <w:pPr>
              <w:rPr>
                <w:rFonts w:hint="eastAsia" w:ascii="宋体" w:hAnsi="宋体" w:cs="宋体"/>
                <w:color w:val="auto"/>
                <w:szCs w:val="21"/>
                <w:highlight w:val="none"/>
              </w:rPr>
            </w:pPr>
            <w:r>
              <w:rPr>
                <w:rFonts w:hint="eastAsia" w:ascii="宋体" w:hAnsi="宋体" w:cs="宋体"/>
                <w:color w:val="auto"/>
                <w:szCs w:val="21"/>
                <w:highlight w:val="none"/>
              </w:rPr>
              <w:t>在_______年____月____日____时___分前不得开启</w:t>
            </w:r>
          </w:p>
          <w:p>
            <w:pPr>
              <w:rPr>
                <w:rFonts w:hint="eastAsia" w:ascii="宋体" w:hAnsi="宋体" w:cs="宋体"/>
                <w:color w:val="auto"/>
                <w:szCs w:val="21"/>
                <w:highlight w:val="none"/>
              </w:rPr>
            </w:pPr>
            <w:r>
              <w:rPr>
                <w:rFonts w:hint="eastAsia" w:ascii="宋体" w:hAnsi="宋体" w:cs="宋体"/>
                <w:color w:val="auto"/>
                <w:szCs w:val="21"/>
                <w:highlight w:val="none"/>
              </w:rPr>
              <w:t>投标人名称：____________________</w:t>
            </w:r>
          </w:p>
          <w:p>
            <w:pPr>
              <w:rPr>
                <w:rFonts w:hint="eastAsia" w:ascii="宋体" w:hAnsi="宋体" w:cs="宋体"/>
                <w:color w:val="auto"/>
                <w:szCs w:val="21"/>
                <w:highlight w:val="none"/>
                <w:u w:val="single"/>
              </w:rPr>
            </w:pPr>
            <w:r>
              <w:rPr>
                <w:rFonts w:hint="eastAsia" w:ascii="宋体" w:hAnsi="宋体" w:cs="宋体"/>
                <w:color w:val="auto"/>
                <w:szCs w:val="21"/>
                <w:highlight w:val="none"/>
              </w:rPr>
              <w:t>投标人地址：</w:t>
            </w:r>
            <w:r>
              <w:rPr>
                <w:rFonts w:hint="eastAsia" w:ascii="宋体" w:hAnsi="宋体" w:cs="宋体"/>
                <w:color w:val="auto"/>
                <w:szCs w:val="21"/>
                <w:highlight w:val="none"/>
                <w:u w:val="single"/>
              </w:rPr>
              <w:t xml:space="preserve">                    </w:t>
            </w:r>
          </w:p>
          <w:p>
            <w:pPr>
              <w:rPr>
                <w:rFonts w:hint="eastAsia" w:ascii="宋体" w:hAnsi="宋体" w:cs="宋体"/>
                <w:b/>
                <w:color w:val="auto"/>
                <w:szCs w:val="21"/>
                <w:highlight w:val="none"/>
              </w:rPr>
            </w:pPr>
            <w:r>
              <w:rPr>
                <w:rFonts w:hint="eastAsia" w:ascii="宋体" w:hAnsi="宋体" w:cs="宋体"/>
                <w:b/>
                <w:color w:val="auto"/>
                <w:szCs w:val="21"/>
                <w:highlight w:val="none"/>
              </w:rPr>
              <w:t>银行保函封套：</w:t>
            </w:r>
          </w:p>
          <w:p>
            <w:pPr>
              <w:rPr>
                <w:rFonts w:hint="eastAsia" w:ascii="宋体" w:hAnsi="宋体" w:cs="宋体"/>
                <w:color w:val="auto"/>
                <w:szCs w:val="21"/>
                <w:highlight w:val="none"/>
              </w:rPr>
            </w:pPr>
            <w:r>
              <w:rPr>
                <w:rFonts w:hint="eastAsia" w:ascii="宋体" w:hAnsi="宋体" w:cs="宋体"/>
                <w:color w:val="auto"/>
                <w:szCs w:val="21"/>
                <w:highlight w:val="none"/>
              </w:rPr>
              <w:t>招标人名称：____________</w:t>
            </w:r>
          </w:p>
          <w:p>
            <w:pPr>
              <w:rPr>
                <w:rFonts w:hint="eastAsia" w:ascii="宋体" w:hAnsi="宋体" w:cs="宋体"/>
                <w:color w:val="auto"/>
                <w:szCs w:val="21"/>
                <w:highlight w:val="none"/>
              </w:rPr>
            </w:pPr>
            <w:r>
              <w:rPr>
                <w:rFonts w:hint="eastAsia" w:ascii="宋体" w:hAnsi="宋体" w:cs="宋体"/>
                <w:color w:val="auto"/>
                <w:szCs w:val="21"/>
                <w:highlight w:val="none"/>
              </w:rPr>
              <w:t>招标人地址：____________</w:t>
            </w:r>
          </w:p>
          <w:p>
            <w:pPr>
              <w:rPr>
                <w:rFonts w:hint="eastAsia" w:ascii="宋体" w:hAnsi="宋体" w:cs="宋体"/>
                <w:color w:val="auto"/>
                <w:szCs w:val="21"/>
                <w:highlight w:val="none"/>
              </w:rPr>
            </w:pPr>
            <w:r>
              <w:rPr>
                <w:rFonts w:hint="eastAsia" w:ascii="宋体" w:hAnsi="宋体" w:cs="宋体"/>
                <w:color w:val="auto"/>
                <w:szCs w:val="21"/>
                <w:highlight w:val="none"/>
              </w:rPr>
              <w:t>____________（项目名称）________标段施工招标投标保证金（银行保函原件）</w:t>
            </w:r>
          </w:p>
          <w:p>
            <w:pPr>
              <w:rPr>
                <w:rFonts w:hint="eastAsia" w:ascii="宋体" w:hAnsi="宋体" w:cs="宋体"/>
                <w:color w:val="auto"/>
                <w:szCs w:val="21"/>
                <w:highlight w:val="none"/>
                <w:u w:val="single"/>
              </w:rPr>
            </w:pPr>
            <w:r>
              <w:rPr>
                <w:rFonts w:hint="eastAsia" w:ascii="宋体" w:hAnsi="宋体" w:cs="宋体"/>
                <w:color w:val="auto"/>
                <w:szCs w:val="21"/>
                <w:highlight w:val="none"/>
              </w:rPr>
              <w:t>招标项目编号：</w:t>
            </w:r>
            <w:r>
              <w:rPr>
                <w:rFonts w:hint="eastAsia" w:ascii="宋体" w:hAnsi="宋体" w:cs="宋体"/>
                <w:color w:val="auto"/>
                <w:szCs w:val="21"/>
                <w:highlight w:val="none"/>
                <w:u w:val="singl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sym w:font="Wingdings" w:char="F0FE"/>
            </w:r>
            <w:r>
              <w:rPr>
                <w:rFonts w:hint="eastAsia" w:ascii="宋体" w:hAnsi="宋体" w:cs="宋体"/>
                <w:color w:val="auto"/>
                <w:szCs w:val="21"/>
                <w:highlight w:val="none"/>
              </w:rPr>
              <w:t>否</w:t>
            </w:r>
          </w:p>
          <w:p>
            <w:pPr>
              <w:rPr>
                <w:rFonts w:hint="eastAsia" w:ascii="宋体" w:hAnsi="宋体" w:cs="宋体"/>
                <w:color w:val="auto"/>
                <w:szCs w:val="21"/>
                <w:highlight w:val="none"/>
              </w:rPr>
            </w:pPr>
            <w:r>
              <w:rPr>
                <w:rFonts w:hint="eastAsia" w:ascii="宋体" w:hAnsi="宋体" w:cs="宋体"/>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投标文件第一个信封（商务及技术文件）</w:t>
            </w:r>
          </w:p>
          <w:p>
            <w:pPr>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pPr>
              <w:rPr>
                <w:rFonts w:hint="eastAsia" w:ascii="宋体" w:hAnsi="宋体" w:cs="宋体"/>
                <w:color w:val="auto"/>
                <w:szCs w:val="21"/>
                <w:highlight w:val="none"/>
              </w:rPr>
            </w:pPr>
            <w:r>
              <w:rPr>
                <w:rFonts w:hint="eastAsia" w:ascii="宋体" w:hAnsi="宋体" w:cs="宋体"/>
                <w:color w:val="auto"/>
                <w:szCs w:val="21"/>
                <w:highlight w:val="none"/>
              </w:rPr>
              <w:t>投标文件第一个信封（商务及技术文件）</w:t>
            </w:r>
          </w:p>
          <w:p>
            <w:pPr>
              <w:rPr>
                <w:rFonts w:hint="eastAsia" w:ascii="宋体" w:hAnsi="宋体" w:cs="宋体"/>
                <w:color w:val="auto"/>
                <w:szCs w:val="21"/>
                <w:highlight w:val="none"/>
              </w:rPr>
            </w:pPr>
            <w:r>
              <w:rPr>
                <w:rFonts w:hint="eastAsia" w:ascii="宋体" w:hAnsi="宋体" w:cs="宋体"/>
                <w:color w:val="auto"/>
                <w:szCs w:val="21"/>
                <w:highlight w:val="none"/>
              </w:rPr>
              <w:t>开标地点：同递交投标文件地点</w:t>
            </w:r>
          </w:p>
          <w:p>
            <w:pPr>
              <w:rPr>
                <w:rFonts w:hint="eastAsia" w:ascii="宋体" w:hAnsi="宋体" w:cs="宋体"/>
                <w:color w:val="auto"/>
                <w:szCs w:val="21"/>
                <w:highlight w:val="none"/>
              </w:rPr>
            </w:pPr>
            <w:r>
              <w:rPr>
                <w:rFonts w:hint="eastAsia" w:ascii="宋体" w:hAnsi="宋体" w:cs="宋体"/>
                <w:color w:val="auto"/>
                <w:szCs w:val="21"/>
                <w:highlight w:val="none"/>
              </w:rPr>
              <w:t>投标文件第二个信封（报价文件）</w:t>
            </w:r>
          </w:p>
          <w:p>
            <w:pPr>
              <w:rPr>
                <w:rFonts w:hint="eastAsia" w:ascii="宋体" w:hAnsi="宋体" w:cs="宋体"/>
                <w:color w:val="auto"/>
                <w:szCs w:val="21"/>
                <w:highlight w:val="none"/>
              </w:rPr>
            </w:pPr>
            <w:r>
              <w:rPr>
                <w:rFonts w:hint="eastAsia" w:ascii="宋体" w:hAnsi="宋体" w:cs="宋体"/>
                <w:color w:val="auto"/>
                <w:szCs w:val="21"/>
                <w:highlight w:val="none"/>
              </w:rPr>
              <w:t>开标时间：2025年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XX</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XX</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XX</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rPr>
              <w:t>投标文件第二个信封（报价文件）</w:t>
            </w:r>
          </w:p>
          <w:p>
            <w:pPr>
              <w:rPr>
                <w:rFonts w:hint="eastAsia" w:ascii="宋体" w:hAnsi="宋体" w:cs="宋体"/>
                <w:color w:val="auto"/>
                <w:szCs w:val="21"/>
                <w:highlight w:val="none"/>
              </w:rPr>
            </w:pPr>
            <w:r>
              <w:rPr>
                <w:rFonts w:hint="eastAsia" w:ascii="宋体" w:hAnsi="宋体" w:cs="宋体"/>
                <w:color w:val="auto"/>
                <w:szCs w:val="21"/>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5.2.1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第一个信封（商务及技术文件）开标程序</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（4）密封情况检查：检查商务及技术文件是否存在提前开启情况</w:t>
            </w:r>
          </w:p>
          <w:p>
            <w:pPr>
              <w:rPr>
                <w:rFonts w:hint="eastAsia" w:ascii="宋体" w:hAnsi="宋体" w:cs="宋体"/>
                <w:color w:val="auto"/>
                <w:szCs w:val="21"/>
                <w:highlight w:val="none"/>
              </w:rPr>
            </w:pPr>
            <w:r>
              <w:rPr>
                <w:rFonts w:hint="eastAsia" w:ascii="宋体" w:hAnsi="宋体" w:cs="宋体"/>
                <w:color w:val="auto"/>
                <w:szCs w:val="21"/>
                <w:highlight w:val="none"/>
              </w:rPr>
              <w:t xml:space="preserve">（5）开标顺序：随机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5.2.3</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第二个信封（报价文件）开标程序</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（4）密封情况检查：检查报价文件是否存在提前开启情况</w:t>
            </w:r>
          </w:p>
          <w:p>
            <w:pPr>
              <w:rPr>
                <w:rFonts w:hint="eastAsia" w:ascii="宋体" w:hAnsi="宋体" w:cs="宋体"/>
                <w:color w:val="auto"/>
                <w:szCs w:val="21"/>
                <w:highlight w:val="none"/>
              </w:rPr>
            </w:pPr>
            <w:r>
              <w:rPr>
                <w:rFonts w:hint="eastAsia" w:ascii="宋体" w:hAnsi="宋体" w:cs="宋体"/>
                <w:color w:val="auto"/>
                <w:szCs w:val="21"/>
                <w:highlight w:val="none"/>
              </w:rPr>
              <w:t xml:space="preserve">（5）开标顺序：随机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评标委员会构成：</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人，其中招标人代表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w:t>
            </w:r>
          </w:p>
          <w:p>
            <w:pPr>
              <w:rPr>
                <w:rFonts w:hint="eastAsia" w:ascii="宋体" w:hAnsi="宋体" w:cs="宋体"/>
                <w:color w:val="auto"/>
                <w:szCs w:val="21"/>
                <w:highlight w:val="none"/>
              </w:rPr>
            </w:pPr>
            <w:r>
              <w:rPr>
                <w:rFonts w:hint="eastAsia" w:ascii="宋体" w:hAnsi="宋体" w:cs="宋体"/>
                <w:color w:val="auto"/>
                <w:szCs w:val="21"/>
                <w:highlight w:val="none"/>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一至三个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5719"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lang w:eastAsia="zh-CN"/>
              </w:rPr>
              <w:t>天津市滨海新区交通运输局（ https://jtysj.tjbh.gov.cn/）、天津市公共资源交易平台（http://ggzy.zwfwb.tj.gov.cn）、天津市公共资源交易中心（天津市政府采购中心）（http://www.tjggzy.cn）、中国招标投标公共服务平台（http://www.cebpubservice.com）</w:t>
            </w:r>
          </w:p>
          <w:p>
            <w:pPr>
              <w:wordWrap w:val="0"/>
              <w:rPr>
                <w:rFonts w:hint="eastAsia" w:ascii="宋体" w:hAnsi="宋体" w:cs="宋体"/>
                <w:color w:val="auto"/>
                <w:szCs w:val="21"/>
                <w:highlight w:val="none"/>
              </w:rPr>
            </w:pPr>
            <w:r>
              <w:rPr>
                <w:rFonts w:hint="eastAsia" w:ascii="宋体" w:hAnsi="宋体" w:cs="宋体"/>
                <w:color w:val="auto"/>
                <w:szCs w:val="21"/>
                <w:highlight w:val="none"/>
              </w:rPr>
              <w:t>公示期限：3日</w:t>
            </w:r>
          </w:p>
          <w:p>
            <w:pPr>
              <w:wordWrap w:val="0"/>
              <w:rPr>
                <w:rFonts w:hint="eastAsia" w:ascii="宋体" w:hAnsi="宋体" w:cs="宋体"/>
                <w:color w:val="auto"/>
                <w:szCs w:val="21"/>
                <w:highlight w:val="none"/>
              </w:rPr>
            </w:pPr>
            <w:r>
              <w:rPr>
                <w:rFonts w:hint="eastAsia" w:ascii="宋体" w:hAnsi="宋体" w:cs="宋体"/>
                <w:color w:val="auto"/>
                <w:szCs w:val="21"/>
                <w:highlight w:val="none"/>
              </w:rPr>
              <w:t>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rPr>
            </w:pPr>
            <w:r>
              <w:rPr>
                <w:rFonts w:hint="eastAsia"/>
                <w:color w:val="auto"/>
                <w:kern w:val="0"/>
                <w:szCs w:val="21"/>
                <w:highlight w:val="none"/>
              </w:rPr>
              <w:sym w:font="Wingdings" w:char="00FE"/>
            </w:r>
            <w:r>
              <w:rPr>
                <w:rFonts w:hint="eastAsia"/>
                <w:color w:val="auto"/>
                <w:szCs w:val="21"/>
                <w:highlight w:val="none"/>
              </w:rPr>
              <w:t>是</w:t>
            </w:r>
          </w:p>
          <w:p>
            <w:pPr>
              <w:rPr>
                <w:rFonts w:hint="eastAsia" w:ascii="宋体" w:hAnsi="宋体" w:cs="宋体"/>
                <w:color w:val="auto"/>
                <w:szCs w:val="21"/>
                <w:highlight w:val="none"/>
              </w:rPr>
            </w:pPr>
            <w:r>
              <w:rPr>
                <w:rFonts w:hint="eastAsia"/>
                <w:color w:val="auto"/>
                <w:kern w:val="0"/>
                <w:szCs w:val="21"/>
                <w:highlight w:val="none"/>
              </w:rPr>
              <w:sym w:font="Wingdings" w:char="00A8"/>
            </w:r>
            <w:r>
              <w:rPr>
                <w:rFonts w:hint="eastAsia"/>
                <w:color w:val="auto"/>
                <w:szCs w:val="21"/>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7.5</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中标通知书和中标结果通知书发出的形式</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7.6</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中标结果公告媒介及期限</w:t>
            </w:r>
          </w:p>
        </w:tc>
        <w:tc>
          <w:tcPr>
            <w:tcW w:w="5719"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宋体" w:hAnsi="宋体" w:cs="宋体"/>
                <w:color w:val="auto"/>
                <w:szCs w:val="21"/>
                <w:highlight w:val="none"/>
              </w:rPr>
            </w:pPr>
            <w:r>
              <w:rPr>
                <w:rFonts w:hint="eastAsia" w:ascii="宋体" w:hAnsi="宋体" w:cs="宋体"/>
                <w:color w:val="auto"/>
                <w:szCs w:val="21"/>
                <w:highlight w:val="none"/>
              </w:rPr>
              <w:t>公告媒介：</w:t>
            </w:r>
            <w:r>
              <w:rPr>
                <w:rFonts w:hint="eastAsia" w:ascii="宋体" w:hAnsi="宋体" w:cs="宋体"/>
                <w:color w:val="auto"/>
                <w:szCs w:val="21"/>
                <w:highlight w:val="none"/>
                <w:lang w:eastAsia="zh-CN"/>
              </w:rPr>
              <w:t>天津市滨海新区交通运输局（ https://jtysj.tjbh.gov.cn/）、天津市公共资源交易平台（http://ggzy.zwfwb.tj.gov.cn）、天津市公共资源交易中心（天津市政府采购中心）（http://www.tjggzy.cn）、中国招标投标公共服务平台（http://www.cebpubservice.com）</w:t>
            </w:r>
          </w:p>
          <w:p>
            <w:pPr>
              <w:rPr>
                <w:rFonts w:hint="eastAsia" w:ascii="宋体" w:hAnsi="宋体" w:cs="宋体"/>
                <w:color w:val="auto"/>
                <w:szCs w:val="21"/>
                <w:highlight w:val="none"/>
              </w:rPr>
            </w:pPr>
            <w:r>
              <w:rPr>
                <w:rFonts w:hint="eastAsia" w:ascii="宋体" w:hAnsi="宋体" w:cs="宋体"/>
                <w:color w:val="auto"/>
                <w:szCs w:val="21"/>
                <w:highlight w:val="none"/>
              </w:rPr>
              <w:t>公告期限：3日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7.7.1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是否要求中标人提交履约保证金：</w:t>
            </w:r>
          </w:p>
          <w:p>
            <w:pPr>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要求</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8.5.1</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监督部门</w:t>
            </w:r>
          </w:p>
        </w:tc>
        <w:tc>
          <w:tcPr>
            <w:tcW w:w="5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监督部门：天津市</w:t>
            </w:r>
            <w:r>
              <w:rPr>
                <w:rFonts w:hint="eastAsia" w:ascii="宋体" w:hAnsi="宋体" w:cs="宋体"/>
                <w:color w:val="auto"/>
                <w:szCs w:val="21"/>
                <w:highlight w:val="none"/>
                <w:lang w:eastAsia="zh-CN"/>
              </w:rPr>
              <w:t>滨海新区</w:t>
            </w:r>
            <w:r>
              <w:rPr>
                <w:rFonts w:hint="eastAsia" w:ascii="宋体" w:hAnsi="宋体" w:cs="宋体"/>
                <w:color w:val="auto"/>
                <w:szCs w:val="21"/>
                <w:highlight w:val="none"/>
              </w:rPr>
              <w:t xml:space="preserve">区交通运输管理局           </w:t>
            </w:r>
          </w:p>
          <w:p>
            <w:pPr>
              <w:rPr>
                <w:rFonts w:hint="eastAsia" w:ascii="宋体" w:hAnsi="宋体" w:cs="宋体"/>
                <w:color w:val="auto"/>
                <w:szCs w:val="21"/>
                <w:highlight w:val="none"/>
              </w:rPr>
            </w:pPr>
            <w:r>
              <w:rPr>
                <w:rFonts w:hint="eastAsia" w:ascii="宋体" w:hAnsi="宋体" w:cs="宋体"/>
                <w:color w:val="auto"/>
                <w:szCs w:val="21"/>
                <w:highlight w:val="none"/>
              </w:rPr>
              <w:t xml:space="preserve">地    址：天津市滨海新区大连东道1060号4113 </w:t>
            </w:r>
          </w:p>
          <w:p>
            <w:pPr>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color w:val="auto"/>
                <w:kern w:val="0"/>
                <w:szCs w:val="21"/>
                <w:highlight w:val="none"/>
                <w:lang w:val="en-US" w:eastAsia="zh-CN" w:bidi="ar"/>
              </w:rPr>
              <w:t>022-63004733</w:t>
            </w:r>
            <w:r>
              <w:rPr>
                <w:rFonts w:hint="eastAsia" w:ascii="宋体" w:hAnsi="宋体" w:cs="宋体"/>
                <w:color w:val="auto"/>
                <w:szCs w:val="21"/>
                <w:highlight w:val="non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color w:val="auto"/>
                <w:kern w:val="0"/>
                <w:szCs w:val="21"/>
                <w:highlight w:val="none"/>
                <w:lang w:val="en-US" w:eastAsia="zh-CN" w:bidi="ar"/>
              </w:rPr>
              <w:t>022-63004733</w:t>
            </w:r>
            <w:r>
              <w:rPr>
                <w:rFonts w:hint="eastAsia" w:ascii="宋体" w:hAnsi="宋体" w:cs="宋体"/>
                <w:color w:val="auto"/>
                <w:szCs w:val="21"/>
                <w:highlight w:val="none"/>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t>邮政编码：300</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是否采用电子招标投标</w:t>
            </w:r>
          </w:p>
        </w:tc>
        <w:tc>
          <w:tcPr>
            <w:tcW w:w="5719"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highlight w:val="none"/>
              </w:rPr>
            </w:pPr>
            <w:r>
              <w:rPr>
                <w:color w:val="auto"/>
                <w:kern w:val="0"/>
                <w:szCs w:val="21"/>
                <w:highlight w:val="none"/>
              </w:rPr>
              <w:sym w:font="Wingdings" w:char="00A8"/>
            </w:r>
            <w:r>
              <w:rPr>
                <w:color w:val="auto"/>
                <w:szCs w:val="21"/>
                <w:highlight w:val="none"/>
              </w:rPr>
              <w:t>否</w:t>
            </w:r>
          </w:p>
          <w:p>
            <w:pPr>
              <w:rPr>
                <w:rFonts w:hint="eastAsia" w:ascii="宋体" w:hAnsi="宋体" w:cs="宋体"/>
                <w:color w:val="auto"/>
                <w:szCs w:val="21"/>
                <w:highlight w:val="none"/>
              </w:rPr>
            </w:pPr>
            <w:r>
              <w:rPr>
                <w:rFonts w:hint="eastAsia"/>
                <w:color w:val="auto"/>
                <w:szCs w:val="21"/>
                <w:highlight w:val="none"/>
                <w:lang w:eastAsia="zh-CN"/>
              </w:rPr>
              <w:t>☑</w:t>
            </w:r>
            <w:r>
              <w:rPr>
                <w:color w:val="auto"/>
                <w:szCs w:val="21"/>
                <w:highlight w:val="none"/>
              </w:rPr>
              <w:t>是，具体要求：</w:t>
            </w:r>
            <w:r>
              <w:rPr>
                <w:rFonts w:hint="eastAsia" w:ascii="宋体" w:hAnsi="宋体" w:cs="宋体"/>
                <w:b/>
                <w:bCs/>
                <w:kern w:val="0"/>
                <w:szCs w:val="21"/>
              </w:rPr>
              <w:t>本项目投标文件采用线上全电子化上传至天津市公共资源交易-投标服务平台（https://ebid.tjggzy.cn:8052）及线下递交纸质版文件同步递交方式。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9796" w:type="dxa"/>
            <w:gridSpan w:val="4"/>
            <w:vAlign w:val="center"/>
          </w:tcPr>
          <w:p>
            <w:pPr>
              <w:jc w:val="left"/>
              <w:rPr>
                <w:rFonts w:hint="eastAsia" w:ascii="宋体" w:hAnsi="宋体" w:cs="宋体"/>
                <w:color w:val="auto"/>
                <w:kern w:val="0"/>
                <w:szCs w:val="21"/>
                <w:highlight w:val="none"/>
              </w:rPr>
            </w:pPr>
            <w:r>
              <w:rPr>
                <w:rFonts w:hint="eastAsia" w:ascii="宋体" w:hAnsi="宋体" w:cs="宋体"/>
                <w:b/>
                <w:color w:val="auto"/>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741" w:hRule="atLeast"/>
          <w:jc w:val="center"/>
        </w:trPr>
        <w:tc>
          <w:tcPr>
            <w:tcW w:w="1261" w:type="dxa"/>
            <w:gridSpan w:val="2"/>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1.4.4</w:t>
            </w:r>
          </w:p>
        </w:tc>
        <w:tc>
          <w:tcPr>
            <w:tcW w:w="2816"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第1.4.4项修改</w:t>
            </w:r>
          </w:p>
        </w:tc>
        <w:tc>
          <w:tcPr>
            <w:tcW w:w="5719" w:type="dxa"/>
            <w:vAlign w:val="center"/>
          </w:tcPr>
          <w:p>
            <w:pPr>
              <w:jc w:val="left"/>
              <w:rPr>
                <w:rFonts w:hint="eastAsia" w:ascii="宋体" w:hAnsi="宋体" w:cs="宋体"/>
                <w:color w:val="auto"/>
                <w:kern w:val="0"/>
                <w:szCs w:val="21"/>
                <w:highlight w:val="none"/>
              </w:rPr>
            </w:pPr>
            <w:r>
              <w:rPr>
                <w:rFonts w:hint="eastAsia" w:ascii="宋体" w:hAnsi="宋体" w:cs="宋体"/>
                <w:color w:val="auto"/>
                <w:szCs w:val="21"/>
                <w:highlight w:val="none"/>
              </w:rPr>
              <w:t>删除（6）“行贿犯罪行为的认定以检察机关职务犯罪预防部</w:t>
            </w:r>
            <w:r>
              <w:rPr>
                <w:rFonts w:hint="eastAsia" w:ascii="宋体" w:hAnsi="宋体" w:cs="宋体"/>
                <w:color w:val="auto"/>
                <w:szCs w:val="21"/>
                <w:highlight w:val="none"/>
                <w:lang w:val="en-US" w:eastAsia="zh-CN"/>
              </w:rPr>
              <w:t>门</w:t>
            </w:r>
            <w:r>
              <w:rPr>
                <w:rFonts w:hint="eastAsia" w:ascii="宋体" w:hAnsi="宋体" w:cs="宋体"/>
                <w:color w:val="auto"/>
                <w:szCs w:val="21"/>
                <w:highlight w:val="none"/>
              </w:rPr>
              <w:t>出具的查询结果为准”内容；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1.4.4</w:t>
            </w:r>
          </w:p>
        </w:tc>
        <w:tc>
          <w:tcPr>
            <w:tcW w:w="2816"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第1.4.4项补充</w:t>
            </w:r>
          </w:p>
        </w:tc>
        <w:tc>
          <w:tcPr>
            <w:tcW w:w="5719" w:type="dxa"/>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增加以下内容：</w:t>
            </w:r>
          </w:p>
          <w:p>
            <w:pPr>
              <w:jc w:val="left"/>
              <w:rPr>
                <w:rFonts w:hint="eastAsia" w:ascii="宋体" w:hAnsi="宋体" w:cs="宋体"/>
                <w:color w:val="auto"/>
                <w:kern w:val="0"/>
                <w:szCs w:val="21"/>
                <w:highlight w:val="none"/>
              </w:rPr>
            </w:pPr>
            <w:r>
              <w:rPr>
                <w:rFonts w:hint="eastAsia" w:ascii="宋体" w:hAnsi="宋体" w:cs="宋体"/>
                <w:color w:val="auto"/>
                <w:szCs w:val="21"/>
                <w:highlight w:val="none"/>
              </w:rPr>
              <w:t>（8）在国家企业信用信息公示系统（http://www.gsxt.gov.cn/）中经营异常（截止到招标公告发布之日已经移出的，不计）。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Align w:val="center"/>
          </w:tcPr>
          <w:p>
            <w:pPr>
              <w:adjustRightInd w:val="0"/>
              <w:snapToGrid w:val="0"/>
              <w:spacing w:line="280" w:lineRule="exact"/>
              <w:jc w:val="center"/>
              <w:rPr>
                <w:rFonts w:hint="eastAsia" w:ascii="宋体" w:hAnsi="宋体" w:cs="宋体"/>
                <w:color w:val="auto"/>
                <w:kern w:val="0"/>
                <w:szCs w:val="21"/>
                <w:highlight w:val="none"/>
              </w:rPr>
            </w:pPr>
            <w:r>
              <w:rPr>
                <w:rFonts w:hint="eastAsia" w:ascii="宋体" w:hAnsi="宋体" w:cs="宋体"/>
                <w:kern w:val="0"/>
                <w:szCs w:val="21"/>
              </w:rPr>
              <w:t>1.4.5</w:t>
            </w:r>
          </w:p>
        </w:tc>
        <w:tc>
          <w:tcPr>
            <w:tcW w:w="2816" w:type="dxa"/>
            <w:vAlign w:val="center"/>
          </w:tcPr>
          <w:p>
            <w:pPr>
              <w:adjustRightInd w:val="0"/>
              <w:snapToGrid w:val="0"/>
              <w:spacing w:line="280" w:lineRule="exact"/>
              <w:jc w:val="center"/>
              <w:rPr>
                <w:rFonts w:hint="eastAsia" w:ascii="宋体" w:hAnsi="宋体" w:cs="宋体"/>
                <w:color w:val="auto"/>
                <w:kern w:val="0"/>
                <w:szCs w:val="21"/>
                <w:highlight w:val="none"/>
              </w:rPr>
            </w:pPr>
            <w:r>
              <w:rPr>
                <w:rFonts w:hint="eastAsia" w:ascii="宋体" w:hAnsi="宋体" w:cs="宋体"/>
                <w:kern w:val="0"/>
                <w:szCs w:val="21"/>
              </w:rPr>
              <w:t>修改第1.4.5项</w:t>
            </w:r>
          </w:p>
        </w:tc>
        <w:tc>
          <w:tcPr>
            <w:tcW w:w="5719" w:type="dxa"/>
            <w:vAlign w:val="center"/>
          </w:tcPr>
          <w:p>
            <w:pPr>
              <w:adjustRightInd w:val="0"/>
              <w:snapToGrid w:val="0"/>
              <w:spacing w:line="280" w:lineRule="exact"/>
              <w:jc w:val="left"/>
              <w:rPr>
                <w:rFonts w:hint="eastAsia" w:ascii="宋体" w:hAnsi="宋体" w:cs="宋体"/>
                <w:color w:val="auto"/>
                <w:szCs w:val="21"/>
                <w:highlight w:val="none"/>
              </w:rPr>
            </w:pPr>
            <w:r>
              <w:rPr>
                <w:rFonts w:hint="eastAsia" w:ascii="宋体" w:hAnsi="宋体" w:cs="宋体"/>
                <w:kern w:val="0"/>
                <w:szCs w:val="21"/>
              </w:rPr>
              <w:t>非交通运输部审核、审批的资质无需在交通运输部“全国公路建设市场监督管理系统（https://hwdms.mot.gov.cn/BMWebSite/）”中查询。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Align w:val="center"/>
          </w:tcPr>
          <w:p>
            <w:pPr>
              <w:pStyle w:val="19"/>
              <w:adjustRightInd/>
              <w:jc w:val="center"/>
              <w:rPr>
                <w:rFonts w:hint="eastAsia" w:hAnsi="宋体"/>
                <w:color w:val="auto"/>
                <w:sz w:val="21"/>
                <w:szCs w:val="21"/>
                <w:highlight w:val="none"/>
              </w:rPr>
            </w:pPr>
            <w:r>
              <w:rPr>
                <w:rFonts w:hint="eastAsia" w:hAnsi="宋体"/>
                <w:color w:val="auto"/>
                <w:sz w:val="21"/>
                <w:szCs w:val="21"/>
                <w:highlight w:val="none"/>
              </w:rPr>
              <w:t>2.2.5</w:t>
            </w:r>
          </w:p>
          <w:p>
            <w:pPr>
              <w:pStyle w:val="19"/>
              <w:adjustRightInd/>
              <w:jc w:val="center"/>
              <w:rPr>
                <w:rFonts w:hint="eastAsia" w:hAnsi="宋体"/>
                <w:color w:val="auto"/>
                <w:sz w:val="21"/>
                <w:szCs w:val="21"/>
                <w:highlight w:val="none"/>
              </w:rPr>
            </w:pPr>
            <w:r>
              <w:rPr>
                <w:rFonts w:hint="eastAsia" w:hAnsi="宋体"/>
                <w:color w:val="auto"/>
                <w:sz w:val="21"/>
                <w:szCs w:val="21"/>
                <w:highlight w:val="none"/>
              </w:rPr>
              <w:t>2.3.3</w:t>
            </w:r>
          </w:p>
        </w:tc>
        <w:tc>
          <w:tcPr>
            <w:tcW w:w="2816"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补充第2.2.5、2.3.3项</w:t>
            </w:r>
          </w:p>
        </w:tc>
        <w:tc>
          <w:tcPr>
            <w:tcW w:w="5719" w:type="dxa"/>
            <w:vAlign w:val="center"/>
          </w:tcPr>
          <w:p>
            <w:pPr>
              <w:wordWrap w:val="0"/>
              <w:rPr>
                <w:rFonts w:hint="eastAsia" w:ascii="宋体" w:hAnsi="宋体" w:cs="宋体"/>
                <w:color w:val="auto"/>
                <w:kern w:val="0"/>
                <w:szCs w:val="21"/>
                <w:highlight w:val="none"/>
              </w:rPr>
            </w:pPr>
            <w:r>
              <w:rPr>
                <w:rFonts w:hint="eastAsia" w:ascii="宋体" w:hAnsi="宋体" w:cs="宋体"/>
                <w:color w:val="auto"/>
                <w:kern w:val="0"/>
                <w:szCs w:val="21"/>
                <w:highlight w:val="none"/>
              </w:rPr>
              <w:t>2.2.5、2.3.3招标人将在</w:t>
            </w:r>
            <w:r>
              <w:rPr>
                <w:rFonts w:hint="eastAsia" w:ascii="宋体" w:hAnsi="宋体" w:cs="宋体"/>
                <w:color w:val="auto"/>
                <w:szCs w:val="21"/>
                <w:highlight w:val="none"/>
                <w:lang w:eastAsia="zh-CN"/>
              </w:rPr>
              <w:t>天津市滨海新区交通运输局</w:t>
            </w:r>
            <w:r>
              <w:rPr>
                <w:rFonts w:hint="eastAsia" w:ascii="宋体" w:hAnsi="宋体" w:cs="宋体"/>
                <w:color w:val="auto"/>
                <w:szCs w:val="21"/>
                <w:highlight w:val="none"/>
              </w:rPr>
              <w:t>和</w:t>
            </w:r>
            <w:r>
              <w:rPr>
                <w:rFonts w:hint="eastAsia" w:ascii="宋体" w:hAnsi="宋体" w:cs="宋体"/>
                <w:color w:val="auto"/>
                <w:kern w:val="0"/>
                <w:szCs w:val="21"/>
                <w:highlight w:val="none"/>
              </w:rPr>
              <w:t>天津市公共资源工程建设招投标平台发布招标文件的澄清、修改文件，请各投标人下载并在规定的时间内回函确认。投标人应在投标截止时间前密切关注，以便掌握相关澄清及修改。</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招标人、招标代理机构对投标人发出的澄清、修改及投标控制价上限或评标委员会对投标人发出的澄清，投标人应在规定的时间内按要求回函确认，否则招标人不承担由此引起的一切后果。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3.2.3</w:t>
            </w:r>
          </w:p>
        </w:tc>
        <w:tc>
          <w:tcPr>
            <w:tcW w:w="2816"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3.2.3细化为</w:t>
            </w:r>
          </w:p>
        </w:tc>
        <w:tc>
          <w:tcPr>
            <w:tcW w:w="5719" w:type="dxa"/>
            <w:vAlign w:val="center"/>
          </w:tcPr>
          <w:p>
            <w:pPr>
              <w:wordWrap w:val="0"/>
              <w:rPr>
                <w:rFonts w:ascii="宋体" w:hAnsi="宋体" w:cs="宋体"/>
                <w:color w:val="auto"/>
                <w:szCs w:val="21"/>
                <w:highlight w:val="none"/>
              </w:rPr>
            </w:pPr>
            <w:r>
              <w:rPr>
                <w:rFonts w:hint="eastAsia" w:ascii="宋体" w:hAnsi="宋体" w:cs="宋体"/>
                <w:color w:val="auto"/>
                <w:szCs w:val="21"/>
                <w:highlight w:val="none"/>
              </w:rPr>
              <w:t>本工程合同价款采用固定单价形式。合同价格包含投标人完成招标文件中清单所列项及清单对应的招标图纸内所有工程内容的全部费用。招标人根据本合同项目的招标图纸计算的工程量清单中的工</w:t>
            </w:r>
            <w:r>
              <w:rPr>
                <w:rFonts w:hint="eastAsia" w:ascii="宋体" w:hAnsi="宋体" w:cs="宋体"/>
                <w:color w:val="auto"/>
                <w:szCs w:val="21"/>
                <w:highlight w:val="none"/>
                <w:lang w:val="en-US" w:eastAsia="zh-CN"/>
              </w:rPr>
              <w:t>程</w:t>
            </w:r>
            <w:r>
              <w:rPr>
                <w:rFonts w:hint="eastAsia" w:ascii="宋体" w:hAnsi="宋体" w:cs="宋体"/>
                <w:color w:val="auto"/>
                <w:szCs w:val="21"/>
                <w:highlight w:val="none"/>
              </w:rPr>
              <w:t>量只作为投标人计算标价的依据，不作为按合同履行责任时完成工程的实际工</w:t>
            </w:r>
            <w:r>
              <w:rPr>
                <w:rFonts w:hint="eastAsia" w:ascii="宋体" w:hAnsi="宋体" w:cs="宋体"/>
                <w:color w:val="auto"/>
                <w:szCs w:val="21"/>
                <w:highlight w:val="none"/>
                <w:lang w:val="en-US" w:eastAsia="zh-CN"/>
              </w:rPr>
              <w:t>程</w:t>
            </w:r>
            <w:r>
              <w:rPr>
                <w:rFonts w:hint="eastAsia" w:ascii="宋体" w:hAnsi="宋体" w:cs="宋体"/>
                <w:color w:val="auto"/>
                <w:szCs w:val="21"/>
                <w:highlight w:val="none"/>
              </w:rPr>
              <w:t>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3.4.1</w:t>
            </w:r>
          </w:p>
        </w:tc>
        <w:tc>
          <w:tcPr>
            <w:tcW w:w="2816" w:type="dxa"/>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3.4.1细化为</w:t>
            </w:r>
          </w:p>
        </w:tc>
        <w:tc>
          <w:tcPr>
            <w:tcW w:w="5719" w:type="dxa"/>
            <w:vAlign w:val="center"/>
          </w:tcPr>
          <w:p>
            <w:pPr>
              <w:wordWrap w:val="0"/>
              <w:rPr>
                <w:rFonts w:ascii="宋体" w:hAnsi="宋体" w:cs="宋体"/>
                <w:b/>
                <w:color w:val="auto"/>
                <w:szCs w:val="21"/>
                <w:highlight w:val="none"/>
              </w:rPr>
            </w:pPr>
            <w:r>
              <w:rPr>
                <w:rFonts w:ascii="宋体" w:hAnsi="宋体" w:cs="宋体"/>
                <w:b/>
                <w:color w:val="auto"/>
                <w:szCs w:val="21"/>
                <w:highlight w:val="none"/>
              </w:rPr>
              <w:t>投标保证金的递交截止时间为：</w:t>
            </w:r>
            <w:r>
              <w:rPr>
                <w:rFonts w:hint="eastAsia" w:ascii="宋体" w:hAnsi="宋体" w:cs="宋体"/>
                <w:b/>
                <w:color w:val="auto"/>
                <w:szCs w:val="21"/>
                <w:highlight w:val="none"/>
              </w:rPr>
              <w:t>开标时间前一个工作日17时</w:t>
            </w:r>
          </w:p>
          <w:p>
            <w:pPr>
              <w:wordWrap w:val="0"/>
              <w:adjustRightInd w:val="0"/>
              <w:snapToGrid w:val="0"/>
              <w:spacing w:line="260" w:lineRule="exact"/>
              <w:jc w:val="left"/>
              <w:rPr>
                <w:rFonts w:hint="eastAsia" w:ascii="宋体" w:hAnsi="宋体" w:cs="宋体"/>
                <w:color w:val="auto"/>
                <w:szCs w:val="21"/>
                <w:highlight w:val="none"/>
              </w:rPr>
            </w:pPr>
            <w:r>
              <w:rPr>
                <w:rFonts w:hint="eastAsia" w:ascii="宋体" w:hAnsi="宋体" w:cs="宋体"/>
                <w:color w:val="auto"/>
                <w:szCs w:val="21"/>
                <w:highlight w:val="none"/>
              </w:rPr>
              <w:t>若采用转账支票，投标人应在规定的递交投标保证金截止时间之前，将由投标人的基本账户开出的支票交至</w:t>
            </w:r>
            <w:r>
              <w:rPr>
                <w:rFonts w:hint="eastAsia"/>
                <w:color w:val="auto"/>
                <w:kern w:val="0"/>
                <w:szCs w:val="21"/>
                <w:highlight w:val="none"/>
                <w:lang w:eastAsia="zh-CN" w:bidi="ar"/>
              </w:rPr>
              <w:t>天津市沃盛工程咨询有限公司（</w:t>
            </w:r>
            <w:r>
              <w:rPr>
                <w:rFonts w:hint="eastAsia"/>
                <w:color w:val="auto"/>
                <w:kern w:val="0"/>
                <w:szCs w:val="21"/>
                <w:highlight w:val="none"/>
                <w:lang w:val="en-US" w:eastAsia="zh-CN" w:bidi="ar"/>
              </w:rPr>
              <w:t>天津市津南区海天南苑13号楼203室</w:t>
            </w:r>
            <w:r>
              <w:rPr>
                <w:rFonts w:hint="eastAsia"/>
                <w:color w:val="auto"/>
                <w:kern w:val="0"/>
                <w:szCs w:val="21"/>
                <w:highlight w:val="none"/>
                <w:lang w:eastAsia="zh-CN" w:bidi="ar"/>
              </w:rPr>
              <w:t>）</w:t>
            </w:r>
            <w:r>
              <w:rPr>
                <w:rFonts w:hint="eastAsia" w:ascii="宋体" w:hAnsi="宋体" w:cs="宋体"/>
                <w:color w:val="auto"/>
                <w:szCs w:val="21"/>
                <w:highlight w:val="none"/>
              </w:rPr>
              <w:t>，并换取收据，支票名称必须与投标人名称一致，否则均视为投标保证金无效。投标人应将支票及招标人开具的投标保证金收据的扫描件或复印件附在投标文件中。</w:t>
            </w:r>
          </w:p>
          <w:p>
            <w:pPr>
              <w:wordWrap w:val="0"/>
              <w:adjustRightInd w:val="0"/>
              <w:snapToGrid w:val="0"/>
              <w:spacing w:line="260" w:lineRule="exact"/>
              <w:jc w:val="left"/>
              <w:rPr>
                <w:rFonts w:hint="eastAsia" w:ascii="宋体" w:hAnsi="宋体" w:cs="宋体"/>
                <w:color w:val="auto"/>
                <w:szCs w:val="21"/>
                <w:highlight w:val="none"/>
              </w:rPr>
            </w:pPr>
            <w:r>
              <w:rPr>
                <w:rFonts w:hint="eastAsia" w:ascii="宋体" w:hAnsi="宋体" w:cs="宋体"/>
                <w:color w:val="auto"/>
                <w:szCs w:val="21"/>
                <w:highlight w:val="none"/>
              </w:rPr>
              <w:t>若采用银行保函，投标人应在投标保证金递交截止时间前，将银行保函扫描件发送至招标人指定邮箱（</w:t>
            </w:r>
            <w:r>
              <w:rPr>
                <w:rFonts w:hint="eastAsia" w:ascii="宋体" w:hAnsi="宋体" w:cs="宋体"/>
                <w:color w:val="auto"/>
                <w:szCs w:val="21"/>
                <w:highlight w:val="none"/>
                <w:lang w:val="en-US" w:eastAsia="zh-CN"/>
              </w:rPr>
              <w:t>dsfys2420@163.com</w:t>
            </w:r>
            <w:r>
              <w:rPr>
                <w:rFonts w:ascii="宋体" w:hAnsi="宋体" w:cs="宋体"/>
                <w:color w:val="auto"/>
                <w:szCs w:val="21"/>
                <w:highlight w:val="none"/>
              </w:rPr>
              <w:t>）</w:t>
            </w:r>
            <w:r>
              <w:rPr>
                <w:rFonts w:hint="eastAsia" w:ascii="宋体" w:hAnsi="宋体" w:cs="宋体"/>
                <w:color w:val="auto"/>
                <w:szCs w:val="21"/>
                <w:highlight w:val="none"/>
              </w:rPr>
              <w:t>。原件应在递交投标文件截止时间之前单独密封递交给招标人。银行保函复印件应装订在投标文件中。不论中标与否，保函不予退回。</w:t>
            </w:r>
          </w:p>
          <w:p>
            <w:pPr>
              <w:wordWrap w:val="0"/>
              <w:rPr>
                <w:rFonts w:hint="eastAsia" w:ascii="宋体" w:hAnsi="宋体" w:cs="宋体"/>
                <w:color w:val="auto"/>
                <w:szCs w:val="21"/>
                <w:highlight w:val="none"/>
              </w:rPr>
            </w:pPr>
            <w:r>
              <w:rPr>
                <w:rFonts w:hint="eastAsia" w:ascii="宋体" w:hAnsi="宋体" w:cs="宋体"/>
                <w:color w:val="auto"/>
                <w:szCs w:val="21"/>
                <w:highlight w:val="none"/>
              </w:rPr>
              <w:t>若采用银行电汇，投标人应在规定的递交投标保证金截止时间之前，将由投标人的基本账户一次性汇入招标人指定的账号上（以银行到账日期为准），电汇凭证上的汇款人名称必须与投标人名称一致，否则均视为投标保证金无效。投标人应将电汇凭证扫描件或复印件附在投标文件中。</w:t>
            </w:r>
          </w:p>
          <w:p>
            <w:pPr>
              <w:pStyle w:val="6"/>
              <w:spacing w:line="240" w:lineRule="auto"/>
              <w:ind w:firstLine="210" w:firstLineChars="100"/>
              <w:rPr>
                <w:rFonts w:ascii="宋体" w:hAnsi="宋体" w:cs="宋体"/>
                <w:color w:val="auto"/>
                <w:kern w:val="2"/>
                <w:sz w:val="21"/>
                <w:szCs w:val="21"/>
                <w:highlight w:val="none"/>
              </w:rPr>
            </w:pPr>
            <w:r>
              <w:rPr>
                <w:rFonts w:hint="eastAsia" w:ascii="宋体" w:hAnsi="宋体" w:cs="宋体"/>
                <w:color w:val="auto"/>
                <w:kern w:val="2"/>
                <w:sz w:val="21"/>
                <w:szCs w:val="21"/>
                <w:highlight w:val="none"/>
              </w:rPr>
              <w:t>若采用电子保函或电子保单的方式，投标人可在天津市公共资源交易网“电子保函专区”办理。投标人采用电子保函、保单的，将金融机构出具的电子保函或保单打印件作为保证金缴纳凭证附于投标文件正本中，使用格式以金融机构出具的为准。（投标人应承诺在发生法律法规或招标文件规定可以不予退还投标保证金的情形时，在收到招标人书面通知后，由金融机构对其所出具电子保函、保单中所列的金额无条件支付。金融机构对其出具的电子保函、保单中所列金额不能及时支付的，由投标人支付。投标人应提供承诺书并加盖投标人公章。）</w:t>
            </w:r>
          </w:p>
          <w:p>
            <w:pPr>
              <w:pStyle w:val="6"/>
              <w:spacing w:line="240" w:lineRule="auto"/>
              <w:ind w:firstLine="210" w:firstLineChars="100"/>
              <w:rPr>
                <w:rFonts w:hint="eastAsia"/>
                <w:color w:val="auto"/>
                <w:highlight w:val="none"/>
              </w:rPr>
            </w:pPr>
            <w:r>
              <w:rPr>
                <w:rFonts w:hint="eastAsia" w:ascii="宋体" w:hAnsi="宋体" w:cs="宋体"/>
                <w:color w:val="auto"/>
                <w:kern w:val="2"/>
                <w:sz w:val="21"/>
                <w:szCs w:val="21"/>
                <w:highlight w:val="none"/>
              </w:rPr>
              <w:t>投标人可采用网银汇款、保函、电子保函或电子保单等形式递交投标保证金。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3.5.1</w:t>
            </w:r>
          </w:p>
        </w:tc>
        <w:tc>
          <w:tcPr>
            <w:tcW w:w="2816" w:type="dxa"/>
            <w:vAlign w:val="center"/>
          </w:tcPr>
          <w:p>
            <w:pPr>
              <w:adjustRightInd w:val="0"/>
              <w:snapToGrid w:val="0"/>
              <w:spacing w:line="300" w:lineRule="exact"/>
              <w:jc w:val="center"/>
              <w:rPr>
                <w:rFonts w:hint="eastAsia"/>
                <w:color w:val="auto"/>
                <w:kern w:val="0"/>
                <w:highlight w:val="none"/>
              </w:rPr>
            </w:pPr>
            <w:r>
              <w:rPr>
                <w:rFonts w:hint="eastAsia"/>
                <w:color w:val="auto"/>
                <w:kern w:val="0"/>
                <w:highlight w:val="none"/>
              </w:rPr>
              <w:t>3.5.1项修改</w:t>
            </w:r>
          </w:p>
        </w:tc>
        <w:tc>
          <w:tcPr>
            <w:tcW w:w="5719" w:type="dxa"/>
            <w:vAlign w:val="center"/>
          </w:tcPr>
          <w:p>
            <w:pPr>
              <w:adjustRightInd w:val="0"/>
              <w:snapToGrid w:val="0"/>
              <w:spacing w:line="260" w:lineRule="exact"/>
              <w:ind w:left="57" w:leftChars="27" w:firstLine="220" w:firstLineChars="105"/>
              <w:rPr>
                <w:rFonts w:hint="eastAsia" w:ascii="宋体" w:hAnsi="宋体" w:cs="宋体"/>
                <w:color w:val="auto"/>
                <w:szCs w:val="21"/>
                <w:highlight w:val="none"/>
              </w:rPr>
            </w:pPr>
            <w:r>
              <w:rPr>
                <w:rFonts w:hint="eastAsia" w:ascii="宋体" w:hAnsi="宋体" w:cs="宋体"/>
                <w:kern w:val="0"/>
                <w:szCs w:val="21"/>
              </w:rPr>
              <w:t>3.5.1“投标人基本情况表”后企业单位应附有效企业法人营业执照副本、资质证书副本、基本账户开户许可证（或基本存款账户信息）的复印件应提供全本（证书封面、封底、空白页除外），应包括投标人名称、投标人其他相关信息、颁发机构名称、投标人信息变更情况等关键页在内，并逐页加盖投标人单位章。还应附在国家企业信用信息公示系统（</w:t>
            </w:r>
            <w:r>
              <w:rPr>
                <w:szCs w:val="21"/>
              </w:rPr>
              <w:fldChar w:fldCharType="begin"/>
            </w:r>
            <w:r>
              <w:rPr>
                <w:szCs w:val="21"/>
              </w:rPr>
              <w:instrText xml:space="preserve"> HYPERLINK "http://www.gsxt.gov.cn/" </w:instrText>
            </w:r>
            <w:r>
              <w:rPr>
                <w:szCs w:val="21"/>
              </w:rPr>
              <w:fldChar w:fldCharType="separate"/>
            </w:r>
            <w:r>
              <w:rPr>
                <w:rFonts w:hint="eastAsia" w:ascii="宋体" w:hAnsi="宋体" w:cs="宋体"/>
                <w:kern w:val="0"/>
                <w:szCs w:val="21"/>
              </w:rPr>
              <w:t>http://www.gsxt.gov.cn/</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打印的基础信息、股东</w:t>
            </w:r>
            <w:r>
              <w:rPr>
                <w:rFonts w:ascii="宋体" w:hAnsi="宋体" w:cs="宋体"/>
                <w:kern w:val="0"/>
                <w:szCs w:val="21"/>
              </w:rPr>
              <w:t>（股份公司类型为发起人）</w:t>
            </w:r>
            <w:r>
              <w:rPr>
                <w:rFonts w:hint="eastAsia" w:ascii="宋体" w:hAnsi="宋体" w:cs="宋体"/>
                <w:kern w:val="0"/>
                <w:szCs w:val="21"/>
              </w:rPr>
              <w:t>及出资详细信息（</w:t>
            </w:r>
            <w:r>
              <w:rPr>
                <w:rFonts w:ascii="宋体" w:hAnsi="宋体" w:cs="宋体"/>
                <w:kern w:val="0"/>
                <w:szCs w:val="21"/>
              </w:rPr>
              <w:t>并加盖</w:t>
            </w:r>
            <w:r>
              <w:rPr>
                <w:rFonts w:hint="eastAsia" w:ascii="宋体" w:hAnsi="宋体" w:cs="宋体"/>
                <w:kern w:val="0"/>
                <w:szCs w:val="21"/>
              </w:rPr>
              <w:t>单位</w:t>
            </w:r>
            <w:r>
              <w:rPr>
                <w:rFonts w:ascii="宋体" w:hAnsi="宋体" w:cs="宋体"/>
                <w:kern w:val="0"/>
                <w:szCs w:val="21"/>
              </w:rPr>
              <w:t>章</w:t>
            </w:r>
            <w:r>
              <w:rPr>
                <w:rFonts w:hint="eastAsia" w:ascii="宋体" w:hAnsi="宋体" w:cs="宋体"/>
                <w:kern w:val="0"/>
                <w:szCs w:val="21"/>
              </w:rPr>
              <w:t>）</w:t>
            </w:r>
            <w:r>
              <w:rPr>
                <w:rFonts w:ascii="宋体" w:hAnsi="宋体" w:cs="宋体"/>
                <w:kern w:val="0"/>
                <w:szCs w:val="21"/>
              </w:rPr>
              <w:t>。登记类型为全民所有制企业的，可只附主管部门信息，其主管部门视为其全资股东。登记类型为股份有限公司或其它股份有限公司的，国家企业信用信息公示系统中的发起人姓名不具体的应附书面说明具体姓名及出资信息，同时应书面补充发起人之外的股东姓名及出资信息</w:t>
            </w:r>
            <w:r>
              <w:rPr>
                <w:rFonts w:hint="eastAsia" w:ascii="宋体" w:hAnsi="宋体" w:cs="宋体"/>
                <w:kern w:val="0"/>
                <w:szCs w:val="21"/>
              </w:rPr>
              <w:t>（</w:t>
            </w:r>
            <w:r>
              <w:rPr>
                <w:rFonts w:ascii="宋体" w:hAnsi="宋体" w:cs="宋体"/>
                <w:kern w:val="0"/>
                <w:szCs w:val="21"/>
              </w:rPr>
              <w:t>并加盖</w:t>
            </w:r>
            <w:r>
              <w:rPr>
                <w:rFonts w:hint="eastAsia" w:ascii="宋体" w:hAnsi="宋体" w:cs="宋体"/>
                <w:kern w:val="0"/>
                <w:szCs w:val="21"/>
              </w:rPr>
              <w:t>单位</w:t>
            </w:r>
            <w:r>
              <w:rPr>
                <w:rFonts w:ascii="宋体" w:hAnsi="宋体" w:cs="宋体"/>
                <w:kern w:val="0"/>
                <w:szCs w:val="21"/>
              </w:rPr>
              <w:t>章</w:t>
            </w:r>
            <w:r>
              <w:rPr>
                <w:rFonts w:hint="eastAsia" w:ascii="宋体" w:hAnsi="宋体" w:cs="宋体"/>
                <w:kern w:val="0"/>
                <w:szCs w:val="21"/>
              </w:rPr>
              <w:t>），</w:t>
            </w:r>
            <w:r>
              <w:rPr>
                <w:rFonts w:ascii="宋体" w:hAnsi="宋体" w:cs="宋体"/>
                <w:kern w:val="0"/>
                <w:szCs w:val="21"/>
              </w:rPr>
              <w:t>投标人为上市公司的，应书面补充说明持股比例超过20%的股东姓名及持股比例</w:t>
            </w:r>
            <w:r>
              <w:rPr>
                <w:rFonts w:hint="eastAsia" w:ascii="宋体" w:hAnsi="宋体" w:cs="宋体"/>
                <w:kern w:val="0"/>
                <w:szCs w:val="21"/>
              </w:rPr>
              <w:t>（</w:t>
            </w:r>
            <w:r>
              <w:rPr>
                <w:rFonts w:ascii="宋体" w:hAnsi="宋体" w:cs="宋体"/>
                <w:kern w:val="0"/>
                <w:szCs w:val="21"/>
              </w:rPr>
              <w:t>并加盖</w:t>
            </w:r>
            <w:r>
              <w:rPr>
                <w:rFonts w:hint="eastAsia" w:ascii="宋体" w:hAnsi="宋体" w:cs="宋体"/>
                <w:kern w:val="0"/>
                <w:szCs w:val="21"/>
              </w:rPr>
              <w:t>单位</w:t>
            </w:r>
            <w:r>
              <w:rPr>
                <w:rFonts w:ascii="宋体" w:hAnsi="宋体" w:cs="宋体"/>
                <w:kern w:val="0"/>
                <w:szCs w:val="21"/>
              </w:rPr>
              <w:t>章</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Align w:val="center"/>
          </w:tcPr>
          <w:p>
            <w:pPr>
              <w:adjustRightInd w:val="0"/>
              <w:snapToGrid w:val="0"/>
              <w:spacing w:line="300" w:lineRule="exact"/>
              <w:jc w:val="center"/>
              <w:rPr>
                <w:rFonts w:hint="eastAsia" w:ascii="宋体" w:hAnsi="宋体" w:cs="宋体"/>
                <w:color w:val="auto"/>
                <w:kern w:val="0"/>
                <w:highlight w:val="none"/>
              </w:rPr>
            </w:pPr>
            <w:r>
              <w:rPr>
                <w:rFonts w:hint="eastAsia" w:ascii="宋体" w:hAnsi="宋体" w:cs="宋体"/>
                <w:color w:val="auto"/>
                <w:kern w:val="0"/>
                <w:highlight w:val="none"/>
              </w:rPr>
              <w:t>3.5.2</w:t>
            </w:r>
          </w:p>
        </w:tc>
        <w:tc>
          <w:tcPr>
            <w:tcW w:w="2816" w:type="dxa"/>
            <w:vAlign w:val="center"/>
          </w:tcPr>
          <w:p>
            <w:pPr>
              <w:snapToGrid w:val="0"/>
              <w:spacing w:line="300" w:lineRule="auto"/>
              <w:jc w:val="center"/>
              <w:rPr>
                <w:rFonts w:hint="eastAsia" w:ascii="宋体" w:hAnsi="宋体" w:cs="宋体"/>
                <w:color w:val="auto"/>
                <w:kern w:val="0"/>
                <w:highlight w:val="none"/>
              </w:rPr>
            </w:pPr>
            <w:r>
              <w:rPr>
                <w:rFonts w:hint="eastAsia" w:ascii="宋体" w:hAnsi="宋体" w:cs="宋体"/>
                <w:color w:val="auto"/>
                <w:kern w:val="0"/>
                <w:highlight w:val="none"/>
              </w:rPr>
              <w:t>3.5.2项细化补充</w:t>
            </w:r>
          </w:p>
        </w:tc>
        <w:tc>
          <w:tcPr>
            <w:tcW w:w="5719" w:type="dxa"/>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3.5.2“财务状况表”后企业单位应附近三年（2021年~2023年或2022~2024年）经会计师事务所或审计机构审计的财务会计报表，包括资产负债表、现金流量表、利润表和财务情况说明书的复印件。机关法人单位或事业单位应附近三年财务会计报表的复印件。投标人的成立时间少于三年的，应提供成立以来的财务状况表。</w:t>
            </w:r>
          </w:p>
          <w:p>
            <w:pPr>
              <w:spacing w:line="3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如果投标人为集团公司，上述的财务会计报表均指合并财务会计报表。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Align w:val="center"/>
          </w:tcPr>
          <w:p>
            <w:pPr>
              <w:adjustRightInd w:val="0"/>
              <w:snapToGrid w:val="0"/>
              <w:spacing w:line="300" w:lineRule="exact"/>
              <w:jc w:val="center"/>
              <w:rPr>
                <w:rFonts w:hint="eastAsia" w:ascii="宋体" w:hAnsi="宋体" w:cs="宋体"/>
                <w:color w:val="auto"/>
                <w:kern w:val="0"/>
                <w:highlight w:val="none"/>
              </w:rPr>
            </w:pPr>
          </w:p>
        </w:tc>
        <w:tc>
          <w:tcPr>
            <w:tcW w:w="2816" w:type="dxa"/>
            <w:vAlign w:val="center"/>
          </w:tcPr>
          <w:p>
            <w:pPr>
              <w:adjustRightInd w:val="0"/>
              <w:snapToGrid w:val="0"/>
              <w:spacing w:line="300" w:lineRule="exact"/>
              <w:jc w:val="center"/>
              <w:rPr>
                <w:rFonts w:hint="eastAsia" w:ascii="宋体" w:hAnsi="宋体" w:cs="宋体"/>
                <w:color w:val="auto"/>
                <w:kern w:val="0"/>
                <w:highlight w:val="none"/>
              </w:rPr>
            </w:pPr>
            <w:r>
              <w:rPr>
                <w:rFonts w:hint="eastAsia" w:ascii="宋体" w:hAnsi="宋体" w:cs="宋体"/>
                <w:color w:val="auto"/>
                <w:kern w:val="0"/>
                <w:highlight w:val="none"/>
              </w:rPr>
              <w:t>3.5.3细化补充</w:t>
            </w:r>
          </w:p>
        </w:tc>
        <w:tc>
          <w:tcPr>
            <w:tcW w:w="5719"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3.5.3 “近年完成的类似项目情况表”后应附在交通运输部“全国公路建设市场监督管理系统”（网址：https://hwdms.mot.gov.cn/BMWebSite/）中查询到的企业“业绩信息”相关项目网页截图复印件，即包括“项目名称”、“标段类型”、“合同价”、“主要工程量”、“项目主要管理人员”等栏目在内的项目详细信息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pPr>
              <w:rPr>
                <w:rFonts w:hint="eastAsia"/>
                <w:color w:val="auto"/>
                <w:highlight w:val="none"/>
              </w:rPr>
            </w:pPr>
            <w:r>
              <w:rPr>
                <w:rFonts w:hint="eastAsia" w:ascii="宋体" w:hAnsi="宋体" w:cs="宋体"/>
                <w:color w:val="auto"/>
                <w:szCs w:val="21"/>
                <w:highlight w:val="none"/>
              </w:rPr>
              <w:t>如投标人未提供相关项目网页截图复印件或相关项目网页截图中的信息无法证实投标人满足招标文件规定的资格审查条件（业绩最低要求），可提供相关业绩的中标公示网页截图（须注明网址和查询路径）、中标通知书、合同协议书、工程接收证书（工程交工（或竣工）验收证书）[即：发包人出具的交工（或竣工）验收委员会出具的公路工程交工（或竣工）验收鉴定书或质量监督机构对各参建单位签发的工作综合评价等级证书]的复印件，每张表格只填写一个项目，并标明序号。如果投标人提供的上述证明材料均无法体现出“投标人须知附录3”中相应要求的，应增加提供由业主出具的证明材料（并加盖业主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restart"/>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3.5.4</w:t>
            </w:r>
          </w:p>
        </w:tc>
        <w:tc>
          <w:tcPr>
            <w:tcW w:w="2816" w:type="dxa"/>
            <w:vAlign w:val="center"/>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第3.5.4项修改</w:t>
            </w:r>
          </w:p>
        </w:tc>
        <w:tc>
          <w:tcPr>
            <w:tcW w:w="5719"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删除“以及由项目所在地或投标人住所地检察机关职务犯罪预防部门出具的近三年内投标人及其法定代表人、拟委任的项目经理均无行贿犯罪行为查询记录证明原件”依据《交通运输部关于取消一批证明事项的规定》（交法规【2020】1号）有关要求修改为“投标人书面承诺近三年内投标人及其法定代表人、拟委任的项目经理、项目总工均无行贿犯罪行为的承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continue"/>
            <w:vAlign w:val="center"/>
          </w:tcPr>
          <w:p>
            <w:pPr>
              <w:jc w:val="center"/>
              <w:rPr>
                <w:rFonts w:hint="eastAsia" w:ascii="宋体" w:hAnsi="宋体" w:cs="宋体"/>
                <w:color w:val="auto"/>
                <w:kern w:val="0"/>
                <w:szCs w:val="21"/>
                <w:highlight w:val="none"/>
              </w:rPr>
            </w:pPr>
          </w:p>
        </w:tc>
        <w:tc>
          <w:tcPr>
            <w:tcW w:w="2816" w:type="dxa"/>
            <w:vAlign w:val="center"/>
          </w:tcPr>
          <w:p>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highlight w:val="none"/>
              </w:rPr>
              <w:t>3.5.4细化补充</w:t>
            </w:r>
          </w:p>
        </w:tc>
        <w:tc>
          <w:tcPr>
            <w:tcW w:w="5719" w:type="dxa"/>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3.5.4 “投标人的信誉情况表”还应附投标人在国家企业信用信息公示系统中未被列入严重违法失信企业名单、在“信用中国”网站中未列入失信被执行人名单的网页截图复印件。</w:t>
            </w:r>
          </w:p>
          <w:p>
            <w:pPr>
              <w:jc w:val="left"/>
              <w:rPr>
                <w:rFonts w:hint="eastAsia" w:ascii="宋体" w:hAnsi="宋体" w:cs="宋体"/>
                <w:color w:val="auto"/>
                <w:szCs w:val="21"/>
                <w:highlight w:val="none"/>
              </w:rPr>
            </w:pPr>
            <w:r>
              <w:rPr>
                <w:rFonts w:hint="eastAsia" w:ascii="宋体" w:hAnsi="宋体" w:cs="宋体"/>
                <w:color w:val="auto"/>
                <w:szCs w:val="21"/>
                <w:highlight w:val="none"/>
              </w:rPr>
              <w:t>“投标人信誉情况表”后还应附第二章投标人须知前附表附录4所要求的内容的网页截屏复印件。</w:t>
            </w:r>
          </w:p>
          <w:p>
            <w:pPr>
              <w:wordWrap w:val="0"/>
              <w:jc w:val="left"/>
              <w:rPr>
                <w:rFonts w:hint="eastAsia" w:ascii="宋体" w:hAnsi="宋体" w:cs="宋体"/>
                <w:color w:val="auto"/>
                <w:szCs w:val="21"/>
                <w:highlight w:val="none"/>
              </w:rPr>
            </w:pPr>
            <w:r>
              <w:rPr>
                <w:rFonts w:hint="eastAsia" w:ascii="宋体" w:hAnsi="宋体" w:cs="宋体"/>
                <w:color w:val="auto"/>
                <w:szCs w:val="21"/>
                <w:highlight w:val="none"/>
              </w:rPr>
              <w:t>1、企业单位还应附国家企业信用信息公示系统（http://gsxt.gov.cn/）中“列入经营异常名录信息” 网页截图复印件。</w:t>
            </w:r>
          </w:p>
          <w:p>
            <w:pPr>
              <w:jc w:val="left"/>
              <w:rPr>
                <w:rFonts w:hint="eastAsia" w:ascii="宋体" w:hAnsi="宋体" w:cs="宋体"/>
                <w:color w:val="auto"/>
                <w:szCs w:val="21"/>
                <w:highlight w:val="none"/>
              </w:rPr>
            </w:pPr>
            <w:r>
              <w:rPr>
                <w:rFonts w:hint="eastAsia" w:ascii="宋体" w:hAnsi="宋体" w:cs="宋体"/>
                <w:color w:val="auto"/>
                <w:szCs w:val="21"/>
                <w:highlight w:val="none"/>
              </w:rPr>
              <w:t>2、投标人还应附“信用中国”网站中未列入失信被执行人名单的网页截图复印件。</w:t>
            </w:r>
          </w:p>
          <w:p>
            <w:pPr>
              <w:rPr>
                <w:rFonts w:hint="eastAsia" w:ascii="宋体" w:hAnsi="宋体" w:cs="宋体"/>
                <w:color w:val="auto"/>
                <w:szCs w:val="21"/>
                <w:highlight w:val="none"/>
              </w:rPr>
            </w:pPr>
            <w:r>
              <w:rPr>
                <w:rFonts w:hint="eastAsia" w:ascii="宋体" w:hAnsi="宋体" w:cs="宋体"/>
                <w:color w:val="auto"/>
                <w:szCs w:val="21"/>
                <w:highlight w:val="none"/>
              </w:rPr>
              <w:t>3、投标人须将近三年内投标人及其法定代表人、拟委任的项目经理、项目总工及无行贿犯罪行为的承诺填写在“第九章 投标文件格式 投标函7.补充其他说明中”，并将投标人及其法定代表人、拟委任的项目经理、项目总工名单（加盖单位公章）附在投标文件“第九章 投标文件格式 投标人的信誉情况表”后。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restart"/>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2816" w:type="dxa"/>
            <w:vAlign w:val="center"/>
          </w:tcPr>
          <w:p>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第3.5.5项修改</w:t>
            </w:r>
          </w:p>
        </w:tc>
        <w:tc>
          <w:tcPr>
            <w:tcW w:w="5719"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删除“如项目经理和项目总工仍在其他项目任职，则投标人应提供由该项目发包人出具的、承诺上述人员能够从该项目撤离的书面证明材料原件”依据《交通运输部关于取消一批证明事项的规定》（交法规【2020】1号）有关要求修改为“如项目经理和项目总工仍在其他项目任职，则投标人应提供承诺上述人员能够从该项目撤离的书面证明材料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continue"/>
            <w:vAlign w:val="center"/>
          </w:tcPr>
          <w:p>
            <w:pPr>
              <w:jc w:val="center"/>
              <w:rPr>
                <w:rFonts w:hint="eastAsia" w:ascii="宋体" w:hAnsi="宋体" w:cs="宋体"/>
                <w:color w:val="auto"/>
                <w:szCs w:val="21"/>
                <w:highlight w:val="none"/>
              </w:rPr>
            </w:pPr>
          </w:p>
        </w:tc>
        <w:tc>
          <w:tcPr>
            <w:tcW w:w="2816"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3.5.5项补充</w:t>
            </w:r>
          </w:p>
        </w:tc>
        <w:tc>
          <w:tcPr>
            <w:tcW w:w="5719" w:type="dxa"/>
            <w:vAlign w:val="center"/>
          </w:tcPr>
          <w:p>
            <w:pPr>
              <w:spacing w:line="300" w:lineRule="exact"/>
              <w:rPr>
                <w:rFonts w:hint="eastAsia" w:ascii="宋体" w:hAnsi="宋体" w:cs="宋体"/>
                <w:color w:val="auto"/>
                <w:kern w:val="0"/>
                <w:szCs w:val="21"/>
                <w:highlight w:val="none"/>
              </w:rPr>
            </w:pPr>
            <w:r>
              <w:rPr>
                <w:rFonts w:hint="eastAsia" w:ascii="宋体" w:hAnsi="宋体" w:cs="宋体"/>
                <w:color w:val="auto"/>
                <w:szCs w:val="21"/>
                <w:highlight w:val="none"/>
              </w:rPr>
              <w:t>3.5.5“拟委任的项目经理和项目总工资历表”后应附项目经理和项目总工的身份证、职称资格证书（须能体现相应的专业）的复印件。各种证明材料的复印件中姓名应完全一致。名称不一致的，按未提供证件或证明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restart"/>
            <w:vAlign w:val="center"/>
          </w:tcPr>
          <w:p>
            <w:pPr>
              <w:adjustRightInd w:val="0"/>
              <w:snapToGrid w:val="0"/>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3.7</w:t>
            </w:r>
          </w:p>
        </w:tc>
        <w:tc>
          <w:tcPr>
            <w:tcW w:w="2816" w:type="dxa"/>
            <w:vAlign w:val="center"/>
          </w:tcPr>
          <w:p>
            <w:pPr>
              <w:adjustRightInd w:val="0"/>
              <w:snapToGrid w:val="0"/>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第3.7.2项补充</w:t>
            </w:r>
          </w:p>
        </w:tc>
        <w:tc>
          <w:tcPr>
            <w:tcW w:w="5719" w:type="dxa"/>
            <w:vAlign w:val="center"/>
          </w:tcPr>
          <w:p>
            <w:pPr>
              <w:adjustRightInd w:val="0"/>
              <w:snapToGrid w:val="0"/>
              <w:spacing w:line="28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投标文件中填写的项目名称、标段号、招标人名称等关键信息应与招标文件一致。投标文件中填写的时间、投标人名称等关键信息应不得有明显严重错误。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continue"/>
            <w:vAlign w:val="center"/>
          </w:tcPr>
          <w:p>
            <w:pPr>
              <w:jc w:val="center"/>
              <w:rPr>
                <w:rFonts w:hint="eastAsia" w:ascii="宋体" w:hAnsi="宋体" w:cs="宋体"/>
                <w:color w:val="auto"/>
                <w:szCs w:val="21"/>
                <w:highlight w:val="none"/>
              </w:rPr>
            </w:pPr>
          </w:p>
        </w:tc>
        <w:tc>
          <w:tcPr>
            <w:tcW w:w="2816" w:type="dxa"/>
            <w:vAlign w:val="center"/>
          </w:tcPr>
          <w:p>
            <w:pPr>
              <w:adjustRightInd w:val="0"/>
              <w:snapToGrid w:val="0"/>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第3.7.3项修改为</w:t>
            </w:r>
          </w:p>
        </w:tc>
        <w:tc>
          <w:tcPr>
            <w:tcW w:w="5719" w:type="dxa"/>
            <w:vAlign w:val="center"/>
          </w:tcPr>
          <w:p>
            <w:pPr>
              <w:adjustRightInd w:val="0"/>
              <w:snapToGrid w:val="0"/>
              <w:spacing w:line="28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投标文件的制作应满足以下规定：</w:t>
            </w:r>
          </w:p>
          <w:p>
            <w:pPr>
              <w:adjustRightInd w:val="0"/>
              <w:snapToGrid w:val="0"/>
              <w:spacing w:line="28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（1）投标文件由投标人使用“天津市公共资源交易-投标服务平台 https://ebid.tjggzy.cn:8052”自带的“投标文件制作工具”制作生成。</w:t>
            </w:r>
          </w:p>
          <w:p>
            <w:pPr>
              <w:adjustRightInd w:val="0"/>
              <w:snapToGrid w:val="0"/>
              <w:spacing w:line="28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（2）投标人在编制投标文件时应建立分级目录，并按照分级目录编制相关内容。</w:t>
            </w:r>
          </w:p>
          <w:p>
            <w:pPr>
              <w:adjustRightInd w:val="0"/>
              <w:snapToGrid w:val="0"/>
              <w:spacing w:line="28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（3）投标文件中证明资料的“复印件”均为“原件的扫描件”，未标示“复印件”的证明资料均应直接制作生成。</w:t>
            </w:r>
          </w:p>
          <w:p>
            <w:pPr>
              <w:adjustRightInd w:val="0"/>
              <w:snapToGrid w:val="0"/>
              <w:spacing w:line="28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（4）投标文件中的已标价工程量清单数据文件应与招标人提供的工程量清单数据文件格式一致。</w:t>
            </w:r>
          </w:p>
          <w:p>
            <w:pPr>
              <w:adjustRightInd w:val="0"/>
              <w:snapToGrid w:val="0"/>
              <w:spacing w:line="28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（5）第九章“投标文件格式”中要求盖单位章的地方，投标人应使用CA数字证书加盖投标人的单位电子印章，联合体投标的，投标文件由联合体牵头人按上述规定加盖联合体牵头人单位电子印章。</w:t>
            </w:r>
          </w:p>
          <w:p>
            <w:pPr>
              <w:adjustRightInd w:val="0"/>
              <w:snapToGrid w:val="0"/>
              <w:spacing w:line="28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（6）投标文件制作完成后，投标人应使用CA数字证书对投标文件进行文件加密，形成加密的投标文件。</w:t>
            </w:r>
          </w:p>
          <w:p>
            <w:pPr>
              <w:adjustRightInd w:val="0"/>
              <w:snapToGrid w:val="0"/>
              <w:spacing w:line="28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（7）投标文件制作的具体方法详见“投标文件制作工具”中的帮助手册。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continue"/>
            <w:vAlign w:val="center"/>
          </w:tcPr>
          <w:p>
            <w:pPr>
              <w:jc w:val="center"/>
              <w:rPr>
                <w:rFonts w:hint="eastAsia" w:ascii="宋体" w:hAnsi="宋体" w:cs="宋体"/>
                <w:color w:val="auto"/>
                <w:szCs w:val="21"/>
                <w:highlight w:val="none"/>
              </w:rPr>
            </w:pPr>
          </w:p>
        </w:tc>
        <w:tc>
          <w:tcPr>
            <w:tcW w:w="2816" w:type="dxa"/>
            <w:vAlign w:val="center"/>
          </w:tcPr>
          <w:p>
            <w:pPr>
              <w:adjustRightInd w:val="0"/>
              <w:snapToGrid w:val="0"/>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第3.7.3项补充</w:t>
            </w:r>
          </w:p>
        </w:tc>
        <w:tc>
          <w:tcPr>
            <w:tcW w:w="5719" w:type="dxa"/>
            <w:vAlign w:val="center"/>
          </w:tcPr>
          <w:p>
            <w:pPr>
              <w:adjustRightInd w:val="0"/>
              <w:snapToGrid w:val="0"/>
              <w:spacing w:line="280" w:lineRule="exact"/>
              <w:ind w:firstLine="210" w:firstLineChars="100"/>
              <w:jc w:val="left"/>
              <w:rPr>
                <w:rFonts w:hint="eastAsia" w:ascii="宋体" w:hAnsi="宋体" w:cs="宋体"/>
                <w:color w:val="auto"/>
                <w:kern w:val="0"/>
                <w:szCs w:val="21"/>
                <w:highlight w:val="none"/>
              </w:rPr>
            </w:pPr>
            <w:r>
              <w:rPr>
                <w:rFonts w:hint="eastAsia"/>
                <w:color w:val="auto"/>
                <w:kern w:val="0"/>
                <w:szCs w:val="21"/>
                <w:highlight w:val="none"/>
              </w:rPr>
              <w:t>如果投标文件由委托代理人签署，则投标人需提交授权委托书及委托代理人在本单位社保系统打印的投标截止时间前三个月中任意一个月社会保险缴费证明明细并加盖公章，授权委托书应按第九章“投标文件格式”的要求出具，并由法定代表人和委托代理人亲笔签名，不得使用印章、签名章或其他电子制版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continue"/>
            <w:vAlign w:val="center"/>
          </w:tcPr>
          <w:p>
            <w:pPr>
              <w:jc w:val="center"/>
              <w:rPr>
                <w:rFonts w:hint="eastAsia" w:ascii="宋体" w:hAnsi="宋体" w:cs="宋体"/>
                <w:color w:val="auto"/>
                <w:szCs w:val="21"/>
                <w:highlight w:val="none"/>
              </w:rPr>
            </w:pPr>
          </w:p>
        </w:tc>
        <w:tc>
          <w:tcPr>
            <w:tcW w:w="2816" w:type="dxa"/>
            <w:vAlign w:val="center"/>
          </w:tcPr>
          <w:p>
            <w:pPr>
              <w:adjustRightInd w:val="0"/>
              <w:snapToGrid w:val="0"/>
              <w:spacing w:line="260" w:lineRule="exact"/>
              <w:jc w:val="center"/>
              <w:rPr>
                <w:rFonts w:hint="eastAsia" w:ascii="宋体" w:hAnsi="宋体"/>
                <w:color w:val="auto"/>
                <w:szCs w:val="21"/>
                <w:highlight w:val="none"/>
              </w:rPr>
            </w:pPr>
            <w:r>
              <w:rPr>
                <w:rFonts w:hint="eastAsia" w:ascii="宋体" w:hAnsi="宋体" w:cs="宋体"/>
                <w:color w:val="auto"/>
                <w:szCs w:val="21"/>
                <w:highlight w:val="none"/>
              </w:rPr>
              <w:t>第3.7.4项补充</w:t>
            </w:r>
          </w:p>
        </w:tc>
        <w:tc>
          <w:tcPr>
            <w:tcW w:w="5719" w:type="dxa"/>
            <w:vAlign w:val="center"/>
          </w:tcPr>
          <w:p>
            <w:pPr>
              <w:adjustRightInd w:val="0"/>
              <w:snapToGrid w:val="0"/>
              <w:spacing w:line="28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投标文件副本应为正本的彩色或黑白复印件。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7.8</w:t>
            </w:r>
          </w:p>
        </w:tc>
        <w:tc>
          <w:tcPr>
            <w:tcW w:w="2816" w:type="dxa"/>
            <w:vAlign w:val="center"/>
          </w:tcPr>
          <w:p>
            <w:pPr>
              <w:jc w:val="center"/>
              <w:rPr>
                <w:color w:val="auto"/>
                <w:szCs w:val="21"/>
                <w:highlight w:val="none"/>
              </w:rPr>
            </w:pPr>
            <w:r>
              <w:rPr>
                <w:rFonts w:hint="eastAsia" w:ascii="宋体" w:hAnsi="宋体" w:cs="宋体"/>
                <w:szCs w:val="21"/>
                <w:highlight w:val="none"/>
              </w:rPr>
              <w:t>补充第7.8.3（3）款</w:t>
            </w:r>
          </w:p>
        </w:tc>
        <w:tc>
          <w:tcPr>
            <w:tcW w:w="5719" w:type="dxa"/>
            <w:vAlign w:val="center"/>
          </w:tcPr>
          <w:p>
            <w:pPr>
              <w:spacing w:line="300" w:lineRule="exact"/>
              <w:rPr>
                <w:rFonts w:hint="eastAsia" w:ascii="宋体" w:hAnsi="宋体" w:cs="宋体"/>
                <w:color w:val="auto"/>
                <w:szCs w:val="21"/>
                <w:highlight w:val="none"/>
              </w:rPr>
            </w:pPr>
            <w:r>
              <w:rPr>
                <w:rFonts w:hint="eastAsia" w:ascii="宋体" w:hAnsi="宋体" w:cs="宋体"/>
                <w:kern w:val="0"/>
                <w:szCs w:val="21"/>
                <w:highlight w:val="none"/>
              </w:rPr>
              <w:t>7.8.3（3）签订合同前招标人将可能对中标人工程量清单中的不平衡报价进行调整。调整原则为：在保持其投标总价不变的前提下，对明显存在不平衡的工程子目单价进行调整，使其趋于平衡，中标人应无条件接受调整</w:t>
            </w:r>
            <w:r>
              <w:rPr>
                <w:rFonts w:hint="eastAsia" w:ascii="宋体" w:hAnsi="宋体" w:cs="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restart"/>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816" w:type="dxa"/>
            <w:vAlign w:val="center"/>
          </w:tcPr>
          <w:p>
            <w:pPr>
              <w:jc w:val="center"/>
              <w:rPr>
                <w:rFonts w:hint="eastAsia" w:ascii="宋体" w:hAnsi="宋体" w:cs="宋体"/>
                <w:color w:val="auto"/>
                <w:szCs w:val="21"/>
                <w:highlight w:val="none"/>
              </w:rPr>
            </w:pPr>
            <w:r>
              <w:rPr>
                <w:color w:val="auto"/>
                <w:szCs w:val="21"/>
                <w:highlight w:val="none"/>
              </w:rPr>
              <w:t>补充第10.2款</w:t>
            </w:r>
          </w:p>
        </w:tc>
        <w:tc>
          <w:tcPr>
            <w:tcW w:w="5719" w:type="dxa"/>
            <w:vAlign w:val="center"/>
          </w:tcPr>
          <w:p>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10.2投标人在中标后须按照《公路水运工程安全生产监督管理办法》规定的数量和资质条件配备专职安全生产管理人员。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continue"/>
            <w:vAlign w:val="center"/>
          </w:tcPr>
          <w:p>
            <w:pPr>
              <w:jc w:val="center"/>
              <w:rPr>
                <w:rFonts w:hint="eastAsia" w:ascii="宋体" w:hAnsi="宋体" w:cs="宋体"/>
                <w:b/>
                <w:color w:val="auto"/>
                <w:szCs w:val="21"/>
                <w:highlight w:val="none"/>
              </w:rPr>
            </w:pPr>
          </w:p>
        </w:tc>
        <w:tc>
          <w:tcPr>
            <w:tcW w:w="2816" w:type="dxa"/>
            <w:vAlign w:val="center"/>
          </w:tcPr>
          <w:p>
            <w:pPr>
              <w:jc w:val="center"/>
              <w:rPr>
                <w:rFonts w:hint="eastAsia" w:ascii="宋体" w:hAnsi="宋体" w:cs="宋体"/>
                <w:color w:val="auto"/>
                <w:szCs w:val="21"/>
                <w:highlight w:val="none"/>
              </w:rPr>
            </w:pPr>
            <w:r>
              <w:rPr>
                <w:color w:val="auto"/>
                <w:szCs w:val="21"/>
                <w:highlight w:val="none"/>
              </w:rPr>
              <w:t>补充第10.</w:t>
            </w:r>
            <w:r>
              <w:rPr>
                <w:rFonts w:hint="eastAsia"/>
                <w:color w:val="auto"/>
                <w:szCs w:val="21"/>
                <w:highlight w:val="none"/>
              </w:rPr>
              <w:t>3</w:t>
            </w:r>
            <w:r>
              <w:rPr>
                <w:color w:val="auto"/>
                <w:szCs w:val="21"/>
                <w:highlight w:val="none"/>
              </w:rPr>
              <w:t>款</w:t>
            </w:r>
          </w:p>
        </w:tc>
        <w:tc>
          <w:tcPr>
            <w:tcW w:w="5719" w:type="dxa"/>
            <w:vAlign w:val="center"/>
          </w:tcPr>
          <w:p>
            <w:pPr>
              <w:snapToGrid w:val="0"/>
              <w:spacing w:line="3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依据《公路工程建设项目招投标管理办法》（交通运输部令2015年第24号）第五十三条规定，中标人企业业绩及人员业绩将进行网上公示。若发现弄虚作假，将取消其中标资格，并上报监督管理部门，依据《中华人民共和国招标投标法》第五十四条、《中华人民共和国招标投标法实施条例》第六十八条和《公路工程建设项目招投标管理办法》第六十九条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continue"/>
            <w:vAlign w:val="center"/>
          </w:tcPr>
          <w:p>
            <w:pPr>
              <w:jc w:val="center"/>
              <w:rPr>
                <w:rFonts w:hint="eastAsia" w:ascii="宋体" w:hAnsi="宋体" w:cs="宋体"/>
                <w:b/>
                <w:color w:val="auto"/>
                <w:szCs w:val="21"/>
                <w:highlight w:val="none"/>
              </w:rPr>
            </w:pPr>
          </w:p>
        </w:tc>
        <w:tc>
          <w:tcPr>
            <w:tcW w:w="2816" w:type="dxa"/>
            <w:vAlign w:val="center"/>
          </w:tcPr>
          <w:p>
            <w:pPr>
              <w:jc w:val="center"/>
              <w:rPr>
                <w:rFonts w:hint="eastAsia" w:ascii="宋体" w:hAnsi="宋体" w:cs="宋体"/>
                <w:color w:val="auto"/>
                <w:szCs w:val="21"/>
                <w:highlight w:val="none"/>
              </w:rPr>
            </w:pPr>
            <w:r>
              <w:rPr>
                <w:color w:val="auto"/>
                <w:szCs w:val="21"/>
                <w:highlight w:val="none"/>
              </w:rPr>
              <w:t>补充第10.</w:t>
            </w:r>
            <w:r>
              <w:rPr>
                <w:rFonts w:hint="eastAsia"/>
                <w:color w:val="auto"/>
                <w:szCs w:val="21"/>
                <w:highlight w:val="none"/>
                <w:lang w:val="en-US" w:eastAsia="zh-CN"/>
              </w:rPr>
              <w:t>4</w:t>
            </w:r>
            <w:r>
              <w:rPr>
                <w:color w:val="auto"/>
                <w:szCs w:val="21"/>
                <w:highlight w:val="none"/>
              </w:rPr>
              <w:t>款</w:t>
            </w:r>
          </w:p>
        </w:tc>
        <w:tc>
          <w:tcPr>
            <w:tcW w:w="5719" w:type="dxa"/>
            <w:vAlign w:val="center"/>
          </w:tcPr>
          <w:p>
            <w:pPr>
              <w:wordWrap w:val="0"/>
              <w:spacing w:line="290" w:lineRule="atLeast"/>
              <w:rPr>
                <w:rFonts w:hint="eastAsia" w:ascii="宋体" w:hAnsi="宋体" w:cs="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lang w:val="en-US" w:eastAsia="zh-CN"/>
              </w:rPr>
              <w:t xml:space="preserve">4 </w:t>
            </w:r>
            <w:r>
              <w:rPr>
                <w:rFonts w:hint="eastAsia" w:ascii="宋体" w:hAnsi="宋体"/>
                <w:color w:val="auto"/>
                <w:szCs w:val="21"/>
                <w:highlight w:val="none"/>
              </w:rPr>
              <w:t>投标人应在国家企业信用信息公示系统（http://www.gsxt.gov.cn/）中自行公示除股东（股份公司为发起人）姓名以外的详细出资信息，并按照《企业信息公示暂行条例》（国务院令第654号）和国家工商总局关于贯彻落实《企业信息公示暂行条例》有关问题的通知（工商外企字[2014]166号）中的规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vMerge w:val="continue"/>
            <w:vAlign w:val="center"/>
          </w:tcPr>
          <w:p>
            <w:pPr>
              <w:jc w:val="center"/>
              <w:rPr>
                <w:rFonts w:hint="eastAsia" w:ascii="宋体" w:hAnsi="宋体" w:cs="宋体"/>
                <w:b/>
                <w:color w:val="auto"/>
                <w:szCs w:val="21"/>
                <w:highlight w:val="none"/>
              </w:rPr>
            </w:pPr>
          </w:p>
        </w:tc>
        <w:tc>
          <w:tcPr>
            <w:tcW w:w="2816" w:type="dxa"/>
            <w:vAlign w:val="center"/>
          </w:tcPr>
          <w:p>
            <w:pPr>
              <w:jc w:val="center"/>
              <w:rPr>
                <w:rFonts w:hint="eastAsia" w:ascii="宋体" w:hAnsi="宋体" w:cs="宋体"/>
                <w:color w:val="auto"/>
                <w:szCs w:val="21"/>
                <w:highlight w:val="none"/>
              </w:rPr>
            </w:pPr>
            <w:r>
              <w:rPr>
                <w:color w:val="auto"/>
                <w:szCs w:val="21"/>
                <w:highlight w:val="none"/>
              </w:rPr>
              <w:t>补充第10.</w:t>
            </w:r>
            <w:r>
              <w:rPr>
                <w:rFonts w:hint="eastAsia"/>
                <w:color w:val="auto"/>
                <w:szCs w:val="21"/>
                <w:highlight w:val="none"/>
                <w:lang w:val="en-US" w:eastAsia="zh-CN"/>
              </w:rPr>
              <w:t>5</w:t>
            </w:r>
            <w:r>
              <w:rPr>
                <w:color w:val="auto"/>
                <w:szCs w:val="21"/>
                <w:highlight w:val="none"/>
              </w:rPr>
              <w:t>款</w:t>
            </w:r>
          </w:p>
        </w:tc>
        <w:tc>
          <w:tcPr>
            <w:tcW w:w="5719" w:type="dxa"/>
            <w:vAlign w:val="center"/>
          </w:tcPr>
          <w:p>
            <w:pPr>
              <w:snapToGrid w:val="0"/>
              <w:spacing w:line="3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中标人请严格执行《市人力社保局等六部门关于铁路、公路、水运、水利、能源、机场工程建设项目参加工伤保险工作的实施意见》（津人社局发[2018]40号），按时足额为农民工交纳工伤保险。</w:t>
            </w:r>
            <w:r>
              <w:rPr>
                <w:rFonts w:hint="eastAsia" w:ascii="宋体" w:hAnsi="宋体" w:cs="宋体"/>
                <w:color w:val="auto"/>
                <w:szCs w:val="21"/>
                <w:highlight w:val="none"/>
                <w:lang w:eastAsia="zh-CN"/>
              </w:rPr>
              <w:t>并严格《遵守农民工保障支付条例》。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1157" w:hRule="atLeast"/>
          <w:jc w:val="center"/>
        </w:trPr>
        <w:tc>
          <w:tcPr>
            <w:tcW w:w="1261" w:type="dxa"/>
            <w:gridSpan w:val="2"/>
            <w:vMerge w:val="continue"/>
            <w:vAlign w:val="center"/>
          </w:tcPr>
          <w:p>
            <w:pPr>
              <w:jc w:val="center"/>
              <w:rPr>
                <w:rFonts w:hint="eastAsia" w:ascii="宋体" w:hAnsi="宋体" w:cs="宋体"/>
                <w:b/>
                <w:color w:val="auto"/>
                <w:szCs w:val="21"/>
                <w:highlight w:val="none"/>
              </w:rPr>
            </w:pPr>
          </w:p>
        </w:tc>
        <w:tc>
          <w:tcPr>
            <w:tcW w:w="2816" w:type="dxa"/>
            <w:vAlign w:val="center"/>
          </w:tcPr>
          <w:p>
            <w:pPr>
              <w:jc w:val="center"/>
              <w:rPr>
                <w:color w:val="auto"/>
                <w:szCs w:val="21"/>
                <w:highlight w:val="none"/>
              </w:rPr>
            </w:pPr>
            <w:r>
              <w:rPr>
                <w:color w:val="auto"/>
                <w:szCs w:val="21"/>
                <w:highlight w:val="none"/>
              </w:rPr>
              <w:t>补充第10.</w:t>
            </w:r>
            <w:r>
              <w:rPr>
                <w:rFonts w:hint="eastAsia"/>
                <w:color w:val="auto"/>
                <w:szCs w:val="21"/>
                <w:highlight w:val="none"/>
                <w:lang w:val="en-US" w:eastAsia="zh-CN"/>
              </w:rPr>
              <w:t>6</w:t>
            </w:r>
            <w:r>
              <w:rPr>
                <w:color w:val="auto"/>
                <w:szCs w:val="21"/>
                <w:highlight w:val="none"/>
              </w:rPr>
              <w:t>款</w:t>
            </w:r>
          </w:p>
        </w:tc>
        <w:tc>
          <w:tcPr>
            <w:tcW w:w="5719" w:type="dxa"/>
            <w:vAlign w:val="center"/>
          </w:tcPr>
          <w:p>
            <w:pPr>
              <w:snapToGrid w:val="0"/>
              <w:spacing w:line="300" w:lineRule="exact"/>
              <w:rPr>
                <w:rFonts w:hint="eastAsia" w:ascii="宋体" w:hAnsi="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ascii="宋体" w:hAnsi="宋体"/>
                <w:szCs w:val="21"/>
              </w:rPr>
              <w:t>根据天津市公共资源交易中心《关于明确公共资源交易中心收费标准的通知》，中标人须按照相关规定支付交易服务费用。该费用由投标人在投标报价中综合考虑,招标人不另行单独支付。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jc w:val="center"/>
        </w:trPr>
        <w:tc>
          <w:tcPr>
            <w:tcW w:w="1261" w:type="dxa"/>
            <w:gridSpan w:val="2"/>
            <w:tcBorders>
              <w:top w:val="nil"/>
            </w:tcBorders>
            <w:vAlign w:val="center"/>
          </w:tcPr>
          <w:p>
            <w:pPr>
              <w:jc w:val="center"/>
              <w:rPr>
                <w:rFonts w:hint="eastAsia" w:ascii="宋体" w:hAnsi="宋体" w:cs="宋体"/>
                <w:b/>
                <w:color w:val="auto"/>
                <w:szCs w:val="21"/>
                <w:highlight w:val="none"/>
              </w:rPr>
            </w:pPr>
          </w:p>
        </w:tc>
        <w:tc>
          <w:tcPr>
            <w:tcW w:w="2816" w:type="dxa"/>
            <w:vAlign w:val="center"/>
          </w:tcPr>
          <w:p>
            <w:pPr>
              <w:jc w:val="center"/>
              <w:rPr>
                <w:color w:val="auto"/>
                <w:szCs w:val="21"/>
                <w:highlight w:val="none"/>
              </w:rPr>
            </w:pPr>
            <w:r>
              <w:rPr>
                <w:color w:val="auto"/>
                <w:szCs w:val="21"/>
                <w:highlight w:val="none"/>
              </w:rPr>
              <w:t>补充第10.</w:t>
            </w:r>
            <w:r>
              <w:rPr>
                <w:rFonts w:hint="eastAsia"/>
                <w:color w:val="auto"/>
                <w:szCs w:val="21"/>
                <w:highlight w:val="none"/>
                <w:lang w:val="en-US" w:eastAsia="zh-CN"/>
              </w:rPr>
              <w:t>9</w:t>
            </w:r>
            <w:r>
              <w:rPr>
                <w:color w:val="auto"/>
                <w:szCs w:val="21"/>
                <w:highlight w:val="none"/>
              </w:rPr>
              <w:t>款</w:t>
            </w:r>
          </w:p>
        </w:tc>
        <w:tc>
          <w:tcPr>
            <w:tcW w:w="5719" w:type="dxa"/>
            <w:vAlign w:val="center"/>
          </w:tcPr>
          <w:p>
            <w:pPr>
              <w:snapToGrid w:val="0"/>
              <w:spacing w:line="300" w:lineRule="exact"/>
              <w:rPr>
                <w:color w:val="auto"/>
                <w:kern w:val="0"/>
                <w:szCs w:val="21"/>
                <w:highlight w:val="none"/>
              </w:rPr>
            </w:pPr>
            <w:r>
              <w:rPr>
                <w:color w:val="auto"/>
                <w:szCs w:val="21"/>
                <w:highlight w:val="none"/>
              </w:rPr>
              <w:t>本招标文件提到的“电子交易平台”均指“天津市公共资源工程建设招投标平台”。</w:t>
            </w:r>
          </w:p>
        </w:tc>
      </w:tr>
    </w:tbl>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4"/>
        <w:rPr>
          <w:rFonts w:hint="eastAsia" w:ascii="宋体" w:hAnsi="宋体" w:eastAsia="宋体" w:cs="宋体"/>
          <w:color w:val="auto"/>
          <w:highlight w:val="none"/>
        </w:rPr>
      </w:pPr>
      <w:bookmarkStart w:id="38" w:name="_Toc30104"/>
      <w:bookmarkStart w:id="39" w:name="_Toc234348753"/>
      <w:bookmarkStart w:id="40" w:name="_Toc511905831"/>
      <w:bookmarkStart w:id="41" w:name="_Toc234345933"/>
      <w:bookmarkStart w:id="42" w:name="_Toc234345718"/>
      <w:bookmarkStart w:id="43" w:name="_Toc234349327"/>
      <w:r>
        <w:rPr>
          <w:rFonts w:hint="eastAsia" w:ascii="宋体" w:hAnsi="宋体" w:eastAsia="宋体" w:cs="宋体"/>
          <w:color w:val="auto"/>
          <w:highlight w:val="none"/>
        </w:rPr>
        <w:t>附录1  资格审查文件（资质最低条件）</w:t>
      </w:r>
      <w:bookmarkEnd w:id="38"/>
      <w:bookmarkEnd w:id="39"/>
      <w:bookmarkEnd w:id="40"/>
      <w:bookmarkEnd w:id="41"/>
      <w:bookmarkEnd w:id="42"/>
      <w:bookmarkEnd w:id="43"/>
    </w:p>
    <w:tbl>
      <w:tblPr>
        <w:tblStyle w:val="18"/>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1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0" w:hRule="atLeast"/>
          <w:jc w:val="center"/>
        </w:trPr>
        <w:tc>
          <w:tcPr>
            <w:tcW w:w="9417" w:type="dxa"/>
            <w:vAlign w:val="center"/>
          </w:tcPr>
          <w:p>
            <w:pPr>
              <w:spacing w:line="360" w:lineRule="auto"/>
              <w:jc w:val="left"/>
              <w:rPr>
                <w:rFonts w:hint="eastAsia" w:ascii="宋体" w:hAnsi="宋体" w:cs="宋体"/>
                <w:color w:val="auto"/>
                <w:szCs w:val="21"/>
                <w:highlight w:val="none"/>
              </w:rPr>
            </w:pPr>
            <w:r>
              <w:rPr>
                <w:rFonts w:hint="eastAsia" w:ascii="宋体" w:hAnsi="宋体" w:cs="宋体"/>
                <w:sz w:val="21"/>
                <w:szCs w:val="21"/>
                <w:u w:val="single"/>
              </w:rPr>
              <w:t>投标人须具备以下资质之一：1、天津市交通运输主管部门颁发的原养护资质证书，类别级别要求为公路养护工程二类（乙级）资质（在有效期内）；</w:t>
            </w:r>
            <w:r>
              <w:rPr>
                <w:rFonts w:hint="eastAsia" w:ascii="宋体" w:hAnsi="宋体" w:cs="宋体"/>
                <w:sz w:val="21"/>
                <w:szCs w:val="21"/>
                <w:u w:val="single"/>
                <w:lang w:val="en-US" w:eastAsia="zh-CN"/>
              </w:rPr>
              <w:t>2、</w:t>
            </w:r>
            <w:r>
              <w:rPr>
                <w:rFonts w:hint="eastAsia" w:ascii="宋体" w:hAnsi="宋体" w:cs="宋体"/>
                <w:sz w:val="21"/>
                <w:szCs w:val="21"/>
                <w:u w:val="single"/>
              </w:rPr>
              <w:t>各省、自治区、直辖市人民政府交通运输主管部门颁发的养护资质证书，序列等级要求为路基路面养护</w:t>
            </w:r>
            <w:r>
              <w:rPr>
                <w:rFonts w:hint="eastAsia" w:ascii="宋体" w:hAnsi="宋体" w:cs="宋体"/>
                <w:sz w:val="21"/>
                <w:szCs w:val="21"/>
                <w:u w:val="single"/>
                <w:lang w:eastAsia="zh-CN"/>
              </w:rPr>
              <w:t>乙</w:t>
            </w:r>
            <w:r>
              <w:rPr>
                <w:rFonts w:hint="eastAsia" w:ascii="宋体" w:hAnsi="宋体" w:cs="宋体"/>
                <w:sz w:val="21"/>
                <w:szCs w:val="21"/>
                <w:u w:val="single"/>
              </w:rPr>
              <w:t>级、桥梁养护</w:t>
            </w:r>
            <w:r>
              <w:rPr>
                <w:rFonts w:hint="eastAsia" w:ascii="宋体" w:hAnsi="宋体" w:cs="宋体"/>
                <w:sz w:val="21"/>
                <w:szCs w:val="21"/>
                <w:u w:val="single"/>
                <w:lang w:eastAsia="zh-CN"/>
              </w:rPr>
              <w:t>乙</w:t>
            </w:r>
            <w:r>
              <w:rPr>
                <w:rFonts w:hint="eastAsia" w:ascii="宋体" w:hAnsi="宋体" w:cs="宋体"/>
                <w:sz w:val="21"/>
                <w:szCs w:val="21"/>
                <w:u w:val="single"/>
              </w:rPr>
              <w:t>级</w:t>
            </w:r>
            <w:r>
              <w:rPr>
                <w:rFonts w:hint="eastAsia" w:ascii="宋体" w:hAnsi="宋体" w:cs="宋体"/>
                <w:sz w:val="21"/>
                <w:szCs w:val="21"/>
                <w:u w:val="single"/>
                <w:lang w:eastAsia="zh-CN"/>
              </w:rPr>
              <w:t>及以上资质和交通安全设施养护资质</w:t>
            </w:r>
            <w:r>
              <w:rPr>
                <w:rFonts w:hint="eastAsia" w:ascii="宋体" w:hAnsi="宋体" w:cs="宋体"/>
                <w:color w:val="auto"/>
                <w:szCs w:val="21"/>
                <w:highlight w:val="none"/>
              </w:rPr>
              <w:t>。</w:t>
            </w:r>
          </w:p>
        </w:tc>
      </w:tr>
    </w:tbl>
    <w:p>
      <w:pPr>
        <w:rPr>
          <w:rFonts w:hint="eastAsia" w:ascii="宋体" w:hAnsi="宋体" w:cs="宋体"/>
          <w:color w:val="auto"/>
          <w:sz w:val="24"/>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4" w:name="_Toc511905832"/>
      <w:bookmarkStart w:id="45" w:name="_Toc234345934"/>
      <w:bookmarkStart w:id="46" w:name="_Toc234345719"/>
      <w:bookmarkStart w:id="47" w:name="_Toc7551"/>
      <w:bookmarkStart w:id="48" w:name="_Toc234348754"/>
      <w:bookmarkStart w:id="49" w:name="_Toc234349328"/>
      <w:r>
        <w:rPr>
          <w:rFonts w:hint="eastAsia" w:ascii="宋体" w:hAnsi="宋体" w:eastAsia="宋体" w:cs="宋体"/>
          <w:color w:val="auto"/>
          <w:highlight w:val="none"/>
        </w:rPr>
        <w:t>附录2  资格审查条件（财务最低要求）</w:t>
      </w:r>
      <w:bookmarkEnd w:id="44"/>
      <w:bookmarkEnd w:id="45"/>
      <w:bookmarkEnd w:id="46"/>
      <w:bookmarkEnd w:id="47"/>
      <w:bookmarkEnd w:id="48"/>
      <w:bookmarkEnd w:id="49"/>
    </w:p>
    <w:tbl>
      <w:tblPr>
        <w:tblStyle w:val="18"/>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72"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3" w:hRule="atLeast"/>
          <w:jc w:val="center"/>
        </w:trPr>
        <w:tc>
          <w:tcPr>
            <w:tcW w:w="9072" w:type="dxa"/>
            <w:vAlign w:val="center"/>
          </w:tcPr>
          <w:p>
            <w:pPr>
              <w:pStyle w:val="6"/>
              <w:rPr>
                <w:rFonts w:hint="eastAsia" w:ascii="宋体" w:hAnsi="宋体" w:cs="宋体"/>
                <w:color w:val="auto"/>
                <w:highlight w:val="none"/>
              </w:rPr>
            </w:pPr>
            <w:r>
              <w:rPr>
                <w:rFonts w:hint="eastAsia" w:ascii="宋体" w:hAnsi="宋体" w:cs="宋体"/>
                <w:color w:val="auto"/>
                <w:highlight w:val="none"/>
              </w:rPr>
              <w:t>“财务状况表”后企业单位应附2021年至2023年或2022年至2024年经会计师事务所或审计机构审计的财务会计报表，包括资产负债表、现金流量表、利润表和财务报表附注的复印件。投标人的成立时间少于三年的，应提供成立以来的财务状况表。</w:t>
            </w:r>
          </w:p>
          <w:p>
            <w:pPr>
              <w:pStyle w:val="6"/>
              <w:rPr>
                <w:rFonts w:hint="eastAsia" w:ascii="宋体" w:hAnsi="宋体" w:cs="宋体"/>
                <w:color w:val="auto"/>
                <w:highlight w:val="none"/>
              </w:rPr>
            </w:pPr>
            <w:r>
              <w:rPr>
                <w:rFonts w:hint="eastAsia" w:ascii="宋体" w:hAnsi="宋体" w:cs="宋体"/>
                <w:color w:val="auto"/>
                <w:highlight w:val="none"/>
              </w:rPr>
              <w:t>如果投标人为集团公司，上述的财务会计报表均指合并财务会计报表。</w:t>
            </w:r>
          </w:p>
        </w:tc>
      </w:tr>
    </w:tbl>
    <w:p>
      <w:pPr>
        <w:rPr>
          <w:rFonts w:hint="eastAsia" w:ascii="宋体" w:hAnsi="宋体" w:cs="宋体"/>
          <w:color w:val="auto"/>
          <w:sz w:val="24"/>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0" w:name="_Toc234345935"/>
      <w:bookmarkStart w:id="51" w:name="_Toc234349329"/>
      <w:bookmarkStart w:id="52" w:name="_Toc511905833"/>
      <w:bookmarkStart w:id="53" w:name="_Toc8754"/>
      <w:bookmarkStart w:id="54" w:name="_Toc234348755"/>
      <w:bookmarkStart w:id="55" w:name="_Toc234345720"/>
      <w:r>
        <w:rPr>
          <w:rFonts w:hint="eastAsia" w:ascii="宋体" w:hAnsi="宋体" w:eastAsia="宋体" w:cs="宋体"/>
          <w:color w:val="auto"/>
          <w:highlight w:val="none"/>
        </w:rPr>
        <w:t>附录3  资格审查条件（业绩最低要求）</w:t>
      </w:r>
      <w:bookmarkEnd w:id="50"/>
      <w:bookmarkEnd w:id="51"/>
      <w:bookmarkEnd w:id="52"/>
      <w:bookmarkEnd w:id="53"/>
      <w:bookmarkEnd w:id="54"/>
      <w:bookmarkEnd w:id="55"/>
    </w:p>
    <w:tbl>
      <w:tblPr>
        <w:tblStyle w:val="18"/>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72"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0" w:hRule="atLeast"/>
          <w:jc w:val="center"/>
        </w:trPr>
        <w:tc>
          <w:tcPr>
            <w:tcW w:w="9072" w:type="dxa"/>
            <w:vAlign w:val="center"/>
          </w:tcPr>
          <w:p>
            <w:pPr>
              <w:adjustRightInd w:val="0"/>
              <w:snapToGrid w:val="0"/>
              <w:spacing w:line="360" w:lineRule="auto"/>
              <w:ind w:firstLine="420" w:firstLineChars="200"/>
              <w:rPr>
                <w:rFonts w:hint="eastAsia"/>
                <w:color w:val="auto"/>
                <w:highlight w:val="none"/>
              </w:rPr>
            </w:pPr>
            <w:r>
              <w:rPr>
                <w:rFonts w:hint="eastAsia"/>
                <w:color w:val="auto"/>
                <w:highlight w:val="none"/>
              </w:rPr>
              <w:t>选择独立承担评价最佳的项目填写。具体要求如下：</w:t>
            </w:r>
          </w:p>
          <w:p>
            <w:pPr>
              <w:adjustRightInd w:val="0"/>
              <w:snapToGrid w:val="0"/>
              <w:spacing w:line="360" w:lineRule="auto"/>
              <w:ind w:firstLine="420" w:firstLineChars="200"/>
              <w:rPr>
                <w:rFonts w:hint="eastAsia"/>
                <w:color w:val="auto"/>
                <w:highlight w:val="none"/>
              </w:rPr>
            </w:pPr>
            <w:r>
              <w:rPr>
                <w:rFonts w:hint="eastAsia"/>
                <w:color w:val="auto"/>
                <w:highlight w:val="none"/>
              </w:rPr>
              <w:t>近五年内至少完成过</w:t>
            </w:r>
            <w:r>
              <w:rPr>
                <w:rFonts w:hint="eastAsia"/>
                <w:color w:val="auto"/>
                <w:highlight w:val="none"/>
                <w:lang w:eastAsia="zh-CN"/>
              </w:rPr>
              <w:t>一项公路养护工程施工业绩</w:t>
            </w:r>
            <w:r>
              <w:rPr>
                <w:rFonts w:hint="eastAsia"/>
                <w:color w:val="auto"/>
                <w:highlight w:val="none"/>
              </w:rPr>
              <w:t>。</w:t>
            </w:r>
          </w:p>
          <w:p>
            <w:pPr>
              <w:adjustRightInd w:val="0"/>
              <w:snapToGrid w:val="0"/>
              <w:spacing w:line="360" w:lineRule="auto"/>
              <w:ind w:firstLine="420" w:firstLineChars="200"/>
              <w:rPr>
                <w:color w:val="auto"/>
                <w:highlight w:val="none"/>
              </w:rPr>
            </w:pPr>
            <w:r>
              <w:rPr>
                <w:rFonts w:hint="eastAsia"/>
                <w:color w:val="auto"/>
                <w:highlight w:val="none"/>
              </w:rPr>
              <w:t>工程交工（或竣工）的时间为：2020年1月1日至投标截止之日。工程质量合格。</w:t>
            </w:r>
          </w:p>
        </w:tc>
      </w:tr>
    </w:tbl>
    <w:p>
      <w:pPr>
        <w:rPr>
          <w:rFonts w:hint="eastAsia" w:ascii="宋体" w:hAnsi="宋体" w:cs="宋体"/>
          <w:color w:val="auto"/>
          <w:sz w:val="24"/>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6" w:name="_Toc234349330"/>
      <w:bookmarkStart w:id="57" w:name="_Toc234345936"/>
      <w:bookmarkStart w:id="58" w:name="_Toc234348756"/>
      <w:bookmarkStart w:id="59" w:name="_Toc12054"/>
      <w:bookmarkStart w:id="60" w:name="_Toc234345721"/>
      <w:bookmarkStart w:id="61" w:name="_Toc511905834"/>
      <w:r>
        <w:rPr>
          <w:rFonts w:hint="eastAsia" w:ascii="宋体" w:hAnsi="宋体" w:eastAsia="宋体" w:cs="宋体"/>
          <w:color w:val="auto"/>
          <w:highlight w:val="none"/>
        </w:rPr>
        <w:t>附录4  资格审查条件（信誉最低要求）</w:t>
      </w:r>
      <w:bookmarkEnd w:id="56"/>
      <w:bookmarkEnd w:id="57"/>
      <w:bookmarkEnd w:id="58"/>
      <w:bookmarkEnd w:id="59"/>
      <w:bookmarkEnd w:id="60"/>
      <w:bookmarkEnd w:id="61"/>
    </w:p>
    <w:tbl>
      <w:tblPr>
        <w:tblStyle w:val="18"/>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72"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0" w:hRule="atLeast"/>
          <w:jc w:val="center"/>
        </w:trPr>
        <w:tc>
          <w:tcPr>
            <w:tcW w:w="9072" w:type="dxa"/>
            <w:vAlign w:val="center"/>
          </w:tcPr>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1、在国家企业信用信息公示系统（http://www.gsxt.gov.cn/）中无经营异常情况且未被列入严重违法失信企业名单；</w:t>
            </w:r>
          </w:p>
          <w:p>
            <w:pPr>
              <w:adjustRightInd w:val="0"/>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2、在“信用中国”网站（http://www.creditchina.gov.cn）中未被列入失信被执行人名单或在中国执行信息公开网（http://zxgk.court.gov.cn/shixin/）未被列入失信被执行人；</w:t>
            </w:r>
          </w:p>
        </w:tc>
      </w:tr>
    </w:tbl>
    <w:p>
      <w:pPr>
        <w:rPr>
          <w:rFonts w:hint="eastAsia" w:ascii="宋体" w:hAnsi="宋体" w:cs="宋体"/>
          <w:color w:val="auto"/>
          <w:sz w:val="24"/>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62" w:name="_Toc234349331"/>
      <w:bookmarkStart w:id="63" w:name="_Toc234345937"/>
      <w:bookmarkStart w:id="64" w:name="_Toc511905835"/>
      <w:bookmarkStart w:id="65" w:name="_Toc234345722"/>
      <w:bookmarkStart w:id="66" w:name="_Toc234348757"/>
      <w:bookmarkStart w:id="67" w:name="_Toc18146"/>
      <w:r>
        <w:rPr>
          <w:rFonts w:hint="eastAsia" w:ascii="宋体" w:hAnsi="宋体" w:eastAsia="宋体" w:cs="宋体"/>
          <w:color w:val="auto"/>
          <w:highlight w:val="none"/>
        </w:rPr>
        <w:t>附录5  资格审查条件（项目经理和项目总工最低要求）</w:t>
      </w:r>
      <w:bookmarkEnd w:id="62"/>
      <w:bookmarkEnd w:id="63"/>
      <w:bookmarkEnd w:id="64"/>
      <w:bookmarkEnd w:id="65"/>
      <w:bookmarkEnd w:id="66"/>
      <w:bookmarkEnd w:id="67"/>
    </w:p>
    <w:tbl>
      <w:tblPr>
        <w:tblStyle w:val="18"/>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313"/>
        <w:gridCol w:w="507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8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人  员</w:t>
            </w:r>
          </w:p>
        </w:tc>
        <w:tc>
          <w:tcPr>
            <w:tcW w:w="1313"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5072"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资 格 要 求</w:t>
            </w:r>
          </w:p>
        </w:tc>
        <w:tc>
          <w:tcPr>
            <w:tcW w:w="13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285"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313"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72" w:type="dxa"/>
            <w:vAlign w:val="center"/>
          </w:tcPr>
          <w:p>
            <w:pPr>
              <w:spacing w:line="360" w:lineRule="auto"/>
              <w:ind w:firstLine="240" w:firstLineChars="100"/>
              <w:rPr>
                <w:rFonts w:hint="eastAsia" w:ascii="宋体" w:hAnsi="宋体" w:cs="宋体"/>
                <w:color w:val="auto"/>
                <w:szCs w:val="21"/>
                <w:highlight w:val="none"/>
              </w:rPr>
            </w:pPr>
            <w:r>
              <w:rPr>
                <w:rFonts w:hint="eastAsia"/>
                <w:sz w:val="24"/>
              </w:rPr>
              <w:t>公路工程相关专业中级或以上技术职称</w:t>
            </w:r>
            <w:r>
              <w:rPr>
                <w:rFonts w:hint="eastAsia" w:ascii="宋体" w:hAnsi="宋体"/>
                <w:sz w:val="24"/>
              </w:rPr>
              <w:t>。</w:t>
            </w:r>
          </w:p>
        </w:tc>
        <w:tc>
          <w:tcPr>
            <w:tcW w:w="1346" w:type="dxa"/>
            <w:vMerge w:val="restart"/>
            <w:vAlign w:val="center"/>
          </w:tcPr>
          <w:p>
            <w:pPr>
              <w:jc w:val="center"/>
              <w:rPr>
                <w:rFonts w:hint="eastAsia" w:ascii="宋体" w:hAnsi="宋体" w:cs="宋体"/>
                <w:color w:val="auto"/>
                <w:sz w:val="24"/>
                <w:highlight w:val="none"/>
              </w:rPr>
            </w:pPr>
            <w:r>
              <w:rPr>
                <w:rFonts w:hint="eastAsia" w:ascii="宋体" w:hAnsi="宋体" w:cs="宋体"/>
                <w:color w:val="auto"/>
                <w:highlight w:val="none"/>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jc w:val="center"/>
        </w:trPr>
        <w:tc>
          <w:tcPr>
            <w:tcW w:w="1285"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项目总工</w:t>
            </w:r>
          </w:p>
        </w:tc>
        <w:tc>
          <w:tcPr>
            <w:tcW w:w="1313"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72" w:type="dxa"/>
            <w:vAlign w:val="center"/>
          </w:tcPr>
          <w:p>
            <w:pPr>
              <w:spacing w:line="360" w:lineRule="auto"/>
              <w:ind w:firstLine="240" w:firstLineChars="100"/>
              <w:rPr>
                <w:rFonts w:hint="eastAsia" w:ascii="宋体" w:hAnsi="宋体" w:cs="宋体"/>
                <w:color w:val="auto"/>
                <w:highlight w:val="none"/>
              </w:rPr>
            </w:pPr>
            <w:r>
              <w:rPr>
                <w:rFonts w:hint="eastAsia"/>
                <w:sz w:val="24"/>
              </w:rPr>
              <w:t>公路工程相关专业高级技术职称</w:t>
            </w:r>
            <w:r>
              <w:rPr>
                <w:rFonts w:hint="eastAsia" w:ascii="宋体" w:hAnsi="宋体"/>
                <w:sz w:val="24"/>
              </w:rPr>
              <w:t>。</w:t>
            </w:r>
          </w:p>
        </w:tc>
        <w:tc>
          <w:tcPr>
            <w:tcW w:w="1346" w:type="dxa"/>
            <w:vMerge w:val="continue"/>
            <w:vAlign w:val="center"/>
          </w:tcPr>
          <w:p>
            <w:pPr>
              <w:spacing w:line="400" w:lineRule="exact"/>
              <w:rPr>
                <w:rFonts w:hint="eastAsia" w:ascii="宋体" w:hAnsi="宋体" w:cs="宋体"/>
                <w:color w:val="auto"/>
                <w:highlight w:val="none"/>
              </w:rPr>
            </w:pPr>
          </w:p>
        </w:tc>
      </w:tr>
    </w:tbl>
    <w:p>
      <w:pPr>
        <w:autoSpaceDE w:val="0"/>
        <w:autoSpaceDN w:val="0"/>
        <w:adjustRightInd w:val="0"/>
        <w:snapToGrid w:val="0"/>
        <w:spacing w:line="240" w:lineRule="atLeast"/>
        <w:ind w:left="237" w:leftChars="113" w:firstLine="286" w:firstLineChars="159"/>
        <w:rPr>
          <w:rFonts w:hint="eastAsia" w:ascii="宋体" w:hAnsi="宋体" w:cs="宋体"/>
          <w:color w:val="auto"/>
          <w:sz w:val="18"/>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公路工程相关专业职称是指公路工程、桥梁工程、公路与桥梁工程、交通土建、隧道（地下结构）工程、交通工程等专业职称。</w:t>
      </w:r>
    </w:p>
    <w:p>
      <w:pPr>
        <w:pStyle w:val="4"/>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bookmarkEnd w:id="36"/>
      <w:bookmarkEnd w:id="37"/>
      <w:bookmarkStart w:id="68" w:name="_Toc21955"/>
      <w:r>
        <w:rPr>
          <w:rFonts w:hint="eastAsia" w:ascii="宋体" w:hAnsi="宋体" w:cs="宋体"/>
          <w:b/>
          <w:color w:val="auto"/>
          <w:sz w:val="28"/>
          <w:szCs w:val="28"/>
          <w:highlight w:val="none"/>
        </w:rPr>
        <w:t>1.总则</w:t>
      </w:r>
      <w:bookmarkEnd w:id="68"/>
    </w:p>
    <w:p>
      <w:pPr>
        <w:spacing w:line="420" w:lineRule="exact"/>
        <w:rPr>
          <w:rFonts w:hint="eastAsia" w:ascii="宋体" w:hAnsi="宋体" w:cs="宋体"/>
          <w:b/>
          <w:color w:val="auto"/>
          <w:sz w:val="24"/>
          <w:highlight w:val="none"/>
        </w:rPr>
      </w:pPr>
      <w:bookmarkStart w:id="69" w:name="_Toc234348761"/>
      <w:bookmarkStart w:id="70" w:name="_Toc234345725"/>
      <w:bookmarkStart w:id="71" w:name="_Toc234349335"/>
      <w:bookmarkStart w:id="72" w:name="_Toc234345940"/>
      <w:r>
        <w:rPr>
          <w:rFonts w:hint="eastAsia" w:ascii="宋体" w:hAnsi="宋体" w:cs="宋体"/>
          <w:b/>
          <w:color w:val="auto"/>
          <w:sz w:val="24"/>
          <w:highlight w:val="none"/>
        </w:rPr>
        <w:t>1.1项目概况</w:t>
      </w:r>
      <w:bookmarkEnd w:id="69"/>
      <w:bookmarkEnd w:id="70"/>
      <w:bookmarkEnd w:id="71"/>
      <w:bookmarkEnd w:id="7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1.1.1根据《中华人民共和国招标投标法》、《中华人民共和国招标投标法实施条例》、《公路工程建设项目招标投标管理办法》等有关法律、法规和规章的规定，本招标项目</w:t>
      </w:r>
      <w:r>
        <w:rPr>
          <w:rFonts w:hint="eastAsia" w:ascii="宋体" w:hAnsi="宋体" w:cs="宋体"/>
          <w:color w:val="auto"/>
          <w:szCs w:val="21"/>
          <w:highlight w:val="none"/>
          <w:lang w:val="en-US" w:eastAsia="zh-CN"/>
        </w:rPr>
        <w:t>已</w:t>
      </w:r>
      <w:r>
        <w:rPr>
          <w:rFonts w:hint="eastAsia" w:ascii="宋体" w:hAnsi="宋体" w:cs="宋体"/>
          <w:color w:val="auto"/>
          <w:szCs w:val="21"/>
          <w:highlight w:val="none"/>
        </w:rPr>
        <w:t>具备招标条件，现对本标段施工进行招标。</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1.1.2本招标项目招标人：见投标人须知前附表。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1.1.3本标段招标代理机构：见投标人须知前附表。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1.1.4本招标项目名称：见投标人须知前附表。</w:t>
      </w:r>
    </w:p>
    <w:p>
      <w:pPr>
        <w:spacing w:line="42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1.1.5本标段建设地点：见投标人须知前附表。</w:t>
      </w:r>
    </w:p>
    <w:p>
      <w:pPr>
        <w:spacing w:line="420" w:lineRule="exact"/>
        <w:rPr>
          <w:rFonts w:hint="eastAsia" w:ascii="宋体" w:hAnsi="宋体" w:cs="宋体"/>
          <w:b/>
          <w:color w:val="auto"/>
          <w:sz w:val="24"/>
          <w:highlight w:val="none"/>
        </w:rPr>
      </w:pPr>
      <w:bookmarkStart w:id="73" w:name="_Toc234349336"/>
      <w:bookmarkStart w:id="74" w:name="_Toc234345941"/>
      <w:bookmarkStart w:id="75" w:name="_Toc234348762"/>
      <w:bookmarkStart w:id="76" w:name="_Toc234345726"/>
      <w:r>
        <w:rPr>
          <w:rFonts w:hint="eastAsia" w:ascii="宋体" w:hAnsi="宋体" w:cs="宋体"/>
          <w:b/>
          <w:color w:val="auto"/>
          <w:sz w:val="24"/>
          <w:highlight w:val="none"/>
        </w:rPr>
        <w:t>1.2招标项目的资金来源和落实情况</w:t>
      </w:r>
      <w:bookmarkEnd w:id="73"/>
      <w:bookmarkEnd w:id="74"/>
      <w:bookmarkEnd w:id="75"/>
      <w:bookmarkEnd w:id="7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1.2.1资金来源及比例：见投标人须知前附表。</w:t>
      </w:r>
    </w:p>
    <w:p>
      <w:pPr>
        <w:spacing w:line="42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1.2.2资金落实情况：见投标人须知前附表。</w:t>
      </w:r>
    </w:p>
    <w:p>
      <w:pPr>
        <w:spacing w:line="420" w:lineRule="exact"/>
        <w:rPr>
          <w:rFonts w:hint="eastAsia" w:ascii="宋体" w:hAnsi="宋体" w:cs="宋体"/>
          <w:b/>
          <w:color w:val="auto"/>
          <w:sz w:val="24"/>
          <w:highlight w:val="none"/>
        </w:rPr>
      </w:pPr>
      <w:bookmarkStart w:id="77" w:name="_Toc234345727"/>
      <w:bookmarkStart w:id="78" w:name="_Toc234345942"/>
      <w:bookmarkStart w:id="79" w:name="_Toc234349337"/>
      <w:bookmarkStart w:id="80" w:name="_Toc234348763"/>
      <w:r>
        <w:rPr>
          <w:rFonts w:hint="eastAsia" w:ascii="宋体" w:hAnsi="宋体" w:cs="宋体"/>
          <w:b/>
          <w:color w:val="auto"/>
          <w:sz w:val="24"/>
          <w:highlight w:val="none"/>
        </w:rPr>
        <w:t>1.3招标范围、计划工期、质量要求</w:t>
      </w:r>
      <w:bookmarkEnd w:id="77"/>
      <w:bookmarkEnd w:id="78"/>
      <w:bookmarkEnd w:id="79"/>
      <w:bookmarkEnd w:id="80"/>
      <w:r>
        <w:rPr>
          <w:rFonts w:hint="eastAsia" w:ascii="宋体" w:hAnsi="宋体" w:cs="宋体"/>
          <w:b/>
          <w:color w:val="auto"/>
          <w:sz w:val="24"/>
          <w:highlight w:val="none"/>
        </w:rPr>
        <w:t>和安全目标</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1.3.1本次招标范围：见投标人须知前附表。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1.3.2本标段的计划工期：见投标人须知前附表。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1.3.3本标段的质量要求：见投标人须知前附表。</w:t>
      </w:r>
    </w:p>
    <w:p>
      <w:pPr>
        <w:spacing w:line="42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1.3.4本项目的安全目标：见投标人须知前附表。</w:t>
      </w:r>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1.4投标人资格要求(适用于未进行资格预审的)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1.4.1投标人应具备承担本标段施工的资质条件、能力和信誉。</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(l）资质条件：见投标人须知前附表；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(2）财务要求：见投标人须知前附表；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(3）业绩要求：见投标人须知前附表；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(4）信誉要求：见投标人须知前附表；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(5）项目经理和项目总工资格：见投标人须知前附表；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(6）其他要求：见投标人须知前附表。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需要提交的相关证明材料见本章第3.5款的规定。</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1.4.2投标人须知前附表规定接受联合体投标的，除应符合本章第1.4.1项和投标人须知前附表的要求外，还应遵守以下规定：</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(1)联合体各方应按招标文件提供的格式签订联合体协议书，明确联合体牵头人和各方权利义务，并承诺就中标项目向招标人承担连带责任；</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(3)联合体各方不得再以自己名义单独或参加其他联合体在同一标段中投标；</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(5)尽管委任了联合体牵头人，但联合体各成员在投标、签约与履行合同过程中，仍负有连带的和各自的法律责任。</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1.4.3投标人（包括联合体各成员）不得与本标段相关单位存在下列关联关系：</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(5)为本标段前期准备提供设计或咨询服务的法人或其他任何附属机构（单位）；</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(6)为本标段的监理人；</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(8)为本标段提供招标代理服务的；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(9)与本标段的监理人或代建人或招标代理机构同为一个法定代表人的；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(10)与本标段的监理人或代建人或招标代理机构相互控股或参股的；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法律法规或投标人须知前附表规定的其他情形。</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1.4.4投标人（包括联合体各成员）不存在下列不良状况或不良信用记录：</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被省级及以上交通主管部门取消项目所在地的投标资格且处于有效期内；</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(2)被责令停业，暂扣或吊销执照，或吊销资质证书；</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(3)进入清算程序，或被宣告破产，或其他丧失履约能力的情形；</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(4)在国家企业信用信息公示系统（http：//www.gsxt.gov.cn/）中被列入严重违法失信企业名单；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(5)在“信用中国”网站（http：//www.creditchina.gov.cn/）中被列入失信被执行人名单；</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(6)投标人或其法定代表人、拟委任的项目经理在近三年内有行贿犯罪行为的（行贿犯罪行为的认定以检察机关职务犯罪预防部门出具的查询结果为准）；</w:t>
      </w:r>
    </w:p>
    <w:p>
      <w:pPr>
        <w:spacing w:line="420" w:lineRule="exact"/>
        <w:ind w:firstLine="420" w:firstLineChars="200"/>
        <w:rPr>
          <w:rFonts w:hint="eastAsia" w:ascii="宋体" w:hAnsi="宋体" w:cs="宋体"/>
          <w:color w:val="auto"/>
          <w:szCs w:val="21"/>
          <w:highlight w:val="none"/>
        </w:rPr>
      </w:pPr>
      <w:bookmarkStart w:id="81" w:name="_Toc234345944"/>
      <w:bookmarkStart w:id="82" w:name="_Toc234349339"/>
      <w:bookmarkStart w:id="83" w:name="_Toc234348765"/>
      <w:bookmarkStart w:id="84" w:name="_Toc234345729"/>
      <w:r>
        <w:rPr>
          <w:rFonts w:hint="eastAsia" w:ascii="宋体" w:hAnsi="宋体" w:cs="宋体"/>
          <w:color w:val="auto"/>
          <w:szCs w:val="21"/>
          <w:highlight w:val="none"/>
        </w:rPr>
        <w:t>(7) 法律法规或投标人须知前附表规定的其他情形。</w:t>
      </w:r>
    </w:p>
    <w:p>
      <w:pPr>
        <w:spacing w:line="420" w:lineRule="exact"/>
        <w:ind w:firstLine="420" w:firstLineChars="200"/>
        <w:rPr>
          <w:rFonts w:hint="eastAsia" w:ascii="宋体" w:hAnsi="宋体" w:cs="宋体"/>
          <w:b/>
          <w:color w:val="auto"/>
          <w:sz w:val="24"/>
          <w:highlight w:val="none"/>
        </w:rPr>
      </w:pPr>
      <w:r>
        <w:rPr>
          <w:rFonts w:hint="eastAsia" w:ascii="宋体" w:hAnsi="宋体" w:cs="宋体"/>
          <w:color w:val="auto"/>
          <w:szCs w:val="21"/>
          <w:highlight w:val="none"/>
        </w:rPr>
        <w:t>1.4.5投标人（包括联合体各成员）应进入交通运输部“全国公路建设市场监督管理系统（https://hwdms.mot.gov.cn/）”中的公路工程施工资质企业名录，且投标人名称和资质与该名录中的相应企业名称和资质完全一致。投标人不满足本项规定条件的，将被否决投标。</w:t>
      </w:r>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1.5费用承担</w:t>
      </w:r>
      <w:bookmarkEnd w:id="81"/>
      <w:bookmarkEnd w:id="82"/>
      <w:bookmarkEnd w:id="83"/>
      <w:bookmarkEnd w:id="84"/>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spacing w:line="420" w:lineRule="exact"/>
        <w:rPr>
          <w:rFonts w:hint="eastAsia" w:ascii="宋体" w:hAnsi="宋体" w:cs="宋体"/>
          <w:b/>
          <w:color w:val="auto"/>
          <w:sz w:val="24"/>
          <w:highlight w:val="none"/>
        </w:rPr>
      </w:pPr>
      <w:bookmarkStart w:id="85" w:name="_Toc234345945"/>
      <w:bookmarkStart w:id="86" w:name="_Toc234349340"/>
      <w:bookmarkStart w:id="87" w:name="_Toc234348766"/>
      <w:bookmarkStart w:id="88" w:name="_Toc234345730"/>
      <w:r>
        <w:rPr>
          <w:rFonts w:hint="eastAsia" w:ascii="宋体" w:hAnsi="宋体" w:cs="宋体"/>
          <w:b/>
          <w:color w:val="auto"/>
          <w:sz w:val="24"/>
          <w:highlight w:val="none"/>
        </w:rPr>
        <w:t>1.6保密</w:t>
      </w:r>
      <w:bookmarkEnd w:id="85"/>
      <w:bookmarkEnd w:id="86"/>
      <w:bookmarkEnd w:id="87"/>
      <w:bookmarkEnd w:id="88"/>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参与招标投标活动的各方应对招标文件和投标文件中的商业和技术等秘密保密，否则应承担相应的法律责任。</w:t>
      </w:r>
    </w:p>
    <w:p>
      <w:pPr>
        <w:spacing w:line="420" w:lineRule="exact"/>
        <w:rPr>
          <w:rFonts w:hint="eastAsia" w:ascii="宋体" w:hAnsi="宋体" w:cs="宋体"/>
          <w:b/>
          <w:color w:val="auto"/>
          <w:sz w:val="24"/>
          <w:highlight w:val="none"/>
        </w:rPr>
      </w:pPr>
      <w:bookmarkStart w:id="89" w:name="_Toc234349341"/>
      <w:bookmarkStart w:id="90" w:name="_Toc234345731"/>
      <w:bookmarkStart w:id="91" w:name="_Toc234348767"/>
      <w:bookmarkStart w:id="92" w:name="_Toc234345946"/>
      <w:r>
        <w:rPr>
          <w:rFonts w:hint="eastAsia" w:ascii="宋体" w:hAnsi="宋体" w:cs="宋体"/>
          <w:b/>
          <w:color w:val="auto"/>
          <w:sz w:val="24"/>
          <w:highlight w:val="none"/>
        </w:rPr>
        <w:t>1.7语言文字</w:t>
      </w:r>
      <w:bookmarkEnd w:id="89"/>
      <w:bookmarkEnd w:id="90"/>
      <w:bookmarkEnd w:id="91"/>
      <w:bookmarkEnd w:id="9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招标投标文件使用的语言文字为中文。专用术语使用外文的，应附有中文注释。</w:t>
      </w:r>
    </w:p>
    <w:p>
      <w:pPr>
        <w:spacing w:line="420" w:lineRule="exact"/>
        <w:rPr>
          <w:rFonts w:hint="eastAsia" w:ascii="宋体" w:hAnsi="宋体" w:cs="宋体"/>
          <w:b/>
          <w:color w:val="auto"/>
          <w:sz w:val="24"/>
          <w:highlight w:val="none"/>
        </w:rPr>
      </w:pPr>
      <w:bookmarkStart w:id="93" w:name="_Toc234345732"/>
      <w:bookmarkStart w:id="94" w:name="_Toc234349342"/>
      <w:bookmarkStart w:id="95" w:name="_Toc234345947"/>
      <w:bookmarkStart w:id="96" w:name="_Toc234348768"/>
      <w:r>
        <w:rPr>
          <w:rFonts w:hint="eastAsia" w:ascii="宋体" w:hAnsi="宋体" w:cs="宋体"/>
          <w:b/>
          <w:color w:val="auto"/>
          <w:sz w:val="24"/>
          <w:highlight w:val="none"/>
        </w:rPr>
        <w:t>1.8计量单位</w:t>
      </w:r>
      <w:bookmarkEnd w:id="93"/>
      <w:bookmarkEnd w:id="94"/>
      <w:bookmarkEnd w:id="95"/>
      <w:bookmarkEnd w:id="9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spacing w:line="420" w:lineRule="exact"/>
        <w:rPr>
          <w:rFonts w:hint="eastAsia" w:ascii="宋体" w:hAnsi="宋体" w:cs="宋体"/>
          <w:b/>
          <w:color w:val="auto"/>
          <w:sz w:val="24"/>
          <w:highlight w:val="none"/>
        </w:rPr>
      </w:pPr>
      <w:bookmarkStart w:id="97" w:name="_Toc234349343"/>
      <w:bookmarkStart w:id="98" w:name="_Toc234345948"/>
      <w:bookmarkStart w:id="99" w:name="_Toc234348769"/>
      <w:bookmarkStart w:id="100" w:name="_Toc234345733"/>
      <w:r>
        <w:rPr>
          <w:rFonts w:hint="eastAsia" w:ascii="宋体" w:hAnsi="宋体" w:cs="宋体"/>
          <w:b/>
          <w:color w:val="auto"/>
          <w:sz w:val="24"/>
          <w:highlight w:val="none"/>
        </w:rPr>
        <w:t>1.9踏勘现场</w:t>
      </w:r>
      <w:bookmarkEnd w:id="97"/>
      <w:bookmarkEnd w:id="98"/>
      <w:bookmarkEnd w:id="99"/>
      <w:bookmarkEnd w:id="100"/>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1.9.2投标人踏勘现场发生的费用自理。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1.9.3除招标人的原因外，投标人自行负责在踏勘现场中所发生的人员伤亡和财产损失。</w:t>
      </w:r>
    </w:p>
    <w:p>
      <w:pP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1.9.4招标人在踏勘现场中介绍的工程场地和相关的周边环境情况，供投标人在编制投标文件时参考，招标人不对投标人据此作出的判断和决策负责。</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spacing w:line="420" w:lineRule="exact"/>
        <w:rPr>
          <w:rFonts w:hint="eastAsia" w:ascii="宋体" w:hAnsi="宋体" w:cs="宋体"/>
          <w:b/>
          <w:color w:val="auto"/>
          <w:sz w:val="24"/>
          <w:highlight w:val="none"/>
        </w:rPr>
      </w:pPr>
      <w:bookmarkStart w:id="101" w:name="_Toc234345949"/>
      <w:bookmarkStart w:id="102" w:name="_Toc234348770"/>
      <w:bookmarkStart w:id="103" w:name="_Toc234349344"/>
      <w:bookmarkStart w:id="104" w:name="_Toc234345734"/>
      <w:r>
        <w:rPr>
          <w:rFonts w:hint="eastAsia" w:ascii="宋体" w:hAnsi="宋体" w:cs="宋体"/>
          <w:b/>
          <w:color w:val="auto"/>
          <w:sz w:val="24"/>
          <w:highlight w:val="none"/>
        </w:rPr>
        <w:t>1.10投标预备会</w:t>
      </w:r>
      <w:bookmarkEnd w:id="101"/>
      <w:bookmarkEnd w:id="102"/>
      <w:bookmarkEnd w:id="103"/>
      <w:bookmarkEnd w:id="104"/>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1.10.1第一章“招标公告”或“投标邀请书”规定召开投标预备会的，招标人按规定的时间和地点召开投标预备会，澄清投标人提出的问题。</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1.10.2投标人应按投标人须知前附表规定的时间和形式将提出的问题送达招标人，以便招标人在会议期间澄清。</w:t>
      </w:r>
    </w:p>
    <w:p>
      <w:pPr>
        <w:spacing w:line="42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1.10.3投标预备会后，招标人将对投标人所提问题的澄清，以本章第2.2款规定的形式通知所有购买招标文件的投标人。该澄清内容为招标文件的组成部分。</w:t>
      </w:r>
    </w:p>
    <w:p>
      <w:pPr>
        <w:spacing w:line="420" w:lineRule="exact"/>
        <w:rPr>
          <w:rFonts w:hint="eastAsia" w:ascii="宋体" w:hAnsi="宋体" w:cs="宋体"/>
          <w:b/>
          <w:color w:val="auto"/>
          <w:sz w:val="24"/>
          <w:highlight w:val="none"/>
        </w:rPr>
      </w:pPr>
      <w:bookmarkStart w:id="105" w:name="_Toc234349345"/>
      <w:bookmarkStart w:id="106" w:name="_Toc234348771"/>
      <w:bookmarkStart w:id="107" w:name="_Toc234345735"/>
      <w:bookmarkStart w:id="108" w:name="_Toc234345950"/>
      <w:r>
        <w:rPr>
          <w:rFonts w:hint="eastAsia" w:ascii="宋体" w:hAnsi="宋体" w:cs="宋体"/>
          <w:b/>
          <w:color w:val="auto"/>
          <w:sz w:val="24"/>
          <w:highlight w:val="none"/>
        </w:rPr>
        <w:t>1.11分包</w:t>
      </w:r>
      <w:bookmarkEnd w:id="105"/>
      <w:bookmarkEnd w:id="106"/>
      <w:bookmarkEnd w:id="107"/>
      <w:bookmarkEnd w:id="108"/>
    </w:p>
    <w:p>
      <w:pPr>
        <w:spacing w:line="4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1.11.1</w:t>
      </w:r>
      <w:r>
        <w:rPr>
          <w:rFonts w:hint="eastAsia" w:ascii="宋体" w:hAnsi="宋体" w:cs="宋体"/>
          <w:color w:val="auto"/>
          <w:szCs w:val="21"/>
          <w:highlight w:val="none"/>
        </w:rPr>
        <w:t>拟在中标后将中标项目的部分非主体、非关键性工作进行分包的，应符合以下规定：</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（1）分包内容要求：允许分包的工程范围仅限于非关键性工程或适合专业化队伍施工的专业工程；招标人允许分包或不允许分包的专项工程（如有）应在投标人须知前附表中载明。</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（2）接受分包的第三人资质要求：分包人的资格能力应与其分包工程的标准和规模相适应，具备相应的专业承包资质或劳务分包资质。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（3）其他要求：投标人如有分包计划，应按第九章“投标文件格式”的要求填写“拟分包项目情况表”，明确拟分包的工程及规模，且投标人中标后的分包应满足合同条款第4.3款的相关要求。</w:t>
      </w:r>
    </w:p>
    <w:p>
      <w:pPr>
        <w:spacing w:line="4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1.11.2</w:t>
      </w:r>
      <w:r>
        <w:rPr>
          <w:rFonts w:hint="eastAsia" w:ascii="宋体" w:hAnsi="宋体" w:cs="宋体"/>
          <w:color w:val="auto"/>
          <w:szCs w:val="21"/>
          <w:highlight w:val="none"/>
        </w:rPr>
        <w:t>中标人不得向他人转让中标项目，接受分包的人不得再次分包。中标人应就分包项目向招标人负责，接受分包的人就分包项目承担连带责任。</w:t>
      </w:r>
    </w:p>
    <w:p>
      <w:pPr>
        <w:spacing w:line="420" w:lineRule="exact"/>
        <w:rPr>
          <w:rFonts w:hint="eastAsia" w:ascii="宋体" w:hAnsi="宋体" w:cs="宋体"/>
          <w:b/>
          <w:color w:val="auto"/>
          <w:sz w:val="24"/>
          <w:highlight w:val="none"/>
        </w:rPr>
      </w:pPr>
      <w:bookmarkStart w:id="109" w:name="_Toc234345951"/>
      <w:bookmarkStart w:id="110" w:name="_Toc234345736"/>
      <w:bookmarkStart w:id="111" w:name="_Toc234349346"/>
      <w:bookmarkStart w:id="112" w:name="_Toc234348772"/>
      <w:r>
        <w:rPr>
          <w:rFonts w:hint="eastAsia" w:ascii="宋体" w:hAnsi="宋体" w:cs="宋体"/>
          <w:b/>
          <w:color w:val="auto"/>
          <w:sz w:val="24"/>
          <w:highlight w:val="none"/>
        </w:rPr>
        <w:t>1.12响应和偏</w:t>
      </w:r>
      <w:bookmarkEnd w:id="109"/>
      <w:bookmarkEnd w:id="110"/>
      <w:bookmarkEnd w:id="111"/>
      <w:bookmarkEnd w:id="112"/>
      <w:r>
        <w:rPr>
          <w:rFonts w:hint="eastAsia" w:ascii="宋体" w:hAnsi="宋体" w:cs="宋体"/>
          <w:b/>
          <w:color w:val="auto"/>
          <w:sz w:val="24"/>
          <w:highlight w:val="none"/>
        </w:rPr>
        <w:t>差</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1.12.1投标文件偏离招标文件某些要求的，视为投标文件存在偏差。偏差包括重大偏差和细微偏差。</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1.12.2</w:t>
      </w:r>
      <w:r>
        <w:rPr>
          <w:rFonts w:hint="eastAsia" w:ascii="宋体" w:hAnsi="宋体" w:cs="宋体"/>
          <w:color w:val="auto"/>
          <w:szCs w:val="21"/>
          <w:highlight w:val="none"/>
          <w:lang w:val="zh-CN"/>
        </w:rPr>
        <w:t>投标文件应对招标文件的实质性要求和条件作出满足性或更有利于招标人的响应，否则，视为投标文件存在重大偏差，投标人的投标将被否决。</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投标文件存在第三章“评标办法”中所列任一否决投标情形的，均属于存在重大偏差。</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bCs/>
          <w:color w:val="auto"/>
          <w:szCs w:val="21"/>
          <w:highlight w:val="none"/>
          <w:lang w:val="zh-CN"/>
        </w:rPr>
        <w:t>1.12.3</w:t>
      </w:r>
      <w:r>
        <w:rPr>
          <w:rFonts w:hint="eastAsia" w:ascii="宋体" w:hAnsi="宋体" w:cs="宋体"/>
          <w:color w:val="auto"/>
          <w:szCs w:val="21"/>
          <w:highlight w:val="none"/>
          <w:lang w:val="zh-CN"/>
        </w:rPr>
        <w:t>投标文件屮的下列偏差为细微偏差:</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bCs/>
          <w:color w:val="auto"/>
          <w:szCs w:val="21"/>
          <w:highlight w:val="none"/>
          <w:lang w:val="zh-CN"/>
        </w:rPr>
        <w:t>(1)</w:t>
      </w:r>
      <w:r>
        <w:rPr>
          <w:rFonts w:hint="eastAsia" w:ascii="宋体" w:hAnsi="宋体" w:cs="宋体"/>
          <w:color w:val="auto"/>
          <w:szCs w:val="21"/>
          <w:highlight w:val="none"/>
          <w:lang w:val="zh-CN"/>
        </w:rPr>
        <w:t>在按照第三章“评标办法”的规定对投标价进行算术性错误修正及其他错误修正后，最终投标报价未超过最高投标限价（如有）的情况下，出现第三章</w:t>
      </w:r>
      <w:r>
        <w:rPr>
          <w:rFonts w:hint="eastAsia" w:ascii="宋体" w:hAnsi="宋体" w:cs="宋体"/>
          <w:bCs/>
          <w:color w:val="auto"/>
          <w:szCs w:val="21"/>
          <w:highlight w:val="none"/>
          <w:lang w:val="zh-CN"/>
        </w:rPr>
        <w:t>“</w:t>
      </w:r>
      <w:r>
        <w:rPr>
          <w:rFonts w:hint="eastAsia" w:ascii="宋体" w:hAnsi="宋体" w:cs="宋体"/>
          <w:color w:val="auto"/>
          <w:szCs w:val="21"/>
          <w:highlight w:val="none"/>
          <w:lang w:val="zh-CN"/>
        </w:rPr>
        <w:t>评标办法”规定的算术性错误和投标报价的其他错误</w:t>
      </w:r>
      <w:r>
        <w:rPr>
          <w:rFonts w:hint="eastAsia" w:ascii="宋体" w:hAnsi="宋体" w:cs="宋体"/>
          <w:bCs/>
          <w:color w:val="auto"/>
          <w:szCs w:val="21"/>
          <w:highlight w:val="none"/>
          <w:lang w:val="zh-CN"/>
        </w:rPr>
        <w:t>；</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(2)施工组织设计（合关键工程技术方案）和项目管理机构不够完善；</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(3)投标文件页码不连续、采用活页夹装订、个別文字有遗漏错误等不影响投标文件实质性内容的偏差。</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  评标委员会对投标文件中的细微偏差按如下规定处理：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(1)对于本章第l.12.3项(1)目所述的细微偏差，按照第三章“评标办法”的规定予以修正并要求投标人进行澄清；</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（3）对本章第1.12.3项(3)目所述的细微偏差，可要求投标人对细微偏差进行澄清。</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1.12.5投标人应根据招标文件的要求提供施工组织设计等内容以对招标文件做出响应。</w:t>
      </w:r>
    </w:p>
    <w:p>
      <w:pPr>
        <w:spacing w:line="420" w:lineRule="exact"/>
        <w:rPr>
          <w:rFonts w:hint="eastAsia" w:ascii="宋体" w:hAnsi="宋体" w:cs="宋体"/>
          <w:b/>
          <w:color w:val="auto"/>
          <w:sz w:val="28"/>
          <w:szCs w:val="28"/>
          <w:highlight w:val="none"/>
        </w:rPr>
      </w:pPr>
      <w:bookmarkStart w:id="113" w:name="_Toc234349347"/>
      <w:bookmarkStart w:id="114" w:name="_Toc234348773"/>
      <w:r>
        <w:rPr>
          <w:rFonts w:hint="eastAsia" w:ascii="宋体" w:hAnsi="宋体" w:cs="宋体"/>
          <w:b/>
          <w:color w:val="auto"/>
          <w:sz w:val="28"/>
          <w:szCs w:val="28"/>
          <w:highlight w:val="none"/>
        </w:rPr>
        <w:t>2.招标文件</w:t>
      </w:r>
      <w:bookmarkEnd w:id="113"/>
      <w:bookmarkEnd w:id="114"/>
    </w:p>
    <w:p>
      <w:pPr>
        <w:spacing w:line="420" w:lineRule="exact"/>
        <w:rPr>
          <w:rFonts w:hint="eastAsia" w:ascii="宋体" w:hAnsi="宋体" w:cs="宋体"/>
          <w:b/>
          <w:color w:val="auto"/>
          <w:sz w:val="24"/>
          <w:highlight w:val="none"/>
        </w:rPr>
      </w:pPr>
      <w:bookmarkStart w:id="115" w:name="_Toc234349348"/>
      <w:bookmarkStart w:id="116" w:name="_Toc234345952"/>
      <w:bookmarkStart w:id="117" w:name="_Toc234345737"/>
      <w:bookmarkStart w:id="118" w:name="_Toc234348774"/>
      <w:r>
        <w:rPr>
          <w:rFonts w:hint="eastAsia" w:ascii="宋体" w:hAnsi="宋体" w:cs="宋体"/>
          <w:b/>
          <w:color w:val="auto"/>
          <w:sz w:val="24"/>
          <w:highlight w:val="none"/>
        </w:rPr>
        <w:t>2.1招标文件的组成</w:t>
      </w:r>
      <w:bookmarkEnd w:id="115"/>
      <w:bookmarkEnd w:id="116"/>
      <w:bookmarkEnd w:id="117"/>
      <w:bookmarkEnd w:id="118"/>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本招标文件包括：</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(1)招标公告(或投标邀请书)；</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(2)投标人须知；</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(3)评标办法；</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(4)合同条款及格式；</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(5)工程量清单；</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(6)图纸；</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(7)技术规范；</w:t>
      </w:r>
    </w:p>
    <w:p>
      <w:pPr>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(8)工程量清单计价规则</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(9)投标文件格式；</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(10)投标人须知前附表规定的其他材料。</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根据本章第1.10款、第2.2款和第2.3款对招标文件所作的澄清、修改，构成招标文件的组成部分。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当招标文件、招标文件的澄清或修改等在同一内容的表述上不一致时，以最后发出的书面文件为准。</w:t>
      </w:r>
    </w:p>
    <w:p>
      <w:pPr>
        <w:spacing w:line="420" w:lineRule="exact"/>
        <w:rPr>
          <w:rFonts w:hint="eastAsia" w:ascii="宋体" w:hAnsi="宋体" w:cs="宋体"/>
          <w:b/>
          <w:color w:val="auto"/>
          <w:sz w:val="24"/>
          <w:highlight w:val="none"/>
        </w:rPr>
      </w:pPr>
      <w:bookmarkStart w:id="119" w:name="_Toc234345953"/>
      <w:bookmarkStart w:id="120" w:name="_Toc234345738"/>
      <w:bookmarkStart w:id="121" w:name="_Toc234349349"/>
      <w:bookmarkStart w:id="122" w:name="_Toc234348775"/>
      <w:r>
        <w:rPr>
          <w:rFonts w:hint="eastAsia" w:ascii="宋体" w:hAnsi="宋体" w:cs="宋体"/>
          <w:b/>
          <w:color w:val="auto"/>
          <w:sz w:val="24"/>
          <w:highlight w:val="none"/>
        </w:rPr>
        <w:t>2.2招标文件的澄清</w:t>
      </w:r>
      <w:bookmarkEnd w:id="119"/>
      <w:bookmarkEnd w:id="120"/>
      <w:bookmarkEnd w:id="121"/>
      <w:bookmarkEnd w:id="12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招标文件的澄清将在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招标文件澄清发出的同时，“电子交易平台”以手机短信或邮件的方式提醒投标人登录平台查看。投标人应注意及时浏览网上发出的澄清，因投标人自身原因未及时获知澄清内容而导致的任何后果将由投标人自行承担。</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2.2.4除非招标人认为确有必要答复，否则，招标人有权拒绝回复投标人在本章第</w:t>
      </w:r>
      <w:r>
        <w:rPr>
          <w:rFonts w:hint="eastAsia" w:ascii="宋体" w:hAnsi="宋体" w:cs="宋体"/>
          <w:b/>
          <w:bCs/>
          <w:color w:val="auto"/>
          <w:szCs w:val="21"/>
          <w:highlight w:val="none"/>
        </w:rPr>
        <w:t>2.2.1</w:t>
      </w:r>
      <w:r>
        <w:rPr>
          <w:rFonts w:hint="eastAsia" w:ascii="宋体" w:hAnsi="宋体" w:cs="宋体"/>
          <w:color w:val="auto"/>
          <w:szCs w:val="21"/>
          <w:highlight w:val="none"/>
        </w:rPr>
        <w:t>项规定的时间后提出的任何澄淸要求。</w:t>
      </w:r>
    </w:p>
    <w:p>
      <w:pPr>
        <w:spacing w:line="420" w:lineRule="exact"/>
        <w:rPr>
          <w:rFonts w:hint="eastAsia" w:ascii="宋体" w:hAnsi="宋体" w:cs="宋体"/>
          <w:b/>
          <w:color w:val="auto"/>
          <w:sz w:val="24"/>
          <w:highlight w:val="none"/>
        </w:rPr>
      </w:pPr>
      <w:bookmarkStart w:id="123" w:name="_Toc234349350"/>
      <w:bookmarkStart w:id="124" w:name="_Toc234345954"/>
      <w:bookmarkStart w:id="125" w:name="_Toc234348776"/>
      <w:bookmarkStart w:id="126" w:name="_Toc234345739"/>
      <w:r>
        <w:rPr>
          <w:rFonts w:hint="eastAsia" w:ascii="宋体" w:hAnsi="宋体" w:cs="宋体"/>
          <w:b/>
          <w:color w:val="auto"/>
          <w:sz w:val="24"/>
          <w:highlight w:val="none"/>
        </w:rPr>
        <w:t>2.3招标文件的修改</w:t>
      </w:r>
      <w:bookmarkEnd w:id="123"/>
      <w:bookmarkEnd w:id="124"/>
      <w:bookmarkEnd w:id="125"/>
      <w:bookmarkEnd w:id="12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招标人以投标人须知前附表规定的形式修改招标文件，并通知所有已购买招标文件的投标人。如果修改招标文件的时间距本章第4.2.1项规定的投标截止时间不足15天，且修改内容可能影响投标文件编制的，将相应延长投标截止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招标文件修改发出的同时，“电子交易平台”以手机短信或邮件的方式提醒投标人登录平台查看。投标人应注意及时浏览网上发出的修改，因投标人自身原因未及时获知修改内容而导致的任何后果将由投标人自行承担。</w:t>
      </w:r>
    </w:p>
    <w:p>
      <w:pPr>
        <w:autoSpaceDE w:val="0"/>
        <w:autoSpaceDN w:val="0"/>
        <w:adjustRightInd w:val="0"/>
        <w:spacing w:line="420" w:lineRule="exact"/>
        <w:jc w:val="left"/>
        <w:rPr>
          <w:rFonts w:hint="eastAsia" w:ascii="宋体" w:hAnsi="宋体" w:cs="宋体"/>
          <w:color w:val="auto"/>
          <w:kern w:val="0"/>
          <w:sz w:val="23"/>
          <w:szCs w:val="23"/>
          <w:highlight w:val="none"/>
        </w:rPr>
      </w:pPr>
      <w:r>
        <w:rPr>
          <w:rFonts w:hint="eastAsia" w:ascii="宋体" w:hAnsi="宋体" w:cs="宋体"/>
          <w:b/>
          <w:color w:val="auto"/>
          <w:sz w:val="24"/>
          <w:highlight w:val="none"/>
        </w:rPr>
        <w:t xml:space="preserve">2.4 招标文件的异议 </w:t>
      </w:r>
    </w:p>
    <w:p>
      <w:pPr>
        <w:spacing w:line="420" w:lineRule="exact"/>
        <w:ind w:firstLine="420" w:firstLineChars="200"/>
        <w:rPr>
          <w:rFonts w:hint="eastAsia" w:ascii="宋体" w:hAnsi="宋体" w:cs="宋体"/>
          <w:color w:val="auto"/>
          <w:szCs w:val="21"/>
          <w:highlight w:val="none"/>
        </w:rPr>
      </w:pPr>
      <w:bookmarkStart w:id="127" w:name="_Toc234349351"/>
      <w:bookmarkStart w:id="128" w:name="_Toc234348777"/>
      <w:r>
        <w:rPr>
          <w:rFonts w:hint="eastAsia" w:ascii="宋体" w:hAnsi="宋体" w:cs="宋体"/>
          <w:color w:val="auto"/>
          <w:szCs w:val="21"/>
          <w:highlight w:val="none"/>
        </w:rPr>
        <w:t>投标人或者其他利害关系人对招标文件有异议的，应当在投标截止时间10日前以书面形式提出。招标人将在收到异议之日起3日内作出答复；作出答复前，应当暂停招标投标活动。提出异议与作出答复均应通过“电子交易平台”在“异议与答复”菜单以书面形式完成。</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投标人或者其他利害关系人对招标文件有异议的，应当在投标截止时间10日前以书面形式提出。招标人将在收到异议之日起3日内作出答复；作出答复前，应当暂停招标投标活动。</w:t>
      </w:r>
    </w:p>
    <w:p>
      <w:pPr>
        <w:spacing w:line="4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3.投标文件</w:t>
      </w:r>
      <w:bookmarkEnd w:id="127"/>
      <w:bookmarkEnd w:id="128"/>
    </w:p>
    <w:p>
      <w:pPr>
        <w:spacing w:line="420" w:lineRule="exact"/>
        <w:rPr>
          <w:rFonts w:hint="eastAsia" w:ascii="宋体" w:hAnsi="宋体" w:cs="宋体"/>
          <w:b/>
          <w:color w:val="auto"/>
          <w:sz w:val="24"/>
          <w:highlight w:val="none"/>
        </w:rPr>
      </w:pPr>
      <w:bookmarkStart w:id="129" w:name="_Toc234345955"/>
      <w:bookmarkStart w:id="130" w:name="_Toc234349352"/>
      <w:bookmarkStart w:id="131" w:name="_Toc234345740"/>
      <w:bookmarkStart w:id="132" w:name="_Toc234348778"/>
      <w:r>
        <w:rPr>
          <w:rFonts w:hint="eastAsia" w:ascii="宋体" w:hAnsi="宋体" w:cs="宋体"/>
          <w:b/>
          <w:color w:val="auto"/>
          <w:sz w:val="24"/>
          <w:highlight w:val="none"/>
        </w:rPr>
        <w:t>3.1投标文件的组成</w:t>
      </w:r>
      <w:bookmarkEnd w:id="129"/>
      <w:bookmarkEnd w:id="130"/>
      <w:bookmarkEnd w:id="131"/>
      <w:bookmarkEnd w:id="132"/>
    </w:p>
    <w:p>
      <w:pPr>
        <w:spacing w:line="420" w:lineRule="exact"/>
        <w:ind w:firstLine="420" w:firstLineChars="200"/>
        <w:rPr>
          <w:rFonts w:hint="eastAsia" w:ascii="宋体" w:hAnsi="宋体" w:cs="宋体"/>
          <w:color w:val="auto"/>
          <w:szCs w:val="21"/>
          <w:highlight w:val="none"/>
        </w:rPr>
      </w:pPr>
      <w:bookmarkStart w:id="133" w:name="_Toc234349353"/>
      <w:bookmarkStart w:id="134" w:name="_Toc234345741"/>
      <w:bookmarkStart w:id="135" w:name="_Toc234345956"/>
      <w:bookmarkStart w:id="136" w:name="_Toc234348779"/>
      <w:r>
        <w:rPr>
          <w:rFonts w:hint="eastAsia" w:ascii="宋体" w:hAnsi="宋体" w:cs="宋体"/>
          <w:color w:val="auto"/>
          <w:szCs w:val="21"/>
          <w:highlight w:val="none"/>
        </w:rPr>
        <w:t>根据投标人须知前附表规定的不同形式，投标文件的组成应满足相应条款要求。</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若采用双信封形式，第3.1.1项采用以下条款：</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3.1.1投标文件应包括下列内容：</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第一个信封(商务及技术文件)：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(1)投标函及投标函附录；</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(2)授权委托书或法定代表人身份证明；</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(3)联合体协议书；</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(5)施工组织设计；</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(6)项目管理机构；</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(7)拟分包项目情况表；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(8)资格审查资料；</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(9)投标人须知前附表规定的其他材料。</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第二个信封(报价文件)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(1)调价函及调价后的工程量清单(如有)；</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(2)投标函；</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(3)已标价工程量清单；</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(4)合同用款估算表。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投标人在评标过程中作出的符合法律法规和招标文件规定的澄清确认，构成投标文件的组成部分。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3.1.2投标人须知前附表规定不接受联合体投标的，或投标人没有组成联合体的，投标文件不包括本章第3.1.1 (3）目所指的联合体协议书。</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3.1.3投标人须知前附表未要求提交投标保证金的，投标文件不包括本章第3.1.1（4）目所指的投标保证金。</w:t>
      </w:r>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3.2投标报价</w:t>
      </w:r>
      <w:bookmarkEnd w:id="133"/>
      <w:bookmarkEnd w:id="134"/>
      <w:bookmarkEnd w:id="135"/>
      <w:bookmarkEnd w:id="13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3.2.1投标报价应包括国家规定的增值税税金，除投标人须知前附表另有规定外，增值税税金按一般计税方法计算。投标人应按第九章“投标文件格式”的耍求在投标函中进行报价并填写工程量淸单相应表格。</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工程量清单的填写分下列两种方式。投标人应按投标人须知前附表规定的方式填写工程量清单。</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招标采用工程量固化清单，招标人在出售招标文件的同时向投标人提供工程量固化清单电子文件(光盘或U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必须严格遵循工程量固化清单电子文件中的数据、格式及运算定义，并将已填写完毕的投标工程量清单电子文件单独拷入招标人提供的光盘(或U盘)中，密封在投标文件正本内一并交回。严禁投标人修改工程量固化清单电子文件中的数据、格式及运算定义。</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投标人根据招标人提供的工程量固化清单电子文件填报完成并打印的投标工程量清单中的投标报价和投标函大写金额报价应一致，如果报价金额出现差异时，其投标将被否决。</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3.2.2</w:t>
      </w:r>
      <w:r>
        <w:rPr>
          <w:rFonts w:hint="eastAsia" w:ascii="宋体" w:hAnsi="宋体" w:cs="宋体"/>
          <w:color w:val="auto"/>
          <w:szCs w:val="21"/>
          <w:highlight w:val="none"/>
          <w:lang w:val="zh-CN"/>
        </w:rPr>
        <w:t>投标人应充分了解该项目的总体情况以及影响投标报价的其他要素。</w:t>
      </w:r>
    </w:p>
    <w:p>
      <w:pPr>
        <w:spacing w:line="420" w:lineRule="exact"/>
        <w:ind w:firstLine="422" w:firstLineChars="200"/>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3.2.3</w:t>
      </w:r>
      <w:r>
        <w:rPr>
          <w:rFonts w:hint="eastAsia" w:ascii="宋体" w:hAnsi="宋体" w:cs="宋体"/>
          <w:color w:val="auto"/>
          <w:szCs w:val="21"/>
          <w:highlight w:val="none"/>
          <w:lang w:val="zh-CN"/>
        </w:rPr>
        <w:t>本项目的报价方式见投标人须知前附表。投标人在投标截止时间前修改投标函中的投标总报价，应同时修改投标文件“已标价工程量清单</w:t>
      </w:r>
      <w:r>
        <w:rPr>
          <w:rFonts w:hint="eastAsia" w:ascii="宋体" w:hAnsi="宋体" w:cs="宋体"/>
          <w:b/>
          <w:bCs/>
          <w:color w:val="auto"/>
          <w:szCs w:val="21"/>
          <w:highlight w:val="none"/>
          <w:lang w:val="zh-CN"/>
        </w:rPr>
        <w:t>”</w:t>
      </w:r>
      <w:r>
        <w:rPr>
          <w:rFonts w:hint="eastAsia" w:ascii="宋体" w:hAnsi="宋体" w:cs="宋体"/>
          <w:color w:val="auto"/>
          <w:szCs w:val="21"/>
          <w:highlight w:val="none"/>
          <w:lang w:val="zh-CN"/>
        </w:rPr>
        <w:t>中的相应报价，此修改须符合本章第</w:t>
      </w:r>
      <w:r>
        <w:rPr>
          <w:rFonts w:hint="eastAsia" w:ascii="宋体" w:hAnsi="宋体" w:cs="宋体"/>
          <w:b/>
          <w:bCs/>
          <w:color w:val="auto"/>
          <w:szCs w:val="21"/>
          <w:highlight w:val="none"/>
          <w:lang w:val="zh-CN"/>
        </w:rPr>
        <w:t>4.3</w:t>
      </w:r>
      <w:r>
        <w:rPr>
          <w:rFonts w:hint="eastAsia" w:ascii="宋体" w:hAnsi="宋体" w:cs="宋体"/>
          <w:color w:val="auto"/>
          <w:szCs w:val="21"/>
          <w:highlight w:val="none"/>
          <w:lang w:val="zh-CN"/>
        </w:rPr>
        <w:t>款的有关要求。</w:t>
      </w:r>
    </w:p>
    <w:p>
      <w:pPr>
        <w:spacing w:line="420" w:lineRule="exact"/>
        <w:ind w:firstLine="422" w:firstLineChars="200"/>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3.2.4</w:t>
      </w:r>
      <w:r>
        <w:rPr>
          <w:rFonts w:hint="eastAsia" w:ascii="宋体" w:hAnsi="宋体" w:cs="宋体"/>
          <w:color w:val="auto"/>
          <w:szCs w:val="21"/>
          <w:highlight w:val="none"/>
          <w:lang w:val="zh-CN"/>
        </w:rPr>
        <w:t>投标人如果发现工程量清单中的数量与图纸中数量不一致时，应立即通知招标人核查，除非招标人以书面方式予以更正，否则，应以工程量清单中列出的数量为准。</w:t>
      </w:r>
    </w:p>
    <w:p>
      <w:pPr>
        <w:spacing w:line="420" w:lineRule="exact"/>
        <w:ind w:firstLine="422" w:firstLineChars="200"/>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3.2.5</w:t>
      </w:r>
      <w:r>
        <w:rPr>
          <w:rFonts w:hint="eastAsia" w:ascii="宋体" w:hAnsi="宋体" w:cs="宋体"/>
          <w:color w:val="auto"/>
          <w:szCs w:val="21"/>
          <w:highlight w:val="none"/>
          <w:lang w:val="zh-CN"/>
        </w:rPr>
        <w:t>投标人应根据《公路水运工程安全生产监督管理办法》，在投标总价中计入安全生产费用，安全生产费用应符合合同条款第</w:t>
      </w:r>
      <w:r>
        <w:rPr>
          <w:rFonts w:hint="eastAsia" w:ascii="宋体" w:hAnsi="宋体" w:cs="宋体"/>
          <w:b/>
          <w:bCs/>
          <w:color w:val="auto"/>
          <w:szCs w:val="21"/>
          <w:highlight w:val="none"/>
          <w:lang w:val="zh-CN"/>
        </w:rPr>
        <w:t>9.2.5</w:t>
      </w:r>
      <w:r>
        <w:rPr>
          <w:rFonts w:hint="eastAsia" w:ascii="宋体" w:hAnsi="宋体" w:cs="宋体"/>
          <w:color w:val="auto"/>
          <w:szCs w:val="21"/>
          <w:highlight w:val="none"/>
          <w:lang w:val="zh-CN"/>
        </w:rPr>
        <w:t>顼的规定。工程量清单</w:t>
      </w:r>
      <w:r>
        <w:rPr>
          <w:rFonts w:hint="eastAsia" w:ascii="宋体" w:hAnsi="宋体" w:cs="宋体"/>
          <w:b/>
          <w:bCs/>
          <w:color w:val="auto"/>
          <w:szCs w:val="21"/>
          <w:highlight w:val="none"/>
          <w:lang w:val="zh-CN"/>
        </w:rPr>
        <w:t>100</w:t>
      </w:r>
      <w:r>
        <w:rPr>
          <w:rFonts w:hint="eastAsia" w:ascii="宋体" w:hAnsi="宋体" w:cs="宋体"/>
          <w:color w:val="auto"/>
          <w:szCs w:val="21"/>
          <w:highlight w:val="none"/>
          <w:lang w:val="zh-CN"/>
        </w:rPr>
        <w:t>章内列有上述安全生产费的支付子目</w:t>
      </w:r>
      <w:r>
        <w:rPr>
          <w:rFonts w:hint="eastAsia" w:ascii="宋体" w:hAnsi="宋体" w:cs="宋体"/>
          <w:i/>
          <w:iCs/>
          <w:color w:val="auto"/>
          <w:szCs w:val="21"/>
          <w:highlight w:val="none"/>
          <w:lang w:val="zh-CN"/>
        </w:rPr>
        <w:t>，</w:t>
      </w:r>
      <w:r>
        <w:rPr>
          <w:rFonts w:hint="eastAsia" w:ascii="宋体" w:hAnsi="宋体" w:cs="宋体"/>
          <w:color w:val="auto"/>
          <w:szCs w:val="21"/>
          <w:highlight w:val="none"/>
          <w:lang w:val="zh-CN"/>
        </w:rPr>
        <w:t>由投标人按招标文件的规定填写总额价。</w:t>
      </w:r>
    </w:p>
    <w:p>
      <w:pPr>
        <w:spacing w:line="420" w:lineRule="exact"/>
        <w:ind w:firstLine="422" w:firstLineChars="200"/>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3.2.6</w:t>
      </w:r>
      <w:r>
        <w:rPr>
          <w:rFonts w:hint="eastAsia" w:ascii="宋体" w:hAnsi="宋体" w:cs="宋体"/>
          <w:color w:val="auto"/>
          <w:szCs w:val="21"/>
          <w:highlight w:val="none"/>
          <w:lang w:val="zh-CN"/>
        </w:rPr>
        <w:t>除投标人须知前附表另有规定外，招标人不接受调价函。若招标人接受调价函，则应在招标文件中给出调价函的格式。投标人若有调价函：应遵循如下规定：</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(1)调价函必须采用招标文件规定的格式；调价函应说明调价后的最终报价，并以最终报价为准，而且投标人只能有一次调价的机会。</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(2)工程量清单中招标人指定的报价不允许调价。</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(3)调价函必须附有调价后的工程量清单；调价函必须粘贴或机械装订在投标文件正本首页，与投标文件一起密封提交。</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(4)若招标人接受调价函，投标人调价后的工程量清单和有效调价函的大写金额报价应保持一致，如果报价金额出现差异时，则以有效调价函的大写金额报价为准。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3.2.7在合同实施期间，投标人填写的单价、合价和总额价是否由于物价波动进行价格调整按照合同条款第16.1款的规定处理。如果按照合同条款第16.1款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3.2.8招标人设有最高投标限价的，投标人的投标报价不得超过最高投标限价， 最高投标限价在投标人须知前附表中载明。</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3.2.9投标报价的其他要求见投标人须知前附表。</w:t>
      </w:r>
    </w:p>
    <w:p>
      <w:pPr>
        <w:spacing w:line="420" w:lineRule="exact"/>
        <w:rPr>
          <w:rFonts w:hint="eastAsia" w:ascii="宋体" w:hAnsi="宋体" w:cs="宋体"/>
          <w:b/>
          <w:color w:val="auto"/>
          <w:sz w:val="24"/>
          <w:highlight w:val="none"/>
        </w:rPr>
      </w:pPr>
      <w:bookmarkStart w:id="137" w:name="_Toc234345742"/>
      <w:bookmarkStart w:id="138" w:name="_Toc234349354"/>
      <w:bookmarkStart w:id="139" w:name="_Toc234345957"/>
      <w:bookmarkStart w:id="140" w:name="_Toc234348780"/>
      <w:r>
        <w:rPr>
          <w:rFonts w:hint="eastAsia" w:ascii="宋体" w:hAnsi="宋体" w:cs="宋体"/>
          <w:b/>
          <w:color w:val="auto"/>
          <w:sz w:val="24"/>
          <w:highlight w:val="none"/>
        </w:rPr>
        <w:t>3.3投标有效期</w:t>
      </w:r>
      <w:bookmarkEnd w:id="137"/>
      <w:bookmarkEnd w:id="138"/>
      <w:bookmarkEnd w:id="139"/>
      <w:bookmarkEnd w:id="140"/>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3.3.1除投标人须知前附表另有规定外，投标有效期为90日。</w:t>
      </w:r>
    </w:p>
    <w:p>
      <w:pPr>
        <w:spacing w:line="420" w:lineRule="exact"/>
        <w:ind w:left="420"/>
        <w:rPr>
          <w:rFonts w:hint="eastAsia" w:ascii="宋体" w:hAnsi="宋体" w:cs="宋体"/>
          <w:color w:val="auto"/>
          <w:szCs w:val="21"/>
          <w:highlight w:val="none"/>
        </w:rPr>
      </w:pPr>
      <w:r>
        <w:rPr>
          <w:rFonts w:hint="eastAsia" w:ascii="宋体" w:hAnsi="宋体" w:cs="宋体"/>
          <w:color w:val="auto"/>
          <w:szCs w:val="21"/>
          <w:highlight w:val="none"/>
        </w:rPr>
        <w:t>3.3.2在投标有效期内，投标人撤销投标文件的，应承担招标文件和法律规定的责任。</w:t>
      </w:r>
    </w:p>
    <w:p>
      <w:pPr>
        <w:spacing w:line="42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spacing w:line="420" w:lineRule="exact"/>
        <w:rPr>
          <w:rFonts w:hint="eastAsia" w:ascii="宋体" w:hAnsi="宋体" w:cs="宋体"/>
          <w:b/>
          <w:color w:val="auto"/>
          <w:sz w:val="24"/>
          <w:highlight w:val="none"/>
        </w:rPr>
      </w:pPr>
      <w:bookmarkStart w:id="141" w:name="_Toc234348781"/>
      <w:bookmarkStart w:id="142" w:name="_Toc234349355"/>
      <w:bookmarkStart w:id="143" w:name="_Toc234345743"/>
      <w:bookmarkStart w:id="144" w:name="_Toc234345958"/>
      <w:r>
        <w:rPr>
          <w:rFonts w:hint="eastAsia" w:ascii="宋体" w:hAnsi="宋体" w:cs="宋体"/>
          <w:b/>
          <w:color w:val="auto"/>
          <w:sz w:val="24"/>
          <w:highlight w:val="none"/>
        </w:rPr>
        <w:t>3.4投标保证金</w:t>
      </w:r>
      <w:bookmarkEnd w:id="141"/>
      <w:bookmarkEnd w:id="142"/>
      <w:bookmarkEnd w:id="143"/>
      <w:bookmarkEnd w:id="144"/>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投标保证金应采用现金、支票、银行保函或招标人在投标人须知前附表规定的其他形式。</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(2)若采用银行保函，则应由符合投标人须知前附表规定级别的银行开具，并采用招标文件提供的格式。银行保函复印件装订在投标文件内，原件应在递交投标文件截止时间之前单独密封递交给招标人。</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无论采取何种形式的投标保证金，投标保证金有效期均应与投标有效期一致。招标人如果按本章第</w:t>
      </w:r>
      <w:r>
        <w:rPr>
          <w:rFonts w:hint="eastAsia" w:ascii="宋体" w:hAnsi="宋体" w:cs="宋体"/>
          <w:b/>
          <w:bCs/>
          <w:color w:val="auto"/>
          <w:szCs w:val="21"/>
          <w:highlight w:val="none"/>
          <w:lang w:val="zh-CN"/>
        </w:rPr>
        <w:t>3.3.3</w:t>
      </w:r>
      <w:r>
        <w:rPr>
          <w:rFonts w:hint="eastAsia" w:ascii="宋体" w:hAnsi="宋体" w:cs="宋体"/>
          <w:color w:val="auto"/>
          <w:szCs w:val="21"/>
          <w:highlight w:val="none"/>
          <w:lang w:val="zh-CN"/>
        </w:rPr>
        <w:t>项的规定延长了投标有效期，则投标保证金的有效期也相应延长。</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bCs/>
          <w:color w:val="auto"/>
          <w:szCs w:val="21"/>
          <w:highlight w:val="none"/>
          <w:lang w:val="zh-CN"/>
        </w:rPr>
        <w:t>3.4.2</w:t>
      </w:r>
      <w:r>
        <w:rPr>
          <w:rFonts w:hint="eastAsia" w:ascii="宋体" w:hAnsi="宋体" w:cs="宋体"/>
          <w:color w:val="auto"/>
          <w:szCs w:val="21"/>
          <w:highlight w:val="none"/>
          <w:lang w:val="zh-CN"/>
        </w:rPr>
        <w:t>投标人不按本章第</w:t>
      </w:r>
      <w:r>
        <w:rPr>
          <w:rFonts w:hint="eastAsia" w:ascii="宋体" w:hAnsi="宋体" w:cs="宋体"/>
          <w:bCs/>
          <w:color w:val="auto"/>
          <w:szCs w:val="21"/>
          <w:highlight w:val="none"/>
          <w:lang w:val="zh-CN"/>
        </w:rPr>
        <w:t>3.4.1</w:t>
      </w:r>
      <w:r>
        <w:rPr>
          <w:rFonts w:hint="eastAsia" w:ascii="宋体" w:hAnsi="宋体" w:cs="宋体"/>
          <w:color w:val="auto"/>
          <w:szCs w:val="21"/>
          <w:highlight w:val="none"/>
          <w:lang w:val="zh-CN"/>
        </w:rPr>
        <w:t>项要求提交投标保证金的，评标委员会将否决其投标。</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bCs/>
          <w:color w:val="auto"/>
          <w:szCs w:val="21"/>
          <w:highlight w:val="none"/>
          <w:lang w:val="zh-CN"/>
        </w:rPr>
        <w:t>3.4.3</w:t>
      </w:r>
      <w:r>
        <w:rPr>
          <w:rFonts w:hint="eastAsia" w:ascii="宋体" w:hAnsi="宋体" w:cs="宋体"/>
          <w:color w:val="auto"/>
          <w:szCs w:val="21"/>
          <w:highlight w:val="none"/>
          <w:lang w:val="zh-CN"/>
        </w:rPr>
        <w:t>招标人最迟将在中标通知书发出后</w:t>
      </w:r>
      <w:r>
        <w:rPr>
          <w:rFonts w:hint="eastAsia" w:ascii="宋体" w:hAnsi="宋体" w:cs="宋体"/>
          <w:bCs/>
          <w:color w:val="auto"/>
          <w:szCs w:val="21"/>
          <w:highlight w:val="none"/>
          <w:lang w:val="zh-CN"/>
        </w:rPr>
        <w:t>5</w:t>
      </w:r>
      <w:r>
        <w:rPr>
          <w:rFonts w:hint="eastAsia" w:ascii="宋体" w:hAnsi="宋体" w:cs="宋体"/>
          <w:color w:val="auto"/>
          <w:szCs w:val="21"/>
          <w:highlight w:val="none"/>
          <w:lang w:val="zh-CN"/>
        </w:rPr>
        <w:t>日内向中标候选人以外的其他投标人退还投标保证金；与中标人签订合同后</w:t>
      </w:r>
      <w:r>
        <w:rPr>
          <w:rFonts w:hint="eastAsia" w:ascii="宋体" w:hAnsi="宋体" w:cs="宋体"/>
          <w:bCs/>
          <w:color w:val="auto"/>
          <w:szCs w:val="21"/>
          <w:highlight w:val="none"/>
          <w:lang w:val="zh-CN"/>
        </w:rPr>
        <w:t>5日</w:t>
      </w:r>
      <w:r>
        <w:rPr>
          <w:rFonts w:hint="eastAsia" w:ascii="宋体" w:hAnsi="宋体" w:cs="宋体"/>
          <w:color w:val="auto"/>
          <w:szCs w:val="21"/>
          <w:highlight w:val="none"/>
          <w:lang w:val="zh-CN"/>
        </w:rPr>
        <w:t>内向中标人和其他中标候选人退还投标保证金。投标保证金以现金或支票形式递交的，招标人应同时退还投标保证金的银行同期活期存款利息，且退还至投标人的基本账户。</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利息计算原则见投标人须知前附表。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3.4.4有下列情形之一的，投标保证金将不予退还：</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(1)投标人在投标有效期内撤销其投标文件；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(2)中标人在收到中标通知书后，无正当理由拒签合同协议书，在签订合同时向招标人提出附加条件，或不按照招标文件规定提交履约保证金；</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 w:val="24"/>
          <w:highlight w:val="none"/>
          <w:lang w:val="zh-CN"/>
        </w:rPr>
        <w:t xml:space="preserve"> </w:t>
      </w:r>
      <w:r>
        <w:rPr>
          <w:rFonts w:hint="eastAsia" w:ascii="宋体" w:hAnsi="宋体" w:cs="宋体"/>
          <w:color w:val="auto"/>
          <w:szCs w:val="21"/>
          <w:highlight w:val="none"/>
        </w:rPr>
        <w:t>发生投标人须知前附表规定的其他可以不予退还投标保证金的情形；</w:t>
      </w:r>
    </w:p>
    <w:p>
      <w:pPr>
        <w:spacing w:line="420" w:lineRule="exact"/>
        <w:rPr>
          <w:rFonts w:hint="eastAsia" w:ascii="宋体" w:hAnsi="宋体" w:cs="宋体"/>
          <w:b/>
          <w:color w:val="auto"/>
          <w:sz w:val="24"/>
          <w:highlight w:val="none"/>
        </w:rPr>
      </w:pPr>
      <w:bookmarkStart w:id="145" w:name="_Toc234349357"/>
      <w:bookmarkStart w:id="146" w:name="_Toc234345745"/>
      <w:bookmarkStart w:id="147" w:name="_Toc234348783"/>
      <w:bookmarkStart w:id="148" w:name="_Toc234345960"/>
      <w:r>
        <w:rPr>
          <w:rFonts w:hint="eastAsia" w:ascii="宋体" w:hAnsi="宋体" w:cs="宋体"/>
          <w:b/>
          <w:color w:val="auto"/>
          <w:sz w:val="24"/>
          <w:highlight w:val="none"/>
        </w:rPr>
        <w:t>3.5资格审查资料(适用于未进行资格预审的)</w:t>
      </w:r>
      <w:bookmarkEnd w:id="145"/>
      <w:bookmarkEnd w:id="146"/>
      <w:bookmarkEnd w:id="147"/>
      <w:bookmarkEnd w:id="148"/>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除投标人须知前附表另有规定外，投标人应按下列规定提供资格审查资料，以证明其满足本章第</w:t>
      </w:r>
      <w:r>
        <w:rPr>
          <w:rFonts w:hint="eastAsia" w:ascii="宋体" w:hAnsi="宋体" w:cs="宋体"/>
          <w:b/>
          <w:bCs/>
          <w:color w:val="auto"/>
          <w:szCs w:val="21"/>
          <w:highlight w:val="none"/>
          <w:lang w:val="zh-CN"/>
        </w:rPr>
        <w:t>1.4</w:t>
      </w:r>
      <w:r>
        <w:rPr>
          <w:rFonts w:hint="eastAsia" w:ascii="宋体" w:hAnsi="宋体" w:cs="宋体"/>
          <w:color w:val="auto"/>
          <w:szCs w:val="21"/>
          <w:highlight w:val="none"/>
          <w:lang w:val="zh-CN"/>
        </w:rPr>
        <w:t>款规定的资质、财务、业绩、信誉等要求。</w:t>
      </w:r>
    </w:p>
    <w:p>
      <w:pPr>
        <w:spacing w:line="42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3.5.1 “投标人基本情况表”应附企业法人营业执照副本和组织机构代码证副本 （按照“三证合一”或“五证合一”登记制度进行登记的，可仅提供营业执照副本，下同）、 施工资质证书副本、安全生产许可证副本、基本账户开户许可证的复印件，投标人在交通运输部“全国公路建设市场监督管理系统”公路工程施工资质企业名录中的网页截图复印件，投标人在全国企业信用信息公示系统中基础信息（体现股东及出资详细信息）的网页截图或由法定的社会验资机构出具的验资报告或注册地工商部门出具的股东出资情况证明复印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企业法人营业执照副本和组织机构代码证副本、施工资质证书副本、安全生产许可证副木、基本账户开户许可证的复印件应提供全本（证书封面、封底、空白页除外），应包括投标人名称、投标人其他相关信息、颁发机构名称、投标人信息变更情况等关键页在内，并逐页加盖投标人单位章。</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3.5.3“近年完成的类似项目”应是已列入交通运输主管部门“全国公路建设市场监督管理系统”并公开的主包已建业绩或分包已建业绩，具体时间要求见投标人须知前附表。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近年完成的类似项目情况表”应附在交通运输部“全国公路建设市场监督管理系统”（网址：https://hwdms.mot.gov.cn/BM/）中查询到的企业“业绩信息”相关项目网页截图复印件，即包括“项目名称”、“标段类型〃、“合同价' “主要工程量”、“项目主要管理人员”等栏目在内的项目详细信息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需再提供任何业绩证明材料。</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如投标人未提供相关项目网页截图复印件或相关项目网页截图中的信息无法证实投标人满足招标文件规定的资格审查条件〈业绩最低要求〉，则该项目业绩不予认定。</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投标人的信誉情况”应附投标人在全国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项目经理均无行贿犯罪行为查询记录证明原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拟委任的项目经理和项目总工资历表”还应附交通运输部“全国公路建设市场监督管理系统”中载明的、能够证明项目经理和项目总工具有相关业绩的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需再提供任何业绩证明材料。如投标人未提供相关业绩网页截图复印件或相关业绩网页截图中的信息无法证实投标人满足招标文件规定的资格审查条件（项目经理和项目总工最低要求），则该业绩不予认定。</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如项目经理和项目总工仍在其他项目任职，则投标人应提供由该项目发包人出具的、承诺上述人员能够从该项目撤离的书面证明材料原件。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3.5.6“拟委任的其他管理和技术人员汇总表（如有）应填报满足本章前附表附录6规定的其他人员的相关信息。“拟委任的其他管理和技术人员资历表”（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3.5.7“拟投入本标段的主要施工机械表“拟配备本标段的主要材料试验、测量、质检仪器设备表”（如有）应填报满足本章前附表附录7规定的机械设备和试验检测设备。</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3.5.8投标人须知前附表规定接受联合体投标的，本章第3.5.1项至第3.5.7项规定的表格和资料应包括联合体各方相关情况。</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3.5.9除合同条款约定的特殊情形外，在合同期内投标人在投标文件中填报的项目经理和项目总工不允许更换。中标后中标人在合同期内不允许擅自更换项目经理及项目总工, 否则视为中标人违约，发包人有权没收投标保证金并不与对方签订施工合同，中标人同时承担违约责任。</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3.5.11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主管部门，作为不良记录纳入公路建设市场信用信息管理系统。</w:t>
      </w:r>
    </w:p>
    <w:p>
      <w:pPr>
        <w:spacing w:line="420" w:lineRule="exact"/>
        <w:rPr>
          <w:rFonts w:hint="eastAsia" w:ascii="宋体" w:hAnsi="宋体" w:cs="宋体"/>
          <w:b/>
          <w:color w:val="auto"/>
          <w:sz w:val="24"/>
          <w:highlight w:val="none"/>
        </w:rPr>
      </w:pPr>
      <w:bookmarkStart w:id="149" w:name="_Toc234349358"/>
      <w:bookmarkStart w:id="150" w:name="_Toc234348784"/>
      <w:bookmarkStart w:id="151" w:name="_Toc234345961"/>
      <w:bookmarkStart w:id="152" w:name="_Toc234345746"/>
      <w:r>
        <w:rPr>
          <w:rFonts w:hint="eastAsia" w:ascii="宋体" w:hAnsi="宋体" w:cs="宋体"/>
          <w:b/>
          <w:color w:val="auto"/>
          <w:sz w:val="24"/>
          <w:highlight w:val="none"/>
        </w:rPr>
        <w:t>3.6备选投标方案</w:t>
      </w:r>
      <w:bookmarkEnd w:id="149"/>
      <w:bookmarkEnd w:id="150"/>
      <w:bookmarkEnd w:id="151"/>
      <w:bookmarkEnd w:id="15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3.6.1除投标人须知前附表另有规定外，投标人不得递交备选投标方案，否则其投标将被否决。</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2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3.6.3</w:t>
      </w:r>
      <w:r>
        <w:rPr>
          <w:rFonts w:hint="eastAsia" w:ascii="宋体" w:hAnsi="宋体" w:cs="宋体"/>
          <w:color w:val="auto"/>
          <w:szCs w:val="21"/>
          <w:highlight w:val="none"/>
        </w:rPr>
        <w:t>投标人提供两个或两个以上投标报价，或在投标文件中提供一个报价，但同时提供两个或两个以上施工组织设计的，视为提供备选方案。</w:t>
      </w:r>
    </w:p>
    <w:p>
      <w:pPr>
        <w:spacing w:line="420" w:lineRule="exact"/>
        <w:ind w:firstLine="420" w:firstLineChars="200"/>
        <w:rPr>
          <w:rFonts w:hint="eastAsia" w:ascii="宋体" w:hAnsi="宋体" w:cs="宋体"/>
          <w:color w:val="auto"/>
          <w:szCs w:val="21"/>
          <w:highlight w:val="none"/>
        </w:rPr>
      </w:pPr>
    </w:p>
    <w:p>
      <w:pPr>
        <w:spacing w:line="420" w:lineRule="exact"/>
        <w:rPr>
          <w:rFonts w:hint="eastAsia" w:ascii="宋体" w:hAnsi="宋体" w:cs="宋体"/>
          <w:b/>
          <w:color w:val="auto"/>
          <w:sz w:val="24"/>
          <w:highlight w:val="none"/>
        </w:rPr>
      </w:pPr>
      <w:bookmarkStart w:id="153" w:name="_Toc234349359"/>
      <w:bookmarkStart w:id="154" w:name="_Toc234345962"/>
      <w:bookmarkStart w:id="155" w:name="_Toc234345747"/>
      <w:bookmarkStart w:id="156" w:name="_Toc234348785"/>
      <w:r>
        <w:rPr>
          <w:rFonts w:hint="eastAsia" w:ascii="宋体" w:hAnsi="宋体" w:cs="宋体"/>
          <w:b/>
          <w:color w:val="auto"/>
          <w:sz w:val="24"/>
          <w:highlight w:val="none"/>
        </w:rPr>
        <w:t>3.7投标文件的编制</w:t>
      </w:r>
      <w:bookmarkEnd w:id="153"/>
      <w:bookmarkEnd w:id="154"/>
      <w:bookmarkEnd w:id="155"/>
      <w:bookmarkEnd w:id="15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投标文件应按第九章“投标文件格式”进行编写，如有必要，可以增加附页，作为投标文件的组成部分。其中，投标函附录在满足招标文件实质性要求的基础上，可以提出比招标文件要求更有利于招标人的承诺。</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3.7.2投标文件应当对招标文件有关工期、投标有效期、质量要求、安全目标、技术标准和要求、招标范围等实质性内容作出响应。</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3.7.3投标文件的制作应满足以下规定：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（1）投标文件由投标人使用“电子交易平台”自带的“投标文件制作工具”制作生成。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（2）投标人在编制投标文件时应建立分级目录，并按照标签提示导入相关内容。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（3）投标文件中证明资料的“复印件”均为“原件的扫描件”，未标示“复印件” 的证明资料均应直接制作生成。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（4）投标文件中的已标价报价清单数据文件应与招标人提供的报价清单数据文件格式一致。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第六章“投标文件格式”中要求盖单位章和（或）签字的地方，投标人均应使用CA数字证书加盖投标人的单位电子印章和（或）法定代表人的个人电子印章或电子签名章。联合体投标的，投标文件由联合体牵头人按上述规定加盖联合体牵头人单位电子印章和（或）法定代表人的个人电子印章或电子签名章。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（6）投标文件制作完成后，投标人应使用CA数字证书对投标文件进行文件加密，形成加密的投标文件。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（7）投标文件制作的具体方法详见“投标文件制作工具”中的帮助文档。</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纸质要求：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如果投标文件由委托代理人签署，则投标人需提交授权委托书，授权委托书应按第九章“投标文件格式”的要求出具，并由法定代表人和委托代理人亲笔签名，不得使用印章、签名章或其他电子制版签名。</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如果由投标人的法定代表人亲自签署投标文件，则投标人需提交法定代表人身份证明，身份证明应符合第九章“投标文件格式”的要求。</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以联合体形式参与投标的，投标文件由联合体牵头人的法定代表人或其委托代理人按上述规定签署并加盖联合体牵头人单位章。法定代表人授权委托书(如有)须由联合体牵头人按上述规定出具。</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投标文件应尽量避免涂改、行间插字或删除。如果出现上述情况，改动之处应加盖单位章或由投标人的法定代表人或其授权的代理人签字确认。</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3.7.4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spacing w:line="420" w:lineRule="exact"/>
        <w:rPr>
          <w:rFonts w:hint="eastAsia" w:ascii="宋体" w:hAnsi="宋体" w:cs="宋体"/>
          <w:b/>
          <w:color w:val="auto"/>
          <w:sz w:val="28"/>
          <w:szCs w:val="28"/>
          <w:highlight w:val="none"/>
        </w:rPr>
      </w:pPr>
      <w:bookmarkStart w:id="157" w:name="_Toc234348786"/>
      <w:bookmarkStart w:id="158" w:name="_Toc234349360"/>
      <w:r>
        <w:rPr>
          <w:rFonts w:hint="eastAsia" w:ascii="宋体" w:hAnsi="宋体" w:cs="宋体"/>
          <w:b/>
          <w:color w:val="auto"/>
          <w:sz w:val="28"/>
          <w:szCs w:val="28"/>
          <w:highlight w:val="none"/>
        </w:rPr>
        <w:t>4.投标</w:t>
      </w:r>
      <w:bookmarkEnd w:id="157"/>
      <w:bookmarkEnd w:id="158"/>
    </w:p>
    <w:p>
      <w:pPr>
        <w:spacing w:line="420" w:lineRule="exact"/>
        <w:rPr>
          <w:rFonts w:hint="eastAsia" w:ascii="宋体" w:hAnsi="宋体" w:cs="宋体"/>
          <w:b/>
          <w:color w:val="auto"/>
          <w:sz w:val="24"/>
          <w:highlight w:val="none"/>
        </w:rPr>
      </w:pPr>
      <w:bookmarkStart w:id="159" w:name="_Toc234349361"/>
      <w:bookmarkStart w:id="160" w:name="_Toc234345963"/>
      <w:bookmarkStart w:id="161" w:name="_Toc234348787"/>
      <w:bookmarkStart w:id="162" w:name="_Toc234345748"/>
      <w:r>
        <w:rPr>
          <w:rFonts w:hint="eastAsia" w:ascii="宋体" w:hAnsi="宋体" w:cs="宋体"/>
          <w:b/>
          <w:color w:val="auto"/>
          <w:sz w:val="24"/>
          <w:highlight w:val="none"/>
        </w:rPr>
        <w:t>4.1投标文件的密封和标识</w:t>
      </w:r>
      <w:bookmarkEnd w:id="159"/>
      <w:bookmarkEnd w:id="160"/>
      <w:bookmarkEnd w:id="161"/>
      <w:bookmarkEnd w:id="162"/>
    </w:p>
    <w:p>
      <w:pPr>
        <w:spacing w:line="420" w:lineRule="exact"/>
        <w:rPr>
          <w:rFonts w:hint="eastAsia" w:ascii="宋体" w:hAnsi="宋体" w:cs="宋体"/>
          <w:color w:val="auto"/>
          <w:szCs w:val="21"/>
          <w:highlight w:val="none"/>
        </w:rPr>
      </w:pPr>
      <w:bookmarkStart w:id="163" w:name="_Toc234349364"/>
      <w:bookmarkStart w:id="164" w:name="_Toc234348790"/>
      <w:r>
        <w:rPr>
          <w:rFonts w:hint="eastAsia" w:ascii="宋体" w:hAnsi="宋体" w:cs="宋体"/>
          <w:color w:val="auto"/>
          <w:szCs w:val="21"/>
          <w:highlight w:val="none"/>
        </w:rPr>
        <w:t>投标文件应按照本章第3.7.3项要求制作并加密，未按要求加密的投标文件，招标人（“电子交易平台”）将拒绝接收并提示。</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4.2投标文件的递交</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4.2.1 投标人应在第一章“招标公告”或“投标邀请书”规定的投标截止时间前，通过互联网使用CA数字证书登录“电子交易平台”，将加密的投标文件上传，并保存上传成功后系统自动生成的电子签收凭证，递交时间即为电子签收凭证时间。投标人应充分考虑上传文件时的不可预见因素，未在投标截止时间前完成上传的，视为逾期送达，招标人（“电子交易平台”）将拒绝接收。</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4.2.2 根据本章第4.1款的规定，投标人递交的投标文件，只要出现应当拒收的情形，其投标文件予以拒收。</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4.3投标文件的修改与撤回</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4.3.1 在本章第4.2.1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4.3.2 投标人修改投标文件的，应使用“投标文件制作工具”制作成完整的投标文件，并按照本章第3条、第4条规定进行编制、加密和递交。对采用网上递交的加密的投标文件，以投标截止时间前最后完成上传的文件为准。</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4.3.3 投标人撤回投标文件的，招标人自收到投标人书面撤回通知之日起5日内退还已收取的投标保证金。</w:t>
      </w:r>
    </w:p>
    <w:p>
      <w:pPr>
        <w:spacing w:line="4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5.开标</w:t>
      </w:r>
      <w:bookmarkEnd w:id="163"/>
      <w:bookmarkEnd w:id="164"/>
    </w:p>
    <w:p>
      <w:pPr>
        <w:spacing w:line="420" w:lineRule="exact"/>
        <w:ind w:firstLine="420" w:firstLineChars="200"/>
        <w:rPr>
          <w:rFonts w:hint="eastAsia" w:ascii="宋体" w:hAnsi="宋体" w:cs="宋体"/>
          <w:color w:val="auto"/>
          <w:szCs w:val="21"/>
          <w:highlight w:val="none"/>
        </w:rPr>
      </w:pPr>
      <w:bookmarkStart w:id="165" w:name="_Toc234349365"/>
      <w:bookmarkStart w:id="166" w:name="_Toc234345966"/>
      <w:bookmarkStart w:id="167" w:name="_Toc234345751"/>
      <w:bookmarkStart w:id="168" w:name="_Toc234348791"/>
      <w:r>
        <w:rPr>
          <w:rFonts w:hint="eastAsia" w:ascii="宋体" w:hAnsi="宋体" w:cs="宋体"/>
          <w:color w:val="auto"/>
          <w:szCs w:val="21"/>
          <w:highlight w:val="none"/>
        </w:rPr>
        <w:t>若采用双信封形式，第5.1款采用以下条款：</w:t>
      </w:r>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5.1开标时间和地点</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招标人在投标人须知前附表规定的时间和地点对投标文件第二个信封(报价文件)进行开标，并邀请所有投标人的法定代表人或其委托代理人准时参加。</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投标人若未派法定代表人或委托代理人出席开标活动，视为该投标人默认开标结果。</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若采用单信封形式，第5.1款采用以下条款：</w:t>
      </w:r>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5.1开标时间和地点</w:t>
      </w:r>
      <w:bookmarkEnd w:id="165"/>
      <w:bookmarkEnd w:id="166"/>
      <w:bookmarkEnd w:id="167"/>
      <w:bookmarkEnd w:id="168"/>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招标人在本章第4.2.1项规定的投标截止时间(开标时间)和投标人须知前附表规定的地点公开开标，并邀请所有投标人的法定代表人或其委托代理人准时参加。</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投标人若未派法定代表人或委托代理人出席开标活动，视为该投标人默认开标结果。</w:t>
      </w:r>
    </w:p>
    <w:p>
      <w:pPr>
        <w:spacing w:line="420" w:lineRule="exact"/>
        <w:ind w:firstLine="420" w:firstLineChars="200"/>
        <w:rPr>
          <w:rFonts w:hint="eastAsia" w:ascii="宋体" w:hAnsi="宋体" w:cs="宋体"/>
          <w:color w:val="auto"/>
          <w:szCs w:val="21"/>
          <w:highlight w:val="none"/>
        </w:rPr>
      </w:pPr>
      <w:bookmarkStart w:id="169" w:name="_Toc234348793"/>
      <w:bookmarkStart w:id="170" w:name="_Toc234345753"/>
      <w:bookmarkStart w:id="171" w:name="_Toc234345968"/>
      <w:bookmarkStart w:id="172" w:name="_Toc234349367"/>
      <w:r>
        <w:rPr>
          <w:rFonts w:hint="eastAsia" w:ascii="宋体" w:hAnsi="宋体" w:cs="宋体"/>
          <w:color w:val="auto"/>
          <w:szCs w:val="21"/>
          <w:highlight w:val="none"/>
        </w:rPr>
        <w:t>若采用双信封形式，第5.2款采用以下条款：</w:t>
      </w:r>
    </w:p>
    <w:p>
      <w:pPr>
        <w:spacing w:line="420" w:lineRule="exact"/>
        <w:rPr>
          <w:rFonts w:hint="eastAsia" w:ascii="宋体" w:hAnsi="宋体" w:cs="宋体"/>
          <w:b/>
          <w:color w:val="auto"/>
          <w:sz w:val="24"/>
          <w:highlight w:val="none"/>
        </w:rPr>
      </w:pPr>
      <w:bookmarkStart w:id="173" w:name="_Toc234345754"/>
      <w:bookmarkStart w:id="174" w:name="_Toc234348794"/>
      <w:bookmarkStart w:id="175" w:name="_Toc234349368"/>
      <w:bookmarkStart w:id="176" w:name="_Toc234345969"/>
      <w:r>
        <w:rPr>
          <w:rFonts w:hint="eastAsia" w:ascii="宋体" w:hAnsi="宋体" w:cs="宋体"/>
          <w:b/>
          <w:color w:val="auto"/>
          <w:sz w:val="24"/>
          <w:highlight w:val="none"/>
        </w:rPr>
        <w:t>5.2开标程序</w:t>
      </w:r>
      <w:bookmarkEnd w:id="173"/>
      <w:bookmarkEnd w:id="174"/>
      <w:bookmarkEnd w:id="175"/>
      <w:bookmarkEnd w:id="17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5.2.1主持人按下列程序对投标文件第一个信封(商务及技术文件)进行开标：</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(1)宣布开标纪律；</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(2)公布在投标截止时间前递交投标文件的投标人数量；</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(3)宣布开标人、唱标人、记录人等有关人员姓名；</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(4)由招标人现场随机抽取的投标人代表抽取评标基准价系数（如有）；</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(5)投标人代表解密加密的投标文件；</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(6)招标人对未成功解密的投标文件进行退回并按本章第5.3款进行补救处理，对已</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解密成功的投标文件进行二次解密；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（7）导入并读取所有解密成功的投标文件第一个信封（商务及技术文件）的内容；</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（8）公布标段名称、投标人名称、投标保证金的递交情况、工期及其他内容，并记录在案；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（9）投标人代表、招标人代表、记录人等有关人员在开标记录上签字确认； </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（10）开标结束。</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5.2.2在投标文件第一个信封(商务及技术文件)开标现场，投标文件第二个信封(报价文件)不予开封，由招标人密封保存。</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5.2.3招标人将按照本章第5.1款规定的时间和地点对投标文件第二个信封(报价文件)进行开标。主持人按下列程序进行开标：</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（1）宣布开标纪律；</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（2）当众拆开投标文件第一个信封（商务及技术文件）评审结果的密封袋，宣布通</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过投标文件第一个信封（商务及技术文件）评审的投标人名单；</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（3）宣布开标人、唱标人、记录人等有关人员姓名；</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（4）开标人将所有投标文件第二个信封（报价文件）的内容导入“电子交易平台”的开标评标系统，未通过投标文件第一个信封（商务及技术文件）评审的投标人的第二个信封（报价文件）不予读取；</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（5）公布标段名称、投标人名称、投标报价及其他内容，并记录在案；</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（6）投标人代表、招标人代表、记录人等有关人员在开标记录上签字确认；</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（7）开标结束。</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5.2.4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(1)未在投标函上填写投标总价；</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(2)投标报价或调价函中的报价超出招标人公布的最高投标限价(如有)。</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(3)投标报价或调价函中报价的大写金额无法确定具体数值；</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(4)投标函上填写的标段号与投标文件封套上标记的标段号不--致。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5.2.5在投标文件第一个信封（商务及技术文件）或第二个信封（报价文件）开标过程中，若招标人宣读的内容与投标文件不符，投标人有权在开标现场提出疑问，如经招标人当场核查确认之后，可重新宣读其投标文件。若投标人现场未提出疑问，则认为投标人已确认招标人宣读的内容。</w:t>
      </w:r>
      <w:bookmarkEnd w:id="169"/>
      <w:bookmarkEnd w:id="170"/>
      <w:bookmarkEnd w:id="171"/>
      <w:bookmarkEnd w:id="172"/>
    </w:p>
    <w:p>
      <w:pPr>
        <w:spacing w:line="420" w:lineRule="exact"/>
        <w:rPr>
          <w:b/>
          <w:color w:val="auto"/>
          <w:sz w:val="28"/>
          <w:szCs w:val="28"/>
          <w:highlight w:val="none"/>
        </w:rPr>
      </w:pPr>
      <w:bookmarkStart w:id="177" w:name="_Toc234349369"/>
      <w:bookmarkStart w:id="178" w:name="_Toc234348795"/>
      <w:r>
        <w:rPr>
          <w:b/>
          <w:color w:val="auto"/>
          <w:sz w:val="28"/>
          <w:szCs w:val="28"/>
          <w:highlight w:val="none"/>
        </w:rPr>
        <w:t>5.3开标补救措施</w:t>
      </w:r>
    </w:p>
    <w:p>
      <w:pPr>
        <w:spacing w:line="420" w:lineRule="exact"/>
        <w:rPr>
          <w:bCs/>
          <w:color w:val="auto"/>
          <w:szCs w:val="21"/>
          <w:highlight w:val="none"/>
        </w:rPr>
      </w:pPr>
      <w:r>
        <w:rPr>
          <w:bCs/>
          <w:color w:val="auto"/>
          <w:szCs w:val="21"/>
          <w:highlight w:val="none"/>
        </w:rPr>
        <w:t>5.3.1 开标过程中因本章第5.3.2项、第5.3.3项所列原因，导致系统无法正常运行，将按投标人须知前附表的规定采取补救措施。</w:t>
      </w:r>
    </w:p>
    <w:p>
      <w:pPr>
        <w:spacing w:line="420" w:lineRule="exact"/>
        <w:rPr>
          <w:bCs/>
          <w:color w:val="auto"/>
          <w:szCs w:val="21"/>
          <w:highlight w:val="none"/>
        </w:rPr>
      </w:pPr>
      <w:r>
        <w:rPr>
          <w:bCs/>
          <w:color w:val="auto"/>
          <w:szCs w:val="21"/>
          <w:highlight w:val="none"/>
        </w:rPr>
        <w:t>5.3.2 因“电子交易平台”系统故障导致投标人无法正常上传加密的投标文件，投标人应打印并递交电子交易平台自动生成的上传失败的异常记录单。</w:t>
      </w:r>
    </w:p>
    <w:p>
      <w:pPr>
        <w:spacing w:line="420" w:lineRule="exact"/>
        <w:rPr>
          <w:bCs/>
          <w:color w:val="auto"/>
          <w:szCs w:val="21"/>
          <w:highlight w:val="none"/>
        </w:rPr>
      </w:pPr>
      <w:r>
        <w:rPr>
          <w:bCs/>
          <w:color w:val="auto"/>
          <w:szCs w:val="21"/>
          <w:highlight w:val="none"/>
        </w:rPr>
        <w:t>5.3.3 当出现以下情况时，应对未开标的中止电子开标，并在恢复正常后及时安排时间开标：</w:t>
      </w:r>
    </w:p>
    <w:p>
      <w:pPr>
        <w:spacing w:line="420" w:lineRule="exact"/>
        <w:rPr>
          <w:bCs/>
          <w:color w:val="auto"/>
          <w:szCs w:val="21"/>
          <w:highlight w:val="none"/>
        </w:rPr>
      </w:pPr>
      <w:r>
        <w:rPr>
          <w:bCs/>
          <w:color w:val="auto"/>
          <w:szCs w:val="21"/>
          <w:highlight w:val="none"/>
        </w:rPr>
        <w:t>（1）系统服务器发生故障，无法访问或无法使用系统；</w:t>
      </w:r>
    </w:p>
    <w:p>
      <w:pPr>
        <w:spacing w:line="420" w:lineRule="exact"/>
        <w:rPr>
          <w:bCs/>
          <w:color w:val="auto"/>
          <w:szCs w:val="21"/>
          <w:highlight w:val="none"/>
        </w:rPr>
      </w:pPr>
      <w:r>
        <w:rPr>
          <w:bCs/>
          <w:color w:val="auto"/>
          <w:szCs w:val="21"/>
          <w:highlight w:val="none"/>
        </w:rPr>
        <w:t>（2）系统的软件或数据库出现错误，不能进行正常操作；</w:t>
      </w:r>
    </w:p>
    <w:p>
      <w:pPr>
        <w:spacing w:line="420" w:lineRule="exact"/>
        <w:rPr>
          <w:bCs/>
          <w:color w:val="auto"/>
          <w:szCs w:val="21"/>
          <w:highlight w:val="none"/>
        </w:rPr>
      </w:pPr>
      <w:r>
        <w:rPr>
          <w:bCs/>
          <w:color w:val="auto"/>
          <w:szCs w:val="21"/>
          <w:highlight w:val="none"/>
        </w:rPr>
        <w:t>（3）系统发现有安全漏洞，有潜在的泄密危险；</w:t>
      </w:r>
    </w:p>
    <w:p>
      <w:pPr>
        <w:spacing w:line="420" w:lineRule="exact"/>
        <w:rPr>
          <w:bCs/>
          <w:color w:val="auto"/>
          <w:szCs w:val="21"/>
          <w:highlight w:val="none"/>
        </w:rPr>
      </w:pPr>
      <w:r>
        <w:rPr>
          <w:bCs/>
          <w:color w:val="auto"/>
          <w:szCs w:val="21"/>
          <w:highlight w:val="none"/>
        </w:rPr>
        <w:t>（4）出现断电事故且短时间内无法恢复供电；</w:t>
      </w:r>
    </w:p>
    <w:p>
      <w:pPr>
        <w:spacing w:line="420" w:lineRule="exact"/>
        <w:rPr>
          <w:bCs/>
          <w:color w:val="auto"/>
          <w:szCs w:val="21"/>
          <w:highlight w:val="none"/>
        </w:rPr>
      </w:pPr>
      <w:r>
        <w:rPr>
          <w:bCs/>
          <w:color w:val="auto"/>
          <w:szCs w:val="21"/>
          <w:highlight w:val="none"/>
        </w:rPr>
        <w:t>（5）其他无法保证招投标过程正常进行的情形。</w:t>
      </w:r>
    </w:p>
    <w:p>
      <w:pPr>
        <w:spacing w:line="420" w:lineRule="exact"/>
        <w:rPr>
          <w:rFonts w:hint="eastAsia" w:ascii="宋体" w:hAnsi="宋体" w:cs="宋体"/>
          <w:b/>
          <w:color w:val="auto"/>
          <w:sz w:val="28"/>
          <w:szCs w:val="28"/>
          <w:highlight w:val="none"/>
        </w:rPr>
      </w:pPr>
      <w:r>
        <w:rPr>
          <w:bCs/>
          <w:color w:val="auto"/>
          <w:szCs w:val="21"/>
          <w:highlight w:val="none"/>
        </w:rPr>
        <w:t>5.3.4 采取补救措施时，必须对原有资料及信息作出妥善保密处理。</w:t>
      </w:r>
    </w:p>
    <w:p>
      <w:pPr>
        <w:spacing w:line="4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5.4开标异议</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投标人对开标有异议的，应在开标现场提出，招标人当场作出答复，并制作记录，有异议的投标人代表、招标人代表、记录人等有关人员在记录上签字确认。</w:t>
      </w:r>
    </w:p>
    <w:p>
      <w:pPr>
        <w:spacing w:line="4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6.评标</w:t>
      </w:r>
      <w:bookmarkEnd w:id="177"/>
      <w:bookmarkEnd w:id="178"/>
    </w:p>
    <w:p>
      <w:pPr>
        <w:spacing w:line="420" w:lineRule="exact"/>
        <w:rPr>
          <w:rFonts w:hint="eastAsia" w:ascii="宋体" w:hAnsi="宋体" w:cs="宋体"/>
          <w:b/>
          <w:color w:val="auto"/>
          <w:sz w:val="24"/>
          <w:highlight w:val="none"/>
        </w:rPr>
      </w:pPr>
      <w:bookmarkStart w:id="179" w:name="_Toc234345970"/>
      <w:bookmarkStart w:id="180" w:name="_Toc234345755"/>
      <w:bookmarkStart w:id="181" w:name="_Toc234348796"/>
      <w:bookmarkStart w:id="182" w:name="_Toc234349370"/>
      <w:r>
        <w:rPr>
          <w:rFonts w:hint="eastAsia" w:ascii="宋体" w:hAnsi="宋体" w:cs="宋体"/>
          <w:b/>
          <w:color w:val="auto"/>
          <w:sz w:val="24"/>
          <w:highlight w:val="none"/>
        </w:rPr>
        <w:t>6.1评标委员会</w:t>
      </w:r>
      <w:bookmarkEnd w:id="179"/>
      <w:bookmarkEnd w:id="180"/>
      <w:bookmarkEnd w:id="181"/>
      <w:bookmarkEnd w:id="18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6.1.2评标委员会成员有下列情形之一的，应主动提出回避：</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(1）为负责招标项目监督管理的交通运输主管部门的工作人员：</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(2）与投标人法定代表人或其委托代理人有近亲属关系；</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(3）为投标人的工作人员或退休人员；</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(4）与投标人有其他利害关系，可能影响评标活动公正性；</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(5）在与招标投标有关的活动中有过违法违规行为、曾受过行政处罚或刑事处罚。</w:t>
      </w:r>
    </w:p>
    <w:p>
      <w:pPr>
        <w:spacing w:line="42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spacing w:line="420" w:lineRule="exact"/>
        <w:rPr>
          <w:rFonts w:hint="eastAsia" w:ascii="宋体" w:hAnsi="宋体" w:cs="宋体"/>
          <w:b/>
          <w:color w:val="auto"/>
          <w:sz w:val="24"/>
          <w:highlight w:val="none"/>
        </w:rPr>
      </w:pPr>
      <w:bookmarkStart w:id="183" w:name="_Toc234348797"/>
      <w:bookmarkStart w:id="184" w:name="_Toc234345971"/>
      <w:bookmarkStart w:id="185" w:name="_Toc234349371"/>
      <w:bookmarkStart w:id="186" w:name="_Toc234345756"/>
      <w:r>
        <w:rPr>
          <w:rFonts w:hint="eastAsia" w:ascii="宋体" w:hAnsi="宋体" w:cs="宋体"/>
          <w:b/>
          <w:color w:val="auto"/>
          <w:sz w:val="24"/>
          <w:highlight w:val="none"/>
        </w:rPr>
        <w:t>6.2评标原则</w:t>
      </w:r>
      <w:bookmarkEnd w:id="183"/>
      <w:bookmarkEnd w:id="184"/>
      <w:bookmarkEnd w:id="185"/>
      <w:bookmarkEnd w:id="18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spacing w:line="420" w:lineRule="exact"/>
        <w:rPr>
          <w:rFonts w:hint="eastAsia" w:ascii="宋体" w:hAnsi="宋体" w:cs="宋体"/>
          <w:b/>
          <w:color w:val="auto"/>
          <w:sz w:val="24"/>
          <w:highlight w:val="none"/>
        </w:rPr>
      </w:pPr>
      <w:bookmarkStart w:id="187" w:name="_Toc234348798"/>
      <w:bookmarkStart w:id="188" w:name="_Toc234345757"/>
      <w:bookmarkStart w:id="189" w:name="_Toc234349372"/>
      <w:bookmarkStart w:id="190" w:name="_Toc234345972"/>
      <w:r>
        <w:rPr>
          <w:rFonts w:hint="eastAsia" w:ascii="宋体" w:hAnsi="宋体" w:cs="宋体"/>
          <w:b/>
          <w:color w:val="auto"/>
          <w:sz w:val="24"/>
          <w:highlight w:val="none"/>
        </w:rPr>
        <w:t>6.3评标</w:t>
      </w:r>
      <w:bookmarkEnd w:id="187"/>
      <w:bookmarkEnd w:id="188"/>
      <w:bookmarkEnd w:id="189"/>
      <w:bookmarkEnd w:id="190"/>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pPr>
        <w:spacing w:line="420" w:lineRule="exact"/>
        <w:ind w:firstLine="420" w:firstLineChars="200"/>
        <w:rPr>
          <w:rFonts w:hint="eastAsia" w:ascii="宋体" w:hAnsi="宋体" w:cs="宋体"/>
          <w:color w:val="auto"/>
          <w:szCs w:val="21"/>
          <w:highlight w:val="none"/>
        </w:rPr>
      </w:pPr>
      <w:bookmarkStart w:id="191" w:name="_Toc234349373"/>
      <w:bookmarkStart w:id="192" w:name="_Toc234348799"/>
      <w:r>
        <w:rPr>
          <w:rFonts w:hint="eastAsia" w:ascii="宋体" w:hAnsi="宋体" w:cs="宋体"/>
          <w:color w:val="auto"/>
          <w:szCs w:val="21"/>
          <w:highlight w:val="none"/>
        </w:rPr>
        <w:t>6.3.2评标及补救措施</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评标完成后，评标委员会应向招标人提交书面评标报告和中标候选人名单。评标委员会推荐中标候选人的人数见投标人须知前附表。</w:t>
      </w:r>
    </w:p>
    <w:p>
      <w:pPr>
        <w:spacing w:line="4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7.合同授予</w:t>
      </w:r>
      <w:bookmarkEnd w:id="191"/>
      <w:bookmarkEnd w:id="192"/>
    </w:p>
    <w:p>
      <w:pPr>
        <w:spacing w:line="420" w:lineRule="exact"/>
        <w:rPr>
          <w:rFonts w:hint="eastAsia" w:ascii="宋体" w:hAnsi="宋体" w:cs="宋体"/>
          <w:b/>
          <w:color w:val="auto"/>
          <w:sz w:val="24"/>
          <w:highlight w:val="none"/>
        </w:rPr>
      </w:pPr>
      <w:bookmarkStart w:id="193" w:name="_Toc234345758"/>
      <w:bookmarkStart w:id="194" w:name="_Toc234348800"/>
      <w:bookmarkStart w:id="195" w:name="_Toc234349374"/>
      <w:bookmarkStart w:id="196" w:name="_Toc234345973"/>
      <w:r>
        <w:rPr>
          <w:rFonts w:hint="eastAsia" w:ascii="宋体" w:hAnsi="宋体" w:cs="宋体"/>
          <w:b/>
          <w:color w:val="auto"/>
          <w:sz w:val="24"/>
          <w:highlight w:val="none"/>
        </w:rPr>
        <w:t>7.1中标候选人公示</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招标人在收到评标报告之日起3日内，按照投标人须知前附表规定的公示媒介和期限公示中标候选人，公示期不得少于3日，公示内容包括：</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（1）中标候选人排序、名称、投标报价，</w:t>
      </w:r>
      <w:r>
        <w:rPr>
          <w:rFonts w:hint="eastAsia" w:ascii="宋体" w:hAnsi="宋体" w:cs="宋体"/>
          <w:color w:val="auto"/>
          <w:szCs w:val="21"/>
          <w:highlight w:val="none"/>
        </w:rPr>
        <w:t>对工程质量要求、安全目标和工期的响应情况；</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（2）中标候选人在投标文件中承诺的项目经理和项目总工姓名、个人业绩、相关证书名称和编号；</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（3）中标候选人在投标文件中填报的项目业绩；</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（4）被否决投标的投标人名称、否决依据和原因；</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（5）提出异议的渠道和方式；</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（6）投标人须知前附表规定公示的其他内容。</w:t>
      </w:r>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7.2评标结果异议</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投标人或其他利害关系人对依法必须进行招标的项目的评标结果有异议的，应在中标候选人公示期间提出。招标人</w:t>
      </w:r>
      <w:r>
        <w:rPr>
          <w:rFonts w:hint="eastAsia" w:ascii="宋体" w:hAnsi="宋体" w:cs="宋体"/>
          <w:color w:val="auto"/>
          <w:highlight w:val="none"/>
        </w:rPr>
        <w:t>将在收到异议之日起3日内作出答复，作出答复前，将暂停招标投标活动。</w:t>
      </w:r>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7.3中标候选人履约能力审查</w:t>
      </w:r>
    </w:p>
    <w:p>
      <w:pPr>
        <w:pStyle w:val="22"/>
        <w:shd w:val="clear" w:color="auto" w:fill="auto"/>
        <w:spacing w:before="0" w:after="0" w:line="420" w:lineRule="exact"/>
        <w:ind w:left="20" w:right="20" w:firstLine="260"/>
        <w:jc w:val="both"/>
        <w:rPr>
          <w:rStyle w:val="23"/>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7.4定标</w:t>
      </w:r>
      <w:bookmarkEnd w:id="193"/>
      <w:bookmarkEnd w:id="194"/>
      <w:bookmarkEnd w:id="195"/>
      <w:bookmarkEnd w:id="19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按投标人须知前附表规定，招标人或招标人授权的评标委员会依法确定中标人。</w:t>
      </w:r>
    </w:p>
    <w:p>
      <w:pPr>
        <w:spacing w:line="420" w:lineRule="exact"/>
        <w:rPr>
          <w:rFonts w:hint="eastAsia" w:ascii="宋体" w:hAnsi="宋体" w:cs="宋体"/>
          <w:b/>
          <w:color w:val="auto"/>
          <w:sz w:val="24"/>
          <w:highlight w:val="none"/>
        </w:rPr>
      </w:pPr>
      <w:bookmarkStart w:id="197" w:name="_Toc234345759"/>
      <w:bookmarkStart w:id="198" w:name="_Toc234348801"/>
      <w:bookmarkStart w:id="199" w:name="_Toc234345974"/>
      <w:bookmarkStart w:id="200" w:name="_Toc234349375"/>
      <w:r>
        <w:rPr>
          <w:rFonts w:hint="eastAsia" w:ascii="宋体" w:hAnsi="宋体" w:cs="宋体"/>
          <w:b/>
          <w:color w:val="auto"/>
          <w:sz w:val="24"/>
          <w:highlight w:val="none"/>
        </w:rPr>
        <w:t>7.5中标通知</w:t>
      </w:r>
      <w:bookmarkEnd w:id="197"/>
      <w:bookmarkEnd w:id="198"/>
      <w:bookmarkEnd w:id="199"/>
      <w:bookmarkEnd w:id="200"/>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在本章第3.3款规定的投标有效期内，招标人以投标人须知前附表规定的形式向中标人发出中标通知书，同时将中标结果通知未中标的投标人。</w:t>
      </w:r>
    </w:p>
    <w:p>
      <w:pPr>
        <w:spacing w:line="420" w:lineRule="exact"/>
        <w:rPr>
          <w:rFonts w:hint="eastAsia" w:ascii="宋体" w:hAnsi="宋体" w:cs="宋体"/>
          <w:b/>
          <w:color w:val="auto"/>
          <w:sz w:val="24"/>
          <w:highlight w:val="none"/>
        </w:rPr>
      </w:pPr>
      <w:bookmarkStart w:id="201" w:name="_Toc234349376"/>
      <w:bookmarkStart w:id="202" w:name="_Toc234345760"/>
      <w:bookmarkStart w:id="203" w:name="_Toc234348802"/>
      <w:bookmarkStart w:id="204" w:name="_Toc234345975"/>
      <w:r>
        <w:rPr>
          <w:rFonts w:hint="eastAsia" w:ascii="宋体" w:hAnsi="宋体" w:cs="宋体"/>
          <w:b/>
          <w:color w:val="auto"/>
          <w:sz w:val="24"/>
          <w:highlight w:val="none"/>
        </w:rPr>
        <w:t>7.6中标结果公告</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招标人在确定中标人之日起3日内，按照投标人须知前附表规定的公告媒介和期限公告中标结果，公告期不得少于3日。公告内容包括中标人名称、中标价。</w:t>
      </w:r>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7.7履约保证金</w:t>
      </w:r>
      <w:bookmarkEnd w:id="201"/>
      <w:bookmarkEnd w:id="202"/>
      <w:bookmarkEnd w:id="203"/>
      <w:bookmarkEnd w:id="204"/>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由联合体各方或联合体牵头人的名义递交。</w:t>
      </w:r>
    </w:p>
    <w:p>
      <w:pPr>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采用银行保函时，应由符合投标人须知前附表规定级别的银行开具，所需的费用由中标人承担，中标人应保证银行保函有效。</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7.7.2中标人不能按本章第7.7.1项要求提交履约保证金的，视为放弃中标，其投标保证金不予退还，给招标人造成的损失超过投标保证金数额的，中标人还应当对超过部分予以赔偿。</w:t>
      </w:r>
    </w:p>
    <w:p>
      <w:pPr>
        <w:spacing w:line="420" w:lineRule="exact"/>
        <w:rPr>
          <w:rFonts w:hint="eastAsia" w:ascii="宋体" w:hAnsi="宋体" w:cs="宋体"/>
          <w:b/>
          <w:color w:val="auto"/>
          <w:sz w:val="24"/>
          <w:highlight w:val="none"/>
        </w:rPr>
      </w:pPr>
      <w:bookmarkStart w:id="205" w:name="_Toc234349377"/>
      <w:bookmarkStart w:id="206" w:name="_Toc234348803"/>
      <w:bookmarkStart w:id="207" w:name="_Toc234345761"/>
      <w:bookmarkStart w:id="208" w:name="_Toc234345976"/>
      <w:r>
        <w:rPr>
          <w:rFonts w:hint="eastAsia" w:ascii="宋体" w:hAnsi="宋体" w:cs="宋体"/>
          <w:b/>
          <w:color w:val="auto"/>
          <w:sz w:val="24"/>
          <w:highlight w:val="none"/>
        </w:rPr>
        <w:t>7.8签订合同</w:t>
      </w:r>
      <w:bookmarkEnd w:id="205"/>
      <w:bookmarkEnd w:id="206"/>
      <w:bookmarkEnd w:id="207"/>
      <w:bookmarkEnd w:id="208"/>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7.8.1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招标人可以选择向第二中标候选人发出中标通知书，或者重新组织招标。</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7.8.2发出中标通知书后，招标人无正当理由拒签合同的，或在签订合同时向中标人提出附加条件，招标人向中标人退还投标保证金；给中标人造成损失的，还应当赔偿损失。</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7.8.3签约合同价的确定原则如下：</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(1)按照评标办法规定对投标报价进行修正后，若修正后的最终投标报价小于开标时的投标函大写金额报价，则签订合同时以修正后的最终投标报价为准；</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7.8.4联合体中标的，联合体各方应共同与招标人签订合同，就中标项目向招标人承担连带责任。</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7.8.5招标人和中标人在签订合同协议书的同时，需按照本招标文件规定的格式和要求签订廉政合同及安全生产合同，明确双方在廉政建设和安全生产方面的权利和义务以及应承担的违约责任。</w:t>
      </w:r>
    </w:p>
    <w:p>
      <w:pPr>
        <w:spacing w:line="420" w:lineRule="exact"/>
        <w:rPr>
          <w:rFonts w:hint="eastAsia" w:ascii="宋体" w:hAnsi="宋体" w:cs="宋体"/>
          <w:b/>
          <w:color w:val="auto"/>
          <w:sz w:val="28"/>
          <w:szCs w:val="28"/>
          <w:highlight w:val="none"/>
        </w:rPr>
      </w:pPr>
      <w:bookmarkStart w:id="209" w:name="_Toc234348807"/>
      <w:bookmarkStart w:id="210" w:name="_Toc234349381"/>
      <w:r>
        <w:rPr>
          <w:rFonts w:hint="eastAsia" w:ascii="宋体" w:hAnsi="宋体" w:cs="宋体"/>
          <w:b/>
          <w:color w:val="auto"/>
          <w:sz w:val="28"/>
          <w:szCs w:val="28"/>
          <w:highlight w:val="none"/>
        </w:rPr>
        <w:t>8.纪律和监督</w:t>
      </w:r>
      <w:bookmarkEnd w:id="209"/>
      <w:bookmarkEnd w:id="210"/>
    </w:p>
    <w:p>
      <w:pPr>
        <w:spacing w:line="420" w:lineRule="exact"/>
        <w:rPr>
          <w:rFonts w:hint="eastAsia" w:ascii="宋体" w:hAnsi="宋体" w:cs="宋体"/>
          <w:b/>
          <w:color w:val="auto"/>
          <w:sz w:val="24"/>
          <w:highlight w:val="none"/>
        </w:rPr>
      </w:pPr>
      <w:bookmarkStart w:id="211" w:name="_Toc234349382"/>
      <w:bookmarkStart w:id="212" w:name="_Toc234345764"/>
      <w:bookmarkStart w:id="213" w:name="_Toc234345979"/>
      <w:bookmarkStart w:id="214" w:name="_Toc234348808"/>
      <w:r>
        <w:rPr>
          <w:rFonts w:hint="eastAsia" w:ascii="宋体" w:hAnsi="宋体" w:cs="宋体"/>
          <w:b/>
          <w:color w:val="auto"/>
          <w:sz w:val="24"/>
          <w:highlight w:val="none"/>
        </w:rPr>
        <w:t>8.1对招标人的纪律要求</w:t>
      </w:r>
      <w:bookmarkEnd w:id="211"/>
      <w:bookmarkEnd w:id="212"/>
      <w:bookmarkEnd w:id="213"/>
      <w:bookmarkEnd w:id="214"/>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pPr>
        <w:spacing w:line="420" w:lineRule="exact"/>
        <w:rPr>
          <w:rFonts w:hint="eastAsia" w:ascii="宋体" w:hAnsi="宋体" w:cs="宋体"/>
          <w:b/>
          <w:color w:val="auto"/>
          <w:sz w:val="24"/>
          <w:highlight w:val="none"/>
        </w:rPr>
      </w:pPr>
      <w:bookmarkStart w:id="215" w:name="_Toc234348809"/>
      <w:bookmarkStart w:id="216" w:name="_Toc234345765"/>
      <w:bookmarkStart w:id="217" w:name="_Toc234345980"/>
      <w:bookmarkStart w:id="218" w:name="_Toc234349383"/>
      <w:r>
        <w:rPr>
          <w:rFonts w:hint="eastAsia" w:ascii="宋体" w:hAnsi="宋体" w:cs="宋体"/>
          <w:b/>
          <w:color w:val="auto"/>
          <w:sz w:val="24"/>
          <w:highlight w:val="none"/>
        </w:rPr>
        <w:t>8.2对投标人的纪律要求</w:t>
      </w:r>
      <w:bookmarkEnd w:id="215"/>
      <w:bookmarkEnd w:id="216"/>
      <w:bookmarkEnd w:id="217"/>
      <w:bookmarkEnd w:id="218"/>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20" w:lineRule="exact"/>
        <w:rPr>
          <w:rFonts w:hint="eastAsia" w:ascii="宋体" w:hAnsi="宋体" w:cs="宋体"/>
          <w:b/>
          <w:color w:val="auto"/>
          <w:sz w:val="24"/>
          <w:highlight w:val="none"/>
        </w:rPr>
      </w:pPr>
      <w:bookmarkStart w:id="219" w:name="_Toc234345766"/>
      <w:bookmarkStart w:id="220" w:name="_Toc234348810"/>
      <w:bookmarkStart w:id="221" w:name="_Toc234345981"/>
      <w:bookmarkStart w:id="222" w:name="_Toc234349384"/>
      <w:r>
        <w:rPr>
          <w:rFonts w:hint="eastAsia" w:ascii="宋体" w:hAnsi="宋体" w:cs="宋体"/>
          <w:b/>
          <w:color w:val="auto"/>
          <w:sz w:val="24"/>
          <w:highlight w:val="none"/>
        </w:rPr>
        <w:t>8.3对评标委员会成员的纪律要求</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bookmarkStart w:id="223" w:name="_Toc234345767"/>
      <w:bookmarkStart w:id="224" w:name="_Toc234345982"/>
      <w:bookmarkStart w:id="225" w:name="_Toc234348811"/>
      <w:bookmarkStart w:id="226" w:name="_Toc234349385"/>
    </w:p>
    <w:p>
      <w:pPr>
        <w:spacing w:line="420" w:lineRule="exact"/>
        <w:rPr>
          <w:rFonts w:hint="eastAsia" w:ascii="宋体" w:hAnsi="宋体" w:cs="宋体"/>
          <w:b/>
          <w:color w:val="auto"/>
          <w:sz w:val="24"/>
          <w:highlight w:val="none"/>
        </w:rPr>
      </w:pPr>
      <w:r>
        <w:rPr>
          <w:rFonts w:hint="eastAsia" w:ascii="宋体" w:hAnsi="宋体" w:cs="宋体"/>
          <w:b/>
          <w:color w:val="auto"/>
          <w:sz w:val="24"/>
          <w:highlight w:val="none"/>
        </w:rPr>
        <w:t>8.4对与评标活动有关的工作人员的纪律要求</w:t>
      </w:r>
      <w:bookmarkEnd w:id="219"/>
      <w:bookmarkEnd w:id="220"/>
      <w:bookmarkEnd w:id="221"/>
      <w:bookmarkEnd w:id="222"/>
      <w:bookmarkEnd w:id="223"/>
      <w:bookmarkEnd w:id="224"/>
      <w:bookmarkEnd w:id="225"/>
      <w:bookmarkEnd w:id="226"/>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20" w:lineRule="exact"/>
        <w:rPr>
          <w:rFonts w:hint="eastAsia" w:ascii="宋体" w:hAnsi="宋体" w:cs="宋体"/>
          <w:b/>
          <w:color w:val="auto"/>
          <w:sz w:val="24"/>
          <w:highlight w:val="none"/>
        </w:rPr>
      </w:pPr>
      <w:bookmarkStart w:id="227" w:name="_Toc234345983"/>
      <w:bookmarkStart w:id="228" w:name="_Toc234349386"/>
      <w:bookmarkStart w:id="229" w:name="_Toc234345768"/>
      <w:bookmarkStart w:id="230" w:name="_Toc234348812"/>
      <w:r>
        <w:rPr>
          <w:rFonts w:hint="eastAsia" w:ascii="宋体" w:hAnsi="宋体" w:cs="宋体"/>
          <w:b/>
          <w:color w:val="auto"/>
          <w:sz w:val="24"/>
          <w:highlight w:val="none"/>
        </w:rPr>
        <w:t>8.5投诉</w:t>
      </w:r>
      <w:bookmarkEnd w:id="227"/>
      <w:bookmarkEnd w:id="228"/>
      <w:bookmarkEnd w:id="229"/>
      <w:bookmarkEnd w:id="230"/>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8.5.1投标人和其他利害关系人认为招标活动</w:t>
      </w:r>
      <w:r>
        <w:rPr>
          <w:rFonts w:hint="eastAsia" w:ascii="宋体" w:hAnsi="宋体" w:cs="宋体"/>
          <w:color w:val="auto"/>
          <w:highlight w:val="none"/>
        </w:rPr>
        <w:t>不符合</w:t>
      </w:r>
      <w:r>
        <w:rPr>
          <w:rFonts w:hint="eastAsia" w:ascii="宋体" w:hAnsi="宋体" w:cs="宋体"/>
          <w:color w:val="auto"/>
          <w:szCs w:val="21"/>
          <w:highlight w:val="none"/>
        </w:rPr>
        <w:t>法律、</w:t>
      </w:r>
      <w:r>
        <w:rPr>
          <w:rFonts w:hint="eastAsia" w:ascii="宋体" w:hAnsi="宋体" w:cs="宋体"/>
          <w:color w:val="auto"/>
          <w:highlight w:val="none"/>
        </w:rPr>
        <w:t>行政法规规定的</w:t>
      </w:r>
      <w:r>
        <w:rPr>
          <w:rFonts w:hint="eastAsia" w:ascii="宋体" w:hAnsi="宋体" w:cs="宋体"/>
          <w:color w:val="auto"/>
          <w:szCs w:val="21"/>
          <w:highlight w:val="none"/>
        </w:rPr>
        <w:t>，可以自知道或应当知道之日起10日内向有关行政监督部门投诉。投诉应有明确的请求和必要的证明材料。</w:t>
      </w:r>
    </w:p>
    <w:p>
      <w:pPr>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监督部门的联系方式见投标人须知前附表。</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8.5.2投标人或其他利害关系人对招标文件、开标和评标结果提出投诉的，应按照本章第2.4款、第5.3款和第7.2款的规定先向招标人提出异议。异议答复期间不计算在第8.5.1项规定的期限内。</w:t>
      </w:r>
    </w:p>
    <w:p>
      <w:pPr>
        <w:spacing w:line="4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9.是否采用电子招标投标</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本招标项目是否采用电子招标投标方式，见投标人须知前附表。</w:t>
      </w:r>
    </w:p>
    <w:p>
      <w:pPr>
        <w:spacing w:line="420" w:lineRule="exact"/>
        <w:rPr>
          <w:rFonts w:hint="eastAsia" w:ascii="宋体" w:hAnsi="宋体" w:cs="宋体"/>
          <w:b/>
          <w:color w:val="auto"/>
          <w:sz w:val="28"/>
          <w:szCs w:val="28"/>
          <w:highlight w:val="none"/>
        </w:rPr>
      </w:pPr>
      <w:bookmarkStart w:id="231" w:name="_Toc234349387"/>
      <w:bookmarkStart w:id="232" w:name="_Toc234348813"/>
      <w:r>
        <w:rPr>
          <w:rFonts w:hint="eastAsia" w:ascii="宋体" w:hAnsi="宋体" w:cs="宋体"/>
          <w:b/>
          <w:color w:val="auto"/>
          <w:sz w:val="28"/>
          <w:szCs w:val="28"/>
          <w:highlight w:val="none"/>
        </w:rPr>
        <w:t>10.需要补充的其他内容</w:t>
      </w:r>
      <w:bookmarkEnd w:id="231"/>
      <w:bookmarkEnd w:id="23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10.1自购买招标文件之日起，投标人应保证其提供的联系方式（电话、传真</w:t>
      </w:r>
      <w:r>
        <w:rPr>
          <w:rFonts w:hint="eastAsia" w:ascii="宋体" w:hAnsi="宋体" w:cs="宋体"/>
          <w:i/>
          <w:iCs/>
          <w:color w:val="auto"/>
          <w:szCs w:val="21"/>
          <w:highlight w:val="none"/>
        </w:rPr>
        <w:t>、</w:t>
      </w:r>
      <w:r>
        <w:rPr>
          <w:rFonts w:hint="eastAsia" w:ascii="宋体" w:hAnsi="宋体" w:cs="宋体"/>
          <w:color w:val="auto"/>
          <w:szCs w:val="21"/>
          <w:highlight w:val="none"/>
        </w:rPr>
        <w:t>电子邮件）一直有效，以便及时收到招标人发出的函件(招标文件的澄清、修改等)并应及时向招标人反馈信息，否则招标人不承担由此引起的—切后果。</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需要补充的其他内容：见投标人须知前附表。</w:t>
      </w:r>
    </w:p>
    <w:p>
      <w:pPr>
        <w:spacing w:line="400" w:lineRule="exact"/>
        <w:ind w:firstLine="480"/>
        <w:jc w:val="left"/>
        <w:rPr>
          <w:rFonts w:hint="eastAsia" w:ascii="宋体" w:hAnsi="宋体" w:cs="宋体"/>
          <w:color w:val="auto"/>
          <w:highlight w:val="none"/>
        </w:rPr>
      </w:pPr>
    </w:p>
    <w:p>
      <w:pPr>
        <w:spacing w:line="400" w:lineRule="exact"/>
        <w:ind w:firstLine="480"/>
        <w:jc w:val="left"/>
        <w:rPr>
          <w:rFonts w:hint="eastAsia" w:ascii="宋体" w:hAnsi="宋体" w:cs="宋体"/>
          <w:color w:val="auto"/>
          <w:sz w:val="24"/>
          <w:highlight w:val="none"/>
        </w:rPr>
      </w:pPr>
      <w:r>
        <w:rPr>
          <w:rFonts w:hint="eastAsia" w:ascii="宋体" w:hAnsi="宋体" w:cs="宋体"/>
          <w:color w:val="auto"/>
          <w:highlight w:val="none"/>
        </w:rPr>
        <w:br w:type="page"/>
      </w:r>
      <w:bookmarkStart w:id="233" w:name="_Toc234345775"/>
      <w:bookmarkStart w:id="234" w:name="_Toc234348820"/>
      <w:bookmarkStart w:id="235" w:name="_Toc234345990"/>
      <w:bookmarkStart w:id="236" w:name="_Toc234350670"/>
      <w:bookmarkStart w:id="237" w:name="_Toc234349394"/>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pStyle w:val="2"/>
        <w:spacing w:before="480" w:after="240"/>
        <w:rPr>
          <w:rFonts w:hint="eastAsia" w:ascii="宋体" w:hAnsi="宋体" w:eastAsia="宋体" w:cs="宋体"/>
          <w:color w:val="auto"/>
          <w:highlight w:val="none"/>
        </w:rPr>
      </w:pPr>
      <w:bookmarkStart w:id="238" w:name="_Toc12608"/>
      <w:bookmarkStart w:id="239" w:name="_Toc511896823"/>
      <w:r>
        <w:rPr>
          <w:rFonts w:hint="eastAsia" w:ascii="宋体" w:hAnsi="宋体" w:eastAsia="宋体" w:cs="宋体"/>
          <w:color w:val="auto"/>
          <w:highlight w:val="none"/>
        </w:rPr>
        <w:t>第三章  评标办法</w:t>
      </w:r>
      <w:bookmarkEnd w:id="233"/>
      <w:bookmarkEnd w:id="234"/>
      <w:bookmarkEnd w:id="235"/>
      <w:bookmarkEnd w:id="236"/>
      <w:bookmarkEnd w:id="237"/>
      <w:bookmarkEnd w:id="238"/>
      <w:bookmarkEnd w:id="239"/>
    </w:p>
    <w:p>
      <w:pPr>
        <w:pStyle w:val="2"/>
        <w:spacing w:beforeLines="0" w:afterLines="0" w:line="240" w:lineRule="auto"/>
        <w:rPr>
          <w:rFonts w:hint="eastAsia" w:ascii="宋体" w:hAnsi="宋体" w:eastAsia="宋体" w:cs="宋体"/>
          <w:color w:val="auto"/>
          <w:highlight w:val="none"/>
        </w:rPr>
      </w:pPr>
      <w:r>
        <w:rPr>
          <w:rFonts w:hint="eastAsia" w:ascii="宋体" w:hAnsi="宋体" w:eastAsia="宋体" w:cs="宋体"/>
          <w:color w:val="auto"/>
          <w:szCs w:val="36"/>
          <w:highlight w:val="none"/>
        </w:rPr>
        <w:br w:type="page"/>
      </w:r>
      <w:bookmarkStart w:id="240" w:name="_Toc265483666"/>
      <w:bookmarkStart w:id="241" w:name="_Toc511905837"/>
      <w:bookmarkStart w:id="242" w:name="_Toc441242402"/>
      <w:bookmarkStart w:id="243" w:name="_Toc9632"/>
      <w:bookmarkStart w:id="244" w:name="_Toc511896824"/>
      <w:r>
        <w:rPr>
          <w:rFonts w:hint="eastAsia" w:ascii="宋体" w:hAnsi="宋体" w:eastAsia="宋体" w:cs="宋体"/>
          <w:color w:val="auto"/>
          <w:highlight w:val="none"/>
        </w:rPr>
        <w:t>第三章  评标办法</w:t>
      </w:r>
      <w:bookmarkEnd w:id="240"/>
      <w:r>
        <w:rPr>
          <w:rFonts w:hint="eastAsia" w:ascii="宋体" w:hAnsi="宋体" w:eastAsia="宋体" w:cs="宋体"/>
          <w:color w:val="auto"/>
          <w:highlight w:val="none"/>
        </w:rPr>
        <w:t>（技术评分最低标价法）</w:t>
      </w:r>
      <w:bookmarkEnd w:id="241"/>
      <w:bookmarkEnd w:id="242"/>
      <w:bookmarkEnd w:id="243"/>
      <w:bookmarkEnd w:id="244"/>
    </w:p>
    <w:p>
      <w:pPr>
        <w:spacing w:before="240" w:beforeLines="100" w:line="460" w:lineRule="exact"/>
        <w:jc w:val="center"/>
        <w:rPr>
          <w:rFonts w:hint="eastAsia" w:ascii="宋体" w:hAnsi="宋体" w:cs="宋体"/>
          <w:b/>
          <w:color w:val="auto"/>
          <w:sz w:val="32"/>
          <w:szCs w:val="32"/>
          <w:highlight w:val="none"/>
        </w:rPr>
      </w:pPr>
      <w:bookmarkStart w:id="245" w:name="_Toc234348822"/>
      <w:bookmarkStart w:id="246" w:name="_Toc234349396"/>
      <w:r>
        <w:rPr>
          <w:rFonts w:hint="eastAsia" w:ascii="宋体" w:hAnsi="宋体" w:cs="宋体"/>
          <w:b/>
          <w:color w:val="auto"/>
          <w:sz w:val="32"/>
          <w:szCs w:val="32"/>
          <w:highlight w:val="none"/>
        </w:rPr>
        <w:t>评标办法前附表</w:t>
      </w:r>
      <w:bookmarkEnd w:id="245"/>
      <w:bookmarkEnd w:id="246"/>
    </w:p>
    <w:tbl>
      <w:tblPr>
        <w:tblStyle w:val="18"/>
        <w:tblW w:w="9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84"/>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blHeader/>
          <w:jc w:val="center"/>
        </w:trPr>
        <w:tc>
          <w:tcPr>
            <w:tcW w:w="1825"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7891"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825" w:type="dxa"/>
            <w:gridSpan w:val="2"/>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评标办法</w:t>
            </w:r>
          </w:p>
        </w:tc>
        <w:tc>
          <w:tcPr>
            <w:tcW w:w="7891" w:type="dxa"/>
            <w:vAlign w:val="center"/>
          </w:tcPr>
          <w:p>
            <w:pPr>
              <w:spacing w:line="360" w:lineRule="exact"/>
              <w:jc w:val="left"/>
              <w:rPr>
                <w:rFonts w:hint="eastAsia" w:ascii="宋体" w:hAnsi="宋体" w:cs="宋体"/>
                <w:color w:val="auto"/>
                <w:highlight w:val="none"/>
              </w:rPr>
            </w:pPr>
            <w:r>
              <w:rPr>
                <w:rFonts w:hint="eastAsia" w:ascii="宋体" w:hAnsi="宋体" w:cs="宋体"/>
                <w:color w:val="auto"/>
                <w:highlight w:val="none"/>
              </w:rPr>
              <w:t>评标价相等时，评标委员会依次按照以下优先顺序推荐中标候选人或确定中标人：</w:t>
            </w:r>
          </w:p>
          <w:p>
            <w:pPr>
              <w:spacing w:line="360" w:lineRule="exact"/>
              <w:jc w:val="left"/>
              <w:rPr>
                <w:rFonts w:hint="eastAsia" w:ascii="宋体" w:hAnsi="宋体" w:cs="宋体"/>
                <w:color w:val="auto"/>
                <w:highlight w:val="none"/>
              </w:rPr>
            </w:pPr>
            <w:r>
              <w:rPr>
                <w:rFonts w:hint="eastAsia" w:ascii="宋体" w:hAnsi="宋体" w:cs="宋体"/>
                <w:color w:val="auto"/>
                <w:highlight w:val="none"/>
              </w:rPr>
              <w:t>（1）投标报价低的投标人优先；</w:t>
            </w:r>
          </w:p>
          <w:p>
            <w:pPr>
              <w:spacing w:line="360" w:lineRule="exact"/>
              <w:jc w:val="left"/>
              <w:rPr>
                <w:rFonts w:hint="eastAsia" w:ascii="宋体" w:hAnsi="宋体" w:cs="宋体"/>
                <w:color w:val="auto"/>
                <w:highlight w:val="none"/>
              </w:rPr>
            </w:pPr>
            <w:r>
              <w:rPr>
                <w:rFonts w:hint="eastAsia" w:ascii="宋体" w:hAnsi="宋体" w:cs="宋体"/>
                <w:color w:val="auto"/>
                <w:highlight w:val="none"/>
              </w:rPr>
              <w:t>（2）商务和技术得分较高的投标人优先；</w:t>
            </w:r>
          </w:p>
          <w:p>
            <w:pPr>
              <w:spacing w:line="360" w:lineRule="exact"/>
              <w:jc w:val="left"/>
              <w:rPr>
                <w:rFonts w:hint="eastAsia" w:ascii="宋体" w:hAnsi="宋体" w:cs="宋体"/>
                <w:color w:val="auto"/>
                <w:highlight w:val="none"/>
              </w:rPr>
            </w:pPr>
            <w:r>
              <w:rPr>
                <w:rFonts w:hint="eastAsia" w:ascii="宋体" w:hAnsi="宋体" w:cs="宋体"/>
                <w:color w:val="auto"/>
                <w:highlight w:val="none"/>
              </w:rPr>
              <w:t>（3）评标委员会推选的投标人。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2.1.1</w:t>
            </w:r>
          </w:p>
          <w:p>
            <w:pPr>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1084"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形式评审与响应性评审标准</w:t>
            </w:r>
          </w:p>
        </w:tc>
        <w:tc>
          <w:tcPr>
            <w:tcW w:w="7891" w:type="dxa"/>
            <w:vAlign w:val="top"/>
          </w:tcPr>
          <w:p>
            <w:pPr>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第一个信封（商务及技术文件）评审标准：</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（1）投标文件按照招标文件规定的格式、内容填写，字迹清晰可辨：</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a.投标函按招标文件规定填报了项目名称、标段号、补遗书编号（如有）、工期、工程质量要求及安全目标；</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b.投标函附录的所有数据均符合招标文件规定；</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c.投标文件组成齐全完整，内容均按规定填写；</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（2）投标文件上法定代表人或其委托代理人的签字、投标人的单位章盖章齐全，符合招标文件规定。</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（3）投标人按照招标文件的规定提供了投标保证金：</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a.投标保证金金额符合招标文件规定的金额，且投标保证金有效期不少于投标有效期；</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b.若投标保证金采用现金或支票形式提交，投标人应在递交投标保证金截止时间之前，将投标保证金由投标人的基本账户转入招标人指定账户；</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c.若投标保证金采用银行保函的形式提交，银行保函的格式、开具保函的银行均满足招标文件要求，且在递交投标文件截止时间之前向招标人提交了银行保函原件。</w:t>
            </w:r>
          </w:p>
          <w:p>
            <w:pPr>
              <w:snapToGrid w:val="0"/>
              <w:spacing w:line="280" w:lineRule="exact"/>
              <w:rPr>
                <w:rFonts w:hint="eastAsia" w:ascii="宋体" w:hAnsi="宋体"/>
                <w:bCs/>
                <w:szCs w:val="21"/>
              </w:rPr>
            </w:pPr>
            <w:r>
              <w:rPr>
                <w:rFonts w:hint="eastAsia" w:ascii="宋体" w:hAnsi="宋体"/>
                <w:bCs/>
                <w:szCs w:val="21"/>
              </w:rPr>
              <w:t>d. 若使用电子保函、保单，电子保函保单符合招标文件要求，且将金融机构出具的电子保函、保单打印件或复印件附在投标文件中。</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（4）投标人法定代表人授权委托代理人签署投标文件的，须提交授权委托书，且授权人和被授权人均在授权委托书上签名，未使用印章、签名章或其他电子制版签名代替。</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（5）投标人法定代表人亲自签署投标文件的，提供了法定代表人身份证明，且法定代表人在法定代表人身份证上签名，未使用印章、签名章或其他电子制版签名代替。</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（6）投标人如有分包计划，符合招标文件第二章“投标人须知”第1.11款规定，且按招标文件第九章“投标文件格式”的要求填写了“拟分包项目情况表”。</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（7）同一投标人未提供两个以上不同的投标文件，但招标文件要求提交备选投标的除外。</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（8）投标文件中未出现有关投标报价的内容。</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（9）投标文件载明的招标项目完成期限未超过招标文件规定的时限。</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（10）投标文件对招标文件的实质性要求和条件做出响应。</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（11）权利义务符合招标文件规定：</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a.投标人应接受招标文件规定的风险划分原则，未提出新的风险划分办法；</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b.投标人未增加发包人的责任范围，或减少投标人义务；</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c.投标人未提出不同的工程验收、计量、支付办法；</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d.投标人对合同纠纷、事故处理办法未提出异议；</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e.投标人在投标活动中无欺诈行为；</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f.投标人未对合同条款有重要保留。</w:t>
            </w:r>
          </w:p>
          <w:p>
            <w:pPr>
              <w:snapToGrid w:val="0"/>
              <w:spacing w:line="280" w:lineRule="exact"/>
              <w:rPr>
                <w:rFonts w:ascii="宋体" w:hAnsi="宋体"/>
                <w:bCs/>
                <w:szCs w:val="21"/>
              </w:rPr>
            </w:pPr>
            <w:r>
              <w:rPr>
                <w:rFonts w:hint="eastAsia" w:ascii="宋体" w:hAnsi="宋体"/>
                <w:bCs/>
                <w:szCs w:val="21"/>
              </w:rPr>
              <w:t>（11）投标文件正、副本份数符合招标文件第二章 “投标人须知”第3.7.4项规定。</w:t>
            </w:r>
          </w:p>
          <w:p>
            <w:pPr>
              <w:snapToGrid w:val="0"/>
              <w:spacing w:line="280" w:lineRule="exact"/>
              <w:rPr>
                <w:rFonts w:ascii="宋体" w:hAnsi="宋体"/>
                <w:bCs/>
                <w:szCs w:val="21"/>
              </w:rPr>
            </w:pPr>
            <w:r>
              <w:rPr>
                <w:rFonts w:hint="eastAsia" w:ascii="宋体" w:hAnsi="宋体"/>
                <w:bCs/>
                <w:szCs w:val="21"/>
              </w:rPr>
              <w:t>（12）投标文件未附有招标人不能接受的条件。</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szCs w:val="21"/>
              </w:rPr>
              <w:t>（13）单位负责人为同一人或者存在控股、管理关系的不同单位，未参加同一标段投标或者未划分标段的同一招标项目投标。</w:t>
            </w:r>
          </w:p>
          <w:p>
            <w:pPr>
              <w:spacing w:line="360" w:lineRule="exact"/>
              <w:ind w:left="90" w:leftChars="43" w:firstLine="196" w:firstLineChars="93"/>
              <w:jc w:val="left"/>
              <w:rPr>
                <w:rFonts w:hint="eastAsia" w:ascii="宋体" w:hAnsi="宋体" w:cs="宋体"/>
                <w:b/>
                <w:color w:val="auto"/>
                <w:szCs w:val="21"/>
                <w:highlight w:val="none"/>
              </w:rPr>
            </w:pPr>
            <w:r>
              <w:rPr>
                <w:rFonts w:hint="eastAsia" w:ascii="宋体" w:hAnsi="宋体" w:cs="宋体"/>
                <w:b/>
                <w:color w:val="auto"/>
                <w:szCs w:val="21"/>
                <w:highlight w:val="none"/>
              </w:rPr>
              <w:t>第二个信封（报价文件）评审标准：</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（1）投标文件按照招标文件规定的格式、内容填写，字迹清晰可辨：</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a.投标函按招标文件规定填报了项目名称、标段号、补遗书编号（如有）、投标价（包括大写金额和小写金额）；</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b.已标价工程量清单说明文字与招标文件规定一致，未进行实质性修改和删减；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c.投标文件组成齐全完整，内容均按规定填写；</w:t>
            </w:r>
          </w:p>
          <w:p>
            <w:pPr>
              <w:spacing w:line="360" w:lineRule="exact"/>
              <w:ind w:firstLine="420" w:firstLineChars="200"/>
              <w:jc w:val="left"/>
              <w:rPr>
                <w:rFonts w:hint="eastAsia"/>
                <w:color w:val="auto"/>
                <w:highlight w:val="none"/>
              </w:rPr>
            </w:pPr>
            <w:r>
              <w:rPr>
                <w:rFonts w:hint="eastAsia"/>
                <w:color w:val="auto"/>
                <w:highlight w:val="none"/>
              </w:rPr>
              <w:t xml:space="preserve">d.投标文件中工程量清单完全按工程量清单说明要求填报。 </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（2）投标文件上法定代表人或其授权代理人的签字、投标人的单位章盖章齐全，符合招标文件规定。</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（3）投标报价或调价函中的报价未超过招标文件设定的最高投标限价（如有）。</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（4）投标报价或调价函中报价的大写金额能够确定具体数值。</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（5）同一投标人未提交两个以上不同的投标报价，但招标文件要求提交备选投标的除外。</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（6）投标人若提交调价函，调价函符合招标文件第二章“投标人须知”第3.2.6项要求。</w:t>
            </w:r>
          </w:p>
          <w:p>
            <w:pPr>
              <w:snapToGrid w:val="0"/>
              <w:spacing w:line="280" w:lineRule="exact"/>
              <w:rPr>
                <w:rFonts w:hint="eastAsia" w:ascii="宋体" w:hAnsi="宋体" w:cs="宋体"/>
                <w:color w:val="auto"/>
                <w:szCs w:val="21"/>
                <w:highlight w:val="none"/>
              </w:rPr>
            </w:pPr>
            <w:r>
              <w:rPr>
                <w:rFonts w:hint="eastAsia" w:ascii="宋体" w:hAnsi="宋体" w:cs="宋体"/>
                <w:color w:val="auto"/>
                <w:szCs w:val="21"/>
                <w:highlight w:val="none"/>
              </w:rPr>
              <w:t>（7）投标人若填写工程量固化清单，填写完毕的工程量固化清单未对工程量固化清单电子文件中的数据、格式和运算定义进行修改；工程量固化清单中的投标报价和投标函大写金额报价一致。</w:t>
            </w:r>
          </w:p>
          <w:p>
            <w:pPr>
              <w:snapToGrid w:val="0"/>
              <w:spacing w:line="280" w:lineRule="exact"/>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）投标文件正、副本份数符合招标文件第二章“投标人须知”第3.7.4 项规定。</w:t>
            </w:r>
          </w:p>
          <w:p>
            <w:pPr>
              <w:spacing w:line="360" w:lineRule="exact"/>
              <w:jc w:val="left"/>
              <w:rPr>
                <w:rFonts w:hint="eastAsia" w:ascii="宋体" w:hAnsi="宋体" w:cs="宋体"/>
                <w:color w:val="auto"/>
                <w:szCs w:val="21"/>
                <w:highlight w:val="none"/>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cs="宋体"/>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2"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10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7891" w:type="dxa"/>
            <w:tcBorders>
              <w:top w:val="single" w:color="auto" w:sz="4" w:space="0"/>
              <w:left w:val="single" w:color="auto" w:sz="4" w:space="0"/>
              <w:bottom w:val="single" w:color="auto" w:sz="4" w:space="0"/>
              <w:right w:val="single" w:color="auto" w:sz="4" w:space="0"/>
            </w:tcBorders>
            <w:vAlign w:val="top"/>
          </w:tcPr>
          <w:p>
            <w:pPr>
              <w:snapToGrid w:val="0"/>
              <w:spacing w:line="283" w:lineRule="auto"/>
              <w:ind w:firstLine="189" w:firstLineChars="90"/>
              <w:rPr>
                <w:rFonts w:hint="eastAsia" w:ascii="宋体" w:hAnsi="宋体" w:cs="宋体"/>
                <w:color w:val="auto"/>
                <w:szCs w:val="21"/>
                <w:highlight w:val="none"/>
              </w:rPr>
            </w:pPr>
          </w:p>
          <w:p>
            <w:pPr>
              <w:snapToGrid w:val="0"/>
              <w:spacing w:line="283" w:lineRule="auto"/>
              <w:ind w:firstLine="189" w:firstLineChars="90"/>
              <w:rPr>
                <w:rFonts w:hint="eastAsia" w:ascii="宋体" w:hAnsi="宋体" w:cs="宋体"/>
                <w:color w:val="auto"/>
                <w:szCs w:val="21"/>
                <w:highlight w:val="none"/>
              </w:rPr>
            </w:pPr>
            <w:r>
              <w:rPr>
                <w:rFonts w:hint="eastAsia" w:ascii="宋体" w:hAnsi="宋体" w:cs="宋体"/>
                <w:color w:val="auto"/>
                <w:szCs w:val="21"/>
                <w:highlight w:val="none"/>
              </w:rPr>
              <w:t>（1）投标人具备有效的营业执照、资质证书和基本账户开户许可证（或备案证明材料）；</w:t>
            </w:r>
          </w:p>
          <w:p>
            <w:pPr>
              <w:snapToGrid w:val="0"/>
              <w:spacing w:line="283" w:lineRule="auto"/>
              <w:ind w:firstLine="189" w:firstLineChars="90"/>
              <w:rPr>
                <w:rFonts w:hint="eastAsia" w:ascii="宋体" w:hAnsi="宋体" w:cs="宋体"/>
                <w:color w:val="auto"/>
                <w:szCs w:val="21"/>
                <w:highlight w:val="none"/>
              </w:rPr>
            </w:pPr>
            <w:r>
              <w:rPr>
                <w:rFonts w:hint="eastAsia" w:ascii="宋体" w:hAnsi="宋体" w:cs="宋体"/>
                <w:color w:val="auto"/>
                <w:szCs w:val="21"/>
                <w:highlight w:val="none"/>
              </w:rPr>
              <w:t>（2）投标人的资质等级符合招标文件规定；</w:t>
            </w:r>
          </w:p>
          <w:p>
            <w:pPr>
              <w:snapToGrid w:val="0"/>
              <w:spacing w:line="283" w:lineRule="auto"/>
              <w:ind w:firstLine="189" w:firstLineChars="90"/>
              <w:rPr>
                <w:rFonts w:hint="eastAsia" w:ascii="宋体" w:hAnsi="宋体" w:cs="宋体"/>
                <w:color w:val="auto"/>
                <w:szCs w:val="21"/>
                <w:highlight w:val="none"/>
              </w:rPr>
            </w:pPr>
            <w:r>
              <w:rPr>
                <w:rFonts w:hint="eastAsia" w:ascii="宋体" w:hAnsi="宋体" w:cs="宋体"/>
                <w:color w:val="auto"/>
                <w:szCs w:val="21"/>
                <w:highlight w:val="none"/>
              </w:rPr>
              <w:t>（3）投标人的财务状况符合招标文件规定；</w:t>
            </w:r>
          </w:p>
          <w:p>
            <w:pPr>
              <w:snapToGrid w:val="0"/>
              <w:spacing w:line="283" w:lineRule="auto"/>
              <w:ind w:firstLine="189" w:firstLineChars="90"/>
              <w:rPr>
                <w:rFonts w:hint="eastAsia" w:ascii="宋体" w:hAnsi="宋体" w:cs="宋体"/>
                <w:color w:val="auto"/>
                <w:szCs w:val="21"/>
                <w:highlight w:val="none"/>
              </w:rPr>
            </w:pPr>
            <w:r>
              <w:rPr>
                <w:rFonts w:hint="eastAsia" w:ascii="宋体" w:hAnsi="宋体" w:cs="宋体"/>
                <w:color w:val="auto"/>
                <w:szCs w:val="21"/>
                <w:highlight w:val="none"/>
              </w:rPr>
              <w:t>（4）投标人的类似项目业绩符合招标文件规定；</w:t>
            </w:r>
          </w:p>
          <w:p>
            <w:pPr>
              <w:snapToGrid w:val="0"/>
              <w:spacing w:line="283" w:lineRule="auto"/>
              <w:ind w:firstLine="189" w:firstLineChars="90"/>
              <w:rPr>
                <w:rFonts w:hint="eastAsia" w:ascii="宋体" w:hAnsi="宋体" w:cs="宋体"/>
                <w:color w:val="auto"/>
                <w:szCs w:val="21"/>
                <w:highlight w:val="none"/>
              </w:rPr>
            </w:pPr>
            <w:r>
              <w:rPr>
                <w:rFonts w:hint="eastAsia" w:ascii="宋体" w:hAnsi="宋体" w:cs="宋体"/>
                <w:color w:val="auto"/>
                <w:szCs w:val="21"/>
                <w:highlight w:val="none"/>
              </w:rPr>
              <w:t>（5）投标人的信誉符合招标文件规定；</w:t>
            </w:r>
          </w:p>
          <w:p>
            <w:pPr>
              <w:snapToGrid w:val="0"/>
              <w:spacing w:line="283" w:lineRule="auto"/>
              <w:ind w:firstLine="189" w:firstLineChars="90"/>
              <w:rPr>
                <w:rFonts w:hint="eastAsia" w:ascii="宋体" w:hAnsi="宋体" w:cs="宋体"/>
                <w:color w:val="auto"/>
                <w:szCs w:val="21"/>
                <w:highlight w:val="none"/>
              </w:rPr>
            </w:pPr>
            <w:r>
              <w:rPr>
                <w:rFonts w:hint="eastAsia" w:ascii="宋体" w:hAnsi="宋体" w:cs="宋体"/>
                <w:color w:val="auto"/>
                <w:szCs w:val="21"/>
                <w:highlight w:val="none"/>
              </w:rPr>
              <w:t>（6）投标人的项目经理和项目总工资格、在岗情况符合招标文件规定；</w:t>
            </w:r>
          </w:p>
          <w:p>
            <w:pPr>
              <w:snapToGrid w:val="0"/>
              <w:spacing w:line="283" w:lineRule="auto"/>
              <w:ind w:firstLine="189" w:firstLineChars="90"/>
              <w:rPr>
                <w:rFonts w:hint="eastAsia" w:ascii="宋体" w:hAnsi="宋体" w:cs="宋体"/>
                <w:color w:val="auto"/>
                <w:szCs w:val="21"/>
                <w:highlight w:val="none"/>
              </w:rPr>
            </w:pPr>
            <w:r>
              <w:rPr>
                <w:rFonts w:hint="eastAsia" w:ascii="宋体" w:hAnsi="宋体" w:cs="宋体"/>
                <w:color w:val="auto"/>
                <w:szCs w:val="21"/>
                <w:highlight w:val="none"/>
              </w:rPr>
              <w:t>（7）投标人的其他要求符合招标文件规定；</w:t>
            </w:r>
          </w:p>
          <w:p>
            <w:pPr>
              <w:snapToGrid w:val="0"/>
              <w:spacing w:line="283" w:lineRule="auto"/>
              <w:ind w:firstLine="189" w:firstLineChars="90"/>
              <w:rPr>
                <w:rFonts w:hint="eastAsia" w:ascii="宋体" w:hAnsi="宋体" w:cs="宋体"/>
                <w:color w:val="auto"/>
                <w:szCs w:val="21"/>
                <w:highlight w:val="none"/>
              </w:rPr>
            </w:pPr>
            <w:r>
              <w:rPr>
                <w:rFonts w:hint="eastAsia" w:ascii="宋体" w:hAnsi="宋体" w:cs="宋体"/>
                <w:color w:val="auto"/>
                <w:szCs w:val="21"/>
                <w:highlight w:val="none"/>
              </w:rPr>
              <w:t>（8）投标人不存在第二章“投标人须知”第1.4.3项或第1.4.4项规定的任何一种情形；</w:t>
            </w:r>
          </w:p>
          <w:p>
            <w:pPr>
              <w:snapToGrid w:val="0"/>
              <w:spacing w:line="283" w:lineRule="auto"/>
              <w:ind w:firstLine="189" w:firstLineChars="90"/>
              <w:rPr>
                <w:rFonts w:hint="eastAsia" w:ascii="宋体" w:hAnsi="宋体" w:cs="宋体"/>
                <w:color w:val="auto"/>
                <w:szCs w:val="21"/>
                <w:highlight w:val="none"/>
              </w:rPr>
            </w:pPr>
            <w:r>
              <w:rPr>
                <w:rFonts w:hint="eastAsia" w:ascii="宋体" w:hAnsi="宋体" w:cs="宋体"/>
                <w:color w:val="auto"/>
                <w:szCs w:val="21"/>
                <w:highlight w:val="none"/>
              </w:rPr>
              <w:t>（9）投标人符合第二章“投标人须知”第1.4.5项规定；</w:t>
            </w:r>
          </w:p>
        </w:tc>
      </w:tr>
    </w:tbl>
    <w:p>
      <w:pPr>
        <w:ind w:right="315"/>
        <w:jc w:val="right"/>
        <w:rPr>
          <w:rFonts w:hint="eastAsia" w:ascii="宋体" w:hAnsi="宋体" w:cs="宋体"/>
          <w:color w:val="auto"/>
          <w:highlight w:val="none"/>
        </w:rPr>
      </w:pPr>
    </w:p>
    <w:p>
      <w:pPr>
        <w:ind w:right="315"/>
        <w:jc w:val="right"/>
        <w:rPr>
          <w:rFonts w:hint="eastAsia" w:ascii="宋体" w:hAnsi="宋体" w:cs="宋体"/>
          <w:color w:val="auto"/>
          <w:highlight w:val="none"/>
        </w:rPr>
      </w:pPr>
    </w:p>
    <w:p>
      <w:pPr>
        <w:pStyle w:val="6"/>
        <w:rPr>
          <w:rFonts w:hint="eastAsia" w:ascii="宋体" w:hAnsi="宋体" w:cs="宋体"/>
          <w:color w:val="auto"/>
          <w:highlight w:val="none"/>
        </w:rPr>
      </w:pPr>
    </w:p>
    <w:p>
      <w:pPr>
        <w:pStyle w:val="7"/>
        <w:rPr>
          <w:rFonts w:hint="eastAsia"/>
          <w:color w:val="auto"/>
          <w:highlight w:val="none"/>
        </w:rPr>
      </w:pPr>
    </w:p>
    <w:p>
      <w:pPr>
        <w:ind w:right="315"/>
        <w:jc w:val="right"/>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ind w:right="315"/>
        <w:jc w:val="right"/>
        <w:rPr>
          <w:rFonts w:hint="eastAsia" w:ascii="宋体" w:hAnsi="宋体" w:cs="宋体"/>
          <w:color w:val="auto"/>
          <w:highlight w:val="none"/>
        </w:rPr>
      </w:pPr>
      <w:r>
        <w:rPr>
          <w:rFonts w:hint="eastAsia" w:ascii="宋体" w:hAnsi="宋体" w:cs="宋体"/>
          <w:color w:val="auto"/>
          <w:highlight w:val="none"/>
        </w:rPr>
        <w:t>续上表</w:t>
      </w:r>
    </w:p>
    <w:tbl>
      <w:tblPr>
        <w:tblStyle w:val="18"/>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4257"/>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394" w:type="dxa"/>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条款号</w:t>
            </w:r>
          </w:p>
        </w:tc>
        <w:tc>
          <w:tcPr>
            <w:tcW w:w="4257" w:type="dxa"/>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条款名称</w:t>
            </w:r>
          </w:p>
        </w:tc>
        <w:tc>
          <w:tcPr>
            <w:tcW w:w="4319" w:type="dxa"/>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394" w:type="dxa"/>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2.2.1</w:t>
            </w:r>
          </w:p>
        </w:tc>
        <w:tc>
          <w:tcPr>
            <w:tcW w:w="4257"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第一个信封评分分值构成（100分）</w:t>
            </w:r>
          </w:p>
        </w:tc>
        <w:tc>
          <w:tcPr>
            <w:tcW w:w="4319" w:type="dxa"/>
            <w:vAlign w:val="top"/>
          </w:tcPr>
          <w:p>
            <w:pPr>
              <w:spacing w:line="280" w:lineRule="exact"/>
              <w:ind w:firstLine="420" w:firstLineChars="200"/>
              <w:rPr>
                <w:rFonts w:ascii="宋体" w:hAnsi="宋体"/>
                <w:szCs w:val="21"/>
              </w:rPr>
            </w:pPr>
            <w:r>
              <w:rPr>
                <w:rFonts w:hint="eastAsia" w:ascii="宋体" w:hAnsi="宋体"/>
                <w:szCs w:val="21"/>
              </w:rPr>
              <w:t>施工组织设计：</w:t>
            </w:r>
            <w:r>
              <w:rPr>
                <w:rFonts w:ascii="宋体" w:hAnsi="宋体"/>
                <w:szCs w:val="21"/>
                <w:u w:val="single"/>
              </w:rPr>
              <w:t>40</w:t>
            </w:r>
            <w:r>
              <w:rPr>
                <w:rFonts w:hint="eastAsia" w:ascii="宋体" w:hAnsi="宋体"/>
                <w:szCs w:val="21"/>
              </w:rPr>
              <w:t>分</w:t>
            </w:r>
          </w:p>
          <w:p>
            <w:pPr>
              <w:spacing w:line="280" w:lineRule="exact"/>
              <w:ind w:firstLine="420" w:firstLineChars="200"/>
              <w:rPr>
                <w:rFonts w:ascii="宋体" w:hAnsi="宋体"/>
                <w:szCs w:val="21"/>
              </w:rPr>
            </w:pPr>
            <w:r>
              <w:rPr>
                <w:rFonts w:hint="eastAsia" w:ascii="宋体" w:hAnsi="宋体"/>
                <w:szCs w:val="21"/>
              </w:rPr>
              <w:t>主要人员：</w:t>
            </w:r>
            <w:r>
              <w:rPr>
                <w:rFonts w:hint="eastAsia" w:ascii="宋体" w:hAnsi="宋体"/>
                <w:szCs w:val="21"/>
                <w:u w:val="single"/>
              </w:rPr>
              <w:t>25</w:t>
            </w:r>
            <w:r>
              <w:rPr>
                <w:rFonts w:hint="eastAsia" w:ascii="宋体" w:hAnsi="宋体"/>
                <w:szCs w:val="21"/>
              </w:rPr>
              <w:t>分</w:t>
            </w:r>
          </w:p>
          <w:p>
            <w:pPr>
              <w:spacing w:line="280" w:lineRule="exact"/>
              <w:ind w:firstLine="420" w:firstLineChars="200"/>
              <w:rPr>
                <w:rFonts w:hint="eastAsia" w:ascii="宋体" w:hAnsi="宋体"/>
                <w:szCs w:val="21"/>
              </w:rPr>
            </w:pPr>
            <w:r>
              <w:rPr>
                <w:rFonts w:hint="eastAsia" w:ascii="宋体" w:hAnsi="宋体"/>
                <w:szCs w:val="21"/>
              </w:rPr>
              <w:t>单位业绩：</w:t>
            </w:r>
            <w:r>
              <w:rPr>
                <w:rFonts w:hint="eastAsia" w:ascii="宋体" w:hAnsi="宋体"/>
                <w:szCs w:val="21"/>
                <w:u w:val="single"/>
              </w:rPr>
              <w:t>20</w:t>
            </w:r>
            <w:r>
              <w:rPr>
                <w:rFonts w:hint="eastAsia" w:ascii="宋体" w:hAnsi="宋体"/>
                <w:szCs w:val="21"/>
              </w:rPr>
              <w:t>分</w:t>
            </w:r>
          </w:p>
          <w:p>
            <w:pPr>
              <w:snapToGrid w:val="0"/>
              <w:spacing w:line="360" w:lineRule="exact"/>
              <w:ind w:firstLine="420" w:firstLineChars="200"/>
              <w:jc w:val="left"/>
              <w:rPr>
                <w:rFonts w:hint="eastAsia" w:ascii="宋体" w:hAnsi="宋体" w:cs="宋体"/>
                <w:color w:val="auto"/>
                <w:szCs w:val="21"/>
                <w:highlight w:val="none"/>
              </w:rPr>
            </w:pPr>
            <w:r>
              <w:rPr>
                <w:rFonts w:hint="eastAsia" w:hAnsi="宋体" w:cs="黑体"/>
                <w:szCs w:val="21"/>
              </w:rPr>
              <w:t>技术能力：</w:t>
            </w:r>
            <w:r>
              <w:rPr>
                <w:rFonts w:hint="eastAsia" w:ascii="宋体" w:hAnsi="宋体" w:cs="宋体"/>
                <w:szCs w:val="21"/>
                <w:u w:val="single"/>
              </w:rPr>
              <w:t>15</w:t>
            </w:r>
            <w:r>
              <w:rPr>
                <w:rFonts w:hint="eastAsia" w:hAnsi="宋体" w:cs="黑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1394" w:type="dxa"/>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2.2.3</w:t>
            </w:r>
          </w:p>
        </w:tc>
        <w:tc>
          <w:tcPr>
            <w:tcW w:w="4257"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第二个信封详细评审标准</w:t>
            </w:r>
          </w:p>
        </w:tc>
        <w:tc>
          <w:tcPr>
            <w:tcW w:w="4319" w:type="dxa"/>
            <w:vAlign w:val="top"/>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评标价计算公式：</w:t>
            </w:r>
          </w:p>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评标价=修正后的投标报价-暂估价-暂列金额。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394" w:type="dxa"/>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3.2.4</w:t>
            </w:r>
          </w:p>
        </w:tc>
        <w:tc>
          <w:tcPr>
            <w:tcW w:w="4257"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通过第一个信封详细评审的投标人数量</w:t>
            </w:r>
          </w:p>
        </w:tc>
        <w:tc>
          <w:tcPr>
            <w:tcW w:w="4319" w:type="dxa"/>
            <w:vAlign w:val="top"/>
          </w:tcPr>
          <w:p>
            <w:pPr>
              <w:snapToGrid w:val="0"/>
              <w:spacing w:line="360" w:lineRule="exact"/>
              <w:ind w:hanging="10"/>
              <w:rPr>
                <w:rFonts w:hint="eastAsia" w:ascii="宋体" w:hAnsi="宋体" w:cs="宋体"/>
                <w:color w:val="auto"/>
                <w:highlight w:val="none"/>
              </w:rPr>
            </w:pPr>
            <w:r>
              <w:rPr>
                <w:rFonts w:hint="eastAsia" w:ascii="宋体" w:hAnsi="宋体" w:cs="宋体"/>
                <w:color w:val="auto"/>
                <w:highlight w:val="none"/>
              </w:rPr>
              <w:t xml:space="preserve">按照投标人的商务和技术得分由高到低排序，选择前 </w:t>
            </w:r>
            <w:r>
              <w:rPr>
                <w:rFonts w:hint="eastAsia" w:ascii="宋体" w:hAnsi="宋体" w:cs="宋体"/>
                <w:color w:val="auto"/>
                <w:highlight w:val="none"/>
                <w:lang w:val="en-US" w:eastAsia="zh-CN"/>
              </w:rPr>
              <w:t>5</w:t>
            </w:r>
            <w:r>
              <w:rPr>
                <w:rFonts w:hint="eastAsia" w:ascii="宋体" w:hAnsi="宋体" w:cs="宋体"/>
                <w:color w:val="auto"/>
                <w:highlight w:val="none"/>
              </w:rPr>
              <w:t xml:space="preserve"> 名通过详细评审。如果通过第一信封的投标人少于3人，则重新招标。</w:t>
            </w:r>
          </w:p>
          <w:p>
            <w:pPr>
              <w:snapToGrid w:val="0"/>
              <w:spacing w:line="360" w:lineRule="exact"/>
              <w:ind w:hanging="10"/>
              <w:rPr>
                <w:rFonts w:hint="eastAsia" w:ascii="宋体" w:hAnsi="宋体" w:cs="宋体"/>
                <w:color w:val="auto"/>
                <w:highlight w:val="none"/>
              </w:rPr>
            </w:pPr>
            <w:r>
              <w:rPr>
                <w:rFonts w:hint="eastAsia" w:ascii="宋体" w:hAnsi="宋体" w:cs="宋体"/>
                <w:color w:val="auto"/>
                <w:highlight w:val="none"/>
              </w:rPr>
              <w:t xml:space="preserve">商务和技术得分相等时，评标委员会依次按照以下优先顺序确定前 </w:t>
            </w:r>
            <w:r>
              <w:rPr>
                <w:rFonts w:hint="eastAsia" w:ascii="宋体" w:hAnsi="宋体" w:cs="宋体"/>
                <w:color w:val="auto"/>
                <w:highlight w:val="none"/>
                <w:lang w:val="en-US" w:eastAsia="zh-CN"/>
              </w:rPr>
              <w:t>3</w:t>
            </w:r>
            <w:r>
              <w:rPr>
                <w:rFonts w:hint="eastAsia" w:ascii="宋体" w:hAnsi="宋体" w:cs="宋体"/>
                <w:color w:val="auto"/>
                <w:highlight w:val="none"/>
              </w:rPr>
              <w:t xml:space="preserve"> 名：</w:t>
            </w:r>
          </w:p>
          <w:p>
            <w:pPr>
              <w:snapToGrid w:val="0"/>
              <w:spacing w:line="360" w:lineRule="exact"/>
              <w:ind w:hanging="10"/>
              <w:rPr>
                <w:rFonts w:hint="eastAsia" w:ascii="宋体" w:hAnsi="宋体" w:cs="宋体"/>
                <w:color w:val="auto"/>
                <w:highlight w:val="none"/>
              </w:rPr>
            </w:pPr>
            <w:r>
              <w:rPr>
                <w:rFonts w:hint="eastAsia" w:ascii="宋体" w:hAnsi="宋体" w:cs="宋体"/>
                <w:color w:val="auto"/>
                <w:highlight w:val="none"/>
              </w:rPr>
              <w:t>（1）被招标项目所在地省级交通运输主管部门评为较高信用等级的投标人优先；</w:t>
            </w:r>
          </w:p>
          <w:p>
            <w:pPr>
              <w:snapToGrid w:val="0"/>
              <w:spacing w:line="360" w:lineRule="exact"/>
              <w:ind w:hanging="10"/>
              <w:rPr>
                <w:rFonts w:hint="eastAsia" w:ascii="宋体" w:hAnsi="宋体" w:cs="宋体"/>
                <w:color w:val="auto"/>
                <w:highlight w:val="none"/>
              </w:rPr>
            </w:pPr>
            <w:r>
              <w:rPr>
                <w:rFonts w:hint="eastAsia" w:ascii="宋体" w:hAnsi="宋体" w:cs="宋体"/>
                <w:color w:val="auto"/>
                <w:highlight w:val="none"/>
              </w:rPr>
              <w:t>（2）施工组织设计得分较高的投标人优先；</w:t>
            </w:r>
          </w:p>
          <w:p>
            <w:pPr>
              <w:snapToGrid w:val="0"/>
              <w:spacing w:line="360" w:lineRule="exact"/>
              <w:ind w:hanging="10"/>
              <w:rPr>
                <w:rFonts w:hint="eastAsia" w:ascii="宋体" w:hAnsi="宋体" w:cs="宋体"/>
                <w:color w:val="auto"/>
                <w:highlight w:val="none"/>
              </w:rPr>
            </w:pPr>
            <w:r>
              <w:rPr>
                <w:rFonts w:hint="eastAsia" w:ascii="宋体" w:hAnsi="宋体" w:cs="宋体"/>
                <w:color w:val="auto"/>
                <w:highlight w:val="none"/>
              </w:rPr>
              <w:t>（3）评标委员会推选的投标人。</w:t>
            </w:r>
          </w:p>
        </w:tc>
      </w:tr>
    </w:tbl>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tbl>
      <w:tblPr>
        <w:tblStyle w:val="18"/>
        <w:tblW w:w="92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940"/>
        <w:gridCol w:w="351"/>
        <w:gridCol w:w="422"/>
        <w:gridCol w:w="1118"/>
        <w:gridCol w:w="1829"/>
        <w:gridCol w:w="705"/>
        <w:gridCol w:w="38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tblHeader/>
          <w:jc w:val="center"/>
        </w:trPr>
        <w:tc>
          <w:tcPr>
            <w:tcW w:w="940" w:type="dxa"/>
            <w:vMerge w:val="restart"/>
            <w:vAlign w:val="center"/>
          </w:tcPr>
          <w:p>
            <w:pPr>
              <w:spacing w:line="280" w:lineRule="exact"/>
              <w:jc w:val="center"/>
              <w:rPr>
                <w:rFonts w:hint="eastAsia" w:ascii="宋体" w:hAnsi="宋体"/>
                <w:b/>
                <w:bCs/>
                <w:szCs w:val="21"/>
              </w:rPr>
            </w:pPr>
            <w:r>
              <w:rPr>
                <w:rFonts w:hint="eastAsia" w:ascii="宋体" w:hAnsi="宋体"/>
                <w:b/>
                <w:bCs/>
                <w:szCs w:val="21"/>
              </w:rPr>
              <w:t>条款号</w:t>
            </w:r>
          </w:p>
        </w:tc>
        <w:tc>
          <w:tcPr>
            <w:tcW w:w="4425" w:type="dxa"/>
            <w:gridSpan w:val="5"/>
            <w:tcBorders>
              <w:bottom w:val="single" w:color="auto" w:sz="4" w:space="0"/>
            </w:tcBorders>
            <w:vAlign w:val="center"/>
          </w:tcPr>
          <w:p>
            <w:pPr>
              <w:spacing w:line="280" w:lineRule="exact"/>
              <w:jc w:val="center"/>
              <w:rPr>
                <w:rFonts w:hint="eastAsia" w:ascii="宋体" w:hAnsi="宋体"/>
                <w:b/>
                <w:bCs/>
                <w:szCs w:val="21"/>
              </w:rPr>
            </w:pPr>
            <w:r>
              <w:rPr>
                <w:rFonts w:hint="eastAsia" w:ascii="宋体" w:hAnsi="宋体"/>
                <w:b/>
                <w:bCs/>
                <w:szCs w:val="21"/>
              </w:rPr>
              <w:t>评分因素与权重分值</w:t>
            </w:r>
          </w:p>
        </w:tc>
        <w:tc>
          <w:tcPr>
            <w:tcW w:w="3893" w:type="dxa"/>
            <w:vMerge w:val="restart"/>
            <w:vAlign w:val="center"/>
          </w:tcPr>
          <w:p>
            <w:pPr>
              <w:spacing w:line="280" w:lineRule="exact"/>
              <w:jc w:val="center"/>
              <w:rPr>
                <w:rFonts w:hint="eastAsia" w:ascii="宋体" w:hAnsi="宋体"/>
                <w:b/>
                <w:bCs/>
                <w:szCs w:val="21"/>
              </w:rPr>
            </w:pPr>
            <w:r>
              <w:rPr>
                <w:rFonts w:hint="eastAsia" w:ascii="宋体" w:hAnsi="宋体"/>
                <w:b/>
                <w:bCs/>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41" w:hRule="atLeast"/>
          <w:tblHeader/>
          <w:jc w:val="center"/>
        </w:trPr>
        <w:tc>
          <w:tcPr>
            <w:tcW w:w="940" w:type="dxa"/>
            <w:vMerge w:val="continue"/>
            <w:tcBorders>
              <w:bottom w:val="single" w:color="auto" w:sz="4" w:space="0"/>
            </w:tcBorders>
            <w:vAlign w:val="center"/>
          </w:tcPr>
          <w:p>
            <w:pPr>
              <w:spacing w:line="280" w:lineRule="exact"/>
              <w:jc w:val="center"/>
              <w:rPr>
                <w:rFonts w:hint="eastAsia" w:ascii="宋体" w:hAnsi="宋体"/>
                <w:b/>
                <w:bCs/>
                <w:szCs w:val="21"/>
              </w:rPr>
            </w:pPr>
          </w:p>
        </w:tc>
        <w:tc>
          <w:tcPr>
            <w:tcW w:w="773" w:type="dxa"/>
            <w:gridSpan w:val="2"/>
            <w:vAlign w:val="center"/>
          </w:tcPr>
          <w:p>
            <w:pPr>
              <w:spacing w:line="280" w:lineRule="exact"/>
              <w:jc w:val="center"/>
              <w:rPr>
                <w:rFonts w:hint="eastAsia" w:ascii="宋体" w:hAnsi="宋体"/>
                <w:b/>
                <w:bCs/>
                <w:szCs w:val="21"/>
              </w:rPr>
            </w:pPr>
            <w:r>
              <w:rPr>
                <w:rFonts w:hint="eastAsia" w:ascii="宋体" w:hAnsi="宋体"/>
                <w:b/>
                <w:bCs/>
                <w:szCs w:val="21"/>
              </w:rPr>
              <w:t>评分</w:t>
            </w:r>
          </w:p>
          <w:p>
            <w:pPr>
              <w:spacing w:line="280" w:lineRule="exact"/>
              <w:jc w:val="center"/>
              <w:rPr>
                <w:rFonts w:hint="eastAsia" w:ascii="宋体" w:hAnsi="宋体"/>
                <w:b/>
                <w:bCs/>
                <w:szCs w:val="21"/>
              </w:rPr>
            </w:pPr>
            <w:r>
              <w:rPr>
                <w:rFonts w:hint="eastAsia" w:ascii="宋体" w:hAnsi="宋体"/>
                <w:b/>
                <w:bCs/>
                <w:szCs w:val="21"/>
              </w:rPr>
              <w:t>因素</w:t>
            </w:r>
          </w:p>
        </w:tc>
        <w:tc>
          <w:tcPr>
            <w:tcW w:w="1118" w:type="dxa"/>
            <w:vAlign w:val="center"/>
          </w:tcPr>
          <w:p>
            <w:pPr>
              <w:spacing w:line="280" w:lineRule="exact"/>
              <w:jc w:val="center"/>
              <w:rPr>
                <w:rFonts w:hint="eastAsia" w:ascii="宋体" w:hAnsi="宋体"/>
                <w:b/>
                <w:bCs/>
                <w:szCs w:val="21"/>
              </w:rPr>
            </w:pPr>
            <w:r>
              <w:rPr>
                <w:rFonts w:hint="eastAsia" w:ascii="宋体" w:hAnsi="宋体"/>
                <w:b/>
                <w:bCs/>
                <w:szCs w:val="21"/>
              </w:rPr>
              <w:t>评分因素</w:t>
            </w:r>
          </w:p>
          <w:p>
            <w:pPr>
              <w:spacing w:line="280" w:lineRule="exact"/>
              <w:jc w:val="center"/>
              <w:rPr>
                <w:rFonts w:hint="eastAsia" w:ascii="宋体" w:hAnsi="宋体"/>
                <w:b/>
                <w:bCs/>
                <w:szCs w:val="21"/>
              </w:rPr>
            </w:pPr>
            <w:r>
              <w:rPr>
                <w:rFonts w:hint="eastAsia" w:ascii="宋体" w:hAnsi="宋体"/>
                <w:b/>
                <w:bCs/>
                <w:szCs w:val="21"/>
              </w:rPr>
              <w:t>权重分值</w:t>
            </w:r>
          </w:p>
        </w:tc>
        <w:tc>
          <w:tcPr>
            <w:tcW w:w="1829" w:type="dxa"/>
            <w:vAlign w:val="center"/>
          </w:tcPr>
          <w:p>
            <w:pPr>
              <w:spacing w:line="280" w:lineRule="exact"/>
              <w:jc w:val="center"/>
              <w:rPr>
                <w:rFonts w:hint="eastAsia" w:ascii="宋体" w:hAnsi="宋体"/>
                <w:b/>
                <w:bCs/>
                <w:szCs w:val="21"/>
              </w:rPr>
            </w:pPr>
            <w:r>
              <w:rPr>
                <w:rFonts w:hint="eastAsia" w:ascii="宋体" w:hAnsi="宋体"/>
                <w:b/>
                <w:bCs/>
                <w:szCs w:val="21"/>
              </w:rPr>
              <w:t>各评分因素细分项</w:t>
            </w:r>
          </w:p>
        </w:tc>
        <w:tc>
          <w:tcPr>
            <w:tcW w:w="705" w:type="dxa"/>
            <w:vAlign w:val="center"/>
          </w:tcPr>
          <w:p>
            <w:pPr>
              <w:spacing w:line="280" w:lineRule="exact"/>
              <w:jc w:val="center"/>
              <w:rPr>
                <w:rFonts w:hint="eastAsia" w:ascii="宋体" w:hAnsi="宋体"/>
                <w:b/>
                <w:bCs/>
                <w:szCs w:val="21"/>
              </w:rPr>
            </w:pPr>
            <w:r>
              <w:rPr>
                <w:rFonts w:hint="eastAsia" w:ascii="宋体" w:hAnsi="宋体"/>
                <w:b/>
                <w:bCs/>
                <w:szCs w:val="21"/>
              </w:rPr>
              <w:t>分值</w:t>
            </w:r>
          </w:p>
        </w:tc>
        <w:tc>
          <w:tcPr>
            <w:tcW w:w="3893" w:type="dxa"/>
            <w:vMerge w:val="continue"/>
            <w:vAlign w:val="center"/>
          </w:tcPr>
          <w:p>
            <w:pPr>
              <w:spacing w:line="280" w:lineRule="exact"/>
              <w:jc w:val="center"/>
              <w:rPr>
                <w:rFonts w:hint="eastAsia" w:ascii="宋体" w:hAnsi="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80" w:hRule="atLeast"/>
          <w:tblHeader/>
          <w:jc w:val="center"/>
        </w:trPr>
        <w:tc>
          <w:tcPr>
            <w:tcW w:w="940" w:type="dxa"/>
            <w:vMerge w:val="restart"/>
            <w:tcBorders>
              <w:top w:val="single" w:color="auto" w:sz="4" w:space="0"/>
            </w:tcBorders>
            <w:vAlign w:val="center"/>
          </w:tcPr>
          <w:p>
            <w:pPr>
              <w:adjustRightInd w:val="0"/>
              <w:snapToGrid w:val="0"/>
              <w:spacing w:line="280" w:lineRule="exact"/>
              <w:jc w:val="center"/>
              <w:rPr>
                <w:rFonts w:ascii="宋体" w:hAnsi="宋体"/>
                <w:szCs w:val="21"/>
              </w:rPr>
            </w:pPr>
            <w:r>
              <w:rPr>
                <w:rFonts w:hint="eastAsia" w:ascii="宋体" w:hAnsi="宋体"/>
                <w:szCs w:val="21"/>
              </w:rPr>
              <w:t>2.2.2（1）</w:t>
            </w:r>
          </w:p>
        </w:tc>
        <w:tc>
          <w:tcPr>
            <w:tcW w:w="773" w:type="dxa"/>
            <w:gridSpan w:val="2"/>
            <w:vMerge w:val="restart"/>
            <w:vAlign w:val="center"/>
          </w:tcPr>
          <w:p>
            <w:pPr>
              <w:adjustRightInd w:val="0"/>
              <w:snapToGrid w:val="0"/>
              <w:spacing w:line="280" w:lineRule="exact"/>
              <w:jc w:val="center"/>
              <w:rPr>
                <w:rFonts w:ascii="宋体" w:hAnsi="宋体"/>
                <w:szCs w:val="21"/>
              </w:rPr>
            </w:pPr>
            <w:r>
              <w:rPr>
                <w:rFonts w:hint="eastAsia" w:ascii="宋体" w:hAnsi="宋体"/>
                <w:szCs w:val="21"/>
              </w:rPr>
              <w:t>施工组织设计</w:t>
            </w:r>
          </w:p>
        </w:tc>
        <w:tc>
          <w:tcPr>
            <w:tcW w:w="1118" w:type="dxa"/>
            <w:vMerge w:val="restart"/>
            <w:vAlign w:val="center"/>
          </w:tcPr>
          <w:p>
            <w:pPr>
              <w:adjustRightInd w:val="0"/>
              <w:snapToGrid w:val="0"/>
              <w:spacing w:line="280" w:lineRule="exact"/>
              <w:jc w:val="center"/>
              <w:rPr>
                <w:rFonts w:ascii="宋体" w:hAnsi="宋体"/>
                <w:szCs w:val="21"/>
              </w:rPr>
            </w:pPr>
            <w:r>
              <w:rPr>
                <w:rFonts w:ascii="宋体" w:hAnsi="宋体"/>
                <w:szCs w:val="21"/>
                <w:u w:val="single"/>
              </w:rPr>
              <w:t>40</w:t>
            </w:r>
            <w:r>
              <w:rPr>
                <w:rFonts w:ascii="宋体" w:hAnsi="宋体"/>
                <w:szCs w:val="21"/>
              </w:rPr>
              <w:t>分</w:t>
            </w:r>
          </w:p>
        </w:tc>
        <w:tc>
          <w:tcPr>
            <w:tcW w:w="1829" w:type="dxa"/>
            <w:vAlign w:val="center"/>
          </w:tcPr>
          <w:p>
            <w:pPr>
              <w:spacing w:line="280" w:lineRule="exact"/>
              <w:jc w:val="center"/>
              <w:rPr>
                <w:rFonts w:ascii="宋体" w:hAnsi="宋体"/>
                <w:szCs w:val="21"/>
              </w:rPr>
            </w:pPr>
            <w:r>
              <w:rPr>
                <w:rFonts w:hint="eastAsia" w:ascii="宋体" w:hAnsi="宋体"/>
                <w:szCs w:val="21"/>
              </w:rPr>
              <w:t>总体施工组织布置及规划</w:t>
            </w:r>
          </w:p>
        </w:tc>
        <w:tc>
          <w:tcPr>
            <w:tcW w:w="705" w:type="dxa"/>
            <w:vAlign w:val="center"/>
          </w:tcPr>
          <w:p>
            <w:pPr>
              <w:spacing w:line="280" w:lineRule="exact"/>
              <w:jc w:val="center"/>
              <w:rPr>
                <w:rFonts w:ascii="宋体" w:hAnsi="宋体"/>
                <w:szCs w:val="21"/>
              </w:rPr>
            </w:pPr>
            <w:r>
              <w:rPr>
                <w:rFonts w:hint="eastAsia" w:ascii="宋体" w:hAnsi="宋体"/>
                <w:szCs w:val="21"/>
                <w:u w:val="single"/>
              </w:rPr>
              <w:t>5</w:t>
            </w:r>
            <w:r>
              <w:rPr>
                <w:rFonts w:hint="eastAsia" w:ascii="宋体" w:hAnsi="宋体"/>
                <w:szCs w:val="21"/>
              </w:rPr>
              <w:t>分</w:t>
            </w:r>
          </w:p>
        </w:tc>
        <w:tc>
          <w:tcPr>
            <w:tcW w:w="3893" w:type="dxa"/>
            <w:tcBorders>
              <w:bottom w:val="single" w:color="auto" w:sz="4" w:space="0"/>
            </w:tcBorders>
            <w:vAlign w:val="center"/>
          </w:tcPr>
          <w:p>
            <w:pPr>
              <w:spacing w:line="280" w:lineRule="exact"/>
              <w:ind w:left="-42" w:leftChars="-20" w:right="-19" w:rightChars="-9"/>
              <w:jc w:val="left"/>
              <w:rPr>
                <w:rFonts w:ascii="宋体" w:hAnsi="宋体"/>
                <w:szCs w:val="21"/>
              </w:rPr>
            </w:pPr>
            <w:r>
              <w:rPr>
                <w:rFonts w:hint="eastAsia" w:ascii="宋体" w:hAnsi="宋体"/>
                <w:szCs w:val="21"/>
              </w:rPr>
              <w:t>合理得基本分3分，根据详尽及优劣程度酌情加0-2分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64" w:hRule="atLeast"/>
          <w:tblHeader/>
          <w:jc w:val="center"/>
        </w:trPr>
        <w:tc>
          <w:tcPr>
            <w:tcW w:w="940" w:type="dxa"/>
            <w:vMerge w:val="continue"/>
            <w:vAlign w:val="center"/>
          </w:tcPr>
          <w:p>
            <w:pPr>
              <w:adjustRightInd w:val="0"/>
              <w:snapToGrid w:val="0"/>
              <w:spacing w:line="280" w:lineRule="exact"/>
              <w:jc w:val="center"/>
              <w:rPr>
                <w:rFonts w:ascii="宋体" w:hAnsi="宋体"/>
                <w:szCs w:val="21"/>
              </w:rPr>
            </w:pPr>
          </w:p>
        </w:tc>
        <w:tc>
          <w:tcPr>
            <w:tcW w:w="773" w:type="dxa"/>
            <w:gridSpan w:val="2"/>
            <w:vMerge w:val="continue"/>
            <w:vAlign w:val="center"/>
          </w:tcPr>
          <w:p>
            <w:pPr>
              <w:adjustRightInd w:val="0"/>
              <w:snapToGrid w:val="0"/>
              <w:spacing w:line="280" w:lineRule="exact"/>
              <w:jc w:val="center"/>
              <w:rPr>
                <w:rFonts w:ascii="宋体" w:hAnsi="宋体"/>
                <w:szCs w:val="21"/>
              </w:rPr>
            </w:pPr>
          </w:p>
        </w:tc>
        <w:tc>
          <w:tcPr>
            <w:tcW w:w="1118" w:type="dxa"/>
            <w:vMerge w:val="continue"/>
            <w:vAlign w:val="center"/>
          </w:tcPr>
          <w:p>
            <w:pPr>
              <w:adjustRightInd w:val="0"/>
              <w:snapToGrid w:val="0"/>
              <w:spacing w:line="280" w:lineRule="exact"/>
              <w:jc w:val="center"/>
              <w:rPr>
                <w:rFonts w:ascii="宋体" w:hAnsi="宋体"/>
                <w:szCs w:val="21"/>
              </w:rPr>
            </w:pPr>
          </w:p>
        </w:tc>
        <w:tc>
          <w:tcPr>
            <w:tcW w:w="1829" w:type="dxa"/>
            <w:vAlign w:val="center"/>
          </w:tcPr>
          <w:p>
            <w:pPr>
              <w:spacing w:line="280" w:lineRule="exact"/>
              <w:jc w:val="center"/>
              <w:rPr>
                <w:rFonts w:ascii="宋体" w:hAnsi="宋体"/>
                <w:szCs w:val="21"/>
              </w:rPr>
            </w:pPr>
            <w:r>
              <w:rPr>
                <w:rFonts w:hint="eastAsia" w:ascii="宋体" w:hAnsi="宋体"/>
                <w:szCs w:val="21"/>
              </w:rPr>
              <w:t>主要工程项目的施工方案、方法与技术措施</w:t>
            </w:r>
          </w:p>
        </w:tc>
        <w:tc>
          <w:tcPr>
            <w:tcW w:w="705" w:type="dxa"/>
            <w:vAlign w:val="center"/>
          </w:tcPr>
          <w:p>
            <w:pPr>
              <w:spacing w:line="280" w:lineRule="exact"/>
              <w:jc w:val="center"/>
              <w:rPr>
                <w:rFonts w:ascii="宋体" w:hAnsi="宋体"/>
                <w:szCs w:val="21"/>
              </w:rPr>
            </w:pPr>
            <w:r>
              <w:rPr>
                <w:rFonts w:ascii="宋体" w:hAnsi="宋体"/>
                <w:szCs w:val="21"/>
                <w:u w:val="single"/>
              </w:rPr>
              <w:t>5</w:t>
            </w:r>
            <w:r>
              <w:rPr>
                <w:rFonts w:hint="eastAsia" w:ascii="宋体" w:hAnsi="宋体"/>
                <w:szCs w:val="21"/>
              </w:rPr>
              <w:t>分</w:t>
            </w:r>
          </w:p>
        </w:tc>
        <w:tc>
          <w:tcPr>
            <w:tcW w:w="3893" w:type="dxa"/>
            <w:tcBorders>
              <w:top w:val="single" w:color="auto" w:sz="4" w:space="0"/>
              <w:bottom w:val="single" w:color="auto" w:sz="4" w:space="0"/>
            </w:tcBorders>
            <w:vAlign w:val="center"/>
          </w:tcPr>
          <w:p>
            <w:pPr>
              <w:spacing w:line="280" w:lineRule="exact"/>
              <w:ind w:left="-42" w:leftChars="-20" w:right="-19" w:rightChars="-9"/>
              <w:jc w:val="left"/>
              <w:rPr>
                <w:rFonts w:ascii="宋体" w:hAnsi="宋体"/>
                <w:szCs w:val="21"/>
              </w:rPr>
            </w:pPr>
            <w:r>
              <w:rPr>
                <w:rFonts w:hint="eastAsia" w:ascii="宋体" w:hAnsi="宋体"/>
                <w:szCs w:val="21"/>
              </w:rPr>
              <w:t>合理得基本分3分，根据详尽及优劣程度酌情加0-2分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80" w:hRule="atLeast"/>
          <w:tblHeader/>
          <w:jc w:val="center"/>
        </w:trPr>
        <w:tc>
          <w:tcPr>
            <w:tcW w:w="940" w:type="dxa"/>
            <w:vMerge w:val="continue"/>
            <w:vAlign w:val="center"/>
          </w:tcPr>
          <w:p>
            <w:pPr>
              <w:adjustRightInd w:val="0"/>
              <w:snapToGrid w:val="0"/>
              <w:spacing w:line="280" w:lineRule="exact"/>
              <w:jc w:val="center"/>
              <w:rPr>
                <w:rFonts w:ascii="宋体" w:hAnsi="宋体"/>
                <w:szCs w:val="21"/>
              </w:rPr>
            </w:pPr>
          </w:p>
        </w:tc>
        <w:tc>
          <w:tcPr>
            <w:tcW w:w="773" w:type="dxa"/>
            <w:gridSpan w:val="2"/>
            <w:vMerge w:val="continue"/>
            <w:vAlign w:val="center"/>
          </w:tcPr>
          <w:p>
            <w:pPr>
              <w:adjustRightInd w:val="0"/>
              <w:snapToGrid w:val="0"/>
              <w:spacing w:line="280" w:lineRule="exact"/>
              <w:jc w:val="center"/>
              <w:rPr>
                <w:rFonts w:ascii="宋体" w:hAnsi="宋体"/>
                <w:szCs w:val="21"/>
              </w:rPr>
            </w:pPr>
          </w:p>
        </w:tc>
        <w:tc>
          <w:tcPr>
            <w:tcW w:w="1118" w:type="dxa"/>
            <w:vMerge w:val="continue"/>
            <w:vAlign w:val="center"/>
          </w:tcPr>
          <w:p>
            <w:pPr>
              <w:adjustRightInd w:val="0"/>
              <w:snapToGrid w:val="0"/>
              <w:spacing w:line="280" w:lineRule="exact"/>
              <w:jc w:val="center"/>
              <w:rPr>
                <w:rFonts w:ascii="宋体" w:hAnsi="宋体"/>
                <w:szCs w:val="21"/>
              </w:rPr>
            </w:pPr>
          </w:p>
        </w:tc>
        <w:tc>
          <w:tcPr>
            <w:tcW w:w="1829" w:type="dxa"/>
            <w:vAlign w:val="center"/>
          </w:tcPr>
          <w:p>
            <w:pPr>
              <w:spacing w:line="280" w:lineRule="exact"/>
              <w:jc w:val="center"/>
              <w:rPr>
                <w:rFonts w:ascii="宋体" w:hAnsi="宋体"/>
                <w:szCs w:val="21"/>
              </w:rPr>
            </w:pPr>
            <w:r>
              <w:rPr>
                <w:rFonts w:hint="eastAsia" w:ascii="宋体" w:hAnsi="宋体"/>
                <w:szCs w:val="21"/>
              </w:rPr>
              <w:t>工期保证体系及保证措施</w:t>
            </w:r>
          </w:p>
        </w:tc>
        <w:tc>
          <w:tcPr>
            <w:tcW w:w="705" w:type="dxa"/>
            <w:vAlign w:val="center"/>
          </w:tcPr>
          <w:p>
            <w:pPr>
              <w:spacing w:line="280" w:lineRule="exact"/>
              <w:jc w:val="center"/>
              <w:rPr>
                <w:rFonts w:ascii="宋体" w:hAnsi="宋体"/>
                <w:szCs w:val="21"/>
              </w:rPr>
            </w:pPr>
            <w:r>
              <w:rPr>
                <w:rFonts w:ascii="宋体" w:hAnsi="宋体"/>
                <w:szCs w:val="21"/>
                <w:u w:val="single"/>
              </w:rPr>
              <w:t>5</w:t>
            </w:r>
            <w:r>
              <w:rPr>
                <w:rFonts w:hint="eastAsia" w:ascii="宋体" w:hAnsi="宋体"/>
                <w:szCs w:val="21"/>
              </w:rPr>
              <w:t>分</w:t>
            </w:r>
          </w:p>
        </w:tc>
        <w:tc>
          <w:tcPr>
            <w:tcW w:w="3893" w:type="dxa"/>
            <w:tcBorders>
              <w:top w:val="single" w:color="auto" w:sz="4" w:space="0"/>
              <w:bottom w:val="single" w:color="auto" w:sz="4" w:space="0"/>
            </w:tcBorders>
            <w:vAlign w:val="center"/>
          </w:tcPr>
          <w:p>
            <w:pPr>
              <w:spacing w:line="280" w:lineRule="exact"/>
              <w:ind w:left="-42" w:leftChars="-20" w:right="-19" w:rightChars="-9"/>
              <w:jc w:val="left"/>
              <w:rPr>
                <w:rFonts w:ascii="宋体" w:hAnsi="宋体"/>
                <w:szCs w:val="21"/>
              </w:rPr>
            </w:pPr>
            <w:r>
              <w:rPr>
                <w:rFonts w:hint="eastAsia" w:ascii="宋体" w:hAnsi="宋体"/>
                <w:szCs w:val="21"/>
              </w:rPr>
              <w:t>合理得基本分3分，根据详尽及优劣程度酌情加0-2分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80" w:hRule="atLeast"/>
          <w:tblHeader/>
          <w:jc w:val="center"/>
        </w:trPr>
        <w:tc>
          <w:tcPr>
            <w:tcW w:w="940" w:type="dxa"/>
            <w:vMerge w:val="continue"/>
            <w:vAlign w:val="center"/>
          </w:tcPr>
          <w:p>
            <w:pPr>
              <w:adjustRightInd w:val="0"/>
              <w:snapToGrid w:val="0"/>
              <w:spacing w:line="280" w:lineRule="exact"/>
              <w:jc w:val="center"/>
              <w:rPr>
                <w:rFonts w:ascii="宋体" w:hAnsi="宋体"/>
                <w:szCs w:val="21"/>
              </w:rPr>
            </w:pPr>
          </w:p>
        </w:tc>
        <w:tc>
          <w:tcPr>
            <w:tcW w:w="773" w:type="dxa"/>
            <w:gridSpan w:val="2"/>
            <w:vMerge w:val="continue"/>
            <w:vAlign w:val="center"/>
          </w:tcPr>
          <w:p>
            <w:pPr>
              <w:adjustRightInd w:val="0"/>
              <w:snapToGrid w:val="0"/>
              <w:spacing w:line="280" w:lineRule="exact"/>
              <w:jc w:val="center"/>
              <w:rPr>
                <w:rFonts w:ascii="宋体" w:hAnsi="宋体"/>
                <w:szCs w:val="21"/>
              </w:rPr>
            </w:pPr>
          </w:p>
        </w:tc>
        <w:tc>
          <w:tcPr>
            <w:tcW w:w="1118" w:type="dxa"/>
            <w:vMerge w:val="continue"/>
            <w:vAlign w:val="center"/>
          </w:tcPr>
          <w:p>
            <w:pPr>
              <w:adjustRightInd w:val="0"/>
              <w:snapToGrid w:val="0"/>
              <w:spacing w:line="280" w:lineRule="exact"/>
              <w:jc w:val="center"/>
              <w:rPr>
                <w:rFonts w:ascii="宋体" w:hAnsi="宋体"/>
                <w:szCs w:val="21"/>
              </w:rPr>
            </w:pPr>
          </w:p>
        </w:tc>
        <w:tc>
          <w:tcPr>
            <w:tcW w:w="1829" w:type="dxa"/>
            <w:vAlign w:val="center"/>
          </w:tcPr>
          <w:p>
            <w:pPr>
              <w:spacing w:line="280" w:lineRule="exact"/>
              <w:jc w:val="center"/>
              <w:rPr>
                <w:rFonts w:ascii="宋体" w:hAnsi="宋体"/>
                <w:szCs w:val="21"/>
              </w:rPr>
            </w:pPr>
            <w:r>
              <w:rPr>
                <w:rFonts w:hint="eastAsia" w:ascii="宋体" w:hAnsi="宋体"/>
                <w:szCs w:val="21"/>
              </w:rPr>
              <w:t>工程质量管理体系及保证措施</w:t>
            </w:r>
          </w:p>
        </w:tc>
        <w:tc>
          <w:tcPr>
            <w:tcW w:w="705" w:type="dxa"/>
            <w:vAlign w:val="center"/>
          </w:tcPr>
          <w:p>
            <w:pPr>
              <w:spacing w:line="280" w:lineRule="exact"/>
              <w:jc w:val="center"/>
              <w:rPr>
                <w:rFonts w:ascii="宋体" w:hAnsi="宋体"/>
                <w:szCs w:val="21"/>
              </w:rPr>
            </w:pPr>
            <w:r>
              <w:rPr>
                <w:rFonts w:ascii="宋体" w:hAnsi="宋体"/>
                <w:szCs w:val="21"/>
                <w:u w:val="single"/>
              </w:rPr>
              <w:t>5</w:t>
            </w:r>
            <w:r>
              <w:rPr>
                <w:rFonts w:hint="eastAsia" w:ascii="宋体" w:hAnsi="宋体"/>
                <w:szCs w:val="21"/>
              </w:rPr>
              <w:t>分</w:t>
            </w:r>
          </w:p>
        </w:tc>
        <w:tc>
          <w:tcPr>
            <w:tcW w:w="3893" w:type="dxa"/>
            <w:tcBorders>
              <w:top w:val="single" w:color="auto" w:sz="4" w:space="0"/>
              <w:bottom w:val="single" w:color="auto" w:sz="4" w:space="0"/>
            </w:tcBorders>
            <w:vAlign w:val="center"/>
          </w:tcPr>
          <w:p>
            <w:pPr>
              <w:spacing w:line="280" w:lineRule="exact"/>
              <w:ind w:left="-42" w:leftChars="-20" w:right="-19" w:rightChars="-9"/>
              <w:jc w:val="left"/>
              <w:rPr>
                <w:rFonts w:ascii="宋体" w:hAnsi="宋体"/>
                <w:szCs w:val="21"/>
              </w:rPr>
            </w:pPr>
            <w:r>
              <w:rPr>
                <w:rFonts w:hint="eastAsia" w:ascii="宋体" w:hAnsi="宋体"/>
                <w:szCs w:val="21"/>
              </w:rPr>
              <w:t>合理得基本分3分，根据详尽及优劣程度酌情加0-2分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80" w:hRule="atLeast"/>
          <w:tblHeader/>
          <w:jc w:val="center"/>
        </w:trPr>
        <w:tc>
          <w:tcPr>
            <w:tcW w:w="940" w:type="dxa"/>
            <w:vMerge w:val="continue"/>
            <w:vAlign w:val="center"/>
          </w:tcPr>
          <w:p>
            <w:pPr>
              <w:adjustRightInd w:val="0"/>
              <w:snapToGrid w:val="0"/>
              <w:spacing w:line="280" w:lineRule="exact"/>
              <w:jc w:val="center"/>
              <w:rPr>
                <w:rFonts w:ascii="宋体" w:hAnsi="宋体"/>
                <w:szCs w:val="21"/>
              </w:rPr>
            </w:pPr>
          </w:p>
        </w:tc>
        <w:tc>
          <w:tcPr>
            <w:tcW w:w="773" w:type="dxa"/>
            <w:gridSpan w:val="2"/>
            <w:vMerge w:val="continue"/>
            <w:vAlign w:val="center"/>
          </w:tcPr>
          <w:p>
            <w:pPr>
              <w:adjustRightInd w:val="0"/>
              <w:snapToGrid w:val="0"/>
              <w:spacing w:line="280" w:lineRule="exact"/>
              <w:jc w:val="center"/>
              <w:rPr>
                <w:rFonts w:ascii="宋体" w:hAnsi="宋体"/>
                <w:szCs w:val="21"/>
              </w:rPr>
            </w:pPr>
          </w:p>
        </w:tc>
        <w:tc>
          <w:tcPr>
            <w:tcW w:w="1118" w:type="dxa"/>
            <w:vMerge w:val="continue"/>
            <w:vAlign w:val="center"/>
          </w:tcPr>
          <w:p>
            <w:pPr>
              <w:adjustRightInd w:val="0"/>
              <w:snapToGrid w:val="0"/>
              <w:spacing w:line="280" w:lineRule="exact"/>
              <w:jc w:val="center"/>
              <w:rPr>
                <w:rFonts w:ascii="宋体" w:hAnsi="宋体"/>
                <w:szCs w:val="21"/>
              </w:rPr>
            </w:pPr>
          </w:p>
        </w:tc>
        <w:tc>
          <w:tcPr>
            <w:tcW w:w="1829" w:type="dxa"/>
            <w:vAlign w:val="center"/>
          </w:tcPr>
          <w:p>
            <w:pPr>
              <w:spacing w:line="280" w:lineRule="exact"/>
              <w:jc w:val="center"/>
              <w:rPr>
                <w:rFonts w:ascii="宋体" w:hAnsi="宋体"/>
                <w:szCs w:val="21"/>
              </w:rPr>
            </w:pPr>
            <w:r>
              <w:rPr>
                <w:rFonts w:hint="eastAsia" w:ascii="宋体" w:hAnsi="宋体"/>
                <w:szCs w:val="21"/>
              </w:rPr>
              <w:t>安全生产管理体系及保证措施</w:t>
            </w:r>
          </w:p>
        </w:tc>
        <w:tc>
          <w:tcPr>
            <w:tcW w:w="705" w:type="dxa"/>
            <w:vAlign w:val="center"/>
          </w:tcPr>
          <w:p>
            <w:pPr>
              <w:spacing w:line="280" w:lineRule="exact"/>
              <w:jc w:val="center"/>
              <w:rPr>
                <w:rFonts w:ascii="宋体" w:hAnsi="宋体"/>
                <w:szCs w:val="21"/>
              </w:rPr>
            </w:pPr>
            <w:r>
              <w:rPr>
                <w:rFonts w:ascii="宋体" w:hAnsi="宋体"/>
                <w:szCs w:val="21"/>
                <w:u w:val="single"/>
              </w:rPr>
              <w:t>5</w:t>
            </w:r>
            <w:r>
              <w:rPr>
                <w:rFonts w:hint="eastAsia" w:ascii="宋体" w:hAnsi="宋体"/>
                <w:szCs w:val="21"/>
              </w:rPr>
              <w:t>分</w:t>
            </w:r>
          </w:p>
        </w:tc>
        <w:tc>
          <w:tcPr>
            <w:tcW w:w="3893" w:type="dxa"/>
            <w:tcBorders>
              <w:top w:val="single" w:color="auto" w:sz="4" w:space="0"/>
              <w:bottom w:val="single" w:color="auto" w:sz="4" w:space="0"/>
            </w:tcBorders>
            <w:vAlign w:val="center"/>
          </w:tcPr>
          <w:p>
            <w:pPr>
              <w:spacing w:line="280" w:lineRule="exact"/>
              <w:ind w:left="-42" w:leftChars="-20" w:right="-19" w:rightChars="-9"/>
              <w:jc w:val="left"/>
              <w:rPr>
                <w:rFonts w:ascii="宋体" w:hAnsi="宋体"/>
                <w:szCs w:val="21"/>
              </w:rPr>
            </w:pPr>
            <w:r>
              <w:rPr>
                <w:rFonts w:hint="eastAsia" w:ascii="宋体" w:hAnsi="宋体"/>
                <w:szCs w:val="21"/>
              </w:rPr>
              <w:t>合理得基本分3分，根据详尽及优劣程度酌情加0-2分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863" w:hRule="atLeast"/>
          <w:tblHeader/>
          <w:jc w:val="center"/>
        </w:trPr>
        <w:tc>
          <w:tcPr>
            <w:tcW w:w="940" w:type="dxa"/>
            <w:vMerge w:val="continue"/>
            <w:vAlign w:val="center"/>
          </w:tcPr>
          <w:p>
            <w:pPr>
              <w:adjustRightInd w:val="0"/>
              <w:snapToGrid w:val="0"/>
              <w:spacing w:line="280" w:lineRule="exact"/>
              <w:jc w:val="center"/>
              <w:rPr>
                <w:rFonts w:ascii="宋体" w:hAnsi="宋体"/>
                <w:szCs w:val="21"/>
              </w:rPr>
            </w:pPr>
          </w:p>
        </w:tc>
        <w:tc>
          <w:tcPr>
            <w:tcW w:w="773" w:type="dxa"/>
            <w:gridSpan w:val="2"/>
            <w:vMerge w:val="continue"/>
            <w:vAlign w:val="center"/>
          </w:tcPr>
          <w:p>
            <w:pPr>
              <w:adjustRightInd w:val="0"/>
              <w:snapToGrid w:val="0"/>
              <w:spacing w:line="280" w:lineRule="exact"/>
              <w:jc w:val="center"/>
              <w:rPr>
                <w:rFonts w:ascii="宋体" w:hAnsi="宋体"/>
                <w:szCs w:val="21"/>
              </w:rPr>
            </w:pPr>
          </w:p>
        </w:tc>
        <w:tc>
          <w:tcPr>
            <w:tcW w:w="1118" w:type="dxa"/>
            <w:vMerge w:val="continue"/>
            <w:vAlign w:val="center"/>
          </w:tcPr>
          <w:p>
            <w:pPr>
              <w:adjustRightInd w:val="0"/>
              <w:snapToGrid w:val="0"/>
              <w:spacing w:line="280" w:lineRule="exact"/>
              <w:jc w:val="center"/>
              <w:rPr>
                <w:rFonts w:ascii="宋体" w:hAnsi="宋体"/>
                <w:szCs w:val="21"/>
              </w:rPr>
            </w:pPr>
          </w:p>
        </w:tc>
        <w:tc>
          <w:tcPr>
            <w:tcW w:w="1829" w:type="dxa"/>
            <w:vAlign w:val="center"/>
          </w:tcPr>
          <w:p>
            <w:pPr>
              <w:spacing w:line="280" w:lineRule="exact"/>
              <w:jc w:val="center"/>
              <w:rPr>
                <w:rFonts w:ascii="宋体" w:hAnsi="宋体"/>
                <w:szCs w:val="21"/>
              </w:rPr>
            </w:pPr>
            <w:r>
              <w:rPr>
                <w:rFonts w:hint="eastAsia" w:ascii="宋体" w:hAnsi="宋体"/>
                <w:szCs w:val="21"/>
              </w:rPr>
              <w:t>环境保护、水土保持保证体系及保证措施</w:t>
            </w:r>
          </w:p>
        </w:tc>
        <w:tc>
          <w:tcPr>
            <w:tcW w:w="705" w:type="dxa"/>
            <w:vAlign w:val="center"/>
          </w:tcPr>
          <w:p>
            <w:pPr>
              <w:spacing w:line="280" w:lineRule="exact"/>
              <w:jc w:val="center"/>
              <w:rPr>
                <w:rFonts w:ascii="宋体" w:hAnsi="宋体"/>
                <w:szCs w:val="21"/>
              </w:rPr>
            </w:pPr>
            <w:r>
              <w:rPr>
                <w:rFonts w:ascii="宋体" w:hAnsi="宋体"/>
                <w:szCs w:val="21"/>
                <w:u w:val="single"/>
              </w:rPr>
              <w:t>5</w:t>
            </w:r>
            <w:r>
              <w:rPr>
                <w:rFonts w:hint="eastAsia" w:ascii="宋体" w:hAnsi="宋体"/>
                <w:szCs w:val="21"/>
              </w:rPr>
              <w:t>分</w:t>
            </w:r>
          </w:p>
        </w:tc>
        <w:tc>
          <w:tcPr>
            <w:tcW w:w="3893" w:type="dxa"/>
            <w:tcBorders>
              <w:top w:val="single" w:color="auto" w:sz="4" w:space="0"/>
              <w:bottom w:val="single" w:color="auto" w:sz="4" w:space="0"/>
            </w:tcBorders>
            <w:vAlign w:val="center"/>
          </w:tcPr>
          <w:p>
            <w:pPr>
              <w:spacing w:line="280" w:lineRule="exact"/>
              <w:ind w:left="-42" w:leftChars="-20" w:right="-19" w:rightChars="-9"/>
              <w:jc w:val="left"/>
              <w:rPr>
                <w:rFonts w:ascii="宋体" w:hAnsi="宋体"/>
                <w:szCs w:val="21"/>
              </w:rPr>
            </w:pPr>
            <w:r>
              <w:rPr>
                <w:rFonts w:hint="eastAsia" w:ascii="宋体" w:hAnsi="宋体"/>
                <w:szCs w:val="21"/>
              </w:rPr>
              <w:t>合理得基本分3分，根据详尽及优劣程度酌情加0-2分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863" w:hRule="atLeast"/>
          <w:tblHeader/>
          <w:jc w:val="center"/>
        </w:trPr>
        <w:tc>
          <w:tcPr>
            <w:tcW w:w="940" w:type="dxa"/>
            <w:vMerge w:val="continue"/>
            <w:vAlign w:val="center"/>
          </w:tcPr>
          <w:p>
            <w:pPr>
              <w:adjustRightInd w:val="0"/>
              <w:snapToGrid w:val="0"/>
              <w:spacing w:line="280" w:lineRule="exact"/>
              <w:jc w:val="center"/>
              <w:rPr>
                <w:rFonts w:ascii="宋体" w:hAnsi="宋体"/>
                <w:szCs w:val="21"/>
              </w:rPr>
            </w:pPr>
          </w:p>
        </w:tc>
        <w:tc>
          <w:tcPr>
            <w:tcW w:w="773" w:type="dxa"/>
            <w:gridSpan w:val="2"/>
            <w:vMerge w:val="continue"/>
            <w:vAlign w:val="center"/>
          </w:tcPr>
          <w:p>
            <w:pPr>
              <w:adjustRightInd w:val="0"/>
              <w:snapToGrid w:val="0"/>
              <w:spacing w:line="280" w:lineRule="exact"/>
              <w:jc w:val="center"/>
              <w:rPr>
                <w:rFonts w:ascii="宋体" w:hAnsi="宋体"/>
                <w:szCs w:val="21"/>
              </w:rPr>
            </w:pPr>
          </w:p>
        </w:tc>
        <w:tc>
          <w:tcPr>
            <w:tcW w:w="1118" w:type="dxa"/>
            <w:vMerge w:val="continue"/>
            <w:vAlign w:val="center"/>
          </w:tcPr>
          <w:p>
            <w:pPr>
              <w:adjustRightInd w:val="0"/>
              <w:snapToGrid w:val="0"/>
              <w:spacing w:line="280" w:lineRule="exact"/>
              <w:jc w:val="center"/>
              <w:rPr>
                <w:rFonts w:ascii="宋体" w:hAnsi="宋体"/>
                <w:szCs w:val="21"/>
              </w:rPr>
            </w:pPr>
          </w:p>
        </w:tc>
        <w:tc>
          <w:tcPr>
            <w:tcW w:w="1829" w:type="dxa"/>
            <w:vAlign w:val="center"/>
          </w:tcPr>
          <w:p>
            <w:pPr>
              <w:spacing w:line="280" w:lineRule="exact"/>
              <w:jc w:val="center"/>
              <w:rPr>
                <w:rFonts w:ascii="宋体" w:hAnsi="宋体"/>
                <w:szCs w:val="21"/>
              </w:rPr>
            </w:pPr>
            <w:r>
              <w:rPr>
                <w:rFonts w:hint="eastAsia" w:ascii="宋体" w:hAnsi="宋体"/>
                <w:szCs w:val="21"/>
              </w:rPr>
              <w:t>文明施工、文物保护保证体系及保证措施</w:t>
            </w:r>
          </w:p>
        </w:tc>
        <w:tc>
          <w:tcPr>
            <w:tcW w:w="705" w:type="dxa"/>
            <w:vAlign w:val="center"/>
          </w:tcPr>
          <w:p>
            <w:pPr>
              <w:spacing w:line="280" w:lineRule="exact"/>
              <w:jc w:val="center"/>
              <w:rPr>
                <w:rFonts w:ascii="宋体" w:hAnsi="宋体"/>
                <w:szCs w:val="21"/>
              </w:rPr>
            </w:pPr>
            <w:r>
              <w:rPr>
                <w:rFonts w:ascii="宋体" w:hAnsi="宋体"/>
                <w:szCs w:val="21"/>
                <w:u w:val="single"/>
              </w:rPr>
              <w:t>5</w:t>
            </w:r>
            <w:r>
              <w:rPr>
                <w:rFonts w:hint="eastAsia" w:ascii="宋体" w:hAnsi="宋体"/>
                <w:szCs w:val="21"/>
              </w:rPr>
              <w:t>分</w:t>
            </w:r>
          </w:p>
        </w:tc>
        <w:tc>
          <w:tcPr>
            <w:tcW w:w="3893" w:type="dxa"/>
            <w:tcBorders>
              <w:top w:val="single" w:color="auto" w:sz="4" w:space="0"/>
              <w:bottom w:val="single" w:color="auto" w:sz="4" w:space="0"/>
            </w:tcBorders>
            <w:vAlign w:val="center"/>
          </w:tcPr>
          <w:p>
            <w:pPr>
              <w:spacing w:line="280" w:lineRule="exact"/>
              <w:ind w:left="-42" w:leftChars="-20" w:right="-19" w:rightChars="-9"/>
              <w:jc w:val="left"/>
              <w:rPr>
                <w:rFonts w:ascii="宋体" w:hAnsi="宋体"/>
                <w:szCs w:val="21"/>
              </w:rPr>
            </w:pPr>
            <w:r>
              <w:rPr>
                <w:rFonts w:hint="eastAsia" w:ascii="宋体" w:hAnsi="宋体"/>
                <w:szCs w:val="21"/>
              </w:rPr>
              <w:t>合理得基本分3分，根据详尽及优劣程度酌情加0-2分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863" w:hRule="atLeast"/>
          <w:tblHeader/>
          <w:jc w:val="center"/>
        </w:trPr>
        <w:tc>
          <w:tcPr>
            <w:tcW w:w="940" w:type="dxa"/>
            <w:vMerge w:val="continue"/>
            <w:tcBorders>
              <w:bottom w:val="single" w:color="auto" w:sz="4" w:space="0"/>
            </w:tcBorders>
            <w:vAlign w:val="center"/>
          </w:tcPr>
          <w:p>
            <w:pPr>
              <w:adjustRightInd w:val="0"/>
              <w:snapToGrid w:val="0"/>
              <w:spacing w:line="280" w:lineRule="exact"/>
              <w:jc w:val="center"/>
              <w:rPr>
                <w:rFonts w:ascii="宋体" w:hAnsi="宋体"/>
                <w:szCs w:val="21"/>
              </w:rPr>
            </w:pPr>
          </w:p>
        </w:tc>
        <w:tc>
          <w:tcPr>
            <w:tcW w:w="773" w:type="dxa"/>
            <w:gridSpan w:val="2"/>
            <w:vMerge w:val="continue"/>
            <w:vAlign w:val="center"/>
          </w:tcPr>
          <w:p>
            <w:pPr>
              <w:adjustRightInd w:val="0"/>
              <w:snapToGrid w:val="0"/>
              <w:spacing w:line="280" w:lineRule="exact"/>
              <w:jc w:val="center"/>
              <w:rPr>
                <w:rFonts w:ascii="宋体" w:hAnsi="宋体"/>
                <w:szCs w:val="21"/>
              </w:rPr>
            </w:pPr>
          </w:p>
        </w:tc>
        <w:tc>
          <w:tcPr>
            <w:tcW w:w="1118" w:type="dxa"/>
            <w:vMerge w:val="continue"/>
            <w:vAlign w:val="center"/>
          </w:tcPr>
          <w:p>
            <w:pPr>
              <w:adjustRightInd w:val="0"/>
              <w:snapToGrid w:val="0"/>
              <w:spacing w:line="280" w:lineRule="exact"/>
              <w:jc w:val="center"/>
              <w:rPr>
                <w:rFonts w:ascii="宋体" w:hAnsi="宋体"/>
                <w:szCs w:val="21"/>
              </w:rPr>
            </w:pPr>
          </w:p>
        </w:tc>
        <w:tc>
          <w:tcPr>
            <w:tcW w:w="1829" w:type="dxa"/>
            <w:vAlign w:val="center"/>
          </w:tcPr>
          <w:p>
            <w:pPr>
              <w:spacing w:line="280" w:lineRule="exact"/>
              <w:jc w:val="center"/>
              <w:rPr>
                <w:rFonts w:ascii="宋体" w:hAnsi="宋体"/>
                <w:szCs w:val="21"/>
              </w:rPr>
            </w:pPr>
            <w:r>
              <w:rPr>
                <w:rFonts w:hint="eastAsia" w:ascii="宋体" w:hAnsi="宋体"/>
                <w:szCs w:val="21"/>
              </w:rPr>
              <w:t>项目风险预测与防范，事故应急预案</w:t>
            </w:r>
          </w:p>
        </w:tc>
        <w:tc>
          <w:tcPr>
            <w:tcW w:w="705" w:type="dxa"/>
            <w:vAlign w:val="center"/>
          </w:tcPr>
          <w:p>
            <w:pPr>
              <w:spacing w:line="280" w:lineRule="exact"/>
              <w:jc w:val="center"/>
              <w:rPr>
                <w:rFonts w:ascii="宋体" w:hAnsi="宋体"/>
                <w:szCs w:val="21"/>
              </w:rPr>
            </w:pPr>
            <w:r>
              <w:rPr>
                <w:rFonts w:ascii="宋体" w:hAnsi="宋体"/>
                <w:szCs w:val="21"/>
                <w:u w:val="single"/>
              </w:rPr>
              <w:t>5</w:t>
            </w:r>
            <w:r>
              <w:rPr>
                <w:rFonts w:hint="eastAsia" w:ascii="宋体" w:hAnsi="宋体"/>
                <w:szCs w:val="21"/>
              </w:rPr>
              <w:t>分</w:t>
            </w:r>
          </w:p>
        </w:tc>
        <w:tc>
          <w:tcPr>
            <w:tcW w:w="3893" w:type="dxa"/>
            <w:tcBorders>
              <w:top w:val="single" w:color="auto" w:sz="4" w:space="0"/>
            </w:tcBorders>
            <w:vAlign w:val="center"/>
          </w:tcPr>
          <w:p>
            <w:pPr>
              <w:spacing w:line="280" w:lineRule="exact"/>
              <w:ind w:left="-42" w:leftChars="-20" w:right="-19" w:rightChars="-9"/>
              <w:jc w:val="left"/>
              <w:rPr>
                <w:rFonts w:ascii="宋体" w:hAnsi="宋体"/>
                <w:szCs w:val="21"/>
              </w:rPr>
            </w:pPr>
            <w:r>
              <w:rPr>
                <w:rFonts w:hint="eastAsia" w:ascii="宋体" w:hAnsi="宋体"/>
                <w:szCs w:val="21"/>
              </w:rPr>
              <w:t>合理得基本分3分，根据详尽及优劣程度酌情加0-2分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90" w:hRule="atLeast"/>
          <w:tblHeader/>
          <w:jc w:val="center"/>
        </w:trPr>
        <w:tc>
          <w:tcPr>
            <w:tcW w:w="940" w:type="dxa"/>
            <w:vMerge w:val="restart"/>
            <w:tcBorders>
              <w:top w:val="single" w:color="auto" w:sz="4" w:space="0"/>
            </w:tcBorders>
            <w:vAlign w:val="center"/>
          </w:tcPr>
          <w:p>
            <w:pPr>
              <w:adjustRightInd w:val="0"/>
              <w:snapToGrid w:val="0"/>
              <w:spacing w:line="280" w:lineRule="exact"/>
              <w:jc w:val="center"/>
              <w:rPr>
                <w:rFonts w:ascii="宋体" w:hAnsi="宋体"/>
                <w:szCs w:val="21"/>
              </w:rPr>
            </w:pPr>
            <w:r>
              <w:rPr>
                <w:rFonts w:hint="eastAsia" w:ascii="宋体" w:hAnsi="宋体"/>
                <w:szCs w:val="21"/>
              </w:rPr>
              <w:t>2.2.2（2）</w:t>
            </w:r>
          </w:p>
        </w:tc>
        <w:tc>
          <w:tcPr>
            <w:tcW w:w="773" w:type="dxa"/>
            <w:gridSpan w:val="2"/>
            <w:vMerge w:val="restart"/>
            <w:vAlign w:val="center"/>
          </w:tcPr>
          <w:p>
            <w:pPr>
              <w:adjustRightInd w:val="0"/>
              <w:snapToGrid w:val="0"/>
              <w:spacing w:line="280" w:lineRule="exact"/>
              <w:jc w:val="center"/>
              <w:rPr>
                <w:rFonts w:hint="eastAsia" w:ascii="宋体" w:hAnsi="宋体"/>
                <w:szCs w:val="21"/>
              </w:rPr>
            </w:pPr>
            <w:r>
              <w:rPr>
                <w:rFonts w:hint="eastAsia" w:ascii="宋体" w:hAnsi="宋体"/>
                <w:szCs w:val="21"/>
              </w:rPr>
              <w:t>主要</w:t>
            </w:r>
          </w:p>
          <w:p>
            <w:pPr>
              <w:adjustRightInd w:val="0"/>
              <w:snapToGrid w:val="0"/>
              <w:spacing w:line="280" w:lineRule="exact"/>
              <w:jc w:val="center"/>
              <w:rPr>
                <w:rFonts w:ascii="宋体" w:hAnsi="宋体"/>
                <w:szCs w:val="21"/>
              </w:rPr>
            </w:pPr>
            <w:r>
              <w:rPr>
                <w:rFonts w:hint="eastAsia" w:ascii="宋体" w:hAnsi="宋体"/>
                <w:szCs w:val="21"/>
              </w:rPr>
              <w:t>人员</w:t>
            </w:r>
          </w:p>
        </w:tc>
        <w:tc>
          <w:tcPr>
            <w:tcW w:w="1118" w:type="dxa"/>
            <w:vMerge w:val="restart"/>
            <w:vAlign w:val="center"/>
          </w:tcPr>
          <w:p>
            <w:pPr>
              <w:adjustRightInd w:val="0"/>
              <w:snapToGrid w:val="0"/>
              <w:spacing w:line="280" w:lineRule="exact"/>
              <w:jc w:val="center"/>
              <w:rPr>
                <w:rFonts w:ascii="宋体" w:hAnsi="宋体"/>
                <w:szCs w:val="21"/>
              </w:rPr>
            </w:pPr>
            <w:r>
              <w:rPr>
                <w:rFonts w:hint="eastAsia" w:ascii="宋体" w:hAnsi="宋体"/>
                <w:szCs w:val="21"/>
                <w:u w:val="single"/>
              </w:rPr>
              <w:t>25</w:t>
            </w:r>
            <w:r>
              <w:rPr>
                <w:rFonts w:hint="eastAsia" w:ascii="宋体" w:hAnsi="宋体"/>
                <w:szCs w:val="21"/>
              </w:rPr>
              <w:t>分</w:t>
            </w:r>
          </w:p>
        </w:tc>
        <w:tc>
          <w:tcPr>
            <w:tcW w:w="1829" w:type="dxa"/>
            <w:vAlign w:val="center"/>
          </w:tcPr>
          <w:p>
            <w:pPr>
              <w:spacing w:line="280" w:lineRule="exact"/>
              <w:jc w:val="center"/>
              <w:rPr>
                <w:rFonts w:ascii="宋体" w:hAnsi="宋体"/>
                <w:szCs w:val="21"/>
              </w:rPr>
            </w:pPr>
            <w:r>
              <w:rPr>
                <w:rFonts w:hint="eastAsia" w:ascii="宋体" w:hAnsi="宋体"/>
                <w:szCs w:val="21"/>
              </w:rPr>
              <w:t>项目经理任职资格与业绩</w:t>
            </w:r>
          </w:p>
        </w:tc>
        <w:tc>
          <w:tcPr>
            <w:tcW w:w="705" w:type="dxa"/>
            <w:vAlign w:val="center"/>
          </w:tcPr>
          <w:p>
            <w:pPr>
              <w:spacing w:line="280" w:lineRule="exact"/>
              <w:jc w:val="center"/>
              <w:rPr>
                <w:rFonts w:ascii="宋体" w:hAnsi="宋体"/>
                <w:szCs w:val="21"/>
              </w:rPr>
            </w:pPr>
            <w:r>
              <w:rPr>
                <w:rFonts w:hint="eastAsia" w:ascii="宋体" w:hAnsi="宋体"/>
                <w:szCs w:val="21"/>
                <w:u w:val="single"/>
              </w:rPr>
              <w:t>15</w:t>
            </w:r>
            <w:r>
              <w:rPr>
                <w:rFonts w:hint="eastAsia" w:ascii="宋体" w:hAnsi="宋体"/>
                <w:szCs w:val="21"/>
              </w:rPr>
              <w:t>分</w:t>
            </w:r>
          </w:p>
        </w:tc>
        <w:tc>
          <w:tcPr>
            <w:tcW w:w="3893" w:type="dxa"/>
            <w:tcBorders>
              <w:bottom w:val="single" w:color="auto" w:sz="4" w:space="0"/>
            </w:tcBorders>
            <w:vAlign w:val="center"/>
          </w:tcPr>
          <w:p>
            <w:pPr>
              <w:spacing w:line="280" w:lineRule="exact"/>
              <w:ind w:left="-42" w:leftChars="-20"/>
              <w:jc w:val="left"/>
              <w:rPr>
                <w:rFonts w:hint="eastAsia" w:ascii="宋体" w:hAnsi="宋体"/>
                <w:szCs w:val="21"/>
              </w:rPr>
            </w:pPr>
            <w:r>
              <w:rPr>
                <w:rFonts w:hint="eastAsia" w:ascii="宋体" w:hAnsi="宋体"/>
                <w:szCs w:val="21"/>
              </w:rPr>
              <w:t>（1）满足资格审查条件项目经理最低要求得</w:t>
            </w:r>
            <w:r>
              <w:rPr>
                <w:rFonts w:ascii="宋体" w:hAnsi="宋体"/>
                <w:szCs w:val="21"/>
              </w:rPr>
              <w:t>11</w:t>
            </w:r>
            <w:r>
              <w:rPr>
                <w:rFonts w:hint="eastAsia" w:ascii="宋体" w:hAnsi="宋体"/>
                <w:szCs w:val="21"/>
              </w:rPr>
              <w:t>分；</w:t>
            </w:r>
          </w:p>
          <w:p>
            <w:pPr>
              <w:spacing w:line="280" w:lineRule="exact"/>
              <w:ind w:left="-42" w:leftChars="-2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）作为项目经理每完成过一项公路</w:t>
            </w:r>
            <w:r>
              <w:rPr>
                <w:rFonts w:hint="eastAsia" w:ascii="宋体" w:hAnsi="宋体"/>
                <w:szCs w:val="21"/>
                <w:lang w:eastAsia="zh-CN"/>
              </w:rPr>
              <w:t>养护工程</w:t>
            </w:r>
            <w:r>
              <w:rPr>
                <w:rFonts w:hint="eastAsia" w:ascii="宋体" w:hAnsi="宋体"/>
                <w:szCs w:val="21"/>
              </w:rPr>
              <w:t>项目的业绩，加</w:t>
            </w:r>
            <w:r>
              <w:rPr>
                <w:rFonts w:ascii="宋体" w:hAnsi="宋体"/>
                <w:szCs w:val="21"/>
              </w:rPr>
              <w:t>2</w:t>
            </w:r>
            <w:r>
              <w:rPr>
                <w:rFonts w:hint="eastAsia" w:ascii="宋体" w:hAnsi="宋体"/>
                <w:szCs w:val="21"/>
              </w:rPr>
              <w:t>分，本项最多加</w:t>
            </w:r>
            <w:r>
              <w:rPr>
                <w:rFonts w:ascii="宋体" w:hAnsi="宋体"/>
                <w:szCs w:val="21"/>
              </w:rPr>
              <w:t>4</w:t>
            </w:r>
            <w:r>
              <w:rPr>
                <w:rFonts w:hint="eastAsia" w:ascii="宋体" w:hAnsi="宋体"/>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90" w:hRule="atLeast"/>
          <w:tblHeader/>
          <w:jc w:val="center"/>
        </w:trPr>
        <w:tc>
          <w:tcPr>
            <w:tcW w:w="940" w:type="dxa"/>
            <w:vMerge w:val="continue"/>
            <w:tcBorders>
              <w:bottom w:val="single" w:color="auto" w:sz="4" w:space="0"/>
            </w:tcBorders>
            <w:vAlign w:val="center"/>
          </w:tcPr>
          <w:p>
            <w:pPr>
              <w:adjustRightInd w:val="0"/>
              <w:snapToGrid w:val="0"/>
              <w:spacing w:line="280" w:lineRule="exact"/>
              <w:jc w:val="center"/>
              <w:rPr>
                <w:rFonts w:ascii="宋体" w:hAnsi="宋体"/>
                <w:szCs w:val="21"/>
              </w:rPr>
            </w:pPr>
          </w:p>
        </w:tc>
        <w:tc>
          <w:tcPr>
            <w:tcW w:w="773" w:type="dxa"/>
            <w:gridSpan w:val="2"/>
            <w:vMerge w:val="continue"/>
            <w:vAlign w:val="center"/>
          </w:tcPr>
          <w:p>
            <w:pPr>
              <w:adjustRightInd w:val="0"/>
              <w:snapToGrid w:val="0"/>
              <w:spacing w:line="280" w:lineRule="exact"/>
              <w:jc w:val="center"/>
              <w:rPr>
                <w:rFonts w:ascii="宋体" w:hAnsi="宋体"/>
                <w:szCs w:val="21"/>
              </w:rPr>
            </w:pPr>
          </w:p>
        </w:tc>
        <w:tc>
          <w:tcPr>
            <w:tcW w:w="1118" w:type="dxa"/>
            <w:vMerge w:val="continue"/>
            <w:vAlign w:val="center"/>
          </w:tcPr>
          <w:p>
            <w:pPr>
              <w:adjustRightInd w:val="0"/>
              <w:snapToGrid w:val="0"/>
              <w:spacing w:line="280" w:lineRule="exact"/>
              <w:jc w:val="center"/>
              <w:rPr>
                <w:rFonts w:ascii="宋体" w:hAnsi="宋体"/>
                <w:szCs w:val="21"/>
              </w:rPr>
            </w:pPr>
          </w:p>
        </w:tc>
        <w:tc>
          <w:tcPr>
            <w:tcW w:w="1829" w:type="dxa"/>
            <w:vAlign w:val="center"/>
          </w:tcPr>
          <w:p>
            <w:pPr>
              <w:spacing w:line="280" w:lineRule="exact"/>
              <w:jc w:val="center"/>
              <w:rPr>
                <w:rFonts w:ascii="宋体" w:hAnsi="宋体"/>
                <w:szCs w:val="21"/>
              </w:rPr>
            </w:pPr>
            <w:r>
              <w:rPr>
                <w:rFonts w:hint="eastAsia" w:ascii="宋体" w:hAnsi="宋体"/>
                <w:szCs w:val="21"/>
              </w:rPr>
              <w:t>项目总工任职资格与业绩</w:t>
            </w:r>
          </w:p>
        </w:tc>
        <w:tc>
          <w:tcPr>
            <w:tcW w:w="705" w:type="dxa"/>
            <w:vAlign w:val="center"/>
          </w:tcPr>
          <w:p>
            <w:pPr>
              <w:spacing w:line="280" w:lineRule="exact"/>
              <w:rPr>
                <w:rFonts w:ascii="宋体" w:hAnsi="宋体"/>
                <w:szCs w:val="21"/>
              </w:rPr>
            </w:pPr>
            <w:r>
              <w:rPr>
                <w:rFonts w:hint="eastAsia" w:ascii="宋体" w:hAnsi="宋体"/>
                <w:szCs w:val="21"/>
                <w:u w:val="single"/>
              </w:rPr>
              <w:t>10</w:t>
            </w:r>
            <w:r>
              <w:rPr>
                <w:rFonts w:hint="eastAsia" w:ascii="宋体" w:hAnsi="宋体"/>
                <w:szCs w:val="21"/>
              </w:rPr>
              <w:t>分</w:t>
            </w:r>
          </w:p>
        </w:tc>
        <w:tc>
          <w:tcPr>
            <w:tcW w:w="3893" w:type="dxa"/>
            <w:tcBorders>
              <w:top w:val="single" w:color="auto" w:sz="4" w:space="0"/>
            </w:tcBorders>
            <w:vAlign w:val="center"/>
          </w:tcPr>
          <w:p>
            <w:pPr>
              <w:spacing w:line="280" w:lineRule="exact"/>
              <w:ind w:left="-42" w:leftChars="-20" w:right="-19" w:rightChars="-9"/>
              <w:jc w:val="left"/>
              <w:rPr>
                <w:rFonts w:ascii="宋体" w:hAnsi="宋体"/>
                <w:szCs w:val="21"/>
              </w:rPr>
            </w:pPr>
            <w:r>
              <w:rPr>
                <w:rFonts w:hint="eastAsia" w:ascii="宋体" w:hAnsi="宋体"/>
                <w:szCs w:val="21"/>
              </w:rPr>
              <w:t>（1）满足资格审查条件项目总工最低要求得</w:t>
            </w:r>
            <w:r>
              <w:rPr>
                <w:rFonts w:ascii="宋体" w:hAnsi="宋体"/>
                <w:szCs w:val="21"/>
              </w:rPr>
              <w:t>6</w:t>
            </w:r>
            <w:r>
              <w:rPr>
                <w:rFonts w:hint="eastAsia" w:ascii="宋体" w:hAnsi="宋体"/>
                <w:szCs w:val="21"/>
              </w:rPr>
              <w:t>分；</w:t>
            </w:r>
          </w:p>
          <w:p>
            <w:pPr>
              <w:spacing w:line="280" w:lineRule="exact"/>
              <w:ind w:left="-42" w:leftChars="-20" w:right="-19" w:rightChars="-9"/>
              <w:jc w:val="left"/>
              <w:rPr>
                <w:rFonts w:ascii="宋体" w:hAnsi="宋体"/>
                <w:szCs w:val="21"/>
              </w:rPr>
            </w:pPr>
            <w:r>
              <w:rPr>
                <w:rFonts w:hint="eastAsia" w:ascii="宋体" w:hAnsi="宋体"/>
                <w:szCs w:val="21"/>
              </w:rPr>
              <w:t>（2）作为项目总工每完成过一项公路</w:t>
            </w:r>
            <w:r>
              <w:rPr>
                <w:rFonts w:hint="eastAsia" w:ascii="宋体" w:hAnsi="宋体"/>
                <w:szCs w:val="21"/>
                <w:lang w:eastAsia="zh-CN"/>
              </w:rPr>
              <w:t>养护工程</w:t>
            </w:r>
            <w:r>
              <w:rPr>
                <w:rFonts w:hint="eastAsia" w:ascii="宋体" w:hAnsi="宋体"/>
                <w:szCs w:val="21"/>
              </w:rPr>
              <w:t>项目的业绩，加</w:t>
            </w:r>
            <w:r>
              <w:rPr>
                <w:rFonts w:ascii="宋体" w:hAnsi="宋体"/>
                <w:szCs w:val="21"/>
              </w:rPr>
              <w:t>2</w:t>
            </w:r>
            <w:r>
              <w:rPr>
                <w:rFonts w:hint="eastAsia" w:ascii="宋体" w:hAnsi="宋体"/>
                <w:szCs w:val="21"/>
              </w:rPr>
              <w:t>分，本项最多加4分。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1463" w:hRule="atLeast"/>
          <w:tblHeader/>
          <w:jc w:val="center"/>
        </w:trPr>
        <w:tc>
          <w:tcPr>
            <w:tcW w:w="940" w:type="dxa"/>
            <w:vMerge w:val="restart"/>
            <w:tcBorders>
              <w:top w:val="single" w:color="auto" w:sz="4" w:space="0"/>
            </w:tcBorders>
            <w:vAlign w:val="center"/>
          </w:tcPr>
          <w:p>
            <w:pPr>
              <w:adjustRightInd w:val="0"/>
              <w:snapToGrid w:val="0"/>
              <w:spacing w:line="280" w:lineRule="exact"/>
              <w:jc w:val="center"/>
              <w:rPr>
                <w:rFonts w:ascii="宋体" w:hAnsi="宋体"/>
                <w:szCs w:val="21"/>
              </w:rPr>
            </w:pPr>
            <w:r>
              <w:rPr>
                <w:rFonts w:hint="eastAsia" w:ascii="宋体" w:hAnsi="宋体"/>
                <w:szCs w:val="21"/>
              </w:rPr>
              <w:t>2.2.2（3）</w:t>
            </w:r>
          </w:p>
        </w:tc>
        <w:tc>
          <w:tcPr>
            <w:tcW w:w="351" w:type="dxa"/>
            <w:vMerge w:val="restart"/>
            <w:vAlign w:val="center"/>
          </w:tcPr>
          <w:p>
            <w:pPr>
              <w:adjustRightInd w:val="0"/>
              <w:snapToGrid w:val="0"/>
              <w:spacing w:line="280" w:lineRule="exact"/>
              <w:jc w:val="center"/>
              <w:rPr>
                <w:rFonts w:ascii="宋体" w:hAnsi="宋体"/>
                <w:szCs w:val="21"/>
              </w:rPr>
            </w:pPr>
            <w:r>
              <w:rPr>
                <w:rFonts w:hint="eastAsia" w:ascii="宋体" w:hAnsi="宋体"/>
                <w:szCs w:val="21"/>
              </w:rPr>
              <w:t>其他因素</w:t>
            </w:r>
          </w:p>
        </w:tc>
        <w:tc>
          <w:tcPr>
            <w:tcW w:w="422" w:type="dxa"/>
            <w:vAlign w:val="center"/>
          </w:tcPr>
          <w:p>
            <w:pPr>
              <w:adjustRightInd w:val="0"/>
              <w:snapToGrid w:val="0"/>
              <w:spacing w:line="280" w:lineRule="exact"/>
              <w:jc w:val="center"/>
              <w:rPr>
                <w:rFonts w:hint="eastAsia" w:ascii="宋体" w:hAnsi="宋体"/>
                <w:szCs w:val="21"/>
              </w:rPr>
            </w:pPr>
            <w:r>
              <w:rPr>
                <w:rFonts w:hint="eastAsia" w:ascii="宋体" w:hAnsi="宋体"/>
                <w:szCs w:val="21"/>
              </w:rPr>
              <w:t>单位</w:t>
            </w:r>
          </w:p>
          <w:p>
            <w:pPr>
              <w:adjustRightInd w:val="0"/>
              <w:snapToGrid w:val="0"/>
              <w:spacing w:line="280" w:lineRule="exact"/>
              <w:jc w:val="center"/>
              <w:rPr>
                <w:rFonts w:ascii="宋体" w:hAnsi="宋体"/>
                <w:szCs w:val="21"/>
              </w:rPr>
            </w:pPr>
            <w:r>
              <w:rPr>
                <w:rFonts w:hint="eastAsia" w:ascii="宋体" w:hAnsi="宋体"/>
                <w:szCs w:val="21"/>
              </w:rPr>
              <w:t>业绩</w:t>
            </w:r>
          </w:p>
        </w:tc>
        <w:tc>
          <w:tcPr>
            <w:tcW w:w="1118" w:type="dxa"/>
            <w:vAlign w:val="center"/>
          </w:tcPr>
          <w:p>
            <w:pPr>
              <w:adjustRightInd w:val="0"/>
              <w:snapToGrid w:val="0"/>
              <w:spacing w:line="280" w:lineRule="exact"/>
              <w:jc w:val="center"/>
              <w:rPr>
                <w:rFonts w:ascii="宋体" w:hAnsi="宋体"/>
                <w:szCs w:val="21"/>
              </w:rPr>
            </w:pPr>
            <w:r>
              <w:rPr>
                <w:rFonts w:hint="eastAsia" w:ascii="宋体" w:hAnsi="宋体"/>
                <w:szCs w:val="21"/>
                <w:u w:val="single"/>
              </w:rPr>
              <w:t>20</w:t>
            </w:r>
            <w:r>
              <w:rPr>
                <w:rFonts w:ascii="宋体" w:hAnsi="宋体"/>
                <w:szCs w:val="21"/>
              </w:rPr>
              <w:t>分</w:t>
            </w:r>
          </w:p>
        </w:tc>
        <w:tc>
          <w:tcPr>
            <w:tcW w:w="1829" w:type="dxa"/>
            <w:vAlign w:val="center"/>
          </w:tcPr>
          <w:p>
            <w:pPr>
              <w:spacing w:line="280" w:lineRule="exact"/>
              <w:ind w:left="-69" w:leftChars="-33" w:right="-40" w:rightChars="-19"/>
              <w:jc w:val="center"/>
              <w:rPr>
                <w:rFonts w:ascii="宋体" w:hAnsi="宋体"/>
                <w:szCs w:val="21"/>
              </w:rPr>
            </w:pPr>
            <w:r>
              <w:rPr>
                <w:rFonts w:hint="eastAsia" w:ascii="宋体" w:hAnsi="宋体"/>
                <w:szCs w:val="21"/>
              </w:rPr>
              <w:t>单位业绩</w:t>
            </w:r>
          </w:p>
        </w:tc>
        <w:tc>
          <w:tcPr>
            <w:tcW w:w="705" w:type="dxa"/>
            <w:vAlign w:val="center"/>
          </w:tcPr>
          <w:p>
            <w:pPr>
              <w:spacing w:line="280" w:lineRule="exact"/>
              <w:jc w:val="center"/>
              <w:rPr>
                <w:rFonts w:ascii="宋体" w:hAnsi="宋体"/>
                <w:szCs w:val="21"/>
                <w:u w:val="single"/>
              </w:rPr>
            </w:pPr>
            <w:r>
              <w:rPr>
                <w:rFonts w:hint="eastAsia" w:ascii="宋体" w:hAnsi="宋体"/>
                <w:szCs w:val="21"/>
                <w:u w:val="single"/>
              </w:rPr>
              <w:t>20</w:t>
            </w:r>
            <w:r>
              <w:rPr>
                <w:rFonts w:hint="eastAsia" w:ascii="宋体" w:hAnsi="宋体"/>
                <w:szCs w:val="21"/>
              </w:rPr>
              <w:t>分</w:t>
            </w:r>
          </w:p>
        </w:tc>
        <w:tc>
          <w:tcPr>
            <w:tcW w:w="3893" w:type="dxa"/>
            <w:vAlign w:val="center"/>
          </w:tcPr>
          <w:p>
            <w:pPr>
              <w:snapToGrid w:val="0"/>
              <w:spacing w:line="280" w:lineRule="exact"/>
              <w:rPr>
                <w:rFonts w:ascii="宋体" w:hAnsi="宋体"/>
                <w:szCs w:val="21"/>
              </w:rPr>
            </w:pPr>
            <w:r>
              <w:rPr>
                <w:rFonts w:hint="eastAsia" w:ascii="宋体" w:hAnsi="宋体"/>
                <w:szCs w:val="21"/>
              </w:rPr>
              <w:t>（1）满足资格审查条件最低要求得</w:t>
            </w:r>
            <w:r>
              <w:rPr>
                <w:rFonts w:ascii="宋体" w:hAnsi="宋体"/>
                <w:szCs w:val="21"/>
              </w:rPr>
              <w:t>16</w:t>
            </w:r>
            <w:r>
              <w:rPr>
                <w:rFonts w:hint="eastAsia" w:ascii="宋体" w:hAnsi="宋体"/>
                <w:szCs w:val="21"/>
              </w:rPr>
              <w:t>分；</w:t>
            </w:r>
          </w:p>
          <w:p>
            <w:pPr>
              <w:snapToGrid w:val="0"/>
              <w:spacing w:line="280" w:lineRule="exact"/>
              <w:rPr>
                <w:rFonts w:ascii="宋体" w:hAnsi="宋体"/>
                <w:szCs w:val="21"/>
              </w:rPr>
            </w:pPr>
            <w:r>
              <w:rPr>
                <w:rFonts w:hint="eastAsia" w:ascii="宋体" w:hAnsi="宋体"/>
                <w:szCs w:val="21"/>
              </w:rPr>
              <w:t>（2）近五年（工程交工（或竣工）的时间为：2020年</w:t>
            </w:r>
            <w:r>
              <w:rPr>
                <w:rFonts w:ascii="宋体" w:hAnsi="宋体"/>
                <w:szCs w:val="21"/>
              </w:rPr>
              <w:t>1</w:t>
            </w:r>
            <w:r>
              <w:rPr>
                <w:rFonts w:hint="eastAsia" w:ascii="宋体" w:hAnsi="宋体"/>
                <w:szCs w:val="21"/>
              </w:rPr>
              <w:t>月1日至投标截止之日）每多完成过</w:t>
            </w:r>
            <w:r>
              <w:rPr>
                <w:rFonts w:hint="eastAsia"/>
                <w:szCs w:val="21"/>
              </w:rPr>
              <w:t>一项</w:t>
            </w:r>
            <w:r>
              <w:rPr>
                <w:rFonts w:hint="eastAsia" w:ascii="宋体" w:hAnsi="宋体"/>
                <w:szCs w:val="21"/>
              </w:rPr>
              <w:t>公路</w:t>
            </w:r>
            <w:r>
              <w:rPr>
                <w:rFonts w:hint="eastAsia" w:ascii="宋体" w:hAnsi="宋体"/>
                <w:szCs w:val="21"/>
                <w:lang w:eastAsia="zh-CN"/>
              </w:rPr>
              <w:t>养护工程</w:t>
            </w:r>
            <w:r>
              <w:rPr>
                <w:rFonts w:hint="eastAsia" w:ascii="宋体" w:hAnsi="宋体"/>
                <w:szCs w:val="21"/>
              </w:rPr>
              <w:t>的，加</w:t>
            </w:r>
            <w:r>
              <w:rPr>
                <w:rFonts w:ascii="宋体" w:hAnsi="宋体"/>
                <w:szCs w:val="21"/>
              </w:rPr>
              <w:t>4</w:t>
            </w:r>
            <w:r>
              <w:rPr>
                <w:rFonts w:hint="eastAsia" w:ascii="宋体" w:hAnsi="宋体"/>
                <w:szCs w:val="21"/>
              </w:rPr>
              <w:t>分，最多加</w:t>
            </w:r>
            <w:r>
              <w:rPr>
                <w:rFonts w:ascii="宋体" w:hAnsi="宋体"/>
                <w:szCs w:val="21"/>
              </w:rPr>
              <w:t>4</w:t>
            </w:r>
            <w:r>
              <w:rPr>
                <w:rFonts w:hint="eastAsia" w:ascii="宋体" w:hAnsi="宋体"/>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1210" w:hRule="atLeast"/>
          <w:tblHeader/>
          <w:jc w:val="center"/>
        </w:trPr>
        <w:tc>
          <w:tcPr>
            <w:tcW w:w="940" w:type="dxa"/>
            <w:vMerge w:val="continue"/>
            <w:vAlign w:val="center"/>
          </w:tcPr>
          <w:p>
            <w:pPr>
              <w:adjustRightInd w:val="0"/>
              <w:snapToGrid w:val="0"/>
              <w:spacing w:line="280" w:lineRule="exact"/>
              <w:jc w:val="center"/>
              <w:rPr>
                <w:rFonts w:hint="eastAsia" w:ascii="宋体" w:hAnsi="宋体"/>
                <w:szCs w:val="21"/>
              </w:rPr>
            </w:pPr>
          </w:p>
        </w:tc>
        <w:tc>
          <w:tcPr>
            <w:tcW w:w="351" w:type="dxa"/>
            <w:vMerge w:val="continue"/>
            <w:vAlign w:val="center"/>
          </w:tcPr>
          <w:p>
            <w:pPr>
              <w:adjustRightInd w:val="0"/>
              <w:snapToGrid w:val="0"/>
              <w:spacing w:line="280" w:lineRule="exact"/>
              <w:jc w:val="center"/>
              <w:rPr>
                <w:rFonts w:hint="eastAsia" w:ascii="宋体" w:hAnsi="宋体"/>
                <w:szCs w:val="21"/>
              </w:rPr>
            </w:pPr>
          </w:p>
        </w:tc>
        <w:tc>
          <w:tcPr>
            <w:tcW w:w="422" w:type="dxa"/>
            <w:vAlign w:val="center"/>
          </w:tcPr>
          <w:p>
            <w:pPr>
              <w:jc w:val="center"/>
              <w:rPr>
                <w:rFonts w:hint="eastAsia" w:ascii="宋体" w:hAnsi="宋体" w:cs="宋体"/>
                <w:szCs w:val="21"/>
              </w:rPr>
            </w:pPr>
            <w:r>
              <w:rPr>
                <w:rFonts w:hint="eastAsia" w:ascii="宋体" w:hAnsi="宋体" w:cs="宋体"/>
                <w:szCs w:val="21"/>
              </w:rPr>
              <w:t>技术能力</w:t>
            </w:r>
          </w:p>
        </w:tc>
        <w:tc>
          <w:tcPr>
            <w:tcW w:w="1118" w:type="dxa"/>
            <w:vAlign w:val="center"/>
          </w:tcPr>
          <w:p>
            <w:pPr>
              <w:jc w:val="center"/>
              <w:rPr>
                <w:rFonts w:hint="eastAsia" w:ascii="宋体" w:hAnsi="宋体" w:eastAsia="宋体" w:cs="宋体"/>
                <w:szCs w:val="21"/>
                <w:lang w:eastAsia="zh-CN"/>
              </w:rPr>
            </w:pPr>
            <w:r>
              <w:rPr>
                <w:rFonts w:hint="eastAsia" w:ascii="宋体" w:hAnsi="宋体" w:cs="宋体"/>
                <w:szCs w:val="21"/>
                <w:u w:val="single"/>
              </w:rPr>
              <w:t>1</w:t>
            </w:r>
            <w:r>
              <w:rPr>
                <w:rFonts w:hint="eastAsia" w:ascii="宋体" w:hAnsi="宋体" w:cs="宋体"/>
                <w:szCs w:val="21"/>
                <w:u w:val="single"/>
                <w:lang w:val="en-US" w:eastAsia="zh-CN"/>
              </w:rPr>
              <w:t>5</w:t>
            </w:r>
            <w:r>
              <w:rPr>
                <w:rFonts w:hint="eastAsia" w:ascii="宋体" w:hAnsi="宋体" w:cs="宋体"/>
                <w:szCs w:val="21"/>
                <w:lang w:val="en-US" w:eastAsia="zh-CN"/>
              </w:rPr>
              <w:t>分</w:t>
            </w:r>
          </w:p>
        </w:tc>
        <w:tc>
          <w:tcPr>
            <w:tcW w:w="1829" w:type="dxa"/>
            <w:shd w:val="clear" w:color="auto" w:fill="auto"/>
            <w:vAlign w:val="center"/>
          </w:tcPr>
          <w:p>
            <w:pPr>
              <w:pStyle w:val="19"/>
              <w:adjustRightInd/>
              <w:spacing w:line="300" w:lineRule="exact"/>
              <w:jc w:val="center"/>
              <w:rPr>
                <w:rFonts w:hint="eastAsia" w:ascii="宋体" w:hAnsi="宋体" w:eastAsia="宋体" w:cs="宋体"/>
                <w:color w:val="auto"/>
                <w:sz w:val="21"/>
                <w:szCs w:val="21"/>
                <w:lang w:val="en-US" w:eastAsia="zh-CN" w:bidi="ar-SA"/>
              </w:rPr>
            </w:pPr>
            <w:r>
              <w:rPr>
                <w:rFonts w:hint="eastAsia" w:ascii="宋体" w:hAnsi="宋体" w:cs="宋体"/>
                <w:szCs w:val="21"/>
              </w:rPr>
              <w:t>工法、专利</w:t>
            </w:r>
          </w:p>
        </w:tc>
        <w:tc>
          <w:tcPr>
            <w:tcW w:w="705" w:type="dxa"/>
            <w:vAlign w:val="center"/>
          </w:tcPr>
          <w:p>
            <w:pPr>
              <w:jc w:val="center"/>
              <w:rPr>
                <w:rFonts w:ascii="宋体" w:hAnsi="宋体" w:cs="宋体"/>
                <w:szCs w:val="21"/>
              </w:rPr>
            </w:pPr>
            <w:r>
              <w:rPr>
                <w:rFonts w:hint="eastAsia" w:ascii="宋体" w:hAnsi="宋体" w:cs="宋体"/>
                <w:szCs w:val="21"/>
                <w:u w:val="single"/>
              </w:rPr>
              <w:t>1</w:t>
            </w:r>
            <w:r>
              <w:rPr>
                <w:rFonts w:hint="eastAsia" w:ascii="宋体" w:hAnsi="宋体" w:cs="宋体"/>
                <w:szCs w:val="21"/>
                <w:u w:val="single"/>
                <w:lang w:val="en-US" w:eastAsia="zh-CN"/>
              </w:rPr>
              <w:t>5</w:t>
            </w:r>
            <w:r>
              <w:rPr>
                <w:rFonts w:hint="eastAsia" w:ascii="宋体" w:hAnsi="宋体" w:cs="宋体"/>
                <w:szCs w:val="21"/>
                <w:lang w:val="en-US" w:eastAsia="zh-CN"/>
              </w:rPr>
              <w:t>分</w:t>
            </w:r>
          </w:p>
        </w:tc>
        <w:tc>
          <w:tcPr>
            <w:tcW w:w="3893" w:type="dxa"/>
            <w:vAlign w:val="center"/>
          </w:tcPr>
          <w:p>
            <w:pPr>
              <w:jc w:val="left"/>
              <w:rPr>
                <w:rFonts w:hint="eastAsia" w:ascii="宋体" w:hAnsi="宋体" w:cs="宋体"/>
                <w:szCs w:val="21"/>
              </w:rPr>
            </w:pPr>
            <w:r>
              <w:rPr>
                <w:rFonts w:hint="eastAsia" w:ascii="宋体" w:hAnsi="宋体" w:cs="宋体"/>
                <w:szCs w:val="21"/>
              </w:rPr>
              <w:t>（1）满足资格审查条件最低要求得</w:t>
            </w:r>
            <w:r>
              <w:rPr>
                <w:rFonts w:hint="eastAsia" w:ascii="宋体" w:hAnsi="宋体" w:cs="宋体"/>
                <w:szCs w:val="21"/>
                <w:lang w:val="en-US" w:eastAsia="zh-CN"/>
              </w:rPr>
              <w:t>9</w:t>
            </w:r>
            <w:r>
              <w:rPr>
                <w:rFonts w:hint="eastAsia" w:ascii="宋体" w:hAnsi="宋体" w:cs="宋体"/>
                <w:szCs w:val="21"/>
              </w:rPr>
              <w:t>分；</w:t>
            </w:r>
          </w:p>
          <w:p>
            <w:pPr>
              <w:rPr>
                <w:rFonts w:hint="eastAsia" w:ascii="宋体" w:hAnsi="宋体" w:cs="宋体"/>
                <w:szCs w:val="21"/>
              </w:rPr>
            </w:pPr>
            <w:r>
              <w:rPr>
                <w:rFonts w:hint="eastAsia" w:ascii="宋体" w:hAnsi="宋体" w:cs="宋体"/>
                <w:szCs w:val="21"/>
              </w:rPr>
              <w:t>（2）投标人获得的</w:t>
            </w:r>
            <w:r>
              <w:rPr>
                <w:rFonts w:hint="eastAsia" w:ascii="宋体" w:hAnsi="宋体" w:cs="宋体"/>
                <w:szCs w:val="21"/>
                <w:lang w:eastAsia="zh-CN"/>
              </w:rPr>
              <w:t>省</w:t>
            </w:r>
            <w:r>
              <w:rPr>
                <w:rFonts w:hint="eastAsia" w:ascii="宋体" w:hAnsi="宋体" w:cs="宋体"/>
                <w:szCs w:val="21"/>
              </w:rPr>
              <w:t>级</w:t>
            </w:r>
            <w:r>
              <w:rPr>
                <w:rFonts w:hint="eastAsia" w:ascii="宋体" w:hAnsi="宋体" w:cs="宋体"/>
                <w:szCs w:val="21"/>
                <w:lang w:eastAsia="zh-CN"/>
              </w:rPr>
              <w:t>及以上</w:t>
            </w:r>
            <w:r>
              <w:rPr>
                <w:rFonts w:hint="eastAsia" w:ascii="宋体" w:hAnsi="宋体" w:cs="宋体"/>
                <w:szCs w:val="21"/>
              </w:rPr>
              <w:t>公路工程工法（养护类F、路基、路面、桥涵类，并在有效期内），有一项加</w:t>
            </w:r>
            <w:r>
              <w:rPr>
                <w:rFonts w:hint="eastAsia" w:ascii="宋体" w:hAnsi="宋体" w:cs="宋体"/>
                <w:szCs w:val="21"/>
                <w:lang w:val="en-US" w:eastAsia="zh-CN"/>
              </w:rPr>
              <w:t>3</w:t>
            </w:r>
            <w:r>
              <w:rPr>
                <w:rFonts w:hint="eastAsia" w:ascii="宋体" w:hAnsi="宋体" w:cs="宋体"/>
                <w:szCs w:val="21"/>
              </w:rPr>
              <w:t>分，最多加</w:t>
            </w:r>
            <w:r>
              <w:rPr>
                <w:rFonts w:hint="eastAsia" w:ascii="宋体" w:hAnsi="宋体" w:cs="宋体"/>
                <w:szCs w:val="21"/>
                <w:lang w:val="en-US" w:eastAsia="zh-CN"/>
              </w:rPr>
              <w:t>6</w:t>
            </w:r>
            <w:r>
              <w:rPr>
                <w:rFonts w:hint="eastAsia" w:ascii="宋体" w:hAnsi="宋体" w:cs="宋体"/>
                <w:szCs w:val="21"/>
              </w:rPr>
              <w:t>分；</w:t>
            </w:r>
          </w:p>
          <w:p>
            <w:pPr>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）投标人获得的与公路施工项目有关的施工工艺类、材料类以及机械类专利（发明专利或实用新型专利），且在有效期内。有1项得</w:t>
            </w:r>
            <w:r>
              <w:rPr>
                <w:rFonts w:hint="eastAsia" w:ascii="宋体" w:hAnsi="宋体" w:cs="宋体"/>
                <w:szCs w:val="21"/>
                <w:lang w:val="en-US" w:eastAsia="zh-CN"/>
              </w:rPr>
              <w:t>3</w:t>
            </w:r>
            <w:r>
              <w:rPr>
                <w:rFonts w:hint="eastAsia" w:ascii="宋体" w:hAnsi="宋体" w:cs="宋体"/>
                <w:szCs w:val="21"/>
              </w:rPr>
              <w:t>分，最多加</w:t>
            </w:r>
            <w:r>
              <w:rPr>
                <w:rFonts w:hint="eastAsia" w:ascii="宋体" w:hAnsi="宋体" w:cs="宋体"/>
                <w:szCs w:val="21"/>
                <w:lang w:val="en-US" w:eastAsia="zh-CN"/>
              </w:rPr>
              <w:t>6</w:t>
            </w:r>
            <w:r>
              <w:rPr>
                <w:rFonts w:hint="eastAsia" w:ascii="宋体" w:hAnsi="宋体" w:cs="宋体"/>
                <w:szCs w:val="21"/>
              </w:rPr>
              <w:t>分。投标人须提供中华人民共和国国家知识产权局颁发的专利证书复印件及相关网站下载相关信息并打印加盖公章。</w:t>
            </w:r>
          </w:p>
          <w:p>
            <w:pPr>
              <w:wordWrap w:val="0"/>
              <w:rPr>
                <w:rFonts w:hint="eastAsia" w:ascii="宋体" w:hAnsi="宋体" w:cs="宋体"/>
                <w:szCs w:val="21"/>
              </w:rPr>
            </w:pPr>
            <w:r>
              <w:rPr>
                <w:rFonts w:hint="eastAsia" w:ascii="宋体" w:hAnsi="宋体" w:cs="宋体"/>
                <w:szCs w:val="21"/>
              </w:rPr>
              <w:t xml:space="preserve"> 本项最高得分为</w:t>
            </w:r>
            <w:r>
              <w:rPr>
                <w:rFonts w:hint="eastAsia" w:ascii="宋体" w:hAnsi="宋体" w:cs="宋体"/>
                <w:szCs w:val="21"/>
                <w:lang w:val="en-US" w:eastAsia="zh-CN"/>
              </w:rPr>
              <w:t>15</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1186" w:hRule="atLeast"/>
          <w:tblHeader/>
          <w:jc w:val="center"/>
        </w:trPr>
        <w:tc>
          <w:tcPr>
            <w:tcW w:w="9258" w:type="dxa"/>
            <w:gridSpan w:val="7"/>
            <w:vAlign w:val="top"/>
          </w:tcPr>
          <w:p>
            <w:pPr>
              <w:tabs>
                <w:tab w:val="left" w:pos="2775"/>
              </w:tabs>
              <w:spacing w:line="280" w:lineRule="exact"/>
              <w:jc w:val="left"/>
              <w:rPr>
                <w:rFonts w:ascii="宋体" w:hAnsi="宋体"/>
                <w:szCs w:val="21"/>
              </w:rPr>
            </w:pPr>
            <w:r>
              <w:rPr>
                <w:rFonts w:hint="eastAsia" w:ascii="宋体" w:hAnsi="宋体"/>
                <w:szCs w:val="21"/>
              </w:rPr>
              <w:t>需要补充的其他内容：各评分因素（评标价和履约信誉评分项除外）得分一般不得低于其权重分值的 60%，且各评分因素得分应以评标委员会各成员的打分平均值确定，评标委员会成员总数为七人（含七人）以上时，该平均值以去掉一个最高分和一个最低分后计算,保留2位小数。评标委员会成员对某一项评分因素的评分低于权重分值60%的，应在评标报告中作出说明。</w:t>
            </w:r>
          </w:p>
        </w:tc>
      </w:tr>
    </w:tbl>
    <w:p>
      <w:pPr>
        <w:spacing w:line="360" w:lineRule="exact"/>
        <w:ind w:firstLine="210" w:firstLineChars="100"/>
        <w:jc w:val="left"/>
        <w:rPr>
          <w:rFonts w:hint="eastAsia" w:ascii="宋体" w:hAnsi="宋体" w:cs="宋体"/>
          <w:color w:val="auto"/>
          <w:szCs w:val="21"/>
          <w:highlight w:val="none"/>
        </w:rPr>
      </w:pPr>
    </w:p>
    <w:p>
      <w:pPr>
        <w:spacing w:before="120" w:beforeLines="50" w:after="120" w:afterLines="50"/>
        <w:ind w:right="108"/>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 xml:space="preserve">1.评标方法 </w:t>
      </w:r>
    </w:p>
    <w:p>
      <w:pPr>
        <w:pStyle w:val="24"/>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bookmarkStart w:id="247" w:name="bookmark116"/>
    </w:p>
    <w:p>
      <w:pPr>
        <w:pStyle w:val="24"/>
        <w:shd w:val="clear" w:color="auto" w:fill="auto"/>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2.评审标准</w:t>
      </w:r>
      <w:bookmarkEnd w:id="247"/>
    </w:p>
    <w:p>
      <w:pPr>
        <w:pStyle w:val="24"/>
        <w:shd w:val="clear" w:color="auto" w:fill="auto"/>
        <w:spacing w:before="0" w:after="0" w:line="360" w:lineRule="auto"/>
        <w:rPr>
          <w:rStyle w:val="25"/>
          <w:rFonts w:hint="eastAsia" w:ascii="宋体" w:hAnsi="宋体" w:eastAsia="宋体" w:cs="宋体"/>
          <w:b w:val="0"/>
          <w:bCs w:val="0"/>
          <w:color w:val="auto"/>
          <w:sz w:val="21"/>
          <w:szCs w:val="21"/>
          <w:highlight w:val="none"/>
        </w:rPr>
      </w:pPr>
      <w:r>
        <w:rPr>
          <w:rStyle w:val="20"/>
          <w:rFonts w:hint="eastAsia" w:ascii="宋体" w:hAnsi="宋体" w:eastAsia="宋体" w:cs="宋体"/>
          <w:color w:val="auto"/>
          <w:sz w:val="21"/>
          <w:szCs w:val="21"/>
          <w:highlight w:val="none"/>
        </w:rPr>
        <w:t xml:space="preserve">2.1 </w:t>
      </w:r>
      <w:r>
        <w:rPr>
          <w:rStyle w:val="25"/>
          <w:rFonts w:hint="eastAsia" w:ascii="宋体" w:hAnsi="宋体" w:eastAsia="宋体" w:cs="宋体"/>
          <w:color w:val="auto"/>
          <w:sz w:val="21"/>
          <w:szCs w:val="21"/>
          <w:highlight w:val="none"/>
        </w:rPr>
        <w:t>初步评审标准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2.1.1形式评审标准：见评标办法前附表。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2.1.2资格评审标准：见评标办法前附表。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2.1.3响应性评审标准：见评标办法前附表。</w:t>
      </w:r>
    </w:p>
    <w:p>
      <w:pPr>
        <w:pStyle w:val="24"/>
        <w:shd w:val="clear" w:color="auto" w:fill="auto"/>
        <w:spacing w:before="0" w:after="0" w:line="360" w:lineRule="auto"/>
        <w:rPr>
          <w:rStyle w:val="25"/>
          <w:rFonts w:hint="eastAsia" w:ascii="宋体" w:hAnsi="宋体" w:eastAsia="宋体" w:cs="宋体"/>
          <w:color w:val="auto"/>
          <w:sz w:val="21"/>
          <w:szCs w:val="21"/>
          <w:highlight w:val="none"/>
        </w:rPr>
      </w:pPr>
      <w:r>
        <w:rPr>
          <w:rStyle w:val="26"/>
          <w:rFonts w:hint="eastAsia" w:ascii="宋体" w:hAnsi="宋体" w:eastAsia="宋体" w:cs="宋体"/>
          <w:b w:val="0"/>
          <w:bCs w:val="0"/>
          <w:color w:val="auto"/>
          <w:sz w:val="21"/>
          <w:szCs w:val="21"/>
          <w:highlight w:val="none"/>
        </w:rPr>
        <w:t xml:space="preserve">2.2 </w:t>
      </w:r>
      <w:r>
        <w:rPr>
          <w:rStyle w:val="25"/>
          <w:rFonts w:hint="eastAsia" w:ascii="宋体" w:hAnsi="宋体" w:eastAsia="宋体" w:cs="宋体"/>
          <w:color w:val="auto"/>
          <w:sz w:val="21"/>
          <w:szCs w:val="21"/>
          <w:highlight w:val="none"/>
        </w:rPr>
        <w:t>分值构成与评分标准</w:t>
      </w:r>
    </w:p>
    <w:p>
      <w:pPr>
        <w:pStyle w:val="24"/>
        <w:shd w:val="clear" w:color="auto" w:fill="auto"/>
        <w:spacing w:before="0" w:after="0" w:line="360" w:lineRule="auto"/>
        <w:ind w:firstLine="422" w:firstLineChars="200"/>
        <w:rPr>
          <w:rStyle w:val="25"/>
          <w:rFonts w:hint="eastAsia" w:ascii="宋体" w:hAnsi="宋体" w:eastAsia="宋体" w:cs="宋体"/>
          <w:color w:val="auto"/>
          <w:sz w:val="21"/>
          <w:szCs w:val="21"/>
          <w:highlight w:val="none"/>
        </w:rPr>
      </w:pPr>
      <w:r>
        <w:rPr>
          <w:rStyle w:val="20"/>
          <w:rFonts w:hint="eastAsia" w:ascii="宋体" w:hAnsi="宋体" w:eastAsia="宋体" w:cs="宋体"/>
          <w:color w:val="auto"/>
          <w:sz w:val="21"/>
          <w:szCs w:val="21"/>
          <w:highlight w:val="none"/>
        </w:rPr>
        <w:t>2.2.1</w:t>
      </w:r>
      <w:r>
        <w:rPr>
          <w:rStyle w:val="25"/>
          <w:rFonts w:hint="eastAsia" w:ascii="宋体" w:hAnsi="宋体" w:eastAsia="宋体" w:cs="宋体"/>
          <w:color w:val="auto"/>
          <w:sz w:val="21"/>
          <w:szCs w:val="21"/>
          <w:highlight w:val="none"/>
        </w:rPr>
        <w:t>第一个信封评分分值构成</w:t>
      </w:r>
    </w:p>
    <w:p>
      <w:pPr>
        <w:pStyle w:val="24"/>
        <w:numPr>
          <w:ilvl w:val="0"/>
          <w:numId w:val="3"/>
        </w:numPr>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施工组织设计：见评标办法前附表；</w:t>
      </w:r>
    </w:p>
    <w:p>
      <w:pPr>
        <w:pStyle w:val="24"/>
        <w:numPr>
          <w:ilvl w:val="0"/>
          <w:numId w:val="3"/>
        </w:numPr>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主要人员：见评标办法前附表；</w:t>
      </w:r>
    </w:p>
    <w:p>
      <w:pPr>
        <w:pStyle w:val="24"/>
        <w:numPr>
          <w:ilvl w:val="0"/>
          <w:numId w:val="3"/>
        </w:numPr>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其他评分因素：见评标办法前附表。</w:t>
      </w:r>
    </w:p>
    <w:p>
      <w:pPr>
        <w:pStyle w:val="24"/>
        <w:shd w:val="clear" w:color="auto" w:fill="auto"/>
        <w:spacing w:before="0" w:after="0" w:line="360" w:lineRule="auto"/>
        <w:ind w:left="420" w:leftChars="200"/>
        <w:rPr>
          <w:rStyle w:val="25"/>
          <w:rFonts w:hint="eastAsia" w:ascii="宋体" w:hAnsi="宋体" w:eastAsia="宋体" w:cs="宋体"/>
          <w:b w:val="0"/>
          <w:bCs w:val="0"/>
          <w:color w:val="auto"/>
          <w:sz w:val="21"/>
          <w:szCs w:val="21"/>
          <w:highlight w:val="none"/>
        </w:rPr>
      </w:pPr>
      <w:r>
        <w:rPr>
          <w:rStyle w:val="20"/>
          <w:rFonts w:hint="eastAsia" w:ascii="宋体" w:hAnsi="宋体" w:eastAsia="宋体" w:cs="宋体"/>
          <w:color w:val="auto"/>
          <w:sz w:val="21"/>
          <w:szCs w:val="21"/>
          <w:highlight w:val="none"/>
        </w:rPr>
        <w:t>2.2.2</w:t>
      </w:r>
      <w:r>
        <w:rPr>
          <w:rStyle w:val="25"/>
          <w:rFonts w:hint="eastAsia" w:ascii="宋体" w:hAnsi="宋体" w:eastAsia="宋体" w:cs="宋体"/>
          <w:color w:val="auto"/>
          <w:sz w:val="21"/>
          <w:szCs w:val="21"/>
          <w:highlight w:val="none"/>
        </w:rPr>
        <w:t>第一个信封评分评分标准</w:t>
      </w:r>
      <w:r>
        <w:rPr>
          <w:rStyle w:val="25"/>
          <w:rFonts w:hint="eastAsia" w:ascii="宋体" w:hAnsi="宋体" w:eastAsia="宋体" w:cs="宋体"/>
          <w:b w:val="0"/>
          <w:bCs w:val="0"/>
          <w:color w:val="auto"/>
          <w:sz w:val="21"/>
          <w:szCs w:val="21"/>
          <w:highlight w:val="none"/>
        </w:rPr>
        <w:t xml:space="preserve"> </w:t>
      </w:r>
    </w:p>
    <w:p>
      <w:pPr>
        <w:pStyle w:val="24"/>
        <w:numPr>
          <w:ilvl w:val="0"/>
          <w:numId w:val="4"/>
        </w:numPr>
        <w:shd w:val="clear" w:color="auto" w:fill="auto"/>
        <w:spacing w:before="0" w:after="0" w:line="360" w:lineRule="auto"/>
        <w:ind w:left="420" w:left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施工组织设计评分标准：见评标办法前附表；</w:t>
      </w:r>
    </w:p>
    <w:p>
      <w:pPr>
        <w:pStyle w:val="24"/>
        <w:numPr>
          <w:ilvl w:val="0"/>
          <w:numId w:val="4"/>
        </w:numPr>
        <w:shd w:val="clear" w:color="auto" w:fill="auto"/>
        <w:spacing w:before="0" w:after="0" w:line="360" w:lineRule="auto"/>
        <w:ind w:left="420" w:leftChars="200"/>
        <w:rPr>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主要人员评分标准：见评标办法前附表</w:t>
      </w:r>
      <w:r>
        <w:rPr>
          <w:rStyle w:val="20"/>
          <w:rFonts w:hint="eastAsia" w:ascii="宋体" w:hAnsi="宋体" w:eastAsia="宋体" w:cs="宋体"/>
          <w:b w:val="0"/>
          <w:bCs w:val="0"/>
          <w:color w:val="auto"/>
          <w:sz w:val="21"/>
          <w:szCs w:val="21"/>
          <w:highlight w:val="none"/>
        </w:rPr>
        <w:t>；</w:t>
      </w:r>
    </w:p>
    <w:p>
      <w:pPr>
        <w:pStyle w:val="24"/>
        <w:numPr>
          <w:ilvl w:val="0"/>
          <w:numId w:val="4"/>
        </w:numPr>
        <w:shd w:val="clear" w:color="auto" w:fill="auto"/>
        <w:spacing w:before="0" w:after="0" w:line="360" w:lineRule="auto"/>
        <w:ind w:left="420" w:leftChars="200"/>
        <w:rPr>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其他因素评分标准：见评标办法前附表。</w:t>
      </w:r>
    </w:p>
    <w:p>
      <w:pPr>
        <w:pStyle w:val="24"/>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0"/>
          <w:rFonts w:hint="eastAsia" w:ascii="宋体" w:hAnsi="宋体" w:eastAsia="宋体" w:cs="宋体"/>
          <w:b w:val="0"/>
          <w:bCs w:val="0"/>
          <w:color w:val="auto"/>
          <w:sz w:val="21"/>
          <w:szCs w:val="21"/>
          <w:highlight w:val="none"/>
        </w:rPr>
        <w:t>2.2.3</w:t>
      </w:r>
      <w:r>
        <w:rPr>
          <w:rStyle w:val="25"/>
          <w:rFonts w:hint="eastAsia" w:ascii="宋体" w:hAnsi="宋体" w:eastAsia="宋体" w:cs="宋体"/>
          <w:b w:val="0"/>
          <w:bCs w:val="0"/>
          <w:color w:val="auto"/>
          <w:sz w:val="21"/>
          <w:szCs w:val="21"/>
          <w:highlight w:val="none"/>
        </w:rPr>
        <w:t>第二个信封详细评审标准：见评标办法前附表。</w:t>
      </w:r>
      <w:bookmarkStart w:id="248" w:name="bookmark117"/>
    </w:p>
    <w:p>
      <w:pPr>
        <w:pStyle w:val="24"/>
        <w:shd w:val="clear" w:color="auto" w:fill="auto"/>
        <w:spacing w:before="0" w:after="0" w:line="360" w:lineRule="auto"/>
        <w:rPr>
          <w:rStyle w:val="28"/>
          <w:rFonts w:hint="eastAsia" w:ascii="宋体" w:hAnsi="宋体" w:eastAsia="宋体" w:cs="宋体"/>
          <w:b w:val="0"/>
          <w:bCs w:val="0"/>
          <w:color w:val="auto"/>
          <w:sz w:val="21"/>
          <w:szCs w:val="21"/>
          <w:highlight w:val="none"/>
        </w:rPr>
      </w:pPr>
      <w:r>
        <w:rPr>
          <w:rStyle w:val="27"/>
          <w:rFonts w:hint="eastAsia" w:ascii="宋体" w:hAnsi="宋体" w:eastAsia="宋体" w:cs="宋体"/>
          <w:b w:val="0"/>
          <w:bCs w:val="0"/>
          <w:color w:val="auto"/>
          <w:sz w:val="21"/>
          <w:szCs w:val="21"/>
          <w:highlight w:val="none"/>
        </w:rPr>
        <w:t>3.</w:t>
      </w:r>
      <w:r>
        <w:rPr>
          <w:rStyle w:val="28"/>
          <w:rFonts w:hint="eastAsia" w:ascii="宋体" w:hAnsi="宋体" w:eastAsia="宋体" w:cs="宋体"/>
          <w:b w:val="0"/>
          <w:bCs w:val="0"/>
          <w:color w:val="auto"/>
          <w:sz w:val="21"/>
          <w:szCs w:val="21"/>
          <w:highlight w:val="none"/>
        </w:rPr>
        <w:t>评标程序</w:t>
      </w:r>
      <w:bookmarkEnd w:id="248"/>
    </w:p>
    <w:p>
      <w:pPr>
        <w:pStyle w:val="24"/>
        <w:shd w:val="clear" w:color="auto" w:fill="auto"/>
        <w:spacing w:before="0" w:after="0" w:line="360" w:lineRule="auto"/>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3.1第一个信封初步评审</w:t>
      </w:r>
    </w:p>
    <w:p>
      <w:pPr>
        <w:pStyle w:val="24"/>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3.1.1评标委员会可以要求投标人提交第二章“投标人须知”第</w:t>
      </w:r>
      <w:r>
        <w:rPr>
          <w:rStyle w:val="20"/>
          <w:rFonts w:hint="eastAsia" w:ascii="宋体" w:hAnsi="宋体" w:eastAsia="宋体" w:cs="宋体"/>
          <w:b w:val="0"/>
          <w:bCs w:val="0"/>
          <w:color w:val="auto"/>
          <w:sz w:val="21"/>
          <w:szCs w:val="21"/>
          <w:highlight w:val="none"/>
        </w:rPr>
        <w:t>3.5.1</w:t>
      </w:r>
      <w:r>
        <w:rPr>
          <w:rStyle w:val="25"/>
          <w:rFonts w:hint="eastAsia" w:ascii="宋体" w:hAnsi="宋体" w:eastAsia="宋体" w:cs="宋体"/>
          <w:b w:val="0"/>
          <w:bCs w:val="0"/>
          <w:color w:val="auto"/>
          <w:sz w:val="21"/>
          <w:szCs w:val="21"/>
          <w:highlight w:val="none"/>
        </w:rPr>
        <w:t>项至第</w:t>
      </w:r>
      <w:r>
        <w:rPr>
          <w:rStyle w:val="20"/>
          <w:rFonts w:hint="eastAsia" w:ascii="宋体" w:hAnsi="宋体" w:eastAsia="宋体" w:cs="宋体"/>
          <w:b w:val="0"/>
          <w:bCs w:val="0"/>
          <w:color w:val="auto"/>
          <w:sz w:val="21"/>
          <w:szCs w:val="21"/>
          <w:highlight w:val="none"/>
        </w:rPr>
        <w:t xml:space="preserve">3.5.6 </w:t>
      </w:r>
      <w:r>
        <w:rPr>
          <w:rStyle w:val="25"/>
          <w:rFonts w:hint="eastAsia" w:ascii="宋体" w:hAnsi="宋体" w:eastAsia="宋体" w:cs="宋体"/>
          <w:b w:val="0"/>
          <w:bCs w:val="0"/>
          <w:color w:val="auto"/>
          <w:sz w:val="21"/>
          <w:szCs w:val="21"/>
          <w:highlight w:val="none"/>
        </w:rPr>
        <w:t>项规定的有关证明和证件的原件，以便核验。评标委员会依据本章第</w:t>
      </w:r>
      <w:r>
        <w:rPr>
          <w:rStyle w:val="20"/>
          <w:rFonts w:hint="eastAsia" w:ascii="宋体" w:hAnsi="宋体" w:eastAsia="宋体" w:cs="宋体"/>
          <w:b w:val="0"/>
          <w:bCs w:val="0"/>
          <w:color w:val="auto"/>
          <w:sz w:val="21"/>
          <w:szCs w:val="21"/>
          <w:highlight w:val="none"/>
        </w:rPr>
        <w:t>2.1</w:t>
      </w:r>
      <w:r>
        <w:rPr>
          <w:rStyle w:val="25"/>
          <w:rFonts w:hint="eastAsia" w:ascii="宋体" w:hAnsi="宋体" w:eastAsia="宋体" w:cs="宋体"/>
          <w:b w:val="0"/>
          <w:bCs w:val="0"/>
          <w:color w:val="auto"/>
          <w:sz w:val="21"/>
          <w:szCs w:val="21"/>
          <w:highlight w:val="none"/>
        </w:rPr>
        <w:t>款规定的标准对投标文件第一个信封（商务及技术文件）进行初步评审。有一项不符合评审标准的，评标委员会应否决其投标。</w:t>
      </w:r>
    </w:p>
    <w:p>
      <w:pPr>
        <w:pStyle w:val="24"/>
        <w:shd w:val="clear" w:color="auto" w:fill="auto"/>
        <w:spacing w:before="0" w:after="0" w:line="360" w:lineRule="auto"/>
        <w:rPr>
          <w:rFonts w:hint="eastAsia" w:ascii="宋体" w:hAnsi="宋体" w:eastAsia="宋体" w:cs="宋体"/>
          <w:b w:val="0"/>
          <w:bCs w:val="0"/>
          <w:color w:val="auto"/>
          <w:sz w:val="21"/>
          <w:szCs w:val="21"/>
          <w:highlight w:val="none"/>
        </w:rPr>
      </w:pPr>
      <w:bookmarkStart w:id="249" w:name="bookmark118"/>
      <w:r>
        <w:rPr>
          <w:rStyle w:val="20"/>
          <w:rFonts w:hint="eastAsia" w:ascii="宋体" w:hAnsi="宋体" w:eastAsia="宋体" w:cs="宋体"/>
          <w:color w:val="auto"/>
          <w:sz w:val="21"/>
          <w:szCs w:val="21"/>
          <w:highlight w:val="none"/>
        </w:rPr>
        <w:t xml:space="preserve">3.2 </w:t>
      </w:r>
      <w:r>
        <w:rPr>
          <w:rFonts w:hint="eastAsia" w:ascii="宋体" w:hAnsi="宋体" w:eastAsia="宋体" w:cs="宋体"/>
          <w:color w:val="auto"/>
          <w:sz w:val="21"/>
          <w:szCs w:val="21"/>
          <w:highlight w:val="none"/>
        </w:rPr>
        <w:t>第一个信封详细评审</w:t>
      </w:r>
      <w:bookmarkEnd w:id="249"/>
    </w:p>
    <w:p>
      <w:pPr>
        <w:pStyle w:val="24"/>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0"/>
          <w:rFonts w:hint="eastAsia" w:ascii="宋体" w:hAnsi="宋体" w:eastAsia="宋体" w:cs="宋体"/>
          <w:b w:val="0"/>
          <w:bCs w:val="0"/>
          <w:color w:val="auto"/>
          <w:sz w:val="21"/>
          <w:szCs w:val="21"/>
          <w:highlight w:val="none"/>
        </w:rPr>
        <w:t>3.2.1</w:t>
      </w:r>
      <w:r>
        <w:rPr>
          <w:rStyle w:val="25"/>
          <w:rFonts w:hint="eastAsia" w:ascii="宋体" w:hAnsi="宋体" w:eastAsia="宋体" w:cs="宋体"/>
          <w:b w:val="0"/>
          <w:bCs w:val="0"/>
          <w:color w:val="auto"/>
          <w:sz w:val="21"/>
          <w:szCs w:val="21"/>
          <w:highlight w:val="none"/>
        </w:rPr>
        <w:t>评标委员会按本章第</w:t>
      </w:r>
      <w:r>
        <w:rPr>
          <w:rStyle w:val="20"/>
          <w:rFonts w:hint="eastAsia" w:ascii="宋体" w:hAnsi="宋体" w:eastAsia="宋体" w:cs="宋体"/>
          <w:b w:val="0"/>
          <w:bCs w:val="0"/>
          <w:color w:val="auto"/>
          <w:sz w:val="21"/>
          <w:szCs w:val="21"/>
          <w:highlight w:val="none"/>
        </w:rPr>
        <w:t>2.2</w:t>
      </w:r>
      <w:r>
        <w:rPr>
          <w:rStyle w:val="25"/>
          <w:rFonts w:hint="eastAsia" w:ascii="宋体" w:hAnsi="宋体" w:eastAsia="宋体" w:cs="宋体"/>
          <w:b w:val="0"/>
          <w:bCs w:val="0"/>
          <w:color w:val="auto"/>
          <w:sz w:val="21"/>
          <w:szCs w:val="21"/>
          <w:highlight w:val="none"/>
        </w:rPr>
        <w:t>款规定的量化因素和分值进行打分，并计算出各投标人的商务和技术得分。</w:t>
      </w:r>
    </w:p>
    <w:p>
      <w:pPr>
        <w:pStyle w:val="24"/>
        <w:numPr>
          <w:ilvl w:val="0"/>
          <w:numId w:val="5"/>
        </w:numPr>
        <w:shd w:val="clear" w:color="auto" w:fill="auto"/>
        <w:spacing w:before="0" w:after="0" w:line="360" w:lineRule="auto"/>
        <w:ind w:left="420" w:left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按本章第</w:t>
      </w:r>
      <w:r>
        <w:rPr>
          <w:rStyle w:val="20"/>
          <w:rFonts w:hint="eastAsia" w:ascii="宋体" w:hAnsi="宋体" w:eastAsia="宋体" w:cs="宋体"/>
          <w:b w:val="0"/>
          <w:bCs w:val="0"/>
          <w:color w:val="auto"/>
          <w:sz w:val="21"/>
          <w:szCs w:val="21"/>
          <w:highlight w:val="none"/>
        </w:rPr>
        <w:t>2.2.2（1）</w:t>
      </w:r>
      <w:r>
        <w:rPr>
          <w:rStyle w:val="25"/>
          <w:rFonts w:hint="eastAsia" w:ascii="宋体" w:hAnsi="宋体" w:eastAsia="宋体" w:cs="宋体"/>
          <w:b w:val="0"/>
          <w:bCs w:val="0"/>
          <w:color w:val="auto"/>
          <w:sz w:val="21"/>
          <w:szCs w:val="21"/>
          <w:highlight w:val="none"/>
        </w:rPr>
        <w:t>目规定的评审因素和分值对施工组织设计部分计算出得分A；</w:t>
      </w:r>
    </w:p>
    <w:p>
      <w:pPr>
        <w:pStyle w:val="24"/>
        <w:numPr>
          <w:ilvl w:val="0"/>
          <w:numId w:val="5"/>
        </w:numPr>
        <w:shd w:val="clear" w:color="auto" w:fill="auto"/>
        <w:spacing w:before="0" w:after="0" w:line="360" w:lineRule="auto"/>
        <w:ind w:left="420" w:left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按本章第</w:t>
      </w:r>
      <w:r>
        <w:rPr>
          <w:rStyle w:val="20"/>
          <w:rFonts w:hint="eastAsia" w:ascii="宋体" w:hAnsi="宋体" w:eastAsia="宋体" w:cs="宋体"/>
          <w:b w:val="0"/>
          <w:bCs w:val="0"/>
          <w:color w:val="auto"/>
          <w:sz w:val="21"/>
          <w:szCs w:val="21"/>
          <w:highlight w:val="none"/>
        </w:rPr>
        <w:t>2.2.2（2）目</w:t>
      </w:r>
      <w:r>
        <w:rPr>
          <w:rStyle w:val="25"/>
          <w:rFonts w:hint="eastAsia" w:ascii="宋体" w:hAnsi="宋体" w:eastAsia="宋体" w:cs="宋体"/>
          <w:b w:val="0"/>
          <w:bCs w:val="0"/>
          <w:color w:val="auto"/>
          <w:sz w:val="21"/>
          <w:szCs w:val="21"/>
          <w:highlight w:val="none"/>
        </w:rPr>
        <w:t>规定的评审因素和分值对主要人员部分计算出得分B；</w:t>
      </w:r>
    </w:p>
    <w:p>
      <w:pPr>
        <w:pStyle w:val="24"/>
        <w:numPr>
          <w:ilvl w:val="0"/>
          <w:numId w:val="5"/>
        </w:numPr>
        <w:shd w:val="clear" w:color="auto" w:fill="auto"/>
        <w:spacing w:before="0" w:after="0" w:line="360" w:lineRule="auto"/>
        <w:ind w:left="420" w:left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按本章第</w:t>
      </w:r>
      <w:r>
        <w:rPr>
          <w:rStyle w:val="20"/>
          <w:rFonts w:hint="eastAsia" w:ascii="宋体" w:hAnsi="宋体" w:eastAsia="宋体" w:cs="宋体"/>
          <w:b w:val="0"/>
          <w:bCs w:val="0"/>
          <w:color w:val="auto"/>
          <w:sz w:val="21"/>
          <w:szCs w:val="21"/>
          <w:highlight w:val="none"/>
        </w:rPr>
        <w:t>2.2.2</w:t>
      </w:r>
      <w:r>
        <w:rPr>
          <w:rStyle w:val="25"/>
          <w:rFonts w:hint="eastAsia" w:ascii="宋体" w:hAnsi="宋体" w:eastAsia="宋体" w:cs="宋体"/>
          <w:b w:val="0"/>
          <w:bCs w:val="0"/>
          <w:color w:val="auto"/>
          <w:sz w:val="21"/>
          <w:szCs w:val="21"/>
          <w:highlight w:val="none"/>
        </w:rPr>
        <w:t>（3）目规定的评审因素和分值对其他部分计算出得分C。</w:t>
      </w:r>
    </w:p>
    <w:p>
      <w:pPr>
        <w:pStyle w:val="24"/>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3.2.2投标人的商务和技术得分分值计算保留小数点后两位，小数点后第三位 “四舍五入”。</w:t>
      </w:r>
    </w:p>
    <w:p>
      <w:pPr>
        <w:pStyle w:val="24"/>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3.2.3投标人的商务和技术得分=A+B+C。</w:t>
      </w:r>
    </w:p>
    <w:p>
      <w:pPr>
        <w:pStyle w:val="24"/>
        <w:shd w:val="clear" w:color="auto" w:fill="auto"/>
        <w:spacing w:before="0" w:after="0" w:line="360" w:lineRule="auto"/>
        <w:ind w:firstLine="420" w:firstLineChars="200"/>
        <w:rPr>
          <w:rStyle w:val="25"/>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3.2.4评标委员会按照投标人的商务和技术得分由高到低排序，排名在评标办法前附表规定数量以内的投标人，其投标文件第一个信封(商务及技术文件）通过详细评审。</w:t>
      </w:r>
    </w:p>
    <w:p>
      <w:pPr>
        <w:pStyle w:val="24"/>
        <w:shd w:val="clear" w:color="auto" w:fill="auto"/>
        <w:spacing w:before="0" w:after="0" w:line="360" w:lineRule="auto"/>
        <w:ind w:firstLine="420" w:firstLineChars="200"/>
        <w:rPr>
          <w:rFonts w:hint="eastAsia" w:ascii="宋体" w:hAnsi="宋体" w:eastAsia="宋体" w:cs="宋体"/>
          <w:b w:val="0"/>
          <w:bCs w:val="0"/>
          <w:color w:val="auto"/>
          <w:sz w:val="21"/>
          <w:szCs w:val="21"/>
          <w:highlight w:val="none"/>
        </w:rPr>
      </w:pPr>
      <w:r>
        <w:rPr>
          <w:rStyle w:val="25"/>
          <w:rFonts w:hint="eastAsia" w:ascii="宋体" w:hAnsi="宋体" w:eastAsia="宋体" w:cs="宋体"/>
          <w:b w:val="0"/>
          <w:bCs w:val="0"/>
          <w:color w:val="auto"/>
          <w:sz w:val="21"/>
          <w:szCs w:val="21"/>
          <w:highlight w:val="none"/>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pStyle w:val="29"/>
        <w:shd w:val="clear" w:color="auto" w:fill="auto"/>
        <w:tabs>
          <w:tab w:val="left" w:pos="156"/>
        </w:tabs>
        <w:spacing w:before="0" w:after="0" w:line="360" w:lineRule="auto"/>
        <w:jc w:val="both"/>
        <w:rPr>
          <w:rFonts w:hint="eastAsia" w:ascii="宋体" w:hAnsi="宋体" w:eastAsia="宋体" w:cs="宋体"/>
          <w:color w:val="auto"/>
          <w:sz w:val="21"/>
          <w:szCs w:val="21"/>
          <w:highlight w:val="none"/>
        </w:rPr>
      </w:pPr>
      <w:bookmarkStart w:id="250" w:name="bookmark119"/>
      <w:r>
        <w:rPr>
          <w:rFonts w:hint="eastAsia" w:ascii="宋体" w:hAnsi="宋体" w:eastAsia="宋体" w:cs="宋体"/>
          <w:b/>
          <w:bCs/>
          <w:color w:val="auto"/>
          <w:sz w:val="21"/>
          <w:szCs w:val="21"/>
          <w:highlight w:val="none"/>
        </w:rPr>
        <w:t>3.3 第二个信封开标</w:t>
      </w:r>
      <w:bookmarkEnd w:id="250"/>
    </w:p>
    <w:p>
      <w:pPr>
        <w:pStyle w:val="29"/>
        <w:shd w:val="clear" w:color="auto" w:fill="auto"/>
        <w:tabs>
          <w:tab w:val="left" w:pos="156"/>
        </w:tabs>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第一个信封（商务及技术文件）评审结束后，招标人将按照第二章</w:t>
      </w:r>
      <w:r>
        <w:rPr>
          <w:rStyle w:val="20"/>
          <w:rFonts w:hint="eastAsia" w:ascii="宋体" w:hAnsi="宋体" w:eastAsia="宋体" w:cs="宋体"/>
          <w:color w:val="auto"/>
          <w:sz w:val="21"/>
          <w:szCs w:val="21"/>
          <w:highlight w:val="none"/>
        </w:rPr>
        <w:t>“</w:t>
      </w:r>
      <w:r>
        <w:rPr>
          <w:rStyle w:val="25"/>
          <w:rFonts w:hint="eastAsia" w:ascii="宋体" w:hAnsi="宋体" w:eastAsia="宋体" w:cs="宋体"/>
          <w:color w:val="auto"/>
          <w:sz w:val="21"/>
          <w:szCs w:val="21"/>
          <w:highlight w:val="none"/>
        </w:rPr>
        <w:t>投标人</w:t>
      </w:r>
      <w:r>
        <w:rPr>
          <w:rStyle w:val="20"/>
          <w:rFonts w:hint="eastAsia" w:ascii="宋体" w:hAnsi="宋体" w:eastAsia="宋体" w:cs="宋体"/>
          <w:color w:val="auto"/>
          <w:sz w:val="21"/>
          <w:szCs w:val="21"/>
          <w:highlight w:val="none"/>
        </w:rPr>
        <w:t>须知”</w:t>
      </w:r>
      <w:r>
        <w:rPr>
          <w:rStyle w:val="25"/>
          <w:rFonts w:hint="eastAsia" w:ascii="宋体" w:hAnsi="宋体" w:eastAsia="宋体" w:cs="宋体"/>
          <w:color w:val="auto"/>
          <w:sz w:val="21"/>
          <w:szCs w:val="21"/>
          <w:highlight w:val="none"/>
        </w:rPr>
        <w:t>第</w:t>
      </w:r>
      <w:r>
        <w:rPr>
          <w:rStyle w:val="20"/>
          <w:rFonts w:hint="eastAsia" w:ascii="宋体" w:hAnsi="宋体" w:eastAsia="宋体" w:cs="宋体"/>
          <w:color w:val="auto"/>
          <w:sz w:val="21"/>
          <w:szCs w:val="21"/>
          <w:highlight w:val="none"/>
        </w:rPr>
        <w:t>5.1</w:t>
      </w:r>
      <w:r>
        <w:rPr>
          <w:rStyle w:val="25"/>
          <w:rFonts w:hint="eastAsia" w:ascii="宋体" w:hAnsi="宋体" w:eastAsia="宋体" w:cs="宋体"/>
          <w:color w:val="auto"/>
          <w:sz w:val="21"/>
          <w:szCs w:val="21"/>
          <w:highlight w:val="none"/>
        </w:rPr>
        <w:t>款规定的时间和地点对通过投标文件第一个信封（商务及技术文件）评审的投标文件第二个信封（报价文件）进行开标。</w:t>
      </w:r>
      <w:bookmarkStart w:id="251" w:name="bookmark120"/>
    </w:p>
    <w:p>
      <w:pPr>
        <w:pStyle w:val="29"/>
        <w:shd w:val="clear" w:color="auto" w:fill="auto"/>
        <w:tabs>
          <w:tab w:val="left" w:pos="156"/>
        </w:tabs>
        <w:spacing w:before="0" w:after="0" w:line="360" w:lineRule="auto"/>
        <w:jc w:val="both"/>
        <w:rPr>
          <w:rFonts w:hint="eastAsia" w:ascii="宋体" w:hAnsi="宋体" w:eastAsia="宋体" w:cs="宋体"/>
          <w:color w:val="auto"/>
          <w:sz w:val="21"/>
          <w:szCs w:val="21"/>
          <w:highlight w:val="none"/>
        </w:rPr>
      </w:pPr>
      <w:r>
        <w:rPr>
          <w:rStyle w:val="30"/>
          <w:rFonts w:hint="eastAsia" w:ascii="宋体" w:hAnsi="宋体" w:eastAsia="宋体" w:cs="宋体"/>
          <w:b/>
          <w:bCs/>
          <w:color w:val="auto"/>
          <w:sz w:val="21"/>
          <w:szCs w:val="21"/>
          <w:highlight w:val="none"/>
        </w:rPr>
        <w:t xml:space="preserve">3.4 </w:t>
      </w:r>
      <w:r>
        <w:rPr>
          <w:rFonts w:hint="eastAsia" w:ascii="宋体" w:hAnsi="宋体" w:eastAsia="宋体" w:cs="宋体"/>
          <w:b/>
          <w:bCs/>
          <w:color w:val="auto"/>
          <w:sz w:val="21"/>
          <w:szCs w:val="21"/>
          <w:highlight w:val="none"/>
        </w:rPr>
        <w:t>第二个信封初步评审</w:t>
      </w:r>
      <w:bookmarkEnd w:id="251"/>
    </w:p>
    <w:p>
      <w:pPr>
        <w:pStyle w:val="29"/>
        <w:shd w:val="clear" w:color="auto" w:fill="auto"/>
        <w:tabs>
          <w:tab w:val="left" w:pos="156"/>
        </w:tabs>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0"/>
          <w:rFonts w:hint="eastAsia" w:ascii="宋体" w:hAnsi="宋体" w:eastAsia="宋体" w:cs="宋体"/>
          <w:color w:val="auto"/>
          <w:sz w:val="21"/>
          <w:szCs w:val="21"/>
          <w:highlight w:val="none"/>
        </w:rPr>
        <w:t>3.4.1</w:t>
      </w:r>
      <w:r>
        <w:rPr>
          <w:rStyle w:val="25"/>
          <w:rFonts w:hint="eastAsia" w:ascii="宋体" w:hAnsi="宋体" w:eastAsia="宋体" w:cs="宋体"/>
          <w:color w:val="auto"/>
          <w:sz w:val="21"/>
          <w:szCs w:val="21"/>
          <w:highlight w:val="none"/>
        </w:rPr>
        <w:t>评标委员会依据本章第</w:t>
      </w:r>
      <w:r>
        <w:rPr>
          <w:rStyle w:val="20"/>
          <w:rFonts w:hint="eastAsia" w:ascii="宋体" w:hAnsi="宋体" w:eastAsia="宋体" w:cs="宋体"/>
          <w:color w:val="auto"/>
          <w:sz w:val="21"/>
          <w:szCs w:val="21"/>
          <w:highlight w:val="none"/>
        </w:rPr>
        <w:t>2.1.1</w:t>
      </w:r>
      <w:r>
        <w:rPr>
          <w:rStyle w:val="25"/>
          <w:rFonts w:hint="eastAsia" w:ascii="宋体" w:hAnsi="宋体" w:eastAsia="宋体" w:cs="宋体"/>
          <w:color w:val="auto"/>
          <w:sz w:val="21"/>
          <w:szCs w:val="21"/>
          <w:highlight w:val="none"/>
        </w:rPr>
        <w:t>项、第</w:t>
      </w:r>
      <w:r>
        <w:rPr>
          <w:rStyle w:val="20"/>
          <w:rFonts w:hint="eastAsia" w:ascii="宋体" w:hAnsi="宋体" w:eastAsia="宋体" w:cs="宋体"/>
          <w:color w:val="auto"/>
          <w:sz w:val="21"/>
          <w:szCs w:val="21"/>
          <w:highlight w:val="none"/>
        </w:rPr>
        <w:t>2.1.3</w:t>
      </w:r>
      <w:r>
        <w:rPr>
          <w:rStyle w:val="25"/>
          <w:rFonts w:hint="eastAsia" w:ascii="宋体" w:hAnsi="宋体" w:eastAsia="宋体" w:cs="宋体"/>
          <w:color w:val="auto"/>
          <w:sz w:val="21"/>
          <w:szCs w:val="21"/>
          <w:highlight w:val="none"/>
        </w:rPr>
        <w:t>项规定的评审标准对投标文件第二个信封（报价文件）进行初步评审。有一项不符合</w:t>
      </w:r>
      <w:r>
        <w:rPr>
          <w:rStyle w:val="20"/>
          <w:rFonts w:hint="eastAsia" w:ascii="宋体" w:hAnsi="宋体" w:eastAsia="宋体" w:cs="宋体"/>
          <w:color w:val="auto"/>
          <w:sz w:val="21"/>
          <w:szCs w:val="21"/>
          <w:highlight w:val="none"/>
        </w:rPr>
        <w:t>评审</w:t>
      </w:r>
      <w:r>
        <w:rPr>
          <w:rStyle w:val="25"/>
          <w:rFonts w:hint="eastAsia" w:ascii="宋体" w:hAnsi="宋体" w:eastAsia="宋体" w:cs="宋体"/>
          <w:color w:val="auto"/>
          <w:sz w:val="21"/>
          <w:szCs w:val="21"/>
          <w:highlight w:val="none"/>
        </w:rPr>
        <w:t>标准的，评标委员会应否决其投标。</w:t>
      </w:r>
    </w:p>
    <w:p>
      <w:pPr>
        <w:pStyle w:val="31"/>
        <w:shd w:val="clear" w:color="auto" w:fill="auto"/>
        <w:spacing w:before="0" w:line="360" w:lineRule="auto"/>
        <w:ind w:firstLine="422"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b/>
          <w:bCs/>
          <w:color w:val="auto"/>
          <w:sz w:val="21"/>
          <w:szCs w:val="21"/>
          <w:highlight w:val="none"/>
        </w:rPr>
        <w:t>3.5第二个信封详细评审</w:t>
      </w:r>
    </w:p>
    <w:p>
      <w:pPr>
        <w:pStyle w:val="31"/>
        <w:shd w:val="clear" w:color="auto" w:fill="auto"/>
        <w:spacing w:before="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3.5.1评标委员会按本章第</w:t>
      </w:r>
      <w:r>
        <w:rPr>
          <w:rStyle w:val="20"/>
          <w:rFonts w:hint="eastAsia" w:ascii="宋体" w:hAnsi="宋体" w:eastAsia="宋体" w:cs="宋体"/>
          <w:color w:val="auto"/>
          <w:sz w:val="21"/>
          <w:szCs w:val="21"/>
          <w:highlight w:val="none"/>
        </w:rPr>
        <w:t>2.2</w:t>
      </w:r>
      <w:r>
        <w:rPr>
          <w:rStyle w:val="25"/>
          <w:rFonts w:hint="eastAsia" w:ascii="宋体" w:hAnsi="宋体" w:eastAsia="宋体" w:cs="宋体"/>
          <w:color w:val="auto"/>
          <w:sz w:val="21"/>
          <w:szCs w:val="21"/>
          <w:highlight w:val="none"/>
        </w:rPr>
        <w:t>款规定的量化因素和标准进行价格折算，计算出评标价，并编制价格比较一览表。</w:t>
      </w:r>
    </w:p>
    <w:p>
      <w:pPr>
        <w:pStyle w:val="31"/>
        <w:shd w:val="clear" w:color="auto" w:fill="auto"/>
        <w:spacing w:before="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31"/>
        <w:shd w:val="clear" w:color="auto" w:fill="auto"/>
        <w:spacing w:before="0" w:line="360" w:lineRule="auto"/>
        <w:ind w:firstLine="420" w:firstLineChars="200"/>
        <w:jc w:val="both"/>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3.5.3 商务标询标</w:t>
      </w:r>
    </w:p>
    <w:p>
      <w:pPr>
        <w:pStyle w:val="31"/>
        <w:shd w:val="clear" w:color="auto" w:fill="auto"/>
        <w:spacing w:before="0" w:line="360" w:lineRule="auto"/>
        <w:ind w:firstLine="420" w:firstLineChars="200"/>
        <w:jc w:val="both"/>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3.5.3.1 评标委员会将对所有通过商务初步评审进入到详细评审阶段的投标人进行商务询标。</w:t>
      </w:r>
    </w:p>
    <w:p>
      <w:pPr>
        <w:pStyle w:val="31"/>
        <w:shd w:val="clear" w:color="auto" w:fill="auto"/>
        <w:spacing w:before="0" w:line="360" w:lineRule="auto"/>
        <w:ind w:firstLine="420" w:firstLineChars="200"/>
        <w:jc w:val="both"/>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3.5.3.2 评标委员会商务标询标时应采用计算机辅助询标分析软件进行校核、分析，并生成分析报告供专家质询。</w:t>
      </w:r>
    </w:p>
    <w:p>
      <w:pPr>
        <w:pStyle w:val="31"/>
        <w:shd w:val="clear" w:color="auto" w:fill="auto"/>
        <w:spacing w:before="0" w:line="360" w:lineRule="auto"/>
        <w:ind w:firstLine="420" w:firstLineChars="200"/>
        <w:jc w:val="both"/>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3.5.3.3 商务标询标基准价格。通过商务标初步评审的有效投标报价的平均价格，作为商务标询标基准价格。有效投标报价为商务标合格且在控制价及以下的投标人报价。</w:t>
      </w:r>
    </w:p>
    <w:p>
      <w:pPr>
        <w:pStyle w:val="31"/>
        <w:shd w:val="clear" w:color="auto" w:fill="auto"/>
        <w:spacing w:before="0" w:line="360" w:lineRule="auto"/>
        <w:ind w:firstLine="420" w:firstLineChars="200"/>
        <w:jc w:val="both"/>
        <w:rPr>
          <w:rStyle w:val="25"/>
          <w:rFonts w:hint="eastAsia"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 xml:space="preserve">3.5.3.4 商务标询标分析包括工程量清单总价、措施项目清单计价合计、分部分项工程项目清单计价合计、分部分项工程项目清单主要项目价格和主要材料价格等内容。具体包括： 1.工程量清单总价分析。投标人的投标报价总价应满足： X1=10，Y1=10 基准价格×（1－X1%）≤投标报价总价≤基准价格×（1+Y1%） 2.措施项目清单计价合计分析。应结合施工方案或施工组织设计对投标人措施项目清单报价的合理性、完整性和可行性进行分析。 3.分部分项工程项目清单计价合计分析。投标人的分部分项工程项目清单计价合计应满足： X2=10，Y2=10 基准价格×（1－X2%）≤分部分项工程项目清单计价合计≤基准价格×（1+Y2%） 4.分部分项工程项目清单主要项目价格分析。按单项清单项目报价价格占全部清单项目报价合计的比例从高到低顺序抽取前N（N=10）项。投标人的单项清单项目价格应满足： X3=10，Y3=10 基准价格×（1－X3%）≤单项清单项目价格≤基准价格×（1+Y3%） 5.主要材料价格分析。按单项材料费占全部材料费的比例从高到低顺序抽取前M（M=10）项。以抽取材料单价的合理性和材料来源、用量是否符合计价规则为依据，投标人的单项材料价格应满足： X4=10，Y4=10 基准价格×（1－X4%）≤单项材料价格≤基准价格×（1+Y4%） 上述1、3、4、5款的价格不满足给定计算公式时，评标委员会应对明显低于其他投标报价的投标人进行质询，投标人不能合理说明的，由评标委员会认定该投标人以低于成本报价竞标，应当否决其投标。Xn、Yn（n=1、2、3、4）、N、M可根据工程具体情况或参照造价管理部门公布的造价指数确定，并应在招标文件中明确。 </w:t>
      </w:r>
    </w:p>
    <w:p>
      <w:pPr>
        <w:pStyle w:val="31"/>
        <w:shd w:val="clear" w:color="auto" w:fill="auto"/>
        <w:spacing w:before="0" w:line="360" w:lineRule="auto"/>
        <w:ind w:firstLine="420" w:firstLineChars="200"/>
        <w:jc w:val="both"/>
        <w:rPr>
          <w:rStyle w:val="25"/>
          <w:rFonts w:hint="default" w:ascii="宋体" w:hAnsi="宋体" w:eastAsia="宋体" w:cs="宋体"/>
          <w:color w:val="auto"/>
          <w:sz w:val="21"/>
          <w:szCs w:val="21"/>
          <w:highlight w:val="none"/>
          <w:lang w:val="en-US" w:eastAsia="zh-CN"/>
        </w:rPr>
      </w:pPr>
      <w:r>
        <w:rPr>
          <w:rStyle w:val="25"/>
          <w:rFonts w:hint="eastAsia" w:ascii="宋体" w:hAnsi="宋体" w:eastAsia="宋体" w:cs="宋体"/>
          <w:color w:val="auto"/>
          <w:sz w:val="21"/>
          <w:szCs w:val="21"/>
          <w:highlight w:val="none"/>
          <w:lang w:val="en-US" w:eastAsia="zh-CN"/>
        </w:rPr>
        <w:t>3.5.3.5 设有招标控制价，高于招标控制价的投标报价按废标处理。</w:t>
      </w:r>
    </w:p>
    <w:p>
      <w:pPr>
        <w:pStyle w:val="29"/>
        <w:shd w:val="clear" w:color="auto" w:fill="auto"/>
        <w:spacing w:before="0" w:after="0" w:line="360" w:lineRule="auto"/>
        <w:jc w:val="both"/>
        <w:rPr>
          <w:rFonts w:hint="eastAsia" w:ascii="宋体" w:hAnsi="宋体" w:eastAsia="宋体" w:cs="宋体"/>
          <w:color w:val="auto"/>
          <w:sz w:val="21"/>
          <w:szCs w:val="21"/>
          <w:highlight w:val="none"/>
        </w:rPr>
      </w:pPr>
      <w:bookmarkStart w:id="252" w:name="bookmark121"/>
      <w:r>
        <w:rPr>
          <w:rFonts w:hint="eastAsia" w:ascii="宋体" w:hAnsi="宋体" w:eastAsia="宋体" w:cs="宋体"/>
          <w:b/>
          <w:bCs/>
          <w:color w:val="auto"/>
          <w:sz w:val="21"/>
          <w:szCs w:val="21"/>
          <w:highlight w:val="none"/>
        </w:rPr>
        <w:t>3.6投标文件相关信息的核查</w:t>
      </w:r>
      <w:bookmarkEnd w:id="252"/>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r>
        <w:rPr>
          <w:rStyle w:val="25"/>
          <w:rFonts w:hint="eastAsia" w:ascii="宋体" w:hAnsi="宋体" w:eastAsia="宋体" w:cs="宋体"/>
          <w:color w:val="auto"/>
          <w:sz w:val="21"/>
          <w:szCs w:val="21"/>
          <w:highlight w:val="none"/>
        </w:rPr>
        <w:t>在评标过程中，评标委员会应查询交通运输主管部门“公路建设市场信用信息管理系统</w:t>
      </w:r>
      <w:r>
        <w:rPr>
          <w:rStyle w:val="20"/>
          <w:rFonts w:hint="eastAsia" w:ascii="宋体" w:hAnsi="宋体" w:eastAsia="宋体" w:cs="宋体"/>
          <w:color w:val="auto"/>
          <w:sz w:val="21"/>
          <w:szCs w:val="21"/>
          <w:highlight w:val="none"/>
        </w:rPr>
        <w:t>”</w:t>
      </w:r>
      <w:r>
        <w:rPr>
          <w:rStyle w:val="25"/>
          <w:rFonts w:hint="eastAsia" w:ascii="宋体" w:hAnsi="宋体" w:eastAsia="宋体" w:cs="宋体"/>
          <w:color w:val="auto"/>
          <w:sz w:val="21"/>
          <w:szCs w:val="21"/>
          <w:highlight w:val="none"/>
        </w:rPr>
        <w:t>，对投标人的资质、业绩、主要人员资历和</w:t>
      </w:r>
      <w:r>
        <w:rPr>
          <w:rStyle w:val="20"/>
          <w:rFonts w:hint="eastAsia" w:ascii="宋体" w:hAnsi="宋体" w:eastAsia="宋体" w:cs="宋体"/>
          <w:color w:val="auto"/>
          <w:sz w:val="21"/>
          <w:szCs w:val="21"/>
          <w:highlight w:val="none"/>
        </w:rPr>
        <w:t>目前</w:t>
      </w:r>
      <w:r>
        <w:rPr>
          <w:rStyle w:val="25"/>
          <w:rFonts w:hint="eastAsia" w:ascii="宋体" w:hAnsi="宋体" w:eastAsia="宋体" w:cs="宋体"/>
          <w:color w:val="auto"/>
          <w:sz w:val="21"/>
          <w:szCs w:val="21"/>
          <w:highlight w:val="none"/>
        </w:rPr>
        <w:t>在岗情况、信用等级等信息进行核实。若投标文件载明的信息与交通运输主管部门“公路建设市场信用信息管理系统</w:t>
      </w:r>
      <w:r>
        <w:rPr>
          <w:rStyle w:val="20"/>
          <w:rFonts w:hint="eastAsia" w:ascii="宋体" w:hAnsi="宋体" w:eastAsia="宋体" w:cs="宋体"/>
          <w:color w:val="auto"/>
          <w:sz w:val="21"/>
          <w:szCs w:val="21"/>
          <w:highlight w:val="none"/>
        </w:rPr>
        <w:t>”</w:t>
      </w:r>
      <w:r>
        <w:rPr>
          <w:rStyle w:val="25"/>
          <w:rFonts w:hint="eastAsia" w:ascii="宋体" w:hAnsi="宋体" w:eastAsia="宋体" w:cs="宋体"/>
          <w:color w:val="auto"/>
          <w:sz w:val="21"/>
          <w:szCs w:val="21"/>
          <w:highlight w:val="none"/>
        </w:rPr>
        <w:t>发布的信息不符</w:t>
      </w:r>
      <w:r>
        <w:rPr>
          <w:rStyle w:val="20"/>
          <w:rFonts w:hint="eastAsia" w:ascii="宋体" w:hAnsi="宋体" w:eastAsia="宋体" w:cs="宋体"/>
          <w:color w:val="auto"/>
          <w:sz w:val="21"/>
          <w:szCs w:val="21"/>
          <w:highlight w:val="none"/>
        </w:rPr>
        <w:t>,</w:t>
      </w:r>
      <w:r>
        <w:rPr>
          <w:rStyle w:val="25"/>
          <w:rFonts w:hint="eastAsia" w:ascii="宋体" w:hAnsi="宋体" w:eastAsia="宋体" w:cs="宋体"/>
          <w:color w:val="auto"/>
          <w:sz w:val="21"/>
          <w:szCs w:val="21"/>
          <w:highlight w:val="none"/>
        </w:rPr>
        <w:t>使得投标人的资格条件不符合招标文件规定的，评标委员会应否决其标。</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pStyle w:val="29"/>
        <w:numPr>
          <w:ilvl w:val="0"/>
          <w:numId w:val="6"/>
        </w:numPr>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有下列情形之一的，属于投标人相互串通投标：</w:t>
      </w:r>
    </w:p>
    <w:p>
      <w:pPr>
        <w:pStyle w:val="29"/>
        <w:numPr>
          <w:ilvl w:val="0"/>
          <w:numId w:val="7"/>
        </w:numPr>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投标人之间协商投标报价等投标文件的实质性内容；</w:t>
      </w:r>
    </w:p>
    <w:p>
      <w:pPr>
        <w:pStyle w:val="29"/>
        <w:numPr>
          <w:ilvl w:val="0"/>
          <w:numId w:val="7"/>
        </w:numPr>
        <w:shd w:val="clear" w:color="auto" w:fill="auto"/>
        <w:tabs>
          <w:tab w:val="clear" w:pos="312"/>
        </w:tabs>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投标人之间约定中标人；</w:t>
      </w:r>
    </w:p>
    <w:p>
      <w:pPr>
        <w:pStyle w:val="29"/>
        <w:numPr>
          <w:ilvl w:val="0"/>
          <w:numId w:val="7"/>
        </w:numPr>
        <w:shd w:val="clear" w:color="auto" w:fill="auto"/>
        <w:tabs>
          <w:tab w:val="clear" w:pos="312"/>
        </w:tabs>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投标人之间约定部分投标人放弃投标或中标；</w:t>
      </w:r>
    </w:p>
    <w:p>
      <w:pPr>
        <w:pStyle w:val="29"/>
        <w:numPr>
          <w:ilvl w:val="0"/>
          <w:numId w:val="7"/>
        </w:numPr>
        <w:shd w:val="clear" w:color="auto" w:fill="auto"/>
        <w:tabs>
          <w:tab w:val="clear" w:pos="312"/>
        </w:tabs>
        <w:spacing w:before="0" w:after="0" w:line="360" w:lineRule="auto"/>
        <w:ind w:firstLine="420" w:firstLineChars="200"/>
        <w:jc w:val="both"/>
        <w:rPr>
          <w:rStyle w:val="32"/>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属于同</w:t>
      </w:r>
      <w:r>
        <w:rPr>
          <w:rStyle w:val="20"/>
          <w:rFonts w:hint="eastAsia" w:ascii="宋体" w:hAnsi="宋体" w:eastAsia="宋体" w:cs="宋体"/>
          <w:color w:val="auto"/>
          <w:sz w:val="21"/>
          <w:szCs w:val="21"/>
          <w:highlight w:val="none"/>
        </w:rPr>
        <w:t>一</w:t>
      </w:r>
      <w:r>
        <w:rPr>
          <w:rStyle w:val="32"/>
          <w:rFonts w:hint="eastAsia" w:ascii="宋体" w:hAnsi="宋体" w:eastAsia="宋体" w:cs="宋体"/>
          <w:color w:val="auto"/>
          <w:sz w:val="21"/>
          <w:szCs w:val="21"/>
          <w:highlight w:val="none"/>
        </w:rPr>
        <w:t>集团、协会、商会等组织成员的投标人按照该组织要求协同投标；</w:t>
      </w:r>
    </w:p>
    <w:p>
      <w:pPr>
        <w:pStyle w:val="29"/>
        <w:numPr>
          <w:ilvl w:val="0"/>
          <w:numId w:val="7"/>
        </w:numPr>
        <w:shd w:val="clear" w:color="auto" w:fill="auto"/>
        <w:tabs>
          <w:tab w:val="clear" w:pos="312"/>
        </w:tabs>
        <w:spacing w:before="0" w:after="0" w:line="360" w:lineRule="auto"/>
        <w:ind w:firstLine="420" w:firstLineChars="200"/>
        <w:jc w:val="both"/>
        <w:rPr>
          <w:rStyle w:val="32"/>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投标人之间为谋取中标或排斥特定投标人而采取的其他联合行动。</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（2）有下列情形之一的，视为投标人相互串通投标：</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0"/>
          <w:rFonts w:hint="eastAsia" w:ascii="宋体" w:hAnsi="宋体" w:eastAsia="宋体" w:cs="宋体"/>
          <w:color w:val="auto"/>
          <w:sz w:val="21"/>
          <w:szCs w:val="21"/>
          <w:highlight w:val="none"/>
        </w:rPr>
        <w:t>a.</w:t>
      </w:r>
      <w:r>
        <w:rPr>
          <w:rStyle w:val="25"/>
          <w:rFonts w:hint="eastAsia" w:ascii="宋体" w:hAnsi="宋体" w:eastAsia="宋体" w:cs="宋体"/>
          <w:color w:val="auto"/>
          <w:sz w:val="21"/>
          <w:szCs w:val="21"/>
          <w:highlight w:val="none"/>
        </w:rPr>
        <w:t>不同投标人的投标文件</w:t>
      </w:r>
      <w:r>
        <w:rPr>
          <w:rStyle w:val="20"/>
          <w:rFonts w:hint="eastAsia" w:ascii="宋体" w:hAnsi="宋体" w:eastAsia="宋体" w:cs="宋体"/>
          <w:color w:val="auto"/>
          <w:sz w:val="21"/>
          <w:szCs w:val="21"/>
          <w:highlight w:val="none"/>
        </w:rPr>
        <w:t>由同一单</w:t>
      </w:r>
      <w:r>
        <w:rPr>
          <w:rStyle w:val="25"/>
          <w:rFonts w:hint="eastAsia" w:ascii="宋体" w:hAnsi="宋体" w:eastAsia="宋体" w:cs="宋体"/>
          <w:color w:val="auto"/>
          <w:sz w:val="21"/>
          <w:szCs w:val="21"/>
          <w:highlight w:val="none"/>
        </w:rPr>
        <w:t>位或个人编制；</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b.不同投标人委托同一单位或个人办理投标事宜；</w:t>
      </w:r>
    </w:p>
    <w:p>
      <w:pPr>
        <w:pStyle w:val="29"/>
        <w:shd w:val="clear" w:color="auto" w:fill="auto"/>
        <w:spacing w:before="0" w:after="0" w:line="360" w:lineRule="auto"/>
        <w:ind w:firstLine="420" w:firstLineChars="200"/>
        <w:jc w:val="both"/>
        <w:rPr>
          <w:rStyle w:val="20"/>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c.不问投标人的投标文件载明的项目管理成员为同一人</w:t>
      </w:r>
      <w:r>
        <w:rPr>
          <w:rStyle w:val="20"/>
          <w:rFonts w:hint="eastAsia" w:ascii="宋体" w:hAnsi="宋体" w:eastAsia="宋体" w:cs="宋体"/>
          <w:color w:val="auto"/>
          <w:sz w:val="21"/>
          <w:szCs w:val="21"/>
          <w:highlight w:val="none"/>
        </w:rPr>
        <w:t>；</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0"/>
          <w:rFonts w:hint="eastAsia" w:ascii="宋体" w:hAnsi="宋体" w:eastAsia="宋体" w:cs="宋体"/>
          <w:color w:val="auto"/>
          <w:sz w:val="21"/>
          <w:szCs w:val="21"/>
          <w:highlight w:val="none"/>
        </w:rPr>
        <w:t>d.</w:t>
      </w:r>
      <w:r>
        <w:rPr>
          <w:rStyle w:val="25"/>
          <w:rFonts w:hint="eastAsia" w:ascii="宋体" w:hAnsi="宋体" w:eastAsia="宋体" w:cs="宋体"/>
          <w:color w:val="auto"/>
          <w:sz w:val="21"/>
          <w:szCs w:val="21"/>
          <w:highlight w:val="none"/>
        </w:rPr>
        <w:t>不同投标人的投标文件异常</w:t>
      </w:r>
      <w:r>
        <w:rPr>
          <w:rStyle w:val="20"/>
          <w:rFonts w:hint="eastAsia" w:ascii="宋体" w:hAnsi="宋体" w:eastAsia="宋体" w:cs="宋体"/>
          <w:color w:val="auto"/>
          <w:sz w:val="21"/>
          <w:szCs w:val="21"/>
          <w:highlight w:val="none"/>
        </w:rPr>
        <w:t>一致</w:t>
      </w:r>
      <w:r>
        <w:rPr>
          <w:rStyle w:val="25"/>
          <w:rFonts w:hint="eastAsia" w:ascii="宋体" w:hAnsi="宋体" w:eastAsia="宋体" w:cs="宋体"/>
          <w:color w:val="auto"/>
          <w:sz w:val="21"/>
          <w:szCs w:val="21"/>
          <w:highlight w:val="none"/>
        </w:rPr>
        <w:t>或投标报价呈规律性差异；</w:t>
      </w:r>
    </w:p>
    <w:p>
      <w:pPr>
        <w:pStyle w:val="29"/>
        <w:shd w:val="clear" w:color="auto" w:fill="auto"/>
        <w:spacing w:before="0" w:after="0" w:line="360" w:lineRule="auto"/>
        <w:ind w:firstLine="420" w:firstLineChars="200"/>
        <w:jc w:val="both"/>
        <w:rPr>
          <w:rStyle w:val="20"/>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e.不同投标人的投标文件相互混装</w:t>
      </w:r>
      <w:r>
        <w:rPr>
          <w:rStyle w:val="20"/>
          <w:rFonts w:hint="eastAsia" w:ascii="宋体" w:hAnsi="宋体" w:eastAsia="宋体" w:cs="宋体"/>
          <w:color w:val="auto"/>
          <w:sz w:val="21"/>
          <w:szCs w:val="21"/>
          <w:highlight w:val="none"/>
        </w:rPr>
        <w:t>；</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0"/>
          <w:rFonts w:hint="eastAsia" w:ascii="宋体" w:hAnsi="宋体" w:eastAsia="宋体" w:cs="宋体"/>
          <w:color w:val="auto"/>
          <w:sz w:val="21"/>
          <w:szCs w:val="21"/>
          <w:highlight w:val="none"/>
        </w:rPr>
        <w:t>f.</w:t>
      </w:r>
      <w:r>
        <w:rPr>
          <w:rStyle w:val="25"/>
          <w:rFonts w:hint="eastAsia" w:ascii="宋体" w:hAnsi="宋体" w:eastAsia="宋体" w:cs="宋体"/>
          <w:color w:val="auto"/>
          <w:sz w:val="21"/>
          <w:szCs w:val="21"/>
          <w:highlight w:val="none"/>
        </w:rPr>
        <w:t>不同投标人的投标保证金从同一单位或个人的账户转出。</w:t>
      </w:r>
    </w:p>
    <w:p>
      <w:pPr>
        <w:pStyle w:val="29"/>
        <w:shd w:val="clear" w:color="auto" w:fill="auto"/>
        <w:spacing w:before="0" w:after="0" w:line="360" w:lineRule="auto"/>
        <w:ind w:firstLine="420" w:firstLineChars="200"/>
        <w:jc w:val="both"/>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有下列情形之一的，属于招标人与投标人串通投标：</w:t>
      </w:r>
    </w:p>
    <w:p>
      <w:pPr>
        <w:pStyle w:val="29"/>
        <w:shd w:val="clear" w:color="auto" w:fill="auto"/>
        <w:spacing w:before="0"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a.招标人在开标前开启投标文件并将有关信息泄露给其他投标人；</w:t>
      </w:r>
    </w:p>
    <w:p>
      <w:pPr>
        <w:pStyle w:val="29"/>
        <w:shd w:val="clear" w:color="auto" w:fill="auto"/>
        <w:spacing w:before="0" w:after="0" w:line="360" w:lineRule="auto"/>
        <w:ind w:firstLine="420" w:firstLineChars="200"/>
        <w:jc w:val="both"/>
        <w:rPr>
          <w:rStyle w:val="33"/>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b.招标人直接或间接向投标人泄露标底、评标委员会成员等信息</w:t>
      </w:r>
      <w:r>
        <w:rPr>
          <w:rStyle w:val="33"/>
          <w:rFonts w:hint="eastAsia" w:ascii="宋体" w:hAnsi="宋体" w:eastAsia="宋体" w:cs="宋体"/>
          <w:color w:val="auto"/>
          <w:sz w:val="21"/>
          <w:szCs w:val="21"/>
          <w:highlight w:val="none"/>
        </w:rPr>
        <w:t>；</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c.</w:t>
      </w:r>
      <w:r>
        <w:rPr>
          <w:rStyle w:val="25"/>
          <w:rFonts w:hint="eastAsia" w:ascii="宋体" w:hAnsi="宋体" w:eastAsia="宋体" w:cs="宋体"/>
          <w:color w:val="auto"/>
          <w:sz w:val="21"/>
          <w:szCs w:val="21"/>
          <w:highlight w:val="none"/>
        </w:rPr>
        <w:t>招标人明示或暗示投标人压低或抬高投标报价；</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d.招标人授意投标人撤换、修改投标文件；</w:t>
      </w:r>
    </w:p>
    <w:p>
      <w:pPr>
        <w:pStyle w:val="29"/>
        <w:shd w:val="clear" w:color="auto" w:fill="auto"/>
        <w:spacing w:before="0" w:after="0" w:line="360" w:lineRule="auto"/>
        <w:ind w:firstLine="420" w:firstLineChars="200"/>
        <w:jc w:val="both"/>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rPr>
        <w:t>招标人明示或暗示投标人为特定投标人中标提供方便；</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Style w:val="25"/>
          <w:rFonts w:hint="eastAsia" w:ascii="宋体" w:hAnsi="宋体" w:eastAsia="宋体" w:cs="宋体"/>
          <w:color w:val="auto"/>
          <w:sz w:val="21"/>
          <w:szCs w:val="21"/>
          <w:highlight w:val="none"/>
        </w:rPr>
        <w:t>招标人与投标人为谋求特定投标人中标而采取的其他串通行为。</w:t>
      </w:r>
    </w:p>
    <w:p>
      <w:pPr>
        <w:pStyle w:val="29"/>
        <w:shd w:val="clear" w:color="auto" w:fill="auto"/>
        <w:spacing w:before="0" w:after="0" w:line="360" w:lineRule="auto"/>
        <w:ind w:firstLine="420" w:firstLineChars="200"/>
        <w:jc w:val="both"/>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投标人有下列情形之一的，属于弄虛作假的行为：</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Style w:val="25"/>
          <w:rFonts w:hint="eastAsia" w:ascii="宋体" w:hAnsi="宋体" w:eastAsia="宋体" w:cs="宋体"/>
          <w:color w:val="auto"/>
          <w:sz w:val="21"/>
          <w:szCs w:val="21"/>
          <w:highlight w:val="none"/>
        </w:rPr>
        <w:t>使用通过受让或租借等方式获取的资格、资质证书投标；</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b.使用伪造、变造的许可证件；</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c.提供虚假的财务状况或业绩；</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d.提供虚假的项目负责人或主要技术人员简历、劳动关系证明；</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e.提供虚假的信用状况；</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f.其他弄虚作假的行为。</w:t>
      </w:r>
      <w:bookmarkStart w:id="253" w:name="bookmark122"/>
    </w:p>
    <w:p>
      <w:pPr>
        <w:pStyle w:val="29"/>
        <w:shd w:val="clear" w:color="auto" w:fill="auto"/>
        <w:spacing w:before="0" w:after="0" w:line="360" w:lineRule="auto"/>
        <w:jc w:val="both"/>
        <w:rPr>
          <w:rStyle w:val="25"/>
          <w:rFonts w:hint="eastAsia" w:ascii="宋体" w:hAnsi="宋体" w:eastAsia="宋体" w:cs="宋体"/>
          <w:color w:val="auto"/>
          <w:sz w:val="21"/>
          <w:szCs w:val="21"/>
          <w:highlight w:val="none"/>
        </w:rPr>
      </w:pPr>
      <w:r>
        <w:rPr>
          <w:rStyle w:val="25"/>
          <w:rFonts w:hint="eastAsia" w:ascii="宋体" w:hAnsi="宋体" w:eastAsia="宋体" w:cs="宋体"/>
          <w:b/>
          <w:bCs/>
          <w:color w:val="auto"/>
          <w:sz w:val="21"/>
          <w:szCs w:val="21"/>
          <w:highlight w:val="none"/>
        </w:rPr>
        <w:t>3.7投标文件的澄清和说明</w:t>
      </w:r>
      <w:bookmarkEnd w:id="253"/>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3.7.1在评标过程中，评标委员会可以书面形式要求投标人对所提交投标文件</w:t>
      </w:r>
      <w:r>
        <w:rPr>
          <w:rStyle w:val="20"/>
          <w:rFonts w:hint="eastAsia" w:ascii="宋体" w:hAnsi="宋体" w:eastAsia="宋体" w:cs="宋体"/>
          <w:color w:val="auto"/>
          <w:sz w:val="21"/>
          <w:szCs w:val="21"/>
          <w:highlight w:val="none"/>
        </w:rPr>
        <w:t>中</w:t>
      </w:r>
      <w:r>
        <w:rPr>
          <w:rStyle w:val="25"/>
          <w:rFonts w:hint="eastAsia" w:ascii="宋体" w:hAnsi="宋体" w:eastAsia="宋体" w:cs="宋体"/>
          <w:color w:val="auto"/>
          <w:sz w:val="21"/>
          <w:szCs w:val="21"/>
          <w:highlight w:val="none"/>
        </w:rPr>
        <w:t>含义不明确的内容、明显文字或计算错误进行书面澄清或说明。评标委员会不接受投标人主动提出的澄清、说明。投标人不按评标委员会要求澄清或说明的，评标委员会应否决其投标。</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3.7.2澄清和说明不得超出投标文件的范围或改变投标文件的实质性内容（算术性错误修正的除外</w:t>
      </w:r>
      <w:r>
        <w:rPr>
          <w:rStyle w:val="20"/>
          <w:rFonts w:hint="eastAsia" w:ascii="宋体" w:hAnsi="宋体" w:eastAsia="宋体" w:cs="宋体"/>
          <w:color w:val="auto"/>
          <w:sz w:val="21"/>
          <w:szCs w:val="21"/>
          <w:highlight w:val="none"/>
        </w:rPr>
        <w:t>）。</w:t>
      </w:r>
      <w:r>
        <w:rPr>
          <w:rStyle w:val="25"/>
          <w:rFonts w:hint="eastAsia" w:ascii="宋体" w:hAnsi="宋体" w:eastAsia="宋体" w:cs="宋体"/>
          <w:color w:val="auto"/>
          <w:sz w:val="21"/>
          <w:szCs w:val="21"/>
          <w:highlight w:val="none"/>
        </w:rPr>
        <w:t>投标人的书面澄清、说明属于投标文件的组成部分。</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3.7.3评标委员会不得暗示或诱导投标人作出澄清、说明，对投标人提交的澄清、说明有疑问的，可以要求投标人进</w:t>
      </w:r>
      <w:r>
        <w:rPr>
          <w:rStyle w:val="20"/>
          <w:rFonts w:hint="eastAsia" w:ascii="宋体" w:hAnsi="宋体" w:eastAsia="宋体" w:cs="宋体"/>
          <w:color w:val="auto"/>
          <w:sz w:val="21"/>
          <w:szCs w:val="21"/>
          <w:highlight w:val="none"/>
        </w:rPr>
        <w:t>一步</w:t>
      </w:r>
      <w:r>
        <w:rPr>
          <w:rStyle w:val="25"/>
          <w:rFonts w:hint="eastAsia" w:ascii="宋体" w:hAnsi="宋体" w:eastAsia="宋体" w:cs="宋体"/>
          <w:color w:val="auto"/>
          <w:sz w:val="21"/>
          <w:szCs w:val="21"/>
          <w:highlight w:val="none"/>
        </w:rPr>
        <w:t>澄清或</w:t>
      </w:r>
      <w:r>
        <w:rPr>
          <w:rStyle w:val="34"/>
          <w:rFonts w:hint="eastAsia" w:ascii="宋体" w:hAnsi="宋体" w:eastAsia="宋体" w:cs="宋体"/>
          <w:color w:val="auto"/>
          <w:sz w:val="21"/>
          <w:szCs w:val="21"/>
          <w:highlight w:val="none"/>
        </w:rPr>
        <w:t>说明，</w:t>
      </w:r>
      <w:r>
        <w:rPr>
          <w:rStyle w:val="25"/>
          <w:rFonts w:hint="eastAsia" w:ascii="宋体" w:hAnsi="宋体" w:eastAsia="宋体" w:cs="宋体"/>
          <w:color w:val="auto"/>
          <w:sz w:val="21"/>
          <w:szCs w:val="21"/>
          <w:highlight w:val="none"/>
        </w:rPr>
        <w:t>直至满足评标委员会的要求。</w:t>
      </w:r>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3.7.4凡超出招标文件规定的或给发包人带来未曾要求的利益的变化、偏差或其他因素在评标时不予考虑</w:t>
      </w:r>
      <w:bookmarkStart w:id="254" w:name="bookmark123"/>
      <w:r>
        <w:rPr>
          <w:rStyle w:val="25"/>
          <w:rFonts w:hint="eastAsia" w:ascii="宋体" w:hAnsi="宋体" w:eastAsia="宋体" w:cs="宋体"/>
          <w:color w:val="auto"/>
          <w:sz w:val="21"/>
          <w:szCs w:val="21"/>
          <w:highlight w:val="none"/>
        </w:rPr>
        <w:t>。</w:t>
      </w:r>
    </w:p>
    <w:p>
      <w:pPr>
        <w:pStyle w:val="29"/>
        <w:shd w:val="clear" w:color="auto" w:fill="auto"/>
        <w:spacing w:before="0" w:after="0" w:line="360" w:lineRule="auto"/>
        <w:jc w:val="both"/>
        <w:rPr>
          <w:rStyle w:val="25"/>
          <w:rFonts w:hint="eastAsia" w:ascii="宋体" w:hAnsi="宋体" w:eastAsia="宋体" w:cs="宋体"/>
          <w:color w:val="auto"/>
          <w:sz w:val="21"/>
          <w:szCs w:val="21"/>
          <w:highlight w:val="none"/>
        </w:rPr>
      </w:pPr>
      <w:r>
        <w:rPr>
          <w:rStyle w:val="25"/>
          <w:rFonts w:hint="eastAsia" w:ascii="宋体" w:hAnsi="宋体" w:eastAsia="宋体" w:cs="宋体"/>
          <w:b/>
          <w:bCs/>
          <w:color w:val="auto"/>
          <w:sz w:val="21"/>
          <w:szCs w:val="21"/>
          <w:highlight w:val="none"/>
        </w:rPr>
        <w:t>3.8不得否决投标的情形</w:t>
      </w:r>
      <w:bookmarkEnd w:id="254"/>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投标文件存在第二章“投标人须知”第1.12.3项所列情形的，均视为细微偏差，评标委员会</w:t>
      </w:r>
      <w:r>
        <w:rPr>
          <w:rStyle w:val="20"/>
          <w:rFonts w:hint="eastAsia" w:ascii="宋体" w:hAnsi="宋体" w:eastAsia="宋体" w:cs="宋体"/>
          <w:color w:val="auto"/>
          <w:sz w:val="21"/>
          <w:szCs w:val="21"/>
          <w:highlight w:val="none"/>
        </w:rPr>
        <w:t>不</w:t>
      </w:r>
      <w:r>
        <w:rPr>
          <w:rStyle w:val="25"/>
          <w:rFonts w:hint="eastAsia" w:ascii="宋体" w:hAnsi="宋体" w:eastAsia="宋体" w:cs="宋体"/>
          <w:color w:val="auto"/>
          <w:sz w:val="21"/>
          <w:szCs w:val="21"/>
          <w:highlight w:val="none"/>
        </w:rPr>
        <w:t>得否决投标人的投标，应按照第二章</w:t>
      </w:r>
      <w:r>
        <w:rPr>
          <w:rStyle w:val="20"/>
          <w:rFonts w:hint="eastAsia" w:ascii="宋体" w:hAnsi="宋体" w:eastAsia="宋体" w:cs="宋体"/>
          <w:color w:val="auto"/>
          <w:sz w:val="21"/>
          <w:szCs w:val="21"/>
          <w:highlight w:val="none"/>
        </w:rPr>
        <w:t>“</w:t>
      </w:r>
      <w:r>
        <w:rPr>
          <w:rStyle w:val="25"/>
          <w:rFonts w:hint="eastAsia" w:ascii="宋体" w:hAnsi="宋体" w:eastAsia="宋体" w:cs="宋体"/>
          <w:color w:val="auto"/>
          <w:sz w:val="21"/>
          <w:szCs w:val="21"/>
          <w:highlight w:val="none"/>
        </w:rPr>
        <w:t>投标人须知”第</w:t>
      </w:r>
      <w:r>
        <w:rPr>
          <w:rStyle w:val="20"/>
          <w:rFonts w:hint="eastAsia" w:ascii="宋体" w:hAnsi="宋体" w:eastAsia="宋体" w:cs="宋体"/>
          <w:color w:val="auto"/>
          <w:sz w:val="21"/>
          <w:szCs w:val="21"/>
          <w:highlight w:val="none"/>
        </w:rPr>
        <w:t>1.12.4</w:t>
      </w:r>
      <w:r>
        <w:rPr>
          <w:rStyle w:val="25"/>
          <w:rFonts w:hint="eastAsia" w:ascii="宋体" w:hAnsi="宋体" w:eastAsia="宋体" w:cs="宋体"/>
          <w:color w:val="auto"/>
          <w:sz w:val="21"/>
          <w:szCs w:val="21"/>
          <w:highlight w:val="none"/>
        </w:rPr>
        <w:t>项规定的原则处理。</w:t>
      </w:r>
      <w:bookmarkStart w:id="255" w:name="bookmark124"/>
    </w:p>
    <w:p>
      <w:pPr>
        <w:pStyle w:val="29"/>
        <w:shd w:val="clear" w:color="auto" w:fill="auto"/>
        <w:spacing w:before="0" w:after="0" w:line="360" w:lineRule="auto"/>
        <w:jc w:val="both"/>
        <w:rPr>
          <w:rStyle w:val="25"/>
          <w:rFonts w:hint="eastAsia" w:ascii="宋体" w:hAnsi="宋体" w:eastAsia="宋体" w:cs="宋体"/>
          <w:color w:val="auto"/>
          <w:sz w:val="21"/>
          <w:szCs w:val="21"/>
          <w:highlight w:val="none"/>
        </w:rPr>
      </w:pPr>
      <w:r>
        <w:rPr>
          <w:rStyle w:val="25"/>
          <w:rFonts w:hint="eastAsia" w:ascii="宋体" w:hAnsi="宋体" w:eastAsia="宋体" w:cs="宋体"/>
          <w:b/>
          <w:bCs/>
          <w:color w:val="auto"/>
          <w:sz w:val="21"/>
          <w:szCs w:val="21"/>
          <w:highlight w:val="none"/>
        </w:rPr>
        <w:t>3.9评标结果</w:t>
      </w:r>
      <w:bookmarkEnd w:id="255"/>
    </w:p>
    <w:p>
      <w:pPr>
        <w:pStyle w:val="29"/>
        <w:shd w:val="clear" w:color="auto" w:fill="auto"/>
        <w:spacing w:before="0" w:after="0" w:line="360" w:lineRule="auto"/>
        <w:ind w:firstLine="420" w:firstLineChars="200"/>
        <w:jc w:val="both"/>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3.9.1除第二章</w:t>
      </w:r>
      <w:r>
        <w:rPr>
          <w:rStyle w:val="20"/>
          <w:rFonts w:hint="eastAsia" w:ascii="宋体" w:hAnsi="宋体" w:eastAsia="宋体" w:cs="宋体"/>
          <w:color w:val="auto"/>
          <w:sz w:val="21"/>
          <w:szCs w:val="21"/>
          <w:highlight w:val="none"/>
        </w:rPr>
        <w:t>“</w:t>
      </w:r>
      <w:r>
        <w:rPr>
          <w:rStyle w:val="25"/>
          <w:rFonts w:hint="eastAsia" w:ascii="宋体" w:hAnsi="宋体" w:eastAsia="宋体" w:cs="宋体"/>
          <w:color w:val="auto"/>
          <w:sz w:val="21"/>
          <w:szCs w:val="21"/>
          <w:highlight w:val="none"/>
        </w:rPr>
        <w:t>投标人须知”前附表授权直接确定中标人外，评标委员会按照评标价由低到高的顺序推荐中标候选人，并标明排序。</w:t>
      </w:r>
    </w:p>
    <w:p>
      <w:pPr>
        <w:pStyle w:val="29"/>
        <w:shd w:val="clear" w:color="auto" w:fill="auto"/>
        <w:spacing w:before="0" w:after="0" w:line="360" w:lineRule="auto"/>
        <w:ind w:firstLine="420" w:firstLineChars="200"/>
        <w:jc w:val="both"/>
        <w:rPr>
          <w:rFonts w:hint="eastAsia" w:ascii="宋体" w:hAnsi="宋体" w:eastAsia="宋体" w:cs="宋体"/>
          <w:color w:val="auto"/>
          <w:sz w:val="21"/>
          <w:szCs w:val="21"/>
          <w:highlight w:val="none"/>
        </w:rPr>
        <w:sectPr>
          <w:pgSz w:w="11905" w:h="16838"/>
          <w:pgMar w:top="1304" w:right="1304" w:bottom="1304" w:left="1361" w:header="720" w:footer="720" w:gutter="0"/>
          <w:paperSrc w:first="7" w:other="7"/>
          <w:pgNumType w:fmt="numberInDash"/>
          <w:cols w:space="720" w:num="1"/>
          <w:titlePg/>
          <w:docGrid w:linePitch="360" w:charSpace="0"/>
        </w:sectPr>
      </w:pPr>
      <w:r>
        <w:rPr>
          <w:rStyle w:val="25"/>
          <w:rFonts w:hint="eastAsia" w:ascii="宋体" w:hAnsi="宋体" w:eastAsia="宋体" w:cs="宋体"/>
          <w:color w:val="auto"/>
          <w:sz w:val="21"/>
          <w:szCs w:val="21"/>
          <w:highlight w:val="none"/>
        </w:rPr>
        <w:t>3.9.2评标委员会完成评标后，应向招标人提交书面评标报告。</w:t>
      </w:r>
    </w:p>
    <w:p>
      <w:pPr>
        <w:spacing w:line="420" w:lineRule="atLeast"/>
        <w:ind w:right="480"/>
        <w:rPr>
          <w:rFonts w:hint="eastAsia" w:ascii="宋体" w:hAnsi="宋体" w:cs="宋体"/>
          <w:color w:val="auto"/>
          <w:sz w:val="24"/>
          <w:highlight w:val="none"/>
        </w:rPr>
      </w:pPr>
      <w:bookmarkStart w:id="256" w:name="_Toc234349428"/>
      <w:bookmarkStart w:id="257" w:name="_Toc234350674"/>
      <w:bookmarkStart w:id="258" w:name="_Toc234348854"/>
      <w:bookmarkStart w:id="259" w:name="_Toc234346012"/>
      <w:bookmarkStart w:id="260" w:name="_Toc234345797"/>
    </w:p>
    <w:bookmarkEnd w:id="256"/>
    <w:bookmarkEnd w:id="257"/>
    <w:bookmarkEnd w:id="258"/>
    <w:bookmarkEnd w:id="259"/>
    <w:bookmarkEnd w:id="260"/>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pStyle w:val="6"/>
        <w:rPr>
          <w:rFonts w:hint="eastAsia" w:ascii="宋体" w:hAnsi="宋体" w:cs="宋体"/>
          <w:color w:val="auto"/>
          <w:highlight w:val="none"/>
        </w:rPr>
      </w:pPr>
    </w:p>
    <w:p>
      <w:pPr>
        <w:pStyle w:val="7"/>
        <w:rPr>
          <w:rFonts w:hint="eastAsia" w:ascii="宋体" w:hAnsi="宋体" w:cs="宋体"/>
          <w:color w:val="auto"/>
          <w:sz w:val="24"/>
          <w:highlight w:val="none"/>
        </w:rPr>
      </w:pPr>
    </w:p>
    <w:p>
      <w:pPr>
        <w:pStyle w:val="7"/>
        <w:rPr>
          <w:rFonts w:hint="eastAsia" w:ascii="宋体" w:hAnsi="宋体" w:cs="宋体"/>
          <w:color w:val="auto"/>
          <w:sz w:val="24"/>
          <w:highlight w:val="none"/>
        </w:rPr>
      </w:pPr>
    </w:p>
    <w:p>
      <w:pPr>
        <w:pStyle w:val="7"/>
        <w:rPr>
          <w:rFonts w:hint="eastAsia" w:ascii="宋体" w:hAnsi="宋体" w:cs="宋体"/>
          <w:color w:val="auto"/>
          <w:sz w:val="24"/>
          <w:highlight w:val="none"/>
        </w:rPr>
      </w:pPr>
    </w:p>
    <w:p>
      <w:pPr>
        <w:pStyle w:val="7"/>
        <w:rPr>
          <w:rFonts w:hint="eastAsia" w:ascii="宋体" w:hAnsi="宋体" w:cs="宋体"/>
          <w:color w:val="auto"/>
          <w:sz w:val="24"/>
          <w:highlight w:val="none"/>
        </w:rPr>
      </w:pPr>
    </w:p>
    <w:p>
      <w:pPr>
        <w:pStyle w:val="7"/>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pStyle w:val="2"/>
        <w:spacing w:before="480" w:after="240"/>
        <w:rPr>
          <w:rFonts w:hint="eastAsia" w:ascii="宋体" w:hAnsi="宋体" w:eastAsia="宋体" w:cs="宋体"/>
          <w:color w:val="auto"/>
          <w:highlight w:val="none"/>
        </w:rPr>
      </w:pPr>
      <w:bookmarkStart w:id="261" w:name="_Toc5742"/>
      <w:bookmarkStart w:id="262" w:name="_Toc511896825"/>
      <w:r>
        <w:rPr>
          <w:rFonts w:hint="eastAsia" w:ascii="宋体" w:hAnsi="宋体" w:eastAsia="宋体" w:cs="宋体"/>
          <w:color w:val="auto"/>
          <w:highlight w:val="none"/>
        </w:rPr>
        <w:t>第四章  合同条款及格式</w:t>
      </w:r>
      <w:bookmarkEnd w:id="261"/>
      <w:bookmarkEnd w:id="262"/>
    </w:p>
    <w:p>
      <w:pPr>
        <w:rPr>
          <w:rFonts w:hint="eastAsia" w:ascii="宋体" w:hAnsi="宋体" w:cs="宋体"/>
          <w:color w:val="auto"/>
          <w:highlight w:val="none"/>
        </w:rPr>
      </w:pPr>
    </w:p>
    <w:p>
      <w:pPr>
        <w:jc w:val="center"/>
        <w:rPr>
          <w:rFonts w:hint="eastAsia" w:ascii="宋体" w:hAnsi="宋体" w:cs="宋体"/>
          <w:color w:val="auto"/>
          <w:highlight w:val="none"/>
        </w:rPr>
      </w:pPr>
      <w:r>
        <w:rPr>
          <w:rFonts w:hint="eastAsia" w:ascii="宋体" w:hAnsi="宋体" w:cs="宋体"/>
          <w:color w:val="auto"/>
          <w:highlight w:val="none"/>
        </w:rPr>
        <w:br w:type="page"/>
      </w:r>
      <w:bookmarkStart w:id="263" w:name="_Toc234346013"/>
      <w:bookmarkStart w:id="264" w:name="_Toc234345798"/>
      <w:bookmarkStart w:id="265" w:name="_Toc234349429"/>
      <w:bookmarkStart w:id="266" w:name="_Toc234348855"/>
    </w:p>
    <w:p>
      <w:pPr>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第一节  通用合同条款</w:t>
      </w:r>
      <w:bookmarkEnd w:id="263"/>
      <w:bookmarkEnd w:id="264"/>
      <w:bookmarkEnd w:id="265"/>
      <w:bookmarkEnd w:id="266"/>
    </w:p>
    <w:p>
      <w:pPr>
        <w:jc w:val="center"/>
        <w:rPr>
          <w:rFonts w:hint="eastAsia" w:ascii="宋体" w:hAnsi="宋体" w:cs="宋体"/>
          <w:color w:val="auto"/>
          <w:highlight w:val="none"/>
        </w:rPr>
      </w:pPr>
    </w:p>
    <w:p>
      <w:pPr>
        <w:pStyle w:val="15"/>
        <w:adjustRightInd/>
        <w:spacing w:line="240" w:lineRule="auto"/>
        <w:textAlignment w:val="auto"/>
        <w:rPr>
          <w:rFonts w:hint="eastAsia" w:ascii="黑体" w:eastAsia="黑体"/>
          <w:sz w:val="28"/>
          <w:szCs w:val="28"/>
        </w:rPr>
      </w:pPr>
      <w:r>
        <w:rPr>
          <w:rFonts w:hint="eastAsia" w:ascii="宋体" w:hAnsi="宋体"/>
          <w:b w:val="0"/>
          <w:sz w:val="24"/>
        </w:rPr>
        <w:t>一、</w:t>
      </w:r>
      <w:r>
        <w:rPr>
          <w:rFonts w:hint="eastAsia" w:ascii="黑体" w:eastAsia="黑体"/>
          <w:sz w:val="28"/>
          <w:szCs w:val="28"/>
        </w:rPr>
        <w:t>通用合同条款</w:t>
      </w:r>
    </w:p>
    <w:p>
      <w:pPr>
        <w:tabs>
          <w:tab w:val="left" w:pos="7770"/>
        </w:tabs>
        <w:jc w:val="center"/>
        <w:rPr>
          <w:rFonts w:hint="eastAsia" w:ascii="宋体" w:hAnsi="宋体"/>
          <w:b/>
          <w:spacing w:val="-10"/>
          <w:sz w:val="48"/>
        </w:rPr>
      </w:pPr>
      <w:bookmarkStart w:id="267" w:name="_Toc179632629"/>
      <w:bookmarkStart w:id="268" w:name="_Toc144974579"/>
      <w:bookmarkStart w:id="269" w:name="_Toc152045611"/>
      <w:bookmarkStart w:id="270" w:name="_Toc152042389"/>
    </w:p>
    <w:p>
      <w:pPr>
        <w:pStyle w:val="49"/>
        <w:rPr>
          <w:rFonts w:hint="eastAsia"/>
        </w:rPr>
      </w:pPr>
      <w:r>
        <w:rPr>
          <w:rFonts w:hint="eastAsia"/>
        </w:rPr>
        <w:t>1. 一般约定</w:t>
      </w:r>
      <w:bookmarkEnd w:id="267"/>
      <w:bookmarkEnd w:id="268"/>
      <w:bookmarkEnd w:id="269"/>
      <w:bookmarkEnd w:id="270"/>
    </w:p>
    <w:p>
      <w:pPr>
        <w:pStyle w:val="50"/>
        <w:rPr>
          <w:rFonts w:hint="eastAsia"/>
        </w:rPr>
      </w:pPr>
      <w:bookmarkStart w:id="271" w:name="_Toc144974580"/>
      <w:bookmarkStart w:id="272" w:name="_Toc152045612"/>
      <w:bookmarkStart w:id="273" w:name="_Toc179632630"/>
      <w:bookmarkStart w:id="274" w:name="_Toc152042390"/>
      <w:r>
        <w:rPr>
          <w:rFonts w:hint="eastAsia"/>
        </w:rPr>
        <w:t>1.1 词语定义</w:t>
      </w:r>
      <w:bookmarkEnd w:id="271"/>
      <w:bookmarkEnd w:id="272"/>
      <w:bookmarkEnd w:id="273"/>
      <w:bookmarkEnd w:id="274"/>
    </w:p>
    <w:p>
      <w:pPr>
        <w:spacing w:line="400" w:lineRule="exact"/>
        <w:ind w:firstLine="420" w:firstLineChars="200"/>
        <w:rPr>
          <w:rFonts w:hint="eastAsia"/>
        </w:rPr>
      </w:pPr>
      <w:r>
        <w:rPr>
          <w:rFonts w:hint="eastAsia"/>
        </w:rPr>
        <w:t>通用合同条款、专用合同条款中的下列词语应具有本款所赋予的含义。</w:t>
      </w:r>
    </w:p>
    <w:p>
      <w:pPr>
        <w:spacing w:line="400" w:lineRule="exact"/>
        <w:ind w:firstLine="420" w:firstLineChars="200"/>
        <w:rPr>
          <w:rFonts w:hint="eastAsia"/>
        </w:rPr>
      </w:pPr>
      <w:r>
        <w:rPr>
          <w:rFonts w:hint="eastAsia"/>
        </w:rPr>
        <w:t xml:space="preserve">1.1.1 </w:t>
      </w:r>
      <w:r>
        <w:rPr>
          <w:rFonts w:hint="eastAsia" w:ascii="黑体" w:eastAsia="黑体"/>
        </w:rPr>
        <w:t>合同</w:t>
      </w:r>
    </w:p>
    <w:p>
      <w:pPr>
        <w:spacing w:line="400" w:lineRule="exact"/>
        <w:ind w:firstLine="718" w:firstLineChars="342"/>
        <w:rPr>
          <w:rFonts w:hint="eastAsia"/>
        </w:rPr>
      </w:pPr>
      <w:r>
        <w:rPr>
          <w:rFonts w:hint="eastAsia"/>
        </w:rPr>
        <w:t>1.1.1.1 合同文件（或称合同）：指合同协议书、中标通知书、投标函及投标函附录、专用合同条款、通用合同条款、技术标准和要求、图纸、已标价工程量清单，以及其他合同文件。</w:t>
      </w:r>
    </w:p>
    <w:p>
      <w:pPr>
        <w:spacing w:line="400" w:lineRule="exact"/>
        <w:ind w:firstLine="718" w:firstLineChars="342"/>
        <w:rPr>
          <w:rFonts w:hint="eastAsia"/>
        </w:rPr>
      </w:pPr>
      <w:r>
        <w:rPr>
          <w:rFonts w:hint="eastAsia"/>
        </w:rPr>
        <w:t>1.1.1.2 合同协议书：指第1.5款所指的合同协议书。</w:t>
      </w:r>
    </w:p>
    <w:p>
      <w:pPr>
        <w:spacing w:line="400" w:lineRule="exact"/>
        <w:ind w:firstLine="718" w:firstLineChars="342"/>
        <w:rPr>
          <w:rFonts w:hint="eastAsia"/>
        </w:rPr>
      </w:pPr>
      <w:r>
        <w:rPr>
          <w:rFonts w:hint="eastAsia"/>
        </w:rPr>
        <w:t>1.1.1.3 中标通知书：指发包人通知承包人中标的函件。</w:t>
      </w:r>
    </w:p>
    <w:p>
      <w:pPr>
        <w:spacing w:line="400" w:lineRule="exact"/>
        <w:ind w:firstLine="718" w:firstLineChars="342"/>
        <w:rPr>
          <w:rFonts w:hint="eastAsia"/>
          <w:dstrike/>
          <w:szCs w:val="21"/>
        </w:rPr>
      </w:pPr>
      <w:r>
        <w:rPr>
          <w:rFonts w:hint="eastAsia"/>
        </w:rPr>
        <w:t>1.1.1.4 投标函：指构成合同文件组成部分的由承包人填写并签署的投标函。</w:t>
      </w:r>
    </w:p>
    <w:p>
      <w:pPr>
        <w:spacing w:line="400" w:lineRule="exact"/>
        <w:ind w:firstLine="718" w:firstLineChars="342"/>
        <w:rPr>
          <w:rFonts w:hint="eastAsia"/>
        </w:rPr>
      </w:pPr>
      <w:r>
        <w:rPr>
          <w:rFonts w:hint="eastAsia"/>
        </w:rPr>
        <w:t>1.1.1.5 投标函附录：指附在投标函后构成合同文件的投标函附录。</w:t>
      </w:r>
    </w:p>
    <w:p>
      <w:pPr>
        <w:spacing w:line="400" w:lineRule="exact"/>
        <w:ind w:firstLine="718" w:firstLineChars="342"/>
        <w:rPr>
          <w:rFonts w:hint="eastAsia"/>
        </w:rPr>
      </w:pPr>
      <w:r>
        <w:rPr>
          <w:rFonts w:hint="eastAsia"/>
        </w:rPr>
        <w:t>1.1.1.6 技术标准和要求：指构成合同文件组成部分的名为技术标准和要求的文件，包括合同双方当事人约定对其所作的修改或补充。</w:t>
      </w:r>
    </w:p>
    <w:p>
      <w:pPr>
        <w:spacing w:line="400" w:lineRule="exact"/>
        <w:ind w:firstLine="718" w:firstLineChars="342"/>
        <w:rPr>
          <w:rFonts w:hint="eastAsia"/>
        </w:rPr>
      </w:pPr>
      <w:r>
        <w:rPr>
          <w:rFonts w:hint="eastAsia"/>
        </w:rPr>
        <w:t>1.1.1.7图纸：指包含在合同中的工程图纸，以及由发包人按合同约定提供的任何补充和修改的图纸，包括配套的说明。</w:t>
      </w:r>
    </w:p>
    <w:p>
      <w:pPr>
        <w:spacing w:line="400" w:lineRule="exact"/>
        <w:ind w:firstLine="718" w:firstLineChars="342"/>
        <w:rPr>
          <w:rFonts w:hint="eastAsia"/>
        </w:rPr>
      </w:pPr>
      <w:r>
        <w:rPr>
          <w:rFonts w:hint="eastAsia"/>
        </w:rPr>
        <w:t>1.1.1.8 已标价工程量清单：指构成合同文件组成部分的由承包人按照规定的格式和要求填写并标明价格的工程量清单。</w:t>
      </w:r>
    </w:p>
    <w:p>
      <w:pPr>
        <w:spacing w:line="400" w:lineRule="exact"/>
        <w:ind w:firstLine="718" w:firstLineChars="342"/>
        <w:rPr>
          <w:rFonts w:hint="eastAsia"/>
        </w:rPr>
      </w:pPr>
      <w:r>
        <w:rPr>
          <w:rFonts w:hint="eastAsia"/>
        </w:rPr>
        <w:t>1.1.1.9 其他合同文件：指经合同双方当事人确认构成合同文件的其他文件。</w:t>
      </w:r>
    </w:p>
    <w:p>
      <w:pPr>
        <w:spacing w:line="400" w:lineRule="exact"/>
        <w:ind w:firstLine="420" w:firstLineChars="200"/>
        <w:rPr>
          <w:rFonts w:hint="eastAsia"/>
        </w:rPr>
      </w:pPr>
      <w:r>
        <w:rPr>
          <w:rFonts w:hint="eastAsia"/>
        </w:rPr>
        <w:t xml:space="preserve">1.1.2 </w:t>
      </w:r>
      <w:r>
        <w:rPr>
          <w:rFonts w:hint="eastAsia" w:ascii="黑体" w:eastAsia="黑体"/>
        </w:rPr>
        <w:t>合同当事人和人员</w:t>
      </w:r>
    </w:p>
    <w:p>
      <w:pPr>
        <w:spacing w:line="400" w:lineRule="exact"/>
        <w:ind w:firstLine="718" w:firstLineChars="342"/>
        <w:rPr>
          <w:rFonts w:hint="eastAsia"/>
        </w:rPr>
      </w:pPr>
      <w:r>
        <w:rPr>
          <w:rFonts w:hint="eastAsia"/>
        </w:rPr>
        <w:t>1.1.2.1 合同当事人:指发包人和（或）承包人。</w:t>
      </w:r>
    </w:p>
    <w:p>
      <w:pPr>
        <w:spacing w:line="400" w:lineRule="exact"/>
        <w:ind w:firstLine="718" w:firstLineChars="342"/>
        <w:rPr>
          <w:rFonts w:hint="eastAsia"/>
        </w:rPr>
      </w:pPr>
      <w:r>
        <w:rPr>
          <w:rFonts w:hint="eastAsia"/>
        </w:rPr>
        <w:t>1.1.2.2 发包人：指专用合同条款中指明并与承包人在合同协议书中签字的当事人。</w:t>
      </w:r>
    </w:p>
    <w:p>
      <w:pPr>
        <w:spacing w:line="400" w:lineRule="exact"/>
        <w:ind w:firstLine="718" w:firstLineChars="342"/>
        <w:rPr>
          <w:rFonts w:hint="eastAsia"/>
        </w:rPr>
      </w:pPr>
      <w:r>
        <w:rPr>
          <w:rFonts w:hint="eastAsia"/>
        </w:rPr>
        <w:t>1.1.2.3 承包人：指与发包人签订合同协议书的当事人。</w:t>
      </w:r>
    </w:p>
    <w:p>
      <w:pPr>
        <w:spacing w:line="400" w:lineRule="exact"/>
        <w:ind w:firstLine="718" w:firstLineChars="342"/>
        <w:rPr>
          <w:rFonts w:hint="eastAsia"/>
        </w:rPr>
      </w:pPr>
      <w:r>
        <w:rPr>
          <w:rFonts w:hint="eastAsia"/>
        </w:rPr>
        <w:t>1.1.2.4 承包人项目经理：指承包人派驻施工场地的全权负责人。</w:t>
      </w:r>
    </w:p>
    <w:p>
      <w:pPr>
        <w:spacing w:line="400" w:lineRule="exact"/>
        <w:ind w:firstLine="718" w:firstLineChars="342"/>
        <w:rPr>
          <w:rFonts w:hint="eastAsia"/>
        </w:rPr>
      </w:pPr>
      <w:r>
        <w:rPr>
          <w:rFonts w:hint="eastAsia"/>
        </w:rPr>
        <w:t>1.1.2.5 分包人：指从承包人处分包合同中某一部分工程，并与其签订分包合同的分包人。</w:t>
      </w:r>
    </w:p>
    <w:p>
      <w:pPr>
        <w:spacing w:line="400" w:lineRule="exact"/>
        <w:ind w:firstLine="718" w:firstLineChars="342"/>
        <w:rPr>
          <w:rFonts w:hint="eastAsia"/>
        </w:rPr>
      </w:pPr>
      <w:r>
        <w:rPr>
          <w:rFonts w:hint="eastAsia"/>
        </w:rPr>
        <w:t>1.1.2.6 监理人：指在专用合同条款中指明的，受发包人委托对合同履行实施管理的法人或其他组织。</w:t>
      </w:r>
    </w:p>
    <w:p>
      <w:pPr>
        <w:spacing w:line="400" w:lineRule="exact"/>
        <w:ind w:firstLine="718" w:firstLineChars="342"/>
        <w:rPr>
          <w:rFonts w:hint="eastAsia"/>
        </w:rPr>
      </w:pPr>
      <w:r>
        <w:rPr>
          <w:rFonts w:hint="eastAsia"/>
        </w:rPr>
        <w:t>1.1.2.7 总监理工程师（总监）：指由监理人委派常驻施工场地对合同履行实施管理的全权负责人。</w:t>
      </w:r>
    </w:p>
    <w:p>
      <w:pPr>
        <w:spacing w:line="400" w:lineRule="exact"/>
        <w:ind w:firstLine="420" w:firstLineChars="200"/>
        <w:rPr>
          <w:rFonts w:hint="eastAsia"/>
        </w:rPr>
      </w:pPr>
      <w:r>
        <w:rPr>
          <w:rFonts w:hint="eastAsia"/>
        </w:rPr>
        <w:t xml:space="preserve">1.1.3 </w:t>
      </w:r>
      <w:r>
        <w:rPr>
          <w:rFonts w:hint="eastAsia" w:ascii="黑体" w:eastAsia="黑体"/>
        </w:rPr>
        <w:t>工程和设备</w:t>
      </w:r>
    </w:p>
    <w:p>
      <w:pPr>
        <w:spacing w:line="400" w:lineRule="exact"/>
        <w:ind w:firstLine="718" w:firstLineChars="342"/>
        <w:rPr>
          <w:rFonts w:hint="eastAsia"/>
        </w:rPr>
      </w:pPr>
      <w:r>
        <w:rPr>
          <w:rFonts w:hint="eastAsia"/>
        </w:rPr>
        <w:t>1.1.3.1 工程：指永久工程和（或）临时工程。</w:t>
      </w:r>
    </w:p>
    <w:p>
      <w:pPr>
        <w:spacing w:line="400" w:lineRule="exact"/>
        <w:ind w:firstLine="718" w:firstLineChars="342"/>
        <w:rPr>
          <w:rFonts w:hint="eastAsia"/>
        </w:rPr>
      </w:pPr>
      <w:r>
        <w:rPr>
          <w:rFonts w:hint="eastAsia"/>
        </w:rPr>
        <w:t>1.1.3.2 永久工程：指按合同约定建造并移交给发包人的工程，包括工程设备。</w:t>
      </w:r>
    </w:p>
    <w:p>
      <w:pPr>
        <w:spacing w:line="400" w:lineRule="exact"/>
        <w:ind w:firstLine="718" w:firstLineChars="342"/>
        <w:rPr>
          <w:rFonts w:hint="eastAsia"/>
        </w:rPr>
      </w:pPr>
      <w:r>
        <w:rPr>
          <w:rFonts w:hint="eastAsia"/>
        </w:rPr>
        <w:t>1.1.3.3 临时工程：指为完成合同约定的永久工程所修建的各类临时性工程，不包括施工设备。</w:t>
      </w:r>
    </w:p>
    <w:p>
      <w:pPr>
        <w:spacing w:line="400" w:lineRule="exact"/>
        <w:ind w:firstLine="718" w:firstLineChars="342"/>
        <w:rPr>
          <w:rFonts w:hint="eastAsia"/>
        </w:rPr>
      </w:pPr>
      <w:r>
        <w:rPr>
          <w:rFonts w:hint="eastAsia"/>
        </w:rPr>
        <w:t>1.1.3.4 单位工程：指专用合同条款中指明特定范围的永久工程。</w:t>
      </w:r>
    </w:p>
    <w:p>
      <w:pPr>
        <w:spacing w:line="400" w:lineRule="exact"/>
        <w:ind w:firstLine="718" w:firstLineChars="342"/>
        <w:rPr>
          <w:rFonts w:hint="eastAsia"/>
        </w:rPr>
      </w:pPr>
      <w:r>
        <w:rPr>
          <w:rFonts w:hint="eastAsia"/>
        </w:rPr>
        <w:t>1.1.3.5 工程设备：指构成或计划构成永久工程一部分的机电设备、金属结构设备、仪器装置及其他类似的设备和装置。</w:t>
      </w:r>
    </w:p>
    <w:p>
      <w:pPr>
        <w:spacing w:line="400" w:lineRule="exact"/>
        <w:ind w:firstLine="718" w:firstLineChars="342"/>
        <w:rPr>
          <w:rFonts w:hint="eastAsia"/>
        </w:rPr>
      </w:pPr>
      <w:r>
        <w:rPr>
          <w:rFonts w:hint="eastAsia"/>
        </w:rPr>
        <w:t>1.1.3.6 施工设备：指为完成合同约定的各项工作所需的设备、器具和其他物品，不包括临时工程和材料。</w:t>
      </w:r>
    </w:p>
    <w:p>
      <w:pPr>
        <w:spacing w:line="400" w:lineRule="exact"/>
        <w:ind w:firstLine="718" w:firstLineChars="342"/>
        <w:rPr>
          <w:rFonts w:hint="eastAsia"/>
        </w:rPr>
      </w:pPr>
      <w:r>
        <w:rPr>
          <w:rFonts w:hint="eastAsia"/>
        </w:rPr>
        <w:t>1.1.3.7 临时设施：指为完成合同约定的各项工作所服务的临时性生产和生活设施。</w:t>
      </w:r>
    </w:p>
    <w:p>
      <w:pPr>
        <w:spacing w:line="400" w:lineRule="exact"/>
        <w:ind w:firstLine="718" w:firstLineChars="342"/>
        <w:rPr>
          <w:rFonts w:hint="eastAsia"/>
        </w:rPr>
      </w:pPr>
      <w:r>
        <w:rPr>
          <w:rFonts w:hint="eastAsia"/>
        </w:rPr>
        <w:t>1.1.3.8 承包人设备：指承包人自带的施工设备。</w:t>
      </w:r>
    </w:p>
    <w:p>
      <w:pPr>
        <w:spacing w:line="400" w:lineRule="exact"/>
        <w:ind w:firstLine="718" w:firstLineChars="342"/>
        <w:rPr>
          <w:rFonts w:hint="eastAsia"/>
        </w:rPr>
      </w:pPr>
      <w:r>
        <w:rPr>
          <w:rFonts w:hint="eastAsia"/>
        </w:rPr>
        <w:t>1.1.3.9 施工场地（或称工地、现场）：指用于合同工程施工的场所，以及在合同中指定作为施工场地组成部分的其他场所，包括永久占地和临时占地。</w:t>
      </w:r>
    </w:p>
    <w:p>
      <w:pPr>
        <w:spacing w:line="400" w:lineRule="exact"/>
        <w:ind w:firstLine="718" w:firstLineChars="342"/>
        <w:rPr>
          <w:rFonts w:hint="eastAsia"/>
        </w:rPr>
      </w:pPr>
      <w:r>
        <w:rPr>
          <w:rFonts w:hint="eastAsia"/>
        </w:rPr>
        <w:t>1.1.3.10 永久占地：指专用合同条款中指明为实施合同工程需永久占用的土地。</w:t>
      </w:r>
    </w:p>
    <w:p>
      <w:pPr>
        <w:spacing w:line="400" w:lineRule="exact"/>
        <w:ind w:firstLine="718" w:firstLineChars="342"/>
        <w:rPr>
          <w:rFonts w:hint="eastAsia"/>
        </w:rPr>
      </w:pPr>
      <w:r>
        <w:rPr>
          <w:rFonts w:hint="eastAsia"/>
        </w:rPr>
        <w:t>1.1.3.11 临时占地：指专用合同条款中指明为实施合同工程需临时占用的土地。</w:t>
      </w:r>
    </w:p>
    <w:p>
      <w:pPr>
        <w:spacing w:line="400" w:lineRule="exact"/>
        <w:ind w:firstLine="420" w:firstLineChars="200"/>
        <w:rPr>
          <w:rFonts w:hint="eastAsia"/>
        </w:rPr>
      </w:pPr>
      <w:r>
        <w:rPr>
          <w:rFonts w:hint="eastAsia"/>
        </w:rPr>
        <w:t xml:space="preserve">1.1.4 </w:t>
      </w:r>
      <w:r>
        <w:rPr>
          <w:rFonts w:hint="eastAsia" w:ascii="黑体" w:eastAsia="黑体"/>
        </w:rPr>
        <w:t>日期</w:t>
      </w:r>
    </w:p>
    <w:p>
      <w:pPr>
        <w:spacing w:line="400" w:lineRule="exact"/>
        <w:ind w:firstLine="718" w:firstLineChars="342"/>
        <w:rPr>
          <w:rFonts w:hint="eastAsia"/>
        </w:rPr>
      </w:pPr>
      <w:r>
        <w:rPr>
          <w:rFonts w:hint="eastAsia"/>
        </w:rPr>
        <w:t>1.1.4.1 开工通知：指监理人按第11.1款通知承包人开工的函件。</w:t>
      </w:r>
    </w:p>
    <w:p>
      <w:pPr>
        <w:spacing w:line="400" w:lineRule="exact"/>
        <w:ind w:firstLine="718" w:firstLineChars="342"/>
        <w:rPr>
          <w:rFonts w:hint="eastAsia"/>
        </w:rPr>
      </w:pPr>
      <w:r>
        <w:rPr>
          <w:rFonts w:hint="eastAsia"/>
        </w:rPr>
        <w:t>1.1.4.2 开工日期：指监理人按第11.1款发出的开工通知中写明的开工日期。</w:t>
      </w:r>
    </w:p>
    <w:p>
      <w:pPr>
        <w:spacing w:line="400" w:lineRule="exact"/>
        <w:ind w:firstLine="718" w:firstLineChars="342"/>
        <w:rPr>
          <w:rFonts w:hint="eastAsia"/>
        </w:rPr>
      </w:pPr>
      <w:r>
        <w:rPr>
          <w:rFonts w:hint="eastAsia"/>
        </w:rPr>
        <w:t>1.1.4.3工期：指承包人在投标函中承诺的完成合同工程所需的期限，包括按第11.3款、第11.4款和第11.6款约定所作的变更。</w:t>
      </w:r>
    </w:p>
    <w:p>
      <w:pPr>
        <w:spacing w:line="400" w:lineRule="exact"/>
        <w:ind w:firstLine="718" w:firstLineChars="342"/>
        <w:rPr>
          <w:rFonts w:hint="eastAsia"/>
        </w:rPr>
      </w:pPr>
      <w:r>
        <w:rPr>
          <w:rFonts w:hint="eastAsia"/>
        </w:rPr>
        <w:t>1.1.4.4 竣工日期：指第1.1.4.3目约定工期届满时的日期。实际竣工日期以工程接收证书中写明的日期为准。</w:t>
      </w:r>
    </w:p>
    <w:p>
      <w:pPr>
        <w:spacing w:line="400" w:lineRule="exact"/>
        <w:ind w:firstLine="718" w:firstLineChars="342"/>
        <w:rPr>
          <w:rFonts w:hint="eastAsia"/>
        </w:rPr>
      </w:pPr>
      <w:r>
        <w:rPr>
          <w:rFonts w:hint="eastAsia"/>
        </w:rPr>
        <w:t>1.1.4.5 缺陷责任期：指履行第19.2款约定的缺陷责任的期限，具体期限由专用合同条款约定，包括根据第19.3款约定所作的延长。</w:t>
      </w:r>
    </w:p>
    <w:p>
      <w:pPr>
        <w:spacing w:line="400" w:lineRule="exact"/>
        <w:ind w:firstLine="718" w:firstLineChars="342"/>
        <w:rPr>
          <w:rFonts w:hint="eastAsia"/>
        </w:rPr>
      </w:pPr>
      <w:r>
        <w:rPr>
          <w:rFonts w:hint="eastAsia"/>
        </w:rPr>
        <w:t>1.1.4.6 基准日期：指投标截止时间前28天的日期。</w:t>
      </w:r>
    </w:p>
    <w:p>
      <w:pPr>
        <w:spacing w:line="400" w:lineRule="exact"/>
        <w:ind w:firstLine="718" w:firstLineChars="342"/>
        <w:rPr>
          <w:rFonts w:hint="eastAsia"/>
        </w:rPr>
      </w:pPr>
      <w:r>
        <w:rPr>
          <w:rFonts w:hint="eastAsia"/>
        </w:rPr>
        <w:t>1.1.4.7 天：除特别指明外，指日历天。合同中按天计算时间的，开始当天不计入，从次日开始计算。期限最后一天的截止时间为当天24:00。</w:t>
      </w:r>
    </w:p>
    <w:p>
      <w:pPr>
        <w:spacing w:line="400" w:lineRule="exact"/>
        <w:ind w:firstLine="420" w:firstLineChars="200"/>
        <w:rPr>
          <w:rFonts w:hint="eastAsia"/>
        </w:rPr>
      </w:pPr>
      <w:r>
        <w:rPr>
          <w:rFonts w:hint="eastAsia"/>
        </w:rPr>
        <w:t xml:space="preserve">1.1.5 </w:t>
      </w:r>
      <w:r>
        <w:rPr>
          <w:rFonts w:hint="eastAsia" w:ascii="黑体" w:eastAsia="黑体"/>
        </w:rPr>
        <w:t>合同价格和费用</w:t>
      </w:r>
    </w:p>
    <w:p>
      <w:pPr>
        <w:spacing w:line="400" w:lineRule="exact"/>
        <w:ind w:firstLine="718" w:firstLineChars="342"/>
        <w:rPr>
          <w:rFonts w:hint="eastAsia"/>
        </w:rPr>
      </w:pPr>
      <w:r>
        <w:rPr>
          <w:rFonts w:hint="eastAsia"/>
        </w:rPr>
        <w:t>1.1.5.1 签约合同价：指签订合同时合同协议书中写明的，包括了暂列金额、暂估价的合同总金额。</w:t>
      </w:r>
    </w:p>
    <w:p>
      <w:pPr>
        <w:spacing w:line="400" w:lineRule="exact"/>
        <w:ind w:firstLine="718" w:firstLineChars="342"/>
        <w:rPr>
          <w:rFonts w:hint="eastAsia"/>
        </w:rPr>
      </w:pPr>
      <w:r>
        <w:rPr>
          <w:rFonts w:hint="eastAsia"/>
        </w:rPr>
        <w:t>1.1.5.2 合同价格：指承包人按合同约定完成了包括缺陷责任期内的全部承包工作后，发包人应付给承包人的金额，包括在履行合同过程中按合同约定进行的变更和调整。</w:t>
      </w:r>
    </w:p>
    <w:p>
      <w:pPr>
        <w:spacing w:line="400" w:lineRule="exact"/>
        <w:ind w:firstLine="718" w:firstLineChars="342"/>
        <w:rPr>
          <w:rFonts w:hint="eastAsia"/>
        </w:rPr>
      </w:pPr>
      <w:r>
        <w:rPr>
          <w:rFonts w:hint="eastAsia"/>
        </w:rPr>
        <w:t>1.1.5.3 费用：指为履行合同所发生的或将要发生的所有合理开支，包括管理费和应分摊的其他费用，但不包括利润。</w:t>
      </w:r>
    </w:p>
    <w:p>
      <w:pPr>
        <w:spacing w:line="400" w:lineRule="exact"/>
        <w:ind w:firstLine="718" w:firstLineChars="342"/>
        <w:rPr>
          <w:rFonts w:hint="eastAsia"/>
        </w:rPr>
      </w:pPr>
      <w:r>
        <w:rPr>
          <w:rFonts w:hint="eastAsia"/>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718" w:firstLineChars="342"/>
        <w:rPr>
          <w:rFonts w:hint="eastAsia"/>
        </w:rPr>
      </w:pPr>
      <w:r>
        <w:rPr>
          <w:rFonts w:hint="eastAsia"/>
        </w:rPr>
        <w:t>1.1.5.5暂估价：指发包人在工程量清单中给定的用于支付必然发生但暂时不能确定价格的材料、设备以及专业工程的金额。</w:t>
      </w:r>
    </w:p>
    <w:p>
      <w:pPr>
        <w:spacing w:line="400" w:lineRule="exact"/>
        <w:ind w:firstLine="718" w:firstLineChars="342"/>
        <w:rPr>
          <w:rFonts w:hint="eastAsia"/>
        </w:rPr>
      </w:pPr>
      <w:r>
        <w:rPr>
          <w:rFonts w:hint="eastAsia"/>
        </w:rPr>
        <w:t>1.1.5.6 计日工：指对零星工作采取的一种计价方式，按合同中的计日工子目及其单价计价付款。</w:t>
      </w:r>
    </w:p>
    <w:p>
      <w:pPr>
        <w:spacing w:line="400" w:lineRule="exact"/>
        <w:ind w:firstLine="718" w:firstLineChars="342"/>
        <w:rPr>
          <w:rFonts w:hint="eastAsia"/>
        </w:rPr>
      </w:pPr>
      <w:r>
        <w:rPr>
          <w:rFonts w:hint="eastAsia"/>
        </w:rPr>
        <w:t>1.1.5.7 质量保证金（或称保留金）：指按第17.4.1项约定用于保证在缺陷责任期内履行缺陷修复义务的金额。</w:t>
      </w:r>
    </w:p>
    <w:p>
      <w:pPr>
        <w:spacing w:line="400" w:lineRule="exact"/>
        <w:ind w:firstLine="420" w:firstLineChars="200"/>
        <w:rPr>
          <w:rFonts w:hint="eastAsia"/>
        </w:rPr>
      </w:pPr>
      <w:r>
        <w:rPr>
          <w:rFonts w:hint="eastAsia"/>
        </w:rPr>
        <w:t xml:space="preserve">1.1.6 </w:t>
      </w:r>
      <w:r>
        <w:rPr>
          <w:rFonts w:hint="eastAsia" w:ascii="黑体" w:eastAsia="黑体"/>
        </w:rPr>
        <w:t>其他</w:t>
      </w:r>
    </w:p>
    <w:p>
      <w:pPr>
        <w:spacing w:line="400" w:lineRule="exact"/>
        <w:ind w:firstLine="718" w:firstLineChars="342"/>
        <w:rPr>
          <w:rFonts w:hint="eastAsia"/>
        </w:rPr>
      </w:pPr>
      <w:r>
        <w:rPr>
          <w:rFonts w:hint="eastAsia"/>
        </w:rPr>
        <w:t>1.1.6.1 书面形式：指合同文件、信函、电报、传真等可以有形地表现所载内容的形式。</w:t>
      </w:r>
    </w:p>
    <w:p>
      <w:pPr>
        <w:pStyle w:val="50"/>
        <w:rPr>
          <w:rFonts w:hint="eastAsia"/>
        </w:rPr>
      </w:pPr>
      <w:bookmarkStart w:id="275" w:name="_Toc179632631"/>
      <w:bookmarkStart w:id="276" w:name="_Toc144974581"/>
      <w:bookmarkStart w:id="277" w:name="_Toc152045613"/>
      <w:bookmarkStart w:id="278" w:name="_Toc152042391"/>
      <w:r>
        <w:rPr>
          <w:rFonts w:hint="eastAsia"/>
        </w:rPr>
        <w:t>1.2 语言文字</w:t>
      </w:r>
      <w:bookmarkEnd w:id="275"/>
      <w:bookmarkEnd w:id="276"/>
      <w:bookmarkEnd w:id="277"/>
      <w:bookmarkEnd w:id="278"/>
    </w:p>
    <w:p>
      <w:pPr>
        <w:spacing w:line="400" w:lineRule="exact"/>
        <w:ind w:firstLine="420" w:firstLineChars="200"/>
        <w:rPr>
          <w:rFonts w:hint="eastAsia"/>
        </w:rPr>
      </w:pPr>
      <w:r>
        <w:rPr>
          <w:rFonts w:hint="eastAsia"/>
        </w:rPr>
        <w:t>除专用术语外，合同使用的语言文字为中文。必要时专用术语应附有中文注释。</w:t>
      </w:r>
    </w:p>
    <w:p>
      <w:pPr>
        <w:pStyle w:val="50"/>
        <w:rPr>
          <w:rFonts w:hint="eastAsia"/>
        </w:rPr>
      </w:pPr>
      <w:bookmarkStart w:id="279" w:name="_Toc152042392"/>
      <w:bookmarkStart w:id="280" w:name="_Toc179632632"/>
      <w:bookmarkStart w:id="281" w:name="_Toc144974582"/>
      <w:bookmarkStart w:id="282" w:name="_Toc152045614"/>
      <w:r>
        <w:rPr>
          <w:rFonts w:hint="eastAsia"/>
        </w:rPr>
        <w:t>1.3 法律</w:t>
      </w:r>
      <w:bookmarkEnd w:id="279"/>
      <w:bookmarkEnd w:id="280"/>
      <w:bookmarkEnd w:id="281"/>
      <w:bookmarkEnd w:id="282"/>
    </w:p>
    <w:p>
      <w:pPr>
        <w:spacing w:line="400" w:lineRule="exact"/>
        <w:ind w:firstLine="420" w:firstLineChars="200"/>
        <w:rPr>
          <w:rFonts w:hint="eastAsia"/>
        </w:rPr>
      </w:pPr>
      <w:r>
        <w:rPr>
          <w:rFonts w:hint="eastAsia"/>
        </w:rPr>
        <w:t>适用于合同的法律包括中华人民共和国法律、行政法规、部门规章，以及工程所在地的地方法规、自治条例、单行条例和地方政府规章。</w:t>
      </w:r>
    </w:p>
    <w:p>
      <w:pPr>
        <w:pStyle w:val="50"/>
        <w:rPr>
          <w:rFonts w:hint="eastAsia"/>
        </w:rPr>
      </w:pPr>
      <w:r>
        <w:rPr>
          <w:rFonts w:hint="eastAsia"/>
        </w:rPr>
        <w:t>1.4 合同文件的优先顺序</w:t>
      </w:r>
    </w:p>
    <w:p>
      <w:pPr>
        <w:spacing w:line="400" w:lineRule="exact"/>
        <w:ind w:firstLine="420" w:firstLineChars="200"/>
        <w:rPr>
          <w:rFonts w:hint="eastAsia"/>
        </w:rPr>
      </w:pPr>
      <w:r>
        <w:rPr>
          <w:rFonts w:hint="eastAsia"/>
        </w:rPr>
        <w:t>组成合同的各项文件应互相解释，互为说明。除专用合同条款另有约定外，解释合同文件的优先顺序如下：</w:t>
      </w:r>
    </w:p>
    <w:p>
      <w:pPr>
        <w:spacing w:line="400" w:lineRule="exact"/>
        <w:ind w:firstLine="359" w:firstLineChars="171"/>
        <w:rPr>
          <w:rFonts w:hint="eastAsia"/>
        </w:rPr>
      </w:pPr>
      <w:r>
        <w:rPr>
          <w:rFonts w:hint="eastAsia"/>
        </w:rPr>
        <w:t>（1）合同协议书；</w:t>
      </w:r>
    </w:p>
    <w:p>
      <w:pPr>
        <w:spacing w:line="400" w:lineRule="exact"/>
        <w:ind w:firstLine="359" w:firstLineChars="171"/>
        <w:rPr>
          <w:rFonts w:hint="eastAsia"/>
        </w:rPr>
      </w:pPr>
      <w:r>
        <w:rPr>
          <w:rFonts w:hint="eastAsia"/>
        </w:rPr>
        <w:t>（2）中标通知书；</w:t>
      </w:r>
    </w:p>
    <w:p>
      <w:pPr>
        <w:spacing w:line="400" w:lineRule="exact"/>
        <w:ind w:firstLine="359" w:firstLineChars="171"/>
        <w:rPr>
          <w:rFonts w:hint="eastAsia"/>
        </w:rPr>
      </w:pPr>
      <w:r>
        <w:rPr>
          <w:rFonts w:hint="eastAsia"/>
        </w:rPr>
        <w:t>（3）投标函及投标函附录；</w:t>
      </w:r>
    </w:p>
    <w:p>
      <w:pPr>
        <w:spacing w:line="400" w:lineRule="exact"/>
        <w:ind w:firstLine="359" w:firstLineChars="171"/>
        <w:rPr>
          <w:rFonts w:hint="eastAsia"/>
        </w:rPr>
      </w:pPr>
      <w:r>
        <w:rPr>
          <w:rFonts w:hint="eastAsia"/>
        </w:rPr>
        <w:t>（4）专用合同条款；</w:t>
      </w:r>
    </w:p>
    <w:p>
      <w:pPr>
        <w:spacing w:line="400" w:lineRule="exact"/>
        <w:ind w:firstLine="359" w:firstLineChars="171"/>
        <w:rPr>
          <w:rFonts w:hint="eastAsia"/>
        </w:rPr>
      </w:pPr>
      <w:r>
        <w:rPr>
          <w:rFonts w:hint="eastAsia"/>
        </w:rPr>
        <w:t>（5）通用合同条款；</w:t>
      </w:r>
    </w:p>
    <w:p>
      <w:pPr>
        <w:spacing w:line="400" w:lineRule="exact"/>
        <w:ind w:firstLine="359" w:firstLineChars="171"/>
        <w:rPr>
          <w:rFonts w:hint="eastAsia"/>
        </w:rPr>
      </w:pPr>
      <w:r>
        <w:rPr>
          <w:rFonts w:hint="eastAsia"/>
        </w:rPr>
        <w:t>（6）技术标准和要求；</w:t>
      </w:r>
    </w:p>
    <w:p>
      <w:pPr>
        <w:spacing w:line="400" w:lineRule="exact"/>
        <w:ind w:firstLine="359" w:firstLineChars="171"/>
        <w:rPr>
          <w:rFonts w:hint="eastAsia"/>
        </w:rPr>
      </w:pPr>
      <w:r>
        <w:rPr>
          <w:rFonts w:hint="eastAsia"/>
        </w:rPr>
        <w:t>（7）图纸；</w:t>
      </w:r>
    </w:p>
    <w:p>
      <w:pPr>
        <w:spacing w:line="400" w:lineRule="exact"/>
        <w:ind w:firstLine="359" w:firstLineChars="171"/>
        <w:rPr>
          <w:rFonts w:hint="eastAsia"/>
        </w:rPr>
      </w:pPr>
      <w:r>
        <w:rPr>
          <w:rFonts w:hint="eastAsia"/>
        </w:rPr>
        <w:t>（8）已标价工程量清单；</w:t>
      </w:r>
    </w:p>
    <w:p>
      <w:pPr>
        <w:spacing w:line="400" w:lineRule="exact"/>
        <w:ind w:firstLine="359" w:firstLineChars="171"/>
        <w:rPr>
          <w:rFonts w:hint="eastAsia"/>
        </w:rPr>
      </w:pPr>
      <w:r>
        <w:rPr>
          <w:rFonts w:hint="eastAsia"/>
        </w:rPr>
        <w:t>（9）其他合同文件。</w:t>
      </w:r>
    </w:p>
    <w:p>
      <w:pPr>
        <w:pStyle w:val="50"/>
        <w:rPr>
          <w:rFonts w:hint="eastAsia"/>
        </w:rPr>
      </w:pPr>
      <w:r>
        <w:rPr>
          <w:rFonts w:hint="eastAsia"/>
        </w:rPr>
        <w:t>1.5 合同协议书</w:t>
      </w:r>
    </w:p>
    <w:p>
      <w:pPr>
        <w:spacing w:line="400" w:lineRule="exact"/>
        <w:ind w:firstLine="420" w:firstLineChars="200"/>
        <w:rPr>
          <w:rFonts w:hint="eastAsia"/>
        </w:rPr>
      </w:pPr>
      <w:r>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pPr>
        <w:pStyle w:val="50"/>
        <w:rPr>
          <w:rFonts w:hint="eastAsia"/>
        </w:rPr>
      </w:pPr>
      <w:r>
        <w:rPr>
          <w:rFonts w:hint="eastAsia"/>
        </w:rPr>
        <w:t>1.6 图纸和承包人文件</w:t>
      </w:r>
    </w:p>
    <w:p>
      <w:pPr>
        <w:spacing w:line="400" w:lineRule="exact"/>
        <w:ind w:firstLine="420" w:firstLineChars="200"/>
        <w:rPr>
          <w:rFonts w:hint="eastAsia"/>
        </w:rPr>
      </w:pPr>
      <w:r>
        <w:rPr>
          <w:rFonts w:hint="eastAsia"/>
        </w:rPr>
        <w:t>1.6.1</w:t>
      </w:r>
      <w:r>
        <w:rPr>
          <w:rFonts w:hint="eastAsia" w:ascii="黑体" w:eastAsia="黑体"/>
        </w:rPr>
        <w:t>图纸的提供</w:t>
      </w:r>
    </w:p>
    <w:p>
      <w:pPr>
        <w:spacing w:line="400" w:lineRule="exact"/>
        <w:ind w:firstLine="420" w:firstLineChars="200"/>
        <w:rPr>
          <w:rFonts w:hint="eastAsia"/>
        </w:rPr>
      </w:pPr>
      <w:r>
        <w:rPr>
          <w:rFonts w:hint="eastAsia"/>
        </w:rPr>
        <w:t>除专用合同条款另有约定外，图纸应在合理的期限内按照合同约定的数量提供给承包人。由于发包人未按时提供图纸造成工期延误的，按第11.3款的约定办理。</w:t>
      </w:r>
    </w:p>
    <w:p>
      <w:pPr>
        <w:spacing w:line="400" w:lineRule="exact"/>
        <w:ind w:firstLine="420" w:firstLineChars="200"/>
        <w:rPr>
          <w:rFonts w:hint="eastAsia"/>
        </w:rPr>
      </w:pPr>
      <w:r>
        <w:rPr>
          <w:rFonts w:hint="eastAsia"/>
        </w:rPr>
        <w:t xml:space="preserve">1.6.2 </w:t>
      </w:r>
      <w:r>
        <w:rPr>
          <w:rFonts w:hint="eastAsia" w:ascii="黑体" w:eastAsia="黑体"/>
        </w:rPr>
        <w:t>承包人提供的文件</w:t>
      </w:r>
    </w:p>
    <w:p>
      <w:pPr>
        <w:spacing w:line="400" w:lineRule="exact"/>
        <w:rPr>
          <w:rFonts w:hint="eastAsia"/>
        </w:rPr>
      </w:pPr>
      <w:r>
        <w:rPr>
          <w:rFonts w:hint="eastAsia"/>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20" w:firstLineChars="200"/>
        <w:rPr>
          <w:rFonts w:hint="eastAsia"/>
        </w:rPr>
      </w:pPr>
      <w:r>
        <w:rPr>
          <w:rFonts w:hint="eastAsia"/>
        </w:rPr>
        <w:t xml:space="preserve">1.6.3 </w:t>
      </w:r>
      <w:r>
        <w:rPr>
          <w:rFonts w:hint="eastAsia" w:ascii="黑体" w:eastAsia="黑体"/>
        </w:rPr>
        <w:t>图纸的修改</w:t>
      </w:r>
    </w:p>
    <w:p>
      <w:pPr>
        <w:spacing w:line="400" w:lineRule="exact"/>
        <w:ind w:firstLine="420" w:firstLineChars="200"/>
        <w:rPr>
          <w:rFonts w:hint="eastAsia"/>
        </w:rPr>
      </w:pPr>
      <w:r>
        <w:rPr>
          <w:rFonts w:hint="eastAsia"/>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20" w:firstLineChars="200"/>
        <w:rPr>
          <w:rFonts w:hint="eastAsia"/>
        </w:rPr>
      </w:pPr>
      <w:r>
        <w:rPr>
          <w:rFonts w:hint="eastAsia"/>
        </w:rPr>
        <w:t xml:space="preserve">1.6.4 </w:t>
      </w:r>
      <w:r>
        <w:rPr>
          <w:rFonts w:hint="eastAsia" w:ascii="黑体" w:eastAsia="黑体"/>
        </w:rPr>
        <w:t>图纸的错误</w:t>
      </w:r>
    </w:p>
    <w:p>
      <w:pPr>
        <w:spacing w:line="400" w:lineRule="exact"/>
        <w:ind w:firstLine="420" w:firstLineChars="200"/>
        <w:rPr>
          <w:rFonts w:hint="eastAsia"/>
        </w:rPr>
      </w:pPr>
      <w:r>
        <w:rPr>
          <w:rFonts w:hint="eastAsia"/>
        </w:rPr>
        <w:t>承包人发现发包人提供的图纸存在明显错误或疏忽，应及时通知监理人。</w:t>
      </w:r>
    </w:p>
    <w:p>
      <w:pPr>
        <w:spacing w:line="400" w:lineRule="exact"/>
        <w:ind w:firstLine="420" w:firstLineChars="200"/>
        <w:rPr>
          <w:rFonts w:hint="eastAsia"/>
        </w:rPr>
      </w:pPr>
      <w:r>
        <w:rPr>
          <w:rFonts w:hint="eastAsia"/>
        </w:rPr>
        <w:t xml:space="preserve">1.6.5 </w:t>
      </w:r>
      <w:r>
        <w:rPr>
          <w:rFonts w:hint="eastAsia" w:ascii="黑体" w:eastAsia="黑体"/>
        </w:rPr>
        <w:t>图纸和承包人文件的保管</w:t>
      </w:r>
    </w:p>
    <w:p>
      <w:pPr>
        <w:spacing w:line="400" w:lineRule="exact"/>
        <w:ind w:firstLine="420" w:firstLineChars="200"/>
        <w:rPr>
          <w:rFonts w:hint="eastAsia"/>
        </w:rPr>
      </w:pPr>
      <w:r>
        <w:rPr>
          <w:rFonts w:hint="eastAsia"/>
        </w:rPr>
        <w:t>监理人和承包人均应在施工场地各保存一套完整的包含第1.6.1项、第1.6.2项、第1.6.3项约定内容的图纸和承包人文件。</w:t>
      </w:r>
    </w:p>
    <w:p>
      <w:pPr>
        <w:pStyle w:val="50"/>
        <w:rPr>
          <w:rFonts w:hint="eastAsia"/>
        </w:rPr>
      </w:pPr>
      <w:bookmarkStart w:id="283" w:name="_Toc179632636"/>
      <w:bookmarkStart w:id="284" w:name="_Toc152045618"/>
      <w:bookmarkStart w:id="285" w:name="_Toc152042396"/>
      <w:bookmarkStart w:id="286" w:name="_Toc144974586"/>
      <w:r>
        <w:rPr>
          <w:rFonts w:hint="eastAsia"/>
        </w:rPr>
        <w:t>1.7 联络</w:t>
      </w:r>
      <w:bookmarkEnd w:id="283"/>
      <w:bookmarkEnd w:id="284"/>
      <w:bookmarkEnd w:id="285"/>
      <w:bookmarkEnd w:id="286"/>
    </w:p>
    <w:p>
      <w:pPr>
        <w:spacing w:line="400" w:lineRule="exact"/>
        <w:ind w:firstLine="420" w:firstLineChars="200"/>
        <w:rPr>
          <w:rFonts w:hint="eastAsia"/>
        </w:rPr>
      </w:pPr>
      <w:r>
        <w:rPr>
          <w:rFonts w:hint="eastAsia"/>
        </w:rPr>
        <w:t>1.7.1 与合同有关的通知、批准、证明、证书、指示、要求、请求、同意、意见、确定和决定等，均应采用书面形式。</w:t>
      </w:r>
    </w:p>
    <w:p>
      <w:pPr>
        <w:spacing w:line="400" w:lineRule="exact"/>
        <w:ind w:firstLine="420" w:firstLineChars="200"/>
        <w:rPr>
          <w:rFonts w:hint="eastAsia"/>
        </w:rPr>
      </w:pPr>
      <w:r>
        <w:rPr>
          <w:rFonts w:hint="eastAsia"/>
        </w:rPr>
        <w:t>1.7.2 第1.7.1项中的通知、批准、证明、证书、指示、要求、请求、同意、意见、确定和决定等来往函件，均应在合同约定的期限内送达指定地点和接收人，并办理签收手续。</w:t>
      </w:r>
    </w:p>
    <w:p>
      <w:pPr>
        <w:pStyle w:val="50"/>
        <w:rPr>
          <w:rFonts w:hint="eastAsia"/>
        </w:rPr>
      </w:pPr>
      <w:bookmarkStart w:id="287" w:name="_Toc152045619"/>
      <w:bookmarkStart w:id="288" w:name="_Toc144974587"/>
      <w:bookmarkStart w:id="289" w:name="_Toc152042397"/>
      <w:bookmarkStart w:id="290" w:name="_Toc179632637"/>
      <w:r>
        <w:rPr>
          <w:rFonts w:hint="eastAsia"/>
        </w:rPr>
        <w:t>1.8 转让</w:t>
      </w:r>
      <w:bookmarkEnd w:id="287"/>
      <w:bookmarkEnd w:id="288"/>
      <w:bookmarkEnd w:id="289"/>
      <w:bookmarkEnd w:id="290"/>
    </w:p>
    <w:p>
      <w:pPr>
        <w:spacing w:line="400" w:lineRule="exact"/>
        <w:ind w:firstLine="420" w:firstLineChars="200"/>
        <w:rPr>
          <w:rFonts w:hint="eastAsia"/>
        </w:rPr>
      </w:pPr>
      <w:r>
        <w:rPr>
          <w:rFonts w:hint="eastAsia"/>
        </w:rPr>
        <w:t>除合同另有约定外，未经对方当事人同意，一方当事人不得将合同权利全部或部分转让给第三人，也不得全部或部分转移合同义务。</w:t>
      </w:r>
    </w:p>
    <w:p>
      <w:pPr>
        <w:pStyle w:val="50"/>
        <w:rPr>
          <w:rFonts w:hint="eastAsia"/>
        </w:rPr>
      </w:pPr>
      <w:r>
        <w:rPr>
          <w:rFonts w:hint="eastAsia"/>
        </w:rPr>
        <w:t>1.9 严禁贿赂</w:t>
      </w:r>
    </w:p>
    <w:p>
      <w:pPr>
        <w:spacing w:line="400" w:lineRule="exact"/>
        <w:ind w:firstLine="420" w:firstLineChars="200"/>
        <w:rPr>
          <w:rFonts w:hint="eastAsia"/>
        </w:rPr>
      </w:pPr>
      <w:r>
        <w:rPr>
          <w:rFonts w:hint="eastAsia"/>
        </w:rPr>
        <w:t>合同双方当事人不得以贿赂或变相贿赂的方式，谋取不当利益或损害对方权益。因贿赂造成对方损失的，行为人应赔偿损失，并承担相应的法律责任。</w:t>
      </w:r>
    </w:p>
    <w:p>
      <w:pPr>
        <w:pStyle w:val="50"/>
        <w:rPr>
          <w:rFonts w:hint="eastAsia"/>
        </w:rPr>
      </w:pPr>
      <w:bookmarkStart w:id="291" w:name="_Toc152042399"/>
      <w:bookmarkStart w:id="292" w:name="_Toc144974589"/>
      <w:bookmarkStart w:id="293" w:name="_Toc179632639"/>
      <w:bookmarkStart w:id="294" w:name="_Toc152045621"/>
      <w:r>
        <w:rPr>
          <w:rFonts w:hint="eastAsia"/>
        </w:rPr>
        <w:t>1.10 化石、文物</w:t>
      </w:r>
      <w:bookmarkEnd w:id="291"/>
      <w:bookmarkEnd w:id="292"/>
      <w:bookmarkEnd w:id="293"/>
      <w:bookmarkEnd w:id="294"/>
    </w:p>
    <w:p>
      <w:pPr>
        <w:spacing w:line="400" w:lineRule="exact"/>
        <w:ind w:firstLine="420" w:firstLineChars="200"/>
        <w:rPr>
          <w:rFonts w:hint="eastAsia"/>
        </w:rPr>
      </w:pPr>
      <w:r>
        <w:rPr>
          <w:rFonts w:hint="eastAsia"/>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20" w:firstLineChars="200"/>
        <w:rPr>
          <w:rFonts w:hint="eastAsia"/>
        </w:rPr>
      </w:pPr>
      <w:r>
        <w:rPr>
          <w:rFonts w:hint="eastAsia"/>
        </w:rPr>
        <w:t>1.10.2 承包人发现文物后不及时报告或隐瞒不报，致使文物丢失或损坏的，应赔偿损失，并承担相应的法律责任。</w:t>
      </w:r>
    </w:p>
    <w:p>
      <w:pPr>
        <w:pStyle w:val="50"/>
        <w:rPr>
          <w:rFonts w:hint="eastAsia"/>
        </w:rPr>
      </w:pPr>
      <w:bookmarkStart w:id="295" w:name="_Toc152045622"/>
      <w:bookmarkStart w:id="296" w:name="_Toc144974590"/>
      <w:bookmarkStart w:id="297" w:name="_Toc152042400"/>
      <w:bookmarkStart w:id="298" w:name="_Toc179632640"/>
      <w:r>
        <w:rPr>
          <w:rFonts w:hint="eastAsia"/>
        </w:rPr>
        <w:t>1.11 专利技术</w:t>
      </w:r>
      <w:bookmarkEnd w:id="295"/>
      <w:bookmarkEnd w:id="296"/>
      <w:bookmarkEnd w:id="297"/>
      <w:bookmarkEnd w:id="298"/>
    </w:p>
    <w:p>
      <w:pPr>
        <w:spacing w:line="400" w:lineRule="exact"/>
        <w:ind w:firstLine="420" w:firstLineChars="200"/>
        <w:rPr>
          <w:rFonts w:hint="eastAsia"/>
        </w:rPr>
      </w:pPr>
      <w:r>
        <w:rPr>
          <w:rFonts w:hint="eastAsia"/>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20" w:firstLineChars="200"/>
        <w:rPr>
          <w:rFonts w:hint="eastAsia"/>
        </w:rPr>
      </w:pPr>
      <w:r>
        <w:rPr>
          <w:rFonts w:hint="eastAsia"/>
        </w:rPr>
        <w:t>1.11.2 承包人在投标文件中采用专利技术的，专利技术的使用费包含在投标报价内。</w:t>
      </w:r>
    </w:p>
    <w:p>
      <w:pPr>
        <w:spacing w:line="400" w:lineRule="exact"/>
        <w:ind w:firstLine="420" w:firstLineChars="200"/>
        <w:rPr>
          <w:rFonts w:hint="eastAsia"/>
        </w:rPr>
      </w:pPr>
      <w:r>
        <w:rPr>
          <w:rFonts w:hint="eastAsia"/>
        </w:rPr>
        <w:t>1.11.3 承包人的技术秘密和声明需要保密的资料和信息，发包人和监理人不得为合同以外的目的泄露给他人。</w:t>
      </w:r>
    </w:p>
    <w:p>
      <w:pPr>
        <w:pStyle w:val="50"/>
        <w:rPr>
          <w:rFonts w:hint="eastAsia"/>
        </w:rPr>
      </w:pPr>
      <w:bookmarkStart w:id="299" w:name="_Toc179632641"/>
      <w:bookmarkStart w:id="300" w:name="_Toc152045623"/>
      <w:bookmarkStart w:id="301" w:name="_Toc144974591"/>
      <w:bookmarkStart w:id="302" w:name="_Toc152042401"/>
      <w:r>
        <w:rPr>
          <w:rFonts w:hint="eastAsia"/>
        </w:rPr>
        <w:t>1.12 图纸和文件的保密</w:t>
      </w:r>
      <w:bookmarkEnd w:id="299"/>
      <w:bookmarkEnd w:id="300"/>
      <w:bookmarkEnd w:id="301"/>
      <w:bookmarkEnd w:id="302"/>
    </w:p>
    <w:p>
      <w:pPr>
        <w:spacing w:line="400" w:lineRule="exact"/>
        <w:ind w:firstLine="420" w:firstLineChars="200"/>
        <w:rPr>
          <w:rFonts w:hint="eastAsia"/>
        </w:rPr>
      </w:pPr>
      <w:r>
        <w:rPr>
          <w:rFonts w:hint="eastAsia"/>
        </w:rPr>
        <w:t>1.12.1 发包人提供的图纸和文件，未经发包人同意，承包人不得为合同以外的目的泄露给他人或公开发表与引用。</w:t>
      </w:r>
    </w:p>
    <w:p>
      <w:pPr>
        <w:spacing w:line="400" w:lineRule="exact"/>
        <w:ind w:firstLine="420" w:firstLineChars="200"/>
        <w:rPr>
          <w:rFonts w:hint="eastAsia"/>
        </w:rPr>
      </w:pPr>
      <w:r>
        <w:rPr>
          <w:rFonts w:hint="eastAsia"/>
        </w:rPr>
        <w:t>1.12.2 承包人提供的文件，未经承包人同意，发包人和监理人不得为合同以外的目的泄露给他人或公开发表与引用。</w:t>
      </w:r>
    </w:p>
    <w:p>
      <w:pPr>
        <w:pStyle w:val="49"/>
        <w:rPr>
          <w:rFonts w:hint="eastAsia"/>
        </w:rPr>
      </w:pPr>
      <w:r>
        <w:rPr>
          <w:rFonts w:hint="eastAsia"/>
        </w:rPr>
        <w:t>2. 发包人义务</w:t>
      </w:r>
    </w:p>
    <w:p>
      <w:pPr>
        <w:pStyle w:val="50"/>
        <w:rPr>
          <w:rFonts w:hint="eastAsia"/>
        </w:rPr>
      </w:pPr>
      <w:bookmarkStart w:id="303" w:name="_Toc152042403"/>
      <w:bookmarkStart w:id="304" w:name="_Toc144974593"/>
      <w:bookmarkStart w:id="305" w:name="_Toc179632643"/>
      <w:bookmarkStart w:id="306" w:name="_Toc152045625"/>
      <w:r>
        <w:rPr>
          <w:rFonts w:hint="eastAsia"/>
        </w:rPr>
        <w:t>2.1 遵守法律</w:t>
      </w:r>
      <w:bookmarkEnd w:id="303"/>
      <w:bookmarkEnd w:id="304"/>
      <w:bookmarkEnd w:id="305"/>
      <w:bookmarkEnd w:id="306"/>
    </w:p>
    <w:p>
      <w:pPr>
        <w:spacing w:line="400" w:lineRule="exact"/>
        <w:ind w:firstLine="420" w:firstLineChars="200"/>
        <w:rPr>
          <w:rFonts w:hint="eastAsia"/>
        </w:rPr>
      </w:pPr>
      <w:r>
        <w:rPr>
          <w:rFonts w:hint="eastAsia"/>
        </w:rPr>
        <w:t>发包人在履行合同过程中应遵守法律，并保证承包人免于承担因发包人违反法律而引起的任何责任。</w:t>
      </w:r>
    </w:p>
    <w:p>
      <w:pPr>
        <w:pStyle w:val="50"/>
        <w:rPr>
          <w:rFonts w:hint="eastAsia"/>
        </w:rPr>
      </w:pPr>
      <w:bookmarkStart w:id="307" w:name="_Toc152042404"/>
      <w:bookmarkStart w:id="308" w:name="_Toc144974594"/>
      <w:bookmarkStart w:id="309" w:name="_Toc152045626"/>
      <w:bookmarkStart w:id="310" w:name="_Toc179632644"/>
      <w:r>
        <w:rPr>
          <w:rFonts w:hint="eastAsia"/>
        </w:rPr>
        <w:t>2.2 发出开工通知</w:t>
      </w:r>
      <w:bookmarkEnd w:id="307"/>
      <w:bookmarkEnd w:id="308"/>
      <w:bookmarkEnd w:id="309"/>
      <w:bookmarkEnd w:id="310"/>
    </w:p>
    <w:p>
      <w:pPr>
        <w:spacing w:line="400" w:lineRule="exact"/>
        <w:ind w:firstLine="420" w:firstLineChars="200"/>
        <w:rPr>
          <w:rFonts w:hint="eastAsia"/>
        </w:rPr>
      </w:pPr>
      <w:r>
        <w:rPr>
          <w:rFonts w:hint="eastAsia"/>
        </w:rPr>
        <w:t>发包人应委托监理人按第11.1款的约定向承包人发出开工通知。</w:t>
      </w:r>
    </w:p>
    <w:p>
      <w:pPr>
        <w:pStyle w:val="50"/>
        <w:rPr>
          <w:rFonts w:hint="eastAsia"/>
        </w:rPr>
      </w:pPr>
      <w:r>
        <w:rPr>
          <w:rFonts w:hint="eastAsia"/>
        </w:rPr>
        <w:t>2.3 提供施工场地</w:t>
      </w:r>
    </w:p>
    <w:p>
      <w:pPr>
        <w:spacing w:line="400" w:lineRule="exact"/>
        <w:ind w:firstLine="420" w:firstLineChars="200"/>
        <w:rPr>
          <w:rFonts w:hint="eastAsia"/>
        </w:rPr>
      </w:pPr>
      <w:r>
        <w:rPr>
          <w:rFonts w:hint="eastAsia"/>
        </w:rPr>
        <w:t>发包人应按专用合同条款约定向承包人提供施工场地，以及施工场地内地下管线和地下设施等有关资料，并保证资料的真实、准确、完整。</w:t>
      </w:r>
    </w:p>
    <w:p>
      <w:pPr>
        <w:pStyle w:val="50"/>
        <w:rPr>
          <w:rFonts w:hint="eastAsia"/>
        </w:rPr>
      </w:pPr>
      <w:bookmarkStart w:id="311" w:name="_Toc152042406"/>
      <w:bookmarkStart w:id="312" w:name="_Toc152045628"/>
      <w:bookmarkStart w:id="313" w:name="_Toc144974596"/>
      <w:bookmarkStart w:id="314" w:name="_Toc179632646"/>
      <w:r>
        <w:rPr>
          <w:rFonts w:hint="eastAsia"/>
        </w:rPr>
        <w:t>2.4 协助承包人办理证件和批件</w:t>
      </w:r>
      <w:bookmarkEnd w:id="311"/>
      <w:bookmarkEnd w:id="312"/>
      <w:bookmarkEnd w:id="313"/>
      <w:bookmarkEnd w:id="314"/>
    </w:p>
    <w:p>
      <w:pPr>
        <w:spacing w:line="400" w:lineRule="exact"/>
        <w:ind w:firstLine="420" w:firstLineChars="200"/>
        <w:rPr>
          <w:rFonts w:hint="eastAsia"/>
        </w:rPr>
      </w:pPr>
      <w:r>
        <w:rPr>
          <w:rFonts w:hint="eastAsia"/>
        </w:rPr>
        <w:t>发包人应协助承包人办理法律规定的有关施工证件和批件。</w:t>
      </w:r>
    </w:p>
    <w:p>
      <w:pPr>
        <w:pStyle w:val="50"/>
        <w:rPr>
          <w:rFonts w:hint="eastAsia"/>
        </w:rPr>
      </w:pPr>
      <w:bookmarkStart w:id="315" w:name="_Toc152042407"/>
      <w:bookmarkStart w:id="316" w:name="_Toc179632647"/>
      <w:bookmarkStart w:id="317" w:name="_Toc152045629"/>
      <w:bookmarkStart w:id="318" w:name="_Toc144974597"/>
      <w:r>
        <w:rPr>
          <w:rFonts w:hint="eastAsia"/>
        </w:rPr>
        <w:t>2.5 组织设计交底</w:t>
      </w:r>
      <w:bookmarkEnd w:id="315"/>
      <w:bookmarkEnd w:id="316"/>
      <w:bookmarkEnd w:id="317"/>
      <w:bookmarkEnd w:id="318"/>
    </w:p>
    <w:p>
      <w:pPr>
        <w:spacing w:line="400" w:lineRule="exact"/>
        <w:ind w:firstLine="420" w:firstLineChars="200"/>
        <w:rPr>
          <w:rFonts w:hint="eastAsia"/>
        </w:rPr>
      </w:pPr>
      <w:r>
        <w:rPr>
          <w:rFonts w:hint="eastAsia"/>
        </w:rPr>
        <w:t>发包人应根据合同进度计划，组织设计单位向承包人进行设计交底。</w:t>
      </w:r>
    </w:p>
    <w:p>
      <w:pPr>
        <w:pStyle w:val="50"/>
        <w:rPr>
          <w:rFonts w:hint="eastAsia"/>
        </w:rPr>
      </w:pPr>
      <w:bookmarkStart w:id="319" w:name="_Toc152042408"/>
      <w:bookmarkStart w:id="320" w:name="_Toc144974598"/>
      <w:bookmarkStart w:id="321" w:name="_Toc179632648"/>
      <w:bookmarkStart w:id="322" w:name="_Toc152045630"/>
      <w:r>
        <w:rPr>
          <w:rFonts w:hint="eastAsia"/>
        </w:rPr>
        <w:t>2.6 支付合同价款</w:t>
      </w:r>
      <w:bookmarkEnd w:id="319"/>
      <w:bookmarkEnd w:id="320"/>
      <w:bookmarkEnd w:id="321"/>
      <w:bookmarkEnd w:id="322"/>
    </w:p>
    <w:p>
      <w:pPr>
        <w:spacing w:line="400" w:lineRule="exact"/>
        <w:ind w:firstLine="420" w:firstLineChars="200"/>
        <w:rPr>
          <w:rFonts w:hint="eastAsia"/>
        </w:rPr>
      </w:pPr>
      <w:r>
        <w:rPr>
          <w:rFonts w:hint="eastAsia"/>
        </w:rPr>
        <w:t>发包人应按合同约定向承包人及时支付合同价款。</w:t>
      </w:r>
    </w:p>
    <w:p>
      <w:pPr>
        <w:pStyle w:val="50"/>
        <w:rPr>
          <w:rFonts w:hint="eastAsia"/>
        </w:rPr>
      </w:pPr>
      <w:bookmarkStart w:id="323" w:name="_Toc152045631"/>
      <w:bookmarkStart w:id="324" w:name="_Toc144974599"/>
      <w:bookmarkStart w:id="325" w:name="_Toc152042409"/>
      <w:bookmarkStart w:id="326" w:name="_Toc179632649"/>
      <w:r>
        <w:rPr>
          <w:rFonts w:hint="eastAsia"/>
        </w:rPr>
        <w:t>2.7 组织竣工验收</w:t>
      </w:r>
      <w:bookmarkEnd w:id="323"/>
      <w:bookmarkEnd w:id="324"/>
      <w:bookmarkEnd w:id="325"/>
      <w:bookmarkEnd w:id="326"/>
    </w:p>
    <w:p>
      <w:pPr>
        <w:spacing w:line="400" w:lineRule="exact"/>
        <w:ind w:firstLine="420" w:firstLineChars="200"/>
        <w:rPr>
          <w:rFonts w:hint="eastAsia"/>
        </w:rPr>
      </w:pPr>
      <w:r>
        <w:rPr>
          <w:rFonts w:hint="eastAsia"/>
        </w:rPr>
        <w:t>发包人应按合同约定及时组织竣工验收。</w:t>
      </w:r>
    </w:p>
    <w:p>
      <w:pPr>
        <w:pStyle w:val="50"/>
        <w:rPr>
          <w:rFonts w:hint="eastAsia"/>
        </w:rPr>
      </w:pPr>
      <w:bookmarkStart w:id="327" w:name="_Toc144974600"/>
      <w:bookmarkStart w:id="328" w:name="_Toc179632650"/>
      <w:bookmarkStart w:id="329" w:name="_Toc152045632"/>
      <w:bookmarkStart w:id="330" w:name="_Toc152042410"/>
      <w:r>
        <w:rPr>
          <w:rFonts w:hint="eastAsia"/>
        </w:rPr>
        <w:t>2.8 其他义务</w:t>
      </w:r>
      <w:bookmarkEnd w:id="327"/>
      <w:bookmarkEnd w:id="328"/>
      <w:bookmarkEnd w:id="329"/>
      <w:bookmarkEnd w:id="330"/>
    </w:p>
    <w:p>
      <w:pPr>
        <w:spacing w:line="400" w:lineRule="exact"/>
        <w:ind w:firstLine="420" w:firstLineChars="200"/>
        <w:rPr>
          <w:rFonts w:hint="eastAsia"/>
        </w:rPr>
      </w:pPr>
      <w:r>
        <w:rPr>
          <w:rFonts w:hint="eastAsia"/>
        </w:rPr>
        <w:t>发包人应履行合同约定的其他义务。</w:t>
      </w:r>
    </w:p>
    <w:p>
      <w:pPr>
        <w:pStyle w:val="49"/>
        <w:rPr>
          <w:rFonts w:hint="eastAsia"/>
        </w:rPr>
      </w:pPr>
      <w:r>
        <w:rPr>
          <w:rFonts w:hint="eastAsia"/>
        </w:rPr>
        <w:t>3. 监理人</w:t>
      </w:r>
    </w:p>
    <w:p>
      <w:pPr>
        <w:pStyle w:val="50"/>
        <w:rPr>
          <w:rFonts w:hint="eastAsia"/>
        </w:rPr>
      </w:pPr>
      <w:r>
        <w:rPr>
          <w:rFonts w:hint="eastAsia"/>
        </w:rPr>
        <w:t>3.1 监理人的职责和权力</w:t>
      </w:r>
    </w:p>
    <w:p>
      <w:pPr>
        <w:spacing w:line="400" w:lineRule="exact"/>
        <w:ind w:firstLine="420" w:firstLineChars="200"/>
        <w:rPr>
          <w:rFonts w:hint="eastAsia"/>
        </w:rPr>
      </w:pPr>
      <w:r>
        <w:rPr>
          <w:rFonts w:hint="eastAsia"/>
        </w:rPr>
        <w:t>3.1.1 监理人受发包人委托，享有合同约定的权力。监理人在行使某项权力前需要经发包人事先批准而通用合同条款没有指明的，应在专用合同条款中指明。</w:t>
      </w:r>
    </w:p>
    <w:p>
      <w:pPr>
        <w:spacing w:line="400" w:lineRule="exact"/>
        <w:ind w:firstLine="420" w:firstLineChars="200"/>
        <w:rPr>
          <w:rFonts w:hint="eastAsia"/>
        </w:rPr>
      </w:pPr>
      <w:r>
        <w:rPr>
          <w:rFonts w:hint="eastAsia"/>
        </w:rPr>
        <w:t>3.1.2 监理人发出的任何指示应视为已得到发包人的批准，但监理人无权免除或变更合同约定的发包人和承包人的权利、义务和责任。</w:t>
      </w:r>
    </w:p>
    <w:p>
      <w:pPr>
        <w:spacing w:line="400" w:lineRule="exact"/>
        <w:ind w:firstLine="420" w:firstLineChars="200"/>
        <w:rPr>
          <w:rFonts w:hint="eastAsia"/>
        </w:rPr>
      </w:pPr>
      <w:r>
        <w:rPr>
          <w:rFonts w:hint="eastAsia"/>
        </w:rPr>
        <w:t>3.1.3 合同约定应由承包人承担的义务和责任，不因监理人对承包人提交文件的审查或批准，对工程、材料和设备的检查和检验，以及为实施监理作出的指示等职务行为而减轻或解除。</w:t>
      </w:r>
    </w:p>
    <w:p>
      <w:pPr>
        <w:pStyle w:val="50"/>
        <w:rPr>
          <w:rFonts w:hint="eastAsia"/>
        </w:rPr>
      </w:pPr>
      <w:bookmarkStart w:id="331" w:name="_Toc152042413"/>
      <w:bookmarkStart w:id="332" w:name="_Toc152045635"/>
      <w:bookmarkStart w:id="333" w:name="_Toc179632653"/>
      <w:bookmarkStart w:id="334" w:name="_Toc144974603"/>
      <w:r>
        <w:rPr>
          <w:rFonts w:hint="eastAsia"/>
        </w:rPr>
        <w:t>3.2 总监理工程师</w:t>
      </w:r>
      <w:bookmarkEnd w:id="331"/>
      <w:bookmarkEnd w:id="332"/>
      <w:bookmarkEnd w:id="333"/>
      <w:bookmarkEnd w:id="334"/>
    </w:p>
    <w:p>
      <w:pPr>
        <w:spacing w:line="400" w:lineRule="exact"/>
        <w:ind w:firstLine="420" w:firstLineChars="200"/>
        <w:rPr>
          <w:rFonts w:hint="eastAsia"/>
        </w:rPr>
      </w:pPr>
      <w:r>
        <w:rPr>
          <w:rFonts w:hint="eastAsia"/>
        </w:rPr>
        <w:t>发包人应在发出开工通知前将总监理工程师的任命通知承包人。总监理工程师更换时，应在调离14天前通知承包人。总监理工程师短期离开施工场地的，应委派代表代行其职责，并通知承包人。</w:t>
      </w:r>
    </w:p>
    <w:p>
      <w:pPr>
        <w:pStyle w:val="50"/>
        <w:rPr>
          <w:rFonts w:hint="eastAsia"/>
        </w:rPr>
      </w:pPr>
      <w:bookmarkStart w:id="335" w:name="_Toc152042414"/>
      <w:bookmarkStart w:id="336" w:name="_Toc152045636"/>
      <w:bookmarkStart w:id="337" w:name="_Toc144974604"/>
      <w:bookmarkStart w:id="338" w:name="_Toc179632654"/>
      <w:r>
        <w:rPr>
          <w:rFonts w:hint="eastAsia"/>
        </w:rPr>
        <w:t>3.3 监理人员</w:t>
      </w:r>
      <w:bookmarkEnd w:id="335"/>
      <w:bookmarkEnd w:id="336"/>
      <w:bookmarkEnd w:id="337"/>
      <w:bookmarkEnd w:id="338"/>
    </w:p>
    <w:p>
      <w:pPr>
        <w:spacing w:line="400" w:lineRule="exact"/>
        <w:ind w:firstLine="420" w:firstLineChars="200"/>
        <w:rPr>
          <w:rFonts w:hint="eastAsia"/>
        </w:rPr>
      </w:pPr>
      <w:r>
        <w:rPr>
          <w:rFonts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20" w:firstLineChars="200"/>
        <w:rPr>
          <w:rFonts w:hint="eastAsia"/>
        </w:rPr>
      </w:pPr>
      <w:r>
        <w:rPr>
          <w:rFonts w:hint="eastAsia"/>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20" w:firstLineChars="200"/>
        <w:rPr>
          <w:rFonts w:hint="eastAsia"/>
        </w:rPr>
      </w:pPr>
      <w:r>
        <w:rPr>
          <w:rFonts w:hint="eastAsia"/>
        </w:rPr>
        <w:t>3.3.3 承包人对总监理工程师授权的监理人员发出的指示有疑问的，可向总监理工程师提出书面异议，总监理工程师应在48小时内对该指示予以确认、更改或撤销。</w:t>
      </w:r>
    </w:p>
    <w:p>
      <w:pPr>
        <w:spacing w:line="400" w:lineRule="exact"/>
        <w:ind w:firstLine="420" w:firstLineChars="200"/>
        <w:rPr>
          <w:rFonts w:hint="eastAsia"/>
        </w:rPr>
      </w:pPr>
      <w:r>
        <w:rPr>
          <w:rFonts w:hint="eastAsia"/>
        </w:rPr>
        <w:t>3.3.4 除专用合同条款另有约定外，总监理工程师不应将第3.5款约定应由总监理工程师作出确定的权力授权或委托给其他监理人员。</w:t>
      </w:r>
    </w:p>
    <w:p>
      <w:pPr>
        <w:pStyle w:val="50"/>
        <w:rPr>
          <w:rFonts w:hint="eastAsia"/>
        </w:rPr>
      </w:pPr>
      <w:bookmarkStart w:id="339" w:name="_Toc144974605"/>
      <w:bookmarkStart w:id="340" w:name="_Toc179632655"/>
      <w:bookmarkStart w:id="341" w:name="_Toc152045637"/>
      <w:bookmarkStart w:id="342" w:name="_Toc152042415"/>
      <w:r>
        <w:rPr>
          <w:rFonts w:hint="eastAsia"/>
        </w:rPr>
        <w:t>3.4 监理人的指示</w:t>
      </w:r>
      <w:bookmarkEnd w:id="339"/>
      <w:bookmarkEnd w:id="340"/>
      <w:bookmarkEnd w:id="341"/>
      <w:bookmarkEnd w:id="342"/>
    </w:p>
    <w:p>
      <w:pPr>
        <w:spacing w:line="400" w:lineRule="exact"/>
        <w:ind w:firstLine="420" w:firstLineChars="200"/>
        <w:rPr>
          <w:rFonts w:hint="eastAsia"/>
        </w:rPr>
      </w:pPr>
      <w:r>
        <w:rPr>
          <w:rFonts w:hint="eastAsia"/>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20" w:firstLineChars="200"/>
        <w:rPr>
          <w:rFonts w:hint="eastAsia"/>
        </w:rPr>
      </w:pPr>
      <w:r>
        <w:rPr>
          <w:rFonts w:hint="eastAsia"/>
        </w:rPr>
        <w:t>3.4.2 承包人收到监理人按第3.4.1项作出的指示后应遵照执行。指示构成变更的，应按第15条处理。</w:t>
      </w:r>
    </w:p>
    <w:p>
      <w:pPr>
        <w:spacing w:line="400" w:lineRule="exact"/>
        <w:ind w:firstLine="420" w:firstLineChars="200"/>
        <w:rPr>
          <w:rFonts w:hint="eastAsia"/>
        </w:rPr>
      </w:pPr>
      <w:r>
        <w:rPr>
          <w:rFonts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20" w:firstLineChars="200"/>
        <w:rPr>
          <w:rFonts w:hint="eastAsia"/>
        </w:rPr>
      </w:pPr>
      <w:r>
        <w:rPr>
          <w:rFonts w:hint="eastAsia"/>
        </w:rPr>
        <w:t>3.4.4 除合同另有约定外，承包人只从总监理工程师或按第3.3.1项被授权的监理人员处取得指示。</w:t>
      </w:r>
    </w:p>
    <w:p>
      <w:pPr>
        <w:spacing w:line="400" w:lineRule="exact"/>
        <w:ind w:firstLine="420" w:firstLineChars="200"/>
        <w:rPr>
          <w:rFonts w:hint="eastAsia"/>
        </w:rPr>
      </w:pPr>
      <w:r>
        <w:rPr>
          <w:rFonts w:hint="eastAsia"/>
        </w:rPr>
        <w:t xml:space="preserve">3.4.5 由于监理人未能按合同约定发出指示、指示延误或指示错误而导致承包人费用增加和（或）工期延误的，由发包人承担赔偿责任。 </w:t>
      </w:r>
    </w:p>
    <w:p>
      <w:pPr>
        <w:pStyle w:val="50"/>
        <w:rPr>
          <w:rFonts w:hint="eastAsia"/>
        </w:rPr>
      </w:pPr>
      <w:r>
        <w:rPr>
          <w:rFonts w:hint="eastAsia"/>
        </w:rPr>
        <w:t>3.5 商定或确定</w:t>
      </w:r>
    </w:p>
    <w:p>
      <w:pPr>
        <w:spacing w:line="400" w:lineRule="exact"/>
        <w:ind w:firstLine="420" w:firstLineChars="200"/>
        <w:rPr>
          <w:rFonts w:hint="eastAsia"/>
        </w:rPr>
      </w:pPr>
      <w:r>
        <w:rPr>
          <w:rFonts w:hint="eastAsia"/>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20" w:firstLineChars="200"/>
        <w:rPr>
          <w:rFonts w:hint="eastAsia"/>
        </w:rPr>
      </w:pPr>
      <w:r>
        <w:rPr>
          <w:rFonts w:hint="eastAsia"/>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49"/>
        <w:rPr>
          <w:rFonts w:hint="eastAsia"/>
        </w:rPr>
      </w:pPr>
      <w:r>
        <w:rPr>
          <w:rFonts w:hint="eastAsia"/>
        </w:rPr>
        <w:t>4. 承包人</w:t>
      </w:r>
    </w:p>
    <w:p>
      <w:pPr>
        <w:pStyle w:val="50"/>
        <w:rPr>
          <w:rFonts w:hint="eastAsia"/>
        </w:rPr>
      </w:pPr>
      <w:r>
        <w:rPr>
          <w:rFonts w:hint="eastAsia"/>
        </w:rPr>
        <w:t>4.1 承包人的一般义务</w:t>
      </w:r>
    </w:p>
    <w:p>
      <w:pPr>
        <w:spacing w:line="400" w:lineRule="exact"/>
        <w:ind w:firstLine="420" w:firstLineChars="200"/>
        <w:rPr>
          <w:rFonts w:hint="eastAsia"/>
        </w:rPr>
      </w:pPr>
      <w:r>
        <w:rPr>
          <w:rFonts w:hint="eastAsia"/>
        </w:rPr>
        <w:t xml:space="preserve">4.1.1 </w:t>
      </w:r>
      <w:r>
        <w:rPr>
          <w:rFonts w:hint="eastAsia" w:ascii="黑体" w:eastAsia="黑体"/>
        </w:rPr>
        <w:t>遵守法律</w:t>
      </w:r>
    </w:p>
    <w:p>
      <w:pPr>
        <w:spacing w:line="400" w:lineRule="exact"/>
        <w:ind w:firstLine="420" w:firstLineChars="200"/>
        <w:rPr>
          <w:rFonts w:hint="eastAsia"/>
        </w:rPr>
      </w:pPr>
      <w:r>
        <w:rPr>
          <w:rFonts w:hint="eastAsia"/>
        </w:rPr>
        <w:t>承包人在履行合同过程中应遵守法律，并保证发包人免于承担因承包人违反法律而引起的任何责任。</w:t>
      </w:r>
    </w:p>
    <w:p>
      <w:pPr>
        <w:spacing w:line="400" w:lineRule="exact"/>
        <w:ind w:firstLine="420" w:firstLineChars="200"/>
        <w:rPr>
          <w:rFonts w:hint="eastAsia"/>
        </w:rPr>
      </w:pPr>
      <w:r>
        <w:rPr>
          <w:rFonts w:hint="eastAsia"/>
        </w:rPr>
        <w:t xml:space="preserve">4.1.2 </w:t>
      </w:r>
      <w:r>
        <w:rPr>
          <w:rFonts w:hint="eastAsia" w:ascii="黑体" w:eastAsia="黑体"/>
        </w:rPr>
        <w:t>依法纳税</w:t>
      </w:r>
    </w:p>
    <w:p>
      <w:pPr>
        <w:spacing w:line="400" w:lineRule="exact"/>
        <w:ind w:firstLine="420" w:firstLineChars="200"/>
        <w:rPr>
          <w:rFonts w:hint="eastAsia"/>
        </w:rPr>
      </w:pPr>
      <w:r>
        <w:rPr>
          <w:rFonts w:hint="eastAsia"/>
        </w:rPr>
        <w:t>承包人应按有关法律规定纳税，应缴纳的税金包括在合同价格内。</w:t>
      </w:r>
    </w:p>
    <w:p>
      <w:pPr>
        <w:spacing w:line="400" w:lineRule="exact"/>
        <w:ind w:firstLine="420" w:firstLineChars="200"/>
        <w:rPr>
          <w:rFonts w:hint="eastAsia"/>
        </w:rPr>
      </w:pPr>
      <w:r>
        <w:rPr>
          <w:rFonts w:hint="eastAsia"/>
        </w:rPr>
        <w:t xml:space="preserve">4.1.3 </w:t>
      </w:r>
      <w:r>
        <w:rPr>
          <w:rFonts w:hint="eastAsia" w:ascii="黑体" w:eastAsia="黑体"/>
        </w:rPr>
        <w:t>完成各项承包工作</w:t>
      </w:r>
    </w:p>
    <w:p>
      <w:pPr>
        <w:spacing w:line="400" w:lineRule="exact"/>
        <w:ind w:firstLine="420" w:firstLineChars="200"/>
        <w:rPr>
          <w:rFonts w:hint="eastAsia"/>
        </w:rPr>
      </w:pPr>
      <w:r>
        <w:rPr>
          <w:rFonts w:hint="eastAsia"/>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20" w:firstLineChars="200"/>
        <w:rPr>
          <w:rFonts w:hint="eastAsia"/>
        </w:rPr>
      </w:pPr>
      <w:r>
        <w:rPr>
          <w:rFonts w:hint="eastAsia"/>
        </w:rPr>
        <w:t xml:space="preserve">4.1.4 </w:t>
      </w:r>
      <w:r>
        <w:rPr>
          <w:rFonts w:hint="eastAsia" w:ascii="黑体" w:eastAsia="黑体"/>
        </w:rPr>
        <w:t>对施工作业和施工方法的完备性负责</w:t>
      </w:r>
    </w:p>
    <w:p>
      <w:pPr>
        <w:spacing w:line="400" w:lineRule="exact"/>
        <w:ind w:firstLine="420" w:firstLineChars="200"/>
        <w:rPr>
          <w:rFonts w:hint="eastAsia"/>
        </w:rPr>
      </w:pPr>
      <w:r>
        <w:rPr>
          <w:rFonts w:hint="eastAsia"/>
        </w:rPr>
        <w:t>承包人应按合同约定的工作内容和施工进度要求，编制施工组织设计和施工措施计划，并对所有施工作业和施工方法的完备性和安全可靠性负责。</w:t>
      </w:r>
    </w:p>
    <w:p>
      <w:pPr>
        <w:spacing w:line="400" w:lineRule="exact"/>
        <w:ind w:firstLine="420" w:firstLineChars="200"/>
        <w:rPr>
          <w:rFonts w:hint="eastAsia"/>
        </w:rPr>
      </w:pPr>
      <w:r>
        <w:rPr>
          <w:rFonts w:hint="eastAsia"/>
        </w:rPr>
        <w:t xml:space="preserve">4.1.5 </w:t>
      </w:r>
      <w:r>
        <w:rPr>
          <w:rFonts w:hint="eastAsia" w:ascii="黑体" w:eastAsia="黑体"/>
        </w:rPr>
        <w:t>保证工程施工和人员的安全</w:t>
      </w:r>
    </w:p>
    <w:p>
      <w:pPr>
        <w:spacing w:line="400" w:lineRule="exact"/>
        <w:ind w:firstLine="420" w:firstLineChars="200"/>
        <w:rPr>
          <w:rFonts w:hint="eastAsia"/>
        </w:rPr>
      </w:pPr>
      <w:r>
        <w:rPr>
          <w:rFonts w:hint="eastAsia"/>
        </w:rPr>
        <w:t>承包人应按第9.2款约定采取施工安全措施，确保工程及其人员、材料、设备和设施的安全，防止因工程施工造成的人身伤害和财产损失。</w:t>
      </w:r>
    </w:p>
    <w:p>
      <w:pPr>
        <w:spacing w:line="400" w:lineRule="exact"/>
        <w:ind w:firstLine="420" w:firstLineChars="200"/>
        <w:rPr>
          <w:rFonts w:hint="eastAsia"/>
        </w:rPr>
      </w:pPr>
      <w:r>
        <w:rPr>
          <w:rFonts w:hint="eastAsia"/>
        </w:rPr>
        <w:t xml:space="preserve">4.1.6 </w:t>
      </w:r>
      <w:r>
        <w:rPr>
          <w:rFonts w:hint="eastAsia" w:ascii="黑体" w:eastAsia="黑体"/>
        </w:rPr>
        <w:t>负责施工场地及其周边环境与生态的保护工作</w:t>
      </w:r>
    </w:p>
    <w:p>
      <w:pPr>
        <w:spacing w:line="400" w:lineRule="exact"/>
        <w:ind w:firstLine="420" w:firstLineChars="200"/>
        <w:rPr>
          <w:rFonts w:hint="eastAsia"/>
        </w:rPr>
      </w:pPr>
      <w:r>
        <w:rPr>
          <w:rFonts w:hint="eastAsia"/>
        </w:rPr>
        <w:t>承包人应按照第9.4款约定负责施工场地及其周边环境与生态的保护工作。</w:t>
      </w:r>
    </w:p>
    <w:p>
      <w:pPr>
        <w:spacing w:line="400" w:lineRule="exact"/>
        <w:ind w:firstLine="420" w:firstLineChars="200"/>
        <w:rPr>
          <w:rFonts w:hint="eastAsia"/>
        </w:rPr>
      </w:pPr>
      <w:r>
        <w:rPr>
          <w:rFonts w:hint="eastAsia"/>
        </w:rPr>
        <w:t xml:space="preserve">4.1.7 </w:t>
      </w:r>
      <w:r>
        <w:rPr>
          <w:rFonts w:hint="eastAsia" w:ascii="黑体" w:eastAsia="黑体"/>
        </w:rPr>
        <w:t>避免施工对公众与他人的利益造成损害</w:t>
      </w:r>
    </w:p>
    <w:p>
      <w:pPr>
        <w:spacing w:line="400" w:lineRule="exact"/>
        <w:ind w:firstLine="420" w:firstLineChars="200"/>
        <w:rPr>
          <w:rFonts w:hint="eastAsia"/>
        </w:rPr>
      </w:pPr>
      <w:r>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20" w:firstLineChars="200"/>
        <w:rPr>
          <w:rFonts w:hint="eastAsia"/>
        </w:rPr>
      </w:pPr>
      <w:r>
        <w:rPr>
          <w:rFonts w:hint="eastAsia"/>
        </w:rPr>
        <w:t xml:space="preserve">4.1.8 </w:t>
      </w:r>
      <w:r>
        <w:rPr>
          <w:rFonts w:hint="eastAsia" w:ascii="黑体" w:eastAsia="黑体"/>
        </w:rPr>
        <w:t>为他人提供方便</w:t>
      </w:r>
    </w:p>
    <w:p>
      <w:pPr>
        <w:spacing w:line="400" w:lineRule="exact"/>
        <w:ind w:firstLine="420" w:firstLineChars="200"/>
        <w:rPr>
          <w:rFonts w:hint="eastAsia"/>
        </w:rPr>
      </w:pPr>
      <w:r>
        <w:rPr>
          <w:rFonts w:hint="eastAsia"/>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20" w:firstLineChars="200"/>
        <w:rPr>
          <w:rFonts w:hint="eastAsia"/>
        </w:rPr>
      </w:pPr>
      <w:r>
        <w:rPr>
          <w:rFonts w:hint="eastAsia"/>
        </w:rPr>
        <w:t xml:space="preserve">4.1.9 </w:t>
      </w:r>
      <w:r>
        <w:rPr>
          <w:rFonts w:hint="eastAsia" w:ascii="黑体" w:eastAsia="黑体"/>
        </w:rPr>
        <w:t>工程的维护和照管</w:t>
      </w:r>
    </w:p>
    <w:p>
      <w:pPr>
        <w:spacing w:line="400" w:lineRule="exact"/>
        <w:ind w:firstLine="420" w:firstLineChars="200"/>
        <w:rPr>
          <w:rFonts w:hint="eastAsia"/>
        </w:rPr>
      </w:pPr>
      <w:r>
        <w:rPr>
          <w:rFonts w:hint="eastAsia"/>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20" w:firstLineChars="200"/>
        <w:rPr>
          <w:rFonts w:hint="eastAsia"/>
        </w:rPr>
      </w:pPr>
      <w:r>
        <w:rPr>
          <w:rFonts w:hint="eastAsia"/>
        </w:rPr>
        <w:t xml:space="preserve">4.1.10 </w:t>
      </w:r>
      <w:r>
        <w:rPr>
          <w:rFonts w:hint="eastAsia" w:ascii="黑体" w:eastAsia="黑体"/>
        </w:rPr>
        <w:t>其他义务</w:t>
      </w:r>
    </w:p>
    <w:p>
      <w:pPr>
        <w:spacing w:line="400" w:lineRule="exact"/>
        <w:ind w:firstLine="420" w:firstLineChars="200"/>
        <w:rPr>
          <w:rFonts w:hint="eastAsia"/>
        </w:rPr>
      </w:pPr>
      <w:r>
        <w:rPr>
          <w:rFonts w:hint="eastAsia"/>
        </w:rPr>
        <w:t>承包人应履行合同约定的其他义务。</w:t>
      </w:r>
    </w:p>
    <w:p>
      <w:pPr>
        <w:pStyle w:val="50"/>
        <w:rPr>
          <w:rFonts w:hint="eastAsia"/>
        </w:rPr>
      </w:pPr>
      <w:r>
        <w:rPr>
          <w:rFonts w:hint="eastAsia"/>
        </w:rPr>
        <w:t>4.2 履约担保</w:t>
      </w:r>
    </w:p>
    <w:p>
      <w:pPr>
        <w:spacing w:line="400" w:lineRule="exact"/>
        <w:ind w:firstLine="420" w:firstLineChars="200"/>
        <w:rPr>
          <w:rFonts w:hint="eastAsia"/>
        </w:rPr>
      </w:pPr>
      <w:r>
        <w:rPr>
          <w:rFonts w:hint="eastAsia"/>
        </w:rPr>
        <w:t>承包人应保证其履约担保在发包人颁发工程接收证书前一直有效。发包人应在工程接收证书颁发后28天内把履约担保退还给承包人。</w:t>
      </w:r>
    </w:p>
    <w:p>
      <w:pPr>
        <w:pStyle w:val="50"/>
        <w:rPr>
          <w:rFonts w:hint="eastAsia"/>
        </w:rPr>
      </w:pPr>
      <w:r>
        <w:rPr>
          <w:rFonts w:hint="eastAsia"/>
        </w:rPr>
        <w:t>4.3 分包</w:t>
      </w:r>
    </w:p>
    <w:p>
      <w:pPr>
        <w:spacing w:line="400" w:lineRule="exact"/>
        <w:ind w:firstLine="420" w:firstLineChars="200"/>
        <w:rPr>
          <w:rFonts w:hint="eastAsia"/>
        </w:rPr>
      </w:pPr>
      <w:r>
        <w:rPr>
          <w:rFonts w:hint="eastAsia"/>
        </w:rPr>
        <w:t>4.3.1 承包人不得将其承包的全部工程转包给第三人，或将其承包的全部工程肢解后以分包的名义转包给第三人。</w:t>
      </w:r>
    </w:p>
    <w:p>
      <w:pPr>
        <w:spacing w:line="400" w:lineRule="exact"/>
        <w:ind w:firstLine="420" w:firstLineChars="200"/>
        <w:rPr>
          <w:rFonts w:hint="eastAsia"/>
        </w:rPr>
      </w:pPr>
      <w:r>
        <w:rPr>
          <w:rFonts w:hint="eastAsia"/>
        </w:rPr>
        <w:t>4.3.2 承包人不得将工程主体、关键性工作分包给第三人。除专用合同条款另有约定外，未经发包人同意，承包人不得将工程的其他部分或工作分包给第三人。</w:t>
      </w:r>
    </w:p>
    <w:p>
      <w:pPr>
        <w:spacing w:line="400" w:lineRule="exact"/>
        <w:ind w:firstLine="420" w:firstLineChars="200"/>
        <w:rPr>
          <w:rFonts w:hint="eastAsia"/>
        </w:rPr>
      </w:pPr>
      <w:r>
        <w:rPr>
          <w:rFonts w:hint="eastAsia"/>
        </w:rPr>
        <w:t>4.3.3 分包人的资格能力应与其分包工程的标准和规模相适应。</w:t>
      </w:r>
    </w:p>
    <w:p>
      <w:pPr>
        <w:spacing w:line="400" w:lineRule="exact"/>
        <w:ind w:firstLine="420" w:firstLineChars="200"/>
        <w:rPr>
          <w:rFonts w:hint="eastAsia"/>
        </w:rPr>
      </w:pPr>
      <w:r>
        <w:rPr>
          <w:rFonts w:hint="eastAsia"/>
        </w:rPr>
        <w:t>4.3.4 按投标函附录约定分包工程的，承包人应向发包人和监理人提交分包合同副本。</w:t>
      </w:r>
    </w:p>
    <w:p>
      <w:pPr>
        <w:spacing w:line="400" w:lineRule="exact"/>
        <w:ind w:firstLine="420" w:firstLineChars="200"/>
        <w:rPr>
          <w:rFonts w:hint="eastAsia"/>
        </w:rPr>
      </w:pPr>
      <w:r>
        <w:rPr>
          <w:rFonts w:hint="eastAsia"/>
        </w:rPr>
        <w:t>4.3.5 承包人应与分包人就分包工程向发包人承担连带责任。</w:t>
      </w:r>
    </w:p>
    <w:p>
      <w:pPr>
        <w:pStyle w:val="50"/>
        <w:rPr>
          <w:rFonts w:hint="eastAsia"/>
        </w:rPr>
      </w:pPr>
      <w:r>
        <w:rPr>
          <w:rFonts w:hint="eastAsia"/>
        </w:rPr>
        <w:t>4.4 联合体</w:t>
      </w:r>
    </w:p>
    <w:p>
      <w:pPr>
        <w:spacing w:line="400" w:lineRule="exact"/>
        <w:ind w:firstLine="420" w:firstLineChars="200"/>
        <w:rPr>
          <w:rFonts w:hint="eastAsia"/>
        </w:rPr>
      </w:pPr>
      <w:r>
        <w:rPr>
          <w:rFonts w:hint="eastAsia"/>
        </w:rPr>
        <w:t>4.4.1 联合体各方应共同与发包人签订合同协议书。联合体各方应为履行合同承担连带责任。</w:t>
      </w:r>
    </w:p>
    <w:p>
      <w:pPr>
        <w:spacing w:line="400" w:lineRule="exact"/>
        <w:ind w:firstLine="420" w:firstLineChars="200"/>
        <w:rPr>
          <w:rFonts w:hint="eastAsia"/>
        </w:rPr>
      </w:pPr>
      <w:r>
        <w:rPr>
          <w:rFonts w:hint="eastAsia"/>
        </w:rPr>
        <w:t>4.4.2 联合体协议经发包人确认后作为合同附件。在履行合同过程中，未经发包人同意，不得修改联合体协议。</w:t>
      </w:r>
    </w:p>
    <w:p>
      <w:pPr>
        <w:spacing w:line="400" w:lineRule="exact"/>
        <w:ind w:firstLine="420" w:firstLineChars="200"/>
        <w:rPr>
          <w:rFonts w:hint="eastAsia"/>
        </w:rPr>
      </w:pPr>
      <w:r>
        <w:rPr>
          <w:rFonts w:hint="eastAsia"/>
        </w:rPr>
        <w:t>4.4.3 联合体牵头人负责与发包人和监理人联系，并接受指示，负责组织联合体各成员全面履行合同。</w:t>
      </w:r>
    </w:p>
    <w:p>
      <w:pPr>
        <w:pStyle w:val="50"/>
        <w:rPr>
          <w:rFonts w:hint="eastAsia"/>
        </w:rPr>
      </w:pPr>
      <w:bookmarkStart w:id="343" w:name="_Toc144974612"/>
      <w:bookmarkStart w:id="344" w:name="_Toc152042422"/>
      <w:bookmarkStart w:id="345" w:name="_Toc179632662"/>
      <w:bookmarkStart w:id="346" w:name="_Toc152045644"/>
      <w:r>
        <w:rPr>
          <w:rFonts w:hint="eastAsia"/>
        </w:rPr>
        <w:t>4.5 承包人项目经理</w:t>
      </w:r>
      <w:bookmarkEnd w:id="343"/>
      <w:bookmarkEnd w:id="344"/>
      <w:bookmarkEnd w:id="345"/>
      <w:bookmarkEnd w:id="346"/>
    </w:p>
    <w:p>
      <w:pPr>
        <w:spacing w:line="400" w:lineRule="exact"/>
        <w:ind w:firstLine="420" w:firstLineChars="200"/>
        <w:rPr>
          <w:rFonts w:hint="eastAsia"/>
        </w:rPr>
      </w:pPr>
      <w:r>
        <w:rPr>
          <w:rFonts w:hint="eastAsia"/>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20" w:firstLineChars="200"/>
        <w:rPr>
          <w:rFonts w:hint="eastAsia"/>
        </w:rPr>
      </w:pPr>
      <w:r>
        <w:rPr>
          <w:rFonts w:hint="eastAsia"/>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20" w:firstLineChars="200"/>
        <w:rPr>
          <w:rFonts w:hint="eastAsia"/>
        </w:rPr>
      </w:pPr>
      <w:r>
        <w:rPr>
          <w:rFonts w:hint="eastAsia"/>
        </w:rPr>
        <w:t>4.5.3承包人为履行合同发出的一切函件均应盖有承包人授权的施工场地管理机构章，并由承包人项目经理或其授权代表签字。</w:t>
      </w:r>
    </w:p>
    <w:p>
      <w:pPr>
        <w:spacing w:line="400" w:lineRule="exact"/>
        <w:ind w:firstLine="420" w:firstLineChars="200"/>
        <w:rPr>
          <w:rFonts w:hint="eastAsia"/>
        </w:rPr>
      </w:pPr>
      <w:r>
        <w:rPr>
          <w:rFonts w:hint="eastAsia"/>
        </w:rPr>
        <w:t>4.5.4 承包人项目经理可以授权其下属人员履行其某项职责，但事先应将这些人员的姓名和授权范围通知监理人。</w:t>
      </w:r>
    </w:p>
    <w:p>
      <w:pPr>
        <w:pStyle w:val="50"/>
        <w:rPr>
          <w:rFonts w:hint="eastAsia"/>
        </w:rPr>
      </w:pPr>
      <w:r>
        <w:rPr>
          <w:rFonts w:hint="eastAsia"/>
        </w:rPr>
        <w:t>4.6 承包人人员的管理</w:t>
      </w:r>
    </w:p>
    <w:p>
      <w:pPr>
        <w:spacing w:line="400" w:lineRule="exact"/>
        <w:ind w:firstLine="420" w:firstLineChars="200"/>
        <w:rPr>
          <w:rFonts w:hint="eastAsia"/>
        </w:rPr>
      </w:pPr>
      <w:r>
        <w:rPr>
          <w:rFonts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20" w:firstLineChars="200"/>
        <w:rPr>
          <w:rFonts w:hint="eastAsia"/>
        </w:rPr>
      </w:pPr>
      <w:r>
        <w:rPr>
          <w:rFonts w:hint="eastAsia"/>
        </w:rPr>
        <w:t>4.6.2 为完成合同约定的各项工作，承包人应向施工场地派遣或雇佣足够数量的下列人员：</w:t>
      </w:r>
    </w:p>
    <w:p>
      <w:pPr>
        <w:spacing w:line="400" w:lineRule="exact"/>
        <w:ind w:firstLine="718" w:firstLineChars="342"/>
        <w:rPr>
          <w:rFonts w:hint="eastAsia"/>
        </w:rPr>
      </w:pPr>
      <w:r>
        <w:rPr>
          <w:rFonts w:hint="eastAsia"/>
        </w:rPr>
        <w:t>（1）具有相应资格的专业技工和合格的普工；</w:t>
      </w:r>
    </w:p>
    <w:p>
      <w:pPr>
        <w:spacing w:line="400" w:lineRule="exact"/>
        <w:ind w:firstLine="718" w:firstLineChars="342"/>
        <w:rPr>
          <w:rFonts w:hint="eastAsia"/>
        </w:rPr>
      </w:pPr>
      <w:r>
        <w:rPr>
          <w:rFonts w:hint="eastAsia"/>
        </w:rPr>
        <w:t>（2）具有相应施工经验的技术人员；</w:t>
      </w:r>
    </w:p>
    <w:p>
      <w:pPr>
        <w:spacing w:line="400" w:lineRule="exact"/>
        <w:ind w:firstLine="718" w:firstLineChars="342"/>
        <w:rPr>
          <w:rFonts w:hint="eastAsia"/>
        </w:rPr>
      </w:pPr>
      <w:r>
        <w:rPr>
          <w:rFonts w:hint="eastAsia"/>
        </w:rPr>
        <w:t>（3）具有相应岗位资格的各级管理人员。</w:t>
      </w:r>
    </w:p>
    <w:p>
      <w:pPr>
        <w:spacing w:line="400" w:lineRule="exact"/>
        <w:ind w:firstLine="420" w:firstLineChars="200"/>
        <w:rPr>
          <w:rFonts w:hint="eastAsia"/>
        </w:rPr>
      </w:pPr>
      <w:r>
        <w:rPr>
          <w:rFonts w:hint="eastAsia"/>
        </w:rPr>
        <w:t>4.6.3 承包人安排在施工场地的主要管理人员和技术骨干应相对稳定。承包人更换主要管理人员和技术骨干时，应取得监理人的同意。</w:t>
      </w:r>
    </w:p>
    <w:p>
      <w:pPr>
        <w:spacing w:line="400" w:lineRule="exact"/>
        <w:ind w:firstLine="420" w:firstLineChars="200"/>
        <w:rPr>
          <w:rFonts w:hint="eastAsia"/>
        </w:rPr>
      </w:pPr>
      <w:r>
        <w:rPr>
          <w:rFonts w:hint="eastAsia"/>
        </w:rPr>
        <w:t>4.6.4 特殊岗位的工作人员均应持有相应的资格证明，监理人有权随时检查。监理人认为有必要时，可进行现场考核。</w:t>
      </w:r>
    </w:p>
    <w:p>
      <w:pPr>
        <w:pStyle w:val="50"/>
        <w:rPr>
          <w:rFonts w:hint="eastAsia"/>
        </w:rPr>
      </w:pPr>
      <w:r>
        <w:rPr>
          <w:rFonts w:hint="eastAsia"/>
        </w:rPr>
        <w:t>4.7 撤换承包人项目经理和其他人员</w:t>
      </w:r>
    </w:p>
    <w:p>
      <w:pPr>
        <w:spacing w:line="400" w:lineRule="exact"/>
        <w:ind w:firstLine="420" w:firstLineChars="200"/>
        <w:rPr>
          <w:rFonts w:hint="eastAsia"/>
        </w:rPr>
      </w:pPr>
      <w:r>
        <w:rPr>
          <w:rFonts w:hint="eastAsia"/>
        </w:rPr>
        <w:t>承包人应对其项目经理和其他人员进行有效管理。监理人要求撤换不能胜任本职工作、行为不端或玩忽职守的承包人项目经理和其他人员的，承包人应予以撤换。</w:t>
      </w:r>
    </w:p>
    <w:p>
      <w:pPr>
        <w:pStyle w:val="50"/>
        <w:rPr>
          <w:rFonts w:hint="eastAsia"/>
        </w:rPr>
      </w:pPr>
      <w:bookmarkStart w:id="347" w:name="_Toc179632665"/>
      <w:bookmarkStart w:id="348" w:name="_Toc152045647"/>
      <w:bookmarkStart w:id="349" w:name="_Toc152042425"/>
      <w:bookmarkStart w:id="350" w:name="_Toc144974615"/>
      <w:r>
        <w:rPr>
          <w:rFonts w:hint="eastAsia"/>
        </w:rPr>
        <w:t>4.8 保障承包人人员的合法权益</w:t>
      </w:r>
      <w:bookmarkEnd w:id="347"/>
      <w:bookmarkEnd w:id="348"/>
      <w:bookmarkEnd w:id="349"/>
      <w:bookmarkEnd w:id="350"/>
    </w:p>
    <w:p>
      <w:pPr>
        <w:spacing w:line="400" w:lineRule="exact"/>
        <w:ind w:firstLine="420" w:firstLineChars="200"/>
        <w:rPr>
          <w:rFonts w:hint="eastAsia"/>
        </w:rPr>
      </w:pPr>
      <w:r>
        <w:rPr>
          <w:rFonts w:hint="eastAsia"/>
        </w:rPr>
        <w:t>4.8.1 承包人应与其雇佣的人员签订劳动合同，并按时发放工资。</w:t>
      </w:r>
    </w:p>
    <w:p>
      <w:pPr>
        <w:spacing w:line="400" w:lineRule="exact"/>
        <w:ind w:firstLine="420" w:firstLineChars="200"/>
        <w:rPr>
          <w:rFonts w:hint="eastAsia"/>
        </w:rPr>
      </w:pPr>
      <w:r>
        <w:rPr>
          <w:rFonts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20" w:firstLineChars="200"/>
        <w:rPr>
          <w:rFonts w:hint="eastAsia"/>
        </w:rPr>
      </w:pPr>
      <w:r>
        <w:rPr>
          <w:rFonts w:hint="eastAsia"/>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20" w:firstLineChars="200"/>
        <w:rPr>
          <w:rFonts w:hint="eastAsia"/>
        </w:rPr>
      </w:pPr>
      <w:r>
        <w:rPr>
          <w:rFonts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20" w:firstLineChars="200"/>
        <w:rPr>
          <w:rFonts w:hint="eastAsia"/>
        </w:rPr>
      </w:pPr>
      <w:r>
        <w:rPr>
          <w:rFonts w:hint="eastAsia"/>
        </w:rPr>
        <w:t>4.8.5 承包人应按有关法律规定和合同约定，为其雇佣人员办理保险。</w:t>
      </w:r>
    </w:p>
    <w:p>
      <w:pPr>
        <w:spacing w:line="400" w:lineRule="exact"/>
        <w:ind w:firstLine="420" w:firstLineChars="200"/>
        <w:rPr>
          <w:rFonts w:hint="eastAsia"/>
        </w:rPr>
      </w:pPr>
      <w:r>
        <w:rPr>
          <w:rFonts w:hint="eastAsia"/>
        </w:rPr>
        <w:t>4.8.6 承包人应负责处理其雇佣人员因工伤亡事故的善后事宜。</w:t>
      </w:r>
    </w:p>
    <w:p>
      <w:pPr>
        <w:pStyle w:val="50"/>
        <w:rPr>
          <w:rFonts w:hint="eastAsia"/>
        </w:rPr>
      </w:pPr>
      <w:r>
        <w:rPr>
          <w:rFonts w:hint="eastAsia"/>
        </w:rPr>
        <w:t>4.9 工程价款应专款专用</w:t>
      </w:r>
    </w:p>
    <w:p>
      <w:pPr>
        <w:spacing w:line="400" w:lineRule="exact"/>
        <w:ind w:firstLine="420" w:firstLineChars="200"/>
        <w:rPr>
          <w:rFonts w:hint="eastAsia"/>
        </w:rPr>
      </w:pPr>
      <w:r>
        <w:rPr>
          <w:rFonts w:hint="eastAsia"/>
        </w:rPr>
        <w:t>发包人按合同约定支付给承包人的各项价款应专用于合同工程。</w:t>
      </w:r>
    </w:p>
    <w:p>
      <w:pPr>
        <w:pStyle w:val="50"/>
        <w:rPr>
          <w:rFonts w:hint="eastAsia"/>
        </w:rPr>
      </w:pPr>
      <w:r>
        <w:rPr>
          <w:rFonts w:hint="eastAsia"/>
        </w:rPr>
        <w:t>4.10 承包人现场查勘</w:t>
      </w:r>
    </w:p>
    <w:p>
      <w:pPr>
        <w:spacing w:line="400" w:lineRule="exact"/>
        <w:ind w:firstLine="420" w:firstLineChars="200"/>
        <w:rPr>
          <w:rFonts w:hint="eastAsia"/>
        </w:rPr>
      </w:pPr>
      <w:r>
        <w:rPr>
          <w:rFonts w:hint="eastAsia"/>
        </w:rPr>
        <w:t>4.10.1 发包人应将其持有的现场地质勘探资料、水文气象资料提供给承包人，并对其准确性负责。但承包人应对其阅读上述有关资料后所作出的解释和推断负责。</w:t>
      </w:r>
    </w:p>
    <w:p>
      <w:pPr>
        <w:spacing w:line="400" w:lineRule="exact"/>
        <w:ind w:firstLine="420" w:firstLineChars="200"/>
        <w:rPr>
          <w:rFonts w:hint="eastAsia"/>
        </w:rPr>
      </w:pPr>
      <w:r>
        <w:rPr>
          <w:rFonts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0"/>
        <w:rPr>
          <w:rFonts w:hint="eastAsia"/>
        </w:rPr>
      </w:pPr>
      <w:r>
        <w:rPr>
          <w:rFonts w:hint="eastAsia"/>
        </w:rPr>
        <w:t>4.11 不利物质条件</w:t>
      </w:r>
    </w:p>
    <w:p>
      <w:pPr>
        <w:spacing w:line="400" w:lineRule="exact"/>
        <w:ind w:firstLine="420" w:firstLineChars="200"/>
        <w:rPr>
          <w:rFonts w:hint="eastAsia"/>
        </w:rPr>
      </w:pPr>
      <w:r>
        <w:rPr>
          <w:rFonts w:hint="eastAsia"/>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20" w:firstLineChars="200"/>
        <w:rPr>
          <w:rFonts w:hint="eastAsia"/>
        </w:rPr>
      </w:pPr>
      <w:r>
        <w:rPr>
          <w:rFonts w:hint="eastAsia"/>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49"/>
        <w:rPr>
          <w:rFonts w:hint="eastAsia"/>
        </w:rPr>
      </w:pPr>
      <w:r>
        <w:rPr>
          <w:rFonts w:hint="eastAsia"/>
        </w:rPr>
        <w:t>5. 材料和工程设备</w:t>
      </w:r>
    </w:p>
    <w:p>
      <w:pPr>
        <w:pStyle w:val="50"/>
        <w:rPr>
          <w:rFonts w:hint="eastAsia"/>
        </w:rPr>
      </w:pPr>
      <w:bookmarkStart w:id="351" w:name="_Toc144974620"/>
      <w:bookmarkStart w:id="352" w:name="_Toc179632670"/>
      <w:bookmarkStart w:id="353" w:name="_Toc152045652"/>
      <w:bookmarkStart w:id="354" w:name="_Toc152042430"/>
      <w:r>
        <w:rPr>
          <w:rFonts w:hint="eastAsia"/>
        </w:rPr>
        <w:t>5.1 承包人提供的材料和工程设备</w:t>
      </w:r>
      <w:bookmarkEnd w:id="351"/>
      <w:bookmarkEnd w:id="352"/>
      <w:bookmarkEnd w:id="353"/>
      <w:bookmarkEnd w:id="354"/>
    </w:p>
    <w:p>
      <w:pPr>
        <w:spacing w:line="400" w:lineRule="exact"/>
        <w:ind w:firstLine="420" w:firstLineChars="200"/>
        <w:rPr>
          <w:rFonts w:hint="eastAsia"/>
        </w:rPr>
      </w:pPr>
      <w:r>
        <w:rPr>
          <w:rFonts w:hint="eastAsia"/>
        </w:rPr>
        <w:t>5.1.1 除专用合同条款另有约定外，承包人提供的材料和工程设备均由承包人负责采购、运输和保管。承包人应对其采购的材料和工程设备负责。</w:t>
      </w:r>
    </w:p>
    <w:p>
      <w:pPr>
        <w:spacing w:line="400" w:lineRule="exact"/>
        <w:ind w:firstLine="420" w:firstLineChars="200"/>
        <w:rPr>
          <w:rFonts w:hint="eastAsia"/>
        </w:rPr>
      </w:pPr>
      <w:r>
        <w:rPr>
          <w:rFonts w:hint="eastAsia"/>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20" w:firstLineChars="200"/>
        <w:rPr>
          <w:rFonts w:hint="eastAsia"/>
        </w:rPr>
      </w:pPr>
      <w:r>
        <w:rPr>
          <w:rFonts w:hint="eastAsia"/>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0"/>
        <w:rPr>
          <w:rFonts w:hint="eastAsia"/>
        </w:rPr>
      </w:pPr>
      <w:r>
        <w:rPr>
          <w:rFonts w:hint="eastAsia"/>
        </w:rPr>
        <w:t>5.2 发包人提供的材料和工程设备</w:t>
      </w:r>
    </w:p>
    <w:p>
      <w:pPr>
        <w:spacing w:line="400" w:lineRule="exact"/>
        <w:ind w:firstLine="420" w:firstLineChars="200"/>
        <w:rPr>
          <w:rFonts w:hint="eastAsia"/>
        </w:rPr>
      </w:pPr>
      <w:r>
        <w:rPr>
          <w:rFonts w:hint="eastAsia"/>
        </w:rPr>
        <w:t>5.2.1 发包人提供的材料和工程设备，应在专用合同条款中写明材料和工程设备的名称、规格、数量、价格、交货方式、交货地点和计划交货日期等。</w:t>
      </w:r>
    </w:p>
    <w:p>
      <w:pPr>
        <w:spacing w:line="400" w:lineRule="exact"/>
        <w:ind w:firstLine="420" w:firstLineChars="200"/>
        <w:rPr>
          <w:rFonts w:hint="eastAsia"/>
        </w:rPr>
      </w:pPr>
      <w:r>
        <w:rPr>
          <w:rFonts w:hint="eastAsia"/>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20" w:firstLineChars="200"/>
        <w:rPr>
          <w:rFonts w:hint="eastAsia"/>
        </w:rPr>
      </w:pPr>
      <w:r>
        <w:rPr>
          <w:rFonts w:hint="eastAsia"/>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20" w:firstLineChars="200"/>
        <w:rPr>
          <w:rFonts w:hint="eastAsia"/>
        </w:rPr>
      </w:pPr>
      <w:r>
        <w:rPr>
          <w:rFonts w:hint="eastAsia"/>
        </w:rPr>
        <w:t xml:space="preserve">5.2.4 发包人要求向承包人提前交货的，承包人不得拒绝，但发包人应承担承包人由此增加的费用。 </w:t>
      </w:r>
    </w:p>
    <w:p>
      <w:pPr>
        <w:spacing w:line="400" w:lineRule="exact"/>
        <w:ind w:firstLine="420" w:firstLineChars="200"/>
        <w:rPr>
          <w:rFonts w:hint="eastAsia"/>
        </w:rPr>
      </w:pPr>
      <w:r>
        <w:rPr>
          <w:rFonts w:hint="eastAsia"/>
        </w:rPr>
        <w:t xml:space="preserve">5.2.5 承包人要求更改交货日期或地点的，应事先报请监理人批准。由于承包人要求更改交货时间或地点所增加的费用和（或）工期延误由承包人承担。 </w:t>
      </w:r>
    </w:p>
    <w:p>
      <w:pPr>
        <w:spacing w:line="400" w:lineRule="exact"/>
        <w:ind w:firstLine="420" w:firstLineChars="200"/>
        <w:rPr>
          <w:rFonts w:hint="eastAsia"/>
        </w:rPr>
      </w:pPr>
      <w:r>
        <w:rPr>
          <w:rFonts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0"/>
        <w:rPr>
          <w:rFonts w:hint="eastAsia"/>
        </w:rPr>
      </w:pPr>
      <w:bookmarkStart w:id="355" w:name="_Toc152045654"/>
      <w:bookmarkStart w:id="356" w:name="_Toc152042432"/>
      <w:bookmarkStart w:id="357" w:name="_Toc144974622"/>
      <w:bookmarkStart w:id="358" w:name="_Toc179632672"/>
      <w:r>
        <w:rPr>
          <w:rFonts w:hint="eastAsia"/>
        </w:rPr>
        <w:t>5.3 材料和工程设备专用于合同工程</w:t>
      </w:r>
      <w:bookmarkEnd w:id="355"/>
      <w:bookmarkEnd w:id="356"/>
      <w:bookmarkEnd w:id="357"/>
      <w:bookmarkEnd w:id="358"/>
    </w:p>
    <w:p>
      <w:pPr>
        <w:spacing w:line="400" w:lineRule="exact"/>
        <w:ind w:firstLine="420" w:firstLineChars="200"/>
        <w:rPr>
          <w:rFonts w:hint="eastAsia"/>
        </w:rPr>
      </w:pPr>
      <w:r>
        <w:rPr>
          <w:rFonts w:hint="eastAsia"/>
        </w:rPr>
        <w:t>5.3.1运入施工场地的材料、工程设备，包括备品备件、安装专用工器具与随机资料，必须专用于合同工程，未经监理人同意，承包人不得运出施工场地或挪作他用。</w:t>
      </w:r>
    </w:p>
    <w:p>
      <w:pPr>
        <w:spacing w:line="400" w:lineRule="exact"/>
        <w:ind w:firstLine="420" w:firstLineChars="200"/>
        <w:rPr>
          <w:rFonts w:hint="eastAsia"/>
        </w:rPr>
      </w:pPr>
      <w:r>
        <w:rPr>
          <w:rFonts w:hint="eastAsia"/>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0"/>
        <w:rPr>
          <w:rFonts w:hint="eastAsia"/>
        </w:rPr>
      </w:pPr>
      <w:bookmarkStart w:id="359" w:name="_Toc152042433"/>
      <w:bookmarkStart w:id="360" w:name="_Toc144974623"/>
      <w:bookmarkStart w:id="361" w:name="_Toc179632673"/>
      <w:bookmarkStart w:id="362" w:name="_Toc152045655"/>
      <w:r>
        <w:rPr>
          <w:rFonts w:hint="eastAsia"/>
        </w:rPr>
        <w:t>5.4 禁止使用不合格的材料和工程设备</w:t>
      </w:r>
      <w:bookmarkEnd w:id="359"/>
      <w:bookmarkEnd w:id="360"/>
      <w:bookmarkEnd w:id="361"/>
      <w:bookmarkEnd w:id="362"/>
    </w:p>
    <w:p>
      <w:pPr>
        <w:spacing w:line="400" w:lineRule="exact"/>
        <w:ind w:firstLine="420" w:firstLineChars="200"/>
        <w:rPr>
          <w:rFonts w:hint="eastAsia"/>
        </w:rPr>
      </w:pPr>
      <w:r>
        <w:rPr>
          <w:rFonts w:hint="eastAsia"/>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20" w:firstLineChars="200"/>
        <w:rPr>
          <w:rFonts w:hint="eastAsia"/>
        </w:rPr>
      </w:pPr>
      <w:r>
        <w:rPr>
          <w:rFonts w:hint="eastAsia"/>
        </w:rPr>
        <w:t>5.4.2 监理人发现承包人使用了不合格的材料和工程设备，应即时发出指示要求承包人立即改正，并禁止在工程中继续使用不合格的材料和工程设备。</w:t>
      </w:r>
    </w:p>
    <w:p>
      <w:pPr>
        <w:spacing w:line="400" w:lineRule="exact"/>
        <w:ind w:firstLine="420" w:firstLineChars="200"/>
        <w:rPr>
          <w:rFonts w:hint="eastAsia"/>
        </w:rPr>
      </w:pPr>
      <w:r>
        <w:rPr>
          <w:rFonts w:hint="eastAsia"/>
        </w:rPr>
        <w:t>5.4.3 发包人提供的材料或工程设备不符合合同要求的，承包人有权拒绝，并可要求发包人更换，由此增加的费用和（或）工期延误由发包人承担。</w:t>
      </w:r>
    </w:p>
    <w:p>
      <w:pPr>
        <w:pStyle w:val="49"/>
        <w:rPr>
          <w:rFonts w:hint="eastAsia"/>
        </w:rPr>
      </w:pPr>
      <w:r>
        <w:rPr>
          <w:rFonts w:hint="eastAsia"/>
        </w:rPr>
        <w:t>6. 施工设备和临时设施</w:t>
      </w:r>
    </w:p>
    <w:p>
      <w:pPr>
        <w:pStyle w:val="50"/>
        <w:rPr>
          <w:rFonts w:hint="eastAsia"/>
        </w:rPr>
      </w:pPr>
      <w:r>
        <w:rPr>
          <w:rFonts w:hint="eastAsia"/>
        </w:rPr>
        <w:t>6.1 承包人提供的施工设备和临时设施</w:t>
      </w:r>
    </w:p>
    <w:p>
      <w:pPr>
        <w:spacing w:line="400" w:lineRule="exact"/>
        <w:ind w:firstLine="420" w:firstLineChars="200"/>
        <w:rPr>
          <w:rFonts w:hint="eastAsia"/>
        </w:rPr>
      </w:pPr>
      <w:r>
        <w:rPr>
          <w:rFonts w:hint="eastAsia"/>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20" w:firstLineChars="200"/>
        <w:rPr>
          <w:rFonts w:hint="eastAsia"/>
        </w:rPr>
      </w:pPr>
      <w:r>
        <w:rPr>
          <w:rFonts w:hint="eastAsia"/>
        </w:rPr>
        <w:t>6.1.2除专用合同条款另有约定外，承包人应自行承担修建临时设施的费用，需要临时占地的，应由发包人办理申请手续并承担相应费用。</w:t>
      </w:r>
    </w:p>
    <w:p>
      <w:pPr>
        <w:pStyle w:val="50"/>
        <w:rPr>
          <w:rFonts w:hint="eastAsia"/>
        </w:rPr>
      </w:pPr>
      <w:bookmarkStart w:id="363" w:name="_Toc152045658"/>
      <w:bookmarkStart w:id="364" w:name="_Toc144974626"/>
      <w:bookmarkStart w:id="365" w:name="_Toc152042436"/>
      <w:bookmarkStart w:id="366" w:name="_Toc179632676"/>
      <w:r>
        <w:rPr>
          <w:rFonts w:hint="eastAsia"/>
        </w:rPr>
        <w:t>6.2 发包人提供的施工设备和临时设施</w:t>
      </w:r>
      <w:bookmarkEnd w:id="363"/>
      <w:bookmarkEnd w:id="364"/>
      <w:bookmarkEnd w:id="365"/>
      <w:bookmarkEnd w:id="366"/>
    </w:p>
    <w:p>
      <w:pPr>
        <w:spacing w:line="400" w:lineRule="exact"/>
        <w:ind w:firstLine="420" w:firstLineChars="200"/>
        <w:rPr>
          <w:rFonts w:hint="eastAsia"/>
        </w:rPr>
      </w:pPr>
      <w:r>
        <w:rPr>
          <w:rFonts w:hint="eastAsia"/>
        </w:rPr>
        <w:t>发包人提供的施工设备或临时设施在专用合同条款中约定。</w:t>
      </w:r>
    </w:p>
    <w:p>
      <w:pPr>
        <w:pStyle w:val="50"/>
        <w:rPr>
          <w:rFonts w:hint="eastAsia"/>
        </w:rPr>
      </w:pPr>
      <w:r>
        <w:rPr>
          <w:rFonts w:hint="eastAsia"/>
        </w:rPr>
        <w:t>6.3 要求承包人增加或更换施工设备</w:t>
      </w:r>
    </w:p>
    <w:p>
      <w:pPr>
        <w:spacing w:line="400" w:lineRule="exact"/>
        <w:ind w:firstLine="420" w:firstLineChars="200"/>
        <w:rPr>
          <w:rFonts w:hint="eastAsia"/>
        </w:rPr>
      </w:pPr>
      <w:r>
        <w:rPr>
          <w:rFonts w:hint="eastAsia"/>
        </w:rPr>
        <w:t>承包人使用的施工设备不能满足合同进度计划和（或）质量要求时，监理人有权要求承包人增加或更换施工设备，承包人应及时增加或更换，由此增加的费用和（或）工期延误由承包人承担。</w:t>
      </w:r>
    </w:p>
    <w:p>
      <w:pPr>
        <w:pStyle w:val="50"/>
        <w:rPr>
          <w:rFonts w:hint="eastAsia"/>
        </w:rPr>
      </w:pPr>
      <w:bookmarkStart w:id="367" w:name="_Toc179632678"/>
      <w:bookmarkStart w:id="368" w:name="_Toc144974628"/>
      <w:bookmarkStart w:id="369" w:name="_Toc152042438"/>
      <w:bookmarkStart w:id="370" w:name="_Toc152045660"/>
      <w:r>
        <w:rPr>
          <w:rFonts w:hint="eastAsia"/>
        </w:rPr>
        <w:t>6.4 施工设备和临时设施专用于合同工程</w:t>
      </w:r>
      <w:bookmarkEnd w:id="367"/>
      <w:bookmarkEnd w:id="368"/>
      <w:bookmarkEnd w:id="369"/>
      <w:bookmarkEnd w:id="370"/>
    </w:p>
    <w:p>
      <w:pPr>
        <w:spacing w:line="400" w:lineRule="exact"/>
        <w:ind w:firstLine="420" w:firstLineChars="200"/>
        <w:rPr>
          <w:rFonts w:hint="eastAsia"/>
        </w:rPr>
      </w:pPr>
      <w:r>
        <w:rPr>
          <w:rFonts w:hint="eastAsia"/>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20" w:firstLineChars="200"/>
        <w:rPr>
          <w:rFonts w:hint="eastAsia"/>
        </w:rPr>
      </w:pPr>
      <w:r>
        <w:rPr>
          <w:rFonts w:hint="eastAsia"/>
        </w:rPr>
        <w:t>6.4.2 经监理人同意，承包人可根据合同进度计划撤走闲置的施工设备。</w:t>
      </w:r>
    </w:p>
    <w:p>
      <w:pPr>
        <w:pStyle w:val="49"/>
        <w:rPr>
          <w:rFonts w:hint="eastAsia"/>
        </w:rPr>
      </w:pPr>
      <w:r>
        <w:rPr>
          <w:rFonts w:hint="eastAsia"/>
        </w:rPr>
        <w:t>7. 交通运输</w:t>
      </w:r>
    </w:p>
    <w:p>
      <w:pPr>
        <w:pStyle w:val="50"/>
        <w:rPr>
          <w:rFonts w:hint="eastAsia"/>
        </w:rPr>
      </w:pPr>
      <w:r>
        <w:rPr>
          <w:rFonts w:hint="eastAsia"/>
        </w:rPr>
        <w:t>7.1 道路通行权和场外设施</w:t>
      </w:r>
    </w:p>
    <w:p>
      <w:pPr>
        <w:spacing w:line="400" w:lineRule="exact"/>
        <w:ind w:firstLine="420" w:firstLineChars="200"/>
        <w:rPr>
          <w:rFonts w:hint="eastAsia"/>
        </w:rPr>
      </w:pPr>
      <w:r>
        <w:rPr>
          <w:rFonts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50"/>
        <w:rPr>
          <w:rFonts w:hint="eastAsia"/>
        </w:rPr>
      </w:pPr>
      <w:bookmarkStart w:id="371" w:name="_Toc152045663"/>
      <w:bookmarkStart w:id="372" w:name="_Toc152042441"/>
      <w:bookmarkStart w:id="373" w:name="_Toc144974631"/>
      <w:bookmarkStart w:id="374" w:name="_Toc179632681"/>
      <w:r>
        <w:rPr>
          <w:rFonts w:hint="eastAsia"/>
        </w:rPr>
        <w:t>7.2 场内施工道路</w:t>
      </w:r>
      <w:bookmarkEnd w:id="371"/>
      <w:bookmarkEnd w:id="372"/>
      <w:bookmarkEnd w:id="373"/>
      <w:bookmarkEnd w:id="374"/>
    </w:p>
    <w:p>
      <w:pPr>
        <w:spacing w:line="400" w:lineRule="exact"/>
        <w:ind w:firstLine="420" w:firstLineChars="200"/>
        <w:rPr>
          <w:rFonts w:hint="eastAsia"/>
        </w:rPr>
      </w:pPr>
      <w:r>
        <w:rPr>
          <w:rFonts w:hint="eastAsia"/>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20" w:firstLineChars="200"/>
        <w:rPr>
          <w:rFonts w:hint="eastAsia"/>
        </w:rPr>
      </w:pPr>
      <w:r>
        <w:rPr>
          <w:rFonts w:hint="eastAsia"/>
        </w:rPr>
        <w:t>7.2.2 除专用合同条款另有约定外，承包人修建的临时道路和交通设施应免费提供发包人和监理人使用。</w:t>
      </w:r>
    </w:p>
    <w:p>
      <w:pPr>
        <w:pStyle w:val="50"/>
        <w:rPr>
          <w:rFonts w:hint="eastAsia"/>
        </w:rPr>
      </w:pPr>
      <w:bookmarkStart w:id="375" w:name="_Toc152042442"/>
      <w:bookmarkStart w:id="376" w:name="_Toc152045664"/>
      <w:bookmarkStart w:id="377" w:name="_Toc179632682"/>
      <w:bookmarkStart w:id="378" w:name="_Toc144974632"/>
      <w:r>
        <w:rPr>
          <w:rFonts w:hint="eastAsia"/>
        </w:rPr>
        <w:t>7.3 场外交通</w:t>
      </w:r>
      <w:bookmarkEnd w:id="375"/>
      <w:bookmarkEnd w:id="376"/>
      <w:bookmarkEnd w:id="377"/>
      <w:bookmarkEnd w:id="378"/>
    </w:p>
    <w:p>
      <w:pPr>
        <w:spacing w:line="400" w:lineRule="exact"/>
        <w:ind w:firstLine="420" w:firstLineChars="200"/>
        <w:rPr>
          <w:rFonts w:hint="eastAsia"/>
        </w:rPr>
      </w:pPr>
      <w:r>
        <w:rPr>
          <w:rFonts w:hint="eastAsia"/>
        </w:rPr>
        <w:t>7.3.1 承包人车辆外出行驶所需的场外公共道路的通行费、养路费和税款等由承包人承担。</w:t>
      </w:r>
    </w:p>
    <w:p>
      <w:pPr>
        <w:spacing w:line="400" w:lineRule="exact"/>
        <w:ind w:firstLine="420" w:firstLineChars="200"/>
        <w:rPr>
          <w:rFonts w:hint="eastAsia"/>
        </w:rPr>
      </w:pPr>
      <w:r>
        <w:rPr>
          <w:rFonts w:hint="eastAsia"/>
        </w:rPr>
        <w:t>7.3.2 承包人应遵守有关交通法规，严格按照道路和桥梁的限制荷重安全行驶，并服从交通管理部门的检查和监督。</w:t>
      </w:r>
    </w:p>
    <w:p>
      <w:pPr>
        <w:pStyle w:val="50"/>
        <w:rPr>
          <w:rFonts w:hint="eastAsia"/>
        </w:rPr>
      </w:pPr>
      <w:bookmarkStart w:id="379" w:name="_Toc152042443"/>
      <w:bookmarkStart w:id="380" w:name="_Toc144974633"/>
      <w:bookmarkStart w:id="381" w:name="_Toc179632683"/>
      <w:bookmarkStart w:id="382" w:name="_Toc152045665"/>
      <w:r>
        <w:rPr>
          <w:rFonts w:hint="eastAsia"/>
        </w:rPr>
        <w:t>7.4 超大件和超重件的运输</w:t>
      </w:r>
      <w:bookmarkEnd w:id="379"/>
      <w:bookmarkEnd w:id="380"/>
      <w:bookmarkEnd w:id="381"/>
      <w:bookmarkEnd w:id="382"/>
    </w:p>
    <w:p>
      <w:pPr>
        <w:spacing w:line="400" w:lineRule="exact"/>
        <w:ind w:firstLine="420" w:firstLineChars="200"/>
        <w:rPr>
          <w:rFonts w:hint="eastAsia"/>
        </w:rPr>
      </w:pPr>
      <w:r>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0"/>
        <w:rPr>
          <w:rFonts w:hint="eastAsia"/>
        </w:rPr>
      </w:pPr>
      <w:bookmarkStart w:id="383" w:name="_Toc152042444"/>
      <w:bookmarkStart w:id="384" w:name="_Toc144974634"/>
      <w:bookmarkStart w:id="385" w:name="_Toc179632684"/>
      <w:bookmarkStart w:id="386" w:name="_Toc152045666"/>
      <w:r>
        <w:rPr>
          <w:rFonts w:hint="eastAsia"/>
        </w:rPr>
        <w:t>7.5 道路和桥梁的损坏责任</w:t>
      </w:r>
      <w:bookmarkEnd w:id="383"/>
      <w:bookmarkEnd w:id="384"/>
      <w:bookmarkEnd w:id="385"/>
      <w:bookmarkEnd w:id="386"/>
    </w:p>
    <w:p>
      <w:pPr>
        <w:spacing w:line="400" w:lineRule="exact"/>
        <w:ind w:firstLine="420" w:firstLineChars="200"/>
        <w:rPr>
          <w:rFonts w:hint="eastAsia"/>
        </w:rPr>
      </w:pPr>
      <w:r>
        <w:rPr>
          <w:rFonts w:hint="eastAsia"/>
        </w:rPr>
        <w:t>因承包人运输造成施工场地内外公共道路和桥梁损坏的，由承包人承担修复损坏的全部费用和可能引起的赔偿。</w:t>
      </w:r>
    </w:p>
    <w:p>
      <w:pPr>
        <w:pStyle w:val="50"/>
        <w:rPr>
          <w:rFonts w:hint="eastAsia"/>
        </w:rPr>
      </w:pPr>
      <w:bookmarkStart w:id="387" w:name="_Toc144974635"/>
      <w:bookmarkStart w:id="388" w:name="_Toc152045667"/>
      <w:bookmarkStart w:id="389" w:name="_Toc152042445"/>
      <w:bookmarkStart w:id="390" w:name="_Toc179632685"/>
      <w:r>
        <w:rPr>
          <w:rFonts w:hint="eastAsia"/>
        </w:rPr>
        <w:t>7.6 水路和航空运输</w:t>
      </w:r>
      <w:bookmarkEnd w:id="387"/>
      <w:bookmarkEnd w:id="388"/>
      <w:bookmarkEnd w:id="389"/>
      <w:bookmarkEnd w:id="390"/>
    </w:p>
    <w:p>
      <w:pPr>
        <w:spacing w:line="400" w:lineRule="exact"/>
        <w:ind w:firstLine="420" w:firstLineChars="200"/>
        <w:rPr>
          <w:rFonts w:hint="eastAsia"/>
        </w:rPr>
      </w:pPr>
      <w:r>
        <w:rPr>
          <w:rFonts w:hint="eastAsia"/>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49"/>
        <w:rPr>
          <w:rFonts w:hint="eastAsia"/>
        </w:rPr>
      </w:pPr>
      <w:r>
        <w:rPr>
          <w:rFonts w:hint="eastAsia"/>
        </w:rPr>
        <w:t>8. 测量放线</w:t>
      </w:r>
    </w:p>
    <w:p>
      <w:pPr>
        <w:pStyle w:val="50"/>
        <w:rPr>
          <w:rFonts w:hint="eastAsia"/>
        </w:rPr>
      </w:pPr>
      <w:bookmarkStart w:id="391" w:name="_Toc144974637"/>
      <w:bookmarkStart w:id="392" w:name="_Toc179632687"/>
      <w:bookmarkStart w:id="393" w:name="_Toc152042447"/>
      <w:bookmarkStart w:id="394" w:name="_Toc152045669"/>
      <w:r>
        <w:rPr>
          <w:rFonts w:hint="eastAsia"/>
        </w:rPr>
        <w:t>8.1 施工控制网</w:t>
      </w:r>
      <w:bookmarkEnd w:id="391"/>
      <w:bookmarkEnd w:id="392"/>
      <w:bookmarkEnd w:id="393"/>
      <w:bookmarkEnd w:id="394"/>
    </w:p>
    <w:p>
      <w:pPr>
        <w:spacing w:line="400" w:lineRule="exact"/>
        <w:ind w:firstLine="420" w:firstLineChars="200"/>
        <w:rPr>
          <w:rFonts w:hint="eastAsia"/>
        </w:rPr>
      </w:pPr>
      <w:r>
        <w:rPr>
          <w:rFonts w:hint="eastAsia"/>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20" w:firstLineChars="200"/>
        <w:rPr>
          <w:rFonts w:hint="eastAsia"/>
        </w:rPr>
      </w:pPr>
      <w:r>
        <w:rPr>
          <w:rFonts w:hint="eastAsia"/>
        </w:rPr>
        <w:t>8.1.2承包人应负责管理施工控制网点。施工控制网点丢失或损坏的，承包人应及时修复。承包人应承担施工控制网点的管理与修复费用，并在工程竣工后将施工控制网点移交发包人。</w:t>
      </w:r>
    </w:p>
    <w:p>
      <w:pPr>
        <w:pStyle w:val="50"/>
        <w:rPr>
          <w:rFonts w:hint="eastAsia"/>
        </w:rPr>
      </w:pPr>
      <w:bookmarkStart w:id="395" w:name="_Toc144974638"/>
      <w:bookmarkStart w:id="396" w:name="_Toc152042448"/>
      <w:bookmarkStart w:id="397" w:name="_Toc179632688"/>
      <w:bookmarkStart w:id="398" w:name="_Toc152045670"/>
      <w:r>
        <w:rPr>
          <w:rFonts w:hint="eastAsia"/>
        </w:rPr>
        <w:t>8.2 施工测量</w:t>
      </w:r>
      <w:bookmarkEnd w:id="395"/>
      <w:bookmarkEnd w:id="396"/>
      <w:bookmarkEnd w:id="397"/>
      <w:bookmarkEnd w:id="398"/>
    </w:p>
    <w:p>
      <w:pPr>
        <w:spacing w:line="400" w:lineRule="exact"/>
        <w:ind w:firstLine="420" w:firstLineChars="200"/>
        <w:rPr>
          <w:rFonts w:hint="eastAsia"/>
        </w:rPr>
      </w:pPr>
      <w:r>
        <w:rPr>
          <w:rFonts w:hint="eastAsia"/>
        </w:rPr>
        <w:t>8.2.1承包人应负责施工过程中的全部施工测量放线工作，并配置合格的人员、仪器、设备和其他物品。</w:t>
      </w:r>
    </w:p>
    <w:p>
      <w:pPr>
        <w:spacing w:line="400" w:lineRule="exact"/>
        <w:ind w:firstLine="420" w:firstLineChars="200"/>
        <w:rPr>
          <w:rFonts w:hint="eastAsia"/>
        </w:rPr>
      </w:pPr>
      <w:r>
        <w:rPr>
          <w:rFonts w:hint="eastAsia"/>
        </w:rPr>
        <w:t>8.2.2监理人可以指示承包人进行抽样复测，当复测中发现错误或出现超过合同约定的误差时，承包人应按监理人指示进行修正或补测，并承担相应的复测费用。</w:t>
      </w:r>
    </w:p>
    <w:p>
      <w:pPr>
        <w:pStyle w:val="50"/>
        <w:rPr>
          <w:rFonts w:hint="eastAsia"/>
        </w:rPr>
      </w:pPr>
      <w:bookmarkStart w:id="399" w:name="_Toc152042449"/>
      <w:bookmarkStart w:id="400" w:name="_Toc179632689"/>
      <w:bookmarkStart w:id="401" w:name="_Toc144974639"/>
      <w:bookmarkStart w:id="402" w:name="_Toc152045671"/>
      <w:r>
        <w:rPr>
          <w:rFonts w:hint="eastAsia"/>
        </w:rPr>
        <w:t>8.3 基准资料错误的责任</w:t>
      </w:r>
      <w:bookmarkEnd w:id="399"/>
      <w:bookmarkEnd w:id="400"/>
      <w:bookmarkEnd w:id="401"/>
      <w:bookmarkEnd w:id="402"/>
    </w:p>
    <w:p>
      <w:pPr>
        <w:spacing w:line="400" w:lineRule="exact"/>
        <w:ind w:firstLine="420" w:firstLineChars="200"/>
        <w:rPr>
          <w:rFonts w:hint="eastAsia"/>
        </w:rPr>
      </w:pPr>
      <w:r>
        <w:rPr>
          <w:rFonts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0"/>
        <w:rPr>
          <w:rFonts w:hint="eastAsia"/>
        </w:rPr>
      </w:pPr>
      <w:r>
        <w:rPr>
          <w:rFonts w:hint="eastAsia"/>
        </w:rPr>
        <w:t>8.4 监理人使用施工控制网</w:t>
      </w:r>
    </w:p>
    <w:p>
      <w:pPr>
        <w:spacing w:line="400" w:lineRule="exact"/>
        <w:ind w:firstLine="420" w:firstLineChars="200"/>
        <w:rPr>
          <w:rFonts w:hint="eastAsia"/>
          <w:dstrike/>
          <w:szCs w:val="21"/>
        </w:rPr>
      </w:pPr>
      <w:r>
        <w:rPr>
          <w:rFonts w:hint="eastAsia"/>
        </w:rPr>
        <w:t>监理人需要使用施工控制网的，承包人应提供必要的协助，发包人不再为此支付费用。</w:t>
      </w:r>
    </w:p>
    <w:p>
      <w:pPr>
        <w:pStyle w:val="49"/>
        <w:rPr>
          <w:rFonts w:hint="eastAsia"/>
        </w:rPr>
      </w:pPr>
      <w:r>
        <w:rPr>
          <w:rFonts w:hint="eastAsia"/>
        </w:rPr>
        <w:t>9. 施工安全、治安保卫和环境保护</w:t>
      </w:r>
    </w:p>
    <w:p>
      <w:pPr>
        <w:pStyle w:val="50"/>
        <w:rPr>
          <w:rFonts w:hint="eastAsia"/>
        </w:rPr>
      </w:pPr>
      <w:bookmarkStart w:id="403" w:name="_Toc179632692"/>
      <w:bookmarkStart w:id="404" w:name="_Toc152042452"/>
      <w:bookmarkStart w:id="405" w:name="_Toc144974642"/>
      <w:bookmarkStart w:id="406" w:name="_Toc152045674"/>
      <w:r>
        <w:rPr>
          <w:rFonts w:hint="eastAsia"/>
        </w:rPr>
        <w:t>9.1 发包人的施工安全责任</w:t>
      </w:r>
      <w:bookmarkEnd w:id="403"/>
      <w:bookmarkEnd w:id="404"/>
      <w:bookmarkEnd w:id="405"/>
      <w:bookmarkEnd w:id="406"/>
    </w:p>
    <w:p>
      <w:pPr>
        <w:spacing w:line="400" w:lineRule="exact"/>
        <w:ind w:firstLine="420" w:firstLineChars="200"/>
        <w:rPr>
          <w:rFonts w:hint="eastAsia"/>
        </w:rPr>
      </w:pPr>
      <w:r>
        <w:rPr>
          <w:rFonts w:hint="eastAsia"/>
        </w:rPr>
        <w:t>9.1.1 发包人应按合同约定履行安全职责，授权监理人按合同约定的安全工作内容监督、检查承包人安全工作的实施，组织承包人和有关单位进行安全检查。</w:t>
      </w:r>
    </w:p>
    <w:p>
      <w:pPr>
        <w:spacing w:line="400" w:lineRule="exact"/>
        <w:ind w:firstLine="420" w:firstLineChars="200"/>
        <w:rPr>
          <w:rFonts w:hint="eastAsia"/>
        </w:rPr>
      </w:pPr>
      <w:r>
        <w:rPr>
          <w:rFonts w:hint="eastAsia"/>
        </w:rPr>
        <w:t>9.1.2 发包人应对其现场机构雇佣的全部人员的工伤事故承担责任，但由于承包人原因造成发包人人员工伤的，应由承包人承担责任。</w:t>
      </w:r>
    </w:p>
    <w:p>
      <w:pPr>
        <w:spacing w:line="400" w:lineRule="exact"/>
        <w:ind w:firstLine="420" w:firstLineChars="200"/>
        <w:rPr>
          <w:rFonts w:hint="eastAsia"/>
        </w:rPr>
      </w:pPr>
      <w:r>
        <w:rPr>
          <w:rFonts w:hint="eastAsia"/>
        </w:rPr>
        <w:t>9.1.3 发包人应负责赔偿以下各种情况造成的第三者人身伤亡和财产损失：</w:t>
      </w:r>
    </w:p>
    <w:p>
      <w:pPr>
        <w:spacing w:line="400" w:lineRule="exact"/>
        <w:ind w:firstLine="420" w:firstLineChars="200"/>
        <w:rPr>
          <w:rFonts w:hint="eastAsia"/>
        </w:rPr>
      </w:pPr>
      <w:r>
        <w:rPr>
          <w:rFonts w:hint="eastAsia"/>
        </w:rPr>
        <w:t>（1） 工程或工程的任何部分对土地的占用所造成的第三者财产损失；</w:t>
      </w:r>
    </w:p>
    <w:p>
      <w:pPr>
        <w:spacing w:line="400" w:lineRule="exact"/>
        <w:ind w:firstLine="420" w:firstLineChars="200"/>
        <w:rPr>
          <w:rFonts w:hint="eastAsia"/>
        </w:rPr>
      </w:pPr>
      <w:r>
        <w:rPr>
          <w:rFonts w:hint="eastAsia"/>
        </w:rPr>
        <w:t>（2） 由于发包人原因在施工场地及其毗邻地带造成的第三者人身伤亡和财产损失。</w:t>
      </w:r>
    </w:p>
    <w:p>
      <w:pPr>
        <w:pStyle w:val="50"/>
        <w:rPr>
          <w:rFonts w:hint="eastAsia"/>
        </w:rPr>
      </w:pPr>
      <w:r>
        <w:rPr>
          <w:rFonts w:hint="eastAsia"/>
        </w:rPr>
        <w:t>9.2 承包人的施工安全责任</w:t>
      </w:r>
    </w:p>
    <w:p>
      <w:pPr>
        <w:spacing w:line="400" w:lineRule="exact"/>
        <w:ind w:firstLine="420" w:firstLineChars="200"/>
        <w:rPr>
          <w:rFonts w:hint="eastAsia"/>
        </w:rPr>
      </w:pPr>
      <w:r>
        <w:rPr>
          <w:rFonts w:hint="eastAsia"/>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20" w:firstLineChars="200"/>
        <w:rPr>
          <w:rFonts w:hint="eastAsia"/>
        </w:rPr>
      </w:pPr>
      <w:r>
        <w:rPr>
          <w:rFonts w:hint="eastAsia"/>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20" w:firstLineChars="200"/>
        <w:rPr>
          <w:rFonts w:hint="eastAsia"/>
        </w:rPr>
      </w:pPr>
      <w:r>
        <w:rPr>
          <w:rFonts w:hint="eastAsia"/>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20" w:firstLineChars="200"/>
        <w:rPr>
          <w:rFonts w:hint="eastAsia"/>
        </w:rPr>
      </w:pPr>
      <w:r>
        <w:rPr>
          <w:rFonts w:hint="eastAsia"/>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20" w:firstLineChars="200"/>
        <w:rPr>
          <w:rFonts w:hint="eastAsia"/>
        </w:rPr>
      </w:pPr>
      <w:r>
        <w:rPr>
          <w:rFonts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20" w:firstLineChars="200"/>
        <w:rPr>
          <w:rFonts w:hint="eastAsia"/>
        </w:rPr>
      </w:pPr>
      <w:r>
        <w:rPr>
          <w:rFonts w:hint="eastAsia"/>
        </w:rPr>
        <w:t>9.2.6 承包人应对其履行合同所雇佣的全部人员，包括分包人人员的工伤事故承担责任，但由于发包人原因造成承包人人员工伤事故的，应由发包人承担责任。</w:t>
      </w:r>
    </w:p>
    <w:p>
      <w:pPr>
        <w:spacing w:line="400" w:lineRule="exact"/>
        <w:ind w:firstLine="420" w:firstLineChars="200"/>
        <w:rPr>
          <w:rFonts w:hint="eastAsia"/>
        </w:rPr>
      </w:pPr>
      <w:r>
        <w:rPr>
          <w:rFonts w:hint="eastAsia"/>
        </w:rPr>
        <w:t>9.2.7 由于承包人原因在施工场地内及其毗邻地带造成的第三者人员伤亡和财产损失，由承包人负责赔偿。</w:t>
      </w:r>
    </w:p>
    <w:p>
      <w:pPr>
        <w:pStyle w:val="50"/>
        <w:rPr>
          <w:rFonts w:hint="eastAsia"/>
        </w:rPr>
      </w:pPr>
      <w:bookmarkStart w:id="407" w:name="_Toc144974644"/>
      <w:bookmarkStart w:id="408" w:name="_Toc179632694"/>
      <w:bookmarkStart w:id="409" w:name="_Toc152045676"/>
      <w:bookmarkStart w:id="410" w:name="_Toc152042454"/>
      <w:r>
        <w:rPr>
          <w:rFonts w:hint="eastAsia"/>
        </w:rPr>
        <w:t>9.3 治安保卫</w:t>
      </w:r>
      <w:bookmarkEnd w:id="407"/>
      <w:bookmarkEnd w:id="408"/>
      <w:bookmarkEnd w:id="409"/>
      <w:bookmarkEnd w:id="410"/>
    </w:p>
    <w:p>
      <w:pPr>
        <w:spacing w:line="400" w:lineRule="exact"/>
        <w:ind w:firstLine="420" w:firstLineChars="200"/>
        <w:rPr>
          <w:rFonts w:hint="eastAsia"/>
        </w:rPr>
      </w:pPr>
      <w:r>
        <w:rPr>
          <w:rFonts w:hint="eastAsia"/>
        </w:rPr>
        <w:t>9.3.1 除合同另有约定外，发包人应与当地公安部门协商，在现场建立治安管理机构或联防组织，统一管理施工场地的治安保卫事项，履行合同工程的治安保卫职责。</w:t>
      </w:r>
    </w:p>
    <w:p>
      <w:pPr>
        <w:spacing w:line="400" w:lineRule="exact"/>
        <w:ind w:firstLine="420" w:firstLineChars="200"/>
        <w:rPr>
          <w:rFonts w:hint="eastAsia"/>
        </w:rPr>
      </w:pPr>
      <w:r>
        <w:rPr>
          <w:rFonts w:hint="eastAsia"/>
        </w:rPr>
        <w:t>9.3.2 发包人和承包人除应协助现场治安管理机构或联防组织维护施工场地的社会治安外，还应做好包括生活区在内的各自管辖区的治安保卫工作。</w:t>
      </w:r>
    </w:p>
    <w:p>
      <w:pPr>
        <w:spacing w:line="400" w:lineRule="exact"/>
        <w:ind w:firstLine="420" w:firstLineChars="200"/>
        <w:rPr>
          <w:rFonts w:hint="eastAsia"/>
        </w:rPr>
      </w:pPr>
      <w:r>
        <w:rPr>
          <w:rFonts w:hint="eastAsia"/>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0"/>
        <w:rPr>
          <w:rFonts w:hint="eastAsia"/>
        </w:rPr>
      </w:pPr>
      <w:r>
        <w:rPr>
          <w:rFonts w:hint="eastAsia"/>
        </w:rPr>
        <w:t>9.4 环境保护</w:t>
      </w:r>
    </w:p>
    <w:p>
      <w:pPr>
        <w:spacing w:line="400" w:lineRule="exact"/>
        <w:ind w:firstLine="420" w:firstLineChars="200"/>
        <w:rPr>
          <w:rFonts w:hint="eastAsia"/>
        </w:rPr>
      </w:pPr>
      <w:r>
        <w:rPr>
          <w:rFonts w:hint="eastAsia"/>
        </w:rPr>
        <w:t>9.4.1 承包人在施工过程中，应遵守有关环境保护的法律，履行合同约定的环境保护义务，并对违反法律和合同约定义务所造成的环境破坏、人身伤害和财产损失负责。</w:t>
      </w:r>
    </w:p>
    <w:p>
      <w:pPr>
        <w:spacing w:line="400" w:lineRule="exact"/>
        <w:ind w:firstLine="420" w:firstLineChars="200"/>
        <w:rPr>
          <w:rFonts w:hint="eastAsia"/>
        </w:rPr>
      </w:pPr>
      <w:r>
        <w:rPr>
          <w:rFonts w:hint="eastAsia"/>
        </w:rPr>
        <w:t>9.4.2 承包人应按合同约定的环保工作内容，编制施工环保措施计划，报送监理人审批。</w:t>
      </w:r>
    </w:p>
    <w:p>
      <w:pPr>
        <w:spacing w:line="400" w:lineRule="exact"/>
        <w:ind w:firstLine="420" w:firstLineChars="200"/>
        <w:rPr>
          <w:rFonts w:hint="eastAsia"/>
        </w:rPr>
      </w:pPr>
      <w:r>
        <w:rPr>
          <w:rFonts w:hint="eastAsia"/>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20" w:firstLineChars="200"/>
        <w:rPr>
          <w:rFonts w:hint="eastAsia"/>
        </w:rPr>
      </w:pPr>
      <w:r>
        <w:rPr>
          <w:rFonts w:hint="eastAsia"/>
        </w:rPr>
        <w:t>9.4.4 承包人应按合同约定采取有效措施，对施工开挖的边坡及时进行支护,维护排水设施，并进行水土保护，避免因施工造成的地质灾害。</w:t>
      </w:r>
    </w:p>
    <w:p>
      <w:pPr>
        <w:spacing w:line="400" w:lineRule="exact"/>
        <w:ind w:firstLine="420" w:firstLineChars="200"/>
        <w:rPr>
          <w:rFonts w:hint="eastAsia"/>
        </w:rPr>
      </w:pPr>
      <w:r>
        <w:rPr>
          <w:rFonts w:hint="eastAsia"/>
        </w:rPr>
        <w:t>9.4.5 承包人应按国家饮用水管理标准定期对饮用水源进行监测，防止施工活动污染饮用水源。</w:t>
      </w:r>
    </w:p>
    <w:p>
      <w:pPr>
        <w:spacing w:line="400" w:lineRule="exact"/>
        <w:ind w:firstLine="420" w:firstLineChars="200"/>
        <w:rPr>
          <w:rFonts w:hint="eastAsia"/>
        </w:rPr>
      </w:pPr>
      <w:r>
        <w:rPr>
          <w:rFonts w:hint="eastAsia"/>
        </w:rPr>
        <w:t>9.4.6 承包人应按合同约定，加强对噪声、粉尘、废气、废水和废油的控制，努力降低噪声，控制粉尘和废气浓度，做好废水和废油的治理和排放。</w:t>
      </w:r>
    </w:p>
    <w:p>
      <w:pPr>
        <w:pStyle w:val="50"/>
        <w:rPr>
          <w:rFonts w:hint="eastAsia"/>
        </w:rPr>
      </w:pPr>
      <w:bookmarkStart w:id="411" w:name="_Toc152045678"/>
      <w:bookmarkStart w:id="412" w:name="_Toc179632696"/>
      <w:bookmarkStart w:id="413" w:name="_Toc144974646"/>
      <w:bookmarkStart w:id="414" w:name="_Toc152042456"/>
      <w:r>
        <w:rPr>
          <w:rFonts w:hint="eastAsia"/>
        </w:rPr>
        <w:t>9.5 事故处理</w:t>
      </w:r>
      <w:bookmarkEnd w:id="411"/>
      <w:bookmarkEnd w:id="412"/>
      <w:bookmarkEnd w:id="413"/>
      <w:bookmarkEnd w:id="414"/>
    </w:p>
    <w:p>
      <w:pPr>
        <w:spacing w:line="400" w:lineRule="exact"/>
        <w:ind w:firstLine="420" w:firstLineChars="200"/>
        <w:rPr>
          <w:rFonts w:hint="eastAsia"/>
        </w:rPr>
      </w:pPr>
      <w:r>
        <w:rPr>
          <w:rFonts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9"/>
        <w:rPr>
          <w:rFonts w:hint="eastAsia"/>
        </w:rPr>
      </w:pPr>
      <w:r>
        <w:rPr>
          <w:rFonts w:hint="eastAsia"/>
        </w:rPr>
        <w:t>10. 进度计划</w:t>
      </w:r>
    </w:p>
    <w:p>
      <w:pPr>
        <w:pStyle w:val="50"/>
        <w:rPr>
          <w:rFonts w:hint="eastAsia"/>
        </w:rPr>
      </w:pPr>
      <w:r>
        <w:rPr>
          <w:rFonts w:hint="eastAsia"/>
        </w:rPr>
        <w:t>10.1 合同进度计划</w:t>
      </w:r>
    </w:p>
    <w:p>
      <w:pPr>
        <w:spacing w:line="400" w:lineRule="exact"/>
        <w:ind w:firstLine="420" w:firstLineChars="200"/>
        <w:rPr>
          <w:rFonts w:hint="eastAsia"/>
        </w:rPr>
      </w:pPr>
      <w:r>
        <w:rPr>
          <w:rFonts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50"/>
        <w:rPr>
          <w:rFonts w:hint="eastAsia"/>
        </w:rPr>
      </w:pPr>
      <w:r>
        <w:rPr>
          <w:rFonts w:hint="eastAsia"/>
        </w:rPr>
        <w:t>10.2 合同进度计划的修订</w:t>
      </w:r>
    </w:p>
    <w:p>
      <w:pPr>
        <w:spacing w:line="400" w:lineRule="exact"/>
        <w:ind w:firstLine="420" w:firstLineChars="200"/>
        <w:rPr>
          <w:rFonts w:hint="eastAsia"/>
        </w:rPr>
      </w:pPr>
      <w:r>
        <w:rPr>
          <w:rFonts w:hint="eastAsia"/>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49"/>
        <w:rPr>
          <w:rFonts w:hint="eastAsia"/>
        </w:rPr>
      </w:pPr>
      <w:r>
        <w:rPr>
          <w:rFonts w:hint="eastAsia"/>
        </w:rPr>
        <w:t>11. 开工和竣工</w:t>
      </w:r>
    </w:p>
    <w:p>
      <w:pPr>
        <w:pStyle w:val="50"/>
        <w:rPr>
          <w:rFonts w:hint="eastAsia"/>
        </w:rPr>
      </w:pPr>
      <w:r>
        <w:rPr>
          <w:rFonts w:hint="eastAsia"/>
        </w:rPr>
        <w:t>11.1 开工</w:t>
      </w:r>
    </w:p>
    <w:p>
      <w:pPr>
        <w:spacing w:line="400" w:lineRule="exact"/>
        <w:ind w:firstLine="420" w:firstLineChars="200"/>
        <w:rPr>
          <w:rFonts w:hint="eastAsia"/>
        </w:rPr>
      </w:pPr>
      <w:r>
        <w:rPr>
          <w:rFonts w:hint="eastAsia"/>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20" w:firstLineChars="200"/>
        <w:rPr>
          <w:rFonts w:hint="eastAsia"/>
          <w:shd w:val="pct10" w:color="auto" w:fill="FFFFFF"/>
        </w:rPr>
      </w:pPr>
      <w:r>
        <w:rPr>
          <w:rFonts w:hint="eastAsia"/>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50"/>
        <w:rPr>
          <w:rFonts w:hint="eastAsia"/>
        </w:rPr>
      </w:pPr>
      <w:bookmarkStart w:id="415" w:name="_Toc152042462"/>
      <w:bookmarkStart w:id="416" w:name="_Toc152045684"/>
      <w:bookmarkStart w:id="417" w:name="_Toc179632702"/>
      <w:bookmarkStart w:id="418" w:name="_Toc144974652"/>
      <w:r>
        <w:rPr>
          <w:rFonts w:hint="eastAsia"/>
        </w:rPr>
        <w:t>11.2 竣工</w:t>
      </w:r>
      <w:bookmarkEnd w:id="415"/>
      <w:bookmarkEnd w:id="416"/>
      <w:bookmarkEnd w:id="417"/>
      <w:bookmarkEnd w:id="418"/>
    </w:p>
    <w:p>
      <w:pPr>
        <w:spacing w:line="400" w:lineRule="exact"/>
        <w:ind w:firstLine="420" w:firstLineChars="200"/>
        <w:rPr>
          <w:rFonts w:hint="eastAsia"/>
        </w:rPr>
      </w:pPr>
      <w:r>
        <w:rPr>
          <w:rFonts w:hint="eastAsia"/>
        </w:rPr>
        <w:t>承包人应在第1.1.4.3目约定的期限内完成合同工程。实际竣工日期在接收证书中写明。</w:t>
      </w:r>
    </w:p>
    <w:p>
      <w:pPr>
        <w:pStyle w:val="50"/>
        <w:rPr>
          <w:rFonts w:hint="eastAsia"/>
        </w:rPr>
      </w:pPr>
      <w:r>
        <w:rPr>
          <w:rFonts w:hint="eastAsia"/>
        </w:rPr>
        <w:t>11.3 发包人的工期延误</w:t>
      </w:r>
    </w:p>
    <w:p>
      <w:pPr>
        <w:spacing w:line="400" w:lineRule="exact"/>
        <w:ind w:firstLine="420" w:firstLineChars="200"/>
        <w:rPr>
          <w:rFonts w:hint="eastAsia"/>
        </w:rPr>
      </w:pPr>
      <w:r>
        <w:rPr>
          <w:rFonts w:hint="eastAsia"/>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59" w:firstLineChars="171"/>
        <w:rPr>
          <w:rFonts w:hint="eastAsia"/>
        </w:rPr>
      </w:pPr>
      <w:r>
        <w:rPr>
          <w:rFonts w:hint="eastAsia"/>
        </w:rPr>
        <w:t>（1）增加合同工作内容；</w:t>
      </w:r>
    </w:p>
    <w:p>
      <w:pPr>
        <w:spacing w:line="400" w:lineRule="exact"/>
        <w:ind w:firstLine="359" w:firstLineChars="171"/>
        <w:rPr>
          <w:rFonts w:hint="eastAsia"/>
        </w:rPr>
      </w:pPr>
      <w:r>
        <w:rPr>
          <w:rFonts w:hint="eastAsia"/>
        </w:rPr>
        <w:t>（2）改变合同中任何一项工作的质量要求或其他特性；</w:t>
      </w:r>
    </w:p>
    <w:p>
      <w:pPr>
        <w:spacing w:line="400" w:lineRule="exact"/>
        <w:ind w:firstLine="359" w:firstLineChars="171"/>
        <w:rPr>
          <w:rFonts w:hint="eastAsia"/>
        </w:rPr>
      </w:pPr>
      <w:r>
        <w:rPr>
          <w:rFonts w:hint="eastAsia"/>
        </w:rPr>
        <w:t>（3）发包人迟延提供材料、工程设备或变更交货地点的；</w:t>
      </w:r>
    </w:p>
    <w:p>
      <w:pPr>
        <w:spacing w:line="400" w:lineRule="exact"/>
        <w:ind w:firstLine="359" w:firstLineChars="171"/>
        <w:rPr>
          <w:rFonts w:hint="eastAsia"/>
        </w:rPr>
      </w:pPr>
      <w:r>
        <w:rPr>
          <w:rFonts w:hint="eastAsia"/>
        </w:rPr>
        <w:t>（4）因发包人原因导致的暂停施工；</w:t>
      </w:r>
    </w:p>
    <w:p>
      <w:pPr>
        <w:spacing w:line="400" w:lineRule="exact"/>
        <w:ind w:firstLine="359" w:firstLineChars="171"/>
        <w:rPr>
          <w:rFonts w:hint="eastAsia"/>
        </w:rPr>
      </w:pPr>
      <w:r>
        <w:rPr>
          <w:rFonts w:hint="eastAsia"/>
        </w:rPr>
        <w:t>（5）提供图纸延误；</w:t>
      </w:r>
    </w:p>
    <w:p>
      <w:pPr>
        <w:spacing w:line="400" w:lineRule="exact"/>
        <w:ind w:firstLine="359" w:firstLineChars="171"/>
        <w:rPr>
          <w:rFonts w:hint="eastAsia"/>
        </w:rPr>
      </w:pPr>
      <w:r>
        <w:rPr>
          <w:rFonts w:hint="eastAsia"/>
        </w:rPr>
        <w:t>（6）未按合同约定及时支付预付款、进度款；</w:t>
      </w:r>
    </w:p>
    <w:p>
      <w:pPr>
        <w:spacing w:line="400" w:lineRule="exact"/>
        <w:ind w:firstLine="359" w:firstLineChars="171"/>
        <w:rPr>
          <w:rFonts w:hint="eastAsia"/>
        </w:rPr>
      </w:pPr>
      <w:r>
        <w:rPr>
          <w:rFonts w:hint="eastAsia"/>
        </w:rPr>
        <w:t>（7）发包人造成工期延误的其他原因。</w:t>
      </w:r>
    </w:p>
    <w:p>
      <w:pPr>
        <w:pStyle w:val="50"/>
        <w:rPr>
          <w:rFonts w:hint="eastAsia"/>
        </w:rPr>
      </w:pPr>
      <w:r>
        <w:rPr>
          <w:rFonts w:hint="eastAsia"/>
        </w:rPr>
        <w:t>11.4 异常恶劣的气候条件</w:t>
      </w:r>
    </w:p>
    <w:p>
      <w:pPr>
        <w:spacing w:line="400" w:lineRule="exact"/>
        <w:ind w:firstLine="359" w:firstLineChars="171"/>
        <w:rPr>
          <w:rFonts w:hint="eastAsia"/>
        </w:rPr>
      </w:pPr>
      <w:r>
        <w:rPr>
          <w:rFonts w:hint="eastAsia"/>
        </w:rPr>
        <w:t>由于出现专用合同条款规定的异常恶劣气候的条件导致工期延误的，承包人有权要求发包人延长工期。</w:t>
      </w:r>
    </w:p>
    <w:p>
      <w:pPr>
        <w:pStyle w:val="50"/>
        <w:rPr>
          <w:rFonts w:hint="eastAsia"/>
        </w:rPr>
      </w:pPr>
      <w:r>
        <w:rPr>
          <w:rFonts w:hint="eastAsia"/>
        </w:rPr>
        <w:t>11.5 承包人的工期延误</w:t>
      </w:r>
    </w:p>
    <w:p>
      <w:pPr>
        <w:spacing w:line="400" w:lineRule="exact"/>
        <w:ind w:firstLine="420" w:firstLineChars="200"/>
        <w:rPr>
          <w:rFonts w:hint="eastAsia"/>
        </w:rPr>
      </w:pPr>
      <w:r>
        <w:rPr>
          <w:rFonts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0"/>
        <w:rPr>
          <w:rFonts w:hint="eastAsia"/>
        </w:rPr>
      </w:pPr>
      <w:r>
        <w:rPr>
          <w:rFonts w:hint="eastAsia"/>
        </w:rPr>
        <w:t>11.6 工期提前</w:t>
      </w:r>
    </w:p>
    <w:p>
      <w:pPr>
        <w:spacing w:line="400" w:lineRule="exact"/>
        <w:ind w:firstLine="420" w:firstLineChars="200"/>
        <w:rPr>
          <w:rFonts w:hint="eastAsia"/>
        </w:rPr>
      </w:pPr>
      <w:r>
        <w:rPr>
          <w:rFonts w:hint="eastAsia"/>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49"/>
        <w:rPr>
          <w:rFonts w:hint="eastAsia"/>
        </w:rPr>
      </w:pPr>
      <w:r>
        <w:rPr>
          <w:rFonts w:hint="eastAsia"/>
        </w:rPr>
        <w:t>12. 暂停施工</w:t>
      </w:r>
    </w:p>
    <w:p>
      <w:pPr>
        <w:pStyle w:val="50"/>
        <w:rPr>
          <w:rFonts w:hint="eastAsia"/>
        </w:rPr>
      </w:pPr>
      <w:r>
        <w:rPr>
          <w:rFonts w:hint="eastAsia"/>
        </w:rPr>
        <w:t>12.1 承包人暂停施工的责任</w:t>
      </w:r>
    </w:p>
    <w:p>
      <w:pPr>
        <w:spacing w:line="400" w:lineRule="exact"/>
        <w:ind w:firstLine="420" w:firstLineChars="200"/>
        <w:rPr>
          <w:rFonts w:hint="eastAsia"/>
        </w:rPr>
      </w:pPr>
      <w:r>
        <w:rPr>
          <w:rFonts w:hint="eastAsia"/>
        </w:rPr>
        <w:t>因下列暂停施工增加的费用和（或）工期延误由承包人承担：</w:t>
      </w:r>
    </w:p>
    <w:p>
      <w:pPr>
        <w:spacing w:line="400" w:lineRule="exact"/>
        <w:ind w:firstLine="359" w:firstLineChars="171"/>
        <w:rPr>
          <w:rFonts w:hint="eastAsia"/>
        </w:rPr>
      </w:pPr>
      <w:r>
        <w:rPr>
          <w:rFonts w:hint="eastAsia"/>
        </w:rPr>
        <w:t>（1）承包人违约引起的暂停施工；</w:t>
      </w:r>
    </w:p>
    <w:p>
      <w:pPr>
        <w:spacing w:line="400" w:lineRule="exact"/>
        <w:ind w:firstLine="359" w:firstLineChars="171"/>
        <w:rPr>
          <w:rFonts w:hint="eastAsia"/>
        </w:rPr>
      </w:pPr>
      <w:r>
        <w:rPr>
          <w:rFonts w:hint="eastAsia"/>
        </w:rPr>
        <w:t>（2）由于承包人原因为工程合理施工和安全保障所必需的暂停施工；</w:t>
      </w:r>
    </w:p>
    <w:p>
      <w:pPr>
        <w:spacing w:line="400" w:lineRule="exact"/>
        <w:ind w:firstLine="359" w:firstLineChars="171"/>
        <w:rPr>
          <w:rFonts w:hint="eastAsia"/>
        </w:rPr>
      </w:pPr>
      <w:r>
        <w:rPr>
          <w:rFonts w:hint="eastAsia"/>
        </w:rPr>
        <w:t>（3）承包人擅自暂停施工；</w:t>
      </w:r>
    </w:p>
    <w:p>
      <w:pPr>
        <w:spacing w:line="400" w:lineRule="exact"/>
        <w:ind w:firstLine="359" w:firstLineChars="171"/>
        <w:rPr>
          <w:rFonts w:hint="eastAsia"/>
        </w:rPr>
      </w:pPr>
      <w:r>
        <w:rPr>
          <w:rFonts w:hint="eastAsia"/>
        </w:rPr>
        <w:t>（4）承包人其他原因引起的暂停施工；</w:t>
      </w:r>
    </w:p>
    <w:p>
      <w:pPr>
        <w:spacing w:line="400" w:lineRule="exact"/>
        <w:ind w:firstLine="359" w:firstLineChars="171"/>
        <w:rPr>
          <w:rFonts w:hint="eastAsia"/>
        </w:rPr>
      </w:pPr>
      <w:r>
        <w:rPr>
          <w:rFonts w:hint="eastAsia"/>
        </w:rPr>
        <w:t>（5）专用合同条款约定由承包人承担的其他暂停施工。</w:t>
      </w:r>
    </w:p>
    <w:p>
      <w:pPr>
        <w:pStyle w:val="50"/>
        <w:rPr>
          <w:rFonts w:hint="eastAsia"/>
        </w:rPr>
      </w:pPr>
      <w:bookmarkStart w:id="419" w:name="_Toc152042469"/>
      <w:bookmarkStart w:id="420" w:name="_Toc152045691"/>
      <w:bookmarkStart w:id="421" w:name="_Toc144974660"/>
      <w:bookmarkStart w:id="422" w:name="_Toc179632709"/>
      <w:r>
        <w:rPr>
          <w:rFonts w:hint="eastAsia"/>
        </w:rPr>
        <w:t>12.2 发包人暂停施工的责任</w:t>
      </w:r>
      <w:bookmarkEnd w:id="419"/>
      <w:bookmarkEnd w:id="420"/>
      <w:bookmarkEnd w:id="421"/>
      <w:bookmarkEnd w:id="422"/>
    </w:p>
    <w:p>
      <w:pPr>
        <w:spacing w:line="400" w:lineRule="exact"/>
        <w:ind w:firstLine="420" w:firstLineChars="200"/>
        <w:rPr>
          <w:rFonts w:hint="eastAsia"/>
        </w:rPr>
      </w:pPr>
      <w:r>
        <w:rPr>
          <w:rFonts w:hint="eastAsia"/>
        </w:rPr>
        <w:t>由于发包人原因引起的暂停施工造成工期延误的，承包人有权要求发包人延长工期和（或）增加费用，并支付合理利润。</w:t>
      </w:r>
    </w:p>
    <w:p>
      <w:pPr>
        <w:pStyle w:val="50"/>
        <w:rPr>
          <w:rFonts w:hint="eastAsia"/>
        </w:rPr>
      </w:pPr>
      <w:bookmarkStart w:id="423" w:name="_Toc179632710"/>
      <w:bookmarkStart w:id="424" w:name="_Toc152042470"/>
      <w:bookmarkStart w:id="425" w:name="_Toc144974661"/>
      <w:bookmarkStart w:id="426" w:name="_Toc152045692"/>
      <w:r>
        <w:rPr>
          <w:rFonts w:hint="eastAsia"/>
        </w:rPr>
        <w:t>12.3 监理人暂停施工指示</w:t>
      </w:r>
      <w:bookmarkEnd w:id="423"/>
      <w:bookmarkEnd w:id="424"/>
      <w:bookmarkEnd w:id="425"/>
      <w:bookmarkEnd w:id="426"/>
    </w:p>
    <w:p>
      <w:pPr>
        <w:spacing w:line="400" w:lineRule="exact"/>
        <w:ind w:firstLine="420" w:firstLineChars="200"/>
        <w:rPr>
          <w:rFonts w:hint="eastAsia"/>
        </w:rPr>
      </w:pPr>
      <w:r>
        <w:rPr>
          <w:rFonts w:hint="eastAsia"/>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20" w:firstLineChars="200"/>
        <w:rPr>
          <w:rFonts w:hint="eastAsia"/>
        </w:rPr>
      </w:pPr>
      <w:r>
        <w:rPr>
          <w:rFonts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0"/>
        <w:rPr>
          <w:rFonts w:hint="eastAsia"/>
        </w:rPr>
      </w:pPr>
      <w:bookmarkStart w:id="427" w:name="_Toc144974662"/>
      <w:bookmarkStart w:id="428" w:name="_Toc152042471"/>
      <w:bookmarkStart w:id="429" w:name="_Toc179632711"/>
      <w:bookmarkStart w:id="430" w:name="_Toc152045693"/>
      <w:r>
        <w:rPr>
          <w:rFonts w:hint="eastAsia"/>
        </w:rPr>
        <w:t>12.4 暂停施工后的复工</w:t>
      </w:r>
      <w:bookmarkEnd w:id="427"/>
      <w:bookmarkEnd w:id="428"/>
      <w:bookmarkEnd w:id="429"/>
      <w:bookmarkEnd w:id="430"/>
    </w:p>
    <w:p>
      <w:pPr>
        <w:spacing w:line="400" w:lineRule="exact"/>
        <w:ind w:firstLine="420" w:firstLineChars="200"/>
        <w:rPr>
          <w:rFonts w:hint="eastAsia"/>
        </w:rPr>
      </w:pPr>
      <w:r>
        <w:rPr>
          <w:rFonts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20" w:firstLineChars="200"/>
        <w:rPr>
          <w:rFonts w:hint="eastAsia"/>
        </w:rPr>
      </w:pPr>
      <w:r>
        <w:rPr>
          <w:rFonts w:hint="eastAsia"/>
        </w:rPr>
        <w:t>12.4.2 承包人无故拖延和拒绝复工的，由此增加的费用和工期延误由承包人承担；因发包人原因无法按时复工的，承包人有权要求发包人延长工期和（或）增加费用，并支付合理利润。</w:t>
      </w:r>
    </w:p>
    <w:p>
      <w:pPr>
        <w:pStyle w:val="50"/>
        <w:rPr>
          <w:rFonts w:hint="eastAsia"/>
        </w:rPr>
      </w:pPr>
      <w:bookmarkStart w:id="431" w:name="_Toc152045694"/>
      <w:bookmarkStart w:id="432" w:name="_Toc179632712"/>
      <w:bookmarkStart w:id="433" w:name="_Toc152042472"/>
      <w:bookmarkStart w:id="434" w:name="_Toc144974663"/>
      <w:r>
        <w:rPr>
          <w:rFonts w:hint="eastAsia"/>
        </w:rPr>
        <w:t xml:space="preserve">12.5 </w:t>
      </w:r>
      <w:r>
        <w:t>暂停施工</w:t>
      </w:r>
      <w:r>
        <w:rPr>
          <w:rFonts w:hint="eastAsia"/>
        </w:rPr>
        <w:t>持续56天以上</w:t>
      </w:r>
      <w:bookmarkEnd w:id="431"/>
      <w:bookmarkEnd w:id="432"/>
      <w:bookmarkEnd w:id="433"/>
      <w:bookmarkEnd w:id="434"/>
    </w:p>
    <w:p>
      <w:pPr>
        <w:spacing w:line="400" w:lineRule="exact"/>
        <w:ind w:firstLine="411" w:firstLineChars="196"/>
        <w:rPr>
          <w:rFonts w:hint="eastAsia"/>
        </w:rPr>
      </w:pPr>
      <w:r>
        <w:rPr>
          <w:rFonts w:hint="eastAsia"/>
        </w:rPr>
        <w:t xml:space="preserve">12.5.1 </w:t>
      </w:r>
      <w:r>
        <w:t>监理人</w:t>
      </w:r>
      <w:r>
        <w:rPr>
          <w:rFonts w:hint="eastAsia"/>
        </w:rPr>
        <w:t>发出</w:t>
      </w:r>
      <w:r>
        <w:t>暂停施工指示</w:t>
      </w:r>
      <w:r>
        <w:rPr>
          <w:rFonts w:hint="eastAsia"/>
        </w:rPr>
        <w:t>后56天内未向</w:t>
      </w:r>
      <w:r>
        <w:t>承包人</w:t>
      </w:r>
      <w:r>
        <w:rPr>
          <w:rFonts w:hint="eastAsia"/>
        </w:rPr>
        <w:t>发出复工通知，除了该项停工属于第12.1款的情况外，</w:t>
      </w:r>
      <w:r>
        <w:t>承包人</w:t>
      </w:r>
      <w:r>
        <w:rPr>
          <w:rFonts w:hint="eastAsia"/>
        </w:rPr>
        <w:t>可向</w:t>
      </w:r>
      <w:r>
        <w:t>监理人</w:t>
      </w:r>
      <w:r>
        <w:rPr>
          <w:rFonts w:hint="eastAsia"/>
        </w:rPr>
        <w:t>提交书面通知，要求</w:t>
      </w:r>
      <w:r>
        <w:t>监理人</w:t>
      </w:r>
      <w:r>
        <w:rPr>
          <w:rFonts w:hint="eastAsia"/>
        </w:rPr>
        <w:t>在收到书面通知后28天内准许已</w:t>
      </w:r>
      <w:r>
        <w:t>暂停施工</w:t>
      </w:r>
      <w:r>
        <w:rPr>
          <w:rFonts w:hint="eastAsia"/>
        </w:rPr>
        <w:t>的工程或其中一部分工程继续施工。如</w:t>
      </w:r>
      <w:r>
        <w:t>监理人</w:t>
      </w:r>
      <w:r>
        <w:rPr>
          <w:rFonts w:hint="eastAsia"/>
        </w:rPr>
        <w:t>逾期不予批准，则承包人可以通知</w:t>
      </w:r>
      <w:r>
        <w:t>监理人</w:t>
      </w:r>
      <w:r>
        <w:rPr>
          <w:rFonts w:hint="eastAsia"/>
        </w:rPr>
        <w:t>，将工程受影响的部分视为按第15.1（1）项的可取消工作。如</w:t>
      </w:r>
      <w:r>
        <w:t>暂停施工</w:t>
      </w:r>
      <w:r>
        <w:rPr>
          <w:rFonts w:hint="eastAsia"/>
        </w:rPr>
        <w:t>影响到整个工程，可视为发包人违约，应按第22.2款的规定办理。</w:t>
      </w:r>
    </w:p>
    <w:p>
      <w:pPr>
        <w:spacing w:line="400" w:lineRule="exact"/>
        <w:ind w:firstLine="420" w:firstLineChars="200"/>
        <w:rPr>
          <w:rFonts w:hint="eastAsia"/>
        </w:rPr>
      </w:pPr>
      <w:r>
        <w:rPr>
          <w:rFonts w:hint="eastAsia"/>
        </w:rPr>
        <w:t>12.5.2 由于</w:t>
      </w:r>
      <w:r>
        <w:t>承包人</w:t>
      </w:r>
      <w:r>
        <w:rPr>
          <w:rFonts w:hint="eastAsia"/>
        </w:rPr>
        <w:t>责任引起的</w:t>
      </w:r>
      <w:r>
        <w:t>暂停施工</w:t>
      </w:r>
      <w:r>
        <w:rPr>
          <w:rFonts w:hint="eastAsia"/>
        </w:rPr>
        <w:t>，如</w:t>
      </w:r>
      <w:r>
        <w:t>承包人</w:t>
      </w:r>
      <w:r>
        <w:rPr>
          <w:rFonts w:hint="eastAsia"/>
        </w:rPr>
        <w:t>在收到</w:t>
      </w:r>
      <w:r>
        <w:t>监理人暂停施工指示</w:t>
      </w:r>
      <w:r>
        <w:rPr>
          <w:rFonts w:hint="eastAsia"/>
        </w:rPr>
        <w:t>后56天内不认真采取有效的复工措施，造成工期延误，可视为</w:t>
      </w:r>
      <w:r>
        <w:t>承包人</w:t>
      </w:r>
      <w:r>
        <w:rPr>
          <w:rFonts w:hint="eastAsia"/>
        </w:rPr>
        <w:t>违约，应按第22.1款的规定办理。</w:t>
      </w:r>
    </w:p>
    <w:p>
      <w:pPr>
        <w:pStyle w:val="49"/>
        <w:rPr>
          <w:rFonts w:hint="eastAsia"/>
        </w:rPr>
      </w:pPr>
      <w:r>
        <w:rPr>
          <w:rFonts w:hint="eastAsia"/>
        </w:rPr>
        <w:t>13. 工程质量</w:t>
      </w:r>
    </w:p>
    <w:p>
      <w:pPr>
        <w:pStyle w:val="50"/>
        <w:rPr>
          <w:rFonts w:hint="eastAsia"/>
        </w:rPr>
      </w:pPr>
      <w:r>
        <w:rPr>
          <w:rFonts w:hint="eastAsia"/>
        </w:rPr>
        <w:t>13.1 工程质量要求</w:t>
      </w:r>
    </w:p>
    <w:p>
      <w:pPr>
        <w:spacing w:line="400" w:lineRule="exact"/>
        <w:ind w:firstLine="420" w:firstLineChars="200"/>
        <w:rPr>
          <w:rFonts w:hint="eastAsia"/>
        </w:rPr>
      </w:pPr>
      <w:r>
        <w:rPr>
          <w:rFonts w:hint="eastAsia"/>
        </w:rPr>
        <w:t>13.1.1 工程质量验收按合同约定验收标准执行。</w:t>
      </w:r>
    </w:p>
    <w:p>
      <w:pPr>
        <w:spacing w:line="400" w:lineRule="exact"/>
        <w:ind w:firstLine="420" w:firstLineChars="200"/>
        <w:rPr>
          <w:rFonts w:hint="eastAsia"/>
        </w:rPr>
      </w:pPr>
      <w:r>
        <w:rPr>
          <w:rFonts w:hint="eastAsia"/>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20" w:firstLineChars="200"/>
        <w:rPr>
          <w:rFonts w:hint="eastAsia"/>
        </w:rPr>
      </w:pPr>
      <w:r>
        <w:rPr>
          <w:rFonts w:hint="eastAsia"/>
        </w:rPr>
        <w:t>13.1.3 因发包人原因造成工程质量达不到合同约定验收标准的，发包人应承担由于承包人返工造成的费用增加和（或）工期延误，并支付承包人合理利润。</w:t>
      </w:r>
    </w:p>
    <w:p>
      <w:pPr>
        <w:pStyle w:val="50"/>
        <w:rPr>
          <w:rFonts w:hint="eastAsia"/>
        </w:rPr>
      </w:pPr>
      <w:r>
        <w:rPr>
          <w:rFonts w:hint="eastAsia"/>
        </w:rPr>
        <w:t>13.2 承包人的质量管理</w:t>
      </w:r>
    </w:p>
    <w:p>
      <w:pPr>
        <w:spacing w:line="400" w:lineRule="exact"/>
        <w:ind w:firstLine="420" w:firstLineChars="200"/>
        <w:rPr>
          <w:rFonts w:hint="eastAsia"/>
        </w:rPr>
      </w:pPr>
      <w:r>
        <w:rPr>
          <w:rFonts w:hint="eastAsia"/>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20" w:firstLineChars="200"/>
        <w:rPr>
          <w:rFonts w:hint="eastAsia"/>
        </w:rPr>
      </w:pPr>
      <w:r>
        <w:rPr>
          <w:rFonts w:hint="eastAsia"/>
        </w:rPr>
        <w:t>13.2.2 承包人应加强对施工人员的质量教育和技术培训，定期考核施工人员的劳动技能，严格执行规范和操作规程。</w:t>
      </w:r>
    </w:p>
    <w:p>
      <w:pPr>
        <w:pStyle w:val="50"/>
        <w:rPr>
          <w:rFonts w:hint="eastAsia"/>
        </w:rPr>
      </w:pPr>
      <w:bookmarkStart w:id="435" w:name="_Toc152045698"/>
      <w:bookmarkStart w:id="436" w:name="_Toc152042476"/>
      <w:bookmarkStart w:id="437" w:name="_Toc179632716"/>
      <w:bookmarkStart w:id="438" w:name="_Toc144974667"/>
      <w:r>
        <w:rPr>
          <w:rFonts w:hint="eastAsia"/>
        </w:rPr>
        <w:t>13.3 承包人的质量检查</w:t>
      </w:r>
      <w:bookmarkEnd w:id="435"/>
      <w:bookmarkEnd w:id="436"/>
      <w:bookmarkEnd w:id="437"/>
      <w:bookmarkEnd w:id="438"/>
    </w:p>
    <w:p>
      <w:pPr>
        <w:spacing w:line="400" w:lineRule="exact"/>
        <w:ind w:firstLine="420" w:firstLineChars="200"/>
        <w:rPr>
          <w:rFonts w:hint="eastAsia"/>
        </w:rPr>
      </w:pPr>
      <w:r>
        <w:rPr>
          <w:rFonts w:hint="eastAsia"/>
        </w:rPr>
        <w:t>承包人应按合同约定对材料、工程设备以及工程的所有部位及其施工工艺进行全过程的质量检查和检验，并作详细记录，编制工程质量报表，报送监理人审查。</w:t>
      </w:r>
    </w:p>
    <w:p>
      <w:pPr>
        <w:pStyle w:val="50"/>
        <w:rPr>
          <w:rFonts w:hint="eastAsia"/>
        </w:rPr>
      </w:pPr>
      <w:r>
        <w:rPr>
          <w:rFonts w:hint="eastAsia"/>
        </w:rPr>
        <w:t>13.4 监理人的质量检查</w:t>
      </w:r>
    </w:p>
    <w:p>
      <w:pPr>
        <w:spacing w:line="400" w:lineRule="exact"/>
        <w:ind w:firstLine="420" w:firstLineChars="200"/>
        <w:rPr>
          <w:rFonts w:hint="eastAsia"/>
        </w:rPr>
      </w:pPr>
      <w:r>
        <w:rPr>
          <w:rFonts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0"/>
        <w:rPr>
          <w:rFonts w:hint="eastAsia"/>
        </w:rPr>
      </w:pPr>
      <w:r>
        <w:rPr>
          <w:rFonts w:hint="eastAsia"/>
        </w:rPr>
        <w:t>13.5 工程隐蔽部位覆盖前的检查</w:t>
      </w:r>
    </w:p>
    <w:p>
      <w:pPr>
        <w:spacing w:line="400" w:lineRule="exact"/>
        <w:ind w:firstLine="420" w:firstLineChars="200"/>
        <w:rPr>
          <w:rFonts w:hint="eastAsia"/>
        </w:rPr>
      </w:pPr>
      <w:r>
        <w:rPr>
          <w:rFonts w:hint="eastAsia"/>
        </w:rPr>
        <w:t xml:space="preserve">13.5.1 </w:t>
      </w:r>
      <w:r>
        <w:rPr>
          <w:rFonts w:hint="eastAsia" w:ascii="黑体" w:eastAsia="黑体"/>
        </w:rPr>
        <w:t>通知监理人检查</w:t>
      </w:r>
    </w:p>
    <w:p>
      <w:pPr>
        <w:spacing w:line="400" w:lineRule="exact"/>
        <w:ind w:firstLine="420" w:firstLineChars="200"/>
        <w:rPr>
          <w:rFonts w:hint="eastAsia"/>
        </w:rPr>
      </w:pPr>
      <w:r>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20" w:firstLineChars="200"/>
        <w:rPr>
          <w:rFonts w:hint="eastAsia"/>
        </w:rPr>
      </w:pPr>
      <w:r>
        <w:rPr>
          <w:rFonts w:hint="eastAsia"/>
        </w:rPr>
        <w:t xml:space="preserve">13.5.2 </w:t>
      </w:r>
      <w:r>
        <w:rPr>
          <w:rFonts w:hint="eastAsia" w:ascii="黑体" w:eastAsia="黑体"/>
        </w:rPr>
        <w:t>监理人未到场检查</w:t>
      </w:r>
    </w:p>
    <w:p>
      <w:pPr>
        <w:spacing w:line="400" w:lineRule="exact"/>
        <w:ind w:firstLine="420" w:firstLineChars="200"/>
        <w:rPr>
          <w:rFonts w:hint="eastAsia"/>
        </w:rPr>
      </w:pPr>
      <w:r>
        <w:rPr>
          <w:rFonts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20" w:firstLineChars="200"/>
        <w:rPr>
          <w:rFonts w:hint="eastAsia"/>
        </w:rPr>
      </w:pPr>
      <w:r>
        <w:rPr>
          <w:rFonts w:hint="eastAsia"/>
        </w:rPr>
        <w:t xml:space="preserve">13.5.3 </w:t>
      </w:r>
      <w:r>
        <w:rPr>
          <w:rFonts w:hint="eastAsia" w:ascii="黑体" w:eastAsia="黑体"/>
        </w:rPr>
        <w:t>监理人重新检查</w:t>
      </w:r>
    </w:p>
    <w:p>
      <w:pPr>
        <w:spacing w:line="400" w:lineRule="exact"/>
        <w:ind w:firstLine="420" w:firstLineChars="200"/>
        <w:rPr>
          <w:rFonts w:hint="eastAsia"/>
        </w:rPr>
      </w:pPr>
      <w:r>
        <w:rPr>
          <w:rFonts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20" w:firstLineChars="200"/>
        <w:rPr>
          <w:rFonts w:hint="eastAsia"/>
        </w:rPr>
      </w:pPr>
      <w:r>
        <w:rPr>
          <w:rFonts w:hint="eastAsia"/>
        </w:rPr>
        <w:t xml:space="preserve">13.5.4 </w:t>
      </w:r>
      <w:r>
        <w:rPr>
          <w:rFonts w:hint="eastAsia" w:ascii="黑体" w:eastAsia="黑体"/>
        </w:rPr>
        <w:t>承包人私自覆盖</w:t>
      </w:r>
    </w:p>
    <w:p>
      <w:pPr>
        <w:spacing w:line="400" w:lineRule="exact"/>
        <w:ind w:firstLine="420" w:firstLineChars="200"/>
        <w:rPr>
          <w:rFonts w:hint="eastAsia"/>
        </w:rPr>
      </w:pPr>
      <w:r>
        <w:rPr>
          <w:rFonts w:hint="eastAsia"/>
        </w:rPr>
        <w:t>承包人未通知监理人到场检查，私自将工程隐蔽部位覆盖的，监理人有权指示承包人钻孔探测或揭开检查，由此增加的费用和（或）工期延误由承包人承担。</w:t>
      </w:r>
    </w:p>
    <w:p>
      <w:pPr>
        <w:pStyle w:val="50"/>
        <w:rPr>
          <w:rFonts w:hint="eastAsia"/>
        </w:rPr>
      </w:pPr>
      <w:r>
        <w:rPr>
          <w:rFonts w:hint="eastAsia"/>
        </w:rPr>
        <w:t>13.6 清除不合格工程</w:t>
      </w:r>
    </w:p>
    <w:p>
      <w:pPr>
        <w:spacing w:line="400" w:lineRule="exact"/>
        <w:ind w:firstLine="420" w:firstLineChars="200"/>
        <w:rPr>
          <w:rFonts w:hint="eastAsia"/>
        </w:rPr>
      </w:pPr>
      <w:r>
        <w:rPr>
          <w:rFonts w:hint="eastAsia"/>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20" w:firstLineChars="200"/>
        <w:rPr>
          <w:rFonts w:hint="eastAsia"/>
        </w:rPr>
      </w:pPr>
      <w:r>
        <w:rPr>
          <w:rFonts w:hint="eastAsia"/>
        </w:rPr>
        <w:t>13.6.2 由于发包人提供的材料或工程设备不合格造成的工程不合格，需要承包人采取措施补救的，发包人应承担由此增加的费用和（或）工期延误，并支付承包人合理利润。</w:t>
      </w:r>
    </w:p>
    <w:p>
      <w:pPr>
        <w:pStyle w:val="49"/>
        <w:rPr>
          <w:rFonts w:hint="eastAsia"/>
        </w:rPr>
      </w:pPr>
      <w:r>
        <w:rPr>
          <w:rFonts w:hint="eastAsia"/>
        </w:rPr>
        <w:t>14. 试验和检验</w:t>
      </w:r>
    </w:p>
    <w:p>
      <w:pPr>
        <w:pStyle w:val="50"/>
        <w:rPr>
          <w:rFonts w:hint="eastAsia"/>
        </w:rPr>
      </w:pPr>
      <w:bookmarkStart w:id="439" w:name="_Toc152042481"/>
      <w:bookmarkStart w:id="440" w:name="_Toc179632721"/>
      <w:bookmarkStart w:id="441" w:name="_Toc144974672"/>
      <w:bookmarkStart w:id="442" w:name="_Toc152045703"/>
      <w:r>
        <w:rPr>
          <w:rFonts w:hint="eastAsia"/>
        </w:rPr>
        <w:t>14.1 材料、工程设备和工程的试验和检验</w:t>
      </w:r>
      <w:bookmarkEnd w:id="439"/>
      <w:bookmarkEnd w:id="440"/>
      <w:bookmarkEnd w:id="441"/>
      <w:bookmarkEnd w:id="442"/>
    </w:p>
    <w:p>
      <w:pPr>
        <w:spacing w:line="400" w:lineRule="exact"/>
        <w:ind w:firstLine="420" w:firstLineChars="200"/>
        <w:rPr>
          <w:rFonts w:hint="eastAsia"/>
        </w:rPr>
      </w:pPr>
      <w:r>
        <w:rPr>
          <w:rFonts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20" w:firstLineChars="200"/>
        <w:rPr>
          <w:rFonts w:hint="eastAsia"/>
        </w:rPr>
      </w:pPr>
      <w:r>
        <w:rPr>
          <w:rFonts w:hint="eastAsia"/>
        </w:rPr>
        <w:t>14.1.2 监理人未按合同约定派员参加试验和检验的，除监理人另有指示外，承包人可自行试验和检验，并应立即将试验和检验结果报送监理人，监理人应签字确认。</w:t>
      </w:r>
    </w:p>
    <w:p>
      <w:pPr>
        <w:spacing w:line="400" w:lineRule="exact"/>
        <w:ind w:firstLine="420" w:firstLineChars="200"/>
        <w:rPr>
          <w:rFonts w:hint="eastAsia"/>
        </w:rPr>
      </w:pPr>
      <w:r>
        <w:rPr>
          <w:rFonts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0"/>
        <w:rPr>
          <w:rFonts w:hint="eastAsia"/>
        </w:rPr>
      </w:pPr>
      <w:bookmarkStart w:id="443" w:name="_Toc152045704"/>
      <w:bookmarkStart w:id="444" w:name="_Toc179632722"/>
      <w:bookmarkStart w:id="445" w:name="_Toc144974673"/>
      <w:bookmarkStart w:id="446" w:name="_Toc152042482"/>
      <w:r>
        <w:rPr>
          <w:rFonts w:hint="eastAsia"/>
        </w:rPr>
        <w:t>14.2 现场材料试验</w:t>
      </w:r>
      <w:bookmarkEnd w:id="443"/>
      <w:bookmarkEnd w:id="444"/>
      <w:bookmarkEnd w:id="445"/>
      <w:bookmarkEnd w:id="446"/>
    </w:p>
    <w:p>
      <w:pPr>
        <w:spacing w:line="400" w:lineRule="exact"/>
        <w:ind w:firstLine="420" w:firstLineChars="200"/>
        <w:rPr>
          <w:rFonts w:hint="eastAsia"/>
        </w:rPr>
      </w:pPr>
      <w:r>
        <w:rPr>
          <w:rFonts w:hint="eastAsia"/>
        </w:rPr>
        <w:t>14.2.1 承包人根据合同约定或监理人指示进行的现场材料试验，应由承包人提供试验场所、试验人员、试验设备器材以及其他必要的试验条件。</w:t>
      </w:r>
    </w:p>
    <w:p>
      <w:pPr>
        <w:spacing w:line="400" w:lineRule="exact"/>
        <w:ind w:firstLine="420" w:firstLineChars="200"/>
        <w:rPr>
          <w:rFonts w:hint="eastAsia"/>
        </w:rPr>
      </w:pPr>
      <w:r>
        <w:rPr>
          <w:rFonts w:hint="eastAsia"/>
        </w:rPr>
        <w:t>14.2.2 监理人在必要时可以使用承包人的试验场所、试验设备器材以及其他试验条件，进行以工程质量检查为目的的复核性材料试验，承包人应予以协助。</w:t>
      </w:r>
    </w:p>
    <w:p>
      <w:pPr>
        <w:pStyle w:val="50"/>
        <w:rPr>
          <w:rFonts w:hint="eastAsia"/>
        </w:rPr>
      </w:pPr>
      <w:bookmarkStart w:id="447" w:name="_Toc144974674"/>
      <w:bookmarkStart w:id="448" w:name="_Toc152045705"/>
      <w:bookmarkStart w:id="449" w:name="_Toc179632723"/>
      <w:bookmarkStart w:id="450" w:name="_Toc152042483"/>
      <w:r>
        <w:rPr>
          <w:rFonts w:hint="eastAsia"/>
        </w:rPr>
        <w:t>14.3 现场工艺试验</w:t>
      </w:r>
      <w:bookmarkEnd w:id="447"/>
      <w:bookmarkEnd w:id="448"/>
      <w:bookmarkEnd w:id="449"/>
      <w:bookmarkEnd w:id="450"/>
    </w:p>
    <w:p>
      <w:pPr>
        <w:spacing w:line="400" w:lineRule="exact"/>
        <w:ind w:firstLine="420" w:firstLineChars="200"/>
        <w:rPr>
          <w:rFonts w:hint="eastAsia"/>
        </w:rPr>
      </w:pPr>
      <w:r>
        <w:rPr>
          <w:rFonts w:hint="eastAsia"/>
        </w:rPr>
        <w:t>承包人应按合同约定或监理人指示进行现场工艺试验。对大型的现场工艺试验，监理人认为必要时，应由承包人根据监理人提出的工艺试验要求，编制工艺试验措施计划，报送监理人审批。</w:t>
      </w:r>
    </w:p>
    <w:p>
      <w:pPr>
        <w:pStyle w:val="49"/>
        <w:rPr>
          <w:rFonts w:hint="eastAsia"/>
        </w:rPr>
      </w:pPr>
      <w:r>
        <w:rPr>
          <w:rFonts w:hint="eastAsia"/>
        </w:rPr>
        <w:t>15. 变更</w:t>
      </w:r>
    </w:p>
    <w:p>
      <w:pPr>
        <w:pStyle w:val="50"/>
        <w:rPr>
          <w:rFonts w:hint="eastAsia"/>
        </w:rPr>
      </w:pPr>
      <w:r>
        <w:rPr>
          <w:rFonts w:hint="eastAsia"/>
        </w:rPr>
        <w:t>15.1 变更的范围和内容</w:t>
      </w:r>
    </w:p>
    <w:p>
      <w:pPr>
        <w:spacing w:line="400" w:lineRule="exact"/>
        <w:ind w:firstLine="420" w:firstLineChars="200"/>
        <w:rPr>
          <w:rFonts w:hint="eastAsia"/>
        </w:rPr>
      </w:pPr>
      <w:r>
        <w:rPr>
          <w:rFonts w:hint="eastAsia"/>
        </w:rPr>
        <w:t>除专用合同条款另有约定外，在履行合同中发生以下情形之一，应按照本条规定进行变更。</w:t>
      </w:r>
    </w:p>
    <w:p>
      <w:pPr>
        <w:spacing w:line="400" w:lineRule="exact"/>
        <w:ind w:firstLine="359" w:firstLineChars="171"/>
        <w:rPr>
          <w:rFonts w:hint="eastAsia"/>
        </w:rPr>
      </w:pPr>
      <w:r>
        <w:rPr>
          <w:rFonts w:hint="eastAsia"/>
        </w:rPr>
        <w:t>（1）取消合同中任何一项工作，但被取消的工作不能转由发包人或其他人实施；</w:t>
      </w:r>
    </w:p>
    <w:p>
      <w:pPr>
        <w:spacing w:line="400" w:lineRule="exact"/>
        <w:ind w:firstLine="359" w:firstLineChars="171"/>
        <w:rPr>
          <w:rFonts w:hint="eastAsia"/>
        </w:rPr>
      </w:pPr>
      <w:r>
        <w:rPr>
          <w:rFonts w:hint="eastAsia"/>
        </w:rPr>
        <w:t>（2）改变合同中任何一项工作的质量或其他特性；</w:t>
      </w:r>
    </w:p>
    <w:p>
      <w:pPr>
        <w:spacing w:line="400" w:lineRule="exact"/>
        <w:ind w:firstLine="359" w:firstLineChars="171"/>
        <w:rPr>
          <w:rFonts w:hint="eastAsia"/>
        </w:rPr>
      </w:pPr>
      <w:r>
        <w:rPr>
          <w:rFonts w:hint="eastAsia"/>
        </w:rPr>
        <w:t>（3）改变合同工程的基线、标高、位置或尺寸；</w:t>
      </w:r>
    </w:p>
    <w:p>
      <w:pPr>
        <w:spacing w:line="400" w:lineRule="exact"/>
        <w:ind w:firstLine="359" w:firstLineChars="171"/>
        <w:rPr>
          <w:rFonts w:hint="eastAsia"/>
        </w:rPr>
      </w:pPr>
      <w:r>
        <w:rPr>
          <w:rFonts w:hint="eastAsia"/>
        </w:rPr>
        <w:t>（4）改变合同中任何一项工作的施工时间或改变已批准的施工工艺或顺序；</w:t>
      </w:r>
    </w:p>
    <w:p>
      <w:pPr>
        <w:spacing w:line="400" w:lineRule="exact"/>
        <w:ind w:firstLine="359" w:firstLineChars="171"/>
        <w:rPr>
          <w:rFonts w:hint="eastAsia"/>
        </w:rPr>
      </w:pPr>
      <w:r>
        <w:rPr>
          <w:rFonts w:hint="eastAsia"/>
        </w:rPr>
        <w:t>（5）为完成工程需要追加的额外工作。</w:t>
      </w:r>
    </w:p>
    <w:p>
      <w:pPr>
        <w:pStyle w:val="50"/>
        <w:rPr>
          <w:rFonts w:hint="eastAsia"/>
        </w:rPr>
      </w:pPr>
      <w:bookmarkStart w:id="451" w:name="_Toc152045708"/>
      <w:bookmarkStart w:id="452" w:name="_Toc144974677"/>
      <w:bookmarkStart w:id="453" w:name="_Toc179632726"/>
      <w:bookmarkStart w:id="454" w:name="_Toc152042486"/>
      <w:r>
        <w:rPr>
          <w:rFonts w:hint="eastAsia"/>
        </w:rPr>
        <w:t>15.2 变更权</w:t>
      </w:r>
      <w:bookmarkEnd w:id="451"/>
      <w:bookmarkEnd w:id="452"/>
      <w:bookmarkEnd w:id="453"/>
      <w:bookmarkEnd w:id="454"/>
    </w:p>
    <w:p>
      <w:pPr>
        <w:spacing w:line="400" w:lineRule="exact"/>
        <w:ind w:firstLine="420" w:firstLineChars="200"/>
        <w:rPr>
          <w:rFonts w:hint="eastAsia"/>
        </w:rPr>
      </w:pPr>
      <w:r>
        <w:rPr>
          <w:rFonts w:hint="eastAsia"/>
        </w:rPr>
        <w:t>在履行合同过程中，经发包人同意，监理人可按第15.3款约定的变更程序向承包人作出变更指示，承包人应遵照执行。没有监理人的变更指示，承包人不得擅自变更。</w:t>
      </w:r>
    </w:p>
    <w:p>
      <w:pPr>
        <w:pStyle w:val="50"/>
        <w:rPr>
          <w:rFonts w:hint="eastAsia"/>
        </w:rPr>
      </w:pPr>
      <w:r>
        <w:rPr>
          <w:rFonts w:hint="eastAsia"/>
        </w:rPr>
        <w:t>15.3 变更程序</w:t>
      </w:r>
    </w:p>
    <w:p>
      <w:pPr>
        <w:spacing w:line="400" w:lineRule="exact"/>
        <w:ind w:firstLine="420" w:firstLineChars="200"/>
        <w:rPr>
          <w:rFonts w:hint="eastAsia"/>
        </w:rPr>
      </w:pPr>
      <w:r>
        <w:rPr>
          <w:rFonts w:hint="eastAsia"/>
        </w:rPr>
        <w:t xml:space="preserve">15.3.1 </w:t>
      </w:r>
      <w:r>
        <w:rPr>
          <w:rFonts w:hint="eastAsia" w:ascii="黑体" w:eastAsia="黑体"/>
        </w:rPr>
        <w:t>变更的提出</w:t>
      </w:r>
    </w:p>
    <w:p>
      <w:pPr>
        <w:spacing w:line="400" w:lineRule="exact"/>
        <w:ind w:firstLine="420" w:firstLineChars="200"/>
        <w:rPr>
          <w:rFonts w:hint="eastAsia"/>
        </w:rPr>
      </w:pPr>
      <w:r>
        <w:rPr>
          <w:rFonts w:hint="eastAsia"/>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20" w:firstLineChars="200"/>
        <w:rPr>
          <w:rFonts w:hint="eastAsia"/>
        </w:rPr>
      </w:pPr>
      <w:r>
        <w:rPr>
          <w:rFonts w:hint="eastAsia"/>
        </w:rPr>
        <w:t>（2）在合同履行过程中，发生第15.1款约定情形的，监理人应按照第15.3.3项约定向承包人发出变更指示。</w:t>
      </w:r>
    </w:p>
    <w:p>
      <w:pPr>
        <w:spacing w:line="400" w:lineRule="exact"/>
        <w:ind w:firstLine="420" w:firstLineChars="200"/>
        <w:rPr>
          <w:rFonts w:hint="eastAsia"/>
        </w:rPr>
      </w:pPr>
      <w:r>
        <w:rPr>
          <w:rFonts w:hint="eastAsia"/>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20" w:firstLineChars="200"/>
        <w:rPr>
          <w:rFonts w:hint="eastAsia"/>
        </w:rPr>
      </w:pPr>
      <w:r>
        <w:rPr>
          <w:rFonts w:hint="eastAsia"/>
        </w:rPr>
        <w:t>（4）若承包人收到监理人的变更意向书后认为难以实施此项变更，应立即通知监理人，说明原因并附详细依据。监理人与承包人和发包人协商后确定撤销</w:t>
      </w:r>
      <w:r>
        <w:rPr>
          <w:rFonts w:hint="eastAsia" w:ascii="宋体" w:hAnsi="宋体"/>
        </w:rPr>
        <w:t>、</w:t>
      </w:r>
      <w:r>
        <w:rPr>
          <w:rFonts w:hint="eastAsia"/>
        </w:rPr>
        <w:t>改变或不改变原变更意向书。</w:t>
      </w:r>
    </w:p>
    <w:p>
      <w:pPr>
        <w:spacing w:line="400" w:lineRule="exact"/>
        <w:ind w:firstLine="420" w:firstLineChars="200"/>
        <w:rPr>
          <w:rFonts w:hint="eastAsia"/>
        </w:rPr>
      </w:pPr>
      <w:r>
        <w:rPr>
          <w:rFonts w:hint="eastAsia"/>
        </w:rPr>
        <w:t xml:space="preserve">15.3.2 </w:t>
      </w:r>
      <w:r>
        <w:rPr>
          <w:rFonts w:hint="eastAsia" w:ascii="黑体" w:eastAsia="黑体"/>
        </w:rPr>
        <w:t>变更估价</w:t>
      </w:r>
    </w:p>
    <w:p>
      <w:pPr>
        <w:spacing w:line="400" w:lineRule="exact"/>
        <w:ind w:firstLine="420" w:firstLineChars="200"/>
        <w:rPr>
          <w:rFonts w:hint="eastAsia"/>
        </w:rPr>
      </w:pPr>
      <w:r>
        <w:rPr>
          <w:rFonts w:hint="eastAsia"/>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20" w:firstLineChars="200"/>
        <w:rPr>
          <w:rFonts w:hint="eastAsia"/>
        </w:rPr>
      </w:pPr>
      <w:r>
        <w:rPr>
          <w:rFonts w:hint="eastAsia"/>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20" w:firstLineChars="200"/>
        <w:rPr>
          <w:rFonts w:hint="eastAsia"/>
        </w:rPr>
      </w:pPr>
      <w:r>
        <w:rPr>
          <w:rFonts w:hint="eastAsia"/>
        </w:rPr>
        <w:t>（3）除专用合同条款对期限另有约定外，监理人收到承包人变更报价书后的14天内，根据第15.4款约定的估价原则，按照第3.5款商定或确定变更价格。</w:t>
      </w:r>
    </w:p>
    <w:p>
      <w:pPr>
        <w:spacing w:line="400" w:lineRule="exact"/>
        <w:ind w:firstLine="420" w:firstLineChars="200"/>
        <w:rPr>
          <w:rFonts w:hint="eastAsia"/>
        </w:rPr>
      </w:pPr>
      <w:r>
        <w:rPr>
          <w:rFonts w:hint="eastAsia"/>
        </w:rPr>
        <w:t xml:space="preserve">15.3.3 </w:t>
      </w:r>
      <w:r>
        <w:rPr>
          <w:rFonts w:hint="eastAsia" w:ascii="黑体" w:eastAsia="黑体"/>
        </w:rPr>
        <w:t>变更指示</w:t>
      </w:r>
    </w:p>
    <w:p>
      <w:pPr>
        <w:spacing w:line="400" w:lineRule="exact"/>
        <w:ind w:firstLine="420" w:firstLineChars="200"/>
        <w:rPr>
          <w:rFonts w:hint="eastAsia"/>
        </w:rPr>
      </w:pPr>
      <w:r>
        <w:rPr>
          <w:rFonts w:hint="eastAsia"/>
        </w:rPr>
        <w:t>（1）变更指示只能由监理人发出。</w:t>
      </w:r>
    </w:p>
    <w:p>
      <w:pPr>
        <w:spacing w:line="400" w:lineRule="exact"/>
        <w:ind w:firstLine="420" w:firstLineChars="200"/>
        <w:rPr>
          <w:rFonts w:hint="eastAsia"/>
        </w:rPr>
      </w:pPr>
      <w:r>
        <w:rPr>
          <w:rFonts w:hint="eastAsia"/>
        </w:rPr>
        <w:t>（2）变更指示应说明变更的目的、范围、变更内容以及变更的工程量及其进度和技术要求，并附有关图纸和文件。承包人收到变更指示后，应按变更指示进行变更工作。</w:t>
      </w:r>
    </w:p>
    <w:p>
      <w:pPr>
        <w:pStyle w:val="50"/>
        <w:rPr>
          <w:rFonts w:hint="eastAsia"/>
        </w:rPr>
      </w:pPr>
      <w:r>
        <w:rPr>
          <w:rFonts w:hint="eastAsia"/>
        </w:rPr>
        <w:t>15.4 变更的估价原则</w:t>
      </w:r>
    </w:p>
    <w:p>
      <w:pPr>
        <w:spacing w:line="400" w:lineRule="exact"/>
        <w:ind w:firstLine="420" w:firstLineChars="200"/>
        <w:rPr>
          <w:rFonts w:hint="eastAsia"/>
        </w:rPr>
      </w:pPr>
      <w:r>
        <w:rPr>
          <w:rFonts w:hint="eastAsia"/>
        </w:rPr>
        <w:t>除专用合同条款另有约定外，因变更引起的价格调整按照本款约定处理。</w:t>
      </w:r>
    </w:p>
    <w:p>
      <w:pPr>
        <w:spacing w:line="400" w:lineRule="exact"/>
        <w:ind w:firstLine="420" w:firstLineChars="200"/>
        <w:rPr>
          <w:rFonts w:hint="eastAsia"/>
        </w:rPr>
      </w:pPr>
      <w:r>
        <w:rPr>
          <w:rFonts w:hint="eastAsia"/>
        </w:rPr>
        <w:t>15.4.1 已标价工程量清单中有适用于变更工作的子目的，采用该子目的单价。</w:t>
      </w:r>
    </w:p>
    <w:p>
      <w:pPr>
        <w:spacing w:line="400" w:lineRule="exact"/>
        <w:ind w:firstLine="420" w:firstLineChars="200"/>
        <w:rPr>
          <w:rFonts w:hint="eastAsia"/>
        </w:rPr>
      </w:pPr>
      <w:r>
        <w:rPr>
          <w:rFonts w:hint="eastAsia"/>
        </w:rPr>
        <w:t>15.4.2 已标价工程量清单中无适用于变更工作的子目，但有类似子目的，可在合理范围内参照类似子目的单价，由监理人按第3.5款商定或确定变更工作的单价。</w:t>
      </w:r>
    </w:p>
    <w:p>
      <w:pPr>
        <w:spacing w:line="400" w:lineRule="exact"/>
        <w:ind w:firstLine="420" w:firstLineChars="200"/>
        <w:rPr>
          <w:rFonts w:hint="eastAsia"/>
        </w:rPr>
      </w:pPr>
      <w:r>
        <w:rPr>
          <w:rFonts w:hint="eastAsia"/>
        </w:rPr>
        <w:t>15.4.3 已标价工程量清单中无适用或类似子目的单价，可按照成本加利润的原则，由监理人按第3.5款商定或确定变更工作的单价。</w:t>
      </w:r>
    </w:p>
    <w:p>
      <w:pPr>
        <w:pStyle w:val="50"/>
        <w:rPr>
          <w:rFonts w:hint="eastAsia"/>
        </w:rPr>
      </w:pPr>
      <w:r>
        <w:rPr>
          <w:rFonts w:hint="eastAsia"/>
        </w:rPr>
        <w:t>15.5 承包人的合理化建议</w:t>
      </w:r>
    </w:p>
    <w:p>
      <w:pPr>
        <w:spacing w:line="400" w:lineRule="exact"/>
        <w:ind w:firstLine="420" w:firstLineChars="200"/>
        <w:rPr>
          <w:rFonts w:hint="eastAsia"/>
        </w:rPr>
      </w:pPr>
      <w:r>
        <w:rPr>
          <w:rFonts w:hint="eastAsia"/>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20" w:firstLineChars="200"/>
        <w:rPr>
          <w:rFonts w:hint="eastAsia"/>
        </w:rPr>
      </w:pPr>
      <w:r>
        <w:rPr>
          <w:rFonts w:hint="eastAsia"/>
        </w:rPr>
        <w:t>15.5.2 承包人提出的合理化建议降低了合同价格、缩短了工期或者提高了工程经济效益的，发包人可按国家有关规定在专用合同条款中约定给予奖励。</w:t>
      </w:r>
    </w:p>
    <w:p>
      <w:pPr>
        <w:pStyle w:val="50"/>
        <w:rPr>
          <w:rFonts w:hint="eastAsia"/>
        </w:rPr>
      </w:pPr>
      <w:r>
        <w:rPr>
          <w:rFonts w:hint="eastAsia"/>
        </w:rPr>
        <w:t>15.6 暂列金额</w:t>
      </w:r>
    </w:p>
    <w:p>
      <w:pPr>
        <w:spacing w:line="400" w:lineRule="exact"/>
        <w:ind w:firstLine="420" w:firstLineChars="200"/>
        <w:rPr>
          <w:rFonts w:hint="eastAsia"/>
        </w:rPr>
      </w:pPr>
      <w:r>
        <w:rPr>
          <w:rFonts w:hint="eastAsia"/>
        </w:rPr>
        <w:t>暂列金额只能按照监理人的指示使用，并对合同价格进行相应调整。</w:t>
      </w:r>
    </w:p>
    <w:p>
      <w:pPr>
        <w:pStyle w:val="50"/>
        <w:rPr>
          <w:rFonts w:hint="eastAsia"/>
        </w:rPr>
      </w:pPr>
      <w:bookmarkStart w:id="455" w:name="_Toc152045713"/>
      <w:bookmarkStart w:id="456" w:name="_Toc144974682"/>
      <w:bookmarkStart w:id="457" w:name="_Toc152042491"/>
      <w:bookmarkStart w:id="458" w:name="_Toc179632731"/>
      <w:r>
        <w:rPr>
          <w:rFonts w:hint="eastAsia"/>
        </w:rPr>
        <w:t>15.7 计日工</w:t>
      </w:r>
      <w:bookmarkEnd w:id="455"/>
      <w:bookmarkEnd w:id="456"/>
      <w:bookmarkEnd w:id="457"/>
      <w:bookmarkEnd w:id="458"/>
    </w:p>
    <w:p>
      <w:pPr>
        <w:spacing w:line="400" w:lineRule="exact"/>
        <w:ind w:firstLine="420" w:firstLineChars="200"/>
        <w:rPr>
          <w:rFonts w:hint="eastAsia"/>
          <w:shd w:val="pct10" w:color="auto" w:fill="FFFFFF"/>
        </w:rPr>
      </w:pPr>
      <w:r>
        <w:rPr>
          <w:rFonts w:hint="eastAsia"/>
        </w:rPr>
        <w:t>15.7.1 发包人认为有必要时，</w:t>
      </w:r>
      <w:r>
        <w:rPr>
          <w:rFonts w:hint="eastAsia"/>
          <w:szCs w:val="21"/>
        </w:rPr>
        <w:t>由</w:t>
      </w:r>
      <w:r>
        <w:rPr>
          <w:rFonts w:hint="eastAsia"/>
        </w:rPr>
        <w:t>监理人通知承包人以计日工方式实施变更的零星工作。其价款按列入已标价工程量清单中的计日工计价子目及其单价进行计算。</w:t>
      </w:r>
    </w:p>
    <w:p>
      <w:pPr>
        <w:spacing w:line="400" w:lineRule="exact"/>
        <w:ind w:firstLine="420" w:firstLineChars="200"/>
        <w:rPr>
          <w:rFonts w:hint="eastAsia"/>
        </w:rPr>
      </w:pPr>
      <w:r>
        <w:rPr>
          <w:rFonts w:hint="eastAsia"/>
        </w:rPr>
        <w:t>15.7.2 采用计日工计价的任何一项变更工作，应从暂列金额中支付，承包人应在该项变更的实施过程中，每天提交以下报表和有关凭证报送监理人审批：</w:t>
      </w:r>
    </w:p>
    <w:p>
      <w:pPr>
        <w:spacing w:line="400" w:lineRule="exact"/>
        <w:ind w:firstLine="718" w:firstLineChars="342"/>
        <w:rPr>
          <w:rFonts w:hint="eastAsia"/>
        </w:rPr>
      </w:pPr>
      <w:r>
        <w:rPr>
          <w:rFonts w:hint="eastAsia"/>
        </w:rPr>
        <w:t>（1）工作名称、内容和数量；</w:t>
      </w:r>
    </w:p>
    <w:p>
      <w:pPr>
        <w:spacing w:line="400" w:lineRule="exact"/>
        <w:ind w:firstLine="718" w:firstLineChars="342"/>
        <w:rPr>
          <w:rFonts w:hint="eastAsia"/>
        </w:rPr>
      </w:pPr>
      <w:r>
        <w:rPr>
          <w:rFonts w:hint="eastAsia"/>
        </w:rPr>
        <w:t>（2）投入该工作所有人员的姓名、工种、级别和耗用工时；</w:t>
      </w:r>
    </w:p>
    <w:p>
      <w:pPr>
        <w:spacing w:line="400" w:lineRule="exact"/>
        <w:ind w:firstLine="718" w:firstLineChars="342"/>
        <w:rPr>
          <w:rFonts w:hint="eastAsia"/>
        </w:rPr>
      </w:pPr>
      <w:r>
        <w:rPr>
          <w:rFonts w:hint="eastAsia"/>
        </w:rPr>
        <w:t>（3）投入该工作的材料类别和数量；</w:t>
      </w:r>
    </w:p>
    <w:p>
      <w:pPr>
        <w:spacing w:line="400" w:lineRule="exact"/>
        <w:ind w:firstLine="718" w:firstLineChars="342"/>
        <w:rPr>
          <w:rFonts w:hint="eastAsia"/>
        </w:rPr>
      </w:pPr>
      <w:r>
        <w:rPr>
          <w:rFonts w:hint="eastAsia"/>
        </w:rPr>
        <w:t>（4）投入该工作的施工设备型号、台数和耗用台时；</w:t>
      </w:r>
    </w:p>
    <w:p>
      <w:pPr>
        <w:spacing w:line="400" w:lineRule="exact"/>
        <w:ind w:firstLine="718" w:firstLineChars="342"/>
        <w:rPr>
          <w:rFonts w:hint="eastAsia"/>
        </w:rPr>
      </w:pPr>
      <w:r>
        <w:rPr>
          <w:rFonts w:hint="eastAsia"/>
        </w:rPr>
        <w:t>（5）监理人要求提交的其他资料和凭证。</w:t>
      </w:r>
    </w:p>
    <w:p>
      <w:pPr>
        <w:spacing w:line="400" w:lineRule="exact"/>
        <w:ind w:firstLine="420" w:firstLineChars="200"/>
        <w:rPr>
          <w:rFonts w:hint="eastAsia"/>
        </w:rPr>
      </w:pPr>
      <w:r>
        <w:rPr>
          <w:rFonts w:hint="eastAsia"/>
        </w:rPr>
        <w:t>15.7.3 计日工由承包人汇总后，按第17.3.2项的约定列入进度付款申请单，由监理人复核并经发包人同意后列入进度付款。</w:t>
      </w:r>
    </w:p>
    <w:p>
      <w:pPr>
        <w:pStyle w:val="50"/>
        <w:rPr>
          <w:rFonts w:hint="eastAsia"/>
        </w:rPr>
      </w:pPr>
      <w:bookmarkStart w:id="459" w:name="_Toc152042492"/>
      <w:bookmarkStart w:id="460" w:name="_Toc179632732"/>
      <w:bookmarkStart w:id="461" w:name="_Toc144974683"/>
      <w:bookmarkStart w:id="462" w:name="_Toc152045714"/>
      <w:r>
        <w:rPr>
          <w:rFonts w:hint="eastAsia"/>
        </w:rPr>
        <w:t>15.8 暂估价</w:t>
      </w:r>
      <w:bookmarkEnd w:id="459"/>
      <w:bookmarkEnd w:id="460"/>
      <w:bookmarkEnd w:id="461"/>
      <w:bookmarkEnd w:id="462"/>
    </w:p>
    <w:p>
      <w:pPr>
        <w:spacing w:line="400" w:lineRule="exact"/>
        <w:rPr>
          <w:rFonts w:hint="eastAsia"/>
        </w:rPr>
      </w:pPr>
      <w:r>
        <w:rPr>
          <w:rFonts w:hint="eastAsia"/>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20" w:firstLineChars="200"/>
        <w:rPr>
          <w:rFonts w:hint="eastAsia"/>
        </w:rPr>
      </w:pPr>
      <w:r>
        <w:rPr>
          <w:rFonts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20" w:firstLineChars="200"/>
        <w:rPr>
          <w:rFonts w:hint="eastAsia"/>
        </w:rPr>
      </w:pPr>
      <w:r>
        <w:rPr>
          <w:rFonts w:hint="eastAsia"/>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49"/>
        <w:rPr>
          <w:rFonts w:hint="eastAsia"/>
        </w:rPr>
      </w:pPr>
      <w:r>
        <w:rPr>
          <w:rFonts w:hint="eastAsia"/>
        </w:rPr>
        <w:t>16. 价格调整</w:t>
      </w:r>
    </w:p>
    <w:p>
      <w:pPr>
        <w:pStyle w:val="50"/>
        <w:rPr>
          <w:rFonts w:hint="eastAsia"/>
        </w:rPr>
      </w:pPr>
      <w:r>
        <w:rPr>
          <w:rFonts w:hint="eastAsia"/>
        </w:rPr>
        <w:t>16.1 物价波动引起的价格调整</w:t>
      </w:r>
    </w:p>
    <w:p>
      <w:pPr>
        <w:spacing w:line="400" w:lineRule="exact"/>
        <w:ind w:firstLine="420" w:firstLineChars="200"/>
        <w:rPr>
          <w:rFonts w:hint="eastAsia"/>
        </w:rPr>
      </w:pPr>
      <w:r>
        <w:rPr>
          <w:rFonts w:hint="eastAsia"/>
        </w:rPr>
        <w:t>除专用合同条款另有约定外，因物价波动引起的价格调整按照本款约定处理。</w:t>
      </w:r>
    </w:p>
    <w:p>
      <w:pPr>
        <w:spacing w:line="400" w:lineRule="exact"/>
        <w:ind w:firstLine="420" w:firstLineChars="200"/>
        <w:rPr>
          <w:rFonts w:hint="eastAsia"/>
        </w:rPr>
      </w:pPr>
      <w:r>
        <w:rPr>
          <w:rFonts w:hint="eastAsia"/>
        </w:rPr>
        <w:t xml:space="preserve">16.1.1 </w:t>
      </w:r>
      <w:r>
        <w:rPr>
          <w:rFonts w:hint="eastAsia" w:ascii="黑体" w:eastAsia="黑体"/>
        </w:rPr>
        <w:t>采用价格指数调整价格差额</w:t>
      </w:r>
    </w:p>
    <w:p>
      <w:pPr>
        <w:spacing w:line="400" w:lineRule="exact"/>
        <w:ind w:firstLine="420" w:firstLineChars="200"/>
        <w:rPr>
          <w:rFonts w:hint="eastAsia"/>
        </w:rPr>
      </w:pPr>
      <w:r>
        <w:rPr>
          <w:rFonts w:hint="eastAsia"/>
        </w:rPr>
        <w:t>16.1.1.1 价格调整公式</w:t>
      </w:r>
    </w:p>
    <w:p>
      <w:pPr>
        <w:spacing w:line="400" w:lineRule="exact"/>
        <w:ind w:firstLine="420" w:firstLineChars="200"/>
        <w:rPr>
          <w:rFonts w:hint="eastAsia"/>
        </w:rPr>
      </w:pPr>
      <w:r>
        <w:rPr>
          <w:rFonts w:hint="eastAsia"/>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719" w:firstLineChars="398"/>
        <w:rPr>
          <w:rFonts w:hint="eastAsia"/>
        </w:rPr>
      </w:pPr>
      <w:r>
        <w:rPr>
          <w:rFonts w:hint="eastAsia"/>
          <w:b/>
          <w:bCs/>
          <w:kern w:val="0"/>
          <w:sz w:val="18"/>
          <w:szCs w:val="19"/>
          <w:lang w:val="zh-CN"/>
        </w:rPr>
        <w:t xml:space="preserve">        </w:t>
      </w:r>
      <w:r>
        <w:rPr>
          <w:position w:val="-34"/>
        </w:rPr>
        <w:object>
          <v:shape id="_x0000_i1025" o:spt="75" type="#_x0000_t75" style="height:40pt;width:306pt;" o:ole="t" filled="f" o:preferrelative="t" stroked="f" coordsize="21600,21600">
            <v:path/>
            <v:fill on="f" alignshape="1" focussize="0,0"/>
            <v:stroke on="f"/>
            <v:imagedata r:id="rId20" o:title=""/>
            <o:lock v:ext="edit" aspectratio="t"/>
            <w10:wrap type="none"/>
            <w10:anchorlock/>
          </v:shape>
          <o:OLEObject Type="Embed" ProgID="Equation.3" ShapeID="_x0000_i1025" DrawAspect="Content" ObjectID="_1468075725" r:id="rId19">
            <o:LockedField>false</o:LockedField>
          </o:OLEObject>
        </w:object>
      </w:r>
    </w:p>
    <w:p>
      <w:pPr>
        <w:tabs>
          <w:tab w:val="left" w:pos="1260"/>
        </w:tabs>
        <w:spacing w:line="400" w:lineRule="exact"/>
        <w:ind w:firstLine="420" w:firstLineChars="200"/>
        <w:rPr>
          <w:rFonts w:hint="eastAsia"/>
        </w:rPr>
      </w:pPr>
      <w:r>
        <w:rPr>
          <w:rFonts w:hint="eastAsia"/>
        </w:rPr>
        <w:t xml:space="preserve"> </w:t>
      </w:r>
    </w:p>
    <w:p>
      <w:pPr>
        <w:tabs>
          <w:tab w:val="left" w:pos="1260"/>
        </w:tabs>
        <w:spacing w:line="400" w:lineRule="exact"/>
        <w:ind w:firstLine="420" w:firstLineChars="200"/>
        <w:rPr>
          <w:rFonts w:hint="eastAsia"/>
        </w:rPr>
      </w:pPr>
      <w:r>
        <w:rPr>
          <w:rFonts w:hint="eastAsia"/>
        </w:rPr>
        <w:t>式中： △P -- 需调整的价格差额；</w:t>
      </w:r>
    </w:p>
    <w:p>
      <w:pPr>
        <w:tabs>
          <w:tab w:val="left" w:pos="1260"/>
        </w:tabs>
        <w:spacing w:line="400" w:lineRule="exact"/>
        <w:rPr>
          <w:rFonts w:hint="eastAsia"/>
        </w:rPr>
      </w:pPr>
      <w:r>
        <w:rPr>
          <w:rFonts w:hint="eastAsia"/>
        </w:rPr>
        <w:tab/>
      </w:r>
      <w:r>
        <w:rPr>
          <w:rFonts w:hint="eastAsia"/>
        </w:rPr>
        <w:t>P</w:t>
      </w:r>
      <w:r>
        <w:rPr>
          <w:rFonts w:hint="eastAsia"/>
          <w:szCs w:val="21"/>
          <w:vertAlign w:val="subscript"/>
        </w:rPr>
        <w:t>0</w:t>
      </w:r>
      <w:r>
        <w:rPr>
          <w:rFonts w:hint="eastAsia"/>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hint="eastAsia"/>
        </w:rPr>
      </w:pPr>
      <w:r>
        <w:rPr>
          <w:rFonts w:hint="eastAsia"/>
        </w:rPr>
        <w:tab/>
      </w:r>
      <w:bookmarkStart w:id="463" w:name="_Toc152042495"/>
      <w:bookmarkStart w:id="464" w:name="_Toc144974686"/>
      <w:r>
        <w:rPr>
          <w:rFonts w:hint="eastAsia"/>
        </w:rPr>
        <w:t>A -- 定值权重(即不调部分的权重)；</w:t>
      </w:r>
      <w:bookmarkEnd w:id="463"/>
      <w:bookmarkEnd w:id="464"/>
    </w:p>
    <w:p>
      <w:pPr>
        <w:tabs>
          <w:tab w:val="left" w:pos="1260"/>
        </w:tabs>
        <w:spacing w:line="400" w:lineRule="exact"/>
        <w:rPr>
          <w:rFonts w:hint="eastAsia"/>
        </w:rPr>
      </w:pPr>
      <w:r>
        <w:rPr>
          <w:rFonts w:hint="eastAsia"/>
        </w:rPr>
        <w:tab/>
      </w:r>
      <w:r>
        <w:rPr>
          <w:rFonts w:hint="eastAsia"/>
        </w:rPr>
        <w:t>B</w:t>
      </w:r>
      <w:r>
        <w:rPr>
          <w:rFonts w:hint="eastAsia"/>
          <w:szCs w:val="21"/>
          <w:vertAlign w:val="subscript"/>
        </w:rPr>
        <w:t>1</w:t>
      </w:r>
      <w:r>
        <w:rPr>
          <w:rFonts w:hint="eastAsia"/>
          <w:sz w:val="15"/>
          <w:szCs w:val="15"/>
        </w:rPr>
        <w:t>;</w:t>
      </w:r>
      <w:r>
        <w:rPr>
          <w:rFonts w:hint="eastAsia"/>
        </w:rPr>
        <w:t xml:space="preserve"> B</w:t>
      </w:r>
      <w:r>
        <w:rPr>
          <w:rFonts w:hint="eastAsia"/>
          <w:szCs w:val="21"/>
          <w:vertAlign w:val="subscript"/>
        </w:rPr>
        <w:t>2</w:t>
      </w:r>
      <w:r>
        <w:rPr>
          <w:rFonts w:hint="eastAsia"/>
        </w:rPr>
        <w:t xml:space="preserve"> ;B</w:t>
      </w:r>
      <w:r>
        <w:rPr>
          <w:rFonts w:hint="eastAsia"/>
          <w:szCs w:val="21"/>
          <w:vertAlign w:val="subscript"/>
        </w:rPr>
        <w:t>3</w:t>
      </w:r>
      <w:r>
        <w:rPr>
          <w:rFonts w:hint="eastAsia" w:ascii="宋体" w:hAnsi="宋体"/>
          <w:sz w:val="15"/>
          <w:szCs w:val="15"/>
        </w:rPr>
        <w:t>·····</w:t>
      </w:r>
      <w:r>
        <w:rPr>
          <w:rFonts w:hint="eastAsia"/>
        </w:rPr>
        <w:t>B</w:t>
      </w:r>
      <w:r>
        <w:rPr>
          <w:rFonts w:hint="eastAsia"/>
          <w:szCs w:val="21"/>
          <w:vertAlign w:val="subscript"/>
        </w:rPr>
        <w:t>n</w:t>
      </w:r>
      <w:r>
        <w:rPr>
          <w:rFonts w:hint="eastAsia"/>
        </w:rPr>
        <w:t xml:space="preserve"> -- 各可调因子的变值权重(即可调部分的权重)为各可调因子在投标函投标总报价中所占的比例；</w:t>
      </w:r>
    </w:p>
    <w:p>
      <w:pPr>
        <w:tabs>
          <w:tab w:val="left" w:pos="1260"/>
        </w:tabs>
        <w:spacing w:line="400" w:lineRule="exact"/>
        <w:rPr>
          <w:rFonts w:hint="eastAsia"/>
        </w:rPr>
      </w:pPr>
      <w:r>
        <w:rPr>
          <w:rFonts w:hint="eastAsia"/>
        </w:rPr>
        <w:tab/>
      </w:r>
      <w:r>
        <w:rPr>
          <w:rFonts w:hint="eastAsia"/>
        </w:rPr>
        <w:t>F</w:t>
      </w:r>
      <w:r>
        <w:rPr>
          <w:rFonts w:hint="eastAsia"/>
          <w:szCs w:val="21"/>
          <w:vertAlign w:val="subscript"/>
        </w:rPr>
        <w:t>t1</w:t>
      </w:r>
      <w:r>
        <w:rPr>
          <w:rFonts w:hint="eastAsia"/>
        </w:rPr>
        <w:t xml:space="preserve"> ;F</w:t>
      </w:r>
      <w:r>
        <w:rPr>
          <w:rFonts w:hint="eastAsia"/>
          <w:szCs w:val="21"/>
          <w:vertAlign w:val="subscript"/>
        </w:rPr>
        <w:t>t2</w:t>
      </w:r>
      <w:r>
        <w:rPr>
          <w:rFonts w:hint="eastAsia"/>
        </w:rPr>
        <w:t xml:space="preserve"> ;F</w:t>
      </w:r>
      <w:r>
        <w:rPr>
          <w:rFonts w:hint="eastAsia"/>
          <w:szCs w:val="21"/>
          <w:vertAlign w:val="subscript"/>
        </w:rPr>
        <w:t>t3</w:t>
      </w:r>
      <w:r>
        <w:rPr>
          <w:rFonts w:hint="eastAsia" w:ascii="宋体" w:hAnsi="宋体"/>
          <w:sz w:val="15"/>
          <w:szCs w:val="15"/>
        </w:rPr>
        <w:t>·····</w:t>
      </w:r>
      <w:r>
        <w:rPr>
          <w:rFonts w:hint="eastAsia"/>
        </w:rPr>
        <w:t>F</w:t>
      </w:r>
      <w:r>
        <w:rPr>
          <w:rFonts w:hint="eastAsia"/>
          <w:szCs w:val="21"/>
          <w:vertAlign w:val="subscript"/>
        </w:rPr>
        <w:t>tn</w:t>
      </w:r>
      <w:r>
        <w:rPr>
          <w:rFonts w:hint="eastAsia"/>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hint="eastAsia"/>
        </w:rPr>
      </w:pPr>
      <w:r>
        <w:rPr>
          <w:rFonts w:hint="eastAsia"/>
        </w:rPr>
        <w:tab/>
      </w:r>
      <w:r>
        <w:rPr>
          <w:rFonts w:hint="eastAsia"/>
        </w:rPr>
        <w:t>F</w:t>
      </w:r>
      <w:r>
        <w:rPr>
          <w:rFonts w:hint="eastAsia"/>
          <w:szCs w:val="21"/>
          <w:vertAlign w:val="subscript"/>
        </w:rPr>
        <w:t>o1</w:t>
      </w:r>
      <w:r>
        <w:rPr>
          <w:rFonts w:hint="eastAsia"/>
        </w:rPr>
        <w:t>; F</w:t>
      </w:r>
      <w:r>
        <w:rPr>
          <w:rFonts w:hint="eastAsia"/>
          <w:szCs w:val="21"/>
          <w:vertAlign w:val="subscript"/>
        </w:rPr>
        <w:t>o2</w:t>
      </w:r>
      <w:r>
        <w:rPr>
          <w:rFonts w:hint="eastAsia"/>
          <w:sz w:val="15"/>
          <w:szCs w:val="15"/>
        </w:rPr>
        <w:t>;</w:t>
      </w:r>
      <w:r>
        <w:rPr>
          <w:rFonts w:hint="eastAsia"/>
        </w:rPr>
        <w:t xml:space="preserve"> F</w:t>
      </w:r>
      <w:r>
        <w:rPr>
          <w:rFonts w:hint="eastAsia"/>
          <w:szCs w:val="21"/>
          <w:vertAlign w:val="subscript"/>
        </w:rPr>
        <w:t>o3</w:t>
      </w:r>
      <w:r>
        <w:rPr>
          <w:rFonts w:hint="eastAsia" w:ascii="宋体" w:hAnsi="宋体"/>
          <w:sz w:val="15"/>
          <w:szCs w:val="15"/>
        </w:rPr>
        <w:t>·····</w:t>
      </w:r>
      <w:r>
        <w:rPr>
          <w:rFonts w:hint="eastAsia"/>
        </w:rPr>
        <w:t>F</w:t>
      </w:r>
      <w:r>
        <w:rPr>
          <w:rFonts w:hint="eastAsia"/>
          <w:szCs w:val="21"/>
          <w:vertAlign w:val="subscript"/>
        </w:rPr>
        <w:t>on</w:t>
      </w:r>
      <w:r>
        <w:rPr>
          <w:rFonts w:hint="eastAsia"/>
        </w:rPr>
        <w:t xml:space="preserve"> -- 各可调因子的基本价格指数，指基准日期的各可调因子的价格指数。</w:t>
      </w:r>
    </w:p>
    <w:p>
      <w:pPr>
        <w:spacing w:line="400" w:lineRule="exact"/>
        <w:ind w:firstLine="420" w:firstLineChars="200"/>
        <w:rPr>
          <w:rFonts w:hint="eastAsia"/>
        </w:rPr>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20" w:firstLineChars="200"/>
        <w:rPr>
          <w:rFonts w:hint="eastAsia"/>
        </w:rPr>
      </w:pPr>
      <w:r>
        <w:rPr>
          <w:rFonts w:hint="eastAsia"/>
        </w:rPr>
        <w:t>16.1.1.2 暂时确定调整差额</w:t>
      </w:r>
    </w:p>
    <w:p>
      <w:pPr>
        <w:spacing w:line="400" w:lineRule="exact"/>
        <w:ind w:firstLine="420" w:firstLineChars="200"/>
        <w:rPr>
          <w:rFonts w:hint="eastAsia"/>
        </w:rPr>
      </w:pPr>
      <w:r>
        <w:rPr>
          <w:rFonts w:hint="eastAsia"/>
        </w:rPr>
        <w:t>在计算调整差额时得不到现行价格指数的，可暂用上一次价格指数计算，并在以后的付款中再按实际价格指数进行调整。</w:t>
      </w:r>
    </w:p>
    <w:p>
      <w:pPr>
        <w:spacing w:line="400" w:lineRule="exact"/>
        <w:ind w:firstLine="420" w:firstLineChars="200"/>
        <w:rPr>
          <w:rFonts w:hint="eastAsia"/>
        </w:rPr>
      </w:pPr>
      <w:r>
        <w:rPr>
          <w:rFonts w:hint="eastAsia"/>
        </w:rPr>
        <w:t>16.1.1.3 权重的调整</w:t>
      </w:r>
    </w:p>
    <w:p>
      <w:pPr>
        <w:spacing w:line="400" w:lineRule="exact"/>
        <w:ind w:firstLine="420" w:firstLineChars="200"/>
        <w:rPr>
          <w:rFonts w:hint="eastAsia"/>
        </w:rPr>
      </w:pPr>
      <w:r>
        <w:rPr>
          <w:rFonts w:hint="eastAsia"/>
        </w:rPr>
        <w:t>按第15.1款约定的变更导致原定合同中的权重不合理时，由监理人与承包人和发包人协商后进行调整。</w:t>
      </w:r>
    </w:p>
    <w:p>
      <w:pPr>
        <w:spacing w:line="400" w:lineRule="exact"/>
        <w:ind w:firstLine="420" w:firstLineChars="200"/>
        <w:rPr>
          <w:rFonts w:hint="eastAsia"/>
        </w:rPr>
      </w:pPr>
      <w:r>
        <w:rPr>
          <w:rFonts w:hint="eastAsia"/>
        </w:rPr>
        <w:t>16.1.1.4 承包人工期延误后的价格调整</w:t>
      </w:r>
    </w:p>
    <w:p>
      <w:pPr>
        <w:spacing w:line="400" w:lineRule="exact"/>
        <w:ind w:firstLine="420" w:firstLineChars="200"/>
        <w:rPr>
          <w:rFonts w:hint="eastAsia"/>
        </w:rPr>
      </w:pPr>
      <w:r>
        <w:rPr>
          <w:rFonts w:hint="eastAsia"/>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20" w:firstLineChars="200"/>
        <w:rPr>
          <w:rFonts w:hint="eastAsia" w:ascii="黑体" w:eastAsia="黑体"/>
        </w:rPr>
      </w:pPr>
      <w:r>
        <w:rPr>
          <w:rFonts w:hint="eastAsia" w:ascii="黑体" w:eastAsia="黑体"/>
        </w:rPr>
        <w:t>16.1.2 采用造价信息调整价格差额</w:t>
      </w:r>
    </w:p>
    <w:p>
      <w:pPr>
        <w:spacing w:line="400" w:lineRule="exact"/>
        <w:ind w:firstLine="420" w:firstLineChars="200"/>
        <w:rPr>
          <w:rFonts w:hint="eastAsia"/>
        </w:rPr>
      </w:pPr>
      <w:r>
        <w:rPr>
          <w:rFonts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50"/>
        <w:rPr>
          <w:rFonts w:hint="eastAsia"/>
        </w:rPr>
      </w:pPr>
      <w:bookmarkStart w:id="465" w:name="_Toc144974688"/>
      <w:bookmarkStart w:id="466" w:name="_Toc179632735"/>
      <w:bookmarkStart w:id="467" w:name="_Toc152042496"/>
      <w:bookmarkStart w:id="468" w:name="_Toc152045717"/>
      <w:r>
        <w:rPr>
          <w:rFonts w:hint="eastAsia"/>
        </w:rPr>
        <w:t>16.2 法律变化引起的价格调整</w:t>
      </w:r>
      <w:bookmarkEnd w:id="465"/>
      <w:bookmarkEnd w:id="466"/>
      <w:bookmarkEnd w:id="467"/>
      <w:bookmarkEnd w:id="468"/>
    </w:p>
    <w:p>
      <w:pPr>
        <w:spacing w:line="400" w:lineRule="exact"/>
        <w:ind w:firstLine="420" w:firstLineChars="200"/>
        <w:rPr>
          <w:rFonts w:hint="eastAsia"/>
        </w:rPr>
      </w:pPr>
      <w:r>
        <w:rPr>
          <w:rFonts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49"/>
        <w:rPr>
          <w:rFonts w:hint="eastAsia"/>
        </w:rPr>
      </w:pPr>
      <w:r>
        <w:rPr>
          <w:rFonts w:hint="eastAsia"/>
        </w:rPr>
        <w:t>17. 计量与支付</w:t>
      </w:r>
    </w:p>
    <w:p>
      <w:pPr>
        <w:pStyle w:val="50"/>
        <w:rPr>
          <w:rFonts w:hint="eastAsia"/>
        </w:rPr>
      </w:pPr>
      <w:r>
        <w:rPr>
          <w:rFonts w:hint="eastAsia"/>
        </w:rPr>
        <w:t>17.1 计量</w:t>
      </w:r>
    </w:p>
    <w:p>
      <w:pPr>
        <w:spacing w:line="400" w:lineRule="exact"/>
        <w:ind w:firstLine="420" w:firstLineChars="200"/>
        <w:rPr>
          <w:rFonts w:hint="eastAsia"/>
        </w:rPr>
      </w:pPr>
      <w:r>
        <w:rPr>
          <w:rFonts w:hint="eastAsia"/>
        </w:rPr>
        <w:t xml:space="preserve">17.1.1 </w:t>
      </w:r>
      <w:r>
        <w:rPr>
          <w:rFonts w:hint="eastAsia" w:ascii="黑体" w:eastAsia="黑体"/>
        </w:rPr>
        <w:t>计量单位</w:t>
      </w:r>
    </w:p>
    <w:p>
      <w:pPr>
        <w:spacing w:line="400" w:lineRule="exact"/>
        <w:ind w:firstLine="420" w:firstLineChars="200"/>
        <w:rPr>
          <w:rFonts w:hint="eastAsia"/>
        </w:rPr>
      </w:pPr>
      <w:r>
        <w:rPr>
          <w:rFonts w:hint="eastAsia"/>
        </w:rPr>
        <w:t>计量采用国家法定的计量单位。</w:t>
      </w:r>
    </w:p>
    <w:p>
      <w:pPr>
        <w:spacing w:line="400" w:lineRule="exact"/>
        <w:ind w:firstLine="420" w:firstLineChars="200"/>
        <w:rPr>
          <w:rFonts w:hint="eastAsia"/>
        </w:rPr>
      </w:pPr>
      <w:r>
        <w:rPr>
          <w:rFonts w:hint="eastAsia"/>
        </w:rPr>
        <w:t xml:space="preserve">17.1.2 </w:t>
      </w:r>
      <w:r>
        <w:rPr>
          <w:rFonts w:hint="eastAsia" w:ascii="黑体" w:eastAsia="黑体"/>
        </w:rPr>
        <w:t>计量方法</w:t>
      </w:r>
    </w:p>
    <w:p>
      <w:pPr>
        <w:spacing w:line="400" w:lineRule="exact"/>
        <w:ind w:firstLine="420" w:firstLineChars="200"/>
        <w:rPr>
          <w:rFonts w:hint="eastAsia"/>
        </w:rPr>
      </w:pPr>
      <w:r>
        <w:rPr>
          <w:rFonts w:hint="eastAsia"/>
        </w:rPr>
        <w:t>工程量清单中的工程量计算规则应按有关国家标准、行业标准的规定，并在合同中约定执行。</w:t>
      </w:r>
    </w:p>
    <w:p>
      <w:pPr>
        <w:spacing w:line="400" w:lineRule="exact"/>
        <w:ind w:firstLine="420" w:firstLineChars="200"/>
        <w:rPr>
          <w:rFonts w:hint="eastAsia"/>
        </w:rPr>
      </w:pPr>
      <w:r>
        <w:rPr>
          <w:rFonts w:hint="eastAsia"/>
        </w:rPr>
        <w:t xml:space="preserve">17.1.3 </w:t>
      </w:r>
      <w:r>
        <w:rPr>
          <w:rFonts w:hint="eastAsia" w:ascii="黑体" w:eastAsia="黑体"/>
        </w:rPr>
        <w:t>计量周期</w:t>
      </w:r>
    </w:p>
    <w:p>
      <w:pPr>
        <w:spacing w:line="400" w:lineRule="exact"/>
        <w:ind w:firstLine="420" w:firstLineChars="200"/>
        <w:rPr>
          <w:rFonts w:hint="eastAsia"/>
        </w:rPr>
      </w:pPr>
      <w:r>
        <w:rPr>
          <w:rFonts w:hint="eastAsia"/>
        </w:rPr>
        <w:t>除专用合同条款另有约定外，单价子目已完成工程量按月计量，总价子目的计量周期按批准的支付分解报告确定。</w:t>
      </w:r>
    </w:p>
    <w:p>
      <w:pPr>
        <w:spacing w:line="400" w:lineRule="exact"/>
        <w:ind w:firstLine="420" w:firstLineChars="200"/>
        <w:rPr>
          <w:rFonts w:hint="eastAsia"/>
        </w:rPr>
      </w:pPr>
      <w:r>
        <w:rPr>
          <w:rFonts w:hint="eastAsia"/>
        </w:rPr>
        <w:t>17.1.4</w:t>
      </w:r>
      <w:r>
        <w:rPr>
          <w:rFonts w:hint="eastAsia" w:ascii="黑体" w:eastAsia="黑体"/>
        </w:rPr>
        <w:t xml:space="preserve"> 单价子目的计量</w:t>
      </w:r>
    </w:p>
    <w:p>
      <w:pPr>
        <w:spacing w:line="400" w:lineRule="exact"/>
        <w:ind w:firstLine="718" w:firstLineChars="342"/>
        <w:rPr>
          <w:rFonts w:hint="eastAsia"/>
        </w:rPr>
      </w:pPr>
      <w:r>
        <w:rPr>
          <w:rFonts w:hint="eastAsia"/>
        </w:rPr>
        <w:t>（1）已标价工程量清单中的单价子目工程量为估算工程量。结算工程量是承包人实际完成的，并按合同约定的计量方法进行计量的工程量。</w:t>
      </w:r>
    </w:p>
    <w:p>
      <w:pPr>
        <w:spacing w:line="400" w:lineRule="exact"/>
        <w:ind w:firstLine="718" w:firstLineChars="342"/>
        <w:rPr>
          <w:rFonts w:hint="eastAsia"/>
        </w:rPr>
      </w:pPr>
      <w:r>
        <w:rPr>
          <w:rFonts w:hint="eastAsia"/>
        </w:rPr>
        <w:t>（2）承包人对已完成的工程进行计量，向监理人提交进度付款申请单、已完成工程量报表和有关计量资料。</w:t>
      </w:r>
    </w:p>
    <w:p>
      <w:pPr>
        <w:spacing w:line="400" w:lineRule="exact"/>
        <w:ind w:firstLine="718" w:firstLineChars="342"/>
        <w:rPr>
          <w:rFonts w:hint="eastAsia"/>
        </w:rPr>
      </w:pPr>
      <w:r>
        <w:rPr>
          <w:rFonts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718" w:firstLineChars="342"/>
        <w:rPr>
          <w:rFonts w:hint="eastAsia"/>
        </w:rPr>
      </w:pPr>
      <w:r>
        <w:rPr>
          <w:rFonts w:hint="eastAsia"/>
        </w:rPr>
        <w:t>（4）监理人认为有必要时，可通知承包人共同进行联合测量、计量，承包人应遵照执行。</w:t>
      </w:r>
    </w:p>
    <w:p>
      <w:pPr>
        <w:spacing w:line="400" w:lineRule="exact"/>
        <w:ind w:firstLine="718" w:firstLineChars="342"/>
        <w:rPr>
          <w:rFonts w:hint="eastAsia"/>
        </w:rPr>
      </w:pPr>
      <w:r>
        <w:rPr>
          <w:rFonts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718" w:firstLineChars="342"/>
        <w:rPr>
          <w:rFonts w:hint="eastAsia"/>
        </w:rPr>
      </w:pPr>
      <w:r>
        <w:rPr>
          <w:rFonts w:hint="eastAsia"/>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20" w:firstLineChars="200"/>
        <w:rPr>
          <w:rFonts w:hint="eastAsia" w:ascii="黑体" w:eastAsia="黑体"/>
        </w:rPr>
      </w:pPr>
      <w:r>
        <w:rPr>
          <w:rFonts w:hint="eastAsia"/>
        </w:rPr>
        <w:t xml:space="preserve">17.1.5 </w:t>
      </w:r>
      <w:r>
        <w:rPr>
          <w:rFonts w:hint="eastAsia" w:ascii="黑体" w:eastAsia="黑体"/>
        </w:rPr>
        <w:t>总价子目的计量</w:t>
      </w:r>
    </w:p>
    <w:p>
      <w:pPr>
        <w:spacing w:line="400" w:lineRule="exact"/>
        <w:ind w:firstLine="630" w:firstLineChars="300"/>
        <w:rPr>
          <w:rFonts w:hint="eastAsia" w:ascii="宋体" w:hAnsi="宋体"/>
        </w:rPr>
      </w:pPr>
      <w:r>
        <w:rPr>
          <w:rFonts w:hint="eastAsia" w:ascii="宋体" w:hAnsi="宋体"/>
        </w:rPr>
        <w:t>除专用合同条款另有约定外，总价子目的分解和计量按照下述约定进行。</w:t>
      </w:r>
    </w:p>
    <w:p>
      <w:pPr>
        <w:spacing w:line="400" w:lineRule="exact"/>
        <w:ind w:firstLine="630" w:firstLineChars="300"/>
        <w:rPr>
          <w:rFonts w:hint="eastAsia" w:ascii="宋体" w:hAnsi="宋体"/>
        </w:rPr>
      </w:pPr>
      <w:r>
        <w:rPr>
          <w:rFonts w:hint="eastAsia" w:ascii="宋体" w:hAnsi="宋体"/>
        </w:rPr>
        <w:t>（1）总价子目的计量和支付应以总价为基础，不因第16.1款中的因素而进行调整。承包人实际完成的工程量，是进行工程目标管理和控制进度支付的依据。</w:t>
      </w:r>
    </w:p>
    <w:p>
      <w:pPr>
        <w:spacing w:line="400" w:lineRule="exact"/>
        <w:ind w:firstLine="630" w:firstLineChars="300"/>
        <w:rPr>
          <w:rFonts w:hint="eastAsia" w:ascii="宋体" w:hAnsi="宋体"/>
        </w:rPr>
      </w:pPr>
      <w:r>
        <w:rPr>
          <w:rFonts w:hint="eastAsia" w:ascii="宋体" w:hAnsi="宋体"/>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30" w:firstLineChars="300"/>
        <w:rPr>
          <w:rFonts w:hint="eastAsia" w:ascii="宋体" w:hAnsi="宋体"/>
        </w:rPr>
      </w:pPr>
      <w:r>
        <w:rPr>
          <w:rFonts w:hint="eastAsia" w:ascii="宋体" w:hAnsi="宋体"/>
        </w:rPr>
        <w:t>（3）监理人对承包人提交的上述资料进行复核，以确定分阶段实际完成的工程量和工程形象目标。对其有异议的，可要求承包人按第8.2款约定进行共同复核和抽样复测。</w:t>
      </w:r>
    </w:p>
    <w:p>
      <w:pPr>
        <w:spacing w:line="400" w:lineRule="exact"/>
        <w:ind w:firstLine="630" w:firstLineChars="300"/>
        <w:rPr>
          <w:rFonts w:ascii="宋体" w:hAnsi="宋体"/>
        </w:rPr>
      </w:pPr>
      <w:r>
        <w:rPr>
          <w:rFonts w:hint="eastAsia" w:ascii="宋体" w:hAnsi="宋体"/>
        </w:rPr>
        <w:t xml:space="preserve">（4）除按照第15条约定的变更外，总价子目的工程量是承包人用于结算的最终工程量。 </w:t>
      </w:r>
    </w:p>
    <w:p>
      <w:pPr>
        <w:pStyle w:val="50"/>
        <w:rPr>
          <w:rFonts w:hint="eastAsia"/>
        </w:rPr>
      </w:pPr>
      <w:r>
        <w:rPr>
          <w:rFonts w:hint="eastAsia"/>
        </w:rPr>
        <w:t>17.2 预付款</w:t>
      </w:r>
    </w:p>
    <w:p>
      <w:pPr>
        <w:spacing w:line="400" w:lineRule="exact"/>
        <w:ind w:firstLine="420" w:firstLineChars="200"/>
        <w:rPr>
          <w:rFonts w:hint="eastAsia"/>
        </w:rPr>
      </w:pPr>
      <w:r>
        <w:rPr>
          <w:rFonts w:hint="eastAsia"/>
        </w:rPr>
        <w:t xml:space="preserve">17.2.1 </w:t>
      </w:r>
      <w:r>
        <w:rPr>
          <w:rFonts w:hint="eastAsia" w:ascii="黑体" w:eastAsia="黑体"/>
        </w:rPr>
        <w:t>预付款</w:t>
      </w:r>
    </w:p>
    <w:p>
      <w:pPr>
        <w:spacing w:line="400" w:lineRule="exact"/>
        <w:ind w:firstLine="420" w:firstLineChars="200"/>
        <w:rPr>
          <w:rFonts w:hint="eastAsia"/>
        </w:rPr>
      </w:pPr>
      <w:r>
        <w:rPr>
          <w:rFonts w:hint="eastAsia"/>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20" w:firstLineChars="200"/>
        <w:rPr>
          <w:rFonts w:hint="eastAsia"/>
        </w:rPr>
      </w:pPr>
      <w:r>
        <w:rPr>
          <w:rFonts w:hint="eastAsia"/>
        </w:rPr>
        <w:t xml:space="preserve">17.2.2 </w:t>
      </w:r>
      <w:r>
        <w:rPr>
          <w:rFonts w:hint="eastAsia" w:ascii="黑体" w:eastAsia="黑体"/>
        </w:rPr>
        <w:t>预付款保函</w:t>
      </w:r>
    </w:p>
    <w:p>
      <w:pPr>
        <w:spacing w:line="400" w:lineRule="exact"/>
        <w:ind w:firstLine="420" w:firstLineChars="200"/>
        <w:rPr>
          <w:rFonts w:hint="eastAsia"/>
        </w:rPr>
      </w:pPr>
      <w:r>
        <w:rPr>
          <w:rFonts w:hint="eastAsia"/>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20" w:firstLineChars="200"/>
        <w:rPr>
          <w:rFonts w:hint="eastAsia"/>
        </w:rPr>
      </w:pPr>
      <w:r>
        <w:rPr>
          <w:rFonts w:hint="eastAsia"/>
        </w:rPr>
        <w:t xml:space="preserve">17.2.3 </w:t>
      </w:r>
      <w:r>
        <w:rPr>
          <w:rFonts w:hint="eastAsia" w:ascii="黑体" w:eastAsia="黑体"/>
        </w:rPr>
        <w:t>预付款的扣回与还清</w:t>
      </w:r>
    </w:p>
    <w:p>
      <w:pPr>
        <w:spacing w:line="400" w:lineRule="exact"/>
        <w:ind w:firstLine="420" w:firstLineChars="200"/>
        <w:rPr>
          <w:rFonts w:hint="eastAsia"/>
        </w:rPr>
      </w:pPr>
      <w:r>
        <w:rPr>
          <w:rFonts w:hint="eastAsia"/>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50"/>
        <w:rPr>
          <w:rFonts w:hint="eastAsia"/>
        </w:rPr>
      </w:pPr>
      <w:r>
        <w:rPr>
          <w:rFonts w:hint="eastAsia"/>
        </w:rPr>
        <w:t>17.3 工程进度付款</w:t>
      </w:r>
    </w:p>
    <w:p>
      <w:pPr>
        <w:spacing w:line="400" w:lineRule="exact"/>
        <w:ind w:firstLine="420" w:firstLineChars="200"/>
        <w:rPr>
          <w:rFonts w:hint="eastAsia"/>
        </w:rPr>
      </w:pPr>
      <w:r>
        <w:rPr>
          <w:rFonts w:hint="eastAsia"/>
        </w:rPr>
        <w:t xml:space="preserve">17.3.1 </w:t>
      </w:r>
      <w:r>
        <w:rPr>
          <w:rFonts w:hint="eastAsia" w:ascii="黑体" w:eastAsia="黑体"/>
        </w:rPr>
        <w:t>付款周期</w:t>
      </w:r>
    </w:p>
    <w:p>
      <w:pPr>
        <w:spacing w:line="400" w:lineRule="exact"/>
        <w:ind w:firstLine="420" w:firstLineChars="200"/>
        <w:rPr>
          <w:rFonts w:hint="eastAsia"/>
        </w:rPr>
      </w:pPr>
      <w:r>
        <w:rPr>
          <w:rFonts w:hint="eastAsia"/>
        </w:rPr>
        <w:t>付款周期同计量周期。</w:t>
      </w:r>
    </w:p>
    <w:p>
      <w:pPr>
        <w:spacing w:line="400" w:lineRule="exact"/>
        <w:ind w:firstLine="420" w:firstLineChars="200"/>
        <w:rPr>
          <w:rFonts w:hint="eastAsia"/>
        </w:rPr>
      </w:pPr>
      <w:r>
        <w:rPr>
          <w:rFonts w:hint="eastAsia"/>
        </w:rPr>
        <w:t xml:space="preserve">17.3.2 </w:t>
      </w:r>
      <w:r>
        <w:rPr>
          <w:rFonts w:hint="eastAsia" w:ascii="黑体" w:eastAsia="黑体"/>
        </w:rPr>
        <w:t>进度付款申请单</w:t>
      </w:r>
    </w:p>
    <w:p>
      <w:pPr>
        <w:spacing w:line="400" w:lineRule="exact"/>
        <w:ind w:firstLine="420" w:firstLineChars="200"/>
        <w:rPr>
          <w:rFonts w:hint="eastAsia"/>
          <w:dstrike/>
          <w:szCs w:val="21"/>
        </w:rPr>
      </w:pPr>
      <w:r>
        <w:rPr>
          <w:rFonts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20" w:firstLineChars="200"/>
        <w:rPr>
          <w:rFonts w:hint="eastAsia"/>
        </w:rPr>
      </w:pPr>
      <w:r>
        <w:rPr>
          <w:rFonts w:hint="eastAsia"/>
        </w:rPr>
        <w:t>（1）截至本次付款周期末已实施工程的价款；</w:t>
      </w:r>
    </w:p>
    <w:p>
      <w:pPr>
        <w:spacing w:line="400" w:lineRule="exact"/>
        <w:ind w:firstLine="420" w:firstLineChars="200"/>
        <w:rPr>
          <w:rFonts w:hint="eastAsia"/>
        </w:rPr>
      </w:pPr>
      <w:r>
        <w:rPr>
          <w:rFonts w:hint="eastAsia"/>
        </w:rPr>
        <w:t>（2）根据第15条应增加和扣减的变更金额；</w:t>
      </w:r>
    </w:p>
    <w:p>
      <w:pPr>
        <w:spacing w:line="400" w:lineRule="exact"/>
        <w:ind w:firstLine="420" w:firstLineChars="200"/>
        <w:rPr>
          <w:rFonts w:hint="eastAsia"/>
        </w:rPr>
      </w:pPr>
      <w:r>
        <w:rPr>
          <w:rFonts w:hint="eastAsia"/>
        </w:rPr>
        <w:t>（3）根据第23条应增加和扣减的索赔金额；</w:t>
      </w:r>
    </w:p>
    <w:p>
      <w:pPr>
        <w:spacing w:line="400" w:lineRule="exact"/>
        <w:ind w:firstLine="420" w:firstLineChars="200"/>
        <w:rPr>
          <w:rFonts w:hint="eastAsia"/>
        </w:rPr>
      </w:pPr>
      <w:r>
        <w:rPr>
          <w:rFonts w:hint="eastAsia"/>
        </w:rPr>
        <w:t>（4）根据第17.2款约定应支付的预付款和扣减的返还预付款；</w:t>
      </w:r>
    </w:p>
    <w:p>
      <w:pPr>
        <w:spacing w:line="400" w:lineRule="exact"/>
        <w:ind w:firstLine="420" w:firstLineChars="200"/>
        <w:rPr>
          <w:rFonts w:hint="eastAsia"/>
        </w:rPr>
      </w:pPr>
      <w:r>
        <w:rPr>
          <w:rFonts w:hint="eastAsia"/>
        </w:rPr>
        <w:t>（5）根据第17.4.1项约定应扣减的质量保证金；</w:t>
      </w:r>
    </w:p>
    <w:p>
      <w:pPr>
        <w:spacing w:line="400" w:lineRule="exact"/>
        <w:ind w:firstLine="420" w:firstLineChars="200"/>
        <w:rPr>
          <w:rFonts w:hint="eastAsia"/>
        </w:rPr>
      </w:pPr>
      <w:r>
        <w:rPr>
          <w:rFonts w:hint="eastAsia"/>
        </w:rPr>
        <w:t>（6）根据合同应增加和扣减的其他金额。</w:t>
      </w:r>
    </w:p>
    <w:p>
      <w:pPr>
        <w:spacing w:line="400" w:lineRule="exact"/>
        <w:ind w:firstLine="420" w:firstLineChars="200"/>
        <w:rPr>
          <w:rFonts w:hint="eastAsia"/>
        </w:rPr>
      </w:pPr>
      <w:r>
        <w:rPr>
          <w:rFonts w:hint="eastAsia"/>
        </w:rPr>
        <w:t xml:space="preserve">17.3.3 </w:t>
      </w:r>
      <w:r>
        <w:rPr>
          <w:rFonts w:hint="eastAsia" w:ascii="黑体" w:eastAsia="黑体"/>
        </w:rPr>
        <w:t>进度付款证书和支付时间</w:t>
      </w:r>
    </w:p>
    <w:p>
      <w:pPr>
        <w:spacing w:line="400" w:lineRule="exact"/>
        <w:ind w:firstLine="630" w:firstLineChars="300"/>
        <w:rPr>
          <w:rFonts w:hint="eastAsia"/>
        </w:rPr>
      </w:pPr>
      <w:r>
        <w:rPr>
          <w:rFonts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718" w:firstLineChars="342"/>
        <w:rPr>
          <w:rFonts w:hint="eastAsia"/>
        </w:rPr>
      </w:pPr>
      <w:r>
        <w:rPr>
          <w:rFonts w:hint="eastAsia"/>
        </w:rPr>
        <w:t>（2）发包人应在监理人收到进度付款申请单后的28天内，将进度应付款支付给承包人。发包人不按期支付的，按专用合同条款的约定支付逾期付款违约金。</w:t>
      </w:r>
    </w:p>
    <w:p>
      <w:pPr>
        <w:spacing w:line="400" w:lineRule="exact"/>
        <w:ind w:firstLine="718" w:firstLineChars="342"/>
        <w:rPr>
          <w:rFonts w:hint="eastAsia"/>
        </w:rPr>
      </w:pPr>
      <w:r>
        <w:rPr>
          <w:rFonts w:hint="eastAsia"/>
        </w:rPr>
        <w:t>（3）监理人出具进度付款证书，不应视为监理人已同意、批准或接受了承包人完成的该部分工作。</w:t>
      </w:r>
    </w:p>
    <w:p>
      <w:pPr>
        <w:spacing w:line="400" w:lineRule="exact"/>
        <w:ind w:firstLine="718" w:firstLineChars="342"/>
        <w:rPr>
          <w:rFonts w:hint="eastAsia"/>
        </w:rPr>
      </w:pPr>
      <w:r>
        <w:rPr>
          <w:rFonts w:hint="eastAsia"/>
        </w:rPr>
        <w:t>（4）进度付款涉及政府投资资金的，按照国库集中支付等国家相关规定和专用合同条款的约定办理。</w:t>
      </w:r>
    </w:p>
    <w:p>
      <w:pPr>
        <w:spacing w:line="400" w:lineRule="exact"/>
        <w:ind w:firstLine="420" w:firstLineChars="200"/>
        <w:rPr>
          <w:rFonts w:hint="eastAsia"/>
        </w:rPr>
      </w:pPr>
      <w:r>
        <w:rPr>
          <w:rFonts w:hint="eastAsia"/>
        </w:rPr>
        <w:t xml:space="preserve">17.3.4 </w:t>
      </w:r>
      <w:r>
        <w:rPr>
          <w:rFonts w:hint="eastAsia" w:ascii="黑体" w:eastAsia="黑体"/>
        </w:rPr>
        <w:t>工程进度付款的修正</w:t>
      </w:r>
    </w:p>
    <w:p>
      <w:pPr>
        <w:spacing w:line="400" w:lineRule="exact"/>
        <w:ind w:firstLine="420" w:firstLineChars="200"/>
        <w:rPr>
          <w:rFonts w:hint="eastAsia"/>
        </w:rPr>
      </w:pPr>
      <w:r>
        <w:rPr>
          <w:rFonts w:hint="eastAsia"/>
        </w:rPr>
        <w:t>在对以往历次已签发的进度付款证书进行汇总和复核中发现错、漏或重复的，监理人有权予以修正，承包人也有权提出修正申请。经双方复核同意的修正，应在本次进度付款中支付或扣除。</w:t>
      </w:r>
    </w:p>
    <w:p>
      <w:pPr>
        <w:pStyle w:val="50"/>
        <w:rPr>
          <w:rFonts w:hint="eastAsia"/>
        </w:rPr>
      </w:pPr>
      <w:r>
        <w:rPr>
          <w:rFonts w:hint="eastAsia"/>
        </w:rPr>
        <w:t>17.4 质量保证金</w:t>
      </w:r>
    </w:p>
    <w:p>
      <w:pPr>
        <w:spacing w:line="400" w:lineRule="exact"/>
        <w:ind w:firstLine="420" w:firstLineChars="200"/>
        <w:rPr>
          <w:rFonts w:hint="eastAsia"/>
        </w:rPr>
      </w:pPr>
      <w:r>
        <w:rPr>
          <w:rFonts w:hint="eastAsia"/>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20" w:firstLineChars="200"/>
        <w:rPr>
          <w:rFonts w:hint="eastAsia"/>
        </w:rPr>
      </w:pPr>
      <w:r>
        <w:rPr>
          <w:rFonts w:hint="eastAsia"/>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20" w:firstLineChars="200"/>
        <w:rPr>
          <w:rFonts w:hint="eastAsia"/>
        </w:rPr>
      </w:pPr>
      <w:r>
        <w:rPr>
          <w:rFonts w:hint="eastAsia"/>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50"/>
        <w:rPr>
          <w:rFonts w:hint="eastAsia"/>
        </w:rPr>
      </w:pPr>
      <w:r>
        <w:rPr>
          <w:rFonts w:hint="eastAsia"/>
        </w:rPr>
        <w:t>17.5 竣工结算</w:t>
      </w:r>
    </w:p>
    <w:p>
      <w:pPr>
        <w:spacing w:line="400" w:lineRule="exact"/>
        <w:ind w:firstLine="420" w:firstLineChars="200"/>
        <w:rPr>
          <w:rFonts w:hint="eastAsia"/>
        </w:rPr>
      </w:pPr>
      <w:r>
        <w:rPr>
          <w:rFonts w:hint="eastAsia"/>
        </w:rPr>
        <w:t xml:space="preserve">17.5.1 </w:t>
      </w:r>
      <w:r>
        <w:rPr>
          <w:rFonts w:hint="eastAsia" w:ascii="黑体" w:eastAsia="黑体"/>
        </w:rPr>
        <w:t>竣工付款申请单</w:t>
      </w:r>
    </w:p>
    <w:p>
      <w:pPr>
        <w:spacing w:line="400" w:lineRule="exact"/>
        <w:ind w:firstLine="718" w:firstLineChars="342"/>
        <w:rPr>
          <w:rFonts w:hint="eastAsia"/>
        </w:rPr>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718" w:firstLineChars="342"/>
        <w:rPr>
          <w:rFonts w:hint="eastAsia"/>
        </w:rPr>
      </w:pPr>
      <w:r>
        <w:rPr>
          <w:rFonts w:hint="eastAsia"/>
        </w:rPr>
        <w:t>（2）监理人对竣工付款申请单有异议的，有权要求承包人进行修正和提供补充资料。经监理人和承包人协商后，由承包人向监理人提交修正后的竣工付款申请单。</w:t>
      </w:r>
    </w:p>
    <w:p>
      <w:pPr>
        <w:spacing w:line="400" w:lineRule="exact"/>
        <w:ind w:firstLine="420" w:firstLineChars="200"/>
        <w:rPr>
          <w:rFonts w:hint="eastAsia"/>
        </w:rPr>
      </w:pPr>
      <w:r>
        <w:rPr>
          <w:rFonts w:hint="eastAsia"/>
        </w:rPr>
        <w:t xml:space="preserve">17.5.2 </w:t>
      </w:r>
      <w:r>
        <w:rPr>
          <w:rFonts w:hint="eastAsia" w:ascii="黑体" w:eastAsia="黑体"/>
        </w:rPr>
        <w:t>竣工付款证书及支付时间</w:t>
      </w:r>
    </w:p>
    <w:p>
      <w:pPr>
        <w:spacing w:line="400" w:lineRule="exact"/>
        <w:ind w:firstLine="718" w:firstLineChars="342"/>
        <w:rPr>
          <w:rFonts w:hint="eastAsia"/>
        </w:rPr>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718" w:firstLineChars="342"/>
        <w:rPr>
          <w:rFonts w:hint="eastAsia"/>
        </w:rPr>
      </w:pPr>
      <w:r>
        <w:rPr>
          <w:rFonts w:hint="eastAsia"/>
        </w:rPr>
        <w:t>（2）发包人应在监理人出具竣工付款证书后的14天内，将应支付款支付给承包人。发包人不按期支付的，按第17.3.3（2）目的约定，将逾期付款违约金支付给承包人。</w:t>
      </w:r>
    </w:p>
    <w:p>
      <w:pPr>
        <w:spacing w:line="400" w:lineRule="exact"/>
        <w:ind w:firstLine="718" w:firstLineChars="342"/>
        <w:rPr>
          <w:rFonts w:hint="eastAsia"/>
        </w:rPr>
      </w:pPr>
      <w:r>
        <w:rPr>
          <w:rFonts w:hint="eastAsia"/>
        </w:rPr>
        <w:t>（3）承包人对发包人签认的竣工付款证书有异议的，发包人可出具竣工付款申请单中承包人已同意部分的临时付款证书。存在争议的部分，按第24条的约定办理。</w:t>
      </w:r>
    </w:p>
    <w:p>
      <w:pPr>
        <w:spacing w:line="400" w:lineRule="exact"/>
        <w:ind w:firstLine="630" w:firstLineChars="300"/>
        <w:rPr>
          <w:rFonts w:hint="eastAsia"/>
        </w:rPr>
      </w:pPr>
      <w:r>
        <w:rPr>
          <w:rFonts w:hint="eastAsia"/>
        </w:rPr>
        <w:t>（4）竣工付款涉及政府投资资金的，按第17.3.3（４）目的约定办理。</w:t>
      </w:r>
    </w:p>
    <w:p>
      <w:pPr>
        <w:pStyle w:val="50"/>
        <w:rPr>
          <w:rFonts w:hint="eastAsia"/>
        </w:rPr>
      </w:pPr>
      <w:r>
        <w:rPr>
          <w:rFonts w:hint="eastAsia"/>
        </w:rPr>
        <w:t>17.6 最终结清</w:t>
      </w:r>
    </w:p>
    <w:p>
      <w:pPr>
        <w:spacing w:line="400" w:lineRule="exact"/>
        <w:ind w:firstLine="420" w:firstLineChars="200"/>
        <w:rPr>
          <w:rFonts w:hint="eastAsia"/>
        </w:rPr>
      </w:pPr>
      <w:r>
        <w:rPr>
          <w:rFonts w:hint="eastAsia"/>
        </w:rPr>
        <w:t xml:space="preserve">17.6.1 </w:t>
      </w:r>
      <w:r>
        <w:rPr>
          <w:rFonts w:hint="eastAsia" w:ascii="黑体" w:eastAsia="黑体"/>
        </w:rPr>
        <w:t>最终结清申请单</w:t>
      </w:r>
    </w:p>
    <w:p>
      <w:pPr>
        <w:spacing w:line="400" w:lineRule="exact"/>
        <w:ind w:firstLine="718" w:firstLineChars="342"/>
        <w:rPr>
          <w:rFonts w:hint="eastAsia"/>
        </w:rPr>
      </w:pPr>
      <w:r>
        <w:rPr>
          <w:rFonts w:hint="eastAsia"/>
        </w:rPr>
        <w:t>（1）缺陷责任期终止证书签发后，承包人可按专用合同条款约定的份数和期限向监理人提交最终结清申请单，并提供相关证明材料。</w:t>
      </w:r>
    </w:p>
    <w:p>
      <w:pPr>
        <w:spacing w:line="400" w:lineRule="exact"/>
        <w:ind w:firstLine="718" w:firstLineChars="342"/>
        <w:rPr>
          <w:rFonts w:hint="eastAsia"/>
        </w:rPr>
      </w:pPr>
      <w:r>
        <w:rPr>
          <w:rFonts w:hint="eastAsia"/>
        </w:rPr>
        <w:t>（2）发包人对最终结清申请单内容有异议的，有权要求承包人进行修正和提供补充资料，由承包人向监理人提交修正后的最终结清申请单。</w:t>
      </w:r>
    </w:p>
    <w:p>
      <w:pPr>
        <w:spacing w:line="400" w:lineRule="exact"/>
        <w:ind w:firstLine="420" w:firstLineChars="200"/>
        <w:rPr>
          <w:rFonts w:hint="eastAsia"/>
        </w:rPr>
      </w:pPr>
      <w:r>
        <w:rPr>
          <w:rFonts w:hint="eastAsia"/>
        </w:rPr>
        <w:t xml:space="preserve">17.6.2 </w:t>
      </w:r>
      <w:r>
        <w:rPr>
          <w:rFonts w:hint="eastAsia" w:ascii="黑体" w:eastAsia="黑体"/>
        </w:rPr>
        <w:t>最终结清证书和支付时间</w:t>
      </w:r>
    </w:p>
    <w:p>
      <w:pPr>
        <w:spacing w:line="400" w:lineRule="exact"/>
        <w:ind w:firstLine="718" w:firstLineChars="342"/>
        <w:rPr>
          <w:rFonts w:hint="eastAsia"/>
        </w:rPr>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718" w:firstLineChars="342"/>
        <w:rPr>
          <w:rFonts w:hint="eastAsia"/>
        </w:rPr>
      </w:pPr>
      <w:r>
        <w:rPr>
          <w:rFonts w:hint="eastAsia"/>
        </w:rPr>
        <w:t>（2）发包人应在监理人出具最终结清证书后的14天内，将应支付款支付给承包人。发包人不按期支付的，按第17.3.3（2）目的约定，将逾期付款违约金支付给承包人。</w:t>
      </w:r>
    </w:p>
    <w:p>
      <w:pPr>
        <w:spacing w:line="400" w:lineRule="exact"/>
        <w:ind w:firstLine="718" w:firstLineChars="342"/>
        <w:rPr>
          <w:rFonts w:hint="eastAsia"/>
        </w:rPr>
      </w:pPr>
      <w:r>
        <w:rPr>
          <w:rFonts w:hint="eastAsia"/>
        </w:rPr>
        <w:t>（3）承包人对发包人签认的最终结清证书有异议的，按第24条的约定办理。</w:t>
      </w:r>
    </w:p>
    <w:p>
      <w:pPr>
        <w:spacing w:line="400" w:lineRule="exact"/>
        <w:ind w:firstLine="718" w:firstLineChars="342"/>
        <w:rPr>
          <w:rFonts w:hint="eastAsia"/>
        </w:rPr>
      </w:pPr>
      <w:r>
        <w:rPr>
          <w:rFonts w:hint="eastAsia"/>
        </w:rPr>
        <w:t>（4）最终结清付款涉及政府投资资金的，按第17.3.3（４）目的约定办理。</w:t>
      </w:r>
    </w:p>
    <w:p>
      <w:pPr>
        <w:pStyle w:val="49"/>
        <w:rPr>
          <w:rFonts w:hint="eastAsia"/>
        </w:rPr>
      </w:pPr>
      <w:r>
        <w:rPr>
          <w:rFonts w:hint="eastAsia"/>
        </w:rPr>
        <w:t>18. 竣工验收</w:t>
      </w:r>
    </w:p>
    <w:p>
      <w:pPr>
        <w:pStyle w:val="50"/>
        <w:rPr>
          <w:rFonts w:hint="eastAsia"/>
        </w:rPr>
      </w:pPr>
      <w:bookmarkStart w:id="469" w:name="_Toc179632744"/>
      <w:bookmarkStart w:id="470" w:name="_Toc152045726"/>
      <w:bookmarkStart w:id="471" w:name="_Toc144974697"/>
      <w:bookmarkStart w:id="472" w:name="_Toc152042505"/>
      <w:r>
        <w:rPr>
          <w:rFonts w:hint="eastAsia"/>
        </w:rPr>
        <w:t>18.1 竣工验收的含义</w:t>
      </w:r>
      <w:bookmarkEnd w:id="469"/>
      <w:bookmarkEnd w:id="470"/>
      <w:bookmarkEnd w:id="471"/>
      <w:bookmarkEnd w:id="472"/>
    </w:p>
    <w:p>
      <w:pPr>
        <w:spacing w:line="400" w:lineRule="exact"/>
        <w:ind w:firstLine="420" w:firstLineChars="200"/>
        <w:rPr>
          <w:rFonts w:hint="eastAsia"/>
        </w:rPr>
      </w:pPr>
      <w:r>
        <w:rPr>
          <w:rFonts w:hint="eastAsia"/>
        </w:rPr>
        <w:t>18.1.1 竣工验收指承包人完成了全部合同工作后，发包人按合同要求进行的验收。</w:t>
      </w:r>
    </w:p>
    <w:p>
      <w:pPr>
        <w:spacing w:line="400" w:lineRule="exact"/>
        <w:ind w:firstLine="420" w:firstLineChars="200"/>
        <w:rPr>
          <w:rFonts w:hint="eastAsia"/>
        </w:rPr>
      </w:pPr>
      <w:r>
        <w:rPr>
          <w:rFonts w:hint="eastAsia"/>
        </w:rPr>
        <w:t>18.1.2 国家验收是政府有关部门根据法律、规范、规程和政策要求，针对发包人全面组织实施的整个工程正式交付投运前的验收。</w:t>
      </w:r>
    </w:p>
    <w:p>
      <w:pPr>
        <w:spacing w:line="400" w:lineRule="exact"/>
        <w:ind w:firstLine="420" w:firstLineChars="200"/>
        <w:rPr>
          <w:rFonts w:hint="eastAsia"/>
        </w:rPr>
      </w:pPr>
      <w:r>
        <w:rPr>
          <w:rFonts w:hint="eastAsia"/>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50"/>
        <w:rPr>
          <w:rFonts w:hint="eastAsia"/>
        </w:rPr>
      </w:pPr>
      <w:r>
        <w:rPr>
          <w:rFonts w:hint="eastAsia"/>
        </w:rPr>
        <w:t>18.2 竣工验收申请报告</w:t>
      </w:r>
    </w:p>
    <w:p>
      <w:pPr>
        <w:spacing w:line="400" w:lineRule="exact"/>
        <w:ind w:firstLine="420" w:firstLineChars="200"/>
        <w:rPr>
          <w:rFonts w:hint="eastAsia"/>
        </w:rPr>
      </w:pPr>
      <w:r>
        <w:rPr>
          <w:rFonts w:hint="eastAsia"/>
        </w:rPr>
        <w:t>当工程具备以下条件时，承包人即可向监理人报送竣工验收申请报告：</w:t>
      </w:r>
    </w:p>
    <w:p>
      <w:pPr>
        <w:spacing w:line="400" w:lineRule="exact"/>
        <w:ind w:firstLine="359" w:firstLineChars="171"/>
        <w:rPr>
          <w:rFonts w:hint="eastAsia"/>
        </w:rPr>
      </w:pPr>
      <w:r>
        <w:rPr>
          <w:rFonts w:hint="eastAsia"/>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59" w:firstLineChars="171"/>
        <w:rPr>
          <w:rFonts w:hint="eastAsia"/>
        </w:rPr>
      </w:pPr>
      <w:r>
        <w:rPr>
          <w:rFonts w:hint="eastAsia"/>
        </w:rPr>
        <w:t xml:space="preserve">（2）已按合同约定的内容和份数备齐了符合要求的竣工资料； </w:t>
      </w:r>
    </w:p>
    <w:p>
      <w:pPr>
        <w:spacing w:line="400" w:lineRule="exact"/>
        <w:ind w:firstLine="359" w:firstLineChars="171"/>
        <w:rPr>
          <w:rFonts w:hint="eastAsia"/>
        </w:rPr>
      </w:pPr>
      <w:r>
        <w:rPr>
          <w:rFonts w:hint="eastAsia"/>
        </w:rPr>
        <w:t>（3）已按监理人的要求编制了在缺陷责任期内完成的尾工（甩项）工程和缺陷修补工作清单以及相应施工计划；</w:t>
      </w:r>
    </w:p>
    <w:p>
      <w:pPr>
        <w:spacing w:line="400" w:lineRule="exact"/>
        <w:ind w:firstLine="359" w:firstLineChars="171"/>
        <w:rPr>
          <w:rFonts w:hint="eastAsia"/>
        </w:rPr>
      </w:pPr>
      <w:r>
        <w:rPr>
          <w:rFonts w:hint="eastAsia"/>
        </w:rPr>
        <w:t>（4）监理人要求在竣工验收前应完成的其他工作；</w:t>
      </w:r>
    </w:p>
    <w:p>
      <w:pPr>
        <w:spacing w:line="400" w:lineRule="exact"/>
        <w:ind w:firstLine="359" w:firstLineChars="171"/>
        <w:rPr>
          <w:rFonts w:hint="eastAsia"/>
        </w:rPr>
      </w:pPr>
      <w:r>
        <w:rPr>
          <w:rFonts w:hint="eastAsia"/>
        </w:rPr>
        <w:t>（5）监理人要求提交的竣工验收资料清单。</w:t>
      </w:r>
    </w:p>
    <w:p>
      <w:pPr>
        <w:pStyle w:val="50"/>
        <w:rPr>
          <w:rFonts w:hint="eastAsia"/>
        </w:rPr>
      </w:pPr>
      <w:r>
        <w:rPr>
          <w:rFonts w:hint="eastAsia"/>
        </w:rPr>
        <w:t>18.3 验收</w:t>
      </w:r>
    </w:p>
    <w:p>
      <w:pPr>
        <w:spacing w:line="400" w:lineRule="exact"/>
        <w:ind w:firstLine="420" w:firstLineChars="200"/>
        <w:rPr>
          <w:rFonts w:hint="eastAsia"/>
        </w:rPr>
      </w:pPr>
      <w:r>
        <w:rPr>
          <w:rFonts w:hint="eastAsia"/>
        </w:rPr>
        <w:t>监理人收到承包人按第18.2款约定提交的竣工验收申请报告后，应审查申请报告的各项内容，并按以下不同情况进行处理。</w:t>
      </w:r>
    </w:p>
    <w:p>
      <w:pPr>
        <w:spacing w:line="400" w:lineRule="exact"/>
        <w:ind w:firstLine="420" w:firstLineChars="200"/>
        <w:rPr>
          <w:rFonts w:hint="eastAsia"/>
        </w:rPr>
      </w:pPr>
      <w:r>
        <w:rPr>
          <w:rFonts w:hint="eastAsia"/>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20" w:firstLineChars="200"/>
        <w:rPr>
          <w:rFonts w:hint="eastAsia"/>
        </w:rPr>
      </w:pPr>
      <w:r>
        <w:rPr>
          <w:rFonts w:hint="eastAsia"/>
        </w:rPr>
        <w:t>18.3.2 监理人审查后认为已具备竣工验收条件的，应在收到竣工验收申请报告后的28天内提请发包人进行工程验收。</w:t>
      </w:r>
    </w:p>
    <w:p>
      <w:pPr>
        <w:spacing w:line="400" w:lineRule="exact"/>
        <w:ind w:firstLine="420" w:firstLineChars="200"/>
        <w:rPr>
          <w:rFonts w:hint="eastAsia"/>
        </w:rPr>
      </w:pPr>
      <w:r>
        <w:rPr>
          <w:rFonts w:hint="eastAsia"/>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20" w:firstLineChars="200"/>
        <w:rPr>
          <w:rFonts w:hint="eastAsia"/>
        </w:rPr>
      </w:pPr>
      <w:r>
        <w:rPr>
          <w:rFonts w:hint="eastAsia"/>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20" w:firstLineChars="200"/>
        <w:rPr>
          <w:rFonts w:hint="eastAsia"/>
        </w:rPr>
      </w:pPr>
      <w:r>
        <w:rPr>
          <w:rFonts w:hint="eastAsia"/>
        </w:rPr>
        <w:t>18.3.5 除专用合同条款另有约定外，经验收合格工程的实际竣工日期，以提交竣工验收申请报告的日期为准，并在工程接收证书中写明。</w:t>
      </w:r>
    </w:p>
    <w:p>
      <w:pPr>
        <w:spacing w:line="400" w:lineRule="exact"/>
        <w:ind w:firstLine="420" w:firstLineChars="200"/>
        <w:rPr>
          <w:rFonts w:hint="eastAsia"/>
        </w:rPr>
      </w:pPr>
      <w:r>
        <w:rPr>
          <w:rFonts w:hint="eastAsia"/>
        </w:rPr>
        <w:t>18.3.6 发包人在收到承包人竣工验收申请报告56天后未进行验收的，视为验收合格，实际竣工日期以提交竣工验收申请报告的日期为准，但发包人由于不可抗力不能进行验收的除外。</w:t>
      </w:r>
    </w:p>
    <w:p>
      <w:pPr>
        <w:pStyle w:val="50"/>
        <w:rPr>
          <w:rFonts w:hint="eastAsia"/>
        </w:rPr>
      </w:pPr>
      <w:bookmarkStart w:id="473" w:name="_Toc179632747"/>
      <w:bookmarkStart w:id="474" w:name="_Toc152045729"/>
      <w:bookmarkStart w:id="475" w:name="_Toc144974700"/>
      <w:bookmarkStart w:id="476" w:name="_Toc152042508"/>
      <w:r>
        <w:rPr>
          <w:rFonts w:hint="eastAsia"/>
        </w:rPr>
        <w:t>18.4 单位工程验收</w:t>
      </w:r>
      <w:bookmarkEnd w:id="473"/>
      <w:bookmarkEnd w:id="474"/>
      <w:bookmarkEnd w:id="475"/>
      <w:bookmarkEnd w:id="476"/>
    </w:p>
    <w:p>
      <w:pPr>
        <w:spacing w:line="400" w:lineRule="exact"/>
        <w:ind w:firstLine="420" w:firstLineChars="200"/>
        <w:rPr>
          <w:rFonts w:hint="eastAsia"/>
        </w:rPr>
      </w:pPr>
      <w:r>
        <w:rPr>
          <w:rFonts w:hint="eastAsia"/>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20" w:firstLineChars="200"/>
        <w:rPr>
          <w:rFonts w:hint="eastAsia"/>
        </w:rPr>
      </w:pPr>
      <w:r>
        <w:rPr>
          <w:rFonts w:hint="eastAsia"/>
        </w:rPr>
        <w:t>18.4.2 发包人在全部工程竣工前，使用已接收的单位工程导致承包人费用增加的，发包人应承担由此增加的费用和（或）工期延误，并支付承包人合理利润。</w:t>
      </w:r>
    </w:p>
    <w:p>
      <w:pPr>
        <w:pStyle w:val="50"/>
        <w:rPr>
          <w:rFonts w:hint="eastAsia"/>
        </w:rPr>
      </w:pPr>
      <w:bookmarkStart w:id="477" w:name="_Toc144974701"/>
      <w:bookmarkStart w:id="478" w:name="_Toc152042509"/>
      <w:bookmarkStart w:id="479" w:name="_Toc152045730"/>
      <w:bookmarkStart w:id="480" w:name="_Toc179632748"/>
      <w:r>
        <w:rPr>
          <w:rFonts w:hint="eastAsia"/>
        </w:rPr>
        <w:t>18.5 施工期运行</w:t>
      </w:r>
      <w:bookmarkEnd w:id="477"/>
      <w:bookmarkEnd w:id="478"/>
      <w:bookmarkEnd w:id="479"/>
      <w:bookmarkEnd w:id="480"/>
    </w:p>
    <w:p>
      <w:pPr>
        <w:spacing w:line="400" w:lineRule="exact"/>
        <w:ind w:firstLine="420" w:firstLineChars="200"/>
        <w:rPr>
          <w:rFonts w:hint="eastAsia"/>
        </w:rPr>
      </w:pPr>
      <w:r>
        <w:rPr>
          <w:rFonts w:hint="eastAsia"/>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20" w:firstLineChars="200"/>
        <w:rPr>
          <w:rFonts w:hint="eastAsia"/>
        </w:rPr>
      </w:pPr>
      <w:r>
        <w:rPr>
          <w:rFonts w:hint="eastAsia"/>
        </w:rPr>
        <w:t>18.5.2 在施工期运行中发现工程或工程设备损坏或存在缺陷的，由承包人按第19.2款约定进行修复。</w:t>
      </w:r>
    </w:p>
    <w:p>
      <w:pPr>
        <w:pStyle w:val="50"/>
        <w:rPr>
          <w:rFonts w:hint="eastAsia"/>
        </w:rPr>
      </w:pPr>
      <w:bookmarkStart w:id="481" w:name="_Toc152042510"/>
      <w:bookmarkStart w:id="482" w:name="_Toc152045731"/>
      <w:bookmarkStart w:id="483" w:name="_Toc179632749"/>
      <w:bookmarkStart w:id="484" w:name="_Toc144974702"/>
      <w:r>
        <w:rPr>
          <w:rFonts w:hint="eastAsia"/>
        </w:rPr>
        <w:t>18.6 试运行</w:t>
      </w:r>
      <w:bookmarkEnd w:id="481"/>
      <w:bookmarkEnd w:id="482"/>
      <w:bookmarkEnd w:id="483"/>
      <w:bookmarkEnd w:id="484"/>
    </w:p>
    <w:p>
      <w:pPr>
        <w:spacing w:line="400" w:lineRule="exact"/>
        <w:ind w:firstLine="420" w:firstLineChars="200"/>
        <w:rPr>
          <w:rFonts w:hint="eastAsia"/>
        </w:rPr>
      </w:pPr>
      <w:r>
        <w:rPr>
          <w:rFonts w:hint="eastAsia"/>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20" w:firstLineChars="200"/>
        <w:rPr>
          <w:rFonts w:hint="eastAsia"/>
        </w:rPr>
      </w:pPr>
      <w:r>
        <w:rPr>
          <w:rFonts w:hint="eastAsia"/>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0"/>
        <w:rPr>
          <w:rFonts w:hint="eastAsia"/>
        </w:rPr>
      </w:pPr>
      <w:bookmarkStart w:id="485" w:name="_Toc144974703"/>
      <w:bookmarkStart w:id="486" w:name="_Toc152042511"/>
      <w:bookmarkStart w:id="487" w:name="_Toc152045732"/>
      <w:bookmarkStart w:id="488" w:name="_Toc179632750"/>
      <w:r>
        <w:rPr>
          <w:rFonts w:hint="eastAsia"/>
        </w:rPr>
        <w:t>18.7 竣工清场</w:t>
      </w:r>
      <w:bookmarkEnd w:id="485"/>
      <w:bookmarkEnd w:id="486"/>
      <w:bookmarkEnd w:id="487"/>
      <w:bookmarkEnd w:id="488"/>
    </w:p>
    <w:p>
      <w:pPr>
        <w:spacing w:line="400" w:lineRule="exact"/>
        <w:ind w:firstLine="420" w:firstLineChars="200"/>
        <w:rPr>
          <w:rFonts w:hint="eastAsia"/>
        </w:rPr>
      </w:pPr>
      <w:r>
        <w:rPr>
          <w:rFonts w:hint="eastAsia"/>
        </w:rPr>
        <w:t>18.7.1 除合同另有约定外，工程接收证书颁发后，承包人应按以下要求对施工场地进行清理，直至监理人检验合格为止。竣工清场费用由承包人承担。</w:t>
      </w:r>
    </w:p>
    <w:p>
      <w:pPr>
        <w:spacing w:line="400" w:lineRule="exact"/>
        <w:ind w:firstLine="718" w:firstLineChars="342"/>
        <w:rPr>
          <w:rFonts w:hint="eastAsia"/>
        </w:rPr>
      </w:pPr>
      <w:r>
        <w:rPr>
          <w:rFonts w:hint="eastAsia"/>
        </w:rPr>
        <w:t>（1）施工场地内残留的垃圾已全部清除出场；</w:t>
      </w:r>
    </w:p>
    <w:p>
      <w:pPr>
        <w:spacing w:line="400" w:lineRule="exact"/>
        <w:ind w:firstLine="718" w:firstLineChars="342"/>
        <w:rPr>
          <w:rFonts w:hint="eastAsia"/>
        </w:rPr>
      </w:pPr>
      <w:r>
        <w:rPr>
          <w:rFonts w:hint="eastAsia"/>
        </w:rPr>
        <w:t>（2）临时工程已拆除，场地已按合同要求进行清理、平整或复原；</w:t>
      </w:r>
    </w:p>
    <w:p>
      <w:pPr>
        <w:spacing w:line="400" w:lineRule="exact"/>
        <w:ind w:firstLine="718" w:firstLineChars="342"/>
        <w:rPr>
          <w:rFonts w:hint="eastAsia"/>
        </w:rPr>
      </w:pPr>
      <w:r>
        <w:rPr>
          <w:rFonts w:hint="eastAsia"/>
        </w:rPr>
        <w:t>（3）按合同约定应撤离的承包人设备和剩余的材料，包括废弃的施工设备和材料，已按计划撤离施工场地；</w:t>
      </w:r>
    </w:p>
    <w:p>
      <w:pPr>
        <w:spacing w:line="400" w:lineRule="exact"/>
        <w:ind w:firstLine="718" w:firstLineChars="342"/>
        <w:rPr>
          <w:rFonts w:hint="eastAsia"/>
        </w:rPr>
      </w:pPr>
      <w:r>
        <w:rPr>
          <w:rFonts w:hint="eastAsia"/>
        </w:rPr>
        <w:t>（4）工程建筑物周边及其附近道路、河道的施工堆积物，已按监理人指示全部清理；</w:t>
      </w:r>
    </w:p>
    <w:p>
      <w:pPr>
        <w:spacing w:line="400" w:lineRule="exact"/>
        <w:ind w:firstLine="718" w:firstLineChars="342"/>
        <w:rPr>
          <w:rFonts w:hint="eastAsia"/>
        </w:rPr>
      </w:pPr>
      <w:r>
        <w:rPr>
          <w:rFonts w:hint="eastAsia"/>
        </w:rPr>
        <w:t>（5）监理人指示的其他场地清理工作已全部完成。</w:t>
      </w:r>
    </w:p>
    <w:p>
      <w:pPr>
        <w:spacing w:line="400" w:lineRule="exact"/>
        <w:ind w:firstLine="420" w:firstLineChars="200"/>
        <w:rPr>
          <w:rFonts w:hint="eastAsia"/>
        </w:rPr>
      </w:pPr>
      <w:r>
        <w:rPr>
          <w:rFonts w:hint="eastAsia"/>
        </w:rPr>
        <w:t>18.7.2 承包人未按监理人的要求恢复临时占地，或者场地清理未达到合同约定的，发包人有权委托其他人恢复或清理，所发生的金额从拟支付给承包人的款项中扣除。</w:t>
      </w:r>
    </w:p>
    <w:p>
      <w:pPr>
        <w:pStyle w:val="50"/>
        <w:rPr>
          <w:rFonts w:hint="eastAsia"/>
        </w:rPr>
      </w:pPr>
      <w:bookmarkStart w:id="489" w:name="_Toc144974704"/>
      <w:bookmarkStart w:id="490" w:name="_Toc179632751"/>
      <w:bookmarkStart w:id="491" w:name="_Toc152042512"/>
      <w:bookmarkStart w:id="492" w:name="_Toc152045733"/>
      <w:r>
        <w:rPr>
          <w:rFonts w:hint="eastAsia"/>
        </w:rPr>
        <w:t>18.8 施工队伍的撤离</w:t>
      </w:r>
      <w:bookmarkEnd w:id="489"/>
      <w:bookmarkEnd w:id="490"/>
      <w:bookmarkEnd w:id="491"/>
      <w:bookmarkEnd w:id="492"/>
    </w:p>
    <w:p>
      <w:pPr>
        <w:spacing w:line="400" w:lineRule="exact"/>
        <w:ind w:firstLine="420" w:firstLineChars="200"/>
        <w:rPr>
          <w:rFonts w:hint="eastAsia"/>
        </w:rPr>
      </w:pPr>
      <w:r>
        <w:rPr>
          <w:rFonts w:hint="eastAsia"/>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9"/>
        <w:rPr>
          <w:rFonts w:hint="eastAsia"/>
        </w:rPr>
      </w:pPr>
      <w:r>
        <w:rPr>
          <w:rFonts w:hint="eastAsia"/>
        </w:rPr>
        <w:t>19. 缺陷责任与保修责任</w:t>
      </w:r>
    </w:p>
    <w:p>
      <w:pPr>
        <w:pStyle w:val="50"/>
        <w:rPr>
          <w:rFonts w:hint="eastAsia"/>
        </w:rPr>
      </w:pPr>
      <w:bookmarkStart w:id="493" w:name="_Toc152042514"/>
      <w:bookmarkStart w:id="494" w:name="_Toc152045735"/>
      <w:bookmarkStart w:id="495" w:name="_Toc179632753"/>
      <w:bookmarkStart w:id="496" w:name="_Toc144974706"/>
      <w:r>
        <w:rPr>
          <w:rFonts w:hint="eastAsia"/>
        </w:rPr>
        <w:t>19.1 缺陷责任期的起算时间</w:t>
      </w:r>
      <w:bookmarkEnd w:id="493"/>
      <w:bookmarkEnd w:id="494"/>
      <w:bookmarkEnd w:id="495"/>
      <w:bookmarkEnd w:id="496"/>
    </w:p>
    <w:p>
      <w:pPr>
        <w:spacing w:line="400" w:lineRule="exact"/>
        <w:ind w:firstLine="420" w:firstLineChars="200"/>
        <w:rPr>
          <w:rFonts w:hint="eastAsia"/>
        </w:rPr>
      </w:pPr>
      <w:r>
        <w:rPr>
          <w:rFonts w:hint="eastAsia"/>
        </w:rPr>
        <w:t>缺陷责任期自实际竣工日期起计算。在全部工程竣工验收前，已经发包人提前验收的单位工程，其缺陷责任期的起算日期相应提前。</w:t>
      </w:r>
    </w:p>
    <w:p>
      <w:pPr>
        <w:pStyle w:val="50"/>
        <w:rPr>
          <w:rFonts w:hint="eastAsia"/>
        </w:rPr>
      </w:pPr>
      <w:r>
        <w:rPr>
          <w:rFonts w:hint="eastAsia"/>
        </w:rPr>
        <w:t>19.2 缺陷责任</w:t>
      </w:r>
    </w:p>
    <w:p>
      <w:pPr>
        <w:spacing w:line="400" w:lineRule="exact"/>
        <w:ind w:firstLine="420" w:firstLineChars="200"/>
        <w:rPr>
          <w:rFonts w:hint="eastAsia"/>
        </w:rPr>
      </w:pPr>
      <w:r>
        <w:rPr>
          <w:rFonts w:hint="eastAsia"/>
        </w:rPr>
        <w:t>19.2.1 承包人应在缺陷责任期内对已交付使用的工程承担缺陷责任。</w:t>
      </w:r>
    </w:p>
    <w:p>
      <w:pPr>
        <w:spacing w:line="400" w:lineRule="exact"/>
        <w:ind w:firstLine="420" w:firstLineChars="200"/>
        <w:rPr>
          <w:rFonts w:hint="eastAsia"/>
        </w:rPr>
      </w:pPr>
      <w:r>
        <w:rPr>
          <w:rFonts w:hint="eastAsia"/>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20" w:firstLineChars="200"/>
        <w:rPr>
          <w:rFonts w:hint="eastAsia"/>
        </w:rPr>
      </w:pPr>
      <w:r>
        <w:rPr>
          <w:rFonts w:hint="eastAsia"/>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20" w:firstLineChars="200"/>
        <w:rPr>
          <w:rFonts w:hint="eastAsia"/>
        </w:rPr>
      </w:pPr>
      <w:r>
        <w:rPr>
          <w:rFonts w:hint="eastAsia"/>
        </w:rPr>
        <w:t>19.2.4 承包人不能在合理时间内修复缺陷的，发包人可自行修复或委托其他人修复，所需费用和利润的承担，按第19.2.3项约定办理。</w:t>
      </w:r>
    </w:p>
    <w:p>
      <w:pPr>
        <w:pStyle w:val="50"/>
        <w:rPr>
          <w:rFonts w:hint="eastAsia"/>
        </w:rPr>
      </w:pPr>
      <w:bookmarkStart w:id="497" w:name="_Toc152042516"/>
      <w:bookmarkStart w:id="498" w:name="_Toc152045737"/>
      <w:bookmarkStart w:id="499" w:name="_Toc144974708"/>
      <w:bookmarkStart w:id="500" w:name="_Toc179632755"/>
      <w:r>
        <w:rPr>
          <w:rFonts w:hint="eastAsia"/>
        </w:rPr>
        <w:t>19.3 缺陷责任期的延长</w:t>
      </w:r>
      <w:bookmarkEnd w:id="497"/>
      <w:bookmarkEnd w:id="498"/>
      <w:bookmarkEnd w:id="499"/>
      <w:bookmarkEnd w:id="500"/>
    </w:p>
    <w:p>
      <w:pPr>
        <w:spacing w:line="400" w:lineRule="exact"/>
        <w:ind w:firstLine="420" w:firstLineChars="200"/>
        <w:rPr>
          <w:rFonts w:hint="eastAsia"/>
        </w:rPr>
      </w:pPr>
      <w:r>
        <w:rPr>
          <w:rFonts w:hint="eastAsia"/>
        </w:rPr>
        <w:t>由于承包人原因造成某项缺陷或损坏使某项工程或工程设备不能按原定目标使用而需要再次检查、检验和修复的，发包人有权要求承包人相应延长缺陷责任期，但缺陷责任期最长不超过2年。</w:t>
      </w:r>
    </w:p>
    <w:p>
      <w:pPr>
        <w:pStyle w:val="50"/>
        <w:rPr>
          <w:rFonts w:hint="eastAsia"/>
        </w:rPr>
      </w:pPr>
      <w:bookmarkStart w:id="501" w:name="_Toc179632756"/>
      <w:bookmarkStart w:id="502" w:name="_Toc144974709"/>
      <w:bookmarkStart w:id="503" w:name="_Toc152045738"/>
      <w:bookmarkStart w:id="504" w:name="_Toc152042517"/>
      <w:r>
        <w:rPr>
          <w:rFonts w:hint="eastAsia"/>
        </w:rPr>
        <w:t>19.4 进一步试验和试运行</w:t>
      </w:r>
      <w:bookmarkEnd w:id="501"/>
      <w:bookmarkEnd w:id="502"/>
      <w:bookmarkEnd w:id="503"/>
      <w:bookmarkEnd w:id="504"/>
    </w:p>
    <w:p>
      <w:pPr>
        <w:spacing w:line="400" w:lineRule="exact"/>
        <w:ind w:firstLine="420" w:firstLineChars="200"/>
        <w:rPr>
          <w:rFonts w:hint="eastAsia"/>
        </w:rPr>
      </w:pPr>
      <w:r>
        <w:rPr>
          <w:rFonts w:hint="eastAsia"/>
        </w:rPr>
        <w:t>任何一项缺陷或损坏修复后，经检查证明其影响了工程或工程设备的使用性能，承包人应重新进行合同约定的试验和试运行，试验和试运行的全部费用应由责任方承担。</w:t>
      </w:r>
    </w:p>
    <w:p>
      <w:pPr>
        <w:pStyle w:val="50"/>
        <w:rPr>
          <w:rFonts w:hint="eastAsia"/>
        </w:rPr>
      </w:pPr>
      <w:bookmarkStart w:id="505" w:name="_Toc144974710"/>
      <w:bookmarkStart w:id="506" w:name="_Toc152042518"/>
      <w:bookmarkStart w:id="507" w:name="_Toc179632757"/>
      <w:bookmarkStart w:id="508" w:name="_Toc152045739"/>
      <w:r>
        <w:rPr>
          <w:rFonts w:hint="eastAsia"/>
        </w:rPr>
        <w:t>19.5 承包人的进入权</w:t>
      </w:r>
      <w:bookmarkEnd w:id="505"/>
      <w:bookmarkEnd w:id="506"/>
      <w:bookmarkEnd w:id="507"/>
      <w:bookmarkEnd w:id="508"/>
    </w:p>
    <w:p>
      <w:pPr>
        <w:spacing w:line="400" w:lineRule="exact"/>
        <w:ind w:firstLine="420" w:firstLineChars="200"/>
        <w:rPr>
          <w:rFonts w:hint="eastAsia"/>
        </w:rPr>
      </w:pPr>
      <w:r>
        <w:rPr>
          <w:rFonts w:hint="eastAsia"/>
        </w:rPr>
        <w:t>缺陷责任期内承包人为缺陷修复工作需要，有权进入工程现场，但应遵守发包人的保安和保密规定。</w:t>
      </w:r>
    </w:p>
    <w:p>
      <w:pPr>
        <w:pStyle w:val="50"/>
        <w:rPr>
          <w:rFonts w:hint="eastAsia"/>
        </w:rPr>
      </w:pPr>
      <w:bookmarkStart w:id="509" w:name="_Toc179632758"/>
      <w:bookmarkStart w:id="510" w:name="_Toc152045740"/>
      <w:bookmarkStart w:id="511" w:name="_Toc152042519"/>
      <w:bookmarkStart w:id="512" w:name="_Toc144974711"/>
      <w:r>
        <w:rPr>
          <w:rFonts w:hint="eastAsia"/>
        </w:rPr>
        <w:t>19.6 缺陷责任期终止证书</w:t>
      </w:r>
      <w:bookmarkEnd w:id="509"/>
      <w:bookmarkEnd w:id="510"/>
      <w:bookmarkEnd w:id="511"/>
      <w:bookmarkEnd w:id="512"/>
    </w:p>
    <w:p>
      <w:pPr>
        <w:spacing w:line="400" w:lineRule="exact"/>
        <w:ind w:firstLine="420" w:firstLineChars="200"/>
        <w:rPr>
          <w:rFonts w:hint="eastAsia"/>
        </w:rPr>
      </w:pPr>
      <w:r>
        <w:rPr>
          <w:rFonts w:hint="eastAsia"/>
        </w:rPr>
        <w:t>在第1.1.4.5目约定的缺陷责任期，包括根据第19.3款延长的期限终止后14天内，由监理人向承包人出具经发包人签认的缺陷责任期终止证书，并退还剩余的质量保证金。</w:t>
      </w:r>
    </w:p>
    <w:p>
      <w:pPr>
        <w:pStyle w:val="50"/>
        <w:rPr>
          <w:rFonts w:hint="eastAsia"/>
        </w:rPr>
      </w:pPr>
      <w:r>
        <w:rPr>
          <w:rFonts w:hint="eastAsia"/>
        </w:rPr>
        <w:t>19.7 保修责任</w:t>
      </w:r>
    </w:p>
    <w:p>
      <w:pPr>
        <w:spacing w:line="400" w:lineRule="exact"/>
        <w:ind w:firstLine="420" w:firstLineChars="200"/>
        <w:rPr>
          <w:rFonts w:hint="eastAsia"/>
        </w:rPr>
      </w:pPr>
      <w:r>
        <w:rPr>
          <w:rFonts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49"/>
        <w:rPr>
          <w:rFonts w:hint="eastAsia"/>
        </w:rPr>
      </w:pPr>
      <w:r>
        <w:rPr>
          <w:rFonts w:hint="eastAsia"/>
        </w:rPr>
        <w:t>20. 保险</w:t>
      </w:r>
    </w:p>
    <w:p>
      <w:pPr>
        <w:pStyle w:val="50"/>
        <w:rPr>
          <w:rFonts w:hint="eastAsia"/>
        </w:rPr>
      </w:pPr>
      <w:r>
        <w:rPr>
          <w:rFonts w:hint="eastAsia"/>
        </w:rPr>
        <w:t>20.1 工程保险</w:t>
      </w:r>
    </w:p>
    <w:p>
      <w:pPr>
        <w:spacing w:line="380" w:lineRule="exact"/>
        <w:ind w:firstLine="420" w:firstLineChars="200"/>
        <w:rPr>
          <w:rFonts w:hint="eastAsia"/>
        </w:rPr>
      </w:pPr>
      <w:r>
        <w:rPr>
          <w:rFonts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0"/>
        <w:rPr>
          <w:rFonts w:hint="eastAsia"/>
        </w:rPr>
      </w:pPr>
      <w:bookmarkStart w:id="513" w:name="_Toc144974715"/>
      <w:bookmarkStart w:id="514" w:name="_Toc179632762"/>
      <w:bookmarkStart w:id="515" w:name="_Toc152042523"/>
      <w:bookmarkStart w:id="516" w:name="_Toc152045744"/>
      <w:r>
        <w:rPr>
          <w:rFonts w:hint="eastAsia"/>
        </w:rPr>
        <w:t>20.2 人员工伤事故的保险</w:t>
      </w:r>
      <w:bookmarkEnd w:id="513"/>
      <w:bookmarkEnd w:id="514"/>
      <w:bookmarkEnd w:id="515"/>
      <w:bookmarkEnd w:id="516"/>
    </w:p>
    <w:p>
      <w:pPr>
        <w:spacing w:line="380" w:lineRule="exact"/>
        <w:ind w:firstLine="420" w:firstLineChars="200"/>
        <w:rPr>
          <w:rFonts w:hint="eastAsia" w:ascii="黑体" w:eastAsia="黑体"/>
        </w:rPr>
      </w:pPr>
      <w:r>
        <w:rPr>
          <w:rFonts w:hint="eastAsia"/>
        </w:rPr>
        <w:t xml:space="preserve">20.2.1 </w:t>
      </w:r>
      <w:r>
        <w:rPr>
          <w:rFonts w:hint="eastAsia" w:ascii="黑体" w:eastAsia="黑体"/>
        </w:rPr>
        <w:t>承包人员工伤事故的保险</w:t>
      </w:r>
    </w:p>
    <w:p>
      <w:pPr>
        <w:spacing w:line="380" w:lineRule="exact"/>
        <w:ind w:firstLine="420" w:firstLineChars="200"/>
        <w:rPr>
          <w:rFonts w:hint="eastAsia"/>
        </w:rPr>
      </w:pPr>
      <w:r>
        <w:rPr>
          <w:rFonts w:hint="eastAsia"/>
        </w:rPr>
        <w:t>承包人应</w:t>
      </w:r>
      <w:r>
        <w:t>依照</w:t>
      </w:r>
      <w:r>
        <w:rPr>
          <w:rFonts w:hint="eastAsia"/>
        </w:rPr>
        <w:t>有关法律</w:t>
      </w:r>
      <w:r>
        <w:t>规定参加工伤保险，</w:t>
      </w:r>
      <w:r>
        <w:rPr>
          <w:rFonts w:hint="eastAsia"/>
        </w:rPr>
        <w:t>为其履行合同所雇佣的全部人员，</w:t>
      </w:r>
      <w:r>
        <w:t>缴纳工伤保险费</w:t>
      </w:r>
      <w:r>
        <w:rPr>
          <w:rFonts w:hint="eastAsia"/>
        </w:rPr>
        <w:t>，并要求其分包人也进行此项保险。</w:t>
      </w:r>
    </w:p>
    <w:p>
      <w:pPr>
        <w:spacing w:line="380" w:lineRule="exact"/>
        <w:ind w:firstLine="420" w:firstLineChars="200"/>
        <w:rPr>
          <w:rFonts w:hint="eastAsia" w:ascii="黑体" w:eastAsia="黑体"/>
        </w:rPr>
      </w:pPr>
      <w:r>
        <w:rPr>
          <w:rFonts w:hint="eastAsia"/>
        </w:rPr>
        <w:t>20.2.2</w:t>
      </w:r>
      <w:r>
        <w:rPr>
          <w:rFonts w:hint="eastAsia" w:ascii="黑体" w:eastAsia="黑体"/>
        </w:rPr>
        <w:t xml:space="preserve"> 发包人员工伤事故的保险</w:t>
      </w:r>
    </w:p>
    <w:p>
      <w:pPr>
        <w:spacing w:line="380" w:lineRule="exact"/>
        <w:ind w:firstLine="420" w:firstLineChars="200"/>
        <w:rPr>
          <w:rFonts w:hint="eastAsia"/>
        </w:rPr>
      </w:pPr>
      <w:r>
        <w:rPr>
          <w:rFonts w:hint="eastAsia"/>
        </w:rPr>
        <w:t>发包人应</w:t>
      </w:r>
      <w:r>
        <w:t>依照</w:t>
      </w:r>
      <w:r>
        <w:rPr>
          <w:rFonts w:hint="eastAsia"/>
        </w:rPr>
        <w:t>有关法律</w:t>
      </w:r>
      <w:r>
        <w:t>规定参加工伤保险，</w:t>
      </w:r>
      <w:r>
        <w:rPr>
          <w:rFonts w:hint="eastAsia"/>
        </w:rPr>
        <w:t>为其现场机构雇佣的全部人员，</w:t>
      </w:r>
      <w:r>
        <w:t>缴纳工伤保险费</w:t>
      </w:r>
      <w:r>
        <w:rPr>
          <w:rFonts w:hint="eastAsia"/>
        </w:rPr>
        <w:t>，并要求其监理人也进行此项保险。</w:t>
      </w:r>
    </w:p>
    <w:p>
      <w:pPr>
        <w:pStyle w:val="50"/>
        <w:rPr>
          <w:rFonts w:hint="eastAsia"/>
        </w:rPr>
      </w:pPr>
      <w:bookmarkStart w:id="517" w:name="_Toc144974716"/>
      <w:bookmarkStart w:id="518" w:name="_Toc152042524"/>
      <w:bookmarkStart w:id="519" w:name="_Toc179632763"/>
      <w:bookmarkStart w:id="520" w:name="_Toc152045745"/>
      <w:r>
        <w:rPr>
          <w:rFonts w:hint="eastAsia"/>
        </w:rPr>
        <w:t>20.3 人身意外伤害险</w:t>
      </w:r>
      <w:bookmarkEnd w:id="517"/>
      <w:bookmarkEnd w:id="518"/>
      <w:bookmarkEnd w:id="519"/>
      <w:bookmarkEnd w:id="520"/>
    </w:p>
    <w:p>
      <w:pPr>
        <w:spacing w:line="380" w:lineRule="exact"/>
        <w:ind w:firstLine="420" w:firstLineChars="200"/>
        <w:rPr>
          <w:rFonts w:hint="eastAsia"/>
        </w:rPr>
      </w:pPr>
      <w:r>
        <w:rPr>
          <w:rFonts w:hint="eastAsia"/>
        </w:rPr>
        <w:t>20.3.1 发包人应在整个施工期间为其现场机构雇用的全部人员，投保人身意外伤害险，缴纳保险费，并要求其监理人也进行此项保险。</w:t>
      </w:r>
    </w:p>
    <w:p>
      <w:pPr>
        <w:spacing w:line="380" w:lineRule="exact"/>
        <w:ind w:firstLine="420" w:firstLineChars="200"/>
        <w:rPr>
          <w:rFonts w:hint="eastAsia"/>
        </w:rPr>
      </w:pPr>
      <w:r>
        <w:rPr>
          <w:rFonts w:hint="eastAsia"/>
        </w:rPr>
        <w:t>20.3.2 承包人应在整个施工期间为其现场机构雇用的全部人员，投保人身意外伤害险，缴纳保险费，并要求其分包人也进行此项保险。</w:t>
      </w:r>
    </w:p>
    <w:p>
      <w:pPr>
        <w:pStyle w:val="50"/>
        <w:rPr>
          <w:rFonts w:hint="eastAsia"/>
        </w:rPr>
      </w:pPr>
      <w:r>
        <w:rPr>
          <w:rFonts w:hint="eastAsia"/>
        </w:rPr>
        <w:t>20.4 第三者责任险</w:t>
      </w:r>
    </w:p>
    <w:p>
      <w:pPr>
        <w:spacing w:line="380" w:lineRule="exact"/>
        <w:ind w:firstLine="420" w:firstLineChars="200"/>
        <w:rPr>
          <w:rFonts w:hint="eastAsia"/>
        </w:rPr>
      </w:pPr>
      <w:r>
        <w:rPr>
          <w:rFonts w:hint="eastAsia"/>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20" w:firstLineChars="200"/>
        <w:rPr>
          <w:rFonts w:hint="eastAsia"/>
        </w:rPr>
      </w:pPr>
      <w:r>
        <w:rPr>
          <w:rFonts w:hint="eastAsia"/>
        </w:rPr>
        <w:t>20.4.2 在缺陷责任期终止证书颁发前，承包人应以承包人和发包人的共同名义，投保第20.4.1项约定的第三者责任险，其保险费率、保险金额等有关内容在专用合同条款中约定。</w:t>
      </w:r>
    </w:p>
    <w:p>
      <w:pPr>
        <w:pStyle w:val="50"/>
        <w:rPr>
          <w:rFonts w:hint="eastAsia"/>
        </w:rPr>
      </w:pPr>
      <w:r>
        <w:rPr>
          <w:rFonts w:hint="eastAsia"/>
        </w:rPr>
        <w:t>20.5 其他保险</w:t>
      </w:r>
    </w:p>
    <w:p>
      <w:pPr>
        <w:spacing w:line="380" w:lineRule="exact"/>
        <w:ind w:firstLine="420" w:firstLineChars="200"/>
        <w:rPr>
          <w:rFonts w:hint="eastAsia"/>
        </w:rPr>
      </w:pPr>
      <w:r>
        <w:rPr>
          <w:rFonts w:hint="eastAsia"/>
        </w:rPr>
        <w:t>除专用合同条款另有约定外，承包人应为其施工设备、进场的材料和工程设备等办理保险。</w:t>
      </w:r>
    </w:p>
    <w:p>
      <w:pPr>
        <w:pStyle w:val="50"/>
        <w:rPr>
          <w:rFonts w:hint="eastAsia"/>
        </w:rPr>
      </w:pPr>
      <w:r>
        <w:rPr>
          <w:rFonts w:hint="eastAsia"/>
        </w:rPr>
        <w:t>20.6 对各项保险的一般要求</w:t>
      </w:r>
    </w:p>
    <w:p>
      <w:pPr>
        <w:spacing w:line="380" w:lineRule="exact"/>
        <w:ind w:firstLine="420" w:firstLineChars="200"/>
        <w:rPr>
          <w:rFonts w:hint="eastAsia"/>
        </w:rPr>
      </w:pPr>
      <w:r>
        <w:rPr>
          <w:rFonts w:hint="eastAsia"/>
        </w:rPr>
        <w:t xml:space="preserve">20.6.1 </w:t>
      </w:r>
      <w:r>
        <w:rPr>
          <w:rFonts w:hint="eastAsia" w:ascii="黑体" w:eastAsia="黑体"/>
        </w:rPr>
        <w:t>保险凭证</w:t>
      </w:r>
    </w:p>
    <w:p>
      <w:pPr>
        <w:spacing w:line="380" w:lineRule="exact"/>
        <w:ind w:firstLine="420" w:firstLineChars="200"/>
        <w:rPr>
          <w:rFonts w:hint="eastAsia"/>
        </w:rPr>
      </w:pPr>
      <w:r>
        <w:rPr>
          <w:rFonts w:hint="eastAsia"/>
        </w:rPr>
        <w:t>承包人应在专用合同条款约定的期限内向发包人提交各项保险生效的证据和保险单副本，保险单必须与专用合同条款约定的条件保持一致。</w:t>
      </w:r>
    </w:p>
    <w:p>
      <w:pPr>
        <w:spacing w:line="380" w:lineRule="exact"/>
        <w:ind w:firstLine="420" w:firstLineChars="200"/>
        <w:rPr>
          <w:rFonts w:hint="eastAsia"/>
        </w:rPr>
      </w:pPr>
      <w:r>
        <w:rPr>
          <w:rFonts w:hint="eastAsia"/>
        </w:rPr>
        <w:t xml:space="preserve">20.6.2 </w:t>
      </w:r>
      <w:r>
        <w:rPr>
          <w:rFonts w:hint="eastAsia" w:ascii="黑体" w:eastAsia="黑体"/>
        </w:rPr>
        <w:t>保险合同条款的变动</w:t>
      </w:r>
    </w:p>
    <w:p>
      <w:pPr>
        <w:spacing w:line="380" w:lineRule="exact"/>
        <w:ind w:firstLine="420" w:firstLineChars="200"/>
        <w:rPr>
          <w:rFonts w:hint="eastAsia"/>
        </w:rPr>
      </w:pPr>
      <w:r>
        <w:rPr>
          <w:rFonts w:hint="eastAsia"/>
        </w:rPr>
        <w:t>承包人需要变动保险合同条款时，应事先征得发包人同意，并通知监理人。保险人作出变动的，承包人应在收到保险人通知后立即通知发包人和监理人。</w:t>
      </w:r>
    </w:p>
    <w:p>
      <w:pPr>
        <w:spacing w:line="380" w:lineRule="exact"/>
        <w:ind w:firstLine="420" w:firstLineChars="200"/>
        <w:rPr>
          <w:rFonts w:hint="eastAsia"/>
        </w:rPr>
      </w:pPr>
      <w:r>
        <w:rPr>
          <w:rFonts w:hint="eastAsia"/>
        </w:rPr>
        <w:t xml:space="preserve">20.6.3 </w:t>
      </w:r>
      <w:r>
        <w:rPr>
          <w:rFonts w:hint="eastAsia" w:ascii="黑体" w:eastAsia="黑体"/>
        </w:rPr>
        <w:t>持续保险</w:t>
      </w:r>
    </w:p>
    <w:p>
      <w:pPr>
        <w:spacing w:line="380" w:lineRule="exact"/>
        <w:ind w:firstLine="420" w:firstLineChars="200"/>
        <w:rPr>
          <w:rFonts w:hint="eastAsia"/>
        </w:rPr>
      </w:pPr>
      <w:r>
        <w:rPr>
          <w:rFonts w:hint="eastAsia"/>
        </w:rPr>
        <w:t>承包人应与保险人保持联系，使保险人能够随时了解工程实施中的变动，并确保按保险合同条款要求持续保险。</w:t>
      </w:r>
    </w:p>
    <w:p>
      <w:pPr>
        <w:spacing w:line="380" w:lineRule="exact"/>
        <w:ind w:firstLine="420" w:firstLineChars="200"/>
        <w:rPr>
          <w:rFonts w:hint="eastAsia" w:ascii="黑体" w:eastAsia="黑体"/>
        </w:rPr>
      </w:pPr>
      <w:r>
        <w:rPr>
          <w:rFonts w:hint="eastAsia"/>
        </w:rPr>
        <w:t xml:space="preserve">20.6.4 </w:t>
      </w:r>
      <w:r>
        <w:rPr>
          <w:rFonts w:hint="eastAsia" w:ascii="黑体" w:eastAsia="黑体"/>
        </w:rPr>
        <w:t>保险金不足的补偿</w:t>
      </w:r>
    </w:p>
    <w:p>
      <w:pPr>
        <w:spacing w:line="380" w:lineRule="exact"/>
        <w:ind w:firstLine="420" w:firstLineChars="200"/>
        <w:rPr>
          <w:rFonts w:hint="eastAsia"/>
        </w:rPr>
      </w:pPr>
      <w:r>
        <w:rPr>
          <w:rFonts w:hint="eastAsia"/>
        </w:rPr>
        <w:t>保险金不足以补偿损失的，应由承包人和（或）发包人按合同约定负责补偿。</w:t>
      </w:r>
    </w:p>
    <w:p>
      <w:pPr>
        <w:spacing w:line="380" w:lineRule="exact"/>
        <w:ind w:firstLine="420" w:firstLineChars="200"/>
        <w:rPr>
          <w:rFonts w:hint="eastAsia" w:ascii="黑体" w:eastAsia="黑体"/>
        </w:rPr>
      </w:pPr>
      <w:r>
        <w:rPr>
          <w:rFonts w:hint="eastAsia"/>
        </w:rPr>
        <w:t xml:space="preserve">20.6.5 </w:t>
      </w:r>
      <w:r>
        <w:rPr>
          <w:rFonts w:hint="eastAsia" w:ascii="黑体" w:eastAsia="黑体"/>
        </w:rPr>
        <w:t>未按约定投保的补救</w:t>
      </w:r>
    </w:p>
    <w:p>
      <w:pPr>
        <w:spacing w:line="380" w:lineRule="exact"/>
        <w:ind w:firstLine="420" w:firstLineChars="200"/>
        <w:rPr>
          <w:rFonts w:hint="eastAsia" w:ascii="黑体" w:eastAsia="黑体"/>
        </w:rPr>
      </w:pPr>
      <w:r>
        <w:rPr>
          <w:rFonts w:hint="eastAsia"/>
        </w:rPr>
        <w:t>（1）由于负有投保义务的一方当事人未按合同约定办理保险，或未能使保险持续有效的，另一方当事人可代为办理，所需费用由对方当事人承担。</w:t>
      </w:r>
    </w:p>
    <w:p>
      <w:pPr>
        <w:spacing w:line="380" w:lineRule="exact"/>
        <w:ind w:firstLine="420" w:firstLineChars="200"/>
        <w:rPr>
          <w:rFonts w:hint="eastAsia"/>
        </w:rPr>
      </w:pPr>
      <w:r>
        <w:rPr>
          <w:rFonts w:hint="eastAsia"/>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20" w:firstLineChars="200"/>
        <w:rPr>
          <w:rFonts w:hint="eastAsia" w:ascii="黑体" w:eastAsia="黑体"/>
        </w:rPr>
      </w:pPr>
      <w:r>
        <w:rPr>
          <w:rFonts w:hint="eastAsia"/>
        </w:rPr>
        <w:t xml:space="preserve">20.6.6 </w:t>
      </w:r>
      <w:r>
        <w:rPr>
          <w:rFonts w:hint="eastAsia" w:ascii="黑体" w:eastAsia="黑体"/>
        </w:rPr>
        <w:t>报告义务</w:t>
      </w:r>
    </w:p>
    <w:p>
      <w:pPr>
        <w:spacing w:line="400" w:lineRule="exact"/>
        <w:ind w:firstLine="420" w:firstLineChars="200"/>
        <w:rPr>
          <w:rFonts w:hint="eastAsia"/>
        </w:rPr>
      </w:pPr>
      <w:r>
        <w:rPr>
          <w:rFonts w:hint="eastAsia"/>
        </w:rPr>
        <w:t>当保险事故发生时，投保人应按照保险单规定的条件和期限及时向保险人报告。</w:t>
      </w:r>
    </w:p>
    <w:p>
      <w:pPr>
        <w:pStyle w:val="49"/>
        <w:rPr>
          <w:rFonts w:hint="eastAsia"/>
        </w:rPr>
      </w:pPr>
      <w:r>
        <w:rPr>
          <w:rFonts w:hint="eastAsia"/>
        </w:rPr>
        <w:t>21. 不可抗力</w:t>
      </w:r>
    </w:p>
    <w:p>
      <w:pPr>
        <w:pStyle w:val="50"/>
        <w:rPr>
          <w:rFonts w:hint="eastAsia"/>
        </w:rPr>
      </w:pPr>
      <w:r>
        <w:rPr>
          <w:rFonts w:hint="eastAsia"/>
        </w:rPr>
        <w:t>21.1 不可抗力的确认</w:t>
      </w:r>
    </w:p>
    <w:p>
      <w:pPr>
        <w:spacing w:line="400" w:lineRule="exact"/>
        <w:ind w:firstLine="420" w:firstLineChars="200"/>
        <w:rPr>
          <w:rFonts w:hint="eastAsia"/>
        </w:rPr>
      </w:pPr>
      <w:r>
        <w:rPr>
          <w:rFonts w:hint="eastAsia"/>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20" w:firstLineChars="200"/>
        <w:rPr>
          <w:rFonts w:hint="eastAsia"/>
        </w:rPr>
      </w:pPr>
      <w:r>
        <w:rPr>
          <w:rFonts w:hint="eastAsia"/>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50"/>
        <w:rPr>
          <w:rFonts w:hint="eastAsia"/>
        </w:rPr>
      </w:pPr>
      <w:bookmarkStart w:id="521" w:name="_Toc152045751"/>
      <w:bookmarkStart w:id="522" w:name="_Toc144974722"/>
      <w:bookmarkStart w:id="523" w:name="_Toc179632769"/>
      <w:bookmarkStart w:id="524" w:name="_Toc152042530"/>
      <w:r>
        <w:rPr>
          <w:rFonts w:hint="eastAsia"/>
        </w:rPr>
        <w:t>21.2 不可抗力的通知</w:t>
      </w:r>
      <w:bookmarkEnd w:id="521"/>
      <w:bookmarkEnd w:id="522"/>
      <w:bookmarkEnd w:id="523"/>
      <w:bookmarkEnd w:id="524"/>
    </w:p>
    <w:p>
      <w:pPr>
        <w:spacing w:line="400" w:lineRule="exact"/>
        <w:ind w:firstLine="420" w:firstLineChars="200"/>
        <w:rPr>
          <w:rFonts w:hint="eastAsia"/>
        </w:rPr>
      </w:pPr>
      <w:r>
        <w:rPr>
          <w:rFonts w:hint="eastAsia"/>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20" w:firstLineChars="200"/>
        <w:rPr>
          <w:rFonts w:hint="eastAsia"/>
        </w:rPr>
      </w:pPr>
      <w:r>
        <w:rPr>
          <w:rFonts w:hint="eastAsia"/>
        </w:rPr>
        <w:t>21.2.2 如不可抗力持续发生，合同一方当事人应及时向合同另一方当事人和监理人提交中间报告，说明不可抗力和履行合同受阻的情况，并于不可抗力事件结束后28天内提交最终报告及有关资料。</w:t>
      </w:r>
    </w:p>
    <w:p>
      <w:pPr>
        <w:pStyle w:val="50"/>
        <w:rPr>
          <w:rFonts w:hint="eastAsia"/>
        </w:rPr>
      </w:pPr>
      <w:r>
        <w:rPr>
          <w:rFonts w:hint="eastAsia"/>
        </w:rPr>
        <w:t>21.3 不可抗力后果及其处理</w:t>
      </w:r>
    </w:p>
    <w:p>
      <w:pPr>
        <w:spacing w:line="380" w:lineRule="exact"/>
        <w:ind w:firstLine="420" w:firstLineChars="200"/>
        <w:rPr>
          <w:rFonts w:hint="eastAsia"/>
        </w:rPr>
      </w:pPr>
      <w:r>
        <w:rPr>
          <w:rFonts w:hint="eastAsia"/>
        </w:rPr>
        <w:t xml:space="preserve">21.3.1 </w:t>
      </w:r>
      <w:r>
        <w:rPr>
          <w:rFonts w:hint="eastAsia" w:ascii="黑体" w:eastAsia="黑体"/>
        </w:rPr>
        <w:t>不可抗力造成损害的责任</w:t>
      </w:r>
    </w:p>
    <w:p>
      <w:pPr>
        <w:spacing w:line="400" w:lineRule="exact"/>
        <w:ind w:firstLine="420" w:firstLineChars="200"/>
        <w:rPr>
          <w:rFonts w:hint="eastAsia"/>
        </w:rPr>
      </w:pPr>
      <w:r>
        <w:rPr>
          <w:rFonts w:hint="eastAsia"/>
        </w:rPr>
        <w:t>除专用合同条款另有约定外，不可抗力导致的人员伤亡、财产损失、费用增加和（或）工期延误等后果，由合同双方按以下原则承担：</w:t>
      </w:r>
    </w:p>
    <w:p>
      <w:pPr>
        <w:spacing w:line="400" w:lineRule="exact"/>
        <w:ind w:firstLine="718" w:firstLineChars="342"/>
        <w:rPr>
          <w:rFonts w:hint="eastAsia"/>
        </w:rPr>
      </w:pPr>
      <w:r>
        <w:rPr>
          <w:rFonts w:hint="eastAsia"/>
        </w:rPr>
        <w:t>（1）永久工程，包括已运至施工场地的材料和工程设备的损害，以及因工程损害造成的第三者人员伤亡和财产损失由发包人承担；</w:t>
      </w:r>
    </w:p>
    <w:p>
      <w:pPr>
        <w:spacing w:line="400" w:lineRule="exact"/>
        <w:ind w:firstLine="718" w:firstLineChars="342"/>
        <w:rPr>
          <w:rFonts w:hint="eastAsia"/>
        </w:rPr>
      </w:pPr>
      <w:r>
        <w:rPr>
          <w:rFonts w:hint="eastAsia"/>
        </w:rPr>
        <w:t>（2）承包人设备的损坏由承包人承担；</w:t>
      </w:r>
    </w:p>
    <w:p>
      <w:pPr>
        <w:spacing w:line="400" w:lineRule="exact"/>
        <w:ind w:firstLine="718" w:firstLineChars="342"/>
        <w:rPr>
          <w:rFonts w:hint="eastAsia"/>
        </w:rPr>
      </w:pPr>
      <w:r>
        <w:rPr>
          <w:rFonts w:hint="eastAsia"/>
        </w:rPr>
        <w:t>（3）发包人和承包人各自承担其人员伤亡和其他财产损失及其相关费用；</w:t>
      </w:r>
    </w:p>
    <w:p>
      <w:pPr>
        <w:spacing w:line="400" w:lineRule="exact"/>
        <w:ind w:firstLine="718" w:firstLineChars="342"/>
        <w:rPr>
          <w:rFonts w:hint="eastAsia"/>
        </w:rPr>
      </w:pPr>
      <w:r>
        <w:rPr>
          <w:rFonts w:hint="eastAsia"/>
        </w:rPr>
        <w:t>（4）承包人的停工损失由承包人承担，但停工期间应监理人要求照管工程和清理、修复工程的金额由发包人承担；</w:t>
      </w:r>
    </w:p>
    <w:p>
      <w:pPr>
        <w:spacing w:line="400" w:lineRule="exact"/>
        <w:ind w:firstLine="718" w:firstLineChars="342"/>
        <w:rPr>
          <w:rFonts w:hint="eastAsia"/>
        </w:rPr>
      </w:pPr>
      <w:r>
        <w:rPr>
          <w:rFonts w:hint="eastAsia"/>
        </w:rPr>
        <w:t>（5）不能按期竣工的，应合理延长工期，承包人不需支付逾期竣工违约金。发包人要求赶工的，承包人应采取赶工措施，赶工费用由发包人承担。</w:t>
      </w:r>
    </w:p>
    <w:p>
      <w:pPr>
        <w:spacing w:line="400" w:lineRule="exact"/>
        <w:ind w:firstLine="420" w:firstLineChars="200"/>
        <w:rPr>
          <w:rFonts w:hint="eastAsia"/>
        </w:rPr>
      </w:pPr>
      <w:r>
        <w:rPr>
          <w:rFonts w:hint="eastAsia"/>
        </w:rPr>
        <w:t xml:space="preserve">21.3.2 </w:t>
      </w:r>
      <w:r>
        <w:rPr>
          <w:rFonts w:hint="eastAsia" w:ascii="黑体" w:eastAsia="黑体"/>
        </w:rPr>
        <w:t>延迟履行期间发生的不可抗力</w:t>
      </w:r>
    </w:p>
    <w:p>
      <w:pPr>
        <w:spacing w:line="400" w:lineRule="exact"/>
        <w:ind w:firstLine="420" w:firstLineChars="200"/>
        <w:rPr>
          <w:rFonts w:hint="eastAsia"/>
        </w:rPr>
      </w:pPr>
      <w:r>
        <w:rPr>
          <w:rFonts w:hint="eastAsia"/>
        </w:rPr>
        <w:t>合同一方当事人延迟履行，在延迟履行期间发生不可抗力的，不免除其责任。</w:t>
      </w:r>
    </w:p>
    <w:p>
      <w:pPr>
        <w:spacing w:line="400" w:lineRule="exact"/>
        <w:ind w:firstLine="420" w:firstLineChars="200"/>
        <w:rPr>
          <w:rFonts w:hint="eastAsia"/>
        </w:rPr>
      </w:pPr>
      <w:r>
        <w:rPr>
          <w:rFonts w:hint="eastAsia"/>
        </w:rPr>
        <w:t xml:space="preserve">21.3.3 </w:t>
      </w:r>
      <w:r>
        <w:rPr>
          <w:rFonts w:hint="eastAsia" w:ascii="黑体" w:eastAsia="黑体"/>
        </w:rPr>
        <w:t>避免和减少不可抗力损失</w:t>
      </w:r>
    </w:p>
    <w:p>
      <w:pPr>
        <w:spacing w:line="400" w:lineRule="exact"/>
        <w:ind w:firstLine="420" w:firstLineChars="200"/>
        <w:rPr>
          <w:rFonts w:hint="eastAsia"/>
        </w:rPr>
      </w:pPr>
      <w:r>
        <w:rPr>
          <w:rFonts w:hint="eastAsia"/>
        </w:rPr>
        <w:t>不可抗力发生后，发包人和承包人均应采取措施尽量避免和减少损失的扩大，任何一方没有采取有效措施导致损失扩大的，应对扩大的损失承担责任。</w:t>
      </w:r>
    </w:p>
    <w:p>
      <w:pPr>
        <w:spacing w:line="400" w:lineRule="exact"/>
        <w:ind w:firstLine="420" w:firstLineChars="200"/>
        <w:rPr>
          <w:rFonts w:hint="eastAsia"/>
        </w:rPr>
      </w:pPr>
      <w:r>
        <w:rPr>
          <w:rFonts w:hint="eastAsia"/>
        </w:rPr>
        <w:t xml:space="preserve">21.3.4 </w:t>
      </w:r>
      <w:r>
        <w:rPr>
          <w:rFonts w:hint="eastAsia" w:ascii="黑体" w:eastAsia="黑体"/>
        </w:rPr>
        <w:t>因不可抗力解除合同</w:t>
      </w:r>
    </w:p>
    <w:p>
      <w:pPr>
        <w:spacing w:line="400" w:lineRule="exact"/>
        <w:ind w:firstLine="420" w:firstLineChars="200"/>
        <w:rPr>
          <w:rFonts w:hint="eastAsia"/>
        </w:rPr>
      </w:pPr>
      <w:r>
        <w:rPr>
          <w:rFonts w:hint="eastAsia"/>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49"/>
        <w:rPr>
          <w:rFonts w:hint="eastAsia"/>
        </w:rPr>
      </w:pPr>
      <w:r>
        <w:rPr>
          <w:rFonts w:hint="eastAsia"/>
        </w:rPr>
        <w:t>22. 违约</w:t>
      </w:r>
    </w:p>
    <w:p>
      <w:pPr>
        <w:pStyle w:val="50"/>
        <w:rPr>
          <w:rFonts w:hint="eastAsia"/>
        </w:rPr>
      </w:pPr>
      <w:r>
        <w:rPr>
          <w:rFonts w:hint="eastAsia"/>
        </w:rPr>
        <w:t>22.1 承包人违约</w:t>
      </w:r>
    </w:p>
    <w:p>
      <w:pPr>
        <w:spacing w:line="400" w:lineRule="exact"/>
        <w:ind w:firstLine="420" w:firstLineChars="200"/>
        <w:rPr>
          <w:rFonts w:hint="eastAsia"/>
        </w:rPr>
      </w:pPr>
      <w:r>
        <w:rPr>
          <w:rFonts w:hint="eastAsia"/>
        </w:rPr>
        <w:t>22.1.1</w:t>
      </w:r>
      <w:r>
        <w:rPr>
          <w:rFonts w:hint="eastAsia" w:ascii="黑体" w:eastAsia="黑体"/>
        </w:rPr>
        <w:t xml:space="preserve"> 承包人违约的情形</w:t>
      </w:r>
    </w:p>
    <w:p>
      <w:pPr>
        <w:spacing w:line="400" w:lineRule="exact"/>
        <w:ind w:firstLine="420" w:firstLineChars="200"/>
        <w:rPr>
          <w:rFonts w:hint="eastAsia"/>
        </w:rPr>
      </w:pPr>
      <w:r>
        <w:rPr>
          <w:rFonts w:hint="eastAsia"/>
        </w:rPr>
        <w:t>在履行合同过程中发生的下列情况属承包人违约：</w:t>
      </w:r>
    </w:p>
    <w:p>
      <w:pPr>
        <w:spacing w:line="400" w:lineRule="exact"/>
        <w:ind w:firstLine="718" w:firstLineChars="342"/>
        <w:rPr>
          <w:rFonts w:hint="eastAsia"/>
        </w:rPr>
      </w:pPr>
      <w:r>
        <w:rPr>
          <w:rFonts w:hint="eastAsia"/>
        </w:rPr>
        <w:t>（1）承包人违反第1.8款或第4.3款的约定，私自将合同的全部或部分权利转让给其他人，或私自将合同的全部或部分义务转移给其他人；</w:t>
      </w:r>
    </w:p>
    <w:p>
      <w:pPr>
        <w:spacing w:line="400" w:lineRule="exact"/>
        <w:ind w:firstLine="718" w:firstLineChars="342"/>
        <w:rPr>
          <w:rFonts w:hint="eastAsia"/>
        </w:rPr>
      </w:pPr>
      <w:r>
        <w:rPr>
          <w:rFonts w:hint="eastAsia"/>
        </w:rPr>
        <w:t>（2）承包人违反第5.3款或第6.4款的约定，未经监理人批准，私自将已按合同约定进入施工场地的施工设备、临时设施或材料撤离施工场地；</w:t>
      </w:r>
    </w:p>
    <w:p>
      <w:pPr>
        <w:spacing w:line="400" w:lineRule="exact"/>
        <w:ind w:firstLine="718" w:firstLineChars="342"/>
        <w:rPr>
          <w:rFonts w:hint="eastAsia"/>
        </w:rPr>
      </w:pPr>
      <w:r>
        <w:rPr>
          <w:rFonts w:hint="eastAsia"/>
        </w:rPr>
        <w:t>（3）承包人违反第5.4款的约定使用了不合格材料或工程设备，工程质量达不到标准要求，又拒绝清除不合格工程；</w:t>
      </w:r>
    </w:p>
    <w:p>
      <w:pPr>
        <w:spacing w:line="400" w:lineRule="exact"/>
        <w:ind w:firstLine="718" w:firstLineChars="342"/>
        <w:rPr>
          <w:rFonts w:hint="eastAsia"/>
        </w:rPr>
      </w:pPr>
      <w:r>
        <w:rPr>
          <w:rFonts w:hint="eastAsia"/>
        </w:rPr>
        <w:t>（4）承包人未能按合同进度计划及时完成合同约定的工作，已造成或预期造成工期延误；</w:t>
      </w:r>
    </w:p>
    <w:p>
      <w:pPr>
        <w:spacing w:line="400" w:lineRule="exact"/>
        <w:ind w:firstLine="718" w:firstLineChars="342"/>
        <w:rPr>
          <w:rFonts w:hint="eastAsia"/>
        </w:rPr>
      </w:pPr>
      <w:r>
        <w:rPr>
          <w:rFonts w:hint="eastAsia"/>
        </w:rPr>
        <w:t>（5）承包人在缺陷责任期内，未能对工程接收证书所列的缺陷清单的内容或缺陷责任期内发生的缺陷进行修复，而又拒绝按监理人指示再进行修补；</w:t>
      </w:r>
    </w:p>
    <w:p>
      <w:pPr>
        <w:spacing w:line="400" w:lineRule="exact"/>
        <w:ind w:firstLine="718" w:firstLineChars="342"/>
        <w:rPr>
          <w:rFonts w:hint="eastAsia"/>
        </w:rPr>
      </w:pPr>
      <w:r>
        <w:rPr>
          <w:rFonts w:hint="eastAsia"/>
        </w:rPr>
        <w:t>（6）承包人无法继续履行或明确表示不履行或实质上已停止履行合同；</w:t>
      </w:r>
    </w:p>
    <w:p>
      <w:pPr>
        <w:spacing w:line="400" w:lineRule="exact"/>
        <w:ind w:firstLine="718" w:firstLineChars="342"/>
        <w:rPr>
          <w:rFonts w:hint="eastAsia"/>
        </w:rPr>
      </w:pPr>
      <w:r>
        <w:rPr>
          <w:rFonts w:hint="eastAsia"/>
        </w:rPr>
        <w:t>（7）承包人不按合同约定履行义务的其他情况。</w:t>
      </w:r>
    </w:p>
    <w:p>
      <w:pPr>
        <w:spacing w:line="400" w:lineRule="exact"/>
        <w:ind w:firstLine="420" w:firstLineChars="200"/>
        <w:rPr>
          <w:rFonts w:hint="eastAsia" w:ascii="黑体" w:eastAsia="黑体"/>
        </w:rPr>
      </w:pPr>
      <w:r>
        <w:rPr>
          <w:rFonts w:hint="eastAsia"/>
        </w:rPr>
        <w:t>22.1.2</w:t>
      </w:r>
      <w:r>
        <w:rPr>
          <w:rFonts w:hint="eastAsia" w:ascii="黑体" w:eastAsia="黑体"/>
        </w:rPr>
        <w:t xml:space="preserve"> 对承包人违约的处理</w:t>
      </w:r>
    </w:p>
    <w:p>
      <w:pPr>
        <w:spacing w:line="400" w:lineRule="exact"/>
        <w:ind w:firstLine="718" w:firstLineChars="342"/>
        <w:rPr>
          <w:rFonts w:hint="eastAsia"/>
        </w:rPr>
      </w:pPr>
      <w:r>
        <w:rPr>
          <w:rFonts w:hint="eastAsia"/>
        </w:rPr>
        <w:t>（1）承包人发生第22.1.1（6）目约定的违约情况时，发包人可通知承包人立即解除合同，并按有关法律处理。</w:t>
      </w:r>
    </w:p>
    <w:p>
      <w:pPr>
        <w:spacing w:line="400" w:lineRule="exact"/>
        <w:ind w:firstLine="718" w:firstLineChars="342"/>
        <w:rPr>
          <w:rFonts w:hint="eastAsia"/>
        </w:rPr>
      </w:pPr>
      <w:r>
        <w:rPr>
          <w:rFonts w:hint="eastAsia"/>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718" w:firstLineChars="342"/>
        <w:rPr>
          <w:rFonts w:hint="eastAsia"/>
        </w:rPr>
      </w:pPr>
      <w:r>
        <w:rPr>
          <w:rFonts w:hint="eastAsia"/>
        </w:rPr>
        <w:t>（3）经检查证明承包人已采取了有效措施纠正违约行为，具备复工条件的，可由监理人签发复工通知复工。</w:t>
      </w:r>
    </w:p>
    <w:p>
      <w:pPr>
        <w:spacing w:line="400" w:lineRule="exact"/>
        <w:ind w:firstLine="420" w:firstLineChars="200"/>
        <w:rPr>
          <w:rFonts w:hint="eastAsia" w:ascii="黑体" w:eastAsia="黑体"/>
        </w:rPr>
      </w:pPr>
      <w:r>
        <w:rPr>
          <w:rFonts w:hint="eastAsia"/>
        </w:rPr>
        <w:t>22.1.3</w:t>
      </w:r>
      <w:r>
        <w:rPr>
          <w:rFonts w:hint="eastAsia" w:ascii="黑体" w:eastAsia="黑体"/>
        </w:rPr>
        <w:t xml:space="preserve"> 承包人违约解除合同</w:t>
      </w:r>
    </w:p>
    <w:p>
      <w:pPr>
        <w:spacing w:line="400" w:lineRule="exact"/>
        <w:ind w:firstLine="420" w:firstLineChars="200"/>
        <w:rPr>
          <w:rFonts w:hint="eastAsia"/>
        </w:rPr>
      </w:pPr>
      <w:r>
        <w:rPr>
          <w:rFonts w:hint="eastAsia"/>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20" w:firstLineChars="200"/>
        <w:rPr>
          <w:rFonts w:hint="eastAsia" w:ascii="黑体" w:eastAsia="黑体"/>
        </w:rPr>
      </w:pPr>
      <w:r>
        <w:rPr>
          <w:rFonts w:hint="eastAsia"/>
        </w:rPr>
        <w:t>22.1.4</w:t>
      </w:r>
      <w:r>
        <w:rPr>
          <w:rFonts w:hint="eastAsia" w:ascii="黑体" w:eastAsia="黑体"/>
        </w:rPr>
        <w:t xml:space="preserve"> 合同解除后的估价、付款和结清</w:t>
      </w:r>
    </w:p>
    <w:p>
      <w:pPr>
        <w:spacing w:line="400" w:lineRule="exact"/>
        <w:ind w:firstLine="718" w:firstLineChars="342"/>
        <w:rPr>
          <w:rFonts w:hint="eastAsia"/>
        </w:rPr>
      </w:pPr>
      <w:r>
        <w:rPr>
          <w:rFonts w:hint="eastAsia"/>
        </w:rPr>
        <w:t xml:space="preserve">（1）合同解除后，监理人按第3.5款商定或确定承包人实际完成工作的价值，以及承包人已提供的材料、施工设备、工程设备和临时工程等的价值。 </w:t>
      </w:r>
    </w:p>
    <w:p>
      <w:pPr>
        <w:spacing w:line="400" w:lineRule="exact"/>
        <w:ind w:firstLine="718" w:firstLineChars="342"/>
        <w:rPr>
          <w:rFonts w:hint="eastAsia"/>
        </w:rPr>
      </w:pPr>
      <w:r>
        <w:rPr>
          <w:rFonts w:hint="eastAsia"/>
        </w:rPr>
        <w:t xml:space="preserve">（2）合同解除后，发包人应暂停对承包人的一切付款，查清各项付款和已扣款金额，包括承包人应支付的违约金。 </w:t>
      </w:r>
    </w:p>
    <w:p>
      <w:pPr>
        <w:spacing w:line="400" w:lineRule="exact"/>
        <w:ind w:firstLine="718" w:firstLineChars="342"/>
        <w:rPr>
          <w:rFonts w:hint="eastAsia"/>
        </w:rPr>
      </w:pPr>
      <w:r>
        <w:rPr>
          <w:rFonts w:hint="eastAsia"/>
        </w:rPr>
        <w:t>（3）合同解除后，发包人应按第23.4款的约定向承包人索赔由于解除合同给发包人造成的损失。</w:t>
      </w:r>
    </w:p>
    <w:p>
      <w:pPr>
        <w:spacing w:line="400" w:lineRule="exact"/>
        <w:ind w:firstLine="718" w:firstLineChars="342"/>
        <w:rPr>
          <w:rFonts w:hint="eastAsia"/>
        </w:rPr>
      </w:pPr>
      <w:r>
        <w:rPr>
          <w:rFonts w:hint="eastAsia"/>
        </w:rPr>
        <w:t>（4）合同双方确认上述往来款项后，出具最终结清付款证书，结清全部合同款项。</w:t>
      </w:r>
    </w:p>
    <w:p>
      <w:pPr>
        <w:spacing w:line="400" w:lineRule="exact"/>
        <w:ind w:firstLine="718" w:firstLineChars="342"/>
        <w:rPr>
          <w:rFonts w:hint="eastAsia"/>
        </w:rPr>
      </w:pPr>
      <w:r>
        <w:rPr>
          <w:rFonts w:hint="eastAsia"/>
        </w:rPr>
        <w:t>（5）发包人和承包人未能就解除合同后的结清达成一致而形成争议的，按第24条的约定办理。</w:t>
      </w:r>
    </w:p>
    <w:p>
      <w:pPr>
        <w:spacing w:line="400" w:lineRule="exact"/>
        <w:ind w:firstLine="420" w:firstLineChars="200"/>
        <w:rPr>
          <w:rFonts w:hint="eastAsia" w:ascii="黑体" w:eastAsia="黑体"/>
        </w:rPr>
      </w:pPr>
      <w:r>
        <w:rPr>
          <w:rFonts w:hint="eastAsia"/>
        </w:rPr>
        <w:t>22.1.5</w:t>
      </w:r>
      <w:r>
        <w:rPr>
          <w:rFonts w:hint="eastAsia" w:ascii="黑体" w:eastAsia="黑体"/>
        </w:rPr>
        <w:t xml:space="preserve"> 协议利益的转让</w:t>
      </w:r>
    </w:p>
    <w:p>
      <w:pPr>
        <w:spacing w:line="400" w:lineRule="exact"/>
        <w:ind w:firstLine="420" w:firstLineChars="200"/>
        <w:rPr>
          <w:rFonts w:hint="eastAsia"/>
        </w:rPr>
      </w:pPr>
      <w:r>
        <w:rPr>
          <w:rFonts w:hint="eastAsia"/>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20" w:firstLineChars="200"/>
        <w:rPr>
          <w:rFonts w:hint="eastAsia" w:ascii="黑体" w:eastAsia="黑体"/>
        </w:rPr>
      </w:pPr>
      <w:r>
        <w:rPr>
          <w:rFonts w:hint="eastAsia"/>
        </w:rPr>
        <w:t>22.1.6</w:t>
      </w:r>
      <w:r>
        <w:rPr>
          <w:rFonts w:hint="eastAsia" w:ascii="黑体" w:eastAsia="黑体"/>
        </w:rPr>
        <w:t xml:space="preserve"> 紧急情况下无能力或不愿进行抢救</w:t>
      </w:r>
    </w:p>
    <w:p>
      <w:pPr>
        <w:spacing w:line="400" w:lineRule="exact"/>
        <w:ind w:firstLine="420" w:firstLineChars="200"/>
        <w:rPr>
          <w:rFonts w:hint="eastAsia"/>
        </w:rPr>
      </w:pPr>
      <w:r>
        <w:rPr>
          <w:rFonts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0"/>
        <w:rPr>
          <w:rFonts w:hint="eastAsia"/>
        </w:rPr>
      </w:pPr>
      <w:r>
        <w:rPr>
          <w:rFonts w:hint="eastAsia"/>
        </w:rPr>
        <w:t>22.2 发包人违约</w:t>
      </w:r>
    </w:p>
    <w:p>
      <w:pPr>
        <w:spacing w:line="400" w:lineRule="exact"/>
        <w:ind w:firstLine="420" w:firstLineChars="200"/>
        <w:rPr>
          <w:rFonts w:hint="eastAsia" w:ascii="黑体" w:eastAsia="黑体"/>
        </w:rPr>
      </w:pPr>
      <w:r>
        <w:rPr>
          <w:rFonts w:hint="eastAsia"/>
        </w:rPr>
        <w:t xml:space="preserve">22.2.1 </w:t>
      </w:r>
      <w:r>
        <w:rPr>
          <w:rFonts w:hint="eastAsia" w:ascii="黑体" w:eastAsia="黑体"/>
        </w:rPr>
        <w:t>发包人违约的情形</w:t>
      </w:r>
    </w:p>
    <w:p>
      <w:pPr>
        <w:spacing w:line="400" w:lineRule="exact"/>
        <w:ind w:firstLine="420" w:firstLineChars="200"/>
        <w:rPr>
          <w:rFonts w:hint="eastAsia"/>
        </w:rPr>
      </w:pPr>
      <w:r>
        <w:rPr>
          <w:rFonts w:hint="eastAsia"/>
        </w:rPr>
        <w:t>在履行合同过程中发生的下列情形，属发包人违约：</w:t>
      </w:r>
    </w:p>
    <w:p>
      <w:pPr>
        <w:spacing w:line="400" w:lineRule="exact"/>
        <w:ind w:firstLine="718" w:firstLineChars="342"/>
        <w:rPr>
          <w:rFonts w:hint="eastAsia"/>
        </w:rPr>
      </w:pPr>
      <w:r>
        <w:rPr>
          <w:rFonts w:hint="eastAsia"/>
        </w:rPr>
        <w:t>（1）发包人未能按合同约定支付预付款或合同价款，或拖延、拒绝批准付款申请和支付凭证，导致付款延误的；</w:t>
      </w:r>
    </w:p>
    <w:p>
      <w:pPr>
        <w:spacing w:line="400" w:lineRule="exact"/>
        <w:ind w:firstLine="718" w:firstLineChars="342"/>
        <w:rPr>
          <w:rFonts w:hint="eastAsia"/>
        </w:rPr>
      </w:pPr>
      <w:r>
        <w:rPr>
          <w:rFonts w:hint="eastAsia"/>
        </w:rPr>
        <w:t>（2）发包人原因造成停工的；</w:t>
      </w:r>
    </w:p>
    <w:p>
      <w:pPr>
        <w:spacing w:line="400" w:lineRule="exact"/>
        <w:ind w:firstLine="718" w:firstLineChars="342"/>
        <w:rPr>
          <w:rFonts w:hint="eastAsia"/>
        </w:rPr>
      </w:pPr>
      <w:r>
        <w:rPr>
          <w:rFonts w:hint="eastAsia"/>
        </w:rPr>
        <w:t>（3）监理人无正当理由没有在约定期限内发出复工指示，导致承包人无法复工的；</w:t>
      </w:r>
    </w:p>
    <w:p>
      <w:pPr>
        <w:spacing w:line="400" w:lineRule="exact"/>
        <w:ind w:firstLine="718" w:firstLineChars="342"/>
        <w:rPr>
          <w:rFonts w:hint="eastAsia"/>
        </w:rPr>
      </w:pPr>
      <w:r>
        <w:rPr>
          <w:rFonts w:hint="eastAsia"/>
        </w:rPr>
        <w:t>（4）发包人无法继续履行或明确表示不履行或实质上已停止履行合同的；</w:t>
      </w:r>
    </w:p>
    <w:p>
      <w:pPr>
        <w:spacing w:line="400" w:lineRule="exact"/>
        <w:ind w:firstLine="718" w:firstLineChars="342"/>
        <w:rPr>
          <w:rFonts w:hint="eastAsia"/>
        </w:rPr>
      </w:pPr>
      <w:r>
        <w:rPr>
          <w:rFonts w:hint="eastAsia"/>
        </w:rPr>
        <w:t>（5）发包人不履行合同约定其他义务的。</w:t>
      </w:r>
    </w:p>
    <w:p>
      <w:pPr>
        <w:spacing w:line="400" w:lineRule="exact"/>
        <w:ind w:firstLine="420" w:firstLineChars="200"/>
        <w:rPr>
          <w:rFonts w:hint="eastAsia"/>
        </w:rPr>
      </w:pPr>
      <w:r>
        <w:rPr>
          <w:rFonts w:hint="eastAsia"/>
        </w:rPr>
        <w:t>22.2.2</w:t>
      </w:r>
      <w:r>
        <w:rPr>
          <w:rFonts w:hint="eastAsia" w:ascii="黑体" w:eastAsia="黑体"/>
        </w:rPr>
        <w:t xml:space="preserve"> 承包人有权暂停施工</w:t>
      </w:r>
    </w:p>
    <w:p>
      <w:pPr>
        <w:spacing w:line="400" w:lineRule="exact"/>
        <w:ind w:firstLine="420" w:firstLineChars="200"/>
        <w:rPr>
          <w:rFonts w:hint="eastAsia"/>
        </w:rPr>
      </w:pPr>
      <w:r>
        <w:rPr>
          <w:rFonts w:hint="eastAsia"/>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20" w:firstLineChars="200"/>
        <w:rPr>
          <w:rFonts w:hint="eastAsia"/>
        </w:rPr>
      </w:pPr>
      <w:r>
        <w:rPr>
          <w:rFonts w:hint="eastAsia"/>
        </w:rPr>
        <w:t>22.2.3</w:t>
      </w:r>
      <w:r>
        <w:rPr>
          <w:rFonts w:hint="eastAsia" w:ascii="黑体" w:eastAsia="黑体"/>
        </w:rPr>
        <w:t xml:space="preserve"> 发包人违约解除合同</w:t>
      </w:r>
      <w:r>
        <w:rPr>
          <w:rFonts w:hint="eastAsia"/>
        </w:rPr>
        <w:t xml:space="preserve"> </w:t>
      </w:r>
    </w:p>
    <w:p>
      <w:pPr>
        <w:spacing w:line="400" w:lineRule="exact"/>
        <w:ind w:firstLine="718" w:firstLineChars="342"/>
        <w:rPr>
          <w:rFonts w:hint="eastAsia"/>
        </w:rPr>
      </w:pPr>
      <w:r>
        <w:rPr>
          <w:rFonts w:hint="eastAsia"/>
        </w:rPr>
        <w:t xml:space="preserve">（1）发生第22.2.1（4）目的违约情况时，承包人可书面通知发包人解除合同。   </w:t>
      </w:r>
    </w:p>
    <w:p>
      <w:pPr>
        <w:spacing w:line="400" w:lineRule="exact"/>
        <w:ind w:firstLine="718" w:firstLineChars="342"/>
        <w:rPr>
          <w:rFonts w:hint="eastAsia"/>
        </w:rPr>
      </w:pPr>
      <w:r>
        <w:rPr>
          <w:rFonts w:hint="eastAsia"/>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20" w:firstLineChars="200"/>
        <w:rPr>
          <w:rFonts w:hint="eastAsia" w:ascii="黑体" w:eastAsia="黑体"/>
        </w:rPr>
      </w:pPr>
      <w:r>
        <w:rPr>
          <w:rFonts w:hint="eastAsia"/>
        </w:rPr>
        <w:t>22.2.4</w:t>
      </w:r>
      <w:r>
        <w:rPr>
          <w:rFonts w:hint="eastAsia" w:ascii="黑体" w:eastAsia="黑体"/>
        </w:rPr>
        <w:t xml:space="preserve"> 解除合同后的付款</w:t>
      </w:r>
    </w:p>
    <w:p>
      <w:pPr>
        <w:spacing w:line="400" w:lineRule="exact"/>
        <w:ind w:firstLine="420" w:firstLineChars="200"/>
        <w:rPr>
          <w:rFonts w:hint="eastAsia"/>
        </w:rPr>
      </w:pPr>
      <w:r>
        <w:rPr>
          <w:rFonts w:hint="eastAsia"/>
        </w:rPr>
        <w:t>因发包人违约解除合同的，发包人应在解除合同后28天内向承包人支付下列金额，承包人应在此期限内及时向发包人提交要求支付下列金额的有关资料和凭证：</w:t>
      </w:r>
    </w:p>
    <w:p>
      <w:pPr>
        <w:spacing w:line="400" w:lineRule="exact"/>
        <w:ind w:firstLine="718" w:firstLineChars="342"/>
        <w:rPr>
          <w:rFonts w:hint="eastAsia"/>
        </w:rPr>
      </w:pPr>
      <w:r>
        <w:rPr>
          <w:rFonts w:hint="eastAsia"/>
        </w:rPr>
        <w:t>（1）合同解除日以前所完成工作的价款；</w:t>
      </w:r>
    </w:p>
    <w:p>
      <w:pPr>
        <w:spacing w:line="400" w:lineRule="exact"/>
        <w:ind w:firstLine="718" w:firstLineChars="342"/>
        <w:rPr>
          <w:rFonts w:hint="eastAsia"/>
        </w:rPr>
      </w:pPr>
      <w:r>
        <w:rPr>
          <w:rFonts w:hint="eastAsia"/>
        </w:rPr>
        <w:t>（2）承包人为该工程施工订购并已付款的材料、工程设备和其他物品的金额。发包人付还后，该材料、工程设备和其他物品归发包人所有；</w:t>
      </w:r>
    </w:p>
    <w:p>
      <w:pPr>
        <w:spacing w:line="400" w:lineRule="exact"/>
        <w:ind w:firstLine="718" w:firstLineChars="342"/>
        <w:rPr>
          <w:rFonts w:hint="eastAsia"/>
        </w:rPr>
      </w:pPr>
      <w:r>
        <w:rPr>
          <w:rFonts w:hint="eastAsia"/>
        </w:rPr>
        <w:t>（3）承包人为完成工程所发生的，而发包人未支付的金额；</w:t>
      </w:r>
    </w:p>
    <w:p>
      <w:pPr>
        <w:spacing w:line="400" w:lineRule="exact"/>
        <w:ind w:firstLine="718" w:firstLineChars="342"/>
        <w:rPr>
          <w:rFonts w:hint="eastAsia"/>
        </w:rPr>
      </w:pPr>
      <w:r>
        <w:rPr>
          <w:rFonts w:hint="eastAsia"/>
        </w:rPr>
        <w:t>（4）承包人撤离施工场地以及遣散承包人人员的金额；</w:t>
      </w:r>
    </w:p>
    <w:p>
      <w:pPr>
        <w:spacing w:line="400" w:lineRule="exact"/>
        <w:ind w:firstLine="718" w:firstLineChars="342"/>
        <w:rPr>
          <w:rFonts w:hint="eastAsia"/>
        </w:rPr>
      </w:pPr>
      <w:r>
        <w:rPr>
          <w:rFonts w:hint="eastAsia"/>
        </w:rPr>
        <w:t>（5）由于解除合同应赔偿的承包人损失；</w:t>
      </w:r>
    </w:p>
    <w:p>
      <w:pPr>
        <w:spacing w:line="400" w:lineRule="exact"/>
        <w:ind w:firstLine="718" w:firstLineChars="342"/>
        <w:rPr>
          <w:rFonts w:hint="eastAsia"/>
        </w:rPr>
      </w:pPr>
      <w:r>
        <w:rPr>
          <w:rFonts w:hint="eastAsia"/>
        </w:rPr>
        <w:t>（6）按合同约定在合同解除日前应支付给承包人的其他金额。</w:t>
      </w:r>
    </w:p>
    <w:p>
      <w:pPr>
        <w:spacing w:line="400" w:lineRule="exact"/>
        <w:ind w:firstLine="420" w:firstLineChars="200"/>
        <w:rPr>
          <w:rFonts w:hint="eastAsia"/>
        </w:rPr>
      </w:pPr>
      <w:r>
        <w:rPr>
          <w:rFonts w:hint="eastAsia"/>
        </w:rPr>
        <w:t>发包人应按本项约定支付上述金额并退还质量保证金和履约担保，但有权要求承包人支付应偿还给发包人的各项金额。</w:t>
      </w:r>
    </w:p>
    <w:p>
      <w:pPr>
        <w:spacing w:line="400" w:lineRule="exact"/>
        <w:ind w:firstLine="420" w:firstLineChars="200"/>
        <w:rPr>
          <w:rFonts w:hint="eastAsia" w:ascii="黑体" w:eastAsia="黑体"/>
        </w:rPr>
      </w:pPr>
      <w:r>
        <w:rPr>
          <w:rFonts w:hint="eastAsia"/>
        </w:rPr>
        <w:t>22.2.5</w:t>
      </w:r>
      <w:r>
        <w:rPr>
          <w:rFonts w:hint="eastAsia" w:ascii="黑体" w:eastAsia="黑体"/>
        </w:rPr>
        <w:t xml:space="preserve"> 解除合同后的承包人撤离</w:t>
      </w:r>
    </w:p>
    <w:p>
      <w:pPr>
        <w:spacing w:line="400" w:lineRule="exact"/>
        <w:ind w:firstLine="420" w:firstLineChars="200"/>
        <w:rPr>
          <w:rFonts w:hint="eastAsia"/>
        </w:rPr>
      </w:pPr>
      <w:r>
        <w:rPr>
          <w:rFonts w:hint="eastAsia"/>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50"/>
        <w:rPr>
          <w:rFonts w:hint="eastAsia"/>
        </w:rPr>
      </w:pPr>
      <w:bookmarkStart w:id="525" w:name="_Toc179632774"/>
      <w:bookmarkStart w:id="526" w:name="_Toc152045756"/>
      <w:bookmarkStart w:id="527" w:name="_Toc152042535"/>
      <w:r>
        <w:rPr>
          <w:rFonts w:hint="eastAsia"/>
        </w:rPr>
        <w:t>22.3 第三人造成的违约</w:t>
      </w:r>
      <w:bookmarkEnd w:id="525"/>
      <w:bookmarkEnd w:id="526"/>
      <w:bookmarkEnd w:id="527"/>
    </w:p>
    <w:p>
      <w:pPr>
        <w:spacing w:line="400" w:lineRule="exact"/>
        <w:ind w:firstLine="420" w:firstLineChars="200"/>
        <w:rPr>
          <w:rFonts w:hint="eastAsia"/>
        </w:rPr>
      </w:pPr>
      <w:r>
        <w:rPr>
          <w:rFonts w:hint="eastAsia"/>
        </w:rPr>
        <w:t>在履行合同过程中，一方当事人因第三人的原因造成违约的，应当向对方当事人承担违约责任。一方当事人和第三人之间的纠纷，依照法律规定或者按照约定解决。</w:t>
      </w:r>
    </w:p>
    <w:p>
      <w:pPr>
        <w:pStyle w:val="49"/>
        <w:rPr>
          <w:rFonts w:hint="eastAsia"/>
        </w:rPr>
      </w:pPr>
      <w:r>
        <w:rPr>
          <w:rFonts w:hint="eastAsia"/>
        </w:rPr>
        <w:t>23. 索赔</w:t>
      </w:r>
    </w:p>
    <w:p>
      <w:pPr>
        <w:pStyle w:val="50"/>
        <w:rPr>
          <w:rFonts w:hint="eastAsia"/>
        </w:rPr>
      </w:pPr>
      <w:r>
        <w:rPr>
          <w:rFonts w:hint="eastAsia"/>
        </w:rPr>
        <w:t>23.1 承包人索赔的提出</w:t>
      </w:r>
    </w:p>
    <w:p>
      <w:pPr>
        <w:spacing w:line="400" w:lineRule="exact"/>
        <w:ind w:firstLine="420" w:firstLineChars="200"/>
        <w:rPr>
          <w:rFonts w:hint="eastAsia"/>
        </w:rPr>
      </w:pPr>
      <w:r>
        <w:rPr>
          <w:rFonts w:hint="eastAsia"/>
        </w:rPr>
        <w:t>根据合同约定，承包人认为有权得到追加付款和（或）延长工期的，应按以下程序向发包人提出索赔：</w:t>
      </w:r>
    </w:p>
    <w:p>
      <w:pPr>
        <w:spacing w:line="400" w:lineRule="exact"/>
        <w:ind w:firstLine="359" w:firstLineChars="171"/>
        <w:rPr>
          <w:rFonts w:hint="eastAsia"/>
        </w:rPr>
      </w:pPr>
      <w:r>
        <w:rPr>
          <w:rFonts w:hint="eastAsia"/>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359" w:firstLineChars="171"/>
        <w:rPr>
          <w:rFonts w:hint="eastAsia"/>
        </w:rPr>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359" w:firstLineChars="171"/>
        <w:rPr>
          <w:rFonts w:hint="eastAsia"/>
        </w:rPr>
      </w:pPr>
      <w:r>
        <w:rPr>
          <w:rFonts w:hint="eastAsia"/>
        </w:rPr>
        <w:t>（3）索赔事件具有连续影响的，承包人应按合理时间间隔继续递交延续索赔通知，说明连续影响的实际情况和记录，列出累计的追加付款金额和（或）工期延长天数；</w:t>
      </w:r>
    </w:p>
    <w:p>
      <w:pPr>
        <w:spacing w:line="400" w:lineRule="exact"/>
        <w:ind w:firstLine="359" w:firstLineChars="171"/>
        <w:rPr>
          <w:rFonts w:hint="eastAsia"/>
        </w:rPr>
      </w:pPr>
      <w:r>
        <w:rPr>
          <w:rFonts w:hint="eastAsia"/>
        </w:rPr>
        <w:t>（4）在索赔事件影响结束后的28天内，承包人应向监理人递交最终索赔通知书，说明最终要求索赔的追加付款金额和延长的工期，并附必要的记录和证明材料。</w:t>
      </w:r>
    </w:p>
    <w:p>
      <w:pPr>
        <w:pStyle w:val="50"/>
        <w:rPr>
          <w:rFonts w:hint="eastAsia"/>
        </w:rPr>
      </w:pPr>
      <w:r>
        <w:rPr>
          <w:rFonts w:hint="eastAsia"/>
        </w:rPr>
        <w:t>23.2 承包人索赔处理程序</w:t>
      </w:r>
    </w:p>
    <w:p>
      <w:pPr>
        <w:spacing w:line="400" w:lineRule="exact"/>
        <w:ind w:firstLine="359" w:firstLineChars="171"/>
        <w:rPr>
          <w:rFonts w:hint="eastAsia"/>
        </w:rPr>
      </w:pPr>
      <w:r>
        <w:rPr>
          <w:rFonts w:hint="eastAsia"/>
        </w:rPr>
        <w:t>（1）监理人收到承包人提交的索赔通知书后，应及时审查索赔通知书的内容、查验承包人的记录和证明材料，必要时监理人可要求承包人提交全部原始记录副本。</w:t>
      </w:r>
    </w:p>
    <w:p>
      <w:pPr>
        <w:spacing w:line="400" w:lineRule="exact"/>
        <w:ind w:firstLine="359" w:firstLineChars="171"/>
        <w:rPr>
          <w:rFonts w:hint="eastAsia"/>
        </w:rPr>
      </w:pPr>
      <w:r>
        <w:rPr>
          <w:rFonts w:hint="eastAsia"/>
        </w:rPr>
        <w:t>（2）监理人应按第3.5款商定或确定追加的付款和（或）延长的工期，并在收到上述索赔通知书或有关索赔的进一步证明材料后的42天内，将索赔处理结果答复承包人。</w:t>
      </w:r>
    </w:p>
    <w:p>
      <w:pPr>
        <w:spacing w:line="400" w:lineRule="exact"/>
        <w:ind w:firstLine="359" w:firstLineChars="171"/>
        <w:rPr>
          <w:rFonts w:hint="eastAsia"/>
        </w:rPr>
      </w:pPr>
      <w:r>
        <w:rPr>
          <w:rFonts w:hint="eastAsia"/>
        </w:rPr>
        <w:t>（3）承包人接受索赔处理结果的，发包人应在作出索赔处理结果答复后28天内完成赔付。承包人不接受索赔处理结果的，按第24条的约定办理。</w:t>
      </w:r>
    </w:p>
    <w:p>
      <w:pPr>
        <w:pStyle w:val="50"/>
        <w:rPr>
          <w:rFonts w:hint="eastAsia"/>
        </w:rPr>
      </w:pPr>
      <w:bookmarkStart w:id="528" w:name="_Toc152042539"/>
      <w:bookmarkStart w:id="529" w:name="_Toc144974730"/>
      <w:bookmarkStart w:id="530" w:name="_Toc179632778"/>
      <w:bookmarkStart w:id="531" w:name="_Toc152045760"/>
      <w:r>
        <w:rPr>
          <w:rFonts w:hint="eastAsia"/>
        </w:rPr>
        <w:t>23.3 承包人提出索赔的期限</w:t>
      </w:r>
      <w:bookmarkEnd w:id="528"/>
      <w:bookmarkEnd w:id="529"/>
      <w:bookmarkEnd w:id="530"/>
      <w:bookmarkEnd w:id="531"/>
    </w:p>
    <w:p>
      <w:pPr>
        <w:spacing w:line="400" w:lineRule="exact"/>
        <w:ind w:firstLine="420" w:firstLineChars="200"/>
        <w:rPr>
          <w:rFonts w:hint="eastAsia"/>
        </w:rPr>
      </w:pPr>
      <w:r>
        <w:rPr>
          <w:rFonts w:hint="eastAsia"/>
        </w:rPr>
        <w:t>23.3.1 承包人按第17.5款的约定接受了竣工付款证书后，应被认为已无权再提出在合同工程接收证书颁发前所发生的任何索赔。</w:t>
      </w:r>
    </w:p>
    <w:p>
      <w:pPr>
        <w:spacing w:line="400" w:lineRule="exact"/>
        <w:ind w:firstLine="420" w:firstLineChars="200"/>
        <w:rPr>
          <w:rFonts w:hint="eastAsia"/>
          <w:shd w:val="pct10" w:color="auto" w:fill="FFFFFF"/>
        </w:rPr>
      </w:pPr>
      <w:r>
        <w:rPr>
          <w:rFonts w:hint="eastAsia"/>
        </w:rPr>
        <w:t xml:space="preserve">23.3.2 承包人按第17.6款的约定提交的最终结清申请单中，只限于提出工程接收证书颁发后发生的索赔。提出索赔的期限自接受最终结清证书时终止。 </w:t>
      </w:r>
    </w:p>
    <w:p>
      <w:pPr>
        <w:pStyle w:val="50"/>
        <w:rPr>
          <w:rFonts w:hint="eastAsia"/>
        </w:rPr>
      </w:pPr>
      <w:bookmarkStart w:id="532" w:name="_Toc144974731"/>
      <w:bookmarkStart w:id="533" w:name="_Toc152045761"/>
      <w:bookmarkStart w:id="534" w:name="_Toc152042540"/>
      <w:bookmarkStart w:id="535" w:name="_Toc179632779"/>
      <w:r>
        <w:rPr>
          <w:rFonts w:hint="eastAsia"/>
        </w:rPr>
        <w:t>23.4 发包人的索赔</w:t>
      </w:r>
      <w:bookmarkEnd w:id="532"/>
      <w:bookmarkEnd w:id="533"/>
      <w:bookmarkEnd w:id="534"/>
      <w:bookmarkEnd w:id="535"/>
    </w:p>
    <w:p>
      <w:pPr>
        <w:spacing w:line="400" w:lineRule="exact"/>
        <w:ind w:firstLine="420" w:firstLineChars="200"/>
        <w:rPr>
          <w:rFonts w:hint="eastAsia"/>
        </w:rPr>
      </w:pPr>
      <w:r>
        <w:rPr>
          <w:rFonts w:hint="eastAsia"/>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20" w:firstLineChars="200"/>
        <w:rPr>
          <w:rFonts w:hint="eastAsia"/>
        </w:rPr>
      </w:pPr>
      <w:r>
        <w:rPr>
          <w:rFonts w:hint="eastAsia"/>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49"/>
        <w:rPr>
          <w:rFonts w:hint="eastAsia"/>
        </w:rPr>
      </w:pPr>
      <w:r>
        <w:rPr>
          <w:rFonts w:hint="eastAsia"/>
        </w:rPr>
        <w:t>24. 争议的解决</w:t>
      </w:r>
    </w:p>
    <w:p>
      <w:pPr>
        <w:pStyle w:val="50"/>
        <w:rPr>
          <w:rFonts w:hint="eastAsia"/>
        </w:rPr>
      </w:pPr>
      <w:bookmarkStart w:id="536" w:name="_Toc152042542"/>
      <w:bookmarkStart w:id="537" w:name="_Toc152045763"/>
      <w:bookmarkStart w:id="538" w:name="_Toc144974733"/>
      <w:bookmarkStart w:id="539" w:name="_Toc179632781"/>
      <w:r>
        <w:rPr>
          <w:rFonts w:hint="eastAsia"/>
        </w:rPr>
        <w:t>24.1 争议的解决方式</w:t>
      </w:r>
      <w:bookmarkEnd w:id="536"/>
      <w:bookmarkEnd w:id="537"/>
      <w:bookmarkEnd w:id="538"/>
      <w:bookmarkEnd w:id="539"/>
    </w:p>
    <w:p>
      <w:pPr>
        <w:spacing w:line="400" w:lineRule="exact"/>
        <w:ind w:firstLine="420" w:firstLineChars="200"/>
        <w:rPr>
          <w:rFonts w:hint="eastAsia"/>
        </w:rPr>
      </w:pPr>
      <w:r>
        <w:rPr>
          <w:rFonts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20" w:firstLineChars="200"/>
        <w:rPr>
          <w:rFonts w:hint="eastAsia"/>
        </w:rPr>
      </w:pPr>
      <w:r>
        <w:rPr>
          <w:rFonts w:hint="eastAsia"/>
        </w:rPr>
        <w:t>（1）向约定的仲裁委员会申请仲裁；</w:t>
      </w:r>
    </w:p>
    <w:p>
      <w:pPr>
        <w:spacing w:line="400" w:lineRule="exact"/>
        <w:ind w:firstLine="420" w:firstLineChars="200"/>
        <w:rPr>
          <w:rFonts w:hint="eastAsia"/>
        </w:rPr>
      </w:pPr>
      <w:r>
        <w:rPr>
          <w:rFonts w:hint="eastAsia"/>
        </w:rPr>
        <w:t>（2）向有管辖权的人民法院提起诉讼。</w:t>
      </w:r>
    </w:p>
    <w:p>
      <w:pPr>
        <w:pStyle w:val="50"/>
        <w:rPr>
          <w:rFonts w:hint="eastAsia"/>
        </w:rPr>
      </w:pPr>
      <w:bookmarkStart w:id="540" w:name="_Toc144974734"/>
      <w:bookmarkStart w:id="541" w:name="_Toc152042543"/>
      <w:bookmarkStart w:id="542" w:name="_Toc152045764"/>
      <w:bookmarkStart w:id="543" w:name="_Toc179632782"/>
      <w:r>
        <w:rPr>
          <w:rFonts w:hint="eastAsia"/>
        </w:rPr>
        <w:t>24.2 友好解决</w:t>
      </w:r>
      <w:bookmarkEnd w:id="540"/>
      <w:bookmarkEnd w:id="541"/>
      <w:bookmarkEnd w:id="542"/>
      <w:bookmarkEnd w:id="543"/>
    </w:p>
    <w:p>
      <w:pPr>
        <w:spacing w:line="400" w:lineRule="exact"/>
        <w:ind w:firstLine="420" w:firstLineChars="200"/>
        <w:rPr>
          <w:rFonts w:hint="eastAsia"/>
        </w:rPr>
      </w:pPr>
      <w:r>
        <w:rPr>
          <w:rFonts w:hint="eastAsia"/>
        </w:rPr>
        <w:t>在提请争议评审、仲裁或者诉讼前，以及在争议评审、仲裁或诉讼过程中，发包人和承包人均可共同努力友好协商解决争议。</w:t>
      </w:r>
    </w:p>
    <w:p>
      <w:pPr>
        <w:pStyle w:val="50"/>
        <w:rPr>
          <w:rFonts w:hint="eastAsia"/>
        </w:rPr>
      </w:pPr>
      <w:r>
        <w:rPr>
          <w:rFonts w:hint="eastAsia"/>
        </w:rPr>
        <w:t>24.3 争议评审</w:t>
      </w:r>
    </w:p>
    <w:p>
      <w:pPr>
        <w:spacing w:line="400" w:lineRule="exact"/>
        <w:ind w:firstLine="420" w:firstLineChars="200"/>
        <w:rPr>
          <w:rFonts w:hint="eastAsia"/>
        </w:rPr>
      </w:pPr>
      <w:r>
        <w:rPr>
          <w:rFonts w:hint="eastAsia"/>
        </w:rPr>
        <w:t>24.3.1 采用争议评审的，发包人和承包人应在开工日后的28天内或在争议发生后，协商成立争议评审组。争议评审组由有合同管理和工程实践经验的专家组成。</w:t>
      </w:r>
    </w:p>
    <w:p>
      <w:pPr>
        <w:spacing w:line="400" w:lineRule="exact"/>
        <w:ind w:firstLine="420" w:firstLineChars="200"/>
        <w:rPr>
          <w:rFonts w:hint="eastAsia"/>
        </w:rPr>
      </w:pPr>
      <w:r>
        <w:rPr>
          <w:rFonts w:hint="eastAsia"/>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20" w:firstLineChars="200"/>
        <w:rPr>
          <w:rFonts w:hint="eastAsia"/>
        </w:rPr>
      </w:pPr>
      <w:r>
        <w:rPr>
          <w:rFonts w:hint="eastAsia"/>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20" w:firstLineChars="200"/>
        <w:rPr>
          <w:rFonts w:hint="eastAsia"/>
        </w:rPr>
      </w:pPr>
      <w:r>
        <w:rPr>
          <w:rFonts w:hint="eastAsia"/>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20" w:firstLineChars="200"/>
        <w:rPr>
          <w:rFonts w:hint="eastAsia"/>
        </w:rPr>
      </w:pPr>
      <w:r>
        <w:rPr>
          <w:rFonts w:hint="eastAsia"/>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20" w:firstLineChars="200"/>
        <w:rPr>
          <w:rFonts w:hint="eastAsia"/>
        </w:rPr>
      </w:pPr>
      <w:r>
        <w:rPr>
          <w:rFonts w:hint="eastAsia"/>
        </w:rPr>
        <w:t>24.3.6 发包人和承包人接受评审意见的，由监理人根据评审意见拟定执行协议，经争议双方签字后作为合同的补充文件，并遵照执行。</w:t>
      </w:r>
    </w:p>
    <w:p>
      <w:pPr>
        <w:spacing w:line="400" w:lineRule="exact"/>
        <w:ind w:firstLine="420" w:firstLineChars="200"/>
        <w:rPr>
          <w:rFonts w:hint="eastAsia"/>
        </w:rPr>
      </w:pPr>
      <w:r>
        <w:rPr>
          <w:rFonts w:hint="eastAsia"/>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jc w:val="center"/>
        <w:rPr>
          <w:rFonts w:hint="eastAsia" w:ascii="宋体" w:hAnsi="宋体" w:cs="宋体"/>
          <w:color w:val="auto"/>
          <w:highlight w:val="none"/>
        </w:rPr>
      </w:pPr>
      <w:r>
        <w:rPr>
          <w:rFonts w:hint="eastAsia" w:ascii="宋体" w:hAnsi="宋体" w:cs="宋体"/>
          <w:color w:val="auto"/>
          <w:highlight w:val="none"/>
        </w:rPr>
        <w:br w:type="page"/>
      </w:r>
      <w:bookmarkStart w:id="544" w:name="_Toc234346088"/>
      <w:bookmarkStart w:id="545" w:name="_Toc234345873"/>
      <w:bookmarkStart w:id="546" w:name="_Toc234348954"/>
      <w:bookmarkStart w:id="547" w:name="_Toc234349528"/>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第二节  专用合同条款</w:t>
      </w:r>
    </w:p>
    <w:p>
      <w:pPr>
        <w:jc w:val="center"/>
        <w:rPr>
          <w:rFonts w:hint="eastAsia" w:ascii="宋体" w:hAnsi="宋体" w:cs="宋体"/>
          <w:color w:val="auto"/>
          <w:highlight w:val="none"/>
        </w:rPr>
      </w:pPr>
    </w:p>
    <w:p>
      <w:pPr>
        <w:spacing w:line="360" w:lineRule="auto"/>
        <w:jc w:val="center"/>
        <w:rPr>
          <w:rFonts w:ascii="宋体" w:hAnsi="宋体"/>
        </w:rPr>
      </w:pPr>
      <w:bookmarkStart w:id="548" w:name="_Toc184635098"/>
      <w:r>
        <w:rPr>
          <w:rFonts w:hint="eastAsia" w:ascii="宋体" w:hAnsi="宋体"/>
          <w:b/>
          <w:bCs/>
          <w:sz w:val="28"/>
          <w:szCs w:val="28"/>
        </w:rPr>
        <w:t>A</w:t>
      </w:r>
      <w:r>
        <w:rPr>
          <w:rFonts w:ascii="宋体" w:hAnsi="宋体"/>
          <w:b/>
          <w:bCs/>
          <w:sz w:val="28"/>
          <w:szCs w:val="28"/>
        </w:rPr>
        <w:t>.</w:t>
      </w:r>
      <w:r>
        <w:rPr>
          <w:rFonts w:hint="eastAsia" w:ascii="宋体" w:hAnsi="宋体"/>
          <w:b/>
          <w:bCs/>
          <w:sz w:val="28"/>
          <w:szCs w:val="28"/>
        </w:rPr>
        <w:t>公路工程专用合同条款</w:t>
      </w:r>
    </w:p>
    <w:p>
      <w:pPr>
        <w:spacing w:line="360" w:lineRule="auto"/>
        <w:rPr>
          <w:rFonts w:ascii="宋体" w:hAnsi="宋体"/>
          <w:b/>
          <w:sz w:val="28"/>
          <w:szCs w:val="28"/>
        </w:rPr>
      </w:pPr>
      <w:r>
        <w:rPr>
          <w:rFonts w:hint="eastAsia" w:ascii="宋体" w:hAnsi="宋体"/>
          <w:b/>
          <w:sz w:val="28"/>
          <w:szCs w:val="28"/>
        </w:rPr>
        <w:t>1、一般约定</w:t>
      </w:r>
      <w:bookmarkEnd w:id="548"/>
    </w:p>
    <w:p>
      <w:pPr>
        <w:spacing w:line="360" w:lineRule="auto"/>
        <w:rPr>
          <w:rFonts w:ascii="宋体" w:hAnsi="宋体"/>
          <w:b/>
          <w:sz w:val="22"/>
        </w:rPr>
      </w:pPr>
      <w:r>
        <w:rPr>
          <w:rFonts w:hint="eastAsia" w:ascii="宋体" w:hAnsi="宋体"/>
          <w:b/>
          <w:sz w:val="22"/>
        </w:rPr>
        <w:t>1.1词语定义</w:t>
      </w:r>
    </w:p>
    <w:p>
      <w:pPr>
        <w:spacing w:line="360" w:lineRule="auto"/>
        <w:ind w:firstLine="316" w:firstLineChars="150"/>
        <w:rPr>
          <w:rFonts w:ascii="宋体" w:hAnsi="宋体"/>
          <w:b/>
        </w:rPr>
      </w:pPr>
      <w:r>
        <w:rPr>
          <w:rFonts w:hint="eastAsia" w:ascii="宋体" w:hAnsi="宋体"/>
          <w:b/>
        </w:rPr>
        <w:t>1.1.1合同</w:t>
      </w:r>
    </w:p>
    <w:p>
      <w:pPr>
        <w:spacing w:line="360" w:lineRule="auto"/>
        <w:ind w:firstLine="420" w:firstLineChars="200"/>
        <w:rPr>
          <w:rFonts w:ascii="宋体" w:hAnsi="宋体"/>
        </w:rPr>
      </w:pPr>
      <w:r>
        <w:rPr>
          <w:rFonts w:hint="eastAsia" w:ascii="宋体" w:hAnsi="宋体"/>
        </w:rPr>
        <w:t>第1.1.1.6目细化为：</w:t>
      </w:r>
    </w:p>
    <w:p>
      <w:pPr>
        <w:spacing w:line="360" w:lineRule="auto"/>
        <w:ind w:firstLine="420" w:firstLineChars="200"/>
        <w:rPr>
          <w:rFonts w:ascii="宋体" w:hAnsi="宋体"/>
        </w:rPr>
      </w:pPr>
      <w:r>
        <w:rPr>
          <w:rFonts w:hint="eastAsia" w:ascii="宋体" w:hAnsi="宋体"/>
        </w:rPr>
        <w:t>技术规范：指本合同所约定的技术标准和要求，是合同文件的组成部分。通用合同条款中“技术标准和要求”一词具有相同含义。</w:t>
      </w:r>
    </w:p>
    <w:p>
      <w:pPr>
        <w:spacing w:line="360" w:lineRule="auto"/>
        <w:ind w:firstLine="420" w:firstLineChars="200"/>
        <w:rPr>
          <w:rFonts w:ascii="宋体" w:hAnsi="宋体"/>
        </w:rPr>
      </w:pPr>
      <w:r>
        <w:rPr>
          <w:rFonts w:hint="eastAsia" w:ascii="宋体" w:hAnsi="宋体"/>
        </w:rPr>
        <w:t>第1.1.1.8目细化为</w:t>
      </w:r>
    </w:p>
    <w:p>
      <w:pPr>
        <w:spacing w:line="360" w:lineRule="auto"/>
        <w:ind w:firstLine="420" w:firstLineChars="200"/>
        <w:rPr>
          <w:rFonts w:ascii="宋体" w:hAnsi="宋体"/>
        </w:rPr>
      </w:pPr>
      <w:r>
        <w:rPr>
          <w:rFonts w:hint="eastAsia" w:ascii="宋体" w:hAnsi="宋体"/>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spacing w:line="360" w:lineRule="auto"/>
        <w:ind w:firstLine="420" w:firstLineChars="200"/>
        <w:rPr>
          <w:rFonts w:ascii="宋体" w:hAnsi="宋体"/>
        </w:rPr>
      </w:pPr>
      <w:r>
        <w:rPr>
          <w:rFonts w:hint="eastAsia" w:ascii="宋体" w:hAnsi="宋体"/>
        </w:rPr>
        <w:t>本项补充第1.1.1.10目：</w:t>
      </w:r>
    </w:p>
    <w:p>
      <w:pPr>
        <w:spacing w:line="360" w:lineRule="auto"/>
        <w:ind w:firstLine="420" w:firstLineChars="200"/>
        <w:rPr>
          <w:rFonts w:ascii="宋体" w:hAnsi="宋体"/>
        </w:rPr>
      </w:pPr>
      <w:r>
        <w:rPr>
          <w:rFonts w:hint="eastAsia" w:ascii="宋体" w:hAnsi="宋体"/>
        </w:rPr>
        <w:t>1.1.1.10补遗书：指发出招标文件之后由招标人向已取得招标文件的投标人发出的、编号的对招标文件所作的澄清、修改书。</w:t>
      </w:r>
    </w:p>
    <w:p>
      <w:pPr>
        <w:spacing w:line="360" w:lineRule="auto"/>
        <w:ind w:firstLine="316" w:firstLineChars="150"/>
        <w:rPr>
          <w:rFonts w:ascii="宋体" w:hAnsi="宋体"/>
          <w:b/>
        </w:rPr>
      </w:pPr>
      <w:r>
        <w:rPr>
          <w:rFonts w:hint="eastAsia" w:ascii="宋体" w:hAnsi="宋体"/>
          <w:b/>
        </w:rPr>
        <w:t>1.1.2合同当事人和人员</w:t>
      </w:r>
    </w:p>
    <w:p>
      <w:pPr>
        <w:spacing w:line="360" w:lineRule="auto"/>
        <w:ind w:firstLine="420" w:firstLineChars="200"/>
        <w:rPr>
          <w:rFonts w:ascii="宋体" w:hAnsi="宋体"/>
        </w:rPr>
      </w:pPr>
      <w:r>
        <w:rPr>
          <w:rFonts w:hint="eastAsia" w:ascii="宋体" w:hAnsi="宋体"/>
        </w:rPr>
        <w:t>本项补充第1.1.2.8目：</w:t>
      </w:r>
    </w:p>
    <w:p>
      <w:pPr>
        <w:spacing w:line="360" w:lineRule="auto"/>
        <w:ind w:firstLine="420" w:firstLineChars="200"/>
        <w:rPr>
          <w:rFonts w:ascii="宋体" w:hAnsi="宋体"/>
        </w:rPr>
      </w:pPr>
      <w:r>
        <w:rPr>
          <w:rFonts w:hint="eastAsia" w:ascii="宋体" w:hAnsi="宋体"/>
        </w:rPr>
        <w:t>1.1.2.8承包人项目总工：指由承包人书面委派常驻现场负责管理本合同工程的总工程师或技术总负责人。</w:t>
      </w:r>
    </w:p>
    <w:p>
      <w:pPr>
        <w:spacing w:line="360" w:lineRule="auto"/>
        <w:ind w:firstLine="316" w:firstLineChars="150"/>
        <w:rPr>
          <w:rFonts w:ascii="宋体" w:hAnsi="宋体"/>
          <w:b/>
        </w:rPr>
      </w:pPr>
      <w:r>
        <w:rPr>
          <w:rFonts w:hint="eastAsia" w:ascii="宋体" w:hAnsi="宋体"/>
          <w:b/>
        </w:rPr>
        <w:t>1.1.3工程和设备</w:t>
      </w:r>
    </w:p>
    <w:p>
      <w:pPr>
        <w:spacing w:line="360" w:lineRule="auto"/>
        <w:ind w:firstLine="420" w:firstLineChars="200"/>
        <w:rPr>
          <w:rFonts w:ascii="宋体" w:hAnsi="宋体"/>
        </w:rPr>
      </w:pPr>
      <w:r>
        <w:rPr>
          <w:rFonts w:hint="eastAsia" w:ascii="宋体" w:hAnsi="宋体"/>
        </w:rPr>
        <w:t>第1.1.3.4目细化为：</w:t>
      </w:r>
    </w:p>
    <w:p>
      <w:pPr>
        <w:spacing w:line="360" w:lineRule="auto"/>
        <w:ind w:firstLine="420" w:firstLineChars="200"/>
        <w:rPr>
          <w:rFonts w:ascii="宋体" w:hAnsi="宋体"/>
        </w:rPr>
      </w:pPr>
      <w:r>
        <w:rPr>
          <w:rFonts w:hint="eastAsia" w:ascii="宋体" w:hAnsi="宋体"/>
        </w:rPr>
        <w:t>单位工程：指在建设项目中，根据签订的合同，具有独立施工条件的工程。</w:t>
      </w:r>
    </w:p>
    <w:p>
      <w:pPr>
        <w:spacing w:line="360" w:lineRule="auto"/>
        <w:ind w:firstLine="420" w:firstLineChars="200"/>
        <w:rPr>
          <w:rFonts w:ascii="宋体" w:hAnsi="宋体"/>
        </w:rPr>
      </w:pPr>
      <w:r>
        <w:rPr>
          <w:rFonts w:hint="eastAsia" w:ascii="宋体" w:hAnsi="宋体"/>
        </w:rPr>
        <w:t>第1.1.3.10目细化为：</w:t>
      </w:r>
    </w:p>
    <w:p>
      <w:pPr>
        <w:spacing w:line="360" w:lineRule="auto"/>
        <w:ind w:firstLine="420" w:firstLineChars="200"/>
        <w:rPr>
          <w:rFonts w:ascii="宋体" w:hAnsi="宋体"/>
        </w:rPr>
      </w:pPr>
      <w:r>
        <w:rPr>
          <w:rFonts w:hint="eastAsia" w:ascii="宋体" w:hAnsi="宋体"/>
        </w:rPr>
        <w:t>永久占地：指为实施本合同工程而需要的一切永久占用的土地，包括公路两侧路权范围内的用地。</w:t>
      </w:r>
    </w:p>
    <w:p>
      <w:pPr>
        <w:spacing w:line="360" w:lineRule="auto"/>
        <w:ind w:firstLine="420" w:firstLineChars="200"/>
        <w:rPr>
          <w:rFonts w:ascii="宋体" w:hAnsi="宋体"/>
        </w:rPr>
      </w:pPr>
      <w:r>
        <w:rPr>
          <w:rFonts w:hint="eastAsia" w:ascii="宋体" w:hAnsi="宋体"/>
        </w:rPr>
        <w:t>第1.1.3.11目细化为：</w:t>
      </w:r>
    </w:p>
    <w:p>
      <w:pPr>
        <w:spacing w:line="360" w:lineRule="auto"/>
        <w:ind w:firstLine="420" w:firstLineChars="200"/>
        <w:rPr>
          <w:rFonts w:ascii="宋体" w:hAnsi="宋体"/>
        </w:rPr>
      </w:pPr>
      <w:r>
        <w:rPr>
          <w:rFonts w:hint="eastAsia" w:ascii="宋体" w:hAnsi="宋体"/>
        </w:rPr>
        <w:t>临时占地：指为实施本合同工程而需要的一切临时占用的土地，包括施工所用的临时支线、便道、便桥和现场的临时出入通道，以及生产（办公）、生活等临时设施用地等。</w:t>
      </w:r>
    </w:p>
    <w:p>
      <w:pPr>
        <w:spacing w:line="360" w:lineRule="auto"/>
        <w:ind w:firstLine="420" w:firstLineChars="200"/>
        <w:rPr>
          <w:rFonts w:ascii="宋体" w:hAnsi="宋体"/>
        </w:rPr>
      </w:pPr>
      <w:r>
        <w:rPr>
          <w:rFonts w:hint="eastAsia" w:ascii="宋体" w:hAnsi="宋体"/>
        </w:rPr>
        <w:t>本项补充第1.1.3.12目、第1.1.3.13目：</w:t>
      </w:r>
    </w:p>
    <w:p>
      <w:pPr>
        <w:spacing w:line="360" w:lineRule="auto"/>
        <w:ind w:firstLine="420" w:firstLineChars="200"/>
        <w:rPr>
          <w:rFonts w:ascii="宋体" w:hAnsi="宋体"/>
        </w:rPr>
      </w:pPr>
      <w:r>
        <w:rPr>
          <w:rFonts w:hint="eastAsia" w:ascii="宋体" w:hAnsi="宋体"/>
        </w:rPr>
        <w:t>1.1.3.12分部工程：指在单位工程中，按结构部位、路段长度及施工特点或施工任务划分的若干个工程。</w:t>
      </w:r>
    </w:p>
    <w:p>
      <w:pPr>
        <w:spacing w:line="360" w:lineRule="auto"/>
        <w:ind w:firstLine="420" w:firstLineChars="200"/>
        <w:rPr>
          <w:rFonts w:ascii="宋体" w:hAnsi="宋体"/>
        </w:rPr>
      </w:pPr>
      <w:r>
        <w:rPr>
          <w:rFonts w:hint="eastAsia" w:ascii="宋体" w:hAnsi="宋体"/>
        </w:rPr>
        <w:t>1.1.3.13分项工程：指在分部工程中，按不同的施工方法、材料、工序及路段长度等划分的若干个工程。</w:t>
      </w:r>
    </w:p>
    <w:p>
      <w:pPr>
        <w:spacing w:line="360" w:lineRule="auto"/>
        <w:ind w:firstLine="316" w:firstLineChars="150"/>
        <w:rPr>
          <w:rFonts w:ascii="宋体" w:hAnsi="宋体"/>
          <w:b/>
        </w:rPr>
      </w:pPr>
      <w:r>
        <w:rPr>
          <w:rFonts w:hint="eastAsia" w:ascii="宋体" w:hAnsi="宋体"/>
          <w:b/>
        </w:rPr>
        <w:t>1.1.6其他</w:t>
      </w:r>
    </w:p>
    <w:p>
      <w:pPr>
        <w:spacing w:line="360" w:lineRule="auto"/>
        <w:ind w:firstLine="420" w:firstLineChars="200"/>
        <w:rPr>
          <w:rFonts w:ascii="宋体" w:hAnsi="宋体"/>
        </w:rPr>
      </w:pPr>
      <w:r>
        <w:rPr>
          <w:rFonts w:hint="eastAsia" w:ascii="宋体" w:hAnsi="宋体"/>
        </w:rPr>
        <w:t>本项补充1.1.6.2目~第1.1.6.9目：</w:t>
      </w:r>
    </w:p>
    <w:p>
      <w:pPr>
        <w:spacing w:line="360" w:lineRule="auto"/>
        <w:ind w:firstLine="420" w:firstLineChars="200"/>
        <w:rPr>
          <w:rFonts w:ascii="宋体" w:hAnsi="宋体"/>
        </w:rPr>
      </w:pPr>
      <w:r>
        <w:rPr>
          <w:rFonts w:hint="eastAsia" w:ascii="宋体" w:hAnsi="宋体"/>
        </w:rPr>
        <w:t>1.1.6.2竣工验收：指《公路工程竣（交）工验收办法》中的竣工验收。通用合同条款中“国家验收”一词具有相同含义。</w:t>
      </w:r>
    </w:p>
    <w:p>
      <w:pPr>
        <w:spacing w:line="360" w:lineRule="auto"/>
        <w:ind w:firstLine="420" w:firstLineChars="200"/>
        <w:rPr>
          <w:rFonts w:ascii="宋体" w:hAnsi="宋体"/>
        </w:rPr>
      </w:pPr>
      <w:r>
        <w:rPr>
          <w:rFonts w:hint="eastAsia" w:ascii="宋体" w:hAnsi="宋体"/>
        </w:rPr>
        <w:t>1.1.6.3交工：指《公路工程竣（交）工验收办法》中的交工。通用合同条款中“竣工”一词具有相同含义。</w:t>
      </w:r>
    </w:p>
    <w:p>
      <w:pPr>
        <w:spacing w:line="360" w:lineRule="auto"/>
        <w:ind w:firstLine="420" w:firstLineChars="200"/>
        <w:rPr>
          <w:rFonts w:ascii="宋体" w:hAnsi="宋体"/>
        </w:rPr>
      </w:pPr>
      <w:r>
        <w:rPr>
          <w:rFonts w:hint="eastAsia" w:ascii="宋体" w:hAnsi="宋体"/>
        </w:rPr>
        <w:t>1.1.6.4交工验收：指《公路工程竣（交）工验收办法》中的交工验收。通用合同条款中“竣工验收”一词具有相同含义。</w:t>
      </w:r>
    </w:p>
    <w:p>
      <w:pPr>
        <w:spacing w:line="360" w:lineRule="auto"/>
        <w:ind w:firstLine="420" w:firstLineChars="200"/>
        <w:rPr>
          <w:rFonts w:ascii="宋体" w:hAnsi="宋体"/>
        </w:rPr>
      </w:pPr>
      <w:r>
        <w:rPr>
          <w:rFonts w:hint="eastAsia" w:ascii="宋体" w:hAnsi="宋体"/>
        </w:rPr>
        <w:t>1.1.6.5交工验收证书：指《公路工程竣（交）工验收办法》中的交工验收证书。通用合同条款中“工程接收证书”一词具有相同含义。</w:t>
      </w:r>
    </w:p>
    <w:p>
      <w:pPr>
        <w:spacing w:line="360" w:lineRule="auto"/>
        <w:ind w:firstLine="420" w:firstLineChars="200"/>
        <w:rPr>
          <w:rFonts w:ascii="宋体" w:hAnsi="宋体"/>
        </w:rPr>
      </w:pPr>
      <w:r>
        <w:rPr>
          <w:rFonts w:hint="eastAsia" w:ascii="宋体" w:hAnsi="宋体"/>
        </w:rPr>
        <w:t>1.1.6.6转包：指承包人违反法律和不履行合同规定的责任和义务，将中标工程全部委托或以专业分包的名义将中标工程肢解后全部委托给其他施工企业施工的行为。</w:t>
      </w:r>
    </w:p>
    <w:p>
      <w:pPr>
        <w:spacing w:line="360" w:lineRule="auto"/>
        <w:ind w:firstLine="420" w:firstLineChars="200"/>
        <w:rPr>
          <w:rFonts w:ascii="宋体" w:hAnsi="宋体"/>
        </w:rPr>
      </w:pPr>
      <w:r>
        <w:rPr>
          <w:rFonts w:hint="eastAsia" w:ascii="宋体" w:hAnsi="宋体"/>
        </w:rPr>
        <w:t>1.1.6.7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spacing w:line="360" w:lineRule="auto"/>
        <w:ind w:firstLine="420" w:firstLineChars="200"/>
        <w:rPr>
          <w:rFonts w:ascii="宋体" w:hAnsi="宋体"/>
        </w:rPr>
      </w:pPr>
      <w:r>
        <w:rPr>
          <w:rFonts w:hint="eastAsia" w:ascii="宋体" w:hAnsi="宋体"/>
        </w:rPr>
        <w:t>1.1.6.8劳务分包：指承包人与具有劳务分包资质的劳务企业签订劳务分包合同，由劳务企业提供劳务人员及机具，由承包人统一组织施工，统一控制工程质量、施工进度、材料采购、生产安全的施工行为。</w:t>
      </w:r>
    </w:p>
    <w:p>
      <w:pPr>
        <w:spacing w:line="360" w:lineRule="auto"/>
        <w:ind w:firstLine="420" w:firstLineChars="200"/>
        <w:rPr>
          <w:rFonts w:ascii="宋体" w:hAnsi="宋体"/>
        </w:rPr>
      </w:pPr>
      <w:r>
        <w:rPr>
          <w:rFonts w:hint="eastAsia" w:ascii="宋体" w:hAnsi="宋体"/>
        </w:rPr>
        <w:t>1.1.6.9雇佣民工：指承包人与具有相应劳动能力的自然人签订劳动合同，由承包人统一组织管理，从事分项工程施工或配套工程施工的行为。</w:t>
      </w:r>
    </w:p>
    <w:p>
      <w:pPr>
        <w:spacing w:line="360" w:lineRule="auto"/>
        <w:rPr>
          <w:rFonts w:ascii="宋体" w:hAnsi="宋体"/>
          <w:b/>
          <w:sz w:val="24"/>
          <w:szCs w:val="28"/>
        </w:rPr>
      </w:pPr>
      <w:bookmarkStart w:id="549" w:name="_Toc152045615"/>
      <w:bookmarkStart w:id="550" w:name="_Toc144974583"/>
      <w:bookmarkStart w:id="551" w:name="_Toc179632633"/>
      <w:bookmarkStart w:id="552" w:name="_Toc152042393"/>
      <w:r>
        <w:rPr>
          <w:rFonts w:hint="eastAsia" w:ascii="宋体" w:hAnsi="宋体"/>
          <w:b/>
          <w:sz w:val="24"/>
          <w:szCs w:val="28"/>
        </w:rPr>
        <w:t>1.4合同文件的优先顺序</w:t>
      </w:r>
      <w:bookmarkEnd w:id="549"/>
      <w:bookmarkEnd w:id="550"/>
      <w:bookmarkEnd w:id="551"/>
      <w:bookmarkEnd w:id="552"/>
    </w:p>
    <w:p>
      <w:pPr>
        <w:spacing w:line="360" w:lineRule="auto"/>
        <w:ind w:firstLine="420" w:firstLineChars="200"/>
        <w:rPr>
          <w:rFonts w:ascii="宋体" w:hAnsi="宋体"/>
        </w:rPr>
      </w:pPr>
      <w:r>
        <w:rPr>
          <w:rFonts w:hint="eastAsia" w:ascii="宋体" w:hAnsi="宋体"/>
        </w:rPr>
        <w:t>本款约定为：</w:t>
      </w:r>
    </w:p>
    <w:p>
      <w:pPr>
        <w:spacing w:line="360" w:lineRule="auto"/>
        <w:ind w:firstLine="420" w:firstLineChars="200"/>
        <w:rPr>
          <w:rFonts w:ascii="宋体" w:hAnsi="宋体"/>
        </w:rPr>
      </w:pPr>
      <w:r>
        <w:rPr>
          <w:rFonts w:hint="eastAsia" w:ascii="宋体" w:hAnsi="宋体"/>
        </w:rPr>
        <w:t>组成合同的各项文件应互相解释，互为说明。除项目专用合同条款另有约定外，解释合同文件的优先顺序如下：</w:t>
      </w:r>
    </w:p>
    <w:p>
      <w:pPr>
        <w:spacing w:line="360" w:lineRule="auto"/>
        <w:ind w:firstLine="420" w:firstLineChars="200"/>
        <w:rPr>
          <w:rFonts w:ascii="宋体" w:hAnsi="宋体"/>
        </w:rPr>
      </w:pPr>
      <w:r>
        <w:rPr>
          <w:rFonts w:hint="eastAsia" w:ascii="宋体" w:hAnsi="宋体"/>
        </w:rPr>
        <w:t>（1）合同协议书及各种合同附件（含评标期间和合同谈判过程中的澄清文件和补充资料）；</w:t>
      </w:r>
    </w:p>
    <w:p>
      <w:pPr>
        <w:spacing w:line="360" w:lineRule="auto"/>
        <w:ind w:firstLine="420" w:firstLineChars="200"/>
        <w:rPr>
          <w:rFonts w:ascii="宋体" w:hAnsi="宋体"/>
        </w:rPr>
      </w:pPr>
      <w:r>
        <w:rPr>
          <w:rFonts w:hint="eastAsia" w:ascii="宋体" w:hAnsi="宋体"/>
        </w:rPr>
        <w:t>（2）中标通知书；</w:t>
      </w:r>
    </w:p>
    <w:p>
      <w:pPr>
        <w:spacing w:line="360" w:lineRule="auto"/>
        <w:ind w:firstLine="420" w:firstLineChars="200"/>
        <w:rPr>
          <w:rFonts w:ascii="宋体" w:hAnsi="宋体"/>
        </w:rPr>
      </w:pPr>
      <w:r>
        <w:rPr>
          <w:rFonts w:hint="eastAsia" w:ascii="宋体" w:hAnsi="宋体"/>
        </w:rPr>
        <w:t>（3）投标函及投标函附录；</w:t>
      </w:r>
    </w:p>
    <w:p>
      <w:pPr>
        <w:spacing w:line="360" w:lineRule="auto"/>
        <w:ind w:firstLine="420" w:firstLineChars="200"/>
        <w:rPr>
          <w:rFonts w:ascii="宋体" w:hAnsi="宋体"/>
        </w:rPr>
      </w:pPr>
      <w:r>
        <w:rPr>
          <w:rFonts w:hint="eastAsia" w:ascii="宋体" w:hAnsi="宋体"/>
        </w:rPr>
        <w:t>（4）项目专用合同条款；</w:t>
      </w:r>
    </w:p>
    <w:p>
      <w:pPr>
        <w:spacing w:line="360" w:lineRule="auto"/>
        <w:ind w:firstLine="420" w:firstLineChars="200"/>
        <w:rPr>
          <w:rFonts w:ascii="宋体" w:hAnsi="宋体"/>
        </w:rPr>
      </w:pPr>
      <w:r>
        <w:rPr>
          <w:rFonts w:hint="eastAsia" w:ascii="宋体" w:hAnsi="宋体"/>
        </w:rPr>
        <w:t>（5）公路工程专用合同条款；</w:t>
      </w:r>
    </w:p>
    <w:p>
      <w:pPr>
        <w:spacing w:line="360" w:lineRule="auto"/>
        <w:ind w:firstLine="420" w:firstLineChars="200"/>
        <w:rPr>
          <w:rFonts w:ascii="宋体" w:hAnsi="宋体"/>
        </w:rPr>
      </w:pPr>
      <w:r>
        <w:rPr>
          <w:rFonts w:hint="eastAsia" w:ascii="宋体" w:hAnsi="宋体"/>
        </w:rPr>
        <w:t>（6）通用合同条款；</w:t>
      </w:r>
    </w:p>
    <w:p>
      <w:pPr>
        <w:spacing w:line="360" w:lineRule="auto"/>
        <w:ind w:firstLine="420" w:firstLineChars="200"/>
        <w:rPr>
          <w:rFonts w:ascii="宋体" w:hAnsi="宋体"/>
        </w:rPr>
      </w:pPr>
      <w:r>
        <w:rPr>
          <w:rFonts w:hint="eastAsia" w:ascii="宋体" w:hAnsi="宋体"/>
        </w:rPr>
        <w:t>（7）工程量清单计量规则</w:t>
      </w:r>
    </w:p>
    <w:p>
      <w:pPr>
        <w:spacing w:line="360" w:lineRule="auto"/>
        <w:ind w:firstLine="420" w:firstLineChars="200"/>
        <w:rPr>
          <w:rFonts w:ascii="宋体" w:hAnsi="宋体"/>
        </w:rPr>
      </w:pPr>
      <w:r>
        <w:rPr>
          <w:rFonts w:hint="eastAsia" w:ascii="宋体" w:hAnsi="宋体"/>
        </w:rPr>
        <w:t>（8）技术规范；</w:t>
      </w:r>
    </w:p>
    <w:p>
      <w:pPr>
        <w:spacing w:line="360" w:lineRule="auto"/>
        <w:ind w:firstLine="420" w:firstLineChars="200"/>
        <w:rPr>
          <w:rFonts w:ascii="宋体" w:hAnsi="宋体"/>
        </w:rPr>
      </w:pPr>
      <w:r>
        <w:rPr>
          <w:rFonts w:hint="eastAsia" w:ascii="宋体" w:hAnsi="宋体"/>
        </w:rPr>
        <w:t>（9）图纸；</w:t>
      </w:r>
    </w:p>
    <w:p>
      <w:pPr>
        <w:spacing w:line="360" w:lineRule="auto"/>
        <w:ind w:firstLine="420" w:firstLineChars="200"/>
        <w:rPr>
          <w:rFonts w:ascii="宋体" w:hAnsi="宋体"/>
        </w:rPr>
      </w:pPr>
      <w:r>
        <w:rPr>
          <w:rFonts w:hint="eastAsia" w:ascii="宋体" w:hAnsi="宋体"/>
        </w:rPr>
        <w:t>（10）已标价工程量清单；</w:t>
      </w:r>
    </w:p>
    <w:p>
      <w:pPr>
        <w:spacing w:line="360" w:lineRule="auto"/>
        <w:ind w:firstLine="420" w:firstLineChars="200"/>
        <w:rPr>
          <w:rFonts w:ascii="宋体" w:hAnsi="宋体"/>
        </w:rPr>
      </w:pPr>
      <w:r>
        <w:rPr>
          <w:rFonts w:hint="eastAsia" w:ascii="宋体" w:hAnsi="宋体"/>
        </w:rPr>
        <w:t>（11）承包人有关人员、设备投入的承诺及投标文件中的施工组织设计；</w:t>
      </w:r>
    </w:p>
    <w:p>
      <w:pPr>
        <w:spacing w:line="360" w:lineRule="auto"/>
        <w:ind w:firstLine="420" w:firstLineChars="200"/>
        <w:rPr>
          <w:rFonts w:ascii="宋体" w:hAnsi="宋体"/>
        </w:rPr>
      </w:pPr>
      <w:r>
        <w:rPr>
          <w:rFonts w:hint="eastAsia" w:ascii="宋体" w:hAnsi="宋体"/>
        </w:rPr>
        <w:t>（12）其他合同文件</w:t>
      </w:r>
    </w:p>
    <w:p>
      <w:pPr>
        <w:spacing w:line="360" w:lineRule="auto"/>
        <w:rPr>
          <w:rFonts w:ascii="宋体" w:hAnsi="宋体"/>
          <w:b/>
          <w:sz w:val="24"/>
          <w:szCs w:val="28"/>
        </w:rPr>
      </w:pPr>
      <w:bookmarkStart w:id="553" w:name="_Toc152045616"/>
      <w:bookmarkStart w:id="554" w:name="_Toc179632634"/>
      <w:bookmarkStart w:id="555" w:name="_Toc144974584"/>
      <w:bookmarkStart w:id="556" w:name="_Toc152042394"/>
      <w:r>
        <w:rPr>
          <w:rFonts w:hint="eastAsia" w:ascii="宋体" w:hAnsi="宋体"/>
          <w:b/>
          <w:sz w:val="24"/>
          <w:szCs w:val="28"/>
        </w:rPr>
        <w:t>1.5合同协议书</w:t>
      </w:r>
      <w:bookmarkEnd w:id="553"/>
      <w:bookmarkEnd w:id="554"/>
      <w:bookmarkEnd w:id="555"/>
      <w:bookmarkEnd w:id="556"/>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制备本合同文件的费用由发包人承担。在合同协议书签订并生效之前，投标函和中标通知书将对双方具有约束力。</w:t>
      </w:r>
    </w:p>
    <w:p>
      <w:pPr>
        <w:spacing w:line="360" w:lineRule="auto"/>
        <w:rPr>
          <w:rFonts w:ascii="宋体" w:hAnsi="宋体"/>
          <w:b/>
          <w:sz w:val="24"/>
          <w:szCs w:val="28"/>
        </w:rPr>
      </w:pPr>
      <w:bookmarkStart w:id="557" w:name="_Toc152042395"/>
      <w:bookmarkStart w:id="558" w:name="_Toc179632635"/>
      <w:bookmarkStart w:id="559" w:name="_Toc144974585"/>
      <w:bookmarkStart w:id="560" w:name="_Toc152045617"/>
      <w:r>
        <w:rPr>
          <w:rFonts w:hint="eastAsia" w:ascii="宋体" w:hAnsi="宋体"/>
          <w:b/>
          <w:sz w:val="24"/>
          <w:szCs w:val="28"/>
        </w:rPr>
        <w:t>1.6图纸和承包人文件</w:t>
      </w:r>
      <w:bookmarkEnd w:id="557"/>
      <w:bookmarkEnd w:id="558"/>
      <w:bookmarkEnd w:id="559"/>
      <w:bookmarkEnd w:id="560"/>
    </w:p>
    <w:p>
      <w:pPr>
        <w:spacing w:line="360" w:lineRule="auto"/>
        <w:ind w:firstLine="422" w:firstLineChars="200"/>
        <w:rPr>
          <w:rFonts w:ascii="宋体" w:hAnsi="宋体"/>
          <w:b/>
        </w:rPr>
      </w:pPr>
      <w:r>
        <w:rPr>
          <w:rFonts w:hint="eastAsia" w:ascii="宋体" w:hAnsi="宋体"/>
          <w:b/>
        </w:rPr>
        <w:t>1.6.1图纸的提供</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360" w:lineRule="auto"/>
        <w:ind w:firstLine="422" w:firstLineChars="200"/>
        <w:rPr>
          <w:rFonts w:ascii="宋体" w:hAnsi="宋体"/>
          <w:b/>
        </w:rPr>
      </w:pPr>
      <w:r>
        <w:rPr>
          <w:rFonts w:hint="eastAsia" w:ascii="宋体" w:hAnsi="宋体"/>
          <w:b/>
        </w:rPr>
        <w:t>1.6.2承包人提供的文件</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有下列情形之一的，承包人应免费向监理人提交相关部分工程的施工图纸3份，并附必要的计算书、技术资料，或施工工艺图、设备安装图及安装设备的使用和维护手册各2份供监理人批准。</w:t>
      </w:r>
    </w:p>
    <w:p>
      <w:pPr>
        <w:spacing w:line="360" w:lineRule="auto"/>
        <w:ind w:firstLine="420" w:firstLineChars="200"/>
        <w:rPr>
          <w:rFonts w:ascii="宋体" w:hAnsi="宋体"/>
        </w:rPr>
      </w:pPr>
      <w:r>
        <w:rPr>
          <w:rFonts w:hint="eastAsia" w:ascii="宋体" w:hAnsi="宋体"/>
        </w:rPr>
        <w:t>（1）为使第1.6.1项所述的施工图纸适合于经施工测量后的纵、横断面；</w:t>
      </w:r>
    </w:p>
    <w:p>
      <w:pPr>
        <w:spacing w:line="360" w:lineRule="auto"/>
        <w:ind w:firstLine="420" w:firstLineChars="200"/>
        <w:rPr>
          <w:rFonts w:ascii="宋体" w:hAnsi="宋体"/>
        </w:rPr>
      </w:pPr>
      <w:r>
        <w:rPr>
          <w:rFonts w:hint="eastAsia" w:ascii="宋体" w:hAnsi="宋体"/>
        </w:rPr>
        <w:t>（2）为使第1.6.1项所述的施工图纸适合于现场具体地形；</w:t>
      </w:r>
    </w:p>
    <w:p>
      <w:pPr>
        <w:spacing w:line="360" w:lineRule="auto"/>
        <w:ind w:firstLine="420" w:firstLineChars="200"/>
        <w:rPr>
          <w:rFonts w:ascii="宋体" w:hAnsi="宋体"/>
        </w:rPr>
      </w:pPr>
      <w:r>
        <w:rPr>
          <w:rFonts w:hint="eastAsia" w:ascii="宋体" w:hAnsi="宋体"/>
        </w:rPr>
        <w:t>（3）为使第1.6.1项所述的施工图纸适合于因尺寸与位置变化而引起局部变更；</w:t>
      </w:r>
    </w:p>
    <w:p>
      <w:pPr>
        <w:spacing w:line="360" w:lineRule="auto"/>
        <w:ind w:firstLine="420" w:firstLineChars="200"/>
        <w:rPr>
          <w:rFonts w:ascii="宋体" w:hAnsi="宋体"/>
        </w:rPr>
      </w:pPr>
      <w:r>
        <w:rPr>
          <w:rFonts w:hint="eastAsia" w:ascii="宋体" w:hAnsi="宋体"/>
        </w:rPr>
        <w:t>（4）由于合同要求与施工需要。</w:t>
      </w:r>
    </w:p>
    <w:p>
      <w:pPr>
        <w:spacing w:line="360" w:lineRule="auto"/>
        <w:ind w:firstLine="420" w:firstLineChars="200"/>
        <w:rPr>
          <w:rFonts w:ascii="宋体" w:hAnsi="宋体"/>
        </w:rPr>
      </w:pPr>
      <w:r>
        <w:rPr>
          <w:rFonts w:hint="eastAsia" w:ascii="宋体" w:hAnsi="宋体"/>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pPr>
        <w:spacing w:line="360" w:lineRule="auto"/>
        <w:ind w:firstLine="422" w:firstLineChars="200"/>
        <w:rPr>
          <w:rFonts w:ascii="宋体" w:hAnsi="宋体"/>
          <w:b/>
        </w:rPr>
      </w:pPr>
      <w:r>
        <w:rPr>
          <w:rFonts w:hint="eastAsia" w:ascii="宋体" w:hAnsi="宋体"/>
          <w:b/>
        </w:rPr>
        <w:t>1.6.4图纸的错误</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spacing w:line="360" w:lineRule="auto"/>
        <w:rPr>
          <w:rFonts w:ascii="宋体" w:hAnsi="宋体"/>
          <w:b/>
          <w:sz w:val="24"/>
          <w:szCs w:val="28"/>
        </w:rPr>
      </w:pPr>
      <w:bookmarkStart w:id="561" w:name="_Toc152045620"/>
      <w:bookmarkStart w:id="562" w:name="_Toc152042398"/>
      <w:bookmarkStart w:id="563" w:name="_Toc144974588"/>
      <w:bookmarkStart w:id="564" w:name="_Toc179632638"/>
      <w:r>
        <w:rPr>
          <w:rFonts w:hint="eastAsia" w:ascii="宋体" w:hAnsi="宋体"/>
          <w:b/>
          <w:sz w:val="24"/>
          <w:szCs w:val="28"/>
        </w:rPr>
        <w:t>1.9严禁贿赂</w:t>
      </w:r>
      <w:bookmarkEnd w:id="561"/>
      <w:bookmarkEnd w:id="562"/>
      <w:bookmarkEnd w:id="563"/>
      <w:bookmarkEnd w:id="564"/>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spacing w:line="360" w:lineRule="auto"/>
        <w:rPr>
          <w:rFonts w:ascii="宋体" w:hAnsi="宋体"/>
          <w:b/>
          <w:sz w:val="28"/>
          <w:szCs w:val="30"/>
        </w:rPr>
      </w:pPr>
      <w:bookmarkStart w:id="565" w:name="_Toc152042402"/>
      <w:bookmarkStart w:id="566" w:name="_Toc179632642"/>
      <w:bookmarkStart w:id="567" w:name="_Toc144974592"/>
      <w:bookmarkStart w:id="568" w:name="_Toc152045624"/>
      <w:r>
        <w:rPr>
          <w:rFonts w:hint="eastAsia" w:ascii="宋体" w:hAnsi="宋体"/>
          <w:b/>
          <w:sz w:val="28"/>
          <w:szCs w:val="30"/>
        </w:rPr>
        <w:t>2.发包人义务</w:t>
      </w:r>
      <w:bookmarkEnd w:id="565"/>
      <w:bookmarkEnd w:id="566"/>
      <w:bookmarkEnd w:id="567"/>
      <w:bookmarkEnd w:id="568"/>
    </w:p>
    <w:p>
      <w:pPr>
        <w:spacing w:line="360" w:lineRule="auto"/>
        <w:rPr>
          <w:rFonts w:ascii="宋体" w:hAnsi="宋体"/>
          <w:b/>
          <w:sz w:val="24"/>
          <w:szCs w:val="28"/>
        </w:rPr>
      </w:pPr>
      <w:bookmarkStart w:id="569" w:name="_Toc152042405"/>
      <w:bookmarkStart w:id="570" w:name="_Toc152045627"/>
      <w:bookmarkStart w:id="571" w:name="_Toc179632645"/>
      <w:bookmarkStart w:id="572" w:name="_Toc144974595"/>
      <w:r>
        <w:rPr>
          <w:rFonts w:hint="eastAsia" w:ascii="宋体" w:hAnsi="宋体"/>
          <w:b/>
          <w:sz w:val="24"/>
          <w:szCs w:val="28"/>
        </w:rPr>
        <w:t>2.3提供施工场地</w:t>
      </w:r>
      <w:bookmarkEnd w:id="569"/>
      <w:bookmarkEnd w:id="570"/>
      <w:bookmarkEnd w:id="571"/>
      <w:bookmarkEnd w:id="572"/>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spacing w:line="360" w:lineRule="auto"/>
        <w:ind w:firstLine="420" w:firstLineChars="200"/>
        <w:rPr>
          <w:rFonts w:ascii="宋体" w:hAnsi="宋体"/>
        </w:rPr>
      </w:pPr>
      <w:r>
        <w:rPr>
          <w:rFonts w:hint="eastAsia" w:ascii="宋体" w:hAnsi="宋体"/>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spacing w:line="360" w:lineRule="auto"/>
        <w:rPr>
          <w:rFonts w:ascii="宋体" w:hAnsi="宋体"/>
          <w:b/>
          <w:sz w:val="28"/>
          <w:szCs w:val="30"/>
        </w:rPr>
      </w:pPr>
      <w:bookmarkStart w:id="573" w:name="_Toc179632651"/>
      <w:bookmarkStart w:id="574" w:name="_Toc152045633"/>
      <w:bookmarkStart w:id="575" w:name="_Toc152042411"/>
      <w:bookmarkStart w:id="576" w:name="_Toc144974601"/>
      <w:r>
        <w:rPr>
          <w:rFonts w:hint="eastAsia" w:ascii="宋体" w:hAnsi="宋体"/>
          <w:b/>
          <w:sz w:val="28"/>
          <w:szCs w:val="30"/>
        </w:rPr>
        <w:t>3.监理人</w:t>
      </w:r>
      <w:bookmarkEnd w:id="573"/>
      <w:bookmarkEnd w:id="574"/>
      <w:bookmarkEnd w:id="575"/>
      <w:bookmarkEnd w:id="576"/>
    </w:p>
    <w:p>
      <w:pPr>
        <w:spacing w:line="360" w:lineRule="auto"/>
        <w:rPr>
          <w:rFonts w:ascii="宋体" w:hAnsi="宋体"/>
          <w:b/>
          <w:sz w:val="24"/>
          <w:szCs w:val="28"/>
        </w:rPr>
      </w:pPr>
      <w:bookmarkStart w:id="577" w:name="_Toc152042412"/>
      <w:bookmarkStart w:id="578" w:name="_Toc144974602"/>
      <w:bookmarkStart w:id="579" w:name="_Toc179632652"/>
      <w:bookmarkStart w:id="580" w:name="_Toc152045634"/>
      <w:r>
        <w:rPr>
          <w:rFonts w:hint="eastAsia" w:ascii="宋体" w:hAnsi="宋体"/>
          <w:b/>
          <w:sz w:val="24"/>
          <w:szCs w:val="28"/>
        </w:rPr>
        <w:t>3.1监理人的职责和权力</w:t>
      </w:r>
      <w:bookmarkEnd w:id="577"/>
      <w:bookmarkEnd w:id="578"/>
      <w:bookmarkEnd w:id="579"/>
      <w:bookmarkEnd w:id="580"/>
    </w:p>
    <w:p>
      <w:pPr>
        <w:spacing w:line="360" w:lineRule="auto"/>
        <w:ind w:firstLine="420" w:firstLineChars="200"/>
        <w:rPr>
          <w:rFonts w:ascii="宋体" w:hAnsi="宋体"/>
        </w:rPr>
      </w:pPr>
      <w:r>
        <w:rPr>
          <w:rFonts w:hint="eastAsia" w:ascii="宋体" w:hAnsi="宋体"/>
        </w:rPr>
        <w:t>第3.1.1项补充：</w:t>
      </w:r>
    </w:p>
    <w:p>
      <w:pPr>
        <w:spacing w:line="360" w:lineRule="auto"/>
        <w:ind w:firstLine="420" w:firstLineChars="200"/>
        <w:rPr>
          <w:rFonts w:ascii="宋体" w:hAnsi="宋体"/>
        </w:rPr>
      </w:pPr>
      <w:r>
        <w:rPr>
          <w:rFonts w:hint="eastAsia" w:ascii="宋体" w:hAnsi="宋体"/>
        </w:rPr>
        <w:t>监理人在行使下列权力前需要经发包人事先批准：</w:t>
      </w:r>
    </w:p>
    <w:p>
      <w:pPr>
        <w:spacing w:line="360" w:lineRule="auto"/>
        <w:ind w:firstLine="420" w:firstLineChars="200"/>
        <w:rPr>
          <w:rFonts w:ascii="宋体" w:hAnsi="宋体"/>
        </w:rPr>
      </w:pPr>
      <w:r>
        <w:rPr>
          <w:rFonts w:hint="eastAsia" w:ascii="宋体" w:hAnsi="宋体"/>
        </w:rPr>
        <w:t>（1）根据第4.3款，同意分包本工程的某些非关键性工作或者适合专业化队伍施工的专项工程；</w:t>
      </w:r>
    </w:p>
    <w:p>
      <w:pPr>
        <w:spacing w:line="360" w:lineRule="auto"/>
        <w:ind w:firstLine="420" w:firstLineChars="200"/>
        <w:rPr>
          <w:rFonts w:ascii="宋体" w:hAnsi="宋体"/>
        </w:rPr>
      </w:pPr>
      <w:r>
        <w:rPr>
          <w:rFonts w:hint="eastAsia" w:ascii="宋体" w:hAnsi="宋体"/>
        </w:rPr>
        <w:t>（2）确定第4.11款下产生的费用增加额；</w:t>
      </w:r>
    </w:p>
    <w:p>
      <w:pPr>
        <w:spacing w:line="360" w:lineRule="auto"/>
        <w:ind w:firstLine="420" w:firstLineChars="200"/>
        <w:rPr>
          <w:rFonts w:ascii="宋体" w:hAnsi="宋体"/>
        </w:rPr>
      </w:pPr>
      <w:r>
        <w:rPr>
          <w:rFonts w:hint="eastAsia" w:ascii="宋体" w:hAnsi="宋体"/>
        </w:rPr>
        <w:t>（3）根据第11.1款、第12.3款、第12.4款发布开工通知、暂停施工指示或复工通知；</w:t>
      </w:r>
    </w:p>
    <w:p>
      <w:pPr>
        <w:spacing w:line="360" w:lineRule="auto"/>
        <w:ind w:firstLine="420" w:firstLineChars="200"/>
        <w:rPr>
          <w:rFonts w:ascii="宋体" w:hAnsi="宋体"/>
        </w:rPr>
      </w:pPr>
      <w:r>
        <w:rPr>
          <w:rFonts w:hint="eastAsia" w:ascii="宋体" w:hAnsi="宋体"/>
        </w:rPr>
        <w:t>（4）决定第11.3款、第11.4款下的工期延长；</w:t>
      </w:r>
    </w:p>
    <w:p>
      <w:pPr>
        <w:spacing w:line="360" w:lineRule="auto"/>
        <w:ind w:firstLine="420" w:firstLineChars="200"/>
        <w:rPr>
          <w:rFonts w:ascii="宋体" w:hAnsi="宋体"/>
        </w:rPr>
      </w:pPr>
      <w:r>
        <w:rPr>
          <w:rFonts w:hint="eastAsia" w:ascii="宋体" w:hAnsi="宋体"/>
        </w:rPr>
        <w:t>（5）审查批准技术规范或设计的变更；</w:t>
      </w:r>
    </w:p>
    <w:p>
      <w:pPr>
        <w:spacing w:line="360" w:lineRule="auto"/>
        <w:ind w:firstLine="420" w:firstLineChars="200"/>
        <w:rPr>
          <w:rFonts w:ascii="宋体" w:hAnsi="宋体"/>
        </w:rPr>
      </w:pPr>
      <w:r>
        <w:rPr>
          <w:rFonts w:hint="eastAsia" w:ascii="宋体" w:hAnsi="宋体"/>
        </w:rPr>
        <w:t>（6）根据第15.3款发出的变更指示，其单项工程变更或累计变更涉及的金额超过了项目专用合同条款数据表中规定的金额；</w:t>
      </w:r>
    </w:p>
    <w:p>
      <w:pPr>
        <w:spacing w:line="360" w:lineRule="auto"/>
        <w:ind w:firstLine="420" w:firstLineChars="200"/>
        <w:rPr>
          <w:rFonts w:ascii="宋体" w:hAnsi="宋体"/>
        </w:rPr>
      </w:pPr>
      <w:r>
        <w:rPr>
          <w:rFonts w:hint="eastAsia" w:ascii="宋体" w:hAnsi="宋体"/>
        </w:rPr>
        <w:t>（7）确定第15.4款下变更工作的单价；</w:t>
      </w:r>
    </w:p>
    <w:p>
      <w:pPr>
        <w:spacing w:line="360" w:lineRule="auto"/>
        <w:ind w:firstLine="420" w:firstLineChars="200"/>
        <w:rPr>
          <w:rFonts w:ascii="宋体" w:hAnsi="宋体"/>
        </w:rPr>
      </w:pPr>
      <w:r>
        <w:rPr>
          <w:rFonts w:hint="eastAsia" w:ascii="宋体" w:hAnsi="宋体"/>
        </w:rPr>
        <w:t>（8）按照第15.6款决定有关暂列金额的使用；</w:t>
      </w:r>
    </w:p>
    <w:p>
      <w:pPr>
        <w:spacing w:line="360" w:lineRule="auto"/>
        <w:ind w:firstLine="420" w:firstLineChars="200"/>
        <w:rPr>
          <w:rFonts w:ascii="宋体" w:hAnsi="宋体"/>
        </w:rPr>
      </w:pPr>
      <w:r>
        <w:rPr>
          <w:rFonts w:hint="eastAsia" w:ascii="宋体" w:hAnsi="宋体"/>
        </w:rPr>
        <w:t>（9）确定第15.8款项下的暂估价金额；</w:t>
      </w:r>
    </w:p>
    <w:p>
      <w:pPr>
        <w:spacing w:line="360" w:lineRule="auto"/>
        <w:ind w:firstLine="420" w:firstLineChars="200"/>
        <w:rPr>
          <w:rFonts w:ascii="宋体" w:hAnsi="宋体"/>
        </w:rPr>
      </w:pPr>
      <w:r>
        <w:rPr>
          <w:rFonts w:hint="eastAsia" w:ascii="宋体" w:hAnsi="宋体"/>
        </w:rPr>
        <w:t>（10）确定第23.1款项下的索赔额。</w:t>
      </w:r>
    </w:p>
    <w:p>
      <w:pPr>
        <w:spacing w:line="360" w:lineRule="auto"/>
        <w:ind w:firstLine="420" w:firstLineChars="200"/>
        <w:rPr>
          <w:rFonts w:ascii="宋体" w:hAnsi="宋体"/>
        </w:rPr>
      </w:pPr>
      <w:r>
        <w:rPr>
          <w:rFonts w:hint="eastAsia" w:ascii="宋体" w:hAnsi="宋体"/>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spacing w:line="360" w:lineRule="auto"/>
        <w:rPr>
          <w:rFonts w:ascii="宋体" w:hAnsi="宋体"/>
          <w:b/>
          <w:sz w:val="24"/>
          <w:szCs w:val="28"/>
        </w:rPr>
      </w:pPr>
      <w:bookmarkStart w:id="581" w:name="_Toc144974606"/>
      <w:bookmarkStart w:id="582" w:name="_Toc152042416"/>
      <w:bookmarkStart w:id="583" w:name="_Toc152045638"/>
      <w:bookmarkStart w:id="584" w:name="_Toc179632656"/>
      <w:r>
        <w:rPr>
          <w:rFonts w:hint="eastAsia" w:ascii="宋体" w:hAnsi="宋体"/>
          <w:b/>
          <w:sz w:val="24"/>
          <w:szCs w:val="28"/>
        </w:rPr>
        <w:t>3.5商定或确定</w:t>
      </w:r>
      <w:bookmarkEnd w:id="581"/>
      <w:bookmarkEnd w:id="582"/>
      <w:bookmarkEnd w:id="583"/>
      <w:bookmarkEnd w:id="584"/>
    </w:p>
    <w:p>
      <w:pPr>
        <w:spacing w:line="360" w:lineRule="auto"/>
        <w:ind w:firstLine="420" w:firstLineChars="200"/>
        <w:rPr>
          <w:rFonts w:ascii="宋体" w:hAnsi="宋体"/>
        </w:rPr>
      </w:pPr>
      <w:r>
        <w:rPr>
          <w:rFonts w:hint="eastAsia" w:ascii="宋体" w:hAnsi="宋体"/>
        </w:rPr>
        <w:t>第3.5.1项补充：</w:t>
      </w:r>
    </w:p>
    <w:p>
      <w:pPr>
        <w:spacing w:line="360" w:lineRule="auto"/>
        <w:ind w:firstLine="420" w:firstLineChars="200"/>
        <w:rPr>
          <w:rFonts w:ascii="宋体" w:hAnsi="宋体"/>
        </w:rPr>
      </w:pPr>
      <w:r>
        <w:rPr>
          <w:rFonts w:hint="eastAsia" w:ascii="宋体" w:hAnsi="宋体"/>
        </w:rPr>
        <w:t>如果这项商定或确定导致费用增加和（或）工期延长，或者涉及确定变更工程的价格，则总监理工程师在发出通知前，应征得发包人的同意。</w:t>
      </w:r>
    </w:p>
    <w:p>
      <w:pPr>
        <w:spacing w:line="360" w:lineRule="auto"/>
        <w:rPr>
          <w:rFonts w:ascii="宋体" w:hAnsi="宋体"/>
          <w:b/>
          <w:sz w:val="28"/>
          <w:szCs w:val="30"/>
        </w:rPr>
      </w:pPr>
      <w:bookmarkStart w:id="585" w:name="_Toc144974607"/>
      <w:bookmarkStart w:id="586" w:name="_Toc179632657"/>
      <w:bookmarkStart w:id="587" w:name="_Toc152045639"/>
      <w:bookmarkStart w:id="588" w:name="_Toc152042417"/>
      <w:r>
        <w:rPr>
          <w:rFonts w:hint="eastAsia" w:ascii="宋体" w:hAnsi="宋体"/>
          <w:b/>
          <w:sz w:val="28"/>
          <w:szCs w:val="30"/>
        </w:rPr>
        <w:t>4.承包人</w:t>
      </w:r>
      <w:bookmarkEnd w:id="585"/>
      <w:bookmarkEnd w:id="586"/>
      <w:bookmarkEnd w:id="587"/>
      <w:bookmarkEnd w:id="588"/>
    </w:p>
    <w:p>
      <w:pPr>
        <w:spacing w:line="360" w:lineRule="auto"/>
        <w:rPr>
          <w:rFonts w:ascii="宋体" w:hAnsi="宋体"/>
          <w:b/>
          <w:sz w:val="24"/>
          <w:szCs w:val="28"/>
        </w:rPr>
      </w:pPr>
      <w:bookmarkStart w:id="589" w:name="_Toc179632658"/>
      <w:bookmarkStart w:id="590" w:name="_Toc152042418"/>
      <w:bookmarkStart w:id="591" w:name="_Toc152045640"/>
      <w:bookmarkStart w:id="592" w:name="_Toc144974608"/>
      <w:r>
        <w:rPr>
          <w:rFonts w:hint="eastAsia" w:ascii="宋体" w:hAnsi="宋体"/>
          <w:b/>
          <w:sz w:val="24"/>
          <w:szCs w:val="28"/>
        </w:rPr>
        <w:t>4.1承包人的一般义务</w:t>
      </w:r>
      <w:bookmarkEnd w:id="589"/>
      <w:bookmarkEnd w:id="590"/>
      <w:bookmarkEnd w:id="591"/>
      <w:bookmarkEnd w:id="592"/>
    </w:p>
    <w:p>
      <w:pPr>
        <w:spacing w:line="360" w:lineRule="auto"/>
        <w:ind w:firstLine="422" w:firstLineChars="200"/>
        <w:rPr>
          <w:rFonts w:ascii="宋体" w:hAnsi="宋体"/>
          <w:b/>
        </w:rPr>
      </w:pPr>
      <w:r>
        <w:rPr>
          <w:rFonts w:hint="eastAsia" w:ascii="宋体" w:hAnsi="宋体"/>
          <w:b/>
        </w:rPr>
        <w:t>4.1.9工程的维护和照管</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360" w:lineRule="auto"/>
        <w:ind w:firstLine="420" w:firstLineChars="200"/>
        <w:rPr>
          <w:rFonts w:ascii="宋体" w:hAnsi="宋体"/>
        </w:rPr>
      </w:pPr>
      <w:r>
        <w:rPr>
          <w:rFonts w:hint="eastAsia" w:ascii="宋体" w:hAnsi="宋体"/>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360" w:lineRule="auto"/>
        <w:ind w:firstLine="422" w:firstLineChars="200"/>
        <w:rPr>
          <w:rFonts w:ascii="宋体" w:hAnsi="宋体"/>
          <w:b/>
        </w:rPr>
      </w:pPr>
      <w:r>
        <w:rPr>
          <w:rFonts w:hint="eastAsia" w:ascii="宋体" w:hAnsi="宋体"/>
          <w:b/>
        </w:rPr>
        <w:t>4.1.10其他义务</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（1）临时占地由承包人向当地政府土地管理部门申请，并办理租用手续，承包人按有关规定直接支付其费用，发包人对此将予以协调。</w:t>
      </w:r>
    </w:p>
    <w:p>
      <w:pPr>
        <w:spacing w:line="360" w:lineRule="auto"/>
        <w:ind w:firstLine="420" w:firstLineChars="200"/>
        <w:rPr>
          <w:rFonts w:ascii="宋体" w:hAnsi="宋体"/>
        </w:rPr>
      </w:pPr>
      <w:r>
        <w:rPr>
          <w:rFonts w:hint="eastAsia" w:ascii="宋体" w:hAnsi="宋体"/>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100章中由承包人按总额报价。</w:t>
      </w:r>
    </w:p>
    <w:p>
      <w:pPr>
        <w:spacing w:line="360" w:lineRule="auto"/>
        <w:ind w:firstLine="420" w:firstLineChars="200"/>
        <w:rPr>
          <w:rFonts w:ascii="宋体" w:hAnsi="宋体"/>
        </w:rPr>
      </w:pPr>
      <w:r>
        <w:rPr>
          <w:rFonts w:hint="eastAsia" w:ascii="宋体" w:hAnsi="宋体"/>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spacing w:line="360" w:lineRule="auto"/>
        <w:ind w:firstLine="420" w:firstLineChars="200"/>
        <w:rPr>
          <w:rFonts w:ascii="宋体" w:hAnsi="宋体"/>
        </w:rPr>
      </w:pPr>
      <w:r>
        <w:rPr>
          <w:rFonts w:hint="eastAsia" w:ascii="宋体" w:hAnsi="宋体"/>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360" w:lineRule="auto"/>
        <w:ind w:firstLine="420" w:firstLineChars="200"/>
        <w:rPr>
          <w:rFonts w:ascii="宋体" w:hAnsi="宋体"/>
        </w:rPr>
      </w:pPr>
      <w:r>
        <w:rPr>
          <w:rFonts w:hint="eastAsia" w:ascii="宋体" w:hAnsi="宋体"/>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spacing w:line="360" w:lineRule="auto"/>
        <w:ind w:firstLine="420" w:firstLineChars="200"/>
        <w:rPr>
          <w:rFonts w:ascii="宋体" w:hAnsi="宋体"/>
        </w:rPr>
      </w:pPr>
      <w:r>
        <w:rPr>
          <w:rFonts w:hint="eastAsia" w:ascii="宋体" w:hAnsi="宋体"/>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auto"/>
        <w:ind w:firstLine="420" w:firstLineChars="200"/>
        <w:rPr>
          <w:rFonts w:ascii="宋体" w:hAnsi="宋体"/>
        </w:rPr>
      </w:pPr>
      <w:r>
        <w:rPr>
          <w:rFonts w:hint="eastAsia" w:ascii="宋体" w:hAnsi="宋体"/>
        </w:rPr>
        <w:t>工资支付表应如实记录支付单位、支付时间、支付对象、支付数额、支付对象的身份证号和签字等信息。民工花名册和工资支付表应报监理人备查。</w:t>
      </w:r>
    </w:p>
    <w:p>
      <w:pPr>
        <w:spacing w:line="360" w:lineRule="auto"/>
        <w:ind w:firstLine="420" w:firstLineChars="200"/>
        <w:rPr>
          <w:rFonts w:ascii="宋体" w:hAnsi="宋体"/>
        </w:rPr>
      </w:pPr>
      <w:r>
        <w:rPr>
          <w:rFonts w:hint="eastAsia" w:ascii="宋体" w:hAnsi="宋体"/>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督，确保专款专用。开户银行发现账户资金不足、被挪用等情况，应及时向人力资源社会保障部门和交通运输主管部门报告。</w:t>
      </w:r>
    </w:p>
    <w:p>
      <w:pPr>
        <w:spacing w:line="360" w:lineRule="auto"/>
        <w:ind w:firstLine="420" w:firstLineChars="200"/>
        <w:rPr>
          <w:rFonts w:ascii="宋体" w:hAnsi="宋体"/>
        </w:rPr>
      </w:pPr>
      <w:r>
        <w:rPr>
          <w:rFonts w:hint="eastAsia" w:ascii="宋体" w:hAnsi="宋体"/>
        </w:rPr>
        <w:t>（5）承包人应严格执行招标文件技术规范对施工标准化提出的具体要求，结合本单位施工能力和技术优势，积极采取有利标准化施工的组织方式和工艺流程，加强工地建设、工艺控制、人员管理和内业资料管理，强化对施工一线操作人员的培训，改善职工生产生活条件，与此相关的费用承包人应列入工程量清单第100章中。</w:t>
      </w:r>
    </w:p>
    <w:p>
      <w:pPr>
        <w:spacing w:line="360" w:lineRule="auto"/>
        <w:ind w:firstLine="420" w:firstLineChars="200"/>
        <w:rPr>
          <w:rFonts w:ascii="宋体" w:hAnsi="宋体"/>
        </w:rPr>
      </w:pPr>
      <w:r>
        <w:rPr>
          <w:rFonts w:hint="eastAsia" w:ascii="宋体" w:hAnsi="宋体"/>
        </w:rPr>
        <w:t>（6）承包人应履行项目专用合同条款约定的其他义务。</w:t>
      </w:r>
    </w:p>
    <w:p>
      <w:pPr>
        <w:spacing w:line="360" w:lineRule="auto"/>
        <w:rPr>
          <w:rFonts w:ascii="宋体" w:hAnsi="宋体"/>
          <w:b/>
          <w:sz w:val="24"/>
          <w:szCs w:val="28"/>
        </w:rPr>
      </w:pPr>
      <w:bookmarkStart w:id="593" w:name="_Toc152045641"/>
      <w:bookmarkStart w:id="594" w:name="_Toc179632659"/>
      <w:bookmarkStart w:id="595" w:name="_Toc144974609"/>
      <w:bookmarkStart w:id="596" w:name="_Toc152042419"/>
      <w:r>
        <w:rPr>
          <w:rFonts w:hint="eastAsia" w:ascii="宋体" w:hAnsi="宋体"/>
          <w:b/>
          <w:sz w:val="24"/>
          <w:szCs w:val="28"/>
        </w:rPr>
        <w:t>4.2履约</w:t>
      </w:r>
      <w:bookmarkEnd w:id="593"/>
      <w:bookmarkEnd w:id="594"/>
      <w:bookmarkEnd w:id="595"/>
      <w:bookmarkEnd w:id="596"/>
      <w:r>
        <w:rPr>
          <w:rFonts w:hint="eastAsia" w:ascii="宋体" w:hAnsi="宋体"/>
          <w:b/>
          <w:sz w:val="24"/>
          <w:szCs w:val="28"/>
        </w:rPr>
        <w:t>保证金</w:t>
      </w:r>
    </w:p>
    <w:p>
      <w:pPr>
        <w:spacing w:line="360" w:lineRule="auto"/>
        <w:ind w:firstLine="420" w:firstLineChars="200"/>
        <w:rPr>
          <w:rFonts w:ascii="宋体" w:hAnsi="宋体"/>
          <w:b/>
          <w:sz w:val="28"/>
          <w:szCs w:val="28"/>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承包人应保证其履约保证金在发包人签发交工验收证书且承包人按照合同约定缴纳质量保证金前一直有效。发包人应在收到承包人缴纳的质量保证金后28天内将履约保证金退还给承包人。</w:t>
      </w:r>
    </w:p>
    <w:p>
      <w:pPr>
        <w:spacing w:line="360" w:lineRule="auto"/>
        <w:ind w:firstLine="420" w:firstLineChars="200"/>
        <w:rPr>
          <w:rFonts w:ascii="宋体" w:hAnsi="宋体"/>
        </w:rPr>
      </w:pPr>
      <w:r>
        <w:rPr>
          <w:rFonts w:hint="eastAsia" w:ascii="宋体" w:hAnsi="宋体"/>
        </w:rPr>
        <w:t>承包人拒绝按照本合同约定缴纳质量保证金的，发包人有权从交工付款证书中扣留相应金额作为质量保证金，或者直接将履约保证金金额用于保证承包人在缺陷责任期内履行缺陷修复义务。</w:t>
      </w:r>
    </w:p>
    <w:p>
      <w:pPr>
        <w:spacing w:line="360" w:lineRule="auto"/>
        <w:rPr>
          <w:rFonts w:ascii="宋体" w:hAnsi="宋体"/>
          <w:b/>
          <w:sz w:val="24"/>
          <w:szCs w:val="28"/>
        </w:rPr>
      </w:pPr>
      <w:bookmarkStart w:id="597" w:name="_Toc152042420"/>
      <w:bookmarkStart w:id="598" w:name="_Toc179632660"/>
      <w:bookmarkStart w:id="599" w:name="_Toc144974610"/>
      <w:bookmarkStart w:id="600" w:name="_Toc152045642"/>
      <w:r>
        <w:rPr>
          <w:rFonts w:hint="eastAsia" w:ascii="宋体" w:hAnsi="宋体"/>
          <w:b/>
          <w:sz w:val="24"/>
          <w:szCs w:val="28"/>
        </w:rPr>
        <w:t>4.3分包</w:t>
      </w:r>
      <w:bookmarkEnd w:id="597"/>
      <w:bookmarkEnd w:id="598"/>
      <w:bookmarkEnd w:id="599"/>
      <w:bookmarkEnd w:id="600"/>
    </w:p>
    <w:p>
      <w:pPr>
        <w:spacing w:line="360" w:lineRule="auto"/>
        <w:ind w:firstLine="420" w:firstLineChars="200"/>
        <w:rPr>
          <w:rFonts w:ascii="宋体" w:hAnsi="宋体"/>
          <w:b/>
          <w:sz w:val="28"/>
          <w:szCs w:val="28"/>
        </w:rPr>
      </w:pPr>
      <w:r>
        <w:rPr>
          <w:rFonts w:hint="eastAsia" w:ascii="宋体" w:hAnsi="宋体"/>
        </w:rPr>
        <w:t>第4.3.2项</w:t>
      </w:r>
      <w:r>
        <w:t>～</w:t>
      </w:r>
      <w:r>
        <w:rPr>
          <w:rFonts w:hint="eastAsia" w:ascii="宋体" w:hAnsi="宋体"/>
        </w:rPr>
        <w:t>第4.3.4项细化为：</w:t>
      </w:r>
    </w:p>
    <w:p>
      <w:pPr>
        <w:spacing w:line="360" w:lineRule="auto"/>
        <w:ind w:firstLine="420" w:firstLineChars="200"/>
        <w:rPr>
          <w:rFonts w:ascii="宋体" w:hAnsi="宋体"/>
        </w:rPr>
      </w:pPr>
      <w:r>
        <w:rPr>
          <w:rFonts w:hint="eastAsia" w:ascii="宋体" w:hAnsi="宋体"/>
        </w:rPr>
        <w:t>4.3.2承包人不得将工程关键性工作分包给第三人。经发包人同意，承包人可将工程的其他部分或工作分包给第三人。分包包括专业分包和劳务分包。</w:t>
      </w:r>
    </w:p>
    <w:p>
      <w:pPr>
        <w:spacing w:line="360" w:lineRule="auto"/>
        <w:ind w:firstLine="422" w:firstLineChars="200"/>
        <w:rPr>
          <w:rFonts w:ascii="宋体" w:hAnsi="宋体"/>
          <w:b/>
        </w:rPr>
      </w:pPr>
      <w:r>
        <w:rPr>
          <w:rFonts w:hint="eastAsia" w:ascii="宋体" w:hAnsi="宋体"/>
          <w:b/>
        </w:rPr>
        <w:t>4.3.3专业分包</w:t>
      </w:r>
    </w:p>
    <w:p>
      <w:pPr>
        <w:spacing w:line="360" w:lineRule="auto"/>
        <w:ind w:firstLine="420" w:firstLineChars="200"/>
        <w:rPr>
          <w:rFonts w:ascii="宋体" w:hAnsi="宋体"/>
        </w:rPr>
      </w:pPr>
      <w:r>
        <w:rPr>
          <w:rFonts w:hint="eastAsia" w:ascii="宋体" w:hAnsi="宋体"/>
        </w:rPr>
        <w:t>在工程施工过程中，承包人进行专业分包必须遵守以下规定：</w:t>
      </w:r>
    </w:p>
    <w:p>
      <w:pPr>
        <w:spacing w:line="360" w:lineRule="auto"/>
        <w:ind w:firstLine="420" w:firstLineChars="200"/>
        <w:rPr>
          <w:rFonts w:ascii="宋体" w:hAnsi="宋体"/>
        </w:rPr>
      </w:pPr>
      <w:r>
        <w:rPr>
          <w:rFonts w:hint="eastAsia" w:ascii="宋体" w:hAnsi="宋体"/>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有承包人提出书面申请，经发包人书面同意，可以分包。</w:t>
      </w:r>
    </w:p>
    <w:p>
      <w:pPr>
        <w:spacing w:line="360" w:lineRule="auto"/>
        <w:ind w:firstLine="420" w:firstLineChars="200"/>
        <w:rPr>
          <w:rFonts w:ascii="宋体" w:hAnsi="宋体"/>
        </w:rPr>
      </w:pPr>
      <w:r>
        <w:rPr>
          <w:rFonts w:hint="eastAsia" w:ascii="宋体" w:hAnsi="宋体"/>
        </w:rPr>
        <w:t>（2）专业分包人的资格能力（含安全生产能力）应与其分包工程的标准和规模相适应，且应当具备如下条件：</w:t>
      </w:r>
    </w:p>
    <w:p>
      <w:pPr>
        <w:spacing w:line="360" w:lineRule="auto"/>
        <w:ind w:firstLine="420" w:firstLineChars="200"/>
        <w:rPr>
          <w:rFonts w:ascii="宋体" w:hAnsi="宋体"/>
        </w:rPr>
      </w:pPr>
      <w:r>
        <w:rPr>
          <w:rFonts w:hint="eastAsia" w:ascii="宋体" w:hAnsi="宋体"/>
        </w:rPr>
        <w:t>a.具有经工商登记的法人资格；</w:t>
      </w:r>
    </w:p>
    <w:p>
      <w:pPr>
        <w:spacing w:line="360" w:lineRule="auto"/>
        <w:ind w:firstLine="420" w:firstLineChars="200"/>
        <w:rPr>
          <w:rFonts w:ascii="宋体" w:hAnsi="宋体"/>
        </w:rPr>
      </w:pPr>
      <w:r>
        <w:rPr>
          <w:rFonts w:hint="eastAsia" w:ascii="宋体" w:hAnsi="宋体"/>
        </w:rPr>
        <w:t>b.具有从事类似工程经验的管理与技术人员；</w:t>
      </w:r>
    </w:p>
    <w:p>
      <w:pPr>
        <w:spacing w:line="360" w:lineRule="auto"/>
        <w:ind w:firstLine="420" w:firstLineChars="200"/>
        <w:rPr>
          <w:rFonts w:ascii="宋体" w:hAnsi="宋体"/>
        </w:rPr>
      </w:pPr>
      <w:r>
        <w:rPr>
          <w:rFonts w:hint="eastAsia" w:ascii="宋体" w:hAnsi="宋体"/>
        </w:rPr>
        <w:t>c.具有（自有或租赁）分包工程所需的施工设备。</w:t>
      </w:r>
    </w:p>
    <w:p>
      <w:pPr>
        <w:spacing w:line="360" w:lineRule="auto"/>
        <w:ind w:firstLine="420" w:firstLineChars="200"/>
        <w:rPr>
          <w:rFonts w:ascii="宋体" w:hAnsi="宋体"/>
        </w:rPr>
      </w:pPr>
      <w:r>
        <w:rPr>
          <w:rFonts w:hint="eastAsia" w:ascii="宋体" w:hAnsi="宋体"/>
        </w:rPr>
        <w:t>承包人应向监理人提交专业分包人的资格能力证明材料，经监理人审查并报发包人批准后，可以将相应专业工程分包给该专业分包人。</w:t>
      </w:r>
    </w:p>
    <w:p>
      <w:pPr>
        <w:spacing w:line="360" w:lineRule="auto"/>
        <w:ind w:firstLine="420" w:firstLineChars="200"/>
        <w:rPr>
          <w:rFonts w:ascii="宋体" w:hAnsi="宋体"/>
        </w:rPr>
      </w:pPr>
      <w:r>
        <w:rPr>
          <w:rFonts w:hint="eastAsia" w:ascii="宋体" w:hAnsi="宋体"/>
        </w:rPr>
        <w:t>（3）专业分包工程不得再次分包。</w:t>
      </w:r>
    </w:p>
    <w:p>
      <w:pPr>
        <w:spacing w:line="360" w:lineRule="auto"/>
        <w:ind w:firstLine="420" w:firstLineChars="200"/>
        <w:rPr>
          <w:rFonts w:ascii="宋体" w:hAnsi="宋体"/>
        </w:rPr>
      </w:pPr>
      <w:r>
        <w:rPr>
          <w:rFonts w:hint="eastAsia" w:ascii="宋体" w:hAnsi="宋体"/>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360" w:lineRule="auto"/>
        <w:ind w:firstLine="420" w:firstLineChars="200"/>
        <w:rPr>
          <w:rFonts w:ascii="宋体" w:hAnsi="宋体"/>
        </w:rPr>
      </w:pPr>
      <w:r>
        <w:rPr>
          <w:rFonts w:hint="eastAsia" w:ascii="宋体" w:hAnsi="宋体"/>
        </w:rPr>
        <w:t>（5）专业分包人应当设立项目管理机构，对所分包工程的施工活动实施管理。项目管理机构应当具有分包工程的规模、技术复杂程度相适应的技术、经济管理人员，其中项目负责人和技术、财务、计量、质量、安全等主要管理人员必须是专业分包人本单位人员。</w:t>
      </w:r>
    </w:p>
    <w:p>
      <w:pPr>
        <w:spacing w:line="360" w:lineRule="auto"/>
        <w:ind w:firstLine="420" w:firstLineChars="200"/>
        <w:rPr>
          <w:rFonts w:ascii="宋体" w:hAnsi="宋体"/>
        </w:rPr>
      </w:pPr>
      <w:r>
        <w:rPr>
          <w:rFonts w:hint="eastAsia" w:ascii="宋体" w:hAnsi="宋体"/>
        </w:rPr>
        <w:t>（6）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360" w:lineRule="auto"/>
        <w:ind w:firstLine="420" w:firstLineChars="200"/>
        <w:rPr>
          <w:rFonts w:ascii="宋体" w:hAnsi="宋体"/>
        </w:rPr>
      </w:pPr>
      <w:r>
        <w:rPr>
          <w:rFonts w:hint="eastAsia" w:ascii="宋体" w:hAnsi="宋体"/>
        </w:rPr>
        <w:t>（7）专业分包人应当依据专业分包合同的约定，组织分包工程的施工，并对分包工程的质量、安全和进度等实施有效控制。专业分包人对其分包的工程向承包人负责，并就所分包的工程向发包人承担连带责任。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360" w:lineRule="auto"/>
        <w:ind w:firstLine="420" w:firstLineChars="200"/>
        <w:rPr>
          <w:rFonts w:ascii="宋体" w:hAnsi="宋体"/>
        </w:rPr>
      </w:pPr>
      <w:r>
        <w:rPr>
          <w:rFonts w:hint="eastAsia" w:ascii="宋体" w:hAnsi="宋体"/>
        </w:rPr>
        <w:t>（8）承包人对施工现场安全负总责，并对专业分包人的安全生产进行培训和管理。专业分包人应将其专业分包工程的施工的施工组织设计和施工安全方案报承包人备案。专业分包人对分包施工现场安全负责，发现事故隐患，应及时处理。</w:t>
      </w:r>
    </w:p>
    <w:p>
      <w:pPr>
        <w:spacing w:line="360" w:lineRule="auto"/>
        <w:ind w:firstLine="420" w:firstLineChars="200"/>
        <w:rPr>
          <w:rFonts w:ascii="宋体" w:hAnsi="宋体"/>
        </w:rPr>
      </w:pPr>
      <w:r>
        <w:rPr>
          <w:rFonts w:hint="eastAsia" w:ascii="宋体" w:hAnsi="宋体"/>
        </w:rPr>
        <w:t>违反上述规定之一者属违规分包。</w:t>
      </w:r>
    </w:p>
    <w:p>
      <w:pPr>
        <w:spacing w:line="360" w:lineRule="auto"/>
        <w:ind w:firstLine="422" w:firstLineChars="200"/>
        <w:rPr>
          <w:rFonts w:ascii="宋体" w:hAnsi="宋体"/>
          <w:b/>
        </w:rPr>
      </w:pPr>
      <w:r>
        <w:rPr>
          <w:rFonts w:hint="eastAsia" w:ascii="宋体" w:hAnsi="宋体"/>
          <w:b/>
        </w:rPr>
        <w:t>4.3.4劳务分包</w:t>
      </w:r>
    </w:p>
    <w:p>
      <w:pPr>
        <w:spacing w:line="360" w:lineRule="auto"/>
        <w:ind w:firstLine="420" w:firstLineChars="200"/>
        <w:rPr>
          <w:rFonts w:ascii="宋体" w:hAnsi="宋体"/>
        </w:rPr>
      </w:pPr>
      <w:r>
        <w:rPr>
          <w:rFonts w:hint="eastAsia" w:ascii="宋体" w:hAnsi="宋体"/>
        </w:rPr>
        <w:t>在工程施工过程中，承包人进行劳务分包必须遵守以下规定：</w:t>
      </w:r>
    </w:p>
    <w:p>
      <w:pPr>
        <w:spacing w:line="360" w:lineRule="auto"/>
        <w:ind w:firstLine="420" w:firstLineChars="200"/>
        <w:rPr>
          <w:rFonts w:ascii="宋体" w:hAnsi="宋体"/>
        </w:rPr>
      </w:pPr>
      <w:r>
        <w:rPr>
          <w:rFonts w:hint="eastAsia" w:ascii="宋体" w:hAnsi="宋体"/>
        </w:rPr>
        <w:t>（1）劳务分包人应具有劳务分包资质。</w:t>
      </w:r>
    </w:p>
    <w:p>
      <w:pPr>
        <w:spacing w:line="360" w:lineRule="auto"/>
        <w:ind w:firstLine="420" w:firstLineChars="200"/>
        <w:rPr>
          <w:rFonts w:ascii="宋体" w:hAnsi="宋体"/>
        </w:rPr>
      </w:pPr>
      <w:r>
        <w:rPr>
          <w:rFonts w:hint="eastAsia" w:ascii="宋体" w:hAnsi="宋体"/>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360" w:lineRule="auto"/>
        <w:ind w:firstLine="420" w:firstLineChars="200"/>
        <w:rPr>
          <w:rFonts w:ascii="宋体" w:hAnsi="宋体"/>
        </w:rPr>
      </w:pPr>
      <w:r>
        <w:rPr>
          <w:rFonts w:hint="eastAsia" w:ascii="宋体" w:hAnsi="宋体"/>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360" w:lineRule="auto"/>
        <w:ind w:firstLine="420" w:firstLineChars="200"/>
        <w:rPr>
          <w:rFonts w:ascii="宋体" w:hAnsi="宋体"/>
        </w:rPr>
      </w:pPr>
      <w:r>
        <w:rPr>
          <w:rFonts w:hint="eastAsia" w:ascii="宋体" w:hAnsi="宋体"/>
        </w:rPr>
        <w:t>（4）承包人应当对劳务分包人员进行安全培训和管理，劳务分包人不得将其分包的劳务作业再次分包。</w:t>
      </w:r>
    </w:p>
    <w:p>
      <w:pPr>
        <w:spacing w:line="360" w:lineRule="auto"/>
        <w:ind w:firstLine="420" w:firstLineChars="200"/>
        <w:rPr>
          <w:rFonts w:ascii="宋体" w:hAnsi="宋体"/>
        </w:rPr>
      </w:pPr>
      <w:r>
        <w:rPr>
          <w:rFonts w:hint="eastAsia" w:ascii="宋体" w:hAnsi="宋体"/>
        </w:rPr>
        <w:t>违反上述规定之一者属违规分包。</w:t>
      </w:r>
    </w:p>
    <w:p>
      <w:pPr>
        <w:spacing w:line="360" w:lineRule="auto"/>
        <w:ind w:firstLine="420" w:firstLineChars="200"/>
        <w:rPr>
          <w:rFonts w:ascii="宋体" w:hAnsi="宋体"/>
        </w:rPr>
      </w:pPr>
      <w:r>
        <w:t>本款补充第</w:t>
      </w:r>
      <w:r>
        <w:rPr>
          <w:spacing w:val="-60"/>
        </w:rPr>
        <w:t xml:space="preserve"> </w:t>
      </w:r>
      <w:r>
        <w:rPr>
          <w:rFonts w:eastAsia="Times New Roman"/>
        </w:rPr>
        <w:t xml:space="preserve">4.3.6 </w:t>
      </w:r>
      <w:r>
        <w:t>项、第</w:t>
      </w:r>
      <w:r>
        <w:rPr>
          <w:spacing w:val="-60"/>
        </w:rPr>
        <w:t xml:space="preserve"> </w:t>
      </w:r>
      <w:r>
        <w:rPr>
          <w:rFonts w:eastAsia="Times New Roman"/>
        </w:rPr>
        <w:t xml:space="preserve">4.3.7 </w:t>
      </w:r>
      <w:r>
        <w:t>项：</w:t>
      </w:r>
    </w:p>
    <w:p>
      <w:pPr>
        <w:spacing w:line="360" w:lineRule="auto"/>
        <w:ind w:firstLine="420" w:firstLineChars="200"/>
        <w:rPr>
          <w:rFonts w:ascii="宋体" w:hAnsi="宋体"/>
        </w:rPr>
      </w:pPr>
      <w:r>
        <w:rPr>
          <w:rFonts w:hint="eastAsia" w:ascii="宋体" w:hAnsi="宋体"/>
        </w:rPr>
        <w:t>4.3.6发包人对承包人与分包人之间的法律与经济纠纷不承担任何责任和义务。</w:t>
      </w:r>
    </w:p>
    <w:p>
      <w:pPr>
        <w:spacing w:line="360" w:lineRule="auto"/>
        <w:ind w:firstLine="420" w:firstLineChars="200"/>
        <w:rPr>
          <w:rFonts w:ascii="宋体" w:hAnsi="宋体"/>
        </w:rPr>
      </w:pPr>
      <w:r>
        <w:rPr>
          <w:rFonts w:hint="eastAsia" w:ascii="宋体" w:hAnsi="宋体"/>
        </w:rPr>
        <w:t>4.3.7本项目的各项分包工作均应遵守《公路工程施工分包管理办法》的有关规定。</w:t>
      </w:r>
    </w:p>
    <w:p>
      <w:pPr>
        <w:spacing w:line="360" w:lineRule="auto"/>
        <w:rPr>
          <w:rFonts w:ascii="宋体" w:hAnsi="宋体"/>
          <w:b/>
          <w:sz w:val="24"/>
          <w:szCs w:val="28"/>
        </w:rPr>
      </w:pPr>
      <w:bookmarkStart w:id="601" w:name="_Toc179632661"/>
      <w:bookmarkStart w:id="602" w:name="_Toc152045643"/>
      <w:bookmarkStart w:id="603" w:name="_Toc152042421"/>
      <w:bookmarkStart w:id="604" w:name="_Toc144974611"/>
      <w:r>
        <w:rPr>
          <w:rFonts w:hint="eastAsia" w:ascii="宋体" w:hAnsi="宋体"/>
          <w:b/>
          <w:sz w:val="24"/>
          <w:szCs w:val="28"/>
        </w:rPr>
        <w:t>4.4联合体</w:t>
      </w:r>
      <w:bookmarkEnd w:id="601"/>
      <w:bookmarkEnd w:id="602"/>
      <w:bookmarkEnd w:id="603"/>
      <w:bookmarkEnd w:id="604"/>
    </w:p>
    <w:p>
      <w:pPr>
        <w:spacing w:line="360" w:lineRule="auto"/>
        <w:ind w:firstLine="420" w:firstLineChars="200"/>
        <w:rPr>
          <w:rFonts w:ascii="宋体" w:hAnsi="宋体"/>
        </w:rPr>
      </w:pPr>
      <w:r>
        <w:t>本款补充第</w:t>
      </w:r>
      <w:r>
        <w:rPr>
          <w:rFonts w:hint="eastAsia"/>
        </w:rPr>
        <w:t>4.4.4</w:t>
      </w:r>
      <w:r>
        <w:rPr>
          <w:rFonts w:eastAsia="Times New Roman"/>
        </w:rPr>
        <w:t xml:space="preserve"> </w:t>
      </w:r>
      <w:r>
        <w:t>项：</w:t>
      </w:r>
    </w:p>
    <w:p>
      <w:pPr>
        <w:spacing w:line="360" w:lineRule="auto"/>
        <w:ind w:firstLine="420" w:firstLineChars="200"/>
        <w:rPr>
          <w:rFonts w:ascii="宋体" w:hAnsi="宋体"/>
        </w:rPr>
      </w:pPr>
      <w:r>
        <w:rPr>
          <w:rFonts w:hint="eastAsia" w:ascii="宋体" w:hAnsi="宋体"/>
        </w:rPr>
        <w:t>4.4.4未经发包人事先同意，联合体的组成与结构不得变动。</w:t>
      </w:r>
    </w:p>
    <w:p>
      <w:pPr>
        <w:spacing w:line="360" w:lineRule="auto"/>
        <w:rPr>
          <w:rFonts w:ascii="宋体" w:hAnsi="宋体"/>
          <w:b/>
          <w:sz w:val="24"/>
          <w:szCs w:val="28"/>
        </w:rPr>
      </w:pPr>
      <w:bookmarkStart w:id="605" w:name="_Toc152045645"/>
      <w:bookmarkStart w:id="606" w:name="_Toc179632663"/>
      <w:bookmarkStart w:id="607" w:name="_Toc152042423"/>
      <w:bookmarkStart w:id="608" w:name="_Toc144974613"/>
      <w:r>
        <w:rPr>
          <w:rFonts w:hint="eastAsia" w:ascii="宋体" w:hAnsi="宋体"/>
          <w:b/>
          <w:sz w:val="24"/>
          <w:szCs w:val="28"/>
        </w:rPr>
        <w:t>4.6承包人人员的管理</w:t>
      </w:r>
      <w:bookmarkEnd w:id="605"/>
      <w:bookmarkEnd w:id="606"/>
      <w:bookmarkEnd w:id="607"/>
      <w:bookmarkEnd w:id="608"/>
    </w:p>
    <w:p>
      <w:pPr>
        <w:spacing w:line="360" w:lineRule="auto"/>
        <w:ind w:firstLine="420" w:firstLineChars="200"/>
        <w:rPr>
          <w:rFonts w:ascii="宋体" w:hAnsi="宋体"/>
        </w:rPr>
      </w:pPr>
      <w:r>
        <w:rPr>
          <w:rFonts w:hint="eastAsia" w:ascii="宋体" w:hAnsi="宋体"/>
        </w:rPr>
        <w:t>第4.6.3 项细化为：</w:t>
      </w:r>
    </w:p>
    <w:p>
      <w:pPr>
        <w:spacing w:line="360" w:lineRule="auto"/>
        <w:ind w:firstLine="420" w:firstLineChars="200"/>
        <w:rPr>
          <w:rFonts w:ascii="宋体" w:hAnsi="宋体"/>
        </w:rPr>
      </w:pPr>
      <w:r>
        <w:rPr>
          <w:rFonts w:hint="eastAsia" w:ascii="宋体" w:hAnsi="宋体"/>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360" w:lineRule="auto"/>
        <w:ind w:firstLine="420" w:firstLineChars="200"/>
        <w:rPr>
          <w:rFonts w:ascii="宋体" w:hAnsi="宋体"/>
        </w:rPr>
      </w:pPr>
      <w:r>
        <w:t>本款补充第</w:t>
      </w:r>
      <w:r>
        <w:rPr>
          <w:rFonts w:hint="eastAsia"/>
        </w:rPr>
        <w:t>4.6.5</w:t>
      </w:r>
      <w:r>
        <w:rPr>
          <w:rFonts w:eastAsia="Times New Roman"/>
        </w:rPr>
        <w:t xml:space="preserve"> </w:t>
      </w:r>
      <w:r>
        <w:t>项：</w:t>
      </w:r>
    </w:p>
    <w:p>
      <w:pPr>
        <w:spacing w:line="360" w:lineRule="auto"/>
        <w:ind w:firstLine="420" w:firstLineChars="200"/>
        <w:rPr>
          <w:rFonts w:ascii="宋体" w:hAnsi="宋体"/>
        </w:rPr>
      </w:pPr>
      <w:r>
        <w:rPr>
          <w:rFonts w:hint="eastAsia" w:ascii="宋体" w:hAnsi="宋体"/>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spacing w:line="360" w:lineRule="auto"/>
        <w:rPr>
          <w:rFonts w:ascii="宋体" w:hAnsi="宋体"/>
          <w:b/>
          <w:sz w:val="24"/>
          <w:szCs w:val="28"/>
        </w:rPr>
      </w:pPr>
      <w:bookmarkStart w:id="609" w:name="_Toc152042424"/>
      <w:bookmarkStart w:id="610" w:name="_Toc144974614"/>
      <w:bookmarkStart w:id="611" w:name="_Toc179632664"/>
      <w:bookmarkStart w:id="612" w:name="_Toc152045646"/>
      <w:r>
        <w:rPr>
          <w:rFonts w:hint="eastAsia" w:ascii="宋体" w:hAnsi="宋体"/>
          <w:b/>
          <w:sz w:val="24"/>
          <w:szCs w:val="28"/>
        </w:rPr>
        <w:t>4.7撤换承包人项目经理和其他人员</w:t>
      </w:r>
      <w:bookmarkEnd w:id="609"/>
      <w:bookmarkEnd w:id="610"/>
      <w:bookmarkEnd w:id="611"/>
      <w:bookmarkEnd w:id="612"/>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spacing w:line="360" w:lineRule="auto"/>
        <w:rPr>
          <w:rFonts w:ascii="宋体" w:hAnsi="宋体"/>
          <w:b/>
          <w:sz w:val="24"/>
          <w:szCs w:val="28"/>
        </w:rPr>
      </w:pPr>
      <w:bookmarkStart w:id="613" w:name="_Toc179632666"/>
      <w:bookmarkStart w:id="614" w:name="_Toc144974616"/>
      <w:bookmarkStart w:id="615" w:name="_Toc152045648"/>
      <w:bookmarkStart w:id="616" w:name="_Toc152042426"/>
      <w:r>
        <w:rPr>
          <w:rFonts w:hint="eastAsia" w:ascii="宋体" w:hAnsi="宋体"/>
          <w:b/>
          <w:sz w:val="24"/>
          <w:szCs w:val="28"/>
        </w:rPr>
        <w:t>4.9工程价款应专款专用</w:t>
      </w:r>
      <w:bookmarkEnd w:id="613"/>
      <w:bookmarkEnd w:id="614"/>
      <w:bookmarkEnd w:id="615"/>
      <w:bookmarkEnd w:id="616"/>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spacing w:line="360" w:lineRule="auto"/>
        <w:rPr>
          <w:rFonts w:ascii="宋体" w:hAnsi="宋体"/>
          <w:b/>
          <w:sz w:val="24"/>
          <w:szCs w:val="28"/>
        </w:rPr>
      </w:pPr>
      <w:bookmarkStart w:id="617" w:name="_Toc144974617"/>
      <w:bookmarkStart w:id="618" w:name="_Toc152042427"/>
      <w:bookmarkStart w:id="619" w:name="_Toc152045649"/>
      <w:bookmarkStart w:id="620" w:name="_Toc179632667"/>
      <w:r>
        <w:rPr>
          <w:rFonts w:hint="eastAsia" w:ascii="宋体" w:hAnsi="宋体"/>
          <w:b/>
          <w:sz w:val="24"/>
          <w:szCs w:val="28"/>
        </w:rPr>
        <w:t>4.10承包人现场查勘</w:t>
      </w:r>
      <w:bookmarkEnd w:id="617"/>
      <w:bookmarkEnd w:id="618"/>
      <w:bookmarkEnd w:id="619"/>
      <w:bookmarkEnd w:id="620"/>
    </w:p>
    <w:p>
      <w:pPr>
        <w:spacing w:line="360" w:lineRule="auto"/>
        <w:ind w:firstLine="420" w:firstLineChars="200"/>
        <w:rPr>
          <w:rFonts w:ascii="宋体" w:hAnsi="宋体"/>
        </w:rPr>
      </w:pPr>
      <w:r>
        <w:rPr>
          <w:rFonts w:hint="eastAsia" w:ascii="宋体" w:hAnsi="宋体"/>
        </w:rPr>
        <w:t>第4.10.1项细化为：</w:t>
      </w:r>
    </w:p>
    <w:p>
      <w:pPr>
        <w:spacing w:line="360" w:lineRule="auto"/>
        <w:ind w:firstLine="420" w:firstLineChars="200"/>
        <w:rPr>
          <w:rFonts w:ascii="宋体" w:hAnsi="宋体"/>
        </w:rPr>
      </w:pPr>
      <w:r>
        <w:rPr>
          <w:rFonts w:hint="eastAsia" w:ascii="宋体" w:hAnsi="宋体"/>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spacing w:line="360" w:lineRule="auto"/>
        <w:rPr>
          <w:rFonts w:ascii="宋体" w:hAnsi="宋体"/>
          <w:b/>
          <w:sz w:val="24"/>
          <w:szCs w:val="28"/>
        </w:rPr>
      </w:pPr>
      <w:bookmarkStart w:id="621" w:name="_Toc179632668"/>
      <w:bookmarkStart w:id="622" w:name="_Toc152045650"/>
      <w:bookmarkStart w:id="623" w:name="_Toc144974618"/>
      <w:bookmarkStart w:id="624" w:name="_Toc152042428"/>
      <w:r>
        <w:rPr>
          <w:rFonts w:hint="eastAsia" w:ascii="宋体" w:hAnsi="宋体"/>
          <w:b/>
          <w:sz w:val="24"/>
          <w:szCs w:val="28"/>
        </w:rPr>
        <w:t>4.11不利物质条件</w:t>
      </w:r>
      <w:bookmarkEnd w:id="621"/>
      <w:bookmarkEnd w:id="622"/>
      <w:bookmarkEnd w:id="623"/>
      <w:bookmarkEnd w:id="624"/>
    </w:p>
    <w:p>
      <w:pPr>
        <w:spacing w:line="360" w:lineRule="auto"/>
        <w:ind w:firstLine="420" w:firstLineChars="200"/>
        <w:rPr>
          <w:rFonts w:ascii="宋体" w:hAnsi="宋体"/>
        </w:rPr>
      </w:pPr>
      <w:r>
        <w:rPr>
          <w:rFonts w:hint="eastAsia" w:ascii="宋体" w:hAnsi="宋体"/>
        </w:rPr>
        <w:t>第4.11.2项细化为：</w:t>
      </w:r>
    </w:p>
    <w:p>
      <w:pPr>
        <w:spacing w:line="360" w:lineRule="auto"/>
        <w:ind w:firstLine="420" w:firstLineChars="200"/>
        <w:rPr>
          <w:rFonts w:ascii="宋体" w:hAnsi="宋体"/>
        </w:rPr>
      </w:pPr>
      <w:r>
        <w:rPr>
          <w:rFonts w:hint="eastAsia" w:ascii="宋体" w:hAnsi="宋体"/>
        </w:rPr>
        <w:t>4.11.2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360" w:lineRule="auto"/>
        <w:ind w:firstLine="420" w:firstLineChars="200"/>
        <w:rPr>
          <w:rFonts w:ascii="宋体" w:hAnsi="宋体"/>
        </w:rPr>
      </w:pPr>
      <w:r>
        <w:t>本款补充第</w:t>
      </w:r>
      <w:r>
        <w:rPr>
          <w:rFonts w:hint="eastAsia" w:ascii="宋体" w:hAnsi="宋体"/>
        </w:rPr>
        <w:t>4.11.3</w:t>
      </w:r>
      <w:r>
        <w:t>项：</w:t>
      </w:r>
    </w:p>
    <w:p>
      <w:pPr>
        <w:spacing w:line="360" w:lineRule="auto"/>
        <w:ind w:firstLine="422" w:firstLineChars="200"/>
        <w:rPr>
          <w:rFonts w:ascii="宋体" w:hAnsi="宋体"/>
          <w:b/>
        </w:rPr>
      </w:pPr>
      <w:r>
        <w:rPr>
          <w:rFonts w:hint="eastAsia" w:ascii="宋体" w:hAnsi="宋体"/>
          <w:b/>
        </w:rPr>
        <w:t>4.11.3可预见的不利物质条件</w:t>
      </w:r>
    </w:p>
    <w:p>
      <w:pPr>
        <w:spacing w:line="360" w:lineRule="auto"/>
        <w:ind w:firstLine="420" w:firstLineChars="200"/>
        <w:rPr>
          <w:rFonts w:ascii="宋体" w:hAnsi="宋体"/>
        </w:rPr>
      </w:pPr>
      <w:r>
        <w:rPr>
          <w:rFonts w:hint="eastAsia" w:ascii="宋体" w:hAnsi="宋体"/>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360" w:lineRule="auto"/>
        <w:ind w:firstLine="420" w:firstLineChars="200"/>
        <w:rPr>
          <w:rFonts w:ascii="宋体" w:hAnsi="宋体"/>
        </w:rPr>
      </w:pPr>
      <w:r>
        <w:rPr>
          <w:rFonts w:hint="eastAsia" w:ascii="宋体" w:hAnsi="宋体"/>
        </w:rPr>
        <w:t>（2）对于项目专用合同条款未明确指出，但是在不利物质条件发生之前，监理人已经指示承包人有可能发生，但承包人未能及时采取有效措施，而导致的损失和后果均由承包人承担。</w:t>
      </w:r>
    </w:p>
    <w:p>
      <w:pPr>
        <w:spacing w:line="360" w:lineRule="auto"/>
        <w:jc w:val="left"/>
        <w:rPr>
          <w:rFonts w:ascii="宋体" w:hAnsi="宋体"/>
        </w:rPr>
      </w:pPr>
    </w:p>
    <w:p>
      <w:pPr>
        <w:spacing w:line="360" w:lineRule="auto"/>
        <w:jc w:val="left"/>
        <w:rPr>
          <w:rFonts w:ascii="宋体" w:hAnsi="宋体"/>
        </w:rPr>
      </w:pPr>
      <w:r>
        <w:rPr>
          <w:rFonts w:hint="eastAsia" w:ascii="宋体" w:hAnsi="宋体"/>
        </w:rPr>
        <w:t>本条补充第4.12、第 4.13款</w:t>
      </w:r>
    </w:p>
    <w:p>
      <w:pPr>
        <w:spacing w:line="360" w:lineRule="auto"/>
        <w:rPr>
          <w:rFonts w:ascii="宋体" w:hAnsi="宋体"/>
          <w:b/>
          <w:sz w:val="24"/>
          <w:szCs w:val="28"/>
        </w:rPr>
      </w:pPr>
      <w:r>
        <w:rPr>
          <w:rFonts w:hint="eastAsia" w:ascii="宋体" w:hAnsi="宋体"/>
          <w:b/>
          <w:sz w:val="24"/>
          <w:szCs w:val="28"/>
        </w:rPr>
        <w:t>4.12投标文件的完备性</w:t>
      </w:r>
    </w:p>
    <w:p>
      <w:pPr>
        <w:spacing w:line="360" w:lineRule="auto"/>
        <w:ind w:firstLine="420" w:firstLineChars="200"/>
        <w:rPr>
          <w:rFonts w:ascii="宋体" w:hAnsi="宋体"/>
        </w:rPr>
      </w:pPr>
      <w:r>
        <w:rPr>
          <w:rFonts w:hint="eastAsia" w:ascii="宋体" w:hAnsi="宋体"/>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spacing w:line="360" w:lineRule="auto"/>
        <w:rPr>
          <w:rFonts w:ascii="宋体" w:hAnsi="宋体"/>
          <w:b/>
          <w:sz w:val="24"/>
          <w:szCs w:val="28"/>
        </w:rPr>
      </w:pPr>
      <w:r>
        <w:rPr>
          <w:rFonts w:hint="eastAsia" w:ascii="宋体" w:hAnsi="宋体"/>
          <w:b/>
          <w:sz w:val="24"/>
          <w:szCs w:val="28"/>
        </w:rPr>
        <w:t>4.13开展党建工作要求</w:t>
      </w:r>
    </w:p>
    <w:p>
      <w:pPr>
        <w:spacing w:line="360" w:lineRule="auto"/>
        <w:ind w:firstLine="420" w:firstLineChars="200"/>
        <w:rPr>
          <w:rFonts w:ascii="宋体" w:hAnsi="宋体"/>
        </w:rPr>
      </w:pPr>
      <w:r>
        <w:rPr>
          <w:rFonts w:hint="eastAsia" w:ascii="宋体" w:hAnsi="宋体"/>
        </w:rPr>
        <w:t>对于政府投资的国家高速公路项目，或承包人为国有控股或参股企业的，承包人应按规定在项目现场设立基层党组织。不满足上述情形的，承包人应创造条件使党员能够参加党组织生活并接受相应管理。</w:t>
      </w:r>
    </w:p>
    <w:p>
      <w:pPr>
        <w:spacing w:line="360" w:lineRule="auto"/>
        <w:ind w:firstLine="420" w:firstLineChars="200"/>
        <w:rPr>
          <w:rFonts w:ascii="宋体" w:hAnsi="宋体"/>
        </w:rPr>
      </w:pPr>
      <w:r>
        <w:rPr>
          <w:rFonts w:hint="eastAsia" w:ascii="宋体" w:hAnsi="宋体"/>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line="360" w:lineRule="auto"/>
        <w:rPr>
          <w:rFonts w:ascii="宋体" w:hAnsi="宋体"/>
          <w:b/>
          <w:sz w:val="28"/>
          <w:szCs w:val="30"/>
        </w:rPr>
      </w:pPr>
      <w:bookmarkStart w:id="625" w:name="_Toc152045651"/>
      <w:bookmarkStart w:id="626" w:name="_Toc152042429"/>
      <w:bookmarkStart w:id="627" w:name="_Toc144974619"/>
      <w:bookmarkStart w:id="628" w:name="_Toc179632669"/>
      <w:r>
        <w:rPr>
          <w:rFonts w:hint="eastAsia" w:ascii="宋体" w:hAnsi="宋体"/>
          <w:b/>
          <w:sz w:val="28"/>
          <w:szCs w:val="30"/>
        </w:rPr>
        <w:t>5.材料和工程设备</w:t>
      </w:r>
      <w:bookmarkEnd w:id="625"/>
      <w:bookmarkEnd w:id="626"/>
      <w:bookmarkEnd w:id="627"/>
      <w:bookmarkEnd w:id="628"/>
    </w:p>
    <w:p>
      <w:pPr>
        <w:spacing w:line="360" w:lineRule="auto"/>
        <w:rPr>
          <w:rFonts w:ascii="宋体" w:hAnsi="宋体"/>
          <w:b/>
          <w:sz w:val="24"/>
          <w:szCs w:val="28"/>
        </w:rPr>
      </w:pPr>
      <w:bookmarkStart w:id="629" w:name="_Toc144974621"/>
      <w:bookmarkStart w:id="630" w:name="_Toc152042431"/>
      <w:bookmarkStart w:id="631" w:name="_Toc179632671"/>
      <w:bookmarkStart w:id="632" w:name="_Toc152045653"/>
      <w:r>
        <w:rPr>
          <w:rFonts w:hint="eastAsia" w:ascii="宋体" w:hAnsi="宋体"/>
          <w:b/>
          <w:sz w:val="24"/>
          <w:szCs w:val="28"/>
        </w:rPr>
        <w:t>5.2发包人提供的材料和工程设备</w:t>
      </w:r>
      <w:bookmarkEnd w:id="629"/>
      <w:bookmarkEnd w:id="630"/>
      <w:bookmarkEnd w:id="631"/>
      <w:bookmarkEnd w:id="632"/>
    </w:p>
    <w:p>
      <w:pPr>
        <w:spacing w:line="360" w:lineRule="auto"/>
        <w:ind w:firstLine="420" w:firstLineChars="200"/>
        <w:rPr>
          <w:rFonts w:ascii="宋体" w:hAnsi="宋体"/>
        </w:rPr>
      </w:pPr>
      <w:r>
        <w:rPr>
          <w:rFonts w:hint="eastAsia" w:ascii="宋体" w:hAnsi="宋体"/>
        </w:rPr>
        <w:t>第5.2.3项补充：</w:t>
      </w:r>
    </w:p>
    <w:p>
      <w:pPr>
        <w:spacing w:line="360" w:lineRule="auto"/>
        <w:ind w:firstLine="420" w:firstLineChars="200"/>
        <w:rPr>
          <w:rFonts w:ascii="宋体" w:hAnsi="宋体"/>
        </w:rPr>
      </w:pPr>
      <w:r>
        <w:rPr>
          <w:rFonts w:hint="eastAsia" w:ascii="宋体" w:hAnsi="宋体"/>
        </w:rPr>
        <w:t>发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spacing w:line="360" w:lineRule="auto"/>
        <w:rPr>
          <w:rFonts w:ascii="宋体" w:hAnsi="宋体"/>
          <w:b/>
          <w:sz w:val="28"/>
          <w:szCs w:val="30"/>
        </w:rPr>
      </w:pPr>
      <w:bookmarkStart w:id="633" w:name="_Toc179632674"/>
      <w:bookmarkStart w:id="634" w:name="_Toc144974624"/>
      <w:bookmarkStart w:id="635" w:name="_Toc152042434"/>
      <w:bookmarkStart w:id="636" w:name="_Toc152045656"/>
      <w:r>
        <w:rPr>
          <w:rFonts w:hint="eastAsia" w:ascii="宋体" w:hAnsi="宋体"/>
          <w:b/>
          <w:sz w:val="28"/>
          <w:szCs w:val="30"/>
        </w:rPr>
        <w:t>6.施工设备和临时设施</w:t>
      </w:r>
      <w:bookmarkEnd w:id="633"/>
      <w:bookmarkEnd w:id="634"/>
      <w:bookmarkEnd w:id="635"/>
      <w:bookmarkEnd w:id="636"/>
    </w:p>
    <w:p>
      <w:pPr>
        <w:spacing w:line="360" w:lineRule="auto"/>
        <w:rPr>
          <w:rFonts w:ascii="宋体" w:hAnsi="宋体"/>
          <w:b/>
          <w:sz w:val="24"/>
          <w:szCs w:val="28"/>
        </w:rPr>
      </w:pPr>
      <w:bookmarkStart w:id="637" w:name="_Toc152045657"/>
      <w:bookmarkStart w:id="638" w:name="_Toc144974625"/>
      <w:bookmarkStart w:id="639" w:name="_Toc152042435"/>
      <w:bookmarkStart w:id="640" w:name="_Toc179632675"/>
      <w:r>
        <w:rPr>
          <w:rFonts w:hint="eastAsia" w:ascii="宋体" w:hAnsi="宋体"/>
          <w:b/>
          <w:sz w:val="24"/>
          <w:szCs w:val="28"/>
        </w:rPr>
        <w:t>6.1承包人提供的施工设备和临时设施</w:t>
      </w:r>
      <w:bookmarkEnd w:id="637"/>
      <w:bookmarkEnd w:id="638"/>
      <w:bookmarkEnd w:id="639"/>
      <w:bookmarkEnd w:id="640"/>
    </w:p>
    <w:p>
      <w:pPr>
        <w:spacing w:line="360" w:lineRule="auto"/>
        <w:ind w:firstLine="420" w:firstLineChars="200"/>
        <w:rPr>
          <w:rFonts w:ascii="宋体" w:hAnsi="宋体"/>
        </w:rPr>
      </w:pPr>
      <w:r>
        <w:rPr>
          <w:rFonts w:hint="eastAsia" w:ascii="宋体" w:hAnsi="宋体"/>
        </w:rPr>
        <w:t>第6.1.2项约定为：</w:t>
      </w:r>
    </w:p>
    <w:p>
      <w:pPr>
        <w:spacing w:line="360" w:lineRule="auto"/>
        <w:ind w:firstLine="420" w:firstLineChars="200"/>
        <w:rPr>
          <w:rFonts w:ascii="宋体" w:hAnsi="宋体"/>
        </w:rPr>
      </w:pPr>
      <w:r>
        <w:rPr>
          <w:rFonts w:hint="eastAsia" w:ascii="宋体" w:hAnsi="宋体"/>
        </w:rPr>
        <w:t>承包人应自行承担修建临时设施的费用，需要临时占地的，应由承包人按第4.1.10项（1）目的规定办理。</w:t>
      </w:r>
    </w:p>
    <w:p>
      <w:pPr>
        <w:spacing w:line="360" w:lineRule="auto"/>
        <w:rPr>
          <w:rFonts w:ascii="宋体" w:hAnsi="宋体"/>
          <w:b/>
          <w:sz w:val="24"/>
          <w:szCs w:val="28"/>
        </w:rPr>
      </w:pPr>
      <w:bookmarkStart w:id="641" w:name="_Toc152045659"/>
      <w:bookmarkStart w:id="642" w:name="_Toc179632677"/>
      <w:bookmarkStart w:id="643" w:name="_Toc152042437"/>
      <w:bookmarkStart w:id="644" w:name="_Toc144974627"/>
      <w:r>
        <w:rPr>
          <w:rFonts w:hint="eastAsia" w:ascii="宋体" w:hAnsi="宋体"/>
          <w:b/>
          <w:sz w:val="24"/>
          <w:szCs w:val="28"/>
        </w:rPr>
        <w:t>6.3要求承包人增加或更换施工设备</w:t>
      </w:r>
      <w:bookmarkEnd w:id="641"/>
      <w:bookmarkEnd w:id="642"/>
      <w:bookmarkEnd w:id="643"/>
      <w:bookmarkEnd w:id="644"/>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spacing w:line="360" w:lineRule="auto"/>
        <w:rPr>
          <w:rFonts w:ascii="宋体" w:hAnsi="宋体"/>
          <w:b/>
          <w:sz w:val="28"/>
          <w:szCs w:val="30"/>
        </w:rPr>
      </w:pPr>
      <w:bookmarkStart w:id="645" w:name="_Toc179632679"/>
      <w:bookmarkStart w:id="646" w:name="_Toc144974629"/>
      <w:bookmarkStart w:id="647" w:name="_Toc152042439"/>
      <w:bookmarkStart w:id="648" w:name="_Toc152045661"/>
      <w:r>
        <w:rPr>
          <w:rFonts w:hint="eastAsia" w:ascii="宋体" w:hAnsi="宋体"/>
          <w:b/>
          <w:sz w:val="28"/>
          <w:szCs w:val="30"/>
        </w:rPr>
        <w:t>7.交通运输</w:t>
      </w:r>
      <w:bookmarkEnd w:id="645"/>
      <w:bookmarkEnd w:id="646"/>
      <w:bookmarkEnd w:id="647"/>
      <w:bookmarkEnd w:id="648"/>
    </w:p>
    <w:p>
      <w:pPr>
        <w:spacing w:line="360" w:lineRule="auto"/>
        <w:rPr>
          <w:rFonts w:ascii="宋体" w:hAnsi="宋体"/>
          <w:b/>
          <w:sz w:val="24"/>
          <w:szCs w:val="28"/>
        </w:rPr>
      </w:pPr>
      <w:bookmarkStart w:id="649" w:name="_Toc152042440"/>
      <w:bookmarkStart w:id="650" w:name="_Toc144974630"/>
      <w:bookmarkStart w:id="651" w:name="_Toc152045662"/>
      <w:bookmarkStart w:id="652" w:name="_Toc179632680"/>
      <w:r>
        <w:rPr>
          <w:rFonts w:hint="eastAsia" w:ascii="宋体" w:hAnsi="宋体"/>
          <w:b/>
          <w:sz w:val="24"/>
          <w:szCs w:val="28"/>
        </w:rPr>
        <w:t>7.1道路通行权和场外设施</w:t>
      </w:r>
      <w:bookmarkEnd w:id="649"/>
      <w:bookmarkEnd w:id="650"/>
      <w:bookmarkEnd w:id="651"/>
      <w:bookmarkEnd w:id="652"/>
    </w:p>
    <w:p>
      <w:pPr>
        <w:spacing w:line="360" w:lineRule="auto"/>
        <w:ind w:firstLine="420" w:firstLineChars="200"/>
        <w:rPr>
          <w:rFonts w:ascii="宋体" w:hAnsi="宋体"/>
        </w:rPr>
      </w:pPr>
      <w:r>
        <w:rPr>
          <w:rFonts w:hint="eastAsia" w:ascii="宋体" w:hAnsi="宋体"/>
        </w:rPr>
        <w:t>本款约定为：</w:t>
      </w:r>
    </w:p>
    <w:p>
      <w:pPr>
        <w:spacing w:line="360" w:lineRule="auto"/>
        <w:ind w:firstLine="420" w:firstLineChars="200"/>
        <w:rPr>
          <w:rFonts w:ascii="宋体" w:hAnsi="宋体"/>
        </w:rPr>
      </w:pPr>
      <w:r>
        <w:rPr>
          <w:rFonts w:hint="eastAsia" w:ascii="宋体" w:hAnsi="宋体"/>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spacing w:line="360" w:lineRule="auto"/>
        <w:rPr>
          <w:rFonts w:ascii="宋体" w:hAnsi="宋体"/>
          <w:b/>
          <w:sz w:val="28"/>
          <w:szCs w:val="30"/>
        </w:rPr>
      </w:pPr>
      <w:bookmarkStart w:id="653" w:name="_Toc152045668"/>
      <w:bookmarkStart w:id="654" w:name="_Toc179632686"/>
      <w:bookmarkStart w:id="655" w:name="_Toc144974636"/>
      <w:bookmarkStart w:id="656" w:name="_Toc152042446"/>
      <w:r>
        <w:rPr>
          <w:rFonts w:hint="eastAsia" w:ascii="宋体" w:hAnsi="宋体"/>
          <w:b/>
          <w:sz w:val="28"/>
          <w:szCs w:val="30"/>
        </w:rPr>
        <w:t>8.测量放线</w:t>
      </w:r>
      <w:bookmarkEnd w:id="653"/>
      <w:bookmarkEnd w:id="654"/>
      <w:bookmarkEnd w:id="655"/>
      <w:bookmarkEnd w:id="656"/>
    </w:p>
    <w:p>
      <w:pPr>
        <w:spacing w:line="360" w:lineRule="auto"/>
        <w:rPr>
          <w:rFonts w:ascii="宋体" w:hAnsi="宋体"/>
          <w:b/>
          <w:sz w:val="24"/>
          <w:szCs w:val="28"/>
        </w:rPr>
      </w:pPr>
      <w:bookmarkStart w:id="657" w:name="_Toc144974640"/>
      <w:bookmarkStart w:id="658" w:name="_Toc152042450"/>
      <w:bookmarkStart w:id="659" w:name="_Toc179632690"/>
      <w:bookmarkStart w:id="660" w:name="_Toc152045672"/>
      <w:r>
        <w:rPr>
          <w:rFonts w:hint="eastAsia" w:ascii="宋体" w:hAnsi="宋体"/>
          <w:b/>
          <w:sz w:val="24"/>
          <w:szCs w:val="28"/>
        </w:rPr>
        <w:t>8.4监理人使用施工控制网</w:t>
      </w:r>
      <w:bookmarkEnd w:id="657"/>
      <w:bookmarkEnd w:id="658"/>
      <w:bookmarkEnd w:id="659"/>
      <w:bookmarkEnd w:id="660"/>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经监理人批准，其他相关承包人也可免费使用施工控制网。</w:t>
      </w:r>
    </w:p>
    <w:p>
      <w:pPr>
        <w:spacing w:line="360" w:lineRule="auto"/>
        <w:rPr>
          <w:rFonts w:ascii="宋体" w:hAnsi="宋体"/>
          <w:b/>
          <w:sz w:val="28"/>
          <w:szCs w:val="30"/>
        </w:rPr>
      </w:pPr>
      <w:bookmarkStart w:id="661" w:name="_Toc144974641"/>
      <w:bookmarkStart w:id="662" w:name="_Toc152042451"/>
      <w:bookmarkStart w:id="663" w:name="_Toc152045673"/>
      <w:bookmarkStart w:id="664" w:name="_Toc179632691"/>
      <w:r>
        <w:rPr>
          <w:rFonts w:hint="eastAsia" w:ascii="宋体" w:hAnsi="宋体"/>
          <w:b/>
          <w:sz w:val="28"/>
          <w:szCs w:val="30"/>
        </w:rPr>
        <w:t>9.施工安全、治安保卫和环境保护</w:t>
      </w:r>
      <w:bookmarkEnd w:id="661"/>
      <w:bookmarkEnd w:id="662"/>
      <w:bookmarkEnd w:id="663"/>
      <w:bookmarkEnd w:id="664"/>
    </w:p>
    <w:p>
      <w:pPr>
        <w:spacing w:line="360" w:lineRule="auto"/>
        <w:rPr>
          <w:rFonts w:ascii="宋体" w:hAnsi="宋体"/>
          <w:b/>
          <w:sz w:val="24"/>
          <w:szCs w:val="28"/>
        </w:rPr>
      </w:pPr>
      <w:bookmarkStart w:id="665" w:name="_Toc144974643"/>
      <w:bookmarkStart w:id="666" w:name="_Toc152045675"/>
      <w:bookmarkStart w:id="667" w:name="_Toc179632693"/>
      <w:bookmarkStart w:id="668" w:name="_Toc152042453"/>
      <w:r>
        <w:rPr>
          <w:rFonts w:hint="eastAsia" w:ascii="宋体" w:hAnsi="宋体"/>
          <w:b/>
          <w:sz w:val="24"/>
          <w:szCs w:val="28"/>
        </w:rPr>
        <w:t>9.2承包人的施工安全责任</w:t>
      </w:r>
      <w:bookmarkEnd w:id="665"/>
      <w:bookmarkEnd w:id="666"/>
      <w:bookmarkEnd w:id="667"/>
      <w:bookmarkEnd w:id="668"/>
    </w:p>
    <w:p>
      <w:pPr>
        <w:spacing w:line="360" w:lineRule="auto"/>
        <w:ind w:firstLine="420" w:firstLineChars="200"/>
        <w:rPr>
          <w:rFonts w:ascii="宋体" w:hAnsi="宋体"/>
        </w:rPr>
      </w:pPr>
      <w:r>
        <w:rPr>
          <w:rFonts w:hint="eastAsia" w:ascii="宋体" w:hAnsi="宋体"/>
        </w:rPr>
        <w:t>第9.2.1项细化为：</w:t>
      </w:r>
    </w:p>
    <w:p>
      <w:pPr>
        <w:spacing w:line="360" w:lineRule="auto"/>
        <w:ind w:firstLine="420" w:firstLineChars="200"/>
        <w:rPr>
          <w:rFonts w:ascii="宋体" w:hAnsi="宋体"/>
        </w:rPr>
      </w:pPr>
      <w:r>
        <w:rPr>
          <w:rFonts w:hint="eastAsia" w:ascii="宋体" w:hAnsi="宋体"/>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360" w:lineRule="auto"/>
        <w:ind w:firstLine="420" w:firstLineChars="200"/>
        <w:rPr>
          <w:rFonts w:ascii="宋体" w:hAnsi="宋体"/>
        </w:rPr>
      </w:pPr>
      <w:r>
        <w:rPr>
          <w:rFonts w:hint="eastAsia" w:ascii="宋体" w:hAnsi="宋体"/>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360" w:lineRule="auto"/>
        <w:ind w:firstLine="420" w:firstLineChars="200"/>
        <w:rPr>
          <w:rFonts w:ascii="宋体" w:hAnsi="宋体"/>
        </w:rPr>
      </w:pPr>
      <w:r>
        <w:rPr>
          <w:rFonts w:hint="eastAsia" w:ascii="宋体" w:hAnsi="宋体"/>
        </w:rPr>
        <w:t>本项目需要编制专项施工方案的工程包括但不限于以下内容：</w:t>
      </w:r>
    </w:p>
    <w:p>
      <w:pPr>
        <w:spacing w:line="360" w:lineRule="auto"/>
        <w:ind w:firstLine="420" w:firstLineChars="200"/>
        <w:rPr>
          <w:rFonts w:ascii="宋体" w:hAnsi="宋体"/>
        </w:rPr>
      </w:pPr>
      <w:r>
        <w:rPr>
          <w:rFonts w:hint="eastAsia" w:ascii="宋体" w:hAnsi="宋体"/>
        </w:rPr>
        <w:t>（1）不良地质条件下有潜在危险性的土方、石方开挖；</w:t>
      </w:r>
    </w:p>
    <w:p>
      <w:pPr>
        <w:spacing w:line="360" w:lineRule="auto"/>
        <w:ind w:firstLine="420" w:firstLineChars="200"/>
        <w:rPr>
          <w:rFonts w:ascii="宋体" w:hAnsi="宋体"/>
        </w:rPr>
      </w:pPr>
      <w:r>
        <w:rPr>
          <w:rFonts w:hint="eastAsia" w:ascii="宋体" w:hAnsi="宋体"/>
        </w:rPr>
        <w:t>（2）滑坡和高边坡处理；</w:t>
      </w:r>
    </w:p>
    <w:p>
      <w:pPr>
        <w:spacing w:line="360" w:lineRule="auto"/>
        <w:ind w:firstLine="420" w:firstLineChars="200"/>
        <w:rPr>
          <w:rFonts w:ascii="宋体" w:hAnsi="宋体"/>
        </w:rPr>
      </w:pPr>
      <w:r>
        <w:rPr>
          <w:rFonts w:hint="eastAsia" w:ascii="宋体" w:hAnsi="宋体"/>
        </w:rPr>
        <w:t>（3）桩基础、挡墙基础、深水基础及围堰工程；</w:t>
      </w:r>
    </w:p>
    <w:p>
      <w:pPr>
        <w:spacing w:line="360" w:lineRule="auto"/>
        <w:ind w:firstLine="420" w:firstLineChars="200"/>
        <w:rPr>
          <w:rFonts w:ascii="宋体" w:hAnsi="宋体"/>
        </w:rPr>
      </w:pPr>
      <w:r>
        <w:rPr>
          <w:rFonts w:hint="eastAsia" w:ascii="宋体" w:hAnsi="宋体"/>
        </w:rPr>
        <w:t>（4）桥梁工程中的梁、拱、柱等构件施工等；</w:t>
      </w:r>
    </w:p>
    <w:p>
      <w:pPr>
        <w:spacing w:line="360" w:lineRule="auto"/>
        <w:ind w:firstLine="420" w:firstLineChars="200"/>
        <w:rPr>
          <w:rFonts w:ascii="宋体" w:hAnsi="宋体"/>
        </w:rPr>
      </w:pPr>
      <w:r>
        <w:rPr>
          <w:rFonts w:hint="eastAsia" w:ascii="宋体" w:hAnsi="宋体"/>
        </w:rPr>
        <w:t>（5）隧道工程中的不良地质隧道、高瓦斯隧道等；</w:t>
      </w:r>
    </w:p>
    <w:p>
      <w:pPr>
        <w:spacing w:line="360" w:lineRule="auto"/>
        <w:ind w:firstLine="420" w:firstLineChars="200"/>
        <w:rPr>
          <w:rFonts w:ascii="宋体" w:hAnsi="宋体"/>
        </w:rPr>
      </w:pPr>
      <w:r>
        <w:rPr>
          <w:rFonts w:hint="eastAsia" w:ascii="宋体" w:hAnsi="宋体"/>
        </w:rPr>
        <w:t>（6）水上工程中的打桩船作业、施工船作业、外海孤岛作业、边通航边施工作业等；</w:t>
      </w:r>
    </w:p>
    <w:p>
      <w:pPr>
        <w:spacing w:line="360" w:lineRule="auto"/>
        <w:ind w:firstLine="420" w:firstLineChars="200"/>
        <w:rPr>
          <w:rFonts w:ascii="宋体" w:hAnsi="宋体"/>
        </w:rPr>
      </w:pPr>
      <w:r>
        <w:rPr>
          <w:rFonts w:hint="eastAsia" w:ascii="宋体" w:hAnsi="宋体"/>
        </w:rPr>
        <w:t>（7）水下工程中的水下焊接、混凝土浇筑、爆破工程等；</w:t>
      </w:r>
    </w:p>
    <w:p>
      <w:pPr>
        <w:spacing w:line="360" w:lineRule="auto"/>
        <w:ind w:firstLine="420" w:firstLineChars="200"/>
        <w:rPr>
          <w:rFonts w:ascii="宋体" w:hAnsi="宋体"/>
        </w:rPr>
      </w:pPr>
      <w:r>
        <w:rPr>
          <w:rFonts w:hint="eastAsia" w:ascii="宋体" w:hAnsi="宋体"/>
        </w:rPr>
        <w:t>（8）爆破工程；</w:t>
      </w:r>
    </w:p>
    <w:p>
      <w:pPr>
        <w:spacing w:line="360" w:lineRule="auto"/>
        <w:ind w:firstLine="420" w:firstLineChars="200"/>
        <w:rPr>
          <w:rFonts w:ascii="宋体" w:hAnsi="宋体"/>
        </w:rPr>
      </w:pPr>
      <w:r>
        <w:rPr>
          <w:rFonts w:hint="eastAsia" w:ascii="宋体" w:hAnsi="宋体"/>
        </w:rPr>
        <w:t>（9）大型临时工程中的大型支架、模板、便桥的架设与拆除；桥梁、码头的加固与拆除；</w:t>
      </w:r>
    </w:p>
    <w:p>
      <w:pPr>
        <w:spacing w:line="360" w:lineRule="auto"/>
        <w:ind w:firstLine="420" w:firstLineChars="200"/>
        <w:rPr>
          <w:rFonts w:ascii="宋体" w:hAnsi="宋体"/>
        </w:rPr>
      </w:pPr>
      <w:r>
        <w:rPr>
          <w:rFonts w:hint="eastAsia" w:ascii="宋体" w:hAnsi="宋体"/>
        </w:rPr>
        <w:t>（10）其他危险性较大的工程。</w:t>
      </w:r>
    </w:p>
    <w:p>
      <w:pPr>
        <w:spacing w:line="360" w:lineRule="auto"/>
        <w:ind w:firstLine="420" w:firstLineChars="200"/>
        <w:rPr>
          <w:rFonts w:ascii="宋体" w:hAnsi="宋体"/>
        </w:rPr>
      </w:pPr>
      <w:r>
        <w:rPr>
          <w:rFonts w:hint="eastAsia" w:ascii="宋体" w:hAnsi="宋体"/>
        </w:rPr>
        <w:t>监理人和发包人在检查中发现有安全问题或有违反安全管理规章制度的情况时，可视为承包人违约，应按第22.1款的规定办理。</w:t>
      </w:r>
    </w:p>
    <w:p>
      <w:pPr>
        <w:spacing w:line="360" w:lineRule="auto"/>
        <w:ind w:firstLine="420" w:firstLineChars="200"/>
        <w:rPr>
          <w:rFonts w:ascii="宋体" w:hAnsi="宋体"/>
        </w:rPr>
      </w:pPr>
      <w:r>
        <w:rPr>
          <w:rFonts w:hint="eastAsia" w:ascii="宋体" w:hAnsi="宋体"/>
        </w:rPr>
        <w:t>第9.2.5项细化为：</w:t>
      </w:r>
    </w:p>
    <w:p>
      <w:pPr>
        <w:spacing w:line="360" w:lineRule="auto"/>
        <w:ind w:firstLine="420" w:firstLineChars="200"/>
        <w:rPr>
          <w:rFonts w:ascii="宋体" w:hAnsi="宋体"/>
        </w:rPr>
      </w:pPr>
      <w:r>
        <w:rPr>
          <w:rFonts w:hint="eastAsia" w:ascii="宋体" w:hAnsi="宋体"/>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360" w:lineRule="auto"/>
        <w:ind w:firstLine="420" w:firstLineChars="200"/>
        <w:rPr>
          <w:rFonts w:ascii="宋体" w:hAnsi="宋体"/>
        </w:rPr>
      </w:pPr>
      <w:r>
        <w:rPr>
          <w:rFonts w:hint="eastAsia" w:ascii="宋体" w:hAnsi="宋体"/>
        </w:rPr>
        <w:t>本款补充第9.2.8项~第9.2.11项：</w:t>
      </w:r>
    </w:p>
    <w:p>
      <w:pPr>
        <w:spacing w:line="360" w:lineRule="auto"/>
        <w:ind w:firstLine="420" w:firstLineChars="200"/>
        <w:rPr>
          <w:rFonts w:ascii="宋体" w:hAnsi="宋体"/>
        </w:rPr>
      </w:pPr>
      <w:r>
        <w:rPr>
          <w:rFonts w:hint="eastAsia" w:ascii="宋体" w:hAnsi="宋体"/>
        </w:rPr>
        <w:t>9.2.8承包人应充分关注和保障所有在现场工作的人员的安全，采取以下有效措施，使现场和本合同工程的实施保持有条不紊，以免使上述人员的安全受到威胁。</w:t>
      </w:r>
    </w:p>
    <w:p>
      <w:pPr>
        <w:numPr>
          <w:ilvl w:val="0"/>
          <w:numId w:val="8"/>
        </w:numPr>
        <w:spacing w:line="360" w:lineRule="auto"/>
        <w:ind w:firstLine="420" w:firstLineChars="200"/>
        <w:rPr>
          <w:rFonts w:ascii="宋体" w:hAnsi="宋体"/>
        </w:rPr>
      </w:pPr>
      <w:r>
        <w:rPr>
          <w:rFonts w:hint="eastAsia" w:ascii="宋体" w:hAnsi="宋体"/>
        </w:rPr>
        <w:t>招标文件合同附件中所列专职安全生产管理人员为暂估数量，实际数量应按《公路水运工程安全生产监督管理办法》规定的数量配备，人员具备类似工程安全生产工作经验。</w:t>
      </w:r>
    </w:p>
    <w:p>
      <w:pPr>
        <w:numPr>
          <w:ilvl w:val="0"/>
          <w:numId w:val="8"/>
        </w:numPr>
        <w:spacing w:line="360" w:lineRule="auto"/>
        <w:ind w:firstLine="420" w:firstLineChars="200"/>
        <w:rPr>
          <w:rFonts w:ascii="宋体" w:hAnsi="宋体"/>
        </w:rPr>
      </w:pPr>
      <w:r>
        <w:rPr>
          <w:rFonts w:hint="eastAsia" w:ascii="宋体" w:hAnsi="宋体"/>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360" w:lineRule="auto"/>
        <w:ind w:firstLine="420" w:firstLineChars="200"/>
        <w:rPr>
          <w:rFonts w:ascii="宋体" w:hAnsi="宋体"/>
        </w:rPr>
      </w:pPr>
      <w:r>
        <w:rPr>
          <w:rFonts w:hint="eastAsia" w:ascii="宋体" w:hAnsi="宋体"/>
        </w:rPr>
        <w:t>（3）所有施工机具设备和高空作业设备均应定期检查，并有安全员的签字记录；</w:t>
      </w:r>
    </w:p>
    <w:p>
      <w:pPr>
        <w:spacing w:line="360" w:lineRule="auto"/>
        <w:ind w:firstLine="420" w:firstLineChars="200"/>
        <w:rPr>
          <w:rFonts w:ascii="宋体" w:hAnsi="宋体"/>
        </w:rPr>
      </w:pPr>
      <w:r>
        <w:rPr>
          <w:rFonts w:hint="eastAsia" w:ascii="宋体" w:hAnsi="宋体"/>
        </w:rPr>
        <w:t>（4）根据本合同各单位工程的施工特点，严格执行《公路水运工程安全生产监督管理办法》、《公路工程施工安全技术规程》等有关规定。</w:t>
      </w:r>
    </w:p>
    <w:p>
      <w:pPr>
        <w:spacing w:line="360" w:lineRule="auto"/>
        <w:ind w:firstLine="420" w:firstLineChars="200"/>
        <w:rPr>
          <w:rFonts w:ascii="宋体" w:hAnsi="宋体"/>
        </w:rPr>
      </w:pPr>
      <w:r>
        <w:rPr>
          <w:rFonts w:hint="eastAsia" w:ascii="宋体" w:hAnsi="宋体"/>
        </w:rPr>
        <w:t>9.2.9为了保护本合同工程免遭损坏，或为了现场附近和过往群众的安全与方便，在确有必要的时候和地方，或当监理人或有关主管部门要求时，承包人应自费提供照明、警卫、护栅、警告标志等安全防护设施。</w:t>
      </w:r>
    </w:p>
    <w:p>
      <w:pPr>
        <w:spacing w:line="360" w:lineRule="auto"/>
        <w:ind w:firstLine="420" w:firstLineChars="200"/>
        <w:rPr>
          <w:rFonts w:ascii="宋体" w:hAnsi="宋体"/>
        </w:rPr>
      </w:pPr>
      <w:r>
        <w:rPr>
          <w:rFonts w:hint="eastAsia" w:ascii="宋体" w:hAnsi="宋体"/>
        </w:rPr>
        <w:t>9.2.10在通航水域施工时，承包人应与当地主管部门取得联系，设置必要的导航标志，及时发布航行通告，确保施工水域安全。</w:t>
      </w:r>
    </w:p>
    <w:p>
      <w:pPr>
        <w:spacing w:line="360" w:lineRule="auto"/>
        <w:ind w:firstLine="420" w:firstLineChars="200"/>
        <w:rPr>
          <w:rFonts w:ascii="宋体" w:hAnsi="宋体"/>
        </w:rPr>
      </w:pPr>
      <w:r>
        <w:rPr>
          <w:rFonts w:hint="eastAsia" w:ascii="宋体" w:hAnsi="宋体"/>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360" w:lineRule="auto"/>
        <w:rPr>
          <w:rFonts w:ascii="宋体" w:hAnsi="宋体"/>
          <w:b/>
          <w:sz w:val="24"/>
          <w:szCs w:val="28"/>
        </w:rPr>
      </w:pPr>
      <w:bookmarkStart w:id="669" w:name="_Toc179632695"/>
      <w:bookmarkStart w:id="670" w:name="_Toc152042455"/>
      <w:bookmarkStart w:id="671" w:name="_Toc152045677"/>
      <w:bookmarkStart w:id="672" w:name="_Toc144974645"/>
      <w:r>
        <w:rPr>
          <w:rFonts w:hint="eastAsia" w:ascii="宋体" w:hAnsi="宋体"/>
          <w:b/>
          <w:sz w:val="24"/>
          <w:szCs w:val="28"/>
        </w:rPr>
        <w:t>9.4环境保护</w:t>
      </w:r>
      <w:bookmarkEnd w:id="669"/>
      <w:bookmarkEnd w:id="670"/>
      <w:bookmarkEnd w:id="671"/>
      <w:bookmarkEnd w:id="672"/>
    </w:p>
    <w:p>
      <w:pPr>
        <w:spacing w:line="360" w:lineRule="auto"/>
        <w:ind w:firstLine="420" w:firstLineChars="200"/>
        <w:rPr>
          <w:rFonts w:ascii="宋体" w:hAnsi="宋体"/>
        </w:rPr>
      </w:pPr>
      <w:r>
        <w:rPr>
          <w:rFonts w:hint="eastAsia" w:ascii="宋体" w:hAnsi="宋体"/>
        </w:rPr>
        <w:t>本款补充第9.4.7项~第9.4.11项：</w:t>
      </w:r>
    </w:p>
    <w:p>
      <w:pPr>
        <w:spacing w:line="360" w:lineRule="auto"/>
        <w:ind w:firstLine="420" w:firstLineChars="200"/>
        <w:rPr>
          <w:rFonts w:ascii="宋体" w:hAnsi="宋体"/>
        </w:rPr>
      </w:pPr>
      <w:r>
        <w:rPr>
          <w:rFonts w:hint="eastAsia" w:ascii="宋体" w:hAnsi="宋体"/>
        </w:rPr>
        <w:t>9.4.7承包人应切实执行技术规范中有关环境保护方面的条款和规定。</w:t>
      </w:r>
    </w:p>
    <w:p>
      <w:pPr>
        <w:spacing w:line="360" w:lineRule="auto"/>
        <w:ind w:firstLine="420" w:firstLineChars="200"/>
        <w:rPr>
          <w:rFonts w:ascii="宋体" w:hAnsi="宋体"/>
        </w:rPr>
      </w:pPr>
      <w:r>
        <w:rPr>
          <w:rFonts w:hint="eastAsia" w:ascii="宋体" w:hAnsi="宋体"/>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360" w:lineRule="auto"/>
        <w:ind w:firstLine="420" w:firstLineChars="200"/>
        <w:rPr>
          <w:rFonts w:ascii="宋体" w:hAnsi="宋体"/>
        </w:rPr>
      </w:pPr>
      <w:r>
        <w:rPr>
          <w:rFonts w:hint="eastAsia" w:ascii="宋体" w:hAnsi="宋体"/>
        </w:rPr>
        <w:t>（2）对于公路施工中粉尘污染的主要污染源——灰土拌和、施工车辆和筑路机械运行及运输产生的扬尘，应采取有效措施减轻其对施工现场的大气污染，保护人民健康，如：</w:t>
      </w:r>
    </w:p>
    <w:p>
      <w:pPr>
        <w:spacing w:line="360" w:lineRule="auto"/>
        <w:ind w:firstLine="420" w:firstLineChars="200"/>
        <w:rPr>
          <w:rFonts w:ascii="宋体" w:hAnsi="宋体"/>
        </w:rPr>
      </w:pPr>
      <w:r>
        <w:rPr>
          <w:rFonts w:hint="eastAsia" w:ascii="宋体" w:hAnsi="宋体"/>
        </w:rPr>
        <w:t>a.拌和设备应有较好的密封，或有防尘设备。</w:t>
      </w:r>
    </w:p>
    <w:p>
      <w:pPr>
        <w:spacing w:line="360" w:lineRule="auto"/>
        <w:ind w:firstLine="420" w:firstLineChars="200"/>
        <w:rPr>
          <w:rFonts w:ascii="宋体" w:hAnsi="宋体"/>
        </w:rPr>
      </w:pPr>
      <w:r>
        <w:rPr>
          <w:rFonts w:hint="eastAsia" w:ascii="宋体" w:hAnsi="宋体"/>
        </w:rPr>
        <w:t>b.施工通道、沥青混凝土拌和站及灰土拌和站应经常进行洒水降尘。</w:t>
      </w:r>
    </w:p>
    <w:p>
      <w:pPr>
        <w:spacing w:line="360" w:lineRule="auto"/>
        <w:ind w:firstLine="420" w:firstLineChars="200"/>
        <w:rPr>
          <w:rFonts w:ascii="宋体" w:hAnsi="宋体"/>
        </w:rPr>
      </w:pPr>
      <w:r>
        <w:rPr>
          <w:rFonts w:hint="eastAsia" w:ascii="宋体" w:hAnsi="宋体"/>
        </w:rPr>
        <w:t>c.路面施工应注意保持水分，以免扬尘。</w:t>
      </w:r>
    </w:p>
    <w:p>
      <w:pPr>
        <w:spacing w:line="360" w:lineRule="auto"/>
        <w:ind w:firstLine="420" w:firstLineChars="200"/>
        <w:rPr>
          <w:rFonts w:ascii="宋体" w:hAnsi="宋体"/>
        </w:rPr>
      </w:pPr>
      <w:r>
        <w:rPr>
          <w:rFonts w:hint="eastAsia" w:ascii="宋体" w:hAnsi="宋体"/>
        </w:rPr>
        <w:t>d.隧道出渣和桥梁钻孔灌注桩施工时排出的泥浆要进行妥善处理，严禁向河流或农田排放。</w:t>
      </w:r>
    </w:p>
    <w:p>
      <w:pPr>
        <w:spacing w:line="360" w:lineRule="auto"/>
        <w:ind w:firstLine="420" w:firstLineChars="200"/>
        <w:rPr>
          <w:rFonts w:ascii="宋体" w:hAnsi="宋体"/>
        </w:rPr>
      </w:pPr>
      <w:r>
        <w:rPr>
          <w:rFonts w:hint="eastAsia" w:ascii="宋体" w:hAnsi="宋体"/>
        </w:rPr>
        <w:t>（3）采取可靠措施保证原有交通的正常通行，维持沿线村镇的居民饮水、农田灌溉、生产生活用电及通信等管线的正常使用。</w:t>
      </w:r>
    </w:p>
    <w:p>
      <w:pPr>
        <w:spacing w:line="360" w:lineRule="auto"/>
        <w:ind w:firstLine="420" w:firstLineChars="200"/>
        <w:rPr>
          <w:rFonts w:ascii="宋体" w:hAnsi="宋体"/>
        </w:rPr>
      </w:pPr>
      <w:r>
        <w:rPr>
          <w:rFonts w:hint="eastAsia" w:ascii="宋体" w:hAnsi="宋体"/>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360" w:lineRule="auto"/>
        <w:ind w:firstLine="420" w:firstLineChars="200"/>
        <w:rPr>
          <w:rFonts w:ascii="宋体" w:hAnsi="宋体"/>
        </w:rPr>
      </w:pPr>
      <w:r>
        <w:rPr>
          <w:rFonts w:hint="eastAsia" w:ascii="宋体" w:hAnsi="宋体"/>
        </w:rPr>
        <w:t>9.4.9在施工期间，承包人应随时保持现场整洁，施工设备和材料、工程设备应整齐妥善存放和储存，废料与垃圾及不再需要的临时设施应及时从现场清除、拆除并运走。</w:t>
      </w:r>
    </w:p>
    <w:p>
      <w:pPr>
        <w:spacing w:line="360" w:lineRule="auto"/>
        <w:ind w:firstLine="420" w:firstLineChars="200"/>
        <w:rPr>
          <w:rFonts w:ascii="宋体" w:hAnsi="宋体"/>
        </w:rPr>
      </w:pPr>
      <w:r>
        <w:rPr>
          <w:rFonts w:hint="eastAsia" w:ascii="宋体" w:hAnsi="宋体"/>
        </w:rPr>
        <w:t>9.4.10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360" w:lineRule="auto"/>
        <w:ind w:firstLine="420" w:firstLineChars="200"/>
        <w:rPr>
          <w:rFonts w:ascii="宋体" w:hAnsi="宋体"/>
        </w:rPr>
      </w:pPr>
      <w:r>
        <w:rPr>
          <w:rFonts w:hint="eastAsia" w:ascii="宋体" w:hAnsi="宋体"/>
        </w:rPr>
        <w:t>9.4.11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spacing w:line="360" w:lineRule="auto"/>
        <w:rPr>
          <w:rFonts w:ascii="宋体" w:hAnsi="宋体"/>
          <w:b/>
          <w:sz w:val="28"/>
          <w:szCs w:val="30"/>
        </w:rPr>
      </w:pPr>
      <w:bookmarkStart w:id="673" w:name="_Toc152042457"/>
      <w:bookmarkStart w:id="674" w:name="_Toc144974647"/>
      <w:bookmarkStart w:id="675" w:name="_Toc179632697"/>
      <w:bookmarkStart w:id="676" w:name="_Toc152045679"/>
      <w:r>
        <w:rPr>
          <w:rFonts w:hint="eastAsia" w:ascii="宋体" w:hAnsi="宋体"/>
          <w:b/>
          <w:sz w:val="28"/>
          <w:szCs w:val="30"/>
        </w:rPr>
        <w:t>10.进度计划</w:t>
      </w:r>
      <w:bookmarkEnd w:id="673"/>
      <w:bookmarkEnd w:id="674"/>
      <w:bookmarkEnd w:id="675"/>
      <w:bookmarkEnd w:id="676"/>
    </w:p>
    <w:p>
      <w:pPr>
        <w:spacing w:line="360" w:lineRule="auto"/>
        <w:rPr>
          <w:rFonts w:ascii="宋体" w:hAnsi="宋体"/>
          <w:b/>
          <w:sz w:val="24"/>
          <w:szCs w:val="28"/>
        </w:rPr>
      </w:pPr>
      <w:bookmarkStart w:id="677" w:name="_Toc152042458"/>
      <w:bookmarkStart w:id="678" w:name="_Toc152045680"/>
      <w:bookmarkStart w:id="679" w:name="_Toc144974648"/>
      <w:bookmarkStart w:id="680" w:name="_Toc179632698"/>
      <w:r>
        <w:rPr>
          <w:rFonts w:hint="eastAsia" w:ascii="宋体" w:hAnsi="宋体"/>
          <w:b/>
          <w:sz w:val="24"/>
          <w:szCs w:val="28"/>
        </w:rPr>
        <w:t>10.1合同进度计划</w:t>
      </w:r>
      <w:bookmarkEnd w:id="677"/>
      <w:bookmarkEnd w:id="678"/>
      <w:bookmarkEnd w:id="679"/>
      <w:bookmarkEnd w:id="680"/>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承包人编制施工方案说明的内容见项目专用合同条款。</w:t>
      </w:r>
    </w:p>
    <w:p>
      <w:pPr>
        <w:spacing w:line="360" w:lineRule="auto"/>
        <w:ind w:firstLine="420" w:firstLineChars="200"/>
        <w:rPr>
          <w:rFonts w:ascii="宋体" w:hAnsi="宋体"/>
        </w:rPr>
      </w:pPr>
      <w:r>
        <w:rPr>
          <w:rFonts w:hint="eastAsia" w:ascii="宋体" w:hAnsi="宋体"/>
        </w:rPr>
        <w:t>承包人向监理人报送施工进度计划和施工方案说明的期限：签订合同协议书后28天之内。</w:t>
      </w:r>
    </w:p>
    <w:p>
      <w:pPr>
        <w:spacing w:line="360" w:lineRule="auto"/>
        <w:ind w:firstLine="420" w:firstLineChars="200"/>
        <w:rPr>
          <w:rFonts w:ascii="宋体" w:hAnsi="宋体"/>
        </w:rPr>
      </w:pPr>
      <w:r>
        <w:rPr>
          <w:rFonts w:hint="eastAsia" w:ascii="宋体" w:hAnsi="宋体"/>
        </w:rPr>
        <w:t>监理人应在14天内对承包人施工进度计划和施工方案说明予以批复或提出修改意见。</w:t>
      </w:r>
    </w:p>
    <w:p>
      <w:pPr>
        <w:spacing w:line="360" w:lineRule="auto"/>
        <w:ind w:firstLine="420" w:firstLineChars="200"/>
        <w:rPr>
          <w:rFonts w:ascii="宋体" w:hAnsi="宋体"/>
        </w:rPr>
      </w:pPr>
      <w:r>
        <w:rPr>
          <w:rFonts w:hint="eastAsia" w:ascii="宋体" w:hAnsi="宋体"/>
        </w:rPr>
        <w:t>合同进度计划应按照关键线路网络图和主要工作横道图两种形式分别编绘，并应包括每月预计完成的工作量和形象进度。</w:t>
      </w:r>
    </w:p>
    <w:p>
      <w:pPr>
        <w:spacing w:line="360" w:lineRule="auto"/>
        <w:rPr>
          <w:rFonts w:ascii="宋体" w:hAnsi="宋体"/>
          <w:b/>
          <w:sz w:val="24"/>
          <w:szCs w:val="28"/>
        </w:rPr>
      </w:pPr>
      <w:bookmarkStart w:id="681" w:name="_Toc152042459"/>
      <w:bookmarkStart w:id="682" w:name="_Toc152045681"/>
      <w:bookmarkStart w:id="683" w:name="_Toc144974649"/>
      <w:bookmarkStart w:id="684" w:name="_Toc179632699"/>
      <w:r>
        <w:rPr>
          <w:rFonts w:hint="eastAsia" w:ascii="宋体" w:hAnsi="宋体"/>
          <w:b/>
          <w:sz w:val="24"/>
          <w:szCs w:val="28"/>
        </w:rPr>
        <w:t>10.2合同进度计划的修订</w:t>
      </w:r>
      <w:bookmarkEnd w:id="681"/>
      <w:bookmarkEnd w:id="682"/>
      <w:bookmarkEnd w:id="683"/>
      <w:bookmarkEnd w:id="684"/>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承包人提交合同进度计划修订申请报告，并附有关措施和相关资料的期限：实际进度发生滞后的当月25日前。</w:t>
      </w:r>
    </w:p>
    <w:p>
      <w:pPr>
        <w:spacing w:line="360" w:lineRule="auto"/>
        <w:ind w:firstLine="420" w:firstLineChars="200"/>
        <w:rPr>
          <w:rFonts w:ascii="宋体" w:hAnsi="宋体"/>
        </w:rPr>
      </w:pPr>
      <w:r>
        <w:rPr>
          <w:rFonts w:hint="eastAsia" w:ascii="宋体" w:hAnsi="宋体"/>
        </w:rPr>
        <w:t>监理人批复修订合同进度计划的期限：收到修订合同进度计划后14天内。</w:t>
      </w:r>
    </w:p>
    <w:p>
      <w:pPr>
        <w:spacing w:line="360" w:lineRule="auto"/>
        <w:ind w:firstLine="420" w:firstLineChars="200"/>
        <w:rPr>
          <w:rFonts w:ascii="宋体" w:hAnsi="宋体"/>
        </w:rPr>
      </w:pPr>
    </w:p>
    <w:p>
      <w:pPr>
        <w:spacing w:line="360" w:lineRule="auto"/>
        <w:rPr>
          <w:rFonts w:ascii="宋体" w:hAnsi="宋体"/>
        </w:rPr>
      </w:pPr>
      <w:r>
        <w:rPr>
          <w:rFonts w:hint="eastAsia" w:ascii="宋体" w:hAnsi="宋体"/>
        </w:rPr>
        <w:t>本条补充第10.3款、第10.4款：</w:t>
      </w:r>
    </w:p>
    <w:p>
      <w:pPr>
        <w:spacing w:line="360" w:lineRule="auto"/>
        <w:rPr>
          <w:rFonts w:ascii="宋体" w:hAnsi="宋体"/>
          <w:b/>
          <w:sz w:val="24"/>
          <w:szCs w:val="28"/>
        </w:rPr>
      </w:pPr>
      <w:r>
        <w:rPr>
          <w:rFonts w:hint="eastAsia" w:ascii="宋体" w:hAnsi="宋体"/>
          <w:b/>
          <w:sz w:val="24"/>
          <w:szCs w:val="28"/>
        </w:rPr>
        <w:t>10.3年度施工计划</w:t>
      </w:r>
    </w:p>
    <w:p>
      <w:pPr>
        <w:spacing w:line="360" w:lineRule="auto"/>
        <w:ind w:firstLine="420" w:firstLineChars="200"/>
        <w:rPr>
          <w:rFonts w:ascii="宋体" w:hAnsi="宋体"/>
        </w:rPr>
      </w:pPr>
      <w:r>
        <w:rPr>
          <w:rFonts w:hint="eastAsia" w:ascii="宋体" w:hAnsi="宋体"/>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spacing w:line="360" w:lineRule="auto"/>
        <w:rPr>
          <w:rFonts w:ascii="宋体" w:hAnsi="宋体"/>
          <w:b/>
          <w:sz w:val="24"/>
          <w:szCs w:val="28"/>
        </w:rPr>
      </w:pPr>
      <w:r>
        <w:rPr>
          <w:rFonts w:hint="eastAsia" w:ascii="宋体" w:hAnsi="宋体"/>
          <w:b/>
          <w:sz w:val="24"/>
          <w:szCs w:val="28"/>
        </w:rPr>
        <w:t>10.4合同用款计划</w:t>
      </w:r>
    </w:p>
    <w:p>
      <w:pPr>
        <w:spacing w:line="360" w:lineRule="auto"/>
        <w:ind w:firstLine="420" w:firstLineChars="200"/>
        <w:rPr>
          <w:rFonts w:ascii="宋体" w:hAnsi="宋体"/>
        </w:rPr>
      </w:pPr>
      <w:r>
        <w:rPr>
          <w:rFonts w:hint="eastAsia" w:ascii="宋体" w:hAnsi="宋体"/>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spacing w:line="360" w:lineRule="auto"/>
        <w:rPr>
          <w:rFonts w:ascii="宋体" w:hAnsi="宋体"/>
          <w:b/>
          <w:sz w:val="28"/>
          <w:szCs w:val="30"/>
        </w:rPr>
      </w:pPr>
      <w:bookmarkStart w:id="685" w:name="_Toc152045682"/>
      <w:bookmarkStart w:id="686" w:name="_Toc152042460"/>
      <w:bookmarkStart w:id="687" w:name="_Toc144974650"/>
      <w:bookmarkStart w:id="688" w:name="_Toc179632700"/>
      <w:r>
        <w:rPr>
          <w:rFonts w:hint="eastAsia" w:ascii="宋体" w:hAnsi="宋体"/>
          <w:b/>
          <w:sz w:val="28"/>
          <w:szCs w:val="30"/>
        </w:rPr>
        <w:t>11.开工和交工</w:t>
      </w:r>
      <w:bookmarkEnd w:id="685"/>
      <w:bookmarkEnd w:id="686"/>
      <w:bookmarkEnd w:id="687"/>
      <w:bookmarkEnd w:id="688"/>
    </w:p>
    <w:p>
      <w:pPr>
        <w:spacing w:line="360" w:lineRule="auto"/>
        <w:rPr>
          <w:rFonts w:ascii="宋体" w:hAnsi="宋体"/>
          <w:b/>
          <w:sz w:val="24"/>
          <w:szCs w:val="28"/>
        </w:rPr>
      </w:pPr>
      <w:bookmarkStart w:id="689" w:name="_Toc152045683"/>
      <w:bookmarkStart w:id="690" w:name="_Toc144974651"/>
      <w:bookmarkStart w:id="691" w:name="_Toc152042461"/>
      <w:bookmarkStart w:id="692" w:name="_Toc179632701"/>
      <w:r>
        <w:rPr>
          <w:rFonts w:hint="eastAsia" w:ascii="宋体" w:hAnsi="宋体"/>
          <w:b/>
          <w:sz w:val="24"/>
          <w:szCs w:val="28"/>
        </w:rPr>
        <w:t>11.1开工</w:t>
      </w:r>
      <w:bookmarkEnd w:id="689"/>
      <w:bookmarkEnd w:id="690"/>
      <w:bookmarkEnd w:id="691"/>
      <w:bookmarkEnd w:id="692"/>
    </w:p>
    <w:p>
      <w:pPr>
        <w:spacing w:line="360" w:lineRule="auto"/>
        <w:ind w:firstLine="420" w:firstLineChars="200"/>
        <w:rPr>
          <w:rFonts w:ascii="宋体" w:hAnsi="宋体"/>
        </w:rPr>
      </w:pPr>
      <w:r>
        <w:rPr>
          <w:rFonts w:hint="eastAsia" w:ascii="宋体" w:hAnsi="宋体"/>
        </w:rPr>
        <w:t>第11.1.2项补充：</w:t>
      </w:r>
    </w:p>
    <w:p>
      <w:pPr>
        <w:spacing w:line="360" w:lineRule="auto"/>
        <w:ind w:firstLine="420" w:firstLineChars="200"/>
        <w:rPr>
          <w:rFonts w:ascii="宋体" w:hAnsi="宋体"/>
        </w:rPr>
      </w:pPr>
      <w:r>
        <w:rPr>
          <w:rFonts w:hint="eastAsia" w:ascii="宋体" w:hAnsi="宋体"/>
        </w:rPr>
        <w:t>承包人应在分部工程开工前14天向监理人提交分部工程开工报审表，若承包人的开工准备、工作计划和质量控制方法是可接受的且已获得批准，则经监理人书面同意，分部工程才能开工。</w:t>
      </w:r>
    </w:p>
    <w:p>
      <w:pPr>
        <w:spacing w:line="360" w:lineRule="auto"/>
        <w:rPr>
          <w:rFonts w:ascii="宋体" w:hAnsi="宋体"/>
          <w:b/>
          <w:sz w:val="24"/>
          <w:szCs w:val="28"/>
        </w:rPr>
      </w:pPr>
      <w:bookmarkStart w:id="693" w:name="_Toc179632703"/>
      <w:bookmarkStart w:id="694" w:name="_Toc152042463"/>
      <w:bookmarkStart w:id="695" w:name="_Toc144974653"/>
      <w:bookmarkStart w:id="696" w:name="_Toc152045685"/>
      <w:r>
        <w:rPr>
          <w:rFonts w:hint="eastAsia" w:ascii="宋体" w:hAnsi="宋体"/>
          <w:b/>
          <w:sz w:val="24"/>
          <w:szCs w:val="28"/>
        </w:rPr>
        <w:t>11.3发包人的工期延误</w:t>
      </w:r>
      <w:bookmarkEnd w:id="693"/>
      <w:bookmarkEnd w:id="694"/>
      <w:bookmarkEnd w:id="695"/>
      <w:bookmarkEnd w:id="696"/>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即使由于上述原因造成工期延误，如果受影响的工程并非处在工程施工进度网络计划的关键线路上，则承包人无权要求延长总工期。</w:t>
      </w:r>
    </w:p>
    <w:p>
      <w:pPr>
        <w:spacing w:line="360" w:lineRule="auto"/>
        <w:rPr>
          <w:rFonts w:ascii="宋体" w:hAnsi="宋体"/>
          <w:b/>
          <w:sz w:val="24"/>
          <w:szCs w:val="28"/>
        </w:rPr>
      </w:pPr>
      <w:bookmarkStart w:id="697" w:name="_Toc179632704"/>
      <w:bookmarkStart w:id="698" w:name="_Toc152042464"/>
      <w:bookmarkStart w:id="699" w:name="_Toc152045686"/>
      <w:bookmarkStart w:id="700" w:name="_Toc144974654"/>
      <w:r>
        <w:rPr>
          <w:rFonts w:hint="eastAsia" w:ascii="宋体" w:hAnsi="宋体"/>
          <w:b/>
          <w:sz w:val="24"/>
          <w:szCs w:val="28"/>
        </w:rPr>
        <w:t>11.4异常恶劣的气候条件</w:t>
      </w:r>
      <w:bookmarkEnd w:id="697"/>
      <w:bookmarkEnd w:id="698"/>
      <w:bookmarkEnd w:id="699"/>
      <w:bookmarkEnd w:id="700"/>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异常气候是指项目所在地30年以上一遇的罕见气候现象（包括温度、降水、降雪、风等）。异常恶劣的气候条件在项目专用合同条款中作具体规定。</w:t>
      </w:r>
    </w:p>
    <w:p>
      <w:pPr>
        <w:spacing w:line="360" w:lineRule="auto"/>
        <w:rPr>
          <w:rFonts w:ascii="宋体" w:hAnsi="宋体"/>
          <w:b/>
          <w:sz w:val="24"/>
          <w:szCs w:val="28"/>
        </w:rPr>
      </w:pPr>
      <w:bookmarkStart w:id="701" w:name="_Toc144974655"/>
      <w:bookmarkStart w:id="702" w:name="_Toc152042465"/>
      <w:bookmarkStart w:id="703" w:name="_Toc152045687"/>
      <w:bookmarkStart w:id="704" w:name="_Toc179632705"/>
      <w:r>
        <w:rPr>
          <w:rFonts w:hint="eastAsia" w:ascii="宋体" w:hAnsi="宋体"/>
          <w:b/>
          <w:sz w:val="24"/>
          <w:szCs w:val="28"/>
        </w:rPr>
        <w:t>11.5承包人的工期延误</w:t>
      </w:r>
      <w:bookmarkEnd w:id="701"/>
      <w:bookmarkEnd w:id="702"/>
      <w:bookmarkEnd w:id="703"/>
      <w:bookmarkEnd w:id="704"/>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360" w:lineRule="auto"/>
        <w:ind w:firstLine="420" w:firstLineChars="200"/>
        <w:rPr>
          <w:rFonts w:ascii="宋体" w:hAnsi="宋体"/>
        </w:rPr>
      </w:pPr>
      <w:r>
        <w:rPr>
          <w:rFonts w:hint="eastAsia" w:ascii="宋体" w:hAnsi="宋体"/>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360" w:lineRule="auto"/>
        <w:ind w:firstLine="420" w:firstLineChars="200"/>
        <w:rPr>
          <w:rFonts w:ascii="宋体" w:hAnsi="宋体"/>
        </w:rPr>
      </w:pPr>
      <w:r>
        <w:rPr>
          <w:rFonts w:hint="eastAsia" w:ascii="宋体" w:hAnsi="宋体"/>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360" w:lineRule="auto"/>
        <w:ind w:firstLine="420" w:firstLineChars="200"/>
        <w:rPr>
          <w:rFonts w:ascii="宋体" w:hAnsi="宋体"/>
        </w:rPr>
      </w:pPr>
      <w:r>
        <w:rPr>
          <w:rFonts w:hint="eastAsia" w:ascii="宋体" w:hAnsi="宋体"/>
        </w:rPr>
        <w:t>（4）承包人支付逾期交工违约金，不免除承包人完成工程及修补缺陷的义务。</w:t>
      </w:r>
    </w:p>
    <w:p>
      <w:pPr>
        <w:spacing w:line="360" w:lineRule="auto"/>
        <w:ind w:firstLine="420" w:firstLineChars="200"/>
        <w:rPr>
          <w:rFonts w:ascii="宋体" w:hAnsi="宋体"/>
        </w:rPr>
      </w:pPr>
      <w:r>
        <w:rPr>
          <w:rFonts w:hint="eastAsia" w:ascii="宋体" w:hAnsi="宋体"/>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spacing w:line="360" w:lineRule="auto"/>
        <w:rPr>
          <w:rFonts w:ascii="宋体" w:hAnsi="宋体"/>
          <w:b/>
          <w:sz w:val="24"/>
          <w:szCs w:val="28"/>
        </w:rPr>
      </w:pPr>
      <w:bookmarkStart w:id="705" w:name="_Toc144974656"/>
      <w:bookmarkStart w:id="706" w:name="_Toc179632706"/>
      <w:bookmarkStart w:id="707" w:name="_Toc152045688"/>
      <w:bookmarkStart w:id="708" w:name="_Toc152042466"/>
      <w:r>
        <w:rPr>
          <w:rFonts w:hint="eastAsia" w:ascii="宋体" w:hAnsi="宋体"/>
          <w:b/>
          <w:sz w:val="24"/>
          <w:szCs w:val="28"/>
        </w:rPr>
        <w:t>11.6</w:t>
      </w:r>
      <w:bookmarkEnd w:id="705"/>
      <w:bookmarkStart w:id="709" w:name="_Toc144974657"/>
      <w:r>
        <w:rPr>
          <w:rFonts w:hint="eastAsia" w:ascii="宋体" w:hAnsi="宋体"/>
          <w:b/>
          <w:sz w:val="24"/>
          <w:szCs w:val="28"/>
        </w:rPr>
        <w:t>工期提前</w:t>
      </w:r>
      <w:bookmarkEnd w:id="706"/>
      <w:bookmarkEnd w:id="707"/>
      <w:bookmarkEnd w:id="708"/>
      <w:bookmarkEnd w:id="709"/>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发包人不得随意要求承包人提前交工，承包人也不得随意提出提前交工的建议。如遇特殊情况，确需将工期提前的，发包人和承包人必须采取有效措施，确保工程质量。</w:t>
      </w:r>
    </w:p>
    <w:p>
      <w:pPr>
        <w:spacing w:line="360" w:lineRule="auto"/>
        <w:ind w:firstLine="420" w:firstLineChars="200"/>
        <w:rPr>
          <w:rFonts w:ascii="宋体" w:hAnsi="宋体"/>
        </w:rPr>
      </w:pPr>
      <w:r>
        <w:rPr>
          <w:rFonts w:hint="eastAsia" w:ascii="宋体" w:hAnsi="宋体"/>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360" w:lineRule="auto"/>
        <w:rPr>
          <w:rFonts w:ascii="宋体" w:hAnsi="宋体"/>
        </w:rPr>
      </w:pPr>
      <w:r>
        <w:rPr>
          <w:rFonts w:hint="eastAsia" w:ascii="宋体" w:hAnsi="宋体"/>
        </w:rPr>
        <w:t>补充第11.7款：</w:t>
      </w:r>
    </w:p>
    <w:p>
      <w:pPr>
        <w:spacing w:line="360" w:lineRule="auto"/>
        <w:rPr>
          <w:rFonts w:ascii="宋体" w:hAnsi="宋体"/>
          <w:b/>
          <w:sz w:val="24"/>
          <w:szCs w:val="28"/>
        </w:rPr>
      </w:pPr>
      <w:r>
        <w:rPr>
          <w:rFonts w:hint="eastAsia" w:ascii="宋体" w:hAnsi="宋体"/>
          <w:b/>
          <w:sz w:val="24"/>
          <w:szCs w:val="28"/>
        </w:rPr>
        <w:t>11.7工作时间的限制</w:t>
      </w:r>
    </w:p>
    <w:p>
      <w:pPr>
        <w:spacing w:line="360" w:lineRule="auto"/>
        <w:ind w:firstLine="420" w:firstLineChars="200"/>
        <w:rPr>
          <w:rFonts w:ascii="宋体" w:hAnsi="宋体"/>
        </w:rPr>
      </w:pPr>
      <w:r>
        <w:rPr>
          <w:rFonts w:hint="eastAsia" w:ascii="宋体" w:hAnsi="宋体"/>
        </w:rPr>
        <w:t>承包人在夜间或国家规定的节假日进行永久工程的施工，应向监理人报告，以便监理人履行监理职责和义务。</w:t>
      </w:r>
    </w:p>
    <w:p>
      <w:pPr>
        <w:spacing w:line="360" w:lineRule="auto"/>
        <w:ind w:firstLine="420" w:firstLineChars="200"/>
        <w:rPr>
          <w:rFonts w:ascii="宋体" w:hAnsi="宋体"/>
        </w:rPr>
      </w:pPr>
      <w:r>
        <w:rPr>
          <w:rFonts w:hint="eastAsia" w:ascii="宋体" w:hAnsi="宋体"/>
        </w:rPr>
        <w:t>但是，为了抢救生命或保护财产，或为了工程的安全、质量而不可避免地短暂作业，则不必事先向监理人报告。但承包人应在事后立即向监理人报告。</w:t>
      </w:r>
    </w:p>
    <w:p>
      <w:pPr>
        <w:spacing w:line="360" w:lineRule="auto"/>
        <w:ind w:firstLine="420" w:firstLineChars="200"/>
        <w:rPr>
          <w:rFonts w:ascii="宋体" w:hAnsi="宋体"/>
        </w:rPr>
      </w:pPr>
      <w:r>
        <w:rPr>
          <w:rFonts w:hint="eastAsia" w:ascii="宋体" w:hAnsi="宋体"/>
        </w:rPr>
        <w:t>本款规定不适用于习惯上或施工本身要求实行连续生产的作业。</w:t>
      </w:r>
    </w:p>
    <w:p>
      <w:pPr>
        <w:spacing w:line="360" w:lineRule="auto"/>
        <w:rPr>
          <w:rFonts w:ascii="宋体" w:hAnsi="宋体"/>
          <w:b/>
          <w:sz w:val="28"/>
          <w:szCs w:val="30"/>
        </w:rPr>
      </w:pPr>
      <w:bookmarkStart w:id="710" w:name="_Toc152042467"/>
      <w:bookmarkStart w:id="711" w:name="_Toc144974658"/>
      <w:bookmarkStart w:id="712" w:name="_Toc179632707"/>
      <w:bookmarkStart w:id="713" w:name="_Toc152045689"/>
      <w:r>
        <w:rPr>
          <w:rFonts w:hint="eastAsia" w:ascii="宋体" w:hAnsi="宋体"/>
          <w:b/>
          <w:sz w:val="28"/>
          <w:szCs w:val="30"/>
        </w:rPr>
        <w:t>12.暂停施工</w:t>
      </w:r>
      <w:bookmarkEnd w:id="710"/>
      <w:bookmarkEnd w:id="711"/>
      <w:bookmarkEnd w:id="712"/>
      <w:bookmarkEnd w:id="713"/>
    </w:p>
    <w:p>
      <w:pPr>
        <w:spacing w:line="360" w:lineRule="auto"/>
        <w:rPr>
          <w:rFonts w:ascii="宋体" w:hAnsi="宋体"/>
          <w:b/>
          <w:sz w:val="24"/>
          <w:szCs w:val="28"/>
        </w:rPr>
      </w:pPr>
      <w:bookmarkStart w:id="714" w:name="_Toc152042468"/>
      <w:bookmarkStart w:id="715" w:name="_Toc144974659"/>
      <w:bookmarkStart w:id="716" w:name="_Toc152045690"/>
      <w:bookmarkStart w:id="717" w:name="_Toc179632708"/>
      <w:r>
        <w:rPr>
          <w:rFonts w:hint="eastAsia" w:ascii="宋体" w:hAnsi="宋体"/>
          <w:b/>
          <w:sz w:val="24"/>
          <w:szCs w:val="28"/>
        </w:rPr>
        <w:t>12.1承包人暂停施工的责任</w:t>
      </w:r>
      <w:bookmarkEnd w:id="714"/>
      <w:bookmarkEnd w:id="715"/>
      <w:bookmarkEnd w:id="716"/>
      <w:bookmarkEnd w:id="717"/>
    </w:p>
    <w:p>
      <w:pPr>
        <w:spacing w:line="360" w:lineRule="auto"/>
        <w:ind w:firstLine="420" w:firstLineChars="200"/>
        <w:rPr>
          <w:rFonts w:ascii="宋体" w:hAnsi="宋体"/>
        </w:rPr>
      </w:pPr>
      <w:r>
        <w:rPr>
          <w:rFonts w:hint="eastAsia" w:ascii="宋体" w:hAnsi="宋体"/>
        </w:rPr>
        <w:t>本款第（5）项细化为：</w:t>
      </w:r>
    </w:p>
    <w:p>
      <w:pPr>
        <w:spacing w:line="360" w:lineRule="auto"/>
        <w:ind w:firstLine="420" w:firstLineChars="200"/>
        <w:rPr>
          <w:rFonts w:ascii="宋体" w:hAnsi="宋体"/>
        </w:rPr>
      </w:pPr>
      <w:r>
        <w:rPr>
          <w:rFonts w:hint="eastAsia" w:ascii="宋体" w:hAnsi="宋体"/>
        </w:rPr>
        <w:t>（5）现场气候条件导致的必要停工（第11.4款规定的异常恶劣的气候条件除外）；</w:t>
      </w:r>
    </w:p>
    <w:p>
      <w:pPr>
        <w:spacing w:line="360" w:lineRule="auto"/>
        <w:ind w:firstLine="420" w:firstLineChars="200"/>
        <w:rPr>
          <w:rFonts w:ascii="宋体" w:hAnsi="宋体"/>
        </w:rPr>
      </w:pPr>
      <w:r>
        <w:rPr>
          <w:rFonts w:hint="eastAsia" w:ascii="宋体" w:hAnsi="宋体"/>
        </w:rPr>
        <w:t>（6）项目专用合同条款可能约定的由承包人承担的其他暂停施工。</w:t>
      </w:r>
    </w:p>
    <w:p>
      <w:pPr>
        <w:spacing w:line="360" w:lineRule="auto"/>
        <w:rPr>
          <w:rFonts w:ascii="宋体" w:hAnsi="宋体"/>
          <w:b/>
          <w:sz w:val="28"/>
          <w:szCs w:val="30"/>
        </w:rPr>
      </w:pPr>
      <w:bookmarkStart w:id="718" w:name="_Toc179632713"/>
      <w:bookmarkStart w:id="719" w:name="_Toc152045695"/>
      <w:bookmarkStart w:id="720" w:name="_Toc144974664"/>
      <w:bookmarkStart w:id="721" w:name="_Toc152042473"/>
      <w:r>
        <w:rPr>
          <w:rFonts w:hint="eastAsia" w:ascii="宋体" w:hAnsi="宋体"/>
          <w:b/>
          <w:sz w:val="28"/>
          <w:szCs w:val="30"/>
        </w:rPr>
        <w:t>13.工程质量</w:t>
      </w:r>
      <w:bookmarkEnd w:id="718"/>
      <w:bookmarkEnd w:id="719"/>
      <w:bookmarkEnd w:id="720"/>
      <w:bookmarkEnd w:id="721"/>
    </w:p>
    <w:p>
      <w:pPr>
        <w:spacing w:line="360" w:lineRule="auto"/>
        <w:rPr>
          <w:rFonts w:ascii="宋体" w:hAnsi="宋体"/>
          <w:b/>
          <w:sz w:val="24"/>
          <w:szCs w:val="28"/>
        </w:rPr>
      </w:pPr>
      <w:bookmarkStart w:id="722" w:name="_Toc152042474"/>
      <w:bookmarkStart w:id="723" w:name="_Toc144974665"/>
      <w:bookmarkStart w:id="724" w:name="_Toc152045696"/>
      <w:bookmarkStart w:id="725" w:name="_Toc179632714"/>
      <w:r>
        <w:rPr>
          <w:rFonts w:hint="eastAsia" w:ascii="宋体" w:hAnsi="宋体"/>
          <w:b/>
          <w:sz w:val="24"/>
          <w:szCs w:val="28"/>
        </w:rPr>
        <w:t>13.1工程质量要求</w:t>
      </w:r>
      <w:bookmarkEnd w:id="722"/>
      <w:bookmarkEnd w:id="723"/>
      <w:bookmarkEnd w:id="724"/>
      <w:bookmarkEnd w:id="725"/>
    </w:p>
    <w:p>
      <w:pPr>
        <w:spacing w:line="360" w:lineRule="auto"/>
        <w:ind w:firstLine="420" w:firstLineChars="200"/>
        <w:rPr>
          <w:rFonts w:ascii="宋体" w:hAnsi="宋体"/>
        </w:rPr>
      </w:pPr>
      <w:r>
        <w:rPr>
          <w:rFonts w:hint="eastAsia" w:ascii="宋体" w:hAnsi="宋体"/>
        </w:rPr>
        <w:t>第13.1.1项约定为：</w:t>
      </w:r>
    </w:p>
    <w:p>
      <w:pPr>
        <w:spacing w:line="360" w:lineRule="auto"/>
        <w:ind w:firstLine="420" w:firstLineChars="200"/>
        <w:rPr>
          <w:rFonts w:ascii="宋体" w:hAnsi="宋体"/>
        </w:rPr>
      </w:pPr>
      <w:r>
        <w:rPr>
          <w:rFonts w:hint="eastAsia" w:ascii="宋体" w:hAnsi="宋体"/>
        </w:rPr>
        <w:t>工程质量验收按技术规范及《公路工程质量检验评定标准》执行。</w:t>
      </w:r>
    </w:p>
    <w:p>
      <w:pPr>
        <w:spacing w:line="360" w:lineRule="auto"/>
        <w:ind w:firstLine="420" w:firstLineChars="200"/>
        <w:rPr>
          <w:rFonts w:ascii="宋体" w:hAnsi="宋体"/>
        </w:rPr>
      </w:pPr>
      <w:r>
        <w:rPr>
          <w:rFonts w:hint="eastAsia" w:ascii="宋体" w:hAnsi="宋体"/>
        </w:rPr>
        <w:t>本款补充第13.1.4项和第13.1.5项：</w:t>
      </w:r>
    </w:p>
    <w:p>
      <w:pPr>
        <w:spacing w:line="360" w:lineRule="auto"/>
        <w:ind w:firstLine="420" w:firstLineChars="200"/>
        <w:rPr>
          <w:rFonts w:ascii="宋体" w:hAnsi="宋体"/>
        </w:rPr>
      </w:pPr>
      <w:r>
        <w:rPr>
          <w:rFonts w:hint="eastAsia" w:ascii="宋体" w:hAnsi="宋体"/>
        </w:rPr>
        <w:t>13.1.4发包人和承包人应严格遵守《关于严格落实公路工程质量责任制的若干意见》的相关规定，认真执行工程质量责任登记制度并按要求填写工程质量责任登记表。</w:t>
      </w:r>
    </w:p>
    <w:p>
      <w:pPr>
        <w:spacing w:line="360" w:lineRule="auto"/>
        <w:ind w:firstLine="420" w:firstLineChars="200"/>
        <w:rPr>
          <w:rFonts w:ascii="宋体" w:hAnsi="宋体"/>
        </w:rPr>
      </w:pPr>
      <w:r>
        <w:rPr>
          <w:rFonts w:hint="eastAsia" w:ascii="宋体" w:hAnsi="宋体"/>
        </w:rPr>
        <w:t>13.1.5本项目严格执行质量责任追究制度。质量事故处理实行“四不放过”原则：事故原因调查不清不放过；事故责任者没有受到教育不放过；没有防范措施不放过；相关责任人没受到处理不放过。</w:t>
      </w:r>
    </w:p>
    <w:p>
      <w:pPr>
        <w:spacing w:line="360" w:lineRule="auto"/>
        <w:rPr>
          <w:rFonts w:ascii="宋体" w:hAnsi="宋体"/>
          <w:b/>
          <w:sz w:val="24"/>
          <w:szCs w:val="28"/>
        </w:rPr>
      </w:pPr>
      <w:bookmarkStart w:id="726" w:name="_Toc144974666"/>
      <w:bookmarkStart w:id="727" w:name="_Toc179632715"/>
      <w:bookmarkStart w:id="728" w:name="_Toc152042475"/>
      <w:bookmarkStart w:id="729" w:name="_Toc152045697"/>
      <w:r>
        <w:rPr>
          <w:rFonts w:hint="eastAsia" w:ascii="宋体" w:hAnsi="宋体"/>
          <w:b/>
          <w:sz w:val="24"/>
          <w:szCs w:val="28"/>
        </w:rPr>
        <w:t>13.2承包人的质量管理</w:t>
      </w:r>
      <w:bookmarkEnd w:id="726"/>
      <w:bookmarkEnd w:id="727"/>
      <w:bookmarkEnd w:id="728"/>
      <w:bookmarkEnd w:id="729"/>
    </w:p>
    <w:p>
      <w:pPr>
        <w:spacing w:line="360" w:lineRule="auto"/>
        <w:ind w:firstLine="420" w:firstLineChars="200"/>
        <w:rPr>
          <w:rFonts w:ascii="宋体" w:hAnsi="宋体"/>
        </w:rPr>
      </w:pPr>
      <w:r>
        <w:rPr>
          <w:rFonts w:hint="eastAsia" w:ascii="宋体" w:hAnsi="宋体"/>
        </w:rPr>
        <w:t>第13.2.1项补充：</w:t>
      </w:r>
    </w:p>
    <w:p>
      <w:pPr>
        <w:spacing w:line="360" w:lineRule="auto"/>
        <w:ind w:firstLine="420" w:firstLineChars="200"/>
        <w:rPr>
          <w:rFonts w:ascii="宋体" w:hAnsi="宋体"/>
        </w:rPr>
      </w:pPr>
      <w:r>
        <w:rPr>
          <w:rFonts w:hint="eastAsia" w:ascii="宋体" w:hAnsi="宋体"/>
        </w:rPr>
        <w:t>承包人提交工程质量保证措施文件的期限：签订合同协议书后28天之内。</w:t>
      </w:r>
    </w:p>
    <w:p>
      <w:pPr>
        <w:spacing w:line="360" w:lineRule="auto"/>
        <w:ind w:firstLine="420" w:firstLineChars="200"/>
        <w:rPr>
          <w:rFonts w:ascii="宋体" w:hAnsi="宋体"/>
        </w:rPr>
      </w:pPr>
      <w:r>
        <w:rPr>
          <w:rFonts w:hint="eastAsia" w:ascii="宋体" w:hAnsi="宋体"/>
        </w:rPr>
        <w:t>本款补充第13.2.3项~第13.2.10项：</w:t>
      </w:r>
    </w:p>
    <w:p>
      <w:pPr>
        <w:spacing w:line="360" w:lineRule="auto"/>
        <w:ind w:firstLine="420" w:firstLineChars="200"/>
        <w:rPr>
          <w:rFonts w:ascii="宋体" w:hAnsi="宋体"/>
        </w:rPr>
      </w:pPr>
      <w:r>
        <w:rPr>
          <w:rFonts w:hint="eastAsia" w:ascii="宋体" w:hAnsi="宋体"/>
        </w:rPr>
        <w:t>13.2.3公路工程施行质量责任终身制。承包人应当书面明确相应的项目负责人和质量负责人。承包人的相关人员按照国家法律法规和有关规定在工程合理使用年限内承担相应的质量责任。</w:t>
      </w:r>
    </w:p>
    <w:p>
      <w:pPr>
        <w:spacing w:line="360" w:lineRule="auto"/>
        <w:ind w:firstLine="420" w:firstLineChars="200"/>
        <w:rPr>
          <w:rFonts w:ascii="宋体" w:hAnsi="宋体"/>
        </w:rPr>
      </w:pPr>
      <w:r>
        <w:rPr>
          <w:rFonts w:hint="eastAsia" w:ascii="宋体" w:hAnsi="宋体"/>
        </w:rPr>
        <w:t>13.2.4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spacing w:line="360" w:lineRule="auto"/>
        <w:ind w:firstLine="420" w:firstLineChars="200"/>
        <w:rPr>
          <w:rFonts w:ascii="宋体" w:hAnsi="宋体"/>
        </w:rPr>
      </w:pPr>
      <w:r>
        <w:rPr>
          <w:rFonts w:hint="eastAsia" w:ascii="宋体" w:hAnsi="宋体"/>
        </w:rPr>
        <w:t>13.2.5承包人对工程施工质量负责，应当按合同约定设立现场质量管理机构、配备工程技术人员和质量管理人员，落实工程施工质量责任制。</w:t>
      </w:r>
    </w:p>
    <w:p>
      <w:pPr>
        <w:spacing w:line="360" w:lineRule="auto"/>
        <w:ind w:firstLine="420" w:firstLineChars="200"/>
        <w:rPr>
          <w:rFonts w:ascii="宋体" w:hAnsi="宋体"/>
        </w:rPr>
      </w:pPr>
      <w:r>
        <w:rPr>
          <w:rFonts w:hint="eastAsia" w:ascii="宋体" w:hAnsi="宋体"/>
        </w:rPr>
        <w:t>13.2.6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spacing w:line="360" w:lineRule="auto"/>
        <w:ind w:firstLine="420" w:firstLineChars="200"/>
        <w:rPr>
          <w:rFonts w:ascii="宋体" w:hAnsi="宋体"/>
        </w:rPr>
      </w:pPr>
      <w:r>
        <w:rPr>
          <w:rFonts w:hint="eastAsia" w:ascii="宋体" w:hAnsi="宋体"/>
        </w:rPr>
        <w:t>13.2.7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360" w:lineRule="auto"/>
        <w:ind w:firstLine="420" w:firstLineChars="200"/>
        <w:rPr>
          <w:rFonts w:ascii="宋体" w:hAnsi="宋体"/>
        </w:rPr>
      </w:pPr>
      <w:r>
        <w:rPr>
          <w:rFonts w:hint="eastAsia" w:ascii="宋体" w:hAnsi="宋体"/>
        </w:rPr>
        <w:t>13.2.8承包人应当按照合同约定设立工地临时实验室，配齐检测和实验仪器、仪表，及时校正确保其精确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360" w:lineRule="auto"/>
        <w:ind w:firstLine="420" w:firstLineChars="200"/>
        <w:rPr>
          <w:rFonts w:ascii="宋体" w:hAnsi="宋体"/>
        </w:rPr>
      </w:pPr>
      <w:r>
        <w:rPr>
          <w:rFonts w:hint="eastAsia" w:ascii="宋体" w:hAnsi="宋体"/>
        </w:rPr>
        <w:t>13.2.9承包人应当依法规范分包行为，并对承担的工程质量负总责，分包单位对分包合同范围内的工程质量负责。</w:t>
      </w:r>
    </w:p>
    <w:p>
      <w:pPr>
        <w:spacing w:line="360" w:lineRule="auto"/>
        <w:ind w:firstLine="420" w:firstLineChars="200"/>
        <w:rPr>
          <w:rFonts w:ascii="宋体" w:hAnsi="宋体"/>
        </w:rPr>
      </w:pPr>
      <w:r>
        <w:rPr>
          <w:rFonts w:hint="eastAsia" w:ascii="宋体" w:hAnsi="宋体"/>
        </w:rPr>
        <w:t>13.2.10承包人驻工程现场机构应在现场驻地和重要的分部、分项工程施工现场设置明显的工程质量责任登记表公示牌。</w:t>
      </w:r>
    </w:p>
    <w:p>
      <w:pPr>
        <w:spacing w:line="360" w:lineRule="auto"/>
        <w:rPr>
          <w:rFonts w:ascii="宋体" w:hAnsi="宋体"/>
          <w:b/>
          <w:sz w:val="24"/>
          <w:szCs w:val="28"/>
        </w:rPr>
      </w:pPr>
      <w:bookmarkStart w:id="730" w:name="_Toc152045699"/>
      <w:bookmarkStart w:id="731" w:name="_Toc144974668"/>
      <w:bookmarkStart w:id="732" w:name="_Toc152042477"/>
      <w:bookmarkStart w:id="733" w:name="_Toc179632717"/>
      <w:r>
        <w:rPr>
          <w:rFonts w:hint="eastAsia" w:ascii="宋体" w:hAnsi="宋体"/>
          <w:b/>
          <w:sz w:val="24"/>
          <w:szCs w:val="28"/>
        </w:rPr>
        <w:t>13.4监理人的质量检查</w:t>
      </w:r>
      <w:bookmarkEnd w:id="730"/>
      <w:bookmarkEnd w:id="731"/>
      <w:bookmarkEnd w:id="732"/>
      <w:bookmarkEnd w:id="733"/>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监理人及其委派的检验人员，应能进入工程现场，以及材料或工程设备的制造、加工或制配的车间和场所，包括不属于承包人的车间或场所进行检查，承包人应为此提供便利和协助。</w:t>
      </w:r>
    </w:p>
    <w:p>
      <w:pPr>
        <w:spacing w:line="360" w:lineRule="auto"/>
        <w:ind w:firstLine="420" w:firstLineChars="200"/>
        <w:rPr>
          <w:rFonts w:ascii="宋体" w:hAnsi="宋体"/>
        </w:rPr>
      </w:pPr>
      <w:r>
        <w:rPr>
          <w:rFonts w:hint="eastAsia" w:ascii="宋体" w:hAnsi="宋体"/>
        </w:rPr>
        <w:t>监理人可以将材料或工程设备的检查和检验委托给一家独立的有质量检验认证资格的检验单位。该独立检验单位的检验结果应视为监理人完成的。监理人应将这种委托的通知书不少于7天前交给承包人。</w:t>
      </w:r>
    </w:p>
    <w:p>
      <w:pPr>
        <w:spacing w:line="360" w:lineRule="auto"/>
        <w:rPr>
          <w:rFonts w:ascii="宋体" w:hAnsi="宋体"/>
          <w:b/>
          <w:sz w:val="24"/>
          <w:szCs w:val="28"/>
        </w:rPr>
      </w:pPr>
      <w:bookmarkStart w:id="734" w:name="_Toc152045700"/>
      <w:bookmarkStart w:id="735" w:name="_Toc144974669"/>
      <w:bookmarkStart w:id="736" w:name="_Toc152042478"/>
      <w:bookmarkStart w:id="737" w:name="_Toc179632718"/>
      <w:r>
        <w:rPr>
          <w:rFonts w:hint="eastAsia" w:ascii="宋体" w:hAnsi="宋体"/>
          <w:b/>
          <w:sz w:val="24"/>
          <w:szCs w:val="28"/>
        </w:rPr>
        <w:t>13.5工程隐蔽部位覆盖前的检查</w:t>
      </w:r>
      <w:bookmarkEnd w:id="734"/>
      <w:bookmarkEnd w:id="735"/>
      <w:bookmarkEnd w:id="736"/>
      <w:bookmarkEnd w:id="737"/>
    </w:p>
    <w:p>
      <w:pPr>
        <w:spacing w:line="360" w:lineRule="auto"/>
        <w:ind w:firstLine="420" w:firstLineChars="200"/>
        <w:rPr>
          <w:rFonts w:ascii="宋体" w:hAnsi="宋体"/>
        </w:rPr>
      </w:pPr>
      <w:r>
        <w:rPr>
          <w:rFonts w:hint="eastAsia" w:ascii="宋体" w:hAnsi="宋体"/>
        </w:rPr>
        <w:t>第13.5.1项补充：</w:t>
      </w:r>
    </w:p>
    <w:p>
      <w:pPr>
        <w:spacing w:line="360" w:lineRule="auto"/>
        <w:ind w:firstLine="420" w:firstLineChars="200"/>
        <w:rPr>
          <w:rFonts w:ascii="宋体" w:hAnsi="宋体"/>
        </w:rPr>
      </w:pPr>
      <w:r>
        <w:rPr>
          <w:rFonts w:hint="eastAsia" w:ascii="宋体" w:hAnsi="宋体"/>
        </w:rPr>
        <w:t>当监理人有指令时，承包人应对重要隐蔽工程进行拍摄或照相并应保证监理人有充分的机会对将要覆盖或掩蔽的工程进行检查和量测，特别是在基础以上的任一部分工程修筑之前，对该基础进行检查。</w:t>
      </w:r>
    </w:p>
    <w:p>
      <w:pPr>
        <w:spacing w:line="360" w:lineRule="auto"/>
        <w:rPr>
          <w:rFonts w:ascii="宋体" w:hAnsi="宋体"/>
          <w:b/>
          <w:sz w:val="24"/>
          <w:szCs w:val="28"/>
        </w:rPr>
      </w:pPr>
      <w:bookmarkStart w:id="738" w:name="_Toc152045701"/>
      <w:bookmarkStart w:id="739" w:name="_Toc179632719"/>
      <w:bookmarkStart w:id="740" w:name="_Toc144974670"/>
      <w:bookmarkStart w:id="741" w:name="_Toc152042479"/>
      <w:r>
        <w:rPr>
          <w:rFonts w:hint="eastAsia" w:ascii="宋体" w:hAnsi="宋体"/>
          <w:b/>
          <w:sz w:val="24"/>
          <w:szCs w:val="28"/>
        </w:rPr>
        <w:t>13.6清除不合格工程</w:t>
      </w:r>
      <w:bookmarkEnd w:id="738"/>
      <w:bookmarkEnd w:id="739"/>
      <w:bookmarkEnd w:id="740"/>
      <w:bookmarkEnd w:id="741"/>
    </w:p>
    <w:p>
      <w:pPr>
        <w:spacing w:line="360" w:lineRule="auto"/>
        <w:ind w:firstLine="420" w:firstLineChars="200"/>
        <w:rPr>
          <w:rFonts w:ascii="宋体" w:hAnsi="宋体"/>
        </w:rPr>
      </w:pPr>
      <w:r>
        <w:rPr>
          <w:rFonts w:hint="eastAsia" w:ascii="宋体" w:hAnsi="宋体"/>
        </w:rPr>
        <w:t>第13.6.1项细化为：</w:t>
      </w:r>
    </w:p>
    <w:p>
      <w:pPr>
        <w:spacing w:line="360" w:lineRule="auto"/>
        <w:ind w:firstLine="420" w:firstLineChars="200"/>
        <w:rPr>
          <w:rFonts w:ascii="宋体" w:hAnsi="宋体"/>
        </w:rPr>
      </w:pPr>
      <w:r>
        <w:rPr>
          <w:rFonts w:hint="eastAsia" w:ascii="宋体" w:hAnsi="宋体"/>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360" w:lineRule="auto"/>
        <w:ind w:firstLine="420" w:firstLineChars="200"/>
        <w:rPr>
          <w:rFonts w:ascii="宋体" w:hAnsi="宋体"/>
        </w:rPr>
      </w:pPr>
      <w:r>
        <w:rPr>
          <w:rFonts w:hint="eastAsia" w:ascii="宋体" w:hAnsi="宋体"/>
        </w:rPr>
        <w:t>（2）如果承包人未在规定时间内执行监理人的指示，发包人有权雇用他人执行，由此增加的费用和（或）工期延误由承包人承担。</w:t>
      </w:r>
    </w:p>
    <w:p>
      <w:pPr>
        <w:spacing w:line="360" w:lineRule="auto"/>
        <w:rPr>
          <w:rFonts w:ascii="宋体" w:hAnsi="宋体"/>
          <w:b/>
          <w:sz w:val="28"/>
          <w:szCs w:val="30"/>
        </w:rPr>
      </w:pPr>
      <w:bookmarkStart w:id="742" w:name="_Toc144974671"/>
      <w:bookmarkStart w:id="743" w:name="_Toc152045702"/>
      <w:bookmarkStart w:id="744" w:name="_Toc179632720"/>
      <w:bookmarkStart w:id="745" w:name="_Toc152042480"/>
      <w:r>
        <w:rPr>
          <w:rFonts w:hint="eastAsia" w:ascii="宋体" w:hAnsi="宋体"/>
          <w:b/>
          <w:sz w:val="28"/>
          <w:szCs w:val="30"/>
        </w:rPr>
        <w:t>14.试验和检验</w:t>
      </w:r>
      <w:bookmarkEnd w:id="742"/>
      <w:bookmarkEnd w:id="743"/>
      <w:bookmarkEnd w:id="744"/>
      <w:bookmarkEnd w:id="745"/>
    </w:p>
    <w:p>
      <w:pPr>
        <w:spacing w:line="360" w:lineRule="auto"/>
        <w:rPr>
          <w:rFonts w:ascii="宋体" w:hAnsi="宋体"/>
        </w:rPr>
      </w:pPr>
      <w:r>
        <w:rPr>
          <w:rFonts w:hint="eastAsia" w:ascii="宋体" w:hAnsi="宋体"/>
        </w:rPr>
        <w:t>本条补充第14.4款：</w:t>
      </w:r>
    </w:p>
    <w:p>
      <w:pPr>
        <w:spacing w:line="360" w:lineRule="auto"/>
        <w:rPr>
          <w:rFonts w:ascii="宋体" w:hAnsi="宋体"/>
          <w:b/>
          <w:sz w:val="24"/>
          <w:szCs w:val="28"/>
        </w:rPr>
      </w:pPr>
      <w:r>
        <w:rPr>
          <w:rFonts w:hint="eastAsia" w:ascii="宋体" w:hAnsi="宋体"/>
          <w:b/>
          <w:sz w:val="24"/>
          <w:szCs w:val="28"/>
        </w:rPr>
        <w:t>14.4试验和检验费用</w:t>
      </w:r>
    </w:p>
    <w:p>
      <w:pPr>
        <w:spacing w:line="360" w:lineRule="auto"/>
        <w:ind w:firstLine="420" w:firstLineChars="200"/>
        <w:rPr>
          <w:rFonts w:ascii="宋体" w:hAnsi="宋体"/>
        </w:rPr>
      </w:pPr>
      <w:r>
        <w:rPr>
          <w:rFonts w:hint="eastAsia" w:ascii="宋体" w:hAnsi="宋体"/>
        </w:rPr>
        <w:t>（1）承包人应负责提供合同和技术规范规定的试验和检验所需的全部样品，并承担其费用。</w:t>
      </w:r>
    </w:p>
    <w:p>
      <w:pPr>
        <w:spacing w:line="360" w:lineRule="auto"/>
        <w:ind w:firstLine="420" w:firstLineChars="200"/>
        <w:rPr>
          <w:rFonts w:ascii="宋体" w:hAnsi="宋体"/>
        </w:rPr>
      </w:pPr>
      <w:r>
        <w:rPr>
          <w:rFonts w:hint="eastAsia" w:ascii="宋体" w:hAnsi="宋体"/>
        </w:rPr>
        <w:t>（2）在合同中明确规定的试验和检验，包括无须在工程量清单中单独列项和已在工程量清单中单独列项的试验和检验，其试验和检验的费用由承包人负担。</w:t>
      </w:r>
    </w:p>
    <w:p>
      <w:pPr>
        <w:spacing w:line="360" w:lineRule="auto"/>
        <w:ind w:firstLine="420" w:firstLineChars="200"/>
        <w:rPr>
          <w:rFonts w:ascii="宋体" w:hAnsi="宋体"/>
        </w:rPr>
      </w:pPr>
      <w:r>
        <w:rPr>
          <w:rFonts w:hint="eastAsia" w:ascii="宋体" w:hAnsi="宋体"/>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spacing w:line="360" w:lineRule="auto"/>
        <w:rPr>
          <w:rFonts w:ascii="宋体" w:hAnsi="宋体"/>
          <w:b/>
          <w:sz w:val="28"/>
          <w:szCs w:val="30"/>
        </w:rPr>
      </w:pPr>
      <w:bookmarkStart w:id="746" w:name="_Toc152045706"/>
      <w:bookmarkStart w:id="747" w:name="_Toc179632724"/>
      <w:bookmarkStart w:id="748" w:name="_Toc144974675"/>
      <w:bookmarkStart w:id="749" w:name="_Toc152042484"/>
      <w:r>
        <w:rPr>
          <w:rFonts w:hint="eastAsia" w:ascii="宋体" w:hAnsi="宋体"/>
          <w:b/>
          <w:sz w:val="28"/>
          <w:szCs w:val="30"/>
        </w:rPr>
        <w:t>15.变更</w:t>
      </w:r>
      <w:bookmarkEnd w:id="746"/>
      <w:bookmarkEnd w:id="747"/>
      <w:bookmarkEnd w:id="748"/>
      <w:bookmarkEnd w:id="749"/>
    </w:p>
    <w:p>
      <w:pPr>
        <w:spacing w:line="360" w:lineRule="auto"/>
        <w:rPr>
          <w:rFonts w:ascii="宋体" w:hAnsi="宋体"/>
          <w:b/>
          <w:sz w:val="24"/>
          <w:szCs w:val="28"/>
        </w:rPr>
      </w:pPr>
      <w:bookmarkStart w:id="750" w:name="_Toc144974676"/>
      <w:bookmarkStart w:id="751" w:name="_Toc152042485"/>
      <w:bookmarkStart w:id="752" w:name="_Toc152045707"/>
      <w:bookmarkStart w:id="753" w:name="_Toc179632725"/>
      <w:r>
        <w:rPr>
          <w:rFonts w:hint="eastAsia" w:ascii="宋体" w:hAnsi="宋体"/>
          <w:b/>
          <w:sz w:val="24"/>
          <w:szCs w:val="28"/>
        </w:rPr>
        <w:t>15.1变更的范围和内容</w:t>
      </w:r>
      <w:bookmarkEnd w:id="750"/>
      <w:bookmarkEnd w:id="751"/>
      <w:bookmarkEnd w:id="752"/>
      <w:bookmarkEnd w:id="753"/>
    </w:p>
    <w:p>
      <w:pPr>
        <w:spacing w:line="360" w:lineRule="auto"/>
        <w:ind w:firstLine="420" w:firstLineChars="200"/>
        <w:rPr>
          <w:rFonts w:ascii="宋体" w:hAnsi="宋体"/>
        </w:rPr>
      </w:pPr>
      <w:r>
        <w:rPr>
          <w:rFonts w:hint="eastAsia" w:ascii="宋体" w:hAnsi="宋体"/>
        </w:rPr>
        <w:t>本款第（1）项细化为：</w:t>
      </w:r>
    </w:p>
    <w:p>
      <w:pPr>
        <w:spacing w:line="360" w:lineRule="auto"/>
        <w:ind w:firstLine="420" w:firstLineChars="200"/>
        <w:rPr>
          <w:rFonts w:ascii="宋体" w:hAnsi="宋体"/>
        </w:rPr>
      </w:pPr>
      <w:r>
        <w:rPr>
          <w:rFonts w:hint="eastAsia" w:ascii="宋体" w:hAnsi="宋体"/>
        </w:rPr>
        <w:t>（1）取消合同中任何一项工作，但被取消的工作不能转由发包人或其他人实施，由于承包人违约造成的情况除外；</w:t>
      </w:r>
    </w:p>
    <w:p>
      <w:pPr>
        <w:spacing w:line="360" w:lineRule="auto"/>
        <w:rPr>
          <w:rFonts w:ascii="宋体" w:hAnsi="宋体"/>
          <w:b/>
          <w:sz w:val="24"/>
          <w:szCs w:val="28"/>
        </w:rPr>
      </w:pPr>
      <w:bookmarkStart w:id="754" w:name="_Toc179632727"/>
      <w:bookmarkStart w:id="755" w:name="_Toc144974678"/>
      <w:bookmarkStart w:id="756" w:name="_Toc152045709"/>
      <w:bookmarkStart w:id="757" w:name="_Toc152042487"/>
      <w:r>
        <w:rPr>
          <w:rFonts w:hint="eastAsia" w:ascii="宋体" w:hAnsi="宋体"/>
          <w:b/>
          <w:sz w:val="24"/>
          <w:szCs w:val="28"/>
        </w:rPr>
        <w:t>15.3变更程序</w:t>
      </w:r>
      <w:bookmarkEnd w:id="754"/>
      <w:bookmarkEnd w:id="755"/>
      <w:bookmarkEnd w:id="756"/>
      <w:bookmarkEnd w:id="757"/>
    </w:p>
    <w:p>
      <w:pPr>
        <w:spacing w:line="360" w:lineRule="auto"/>
        <w:ind w:firstLine="420" w:firstLineChars="200"/>
        <w:rPr>
          <w:rFonts w:ascii="宋体" w:hAnsi="宋体"/>
        </w:rPr>
      </w:pPr>
      <w:r>
        <w:rPr>
          <w:rFonts w:hint="eastAsia" w:ascii="宋体" w:hAnsi="宋体"/>
        </w:rPr>
        <w:t>本款补充第15.3.4项：</w:t>
      </w:r>
    </w:p>
    <w:p>
      <w:pPr>
        <w:spacing w:line="360" w:lineRule="auto"/>
        <w:ind w:firstLine="420" w:firstLineChars="200"/>
        <w:rPr>
          <w:rFonts w:ascii="宋体" w:hAnsi="宋体"/>
        </w:rPr>
      </w:pPr>
      <w:r>
        <w:rPr>
          <w:rFonts w:hint="eastAsia" w:ascii="宋体" w:hAnsi="宋体"/>
        </w:rPr>
        <w:t>15.3.4设计变更程序应执行《公路工程设计变更管理办法》的相关规定。</w:t>
      </w:r>
    </w:p>
    <w:p>
      <w:pPr>
        <w:spacing w:line="360" w:lineRule="auto"/>
        <w:rPr>
          <w:rFonts w:ascii="宋体" w:hAnsi="宋体"/>
          <w:b/>
          <w:sz w:val="24"/>
          <w:szCs w:val="28"/>
        </w:rPr>
      </w:pPr>
      <w:bookmarkStart w:id="758" w:name="_Toc179632728"/>
      <w:bookmarkStart w:id="759" w:name="_Toc152045710"/>
      <w:bookmarkStart w:id="760" w:name="_Toc144974679"/>
      <w:bookmarkStart w:id="761" w:name="_Toc152042488"/>
      <w:r>
        <w:rPr>
          <w:rFonts w:hint="eastAsia" w:ascii="宋体" w:hAnsi="宋体"/>
          <w:b/>
          <w:sz w:val="24"/>
          <w:szCs w:val="28"/>
        </w:rPr>
        <w:t>15.4变更的估价原则</w:t>
      </w:r>
      <w:bookmarkEnd w:id="758"/>
      <w:bookmarkEnd w:id="759"/>
      <w:bookmarkEnd w:id="760"/>
      <w:bookmarkEnd w:id="761"/>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除项目专用合同条款另有约定外，因变更引起的价格调整按照本款约定处理。</w:t>
      </w:r>
    </w:p>
    <w:p>
      <w:pPr>
        <w:spacing w:line="360" w:lineRule="auto"/>
        <w:ind w:firstLine="420" w:firstLineChars="200"/>
        <w:rPr>
          <w:rFonts w:ascii="宋体" w:hAnsi="宋体"/>
        </w:rPr>
      </w:pPr>
      <w:r>
        <w:rPr>
          <w:rFonts w:hint="eastAsia" w:ascii="宋体" w:hAnsi="宋体"/>
        </w:rPr>
        <w:t>15.4.1如果取消某项工作，则该项工作的总额价不予支付；</w:t>
      </w:r>
    </w:p>
    <w:p>
      <w:pPr>
        <w:spacing w:line="360" w:lineRule="auto"/>
        <w:ind w:firstLine="420" w:firstLineChars="200"/>
        <w:rPr>
          <w:rFonts w:ascii="宋体" w:hAnsi="宋体"/>
        </w:rPr>
      </w:pPr>
      <w:r>
        <w:rPr>
          <w:rFonts w:hint="eastAsia" w:ascii="宋体" w:hAnsi="宋体"/>
        </w:rPr>
        <w:t>15.4.2已标价工程量清单中有适用于变更工作的子目的，采用该子目的单价。</w:t>
      </w:r>
    </w:p>
    <w:p>
      <w:pPr>
        <w:spacing w:line="360" w:lineRule="auto"/>
        <w:ind w:firstLine="420" w:firstLineChars="200"/>
        <w:rPr>
          <w:rFonts w:ascii="宋体" w:hAnsi="宋体"/>
        </w:rPr>
      </w:pPr>
      <w:r>
        <w:rPr>
          <w:rFonts w:hint="eastAsia" w:ascii="宋体" w:hAnsi="宋体"/>
        </w:rPr>
        <w:t>15.4.3已标价工程量清单中无适用于变更工作的子目，但有类似子目的，可在合理范围内参照类似子目的单价，由监理人按第3.5款商定或确定变更工作的单价。</w:t>
      </w:r>
    </w:p>
    <w:p>
      <w:pPr>
        <w:spacing w:line="360" w:lineRule="auto"/>
        <w:ind w:firstLine="420" w:firstLineChars="200"/>
        <w:rPr>
          <w:rFonts w:ascii="宋体" w:hAnsi="宋体"/>
        </w:rPr>
      </w:pPr>
      <w:r>
        <w:rPr>
          <w:rFonts w:hint="eastAsia" w:ascii="宋体" w:hAnsi="宋体"/>
        </w:rPr>
        <w:t>15.4.4已标价工程量清单中无适用或类似子目的单价，可在综合考虑承包人在投标时所提供的单价分析表的基础上，由监理人按第3.5款商定或确定变更工作的单价。</w:t>
      </w:r>
    </w:p>
    <w:p>
      <w:pPr>
        <w:spacing w:line="360" w:lineRule="auto"/>
        <w:ind w:firstLine="420" w:firstLineChars="200"/>
        <w:rPr>
          <w:rFonts w:ascii="宋体" w:hAnsi="宋体"/>
        </w:rPr>
      </w:pPr>
      <w:r>
        <w:rPr>
          <w:rFonts w:hint="eastAsia" w:ascii="宋体" w:hAnsi="宋体"/>
        </w:rPr>
        <w:t>15.4.5如果本工程的变更指示是因承包人过错、承包人违反合同或承包人责任造成的，则这种违约引起的任何额外费用应由承包人承担。</w:t>
      </w:r>
    </w:p>
    <w:p>
      <w:pPr>
        <w:spacing w:line="360" w:lineRule="auto"/>
        <w:rPr>
          <w:rFonts w:ascii="宋体" w:hAnsi="宋体"/>
          <w:b/>
          <w:sz w:val="24"/>
          <w:szCs w:val="28"/>
        </w:rPr>
      </w:pPr>
      <w:bookmarkStart w:id="762" w:name="_Toc144974680"/>
      <w:bookmarkStart w:id="763" w:name="_Toc179632729"/>
      <w:bookmarkStart w:id="764" w:name="_Toc152045711"/>
      <w:bookmarkStart w:id="765" w:name="_Toc152042489"/>
      <w:r>
        <w:rPr>
          <w:rFonts w:hint="eastAsia" w:ascii="宋体" w:hAnsi="宋体"/>
          <w:b/>
          <w:sz w:val="24"/>
          <w:szCs w:val="28"/>
        </w:rPr>
        <w:t>15.5承包人的合理化建议</w:t>
      </w:r>
      <w:bookmarkEnd w:id="762"/>
      <w:bookmarkEnd w:id="763"/>
      <w:bookmarkEnd w:id="764"/>
      <w:bookmarkEnd w:id="765"/>
    </w:p>
    <w:p>
      <w:pPr>
        <w:spacing w:line="360" w:lineRule="auto"/>
        <w:ind w:firstLine="420" w:firstLineChars="200"/>
        <w:rPr>
          <w:rFonts w:ascii="宋体" w:hAnsi="宋体"/>
        </w:rPr>
      </w:pPr>
      <w:r>
        <w:rPr>
          <w:rFonts w:hint="eastAsia" w:ascii="宋体" w:hAnsi="宋体"/>
        </w:rPr>
        <w:t>第15.5.2项约定为：</w:t>
      </w:r>
    </w:p>
    <w:p>
      <w:pPr>
        <w:spacing w:line="360" w:lineRule="auto"/>
        <w:ind w:firstLine="420" w:firstLineChars="200"/>
        <w:rPr>
          <w:rFonts w:ascii="宋体" w:hAnsi="宋体"/>
        </w:rPr>
      </w:pPr>
      <w:r>
        <w:rPr>
          <w:rFonts w:hint="eastAsia" w:ascii="宋体" w:hAnsi="宋体"/>
        </w:rPr>
        <w:t>承包人提出的合理化建议缩短了工期，发包人按第11.6款的规定给予奖励。</w:t>
      </w:r>
    </w:p>
    <w:p>
      <w:pPr>
        <w:spacing w:line="360" w:lineRule="auto"/>
        <w:ind w:firstLine="420" w:firstLineChars="200"/>
        <w:rPr>
          <w:rFonts w:ascii="宋体" w:hAnsi="宋体"/>
        </w:rPr>
      </w:pPr>
      <w:r>
        <w:rPr>
          <w:rFonts w:hint="eastAsia" w:ascii="宋体" w:hAnsi="宋体"/>
        </w:rPr>
        <w:t>承包人提出的合理化建议降低了合同价格或者提高了工程经济效益的，发包人按项目专用合同条款数据表中规定的金额给予奖励。</w:t>
      </w:r>
    </w:p>
    <w:p>
      <w:pPr>
        <w:spacing w:line="360" w:lineRule="auto"/>
        <w:rPr>
          <w:rFonts w:ascii="宋体" w:hAnsi="宋体"/>
          <w:b/>
          <w:sz w:val="24"/>
          <w:szCs w:val="28"/>
        </w:rPr>
      </w:pPr>
      <w:bookmarkStart w:id="766" w:name="_Toc152045712"/>
      <w:bookmarkStart w:id="767" w:name="_Toc179632730"/>
      <w:bookmarkStart w:id="768" w:name="_Toc152042490"/>
      <w:bookmarkStart w:id="769" w:name="_Toc144974681"/>
      <w:r>
        <w:rPr>
          <w:rFonts w:hint="eastAsia" w:ascii="宋体" w:hAnsi="宋体"/>
          <w:b/>
          <w:sz w:val="24"/>
          <w:szCs w:val="28"/>
        </w:rPr>
        <w:t>15.6暂列金额</w:t>
      </w:r>
      <w:bookmarkEnd w:id="766"/>
      <w:bookmarkEnd w:id="767"/>
      <w:bookmarkEnd w:id="768"/>
      <w:bookmarkEnd w:id="769"/>
    </w:p>
    <w:p>
      <w:pPr>
        <w:spacing w:line="360" w:lineRule="auto"/>
        <w:ind w:firstLine="420" w:firstLineChars="200"/>
        <w:rPr>
          <w:rFonts w:ascii="宋体" w:hAnsi="宋体"/>
        </w:rPr>
      </w:pPr>
      <w:r>
        <w:rPr>
          <w:rFonts w:hint="eastAsia" w:ascii="宋体" w:hAnsi="宋体"/>
        </w:rPr>
        <w:t>本款细化为：</w:t>
      </w:r>
    </w:p>
    <w:p>
      <w:pPr>
        <w:spacing w:line="360" w:lineRule="auto"/>
        <w:ind w:firstLine="420" w:firstLineChars="200"/>
        <w:rPr>
          <w:rFonts w:ascii="宋体" w:hAnsi="宋体"/>
        </w:rPr>
      </w:pPr>
      <w:r>
        <w:rPr>
          <w:rFonts w:hint="eastAsia" w:ascii="宋体" w:hAnsi="宋体"/>
        </w:rPr>
        <w:t>15.6.1暂列金额应由监理人报发包人批准后指令全部或部分地使用，或者根本不予动用。</w:t>
      </w:r>
    </w:p>
    <w:p>
      <w:pPr>
        <w:spacing w:line="360" w:lineRule="auto"/>
        <w:ind w:firstLine="420" w:firstLineChars="200"/>
        <w:rPr>
          <w:rFonts w:ascii="宋体" w:hAnsi="宋体"/>
        </w:rPr>
      </w:pPr>
      <w:r>
        <w:rPr>
          <w:rFonts w:hint="eastAsia" w:ascii="宋体" w:hAnsi="宋体"/>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360" w:lineRule="auto"/>
        <w:ind w:firstLine="420" w:firstLineChars="200"/>
        <w:rPr>
          <w:rFonts w:ascii="宋体" w:hAnsi="宋体"/>
        </w:rPr>
      </w:pPr>
      <w:r>
        <w:rPr>
          <w:rFonts w:hint="eastAsia" w:ascii="宋体" w:hAnsi="宋体"/>
        </w:rPr>
        <w:t>15.6.3当监理人提出要求时，承包人应提供有关暂列金额支出的所有报价单、发票、凭证和账单或收据，除非该工作是根据已标价工程量清单列明的单价或总额价进行的估价。</w:t>
      </w:r>
    </w:p>
    <w:p>
      <w:pPr>
        <w:spacing w:line="360" w:lineRule="auto"/>
        <w:rPr>
          <w:rFonts w:ascii="宋体" w:hAnsi="宋体"/>
          <w:b/>
          <w:sz w:val="28"/>
          <w:szCs w:val="30"/>
        </w:rPr>
      </w:pPr>
      <w:bookmarkStart w:id="770" w:name="_Toc144974684"/>
      <w:bookmarkStart w:id="771" w:name="_Toc152045715"/>
      <w:bookmarkStart w:id="772" w:name="_Toc152042493"/>
      <w:bookmarkStart w:id="773" w:name="_Toc179632733"/>
      <w:r>
        <w:rPr>
          <w:rFonts w:hint="eastAsia" w:ascii="宋体" w:hAnsi="宋体"/>
          <w:b/>
          <w:sz w:val="28"/>
          <w:szCs w:val="30"/>
        </w:rPr>
        <w:t>16.价格调整</w:t>
      </w:r>
      <w:bookmarkEnd w:id="770"/>
      <w:bookmarkEnd w:id="771"/>
      <w:bookmarkEnd w:id="772"/>
      <w:bookmarkEnd w:id="773"/>
    </w:p>
    <w:p>
      <w:pPr>
        <w:spacing w:line="360" w:lineRule="auto"/>
        <w:rPr>
          <w:rFonts w:ascii="宋体" w:hAnsi="宋体"/>
          <w:b/>
          <w:sz w:val="24"/>
          <w:szCs w:val="28"/>
        </w:rPr>
      </w:pPr>
      <w:bookmarkStart w:id="774" w:name="_Toc152045716"/>
      <w:bookmarkStart w:id="775" w:name="_Toc144974685"/>
      <w:bookmarkStart w:id="776" w:name="_Toc179632734"/>
      <w:bookmarkStart w:id="777" w:name="_Toc152042494"/>
      <w:r>
        <w:rPr>
          <w:rFonts w:hint="eastAsia" w:ascii="宋体" w:hAnsi="宋体"/>
          <w:b/>
          <w:sz w:val="24"/>
          <w:szCs w:val="28"/>
        </w:rPr>
        <w:t>16.1物价波动引起的价格调整</w:t>
      </w:r>
      <w:bookmarkEnd w:id="774"/>
      <w:bookmarkEnd w:id="775"/>
      <w:bookmarkEnd w:id="776"/>
      <w:bookmarkEnd w:id="777"/>
    </w:p>
    <w:p>
      <w:pPr>
        <w:spacing w:line="360" w:lineRule="auto"/>
        <w:ind w:firstLine="420" w:firstLineChars="200"/>
        <w:rPr>
          <w:rFonts w:ascii="宋体" w:hAnsi="宋体"/>
        </w:rPr>
      </w:pPr>
      <w:r>
        <w:rPr>
          <w:rFonts w:hint="eastAsia" w:ascii="宋体" w:hAnsi="宋体"/>
        </w:rPr>
        <w:t>本款约定为：</w:t>
      </w:r>
    </w:p>
    <w:p>
      <w:pPr>
        <w:spacing w:line="360" w:lineRule="auto"/>
        <w:ind w:firstLine="420" w:firstLineChars="200"/>
        <w:rPr>
          <w:rFonts w:ascii="宋体" w:hAnsi="宋体"/>
        </w:rPr>
      </w:pPr>
      <w:r>
        <w:rPr>
          <w:rFonts w:hint="eastAsia" w:ascii="宋体" w:hAnsi="宋体"/>
        </w:rPr>
        <w:t>（1）除项目专用合同条款另有约定外，因物价波动引起的价格调整应按项目专用合同条款数据表的规定，按照第16.1.1项或第16.1.2项约定的原则处理；或者</w:t>
      </w:r>
    </w:p>
    <w:p>
      <w:pPr>
        <w:spacing w:line="360" w:lineRule="auto"/>
        <w:ind w:firstLine="420" w:firstLineChars="200"/>
        <w:rPr>
          <w:rFonts w:ascii="宋体" w:hAnsi="宋体"/>
        </w:rPr>
      </w:pPr>
      <w:r>
        <w:rPr>
          <w:rFonts w:hint="eastAsia" w:ascii="宋体" w:hAnsi="宋体"/>
        </w:rPr>
        <w:t>（2）在合同执行期间（包括工期拖延期间），由于人工、材料和设备价格的上涨而引起工程施工成本增加的风险由承包人自行承担，合同价格不会因此而调整。</w:t>
      </w:r>
    </w:p>
    <w:p>
      <w:pPr>
        <w:spacing w:line="360" w:lineRule="auto"/>
        <w:ind w:firstLine="422" w:firstLineChars="200"/>
        <w:rPr>
          <w:rFonts w:ascii="宋体" w:hAnsi="宋体"/>
          <w:b/>
        </w:rPr>
      </w:pPr>
      <w:r>
        <w:rPr>
          <w:rFonts w:hint="eastAsia" w:ascii="宋体" w:hAnsi="宋体"/>
          <w:b/>
        </w:rPr>
        <w:t>16.1.1采用价格指数调整价格差额</w:t>
      </w:r>
    </w:p>
    <w:p>
      <w:pPr>
        <w:spacing w:line="360" w:lineRule="auto"/>
        <w:ind w:firstLine="420" w:firstLineChars="200"/>
        <w:rPr>
          <w:rFonts w:ascii="宋体" w:hAnsi="宋体"/>
        </w:rPr>
      </w:pPr>
      <w:r>
        <w:rPr>
          <w:rFonts w:hint="eastAsia" w:ascii="宋体" w:hAnsi="宋体"/>
        </w:rPr>
        <w:t>16.1.1.1价格调整公式</w:t>
      </w:r>
    </w:p>
    <w:p>
      <w:pPr>
        <w:spacing w:line="360" w:lineRule="auto"/>
        <w:ind w:firstLine="420" w:firstLineChars="200"/>
        <w:rPr>
          <w:rFonts w:ascii="宋体" w:hAnsi="宋体"/>
        </w:rPr>
      </w:pPr>
      <w:r>
        <w:rPr>
          <w:rFonts w:hint="eastAsia" w:ascii="宋体" w:hAnsi="宋体"/>
        </w:rPr>
        <w:t>价格调整公式后增加备注如下：</w:t>
      </w:r>
    </w:p>
    <w:p>
      <w:pPr>
        <w:spacing w:line="360" w:lineRule="auto"/>
        <w:ind w:firstLine="420" w:firstLineChars="200"/>
        <w:rPr>
          <w:rFonts w:ascii="宋体" w:hAnsi="宋体"/>
        </w:rPr>
      </w:pPr>
      <w:r>
        <w:rPr>
          <w:rFonts w:hint="eastAsia" w:ascii="宋体" w:hAnsi="宋体"/>
        </w:rPr>
        <w:t>式中，A=1-（B</w:t>
      </w:r>
      <w:r>
        <w:rPr>
          <w:rFonts w:hint="eastAsia" w:ascii="宋体" w:hAnsi="宋体"/>
          <w:vertAlign w:val="subscript"/>
        </w:rPr>
        <w:t>l</w:t>
      </w:r>
      <w:r>
        <w:rPr>
          <w:rFonts w:hint="eastAsia" w:ascii="宋体" w:hAnsi="宋体"/>
        </w:rPr>
        <w:t>+B</w:t>
      </w:r>
      <w:r>
        <w:rPr>
          <w:rFonts w:hint="eastAsia" w:ascii="宋体" w:hAnsi="宋体"/>
          <w:vertAlign w:val="subscript"/>
        </w:rPr>
        <w:t>2</w:t>
      </w:r>
      <w:r>
        <w:rPr>
          <w:rFonts w:hint="eastAsia" w:ascii="宋体" w:hAnsi="宋体"/>
        </w:rPr>
        <w:t>+B</w:t>
      </w:r>
      <w:r>
        <w:rPr>
          <w:rFonts w:hint="eastAsia" w:ascii="宋体" w:hAnsi="宋体"/>
          <w:vertAlign w:val="subscript"/>
        </w:rPr>
        <w:t>3</w:t>
      </w:r>
      <w:r>
        <w:rPr>
          <w:rFonts w:hint="eastAsia" w:ascii="宋体" w:hAnsi="宋体"/>
        </w:rPr>
        <w:t>+......+B</w:t>
      </w:r>
      <w:r>
        <w:rPr>
          <w:rFonts w:hint="eastAsia" w:ascii="宋体" w:hAnsi="宋体"/>
          <w:vertAlign w:val="subscript"/>
        </w:rPr>
        <w:t>n</w:t>
      </w:r>
      <w:r>
        <w:rPr>
          <w:rFonts w:hint="eastAsia" w:ascii="宋体" w:hAnsi="宋体"/>
        </w:rPr>
        <w:t>）。</w:t>
      </w:r>
    </w:p>
    <w:p>
      <w:pPr>
        <w:spacing w:line="360" w:lineRule="auto"/>
        <w:ind w:firstLine="420" w:firstLineChars="200"/>
        <w:rPr>
          <w:rFonts w:ascii="宋体" w:hAnsi="宋体"/>
        </w:rPr>
      </w:pPr>
      <w:r>
        <w:rPr>
          <w:rFonts w:hint="eastAsia" w:ascii="宋体" w:hAnsi="宋体"/>
        </w:rPr>
        <w:t>本目最后一段文字细化为：</w:t>
      </w:r>
    </w:p>
    <w:p>
      <w:pPr>
        <w:spacing w:line="360" w:lineRule="auto"/>
        <w:ind w:firstLine="420" w:firstLineChars="200"/>
        <w:rPr>
          <w:rFonts w:ascii="宋体" w:hAnsi="宋体"/>
        </w:rPr>
      </w:pPr>
      <w:r>
        <w:rPr>
          <w:rFonts w:hint="eastAsia" w:ascii="宋体" w:hAnsi="宋体"/>
        </w:rPr>
        <w:t>在采用价格调整公式进行调价时，还应遵守以下规定：</w:t>
      </w:r>
    </w:p>
    <w:p>
      <w:pPr>
        <w:spacing w:line="360" w:lineRule="auto"/>
        <w:ind w:firstLine="420" w:firstLineChars="200"/>
        <w:rPr>
          <w:rFonts w:ascii="宋体" w:hAnsi="宋体"/>
        </w:rPr>
      </w:pPr>
      <w:r>
        <w:rPr>
          <w:rFonts w:hint="eastAsia" w:ascii="宋体" w:hAnsi="宋体"/>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360" w:lineRule="auto"/>
        <w:ind w:firstLine="420" w:firstLineChars="200"/>
        <w:rPr>
          <w:rFonts w:ascii="宋体" w:hAnsi="宋体"/>
        </w:rPr>
      </w:pPr>
      <w:r>
        <w:rPr>
          <w:rFonts w:hint="eastAsia" w:ascii="宋体" w:hAnsi="宋体"/>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spacing w:line="360" w:lineRule="auto"/>
        <w:rPr>
          <w:rFonts w:ascii="宋体" w:hAnsi="宋体"/>
          <w:b/>
          <w:sz w:val="28"/>
          <w:szCs w:val="30"/>
        </w:rPr>
      </w:pPr>
      <w:bookmarkStart w:id="778" w:name="_Toc152042497"/>
      <w:bookmarkStart w:id="779" w:name="_Toc144974689"/>
      <w:bookmarkStart w:id="780" w:name="_Toc152045718"/>
      <w:bookmarkStart w:id="781" w:name="_Toc179632736"/>
      <w:r>
        <w:rPr>
          <w:rFonts w:hint="eastAsia" w:ascii="宋体" w:hAnsi="宋体"/>
          <w:b/>
          <w:sz w:val="28"/>
          <w:szCs w:val="30"/>
        </w:rPr>
        <w:t>17.计量与支付</w:t>
      </w:r>
      <w:bookmarkEnd w:id="778"/>
      <w:bookmarkEnd w:id="779"/>
      <w:bookmarkEnd w:id="780"/>
      <w:bookmarkEnd w:id="781"/>
    </w:p>
    <w:p>
      <w:pPr>
        <w:spacing w:line="360" w:lineRule="auto"/>
        <w:rPr>
          <w:rFonts w:ascii="宋体" w:hAnsi="宋体"/>
          <w:b/>
          <w:sz w:val="24"/>
          <w:szCs w:val="28"/>
        </w:rPr>
      </w:pPr>
      <w:bookmarkStart w:id="782" w:name="_Toc179632737"/>
      <w:bookmarkStart w:id="783" w:name="_Toc144974690"/>
      <w:bookmarkStart w:id="784" w:name="_Toc152045719"/>
      <w:bookmarkStart w:id="785" w:name="_Toc152042498"/>
      <w:r>
        <w:rPr>
          <w:rFonts w:hint="eastAsia" w:ascii="宋体" w:hAnsi="宋体"/>
          <w:b/>
          <w:sz w:val="24"/>
          <w:szCs w:val="28"/>
        </w:rPr>
        <w:t>17.1计量</w:t>
      </w:r>
      <w:bookmarkEnd w:id="782"/>
      <w:bookmarkEnd w:id="783"/>
      <w:bookmarkEnd w:id="784"/>
      <w:bookmarkEnd w:id="785"/>
    </w:p>
    <w:p>
      <w:pPr>
        <w:spacing w:line="360" w:lineRule="auto"/>
        <w:ind w:firstLine="422" w:firstLineChars="200"/>
        <w:rPr>
          <w:rFonts w:ascii="宋体" w:hAnsi="宋体"/>
          <w:b/>
        </w:rPr>
      </w:pPr>
      <w:r>
        <w:rPr>
          <w:rFonts w:hint="eastAsia" w:ascii="宋体" w:hAnsi="宋体"/>
          <w:b/>
        </w:rPr>
        <w:t>17.1.2计量方法</w:t>
      </w:r>
    </w:p>
    <w:p>
      <w:pPr>
        <w:spacing w:line="360" w:lineRule="auto"/>
        <w:ind w:firstLine="420" w:firstLineChars="200"/>
        <w:rPr>
          <w:rFonts w:ascii="宋体" w:hAnsi="宋体"/>
        </w:rPr>
      </w:pPr>
      <w:r>
        <w:rPr>
          <w:rFonts w:hint="eastAsia" w:ascii="宋体" w:hAnsi="宋体"/>
        </w:rPr>
        <w:t>工程的计量应以净值为准，除非项目专用合同条款另有约定。工程量清单中各个子目的具体计量方法按本合同文件工程量清单计量规则中的规定执行。</w:t>
      </w:r>
    </w:p>
    <w:p>
      <w:pPr>
        <w:spacing w:line="360" w:lineRule="auto"/>
        <w:ind w:firstLine="422" w:firstLineChars="200"/>
        <w:rPr>
          <w:rFonts w:ascii="宋体" w:hAnsi="宋体"/>
          <w:b/>
        </w:rPr>
      </w:pPr>
      <w:r>
        <w:rPr>
          <w:rFonts w:hint="eastAsia" w:ascii="宋体" w:hAnsi="宋体"/>
          <w:b/>
        </w:rPr>
        <w:t>17.1.4单价子目的计量</w:t>
      </w:r>
    </w:p>
    <w:p>
      <w:pPr>
        <w:spacing w:line="360" w:lineRule="auto"/>
        <w:ind w:firstLine="420" w:firstLineChars="200"/>
        <w:rPr>
          <w:rFonts w:ascii="宋体" w:hAnsi="宋体"/>
        </w:rPr>
      </w:pPr>
      <w:r>
        <w:rPr>
          <w:rFonts w:hint="eastAsia" w:ascii="宋体" w:hAnsi="宋体"/>
        </w:rPr>
        <w:t>本项补充：</w:t>
      </w:r>
    </w:p>
    <w:p>
      <w:pPr>
        <w:spacing w:line="360" w:lineRule="auto"/>
        <w:ind w:firstLine="420" w:firstLineChars="200"/>
        <w:rPr>
          <w:rFonts w:ascii="宋体" w:hAnsi="宋体"/>
        </w:rPr>
      </w:pPr>
      <w:r>
        <w:rPr>
          <w:rFonts w:hint="eastAsia" w:ascii="宋体" w:hAnsi="宋体"/>
        </w:rPr>
        <w:t>（7）承包人未在已标价工程量清单中填入单价或总额价的工程子目，将被认为其已包含在本合同的其他子目的单价和总额价中，发包人将不另行支付。</w:t>
      </w:r>
    </w:p>
    <w:p>
      <w:pPr>
        <w:spacing w:line="360" w:lineRule="auto"/>
        <w:ind w:firstLine="422" w:firstLineChars="200"/>
        <w:rPr>
          <w:rFonts w:ascii="宋体" w:hAnsi="宋体"/>
          <w:b/>
        </w:rPr>
      </w:pPr>
      <w:r>
        <w:rPr>
          <w:rFonts w:hint="eastAsia" w:ascii="宋体" w:hAnsi="宋体"/>
          <w:b/>
        </w:rPr>
        <w:t>17.1.5总价子目的计量</w:t>
      </w:r>
    </w:p>
    <w:p>
      <w:pPr>
        <w:spacing w:line="360" w:lineRule="auto"/>
        <w:ind w:firstLine="420" w:firstLineChars="200"/>
        <w:rPr>
          <w:rFonts w:ascii="宋体" w:hAnsi="宋体"/>
        </w:rPr>
      </w:pPr>
      <w:r>
        <w:rPr>
          <w:rFonts w:hint="eastAsia" w:ascii="宋体" w:hAnsi="宋体"/>
        </w:rPr>
        <w:t>本项补充：</w:t>
      </w:r>
    </w:p>
    <w:p>
      <w:pPr>
        <w:spacing w:line="360" w:lineRule="auto"/>
        <w:ind w:firstLine="420" w:firstLineChars="200"/>
        <w:rPr>
          <w:rFonts w:ascii="宋体" w:hAnsi="宋体"/>
        </w:rPr>
      </w:pPr>
      <w:r>
        <w:rPr>
          <w:rFonts w:hint="eastAsia" w:ascii="宋体" w:hAnsi="宋体"/>
        </w:rPr>
        <w:t>本项目工程量清单中要求承包人以“总额”方式报价的子目，各子目的支付原则和支付进度按项目专用合同条款的规定执行。</w:t>
      </w:r>
    </w:p>
    <w:p>
      <w:pPr>
        <w:spacing w:line="360" w:lineRule="auto"/>
        <w:rPr>
          <w:rFonts w:ascii="宋体" w:hAnsi="宋体"/>
          <w:b/>
          <w:sz w:val="24"/>
          <w:szCs w:val="28"/>
        </w:rPr>
      </w:pPr>
      <w:bookmarkStart w:id="786" w:name="_Toc152042499"/>
      <w:bookmarkStart w:id="787" w:name="_Toc144974691"/>
      <w:bookmarkStart w:id="788" w:name="_Toc179632738"/>
      <w:bookmarkStart w:id="789" w:name="_Toc152045720"/>
      <w:r>
        <w:rPr>
          <w:rFonts w:hint="eastAsia" w:ascii="宋体" w:hAnsi="宋体"/>
          <w:b/>
          <w:sz w:val="24"/>
          <w:szCs w:val="28"/>
        </w:rPr>
        <w:t>17.2预付款</w:t>
      </w:r>
      <w:bookmarkEnd w:id="786"/>
      <w:bookmarkEnd w:id="787"/>
      <w:bookmarkEnd w:id="788"/>
      <w:bookmarkEnd w:id="789"/>
    </w:p>
    <w:p>
      <w:pPr>
        <w:spacing w:line="360" w:lineRule="auto"/>
        <w:ind w:firstLine="422" w:firstLineChars="200"/>
        <w:rPr>
          <w:rFonts w:ascii="宋体" w:hAnsi="宋体"/>
          <w:b/>
        </w:rPr>
      </w:pPr>
      <w:r>
        <w:rPr>
          <w:rFonts w:hint="eastAsia" w:ascii="宋体" w:hAnsi="宋体"/>
          <w:b/>
        </w:rPr>
        <w:t>17.2.1预付款</w:t>
      </w:r>
    </w:p>
    <w:p>
      <w:pPr>
        <w:spacing w:line="360" w:lineRule="auto"/>
        <w:ind w:firstLine="420" w:firstLineChars="200"/>
        <w:rPr>
          <w:rFonts w:ascii="宋体" w:hAnsi="宋体"/>
        </w:rPr>
      </w:pPr>
      <w:r>
        <w:rPr>
          <w:rFonts w:hint="eastAsia" w:ascii="宋体" w:hAnsi="宋体"/>
        </w:rPr>
        <w:t>本项约定为：</w:t>
      </w:r>
    </w:p>
    <w:p>
      <w:pPr>
        <w:spacing w:line="360" w:lineRule="auto"/>
        <w:ind w:firstLine="420" w:firstLineChars="200"/>
        <w:rPr>
          <w:rFonts w:ascii="宋体" w:hAnsi="宋体"/>
        </w:rPr>
      </w:pPr>
      <w:r>
        <w:rPr>
          <w:rFonts w:hint="eastAsia" w:ascii="宋体" w:hAnsi="宋体"/>
        </w:rPr>
        <w:t>预付款包括开工预付款和材料、设备预付款。具体额度和预付办法如下：</w:t>
      </w:r>
    </w:p>
    <w:p>
      <w:pPr>
        <w:spacing w:line="360" w:lineRule="auto"/>
        <w:ind w:firstLine="420" w:firstLineChars="200"/>
        <w:rPr>
          <w:rFonts w:ascii="宋体" w:hAnsi="宋体"/>
        </w:rPr>
      </w:pPr>
      <w:r>
        <w:rPr>
          <w:rFonts w:hint="eastAsia" w:ascii="宋体" w:hAnsi="宋体"/>
        </w:rPr>
        <w:t>（1）开工预付款的金额在项目专用合同条款数据表中约定。在承包人签订了合同协议书且承包人承诺的主要设备进场后，监理人应在当期进度付款证书中向承包人支付开工预付款。</w:t>
      </w:r>
    </w:p>
    <w:p>
      <w:pPr>
        <w:spacing w:line="360" w:lineRule="auto"/>
        <w:ind w:firstLine="420" w:firstLineChars="200"/>
        <w:rPr>
          <w:rFonts w:ascii="宋体" w:hAnsi="宋体"/>
        </w:rPr>
      </w:pPr>
      <w:r>
        <w:rPr>
          <w:rFonts w:hint="eastAsia" w:ascii="宋体" w:hAnsi="宋体"/>
        </w:rPr>
        <w:t>承包人不得将该预付款用于与本工程无关的支出，监理人有权监督承包人对该项费用的使用，如经查实承包人滥用开工预付款，发包人有权立即通过向银行索赔履约保证金，并解除合同。</w:t>
      </w:r>
    </w:p>
    <w:p>
      <w:pPr>
        <w:spacing w:line="360" w:lineRule="auto"/>
        <w:ind w:firstLine="420" w:firstLineChars="200"/>
        <w:rPr>
          <w:rFonts w:ascii="宋体" w:hAnsi="宋体"/>
        </w:rPr>
      </w:pPr>
      <w:r>
        <w:rPr>
          <w:rFonts w:hint="eastAsia" w:ascii="宋体" w:hAnsi="宋体"/>
        </w:rPr>
        <w:t>（2）材料、设备预付款按项目专用合同条款数据表中所列主要材料、设备单据费用（进口的材料、设备为到岸价，国内采购的为出厂价或销售价，地方材料为堆场价）的百分比支付。其预付条件为：</w:t>
      </w:r>
    </w:p>
    <w:p>
      <w:pPr>
        <w:spacing w:line="360" w:lineRule="auto"/>
        <w:ind w:firstLine="420" w:firstLineChars="200"/>
        <w:rPr>
          <w:rFonts w:ascii="宋体" w:hAnsi="宋体"/>
        </w:rPr>
      </w:pPr>
      <w:r>
        <w:rPr>
          <w:rFonts w:hint="eastAsia" w:ascii="宋体" w:hAnsi="宋体"/>
        </w:rPr>
        <w:t>a.材料、设备符合规范要求并经监理人认可；</w:t>
      </w:r>
    </w:p>
    <w:p>
      <w:pPr>
        <w:spacing w:line="360" w:lineRule="auto"/>
        <w:ind w:firstLine="420" w:firstLineChars="200"/>
        <w:rPr>
          <w:rFonts w:ascii="宋体" w:hAnsi="宋体"/>
        </w:rPr>
      </w:pPr>
      <w:r>
        <w:rPr>
          <w:rFonts w:hint="eastAsia" w:ascii="宋体" w:hAnsi="宋体"/>
        </w:rPr>
        <w:t>b.承包人已出具材料、设备费用凭证或支付单据；</w:t>
      </w:r>
    </w:p>
    <w:p>
      <w:pPr>
        <w:spacing w:line="360" w:lineRule="auto"/>
        <w:ind w:firstLine="420" w:firstLineChars="200"/>
        <w:rPr>
          <w:rFonts w:ascii="宋体" w:hAnsi="宋体"/>
        </w:rPr>
      </w:pPr>
      <w:r>
        <w:rPr>
          <w:rFonts w:hint="eastAsia" w:ascii="宋体" w:hAnsi="宋体"/>
        </w:rPr>
        <w:t>c.材料、设备已在现场交货，且存储良好，监理人认为材料、设备的存储方法符合要求。</w:t>
      </w:r>
    </w:p>
    <w:p>
      <w:pPr>
        <w:spacing w:line="360" w:lineRule="auto"/>
        <w:ind w:firstLine="420" w:firstLineChars="200"/>
        <w:rPr>
          <w:rFonts w:ascii="宋体" w:hAnsi="宋体"/>
        </w:rPr>
      </w:pPr>
      <w:r>
        <w:rPr>
          <w:rFonts w:hint="eastAsia" w:ascii="宋体" w:hAnsi="宋体"/>
        </w:rPr>
        <w:t>则监理人应将此项金额作为材料、设备预付款计入下一次的进度付款证书中。在预计交工前3个月，将不再支付材料、设备预付款。</w:t>
      </w:r>
    </w:p>
    <w:p>
      <w:pPr>
        <w:spacing w:line="360" w:lineRule="auto"/>
        <w:ind w:firstLine="422" w:firstLineChars="200"/>
        <w:rPr>
          <w:rFonts w:ascii="宋体" w:hAnsi="宋体"/>
          <w:b/>
        </w:rPr>
      </w:pPr>
      <w:r>
        <w:rPr>
          <w:rFonts w:hint="eastAsia" w:ascii="宋体" w:hAnsi="宋体"/>
          <w:b/>
        </w:rPr>
        <w:t>17.2.2预付款保函</w:t>
      </w:r>
    </w:p>
    <w:p>
      <w:pPr>
        <w:spacing w:line="360" w:lineRule="auto"/>
        <w:ind w:firstLine="420" w:firstLineChars="200"/>
        <w:rPr>
          <w:rFonts w:ascii="宋体" w:hAnsi="宋体"/>
        </w:rPr>
      </w:pPr>
      <w:r>
        <w:rPr>
          <w:rFonts w:hint="eastAsia" w:ascii="宋体" w:hAnsi="宋体"/>
        </w:rPr>
        <w:t>本项约定为：</w:t>
      </w:r>
    </w:p>
    <w:p>
      <w:pPr>
        <w:spacing w:line="360" w:lineRule="auto"/>
        <w:ind w:firstLine="420" w:firstLineChars="200"/>
        <w:rPr>
          <w:rFonts w:ascii="宋体" w:hAnsi="宋体"/>
        </w:rPr>
      </w:pPr>
      <w:r>
        <w:rPr>
          <w:rFonts w:hint="eastAsia" w:ascii="宋体" w:hAnsi="宋体"/>
        </w:rPr>
        <w:t>承包人无须向发包人提交预付款保函。发包人向承包人支付的预付款，应按照本合同第17.2.1项规定使用，承包人提交的履约保证金对预付款的正常使用担保证责任。</w:t>
      </w:r>
    </w:p>
    <w:p>
      <w:pPr>
        <w:spacing w:line="360" w:lineRule="auto"/>
        <w:ind w:firstLine="422" w:firstLineChars="200"/>
        <w:rPr>
          <w:rFonts w:ascii="宋体" w:hAnsi="宋体"/>
          <w:b/>
        </w:rPr>
      </w:pPr>
      <w:r>
        <w:rPr>
          <w:rFonts w:hint="eastAsia" w:ascii="宋体" w:hAnsi="宋体"/>
          <w:b/>
        </w:rPr>
        <w:t>17.2.3预付款的扣回与还清</w:t>
      </w:r>
    </w:p>
    <w:p>
      <w:pPr>
        <w:spacing w:line="360" w:lineRule="auto"/>
        <w:ind w:firstLine="420" w:firstLineChars="200"/>
        <w:rPr>
          <w:rFonts w:ascii="宋体" w:hAnsi="宋体"/>
        </w:rPr>
      </w:pPr>
      <w:r>
        <w:rPr>
          <w:rFonts w:hint="eastAsia" w:ascii="宋体" w:hAnsi="宋体"/>
        </w:rPr>
        <w:t>本项约定为：</w:t>
      </w:r>
    </w:p>
    <w:p>
      <w:pPr>
        <w:spacing w:line="360" w:lineRule="auto"/>
        <w:ind w:firstLine="420" w:firstLineChars="200"/>
        <w:rPr>
          <w:rFonts w:ascii="宋体" w:hAnsi="宋体"/>
        </w:rPr>
      </w:pPr>
      <w:r>
        <w:rPr>
          <w:rFonts w:hint="eastAsia" w:ascii="宋体" w:hAnsi="宋体"/>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360" w:lineRule="auto"/>
        <w:ind w:firstLine="420" w:firstLineChars="200"/>
        <w:rPr>
          <w:rFonts w:ascii="宋体" w:hAnsi="宋体"/>
        </w:rPr>
      </w:pPr>
      <w:r>
        <w:rPr>
          <w:rFonts w:hint="eastAsia" w:ascii="宋体" w:hAnsi="宋体"/>
        </w:rPr>
        <w:t>（2）当材料、设备已用于或安装在永久工程之中时，材料、设备预付款应从进度付款证书中扣回，扣回期不超过3个月。已经支付材料、设备预付款的材料、设备的所有权应属于发包人。</w:t>
      </w:r>
    </w:p>
    <w:p>
      <w:pPr>
        <w:spacing w:line="360" w:lineRule="auto"/>
        <w:rPr>
          <w:rFonts w:ascii="宋体" w:hAnsi="宋体"/>
          <w:b/>
          <w:sz w:val="24"/>
          <w:szCs w:val="28"/>
        </w:rPr>
      </w:pPr>
      <w:bookmarkStart w:id="790" w:name="_Toc144974692"/>
      <w:bookmarkStart w:id="791" w:name="_Toc152042500"/>
      <w:bookmarkStart w:id="792" w:name="_Toc179632739"/>
      <w:bookmarkStart w:id="793" w:name="_Toc152045721"/>
      <w:r>
        <w:rPr>
          <w:rFonts w:hint="eastAsia" w:ascii="宋体" w:hAnsi="宋体"/>
          <w:b/>
          <w:sz w:val="24"/>
          <w:szCs w:val="28"/>
        </w:rPr>
        <w:t>17.3工程进度付款</w:t>
      </w:r>
      <w:bookmarkEnd w:id="790"/>
      <w:bookmarkEnd w:id="791"/>
      <w:bookmarkEnd w:id="792"/>
      <w:bookmarkEnd w:id="793"/>
    </w:p>
    <w:p>
      <w:pPr>
        <w:spacing w:line="360" w:lineRule="auto"/>
        <w:ind w:firstLine="422" w:firstLineChars="200"/>
        <w:rPr>
          <w:rFonts w:ascii="宋体" w:hAnsi="宋体"/>
          <w:b/>
        </w:rPr>
      </w:pPr>
      <w:r>
        <w:rPr>
          <w:rFonts w:hint="eastAsia" w:ascii="宋体" w:hAnsi="宋体"/>
          <w:b/>
        </w:rPr>
        <w:t>17.3.3进度付款证书和支付时间</w:t>
      </w:r>
    </w:p>
    <w:p>
      <w:pPr>
        <w:spacing w:line="360" w:lineRule="auto"/>
        <w:ind w:firstLine="420" w:firstLineChars="200"/>
        <w:rPr>
          <w:rFonts w:ascii="宋体" w:hAnsi="宋体"/>
        </w:rPr>
      </w:pPr>
      <w:r>
        <w:rPr>
          <w:rFonts w:hint="eastAsia" w:ascii="宋体" w:hAnsi="宋体"/>
        </w:rPr>
        <w:t>本项（1）目补充：</w:t>
      </w:r>
    </w:p>
    <w:p>
      <w:pPr>
        <w:spacing w:line="360" w:lineRule="auto"/>
        <w:ind w:firstLine="420" w:firstLineChars="200"/>
        <w:rPr>
          <w:rFonts w:ascii="宋体" w:hAnsi="宋体"/>
        </w:rPr>
      </w:pPr>
      <w:r>
        <w:rPr>
          <w:rFonts w:hint="eastAsia" w:ascii="宋体" w:hAnsi="宋体"/>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发包人应在监理人收到进度付款申请且承包人提交了合格的增值税专用发票后的28天内，将进度应付款支付给承包人。</w:t>
      </w:r>
    </w:p>
    <w:p>
      <w:pPr>
        <w:spacing w:line="360" w:lineRule="auto"/>
        <w:ind w:firstLine="420" w:firstLineChars="200"/>
        <w:rPr>
          <w:rFonts w:ascii="宋体" w:hAnsi="宋体"/>
        </w:rPr>
      </w:pPr>
      <w:r>
        <w:rPr>
          <w:rFonts w:hint="eastAsia" w:ascii="宋体" w:hAnsi="宋体"/>
        </w:rPr>
        <w:t>发包人不按期支付的，按项目专用合同条款数据表中约定的利率向承包人支付逾期付款违约金。违约金计算基数为发包人的全部未付款额，时间从应付而未付该款额之日算起（不计复利）。</w:t>
      </w:r>
    </w:p>
    <w:p>
      <w:pPr>
        <w:spacing w:line="360" w:lineRule="auto"/>
        <w:ind w:firstLine="420" w:firstLineChars="200"/>
        <w:rPr>
          <w:rFonts w:ascii="宋体" w:hAnsi="宋体"/>
        </w:rPr>
      </w:pPr>
      <w:r>
        <w:rPr>
          <w:rFonts w:hint="eastAsia" w:ascii="宋体" w:hAnsi="宋体"/>
        </w:rPr>
        <w:t>本款补充17.3.5项：</w:t>
      </w:r>
    </w:p>
    <w:p>
      <w:pPr>
        <w:spacing w:line="360" w:lineRule="auto"/>
        <w:rPr>
          <w:rFonts w:ascii="宋体" w:hAnsi="宋体"/>
          <w:b/>
          <w:sz w:val="24"/>
          <w:szCs w:val="28"/>
        </w:rPr>
      </w:pPr>
      <w:bookmarkStart w:id="794" w:name="_Toc152045722"/>
      <w:bookmarkStart w:id="795" w:name="_Toc144974693"/>
      <w:bookmarkStart w:id="796" w:name="_Toc152042501"/>
      <w:bookmarkStart w:id="797" w:name="_Toc179632740"/>
      <w:r>
        <w:rPr>
          <w:rFonts w:hint="eastAsia" w:ascii="宋体" w:hAnsi="宋体"/>
          <w:b/>
          <w:sz w:val="24"/>
          <w:szCs w:val="28"/>
        </w:rPr>
        <w:t>17.4</w:t>
      </w:r>
      <w:bookmarkEnd w:id="794"/>
      <w:bookmarkEnd w:id="795"/>
      <w:bookmarkEnd w:id="796"/>
      <w:r>
        <w:rPr>
          <w:rFonts w:hint="eastAsia" w:ascii="宋体" w:hAnsi="宋体"/>
          <w:b/>
          <w:sz w:val="24"/>
          <w:szCs w:val="28"/>
        </w:rPr>
        <w:t>质量保证金</w:t>
      </w:r>
      <w:bookmarkEnd w:id="797"/>
    </w:p>
    <w:p>
      <w:pPr>
        <w:spacing w:line="360" w:lineRule="auto"/>
        <w:ind w:firstLine="420" w:firstLineChars="200"/>
        <w:rPr>
          <w:rFonts w:ascii="宋体" w:hAnsi="宋体"/>
        </w:rPr>
      </w:pPr>
      <w:r>
        <w:rPr>
          <w:rFonts w:hint="eastAsia" w:ascii="宋体" w:hAnsi="宋体"/>
        </w:rPr>
        <w:t>第17.4.1项、第17.4.2项细化为：</w:t>
      </w:r>
    </w:p>
    <w:p>
      <w:pPr>
        <w:spacing w:line="360" w:lineRule="auto"/>
        <w:ind w:firstLine="420" w:firstLineChars="200"/>
        <w:rPr>
          <w:rFonts w:ascii="宋体" w:hAnsi="宋体"/>
        </w:rPr>
      </w:pPr>
      <w:r>
        <w:rPr>
          <w:rFonts w:hint="eastAsia" w:ascii="宋体" w:hAnsi="宋体"/>
        </w:rPr>
        <w:t>17.4.1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line="360" w:lineRule="auto"/>
        <w:ind w:firstLine="420" w:firstLineChars="200"/>
        <w:rPr>
          <w:rFonts w:ascii="宋体" w:hAnsi="宋体"/>
        </w:rPr>
      </w:pPr>
      <w:r>
        <w:rPr>
          <w:rFonts w:hint="eastAsia" w:ascii="宋体" w:hAnsi="宋体"/>
        </w:rPr>
        <w:t>质量保证金采用现金、支票形式提交的，发包人应在项目专用合同条款数据表中明确是否计付利息以及利息的计算方式。</w:t>
      </w:r>
    </w:p>
    <w:p>
      <w:pPr>
        <w:spacing w:line="360" w:lineRule="auto"/>
        <w:ind w:firstLine="420" w:firstLineChars="200"/>
        <w:rPr>
          <w:rFonts w:ascii="宋体" w:hAnsi="宋体"/>
        </w:rPr>
      </w:pPr>
      <w:r>
        <w:rPr>
          <w:rFonts w:hint="eastAsia" w:ascii="宋体" w:hAnsi="宋体"/>
        </w:rPr>
        <w:t>17.4.2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360" w:lineRule="auto"/>
        <w:rPr>
          <w:rFonts w:ascii="宋体" w:hAnsi="宋体"/>
          <w:b/>
          <w:sz w:val="24"/>
          <w:szCs w:val="28"/>
        </w:rPr>
      </w:pPr>
      <w:bookmarkStart w:id="798" w:name="_Toc152045723"/>
      <w:bookmarkStart w:id="799" w:name="_Toc152042502"/>
      <w:bookmarkStart w:id="800" w:name="_Toc179632741"/>
      <w:bookmarkStart w:id="801" w:name="_Toc144974694"/>
      <w:r>
        <w:rPr>
          <w:rFonts w:hint="eastAsia" w:ascii="宋体" w:hAnsi="宋体"/>
          <w:b/>
          <w:sz w:val="24"/>
          <w:szCs w:val="28"/>
        </w:rPr>
        <w:t>17.5交工结算</w:t>
      </w:r>
      <w:bookmarkEnd w:id="798"/>
      <w:bookmarkEnd w:id="799"/>
      <w:bookmarkEnd w:id="800"/>
      <w:bookmarkEnd w:id="801"/>
    </w:p>
    <w:p>
      <w:pPr>
        <w:spacing w:line="360" w:lineRule="auto"/>
        <w:ind w:firstLine="422" w:firstLineChars="200"/>
        <w:rPr>
          <w:rFonts w:ascii="宋体" w:hAnsi="宋体"/>
          <w:b/>
        </w:rPr>
      </w:pPr>
      <w:r>
        <w:rPr>
          <w:rFonts w:hint="eastAsia" w:ascii="宋体" w:hAnsi="宋体"/>
          <w:b/>
        </w:rPr>
        <w:t>17.5.1交工付款申请单</w:t>
      </w:r>
    </w:p>
    <w:p>
      <w:pPr>
        <w:spacing w:line="360" w:lineRule="auto"/>
        <w:ind w:firstLine="420" w:firstLineChars="200"/>
        <w:rPr>
          <w:rFonts w:ascii="宋体" w:hAnsi="宋体"/>
        </w:rPr>
      </w:pPr>
      <w:r>
        <w:rPr>
          <w:rFonts w:hint="eastAsia" w:ascii="宋体" w:hAnsi="宋体"/>
        </w:rPr>
        <w:t>本项（1）目约定为：</w:t>
      </w:r>
    </w:p>
    <w:p>
      <w:pPr>
        <w:spacing w:line="360" w:lineRule="auto"/>
        <w:ind w:firstLine="420" w:firstLineChars="200"/>
        <w:rPr>
          <w:rFonts w:ascii="宋体" w:hAnsi="宋体"/>
        </w:rPr>
      </w:pPr>
      <w:r>
        <w:rPr>
          <w:rFonts w:hint="eastAsia" w:ascii="宋体" w:hAnsi="宋体"/>
        </w:rPr>
        <w:t>承包人向监理人提交交工付款申请单（包括相关证明材料）的份数在项目专用合同条款数据表中约定；期限：交工验收证书签发后42天内。</w:t>
      </w:r>
    </w:p>
    <w:p>
      <w:pPr>
        <w:spacing w:line="360" w:lineRule="auto"/>
        <w:ind w:firstLine="422" w:firstLineChars="200"/>
        <w:rPr>
          <w:rFonts w:ascii="宋体" w:hAnsi="宋体"/>
          <w:b/>
        </w:rPr>
      </w:pPr>
      <w:r>
        <w:rPr>
          <w:rFonts w:hint="eastAsia" w:ascii="宋体" w:hAnsi="宋体"/>
          <w:b/>
        </w:rPr>
        <w:t>17.5.2交工付款证书及支付时间</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发包人应在监理人出具交工付款证书且承包人提交了合格的增值税专用发票后的14天内，将应支付款支付给承包人。发包人不按期支付的，按第17.3.3（2）目的约定，将逾期付款违约金支付给承包人。</w:t>
      </w:r>
    </w:p>
    <w:p>
      <w:pPr>
        <w:spacing w:line="360" w:lineRule="auto"/>
        <w:rPr>
          <w:rFonts w:ascii="宋体" w:hAnsi="宋体"/>
          <w:b/>
          <w:sz w:val="24"/>
          <w:szCs w:val="28"/>
        </w:rPr>
      </w:pPr>
      <w:bookmarkStart w:id="802" w:name="_Toc179632742"/>
      <w:bookmarkStart w:id="803" w:name="_Toc144974695"/>
      <w:bookmarkStart w:id="804" w:name="_Toc152045724"/>
      <w:bookmarkStart w:id="805" w:name="_Toc152042503"/>
      <w:r>
        <w:rPr>
          <w:rFonts w:hint="eastAsia" w:ascii="宋体" w:hAnsi="宋体"/>
          <w:b/>
          <w:sz w:val="24"/>
          <w:szCs w:val="28"/>
        </w:rPr>
        <w:t>17.6最终结清</w:t>
      </w:r>
      <w:bookmarkEnd w:id="802"/>
      <w:bookmarkEnd w:id="803"/>
      <w:bookmarkEnd w:id="804"/>
      <w:bookmarkEnd w:id="805"/>
    </w:p>
    <w:p>
      <w:pPr>
        <w:spacing w:line="360" w:lineRule="auto"/>
        <w:ind w:firstLine="422" w:firstLineChars="200"/>
        <w:rPr>
          <w:rFonts w:ascii="宋体" w:hAnsi="宋体"/>
          <w:b/>
        </w:rPr>
      </w:pPr>
      <w:r>
        <w:rPr>
          <w:rFonts w:hint="eastAsia" w:ascii="宋体" w:hAnsi="宋体"/>
          <w:b/>
        </w:rPr>
        <w:t>17.6.1最终结清申请单</w:t>
      </w:r>
    </w:p>
    <w:p>
      <w:pPr>
        <w:spacing w:line="360" w:lineRule="auto"/>
        <w:ind w:firstLine="420" w:firstLineChars="200"/>
        <w:rPr>
          <w:rFonts w:ascii="宋体" w:hAnsi="宋体"/>
        </w:rPr>
      </w:pPr>
      <w:r>
        <w:rPr>
          <w:rFonts w:hint="eastAsia" w:ascii="宋体" w:hAnsi="宋体"/>
        </w:rPr>
        <w:t>本项（1）目约定为：</w:t>
      </w:r>
    </w:p>
    <w:p>
      <w:pPr>
        <w:spacing w:line="360" w:lineRule="auto"/>
        <w:ind w:firstLine="420" w:firstLineChars="200"/>
        <w:rPr>
          <w:rFonts w:ascii="宋体" w:hAnsi="宋体"/>
        </w:rPr>
      </w:pPr>
      <w:r>
        <w:rPr>
          <w:rFonts w:hint="eastAsia" w:ascii="宋体" w:hAnsi="宋体"/>
        </w:rPr>
        <w:t>承包人向监理人提交最终结清申请单（包括相关证明材料）的份数在项目专用合同条款数据表中约定；期限：缺陷责任期终止证书签发后28天内。</w:t>
      </w:r>
    </w:p>
    <w:p>
      <w:pPr>
        <w:spacing w:line="360" w:lineRule="auto"/>
        <w:ind w:firstLine="420" w:firstLineChars="200"/>
        <w:rPr>
          <w:rFonts w:ascii="宋体" w:hAnsi="宋体"/>
        </w:rPr>
      </w:pPr>
      <w:r>
        <w:rPr>
          <w:rFonts w:hint="eastAsia" w:ascii="宋体" w:hAnsi="宋体"/>
        </w:rPr>
        <w:t>最终结清申请单中的总金额应认为是代表了根据合同规定应付给承包人的全部款项的最后结算。</w:t>
      </w:r>
    </w:p>
    <w:p>
      <w:pPr>
        <w:spacing w:line="360" w:lineRule="auto"/>
        <w:ind w:firstLine="422" w:firstLineChars="200"/>
        <w:rPr>
          <w:rFonts w:ascii="宋体" w:hAnsi="宋体"/>
          <w:b/>
        </w:rPr>
      </w:pPr>
      <w:r>
        <w:rPr>
          <w:rFonts w:hint="eastAsia" w:ascii="宋体" w:hAnsi="宋体"/>
          <w:b/>
        </w:rPr>
        <w:t>17.6.2最终结清证书和支付时间</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（2）发包人应在监理人出具最终结清证书且承包人提交了合格的增值税专用发票后的14天内，将应支付款支付给承包人。发包人不按期支付的，按第17.3.3（2）目的约定，将逾期付款违约金支付给承包人。</w:t>
      </w:r>
    </w:p>
    <w:p>
      <w:pPr>
        <w:spacing w:line="360" w:lineRule="auto"/>
        <w:rPr>
          <w:rFonts w:ascii="宋体" w:hAnsi="宋体"/>
          <w:b/>
          <w:sz w:val="28"/>
          <w:szCs w:val="30"/>
        </w:rPr>
      </w:pPr>
      <w:bookmarkStart w:id="806" w:name="_Toc152045725"/>
      <w:bookmarkStart w:id="807" w:name="_Toc179632743"/>
      <w:bookmarkStart w:id="808" w:name="_Toc152042504"/>
      <w:bookmarkStart w:id="809" w:name="_Toc144974696"/>
      <w:r>
        <w:rPr>
          <w:rFonts w:hint="eastAsia" w:ascii="宋体" w:hAnsi="宋体"/>
          <w:b/>
          <w:sz w:val="28"/>
          <w:szCs w:val="30"/>
        </w:rPr>
        <w:t>18.交工验收</w:t>
      </w:r>
      <w:bookmarkEnd w:id="806"/>
      <w:bookmarkEnd w:id="807"/>
      <w:bookmarkEnd w:id="808"/>
      <w:bookmarkEnd w:id="809"/>
    </w:p>
    <w:p>
      <w:pPr>
        <w:spacing w:line="360" w:lineRule="auto"/>
        <w:rPr>
          <w:rFonts w:ascii="宋体" w:hAnsi="宋体"/>
          <w:b/>
          <w:sz w:val="24"/>
          <w:szCs w:val="28"/>
        </w:rPr>
      </w:pPr>
      <w:bookmarkStart w:id="810" w:name="_Toc144974698"/>
      <w:bookmarkStart w:id="811" w:name="_Toc152042506"/>
      <w:bookmarkStart w:id="812" w:name="_Toc179632745"/>
      <w:bookmarkStart w:id="813" w:name="_Toc152045727"/>
      <w:r>
        <w:rPr>
          <w:rFonts w:hint="eastAsia" w:ascii="宋体" w:hAnsi="宋体"/>
          <w:b/>
          <w:sz w:val="24"/>
          <w:szCs w:val="28"/>
        </w:rPr>
        <w:t>18.2交工验收申请报告</w:t>
      </w:r>
      <w:bookmarkEnd w:id="810"/>
      <w:bookmarkEnd w:id="811"/>
      <w:bookmarkEnd w:id="812"/>
      <w:bookmarkEnd w:id="813"/>
    </w:p>
    <w:p>
      <w:pPr>
        <w:spacing w:line="360" w:lineRule="auto"/>
        <w:ind w:firstLine="420" w:firstLineChars="200"/>
        <w:rPr>
          <w:rFonts w:ascii="宋体" w:hAnsi="宋体"/>
        </w:rPr>
      </w:pPr>
      <w:r>
        <w:rPr>
          <w:rFonts w:hint="eastAsia" w:ascii="宋体" w:hAnsi="宋体"/>
        </w:rPr>
        <w:t>本款第（2）项约定为：</w:t>
      </w:r>
    </w:p>
    <w:p>
      <w:pPr>
        <w:spacing w:line="360" w:lineRule="auto"/>
        <w:ind w:firstLine="420" w:firstLineChars="200"/>
        <w:rPr>
          <w:rFonts w:ascii="宋体" w:hAnsi="宋体"/>
        </w:rPr>
      </w:pPr>
      <w:r>
        <w:rPr>
          <w:rFonts w:hint="eastAsia" w:ascii="宋体" w:hAnsi="宋体"/>
        </w:rPr>
        <w:t>竣工资料的内容：承包人应按照《公路工程竣（交）工验收办法》和相关规定编制竣工资料。</w:t>
      </w:r>
    </w:p>
    <w:p>
      <w:pPr>
        <w:spacing w:line="360" w:lineRule="auto"/>
        <w:ind w:firstLine="420" w:firstLineChars="200"/>
        <w:rPr>
          <w:rFonts w:ascii="宋体" w:hAnsi="宋体"/>
        </w:rPr>
      </w:pPr>
      <w:r>
        <w:rPr>
          <w:rFonts w:hint="eastAsia" w:ascii="宋体" w:hAnsi="宋体"/>
        </w:rPr>
        <w:t>竣工资料的份数在项目专用合同条款数据表中约定。</w:t>
      </w:r>
    </w:p>
    <w:p>
      <w:pPr>
        <w:spacing w:line="360" w:lineRule="auto"/>
        <w:rPr>
          <w:rFonts w:ascii="宋体" w:hAnsi="宋体"/>
          <w:b/>
          <w:sz w:val="24"/>
          <w:szCs w:val="28"/>
        </w:rPr>
      </w:pPr>
      <w:bookmarkStart w:id="814" w:name="_Toc152045728"/>
      <w:bookmarkStart w:id="815" w:name="_Toc144974699"/>
      <w:bookmarkStart w:id="816" w:name="_Toc152042507"/>
      <w:bookmarkStart w:id="817" w:name="_Toc179632746"/>
      <w:r>
        <w:rPr>
          <w:rFonts w:hint="eastAsia" w:ascii="宋体" w:hAnsi="宋体"/>
          <w:b/>
          <w:sz w:val="24"/>
          <w:szCs w:val="28"/>
        </w:rPr>
        <w:t>18.3验收</w:t>
      </w:r>
      <w:bookmarkEnd w:id="814"/>
      <w:bookmarkEnd w:id="815"/>
      <w:bookmarkEnd w:id="816"/>
      <w:bookmarkEnd w:id="817"/>
    </w:p>
    <w:p>
      <w:pPr>
        <w:spacing w:line="360" w:lineRule="auto"/>
        <w:ind w:firstLine="420" w:firstLineChars="200"/>
        <w:rPr>
          <w:rFonts w:ascii="宋体" w:hAnsi="宋体"/>
        </w:rPr>
      </w:pPr>
      <w:r>
        <w:rPr>
          <w:rFonts w:hint="eastAsia" w:ascii="宋体" w:hAnsi="宋体"/>
        </w:rPr>
        <w:t>第18.3.2补充：</w:t>
      </w:r>
    </w:p>
    <w:p>
      <w:pPr>
        <w:spacing w:line="360" w:lineRule="auto"/>
        <w:ind w:firstLine="420" w:firstLineChars="200"/>
        <w:rPr>
          <w:rFonts w:ascii="宋体" w:hAnsi="宋体"/>
        </w:rPr>
      </w:pPr>
      <w:r>
        <w:rPr>
          <w:rFonts w:hint="eastAsia" w:ascii="宋体" w:hAnsi="宋体"/>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spacing w:line="360" w:lineRule="auto"/>
        <w:ind w:firstLine="420" w:firstLineChars="200"/>
        <w:rPr>
          <w:rFonts w:ascii="宋体" w:hAnsi="宋体"/>
        </w:rPr>
      </w:pPr>
      <w:r>
        <w:rPr>
          <w:rFonts w:hint="eastAsia" w:ascii="宋体" w:hAnsi="宋体"/>
        </w:rPr>
        <w:t>第18.3.5项约定为：</w:t>
      </w:r>
    </w:p>
    <w:p>
      <w:pPr>
        <w:spacing w:line="360" w:lineRule="auto"/>
        <w:ind w:firstLine="420" w:firstLineChars="200"/>
        <w:rPr>
          <w:rFonts w:ascii="宋体" w:hAnsi="宋体"/>
        </w:rPr>
      </w:pPr>
      <w:r>
        <w:rPr>
          <w:rFonts w:hint="eastAsia" w:ascii="宋体" w:hAnsi="宋体"/>
        </w:rPr>
        <w:t>经验收合格工程的实际交工日期，以最终提交交工验收申请报告的日期为准，并在交工验收证书中写明。</w:t>
      </w:r>
    </w:p>
    <w:p>
      <w:pPr>
        <w:spacing w:line="360" w:lineRule="auto"/>
        <w:ind w:firstLine="420" w:firstLineChars="200"/>
        <w:rPr>
          <w:rFonts w:ascii="宋体" w:hAnsi="宋体"/>
        </w:rPr>
      </w:pPr>
      <w:r>
        <w:rPr>
          <w:rFonts w:hint="eastAsia" w:ascii="宋体" w:hAnsi="宋体"/>
        </w:rPr>
        <w:t>本款补充第18.3.7项：</w:t>
      </w:r>
    </w:p>
    <w:p>
      <w:pPr>
        <w:spacing w:line="360" w:lineRule="auto"/>
        <w:ind w:firstLine="420" w:firstLineChars="200"/>
        <w:rPr>
          <w:rFonts w:ascii="宋体" w:hAnsi="宋体"/>
        </w:rPr>
      </w:pPr>
      <w:r>
        <w:rPr>
          <w:rFonts w:hint="eastAsia" w:ascii="宋体" w:hAnsi="宋体"/>
        </w:rPr>
        <w:t>18.3.7组织办理交工验收和签发交工验收证书的费用由发包人承担。但按照第18.3.4项规定达不到合格标准的交工验收费用由承包人承担。</w:t>
      </w:r>
    </w:p>
    <w:p>
      <w:pPr>
        <w:spacing w:line="360" w:lineRule="auto"/>
        <w:rPr>
          <w:rFonts w:ascii="宋体" w:hAnsi="宋体"/>
        </w:rPr>
      </w:pPr>
    </w:p>
    <w:p>
      <w:pPr>
        <w:spacing w:line="360" w:lineRule="auto"/>
        <w:rPr>
          <w:rFonts w:ascii="宋体" w:hAnsi="宋体"/>
        </w:rPr>
      </w:pPr>
      <w:r>
        <w:rPr>
          <w:rFonts w:hint="eastAsia" w:ascii="宋体" w:hAnsi="宋体"/>
        </w:rPr>
        <w:t>本条补充第18.9款：</w:t>
      </w:r>
    </w:p>
    <w:p>
      <w:pPr>
        <w:spacing w:line="360" w:lineRule="auto"/>
        <w:rPr>
          <w:rFonts w:ascii="宋体" w:hAnsi="宋体"/>
          <w:b/>
          <w:sz w:val="24"/>
          <w:szCs w:val="28"/>
        </w:rPr>
      </w:pPr>
      <w:r>
        <w:rPr>
          <w:rFonts w:hint="eastAsia" w:ascii="宋体" w:hAnsi="宋体"/>
          <w:b/>
          <w:sz w:val="24"/>
          <w:szCs w:val="28"/>
        </w:rPr>
        <w:t>18.9竣工文件</w:t>
      </w:r>
    </w:p>
    <w:p>
      <w:pPr>
        <w:spacing w:line="360" w:lineRule="auto"/>
        <w:ind w:firstLine="420" w:firstLineChars="200"/>
        <w:rPr>
          <w:rFonts w:ascii="宋体" w:hAnsi="宋体"/>
        </w:rPr>
      </w:pPr>
      <w:r>
        <w:rPr>
          <w:rFonts w:hint="eastAsia" w:ascii="宋体" w:hAnsi="宋体"/>
        </w:rPr>
        <w:t>承包人应按照《公路工程竣（交）工验收办法》的相关规定，在缺陷责任期内为竣工验收补充竣工资料，并在签发缺陷责任期终止证书之前提交。</w:t>
      </w:r>
    </w:p>
    <w:p>
      <w:pPr>
        <w:spacing w:line="360" w:lineRule="auto"/>
        <w:rPr>
          <w:rFonts w:ascii="宋体" w:hAnsi="宋体"/>
          <w:b/>
          <w:sz w:val="28"/>
          <w:szCs w:val="30"/>
        </w:rPr>
      </w:pPr>
      <w:bookmarkStart w:id="818" w:name="_Toc152042513"/>
      <w:bookmarkStart w:id="819" w:name="_Toc152045734"/>
      <w:bookmarkStart w:id="820" w:name="_Toc144974705"/>
      <w:bookmarkStart w:id="821" w:name="_Toc179632752"/>
      <w:r>
        <w:rPr>
          <w:rFonts w:hint="eastAsia" w:ascii="宋体" w:hAnsi="宋体"/>
          <w:b/>
          <w:sz w:val="28"/>
          <w:szCs w:val="30"/>
        </w:rPr>
        <w:t>19.缺陷责任与保修责任</w:t>
      </w:r>
      <w:bookmarkEnd w:id="818"/>
      <w:bookmarkEnd w:id="819"/>
      <w:bookmarkEnd w:id="820"/>
      <w:bookmarkEnd w:id="821"/>
    </w:p>
    <w:p>
      <w:pPr>
        <w:spacing w:line="360" w:lineRule="auto"/>
        <w:rPr>
          <w:rFonts w:ascii="宋体" w:hAnsi="宋体"/>
          <w:b/>
          <w:sz w:val="24"/>
          <w:szCs w:val="28"/>
        </w:rPr>
      </w:pPr>
      <w:bookmarkStart w:id="822" w:name="_Toc144974707"/>
      <w:bookmarkStart w:id="823" w:name="_Toc152042515"/>
      <w:bookmarkStart w:id="824" w:name="_Toc179632754"/>
      <w:bookmarkStart w:id="825" w:name="_Toc152045736"/>
      <w:r>
        <w:rPr>
          <w:rFonts w:hint="eastAsia" w:ascii="宋体" w:hAnsi="宋体"/>
          <w:b/>
          <w:sz w:val="24"/>
          <w:szCs w:val="28"/>
        </w:rPr>
        <w:t>19.2缺陷责任</w:t>
      </w:r>
      <w:bookmarkEnd w:id="822"/>
      <w:bookmarkEnd w:id="823"/>
      <w:bookmarkEnd w:id="824"/>
      <w:bookmarkEnd w:id="825"/>
    </w:p>
    <w:p>
      <w:pPr>
        <w:spacing w:line="360" w:lineRule="auto"/>
        <w:ind w:firstLine="420" w:firstLineChars="200"/>
        <w:rPr>
          <w:rFonts w:ascii="宋体" w:hAnsi="宋体"/>
        </w:rPr>
      </w:pPr>
      <w:r>
        <w:rPr>
          <w:rFonts w:hint="eastAsia" w:ascii="宋体" w:hAnsi="宋体"/>
        </w:rPr>
        <w:t>第19.2.2项补充：</w:t>
      </w:r>
    </w:p>
    <w:p>
      <w:pPr>
        <w:spacing w:line="360" w:lineRule="auto"/>
        <w:ind w:firstLine="420" w:firstLineChars="200"/>
        <w:rPr>
          <w:rFonts w:ascii="宋体" w:hAnsi="宋体"/>
        </w:rPr>
      </w:pPr>
      <w:r>
        <w:rPr>
          <w:rFonts w:hint="eastAsia" w:ascii="宋体" w:hAnsi="宋体"/>
        </w:rPr>
        <w:t>在缺陷责任期内，承包人应尽快完成在交工验收证书中写明的未完成工作，并完成对本工程缺陷的修复或监理人指令的修补工作。</w:t>
      </w:r>
    </w:p>
    <w:p>
      <w:pPr>
        <w:spacing w:line="360" w:lineRule="auto"/>
        <w:rPr>
          <w:rFonts w:ascii="宋体" w:hAnsi="宋体"/>
          <w:b/>
          <w:sz w:val="24"/>
          <w:szCs w:val="28"/>
        </w:rPr>
      </w:pPr>
      <w:r>
        <w:rPr>
          <w:rFonts w:hint="eastAsia" w:ascii="宋体" w:hAnsi="宋体"/>
          <w:b/>
          <w:sz w:val="24"/>
          <w:szCs w:val="28"/>
        </w:rPr>
        <w:t>19.5承包人的进入权</w:t>
      </w:r>
    </w:p>
    <w:p>
      <w:pPr>
        <w:spacing w:line="360" w:lineRule="auto"/>
        <w:ind w:firstLine="420" w:firstLineChars="200"/>
        <w:rPr>
          <w:rFonts w:ascii="宋体" w:hAnsi="宋体"/>
        </w:rPr>
      </w:pPr>
      <w:r>
        <w:rPr>
          <w:rFonts w:hint="eastAsia" w:ascii="宋体" w:hAnsi="宋体"/>
        </w:rPr>
        <w:t>本款补充：</w:t>
      </w:r>
    </w:p>
    <w:p>
      <w:pPr>
        <w:spacing w:line="360" w:lineRule="auto"/>
        <w:ind w:firstLine="420" w:firstLineChars="200"/>
        <w:rPr>
          <w:rFonts w:ascii="宋体" w:hAnsi="宋体"/>
        </w:rPr>
      </w:pPr>
      <w:r>
        <w:rPr>
          <w:rFonts w:hint="eastAsia" w:ascii="宋体" w:hAnsi="宋体"/>
        </w:rPr>
        <w:t>承包人在缺陷修复施工过程中，应服从管养单位的有关安全管理规定，由于承包人自身原因造成的人员伤亡、设备和材料的损毁及罚款等责任由承包人自负。</w:t>
      </w:r>
    </w:p>
    <w:p>
      <w:pPr>
        <w:spacing w:line="360" w:lineRule="auto"/>
        <w:rPr>
          <w:rFonts w:ascii="宋体" w:hAnsi="宋体"/>
          <w:b/>
          <w:sz w:val="24"/>
          <w:szCs w:val="28"/>
        </w:rPr>
      </w:pPr>
      <w:bookmarkStart w:id="826" w:name="_Toc152045741"/>
      <w:bookmarkStart w:id="827" w:name="_Toc144974712"/>
      <w:bookmarkStart w:id="828" w:name="_Toc152042520"/>
      <w:bookmarkStart w:id="829" w:name="_Toc179632759"/>
      <w:r>
        <w:rPr>
          <w:rFonts w:hint="eastAsia" w:ascii="宋体" w:hAnsi="宋体"/>
          <w:b/>
          <w:sz w:val="24"/>
          <w:szCs w:val="28"/>
        </w:rPr>
        <w:t>19.7保修责任</w:t>
      </w:r>
      <w:bookmarkEnd w:id="826"/>
      <w:bookmarkEnd w:id="827"/>
      <w:bookmarkEnd w:id="828"/>
      <w:bookmarkEnd w:id="829"/>
    </w:p>
    <w:p>
      <w:pPr>
        <w:spacing w:line="360" w:lineRule="auto"/>
        <w:ind w:firstLine="420" w:firstLineChars="200"/>
        <w:rPr>
          <w:rFonts w:ascii="宋体" w:hAnsi="宋体"/>
          <w:szCs w:val="21"/>
        </w:rPr>
      </w:pPr>
      <w:r>
        <w:rPr>
          <w:rFonts w:hint="eastAsia" w:ascii="宋体" w:hAnsi="宋体"/>
          <w:szCs w:val="21"/>
        </w:rPr>
        <w:t>本款细化为：</w:t>
      </w:r>
    </w:p>
    <w:p>
      <w:pPr>
        <w:spacing w:line="360" w:lineRule="auto"/>
        <w:ind w:firstLine="420" w:firstLineChars="200"/>
        <w:rPr>
          <w:rFonts w:ascii="宋体" w:hAnsi="宋体"/>
        </w:rPr>
      </w:pPr>
      <w:r>
        <w:rPr>
          <w:rFonts w:hint="eastAsia" w:ascii="宋体" w:hAnsi="宋体"/>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spacing w:line="360" w:lineRule="auto"/>
        <w:ind w:firstLine="420" w:firstLineChars="200"/>
        <w:rPr>
          <w:rFonts w:ascii="宋体" w:hAnsi="宋体"/>
        </w:rPr>
      </w:pPr>
      <w:r>
        <w:rPr>
          <w:rFonts w:hint="eastAsia" w:ascii="宋体" w:hAnsi="宋体"/>
        </w:rPr>
        <w:t>（2）在全部工程交工验收前，已经发包人提前验收的单位工程，其保修期的起算日期相应提前。</w:t>
      </w:r>
    </w:p>
    <w:p>
      <w:pPr>
        <w:spacing w:line="360" w:lineRule="auto"/>
        <w:ind w:firstLine="420" w:firstLineChars="200"/>
        <w:rPr>
          <w:rFonts w:ascii="宋体" w:hAnsi="宋体"/>
        </w:rPr>
      </w:pPr>
      <w:r>
        <w:rPr>
          <w:rFonts w:hint="eastAsia" w:ascii="宋体" w:hAnsi="宋体"/>
        </w:rPr>
        <w:t>（3）工程保修期终止后28天内，监理人签发保修期终止证书。</w:t>
      </w:r>
    </w:p>
    <w:p>
      <w:pPr>
        <w:spacing w:line="360" w:lineRule="auto"/>
        <w:ind w:firstLine="420" w:firstLineChars="200"/>
        <w:rPr>
          <w:rFonts w:ascii="宋体" w:hAnsi="宋体"/>
        </w:rPr>
      </w:pPr>
      <w:r>
        <w:rPr>
          <w:rFonts w:hint="eastAsia" w:ascii="宋体" w:hAnsi="宋体"/>
        </w:rPr>
        <w:t>（4）若承包人不履行保修义务和责任，则承包人应承担由于违约造成的法律后果，并由发包人将其违约行为上报省级交通主管部门，作为不良记录纳入公路建设市场信用信息管理系统。</w:t>
      </w:r>
    </w:p>
    <w:p>
      <w:pPr>
        <w:spacing w:line="360" w:lineRule="auto"/>
        <w:rPr>
          <w:rFonts w:ascii="宋体" w:hAnsi="宋体"/>
          <w:b/>
          <w:sz w:val="28"/>
          <w:szCs w:val="30"/>
        </w:rPr>
      </w:pPr>
      <w:bookmarkStart w:id="830" w:name="_Toc152042521"/>
      <w:bookmarkStart w:id="831" w:name="_Toc152045742"/>
      <w:bookmarkStart w:id="832" w:name="_Toc144974713"/>
      <w:bookmarkStart w:id="833" w:name="_Toc179632760"/>
      <w:r>
        <w:rPr>
          <w:rFonts w:hint="eastAsia" w:ascii="宋体" w:hAnsi="宋体"/>
          <w:b/>
          <w:sz w:val="28"/>
          <w:szCs w:val="30"/>
        </w:rPr>
        <w:t>20.保险</w:t>
      </w:r>
      <w:bookmarkEnd w:id="830"/>
      <w:bookmarkEnd w:id="831"/>
      <w:bookmarkEnd w:id="832"/>
      <w:bookmarkEnd w:id="833"/>
    </w:p>
    <w:p>
      <w:pPr>
        <w:spacing w:line="360" w:lineRule="auto"/>
        <w:rPr>
          <w:rFonts w:ascii="宋体" w:hAnsi="宋体"/>
          <w:b/>
          <w:sz w:val="24"/>
          <w:szCs w:val="28"/>
        </w:rPr>
      </w:pPr>
      <w:bookmarkStart w:id="834" w:name="_Toc152042522"/>
      <w:bookmarkStart w:id="835" w:name="_Toc179632761"/>
      <w:bookmarkStart w:id="836" w:name="_Toc144974714"/>
      <w:bookmarkStart w:id="837" w:name="_Toc152045743"/>
      <w:r>
        <w:rPr>
          <w:rFonts w:hint="eastAsia" w:ascii="宋体" w:hAnsi="宋体"/>
          <w:b/>
          <w:sz w:val="24"/>
          <w:szCs w:val="28"/>
        </w:rPr>
        <w:t>20.1工程保险</w:t>
      </w:r>
      <w:bookmarkEnd w:id="834"/>
      <w:bookmarkEnd w:id="835"/>
      <w:bookmarkEnd w:id="836"/>
      <w:bookmarkEnd w:id="837"/>
    </w:p>
    <w:p>
      <w:pPr>
        <w:spacing w:line="360" w:lineRule="auto"/>
        <w:ind w:firstLine="420" w:firstLineChars="200"/>
        <w:rPr>
          <w:rFonts w:ascii="宋体" w:hAnsi="宋体"/>
        </w:rPr>
      </w:pPr>
      <w:r>
        <w:rPr>
          <w:rFonts w:hint="eastAsia" w:ascii="宋体" w:hAnsi="宋体"/>
        </w:rPr>
        <w:t>本款约定为：</w:t>
      </w:r>
    </w:p>
    <w:p>
      <w:pPr>
        <w:spacing w:line="360" w:lineRule="auto"/>
        <w:ind w:firstLine="420" w:firstLineChars="200"/>
        <w:rPr>
          <w:rFonts w:ascii="宋体" w:hAnsi="宋体"/>
        </w:rPr>
      </w:pPr>
      <w:r>
        <w:rPr>
          <w:rFonts w:hint="eastAsia" w:ascii="宋体" w:hAnsi="宋体"/>
        </w:rPr>
        <w:t>建筑工程一切险的投保内容：为本合同工程的永久工程、临时工程和设备及已运至施工工地用于永久工程的材料和设备所投的保险。</w:t>
      </w:r>
    </w:p>
    <w:p>
      <w:pPr>
        <w:spacing w:line="360" w:lineRule="auto"/>
        <w:ind w:firstLine="420" w:firstLineChars="200"/>
        <w:rPr>
          <w:rFonts w:ascii="宋体" w:hAnsi="宋体"/>
        </w:rPr>
      </w:pPr>
      <w:r>
        <w:rPr>
          <w:rFonts w:hint="eastAsia" w:ascii="宋体" w:hAnsi="宋体"/>
        </w:rPr>
        <w:t>保险金额：工程量清单第100章（不含建筑工程一切险及第三者责任险的保险费）至700章的合计金额。</w:t>
      </w:r>
    </w:p>
    <w:p>
      <w:pPr>
        <w:spacing w:line="360" w:lineRule="auto"/>
        <w:ind w:firstLine="420" w:firstLineChars="200"/>
        <w:rPr>
          <w:rFonts w:ascii="宋体" w:hAnsi="宋体"/>
        </w:rPr>
      </w:pPr>
      <w:r>
        <w:rPr>
          <w:rFonts w:hint="eastAsia" w:ascii="宋体" w:hAnsi="宋体"/>
        </w:rPr>
        <w:t>保险费率：在项目专用合同条款数据表中约定。</w:t>
      </w:r>
    </w:p>
    <w:p>
      <w:pPr>
        <w:spacing w:line="360" w:lineRule="auto"/>
        <w:ind w:firstLine="420" w:firstLineChars="200"/>
        <w:rPr>
          <w:rFonts w:ascii="宋体" w:hAnsi="宋体"/>
        </w:rPr>
      </w:pPr>
      <w:r>
        <w:rPr>
          <w:rFonts w:hint="eastAsia" w:ascii="宋体" w:hAnsi="宋体"/>
        </w:rPr>
        <w:t>保险期限：开工日起直至本合同工程签发缺陷责任期终止证书止（即合同工期+缺陷责任期）。</w:t>
      </w:r>
    </w:p>
    <w:p>
      <w:pPr>
        <w:spacing w:line="360" w:lineRule="auto"/>
        <w:ind w:firstLine="420" w:firstLineChars="200"/>
        <w:rPr>
          <w:rFonts w:ascii="宋体" w:hAnsi="宋体"/>
        </w:rPr>
      </w:pPr>
      <w:r>
        <w:rPr>
          <w:rFonts w:hint="eastAsia" w:ascii="宋体" w:hAnsi="宋体"/>
        </w:rPr>
        <w:t>承包人应以发包人和承包人的共同名义投保建筑工程一切险。建筑工程一切险的保险费由承包人报价时列入工程量清单100章内。发包人在接到保险单后，将按照保险单的费用直接向承包人支付。</w:t>
      </w:r>
    </w:p>
    <w:p>
      <w:pPr>
        <w:spacing w:line="360" w:lineRule="auto"/>
        <w:rPr>
          <w:rFonts w:ascii="宋体" w:hAnsi="宋体"/>
          <w:b/>
          <w:sz w:val="24"/>
          <w:szCs w:val="28"/>
        </w:rPr>
      </w:pPr>
      <w:bookmarkStart w:id="838" w:name="_Toc179632764"/>
      <w:bookmarkStart w:id="839" w:name="_Toc152042525"/>
      <w:bookmarkStart w:id="840" w:name="_Toc152045746"/>
      <w:bookmarkStart w:id="841" w:name="_Toc144974717"/>
      <w:r>
        <w:rPr>
          <w:rFonts w:hint="eastAsia" w:ascii="宋体" w:hAnsi="宋体"/>
          <w:b/>
          <w:sz w:val="24"/>
          <w:szCs w:val="28"/>
        </w:rPr>
        <w:t>20.4第三者责任险</w:t>
      </w:r>
      <w:bookmarkEnd w:id="838"/>
      <w:bookmarkEnd w:id="839"/>
      <w:bookmarkEnd w:id="840"/>
      <w:bookmarkEnd w:id="841"/>
    </w:p>
    <w:p>
      <w:pPr>
        <w:spacing w:line="360" w:lineRule="auto"/>
        <w:ind w:firstLine="420" w:firstLineChars="200"/>
        <w:rPr>
          <w:rFonts w:ascii="宋体" w:hAnsi="宋体"/>
        </w:rPr>
      </w:pPr>
      <w:r>
        <w:rPr>
          <w:rFonts w:hint="eastAsia" w:ascii="宋体" w:hAnsi="宋体"/>
        </w:rPr>
        <w:t>第20.4.2补充：</w:t>
      </w:r>
    </w:p>
    <w:p>
      <w:pPr>
        <w:spacing w:line="360" w:lineRule="auto"/>
        <w:ind w:firstLine="420" w:firstLineChars="200"/>
        <w:rPr>
          <w:rFonts w:ascii="宋体" w:hAnsi="宋体"/>
        </w:rPr>
      </w:pPr>
      <w:r>
        <w:rPr>
          <w:rFonts w:hint="eastAsia" w:ascii="宋体" w:hAnsi="宋体"/>
        </w:rPr>
        <w:t>第三者责任险的保险费由承包人报价时列入工程量清单第100章内。发包人在接到保险单后，将按照保险单的费用直接向承包人支付。</w:t>
      </w:r>
    </w:p>
    <w:p>
      <w:pPr>
        <w:spacing w:line="360" w:lineRule="auto"/>
        <w:rPr>
          <w:rFonts w:ascii="宋体" w:hAnsi="宋体"/>
          <w:b/>
          <w:sz w:val="24"/>
          <w:szCs w:val="28"/>
        </w:rPr>
      </w:pPr>
      <w:bookmarkStart w:id="842" w:name="_Toc152045747"/>
      <w:bookmarkStart w:id="843" w:name="_Toc179632765"/>
      <w:bookmarkStart w:id="844" w:name="_Toc152042526"/>
      <w:bookmarkStart w:id="845" w:name="_Toc144974718"/>
      <w:r>
        <w:rPr>
          <w:rFonts w:hint="eastAsia" w:ascii="宋体" w:hAnsi="宋体"/>
          <w:b/>
          <w:sz w:val="24"/>
          <w:szCs w:val="28"/>
        </w:rPr>
        <w:t>20.5其他保险</w:t>
      </w:r>
      <w:bookmarkEnd w:id="842"/>
      <w:bookmarkEnd w:id="843"/>
      <w:bookmarkEnd w:id="844"/>
      <w:bookmarkEnd w:id="845"/>
    </w:p>
    <w:p>
      <w:pPr>
        <w:spacing w:line="360" w:lineRule="auto"/>
        <w:ind w:firstLine="420" w:firstLineChars="200"/>
        <w:rPr>
          <w:rFonts w:ascii="宋体" w:hAnsi="宋体"/>
        </w:rPr>
      </w:pPr>
      <w:r>
        <w:rPr>
          <w:rFonts w:hint="eastAsia" w:ascii="宋体" w:hAnsi="宋体"/>
        </w:rPr>
        <w:t>本款约定为：</w:t>
      </w:r>
    </w:p>
    <w:p>
      <w:pPr>
        <w:spacing w:line="360" w:lineRule="auto"/>
        <w:ind w:firstLine="420" w:firstLineChars="200"/>
        <w:rPr>
          <w:rFonts w:ascii="宋体" w:hAnsi="宋体"/>
        </w:rPr>
      </w:pPr>
      <w:r>
        <w:rPr>
          <w:rFonts w:hint="eastAsia" w:ascii="宋体" w:hAnsi="宋体"/>
        </w:rPr>
        <w:t>承包人应为其施工设备等办理保险，其投保金额应足以现场重置。办理本款保险的一切费用均由承包人承担，并包括在工程量清单的单价及总额价中，发包人不单独支付。</w:t>
      </w:r>
    </w:p>
    <w:p>
      <w:pPr>
        <w:spacing w:line="360" w:lineRule="auto"/>
        <w:rPr>
          <w:rFonts w:ascii="宋体" w:hAnsi="宋体"/>
          <w:b/>
          <w:sz w:val="24"/>
          <w:szCs w:val="28"/>
        </w:rPr>
      </w:pPr>
      <w:bookmarkStart w:id="846" w:name="_Toc152042527"/>
      <w:bookmarkStart w:id="847" w:name="_Toc144974719"/>
      <w:bookmarkStart w:id="848" w:name="_Toc152045748"/>
      <w:bookmarkStart w:id="849" w:name="_Toc179632766"/>
      <w:r>
        <w:rPr>
          <w:rFonts w:hint="eastAsia" w:ascii="宋体" w:hAnsi="宋体"/>
          <w:b/>
          <w:sz w:val="24"/>
          <w:szCs w:val="28"/>
        </w:rPr>
        <w:t>20.6对各项保险的一般要求</w:t>
      </w:r>
      <w:bookmarkEnd w:id="846"/>
      <w:bookmarkEnd w:id="847"/>
      <w:bookmarkEnd w:id="848"/>
      <w:bookmarkEnd w:id="849"/>
    </w:p>
    <w:p>
      <w:pPr>
        <w:spacing w:line="360" w:lineRule="auto"/>
        <w:ind w:firstLine="422" w:firstLineChars="200"/>
        <w:rPr>
          <w:rFonts w:ascii="宋体" w:hAnsi="宋体"/>
          <w:b/>
        </w:rPr>
      </w:pPr>
      <w:r>
        <w:rPr>
          <w:rFonts w:hint="eastAsia" w:ascii="宋体" w:hAnsi="宋体"/>
          <w:b/>
        </w:rPr>
        <w:t>20.6.1保险凭证</w:t>
      </w:r>
    </w:p>
    <w:p>
      <w:pPr>
        <w:spacing w:line="360" w:lineRule="auto"/>
        <w:ind w:firstLine="420" w:firstLineChars="200"/>
        <w:rPr>
          <w:rFonts w:ascii="宋体" w:hAnsi="宋体"/>
        </w:rPr>
      </w:pPr>
      <w:r>
        <w:rPr>
          <w:rFonts w:hint="eastAsia" w:ascii="宋体" w:hAnsi="宋体"/>
        </w:rPr>
        <w:t>承包人向发包人提交各项保险生效的证据和保险单副本的期限：开工后56天内。</w:t>
      </w:r>
    </w:p>
    <w:p>
      <w:pPr>
        <w:spacing w:line="360" w:lineRule="auto"/>
        <w:ind w:firstLine="422" w:firstLineChars="200"/>
        <w:rPr>
          <w:rFonts w:ascii="宋体" w:hAnsi="宋体"/>
          <w:b/>
        </w:rPr>
      </w:pPr>
      <w:r>
        <w:rPr>
          <w:rFonts w:hint="eastAsia" w:ascii="宋体" w:hAnsi="宋体"/>
          <w:b/>
        </w:rPr>
        <w:t>20.6.3持续保险</w:t>
      </w:r>
    </w:p>
    <w:p>
      <w:pPr>
        <w:spacing w:line="360" w:lineRule="auto"/>
        <w:ind w:firstLine="420" w:firstLineChars="200"/>
        <w:rPr>
          <w:rFonts w:ascii="宋体" w:hAnsi="宋体"/>
        </w:rPr>
      </w:pPr>
      <w:r>
        <w:rPr>
          <w:rFonts w:hint="eastAsia" w:ascii="宋体" w:hAnsi="宋体"/>
        </w:rPr>
        <w:t>本项补充：</w:t>
      </w:r>
    </w:p>
    <w:p>
      <w:pPr>
        <w:spacing w:line="360" w:lineRule="auto"/>
        <w:ind w:firstLine="420" w:firstLineChars="200"/>
        <w:rPr>
          <w:rFonts w:ascii="宋体" w:hAnsi="宋体"/>
        </w:rPr>
      </w:pPr>
      <w:r>
        <w:rPr>
          <w:rFonts w:hint="eastAsia" w:ascii="宋体" w:hAnsi="宋体"/>
        </w:rPr>
        <w:t>在整个合同期内，承包人应按合同条款规定保证足够的保险额。</w:t>
      </w:r>
    </w:p>
    <w:p>
      <w:pPr>
        <w:spacing w:line="360" w:lineRule="auto"/>
        <w:ind w:firstLine="422" w:firstLineChars="200"/>
        <w:rPr>
          <w:rFonts w:ascii="宋体" w:hAnsi="宋体"/>
          <w:b/>
        </w:rPr>
      </w:pPr>
      <w:r>
        <w:rPr>
          <w:rFonts w:hint="eastAsia" w:ascii="宋体" w:hAnsi="宋体"/>
          <w:b/>
        </w:rPr>
        <w:t>20.6.4保险金不足的补偿</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保险金不足以补偿损失的（包括免赔额和超过赔偿限额的部分），应由承包人和（或）发包人按合同约定负责补偿。</w:t>
      </w:r>
    </w:p>
    <w:p>
      <w:pPr>
        <w:spacing w:line="360" w:lineRule="auto"/>
        <w:ind w:firstLine="422" w:firstLineChars="200"/>
        <w:rPr>
          <w:rFonts w:ascii="宋体" w:hAnsi="宋体"/>
          <w:b/>
        </w:rPr>
      </w:pPr>
      <w:r>
        <w:rPr>
          <w:rFonts w:hint="eastAsia" w:ascii="宋体" w:hAnsi="宋体"/>
          <w:b/>
        </w:rPr>
        <w:t>20.6.5未按约定投保的补救</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spacing w:line="360" w:lineRule="auto"/>
        <w:ind w:firstLine="420" w:firstLineChars="200"/>
        <w:rPr>
          <w:rFonts w:ascii="宋体" w:hAnsi="宋体"/>
        </w:rPr>
      </w:pPr>
    </w:p>
    <w:p>
      <w:pPr>
        <w:spacing w:line="360" w:lineRule="auto"/>
        <w:rPr>
          <w:rFonts w:ascii="宋体" w:hAnsi="宋体"/>
          <w:b/>
          <w:sz w:val="28"/>
          <w:szCs w:val="30"/>
        </w:rPr>
      </w:pPr>
      <w:bookmarkStart w:id="850" w:name="_Toc152042528"/>
      <w:bookmarkStart w:id="851" w:name="_Toc144974720"/>
      <w:bookmarkStart w:id="852" w:name="_Toc179632767"/>
      <w:bookmarkStart w:id="853" w:name="_Toc152045749"/>
      <w:r>
        <w:rPr>
          <w:rFonts w:hint="eastAsia" w:ascii="宋体" w:hAnsi="宋体"/>
          <w:b/>
          <w:sz w:val="28"/>
          <w:szCs w:val="30"/>
        </w:rPr>
        <w:t>21.不可抗力</w:t>
      </w:r>
      <w:bookmarkEnd w:id="850"/>
      <w:bookmarkEnd w:id="851"/>
      <w:bookmarkEnd w:id="852"/>
      <w:bookmarkEnd w:id="853"/>
    </w:p>
    <w:p>
      <w:pPr>
        <w:spacing w:line="360" w:lineRule="auto"/>
        <w:rPr>
          <w:rFonts w:ascii="宋体" w:hAnsi="宋体"/>
          <w:b/>
          <w:sz w:val="24"/>
          <w:szCs w:val="28"/>
        </w:rPr>
      </w:pPr>
      <w:bookmarkStart w:id="854" w:name="_Toc152045750"/>
      <w:bookmarkStart w:id="855" w:name="_Toc152042529"/>
      <w:bookmarkStart w:id="856" w:name="_Toc179632768"/>
      <w:bookmarkStart w:id="857" w:name="_Toc144974721"/>
      <w:r>
        <w:rPr>
          <w:rFonts w:hint="eastAsia" w:ascii="宋体" w:hAnsi="宋体"/>
          <w:b/>
          <w:sz w:val="24"/>
          <w:szCs w:val="28"/>
        </w:rPr>
        <w:t>21.1不可抗力的确认</w:t>
      </w:r>
      <w:bookmarkEnd w:id="854"/>
      <w:bookmarkEnd w:id="855"/>
      <w:bookmarkEnd w:id="856"/>
      <w:bookmarkEnd w:id="857"/>
    </w:p>
    <w:p>
      <w:pPr>
        <w:spacing w:line="360" w:lineRule="auto"/>
        <w:ind w:firstLine="420" w:firstLineChars="200"/>
        <w:rPr>
          <w:rFonts w:ascii="宋体" w:hAnsi="宋体"/>
        </w:rPr>
      </w:pPr>
      <w:r>
        <w:rPr>
          <w:rFonts w:hint="eastAsia" w:ascii="宋体" w:hAnsi="宋体"/>
        </w:rPr>
        <w:t>第21.1.1项细化为：</w:t>
      </w:r>
    </w:p>
    <w:p>
      <w:pPr>
        <w:spacing w:line="360" w:lineRule="auto"/>
        <w:ind w:firstLine="420" w:firstLineChars="200"/>
        <w:rPr>
          <w:rFonts w:ascii="宋体" w:hAnsi="宋体"/>
        </w:rPr>
      </w:pPr>
      <w:r>
        <w:rPr>
          <w:rFonts w:hint="eastAsia" w:ascii="宋体" w:hAnsi="宋体"/>
        </w:rPr>
        <w:t>不可抗力是指承包人和发包人在订立合同时不可预见，在工程施工过程中不可避免发生并不能克服的自然灾害和社会性突发事件。包括但不限于：</w:t>
      </w:r>
    </w:p>
    <w:p>
      <w:pPr>
        <w:spacing w:line="360" w:lineRule="auto"/>
        <w:ind w:firstLine="420" w:firstLineChars="200"/>
        <w:rPr>
          <w:rFonts w:ascii="宋体" w:hAnsi="宋体"/>
        </w:rPr>
      </w:pPr>
      <w:r>
        <w:rPr>
          <w:rFonts w:hint="eastAsia" w:ascii="宋体" w:hAnsi="宋体"/>
        </w:rPr>
        <w:t>（1）地震、海啸、火山爆发、泥石流、暴雨（雪）、台风、龙卷风、水灾等自然灾害；</w:t>
      </w:r>
    </w:p>
    <w:p>
      <w:pPr>
        <w:spacing w:line="360" w:lineRule="auto"/>
        <w:ind w:firstLine="420" w:firstLineChars="200"/>
        <w:rPr>
          <w:rFonts w:ascii="宋体" w:hAnsi="宋体"/>
        </w:rPr>
      </w:pPr>
      <w:r>
        <w:rPr>
          <w:rFonts w:hint="eastAsia" w:ascii="宋体" w:hAnsi="宋体"/>
        </w:rPr>
        <w:t>（2）战争、骚乱、暴动，但纯属承包人或其分包人派遣与雇用的人员由于本合同工程施工原因引起者除外；</w:t>
      </w:r>
    </w:p>
    <w:p>
      <w:pPr>
        <w:spacing w:line="360" w:lineRule="auto"/>
        <w:ind w:firstLine="420" w:firstLineChars="200"/>
        <w:rPr>
          <w:rFonts w:ascii="宋体" w:hAnsi="宋体"/>
        </w:rPr>
      </w:pPr>
      <w:r>
        <w:rPr>
          <w:rFonts w:hint="eastAsia" w:ascii="宋体" w:hAnsi="宋体"/>
        </w:rPr>
        <w:t>（3）核反应、辐射或放射性污染；</w:t>
      </w:r>
    </w:p>
    <w:p>
      <w:pPr>
        <w:spacing w:line="360" w:lineRule="auto"/>
        <w:ind w:firstLine="420" w:firstLineChars="200"/>
        <w:rPr>
          <w:rFonts w:ascii="宋体" w:hAnsi="宋体"/>
        </w:rPr>
      </w:pPr>
      <w:r>
        <w:rPr>
          <w:rFonts w:hint="eastAsia" w:ascii="宋体" w:hAnsi="宋体"/>
        </w:rPr>
        <w:t>（4）空中飞行物体坠落或非发包人或承包人责任造成的爆炸、火灾；</w:t>
      </w:r>
    </w:p>
    <w:p>
      <w:pPr>
        <w:spacing w:line="360" w:lineRule="auto"/>
        <w:ind w:firstLine="420" w:firstLineChars="200"/>
        <w:rPr>
          <w:rFonts w:ascii="宋体" w:hAnsi="宋体"/>
        </w:rPr>
      </w:pPr>
      <w:r>
        <w:rPr>
          <w:rFonts w:hint="eastAsia" w:ascii="宋体" w:hAnsi="宋体"/>
        </w:rPr>
        <w:t>（5）瘟疫；</w:t>
      </w:r>
    </w:p>
    <w:p>
      <w:pPr>
        <w:spacing w:line="360" w:lineRule="auto"/>
        <w:ind w:firstLine="420" w:firstLineChars="200"/>
        <w:rPr>
          <w:rFonts w:ascii="宋体" w:hAnsi="宋体"/>
        </w:rPr>
      </w:pPr>
      <w:r>
        <w:rPr>
          <w:rFonts w:hint="eastAsia" w:ascii="宋体" w:hAnsi="宋体"/>
        </w:rPr>
        <w:t>（6）项目专用合同条款约定的其他情形。</w:t>
      </w:r>
    </w:p>
    <w:p>
      <w:pPr>
        <w:spacing w:line="360" w:lineRule="auto"/>
        <w:rPr>
          <w:rFonts w:ascii="宋体" w:hAnsi="宋体"/>
          <w:b/>
          <w:sz w:val="24"/>
          <w:szCs w:val="28"/>
        </w:rPr>
      </w:pPr>
      <w:bookmarkStart w:id="858" w:name="_Toc179632770"/>
      <w:bookmarkStart w:id="859" w:name="_Toc152045752"/>
      <w:bookmarkStart w:id="860" w:name="_Toc152042531"/>
      <w:bookmarkStart w:id="861" w:name="_Toc144974723"/>
      <w:r>
        <w:rPr>
          <w:rFonts w:hint="eastAsia" w:ascii="宋体" w:hAnsi="宋体"/>
          <w:b/>
          <w:sz w:val="24"/>
          <w:szCs w:val="28"/>
        </w:rPr>
        <w:t>21.3不可抗力后果及其处理</w:t>
      </w:r>
      <w:bookmarkEnd w:id="858"/>
      <w:bookmarkEnd w:id="859"/>
      <w:bookmarkEnd w:id="860"/>
      <w:bookmarkEnd w:id="861"/>
    </w:p>
    <w:p>
      <w:pPr>
        <w:spacing w:line="360" w:lineRule="auto"/>
        <w:ind w:firstLine="422" w:firstLineChars="200"/>
        <w:rPr>
          <w:rFonts w:ascii="宋体" w:hAnsi="宋体"/>
          <w:b/>
        </w:rPr>
      </w:pPr>
      <w:r>
        <w:rPr>
          <w:rFonts w:hint="eastAsia" w:ascii="宋体" w:hAnsi="宋体"/>
          <w:b/>
        </w:rPr>
        <w:t>21.3.4因不可抗力解除合同</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spacing w:line="360" w:lineRule="auto"/>
        <w:rPr>
          <w:rFonts w:ascii="宋体" w:hAnsi="宋体"/>
          <w:b/>
          <w:sz w:val="28"/>
          <w:szCs w:val="30"/>
        </w:rPr>
      </w:pPr>
      <w:bookmarkStart w:id="862" w:name="_Toc144974724"/>
      <w:bookmarkStart w:id="863" w:name="_Toc152045753"/>
      <w:bookmarkStart w:id="864" w:name="_Toc152042532"/>
      <w:bookmarkStart w:id="865" w:name="_Toc179632771"/>
      <w:r>
        <w:rPr>
          <w:rFonts w:hint="eastAsia" w:ascii="宋体" w:hAnsi="宋体"/>
          <w:b/>
          <w:sz w:val="28"/>
          <w:szCs w:val="30"/>
        </w:rPr>
        <w:t>22.违约</w:t>
      </w:r>
      <w:bookmarkEnd w:id="862"/>
      <w:bookmarkEnd w:id="863"/>
      <w:bookmarkEnd w:id="864"/>
      <w:bookmarkEnd w:id="865"/>
    </w:p>
    <w:p>
      <w:pPr>
        <w:spacing w:line="360" w:lineRule="auto"/>
        <w:rPr>
          <w:rFonts w:ascii="宋体" w:hAnsi="宋体"/>
          <w:b/>
          <w:sz w:val="24"/>
          <w:szCs w:val="28"/>
        </w:rPr>
      </w:pPr>
      <w:bookmarkStart w:id="866" w:name="_Toc144974725"/>
      <w:bookmarkStart w:id="867" w:name="_Toc179632772"/>
      <w:bookmarkStart w:id="868" w:name="_Toc152045754"/>
      <w:bookmarkStart w:id="869" w:name="_Toc152042533"/>
      <w:r>
        <w:rPr>
          <w:rFonts w:hint="eastAsia" w:ascii="宋体" w:hAnsi="宋体"/>
          <w:b/>
          <w:sz w:val="24"/>
          <w:szCs w:val="28"/>
        </w:rPr>
        <w:t>22.1承包人违约</w:t>
      </w:r>
      <w:bookmarkEnd w:id="866"/>
      <w:bookmarkEnd w:id="867"/>
      <w:bookmarkEnd w:id="868"/>
      <w:bookmarkEnd w:id="869"/>
    </w:p>
    <w:p>
      <w:pPr>
        <w:spacing w:line="360" w:lineRule="auto"/>
        <w:ind w:firstLine="422" w:firstLineChars="200"/>
        <w:rPr>
          <w:rFonts w:ascii="宋体" w:hAnsi="宋体"/>
          <w:b/>
        </w:rPr>
      </w:pPr>
      <w:r>
        <w:rPr>
          <w:rFonts w:hint="eastAsia" w:ascii="宋体" w:hAnsi="宋体"/>
          <w:b/>
        </w:rPr>
        <w:t>22.1.1承包人违约的情形</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（2）承包人违反第5.3款或第6.4款的约定，未经监理人批准，私自将已按合同约定进入施工场地的施工设备、临时设施、材料或工程设备撤离施工场地；</w:t>
      </w:r>
    </w:p>
    <w:p>
      <w:pPr>
        <w:spacing w:line="360" w:lineRule="auto"/>
        <w:ind w:firstLine="420" w:firstLineChars="200"/>
        <w:rPr>
          <w:rFonts w:ascii="宋体" w:hAnsi="宋体"/>
        </w:rPr>
      </w:pPr>
      <w:r>
        <w:rPr>
          <w:rFonts w:hint="eastAsia" w:ascii="宋体" w:hAnsi="宋体"/>
        </w:rPr>
        <w:t>本项（7）目细化为：</w:t>
      </w:r>
    </w:p>
    <w:p>
      <w:pPr>
        <w:spacing w:line="360" w:lineRule="auto"/>
        <w:ind w:firstLine="420" w:firstLineChars="200"/>
        <w:rPr>
          <w:rFonts w:ascii="宋体" w:hAnsi="宋体"/>
        </w:rPr>
      </w:pPr>
      <w:r>
        <w:rPr>
          <w:rFonts w:hint="eastAsia" w:ascii="宋体" w:hAnsi="宋体"/>
        </w:rPr>
        <w:t>（7）承包人未能按期开工；</w:t>
      </w:r>
    </w:p>
    <w:p>
      <w:pPr>
        <w:spacing w:line="360" w:lineRule="auto"/>
        <w:ind w:firstLine="420" w:firstLineChars="200"/>
        <w:rPr>
          <w:rFonts w:ascii="宋体" w:hAnsi="宋体"/>
        </w:rPr>
      </w:pPr>
      <w:r>
        <w:rPr>
          <w:rFonts w:hint="eastAsia" w:ascii="宋体" w:hAnsi="宋体"/>
        </w:rPr>
        <w:t>（8）承包人违反第4.6款或6.3款的规定，未按承诺或未按监理人的要求及时配备称职的主要管理人员、技术骨干或关键施工设备；</w:t>
      </w:r>
    </w:p>
    <w:p>
      <w:pPr>
        <w:spacing w:line="360" w:lineRule="auto"/>
        <w:ind w:firstLine="420" w:firstLineChars="200"/>
        <w:rPr>
          <w:rFonts w:ascii="宋体" w:hAnsi="宋体"/>
        </w:rPr>
      </w:pPr>
      <w:r>
        <w:rPr>
          <w:rFonts w:hint="eastAsia" w:ascii="宋体" w:hAnsi="宋体"/>
        </w:rPr>
        <w:t>（9）经监理人和发包人检查，发现承包人有安全问题或有违反安全管理规章制度的情况；</w:t>
      </w:r>
    </w:p>
    <w:p>
      <w:pPr>
        <w:spacing w:line="360" w:lineRule="auto"/>
        <w:ind w:firstLine="420" w:firstLineChars="200"/>
        <w:rPr>
          <w:rFonts w:ascii="宋体" w:hAnsi="宋体"/>
        </w:rPr>
      </w:pPr>
      <w:r>
        <w:rPr>
          <w:rFonts w:hint="eastAsia" w:ascii="宋体" w:hAnsi="宋体"/>
        </w:rPr>
        <w:t>（10）承包人不按合同约定履行义务的其他情况。</w:t>
      </w:r>
    </w:p>
    <w:p>
      <w:pPr>
        <w:spacing w:line="360" w:lineRule="auto"/>
        <w:ind w:firstLine="422" w:firstLineChars="200"/>
        <w:rPr>
          <w:rFonts w:ascii="宋体" w:hAnsi="宋体"/>
          <w:b/>
        </w:rPr>
      </w:pPr>
      <w:r>
        <w:rPr>
          <w:rFonts w:hint="eastAsia" w:ascii="宋体" w:hAnsi="宋体"/>
          <w:b/>
        </w:rPr>
        <w:t>22.1.2对承包人违约的处理</w:t>
      </w:r>
    </w:p>
    <w:p>
      <w:pPr>
        <w:spacing w:line="360" w:lineRule="auto"/>
        <w:ind w:firstLine="420" w:firstLineChars="200"/>
        <w:rPr>
          <w:rFonts w:ascii="宋体" w:hAnsi="宋体"/>
        </w:rPr>
      </w:pPr>
      <w:r>
        <w:rPr>
          <w:rFonts w:hint="eastAsia" w:ascii="宋体" w:hAnsi="宋体"/>
        </w:rPr>
        <w:t>本项补充：</w:t>
      </w:r>
    </w:p>
    <w:p>
      <w:pPr>
        <w:spacing w:line="360" w:lineRule="auto"/>
        <w:ind w:firstLine="420" w:firstLineChars="200"/>
        <w:rPr>
          <w:rFonts w:ascii="宋体" w:hAnsi="宋体"/>
        </w:rPr>
      </w:pPr>
      <w:r>
        <w:rPr>
          <w:rFonts w:hint="eastAsia" w:ascii="宋体" w:hAnsi="宋体"/>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spacing w:line="360" w:lineRule="auto"/>
        <w:rPr>
          <w:rFonts w:ascii="宋体" w:hAnsi="宋体"/>
          <w:b/>
          <w:sz w:val="24"/>
          <w:szCs w:val="28"/>
        </w:rPr>
      </w:pPr>
      <w:bookmarkStart w:id="870" w:name="_Toc144974726"/>
      <w:bookmarkStart w:id="871" w:name="_Toc152042534"/>
      <w:bookmarkStart w:id="872" w:name="_Toc179632773"/>
      <w:bookmarkStart w:id="873" w:name="_Toc152045755"/>
      <w:r>
        <w:rPr>
          <w:rFonts w:hint="eastAsia" w:ascii="宋体" w:hAnsi="宋体"/>
          <w:b/>
          <w:sz w:val="24"/>
          <w:szCs w:val="28"/>
        </w:rPr>
        <w:t>22.2发包人违约</w:t>
      </w:r>
      <w:bookmarkEnd w:id="870"/>
      <w:bookmarkEnd w:id="871"/>
      <w:bookmarkEnd w:id="872"/>
      <w:bookmarkEnd w:id="873"/>
    </w:p>
    <w:p>
      <w:pPr>
        <w:spacing w:line="360" w:lineRule="auto"/>
        <w:ind w:firstLine="422" w:firstLineChars="200"/>
        <w:rPr>
          <w:rFonts w:ascii="宋体" w:hAnsi="宋体"/>
          <w:b/>
        </w:rPr>
      </w:pPr>
      <w:r>
        <w:rPr>
          <w:rFonts w:hint="eastAsia" w:ascii="宋体" w:hAnsi="宋体"/>
          <w:b/>
        </w:rPr>
        <w:t>22.2.1发包人违约的情形</w:t>
      </w:r>
    </w:p>
    <w:p>
      <w:pPr>
        <w:spacing w:line="360" w:lineRule="auto"/>
        <w:ind w:firstLine="420" w:firstLineChars="200"/>
        <w:rPr>
          <w:rFonts w:ascii="宋体" w:hAnsi="宋体"/>
        </w:rPr>
      </w:pPr>
      <w:r>
        <w:rPr>
          <w:rFonts w:hint="eastAsia" w:ascii="宋体" w:hAnsi="宋体"/>
        </w:rPr>
        <w:t>本项（5）目细化为：</w:t>
      </w:r>
    </w:p>
    <w:p>
      <w:pPr>
        <w:spacing w:line="360" w:lineRule="auto"/>
        <w:ind w:firstLine="420" w:firstLineChars="200"/>
        <w:rPr>
          <w:rFonts w:ascii="宋体" w:hAnsi="宋体"/>
        </w:rPr>
      </w:pPr>
      <w:r>
        <w:rPr>
          <w:rFonts w:hint="eastAsia" w:ascii="宋体" w:hAnsi="宋体"/>
        </w:rPr>
        <w:t>（5）发包人无正当理由不按时返还履约保证金、质量保证金或农民工工资保证金的。</w:t>
      </w:r>
    </w:p>
    <w:p>
      <w:pPr>
        <w:spacing w:line="360" w:lineRule="auto"/>
        <w:ind w:firstLine="420" w:firstLineChars="200"/>
        <w:rPr>
          <w:rFonts w:ascii="宋体" w:hAnsi="宋体"/>
        </w:rPr>
      </w:pPr>
      <w:r>
        <w:rPr>
          <w:rFonts w:hint="eastAsia" w:ascii="宋体" w:hAnsi="宋体"/>
        </w:rPr>
        <w:t>（6）发包人不履行合同约定其他义务的。</w:t>
      </w:r>
    </w:p>
    <w:p>
      <w:pPr>
        <w:spacing w:line="360" w:lineRule="auto"/>
        <w:ind w:firstLine="422" w:firstLineChars="200"/>
        <w:rPr>
          <w:rFonts w:ascii="宋体" w:hAnsi="宋体"/>
          <w:b/>
        </w:rPr>
      </w:pPr>
      <w:r>
        <w:rPr>
          <w:rFonts w:hint="eastAsia" w:ascii="宋体" w:hAnsi="宋体"/>
          <w:b/>
        </w:rPr>
        <w:t>22.2.2承包人有权暂停施工</w:t>
      </w:r>
    </w:p>
    <w:p>
      <w:pPr>
        <w:spacing w:line="360" w:lineRule="auto"/>
        <w:ind w:firstLine="420" w:firstLineChars="200"/>
        <w:rPr>
          <w:rFonts w:ascii="宋体" w:hAnsi="宋体"/>
        </w:rPr>
      </w:pPr>
      <w:r>
        <w:rPr>
          <w:rFonts w:hint="eastAsia" w:ascii="宋体" w:hAnsi="宋体"/>
        </w:rPr>
        <w:t>本项细化为：</w:t>
      </w:r>
    </w:p>
    <w:p>
      <w:pPr>
        <w:spacing w:line="360" w:lineRule="auto"/>
        <w:ind w:firstLine="420" w:firstLineChars="200"/>
        <w:rPr>
          <w:rFonts w:ascii="宋体" w:hAnsi="宋体"/>
        </w:rPr>
      </w:pPr>
      <w:r>
        <w:rPr>
          <w:rFonts w:hint="eastAsia" w:ascii="宋体" w:hAnsi="宋体"/>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auto"/>
        <w:ind w:firstLine="420" w:firstLineChars="200"/>
        <w:rPr>
          <w:rFonts w:ascii="宋体" w:hAnsi="宋体"/>
        </w:rPr>
      </w:pPr>
      <w:r>
        <w:rPr>
          <w:rFonts w:hint="eastAsia" w:ascii="宋体" w:hAnsi="宋体"/>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pPr>
        <w:spacing w:line="360" w:lineRule="auto"/>
        <w:ind w:firstLine="422" w:firstLineChars="200"/>
        <w:rPr>
          <w:rFonts w:ascii="宋体" w:hAnsi="宋体"/>
          <w:b/>
        </w:rPr>
      </w:pPr>
      <w:r>
        <w:rPr>
          <w:rFonts w:hint="eastAsia" w:ascii="宋体" w:hAnsi="宋体"/>
          <w:b/>
        </w:rPr>
        <w:t>22.2.4解除合同后的付款</w:t>
      </w:r>
    </w:p>
    <w:p>
      <w:pPr>
        <w:spacing w:line="360" w:lineRule="auto"/>
        <w:ind w:firstLine="420" w:firstLineChars="200"/>
        <w:rPr>
          <w:rFonts w:ascii="宋体" w:hAnsi="宋体"/>
        </w:rPr>
      </w:pPr>
      <w:r>
        <w:rPr>
          <w:rFonts w:hint="eastAsia" w:ascii="宋体" w:hAnsi="宋体"/>
        </w:rPr>
        <w:t>本项（2）目细化为：</w:t>
      </w:r>
    </w:p>
    <w:p>
      <w:pPr>
        <w:spacing w:line="360" w:lineRule="auto"/>
        <w:ind w:firstLine="420" w:firstLineChars="200"/>
        <w:rPr>
          <w:rFonts w:ascii="宋体" w:hAnsi="宋体"/>
        </w:rPr>
      </w:pPr>
      <w:r>
        <w:rPr>
          <w:rFonts w:hint="eastAsia" w:ascii="宋体" w:hAnsi="宋体"/>
        </w:rPr>
        <w:t>（2）承包人为该工程施工订购并已付款的材料、工程设备和其他物品的金额。发包人付款后，该材料、工程设备和其他物品归发包人所有；</w:t>
      </w:r>
    </w:p>
    <w:p>
      <w:pPr>
        <w:spacing w:line="360" w:lineRule="auto"/>
        <w:rPr>
          <w:rFonts w:ascii="宋体" w:hAnsi="宋体"/>
          <w:b/>
          <w:sz w:val="28"/>
          <w:szCs w:val="30"/>
        </w:rPr>
      </w:pPr>
      <w:bookmarkStart w:id="874" w:name="_Toc144974727"/>
      <w:bookmarkStart w:id="875" w:name="_Toc152045757"/>
      <w:bookmarkStart w:id="876" w:name="_Toc152042536"/>
      <w:bookmarkStart w:id="877" w:name="_Toc179632775"/>
      <w:r>
        <w:rPr>
          <w:rFonts w:hint="eastAsia" w:ascii="宋体" w:hAnsi="宋体"/>
          <w:b/>
          <w:sz w:val="28"/>
          <w:szCs w:val="30"/>
        </w:rPr>
        <w:t>23.索赔</w:t>
      </w:r>
      <w:bookmarkEnd w:id="874"/>
      <w:bookmarkEnd w:id="875"/>
      <w:bookmarkEnd w:id="876"/>
      <w:bookmarkEnd w:id="877"/>
    </w:p>
    <w:p>
      <w:pPr>
        <w:spacing w:line="360" w:lineRule="auto"/>
        <w:rPr>
          <w:rFonts w:ascii="宋体" w:hAnsi="宋体"/>
          <w:b/>
          <w:sz w:val="24"/>
          <w:szCs w:val="28"/>
        </w:rPr>
      </w:pPr>
      <w:bookmarkStart w:id="878" w:name="_Toc144974728"/>
      <w:bookmarkStart w:id="879" w:name="_Toc152042537"/>
      <w:bookmarkStart w:id="880" w:name="_Toc179632776"/>
      <w:bookmarkStart w:id="881" w:name="_Toc152045758"/>
      <w:r>
        <w:rPr>
          <w:rFonts w:hint="eastAsia" w:ascii="宋体" w:hAnsi="宋体"/>
          <w:b/>
          <w:sz w:val="24"/>
          <w:szCs w:val="28"/>
        </w:rPr>
        <w:t>23.1承包人索赔的提出</w:t>
      </w:r>
      <w:bookmarkEnd w:id="878"/>
      <w:bookmarkEnd w:id="879"/>
      <w:bookmarkEnd w:id="880"/>
      <w:bookmarkEnd w:id="881"/>
    </w:p>
    <w:p>
      <w:pPr>
        <w:spacing w:line="360" w:lineRule="auto"/>
        <w:ind w:firstLine="420" w:firstLineChars="200"/>
        <w:rPr>
          <w:rFonts w:ascii="宋体" w:hAnsi="宋体"/>
        </w:rPr>
      </w:pPr>
      <w:r>
        <w:rPr>
          <w:rFonts w:hint="eastAsia" w:ascii="宋体" w:hAnsi="宋体"/>
        </w:rPr>
        <w:t>本款第（4）项细化为：</w:t>
      </w:r>
    </w:p>
    <w:p>
      <w:pPr>
        <w:spacing w:line="360" w:lineRule="auto"/>
        <w:ind w:firstLine="420" w:firstLineChars="200"/>
        <w:rPr>
          <w:rFonts w:ascii="宋体" w:hAnsi="宋体"/>
        </w:rPr>
      </w:pPr>
      <w:r>
        <w:rPr>
          <w:rFonts w:hint="eastAsia" w:ascii="宋体" w:hAnsi="宋体"/>
        </w:rPr>
        <w:t>（4）在索赔事件影响结束后的28天内，承包人应向监理人递交最终索赔通知书，说明最终要求索赔的追加付款金额和（或）延长的工期，并附必要的记录和证明材料。</w:t>
      </w:r>
    </w:p>
    <w:p>
      <w:pPr>
        <w:spacing w:line="360" w:lineRule="auto"/>
        <w:rPr>
          <w:rFonts w:ascii="宋体" w:hAnsi="宋体"/>
          <w:b/>
          <w:sz w:val="22"/>
          <w:szCs w:val="28"/>
        </w:rPr>
      </w:pPr>
      <w:bookmarkStart w:id="882" w:name="_Toc179632777"/>
      <w:bookmarkStart w:id="883" w:name="_Toc152042538"/>
      <w:bookmarkStart w:id="884" w:name="_Toc152045759"/>
      <w:bookmarkStart w:id="885" w:name="_Toc144974729"/>
      <w:r>
        <w:rPr>
          <w:rFonts w:hint="eastAsia" w:ascii="宋体" w:hAnsi="宋体"/>
          <w:b/>
          <w:sz w:val="22"/>
          <w:szCs w:val="28"/>
        </w:rPr>
        <w:t>23.2承包人索赔处理程序</w:t>
      </w:r>
      <w:bookmarkEnd w:id="882"/>
      <w:bookmarkEnd w:id="883"/>
      <w:bookmarkEnd w:id="884"/>
      <w:bookmarkEnd w:id="885"/>
    </w:p>
    <w:p>
      <w:pPr>
        <w:spacing w:line="360" w:lineRule="auto"/>
        <w:ind w:firstLine="420" w:firstLineChars="200"/>
        <w:rPr>
          <w:rFonts w:ascii="宋体" w:hAnsi="宋体"/>
        </w:rPr>
      </w:pPr>
      <w:r>
        <w:rPr>
          <w:rFonts w:hint="eastAsia" w:ascii="宋体" w:hAnsi="宋体"/>
        </w:rPr>
        <w:t>本款第（2）项细化为：</w:t>
      </w:r>
    </w:p>
    <w:p>
      <w:pPr>
        <w:spacing w:line="360" w:lineRule="auto"/>
        <w:ind w:firstLine="420" w:firstLineChars="200"/>
        <w:rPr>
          <w:rFonts w:ascii="宋体" w:hAnsi="宋体"/>
        </w:rPr>
      </w:pPr>
      <w:r>
        <w:rPr>
          <w:rFonts w:hint="eastAsia" w:ascii="宋体" w:hAnsi="宋体"/>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spacing w:line="360" w:lineRule="auto"/>
        <w:rPr>
          <w:rFonts w:ascii="宋体" w:hAnsi="宋体"/>
          <w:b/>
          <w:sz w:val="28"/>
          <w:szCs w:val="30"/>
        </w:rPr>
      </w:pPr>
      <w:bookmarkStart w:id="886" w:name="_Toc152042541"/>
      <w:bookmarkStart w:id="887" w:name="_Toc152045762"/>
      <w:bookmarkStart w:id="888" w:name="_Toc144974732"/>
      <w:bookmarkStart w:id="889" w:name="_Toc179632780"/>
      <w:r>
        <w:rPr>
          <w:rFonts w:hint="eastAsia" w:ascii="宋体" w:hAnsi="宋体"/>
          <w:b/>
          <w:sz w:val="28"/>
          <w:szCs w:val="30"/>
        </w:rPr>
        <w:t>24.争议的解决</w:t>
      </w:r>
      <w:bookmarkEnd w:id="886"/>
      <w:bookmarkEnd w:id="887"/>
      <w:bookmarkEnd w:id="888"/>
      <w:bookmarkEnd w:id="889"/>
    </w:p>
    <w:p>
      <w:pPr>
        <w:spacing w:line="360" w:lineRule="auto"/>
        <w:rPr>
          <w:rFonts w:ascii="宋体" w:hAnsi="宋体"/>
          <w:b/>
          <w:sz w:val="24"/>
          <w:szCs w:val="28"/>
        </w:rPr>
      </w:pPr>
      <w:bookmarkStart w:id="890" w:name="_Toc144974735"/>
      <w:bookmarkStart w:id="891" w:name="_Toc179632783"/>
      <w:bookmarkStart w:id="892" w:name="_Toc152042544"/>
      <w:bookmarkStart w:id="893" w:name="_Toc152045765"/>
      <w:r>
        <w:rPr>
          <w:rFonts w:hint="eastAsia" w:ascii="宋体" w:hAnsi="宋体"/>
          <w:b/>
          <w:sz w:val="24"/>
          <w:szCs w:val="28"/>
        </w:rPr>
        <w:t>24.3争议评审</w:t>
      </w:r>
      <w:bookmarkEnd w:id="890"/>
      <w:bookmarkEnd w:id="891"/>
      <w:bookmarkEnd w:id="892"/>
      <w:bookmarkEnd w:id="893"/>
    </w:p>
    <w:p>
      <w:pPr>
        <w:spacing w:line="360" w:lineRule="auto"/>
        <w:ind w:firstLine="420" w:firstLineChars="200"/>
        <w:rPr>
          <w:rFonts w:ascii="宋体" w:hAnsi="宋体"/>
        </w:rPr>
      </w:pPr>
      <w:r>
        <w:rPr>
          <w:rFonts w:hint="eastAsia" w:ascii="宋体" w:hAnsi="宋体"/>
        </w:rPr>
        <w:t>第24.3.1项补充：</w:t>
      </w:r>
    </w:p>
    <w:p>
      <w:pPr>
        <w:spacing w:line="360" w:lineRule="auto"/>
        <w:ind w:firstLine="420" w:firstLineChars="200"/>
        <w:rPr>
          <w:rFonts w:ascii="宋体" w:hAnsi="宋体"/>
        </w:rPr>
      </w:pPr>
      <w:r>
        <w:rPr>
          <w:rFonts w:hint="eastAsia" w:ascii="宋体" w:hAnsi="宋体"/>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spacing w:line="360" w:lineRule="auto"/>
        <w:rPr>
          <w:rFonts w:ascii="宋体" w:hAnsi="宋体"/>
          <w:b/>
          <w:sz w:val="28"/>
          <w:szCs w:val="28"/>
        </w:rPr>
      </w:pPr>
    </w:p>
    <w:p>
      <w:pPr>
        <w:spacing w:line="360" w:lineRule="auto"/>
        <w:ind w:firstLine="420" w:firstLineChars="200"/>
        <w:rPr>
          <w:rFonts w:ascii="宋体" w:hAnsi="宋体"/>
        </w:rPr>
      </w:pPr>
      <w:r>
        <w:rPr>
          <w:rFonts w:hint="eastAsia" w:ascii="宋体" w:hAnsi="宋体"/>
        </w:rPr>
        <w:t>本条补充第24.4、第24.5款（适用于采用仲裁方式最终解决争议的项目）</w:t>
      </w:r>
    </w:p>
    <w:p>
      <w:pPr>
        <w:spacing w:line="360" w:lineRule="auto"/>
        <w:rPr>
          <w:rFonts w:ascii="宋体" w:hAnsi="宋体"/>
          <w:b/>
          <w:sz w:val="24"/>
          <w:szCs w:val="28"/>
        </w:rPr>
      </w:pPr>
      <w:r>
        <w:rPr>
          <w:rFonts w:hint="eastAsia" w:ascii="宋体" w:hAnsi="宋体"/>
          <w:b/>
          <w:sz w:val="24"/>
          <w:szCs w:val="28"/>
        </w:rPr>
        <w:t>24.4仲裁</w:t>
      </w:r>
    </w:p>
    <w:p>
      <w:pPr>
        <w:spacing w:line="360" w:lineRule="auto"/>
        <w:ind w:firstLine="420" w:firstLineChars="200"/>
        <w:rPr>
          <w:rFonts w:ascii="宋体" w:hAnsi="宋体"/>
        </w:rPr>
      </w:pPr>
      <w:r>
        <w:rPr>
          <w:rFonts w:hint="eastAsia" w:ascii="宋体" w:hAnsi="宋体"/>
        </w:rPr>
        <w:t>（1）对于未能友好解决或未能通过争议评审解决的争议，发包人或承包人任一方均有权提交给第24.1款约定的仲裁委员会仲裁。</w:t>
      </w:r>
    </w:p>
    <w:p>
      <w:pPr>
        <w:spacing w:line="360" w:lineRule="auto"/>
        <w:ind w:firstLine="420" w:firstLineChars="200"/>
        <w:rPr>
          <w:rFonts w:ascii="宋体" w:hAnsi="宋体"/>
        </w:rPr>
      </w:pPr>
      <w:r>
        <w:rPr>
          <w:rFonts w:hint="eastAsia" w:ascii="宋体" w:hAnsi="宋体"/>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360" w:lineRule="auto"/>
        <w:ind w:firstLine="420" w:firstLineChars="200"/>
        <w:rPr>
          <w:rFonts w:ascii="宋体" w:hAnsi="宋体"/>
        </w:rPr>
      </w:pPr>
      <w:r>
        <w:rPr>
          <w:rFonts w:hint="eastAsia" w:ascii="宋体" w:hAnsi="宋体"/>
        </w:rPr>
        <w:t>（3）仲裁裁决是终局性的并对发包人和承包人双方具有约束力。</w:t>
      </w:r>
    </w:p>
    <w:p>
      <w:pPr>
        <w:spacing w:line="360" w:lineRule="auto"/>
        <w:ind w:firstLine="420" w:firstLineChars="200"/>
        <w:rPr>
          <w:rFonts w:ascii="宋体" w:hAnsi="宋体"/>
        </w:rPr>
      </w:pPr>
      <w:r>
        <w:rPr>
          <w:rFonts w:hint="eastAsia" w:ascii="宋体" w:hAnsi="宋体"/>
        </w:rPr>
        <w:t>（4）全部仲裁费用应由败诉方承担；或按仲裁委员会裁决的比例分担。</w:t>
      </w:r>
    </w:p>
    <w:p>
      <w:pPr>
        <w:spacing w:line="360" w:lineRule="auto"/>
        <w:rPr>
          <w:rFonts w:ascii="宋体" w:hAnsi="宋体"/>
          <w:b/>
          <w:sz w:val="24"/>
          <w:szCs w:val="28"/>
        </w:rPr>
      </w:pPr>
      <w:r>
        <w:rPr>
          <w:rFonts w:hint="eastAsia" w:ascii="宋体" w:hAnsi="宋体"/>
          <w:b/>
          <w:sz w:val="24"/>
          <w:szCs w:val="28"/>
        </w:rPr>
        <w:t>24.5仲裁的执行</w:t>
      </w:r>
    </w:p>
    <w:p>
      <w:pPr>
        <w:spacing w:line="360" w:lineRule="auto"/>
        <w:ind w:firstLine="420" w:firstLineChars="200"/>
        <w:rPr>
          <w:rFonts w:ascii="宋体" w:hAnsi="宋体"/>
        </w:rPr>
      </w:pPr>
      <w:r>
        <w:rPr>
          <w:rFonts w:hint="eastAsia" w:ascii="宋体" w:hAnsi="宋体"/>
        </w:rPr>
        <w:t>（1）任何一方不履行仲裁机构的裁决的，对方可以向有管辖权的人民法院申请执行。</w:t>
      </w:r>
    </w:p>
    <w:p>
      <w:pPr>
        <w:spacing w:line="360" w:lineRule="auto"/>
        <w:ind w:firstLine="420" w:firstLineChars="200"/>
        <w:rPr>
          <w:rFonts w:ascii="宋体" w:hAnsi="宋体"/>
        </w:rPr>
      </w:pPr>
      <w:r>
        <w:rPr>
          <w:rFonts w:hint="eastAsia" w:ascii="宋体" w:hAnsi="宋体"/>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jc w:val="center"/>
        <w:rPr>
          <w:rFonts w:hint="eastAsia" w:ascii="宋体" w:hAnsi="宋体" w:cs="宋体"/>
          <w:b/>
          <w:color w:val="auto"/>
          <w:sz w:val="32"/>
          <w:szCs w:val="32"/>
          <w:highlight w:val="none"/>
        </w:rPr>
      </w:pPr>
      <w:r>
        <w:rPr>
          <w:rFonts w:hint="eastAsia" w:ascii="宋体" w:hAnsi="宋体" w:cs="宋体"/>
          <w:color w:val="auto"/>
          <w:highlight w:val="none"/>
        </w:rPr>
        <w:br w:type="page"/>
      </w:r>
      <w:bookmarkEnd w:id="544"/>
      <w:bookmarkEnd w:id="545"/>
      <w:bookmarkEnd w:id="546"/>
      <w:bookmarkEnd w:id="547"/>
      <w:bookmarkStart w:id="894" w:name="_Toc234346098"/>
      <w:bookmarkStart w:id="895" w:name="_Toc234348964"/>
      <w:bookmarkStart w:id="896" w:name="_Toc234345883"/>
      <w:bookmarkStart w:id="897" w:name="_Toc234349538"/>
      <w:bookmarkStart w:id="898" w:name="bookmark199"/>
      <w:r>
        <w:rPr>
          <w:rFonts w:hint="eastAsia" w:ascii="宋体" w:hAnsi="宋体" w:cs="宋体"/>
          <w:b/>
          <w:color w:val="auto"/>
          <w:sz w:val="32"/>
          <w:szCs w:val="32"/>
          <w:highlight w:val="none"/>
        </w:rPr>
        <w:t>项目专用合同条款数据表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说明：本数据表是项目专用合同条款中适用于本项目的信息和数据的归纳与提示，是项目专用合同条款的组成部分。第九章“投标文件格式”的投标函附录中的数据(供投标人确认)与本表所列有重复。</w:t>
      </w:r>
    </w:p>
    <w:tbl>
      <w:tblPr>
        <w:tblStyle w:val="18"/>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5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5" w:type="dxa"/>
            <w:vAlign w:val="center"/>
          </w:tcPr>
          <w:p>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52" w:type="dxa"/>
            <w:vAlign w:val="center"/>
          </w:tcPr>
          <w:p>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条目号</w:t>
            </w:r>
          </w:p>
        </w:tc>
        <w:tc>
          <w:tcPr>
            <w:tcW w:w="7201" w:type="dxa"/>
            <w:vAlign w:val="center"/>
          </w:tcPr>
          <w:p>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1.1.2.2</w:t>
            </w:r>
          </w:p>
        </w:tc>
        <w:tc>
          <w:tcPr>
            <w:tcW w:w="7201" w:type="dxa"/>
            <w:vAlign w:val="center"/>
          </w:tcPr>
          <w:p>
            <w:pPr>
              <w:adjustRightInd w:val="0"/>
              <w:snapToGrid w:val="0"/>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w:t>
            </w:r>
            <w:r>
              <w:rPr>
                <w:rFonts w:hint="eastAsia" w:ascii="宋体" w:hAnsi="宋体" w:cs="宋体"/>
                <w:color w:val="auto"/>
                <w:szCs w:val="21"/>
                <w:highlight w:val="none"/>
                <w:lang w:eastAsia="zh-CN"/>
              </w:rPr>
              <w:t>天津市滨海新区太平镇人民政府</w:t>
            </w:r>
          </w:p>
          <w:p>
            <w:pPr>
              <w:adjustRightInd w:val="0"/>
              <w:snapToGrid w:val="0"/>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天津市滨海新区太平第二小学北侧300米</w:t>
            </w:r>
          </w:p>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52" w:type="dxa"/>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1.1.2.6</w:t>
            </w:r>
          </w:p>
        </w:tc>
        <w:tc>
          <w:tcPr>
            <w:tcW w:w="7201" w:type="dxa"/>
            <w:vAlign w:val="center"/>
          </w:tcPr>
          <w:p>
            <w:pPr>
              <w:adjustRightInd w:val="0"/>
              <w:snapToGrid w:val="0"/>
              <w:ind w:firstLine="420"/>
              <w:rPr>
                <w:rFonts w:hint="eastAsia"/>
                <w:color w:val="auto"/>
                <w:szCs w:val="21"/>
                <w:highlight w:val="none"/>
              </w:rPr>
            </w:pPr>
            <w:r>
              <w:rPr>
                <w:rFonts w:hint="eastAsia"/>
                <w:color w:val="auto"/>
                <w:szCs w:val="21"/>
                <w:highlight w:val="none"/>
              </w:rPr>
              <w:t>监理人：另行通知</w:t>
            </w:r>
          </w:p>
          <w:p>
            <w:pPr>
              <w:adjustRightInd w:val="0"/>
              <w:snapToGrid w:val="0"/>
              <w:ind w:firstLine="420"/>
              <w:rPr>
                <w:rFonts w:hint="eastAsia"/>
                <w:color w:val="auto"/>
                <w:szCs w:val="21"/>
                <w:highlight w:val="none"/>
              </w:rPr>
            </w:pPr>
            <w:r>
              <w:rPr>
                <w:rFonts w:hint="eastAsia"/>
                <w:color w:val="auto"/>
                <w:szCs w:val="21"/>
                <w:highlight w:val="none"/>
              </w:rPr>
              <w:t>地  址：</w:t>
            </w:r>
            <w:r>
              <w:rPr>
                <w:rFonts w:hint="eastAsia" w:ascii="Tahoma" w:hAnsi="Tahoma" w:cs="Tahoma"/>
                <w:color w:val="auto"/>
                <w:sz w:val="18"/>
                <w:szCs w:val="18"/>
                <w:highlight w:val="none"/>
                <w:shd w:val="clear" w:color="auto" w:fill="FFFFFF"/>
              </w:rPr>
              <w:t>/</w:t>
            </w:r>
          </w:p>
          <w:p>
            <w:pPr>
              <w:adjustRightInd w:val="0"/>
              <w:snapToGrid w:val="0"/>
              <w:ind w:firstLine="420" w:firstLineChars="200"/>
              <w:rPr>
                <w:rFonts w:hint="eastAsia" w:ascii="宋体" w:hAnsi="宋体" w:cs="宋体"/>
                <w:color w:val="auto"/>
                <w:szCs w:val="21"/>
                <w:highlight w:val="none"/>
                <w:bdr w:val="single" w:color="auto" w:sz="4" w:space="0"/>
                <w:shd w:val="pct10" w:color="auto" w:fill="FFFFFF"/>
              </w:rPr>
            </w:pPr>
            <w:r>
              <w:rPr>
                <w:rFonts w:hint="eastAsia"/>
                <w:color w:val="auto"/>
                <w:szCs w:val="21"/>
                <w:highlight w:val="none"/>
              </w:rPr>
              <w:t>邮政编码：</w:t>
            </w:r>
            <w:r>
              <w:rPr>
                <w:rFonts w:hint="eastAsia" w:ascii="Tahoma" w:hAnsi="Tahoma" w:cs="Tahoma"/>
                <w:color w:val="auto"/>
                <w:sz w:val="18"/>
                <w:szCs w:val="18"/>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1.1.4.5</w:t>
            </w:r>
          </w:p>
        </w:tc>
        <w:tc>
          <w:tcPr>
            <w:tcW w:w="7201"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缺陷责任期：自实际交工日期起计算</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1.6.3</w:t>
            </w:r>
          </w:p>
        </w:tc>
        <w:tc>
          <w:tcPr>
            <w:tcW w:w="7201"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图纸需要修改和补充的，应由监理人取得发包人同意后，在该工程或工程相应部位施工前</w:t>
            </w:r>
            <w:r>
              <w:rPr>
                <w:rFonts w:hint="eastAsia" w:ascii="宋体" w:hAnsi="宋体" w:cs="宋体"/>
                <w:color w:val="auto"/>
                <w:szCs w:val="21"/>
                <w:highlight w:val="none"/>
                <w:u w:val="single"/>
              </w:rPr>
              <w:t>14</w:t>
            </w:r>
            <w:r>
              <w:rPr>
                <w:rFonts w:hint="eastAsia" w:ascii="宋体" w:hAnsi="宋体" w:cs="宋体"/>
                <w:color w:val="auto"/>
                <w:szCs w:val="21"/>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7201" w:type="dxa"/>
            <w:vAlign w:val="center"/>
          </w:tcPr>
          <w:p>
            <w:pPr>
              <w:snapToGrid w:val="0"/>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监理人在行使下列权力前需要经发包人事先批准：</w:t>
            </w:r>
          </w:p>
          <w:p>
            <w:pPr>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(6)根据第15.3款发出的变更指示，其单项工程变更涉及的金额超过了该单项工程签约时合同价的</w:t>
            </w:r>
            <w:r>
              <w:rPr>
                <w:rFonts w:hint="eastAsia" w:ascii="宋体" w:hAnsi="宋体" w:cs="宋体"/>
                <w:color w:val="auto"/>
                <w:szCs w:val="21"/>
                <w:highlight w:val="none"/>
                <w:u w:val="single"/>
              </w:rPr>
              <w:t>/</w:t>
            </w:r>
            <w:r>
              <w:rPr>
                <w:rFonts w:hint="eastAsia" w:ascii="宋体" w:hAnsi="宋体"/>
                <w:color w:val="auto"/>
                <w:szCs w:val="21"/>
                <w:highlight w:val="none"/>
              </w:rPr>
              <w:t>％</w:t>
            </w:r>
            <w:r>
              <w:rPr>
                <w:rFonts w:hint="eastAsia" w:ascii="宋体" w:hAnsi="宋体" w:cs="宋体"/>
                <w:color w:val="auto"/>
                <w:szCs w:val="21"/>
                <w:highlight w:val="none"/>
              </w:rPr>
              <w:t>或累计变更超过了签约合同价的</w:t>
            </w:r>
            <w:r>
              <w:rPr>
                <w:rFonts w:hint="eastAsia" w:ascii="宋体" w:hAnsi="宋体" w:cs="宋体"/>
                <w:color w:val="auto"/>
                <w:szCs w:val="21"/>
                <w:highlight w:val="none"/>
                <w:u w:val="single"/>
              </w:rPr>
              <w:t>/</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5.2.1</w:t>
            </w:r>
          </w:p>
        </w:tc>
        <w:tc>
          <w:tcPr>
            <w:tcW w:w="7201" w:type="dxa"/>
            <w:vAlign w:val="center"/>
          </w:tcPr>
          <w:p>
            <w:pPr>
              <w:adjustRightInd w:val="0"/>
              <w:snapToGri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发包人是否提供材料或工程设备：</w:t>
            </w:r>
            <w:r>
              <w:rPr>
                <w:rFonts w:hint="eastAsia" w:ascii="宋体" w:hAnsi="宋体" w:cs="宋体"/>
                <w:color w:val="auto"/>
                <w:szCs w:val="21"/>
                <w:highlight w:val="none"/>
                <w:u w:val="single"/>
              </w:rPr>
              <w:t>否</w:t>
            </w:r>
          </w:p>
          <w:p>
            <w:pPr>
              <w:adjustRightInd w:val="0"/>
              <w:snapToGri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如发包人负责提供部分材料或工程设备，相关规定如下：</w:t>
            </w:r>
            <w:r>
              <w:rPr>
                <w:rFonts w:hint="eastAsia" w:ascii="宋体" w:hAnsi="宋体" w:cs="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201" w:type="dxa"/>
            <w:vAlign w:val="center"/>
          </w:tcPr>
          <w:p>
            <w:pPr>
              <w:adjustRightInd w:val="0"/>
              <w:snapToGri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发包人是否提供施工设备和临时设施：</w:t>
            </w:r>
            <w:r>
              <w:rPr>
                <w:rFonts w:hint="eastAsia" w:ascii="宋体" w:hAnsi="宋体" w:cs="宋体"/>
                <w:color w:val="auto"/>
                <w:szCs w:val="21"/>
                <w:highlight w:val="none"/>
                <w:u w:val="single"/>
              </w:rPr>
              <w:t>否</w:t>
            </w:r>
          </w:p>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如发包人负责提供部分施工设备和临时设施，相关规定如下：</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8.1.1</w:t>
            </w:r>
          </w:p>
        </w:tc>
        <w:tc>
          <w:tcPr>
            <w:tcW w:w="7201"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发包人提供测量基准点、基准线和水准点及其书面资料的期限：</w:t>
            </w:r>
            <w:r>
              <w:rPr>
                <w:rFonts w:hint="eastAsia" w:ascii="宋体" w:hAnsi="宋体" w:cs="宋体"/>
                <w:color w:val="auto"/>
                <w:szCs w:val="21"/>
                <w:highlight w:val="none"/>
                <w:u w:val="single"/>
              </w:rPr>
              <w:t xml:space="preserve"> 开工前15天</w:t>
            </w:r>
          </w:p>
          <w:p>
            <w:pPr>
              <w:adjustRightInd w:val="0"/>
              <w:snapToGri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承包人将施工控制网资料报送监理人审批的期限：</w:t>
            </w:r>
            <w:r>
              <w:rPr>
                <w:rFonts w:hint="eastAsia" w:ascii="宋体" w:hAnsi="宋体" w:cs="宋体"/>
                <w:color w:val="auto"/>
                <w:szCs w:val="21"/>
                <w:highlight w:val="none"/>
                <w:u w:val="single"/>
              </w:rPr>
              <w:t>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11.5（3）</w:t>
            </w:r>
          </w:p>
        </w:tc>
        <w:tc>
          <w:tcPr>
            <w:tcW w:w="7201"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逾期交工违约金：</w:t>
            </w:r>
            <w:r>
              <w:rPr>
                <w:rFonts w:hint="eastAsia" w:ascii="宋体" w:hAnsi="宋体" w:cs="宋体"/>
                <w:color w:val="auto"/>
                <w:szCs w:val="21"/>
                <w:highlight w:val="none"/>
                <w:u w:val="single"/>
              </w:rPr>
              <w:t>万分之3</w:t>
            </w:r>
            <w:r>
              <w:rPr>
                <w:rFonts w:hint="eastAsia" w:ascii="宋体" w:hAnsi="宋体" w:cs="宋体"/>
                <w:color w:val="auto"/>
                <w:szCs w:val="21"/>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11.5（3）</w:t>
            </w:r>
          </w:p>
        </w:tc>
        <w:tc>
          <w:tcPr>
            <w:tcW w:w="7201"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逾期交工违约金限额：</w:t>
            </w:r>
            <w:r>
              <w:rPr>
                <w:rFonts w:hint="eastAsia" w:ascii="宋体" w:hAnsi="宋体" w:cs="宋体"/>
                <w:color w:val="auto"/>
                <w:szCs w:val="21"/>
                <w:highlight w:val="none"/>
                <w:u w:val="single"/>
              </w:rPr>
              <w:t>10</w:t>
            </w:r>
            <w:r>
              <w:rPr>
                <w:rFonts w:hint="eastAsia" w:ascii="宋体" w:hAnsi="宋体" w:cs="宋体"/>
                <w:color w:val="auto"/>
                <w:szCs w:val="21"/>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7201" w:type="dxa"/>
            <w:vAlign w:val="center"/>
          </w:tcPr>
          <w:p>
            <w:pPr>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提前交工的奖金：</w:t>
            </w:r>
            <w:r>
              <w:rPr>
                <w:rFonts w:hint="eastAsia" w:ascii="宋体" w:hAnsi="宋体" w:cs="宋体"/>
                <w:color w:val="auto"/>
                <w:szCs w:val="21"/>
                <w:highlight w:val="none"/>
                <w:u w:val="single"/>
              </w:rPr>
              <w:t>/</w:t>
            </w:r>
            <w:r>
              <w:rPr>
                <w:rFonts w:hint="eastAsia" w:ascii="宋体" w:hAnsi="宋体" w:cs="宋体"/>
                <w:color w:val="auto"/>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7201" w:type="dxa"/>
            <w:vAlign w:val="center"/>
          </w:tcPr>
          <w:p>
            <w:pPr>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提前交工的奖金限额：</w:t>
            </w:r>
            <w:r>
              <w:rPr>
                <w:rFonts w:hint="eastAsia" w:ascii="宋体" w:hAnsi="宋体" w:cs="宋体"/>
                <w:color w:val="auto"/>
                <w:szCs w:val="21"/>
                <w:highlight w:val="none"/>
                <w:u w:val="single"/>
              </w:rPr>
              <w:t>/</w:t>
            </w:r>
            <w:r>
              <w:rPr>
                <w:rFonts w:hint="eastAsia" w:ascii="宋体" w:hAnsi="宋体" w:cs="宋体"/>
                <w:color w:val="auto"/>
                <w:szCs w:val="21"/>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75"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25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15.5.2</w:t>
            </w:r>
          </w:p>
        </w:tc>
        <w:tc>
          <w:tcPr>
            <w:tcW w:w="7201"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承包人提出的合理化建议降低了合同价格或者提高了工程经济效益的，发包人按所节约成本的</w:t>
            </w:r>
            <w:r>
              <w:rPr>
                <w:rFonts w:hint="eastAsia" w:ascii="宋体" w:hAnsi="宋体" w:cs="宋体"/>
                <w:color w:val="auto"/>
                <w:szCs w:val="21"/>
                <w:highlight w:val="none"/>
                <w:u w:val="single"/>
              </w:rPr>
              <w:t>/</w:t>
            </w:r>
            <w:r>
              <w:rPr>
                <w:rFonts w:hint="eastAsia" w:ascii="宋体" w:hAnsi="宋体" w:cs="宋体"/>
                <w:color w:val="auto"/>
                <w:szCs w:val="21"/>
                <w:highlight w:val="none"/>
              </w:rPr>
              <w:t>％或增加收益的</w:t>
            </w:r>
            <w:r>
              <w:rPr>
                <w:rFonts w:hint="eastAsia" w:ascii="宋体" w:hAnsi="宋体" w:cs="宋体"/>
                <w:color w:val="auto"/>
                <w:szCs w:val="21"/>
                <w:highlight w:val="none"/>
                <w:u w:val="single"/>
              </w:rPr>
              <w:t>/</w:t>
            </w:r>
            <w:r>
              <w:rPr>
                <w:rFonts w:hint="eastAsia" w:ascii="宋体" w:hAnsi="宋体" w:cs="宋体"/>
                <w:color w:val="auto"/>
                <w:szCs w:val="21"/>
                <w:highlight w:val="none"/>
              </w:rPr>
              <w:t>％给予奖励</w:t>
            </w:r>
          </w:p>
        </w:tc>
      </w:tr>
    </w:tbl>
    <w:p>
      <w:pPr>
        <w:spacing w:line="400" w:lineRule="exact"/>
        <w:ind w:right="420" w:firstLine="420" w:firstLineChars="200"/>
        <w:jc w:val="right"/>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续上表</w:t>
      </w:r>
    </w:p>
    <w:tbl>
      <w:tblPr>
        <w:tblStyle w:val="18"/>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78"/>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7" w:type="dxa"/>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78" w:type="dxa"/>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条目号</w:t>
            </w:r>
          </w:p>
        </w:tc>
        <w:tc>
          <w:tcPr>
            <w:tcW w:w="7197" w:type="dxa"/>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16.1</w:t>
            </w:r>
          </w:p>
        </w:tc>
        <w:tc>
          <w:tcPr>
            <w:tcW w:w="7197" w:type="dxa"/>
            <w:vAlign w:val="center"/>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因物价波动引起的价格调整按照第16.1.1或第16.1.2项约定的原则处理 </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工程材料费调整仅考虑可计量的钢材、混凝土、沥青混凝土、按照《天津市政公路工程造价信息》和《天津工程造价信息》的价格，进行调整。其它因素的物价波动风险由承包人自行承担。公路工程材料按照《天津市政公路工程造价信息》的价格进行调整，《天津市政公路工程造价信息》未包含的材料，采用《天津工程造价信息》的材料中准价进行调整。</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17.2.1（1）</w:t>
            </w:r>
          </w:p>
        </w:tc>
        <w:tc>
          <w:tcPr>
            <w:tcW w:w="7197" w:type="dxa"/>
            <w:vAlign w:val="center"/>
          </w:tcPr>
          <w:p>
            <w:pPr>
              <w:spacing w:line="36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开工预付款金额：</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17.2.1（2）</w:t>
            </w:r>
          </w:p>
        </w:tc>
        <w:tc>
          <w:tcPr>
            <w:tcW w:w="7197"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材料、设备预付款：无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17.3.2</w:t>
            </w:r>
          </w:p>
        </w:tc>
        <w:tc>
          <w:tcPr>
            <w:tcW w:w="7197"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承包人在每个付款周期末向监理人提交进度付款申请单的份数</w:t>
            </w:r>
            <w:r>
              <w:rPr>
                <w:rFonts w:hint="eastAsia" w:ascii="宋体" w:hAnsi="宋体" w:cs="宋体"/>
                <w:color w:val="auto"/>
                <w:szCs w:val="21"/>
                <w:highlight w:val="none"/>
                <w:u w:val="single"/>
              </w:rPr>
              <w:t>6</w:t>
            </w:r>
            <w:r>
              <w:rPr>
                <w:rFonts w:hint="eastAsia" w:ascii="宋体" w:hAnsi="宋体" w:cs="宋体"/>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17.3.3（1）</w:t>
            </w:r>
          </w:p>
        </w:tc>
        <w:tc>
          <w:tcPr>
            <w:tcW w:w="7197"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进度付款证书最低限额：</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17.3.3（2）</w:t>
            </w:r>
          </w:p>
        </w:tc>
        <w:tc>
          <w:tcPr>
            <w:tcW w:w="7197"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逾期付款违约金的利率：中国人民银行授权全国银行间同业拆借中心公布的贷款市场报价利率加手续费。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767" w:type="dxa"/>
            <w:vAlign w:val="center"/>
          </w:tcPr>
          <w:p>
            <w:pPr>
              <w:spacing w:line="360" w:lineRule="exact"/>
              <w:jc w:val="center"/>
              <w:rPr>
                <w:rFonts w:hint="eastAsia"/>
                <w:color w:val="auto"/>
                <w:szCs w:val="21"/>
                <w:highlight w:val="none"/>
              </w:rPr>
            </w:pPr>
            <w:r>
              <w:rPr>
                <w:rFonts w:hint="eastAsia"/>
                <w:color w:val="auto"/>
                <w:szCs w:val="21"/>
                <w:highlight w:val="none"/>
              </w:rPr>
              <w:t>20</w:t>
            </w:r>
          </w:p>
        </w:tc>
        <w:tc>
          <w:tcPr>
            <w:tcW w:w="1278" w:type="dxa"/>
            <w:vAlign w:val="center"/>
          </w:tcPr>
          <w:p>
            <w:pPr>
              <w:adjustRightInd w:val="0"/>
              <w:snapToGrid w:val="0"/>
              <w:jc w:val="center"/>
              <w:rPr>
                <w:rFonts w:hint="eastAsia"/>
                <w:color w:val="auto"/>
                <w:szCs w:val="21"/>
                <w:highlight w:val="none"/>
              </w:rPr>
            </w:pPr>
            <w:r>
              <w:rPr>
                <w:rFonts w:hint="eastAsia"/>
                <w:color w:val="auto"/>
                <w:szCs w:val="21"/>
                <w:highlight w:val="none"/>
              </w:rPr>
              <w:t>17.4.1</w:t>
            </w:r>
          </w:p>
        </w:tc>
        <w:tc>
          <w:tcPr>
            <w:tcW w:w="7197" w:type="dxa"/>
            <w:vAlign w:val="center"/>
          </w:tcPr>
          <w:p>
            <w:pPr>
              <w:adjustRightInd w:val="0"/>
              <w:snapToGrid w:val="0"/>
              <w:ind w:firstLine="420" w:firstLineChars="200"/>
              <w:rPr>
                <w:rFonts w:hint="eastAsia"/>
                <w:color w:val="auto"/>
                <w:szCs w:val="21"/>
                <w:highlight w:val="none"/>
              </w:rPr>
            </w:pPr>
            <w:r>
              <w:rPr>
                <w:rFonts w:hint="eastAsia"/>
                <w:color w:val="auto"/>
                <w:szCs w:val="21"/>
                <w:highlight w:val="none"/>
              </w:rPr>
              <w:t>质量保证金金额：3 %合同价格，若交工验收时承包人具备被招标项目所在地省级交通运输主管部门评定的最高信用等级，发包人给予</w:t>
            </w:r>
            <w:r>
              <w:rPr>
                <w:rFonts w:hint="eastAsia"/>
                <w:color w:val="auto"/>
                <w:szCs w:val="21"/>
                <w:highlight w:val="none"/>
                <w:u w:val="single"/>
              </w:rPr>
              <w:t xml:space="preserve"> / </w:t>
            </w:r>
            <w:r>
              <w:rPr>
                <w:rFonts w:hint="eastAsia"/>
                <w:color w:val="auto"/>
                <w:szCs w:val="21"/>
                <w:highlight w:val="none"/>
              </w:rPr>
              <w:t>%合同价格质量保证金的优惠。</w:t>
            </w:r>
          </w:p>
          <w:p>
            <w:pPr>
              <w:adjustRightInd w:val="0"/>
              <w:snapToGrid w:val="0"/>
              <w:ind w:firstLine="420" w:firstLineChars="200"/>
              <w:rPr>
                <w:color w:val="auto"/>
                <w:szCs w:val="21"/>
                <w:highlight w:val="none"/>
              </w:rPr>
            </w:pPr>
            <w:r>
              <w:rPr>
                <w:rFonts w:hint="eastAsia"/>
                <w:color w:val="auto"/>
                <w:szCs w:val="21"/>
                <w:highlight w:val="none"/>
              </w:rPr>
              <w:t>质量保证金是否计付利息：</w:t>
            </w:r>
          </w:p>
          <w:p>
            <w:pPr>
              <w:adjustRightInd w:val="0"/>
              <w:snapToGrid w:val="0"/>
              <w:ind w:firstLine="420" w:firstLineChars="200"/>
              <w:rPr>
                <w:color w:val="auto"/>
                <w:szCs w:val="21"/>
                <w:highlight w:val="none"/>
              </w:rPr>
            </w:pPr>
            <w:r>
              <w:rPr>
                <w:rFonts w:hint="eastAsia"/>
                <w:color w:val="auto"/>
                <w:szCs w:val="21"/>
                <w:highlight w:val="none"/>
              </w:rPr>
              <w:t>□是，利息的计算方式：________________________</w:t>
            </w:r>
          </w:p>
          <w:p>
            <w:pPr>
              <w:adjustRightInd w:val="0"/>
              <w:snapToGrid w:val="0"/>
              <w:ind w:firstLine="420" w:firstLineChars="200"/>
              <w:rPr>
                <w:rFonts w:hint="eastAsia"/>
                <w:color w:val="auto"/>
                <w:szCs w:val="21"/>
                <w:highlight w:val="none"/>
              </w:rPr>
            </w:pPr>
            <w:r>
              <w:rPr>
                <w:rFonts w:hint="eastAsia"/>
                <w:color w:val="auto"/>
                <w:szCs w:val="21"/>
                <w:highlight w:val="none"/>
              </w:rPr>
              <w:sym w:font="Wingdings" w:char="F0FE"/>
            </w:r>
            <w:r>
              <w:rPr>
                <w:rFonts w:hint="eastAsia"/>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color w:val="auto"/>
                <w:szCs w:val="21"/>
                <w:highlight w:val="none"/>
              </w:rPr>
              <w:t>21</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17.5.1</w:t>
            </w:r>
          </w:p>
        </w:tc>
        <w:tc>
          <w:tcPr>
            <w:tcW w:w="7197"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承包人向监理人提交交工付款申请单(包括相关证明材料)的份数：</w:t>
            </w:r>
            <w:r>
              <w:rPr>
                <w:rFonts w:hint="eastAsia" w:ascii="宋体" w:hAnsi="宋体" w:cs="宋体"/>
                <w:color w:val="auto"/>
                <w:szCs w:val="21"/>
                <w:highlight w:val="none"/>
                <w:u w:val="single"/>
              </w:rPr>
              <w:t>6</w:t>
            </w:r>
            <w:r>
              <w:rPr>
                <w:rFonts w:hint="eastAsia" w:ascii="宋体" w:hAnsi="宋体" w:cs="宋体"/>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color w:val="auto"/>
                <w:szCs w:val="21"/>
                <w:highlight w:val="none"/>
              </w:rPr>
              <w:t>22</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17.6.1</w:t>
            </w:r>
          </w:p>
        </w:tc>
        <w:tc>
          <w:tcPr>
            <w:tcW w:w="7197"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承包人向监理人提交最终结清申请单(包括相关证明材料)的份数：</w:t>
            </w:r>
            <w:r>
              <w:rPr>
                <w:rFonts w:hint="eastAsia" w:ascii="宋体" w:hAnsi="宋体" w:cs="宋体"/>
                <w:color w:val="auto"/>
                <w:szCs w:val="21"/>
                <w:highlight w:val="none"/>
                <w:u w:val="single"/>
              </w:rPr>
              <w:t>6</w:t>
            </w:r>
            <w:r>
              <w:rPr>
                <w:rFonts w:hint="eastAsia" w:ascii="宋体" w:hAnsi="宋体" w:cs="宋体"/>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color w:val="auto"/>
                <w:szCs w:val="21"/>
                <w:highlight w:val="none"/>
              </w:rPr>
              <w:t>23</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highlight w:val="none"/>
              </w:rPr>
              <w:t>18.2（2）</w:t>
            </w:r>
          </w:p>
        </w:tc>
        <w:tc>
          <w:tcPr>
            <w:tcW w:w="7197"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竣工资料的份数：</w:t>
            </w:r>
            <w:r>
              <w:rPr>
                <w:rFonts w:hint="eastAsia" w:ascii="宋体" w:hAnsi="宋体" w:cs="宋体"/>
                <w:color w:val="auto"/>
                <w:szCs w:val="21"/>
                <w:highlight w:val="none"/>
                <w:u w:val="single"/>
              </w:rPr>
              <w:t>6</w:t>
            </w:r>
            <w:r>
              <w:rPr>
                <w:rFonts w:hint="eastAsia" w:ascii="宋体" w:hAnsi="宋体" w:cs="宋体"/>
                <w:color w:val="auto"/>
                <w:szCs w:val="21"/>
                <w:highlight w:val="none"/>
              </w:rPr>
              <w:t>份; 纸质资料6份，对应电子版1份。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color w:val="auto"/>
                <w:szCs w:val="21"/>
                <w:highlight w:val="none"/>
              </w:rPr>
              <w:t>24</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18.5.1</w:t>
            </w:r>
          </w:p>
        </w:tc>
        <w:tc>
          <w:tcPr>
            <w:tcW w:w="7197"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单位工程或工程设备是否需投入施工期运行：否</w:t>
            </w:r>
          </w:p>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如单位工程或工程设备需要进行施工期运行，需要施工期运行的单位工程或工程设备规定如下：</w:t>
            </w:r>
            <w:r>
              <w:rPr>
                <w:rFonts w:hint="eastAsia" w:ascii="宋体" w:hAnsi="宋体" w:cs="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67" w:type="dxa"/>
            <w:vAlign w:val="center"/>
          </w:tcPr>
          <w:p>
            <w:pPr>
              <w:spacing w:line="360" w:lineRule="exact"/>
              <w:jc w:val="center"/>
              <w:rPr>
                <w:rFonts w:hint="eastAsia" w:ascii="宋体" w:hAnsi="宋体" w:cs="宋体"/>
                <w:color w:val="auto"/>
                <w:szCs w:val="21"/>
                <w:highlight w:val="none"/>
              </w:rPr>
            </w:pPr>
            <w:r>
              <w:rPr>
                <w:rFonts w:hint="eastAsia"/>
                <w:color w:val="auto"/>
                <w:szCs w:val="21"/>
                <w:highlight w:val="none"/>
              </w:rPr>
              <w:t>25</w:t>
            </w:r>
          </w:p>
        </w:tc>
        <w:tc>
          <w:tcPr>
            <w:tcW w:w="1278"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18.6.1</w:t>
            </w:r>
          </w:p>
        </w:tc>
        <w:tc>
          <w:tcPr>
            <w:tcW w:w="7197" w:type="dxa"/>
            <w:vAlign w:val="center"/>
          </w:tcPr>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本工程及工程设备是否进行试运行：否</w:t>
            </w:r>
          </w:p>
          <w:p>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如本工程及工程设备需要进行试运行，试运行的具体规定如下：</w:t>
            </w:r>
            <w:r>
              <w:rPr>
                <w:rFonts w:hint="eastAsia" w:ascii="宋体" w:hAnsi="宋体" w:cs="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767" w:type="dxa"/>
            <w:vAlign w:val="center"/>
          </w:tcPr>
          <w:p>
            <w:pPr>
              <w:spacing w:line="440" w:lineRule="exact"/>
              <w:jc w:val="center"/>
              <w:rPr>
                <w:rFonts w:hint="eastAsia" w:ascii="宋体" w:hAnsi="宋体" w:cs="宋体"/>
                <w:color w:val="auto"/>
                <w:szCs w:val="21"/>
                <w:highlight w:val="none"/>
              </w:rPr>
            </w:pPr>
            <w:r>
              <w:rPr>
                <w:rFonts w:hint="eastAsia"/>
                <w:color w:val="auto"/>
                <w:szCs w:val="21"/>
                <w:highlight w:val="none"/>
              </w:rPr>
              <w:t>26</w:t>
            </w:r>
          </w:p>
        </w:tc>
        <w:tc>
          <w:tcPr>
            <w:tcW w:w="1278" w:type="dxa"/>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19.7</w:t>
            </w:r>
          </w:p>
        </w:tc>
        <w:tc>
          <w:tcPr>
            <w:tcW w:w="7197" w:type="dxa"/>
            <w:vAlign w:val="center"/>
          </w:tcPr>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保修期：自实际交工日期起计算</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67" w:type="dxa"/>
            <w:vAlign w:val="center"/>
          </w:tcPr>
          <w:p>
            <w:pPr>
              <w:spacing w:line="440" w:lineRule="exact"/>
              <w:jc w:val="center"/>
              <w:rPr>
                <w:rFonts w:hint="eastAsia" w:ascii="宋体" w:hAnsi="宋体" w:cs="宋体"/>
                <w:color w:val="auto"/>
                <w:szCs w:val="21"/>
                <w:highlight w:val="none"/>
              </w:rPr>
            </w:pPr>
            <w:r>
              <w:rPr>
                <w:rFonts w:hint="eastAsia"/>
                <w:color w:val="auto"/>
                <w:szCs w:val="21"/>
                <w:highlight w:val="none"/>
              </w:rPr>
              <w:t>27</w:t>
            </w:r>
          </w:p>
        </w:tc>
        <w:tc>
          <w:tcPr>
            <w:tcW w:w="1278" w:type="dxa"/>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197" w:type="dxa"/>
            <w:vAlign w:val="top"/>
          </w:tcPr>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建筑工程一切险的保险费率：</w:t>
            </w:r>
            <w:r>
              <w:rPr>
                <w:rFonts w:hint="eastAsia" w:ascii="宋体" w:hAnsi="宋体" w:cs="宋体"/>
                <w:color w:val="auto"/>
                <w:szCs w:val="21"/>
                <w:highlight w:val="none"/>
                <w:u w:val="single"/>
              </w:rPr>
              <w:t>3.2</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67" w:type="dxa"/>
            <w:vAlign w:val="center"/>
          </w:tcPr>
          <w:p>
            <w:pPr>
              <w:spacing w:line="440" w:lineRule="exact"/>
              <w:jc w:val="center"/>
              <w:rPr>
                <w:rFonts w:hint="eastAsia" w:ascii="宋体" w:hAnsi="宋体" w:cs="宋体"/>
                <w:color w:val="auto"/>
                <w:szCs w:val="21"/>
                <w:highlight w:val="none"/>
              </w:rPr>
            </w:pPr>
            <w:r>
              <w:rPr>
                <w:rFonts w:hint="eastAsia"/>
                <w:color w:val="auto"/>
                <w:szCs w:val="21"/>
                <w:highlight w:val="none"/>
              </w:rPr>
              <w:t>28</w:t>
            </w:r>
          </w:p>
        </w:tc>
        <w:tc>
          <w:tcPr>
            <w:tcW w:w="1278" w:type="dxa"/>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20.4.2</w:t>
            </w:r>
          </w:p>
        </w:tc>
        <w:tc>
          <w:tcPr>
            <w:tcW w:w="7197" w:type="dxa"/>
            <w:vAlign w:val="center"/>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第三者责任险的最低投保金额：</w:t>
            </w:r>
            <w:r>
              <w:rPr>
                <w:rFonts w:hint="eastAsia" w:ascii="宋体" w:hAnsi="宋体" w:cs="宋体"/>
                <w:color w:val="auto"/>
                <w:szCs w:val="21"/>
                <w:highlight w:val="none"/>
                <w:u w:val="single"/>
              </w:rPr>
              <w:t>100</w:t>
            </w:r>
            <w:r>
              <w:rPr>
                <w:rFonts w:hint="eastAsia" w:ascii="宋体" w:hAnsi="宋体" w:cs="宋体"/>
                <w:color w:val="auto"/>
                <w:szCs w:val="21"/>
                <w:highlight w:val="none"/>
              </w:rPr>
              <w:t xml:space="preserve">万元，事故次数不限(不计免赔额) </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第三者责任险的保险费率：</w:t>
            </w:r>
            <w:r>
              <w:rPr>
                <w:rFonts w:hint="eastAsia" w:ascii="宋体" w:hAnsi="宋体" w:cs="宋体"/>
                <w:color w:val="auto"/>
                <w:szCs w:val="21"/>
                <w:highlight w:val="none"/>
                <w:u w:val="single"/>
              </w:rPr>
              <w:t>0.8</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67" w:type="dxa"/>
            <w:vAlign w:val="center"/>
          </w:tcPr>
          <w:p>
            <w:pPr>
              <w:spacing w:line="440" w:lineRule="exact"/>
              <w:jc w:val="center"/>
              <w:rPr>
                <w:rFonts w:hint="eastAsia" w:ascii="宋体" w:hAnsi="宋体" w:cs="宋体"/>
                <w:color w:val="auto"/>
                <w:szCs w:val="21"/>
                <w:highlight w:val="none"/>
              </w:rPr>
            </w:pPr>
            <w:r>
              <w:rPr>
                <w:rFonts w:hint="eastAsia"/>
                <w:color w:val="auto"/>
                <w:szCs w:val="21"/>
                <w:highlight w:val="none"/>
              </w:rPr>
              <w:t>29</w:t>
            </w:r>
          </w:p>
        </w:tc>
        <w:tc>
          <w:tcPr>
            <w:tcW w:w="1278" w:type="dxa"/>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197" w:type="dxa"/>
            <w:vAlign w:val="center"/>
          </w:tcPr>
          <w:p>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争议的最终解决方式：</w:t>
            </w:r>
            <w:r>
              <w:rPr>
                <w:rFonts w:hint="eastAsia" w:ascii="宋体" w:hAnsi="宋体" w:cs="宋体"/>
                <w:color w:val="auto"/>
                <w:szCs w:val="21"/>
                <w:highlight w:val="none"/>
                <w:u w:val="single"/>
              </w:rPr>
              <w:t>诉讼</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如采用仲裁，仲裁委员会名称：</w:t>
            </w:r>
            <w:r>
              <w:rPr>
                <w:rFonts w:hint="eastAsia" w:ascii="宋体" w:hAnsi="宋体" w:cs="宋体"/>
                <w:color w:val="auto"/>
                <w:szCs w:val="21"/>
                <w:highlight w:val="none"/>
                <w:u w:val="single"/>
              </w:rPr>
              <w:t>/</w:t>
            </w:r>
          </w:p>
        </w:tc>
      </w:tr>
    </w:tbl>
    <w:p>
      <w:pPr>
        <w:jc w:val="center"/>
        <w:rPr>
          <w:rFonts w:ascii="宋体" w:hAnsi="宋体"/>
          <w:b/>
          <w:sz w:val="32"/>
          <w:szCs w:val="32"/>
        </w:rPr>
      </w:pPr>
      <w:r>
        <w:rPr>
          <w:rFonts w:hint="eastAsia" w:ascii="宋体" w:hAnsi="宋体" w:cs="宋体"/>
          <w:b/>
          <w:color w:val="auto"/>
          <w:highlight w:val="none"/>
        </w:rPr>
        <w:br w:type="page"/>
      </w:r>
      <w:r>
        <w:rPr>
          <w:rFonts w:hint="eastAsia" w:ascii="宋体" w:hAnsi="宋体"/>
          <w:b/>
          <w:sz w:val="32"/>
          <w:szCs w:val="32"/>
        </w:rPr>
        <w:t>项目专用合同条款</w:t>
      </w:r>
    </w:p>
    <w:p>
      <w:pPr>
        <w:spacing w:line="360" w:lineRule="auto"/>
        <w:ind w:firstLine="420" w:firstLineChars="200"/>
        <w:rPr>
          <w:rFonts w:ascii="宋体" w:hAnsi="宋体"/>
          <w:szCs w:val="21"/>
        </w:rPr>
      </w:pPr>
      <w:r>
        <w:rPr>
          <w:rFonts w:hint="eastAsia" w:ascii="宋体" w:hAnsi="宋体"/>
          <w:szCs w:val="21"/>
        </w:rPr>
        <w:t>说明：本部分所列的项目专用合同条款是对“公路工程专用合同条款”中规定必须在项目专用合同条款中明确的内容的集中，招标人编制的“项目专用合同条款”不限于本部分所列内容。</w:t>
      </w:r>
    </w:p>
    <w:p>
      <w:pPr>
        <w:spacing w:line="360" w:lineRule="auto"/>
        <w:rPr>
          <w:rFonts w:ascii="宋体"/>
          <w:b/>
          <w:bCs/>
        </w:rPr>
      </w:pPr>
      <w:bookmarkStart w:id="899" w:name="_Hlk127863378"/>
      <w:r>
        <w:rPr>
          <w:rFonts w:hint="eastAsia" w:ascii="宋体" w:hAnsi="宋体" w:cs="宋体"/>
          <w:b/>
          <w:bCs/>
          <w:snapToGrid w:val="0"/>
          <w:kern w:val="0"/>
        </w:rPr>
        <w:t>第</w:t>
      </w:r>
      <w:r>
        <w:rPr>
          <w:rFonts w:ascii="宋体" w:hAnsi="宋体" w:cs="宋体"/>
          <w:b/>
          <w:bCs/>
          <w:snapToGrid w:val="0"/>
          <w:kern w:val="0"/>
        </w:rPr>
        <w:t>1</w:t>
      </w:r>
      <w:r>
        <w:rPr>
          <w:rFonts w:hint="eastAsia" w:ascii="宋体" w:hAnsi="宋体" w:cs="宋体"/>
          <w:b/>
          <w:bCs/>
          <w:snapToGrid w:val="0"/>
          <w:kern w:val="0"/>
        </w:rPr>
        <w:t xml:space="preserve">条 </w:t>
      </w:r>
      <w:r>
        <w:rPr>
          <w:rFonts w:hint="eastAsia" w:ascii="宋体" w:hAnsi="宋体" w:cs="宋体"/>
          <w:b/>
          <w:bCs/>
        </w:rPr>
        <w:t>公路工程专用合同条款第</w:t>
      </w:r>
      <w:r>
        <w:rPr>
          <w:rFonts w:ascii="宋体" w:hAnsi="宋体" w:cs="宋体"/>
          <w:b/>
          <w:bCs/>
        </w:rPr>
        <w:t>1.1.3.11</w:t>
      </w:r>
      <w:r>
        <w:rPr>
          <w:rFonts w:hint="eastAsia" w:ascii="宋体" w:hAnsi="宋体" w:cs="宋体"/>
          <w:b/>
          <w:bCs/>
        </w:rPr>
        <w:t>目细化为：</w:t>
      </w:r>
    </w:p>
    <w:p>
      <w:pPr>
        <w:spacing w:line="360" w:lineRule="auto"/>
        <w:ind w:firstLine="464" w:firstLineChars="221"/>
        <w:rPr>
          <w:rFonts w:ascii="宋体"/>
        </w:rPr>
      </w:pPr>
      <w:r>
        <w:rPr>
          <w:rFonts w:hint="eastAsia" w:ascii="宋体" w:hAnsi="宋体" w:cs="宋体"/>
        </w:rPr>
        <w:t>临时占地：指为实施本合同工程而需要的一切临时占用的土地，包括施工所用的便道、便桥、和现场的临时出入通道，取、弃土场、路基用土备土场、预制场、拌合场、钢筋加工场、机械设备停放场、材料堆放场地、铣刨料存储场地以及其他生产（办公）、生活等临时设施用地等。</w:t>
      </w:r>
    </w:p>
    <w:p>
      <w:pPr>
        <w:adjustRightInd w:val="0"/>
        <w:snapToGrid w:val="0"/>
        <w:spacing w:line="360" w:lineRule="auto"/>
        <w:rPr>
          <w:rFonts w:ascii="宋体"/>
          <w:b/>
          <w:bCs/>
          <w:snapToGrid w:val="0"/>
          <w:kern w:val="0"/>
        </w:rPr>
      </w:pPr>
      <w:r>
        <w:rPr>
          <w:rFonts w:hint="eastAsia" w:ascii="宋体" w:hAnsi="宋体" w:cs="宋体"/>
          <w:b/>
          <w:bCs/>
          <w:snapToGrid w:val="0"/>
          <w:kern w:val="0"/>
        </w:rPr>
        <w:t>第</w:t>
      </w:r>
      <w:r>
        <w:rPr>
          <w:rFonts w:ascii="宋体" w:hAnsi="宋体" w:cs="宋体"/>
          <w:b/>
          <w:bCs/>
          <w:snapToGrid w:val="0"/>
          <w:kern w:val="0"/>
        </w:rPr>
        <w:t>2</w:t>
      </w:r>
      <w:r>
        <w:rPr>
          <w:rFonts w:hint="eastAsia" w:ascii="宋体" w:hAnsi="宋体" w:cs="宋体"/>
          <w:b/>
          <w:bCs/>
          <w:snapToGrid w:val="0"/>
          <w:kern w:val="0"/>
        </w:rPr>
        <w:t xml:space="preserve">条 </w:t>
      </w:r>
      <w:r>
        <w:rPr>
          <w:rFonts w:hint="eastAsia" w:ascii="宋体" w:hAnsi="宋体" w:cs="宋体"/>
          <w:b/>
          <w:bCs/>
        </w:rPr>
        <w:t>公路工程专用</w:t>
      </w:r>
      <w:r>
        <w:rPr>
          <w:rFonts w:hint="eastAsia" w:ascii="宋体" w:hAnsi="宋体" w:cs="宋体"/>
          <w:b/>
          <w:bCs/>
          <w:snapToGrid w:val="0"/>
          <w:kern w:val="0"/>
        </w:rPr>
        <w:t>合同条款补充</w:t>
      </w:r>
      <w:r>
        <w:rPr>
          <w:rFonts w:hint="eastAsia" w:ascii="宋体" w:hAnsi="宋体" w:cs="宋体"/>
          <w:b/>
          <w:bCs/>
        </w:rPr>
        <w:t>第</w:t>
      </w:r>
      <w:r>
        <w:rPr>
          <w:rFonts w:ascii="宋体" w:hAnsi="宋体" w:cs="宋体"/>
          <w:b/>
          <w:bCs/>
          <w:snapToGrid w:val="0"/>
          <w:kern w:val="0"/>
        </w:rPr>
        <w:t>1.1.6.</w:t>
      </w:r>
      <w:r>
        <w:rPr>
          <w:rFonts w:hint="eastAsia" w:ascii="宋体" w:hAnsi="宋体" w:cs="宋体"/>
          <w:b/>
          <w:bCs/>
          <w:snapToGrid w:val="0"/>
          <w:kern w:val="0"/>
        </w:rPr>
        <w:t>10目：</w:t>
      </w:r>
    </w:p>
    <w:p>
      <w:pPr>
        <w:adjustRightInd w:val="0"/>
        <w:snapToGrid w:val="0"/>
        <w:spacing w:line="360" w:lineRule="auto"/>
        <w:ind w:firstLine="420" w:firstLineChars="200"/>
        <w:rPr>
          <w:rFonts w:ascii="宋体"/>
          <w:snapToGrid w:val="0"/>
          <w:kern w:val="0"/>
        </w:rPr>
      </w:pPr>
      <w:r>
        <w:rPr>
          <w:rFonts w:ascii="宋体" w:hAnsi="宋体" w:cs="宋体"/>
          <w:snapToGrid w:val="0"/>
          <w:kern w:val="0"/>
        </w:rPr>
        <w:t>1.1.6.</w:t>
      </w:r>
      <w:r>
        <w:rPr>
          <w:rFonts w:hint="eastAsia" w:ascii="宋体" w:hAnsi="宋体" w:cs="宋体"/>
          <w:snapToGrid w:val="0"/>
          <w:kern w:val="0"/>
        </w:rPr>
        <w:t>10缺陷：包括瑕疵与缺陷</w:t>
      </w:r>
    </w:p>
    <w:p>
      <w:pPr>
        <w:adjustRightInd w:val="0"/>
        <w:snapToGrid w:val="0"/>
        <w:spacing w:line="360" w:lineRule="auto"/>
        <w:rPr>
          <w:rFonts w:ascii="宋体"/>
          <w:b/>
          <w:bCs/>
        </w:rPr>
      </w:pPr>
      <w:r>
        <w:rPr>
          <w:rFonts w:hint="eastAsia" w:ascii="宋体" w:hAnsi="宋体" w:cs="宋体"/>
          <w:b/>
          <w:bCs/>
          <w:snapToGrid w:val="0"/>
          <w:kern w:val="0"/>
        </w:rPr>
        <w:t>第</w:t>
      </w:r>
      <w:r>
        <w:rPr>
          <w:rFonts w:ascii="宋体" w:hAnsi="宋体" w:cs="宋体"/>
          <w:b/>
          <w:bCs/>
          <w:snapToGrid w:val="0"/>
          <w:kern w:val="0"/>
        </w:rPr>
        <w:t>3</w:t>
      </w:r>
      <w:r>
        <w:rPr>
          <w:rFonts w:hint="eastAsia" w:ascii="宋体" w:hAnsi="宋体" w:cs="宋体"/>
          <w:b/>
          <w:bCs/>
          <w:snapToGrid w:val="0"/>
          <w:kern w:val="0"/>
        </w:rPr>
        <w:t xml:space="preserve">条 </w:t>
      </w:r>
      <w:r>
        <w:rPr>
          <w:rFonts w:hint="eastAsia" w:ascii="宋体" w:hAnsi="宋体" w:cs="宋体"/>
          <w:b/>
          <w:bCs/>
        </w:rPr>
        <w:t>公路工程专用合同条款补充第</w:t>
      </w:r>
      <w:r>
        <w:rPr>
          <w:rFonts w:ascii="宋体" w:hAnsi="宋体" w:cs="宋体"/>
          <w:b/>
          <w:bCs/>
        </w:rPr>
        <w:t>1.6.2</w:t>
      </w:r>
      <w:r>
        <w:rPr>
          <w:rFonts w:hint="eastAsia" w:ascii="宋体" w:hAnsi="宋体" w:cs="宋体"/>
          <w:b/>
          <w:bCs/>
        </w:rPr>
        <w:t>（</w:t>
      </w:r>
      <w:r>
        <w:rPr>
          <w:rFonts w:ascii="宋体" w:hAnsi="宋体" w:cs="宋体"/>
          <w:b/>
          <w:bCs/>
        </w:rPr>
        <w:t>5</w:t>
      </w:r>
      <w:r>
        <w:rPr>
          <w:rFonts w:hint="eastAsia" w:ascii="宋体" w:hAnsi="宋体" w:cs="宋体"/>
          <w:b/>
          <w:bCs/>
        </w:rPr>
        <w:t>）目：</w:t>
      </w:r>
    </w:p>
    <w:p>
      <w:pPr>
        <w:adjustRightInd w:val="0"/>
        <w:snapToGrid w:val="0"/>
        <w:spacing w:line="360" w:lineRule="auto"/>
        <w:ind w:firstLine="420" w:firstLineChars="200"/>
        <w:rPr>
          <w:rFonts w:ascii="宋体"/>
          <w:snapToGrid w:val="0"/>
          <w:kern w:val="0"/>
        </w:rPr>
      </w:pPr>
      <w:r>
        <w:rPr>
          <w:rFonts w:ascii="宋体" w:hAnsi="宋体" w:cs="宋体"/>
        </w:rPr>
        <w:t>1.6.2</w:t>
      </w:r>
      <w:r>
        <w:rPr>
          <w:rFonts w:hint="eastAsia" w:ascii="宋体" w:hAnsi="宋体" w:cs="宋体"/>
        </w:rPr>
        <w:t>（</w:t>
      </w:r>
      <w:r>
        <w:rPr>
          <w:rFonts w:ascii="宋体" w:hAnsi="宋体" w:cs="宋体"/>
        </w:rPr>
        <w:t>5</w:t>
      </w:r>
      <w:r>
        <w:rPr>
          <w:rFonts w:hint="eastAsia" w:ascii="宋体" w:hAnsi="宋体" w:cs="宋体"/>
        </w:rPr>
        <w:t>）临时工程和类似临时工程的设计及图纸。</w:t>
      </w:r>
    </w:p>
    <w:p>
      <w:pPr>
        <w:adjustRightInd w:val="0"/>
        <w:snapToGrid w:val="0"/>
        <w:spacing w:line="360" w:lineRule="auto"/>
        <w:rPr>
          <w:rFonts w:ascii="宋体"/>
          <w:b/>
          <w:bCs/>
          <w:snapToGrid w:val="0"/>
          <w:kern w:val="0"/>
        </w:rPr>
      </w:pPr>
      <w:r>
        <w:rPr>
          <w:rFonts w:hint="eastAsia" w:ascii="宋体" w:hAnsi="宋体" w:cs="宋体"/>
          <w:b/>
          <w:bCs/>
          <w:snapToGrid w:val="0"/>
          <w:kern w:val="0"/>
        </w:rPr>
        <w:t>第</w:t>
      </w:r>
      <w:r>
        <w:rPr>
          <w:rFonts w:ascii="宋体" w:hAnsi="宋体" w:cs="宋体"/>
          <w:b/>
          <w:bCs/>
          <w:snapToGrid w:val="0"/>
          <w:kern w:val="0"/>
        </w:rPr>
        <w:t>4</w:t>
      </w:r>
      <w:r>
        <w:rPr>
          <w:rFonts w:hint="eastAsia" w:ascii="宋体" w:hAnsi="宋体" w:cs="宋体"/>
          <w:b/>
          <w:bCs/>
          <w:snapToGrid w:val="0"/>
          <w:kern w:val="0"/>
        </w:rPr>
        <w:t xml:space="preserve">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3.1.1</w:t>
      </w:r>
      <w:r>
        <w:rPr>
          <w:rFonts w:hint="eastAsia" w:ascii="宋体" w:hAnsi="宋体" w:cs="宋体"/>
          <w:b/>
          <w:bCs/>
          <w:snapToGrid w:val="0"/>
          <w:kern w:val="0"/>
        </w:rPr>
        <w:t>（</w:t>
      </w:r>
      <w:r>
        <w:rPr>
          <w:rFonts w:ascii="宋体" w:hAnsi="宋体" w:cs="宋体"/>
          <w:b/>
          <w:bCs/>
          <w:snapToGrid w:val="0"/>
          <w:kern w:val="0"/>
        </w:rPr>
        <w:t>6</w:t>
      </w:r>
      <w:r>
        <w:rPr>
          <w:rFonts w:hint="eastAsia" w:ascii="宋体" w:hAnsi="宋体" w:cs="宋体"/>
          <w:b/>
          <w:bCs/>
          <w:snapToGrid w:val="0"/>
          <w:kern w:val="0"/>
        </w:rPr>
        <w:t>）目细化为：</w:t>
      </w:r>
    </w:p>
    <w:p>
      <w:pPr>
        <w:adjustRightInd w:val="0"/>
        <w:snapToGrid w:val="0"/>
        <w:spacing w:line="360" w:lineRule="auto"/>
        <w:ind w:firstLine="420" w:firstLineChars="200"/>
        <w:rPr>
          <w:rFonts w:ascii="宋体"/>
        </w:rPr>
      </w:pPr>
      <w:r>
        <w:rPr>
          <w:rFonts w:hint="eastAsia" w:ascii="宋体" w:hAnsi="宋体" w:cs="宋体"/>
        </w:rPr>
        <w:t>根据第</w:t>
      </w:r>
      <w:r>
        <w:rPr>
          <w:rFonts w:ascii="宋体" w:hAnsi="宋体" w:cs="宋体"/>
        </w:rPr>
        <w:t>15.3</w:t>
      </w:r>
      <w:r>
        <w:rPr>
          <w:rFonts w:hint="eastAsia" w:ascii="宋体" w:hAnsi="宋体" w:cs="宋体"/>
        </w:rPr>
        <w:t>款发出的变更指示，其单项工程变更或累计变更涉及的金额以工程开工后发包人制定的具体实施细则为准。</w:t>
      </w:r>
    </w:p>
    <w:p>
      <w:pPr>
        <w:spacing w:line="360" w:lineRule="auto"/>
        <w:rPr>
          <w:rFonts w:ascii="宋体"/>
          <w:b/>
          <w:bCs/>
        </w:rPr>
      </w:pPr>
      <w:r>
        <w:rPr>
          <w:rFonts w:hint="eastAsia" w:ascii="宋体" w:hAnsi="宋体" w:cs="宋体"/>
          <w:b/>
          <w:bCs/>
          <w:snapToGrid w:val="0"/>
          <w:kern w:val="0"/>
        </w:rPr>
        <w:t>第</w:t>
      </w:r>
      <w:r>
        <w:rPr>
          <w:rFonts w:ascii="宋体" w:hAnsi="宋体" w:cs="宋体"/>
          <w:b/>
          <w:bCs/>
          <w:snapToGrid w:val="0"/>
          <w:kern w:val="0"/>
        </w:rPr>
        <w:t>5</w:t>
      </w:r>
      <w:r>
        <w:rPr>
          <w:rFonts w:hint="eastAsia" w:ascii="宋体" w:hAnsi="宋体" w:cs="宋体"/>
          <w:b/>
          <w:bCs/>
          <w:snapToGrid w:val="0"/>
          <w:kern w:val="0"/>
        </w:rPr>
        <w:t xml:space="preserve">条 </w:t>
      </w:r>
      <w:r>
        <w:rPr>
          <w:rFonts w:hint="eastAsia" w:ascii="宋体" w:hAnsi="宋体" w:cs="宋体"/>
          <w:b/>
          <w:bCs/>
        </w:rPr>
        <w:t>通用合同条款第</w:t>
      </w:r>
      <w:r>
        <w:rPr>
          <w:rFonts w:ascii="宋体" w:hAnsi="宋体" w:cs="宋体"/>
          <w:b/>
          <w:bCs/>
        </w:rPr>
        <w:t>4.1.4</w:t>
      </w:r>
      <w:r>
        <w:rPr>
          <w:rFonts w:hint="eastAsia" w:ascii="宋体" w:hAnsi="宋体" w:cs="宋体"/>
          <w:b/>
          <w:bCs/>
        </w:rPr>
        <w:t>项补充：</w:t>
      </w:r>
    </w:p>
    <w:p>
      <w:pPr>
        <w:spacing w:line="360" w:lineRule="auto"/>
        <w:ind w:firstLine="359" w:firstLineChars="171"/>
        <w:rPr>
          <w:rFonts w:ascii="宋体"/>
        </w:rPr>
      </w:pPr>
      <w:r>
        <w:rPr>
          <w:rFonts w:hint="eastAsia" w:ascii="宋体" w:hAnsi="宋体" w:cs="宋体"/>
        </w:rPr>
        <w:t>承包人应合理组织施工生产，使合同段内各项目进度均衡发展，并满足发包人和监理人根据总工期下达的阶段性工作目标要求；通过对施工现场作业严格管理，确保工程质量与施工进度。在施工过程中，如发现承包人违反规范、合同、施工标准化管理指南，或违反质量、安全管理的有关规定，或出现质量问题、造成质量隐患及发生安全事故，发包人可视其情形严重程度对承包人课以人民币1</w:t>
      </w:r>
      <w:r>
        <w:rPr>
          <w:rFonts w:ascii="宋体" w:hAnsi="宋体" w:cs="宋体"/>
        </w:rPr>
        <w:t>000</w:t>
      </w:r>
      <w:r>
        <w:rPr>
          <w:rFonts w:hint="eastAsia" w:ascii="宋体" w:hAnsi="宋体" w:cs="宋体"/>
        </w:rPr>
        <w:t>元～1</w:t>
      </w:r>
      <w:r>
        <w:rPr>
          <w:rFonts w:ascii="宋体" w:hAnsi="宋体" w:cs="宋体"/>
        </w:rPr>
        <w:t>0</w:t>
      </w:r>
      <w:r>
        <w:rPr>
          <w:rFonts w:hint="eastAsia" w:ascii="宋体" w:hAnsi="宋体" w:cs="宋体"/>
        </w:rPr>
        <w:t>万元的违约金。同时不免除承包人自费整改的责任以及其他应负的责任。</w:t>
      </w:r>
    </w:p>
    <w:p>
      <w:pPr>
        <w:adjustRightInd w:val="0"/>
        <w:snapToGrid w:val="0"/>
        <w:spacing w:line="360" w:lineRule="auto"/>
        <w:rPr>
          <w:rFonts w:ascii="宋体"/>
          <w:b/>
          <w:bCs/>
          <w:snapToGrid w:val="0"/>
          <w:kern w:val="0"/>
        </w:rPr>
      </w:pPr>
      <w:r>
        <w:rPr>
          <w:rFonts w:hint="eastAsia" w:ascii="宋体" w:hAnsi="宋体" w:cs="宋体"/>
          <w:b/>
          <w:bCs/>
          <w:snapToGrid w:val="0"/>
          <w:kern w:val="0"/>
        </w:rPr>
        <w:t>第</w:t>
      </w:r>
      <w:r>
        <w:rPr>
          <w:rFonts w:ascii="宋体" w:hAnsi="宋体" w:cs="宋体"/>
          <w:b/>
          <w:bCs/>
          <w:snapToGrid w:val="0"/>
          <w:kern w:val="0"/>
        </w:rPr>
        <w:t>6</w:t>
      </w:r>
      <w:r>
        <w:rPr>
          <w:rFonts w:hint="eastAsia" w:ascii="宋体" w:hAnsi="宋体" w:cs="宋体"/>
          <w:b/>
          <w:bCs/>
          <w:snapToGrid w:val="0"/>
          <w:kern w:val="0"/>
        </w:rPr>
        <w:t xml:space="preserve">条 </w:t>
      </w:r>
      <w:r>
        <w:rPr>
          <w:rFonts w:hint="eastAsia" w:ascii="宋体" w:hAnsi="宋体" w:cs="宋体"/>
          <w:b/>
          <w:bCs/>
        </w:rPr>
        <w:t>通用合同条款第</w:t>
      </w:r>
      <w:r>
        <w:rPr>
          <w:rFonts w:ascii="宋体" w:hAnsi="宋体" w:cs="宋体"/>
          <w:b/>
          <w:bCs/>
        </w:rPr>
        <w:t>4.1.7</w:t>
      </w:r>
      <w:r>
        <w:rPr>
          <w:rFonts w:hint="eastAsia" w:ascii="宋体" w:hAnsi="宋体" w:cs="宋体"/>
          <w:b/>
          <w:bCs/>
        </w:rPr>
        <w:t>项细化为：</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凡是标段内与已建或者在建的铁路、公路、河流等有交叉或干扰的地段，承包人应在不干扰铁路、公路、河流正常运营的前提下合理安排施工组织计划，采取有效措施保证施工安全和文明施工，合理疏导现有交通流，并积极配合相关部门或单位的管理工作，自行负责办理工程施工的相关手续；凡是本标段与其他标段或在建工程有关联、影响的，承包人应做好与其他施工单位的协调工作；凡是合同地段地形复杂，路基需深挖高填、场地狭窄的地段，承包人应按照施工要求制订合理的施工组织计划；凡是标段内含有跨越铁路、公路、河流的桥梁工程，承包人应合理安排工期以尽可能避开汛期进行水中施工，确保汛期施工的安全和施工质量，施工地段应设置配套的施工和隔离设施，承包人应将其采取上述措施而可能发生的全部费用计入投标报价中（但永久征地、拆迁、拆改除外），发包人将不另行支付。承包人应服从交管、铁路、路政、水利、土地等相关管理部门的管理，并由承包人自行办理施工许可证等相关手续，其费用包含在投标标价中；如因承包人原因，造成河道阻塞或者影响铁路、公路正常安全运营等而给其它部门或个人造成的一切损失，或由上述原因造成本工程工期的拖延或施工费用的增加，均由承包人自行负责。</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在合同许可的范围内，实施和完成本合同工程及缺陷修复工程中的一切施工作业，原则上应不影响邻近建筑物、构造物的安全与正常使用，也不干扰群众的生产、生活和通行方便（难以避免的一定程度的干扰除外）。若因承包人未按相关操作规程、安全保护措施及发包人等的要求等原因而导致邻近房产和群众干扰的索赔、赔偿、诉讼费用及其他开支时，应由承包人承担一切责任及费用；若因正常施工需要，承包人已采取了充分的防护措施后仍造成上述情况引起的赔偿费用，由发包人承担。</w:t>
      </w:r>
    </w:p>
    <w:p>
      <w:pPr>
        <w:adjustRightInd w:val="0"/>
        <w:snapToGrid w:val="0"/>
        <w:spacing w:line="360" w:lineRule="auto"/>
        <w:ind w:firstLine="420"/>
        <w:rPr>
          <w:rFonts w:ascii="宋体" w:hAnsi="宋体"/>
          <w:snapToGrid w:val="0"/>
          <w:kern w:val="0"/>
          <w:szCs w:val="20"/>
        </w:rPr>
      </w:pPr>
      <w:r>
        <w:rPr>
          <w:rFonts w:hint="eastAsia" w:ascii="宋体" w:hAnsi="宋体"/>
          <w:snapToGrid w:val="0"/>
          <w:kern w:val="0"/>
          <w:szCs w:val="20"/>
        </w:rPr>
        <w:t>承包人必须严格执行天津市建委《关于建立施工现场文明施工公示牌的通知》及各级主管部门相关安全生产、文明施工相关安全管理条款的规定。施工过程中的各项环保措施费用，包括粉尘、扬尘、震动、噪声的污染、泥浆排放等补偿和赔偿费承包人在报价时已经予以考虑，发包人不再另行支付。</w:t>
      </w:r>
    </w:p>
    <w:p>
      <w:pPr>
        <w:adjustRightInd w:val="0"/>
        <w:snapToGrid w:val="0"/>
        <w:spacing w:line="360" w:lineRule="auto"/>
        <w:rPr>
          <w:rFonts w:ascii="宋体" w:hAnsi="宋体" w:cs="宋体"/>
          <w:b/>
          <w:bCs/>
        </w:rPr>
      </w:pPr>
      <w:r>
        <w:rPr>
          <w:rFonts w:hint="eastAsia" w:ascii="宋体" w:hAnsi="宋体" w:cs="宋体"/>
          <w:b/>
          <w:bCs/>
          <w:snapToGrid w:val="0"/>
          <w:kern w:val="0"/>
        </w:rPr>
        <w:t>第</w:t>
      </w:r>
      <w:r>
        <w:rPr>
          <w:rFonts w:ascii="宋体" w:hAnsi="宋体" w:cs="宋体"/>
          <w:b/>
          <w:bCs/>
          <w:snapToGrid w:val="0"/>
          <w:kern w:val="0"/>
        </w:rPr>
        <w:t>7</w:t>
      </w:r>
      <w:r>
        <w:rPr>
          <w:rFonts w:hint="eastAsia" w:ascii="宋体" w:hAnsi="宋体" w:cs="宋体"/>
          <w:b/>
          <w:bCs/>
          <w:snapToGrid w:val="0"/>
          <w:kern w:val="0"/>
        </w:rPr>
        <w:t xml:space="preserve">条 </w:t>
      </w:r>
      <w:r>
        <w:rPr>
          <w:rFonts w:hint="eastAsia" w:ascii="宋体" w:hAnsi="宋体" w:cs="宋体"/>
          <w:b/>
          <w:bCs/>
        </w:rPr>
        <w:t>公路工程专用合同条款第</w:t>
      </w:r>
      <w:r>
        <w:rPr>
          <w:rFonts w:ascii="宋体" w:hAnsi="宋体" w:cs="宋体"/>
          <w:b/>
          <w:bCs/>
        </w:rPr>
        <w:t>4.1.10</w:t>
      </w:r>
      <w:r>
        <w:rPr>
          <w:rFonts w:hint="eastAsia" w:ascii="宋体" w:hAnsi="宋体" w:cs="宋体"/>
          <w:b/>
          <w:bCs/>
        </w:rPr>
        <w:t>（6）目细化为：</w:t>
      </w:r>
    </w:p>
    <w:p>
      <w:pPr>
        <w:adjustRightInd w:val="0"/>
        <w:snapToGrid w:val="0"/>
        <w:spacing w:line="360" w:lineRule="auto"/>
        <w:rPr>
          <w:rFonts w:ascii="宋体"/>
          <w:snapToGrid w:val="0"/>
          <w:kern w:val="0"/>
        </w:rPr>
      </w:pPr>
      <w:r>
        <w:rPr>
          <w:rFonts w:hint="eastAsia" w:ascii="宋体" w:hAnsi="宋体" w:cs="宋体"/>
          <w:snapToGrid w:val="0"/>
          <w:kern w:val="0"/>
        </w:rPr>
        <w:t>（6）承包人应履行的其他义务：</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承包人应妥善处理好与其它工程承包人的关系，发生交叉施工时，应相互配合，友好协作，并服从发包人</w:t>
      </w:r>
      <w:r>
        <w:rPr>
          <w:rFonts w:ascii="宋体" w:hAnsi="宋体" w:cs="宋体"/>
          <w:snapToGrid w:val="0"/>
          <w:kern w:val="0"/>
        </w:rPr>
        <w:t>/</w:t>
      </w:r>
      <w:r>
        <w:rPr>
          <w:rFonts w:hint="eastAsia" w:ascii="宋体" w:hAnsi="宋体" w:cs="宋体"/>
          <w:snapToGrid w:val="0"/>
          <w:kern w:val="0"/>
        </w:rPr>
        <w:t>监理人统一协调。</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承包人应及时按监理人或发包人的要求报送各种计划、报表、整改报告、验收资料、变更等资料。如发包人或监理人要求承包人上报的上述文件、资料延误提交或发生严重错误，不论何种原因，将对承包人课以1</w:t>
      </w:r>
      <w:r>
        <w:rPr>
          <w:rFonts w:ascii="宋体" w:hAnsi="宋体" w:cs="宋体"/>
          <w:snapToGrid w:val="0"/>
          <w:kern w:val="0"/>
        </w:rPr>
        <w:t>000</w:t>
      </w:r>
      <w:r>
        <w:rPr>
          <w:rFonts w:hint="eastAsia" w:ascii="宋体" w:hAnsi="宋体" w:cs="宋体"/>
          <w:snapToGrid w:val="0"/>
          <w:kern w:val="0"/>
        </w:rPr>
        <w:t>元</w:t>
      </w:r>
      <w:r>
        <w:rPr>
          <w:rFonts w:ascii="宋体" w:hAnsi="宋体" w:cs="宋体"/>
          <w:snapToGrid w:val="0"/>
          <w:kern w:val="0"/>
        </w:rPr>
        <w:t>/</w:t>
      </w:r>
      <w:r>
        <w:rPr>
          <w:rFonts w:hint="eastAsia" w:ascii="宋体" w:hAnsi="宋体" w:cs="宋体"/>
          <w:snapToGrid w:val="0"/>
          <w:kern w:val="0"/>
        </w:rPr>
        <w:t>次的违约金。监理人或发包人可能需要增加承包人送交材料的份数和提前或延长递交的时间，承包人需满足此类要求，并不以此为增加费用的理由。若承包人拒不配合，视同承包人违约，将对承包人课以1</w:t>
      </w:r>
      <w:r>
        <w:rPr>
          <w:rFonts w:ascii="宋体" w:hAnsi="宋体" w:cs="宋体"/>
          <w:snapToGrid w:val="0"/>
          <w:kern w:val="0"/>
        </w:rPr>
        <w:t>000</w:t>
      </w:r>
      <w:r>
        <w:rPr>
          <w:rFonts w:hint="eastAsia" w:ascii="宋体" w:hAnsi="宋体" w:cs="宋体"/>
          <w:snapToGrid w:val="0"/>
          <w:kern w:val="0"/>
        </w:rPr>
        <w:t>元</w:t>
      </w:r>
      <w:r>
        <w:rPr>
          <w:rFonts w:ascii="宋体" w:hAnsi="宋体" w:cs="宋体"/>
          <w:snapToGrid w:val="0"/>
          <w:kern w:val="0"/>
        </w:rPr>
        <w:t>/</w:t>
      </w:r>
      <w:r>
        <w:rPr>
          <w:rFonts w:hint="eastAsia" w:ascii="宋体" w:hAnsi="宋体" w:cs="宋体"/>
          <w:snapToGrid w:val="0"/>
          <w:kern w:val="0"/>
        </w:rPr>
        <w:t>次的违约金。</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因工程项目施工及缺陷修复所产生的任何纠纷（包括但不限于工程施工、债权、债务、侵权、人身伤害等）都不应涉及发包人，如因此导致发包人被诉讼，承包人须无条件代表发包人应诉并承担因该等诉讼或仲裁所发生的全部费用（包括但不限于诉讼费或仲裁费、诉讼保全费、保险费、鉴定费、评估费及律师费等）款项给付及损失赔偿责任。如发包人认为有必要亲自参加诉讼，发包人因此产生的前述全部费用、款项给付及损失赔偿，承包人须无条件全部承担。</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该工程应按发包人的要求，作好文明施工的相关工作，承包人投入相应文明施工费，并综合考虑、实施保证文明施工的具体措施。</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承包人应配合发包人和监理人组织的工程竣工验收工作安排。如检测结果出现不满足设计和规范要求，质监部门要求复检的，因此产生的一切整改和复检费用由承包人承担。</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工程实施末期，承包人对所在合同段收尾的问题（如农民工工资、零星扫尾工程、临时设施的拆除及完工机械设备的撤场、影响沿线群众生产生活等），应积极主动的进行处理和解决，并承担所有费用。若承包人在发包人规定的期限内不能妥善处理上述问题，根据监理人对上述问题的处理意见，发包人有权委托其他单位进行处理，发生的费用由发包人从保留金或应支付给承包人的任意一款项中扣回，同时发包人有权要求承包人弥补发包人因此产生的损失，并报上级管理部门按信用考核管理办法有关规定处理。</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涉及承包商的各项备案手续费用均由承包人承担，发包人不另行支付。</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在工程实施过程中国家、天津市或发包人主管部门若有新标准推行，若发包人要求按新标准执行，承包商应无条件服从。承包人驻地建设必须具备宽带上网条件，承包人必须提供天津市建筑安装行业专用有效发票，承包人应建立必要并有效实施的制度、规章、措施等。本工程的质量目标需在投标文件中作出承诺，并有达到该质量目标的具体措施，此项费用在投标报价中考虑，发包人不再另行支付。</w:t>
      </w:r>
    </w:p>
    <w:p>
      <w:pPr>
        <w:adjustRightInd w:val="0"/>
        <w:snapToGrid w:val="0"/>
        <w:spacing w:line="360" w:lineRule="auto"/>
        <w:ind w:firstLine="420" w:firstLineChars="200"/>
        <w:rPr>
          <w:rFonts w:ascii="宋体" w:hAnsi="宋体"/>
          <w:snapToGrid w:val="0"/>
          <w:kern w:val="0"/>
          <w:szCs w:val="20"/>
        </w:rPr>
      </w:pPr>
      <w:r>
        <w:rPr>
          <w:rFonts w:hint="eastAsia" w:ascii="宋体" w:hAnsi="宋体"/>
          <w:snapToGrid w:val="0"/>
          <w:kern w:val="0"/>
          <w:szCs w:val="20"/>
        </w:rPr>
        <w:t>承包人应建立必要并有效实施的制度、规章、措施等。本工程的质量目标：竣工验收评定合格。需在投标文件中作出承诺，并有达到该质量目标的具体措施，此项费用在投标报价中已经予以考虑，发包人不再另行支付。</w:t>
      </w:r>
    </w:p>
    <w:p>
      <w:pPr>
        <w:adjustRightInd w:val="0"/>
        <w:snapToGrid w:val="0"/>
        <w:spacing w:line="360" w:lineRule="auto"/>
        <w:ind w:firstLine="420" w:firstLineChars="200"/>
        <w:rPr>
          <w:rFonts w:ascii="宋体" w:hAnsi="宋体"/>
          <w:snapToGrid w:val="0"/>
          <w:kern w:val="0"/>
          <w:szCs w:val="20"/>
        </w:rPr>
      </w:pPr>
      <w:r>
        <w:rPr>
          <w:rFonts w:hint="eastAsia" w:ascii="宋体" w:hAnsi="宋体"/>
          <w:snapToGrid w:val="0"/>
          <w:kern w:val="0"/>
          <w:szCs w:val="20"/>
        </w:rPr>
        <w:t>承包人应服从发包人和监理工程师的监督和管理。</w:t>
      </w:r>
    </w:p>
    <w:p>
      <w:pPr>
        <w:adjustRightInd w:val="0"/>
        <w:snapToGrid w:val="0"/>
        <w:spacing w:line="360" w:lineRule="auto"/>
        <w:ind w:firstLine="420" w:firstLineChars="200"/>
        <w:rPr>
          <w:rFonts w:hint="eastAsia" w:ascii="宋体" w:hAnsi="宋体"/>
          <w:snapToGrid w:val="0"/>
          <w:kern w:val="0"/>
          <w:szCs w:val="20"/>
        </w:rPr>
      </w:pPr>
      <w:r>
        <w:rPr>
          <w:rFonts w:hint="eastAsia" w:ascii="宋体" w:hAnsi="宋体"/>
          <w:snapToGrid w:val="0"/>
          <w:kern w:val="0"/>
          <w:szCs w:val="20"/>
        </w:rPr>
        <w:t>承包人在开工以前，向监理工程师提供一套投标文件副本或复印件。</w:t>
      </w:r>
    </w:p>
    <w:p>
      <w:pPr>
        <w:adjustRightInd w:val="0"/>
        <w:snapToGrid w:val="0"/>
        <w:spacing w:line="360" w:lineRule="auto"/>
        <w:ind w:firstLine="420" w:firstLineChars="200"/>
        <w:rPr>
          <w:rFonts w:hint="eastAsia" w:ascii="宋体" w:hAnsi="宋体"/>
          <w:snapToGrid w:val="0"/>
          <w:kern w:val="0"/>
          <w:szCs w:val="20"/>
        </w:rPr>
      </w:pPr>
      <w:r>
        <w:rPr>
          <w:rFonts w:hint="eastAsia" w:ascii="宋体" w:hAnsi="宋体"/>
          <w:snapToGrid w:val="0"/>
          <w:kern w:val="0"/>
          <w:szCs w:val="20"/>
        </w:rPr>
        <w:t>为满足发包人需求，承包人应选取具备沥青拌和设备远程配合比监控系统的沥青拌合站，相关数据和管理应满足发包人的使用要求，且数据应可查询、可追溯。该系统相关费用已包含在综合报价中，发包人不再单独支付。在沥青拌合站使用前需经监理工程师及发包人认可。</w:t>
      </w:r>
    </w:p>
    <w:p>
      <w:pPr>
        <w:adjustRightInd w:val="0"/>
        <w:snapToGrid w:val="0"/>
        <w:spacing w:line="360" w:lineRule="auto"/>
        <w:rPr>
          <w:rFonts w:ascii="宋体" w:hAnsi="宋体"/>
          <w:b/>
          <w:bCs/>
          <w:snapToGrid w:val="0"/>
          <w:kern w:val="0"/>
          <w:szCs w:val="20"/>
        </w:rPr>
      </w:pPr>
      <w:r>
        <w:rPr>
          <w:rFonts w:hint="eastAsia" w:ascii="宋体" w:hAnsi="宋体"/>
          <w:b/>
          <w:bCs/>
          <w:snapToGrid w:val="0"/>
          <w:kern w:val="0"/>
          <w:szCs w:val="20"/>
        </w:rPr>
        <w:t>第</w:t>
      </w:r>
      <w:r>
        <w:rPr>
          <w:rFonts w:ascii="宋体" w:hAnsi="宋体"/>
          <w:b/>
          <w:bCs/>
          <w:snapToGrid w:val="0"/>
          <w:kern w:val="0"/>
          <w:szCs w:val="20"/>
        </w:rPr>
        <w:t>8</w:t>
      </w:r>
      <w:r>
        <w:rPr>
          <w:rFonts w:hint="eastAsia" w:ascii="宋体" w:hAnsi="宋体"/>
          <w:b/>
          <w:bCs/>
          <w:snapToGrid w:val="0"/>
          <w:kern w:val="0"/>
          <w:szCs w:val="20"/>
        </w:rPr>
        <w:t xml:space="preserve">条 </w:t>
      </w:r>
      <w:r>
        <w:rPr>
          <w:rFonts w:hint="eastAsia" w:ascii="宋体" w:hAnsi="宋体" w:cs="宋体"/>
          <w:b/>
          <w:bCs/>
          <w:szCs w:val="20"/>
        </w:rPr>
        <w:t>公路工程专用</w:t>
      </w:r>
      <w:r>
        <w:rPr>
          <w:rFonts w:hint="eastAsia" w:ascii="宋体" w:hAnsi="宋体"/>
          <w:b/>
          <w:bCs/>
          <w:snapToGrid w:val="0"/>
          <w:kern w:val="0"/>
          <w:szCs w:val="20"/>
        </w:rPr>
        <w:t>合同条款补充第</w:t>
      </w:r>
      <w:r>
        <w:rPr>
          <w:rFonts w:ascii="宋体" w:hAnsi="宋体"/>
          <w:b/>
          <w:bCs/>
          <w:snapToGrid w:val="0"/>
          <w:kern w:val="0"/>
          <w:szCs w:val="20"/>
        </w:rPr>
        <w:t>4.1.10</w:t>
      </w:r>
      <w:r>
        <w:rPr>
          <w:rFonts w:hint="eastAsia" w:ascii="宋体" w:hAnsi="宋体"/>
          <w:b/>
          <w:bCs/>
          <w:snapToGrid w:val="0"/>
          <w:kern w:val="0"/>
          <w:szCs w:val="20"/>
        </w:rPr>
        <w:t>（7）目和</w:t>
      </w:r>
      <w:r>
        <w:rPr>
          <w:rFonts w:ascii="宋体" w:hAnsi="宋体"/>
          <w:b/>
          <w:bCs/>
          <w:snapToGrid w:val="0"/>
          <w:kern w:val="0"/>
          <w:szCs w:val="20"/>
        </w:rPr>
        <w:t>4.1.10</w:t>
      </w:r>
      <w:r>
        <w:rPr>
          <w:rFonts w:hint="eastAsia" w:ascii="宋体" w:hAnsi="宋体"/>
          <w:b/>
          <w:bCs/>
          <w:snapToGrid w:val="0"/>
          <w:kern w:val="0"/>
          <w:szCs w:val="20"/>
        </w:rPr>
        <w:t>（8）目：</w:t>
      </w:r>
    </w:p>
    <w:p>
      <w:pPr>
        <w:autoSpaceDE w:val="0"/>
        <w:autoSpaceDN w:val="0"/>
        <w:adjustRightInd w:val="0"/>
        <w:snapToGrid w:val="0"/>
        <w:spacing w:line="360" w:lineRule="auto"/>
        <w:ind w:firstLine="420"/>
        <w:rPr>
          <w:rFonts w:ascii="宋体"/>
          <w:snapToGrid w:val="0"/>
          <w:kern w:val="0"/>
        </w:rPr>
      </w:pPr>
      <w:r>
        <w:rPr>
          <w:rFonts w:ascii="宋体" w:hAnsi="宋体" w:cs="宋体"/>
          <w:snapToGrid w:val="0"/>
          <w:kern w:val="0"/>
        </w:rPr>
        <w:t>4.1.10</w:t>
      </w:r>
      <w:r>
        <w:rPr>
          <w:rFonts w:hint="eastAsia" w:ascii="宋体" w:hAnsi="宋体" w:cs="宋体"/>
          <w:snapToGrid w:val="0"/>
          <w:kern w:val="0"/>
        </w:rPr>
        <w:t>（7）合同未尽事宜按工程实施过程中发包人制定的相关制度、办法执行。</w:t>
      </w:r>
    </w:p>
    <w:p>
      <w:pPr>
        <w:autoSpaceDE w:val="0"/>
        <w:autoSpaceDN w:val="0"/>
        <w:adjustRightInd w:val="0"/>
        <w:snapToGrid w:val="0"/>
        <w:spacing w:line="360" w:lineRule="auto"/>
        <w:ind w:firstLine="420"/>
        <w:rPr>
          <w:rFonts w:ascii="宋体" w:hAnsi="宋体" w:cs="宋体"/>
        </w:rPr>
      </w:pPr>
      <w:r>
        <w:rPr>
          <w:rFonts w:ascii="宋体" w:hAnsi="宋体" w:cs="宋体"/>
          <w:snapToGrid w:val="0"/>
          <w:kern w:val="0"/>
        </w:rPr>
        <w:t>4.1.10</w:t>
      </w:r>
      <w:r>
        <w:rPr>
          <w:rFonts w:hint="eastAsia" w:ascii="宋体" w:hAnsi="宋体" w:cs="宋体"/>
          <w:snapToGrid w:val="0"/>
          <w:kern w:val="0"/>
        </w:rPr>
        <w:t>（8）</w:t>
      </w:r>
      <w:r>
        <w:rPr>
          <w:rFonts w:hint="eastAsia" w:ascii="宋体" w:hAnsi="宋体" w:cs="宋体"/>
        </w:rPr>
        <w:t>本工程需申报国家或地方质量评优，承包人无条件配合发包人申报并不提出任何增加费用的要求。</w:t>
      </w:r>
    </w:p>
    <w:p>
      <w:pPr>
        <w:pStyle w:val="9"/>
        <w:adjustRightInd w:val="0"/>
        <w:snapToGrid w:val="0"/>
        <w:spacing w:line="360" w:lineRule="auto"/>
        <w:rPr>
          <w:rFonts w:hAnsi="宋体"/>
          <w:b/>
          <w:bCs/>
        </w:rPr>
      </w:pPr>
      <w:r>
        <w:rPr>
          <w:rFonts w:hint="eastAsia" w:hAnsi="宋体"/>
          <w:b/>
          <w:bCs/>
          <w:snapToGrid w:val="0"/>
          <w:kern w:val="0"/>
        </w:rPr>
        <w:t xml:space="preserve">第9条 </w:t>
      </w:r>
      <w:r>
        <w:rPr>
          <w:rFonts w:hint="eastAsia" w:hAnsi="宋体" w:cs="宋体"/>
          <w:b/>
          <w:bCs/>
        </w:rPr>
        <w:t>公路工程专用</w:t>
      </w:r>
      <w:r>
        <w:rPr>
          <w:rFonts w:hint="eastAsia" w:hAnsi="宋体"/>
          <w:b/>
          <w:bCs/>
        </w:rPr>
        <w:t>合同条款第</w:t>
      </w:r>
      <w:r>
        <w:rPr>
          <w:rFonts w:hAnsi="宋体"/>
          <w:b/>
          <w:bCs/>
        </w:rPr>
        <w:t>4.</w:t>
      </w:r>
      <w:r>
        <w:rPr>
          <w:rFonts w:hint="eastAsia" w:hAnsi="宋体"/>
          <w:b/>
          <w:bCs/>
        </w:rPr>
        <w:t>3款补充：</w:t>
      </w:r>
    </w:p>
    <w:p>
      <w:pPr>
        <w:pStyle w:val="9"/>
        <w:adjustRightInd w:val="0"/>
        <w:snapToGrid w:val="0"/>
        <w:spacing w:line="360" w:lineRule="auto"/>
        <w:ind w:firstLine="420" w:firstLineChars="200"/>
        <w:rPr>
          <w:rFonts w:hAnsi="宋体" w:cs="宋体"/>
          <w:snapToGrid w:val="0"/>
          <w:kern w:val="0"/>
          <w:szCs w:val="24"/>
        </w:rPr>
      </w:pPr>
      <w:r>
        <w:rPr>
          <w:rFonts w:hint="eastAsia" w:hAnsi="宋体"/>
        </w:rPr>
        <w:t>4.3.2</w:t>
      </w:r>
      <w:r>
        <w:rPr>
          <w:rFonts w:hint="eastAsia" w:hAnsi="宋体" w:cs="宋体"/>
          <w:snapToGrid w:val="0"/>
          <w:kern w:val="0"/>
          <w:szCs w:val="24"/>
        </w:rPr>
        <w:t>修改为：本工程不允许专业分包。</w:t>
      </w:r>
    </w:p>
    <w:p>
      <w:pPr>
        <w:pStyle w:val="9"/>
        <w:adjustRightInd w:val="0"/>
        <w:snapToGrid w:val="0"/>
        <w:spacing w:line="360" w:lineRule="auto"/>
        <w:ind w:firstLine="420" w:firstLineChars="200"/>
        <w:rPr>
          <w:rFonts w:hAnsi="宋体" w:cs="宋体"/>
          <w:snapToGrid w:val="0"/>
          <w:kern w:val="0"/>
          <w:szCs w:val="24"/>
        </w:rPr>
      </w:pPr>
      <w:r>
        <w:rPr>
          <w:rFonts w:hint="eastAsia" w:hAnsi="宋体" w:cs="宋体"/>
          <w:snapToGrid w:val="0"/>
          <w:kern w:val="0"/>
          <w:szCs w:val="24"/>
        </w:rPr>
        <w:t>删除4.3.3款</w:t>
      </w:r>
      <w:r>
        <w:rPr>
          <w:rFonts w:hAnsi="宋体" w:cs="宋体"/>
          <w:snapToGrid w:val="0"/>
          <w:kern w:val="0"/>
          <w:szCs w:val="24"/>
        </w:rPr>
        <w:t xml:space="preserve"> </w:t>
      </w:r>
      <w:r>
        <w:rPr>
          <w:rFonts w:hint="eastAsia" w:hAnsi="宋体" w:cs="宋体"/>
          <w:snapToGrid w:val="0"/>
          <w:kern w:val="0"/>
          <w:szCs w:val="24"/>
        </w:rPr>
        <w:t>。</w:t>
      </w:r>
    </w:p>
    <w:p>
      <w:pPr>
        <w:spacing w:line="360" w:lineRule="auto"/>
        <w:ind w:firstLine="420" w:firstLineChars="200"/>
        <w:rPr>
          <w:rFonts w:ascii="宋体" w:hAnsi="宋体"/>
          <w:bCs/>
        </w:rPr>
      </w:pPr>
      <w:r>
        <w:rPr>
          <w:rFonts w:hint="eastAsia" w:ascii="宋体" w:hAnsi="宋体"/>
          <w:bCs/>
        </w:rPr>
        <w:t>4.3.4修改为：劳务分包</w:t>
      </w:r>
    </w:p>
    <w:p>
      <w:pPr>
        <w:spacing w:line="360" w:lineRule="auto"/>
        <w:ind w:firstLine="420" w:firstLineChars="200"/>
        <w:rPr>
          <w:rFonts w:ascii="宋体" w:hAnsi="宋体"/>
        </w:rPr>
      </w:pPr>
      <w:r>
        <w:rPr>
          <w:rFonts w:hint="eastAsia" w:ascii="宋体" w:hAnsi="宋体"/>
        </w:rPr>
        <w:t>在工程施工过程中，承包人进行劳务分包必须遵守以下规定：</w:t>
      </w:r>
    </w:p>
    <w:p>
      <w:pPr>
        <w:spacing w:line="360" w:lineRule="auto"/>
        <w:ind w:firstLine="420" w:firstLineChars="200"/>
        <w:rPr>
          <w:rFonts w:ascii="宋体" w:hAnsi="宋体"/>
        </w:rPr>
      </w:pPr>
      <w:r>
        <w:rPr>
          <w:rFonts w:hint="eastAsia" w:ascii="宋体" w:hAnsi="宋体"/>
        </w:rPr>
        <w:t>（1）由承包人提出劳务分包的书面申请，经监理人书面同意后方</w:t>
      </w:r>
      <w:r>
        <w:rPr>
          <w:rFonts w:hint="eastAsia" w:hAnsi="宋体" w:cs="宋体"/>
          <w:snapToGrid w:val="0"/>
          <w:kern w:val="0"/>
        </w:rPr>
        <w:t>可进行分包。</w:t>
      </w:r>
    </w:p>
    <w:p>
      <w:pPr>
        <w:spacing w:line="360" w:lineRule="auto"/>
        <w:ind w:firstLine="420" w:firstLineChars="200"/>
        <w:rPr>
          <w:rFonts w:ascii="宋体" w:hAnsi="宋体"/>
        </w:rPr>
      </w:pPr>
      <w:r>
        <w:rPr>
          <w:rFonts w:hint="eastAsia" w:ascii="宋体" w:hAnsi="宋体"/>
        </w:rPr>
        <w:t>（2）劳务分包人应具有劳务分包资质。</w:t>
      </w:r>
    </w:p>
    <w:p>
      <w:pPr>
        <w:spacing w:line="360" w:lineRule="auto"/>
        <w:ind w:firstLine="420" w:firstLineChars="200"/>
        <w:rPr>
          <w:rFonts w:ascii="宋体" w:hAnsi="宋体"/>
        </w:rPr>
      </w:pPr>
      <w:r>
        <w:rPr>
          <w:rFonts w:hint="eastAsia" w:ascii="宋体" w:hAnsi="宋体"/>
        </w:rPr>
        <w:t>（3）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监理人提交劳务分包合同副本并报</w:t>
      </w:r>
      <w:r>
        <w:rPr>
          <w:rFonts w:hint="eastAsia" w:hAnsi="宋体" w:cs="宋体"/>
          <w:snapToGrid w:val="0"/>
          <w:kern w:val="0"/>
        </w:rPr>
        <w:t>发包人备</w:t>
      </w:r>
      <w:r>
        <w:rPr>
          <w:rFonts w:hint="eastAsia" w:ascii="宋体" w:hAnsi="宋体"/>
        </w:rPr>
        <w:t>案。</w:t>
      </w:r>
    </w:p>
    <w:p>
      <w:pPr>
        <w:spacing w:line="360" w:lineRule="auto"/>
        <w:ind w:firstLine="420" w:firstLineChars="200"/>
        <w:rPr>
          <w:rFonts w:ascii="宋体" w:hAnsi="宋体"/>
        </w:rPr>
      </w:pPr>
      <w:r>
        <w:rPr>
          <w:rFonts w:hint="eastAsia" w:ascii="宋体" w:hAnsi="宋体"/>
        </w:rPr>
        <w:t>（4）承包人雇用的劳务作业应加入到承包人的施工班组统一管理。有关施工质量、施工安全、施工进度、环境保护、技术方案、试验检测、材料保管与供应、机械设备等都必须由承包人管理与调配，不得以包代管。</w:t>
      </w:r>
    </w:p>
    <w:p>
      <w:pPr>
        <w:spacing w:line="360" w:lineRule="auto"/>
        <w:ind w:firstLine="420" w:firstLineChars="200"/>
        <w:rPr>
          <w:rFonts w:ascii="宋体" w:hAnsi="宋体"/>
        </w:rPr>
      </w:pPr>
      <w:r>
        <w:rPr>
          <w:rFonts w:hint="eastAsia" w:ascii="宋体" w:hAnsi="宋体"/>
        </w:rPr>
        <w:t>（5）承包人应当对劳务分包人员进行安全培训和管理，劳务分包人不得将其分包的劳务作业再次分包。</w:t>
      </w:r>
    </w:p>
    <w:p>
      <w:pPr>
        <w:spacing w:line="360" w:lineRule="auto"/>
        <w:ind w:firstLine="420" w:firstLineChars="200"/>
        <w:rPr>
          <w:rFonts w:ascii="宋体" w:hAnsi="宋体"/>
        </w:rPr>
      </w:pPr>
      <w:r>
        <w:rPr>
          <w:rFonts w:hint="eastAsia" w:ascii="宋体" w:hAnsi="宋体"/>
        </w:rPr>
        <w:t>违反上述规定之一者属违规分包。</w:t>
      </w:r>
    </w:p>
    <w:p>
      <w:pPr>
        <w:adjustRightInd w:val="0"/>
        <w:snapToGrid w:val="0"/>
        <w:spacing w:line="360" w:lineRule="auto"/>
        <w:rPr>
          <w:rFonts w:ascii="宋体" w:hAnsi="宋体"/>
          <w:b/>
          <w:bCs/>
          <w:snapToGrid w:val="0"/>
          <w:kern w:val="0"/>
          <w:szCs w:val="20"/>
        </w:rPr>
      </w:pPr>
      <w:r>
        <w:rPr>
          <w:rFonts w:hint="eastAsia" w:ascii="宋体" w:hAnsi="宋体"/>
          <w:b/>
          <w:bCs/>
          <w:snapToGrid w:val="0"/>
          <w:kern w:val="0"/>
          <w:szCs w:val="20"/>
        </w:rPr>
        <w:t xml:space="preserve">第10条 </w:t>
      </w:r>
      <w:r>
        <w:rPr>
          <w:rFonts w:hint="eastAsia" w:ascii="宋体" w:hAnsi="宋体" w:cs="宋体"/>
          <w:b/>
          <w:bCs/>
          <w:szCs w:val="20"/>
        </w:rPr>
        <w:t>公路工程专用</w:t>
      </w:r>
      <w:r>
        <w:rPr>
          <w:rFonts w:hint="eastAsia" w:ascii="宋体" w:hAnsi="宋体"/>
          <w:b/>
          <w:bCs/>
          <w:szCs w:val="20"/>
        </w:rPr>
        <w:t>合同条款第</w:t>
      </w:r>
      <w:r>
        <w:rPr>
          <w:rFonts w:ascii="宋体" w:hAnsi="宋体"/>
          <w:b/>
          <w:bCs/>
          <w:szCs w:val="20"/>
        </w:rPr>
        <w:t>4.7</w:t>
      </w:r>
      <w:r>
        <w:rPr>
          <w:rFonts w:hint="eastAsia" w:ascii="宋体" w:hAnsi="宋体"/>
          <w:b/>
          <w:bCs/>
          <w:szCs w:val="20"/>
        </w:rPr>
        <w:t>款补充：</w:t>
      </w:r>
    </w:p>
    <w:p>
      <w:pPr>
        <w:autoSpaceDE w:val="0"/>
        <w:autoSpaceDN w:val="0"/>
        <w:adjustRightInd w:val="0"/>
        <w:snapToGrid w:val="0"/>
        <w:spacing w:line="360" w:lineRule="auto"/>
        <w:ind w:firstLine="420"/>
        <w:rPr>
          <w:rFonts w:ascii="宋体" w:hAnsi="宋体" w:cs="宋体"/>
          <w:snapToGrid w:val="0"/>
          <w:kern w:val="0"/>
        </w:rPr>
      </w:pPr>
      <w:r>
        <w:rPr>
          <w:rFonts w:hint="eastAsia" w:ascii="宋体" w:hAnsi="宋体" w:cs="宋体"/>
          <w:snapToGrid w:val="0"/>
          <w:kern w:val="0"/>
        </w:rPr>
        <w:t>无论是承包人主动撤换其项目经理和其他人员还是监理人要求撤换不能胜任本职工作、行为不端或玩忽职守的承包人项目经理和其他人员的，都视为承包人违约，发包人有权要求承包人更换该人员并对承包人课以违约金。如果发包人和监理人认为承包人委派的项目经理和其他人员在工作能力和业务水平上不称职，且通知承包人撤换时，承包人应在接到通知后</w:t>
      </w:r>
      <w:r>
        <w:rPr>
          <w:rFonts w:ascii="宋体" w:hAnsi="宋体" w:cs="宋体"/>
          <w:snapToGrid w:val="0"/>
          <w:kern w:val="0"/>
        </w:rPr>
        <w:t>14</w:t>
      </w:r>
      <w:r>
        <w:rPr>
          <w:rFonts w:hint="eastAsia" w:ascii="宋体" w:hAnsi="宋体" w:cs="宋体"/>
          <w:snapToGrid w:val="0"/>
          <w:kern w:val="0"/>
        </w:rPr>
        <w:t>天内撤回该人员，同时委派一名同等资历并经监理人和发包人同意的新的人员担任，撤回并重新委派期间不得有职位空。</w:t>
      </w:r>
    </w:p>
    <w:p>
      <w:pPr>
        <w:autoSpaceDE w:val="0"/>
        <w:autoSpaceDN w:val="0"/>
        <w:adjustRightInd w:val="0"/>
        <w:snapToGrid w:val="0"/>
        <w:spacing w:line="360" w:lineRule="auto"/>
        <w:ind w:firstLine="420"/>
        <w:rPr>
          <w:rFonts w:hint="eastAsia" w:ascii="宋体" w:hAnsi="宋体" w:cs="宋体"/>
          <w:snapToGrid w:val="0"/>
          <w:kern w:val="0"/>
        </w:rPr>
      </w:pPr>
      <w:r>
        <w:rPr>
          <w:rFonts w:hint="eastAsia" w:ascii="宋体" w:hAnsi="宋体" w:cs="宋体"/>
          <w:snapToGrid w:val="0"/>
          <w:kern w:val="0"/>
        </w:rPr>
        <w:t>在全部工程实施过程中，承包人的项目经理和其他人员严禁在另一项目兼职，同时必须保证每月至少有</w:t>
      </w:r>
      <w:r>
        <w:rPr>
          <w:rFonts w:ascii="宋体" w:hAnsi="宋体" w:cs="宋体"/>
          <w:snapToGrid w:val="0"/>
          <w:kern w:val="0"/>
        </w:rPr>
        <w:t>21</w:t>
      </w:r>
      <w:r>
        <w:rPr>
          <w:rFonts w:hint="eastAsia" w:ascii="宋体" w:hAnsi="宋体" w:cs="宋体"/>
          <w:snapToGrid w:val="0"/>
          <w:kern w:val="0"/>
        </w:rPr>
        <w:t>天在施工现场。否则视为承包人违约，发包人可对承包人兼职项目经理课以每项目人民币20万元的违约金，兼职项目总工课以每项目人民币10万元的违约金，兼职其他管理人员课以每项目人民币5万元的违约金，若多个项目兼职则累计处罚，直至终止合同。</w:t>
      </w:r>
    </w:p>
    <w:p>
      <w:pPr>
        <w:autoSpaceDE w:val="0"/>
        <w:autoSpaceDN w:val="0"/>
        <w:adjustRightInd w:val="0"/>
        <w:snapToGrid w:val="0"/>
        <w:spacing w:line="360" w:lineRule="auto"/>
        <w:ind w:firstLine="420"/>
        <w:rPr>
          <w:rFonts w:ascii="宋体" w:hAnsi="宋体" w:cs="宋体"/>
          <w:snapToGrid w:val="0"/>
          <w:kern w:val="0"/>
        </w:rPr>
      </w:pPr>
      <w:r>
        <w:rPr>
          <w:rFonts w:hint="eastAsia" w:ascii="宋体" w:hAnsi="宋体" w:cs="宋体"/>
          <w:snapToGrid w:val="0"/>
          <w:kern w:val="0"/>
        </w:rPr>
        <w:t>在全部工程实施过程中，承包人的项目经理、项目总工和其他人员社保缴费证明应与中标单位一致，否则视为承包人违约，发包人可对承包人社保不一致的项目经理课以每项目人民币10万元的违约金，项目总工课以每项目人民币5万元的违约金，其他管理人员课以每项目人民币1万元的违约金，直至终止合同。</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的项目经理和项目总工不得同时外出，须保证一人在场。承包人的人员外出时间连续超过两天时，须向监理人书面请假，并经发包人同意后方可外出。未事先征得发包人、监理人书面批准，承包人项目经理及其他人员擅自外出的，视为承包人违约，发包人有权要求其马上返回现场或要求承包人更换项目经理和其他人员，并对承包人进行经济处罚。工程施工结束且竣工证书签发后，项目经理和其他人员方可在其他</w:t>
      </w:r>
      <w:r>
        <w:rPr>
          <w:rFonts w:hint="eastAsia" w:cs="宋体"/>
          <w:snapToGrid w:val="0"/>
          <w:kern w:val="0"/>
        </w:rPr>
        <w:t>工程中</w:t>
      </w:r>
      <w:r>
        <w:rPr>
          <w:rFonts w:hint="eastAsia" w:ascii="宋体" w:hAnsi="宋体" w:cs="宋体"/>
          <w:snapToGrid w:val="0"/>
          <w:kern w:val="0"/>
        </w:rPr>
        <w:t>任职，但在合同结束前项目经理和其他人员应随时响应发包人和监理人的要求到位，否则将视为承包人违约，对承包人课以违约金。</w:t>
      </w:r>
    </w:p>
    <w:p>
      <w:pPr>
        <w:autoSpaceDE w:val="0"/>
        <w:autoSpaceDN w:val="0"/>
        <w:adjustRightInd w:val="0"/>
        <w:snapToGrid w:val="0"/>
        <w:spacing w:line="360" w:lineRule="auto"/>
        <w:ind w:firstLine="420"/>
        <w:rPr>
          <w:rFonts w:ascii="宋体"/>
          <w:snapToGrid w:val="0"/>
          <w:kern w:val="0"/>
        </w:rPr>
      </w:pPr>
      <w:r>
        <w:rPr>
          <w:rFonts w:hint="eastAsia" w:ascii="宋体" w:hAnsi="宋体" w:cs="宋体"/>
          <w:snapToGrid w:val="0"/>
          <w:kern w:val="0"/>
        </w:rPr>
        <w:t>承包人派驻现场的管理、技术及质检人员应备有相应的职称、资质等证书，发包人有权进行检查。若发包人或监理人认为承包人派驻现场的管理、技术或质检人员的资质或数量不能满足工程进度和安全质量要求时，应由监理人向承包人发出替换或增加相关人员的指令，承包人在接到指令后</w:t>
      </w:r>
      <w:r>
        <w:rPr>
          <w:rFonts w:ascii="宋体" w:hAnsi="宋体" w:cs="宋体"/>
          <w:snapToGrid w:val="0"/>
          <w:kern w:val="0"/>
        </w:rPr>
        <w:t>14</w:t>
      </w:r>
      <w:r>
        <w:rPr>
          <w:rFonts w:hint="eastAsia" w:ascii="宋体" w:hAnsi="宋体" w:cs="宋体"/>
          <w:snapToGrid w:val="0"/>
          <w:kern w:val="0"/>
        </w:rPr>
        <w:t>天内，必须按指令要求调整到位。若承包人在接到指令</w:t>
      </w:r>
      <w:r>
        <w:rPr>
          <w:rFonts w:ascii="宋体" w:hAnsi="宋体" w:cs="宋体"/>
          <w:snapToGrid w:val="0"/>
          <w:kern w:val="0"/>
        </w:rPr>
        <w:t>14</w:t>
      </w:r>
      <w:r>
        <w:rPr>
          <w:rFonts w:hint="eastAsia" w:ascii="宋体" w:hAnsi="宋体" w:cs="宋体"/>
          <w:snapToGrid w:val="0"/>
          <w:kern w:val="0"/>
        </w:rPr>
        <w:t>天内未按要求执行，将对承包人课以违约金。发包人可对承包人更换项目经理课以每人次人民币</w:t>
      </w:r>
      <w:r>
        <w:rPr>
          <w:rFonts w:hint="eastAsia" w:ascii="宋体" w:hAnsi="宋体" w:cs="宋体"/>
          <w:snapToGrid w:val="0"/>
          <w:kern w:val="0"/>
          <w:lang w:val="en-US" w:eastAsia="zh-CN"/>
        </w:rPr>
        <w:t>1</w:t>
      </w:r>
      <w:r>
        <w:rPr>
          <w:rFonts w:hint="eastAsia" w:ascii="宋体" w:hAnsi="宋体" w:cs="宋体"/>
          <w:snapToGrid w:val="0"/>
          <w:kern w:val="0"/>
        </w:rPr>
        <w:t>0万元的违约金、更换项目技术负责人或专职安全员课以每人次人民币</w:t>
      </w:r>
      <w:r>
        <w:rPr>
          <w:rFonts w:hint="eastAsia" w:ascii="宋体" w:hAnsi="宋体" w:cs="宋体"/>
          <w:snapToGrid w:val="0"/>
          <w:kern w:val="0"/>
          <w:lang w:val="en-US" w:eastAsia="zh-CN"/>
        </w:rPr>
        <w:t>5</w:t>
      </w:r>
      <w:r>
        <w:rPr>
          <w:rFonts w:hint="eastAsia" w:ascii="宋体" w:hAnsi="宋体" w:cs="宋体"/>
          <w:snapToGrid w:val="0"/>
          <w:kern w:val="0"/>
        </w:rPr>
        <w:t>万元的违约金，更换其他主要管理人员课以每人次人民币2万元的违约金，直至终止合同。若未经允许擅自更换人员，将按对应数额双倍进行违约处罚。项目经理和项目技术负责人及其他管理人员擅自离岗或拒不到位的，发包人可对承包人课以</w:t>
      </w:r>
      <w:r>
        <w:rPr>
          <w:rFonts w:hint="eastAsia" w:ascii="宋体" w:hAnsi="宋体" w:cs="宋体"/>
          <w:snapToGrid w:val="0"/>
          <w:kern w:val="0"/>
          <w:lang w:val="en-US" w:eastAsia="zh-CN"/>
        </w:rPr>
        <w:t>1</w:t>
      </w:r>
      <w:r>
        <w:rPr>
          <w:rFonts w:ascii="宋体" w:hAnsi="宋体" w:cs="宋体"/>
          <w:snapToGrid w:val="0"/>
          <w:kern w:val="0"/>
        </w:rPr>
        <w:t>000</w:t>
      </w:r>
      <w:r>
        <w:rPr>
          <w:rFonts w:hint="eastAsia" w:ascii="宋体" w:hAnsi="宋体" w:cs="宋体"/>
          <w:snapToGrid w:val="0"/>
          <w:kern w:val="0"/>
        </w:rPr>
        <w:t>元／天·人的违约金。并由发包人将其违约行为上报省级交通运输管理部门，作为不良记录纳入天津市公路养护信用信息管理系统。</w:t>
      </w:r>
    </w:p>
    <w:p>
      <w:pPr>
        <w:autoSpaceDE w:val="0"/>
        <w:autoSpaceDN w:val="0"/>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hAnsi="宋体"/>
          <w:b/>
          <w:bCs/>
          <w:snapToGrid w:val="0"/>
          <w:kern w:val="0"/>
        </w:rPr>
        <w:t>11</w:t>
      </w:r>
      <w:r>
        <w:rPr>
          <w:rFonts w:hint="eastAsia" w:hAnsi="宋体" w:cs="宋体"/>
          <w:b/>
          <w:bCs/>
          <w:snapToGrid w:val="0"/>
          <w:kern w:val="0"/>
        </w:rPr>
        <w:t xml:space="preserve">条 </w:t>
      </w:r>
      <w:r>
        <w:rPr>
          <w:rFonts w:hint="eastAsia" w:ascii="宋体" w:hAnsi="宋体" w:cs="宋体"/>
          <w:b/>
          <w:bCs/>
          <w:snapToGrid w:val="0"/>
          <w:kern w:val="0"/>
        </w:rPr>
        <w:t>通用合同条款第</w:t>
      </w:r>
      <w:r>
        <w:rPr>
          <w:rFonts w:ascii="宋体" w:hAnsi="宋体" w:cs="宋体"/>
          <w:b/>
          <w:bCs/>
          <w:snapToGrid w:val="0"/>
          <w:kern w:val="0"/>
        </w:rPr>
        <w:t>4.8.1</w:t>
      </w:r>
      <w:r>
        <w:rPr>
          <w:rFonts w:hint="eastAsia" w:ascii="宋体" w:hAnsi="宋体" w:cs="宋体"/>
          <w:b/>
          <w:bCs/>
          <w:snapToGrid w:val="0"/>
          <w:kern w:val="0"/>
        </w:rPr>
        <w:t>项细化为：</w:t>
      </w:r>
    </w:p>
    <w:p>
      <w:pPr>
        <w:autoSpaceDE w:val="0"/>
        <w:autoSpaceDN w:val="0"/>
        <w:adjustRightInd w:val="0"/>
        <w:snapToGrid w:val="0"/>
        <w:spacing w:line="360" w:lineRule="auto"/>
        <w:ind w:firstLine="420"/>
        <w:rPr>
          <w:rFonts w:ascii="宋体" w:hAnsi="宋体" w:cs="宋体"/>
          <w:snapToGrid w:val="0"/>
          <w:kern w:val="0"/>
        </w:rPr>
      </w:pPr>
      <w:r>
        <w:rPr>
          <w:rFonts w:hint="eastAsia" w:ascii="宋体" w:hAnsi="宋体" w:cs="宋体"/>
          <w:snapToGrid w:val="0"/>
          <w:kern w:val="0"/>
        </w:rPr>
        <w:t>承包人应遵守国家劳动法及相关法律法规，并执行天津市有关规定，制定本项目农民工工资的支付管理办法，做好农民工工资的支付和发放工作。承包人要对农民工工资发放工作总负责，同时应指定专人具体负责，明确责任。农民工工资支付与管理工作按照《保障农民工工资支付条例》中华人民共和国国务院令第724号和市人力社保局等六部门《天津市工程建设领域农民工工资保证金实施办法》（津人社局发〔2022〕2号）执行。</w:t>
      </w:r>
    </w:p>
    <w:p>
      <w:pPr>
        <w:autoSpaceDE w:val="0"/>
        <w:autoSpaceDN w:val="0"/>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hAnsi="宋体"/>
          <w:b/>
          <w:bCs/>
          <w:snapToGrid w:val="0"/>
          <w:kern w:val="0"/>
        </w:rPr>
        <w:t>12</w:t>
      </w:r>
      <w:r>
        <w:rPr>
          <w:rFonts w:hint="eastAsia" w:hAnsi="宋体" w:cs="宋体"/>
          <w:b/>
          <w:bCs/>
          <w:snapToGrid w:val="0"/>
          <w:kern w:val="0"/>
        </w:rPr>
        <w:t xml:space="preserve">条 </w:t>
      </w:r>
      <w:r>
        <w:rPr>
          <w:rFonts w:hint="eastAsia" w:ascii="宋体" w:hAnsi="宋体" w:cs="宋体"/>
          <w:b/>
          <w:bCs/>
          <w:snapToGrid w:val="0"/>
          <w:kern w:val="0"/>
        </w:rPr>
        <w:t>通用合同条款第</w:t>
      </w:r>
      <w:r>
        <w:rPr>
          <w:rFonts w:ascii="宋体" w:hAnsi="宋体" w:cs="宋体"/>
          <w:b/>
          <w:bCs/>
          <w:snapToGrid w:val="0"/>
          <w:kern w:val="0"/>
        </w:rPr>
        <w:t>4.11.1</w:t>
      </w:r>
      <w:r>
        <w:rPr>
          <w:rFonts w:hint="eastAsia" w:ascii="宋体" w:hAnsi="宋体" w:cs="宋体"/>
          <w:b/>
          <w:bCs/>
          <w:snapToGrid w:val="0"/>
          <w:kern w:val="0"/>
        </w:rPr>
        <w:t>项做如下解释：</w:t>
      </w:r>
    </w:p>
    <w:p>
      <w:pPr>
        <w:adjustRightInd w:val="0"/>
        <w:snapToGrid w:val="0"/>
        <w:spacing w:line="360" w:lineRule="auto"/>
        <w:ind w:firstLine="420" w:firstLineChars="200"/>
        <w:rPr>
          <w:rFonts w:ascii="宋体" w:hAnsi="宋体"/>
          <w:snapToGrid w:val="0"/>
          <w:kern w:val="0"/>
          <w:szCs w:val="20"/>
        </w:rPr>
      </w:pPr>
      <w:r>
        <w:rPr>
          <w:rFonts w:hint="eastAsia" w:ascii="宋体" w:hAnsi="宋体"/>
          <w:snapToGrid w:val="0"/>
          <w:kern w:val="0"/>
          <w:szCs w:val="20"/>
        </w:rPr>
        <w:t>不利物质条件指承包人在施工场地遇到的不可预见的自然物质条件、非自然的物质障碍和污染物，如化石、文物、矿产、流沙、沼气、棺木、已拆除但未清理的地下构筑物等，如无法确定是否为不利物质条件时，则由监理人按第</w:t>
      </w:r>
      <w:r>
        <w:rPr>
          <w:rFonts w:ascii="宋体" w:hAnsi="宋体"/>
          <w:snapToGrid w:val="0"/>
          <w:kern w:val="0"/>
          <w:szCs w:val="20"/>
        </w:rPr>
        <w:t>3.5</w:t>
      </w:r>
      <w:r>
        <w:rPr>
          <w:rFonts w:hint="eastAsia" w:ascii="宋体" w:hAnsi="宋体"/>
          <w:snapToGrid w:val="0"/>
          <w:kern w:val="0"/>
          <w:szCs w:val="20"/>
        </w:rPr>
        <w:t>款商定或确定。</w:t>
      </w:r>
    </w:p>
    <w:p>
      <w:pPr>
        <w:adjustRightInd w:val="0"/>
        <w:snapToGrid w:val="0"/>
        <w:spacing w:line="360" w:lineRule="auto"/>
        <w:rPr>
          <w:rFonts w:ascii="宋体"/>
          <w:b/>
          <w:bCs/>
        </w:rPr>
      </w:pPr>
      <w:r>
        <w:rPr>
          <w:rFonts w:hint="eastAsia" w:hAnsi="宋体" w:cs="宋体"/>
          <w:b/>
          <w:bCs/>
          <w:snapToGrid w:val="0"/>
          <w:kern w:val="0"/>
        </w:rPr>
        <w:t>第</w:t>
      </w:r>
      <w:r>
        <w:rPr>
          <w:rFonts w:hint="eastAsia" w:hAnsi="宋体"/>
          <w:b/>
          <w:bCs/>
          <w:snapToGrid w:val="0"/>
          <w:kern w:val="0"/>
        </w:rPr>
        <w:t>13</w:t>
      </w:r>
      <w:r>
        <w:rPr>
          <w:rFonts w:hint="eastAsia" w:hAnsi="宋体" w:cs="宋体"/>
          <w:b/>
          <w:bCs/>
          <w:snapToGrid w:val="0"/>
          <w:kern w:val="0"/>
        </w:rPr>
        <w:t xml:space="preserve">条 </w:t>
      </w:r>
      <w:r>
        <w:rPr>
          <w:rFonts w:hint="eastAsia" w:ascii="宋体" w:hAnsi="宋体" w:cs="宋体"/>
          <w:b/>
          <w:bCs/>
        </w:rPr>
        <w:t>通用合同条款补充第</w:t>
      </w:r>
      <w:r>
        <w:rPr>
          <w:rFonts w:ascii="宋体" w:hAnsi="宋体" w:cs="宋体"/>
          <w:b/>
          <w:bCs/>
        </w:rPr>
        <w:t>5.1.4</w:t>
      </w:r>
      <w:r>
        <w:rPr>
          <w:rFonts w:hint="eastAsia" w:ascii="宋体" w:hAnsi="宋体" w:cs="宋体"/>
          <w:b/>
          <w:bCs/>
        </w:rPr>
        <w:t>款：</w:t>
      </w:r>
    </w:p>
    <w:p>
      <w:pPr>
        <w:autoSpaceDE w:val="0"/>
        <w:autoSpaceDN w:val="0"/>
        <w:adjustRightInd w:val="0"/>
        <w:snapToGrid w:val="0"/>
        <w:spacing w:line="360" w:lineRule="auto"/>
        <w:ind w:firstLine="420" w:firstLineChars="200"/>
        <w:rPr>
          <w:rFonts w:ascii="宋体"/>
          <w:snapToGrid w:val="0"/>
          <w:kern w:val="0"/>
        </w:rPr>
      </w:pPr>
      <w:r>
        <w:rPr>
          <w:rFonts w:hint="eastAsia" w:ascii="宋体" w:hAnsi="宋体" w:cs="宋体"/>
        </w:rPr>
        <w:t>所有用于本工程的材料和设备进场后，承包人应按有关材料检验的规定及频率立即进行自检，并应随时按监理人的指令在制造、加工或施工现场对材料和设备进行检验，结果应通知监理人，费用由承包人承担。</w:t>
      </w:r>
    </w:p>
    <w:p>
      <w:pPr>
        <w:adjustRightInd w:val="0"/>
        <w:snapToGrid w:val="0"/>
        <w:spacing w:line="360" w:lineRule="auto"/>
        <w:rPr>
          <w:rFonts w:ascii="宋体"/>
          <w:b/>
          <w:bCs/>
        </w:rPr>
      </w:pPr>
      <w:r>
        <w:rPr>
          <w:rFonts w:hint="eastAsia" w:ascii="宋体" w:hAnsi="宋体" w:cs="宋体"/>
          <w:b/>
          <w:bCs/>
          <w:snapToGrid w:val="0"/>
          <w:kern w:val="0"/>
        </w:rPr>
        <w:t xml:space="preserve">第14条 </w:t>
      </w:r>
      <w:r>
        <w:rPr>
          <w:rFonts w:hint="eastAsia" w:ascii="宋体" w:hAnsi="宋体" w:cs="宋体"/>
          <w:b/>
          <w:bCs/>
        </w:rPr>
        <w:t>公路工程专用合同条款第</w:t>
      </w:r>
      <w:r>
        <w:rPr>
          <w:rFonts w:ascii="宋体" w:hAnsi="宋体" w:cs="宋体"/>
          <w:b/>
          <w:bCs/>
        </w:rPr>
        <w:t>6.3</w:t>
      </w:r>
      <w:r>
        <w:rPr>
          <w:rFonts w:hint="eastAsia" w:ascii="宋体" w:hAnsi="宋体" w:cs="宋体"/>
          <w:b/>
          <w:bCs/>
        </w:rPr>
        <w:t>款补充：</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尽管承包人已按招标文件的履约标准提供了机械、设备和仪器，但监理人认为仍不能满足现场施工的需要或不能保证工程质量时，监理人有权要求承包人继续调遣或购买、租用某些机械、设备和仪器，承包人不得拒绝，也不得要求增加任何费用，并在</w:t>
      </w:r>
      <w:r>
        <w:rPr>
          <w:rFonts w:ascii="宋体" w:hAnsi="宋体" w:cs="宋体"/>
          <w:snapToGrid w:val="0"/>
          <w:kern w:val="0"/>
        </w:rPr>
        <w:t>14</w:t>
      </w:r>
      <w:r>
        <w:rPr>
          <w:rFonts w:hint="eastAsia" w:ascii="宋体" w:hAnsi="宋体" w:cs="宋体"/>
          <w:snapToGrid w:val="0"/>
          <w:kern w:val="0"/>
        </w:rPr>
        <w:t>天内按要求执行。承包人承诺的施工设备和试验检验测量设备未按时到达现场或到达现场后中途调离，都视为承包人违约，发包人有权要求该设备马上到达或返回现场，并可对承包人课以关键必要施工设备每台（套）人民币1</w:t>
      </w:r>
      <w:r>
        <w:rPr>
          <w:rFonts w:ascii="宋体" w:hAnsi="宋体" w:cs="宋体"/>
          <w:snapToGrid w:val="0"/>
          <w:kern w:val="0"/>
        </w:rPr>
        <w:t>0</w:t>
      </w:r>
      <w:r>
        <w:rPr>
          <w:rFonts w:hint="eastAsia" w:ascii="宋体" w:hAnsi="宋体" w:cs="宋体"/>
          <w:snapToGrid w:val="0"/>
          <w:kern w:val="0"/>
        </w:rPr>
        <w:t>万元的违约金，其他主要设备每台（套）人民币5万元的违约金，直至合同结束。</w:t>
      </w:r>
    </w:p>
    <w:p>
      <w:pPr>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hAnsi="宋体"/>
          <w:b/>
          <w:bCs/>
          <w:snapToGrid w:val="0"/>
          <w:kern w:val="0"/>
        </w:rPr>
        <w:t>15</w:t>
      </w:r>
      <w:r>
        <w:rPr>
          <w:rFonts w:hint="eastAsia" w:hAnsi="宋体" w:cs="宋体"/>
          <w:b/>
          <w:bCs/>
          <w:snapToGrid w:val="0"/>
          <w:kern w:val="0"/>
        </w:rPr>
        <w:t xml:space="preserve">条 </w:t>
      </w:r>
      <w:r>
        <w:rPr>
          <w:rFonts w:hint="eastAsia" w:ascii="宋体" w:hAnsi="宋体" w:cs="宋体"/>
          <w:b/>
          <w:bCs/>
          <w:snapToGrid w:val="0"/>
          <w:kern w:val="0"/>
        </w:rPr>
        <w:t>通用合同条款第</w:t>
      </w:r>
      <w:r>
        <w:rPr>
          <w:rFonts w:ascii="宋体" w:hAnsi="宋体" w:cs="宋体"/>
          <w:b/>
          <w:bCs/>
          <w:snapToGrid w:val="0"/>
          <w:kern w:val="0"/>
        </w:rPr>
        <w:t>7.2</w:t>
      </w:r>
      <w:r>
        <w:rPr>
          <w:rFonts w:hint="eastAsia" w:ascii="宋体" w:hAnsi="宋体" w:cs="宋体"/>
          <w:b/>
          <w:bCs/>
          <w:snapToGrid w:val="0"/>
          <w:kern w:val="0"/>
        </w:rPr>
        <w:t>款细化为：</w:t>
      </w:r>
    </w:p>
    <w:p>
      <w:pPr>
        <w:adjustRightInd w:val="0"/>
        <w:snapToGrid w:val="0"/>
        <w:spacing w:line="360" w:lineRule="auto"/>
        <w:ind w:firstLine="420" w:firstLineChars="200"/>
        <w:rPr>
          <w:rFonts w:ascii="宋体"/>
        </w:rPr>
      </w:pPr>
      <w:r>
        <w:rPr>
          <w:rFonts w:ascii="宋体" w:hAnsi="宋体" w:cs="宋体"/>
        </w:rPr>
        <w:t>7.2.1</w:t>
      </w:r>
      <w:r>
        <w:rPr>
          <w:rFonts w:hint="eastAsia" w:ascii="宋体" w:hAnsi="宋体" w:cs="宋体"/>
        </w:rPr>
        <w:t>承包人应按照《天津市临时用地管理办法》及有关要求办理临时用地审批手续，由承包人自行承担费用并应与当地签订临时用地协议，使用后按要求恢复原状。工程竣工后征地线外</w:t>
      </w:r>
      <w:r>
        <w:rPr>
          <w:rFonts w:ascii="宋体" w:hAnsi="宋体" w:cs="宋体"/>
        </w:rPr>
        <w:t>50</w:t>
      </w:r>
      <w:r>
        <w:rPr>
          <w:rFonts w:hint="eastAsia" w:ascii="宋体" w:hAnsi="宋体" w:cs="宋体"/>
        </w:rPr>
        <w:t>米内，不应遗留施工建立的设施，上述费用包含在</w:t>
      </w:r>
      <w:r>
        <w:rPr>
          <w:rFonts w:ascii="宋体" w:hAnsi="宋体" w:cs="宋体"/>
        </w:rPr>
        <w:t>100</w:t>
      </w:r>
      <w:r>
        <w:rPr>
          <w:rFonts w:hint="eastAsia" w:ascii="宋体" w:hAnsi="宋体" w:cs="宋体"/>
        </w:rPr>
        <w:t>章报价中，包干使用，发包人不因任何原因而增加支付费用。</w:t>
      </w:r>
    </w:p>
    <w:p>
      <w:pPr>
        <w:adjustRightInd w:val="0"/>
        <w:snapToGrid w:val="0"/>
        <w:spacing w:line="360" w:lineRule="auto"/>
        <w:ind w:firstLine="420" w:firstLineChars="200"/>
        <w:rPr>
          <w:rFonts w:ascii="宋体"/>
        </w:rPr>
      </w:pPr>
      <w:r>
        <w:rPr>
          <w:rFonts w:hint="eastAsia" w:ascii="宋体" w:hAnsi="宋体" w:cs="宋体"/>
        </w:rPr>
        <w:t>承包人应负责修建、维修、养护和管理施工范围内所需的临时道路和交通设施，包括维修、养护和管理发包人提供的道路和交通设施，并承担相应费用。承包人不应占用施工范围内土地作为临时工程用地，如遇特殊情况，须事先征得发包人书面同意后方可占用，但若因此影响承包人自身工程进度或对其它标段的施工造成影响，发包人及监理人有权要求其拆除此范围内一切设施，设施的拆除及重建费用由承包人自行承担。</w:t>
      </w:r>
    </w:p>
    <w:p>
      <w:pPr>
        <w:adjustRightInd w:val="0"/>
        <w:snapToGrid w:val="0"/>
        <w:spacing w:line="360" w:lineRule="auto"/>
        <w:ind w:firstLine="420" w:firstLineChars="200"/>
        <w:rPr>
          <w:rFonts w:ascii="宋体"/>
        </w:rPr>
      </w:pPr>
      <w:r>
        <w:rPr>
          <w:rFonts w:ascii="宋体" w:hAnsi="宋体" w:cs="宋体"/>
        </w:rPr>
        <w:t>7.2.2</w:t>
      </w:r>
      <w:r>
        <w:rPr>
          <w:rFonts w:hint="eastAsia" w:ascii="宋体" w:hAnsi="宋体" w:cs="宋体"/>
        </w:rPr>
        <w:t>承包人必须按照发包人、监理人的要求和计划，修建临时道路和交通设施应免费提供发包人、监理人以及工程使用，发包人、监理人有权要求承包人在规定期限内允许相邻其他承包人使用主线两侧施工便道、便桥，并保证通畅连贯，此项费用在投标报价中已经予以考虑，发包人不再增加其使用和维护费用。</w:t>
      </w:r>
    </w:p>
    <w:p>
      <w:pPr>
        <w:adjustRightInd w:val="0"/>
        <w:snapToGrid w:val="0"/>
        <w:spacing w:line="360" w:lineRule="auto"/>
        <w:rPr>
          <w:rFonts w:hAnsi="宋体"/>
          <w:b/>
          <w:bCs/>
          <w:snapToGrid w:val="0"/>
          <w:kern w:val="0"/>
        </w:rPr>
      </w:pPr>
      <w:r>
        <w:rPr>
          <w:rFonts w:hint="eastAsia" w:hAnsi="宋体"/>
          <w:b/>
          <w:bCs/>
        </w:rPr>
        <w:t>第16条 通用合同条款补充第</w:t>
      </w:r>
      <w:r>
        <w:rPr>
          <w:rFonts w:hAnsi="宋体"/>
          <w:b/>
          <w:bCs/>
        </w:rPr>
        <w:t>7.3.3</w:t>
      </w:r>
      <w:r>
        <w:rPr>
          <w:rFonts w:hint="eastAsia" w:hAnsi="宋体"/>
          <w:b/>
          <w:bCs/>
        </w:rPr>
        <w:t>项：</w:t>
      </w:r>
    </w:p>
    <w:p>
      <w:pPr>
        <w:adjustRightInd w:val="0"/>
        <w:snapToGrid w:val="0"/>
        <w:spacing w:line="360" w:lineRule="auto"/>
        <w:ind w:firstLine="420" w:firstLineChars="200"/>
        <w:rPr>
          <w:rFonts w:ascii="宋体" w:hAnsi="宋体"/>
          <w:snapToGrid w:val="0"/>
          <w:kern w:val="0"/>
          <w:szCs w:val="20"/>
        </w:rPr>
      </w:pPr>
      <w:r>
        <w:rPr>
          <w:rFonts w:hint="eastAsia" w:ascii="宋体" w:hAnsi="宋体"/>
          <w:snapToGrid w:val="0"/>
          <w:kern w:val="0"/>
          <w:szCs w:val="20"/>
        </w:rPr>
        <w:t>承包人自开工之日至竣工验收，不论何种原因，进场道路由承包人自行解决，费用由承包人负责，承包人应就所有在共用道路上通行的特种施工设备及车辆所需的特别许可作出安排并承担费用，除合同另有规定外，承包人为了出入现场和施工运输，临时道路应做硬化处理（硬化标准必须满足发包人、总监理工程师的要求），并应自费养护由他修建和使用的所有临时道路和桥梁</w:t>
      </w:r>
      <w:r>
        <w:rPr>
          <w:rFonts w:ascii="宋体" w:hAnsi="宋体"/>
          <w:snapToGrid w:val="0"/>
          <w:kern w:val="0"/>
          <w:szCs w:val="20"/>
        </w:rPr>
        <w:t>（</w:t>
      </w:r>
      <w:r>
        <w:rPr>
          <w:rFonts w:hint="eastAsia" w:ascii="宋体" w:hAnsi="宋体"/>
          <w:snapToGrid w:val="0"/>
          <w:kern w:val="0"/>
          <w:szCs w:val="20"/>
        </w:rPr>
        <w:t>包括利用和加固的村镇便道</w:t>
      </w:r>
      <w:r>
        <w:rPr>
          <w:rFonts w:ascii="宋体" w:hAnsi="宋体"/>
          <w:snapToGrid w:val="0"/>
          <w:kern w:val="0"/>
          <w:szCs w:val="20"/>
        </w:rPr>
        <w:t>）</w:t>
      </w:r>
      <w:r>
        <w:rPr>
          <w:rFonts w:hint="eastAsia" w:ascii="宋体" w:hAnsi="宋体"/>
          <w:snapToGrid w:val="0"/>
          <w:kern w:val="0"/>
          <w:szCs w:val="20"/>
        </w:rPr>
        <w:t>。承包人如必须利用原有村镇道路为施工临时用路时</w:t>
      </w:r>
      <w:r>
        <w:rPr>
          <w:rFonts w:ascii="宋体" w:hAnsi="宋体"/>
          <w:snapToGrid w:val="0"/>
          <w:kern w:val="0"/>
          <w:szCs w:val="20"/>
        </w:rPr>
        <w:t>,</w:t>
      </w:r>
      <w:r>
        <w:rPr>
          <w:rFonts w:hint="eastAsia" w:ascii="宋体" w:hAnsi="宋体"/>
          <w:snapToGrid w:val="0"/>
          <w:kern w:val="0"/>
          <w:szCs w:val="20"/>
        </w:rPr>
        <w:t>就损坏后的维修费用、使用时间、运送有污染的工程材料给村镇或农田造成污染的赔偿等问题达成一致后，方能进场施工。其费用在总体报价中应充分考虑且已包含在合同金额中，发包人不予另行支付。</w:t>
      </w:r>
    </w:p>
    <w:p>
      <w:pPr>
        <w:adjustRightInd w:val="0"/>
        <w:snapToGrid w:val="0"/>
        <w:spacing w:line="360" w:lineRule="auto"/>
        <w:ind w:firstLine="420" w:firstLineChars="200"/>
        <w:rPr>
          <w:rFonts w:ascii="宋体" w:hAnsi="宋体"/>
          <w:snapToGrid w:val="0"/>
          <w:kern w:val="0"/>
          <w:szCs w:val="20"/>
        </w:rPr>
      </w:pPr>
      <w:r>
        <w:rPr>
          <w:rFonts w:hint="eastAsia" w:ascii="宋体" w:hAnsi="宋体"/>
          <w:snapToGrid w:val="0"/>
          <w:kern w:val="0"/>
          <w:szCs w:val="20"/>
        </w:rPr>
        <w:t>工程主线两侧如需建设施工便道、便桥的，其标准必须满足总监理工程师、发包人的要求，贯通时间、使用时间必须服从发包人、总监理工程师的统一安排，并定期进行维修养护。标准为宽度不低于</w:t>
      </w:r>
      <w:r>
        <w:rPr>
          <w:rFonts w:ascii="宋体" w:hAnsi="宋体"/>
          <w:snapToGrid w:val="0"/>
          <w:kern w:val="0"/>
          <w:szCs w:val="20"/>
        </w:rPr>
        <w:t>5m</w:t>
      </w:r>
      <w:r>
        <w:rPr>
          <w:rFonts w:hint="eastAsia" w:ascii="宋体" w:hAnsi="宋体"/>
          <w:snapToGrid w:val="0"/>
          <w:kern w:val="0"/>
          <w:szCs w:val="20"/>
        </w:rPr>
        <w:t>，随时保证道路正常使用。</w:t>
      </w:r>
    </w:p>
    <w:p>
      <w:pPr>
        <w:adjustRightInd w:val="0"/>
        <w:snapToGrid w:val="0"/>
        <w:spacing w:line="360" w:lineRule="auto"/>
        <w:rPr>
          <w:rFonts w:ascii="宋体"/>
          <w:b/>
          <w:bCs/>
          <w:snapToGrid w:val="0"/>
          <w:kern w:val="0"/>
        </w:rPr>
      </w:pPr>
      <w:r>
        <w:rPr>
          <w:rFonts w:hint="eastAsia" w:ascii="宋体" w:hAnsi="宋体" w:cs="宋体"/>
          <w:b/>
          <w:bCs/>
        </w:rPr>
        <w:t>第17条 公路工程专用合同条款第</w:t>
      </w:r>
      <w:r>
        <w:rPr>
          <w:rFonts w:ascii="宋体" w:hAnsi="宋体" w:cs="宋体"/>
          <w:b/>
          <w:bCs/>
        </w:rPr>
        <w:t>9.2.5</w:t>
      </w:r>
      <w:r>
        <w:rPr>
          <w:rFonts w:hint="eastAsia" w:ascii="宋体" w:hAnsi="宋体" w:cs="宋体"/>
          <w:b/>
          <w:bCs/>
        </w:rPr>
        <w:t>项补充：</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安全生产费用（含安全生产责任保险）及其他费用，单独计入清单第</w:t>
      </w:r>
      <w:r>
        <w:rPr>
          <w:rFonts w:ascii="宋体" w:hAnsi="宋体"/>
          <w:snapToGrid w:val="0"/>
          <w:kern w:val="0"/>
        </w:rPr>
        <w:t>100</w:t>
      </w:r>
      <w:r>
        <w:rPr>
          <w:rFonts w:hint="eastAsia" w:ascii="宋体" w:hAnsi="宋体" w:cs="宋体"/>
          <w:snapToGrid w:val="0"/>
          <w:kern w:val="0"/>
        </w:rPr>
        <w:t>章</w:t>
      </w:r>
      <w:r>
        <w:rPr>
          <w:rFonts w:ascii="宋体" w:hAnsi="宋体"/>
          <w:snapToGrid w:val="0"/>
          <w:kern w:val="0"/>
        </w:rPr>
        <w:t>102-3</w:t>
      </w:r>
      <w:r>
        <w:rPr>
          <w:rFonts w:hint="eastAsia" w:ascii="宋体" w:hAnsi="宋体" w:cs="宋体"/>
          <w:snapToGrid w:val="0"/>
          <w:kern w:val="0"/>
        </w:rPr>
        <w:t>项。</w:t>
      </w:r>
    </w:p>
    <w:p>
      <w:pPr>
        <w:adjustRightInd w:val="0"/>
        <w:snapToGrid w:val="0"/>
        <w:spacing w:line="360" w:lineRule="auto"/>
        <w:ind w:firstLine="420" w:firstLineChars="200"/>
        <w:rPr>
          <w:rFonts w:ascii="宋体" w:hAnsi="宋体"/>
          <w:snapToGrid w:val="0"/>
          <w:kern w:val="0"/>
        </w:rPr>
      </w:pPr>
      <w:r>
        <w:rPr>
          <w:rFonts w:hint="eastAsia" w:ascii="宋体" w:hAnsi="宋体"/>
          <w:snapToGrid w:val="0"/>
          <w:kern w:val="0"/>
        </w:rPr>
        <w:t>依据《天津市交通运输委员会关于印发进一步加强天津市交通运输行业企业安全生产责任保险实施方案的通知》津交发【2023】7号和《企业安全生产费用提取和使用管理办法》的通知财资〔2022〕136 号的要求，养护施工项目应以建设项目为单位参保安全生产责任保险，费用包含在清单第102-3安全生产费（其中包含安全生产责任保险支出费用）项中。</w:t>
      </w:r>
    </w:p>
    <w:p>
      <w:pPr>
        <w:adjustRightInd w:val="0"/>
        <w:snapToGrid w:val="0"/>
        <w:spacing w:line="360" w:lineRule="auto"/>
        <w:ind w:firstLine="420" w:firstLineChars="200"/>
        <w:rPr>
          <w:rFonts w:hint="eastAsia" w:ascii="宋体" w:hAnsi="宋体"/>
          <w:snapToGrid w:val="0"/>
          <w:kern w:val="0"/>
        </w:rPr>
      </w:pPr>
      <w:r>
        <w:rPr>
          <w:rFonts w:hint="eastAsia" w:ascii="宋体" w:hAnsi="宋体"/>
          <w:snapToGrid w:val="0"/>
          <w:kern w:val="0"/>
        </w:rPr>
        <w:t>参保安全生产责任保险，从业人员人身伤亡保额不低于 150 万元。</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第18条 </w:t>
      </w:r>
      <w:r>
        <w:rPr>
          <w:rFonts w:hint="eastAsia" w:ascii="宋体" w:hAnsi="宋体" w:cs="宋体"/>
          <w:b/>
          <w:bCs/>
        </w:rPr>
        <w:t>公路工程专用合同条款第</w:t>
      </w:r>
      <w:r>
        <w:rPr>
          <w:rFonts w:ascii="宋体" w:hAnsi="宋体" w:cs="宋体"/>
          <w:b/>
          <w:bCs/>
        </w:rPr>
        <w:t>9.2.8</w:t>
      </w:r>
      <w:r>
        <w:rPr>
          <w:rFonts w:hint="eastAsia" w:ascii="宋体" w:hAnsi="宋体" w:cs="宋体"/>
          <w:b/>
          <w:bCs/>
        </w:rPr>
        <w:t>（</w:t>
      </w:r>
      <w:r>
        <w:rPr>
          <w:rFonts w:ascii="宋体" w:hAnsi="宋体" w:cs="宋体"/>
          <w:b/>
          <w:bCs/>
        </w:rPr>
        <w:t>1</w:t>
      </w:r>
      <w:r>
        <w:rPr>
          <w:rFonts w:hint="eastAsia" w:ascii="宋体" w:hAnsi="宋体" w:cs="宋体"/>
          <w:b/>
          <w:bCs/>
        </w:rPr>
        <w:t>）目细化为：</w:t>
      </w:r>
    </w:p>
    <w:p>
      <w:pPr>
        <w:adjustRightInd w:val="0"/>
        <w:snapToGrid w:val="0"/>
        <w:spacing w:line="360" w:lineRule="auto"/>
        <w:ind w:firstLine="420" w:firstLineChars="200"/>
        <w:rPr>
          <w:rFonts w:ascii="宋体" w:hAnsi="宋体" w:cs="宋体"/>
        </w:rPr>
      </w:pPr>
      <w:r>
        <w:rPr>
          <w:rFonts w:hint="eastAsia" w:ascii="宋体" w:hAnsi="宋体" w:cs="宋体"/>
        </w:rPr>
        <w:t>公路工程专用合同条款第9.2.8（1）目细化为：招标文件合同附件中所列专职安全生产管理人员为暂估数量，实际数量应按《公路水运工程安全生产监督管理办法》规定的数量配备，人员需具备类似工程安全生产工作经验。</w:t>
      </w:r>
    </w:p>
    <w:p>
      <w:pPr>
        <w:adjustRightInd w:val="0"/>
        <w:snapToGrid w:val="0"/>
        <w:spacing w:line="360" w:lineRule="auto"/>
        <w:ind w:firstLine="420" w:firstLineChars="200"/>
        <w:rPr>
          <w:rFonts w:ascii="宋体"/>
        </w:rPr>
      </w:pPr>
      <w:r>
        <w:rPr>
          <w:rFonts w:hint="eastAsia" w:ascii="宋体" w:hAnsi="宋体" w:cs="宋体"/>
        </w:rPr>
        <w:t>涉及交通导行及相关安全保障工作，承包人应按发包人或监理人要求无条件执行，所采取的程序、措施应符合国家、地方交通建设管理部门及交通管理部门颁发的相关法律、法规、规章的规定。若有关主管部门对导行方案有所调整，承包人应无条件执行。承包人应严格按照交通安全法相关规定执行，在交管部门批准的时间、路段内进行施工。如承包人因违反规定，致使通行的人员、车辆及其他财产遭受损失的，一切后果由承包人依法承担，造成发包人损失的，承包人应据实赔偿。交通警示、标志、标识及防撞设施维护等应严格按照交管局有关规定设置、摆放。承包人及现场施工人员必须服从交通警察的管理和指挥。承包人编制的交通导行专项施工方案在开工前报监理人审核后报发包人审批后施行，承包人必须严格按照审批通过的专项施工方案进行施工。同时还应编制切实可行的交通应急预案。</w:t>
      </w:r>
    </w:p>
    <w:p>
      <w:pPr>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hAnsi="宋体"/>
          <w:b/>
          <w:bCs/>
          <w:snapToGrid w:val="0"/>
          <w:kern w:val="0"/>
        </w:rPr>
        <w:t>19</w:t>
      </w:r>
      <w:r>
        <w:rPr>
          <w:rFonts w:hint="eastAsia" w:hAnsi="宋体" w:cs="宋体"/>
          <w:b/>
          <w:bCs/>
          <w:snapToGrid w:val="0"/>
          <w:kern w:val="0"/>
        </w:rPr>
        <w:t xml:space="preserve">条 </w:t>
      </w:r>
      <w:r>
        <w:rPr>
          <w:rFonts w:hint="eastAsia" w:ascii="宋体" w:hAnsi="宋体" w:cs="宋体"/>
          <w:b/>
          <w:bCs/>
        </w:rPr>
        <w:t>公路工程专用</w:t>
      </w:r>
      <w:r>
        <w:rPr>
          <w:rFonts w:hint="eastAsia" w:ascii="宋体" w:hAnsi="宋体" w:cs="宋体"/>
          <w:b/>
          <w:bCs/>
          <w:snapToGrid w:val="0"/>
          <w:kern w:val="0"/>
        </w:rPr>
        <w:t>合同条款补充第</w:t>
      </w:r>
      <w:r>
        <w:rPr>
          <w:rFonts w:ascii="宋体" w:hAnsi="宋体" w:cs="宋体"/>
          <w:b/>
          <w:bCs/>
          <w:snapToGrid w:val="0"/>
          <w:kern w:val="0"/>
        </w:rPr>
        <w:t>9.2.12</w:t>
      </w:r>
      <w:r>
        <w:rPr>
          <w:rFonts w:hint="eastAsia" w:ascii="宋体" w:hAnsi="宋体" w:cs="宋体"/>
          <w:b/>
          <w:bCs/>
          <w:snapToGrid w:val="0"/>
          <w:kern w:val="0"/>
        </w:rPr>
        <w:t>项：</w:t>
      </w:r>
    </w:p>
    <w:p>
      <w:pPr>
        <w:adjustRightInd w:val="0"/>
        <w:snapToGrid w:val="0"/>
        <w:spacing w:line="360" w:lineRule="auto"/>
        <w:ind w:firstLine="420" w:firstLineChars="200"/>
        <w:rPr>
          <w:rFonts w:hint="eastAsia" w:ascii="宋体" w:hAnsi="宋体" w:cs="宋体"/>
          <w:snapToGrid w:val="0"/>
          <w:kern w:val="0"/>
        </w:rPr>
      </w:pPr>
      <w:r>
        <w:rPr>
          <w:rFonts w:hint="eastAsia" w:ascii="宋体" w:hAnsi="宋体" w:cs="宋体"/>
          <w:snapToGrid w:val="0"/>
          <w:kern w:val="0"/>
        </w:rPr>
        <w:t>（</w:t>
      </w:r>
      <w:r>
        <w:rPr>
          <w:rFonts w:ascii="宋体" w:hAnsi="宋体" w:cs="宋体"/>
          <w:snapToGrid w:val="0"/>
          <w:kern w:val="0"/>
        </w:rPr>
        <w:t>1</w:t>
      </w:r>
      <w:r>
        <w:rPr>
          <w:rFonts w:hint="eastAsia" w:ascii="宋体" w:hAnsi="宋体" w:cs="宋体"/>
          <w:snapToGrid w:val="0"/>
          <w:kern w:val="0"/>
        </w:rPr>
        <w:t>）承包人在施工管理中要同时落实文明施工、安全生产的各项措施，按照规范或相关部门的要求设置相应的安全警示、防护措施，组织定期安全检查和季节性检查，发现问题，立即现场研究解决；</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（2）在施工进行中各项劳动保护工作和改善劳动条件的费用均含在本工程承包合同价款内。</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（3）在施工过程中，承包人随时接受总监理工程师、发包人的安全监督和检查，按要求及时整改存在的问题，切实做到安全生产、文明施工。</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（4）发生工伤或其它问题，均由承包人负责按行政主管部门的规定上报、统计和处理，并立即报告总监理工程师和发包人。</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5）承包人在施工过程中发生质量责任、安全事故的；或因存在质量责任、安全事故隐患被监理人、发包人提出而仍不整改的；被监理人、发包人及行业监督管理部门通报批评的，每发生一次，发包人有权课以违约金，情节严重的将加大处罚力度，具体比例由发包人和总监理工程师商议确定，承包人应无条件服从。</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6）在承包人施工期间如发生工伤或其他安全事故，造成人员、财产损失的，承包人应作为第一责任人应第一时间按照上级主管部门要求进行事故报送，并配合相关部门的调查、处理，积极承担相应的责任，使该事件能够尽快妥善处理，避免对本工程建设造成影响。事件处理完毕后，承包人应尽快将现场恢复原状、对被破坏的工程、设施等进行维修，加强安全防护措施。如因该等安全事故造成发包人损失的，承包人应据实赔偿。</w:t>
      </w:r>
    </w:p>
    <w:p>
      <w:pPr>
        <w:adjustRightInd w:val="0"/>
        <w:snapToGrid w:val="0"/>
        <w:spacing w:line="360" w:lineRule="auto"/>
        <w:ind w:firstLine="420" w:firstLineChars="200"/>
        <w:rPr>
          <w:rFonts w:hint="eastAsia" w:ascii="宋体" w:hAnsi="宋体" w:cs="宋体"/>
          <w:snapToGrid w:val="0"/>
          <w:kern w:val="0"/>
        </w:rPr>
      </w:pPr>
      <w:r>
        <w:rPr>
          <w:rFonts w:hint="eastAsia" w:ascii="宋体" w:hAnsi="宋体" w:cs="宋体"/>
          <w:snapToGrid w:val="0"/>
          <w:kern w:val="0"/>
        </w:rPr>
        <w:t>（7）严格按照《交通运输部办公厅 公安部办公厅关于加强公路施工路段交通安全管理的通知》交办公路函[2022]1684号执行。</w:t>
      </w:r>
    </w:p>
    <w:p>
      <w:pPr>
        <w:adjustRightInd w:val="0"/>
        <w:snapToGrid w:val="0"/>
        <w:spacing w:line="360" w:lineRule="auto"/>
        <w:ind w:firstLine="420" w:firstLineChars="200"/>
        <w:rPr>
          <w:rFonts w:hint="eastAsia" w:ascii="宋体" w:hAnsi="宋体" w:cs="宋体"/>
          <w:snapToGrid w:val="0"/>
          <w:kern w:val="0"/>
        </w:rPr>
      </w:pPr>
      <w:r>
        <w:rPr>
          <w:rFonts w:hint="eastAsia" w:ascii="宋体" w:hAnsi="宋体" w:cs="宋体"/>
          <w:snapToGrid w:val="0"/>
          <w:kern w:val="0"/>
        </w:rPr>
        <w:t>合理安排施工计划。施工工程要严格按照建管单位批准的路段和时段组织施工，除保障公路安全运行开展的应急养护工程外，尽量避免在重大节假日和重大活动期间进行影响通行的施工作业。养护工程尽量避免在同一行车方向多个路段同时施工和长距离连续施工。</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加强施工控制区管理。施工控制区要按照《道路交通标志标线 第4部分：作业区》《公路养护安全作业规程》等标准规范及交管部门批复要求科学设置，并完善临时交通安全设施，占用局部车道施工项目应设置防撞车等防撞保护措施，弯道、长下坡路段要根据实际适当延长缓冲区，夜间施工路段要增设照明、警示灯、反光标志等防护设施，加强警示提示。因施工中断交通的，要在强化封闭设施和中断交通警示提示的同时，提前设置绕行路线，并在施工封闭路段前方的交叉路口（或互通立交）前按要求设置绕行标志、公开发布绕行信息。</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占路施工或临时作业时应设置防撞车，加强通行秩序管理。双向交替通行的路段、借用对向车道通行的桥梁路段以及特长隧道、长隧道路段，施工单位开展交通疏导，可全时段配备交通引导人员或设置移动式交通信号灯。桥梁施工期间要加强车辆限速、限载等通行控制，不得集中放行大型载重车辆。独柱墩桥梁施工期间要避免偏载通行和超重型大件运输车辆通行。重大节假日或重大活动期间、交通高峰时段，施工单位落实专人引导和警示过往车辆减速慢行。</w:t>
      </w:r>
    </w:p>
    <w:p>
      <w:pPr>
        <w:adjustRightInd w:val="0"/>
        <w:snapToGrid w:val="0"/>
        <w:spacing w:line="360" w:lineRule="auto"/>
        <w:rPr>
          <w:rFonts w:ascii="宋体" w:hAnsi="宋体"/>
          <w:b/>
          <w:bCs/>
          <w:snapToGrid w:val="0"/>
          <w:kern w:val="0"/>
          <w:szCs w:val="20"/>
        </w:rPr>
      </w:pPr>
      <w:r>
        <w:rPr>
          <w:rFonts w:hint="eastAsia" w:ascii="宋体" w:hAnsi="宋体"/>
          <w:b/>
          <w:bCs/>
          <w:snapToGrid w:val="0"/>
          <w:kern w:val="0"/>
          <w:szCs w:val="20"/>
        </w:rPr>
        <w:t xml:space="preserve">第20条 </w:t>
      </w:r>
      <w:r>
        <w:rPr>
          <w:rFonts w:hint="eastAsia" w:ascii="宋体" w:hAnsi="宋体" w:cs="宋体"/>
          <w:b/>
          <w:bCs/>
          <w:szCs w:val="20"/>
        </w:rPr>
        <w:t>公路工程专用</w:t>
      </w:r>
      <w:r>
        <w:rPr>
          <w:rFonts w:hint="eastAsia" w:ascii="宋体" w:hAnsi="宋体"/>
          <w:b/>
          <w:bCs/>
          <w:snapToGrid w:val="0"/>
          <w:kern w:val="0"/>
          <w:szCs w:val="20"/>
        </w:rPr>
        <w:t>合同条款第</w:t>
      </w:r>
      <w:r>
        <w:rPr>
          <w:rFonts w:ascii="宋体" w:hAnsi="宋体"/>
          <w:b/>
          <w:bCs/>
          <w:snapToGrid w:val="0"/>
          <w:kern w:val="0"/>
          <w:szCs w:val="20"/>
        </w:rPr>
        <w:t>9.4.9</w:t>
      </w:r>
      <w:r>
        <w:rPr>
          <w:rFonts w:hint="eastAsia" w:ascii="宋体" w:hAnsi="宋体"/>
          <w:b/>
          <w:bCs/>
          <w:snapToGrid w:val="0"/>
          <w:kern w:val="0"/>
          <w:szCs w:val="20"/>
        </w:rPr>
        <w:t>项补充：</w:t>
      </w:r>
    </w:p>
    <w:p>
      <w:pPr>
        <w:adjustRightInd w:val="0"/>
        <w:snapToGrid w:val="0"/>
        <w:spacing w:line="360" w:lineRule="auto"/>
        <w:ind w:firstLine="420" w:firstLineChars="200"/>
        <w:rPr>
          <w:rFonts w:ascii="宋体"/>
          <w:snapToGrid w:val="0"/>
          <w:kern w:val="0"/>
        </w:rPr>
      </w:pPr>
      <w:r>
        <w:rPr>
          <w:rFonts w:hint="eastAsia" w:ascii="宋体" w:hAnsi="宋体" w:cs="宋体"/>
          <w:snapToGrid w:val="0"/>
          <w:kern w:val="0"/>
        </w:rPr>
        <w:t>承包人应按规范及发包人统一要求对材料堆存场地、现场预制场地、拌合站、生产生活区等进行清理、整平、硬化、围砌，费用由承包人承担。</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第21条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10.1</w:t>
      </w:r>
      <w:r>
        <w:rPr>
          <w:rFonts w:hint="eastAsia" w:ascii="宋体" w:hAnsi="宋体" w:cs="宋体"/>
          <w:b/>
          <w:bCs/>
          <w:snapToGrid w:val="0"/>
          <w:kern w:val="0"/>
        </w:rPr>
        <w:t>款做如下解释：</w:t>
      </w:r>
    </w:p>
    <w:p>
      <w:pPr>
        <w:adjustRightInd w:val="0"/>
        <w:snapToGrid w:val="0"/>
        <w:spacing w:line="360" w:lineRule="auto"/>
        <w:ind w:firstLine="420" w:firstLineChars="200"/>
        <w:rPr>
          <w:rFonts w:ascii="宋体"/>
        </w:rPr>
      </w:pPr>
      <w:r>
        <w:rPr>
          <w:rFonts w:hint="eastAsia" w:ascii="宋体" w:hAnsi="宋体" w:cs="宋体"/>
          <w:snapToGrid w:val="0"/>
          <w:kern w:val="0"/>
        </w:rPr>
        <w:t>承包人编制施工方案的内容应包括工程所采用的技术方案、安全方案及施工的时间、方法和顺序，人员、资源的安排，材料、设备的获得和运输。</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第22条 </w:t>
      </w:r>
      <w:r>
        <w:rPr>
          <w:rFonts w:hint="eastAsia" w:ascii="宋体" w:hAnsi="宋体" w:cs="宋体"/>
          <w:b/>
          <w:bCs/>
        </w:rPr>
        <w:t>公路工程专用合同条款第</w:t>
      </w:r>
      <w:r>
        <w:rPr>
          <w:rFonts w:ascii="宋体" w:hAnsi="宋体" w:cs="宋体"/>
          <w:b/>
          <w:bCs/>
        </w:rPr>
        <w:t>10.2</w:t>
      </w:r>
      <w:r>
        <w:rPr>
          <w:rFonts w:hint="eastAsia" w:ascii="宋体" w:hAnsi="宋体" w:cs="宋体"/>
          <w:b/>
          <w:bCs/>
        </w:rPr>
        <w:t>款补充：</w:t>
      </w:r>
    </w:p>
    <w:p>
      <w:pPr>
        <w:adjustRightInd w:val="0"/>
        <w:snapToGrid w:val="0"/>
        <w:spacing w:line="360" w:lineRule="auto"/>
        <w:ind w:firstLine="420" w:firstLineChars="200"/>
        <w:rPr>
          <w:rFonts w:hint="eastAsia" w:ascii="宋体" w:hAnsi="宋体" w:cs="宋体"/>
        </w:rPr>
      </w:pPr>
      <w:r>
        <w:rPr>
          <w:rFonts w:hint="eastAsia" w:ascii="宋体" w:hAnsi="宋体" w:cs="宋体"/>
        </w:rPr>
        <w:t>分阶段施工计划的调整在计划竣工日期未变的前提下，发包人或监理人根据工程实际情况或其它必要因素而对工程分阶段工期和作业面进行调整，承包人应无条件地服从。由此而可能引起工程费用投入的变化发包人将不再予以调整。</w:t>
      </w:r>
    </w:p>
    <w:p>
      <w:pPr>
        <w:adjustRightInd w:val="0"/>
        <w:snapToGrid w:val="0"/>
        <w:spacing w:line="360" w:lineRule="auto"/>
        <w:rPr>
          <w:rFonts w:hint="eastAsia" w:hAnsi="宋体" w:cs="宋体"/>
          <w:b/>
          <w:bCs/>
          <w:snapToGrid w:val="0"/>
          <w:kern w:val="0"/>
        </w:rPr>
      </w:pPr>
      <w:r>
        <w:rPr>
          <w:rFonts w:hint="eastAsia" w:hAnsi="宋体" w:cs="宋体"/>
          <w:b/>
          <w:bCs/>
          <w:snapToGrid w:val="0"/>
          <w:kern w:val="0"/>
        </w:rPr>
        <w:t>第23条 通用条款第11.1.1项细化为：</w:t>
      </w:r>
    </w:p>
    <w:p>
      <w:pPr>
        <w:adjustRightInd w:val="0"/>
        <w:snapToGrid w:val="0"/>
        <w:spacing w:line="360" w:lineRule="auto"/>
        <w:ind w:firstLine="420" w:firstLineChars="200"/>
        <w:rPr>
          <w:rFonts w:ascii="宋体" w:hAnsi="宋体" w:cs="宋体"/>
        </w:rPr>
      </w:pPr>
      <w:r>
        <w:rPr>
          <w:rFonts w:hint="eastAsia" w:ascii="宋体" w:hAnsi="宋体" w:cs="宋体"/>
        </w:rPr>
        <w:t>自合同签订之日起40天内，承包人应配合发包人办理交管手续，完成前期准备工作，保证具备开工条件，否则视为承包人违约。</w:t>
      </w:r>
    </w:p>
    <w:p>
      <w:pPr>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ascii="宋体" w:hAnsi="宋体"/>
          <w:b/>
          <w:bCs/>
          <w:snapToGrid w:val="0"/>
          <w:kern w:val="0"/>
        </w:rPr>
        <w:t>24</w:t>
      </w:r>
      <w:r>
        <w:rPr>
          <w:rFonts w:hint="eastAsia" w:hAnsi="宋体" w:cs="宋体"/>
          <w:b/>
          <w:bCs/>
          <w:snapToGrid w:val="0"/>
          <w:kern w:val="0"/>
        </w:rPr>
        <w:t xml:space="preserve">条 </w:t>
      </w:r>
      <w:r>
        <w:rPr>
          <w:rFonts w:hint="eastAsia" w:ascii="宋体" w:hAnsi="宋体" w:cs="宋体"/>
          <w:b/>
          <w:bCs/>
        </w:rPr>
        <w:t>通用合同条款第</w:t>
      </w:r>
      <w:r>
        <w:rPr>
          <w:rFonts w:ascii="宋体" w:hAnsi="宋体" w:cs="宋体"/>
          <w:b/>
          <w:bCs/>
        </w:rPr>
        <w:t>11.3</w:t>
      </w:r>
      <w:r>
        <w:rPr>
          <w:rFonts w:hint="eastAsia" w:ascii="宋体" w:hAnsi="宋体" w:cs="宋体"/>
          <w:b/>
          <w:bCs/>
        </w:rPr>
        <w:t>（</w:t>
      </w:r>
      <w:r>
        <w:rPr>
          <w:rFonts w:ascii="宋体" w:hAnsi="宋体" w:cs="宋体"/>
          <w:b/>
          <w:bCs/>
        </w:rPr>
        <w:t>2</w:t>
      </w:r>
      <w:r>
        <w:rPr>
          <w:rFonts w:hint="eastAsia" w:ascii="宋体" w:hAnsi="宋体" w:cs="宋体"/>
          <w:b/>
          <w:bCs/>
        </w:rPr>
        <w:t>）项细化为：</w:t>
      </w:r>
    </w:p>
    <w:p>
      <w:pPr>
        <w:adjustRightInd w:val="0"/>
        <w:snapToGrid w:val="0"/>
        <w:spacing w:line="360" w:lineRule="auto"/>
        <w:ind w:firstLine="420" w:firstLineChars="200"/>
        <w:rPr>
          <w:rFonts w:ascii="宋体" w:hAnsi="宋体"/>
          <w:snapToGrid w:val="0"/>
          <w:kern w:val="0"/>
          <w:szCs w:val="20"/>
        </w:rPr>
      </w:pPr>
      <w:r>
        <w:rPr>
          <w:rFonts w:hint="eastAsia" w:ascii="宋体" w:hAnsi="宋体"/>
          <w:szCs w:val="20"/>
        </w:rPr>
        <w:t>改变合同中主要和关键工作的质量要求或其他特性。</w:t>
      </w:r>
    </w:p>
    <w:p>
      <w:pPr>
        <w:adjustRightInd w:val="0"/>
        <w:snapToGrid w:val="0"/>
        <w:spacing w:line="360" w:lineRule="auto"/>
        <w:rPr>
          <w:rFonts w:ascii="宋体"/>
          <w:b/>
          <w:bCs/>
        </w:rPr>
      </w:pPr>
      <w:r>
        <w:rPr>
          <w:rFonts w:hint="eastAsia" w:ascii="宋体" w:hAnsi="宋体" w:cs="宋体"/>
          <w:b/>
          <w:bCs/>
          <w:snapToGrid w:val="0"/>
          <w:kern w:val="0"/>
        </w:rPr>
        <w:t xml:space="preserve">第25条 </w:t>
      </w:r>
      <w:r>
        <w:rPr>
          <w:rFonts w:hint="eastAsia" w:ascii="宋体" w:hAnsi="宋体" w:cs="宋体"/>
          <w:b/>
          <w:bCs/>
        </w:rPr>
        <w:t>通用合同条款第</w:t>
      </w:r>
      <w:r>
        <w:rPr>
          <w:rFonts w:ascii="宋体" w:hAnsi="宋体" w:cs="宋体"/>
          <w:b/>
          <w:bCs/>
        </w:rPr>
        <w:t>11.3</w:t>
      </w:r>
      <w:r>
        <w:rPr>
          <w:rFonts w:hint="eastAsia" w:ascii="宋体" w:hAnsi="宋体" w:cs="宋体"/>
          <w:b/>
          <w:bCs/>
        </w:rPr>
        <w:t>款补充：</w:t>
      </w:r>
    </w:p>
    <w:p>
      <w:pPr>
        <w:adjustRightInd w:val="0"/>
        <w:snapToGrid w:val="0"/>
        <w:spacing w:line="360" w:lineRule="auto"/>
        <w:ind w:firstLine="420" w:firstLineChars="200"/>
        <w:rPr>
          <w:rFonts w:ascii="宋体"/>
          <w:b/>
          <w:bCs/>
          <w:u w:val="single"/>
        </w:rPr>
      </w:pPr>
      <w:r>
        <w:rPr>
          <w:rFonts w:hint="eastAsia" w:hAnsi="宋体" w:cs="宋体"/>
          <w:snapToGrid w:val="0"/>
          <w:kern w:val="0"/>
        </w:rPr>
        <w:t>除发生上述条款所规定的情形，总工期固定不变。除因不可抗力外，因上述条款所规定的情形导致工程延期</w:t>
      </w:r>
      <w:r>
        <w:rPr>
          <w:rFonts w:hAnsi="宋体"/>
          <w:snapToGrid w:val="0"/>
          <w:kern w:val="0"/>
        </w:rPr>
        <w:t>3</w:t>
      </w:r>
      <w:r>
        <w:rPr>
          <w:rFonts w:hint="eastAsia" w:hAnsi="宋体" w:cs="宋体"/>
          <w:snapToGrid w:val="0"/>
          <w:kern w:val="0"/>
        </w:rPr>
        <w:t>个月以上，承包人方有权向发包人提出索赔要求，赔偿金额由发包人及承包人协商确定，无法协商一致的，按发包方确定的赔偿方案执行。</w:t>
      </w:r>
    </w:p>
    <w:p>
      <w:pPr>
        <w:adjustRightInd w:val="0"/>
        <w:snapToGrid w:val="0"/>
        <w:spacing w:line="360" w:lineRule="auto"/>
        <w:rPr>
          <w:rFonts w:ascii="宋体"/>
          <w:b/>
          <w:bCs/>
          <w:u w:val="single"/>
        </w:rPr>
      </w:pPr>
      <w:r>
        <w:rPr>
          <w:rFonts w:hint="eastAsia" w:ascii="宋体" w:hAnsi="宋体" w:cs="宋体"/>
          <w:b/>
          <w:bCs/>
          <w:snapToGrid w:val="0"/>
          <w:kern w:val="0"/>
        </w:rPr>
        <w:t xml:space="preserve">第26条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11.4</w:t>
      </w:r>
      <w:r>
        <w:rPr>
          <w:rFonts w:hint="eastAsia" w:ascii="宋体" w:hAnsi="宋体" w:cs="宋体"/>
          <w:b/>
          <w:bCs/>
          <w:snapToGrid w:val="0"/>
          <w:kern w:val="0"/>
        </w:rPr>
        <w:t>款做如下解释：</w:t>
      </w:r>
    </w:p>
    <w:p>
      <w:pPr>
        <w:adjustRightInd w:val="0"/>
        <w:snapToGrid w:val="0"/>
        <w:spacing w:line="360" w:lineRule="auto"/>
        <w:ind w:firstLine="420" w:firstLineChars="200"/>
        <w:rPr>
          <w:rFonts w:ascii="宋体"/>
        </w:rPr>
      </w:pPr>
      <w:r>
        <w:rPr>
          <w:rFonts w:hint="eastAsia" w:ascii="宋体" w:hAnsi="宋体" w:cs="宋体"/>
          <w:snapToGrid w:val="0"/>
          <w:kern w:val="0"/>
        </w:rPr>
        <w:t>异常恶劣的气候条件的范围：项目所在地发生</w:t>
      </w:r>
      <w:r>
        <w:rPr>
          <w:rFonts w:ascii="宋体" w:hAnsi="宋体" w:cs="宋体"/>
          <w:snapToGrid w:val="0"/>
          <w:kern w:val="0"/>
        </w:rPr>
        <w:t>100</w:t>
      </w:r>
      <w:r>
        <w:rPr>
          <w:rFonts w:hint="eastAsia" w:ascii="宋体" w:hAnsi="宋体" w:cs="宋体"/>
          <w:snapToGrid w:val="0"/>
          <w:kern w:val="0"/>
        </w:rPr>
        <w:t>年以上一遇的罕见气候现象</w:t>
      </w:r>
      <w:r>
        <w:rPr>
          <w:rFonts w:ascii="宋体" w:hAnsi="宋体" w:cs="宋体"/>
          <w:snapToGrid w:val="0"/>
          <w:kern w:val="0"/>
        </w:rPr>
        <w:t>（</w:t>
      </w:r>
      <w:r>
        <w:rPr>
          <w:rFonts w:hint="eastAsia" w:ascii="宋体" w:hAnsi="宋体" w:cs="宋体"/>
          <w:snapToGrid w:val="0"/>
          <w:kern w:val="0"/>
        </w:rPr>
        <w:t>包括温度、降水、降雪、风等</w:t>
      </w:r>
      <w:r>
        <w:rPr>
          <w:rFonts w:ascii="宋体" w:hAnsi="宋体" w:cs="宋体"/>
          <w:snapToGrid w:val="0"/>
          <w:kern w:val="0"/>
        </w:rPr>
        <w:t xml:space="preserve">） </w:t>
      </w:r>
      <w:r>
        <w:rPr>
          <w:rFonts w:hint="eastAsia" w:ascii="宋体" w:hAnsi="宋体" w:cs="宋体"/>
          <w:snapToGrid w:val="0"/>
          <w:kern w:val="0"/>
        </w:rPr>
        <w:t>，以项目所在地气象主管部门观测及公布的数据为准。</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第27条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11.7</w:t>
      </w:r>
      <w:r>
        <w:rPr>
          <w:rFonts w:hint="eastAsia" w:ascii="宋体" w:hAnsi="宋体" w:cs="宋体"/>
          <w:b/>
          <w:bCs/>
          <w:snapToGrid w:val="0"/>
          <w:kern w:val="0"/>
        </w:rPr>
        <w:t>款细化为：</w:t>
      </w:r>
    </w:p>
    <w:p>
      <w:pPr>
        <w:adjustRightInd w:val="0"/>
        <w:snapToGrid w:val="0"/>
        <w:spacing w:line="360" w:lineRule="auto"/>
        <w:ind w:firstLine="420" w:firstLineChars="200"/>
        <w:rPr>
          <w:rFonts w:ascii="宋体"/>
        </w:rPr>
      </w:pPr>
      <w:r>
        <w:rPr>
          <w:rFonts w:hint="eastAsia" w:ascii="宋体" w:hAnsi="宋体" w:cs="宋体"/>
        </w:rPr>
        <w:t>承包人在夜间或国家规定的节假日进行永久工程的施工，应向监理人报告，以便监理人履行监理职责和义务。承包人未向监理人报告而擅自在夜间或国家规定的节假日对永久工程施工的，若出现问题则由承包人负责，且不免除发包人对承包人进行索赔的权利。承包人在夜间或国家规定的节假日进行临时工程的施工，但该临时工程不涉及结构安全、工程计量或变更的可不向监理人报告，但出现问题则由承包人负责，且不免除发包人对承包人进行索赔的权利。</w:t>
      </w:r>
    </w:p>
    <w:p>
      <w:pPr>
        <w:adjustRightInd w:val="0"/>
        <w:snapToGrid w:val="0"/>
        <w:spacing w:line="360" w:lineRule="auto"/>
        <w:ind w:firstLine="420" w:firstLineChars="200"/>
        <w:rPr>
          <w:rFonts w:ascii="宋体"/>
        </w:rPr>
      </w:pPr>
      <w:r>
        <w:rPr>
          <w:rFonts w:hint="eastAsia" w:ascii="宋体" w:hAnsi="宋体" w:cs="宋体"/>
        </w:rPr>
        <w:t>但是，为了抢救生命或保护财产，或为了工程的安全、质量而不可避免地短暂作业，则不必事先向监理人报告。但承包人应在事后立即向监理人报告。</w:t>
      </w:r>
    </w:p>
    <w:p>
      <w:pPr>
        <w:adjustRightInd w:val="0"/>
        <w:snapToGrid w:val="0"/>
        <w:spacing w:line="360" w:lineRule="auto"/>
        <w:rPr>
          <w:rFonts w:ascii="宋体"/>
        </w:rPr>
      </w:pPr>
      <w:r>
        <w:rPr>
          <w:rFonts w:hint="eastAsia" w:ascii="宋体" w:hAnsi="宋体" w:cs="宋体"/>
        </w:rPr>
        <w:t>本款规定不适用于习惯上或施工本身要求实行连续生产的作业。</w:t>
      </w:r>
    </w:p>
    <w:p>
      <w:pPr>
        <w:adjustRightInd w:val="0"/>
        <w:snapToGrid w:val="0"/>
        <w:spacing w:line="360" w:lineRule="auto"/>
        <w:rPr>
          <w:rFonts w:ascii="宋体"/>
          <w:b/>
          <w:bCs/>
          <w:snapToGrid w:val="0"/>
          <w:kern w:val="0"/>
        </w:rPr>
      </w:pPr>
      <w:r>
        <w:rPr>
          <w:rFonts w:hint="eastAsia" w:ascii="宋体" w:hAnsi="宋体" w:cs="宋体"/>
          <w:b/>
          <w:bCs/>
        </w:rPr>
        <w:t>第28条 公路工程专用</w:t>
      </w:r>
      <w:r>
        <w:rPr>
          <w:rFonts w:hint="eastAsia" w:ascii="宋体" w:hAnsi="宋体" w:cs="宋体"/>
          <w:b/>
          <w:bCs/>
          <w:snapToGrid w:val="0"/>
          <w:kern w:val="0"/>
        </w:rPr>
        <w:t>合同条款第</w:t>
      </w:r>
      <w:r>
        <w:rPr>
          <w:rFonts w:ascii="宋体" w:hAnsi="宋体" w:cs="宋体"/>
          <w:b/>
          <w:bCs/>
          <w:snapToGrid w:val="0"/>
          <w:kern w:val="0"/>
        </w:rPr>
        <w:t>12.1</w:t>
      </w:r>
      <w:r>
        <w:rPr>
          <w:rFonts w:hint="eastAsia" w:ascii="宋体" w:hAnsi="宋体" w:cs="宋体"/>
          <w:b/>
          <w:bCs/>
          <w:snapToGrid w:val="0"/>
          <w:kern w:val="0"/>
        </w:rPr>
        <w:t>（</w:t>
      </w:r>
      <w:r>
        <w:rPr>
          <w:rFonts w:ascii="宋体" w:hAnsi="宋体" w:cs="宋体"/>
          <w:b/>
          <w:bCs/>
          <w:snapToGrid w:val="0"/>
          <w:kern w:val="0"/>
        </w:rPr>
        <w:t>6</w:t>
      </w:r>
      <w:r>
        <w:rPr>
          <w:rFonts w:hint="eastAsia" w:ascii="宋体" w:hAnsi="宋体" w:cs="宋体"/>
          <w:b/>
          <w:bCs/>
          <w:snapToGrid w:val="0"/>
          <w:kern w:val="0"/>
        </w:rPr>
        <w:t>）目做如下解释：</w:t>
      </w:r>
    </w:p>
    <w:p>
      <w:pPr>
        <w:adjustRightInd w:val="0"/>
        <w:snapToGrid w:val="0"/>
        <w:spacing w:line="360" w:lineRule="auto"/>
        <w:ind w:firstLine="420" w:firstLineChars="200"/>
        <w:rPr>
          <w:rFonts w:ascii="宋体"/>
        </w:rPr>
      </w:pPr>
      <w:r>
        <w:rPr>
          <w:rFonts w:hint="eastAsia" w:ascii="宋体" w:hAnsi="宋体" w:cs="宋体"/>
        </w:rPr>
        <w:t>由承包人承担的其他暂停施工包括但不限于以下内容：工程材料或工程设备被盗、食物中毒、破坏工程等。</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第29条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13.4</w:t>
      </w:r>
      <w:r>
        <w:rPr>
          <w:rFonts w:hint="eastAsia" w:ascii="宋体" w:hAnsi="宋体" w:cs="宋体"/>
          <w:b/>
          <w:bCs/>
          <w:snapToGrid w:val="0"/>
          <w:kern w:val="0"/>
        </w:rPr>
        <w:t>款补充：</w:t>
      </w:r>
    </w:p>
    <w:p>
      <w:pPr>
        <w:adjustRightInd w:val="0"/>
        <w:snapToGrid w:val="0"/>
        <w:spacing w:line="360" w:lineRule="auto"/>
        <w:ind w:firstLine="420" w:firstLineChars="200"/>
        <w:rPr>
          <w:rFonts w:ascii="宋体"/>
        </w:rPr>
      </w:pPr>
      <w:r>
        <w:rPr>
          <w:rFonts w:hint="eastAsia" w:ascii="宋体" w:hAnsi="宋体" w:cs="宋体"/>
        </w:rPr>
        <w:t>对于发包人委托的试验检测等单位的现场试验检测和其它相关工作，承包人应为此提供便利和协助。</w:t>
      </w:r>
    </w:p>
    <w:p>
      <w:pPr>
        <w:adjustRightInd w:val="0"/>
        <w:snapToGrid w:val="0"/>
        <w:spacing w:line="360" w:lineRule="auto"/>
        <w:rPr>
          <w:rFonts w:ascii="宋体"/>
          <w:b/>
          <w:bCs/>
        </w:rPr>
      </w:pPr>
      <w:r>
        <w:rPr>
          <w:rFonts w:hint="eastAsia" w:ascii="宋体" w:hAnsi="宋体" w:cs="宋体"/>
          <w:b/>
          <w:bCs/>
          <w:snapToGrid w:val="0"/>
          <w:kern w:val="0"/>
        </w:rPr>
        <w:t xml:space="preserve">第30条 </w:t>
      </w:r>
      <w:r>
        <w:rPr>
          <w:rFonts w:hint="eastAsia" w:ascii="宋体" w:hAnsi="宋体" w:cs="宋体"/>
          <w:b/>
          <w:bCs/>
        </w:rPr>
        <w:t>通用合同条款第</w:t>
      </w:r>
      <w:r>
        <w:rPr>
          <w:rFonts w:ascii="宋体" w:hAnsi="宋体" w:cs="宋体"/>
          <w:b/>
          <w:bCs/>
        </w:rPr>
        <w:t>13.5.4</w:t>
      </w:r>
      <w:r>
        <w:rPr>
          <w:rFonts w:hint="eastAsia" w:ascii="宋体" w:hAnsi="宋体" w:cs="宋体"/>
          <w:b/>
          <w:bCs/>
        </w:rPr>
        <w:t>项细化为：</w:t>
      </w:r>
    </w:p>
    <w:p>
      <w:pPr>
        <w:adjustRightInd w:val="0"/>
        <w:snapToGrid w:val="0"/>
        <w:spacing w:line="360" w:lineRule="auto"/>
        <w:ind w:firstLine="420" w:firstLineChars="200"/>
        <w:rPr>
          <w:rFonts w:ascii="宋体"/>
        </w:rPr>
      </w:pPr>
      <w:r>
        <w:rPr>
          <w:rFonts w:hint="eastAsia" w:ascii="宋体" w:hAnsi="宋体" w:cs="宋体"/>
        </w:rPr>
        <w:t>承包人未通知监理人到场检查或在未得到监理人指示的情况下，不得将隐蔽部位私自覆盖。若承包人未通知监理人到场检查或在未得到监理人指示的情况下私自将工程隐蔽部位覆盖的，监理人有权指示承包人钻孔探测或揭开检查，由此增加的费用和（或）工期延误由承包人承担。</w:t>
      </w:r>
    </w:p>
    <w:p>
      <w:pPr>
        <w:adjustRightInd w:val="0"/>
        <w:snapToGrid w:val="0"/>
        <w:spacing w:line="360" w:lineRule="auto"/>
        <w:rPr>
          <w:rFonts w:ascii="宋体"/>
          <w:b/>
          <w:bCs/>
          <w:snapToGrid w:val="0"/>
          <w:kern w:val="0"/>
        </w:rPr>
      </w:pPr>
      <w:r>
        <w:rPr>
          <w:rFonts w:hint="eastAsia" w:ascii="宋体" w:hAnsi="宋体" w:cs="宋体"/>
          <w:b/>
          <w:bCs/>
          <w:snapToGrid w:val="0"/>
          <w:kern w:val="0"/>
        </w:rPr>
        <w:t>第31条 通用合同条款第</w:t>
      </w:r>
      <w:r>
        <w:rPr>
          <w:rFonts w:ascii="宋体" w:hAnsi="宋体" w:cs="宋体"/>
          <w:b/>
          <w:bCs/>
          <w:snapToGrid w:val="0"/>
          <w:kern w:val="0"/>
        </w:rPr>
        <w:t>14.3</w:t>
      </w:r>
      <w:r>
        <w:rPr>
          <w:rFonts w:hint="eastAsia" w:ascii="宋体" w:hAnsi="宋体" w:cs="宋体"/>
          <w:b/>
          <w:bCs/>
          <w:snapToGrid w:val="0"/>
          <w:kern w:val="0"/>
        </w:rPr>
        <w:t>款补充：</w:t>
      </w:r>
    </w:p>
    <w:p>
      <w:pPr>
        <w:adjustRightInd w:val="0"/>
        <w:snapToGrid w:val="0"/>
        <w:spacing w:line="360" w:lineRule="auto"/>
        <w:ind w:firstLine="420" w:firstLineChars="200"/>
        <w:rPr>
          <w:rFonts w:ascii="宋体"/>
        </w:rPr>
      </w:pPr>
      <w:r>
        <w:rPr>
          <w:rFonts w:hint="eastAsia" w:ascii="宋体" w:hAnsi="宋体" w:cs="宋体"/>
        </w:rPr>
        <w:t>工程施工实行首件验收制度，承包人应合理安排施工计划，各分项工程首件完成后需经监理工程师组织验收合格，并明确完善施工工艺后方可进行大面积施工。</w:t>
      </w:r>
    </w:p>
    <w:p>
      <w:pPr>
        <w:adjustRightInd w:val="0"/>
        <w:snapToGrid w:val="0"/>
        <w:spacing w:line="360" w:lineRule="auto"/>
        <w:ind w:firstLine="420" w:firstLineChars="200"/>
        <w:rPr>
          <w:rFonts w:ascii="宋体"/>
        </w:rPr>
      </w:pPr>
      <w:r>
        <w:rPr>
          <w:rFonts w:hint="eastAsia" w:ascii="宋体" w:hAnsi="宋体" w:cs="宋体"/>
        </w:rPr>
        <w:t>承包人应做好各施工工序的施工影像资料，及时按照监理和发包人要求提供符合要求的施工影像资料。</w:t>
      </w:r>
    </w:p>
    <w:p>
      <w:pPr>
        <w:adjustRightInd w:val="0"/>
        <w:snapToGrid w:val="0"/>
        <w:spacing w:line="360" w:lineRule="auto"/>
        <w:rPr>
          <w:rFonts w:ascii="宋体"/>
          <w:snapToGrid w:val="0"/>
          <w:kern w:val="0"/>
        </w:rPr>
      </w:pPr>
      <w:r>
        <w:rPr>
          <w:rFonts w:hint="eastAsia" w:ascii="宋体" w:hAnsi="宋体" w:cs="宋体"/>
          <w:b/>
          <w:bCs/>
          <w:snapToGrid w:val="0"/>
          <w:kern w:val="0"/>
        </w:rPr>
        <w:t xml:space="preserve">第32条 </w:t>
      </w:r>
      <w:r>
        <w:rPr>
          <w:rFonts w:hint="eastAsia" w:ascii="宋体" w:hAnsi="宋体" w:cs="宋体"/>
          <w:b/>
          <w:bCs/>
        </w:rPr>
        <w:t>通用合同条款补充第</w:t>
      </w:r>
      <w:r>
        <w:rPr>
          <w:rFonts w:ascii="宋体" w:hAnsi="宋体" w:cs="宋体"/>
          <w:b/>
          <w:bCs/>
        </w:rPr>
        <w:t>14.5</w:t>
      </w:r>
      <w:r>
        <w:rPr>
          <w:rFonts w:hint="eastAsia" w:ascii="宋体" w:hAnsi="宋体" w:cs="宋体"/>
          <w:b/>
          <w:bCs/>
        </w:rPr>
        <w:t>款：</w:t>
      </w:r>
    </w:p>
    <w:p>
      <w:pPr>
        <w:adjustRightInd w:val="0"/>
        <w:snapToGrid w:val="0"/>
        <w:spacing w:line="360" w:lineRule="auto"/>
        <w:ind w:firstLine="420" w:firstLineChars="200"/>
        <w:rPr>
          <w:rFonts w:hint="eastAsia" w:ascii="宋体" w:hAnsi="宋体" w:cs="宋体"/>
        </w:rPr>
      </w:pPr>
      <w:r>
        <w:rPr>
          <w:rFonts w:hint="eastAsia" w:ascii="宋体" w:hAnsi="宋体" w:cs="宋体"/>
        </w:rPr>
        <w:t>承包人应在监理人要求的时间内，应建立工地试验室或委托有资质的试验检测单位，配备工程所需的一切试验和检验设备，工地试验室或试验检测单位设备须由计量部门标定，并通过天津市相关质量监督部门对其进行的技术资质审查，施工期间所有检测仪器、仪表、计量用具须定期校正，以保证其应有的精度；承包人必须无条件接受质量监督部门对其进行监督、管理。</w:t>
      </w:r>
    </w:p>
    <w:p>
      <w:pPr>
        <w:adjustRightInd w:val="0"/>
        <w:snapToGrid w:val="0"/>
        <w:spacing w:line="360" w:lineRule="auto"/>
        <w:ind w:firstLine="420" w:firstLineChars="200"/>
        <w:rPr>
          <w:rFonts w:ascii="宋体" w:hAnsi="宋体" w:cs="宋体"/>
        </w:rPr>
      </w:pPr>
      <w:r>
        <w:rPr>
          <w:rFonts w:hint="eastAsia" w:ascii="宋体" w:hAnsi="宋体" w:cs="宋体"/>
        </w:rPr>
        <w:t>若承包人自建工地试验室，面积应不小于350平方米，工地试验室可自建或租用沿线合适的单位或民房，但必须坚固、安全、适用、美观，并满足工作、生活需求。自建房屋最低标准为活动板房，建设宜选用阻燃材料，搭建不得超过两层，房间净高不低于2.6m。自建工地试验室需在合同生效后35天内组建完毕报监理人审查后，报发包人进行工地试验室人员和试验项目的认定。工地试验室的规模、设备、人员资格、数量应满足现场试验工作需要，实验仪器要具备数据上传功能。工地试验室须按照质监部门要求配备办公电脑、打印机及相关试验内业管理软件，费用由承包人承担。如超出监理人所要求的日期，监理人有权在工程款中扣留</w:t>
      </w:r>
      <w:r>
        <w:rPr>
          <w:rFonts w:hint="eastAsia" w:ascii="宋体" w:hAnsi="宋体" w:cs="宋体"/>
          <w:lang w:val="en-US" w:eastAsia="zh-CN"/>
        </w:rPr>
        <w:t>20</w:t>
      </w:r>
      <w:r>
        <w:rPr>
          <w:rFonts w:hint="eastAsia" w:ascii="宋体" w:hAnsi="宋体" w:cs="宋体"/>
        </w:rPr>
        <w:t>万元人民币，作为承包人配备试验检验设备的保证金，待承包人配备的试验检验设备，报经监理人查验合格后，将退还</w:t>
      </w:r>
      <w:r>
        <w:rPr>
          <w:rFonts w:hint="eastAsia" w:ascii="宋体" w:hAnsi="宋体" w:cs="宋体"/>
          <w:lang w:val="en-US" w:eastAsia="zh-CN"/>
        </w:rPr>
        <w:t>20</w:t>
      </w:r>
      <w:r>
        <w:rPr>
          <w:rFonts w:hint="eastAsia" w:ascii="宋体" w:hAnsi="宋体" w:cs="宋体"/>
        </w:rPr>
        <w:t>万元人民币保证金（不计利息）。自接到监理人扣留的试验检验设备保证金通知单之日起，承包人在7日内仍未按监理人的要求配备试验检验设备，发包人和监理人将动用保证金协助承包人建立工地试验室，余额待工地试验室建立后退还承包人。如有不足，发包人和监理人有权自任意一笔应付费用中抵扣。</w:t>
      </w:r>
    </w:p>
    <w:p>
      <w:pPr>
        <w:ind w:right="-105" w:rightChars="-50"/>
        <w:rPr>
          <w:rFonts w:ascii="宋体" w:hAnsi="宋体" w:cs="宋体"/>
          <w:b/>
          <w:bCs/>
        </w:rPr>
      </w:pPr>
      <w:r>
        <w:rPr>
          <w:rFonts w:hint="eastAsia" w:ascii="宋体" w:hAnsi="宋体" w:cs="宋体"/>
          <w:b/>
          <w:bCs/>
          <w:snapToGrid w:val="0"/>
          <w:kern w:val="0"/>
        </w:rPr>
        <w:t xml:space="preserve">第33条 </w:t>
      </w:r>
      <w:r>
        <w:rPr>
          <w:rFonts w:hint="eastAsia" w:ascii="宋体" w:hAnsi="宋体" w:cs="宋体"/>
          <w:b/>
          <w:bCs/>
        </w:rPr>
        <w:t>通用合同条款补充第</w:t>
      </w:r>
      <w:r>
        <w:rPr>
          <w:rFonts w:ascii="宋体" w:hAnsi="宋体" w:cs="宋体"/>
          <w:b/>
          <w:bCs/>
        </w:rPr>
        <w:t>15.3</w:t>
      </w:r>
      <w:r>
        <w:rPr>
          <w:rFonts w:hint="eastAsia" w:ascii="宋体" w:hAnsi="宋体" w:cs="宋体"/>
          <w:b/>
          <w:bCs/>
        </w:rPr>
        <w:t>款：</w:t>
      </w:r>
    </w:p>
    <w:p>
      <w:pPr>
        <w:adjustRightInd w:val="0"/>
        <w:snapToGrid w:val="0"/>
        <w:spacing w:line="360" w:lineRule="auto"/>
        <w:ind w:firstLine="420" w:firstLineChars="200"/>
        <w:rPr>
          <w:rFonts w:hint="eastAsia" w:ascii="宋体" w:hAnsi="宋体" w:cs="宋体"/>
        </w:rPr>
      </w:pPr>
      <w:r>
        <w:rPr>
          <w:rFonts w:hint="eastAsia" w:ascii="宋体" w:hAnsi="宋体" w:cs="宋体"/>
        </w:rPr>
        <w:t>增加15.3.4本项目的设计变更程序按《天津市公路养护工程管理办法》执行。工程实施过程中需要设计变更的，重大变更将依据有关规定报原审批单位进行审批，一般变更由</w:t>
      </w:r>
      <w:r>
        <w:rPr>
          <w:rFonts w:hint="eastAsia"/>
        </w:rPr>
        <w:t>市公路中心</w:t>
      </w:r>
      <w:r>
        <w:rPr>
          <w:rFonts w:hint="eastAsia" w:ascii="宋体" w:hAnsi="宋体" w:cs="宋体"/>
        </w:rPr>
        <w:t>负责审查，在实施前需告知监理单位，发包人认为变更不合理的有权予以否定。</w:t>
      </w:r>
    </w:p>
    <w:p>
      <w:pPr>
        <w:tabs>
          <w:tab w:val="left" w:pos="5460"/>
        </w:tabs>
        <w:adjustRightInd w:val="0"/>
        <w:snapToGrid w:val="0"/>
        <w:spacing w:line="360" w:lineRule="auto"/>
        <w:rPr>
          <w:rFonts w:ascii="宋体"/>
          <w:b/>
          <w:bCs/>
          <w:snapToGrid w:val="0"/>
          <w:kern w:val="0"/>
        </w:rPr>
      </w:pPr>
      <w:r>
        <w:rPr>
          <w:rFonts w:hint="eastAsia" w:ascii="宋体" w:hAnsi="宋体" w:cs="宋体"/>
          <w:b/>
          <w:bCs/>
          <w:snapToGrid w:val="0"/>
          <w:kern w:val="0"/>
        </w:rPr>
        <w:t xml:space="preserve">第34条 </w:t>
      </w:r>
      <w:r>
        <w:rPr>
          <w:rFonts w:hint="eastAsia" w:ascii="宋体" w:hAnsi="宋体" w:cs="宋体"/>
          <w:b/>
          <w:bCs/>
        </w:rPr>
        <w:t>通用合同条款补充第</w:t>
      </w:r>
      <w:r>
        <w:rPr>
          <w:rFonts w:ascii="宋体" w:hAnsi="宋体" w:cs="宋体"/>
          <w:b/>
          <w:bCs/>
        </w:rPr>
        <w:t>15.9</w:t>
      </w:r>
      <w:r>
        <w:rPr>
          <w:rFonts w:hint="eastAsia" w:ascii="宋体" w:hAnsi="宋体" w:cs="宋体"/>
          <w:b/>
          <w:bCs/>
        </w:rPr>
        <w:t>款：</w:t>
      </w:r>
    </w:p>
    <w:p>
      <w:pPr>
        <w:adjustRightInd w:val="0"/>
        <w:snapToGrid w:val="0"/>
        <w:spacing w:line="360" w:lineRule="auto"/>
        <w:ind w:firstLine="420" w:firstLineChars="200"/>
        <w:rPr>
          <w:rFonts w:ascii="宋体"/>
        </w:rPr>
      </w:pPr>
      <w:r>
        <w:rPr>
          <w:rFonts w:hint="eastAsia" w:ascii="宋体" w:hAnsi="宋体" w:cs="宋体"/>
        </w:rPr>
        <w:t>承包人接到监理人发出的变更指示后，应立即组织变更工程的实施。本项目发生的设计变更，原则上由原承包人实施，原承包人不具备相应资质的，发包人可选择具备相应资质的承包人实施。</w:t>
      </w:r>
    </w:p>
    <w:p>
      <w:pPr>
        <w:adjustRightInd w:val="0"/>
        <w:snapToGrid w:val="0"/>
        <w:spacing w:line="360" w:lineRule="auto"/>
        <w:rPr>
          <w:rFonts w:ascii="宋体"/>
        </w:rPr>
      </w:pPr>
      <w:r>
        <w:rPr>
          <w:rFonts w:hint="eastAsia" w:ascii="宋体" w:hAnsi="宋体" w:cs="宋体"/>
          <w:b/>
          <w:bCs/>
          <w:snapToGrid w:val="0"/>
          <w:kern w:val="0"/>
        </w:rPr>
        <w:t xml:space="preserve">第35条 </w:t>
      </w:r>
      <w:r>
        <w:rPr>
          <w:rFonts w:hint="eastAsia" w:ascii="宋体" w:hAnsi="宋体" w:cs="宋体"/>
          <w:b/>
          <w:bCs/>
        </w:rPr>
        <w:t>通用合同条款补充第</w:t>
      </w:r>
      <w:r>
        <w:rPr>
          <w:rFonts w:ascii="宋体" w:hAnsi="宋体" w:cs="宋体"/>
          <w:b/>
          <w:bCs/>
        </w:rPr>
        <w:t>15.10</w:t>
      </w:r>
      <w:r>
        <w:rPr>
          <w:rFonts w:hint="eastAsia" w:ascii="宋体" w:hAnsi="宋体" w:cs="宋体"/>
          <w:b/>
          <w:bCs/>
        </w:rPr>
        <w:t>款：</w:t>
      </w:r>
    </w:p>
    <w:p>
      <w:pPr>
        <w:adjustRightInd w:val="0"/>
        <w:snapToGrid w:val="0"/>
        <w:spacing w:line="360" w:lineRule="auto"/>
        <w:ind w:firstLine="420" w:firstLineChars="200"/>
        <w:rPr>
          <w:rFonts w:ascii="宋体"/>
        </w:rPr>
      </w:pPr>
      <w:r>
        <w:rPr>
          <w:rFonts w:hint="eastAsia" w:ascii="宋体" w:hAnsi="宋体" w:cs="宋体"/>
        </w:rPr>
        <w:t>承包人或发包人就变更工程选择的承包人在变更工程实施过程中或完成后，监理人应组织发包人（及其委托的具有相应资质的单位）和承包人对所发生的变更工程进行现场量测，计算出准确变更工程量。发包人依此数量和按照</w:t>
      </w:r>
      <w:r>
        <w:rPr>
          <w:rFonts w:ascii="宋体" w:hAnsi="宋体" w:cs="宋体"/>
        </w:rPr>
        <w:t>15.3.2</w:t>
      </w:r>
      <w:r>
        <w:rPr>
          <w:rFonts w:hint="eastAsia" w:ascii="宋体" w:hAnsi="宋体" w:cs="宋体"/>
        </w:rPr>
        <w:t>（</w:t>
      </w:r>
      <w:r>
        <w:rPr>
          <w:rFonts w:ascii="宋体" w:hAnsi="宋体" w:cs="宋体"/>
        </w:rPr>
        <w:t>3</w:t>
      </w:r>
      <w:r>
        <w:rPr>
          <w:rFonts w:hint="eastAsia" w:ascii="宋体" w:hAnsi="宋体" w:cs="宋体"/>
        </w:rPr>
        <w:t>）商定或确定的变更价格为依据，对承包人的变更工程进行计量与支付。</w:t>
      </w:r>
    </w:p>
    <w:p>
      <w:pPr>
        <w:autoSpaceDE w:val="0"/>
        <w:autoSpaceDN w:val="0"/>
        <w:adjustRightInd w:val="0"/>
        <w:snapToGrid w:val="0"/>
        <w:spacing w:line="360" w:lineRule="auto"/>
        <w:ind w:firstLine="16"/>
        <w:rPr>
          <w:rFonts w:ascii="宋体"/>
          <w:b/>
          <w:bCs/>
        </w:rPr>
      </w:pPr>
      <w:r>
        <w:rPr>
          <w:rFonts w:hint="eastAsia" w:ascii="宋体" w:hAnsi="宋体" w:cs="宋体"/>
          <w:b/>
          <w:bCs/>
          <w:snapToGrid w:val="0"/>
          <w:kern w:val="0"/>
        </w:rPr>
        <w:t xml:space="preserve">第36条 </w:t>
      </w:r>
      <w:r>
        <w:rPr>
          <w:rFonts w:hint="eastAsia" w:ascii="宋体" w:hAnsi="宋体" w:cs="宋体"/>
          <w:b/>
          <w:bCs/>
        </w:rPr>
        <w:t>通用合同条款补充第</w:t>
      </w:r>
      <w:r>
        <w:rPr>
          <w:rFonts w:ascii="宋体" w:hAnsi="宋体" w:cs="宋体"/>
          <w:b/>
          <w:bCs/>
        </w:rPr>
        <w:t>15.11</w:t>
      </w:r>
      <w:r>
        <w:rPr>
          <w:rFonts w:hint="eastAsia" w:ascii="宋体" w:hAnsi="宋体" w:cs="宋体"/>
          <w:b/>
          <w:bCs/>
        </w:rPr>
        <w:t>款：</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承包人应在施工前认真审核图纸，如发现图纸与现场实际情况不符时，应在</w:t>
      </w:r>
      <w:r>
        <w:rPr>
          <w:rFonts w:ascii="宋体" w:hAnsi="宋体" w:cs="宋体"/>
          <w:snapToGrid w:val="0"/>
          <w:kern w:val="0"/>
        </w:rPr>
        <w:t>3</w:t>
      </w:r>
      <w:r>
        <w:rPr>
          <w:rFonts w:hint="eastAsia" w:ascii="宋体" w:hAnsi="宋体" w:cs="宋体"/>
          <w:snapToGrid w:val="0"/>
          <w:kern w:val="0"/>
        </w:rPr>
        <w:t>日内上报监理人和发包人，经四方洽商同意后方能进行施工，并在施工验收合格的</w:t>
      </w:r>
      <w:r>
        <w:rPr>
          <w:rFonts w:ascii="宋体" w:hAnsi="宋体" w:cs="宋体"/>
          <w:snapToGrid w:val="0"/>
          <w:kern w:val="0"/>
        </w:rPr>
        <w:t>3</w:t>
      </w:r>
      <w:r>
        <w:rPr>
          <w:rFonts w:hint="eastAsia" w:ascii="宋体" w:hAnsi="宋体" w:cs="宋体"/>
          <w:snapToGrid w:val="0"/>
          <w:kern w:val="0"/>
        </w:rPr>
        <w:t>个月内依据变更令做变更计量，对于验收合格</w:t>
      </w:r>
      <w:r>
        <w:rPr>
          <w:rFonts w:ascii="宋体" w:hAnsi="宋体" w:cs="宋体"/>
          <w:snapToGrid w:val="0"/>
          <w:kern w:val="0"/>
        </w:rPr>
        <w:t>3</w:t>
      </w:r>
      <w:r>
        <w:rPr>
          <w:rFonts w:hint="eastAsia" w:ascii="宋体" w:hAnsi="宋体" w:cs="宋体"/>
          <w:snapToGrid w:val="0"/>
          <w:kern w:val="0"/>
        </w:rPr>
        <w:t>个月后承包商上报的变更计量和未经监理人、发包人批准而擅自施工的项目，发包人有权不予审核支付。</w:t>
      </w:r>
    </w:p>
    <w:p>
      <w:pPr>
        <w:adjustRightInd w:val="0"/>
        <w:snapToGrid w:val="0"/>
        <w:spacing w:line="360" w:lineRule="auto"/>
        <w:rPr>
          <w:rFonts w:ascii="宋体" w:hAnsi="宋体" w:cs="宋体"/>
          <w:snapToGrid w:val="0"/>
          <w:kern w:val="0"/>
        </w:rPr>
      </w:pPr>
      <w:r>
        <w:rPr>
          <w:rFonts w:hint="eastAsia" w:hAnsi="宋体"/>
          <w:b/>
          <w:bCs/>
          <w:snapToGrid w:val="0"/>
          <w:kern w:val="0"/>
        </w:rPr>
        <w:t>第</w:t>
      </w:r>
      <w:r>
        <w:rPr>
          <w:rFonts w:hint="eastAsia" w:ascii="宋体" w:hAnsi="宋体"/>
          <w:b/>
          <w:bCs/>
          <w:snapToGrid w:val="0"/>
          <w:kern w:val="0"/>
          <w:szCs w:val="20"/>
        </w:rPr>
        <w:t>37</w:t>
      </w:r>
      <w:r>
        <w:rPr>
          <w:rFonts w:hint="eastAsia" w:hAnsi="宋体"/>
          <w:b/>
          <w:bCs/>
          <w:snapToGrid w:val="0"/>
          <w:kern w:val="0"/>
        </w:rPr>
        <w:t xml:space="preserve">条 </w:t>
      </w:r>
      <w:r>
        <w:rPr>
          <w:rFonts w:hint="eastAsia" w:ascii="宋体" w:hAnsi="宋体" w:cs="宋体"/>
          <w:b/>
          <w:bCs/>
        </w:rPr>
        <w:t>公路工程专用</w:t>
      </w:r>
      <w:r>
        <w:rPr>
          <w:rFonts w:hint="eastAsia" w:hAnsi="宋体"/>
          <w:b/>
          <w:bCs/>
        </w:rPr>
        <w:t>合同条款</w:t>
      </w:r>
      <w:r>
        <w:rPr>
          <w:rFonts w:hint="eastAsia" w:hAnsi="宋体"/>
          <w:b/>
          <w:bCs/>
          <w:snapToGrid w:val="0"/>
          <w:kern w:val="0"/>
        </w:rPr>
        <w:t>第17.1.5 目细化为：</w:t>
      </w:r>
    </w:p>
    <w:p>
      <w:pPr>
        <w:adjustRightInd w:val="0"/>
        <w:snapToGrid w:val="0"/>
        <w:spacing w:line="360" w:lineRule="auto"/>
        <w:rPr>
          <w:rFonts w:ascii="宋体" w:hAnsi="宋体" w:cs="宋体"/>
          <w:snapToGrid w:val="0"/>
          <w:kern w:val="0"/>
        </w:rPr>
      </w:pPr>
      <w:r>
        <w:rPr>
          <w:rFonts w:hint="eastAsia" w:ascii="宋体" w:hAnsi="宋体" w:cs="宋体"/>
          <w:snapToGrid w:val="0"/>
          <w:kern w:val="0"/>
        </w:rPr>
        <w:t>本项目工程量清单中总额价子目的支付原则和支付进度：</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保险费根据保险公司的保单经监理人签证后由发包人一次性支付承包人。其它由监理人发出开工通知，且承包人的施工进度计划、施工方案（含专项方案）被监理人审核批复并按规范要求及监理人指示落实相关措施后，发包人将经监理人确认的金额支付给承包人。</w:t>
      </w:r>
    </w:p>
    <w:p>
      <w:pPr>
        <w:adjustRightInd w:val="0"/>
        <w:snapToGrid w:val="0"/>
        <w:spacing w:line="360" w:lineRule="auto"/>
        <w:rPr>
          <w:rFonts w:ascii="宋体" w:hAnsi="宋体"/>
          <w:b/>
          <w:bCs/>
          <w:snapToGrid w:val="0"/>
          <w:kern w:val="0"/>
          <w:szCs w:val="20"/>
        </w:rPr>
      </w:pPr>
      <w:r>
        <w:rPr>
          <w:rFonts w:hint="eastAsia" w:ascii="宋体" w:hAnsi="宋体" w:cs="宋体"/>
          <w:b/>
          <w:bCs/>
          <w:snapToGrid w:val="0"/>
          <w:kern w:val="0"/>
          <w:szCs w:val="20"/>
        </w:rPr>
        <w:t xml:space="preserve">第38条 </w:t>
      </w:r>
      <w:r>
        <w:rPr>
          <w:rFonts w:hint="eastAsia" w:ascii="宋体" w:hAnsi="宋体" w:cs="宋体"/>
          <w:b/>
          <w:bCs/>
          <w:szCs w:val="20"/>
        </w:rPr>
        <w:t>公路工程专用</w:t>
      </w:r>
      <w:r>
        <w:rPr>
          <w:rFonts w:hint="eastAsia" w:ascii="宋体" w:hAnsi="宋体"/>
          <w:b/>
          <w:bCs/>
          <w:szCs w:val="20"/>
        </w:rPr>
        <w:t>合同条款第</w:t>
      </w:r>
      <w:r>
        <w:rPr>
          <w:rFonts w:ascii="宋体" w:hAnsi="宋体"/>
          <w:b/>
          <w:bCs/>
          <w:szCs w:val="20"/>
        </w:rPr>
        <w:t>17.2.1</w:t>
      </w:r>
      <w:r>
        <w:rPr>
          <w:rFonts w:hint="eastAsia" w:ascii="宋体" w:hAnsi="宋体"/>
          <w:b/>
          <w:bCs/>
          <w:szCs w:val="20"/>
        </w:rPr>
        <w:t>（</w:t>
      </w:r>
      <w:r>
        <w:rPr>
          <w:rFonts w:ascii="宋体" w:hAnsi="宋体"/>
          <w:b/>
          <w:bCs/>
          <w:szCs w:val="20"/>
        </w:rPr>
        <w:t>1</w:t>
      </w:r>
      <w:r>
        <w:rPr>
          <w:rFonts w:hint="eastAsia" w:ascii="宋体" w:hAnsi="宋体"/>
          <w:b/>
          <w:bCs/>
          <w:szCs w:val="20"/>
        </w:rPr>
        <w:t>）目细化为：</w:t>
      </w:r>
    </w:p>
    <w:p>
      <w:pPr>
        <w:adjustRightInd w:val="0"/>
        <w:snapToGrid w:val="0"/>
        <w:spacing w:line="360" w:lineRule="auto"/>
        <w:ind w:firstLine="420" w:firstLineChars="200"/>
        <w:rPr>
          <w:rFonts w:hint="eastAsia" w:ascii="宋体" w:hAnsi="宋体" w:cs="宋体"/>
          <w:snapToGrid w:val="0"/>
          <w:kern w:val="0"/>
        </w:rPr>
      </w:pPr>
      <w:r>
        <w:rPr>
          <w:rFonts w:hint="eastAsia" w:ascii="宋体" w:hAnsi="宋体" w:cs="宋体"/>
          <w:snapToGrid w:val="0"/>
          <w:kern w:val="0"/>
        </w:rPr>
        <w:t>开工预付款：发包人在合同协议书签订后，承包人标书中承诺的主要人员及主要施工机械设备进场后，经监理人和发包人审批同意后一次性全额支付。其中开工预付款中含全额安全生产费。</w:t>
      </w:r>
    </w:p>
    <w:p>
      <w:pPr>
        <w:adjustRightInd w:val="0"/>
        <w:snapToGrid w:val="0"/>
        <w:spacing w:line="360" w:lineRule="auto"/>
        <w:ind w:firstLine="420" w:firstLineChars="200"/>
        <w:rPr>
          <w:rFonts w:ascii="宋体" w:hAnsi="宋体" w:cs="宋体"/>
          <w:b/>
          <w:bCs/>
          <w:snapToGrid w:val="0"/>
          <w:kern w:val="0"/>
        </w:rPr>
      </w:pPr>
      <w:r>
        <w:rPr>
          <w:rFonts w:hint="eastAsia" w:ascii="宋体" w:hAnsi="宋体" w:cs="宋体"/>
          <w:snapToGrid w:val="0"/>
          <w:kern w:val="0"/>
        </w:rPr>
        <w:t>承包人不得将该预付款用于与本工程无关的支出，监理人有权监督承包人对该项费用的使用</w:t>
      </w:r>
      <w:r>
        <w:rPr>
          <w:rFonts w:hint="eastAsia" w:ascii="宋体" w:hAnsi="宋体" w:cs="宋体"/>
        </w:rPr>
        <w:t>。</w:t>
      </w:r>
    </w:p>
    <w:p>
      <w:pPr>
        <w:adjustRightInd w:val="0"/>
        <w:snapToGrid w:val="0"/>
        <w:spacing w:line="360" w:lineRule="auto"/>
        <w:rPr>
          <w:rFonts w:hint="eastAsia" w:ascii="宋体" w:hAnsi="宋体" w:cs="宋体"/>
          <w:b/>
          <w:bCs/>
          <w:snapToGrid w:val="0"/>
          <w:kern w:val="0"/>
        </w:rPr>
      </w:pPr>
      <w:r>
        <w:rPr>
          <w:rFonts w:hint="eastAsia" w:ascii="宋体" w:hAnsi="宋体" w:cs="宋体"/>
          <w:b/>
          <w:bCs/>
          <w:snapToGrid w:val="0"/>
          <w:kern w:val="0"/>
        </w:rPr>
        <w:t>第39条 通用合同条款第17.3.3（4）项细化为：</w:t>
      </w:r>
    </w:p>
    <w:p>
      <w:pPr>
        <w:adjustRightInd w:val="0"/>
        <w:snapToGrid w:val="0"/>
        <w:spacing w:line="360" w:lineRule="auto"/>
        <w:ind w:firstLine="420" w:firstLineChars="200"/>
        <w:rPr>
          <w:rFonts w:hint="eastAsia" w:ascii="宋体" w:hAnsi="宋体" w:cs="宋体"/>
        </w:rPr>
      </w:pPr>
      <w:r>
        <w:rPr>
          <w:rFonts w:hint="eastAsia" w:ascii="宋体" w:hAnsi="宋体" w:cs="宋体"/>
        </w:rPr>
        <w:t>建设单位收到上级部门下达的项目资金后，依据发包人申报的资金使用申请，将进度应付款支付给承包人，承包人应及时开具正式发票。因上级部门资金下达延误导致建设单位或发包人不能如期支付款项的，建设单位和发包人不承担违约责任，承包人不得以此为由暂停工程施工或延误工程进度。</w:t>
      </w:r>
    </w:p>
    <w:p>
      <w:pPr>
        <w:adjustRightInd w:val="0"/>
        <w:snapToGrid w:val="0"/>
        <w:spacing w:line="360" w:lineRule="auto"/>
        <w:rPr>
          <w:rFonts w:ascii="宋体"/>
          <w:b/>
          <w:bCs/>
          <w:snapToGrid w:val="0"/>
          <w:kern w:val="0"/>
        </w:rPr>
      </w:pPr>
      <w:r>
        <w:rPr>
          <w:rFonts w:hint="eastAsia" w:ascii="宋体" w:hAnsi="宋体" w:cs="宋体"/>
          <w:b/>
          <w:bCs/>
          <w:snapToGrid w:val="0"/>
          <w:kern w:val="0"/>
        </w:rPr>
        <w:t xml:space="preserve">第40条 </w:t>
      </w:r>
      <w:r>
        <w:rPr>
          <w:rFonts w:hint="eastAsia" w:ascii="宋体" w:hAnsi="宋体" w:cs="宋体"/>
          <w:b/>
          <w:bCs/>
        </w:rPr>
        <w:t>通用合同条款第</w:t>
      </w:r>
      <w:r>
        <w:rPr>
          <w:rFonts w:ascii="宋体" w:hAnsi="宋体" w:cs="宋体"/>
          <w:b/>
          <w:bCs/>
        </w:rPr>
        <w:t>17.3.4</w:t>
      </w:r>
      <w:r>
        <w:rPr>
          <w:rFonts w:hint="eastAsia" w:ascii="宋体" w:hAnsi="宋体" w:cs="宋体"/>
          <w:b/>
          <w:bCs/>
        </w:rPr>
        <w:t>项细化为：</w:t>
      </w:r>
    </w:p>
    <w:p>
      <w:pPr>
        <w:adjustRightInd w:val="0"/>
        <w:snapToGrid w:val="0"/>
        <w:spacing w:line="360" w:lineRule="auto"/>
        <w:ind w:firstLine="420" w:firstLineChars="200"/>
        <w:rPr>
          <w:rFonts w:ascii="宋体"/>
          <w:snapToGrid w:val="0"/>
          <w:kern w:val="0"/>
        </w:rPr>
      </w:pPr>
      <w:r>
        <w:rPr>
          <w:rFonts w:hint="eastAsia" w:ascii="宋体" w:hAnsi="宋体" w:cs="宋体"/>
        </w:rPr>
        <w:t>（</w:t>
      </w:r>
      <w:r>
        <w:rPr>
          <w:rFonts w:ascii="宋体" w:hAnsi="宋体" w:cs="宋体"/>
        </w:rPr>
        <w:t>1</w:t>
      </w:r>
      <w:r>
        <w:rPr>
          <w:rFonts w:hint="eastAsia" w:ascii="宋体" w:hAnsi="宋体" w:cs="宋体"/>
        </w:rPr>
        <w:t>）对于工程量清单中的所有子目计量过程中，监理人所作出计量结果，发包人可以暂时认为正确；但如果发包人（含发包人委托的具备资质的单位）对已完工或部分完工的子目的工程量进行重新量测或计算，其结果与监理人所作出的计量结果不同，而监理人和承包人提不出合理的分析或解释，则以发包人对工程量所进行的重新量测或计算结果作为最终的工程量计量支付依据。同时</w:t>
      </w:r>
      <w:r>
        <w:rPr>
          <w:rFonts w:hint="eastAsia" w:ascii="宋体" w:hAnsi="宋体" w:cs="宋体"/>
          <w:snapToGrid w:val="0"/>
          <w:kern w:val="0"/>
        </w:rPr>
        <w:t>如果发现承包人有蓄意弄虚作假，多报或重复计量工程完成量，以达到骗取工程款目的的情况，发包人有权从计量款中加倍扣回多支付的工程款，作为对发包人的违约补偿金；</w:t>
      </w:r>
    </w:p>
    <w:p>
      <w:pPr>
        <w:tabs>
          <w:tab w:val="left" w:pos="5460"/>
        </w:tabs>
        <w:adjustRightInd w:val="0"/>
        <w:snapToGrid w:val="0"/>
        <w:spacing w:line="360" w:lineRule="auto"/>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在对以往历次已签发的中期支付证书及相关资料进行汇总和复核中发现确有少计、漏计、错计的情况，承包人有权向监理人提出修正申请。监理人在审核确定并报发包人核准后，在本次进度付款中予以调整支付。但发包人保留对监理人未履行职责进行追究的权利。</w:t>
      </w:r>
    </w:p>
    <w:p>
      <w:pPr>
        <w:tabs>
          <w:tab w:val="left" w:pos="5460"/>
        </w:tabs>
        <w:adjustRightInd w:val="0"/>
        <w:snapToGrid w:val="0"/>
        <w:spacing w:line="360" w:lineRule="auto"/>
        <w:rPr>
          <w:rFonts w:ascii="宋体" w:hAnsi="宋体" w:cs="宋体"/>
        </w:rPr>
      </w:pPr>
      <w:r>
        <w:rPr>
          <w:rFonts w:hint="eastAsia" w:ascii="宋体" w:hAnsi="宋体" w:cs="宋体"/>
          <w:b/>
          <w:bCs/>
          <w:snapToGrid w:val="0"/>
          <w:kern w:val="0"/>
        </w:rPr>
        <w:t xml:space="preserve">第41条 </w:t>
      </w:r>
      <w:r>
        <w:rPr>
          <w:rFonts w:hint="eastAsia" w:ascii="宋体" w:hAnsi="宋体" w:cs="宋体"/>
          <w:b/>
          <w:bCs/>
        </w:rPr>
        <w:t>公路工程专用合同条款第</w:t>
      </w:r>
      <w:r>
        <w:rPr>
          <w:rFonts w:hint="eastAsia" w:ascii="宋体" w:hAnsi="宋体" w:cs="宋体"/>
          <w:b/>
          <w:bCs/>
          <w:snapToGrid w:val="0"/>
          <w:kern w:val="0"/>
        </w:rPr>
        <w:t>17.3.5目细化为：</w:t>
      </w:r>
    </w:p>
    <w:p>
      <w:pPr>
        <w:tabs>
          <w:tab w:val="left" w:pos="5460"/>
        </w:tabs>
        <w:adjustRightInd w:val="0"/>
        <w:snapToGrid w:val="0"/>
        <w:spacing w:line="360" w:lineRule="auto"/>
        <w:ind w:firstLine="420" w:firstLineChars="200"/>
        <w:rPr>
          <w:rFonts w:hint="eastAsia" w:ascii="宋体"/>
        </w:rPr>
      </w:pPr>
      <w:r>
        <w:rPr>
          <w:rFonts w:hint="eastAsia" w:ascii="宋体"/>
        </w:rPr>
        <w:t>承包人应严格按照《天津市工程建设领域农民工工资保证金实施办法》（津人社局发【2022】2号）执行。</w:t>
      </w:r>
    </w:p>
    <w:p>
      <w:pPr>
        <w:tabs>
          <w:tab w:val="left" w:pos="5460"/>
        </w:tabs>
        <w:adjustRightInd w:val="0"/>
        <w:snapToGrid w:val="0"/>
        <w:spacing w:line="360" w:lineRule="auto"/>
        <w:rPr>
          <w:rFonts w:ascii="宋体" w:hAnsi="宋体" w:cs="宋体"/>
          <w:b/>
          <w:bCs/>
        </w:rPr>
      </w:pPr>
      <w:r>
        <w:rPr>
          <w:rFonts w:hint="eastAsia" w:ascii="宋体" w:hAnsi="宋体" w:cs="宋体"/>
          <w:b/>
          <w:bCs/>
          <w:snapToGrid w:val="0"/>
          <w:kern w:val="0"/>
        </w:rPr>
        <w:t xml:space="preserve">第42条 </w:t>
      </w:r>
      <w:r>
        <w:rPr>
          <w:rFonts w:hint="eastAsia" w:ascii="宋体" w:hAnsi="宋体" w:cs="宋体"/>
          <w:b/>
          <w:bCs/>
        </w:rPr>
        <w:t>通用合同条款及公路工程专用合同条款第</w:t>
      </w:r>
      <w:r>
        <w:rPr>
          <w:rFonts w:ascii="宋体" w:hAnsi="宋体" w:cs="宋体"/>
          <w:b/>
          <w:bCs/>
        </w:rPr>
        <w:t>1</w:t>
      </w:r>
      <w:r>
        <w:rPr>
          <w:rFonts w:hint="eastAsia" w:ascii="宋体" w:hAnsi="宋体" w:cs="宋体"/>
          <w:b/>
          <w:bCs/>
        </w:rPr>
        <w:t>7</w:t>
      </w:r>
      <w:r>
        <w:rPr>
          <w:rFonts w:ascii="宋体" w:hAnsi="宋体" w:cs="宋体"/>
          <w:b/>
          <w:bCs/>
        </w:rPr>
        <w:t>.</w:t>
      </w:r>
      <w:r>
        <w:rPr>
          <w:rFonts w:hint="eastAsia" w:ascii="宋体" w:hAnsi="宋体" w:cs="宋体"/>
          <w:b/>
          <w:bCs/>
        </w:rPr>
        <w:t>4款细化为：</w:t>
      </w:r>
    </w:p>
    <w:p>
      <w:pPr>
        <w:autoSpaceDE w:val="0"/>
        <w:autoSpaceDN w:val="0"/>
        <w:adjustRightInd w:val="0"/>
        <w:snapToGrid w:val="0"/>
        <w:spacing w:line="360" w:lineRule="auto"/>
        <w:ind w:firstLine="420"/>
        <w:rPr>
          <w:rFonts w:ascii="宋体" w:hAnsi="宋体"/>
        </w:rPr>
      </w:pPr>
      <w:r>
        <w:rPr>
          <w:rFonts w:hint="eastAsia" w:ascii="宋体" w:hAnsi="宋体"/>
        </w:rPr>
        <w:t>（1）质量保证金不计付利息；</w:t>
      </w:r>
    </w:p>
    <w:p>
      <w:pPr>
        <w:autoSpaceDE w:val="0"/>
        <w:autoSpaceDN w:val="0"/>
        <w:adjustRightInd w:val="0"/>
        <w:snapToGrid w:val="0"/>
        <w:spacing w:line="360" w:lineRule="auto"/>
        <w:ind w:firstLine="420"/>
        <w:rPr>
          <w:rFonts w:ascii="宋体" w:hAnsi="宋体"/>
        </w:rPr>
      </w:pPr>
      <w:r>
        <w:rPr>
          <w:rFonts w:hint="eastAsia" w:ascii="宋体" w:hAnsi="宋体"/>
        </w:rPr>
        <w:t>（2）逾期返还质量保证金的违约金支付办法及违约责任：</w:t>
      </w:r>
    </w:p>
    <w:p>
      <w:pPr>
        <w:autoSpaceDE w:val="0"/>
        <w:autoSpaceDN w:val="0"/>
        <w:adjustRightInd w:val="0"/>
        <w:snapToGrid w:val="0"/>
        <w:spacing w:line="360" w:lineRule="auto"/>
        <w:ind w:firstLine="420"/>
        <w:rPr>
          <w:rFonts w:ascii="宋体" w:hAnsi="宋体"/>
        </w:rPr>
      </w:pPr>
      <w:r>
        <w:rPr>
          <w:rFonts w:hint="eastAsia" w:ascii="宋体" w:hAnsi="宋体"/>
        </w:rPr>
        <w:t>发包人不按期支付的，按项目专用合同条款数据表中约定的利率向承包人支付逾期付款违约金。违约金计算基数为发包人的未如期付款额，时间从应付而未付该款额之日算起（不计复利）。</w:t>
      </w:r>
    </w:p>
    <w:p>
      <w:pPr>
        <w:autoSpaceDE w:val="0"/>
        <w:autoSpaceDN w:val="0"/>
        <w:adjustRightInd w:val="0"/>
        <w:snapToGrid w:val="0"/>
        <w:spacing w:line="360" w:lineRule="auto"/>
        <w:ind w:firstLine="420"/>
        <w:rPr>
          <w:rFonts w:ascii="宋体" w:hAnsi="宋体"/>
        </w:rPr>
      </w:pPr>
      <w:r>
        <w:rPr>
          <w:rFonts w:hint="eastAsia" w:ascii="宋体" w:hAnsi="宋体"/>
        </w:rPr>
        <w:t>（3）发包人应当按照约定期限将保证金返还给承包人，对返还期限没有约定或者约定不明确的，发包人应当在核实后14天内将保证金返还承包人，逾期未返还的，依法承担违约责任。根据违约情况向承包人支付一定金额的违约金，具体金额经双方友好协商无法解决时按照合同通用条款24.1（2）方式解决。</w:t>
      </w:r>
    </w:p>
    <w:p>
      <w:pPr>
        <w:spacing w:line="360" w:lineRule="auto"/>
        <w:ind w:firstLine="420" w:firstLineChars="200"/>
        <w:rPr>
          <w:rFonts w:ascii="宋体" w:hAnsi="宋体"/>
        </w:rPr>
      </w:pPr>
      <w:r>
        <w:rPr>
          <w:rFonts w:hint="eastAsia" w:ascii="宋体" w:hAnsi="宋体"/>
        </w:rPr>
        <w:t>（4）在第1.1.4.5目约定的缺陷责任期满，承包人向发包人申请到期应返还承包人剩余的质量保证金金额，发包人应在14天内会同承包人按照合同约定的内容核实承包人是否完成缺陷责任。如无异议，发包人应当在核实后将剩余保证金无息返还承包人。</w:t>
      </w:r>
    </w:p>
    <w:p>
      <w:pPr>
        <w:spacing w:line="360" w:lineRule="auto"/>
        <w:ind w:firstLine="420" w:firstLineChars="200"/>
        <w:rPr>
          <w:rFonts w:hint="eastAsia" w:ascii="宋体" w:hAnsi="宋体"/>
        </w:rPr>
      </w:pPr>
      <w:r>
        <w:rPr>
          <w:rFonts w:hint="eastAsia" w:ascii="宋体" w:hAnsi="宋体"/>
        </w:rPr>
        <w:t>（</w:t>
      </w:r>
      <w:r>
        <w:rPr>
          <w:rFonts w:ascii="宋体" w:hAnsi="宋体"/>
        </w:rPr>
        <w:t>5</w:t>
      </w:r>
      <w:r>
        <w:rPr>
          <w:rFonts w:hint="eastAsia" w:ascii="宋体" w:hAnsi="宋体"/>
        </w:rPr>
        <w:t>）工程竣工后，缺陷责任期内，承包人可向发包人出具质量保证金保函，</w:t>
      </w:r>
      <w:r>
        <w:rPr>
          <w:rFonts w:hint="eastAsia" w:ascii="宋体" w:hAnsi="宋体" w:cs="宋体"/>
          <w:szCs w:val="21"/>
        </w:rPr>
        <w:t>保函可采用银行保函、担保、保险等形式，保证金额与质量保证金等额，</w:t>
      </w:r>
      <w:r>
        <w:rPr>
          <w:rFonts w:hint="eastAsia" w:ascii="宋体" w:hAnsi="宋体"/>
        </w:rPr>
        <w:t>申请支付全部3%质量保证金。</w:t>
      </w:r>
    </w:p>
    <w:p>
      <w:pPr>
        <w:tabs>
          <w:tab w:val="left" w:pos="5460"/>
        </w:tabs>
        <w:adjustRightInd w:val="0"/>
        <w:snapToGrid w:val="0"/>
        <w:spacing w:line="360" w:lineRule="auto"/>
        <w:rPr>
          <w:rFonts w:hint="eastAsia" w:ascii="宋体" w:hAnsi="宋体" w:cs="宋体"/>
          <w:b/>
          <w:bCs/>
        </w:rPr>
      </w:pPr>
      <w:r>
        <w:rPr>
          <w:rFonts w:hint="eastAsia" w:ascii="宋体" w:hAnsi="宋体" w:cs="宋体"/>
          <w:b/>
          <w:bCs/>
          <w:snapToGrid w:val="0"/>
          <w:kern w:val="0"/>
        </w:rPr>
        <w:t xml:space="preserve">第43条 </w:t>
      </w:r>
      <w:r>
        <w:rPr>
          <w:rFonts w:hint="eastAsia" w:ascii="宋体" w:hAnsi="宋体" w:cs="宋体"/>
          <w:b/>
          <w:bCs/>
        </w:rPr>
        <w:t>公路工程专用合同条款第</w:t>
      </w:r>
      <w:r>
        <w:rPr>
          <w:rFonts w:ascii="宋体" w:hAnsi="宋体" w:cs="宋体"/>
          <w:b/>
          <w:bCs/>
        </w:rPr>
        <w:t>1</w:t>
      </w:r>
      <w:r>
        <w:rPr>
          <w:rFonts w:hint="eastAsia" w:ascii="宋体" w:hAnsi="宋体" w:cs="宋体"/>
          <w:b/>
          <w:bCs/>
        </w:rPr>
        <w:t>7</w:t>
      </w:r>
      <w:r>
        <w:rPr>
          <w:rFonts w:ascii="宋体" w:hAnsi="宋体" w:cs="宋体"/>
          <w:b/>
          <w:bCs/>
        </w:rPr>
        <w:t>.</w:t>
      </w:r>
      <w:r>
        <w:rPr>
          <w:rFonts w:hint="eastAsia" w:ascii="宋体" w:hAnsi="宋体" w:cs="宋体"/>
          <w:b/>
          <w:bCs/>
        </w:rPr>
        <w:t>5款补充：</w:t>
      </w:r>
    </w:p>
    <w:p>
      <w:pPr>
        <w:spacing w:line="360" w:lineRule="auto"/>
        <w:ind w:firstLine="420" w:firstLineChars="200"/>
        <w:rPr>
          <w:rFonts w:hint="eastAsia" w:ascii="宋体" w:hAnsi="宋体"/>
        </w:rPr>
      </w:pPr>
      <w:r>
        <w:rPr>
          <w:rFonts w:hint="eastAsia" w:ascii="宋体" w:hAnsi="宋体"/>
        </w:rPr>
        <w:t>本项（3）补充：工程完工后一个月内或发包人要求的时间内，承包人完成竣工结算资料的申报，否则视为违约，课以承包人5万元违约金。</w:t>
      </w:r>
    </w:p>
    <w:p>
      <w:pPr>
        <w:tabs>
          <w:tab w:val="left" w:pos="5460"/>
        </w:tabs>
        <w:adjustRightInd w:val="0"/>
        <w:snapToGrid w:val="0"/>
        <w:spacing w:line="360" w:lineRule="auto"/>
        <w:rPr>
          <w:rFonts w:hint="eastAsia" w:ascii="宋体" w:hAnsi="宋体" w:cs="宋体"/>
          <w:b/>
          <w:bCs/>
          <w:snapToGrid w:val="0"/>
          <w:kern w:val="0"/>
        </w:rPr>
      </w:pPr>
      <w:r>
        <w:rPr>
          <w:rFonts w:hint="eastAsia" w:ascii="宋体" w:hAnsi="宋体" w:cs="宋体"/>
          <w:b/>
          <w:bCs/>
          <w:snapToGrid w:val="0"/>
          <w:kern w:val="0"/>
        </w:rPr>
        <w:t>第44条 公路工程专用合同条款第18.9款细化为：</w:t>
      </w:r>
    </w:p>
    <w:p>
      <w:pPr>
        <w:spacing w:line="360" w:lineRule="auto"/>
        <w:ind w:firstLine="420" w:firstLineChars="200"/>
        <w:rPr>
          <w:rFonts w:hint="eastAsia" w:ascii="宋体" w:hAnsi="宋体"/>
        </w:rPr>
      </w:pPr>
      <w:r>
        <w:rPr>
          <w:rFonts w:hint="eastAsia" w:ascii="宋体" w:hAnsi="宋体"/>
        </w:rPr>
        <w:t>承包人应按照《公路工程竣（交）工验收办法》的相关规定，在缺陷责任期内为竣工验收补充竣工资料，并在竣工验收后一个月内提交，否则视为违约，课以承包人5万元违约金。</w:t>
      </w:r>
    </w:p>
    <w:p>
      <w:pPr>
        <w:adjustRightInd w:val="0"/>
        <w:snapToGrid w:val="0"/>
        <w:spacing w:line="360" w:lineRule="auto"/>
        <w:rPr>
          <w:rFonts w:ascii="宋体" w:hAnsi="宋体"/>
          <w:b/>
          <w:bCs/>
          <w:snapToGrid w:val="0"/>
          <w:kern w:val="0"/>
          <w:szCs w:val="20"/>
        </w:rPr>
      </w:pPr>
      <w:r>
        <w:rPr>
          <w:rFonts w:hint="eastAsia" w:ascii="宋体" w:hAnsi="宋体"/>
          <w:b/>
          <w:bCs/>
          <w:snapToGrid w:val="0"/>
          <w:kern w:val="0"/>
          <w:szCs w:val="20"/>
        </w:rPr>
        <w:t xml:space="preserve">第45条 </w:t>
      </w:r>
      <w:r>
        <w:rPr>
          <w:rFonts w:hint="eastAsia" w:ascii="宋体" w:hAnsi="宋体" w:cs="宋体"/>
          <w:b/>
          <w:bCs/>
          <w:szCs w:val="20"/>
        </w:rPr>
        <w:t>公路工程专用</w:t>
      </w:r>
      <w:r>
        <w:rPr>
          <w:rFonts w:hint="eastAsia" w:ascii="宋体" w:hAnsi="宋体"/>
          <w:b/>
          <w:bCs/>
          <w:snapToGrid w:val="0"/>
          <w:kern w:val="0"/>
          <w:szCs w:val="20"/>
        </w:rPr>
        <w:t>合同条款第</w:t>
      </w:r>
      <w:r>
        <w:rPr>
          <w:rFonts w:ascii="宋体" w:hAnsi="宋体"/>
          <w:b/>
          <w:bCs/>
          <w:snapToGrid w:val="0"/>
          <w:kern w:val="0"/>
          <w:szCs w:val="20"/>
        </w:rPr>
        <w:t>19.7</w:t>
      </w:r>
      <w:r>
        <w:rPr>
          <w:rFonts w:hint="eastAsia" w:ascii="宋体" w:hAnsi="宋体"/>
          <w:b/>
          <w:bCs/>
          <w:snapToGrid w:val="0"/>
          <w:kern w:val="0"/>
          <w:szCs w:val="20"/>
        </w:rPr>
        <w:t>（</w:t>
      </w:r>
      <w:r>
        <w:rPr>
          <w:rFonts w:ascii="宋体" w:hAnsi="宋体"/>
          <w:b/>
          <w:bCs/>
          <w:snapToGrid w:val="0"/>
          <w:kern w:val="0"/>
          <w:szCs w:val="20"/>
        </w:rPr>
        <w:t>4</w:t>
      </w:r>
      <w:r>
        <w:rPr>
          <w:rFonts w:hint="eastAsia" w:ascii="宋体" w:hAnsi="宋体"/>
          <w:b/>
          <w:bCs/>
          <w:snapToGrid w:val="0"/>
          <w:kern w:val="0"/>
          <w:szCs w:val="20"/>
        </w:rPr>
        <w:t>）项细化为：</w:t>
      </w:r>
    </w:p>
    <w:p>
      <w:pPr>
        <w:adjustRightInd w:val="0"/>
        <w:snapToGrid w:val="0"/>
        <w:spacing w:line="360" w:lineRule="auto"/>
        <w:ind w:firstLine="420" w:firstLineChars="200"/>
        <w:rPr>
          <w:rFonts w:hAnsi="宋体" w:cs="宋体"/>
          <w:snapToGrid w:val="0"/>
          <w:kern w:val="0"/>
        </w:rPr>
      </w:pPr>
      <w:r>
        <w:rPr>
          <w:rFonts w:hint="eastAsia" w:hAnsi="宋体" w:cs="宋体"/>
          <w:snapToGrid w:val="0"/>
          <w:kern w:val="0"/>
        </w:rPr>
        <w:t>若承包人不履行或未能按发包人的要求及时履行保修义务和责任，则发包人有权自行或委托其他第三方进行维修，承包人应承担因此所发生的费用（包括支付第三方的维修费、发包人因此而支出的费用及损失等）及违约责任。并由发包人将其违约行为上报省级交通主管部门，作为不良记录纳入天津市公路养护信用信息管理系统。</w:t>
      </w:r>
    </w:p>
    <w:p>
      <w:pPr>
        <w:adjustRightInd w:val="0"/>
        <w:snapToGrid w:val="0"/>
        <w:spacing w:line="360" w:lineRule="auto"/>
        <w:rPr>
          <w:rFonts w:ascii="宋体" w:hAnsi="宋体"/>
          <w:b/>
          <w:bCs/>
          <w:snapToGrid w:val="0"/>
          <w:kern w:val="0"/>
          <w:szCs w:val="20"/>
        </w:rPr>
      </w:pPr>
      <w:r>
        <w:rPr>
          <w:rFonts w:hint="eastAsia" w:ascii="宋体" w:hAnsi="宋体"/>
          <w:b/>
          <w:bCs/>
          <w:snapToGrid w:val="0"/>
          <w:kern w:val="0"/>
          <w:szCs w:val="20"/>
        </w:rPr>
        <w:t xml:space="preserve">第46条 </w:t>
      </w:r>
      <w:r>
        <w:rPr>
          <w:rFonts w:hint="eastAsia" w:ascii="宋体" w:hAnsi="宋体" w:cs="宋体"/>
          <w:b/>
          <w:bCs/>
          <w:szCs w:val="20"/>
        </w:rPr>
        <w:t>公路工程专用</w:t>
      </w:r>
      <w:r>
        <w:rPr>
          <w:rFonts w:hint="eastAsia" w:ascii="宋体" w:hAnsi="宋体"/>
          <w:b/>
          <w:bCs/>
          <w:snapToGrid w:val="0"/>
          <w:kern w:val="0"/>
          <w:szCs w:val="20"/>
        </w:rPr>
        <w:t>合同条款第</w:t>
      </w:r>
      <w:r>
        <w:rPr>
          <w:rFonts w:ascii="宋体" w:hAnsi="宋体"/>
          <w:b/>
          <w:bCs/>
          <w:snapToGrid w:val="0"/>
          <w:kern w:val="0"/>
          <w:szCs w:val="20"/>
        </w:rPr>
        <w:t>20.1</w:t>
      </w:r>
      <w:r>
        <w:rPr>
          <w:rFonts w:hint="eastAsia" w:ascii="宋体" w:hAnsi="宋体"/>
          <w:b/>
          <w:bCs/>
          <w:snapToGrid w:val="0"/>
          <w:kern w:val="0"/>
          <w:szCs w:val="20"/>
        </w:rPr>
        <w:t>款细化为：</w:t>
      </w:r>
    </w:p>
    <w:p>
      <w:pPr>
        <w:adjustRightInd w:val="0"/>
        <w:snapToGrid w:val="0"/>
        <w:spacing w:line="360" w:lineRule="auto"/>
        <w:ind w:firstLine="420" w:firstLineChars="200"/>
        <w:rPr>
          <w:rFonts w:ascii="宋体"/>
        </w:rPr>
      </w:pPr>
      <w:r>
        <w:rPr>
          <w:rFonts w:hint="eastAsia" w:ascii="宋体" w:hAnsi="宋体" w:cs="宋体"/>
        </w:rPr>
        <w:t>建筑工程一切险的投保内容：为本合同工程的永久工程、临时工程和设备及已运至施工工地用于永久工程的材料和设备所投的保险。</w:t>
      </w:r>
    </w:p>
    <w:p>
      <w:pPr>
        <w:adjustRightInd w:val="0"/>
        <w:snapToGrid w:val="0"/>
        <w:spacing w:line="360" w:lineRule="auto"/>
        <w:ind w:firstLine="420" w:firstLineChars="200"/>
        <w:rPr>
          <w:rFonts w:ascii="宋体"/>
        </w:rPr>
      </w:pPr>
      <w:r>
        <w:rPr>
          <w:rFonts w:hint="eastAsia" w:ascii="宋体" w:hAnsi="宋体" w:cs="宋体"/>
        </w:rPr>
        <w:t>保险金额：工程量清单第</w:t>
      </w:r>
      <w:r>
        <w:rPr>
          <w:rFonts w:ascii="宋体" w:hAnsi="宋体" w:cs="宋体"/>
        </w:rPr>
        <w:t>100</w:t>
      </w:r>
      <w:r>
        <w:rPr>
          <w:rFonts w:hint="eastAsia" w:ascii="宋体" w:hAnsi="宋体" w:cs="宋体"/>
        </w:rPr>
        <w:t>章</w:t>
      </w:r>
      <w:r>
        <w:rPr>
          <w:rFonts w:ascii="宋体" w:hAnsi="宋体" w:cs="宋体"/>
        </w:rPr>
        <w:t>（</w:t>
      </w:r>
      <w:r>
        <w:rPr>
          <w:rFonts w:hint="eastAsia" w:ascii="宋体" w:hAnsi="宋体" w:cs="宋体"/>
        </w:rPr>
        <w:t>不含建筑工程一切险及第三者责任险的保险费</w:t>
      </w:r>
      <w:r>
        <w:rPr>
          <w:rFonts w:ascii="宋体" w:hAnsi="宋体" w:cs="宋体"/>
        </w:rPr>
        <w:t>）</w:t>
      </w:r>
      <w:r>
        <w:rPr>
          <w:rFonts w:hint="eastAsia" w:ascii="宋体" w:hAnsi="宋体" w:cs="宋体"/>
        </w:rPr>
        <w:t>至</w:t>
      </w:r>
      <w:r>
        <w:rPr>
          <w:rFonts w:ascii="宋体" w:hAnsi="宋体" w:cs="宋体"/>
        </w:rPr>
        <w:t>700</w:t>
      </w:r>
      <w:r>
        <w:rPr>
          <w:rFonts w:hint="eastAsia" w:ascii="宋体" w:hAnsi="宋体" w:cs="宋体"/>
        </w:rPr>
        <w:t>章的合计金额。</w:t>
      </w:r>
    </w:p>
    <w:p>
      <w:pPr>
        <w:adjustRightInd w:val="0"/>
        <w:snapToGrid w:val="0"/>
        <w:spacing w:line="360" w:lineRule="auto"/>
        <w:ind w:firstLine="420" w:firstLineChars="200"/>
        <w:rPr>
          <w:rFonts w:ascii="宋体"/>
          <w:snapToGrid w:val="0"/>
          <w:kern w:val="0"/>
        </w:rPr>
      </w:pPr>
      <w:r>
        <w:rPr>
          <w:rFonts w:hint="eastAsia" w:ascii="宋体" w:hAnsi="宋体" w:cs="宋体"/>
        </w:rPr>
        <w:t>保险期限：开工日起直至本合同工程签发缺陷责任期终止证书止</w:t>
      </w:r>
      <w:r>
        <w:rPr>
          <w:rFonts w:ascii="宋体" w:hAnsi="宋体" w:cs="宋体"/>
        </w:rPr>
        <w:t>（</w:t>
      </w:r>
      <w:r>
        <w:rPr>
          <w:rFonts w:hint="eastAsia" w:ascii="宋体" w:hAnsi="宋体" w:cs="宋体"/>
        </w:rPr>
        <w:t>即合同工期</w:t>
      </w:r>
      <w:r>
        <w:rPr>
          <w:rFonts w:ascii="宋体" w:hAnsi="宋体" w:cs="宋体"/>
        </w:rPr>
        <w:t>+</w:t>
      </w:r>
      <w:r>
        <w:rPr>
          <w:rFonts w:hint="eastAsia" w:ascii="宋体" w:hAnsi="宋体" w:cs="宋体"/>
        </w:rPr>
        <w:t>缺陷责任期</w:t>
      </w:r>
      <w:r>
        <w:rPr>
          <w:rFonts w:ascii="宋体" w:hAnsi="宋体" w:cs="宋体"/>
        </w:rPr>
        <w:t>）</w:t>
      </w:r>
      <w:r>
        <w:rPr>
          <w:rFonts w:hint="eastAsia" w:ascii="宋体" w:hAnsi="宋体" w:cs="宋体"/>
        </w:rPr>
        <w:t>。</w:t>
      </w:r>
    </w:p>
    <w:p>
      <w:pPr>
        <w:autoSpaceDE w:val="0"/>
        <w:autoSpaceDN w:val="0"/>
        <w:adjustRightInd w:val="0"/>
        <w:snapToGrid w:val="0"/>
        <w:spacing w:line="360" w:lineRule="auto"/>
        <w:ind w:firstLine="434" w:firstLineChars="207"/>
        <w:rPr>
          <w:rFonts w:ascii="宋体" w:hAnsi="宋体"/>
          <w:snapToGrid w:val="0"/>
          <w:kern w:val="0"/>
        </w:rPr>
      </w:pPr>
      <w:r>
        <w:rPr>
          <w:rFonts w:hint="eastAsia" w:ascii="宋体" w:hAnsi="宋体" w:cs="宋体"/>
          <w:snapToGrid w:val="0"/>
          <w:kern w:val="0"/>
        </w:rPr>
        <w:t>保险范围为投保协议规定的一切内容。工程一切险保险费率为</w:t>
      </w:r>
      <w:r>
        <w:rPr>
          <w:rFonts w:hint="eastAsia" w:ascii="宋体" w:hAnsi="宋体"/>
          <w:snapToGrid w:val="0"/>
          <w:kern w:val="0"/>
        </w:rPr>
        <w:t>3.2</w:t>
      </w:r>
      <w:r>
        <w:rPr>
          <w:rFonts w:hint="eastAsia" w:ascii="宋体" w:hAnsi="宋体" w:cs="宋体"/>
          <w:snapToGrid w:val="0"/>
          <w:kern w:val="0"/>
        </w:rPr>
        <w:t>‰，此费率只作为报价的共同基础，不作为支付的依据。</w:t>
      </w:r>
    </w:p>
    <w:p>
      <w:pPr>
        <w:autoSpaceDE w:val="0"/>
        <w:autoSpaceDN w:val="0"/>
        <w:adjustRightInd w:val="0"/>
        <w:snapToGrid w:val="0"/>
        <w:spacing w:line="360" w:lineRule="auto"/>
        <w:ind w:firstLine="434" w:firstLineChars="207"/>
        <w:rPr>
          <w:rFonts w:ascii="宋体"/>
          <w:snapToGrid w:val="0"/>
          <w:kern w:val="0"/>
        </w:rPr>
      </w:pPr>
      <w:r>
        <w:rPr>
          <w:rFonts w:hint="eastAsia" w:hAnsi="宋体" w:cs="宋体"/>
          <w:snapToGrid w:val="0"/>
          <w:kern w:val="0"/>
        </w:rPr>
        <w:t>保险费用包含在报价中，由承包人统一办理手续。</w:t>
      </w:r>
    </w:p>
    <w:p>
      <w:pPr>
        <w:spacing w:line="360" w:lineRule="auto"/>
        <w:rPr>
          <w:rFonts w:hint="eastAsia" w:hAnsi="宋体"/>
          <w:b/>
          <w:bCs/>
          <w:snapToGrid w:val="0"/>
          <w:kern w:val="0"/>
        </w:rPr>
      </w:pPr>
      <w:r>
        <w:rPr>
          <w:rFonts w:hint="eastAsia" w:hAnsi="宋体"/>
          <w:b/>
          <w:bCs/>
          <w:snapToGrid w:val="0"/>
          <w:kern w:val="0"/>
        </w:rPr>
        <w:t>第47条 通用合同条款第20.2.1项补充：</w:t>
      </w:r>
    </w:p>
    <w:p>
      <w:pPr>
        <w:spacing w:line="360" w:lineRule="auto"/>
        <w:ind w:firstLine="420" w:firstLineChars="200"/>
        <w:rPr>
          <w:rFonts w:hint="eastAsia" w:ascii="宋体" w:hAnsi="宋体" w:cs="宋体"/>
          <w:snapToGrid w:val="0"/>
          <w:kern w:val="0"/>
        </w:rPr>
      </w:pPr>
      <w:r>
        <w:rPr>
          <w:rFonts w:hint="eastAsia" w:ascii="宋体" w:hAnsi="宋体" w:cs="宋体"/>
          <w:snapToGrid w:val="0"/>
          <w:kern w:val="0"/>
        </w:rPr>
        <w:t>承包人应严格执行《市人力社保局等六部门关于铁路、公路、水运、水利、能源、机场工程建设项目参加工伤保险工作的实施意见》（津人社局发[2018]40号），按时足额为农民工交纳工伤保险。</w:t>
      </w:r>
    </w:p>
    <w:p>
      <w:pPr>
        <w:adjustRightInd w:val="0"/>
        <w:snapToGrid w:val="0"/>
        <w:spacing w:line="360" w:lineRule="auto"/>
        <w:rPr>
          <w:rFonts w:ascii="宋体" w:hAnsi="宋体"/>
          <w:b/>
          <w:bCs/>
          <w:snapToGrid w:val="0"/>
          <w:kern w:val="0"/>
          <w:szCs w:val="20"/>
        </w:rPr>
      </w:pPr>
      <w:r>
        <w:rPr>
          <w:rFonts w:hint="eastAsia" w:ascii="宋体" w:hAnsi="宋体"/>
          <w:b/>
          <w:bCs/>
          <w:snapToGrid w:val="0"/>
          <w:kern w:val="0"/>
          <w:szCs w:val="20"/>
        </w:rPr>
        <w:t xml:space="preserve">第48条 </w:t>
      </w:r>
      <w:r>
        <w:rPr>
          <w:rFonts w:hint="eastAsia" w:ascii="宋体" w:hAnsi="宋体" w:cs="宋体"/>
          <w:b/>
          <w:bCs/>
          <w:szCs w:val="20"/>
        </w:rPr>
        <w:t>公路工程专用</w:t>
      </w:r>
      <w:r>
        <w:rPr>
          <w:rFonts w:hint="eastAsia" w:ascii="宋体" w:hAnsi="宋体"/>
          <w:b/>
          <w:bCs/>
          <w:snapToGrid w:val="0"/>
          <w:kern w:val="0"/>
          <w:szCs w:val="20"/>
        </w:rPr>
        <w:t>合同条款第</w:t>
      </w:r>
      <w:r>
        <w:rPr>
          <w:rFonts w:ascii="宋体" w:hAnsi="宋体"/>
          <w:b/>
          <w:bCs/>
          <w:snapToGrid w:val="0"/>
          <w:kern w:val="0"/>
          <w:szCs w:val="20"/>
        </w:rPr>
        <w:t>20.4.2</w:t>
      </w:r>
      <w:r>
        <w:rPr>
          <w:rFonts w:hint="eastAsia" w:ascii="宋体" w:hAnsi="宋体"/>
          <w:b/>
          <w:bCs/>
          <w:snapToGrid w:val="0"/>
          <w:kern w:val="0"/>
          <w:szCs w:val="20"/>
        </w:rPr>
        <w:t>项补充：</w:t>
      </w:r>
    </w:p>
    <w:p>
      <w:pPr>
        <w:spacing w:line="360" w:lineRule="auto"/>
        <w:ind w:firstLine="420" w:firstLineChars="200"/>
        <w:rPr>
          <w:rFonts w:ascii="宋体" w:hAnsi="宋体" w:cs="宋体"/>
          <w:snapToGrid w:val="0"/>
          <w:kern w:val="0"/>
        </w:rPr>
      </w:pPr>
      <w:r>
        <w:rPr>
          <w:rFonts w:hint="eastAsia" w:ascii="宋体" w:hAnsi="宋体" w:cs="宋体"/>
          <w:snapToGrid w:val="0"/>
          <w:kern w:val="0"/>
        </w:rPr>
        <w:t>本工程第三者责任险费率为0.8‰，此费率只作为报价的共同基础,不作为支付的依据。保险费用包含在报价中，由承包人统一办理手续。</w:t>
      </w:r>
    </w:p>
    <w:p>
      <w:pPr>
        <w:spacing w:line="360" w:lineRule="auto"/>
        <w:ind w:firstLine="420" w:firstLineChars="200"/>
        <w:rPr>
          <w:rFonts w:hint="eastAsia" w:ascii="宋体" w:hAnsi="宋体" w:cs="宋体"/>
          <w:snapToGrid w:val="0"/>
          <w:kern w:val="0"/>
        </w:rPr>
      </w:pPr>
      <w:r>
        <w:rPr>
          <w:rFonts w:hint="eastAsia" w:ascii="宋体" w:hAnsi="宋体" w:cs="宋体"/>
          <w:snapToGrid w:val="0"/>
          <w:kern w:val="0"/>
        </w:rPr>
        <w:t>保险金额：工程量清单第100章（不含建筑工程一切险及第三者责任险的保险费）至700章的合计金额。</w:t>
      </w:r>
    </w:p>
    <w:p>
      <w:pPr>
        <w:adjustRightInd w:val="0"/>
        <w:snapToGrid w:val="0"/>
        <w:spacing w:line="360" w:lineRule="auto"/>
        <w:rPr>
          <w:rFonts w:ascii="宋体" w:hAnsi="宋体"/>
          <w:b/>
          <w:bCs/>
          <w:snapToGrid w:val="0"/>
          <w:kern w:val="0"/>
          <w:szCs w:val="20"/>
        </w:rPr>
      </w:pPr>
      <w:r>
        <w:rPr>
          <w:rFonts w:hint="eastAsia" w:ascii="宋体" w:hAnsi="宋体"/>
          <w:b/>
          <w:bCs/>
          <w:snapToGrid w:val="0"/>
          <w:kern w:val="0"/>
          <w:szCs w:val="20"/>
        </w:rPr>
        <w:t>第49条 通用合同条款第</w:t>
      </w:r>
      <w:r>
        <w:rPr>
          <w:rFonts w:ascii="宋体" w:hAnsi="宋体"/>
          <w:b/>
          <w:bCs/>
          <w:snapToGrid w:val="0"/>
          <w:kern w:val="0"/>
          <w:szCs w:val="20"/>
        </w:rPr>
        <w:t>20.6.6</w:t>
      </w:r>
      <w:r>
        <w:rPr>
          <w:rFonts w:hint="eastAsia" w:ascii="宋体" w:hAnsi="宋体"/>
          <w:b/>
          <w:bCs/>
          <w:snapToGrid w:val="0"/>
          <w:kern w:val="0"/>
          <w:szCs w:val="20"/>
        </w:rPr>
        <w:t>项补充：</w:t>
      </w:r>
    </w:p>
    <w:p>
      <w:pPr>
        <w:spacing w:line="360" w:lineRule="auto"/>
        <w:ind w:firstLine="420" w:firstLineChars="200"/>
        <w:rPr>
          <w:rFonts w:hint="eastAsia" w:ascii="宋体" w:hAnsi="宋体" w:cs="宋体"/>
          <w:snapToGrid w:val="0"/>
          <w:kern w:val="0"/>
        </w:rPr>
      </w:pPr>
      <w:r>
        <w:rPr>
          <w:rFonts w:hint="eastAsia" w:ascii="宋体" w:hAnsi="宋体" w:cs="宋体"/>
          <w:snapToGrid w:val="0"/>
          <w:kern w:val="0"/>
        </w:rPr>
        <w:t>作为被保险人的主体之一，承包人有义务在工程现场出现险情后立即报险并通知发包人，协助发包人及保险公司进行现场取证及理赔事宜，如承包人未能按照保单规定时间及时报险而延误了理赔，所产生的后果及费用损失由承包人自负。</w:t>
      </w:r>
    </w:p>
    <w:p>
      <w:pPr>
        <w:adjustRightInd w:val="0"/>
        <w:snapToGrid w:val="0"/>
        <w:spacing w:line="360" w:lineRule="auto"/>
        <w:rPr>
          <w:rFonts w:ascii="宋体"/>
        </w:rPr>
      </w:pPr>
      <w:r>
        <w:rPr>
          <w:rFonts w:hint="eastAsia" w:hAnsi="宋体" w:cs="宋体"/>
          <w:b/>
          <w:bCs/>
          <w:snapToGrid w:val="0"/>
          <w:kern w:val="0"/>
        </w:rPr>
        <w:t>第</w:t>
      </w:r>
      <w:r>
        <w:rPr>
          <w:rFonts w:hint="eastAsia" w:ascii="宋体" w:hAnsi="宋体"/>
          <w:b/>
          <w:bCs/>
          <w:snapToGrid w:val="0"/>
          <w:kern w:val="0"/>
        </w:rPr>
        <w:t>50</w:t>
      </w:r>
      <w:r>
        <w:rPr>
          <w:rFonts w:hint="eastAsia" w:hAnsi="宋体" w:cs="宋体"/>
          <w:b/>
          <w:bCs/>
          <w:snapToGrid w:val="0"/>
          <w:kern w:val="0"/>
        </w:rPr>
        <w:t xml:space="preserve">条 </w:t>
      </w:r>
      <w:r>
        <w:rPr>
          <w:rFonts w:hint="eastAsia" w:ascii="宋体" w:hAnsi="宋体" w:cs="宋体"/>
          <w:b/>
          <w:bCs/>
        </w:rPr>
        <w:t>公路工程专用合同条款第</w:t>
      </w:r>
      <w:r>
        <w:rPr>
          <w:rFonts w:ascii="宋体" w:hAnsi="宋体" w:cs="宋体"/>
          <w:b/>
          <w:bCs/>
        </w:rPr>
        <w:t>21.1.1</w:t>
      </w:r>
      <w:r>
        <w:rPr>
          <w:rFonts w:hint="eastAsia" w:ascii="宋体" w:hAnsi="宋体" w:cs="宋体"/>
          <w:b/>
          <w:bCs/>
        </w:rPr>
        <w:t>（</w:t>
      </w:r>
      <w:r>
        <w:rPr>
          <w:rFonts w:ascii="宋体" w:hAnsi="宋体" w:cs="宋体"/>
          <w:b/>
          <w:bCs/>
        </w:rPr>
        <w:t>6</w:t>
      </w:r>
      <w:r>
        <w:rPr>
          <w:rFonts w:hint="eastAsia" w:ascii="宋体" w:hAnsi="宋体" w:cs="宋体"/>
          <w:b/>
          <w:bCs/>
        </w:rPr>
        <w:t>）目做如下解释：</w:t>
      </w:r>
    </w:p>
    <w:p>
      <w:pPr>
        <w:adjustRightInd w:val="0"/>
        <w:snapToGrid w:val="0"/>
        <w:spacing w:line="360" w:lineRule="auto"/>
        <w:ind w:firstLine="420" w:firstLineChars="200"/>
        <w:rPr>
          <w:rFonts w:ascii="宋体" w:hAnsi="宋体"/>
          <w:b/>
          <w:bCs/>
          <w:szCs w:val="20"/>
        </w:rPr>
      </w:pPr>
      <w:r>
        <w:rPr>
          <w:rFonts w:hint="eastAsia" w:ascii="宋体" w:hAnsi="宋体"/>
          <w:szCs w:val="20"/>
        </w:rPr>
        <w:t>不可抗力的其他情形：无。</w:t>
      </w:r>
    </w:p>
    <w:p>
      <w:pPr>
        <w:adjustRightInd w:val="0"/>
        <w:snapToGrid w:val="0"/>
        <w:spacing w:line="360" w:lineRule="auto"/>
        <w:rPr>
          <w:rFonts w:ascii="宋体"/>
          <w:b/>
          <w:bCs/>
          <w:snapToGrid w:val="0"/>
          <w:kern w:val="0"/>
        </w:rPr>
      </w:pPr>
      <w:r>
        <w:rPr>
          <w:rFonts w:hint="eastAsia" w:hAnsi="宋体" w:cs="宋体"/>
          <w:b/>
          <w:bCs/>
          <w:snapToGrid w:val="0"/>
          <w:kern w:val="0"/>
        </w:rPr>
        <w:t>第</w:t>
      </w:r>
      <w:r>
        <w:rPr>
          <w:rFonts w:hint="eastAsia" w:ascii="宋体" w:hAnsi="宋体"/>
          <w:b/>
          <w:bCs/>
          <w:snapToGrid w:val="0"/>
          <w:kern w:val="0"/>
        </w:rPr>
        <w:t>51</w:t>
      </w:r>
      <w:r>
        <w:rPr>
          <w:rFonts w:hint="eastAsia" w:hAnsi="宋体" w:cs="宋体"/>
          <w:b/>
          <w:bCs/>
          <w:snapToGrid w:val="0"/>
          <w:kern w:val="0"/>
        </w:rPr>
        <w:t xml:space="preserve">条 </w:t>
      </w:r>
      <w:r>
        <w:rPr>
          <w:rFonts w:hint="eastAsia" w:ascii="宋体" w:hAnsi="宋体" w:cs="宋体"/>
          <w:b/>
          <w:bCs/>
        </w:rPr>
        <w:t>公路工程专用</w:t>
      </w:r>
      <w:r>
        <w:rPr>
          <w:rFonts w:hint="eastAsia" w:ascii="宋体" w:hAnsi="宋体" w:cs="宋体"/>
          <w:b/>
          <w:bCs/>
          <w:snapToGrid w:val="0"/>
          <w:kern w:val="0"/>
        </w:rPr>
        <w:t>合同条款第</w:t>
      </w:r>
      <w:r>
        <w:rPr>
          <w:rFonts w:ascii="宋体" w:hAnsi="宋体" w:cs="宋体"/>
          <w:b/>
          <w:bCs/>
          <w:snapToGrid w:val="0"/>
          <w:kern w:val="0"/>
        </w:rPr>
        <w:t>22.1.1</w:t>
      </w:r>
      <w:r>
        <w:rPr>
          <w:rFonts w:hint="eastAsia" w:ascii="宋体" w:hAnsi="宋体" w:cs="宋体"/>
          <w:b/>
          <w:bCs/>
          <w:snapToGrid w:val="0"/>
          <w:kern w:val="0"/>
        </w:rPr>
        <w:t>（7）目细化为：</w:t>
      </w:r>
    </w:p>
    <w:p>
      <w:pPr>
        <w:adjustRightInd w:val="0"/>
        <w:snapToGrid w:val="0"/>
        <w:spacing w:line="360" w:lineRule="auto"/>
        <w:ind w:firstLine="420" w:firstLineChars="200"/>
        <w:rPr>
          <w:rFonts w:ascii="宋体"/>
        </w:rPr>
      </w:pPr>
      <w:r>
        <w:rPr>
          <w:rFonts w:hint="eastAsia" w:ascii="宋体" w:hAnsi="宋体" w:cs="宋体"/>
        </w:rPr>
        <w:t>承包人违反第</w:t>
      </w:r>
      <w:r>
        <w:rPr>
          <w:rFonts w:ascii="宋体" w:hAnsi="宋体" w:cs="宋体"/>
        </w:rPr>
        <w:t>4.6</w:t>
      </w:r>
      <w:r>
        <w:rPr>
          <w:rFonts w:hint="eastAsia" w:ascii="宋体" w:hAnsi="宋体" w:cs="宋体"/>
        </w:rPr>
        <w:t>款的规定，未按承诺或未按监理人的要求及时配备称职的主要管理人员、技术骨干或关键施工设备。</w:t>
      </w:r>
    </w:p>
    <w:p>
      <w:pPr>
        <w:adjustRightInd w:val="0"/>
        <w:snapToGrid w:val="0"/>
        <w:spacing w:line="360" w:lineRule="auto"/>
        <w:rPr>
          <w:rFonts w:ascii="宋体"/>
          <w:b/>
          <w:bCs/>
          <w:u w:val="single"/>
        </w:rPr>
      </w:pPr>
      <w:r>
        <w:rPr>
          <w:rFonts w:hint="eastAsia" w:ascii="宋体" w:hAnsi="宋体" w:cs="宋体"/>
          <w:b/>
          <w:bCs/>
          <w:snapToGrid w:val="0"/>
          <w:kern w:val="0"/>
        </w:rPr>
        <w:t xml:space="preserve">第52条 </w:t>
      </w:r>
      <w:r>
        <w:rPr>
          <w:rFonts w:hint="eastAsia" w:ascii="宋体" w:hAnsi="宋体" w:cs="宋体"/>
          <w:b/>
          <w:bCs/>
        </w:rPr>
        <w:t>公路工程专用合同条款第</w:t>
      </w:r>
      <w:r>
        <w:rPr>
          <w:rFonts w:ascii="宋体" w:hAnsi="宋体" w:cs="宋体"/>
          <w:b/>
          <w:bCs/>
        </w:rPr>
        <w:t>22.1.2</w:t>
      </w:r>
      <w:r>
        <w:rPr>
          <w:rFonts w:hint="eastAsia" w:ascii="宋体" w:hAnsi="宋体" w:cs="宋体"/>
          <w:b/>
          <w:bCs/>
        </w:rPr>
        <w:t>（</w:t>
      </w:r>
      <w:r>
        <w:rPr>
          <w:rFonts w:ascii="宋体" w:hAnsi="宋体" w:cs="宋体"/>
          <w:b/>
          <w:bCs/>
        </w:rPr>
        <w:t>4</w:t>
      </w:r>
      <w:r>
        <w:rPr>
          <w:rFonts w:hint="eastAsia" w:ascii="宋体" w:hAnsi="宋体" w:cs="宋体"/>
          <w:b/>
          <w:bCs/>
        </w:rPr>
        <w:t>）目细化为：</w:t>
      </w:r>
    </w:p>
    <w:p>
      <w:pPr>
        <w:adjustRightInd w:val="0"/>
        <w:snapToGrid w:val="0"/>
        <w:spacing w:line="400" w:lineRule="exact"/>
        <w:ind w:firstLine="420" w:firstLineChars="200"/>
        <w:rPr>
          <w:rFonts w:ascii="宋体"/>
        </w:rPr>
      </w:pPr>
      <w:r>
        <w:rPr>
          <w:rFonts w:hint="eastAsia" w:ascii="宋体" w:hAnsi="宋体" w:cs="宋体"/>
        </w:rPr>
        <w:t>当承包人发生第</w:t>
      </w:r>
      <w:r>
        <w:rPr>
          <w:rFonts w:ascii="宋体" w:hAnsi="宋体" w:cs="宋体"/>
        </w:rPr>
        <w:t>22.1.1</w:t>
      </w:r>
      <w:r>
        <w:rPr>
          <w:rFonts w:hint="eastAsia" w:ascii="宋体" w:hAnsi="宋体" w:cs="宋体"/>
        </w:rPr>
        <w:t>项约定的违约情况时，无论发包人是否解除合同，发包人有权向承包人课以违约金，违约金为</w:t>
      </w:r>
      <w:r>
        <w:rPr>
          <w:rFonts w:ascii="宋体" w:hAnsi="宋体" w:cs="宋体"/>
        </w:rPr>
        <w:t>5</w:t>
      </w:r>
      <w:r>
        <w:rPr>
          <w:rFonts w:hint="eastAsia" w:ascii="宋体" w:hAnsi="宋体" w:cs="宋体"/>
        </w:rPr>
        <w:t>万元</w:t>
      </w:r>
      <w:r>
        <w:rPr>
          <w:rFonts w:ascii="宋体" w:hAnsi="宋体" w:cs="宋体"/>
        </w:rPr>
        <w:t>/</w:t>
      </w:r>
      <w:r>
        <w:rPr>
          <w:rFonts w:hint="eastAsia" w:ascii="宋体" w:hAnsi="宋体" w:cs="宋体"/>
        </w:rPr>
        <w:t>次，从承包人当期计量款中扣除。监理人应根据承包人违约情节严重程度做出处罚指示，并附有相关资料及说明上报发包人。并由发包人将其违约行为上报省级交通运输管理部门，作为不良记录纳入天津市公路养护信用信息管理系统。</w:t>
      </w:r>
    </w:p>
    <w:p>
      <w:pPr>
        <w:adjustRightInd w:val="0"/>
        <w:snapToGrid w:val="0"/>
        <w:spacing w:line="400" w:lineRule="exact"/>
        <w:ind w:firstLine="420" w:firstLineChars="200"/>
        <w:rPr>
          <w:rFonts w:ascii="宋体"/>
        </w:rPr>
      </w:pPr>
      <w:r>
        <w:rPr>
          <w:rFonts w:hint="eastAsia" w:ascii="宋体" w:hAnsi="宋体" w:cs="宋体"/>
        </w:rPr>
        <w:t>此外，承包人发生下述违约现象后，发包人可依据下列具体情况扣除承包人的违约金：</w:t>
      </w:r>
    </w:p>
    <w:p>
      <w:pPr>
        <w:adjustRightInd w:val="0"/>
        <w:snapToGrid w:val="0"/>
        <w:spacing w:line="40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）承包人在监理人规定的截止日期前，投标书附表中所列的项目经理、项目总工程师没有按时进场，或进场后，未经批准又离开工地，发包人可按</w:t>
      </w:r>
      <w:r>
        <w:rPr>
          <w:rFonts w:hint="eastAsia" w:ascii="宋体" w:hAnsi="宋体" w:cs="宋体"/>
          <w:lang w:val="en-US" w:eastAsia="zh-CN"/>
        </w:rPr>
        <w:t>1</w:t>
      </w:r>
      <w:r>
        <w:rPr>
          <w:rFonts w:hint="eastAsia" w:ascii="宋体" w:hAnsi="宋体" w:cs="宋体"/>
        </w:rPr>
        <w:t>000元</w:t>
      </w:r>
      <w:r>
        <w:rPr>
          <w:rFonts w:ascii="宋体" w:hAnsi="宋体" w:cs="宋体"/>
        </w:rPr>
        <w:t>/</w:t>
      </w:r>
      <w:r>
        <w:rPr>
          <w:rFonts w:hint="eastAsia" w:ascii="宋体" w:hAnsi="宋体" w:cs="宋体"/>
        </w:rPr>
        <w:t>人</w:t>
      </w:r>
      <w:r>
        <w:rPr>
          <w:rFonts w:ascii="宋体" w:hAnsi="宋体" w:cs="宋体"/>
        </w:rPr>
        <w:t>/</w:t>
      </w:r>
      <w:r>
        <w:rPr>
          <w:rFonts w:hint="eastAsia" w:ascii="宋体" w:hAnsi="宋体" w:cs="宋体"/>
        </w:rPr>
        <w:t>天扣除违约金，直至缺员进场为止。</w:t>
      </w:r>
    </w:p>
    <w:p>
      <w:pPr>
        <w:adjustRightInd w:val="0"/>
        <w:snapToGrid w:val="0"/>
        <w:spacing w:line="40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）承包人</w:t>
      </w:r>
      <w:r>
        <w:rPr>
          <w:rFonts w:hint="eastAsia" w:ascii="宋体" w:hAnsi="宋体" w:cs="宋体"/>
          <w:snapToGrid w:val="0"/>
          <w:kern w:val="0"/>
        </w:rPr>
        <w:t>无法按</w:t>
      </w:r>
      <w:r>
        <w:rPr>
          <w:rFonts w:hint="eastAsia" w:ascii="宋体" w:hAnsi="宋体" w:cs="宋体"/>
        </w:rPr>
        <w:t>承诺的名单安排施工场地的主要管理人员和技术骨干，在</w:t>
      </w:r>
      <w:r>
        <w:rPr>
          <w:rFonts w:hint="eastAsia" w:ascii="宋体" w:hAnsi="宋体" w:cs="宋体"/>
          <w:snapToGrid w:val="0"/>
          <w:kern w:val="0"/>
        </w:rPr>
        <w:t>取得监理人的同意后可以进行变更，但发包人有权可对承包人课以每人次</w:t>
      </w:r>
      <w:r>
        <w:rPr>
          <w:rFonts w:ascii="宋体" w:hAnsi="宋体" w:cs="宋体"/>
          <w:snapToGrid w:val="0"/>
          <w:kern w:val="0"/>
        </w:rPr>
        <w:t>1</w:t>
      </w:r>
      <w:r>
        <w:rPr>
          <w:rFonts w:hint="eastAsia" w:ascii="宋体" w:hAnsi="宋体" w:cs="宋体"/>
          <w:snapToGrid w:val="0"/>
          <w:kern w:val="0"/>
        </w:rPr>
        <w:t>万元以上</w:t>
      </w:r>
      <w:r>
        <w:rPr>
          <w:rFonts w:ascii="宋体" w:hAnsi="宋体" w:cs="宋体"/>
          <w:snapToGrid w:val="0"/>
          <w:kern w:val="0"/>
        </w:rPr>
        <w:t>5</w:t>
      </w:r>
      <w:r>
        <w:rPr>
          <w:rFonts w:hint="eastAsia" w:ascii="宋体" w:hAnsi="宋体" w:cs="宋体"/>
          <w:snapToGrid w:val="0"/>
          <w:kern w:val="0"/>
        </w:rPr>
        <w:t>万元以下的违约金，直至终止合同。</w:t>
      </w:r>
    </w:p>
    <w:p>
      <w:pPr>
        <w:adjustRightInd w:val="0"/>
        <w:snapToGrid w:val="0"/>
        <w:spacing w:line="40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）在工程实施期间，承包人应制定阶段性工期目标并提交监理人批准，并努力完成工期目标。如承包人未按阶段性工期目标完成，课以1000元-5万元违约金。</w:t>
      </w:r>
    </w:p>
    <w:p>
      <w:pPr>
        <w:adjustRightInd w:val="0"/>
        <w:snapToGrid w:val="0"/>
        <w:spacing w:line="400" w:lineRule="exact"/>
        <w:ind w:firstLine="420" w:firstLineChars="200"/>
        <w:rPr>
          <w:rFonts w:ascii="宋体"/>
          <w:snapToGrid w:val="0"/>
          <w:kern w:val="0"/>
        </w:rPr>
      </w:pPr>
      <w:r>
        <w:rPr>
          <w:rFonts w:hint="eastAsia" w:ascii="宋体" w:hAnsi="宋体" w:cs="宋体"/>
        </w:rPr>
        <w:t>（</w:t>
      </w:r>
      <w:r>
        <w:rPr>
          <w:rFonts w:ascii="宋体" w:hAnsi="宋体" w:cs="宋体"/>
        </w:rPr>
        <w:t>4</w:t>
      </w:r>
      <w:r>
        <w:rPr>
          <w:rFonts w:hint="eastAsia" w:ascii="宋体" w:hAnsi="宋体" w:cs="宋体"/>
        </w:rPr>
        <w:t>）</w:t>
      </w:r>
      <w:r>
        <w:rPr>
          <w:rFonts w:hint="eastAsia" w:ascii="宋体" w:hAnsi="宋体" w:cs="宋体"/>
          <w:snapToGrid w:val="0"/>
          <w:kern w:val="0"/>
        </w:rPr>
        <w:t>承包人承诺的施工设备和试验检验测量设备未按时到达现场或到达现场后中途调离，视为承包人违约，发包人有权要求该设备马上到达或返回现场，并可对承包人课以关键必要施工设备每台（套）人民币1</w:t>
      </w:r>
      <w:r>
        <w:rPr>
          <w:rFonts w:ascii="宋体" w:hAnsi="宋体" w:cs="宋体"/>
          <w:snapToGrid w:val="0"/>
          <w:kern w:val="0"/>
        </w:rPr>
        <w:t>0</w:t>
      </w:r>
      <w:r>
        <w:rPr>
          <w:rFonts w:hint="eastAsia" w:ascii="宋体" w:hAnsi="宋体" w:cs="宋体"/>
          <w:snapToGrid w:val="0"/>
          <w:kern w:val="0"/>
        </w:rPr>
        <w:t>万元的违约金，其他主要设备每台（套）人民币5万元的违约金，直至合同结束。</w:t>
      </w:r>
    </w:p>
    <w:p>
      <w:pPr>
        <w:adjustRightInd w:val="0"/>
        <w:snapToGrid w:val="0"/>
        <w:spacing w:line="40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）在施工期间，承包人若违反施工操作及管理程序，一经发现，则按1000元--</w:t>
      </w:r>
      <w:r>
        <w:rPr>
          <w:rFonts w:ascii="宋体" w:hAnsi="宋体" w:cs="宋体"/>
        </w:rPr>
        <w:t>5</w:t>
      </w:r>
      <w:r>
        <w:rPr>
          <w:rFonts w:hint="eastAsia" w:ascii="宋体" w:hAnsi="宋体" w:cs="宋体"/>
        </w:rPr>
        <w:t>万元</w:t>
      </w:r>
      <w:r>
        <w:rPr>
          <w:rFonts w:ascii="宋体" w:hAnsi="宋体" w:cs="宋体"/>
        </w:rPr>
        <w:t>/</w:t>
      </w:r>
      <w:r>
        <w:rPr>
          <w:rFonts w:hint="eastAsia" w:ascii="宋体" w:hAnsi="宋体" w:cs="宋体"/>
        </w:rPr>
        <w:t>次标准扣除承包人的违约金。</w:t>
      </w:r>
    </w:p>
    <w:p>
      <w:pPr>
        <w:adjustRightInd w:val="0"/>
        <w:snapToGrid w:val="0"/>
        <w:spacing w:line="40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）承包人在施工期间如果在各种报表及检查试验记录中自己作假或诱导监理人作假，一经查实，发包人将按每次</w:t>
      </w:r>
      <w:r>
        <w:rPr>
          <w:rFonts w:ascii="宋体" w:hAnsi="宋体" w:cs="宋体"/>
        </w:rPr>
        <w:t>10</w:t>
      </w:r>
      <w:r>
        <w:rPr>
          <w:rFonts w:hint="eastAsia" w:ascii="宋体" w:hAnsi="宋体" w:cs="宋体"/>
        </w:rPr>
        <w:t>万元的标准扣除承包人的违约金。</w:t>
      </w:r>
    </w:p>
    <w:p>
      <w:pPr>
        <w:adjustRightInd w:val="0"/>
        <w:snapToGrid w:val="0"/>
        <w:spacing w:line="40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）承包人应无条件接受上级交通主管部门、质量监督部门、发包人及监理人的质量检查或抽查，如发现承包人出现降低施工标准或偷工减料或出现较大质量问题，发包人将按每次1000元--</w:t>
      </w:r>
      <w:r>
        <w:rPr>
          <w:rFonts w:ascii="宋体" w:hAnsi="宋体" w:cs="宋体"/>
        </w:rPr>
        <w:t>10</w:t>
      </w:r>
      <w:r>
        <w:rPr>
          <w:rFonts w:hint="eastAsia" w:ascii="宋体" w:hAnsi="宋体" w:cs="宋体"/>
        </w:rPr>
        <w:t>万元的标准扣除承包人的违约金。</w:t>
      </w:r>
    </w:p>
    <w:p>
      <w:pPr>
        <w:adjustRightInd w:val="0"/>
        <w:snapToGrid w:val="0"/>
        <w:spacing w:line="400" w:lineRule="exact"/>
        <w:ind w:firstLine="420" w:firstLineChars="200"/>
        <w:rPr>
          <w:rFonts w:ascii="宋体"/>
        </w:rPr>
      </w:pPr>
      <w:r>
        <w:rPr>
          <w:rFonts w:hint="eastAsia" w:ascii="宋体" w:hAnsi="宋体" w:cs="宋体"/>
        </w:rPr>
        <w:t>（</w:t>
      </w:r>
      <w:r>
        <w:rPr>
          <w:rFonts w:ascii="宋体" w:hAnsi="宋体" w:cs="宋体"/>
        </w:rPr>
        <w:t>8</w:t>
      </w:r>
      <w:r>
        <w:rPr>
          <w:rFonts w:hint="eastAsia" w:ascii="宋体" w:hAnsi="宋体" w:cs="宋体"/>
        </w:rPr>
        <w:t>）承包人在施工期间未能做好环境保护工作，使得周边环境遭到破坏或污染，经监理人</w:t>
      </w:r>
      <w:r>
        <w:rPr>
          <w:rFonts w:ascii="宋体" w:hAnsi="宋体" w:cs="宋体"/>
        </w:rPr>
        <w:t>/</w:t>
      </w:r>
      <w:r>
        <w:rPr>
          <w:rFonts w:hint="eastAsia" w:ascii="宋体" w:hAnsi="宋体" w:cs="宋体"/>
        </w:rPr>
        <w:t>发包人认可后或相关部门认定后，除赔偿损失外，每次按照1000元</w:t>
      </w:r>
      <w:r>
        <w:rPr>
          <w:rFonts w:ascii="宋体" w:hAnsi="宋体" w:cs="宋体"/>
        </w:rPr>
        <w:t>-10</w:t>
      </w:r>
      <w:r>
        <w:rPr>
          <w:rFonts w:hint="eastAsia" w:ascii="宋体" w:hAnsi="宋体" w:cs="宋体"/>
        </w:rPr>
        <w:t>万元的标准扣除承包人的违约金。</w:t>
      </w:r>
    </w:p>
    <w:p>
      <w:pPr>
        <w:adjustRightInd w:val="0"/>
        <w:snapToGrid w:val="0"/>
        <w:spacing w:line="400" w:lineRule="exact"/>
        <w:ind w:firstLine="420" w:firstLineChars="200"/>
        <w:rPr>
          <w:rFonts w:ascii="宋体"/>
        </w:rPr>
      </w:pPr>
      <w:r>
        <w:rPr>
          <w:rFonts w:hint="eastAsia" w:ascii="宋体" w:hAnsi="宋体" w:cs="宋体"/>
        </w:rPr>
        <w:t>（</w:t>
      </w:r>
      <w:r>
        <w:rPr>
          <w:rFonts w:ascii="宋体" w:hAnsi="宋体" w:cs="宋体"/>
        </w:rPr>
        <w:t>9</w:t>
      </w:r>
      <w:r>
        <w:rPr>
          <w:rFonts w:hint="eastAsia" w:ascii="宋体" w:hAnsi="宋体" w:cs="宋体"/>
        </w:rPr>
        <w:t>）承包人未在保修期内及时履行保修责任的，除应按发包人要求支付维修费用外，还应按每次</w:t>
      </w:r>
      <w:r>
        <w:rPr>
          <w:rFonts w:ascii="宋体" w:hAnsi="宋体" w:cs="宋体"/>
        </w:rPr>
        <w:t>10</w:t>
      </w:r>
      <w:r>
        <w:rPr>
          <w:rFonts w:hint="eastAsia" w:ascii="宋体" w:hAnsi="宋体" w:cs="宋体"/>
        </w:rPr>
        <w:t>万元的标准承担违约责任。</w:t>
      </w:r>
    </w:p>
    <w:p>
      <w:pPr>
        <w:adjustRightInd w:val="0"/>
        <w:snapToGrid w:val="0"/>
        <w:spacing w:line="400" w:lineRule="exact"/>
        <w:ind w:firstLine="420" w:firstLineChars="200"/>
        <w:rPr>
          <w:rFonts w:hint="eastAsia" w:ascii="宋体"/>
        </w:rPr>
      </w:pPr>
      <w:r>
        <w:rPr>
          <w:rFonts w:hint="eastAsia" w:ascii="宋体" w:hAnsi="宋体" w:cs="宋体"/>
        </w:rPr>
        <w:t>（</w:t>
      </w:r>
      <w:r>
        <w:rPr>
          <w:rFonts w:ascii="宋体" w:hAnsi="宋体" w:cs="宋体"/>
        </w:rPr>
        <w:t>10</w:t>
      </w:r>
      <w:r>
        <w:rPr>
          <w:rFonts w:hint="eastAsia" w:ascii="宋体" w:hAnsi="宋体" w:cs="宋体"/>
        </w:rPr>
        <w:t>）发包人按照本合同约定向承包人收取的违约金、罚金、损失等费用，发包人有权直接自承包人的履约保证金及发包人应付承包人的工程款中直接扣除。约定的违约金和罚金不足以弥补发包人损失的，不足部分由承包人继续承担赔偿责任。</w:t>
      </w:r>
    </w:p>
    <w:p>
      <w:pPr>
        <w:adjustRightInd w:val="0"/>
        <w:snapToGrid w:val="0"/>
        <w:spacing w:line="400" w:lineRule="exact"/>
        <w:ind w:firstLine="420" w:firstLineChars="200"/>
        <w:rPr>
          <w:rFonts w:hint="eastAsia" w:cs="宋体"/>
        </w:rPr>
      </w:pPr>
      <w:r>
        <w:rPr>
          <w:rFonts w:hint="eastAsia" w:cs="宋体"/>
        </w:rPr>
        <w:t>（</w:t>
      </w:r>
      <w:r>
        <w:t>11</w:t>
      </w:r>
      <w:r>
        <w:rPr>
          <w:rFonts w:hint="eastAsia" w:cs="宋体"/>
        </w:rPr>
        <w:t>）经发包人、总监办下发或审核批复的总体工程计划及年度工程计划、节点工程组织实施计划目标、阶段性工程计划指标等，承包人必须严格执行，凡未能按照计划工程组织实施的相关单位，发包人有权课以</w:t>
      </w:r>
      <w:r>
        <w:t>5—50</w:t>
      </w:r>
      <w:r>
        <w:rPr>
          <w:rFonts w:hint="eastAsia" w:cs="宋体"/>
        </w:rPr>
        <w:t>万元违约金。</w:t>
      </w:r>
    </w:p>
    <w:p>
      <w:pPr>
        <w:adjustRightInd w:val="0"/>
        <w:snapToGrid w:val="0"/>
        <w:spacing w:line="400" w:lineRule="exact"/>
        <w:ind w:firstLine="420" w:firstLineChars="200"/>
        <w:rPr>
          <w:rFonts w:hint="eastAsia" w:cs="宋体"/>
        </w:rPr>
      </w:pPr>
      <w:r>
        <w:rPr>
          <w:rFonts w:hint="eastAsia" w:cs="宋体"/>
        </w:rPr>
        <w:t>（12）未按规定及要求将安全管理责任制度上墙的，课以1000元违约金。</w:t>
      </w:r>
    </w:p>
    <w:p>
      <w:pPr>
        <w:adjustRightInd w:val="0"/>
        <w:snapToGrid w:val="0"/>
        <w:spacing w:line="400" w:lineRule="exact"/>
        <w:ind w:firstLine="420" w:firstLineChars="200"/>
        <w:rPr>
          <w:rFonts w:hint="eastAsia" w:cs="宋体"/>
        </w:rPr>
      </w:pPr>
      <w:r>
        <w:rPr>
          <w:rFonts w:hint="eastAsia" w:cs="宋体"/>
        </w:rPr>
        <w:t>（13）未按规定及要求设置专职安全员的，课以 10000 元违约金。</w:t>
      </w:r>
    </w:p>
    <w:p>
      <w:pPr>
        <w:adjustRightInd w:val="0"/>
        <w:snapToGrid w:val="0"/>
        <w:spacing w:line="400" w:lineRule="exact"/>
        <w:ind w:firstLine="420" w:firstLineChars="200"/>
        <w:rPr>
          <w:rFonts w:hint="eastAsia" w:cs="宋体"/>
        </w:rPr>
      </w:pPr>
      <w:r>
        <w:rPr>
          <w:rFonts w:hint="eastAsia" w:cs="宋体"/>
        </w:rPr>
        <w:t>（14）安全员未按合同要求在岗，每发现一次，课以 1000元违约金。</w:t>
      </w:r>
    </w:p>
    <w:p>
      <w:pPr>
        <w:adjustRightInd w:val="0"/>
        <w:snapToGrid w:val="0"/>
        <w:spacing w:line="400" w:lineRule="exact"/>
        <w:ind w:firstLine="420" w:firstLineChars="200"/>
        <w:rPr>
          <w:rFonts w:hint="eastAsia" w:cs="宋体"/>
        </w:rPr>
      </w:pPr>
      <w:r>
        <w:rPr>
          <w:rFonts w:hint="eastAsia" w:cs="宋体"/>
        </w:rPr>
        <w:t>（15）未按规定及要求进行三级教育的，课以 1000元违约金。</w:t>
      </w:r>
    </w:p>
    <w:p>
      <w:pPr>
        <w:adjustRightInd w:val="0"/>
        <w:snapToGrid w:val="0"/>
        <w:spacing w:line="400" w:lineRule="exact"/>
        <w:ind w:firstLine="420" w:firstLineChars="200"/>
        <w:rPr>
          <w:rFonts w:hint="eastAsia" w:cs="宋体"/>
        </w:rPr>
      </w:pPr>
      <w:r>
        <w:rPr>
          <w:rFonts w:hint="eastAsia" w:cs="宋体"/>
        </w:rPr>
        <w:t>（16）未按规定及要求对施工人员进行安全交底的，课以1000元违约金。</w:t>
      </w:r>
    </w:p>
    <w:p>
      <w:pPr>
        <w:adjustRightInd w:val="0"/>
        <w:snapToGrid w:val="0"/>
        <w:spacing w:line="400" w:lineRule="exact"/>
        <w:ind w:firstLine="420" w:firstLineChars="200"/>
        <w:rPr>
          <w:rFonts w:hint="eastAsia" w:cs="宋体"/>
        </w:rPr>
      </w:pPr>
      <w:r>
        <w:rPr>
          <w:rFonts w:hint="eastAsia" w:cs="宋体"/>
        </w:rPr>
        <w:t>（17）未按规定及要求设置安全隔离及防护设施的，每一处课以1000元违约金。</w:t>
      </w:r>
    </w:p>
    <w:p>
      <w:pPr>
        <w:adjustRightInd w:val="0"/>
        <w:snapToGrid w:val="0"/>
        <w:spacing w:line="400" w:lineRule="exact"/>
        <w:ind w:firstLine="420" w:firstLineChars="200"/>
        <w:rPr>
          <w:rFonts w:hint="eastAsia" w:cs="宋体"/>
        </w:rPr>
      </w:pPr>
      <w:r>
        <w:rPr>
          <w:rFonts w:hint="eastAsia" w:cs="宋体"/>
        </w:rPr>
        <w:t>（18）夜间施工未按规定及要求设置安全警示设施的，课以1000元违约金。</w:t>
      </w:r>
    </w:p>
    <w:p>
      <w:pPr>
        <w:adjustRightInd w:val="0"/>
        <w:snapToGrid w:val="0"/>
        <w:spacing w:line="400" w:lineRule="exact"/>
        <w:ind w:firstLine="420" w:firstLineChars="200"/>
        <w:rPr>
          <w:rFonts w:hint="eastAsia" w:cs="宋体"/>
        </w:rPr>
      </w:pPr>
      <w:r>
        <w:rPr>
          <w:rFonts w:hint="eastAsia" w:cs="宋体"/>
        </w:rPr>
        <w:t>（19）进入施工现场未按规定佩戴安全帽的，每一名课以 200 元违约金。</w:t>
      </w:r>
    </w:p>
    <w:p>
      <w:pPr>
        <w:adjustRightInd w:val="0"/>
        <w:snapToGrid w:val="0"/>
        <w:spacing w:line="400" w:lineRule="exact"/>
        <w:ind w:firstLine="420" w:firstLineChars="200"/>
        <w:rPr>
          <w:rFonts w:hint="eastAsia" w:cs="宋体"/>
        </w:rPr>
      </w:pPr>
      <w:r>
        <w:rPr>
          <w:rFonts w:hint="eastAsia" w:cs="宋体"/>
        </w:rPr>
        <w:t>（20）违反持证上岗规定，无证作业的，每一名课以 500 元违约金。</w:t>
      </w:r>
    </w:p>
    <w:p>
      <w:pPr>
        <w:adjustRightInd w:val="0"/>
        <w:snapToGrid w:val="0"/>
        <w:spacing w:line="400" w:lineRule="exact"/>
        <w:ind w:firstLine="420" w:firstLineChars="200"/>
        <w:rPr>
          <w:rFonts w:hint="eastAsia" w:cs="宋体"/>
        </w:rPr>
      </w:pPr>
      <w:r>
        <w:rPr>
          <w:rFonts w:hint="eastAsia" w:cs="宋体"/>
        </w:rPr>
        <w:t>（21）特殊工种未按规定及要求穿戴劳动保护用品的每一名课以500元违约金。</w:t>
      </w:r>
    </w:p>
    <w:p>
      <w:pPr>
        <w:adjustRightInd w:val="0"/>
        <w:snapToGrid w:val="0"/>
        <w:spacing w:line="400" w:lineRule="exact"/>
        <w:ind w:firstLine="420" w:firstLineChars="200"/>
        <w:rPr>
          <w:rFonts w:hint="eastAsia" w:cs="宋体"/>
        </w:rPr>
      </w:pPr>
      <w:r>
        <w:rPr>
          <w:rFonts w:hint="eastAsia" w:cs="宋体"/>
        </w:rPr>
        <w:t>（22）工作中随意穿越、移动防护设施的，每一名课以 500 元违约金。</w:t>
      </w:r>
    </w:p>
    <w:p>
      <w:pPr>
        <w:adjustRightInd w:val="0"/>
        <w:snapToGrid w:val="0"/>
        <w:spacing w:line="400" w:lineRule="exact"/>
        <w:ind w:firstLine="420" w:firstLineChars="200"/>
        <w:rPr>
          <w:rFonts w:hint="eastAsia" w:cs="宋体"/>
        </w:rPr>
      </w:pPr>
      <w:r>
        <w:rPr>
          <w:rFonts w:hint="eastAsia" w:cs="宋体"/>
        </w:rPr>
        <w:t>（23）文明施工较差，材料随意摆放的，每一处课以 1000 元违约金。</w:t>
      </w:r>
    </w:p>
    <w:p>
      <w:pPr>
        <w:adjustRightInd w:val="0"/>
        <w:snapToGrid w:val="0"/>
        <w:spacing w:line="400" w:lineRule="exact"/>
        <w:ind w:firstLine="420" w:firstLineChars="200"/>
        <w:rPr>
          <w:rFonts w:hint="eastAsia" w:cs="宋体"/>
        </w:rPr>
      </w:pPr>
      <w:r>
        <w:rPr>
          <w:rFonts w:hint="eastAsia" w:cs="宋体"/>
        </w:rPr>
        <w:t>（24）现场临时用电不采用三项五线制、一机一闸一漏保，私拉乱接的，课以 1000元违约金。</w:t>
      </w:r>
    </w:p>
    <w:p>
      <w:pPr>
        <w:adjustRightInd w:val="0"/>
        <w:snapToGrid w:val="0"/>
        <w:spacing w:line="400" w:lineRule="exact"/>
        <w:ind w:firstLine="420" w:firstLineChars="200"/>
        <w:rPr>
          <w:rFonts w:hint="eastAsia" w:cs="宋体"/>
        </w:rPr>
      </w:pPr>
      <w:r>
        <w:rPr>
          <w:rFonts w:hint="eastAsia" w:cs="宋体"/>
        </w:rPr>
        <w:t>（25）用电设备、机械设备不符合要求的，课以 1000 元违约金。</w:t>
      </w:r>
    </w:p>
    <w:p>
      <w:pPr>
        <w:adjustRightInd w:val="0"/>
        <w:snapToGrid w:val="0"/>
        <w:spacing w:line="400" w:lineRule="exact"/>
        <w:ind w:firstLine="420" w:firstLineChars="200"/>
        <w:rPr>
          <w:rFonts w:hint="eastAsia" w:cs="宋体"/>
        </w:rPr>
      </w:pPr>
      <w:r>
        <w:rPr>
          <w:rFonts w:hint="eastAsia" w:cs="宋体"/>
        </w:rPr>
        <w:t>（26）发现隐患，既不采取措施，又不报告使事故发生的，视情形课以1000-10000元违约金。</w:t>
      </w:r>
    </w:p>
    <w:p>
      <w:pPr>
        <w:adjustRightInd w:val="0"/>
        <w:snapToGrid w:val="0"/>
        <w:spacing w:line="400" w:lineRule="exact"/>
        <w:ind w:firstLine="420" w:firstLineChars="200"/>
        <w:rPr>
          <w:rFonts w:cs="宋体"/>
        </w:rPr>
      </w:pPr>
      <w:r>
        <w:rPr>
          <w:rFonts w:hint="eastAsia" w:cs="宋体"/>
        </w:rPr>
        <w:t>（27）发生事故后，故意破坏现场，隐瞒不报的，视情形课以10000-100000元违约金。</w:t>
      </w:r>
    </w:p>
    <w:p>
      <w:pPr>
        <w:adjustRightInd w:val="0"/>
        <w:snapToGrid w:val="0"/>
        <w:spacing w:line="400" w:lineRule="exact"/>
        <w:ind w:firstLine="420" w:firstLineChars="200"/>
        <w:rPr>
          <w:rFonts w:hint="eastAsia" w:cs="宋体"/>
        </w:rPr>
      </w:pPr>
      <w:r>
        <w:rPr>
          <w:rFonts w:hint="eastAsia" w:cs="宋体"/>
        </w:rPr>
        <w:t>（28）其他违反安全文明施工条例的，视情形课以 200-1000元违约金。</w:t>
      </w:r>
    </w:p>
    <w:p>
      <w:pPr>
        <w:adjustRightInd w:val="0"/>
        <w:snapToGrid w:val="0"/>
        <w:spacing w:line="400" w:lineRule="exact"/>
        <w:ind w:firstLine="420" w:firstLineChars="200"/>
        <w:rPr>
          <w:rFonts w:hint="eastAsia" w:cs="宋体"/>
        </w:rPr>
      </w:pPr>
      <w:r>
        <w:rPr>
          <w:rFonts w:hint="eastAsia" w:cs="宋体"/>
        </w:rPr>
        <w:t>（29）扬尘治理6个 100%未达标的，课以 1000元违约金，引发相关部门课以的，按照相关部门课以款项的两倍进行课以。</w:t>
      </w:r>
    </w:p>
    <w:p>
      <w:pPr>
        <w:adjustRightInd w:val="0"/>
        <w:snapToGrid w:val="0"/>
        <w:spacing w:line="400" w:lineRule="exact"/>
        <w:ind w:firstLine="420" w:firstLineChars="200"/>
        <w:rPr>
          <w:rFonts w:cs="宋体"/>
        </w:rPr>
      </w:pPr>
      <w:r>
        <w:rPr>
          <w:rFonts w:hint="eastAsia" w:cs="宋体"/>
        </w:rPr>
        <w:t>（30）施工现场安全设施摆放不到位、不规范，一经发现每一次课以 10000元违约金。</w:t>
      </w:r>
    </w:p>
    <w:p>
      <w:pPr>
        <w:adjustRightInd w:val="0"/>
        <w:snapToGrid w:val="0"/>
        <w:spacing w:line="400" w:lineRule="exact"/>
        <w:ind w:firstLine="420" w:firstLineChars="200"/>
        <w:rPr>
          <w:rFonts w:hint="eastAsia" w:cs="宋体"/>
        </w:rPr>
      </w:pPr>
      <w:r>
        <w:rPr>
          <w:rFonts w:hint="eastAsia" w:cs="宋体"/>
        </w:rPr>
        <w:t>（31）未按规定穿着反光背心的，每一名课以200 元违约金。</w:t>
      </w:r>
    </w:p>
    <w:p>
      <w:pPr>
        <w:adjustRightInd w:val="0"/>
        <w:snapToGrid w:val="0"/>
        <w:spacing w:line="400" w:lineRule="exact"/>
        <w:ind w:firstLine="420" w:firstLineChars="200"/>
        <w:rPr>
          <w:rFonts w:hint="eastAsia" w:cs="宋体"/>
        </w:rPr>
      </w:pPr>
      <w:r>
        <w:rPr>
          <w:rFonts w:hint="eastAsia" w:cs="宋体"/>
        </w:rPr>
        <w:t>（32）夜间加班无领导带班的，每一次课以 500 元违约金。</w:t>
      </w:r>
    </w:p>
    <w:p>
      <w:pPr>
        <w:adjustRightInd w:val="0"/>
        <w:snapToGrid w:val="0"/>
        <w:spacing w:line="400" w:lineRule="exact"/>
        <w:ind w:firstLine="420" w:firstLineChars="200"/>
        <w:rPr>
          <w:rFonts w:hint="eastAsia" w:cs="宋体"/>
        </w:rPr>
      </w:pPr>
      <w:r>
        <w:rPr>
          <w:rFonts w:hint="eastAsia" w:cs="宋体"/>
        </w:rPr>
        <w:t>（33）施工中发现图纸问题或现场问题要及时向监理和建设单位汇报，并得到变更或确认后方可施工，否则课以2000元违约金，并承担所有经济损失。</w:t>
      </w:r>
    </w:p>
    <w:p>
      <w:pPr>
        <w:adjustRightInd w:val="0"/>
        <w:snapToGrid w:val="0"/>
        <w:spacing w:line="400" w:lineRule="exact"/>
        <w:ind w:firstLine="420" w:firstLineChars="200"/>
        <w:rPr>
          <w:rFonts w:hint="eastAsia" w:cs="宋体"/>
        </w:rPr>
      </w:pPr>
      <w:r>
        <w:rPr>
          <w:rFonts w:hint="eastAsia" w:cs="宋体"/>
        </w:rPr>
        <w:t>（34）施工资料同步，资料滞后3天及以上，课以 1000元违约金。</w:t>
      </w:r>
    </w:p>
    <w:p>
      <w:pPr>
        <w:adjustRightInd w:val="0"/>
        <w:snapToGrid w:val="0"/>
        <w:spacing w:line="400" w:lineRule="exact"/>
        <w:ind w:firstLine="420" w:firstLineChars="200"/>
        <w:rPr>
          <w:rFonts w:hint="eastAsia" w:cs="宋体"/>
        </w:rPr>
      </w:pPr>
      <w:r>
        <w:rPr>
          <w:rFonts w:hint="eastAsia" w:cs="宋体"/>
        </w:rPr>
        <w:t>（35）因施工原因引起投诉，承包人负责妥善协调解决，并赔付损失。每发生一起投诉，课以 1000元违约金。</w:t>
      </w:r>
    </w:p>
    <w:p>
      <w:pPr>
        <w:adjustRightInd w:val="0"/>
        <w:snapToGrid w:val="0"/>
        <w:spacing w:line="400" w:lineRule="exact"/>
        <w:ind w:firstLine="420" w:firstLineChars="200"/>
        <w:rPr>
          <w:rFonts w:cs="宋体"/>
        </w:rPr>
      </w:pPr>
      <w:r>
        <w:rPr>
          <w:rFonts w:hint="eastAsia" w:cs="宋体"/>
        </w:rPr>
        <w:t>（36）在市主管部门组织的安全文明施工和工程质量检查中，被通报批评或勒令停工整顿等的，视情节每次课以5000-20000元违约金。</w:t>
      </w:r>
    </w:p>
    <w:p>
      <w:pPr>
        <w:adjustRightInd w:val="0"/>
        <w:snapToGrid w:val="0"/>
        <w:spacing w:line="400" w:lineRule="exact"/>
        <w:ind w:firstLine="420" w:firstLineChars="200"/>
        <w:rPr>
          <w:rFonts w:hint="eastAsia" w:cs="宋体"/>
        </w:rPr>
      </w:pPr>
      <w:r>
        <w:rPr>
          <w:rFonts w:hint="eastAsia" w:cs="宋体"/>
        </w:rPr>
        <w:t>（37）施工完成现场清扫清理过程中，清扫垃圾应由运输车运出现场，如发现将清扫垃圾、废弃物抛撒进路边绿化带及中央隔离带中或丢弃草坪、排水沟等情形，每一次课以 1000元违约金。</w:t>
      </w:r>
    </w:p>
    <w:p>
      <w:pPr>
        <w:adjustRightInd w:val="0"/>
        <w:snapToGrid w:val="0"/>
        <w:spacing w:line="400" w:lineRule="exact"/>
        <w:ind w:firstLine="420" w:firstLineChars="200"/>
        <w:rPr>
          <w:rFonts w:hint="eastAsia" w:cs="宋体"/>
        </w:rPr>
      </w:pPr>
      <w:r>
        <w:rPr>
          <w:rFonts w:hint="eastAsia" w:cs="宋体"/>
        </w:rPr>
        <w:t>（38）施工组织设计方案(施工方案)未经审批或审批不合格，擅自施工的，课以 2000 元违约金。</w:t>
      </w:r>
    </w:p>
    <w:p>
      <w:pPr>
        <w:adjustRightInd w:val="0"/>
        <w:snapToGrid w:val="0"/>
        <w:spacing w:line="400" w:lineRule="exact"/>
        <w:ind w:firstLine="420" w:firstLineChars="200"/>
        <w:rPr>
          <w:rFonts w:hint="eastAsia" w:cs="宋体"/>
        </w:rPr>
      </w:pPr>
      <w:r>
        <w:rPr>
          <w:rFonts w:hint="eastAsia" w:cs="宋体"/>
        </w:rPr>
        <w:t>（39）未按施工图纸及施工组织设计方案或施工方案施工的，每一次课以 2000 元违约金，并承担拆改费用。</w:t>
      </w:r>
    </w:p>
    <w:p>
      <w:pPr>
        <w:adjustRightInd w:val="0"/>
        <w:snapToGrid w:val="0"/>
        <w:spacing w:line="400" w:lineRule="exact"/>
        <w:ind w:firstLine="420" w:firstLineChars="200"/>
        <w:rPr>
          <w:rFonts w:hint="eastAsia" w:cs="宋体"/>
        </w:rPr>
      </w:pPr>
      <w:r>
        <w:rPr>
          <w:rFonts w:hint="eastAsia" w:cs="宋体"/>
        </w:rPr>
        <w:t>（40）隐蔽工程未经监理单位验收，擅自隐蔽的，每一次课以 2000元违约金，监理单位复查不合格的承担拆改费用。</w:t>
      </w:r>
    </w:p>
    <w:p>
      <w:pPr>
        <w:adjustRightInd w:val="0"/>
        <w:snapToGrid w:val="0"/>
        <w:spacing w:line="400" w:lineRule="exact"/>
        <w:ind w:firstLine="420" w:firstLineChars="200"/>
        <w:rPr>
          <w:rFonts w:hint="eastAsia" w:cs="宋体"/>
        </w:rPr>
      </w:pPr>
      <w:r>
        <w:rPr>
          <w:rFonts w:hint="eastAsia" w:cs="宋体"/>
        </w:rPr>
        <w:t>（41）上道工序未经监理单位验收，擅自进入下道工序施工的，每一次课以 1000</w:t>
      </w:r>
      <w:r>
        <w:rPr>
          <w:rFonts w:cs="宋体"/>
        </w:rPr>
        <w:t>0</w:t>
      </w:r>
      <w:r>
        <w:rPr>
          <w:rFonts w:hint="eastAsia" w:cs="宋体"/>
        </w:rPr>
        <w:t>元违约金，监理单位复查不合格的承担拆改费用；进场材料需提前报送样品并封样，需要复试的，监理单位需见证取样，违反规定的，每一次课以 1000</w:t>
      </w:r>
      <w:r>
        <w:rPr>
          <w:rFonts w:cs="宋体"/>
        </w:rPr>
        <w:t>0</w:t>
      </w:r>
      <w:r>
        <w:rPr>
          <w:rFonts w:hint="eastAsia" w:cs="宋体"/>
        </w:rPr>
        <w:t>元违约金。</w:t>
      </w:r>
    </w:p>
    <w:p>
      <w:pPr>
        <w:adjustRightInd w:val="0"/>
        <w:snapToGrid w:val="0"/>
        <w:spacing w:line="400" w:lineRule="exact"/>
        <w:ind w:firstLine="420" w:firstLineChars="200"/>
        <w:rPr>
          <w:rFonts w:hint="eastAsia" w:cs="宋体"/>
        </w:rPr>
      </w:pPr>
      <w:r>
        <w:rPr>
          <w:rFonts w:hint="eastAsia" w:cs="宋体"/>
        </w:rPr>
        <w:t>（42）施工工序未按照规范及图纸要求施工，每出现一处课以2000元违约金。</w:t>
      </w:r>
    </w:p>
    <w:p>
      <w:pPr>
        <w:adjustRightInd w:val="0"/>
        <w:snapToGrid w:val="0"/>
        <w:spacing w:line="400" w:lineRule="exact"/>
        <w:ind w:firstLine="420" w:firstLineChars="200"/>
        <w:rPr>
          <w:rFonts w:cs="宋体"/>
        </w:rPr>
      </w:pPr>
      <w:r>
        <w:rPr>
          <w:rFonts w:hint="eastAsia" w:cs="宋体"/>
        </w:rPr>
        <w:t>（43）质量问题每发生一次，或原材料出现质量问题的，视情节严重情况课以1000-100000元违约金。明确该质量问题后，发包人（或建设单位）有权要求承包人更换供货商。</w:t>
      </w:r>
    </w:p>
    <w:p>
      <w:pPr>
        <w:adjustRightInd w:val="0"/>
        <w:snapToGrid w:val="0"/>
        <w:spacing w:line="400" w:lineRule="exact"/>
        <w:ind w:firstLine="420" w:firstLineChars="200"/>
        <w:rPr>
          <w:rFonts w:hint="eastAsia" w:cs="宋体"/>
        </w:rPr>
      </w:pPr>
      <w:r>
        <w:rPr>
          <w:rFonts w:hint="eastAsia" w:cs="宋体"/>
        </w:rPr>
        <w:t>（44）未按项目专用条款11.1.1项约定具备开工条件的，课以承包人5-10万元违约金。</w:t>
      </w:r>
    </w:p>
    <w:p>
      <w:pPr>
        <w:adjustRightInd w:val="0"/>
        <w:snapToGrid w:val="0"/>
        <w:spacing w:line="400" w:lineRule="exact"/>
        <w:ind w:firstLine="420" w:firstLineChars="200"/>
        <w:rPr>
          <w:rFonts w:cs="宋体"/>
        </w:rPr>
      </w:pPr>
      <w:r>
        <w:rPr>
          <w:rFonts w:hint="eastAsia" w:cs="宋体"/>
        </w:rPr>
        <w:t>（45）未按通用条款17.1.3项约定申报计量的，课以承包人5万元违约金。</w:t>
      </w:r>
    </w:p>
    <w:p>
      <w:pPr>
        <w:adjustRightInd w:val="0"/>
        <w:snapToGrid w:val="0"/>
        <w:spacing w:line="400" w:lineRule="exact"/>
        <w:ind w:firstLine="420" w:firstLineChars="200"/>
        <w:rPr>
          <w:rFonts w:cs="宋体"/>
        </w:rPr>
      </w:pPr>
      <w:r>
        <w:rPr>
          <w:rFonts w:hint="eastAsia" w:cs="宋体"/>
        </w:rPr>
        <w:t>（46）承包人应保证在养护工程施工期间其资质证书的有效性，承包人因养护资质证书失效无法继续履行合同，依据通用合同条款22.1.1 (6) 约定视为承包人违约，发包人可通知承包人立即解除合同，并向承包人进行索赔。</w:t>
      </w:r>
    </w:p>
    <w:p>
      <w:pPr>
        <w:adjustRightInd w:val="0"/>
        <w:snapToGrid w:val="0"/>
        <w:spacing w:line="400" w:lineRule="exact"/>
        <w:ind w:firstLine="420" w:firstLineChars="200"/>
        <w:rPr>
          <w:rFonts w:hint="eastAsia" w:cs="宋体"/>
        </w:rPr>
      </w:pPr>
      <w:r>
        <w:rPr>
          <w:rFonts w:hint="eastAsia" w:cs="宋体"/>
        </w:rPr>
        <w:t>（47）承包人须设立满足项目管理办公需求的现场固定办公场所，未现场设立固定办公场所或不满足办公需求的，课以10000元违约金。</w:t>
      </w:r>
    </w:p>
    <w:p>
      <w:pPr>
        <w:adjustRightInd w:val="0"/>
        <w:snapToGrid w:val="0"/>
        <w:spacing w:line="400" w:lineRule="exact"/>
        <w:rPr>
          <w:rFonts w:cs="宋体"/>
        </w:rPr>
      </w:pPr>
      <w:r>
        <w:rPr>
          <w:rFonts w:hint="eastAsia" w:ascii="宋体" w:hAnsi="宋体" w:cs="宋体"/>
          <w:b/>
          <w:bCs/>
          <w:snapToGrid w:val="0"/>
          <w:kern w:val="0"/>
        </w:rPr>
        <w:t>第53条 公路工程</w:t>
      </w:r>
      <w:r>
        <w:rPr>
          <w:rFonts w:hint="eastAsia" w:ascii="宋体" w:hAnsi="宋体" w:cs="宋体"/>
          <w:b/>
          <w:bCs/>
        </w:rPr>
        <w:t>专用合同条款第22.2.2 目细化为：</w:t>
      </w:r>
    </w:p>
    <w:p>
      <w:pPr>
        <w:adjustRightInd w:val="0"/>
        <w:snapToGrid w:val="0"/>
        <w:spacing w:line="400" w:lineRule="exact"/>
        <w:ind w:firstLine="420" w:firstLineChars="200"/>
        <w:rPr>
          <w:rFonts w:ascii="宋体"/>
        </w:rPr>
      </w:pPr>
      <w:r>
        <w:rPr>
          <w:rFonts w:hint="eastAsia" w:cs="宋体"/>
        </w:rPr>
        <w:t>发包人无正当理由不按时返还履约保证金、质量保证金或农民工工资保证金的，发包人应向承包人支付的违约金如下：发包人不按期支付的，按银行同期利率向承包人支付逾期付款违约金。违约金计算基数为发包人的全部付款额，时间从应付而未付该款额之日算起（不计复利）。</w:t>
      </w:r>
    </w:p>
    <w:p>
      <w:pPr>
        <w:adjustRightInd w:val="0"/>
        <w:snapToGrid w:val="0"/>
        <w:spacing w:line="400" w:lineRule="exact"/>
        <w:rPr>
          <w:rFonts w:ascii="宋体" w:hAnsi="宋体"/>
          <w:snapToGrid w:val="0"/>
          <w:kern w:val="0"/>
          <w:szCs w:val="20"/>
        </w:rPr>
      </w:pPr>
      <w:r>
        <w:rPr>
          <w:rFonts w:hint="eastAsia" w:ascii="宋体" w:hAnsi="宋体"/>
          <w:b/>
          <w:bCs/>
          <w:snapToGrid w:val="0"/>
          <w:kern w:val="0"/>
          <w:szCs w:val="20"/>
        </w:rPr>
        <w:t xml:space="preserve">第54条 </w:t>
      </w:r>
      <w:r>
        <w:rPr>
          <w:rFonts w:hint="eastAsia" w:ascii="宋体" w:hAnsi="宋体"/>
          <w:b/>
          <w:bCs/>
          <w:szCs w:val="20"/>
        </w:rPr>
        <w:t>通用合同条款补充第</w:t>
      </w:r>
      <w:r>
        <w:rPr>
          <w:rFonts w:ascii="宋体" w:hAnsi="宋体"/>
          <w:b/>
          <w:bCs/>
          <w:szCs w:val="20"/>
        </w:rPr>
        <w:t>23.5</w:t>
      </w:r>
      <w:r>
        <w:rPr>
          <w:rFonts w:hint="eastAsia" w:ascii="宋体" w:hAnsi="宋体"/>
          <w:b/>
          <w:bCs/>
          <w:szCs w:val="20"/>
        </w:rPr>
        <w:t>款：</w:t>
      </w:r>
    </w:p>
    <w:p>
      <w:pPr>
        <w:adjustRightInd w:val="0"/>
        <w:snapToGrid w:val="0"/>
        <w:spacing w:line="400" w:lineRule="exact"/>
        <w:ind w:firstLine="420" w:firstLineChars="200"/>
        <w:rPr>
          <w:rFonts w:ascii="宋体"/>
        </w:rPr>
      </w:pPr>
      <w:r>
        <w:rPr>
          <w:rFonts w:hint="eastAsia" w:ascii="宋体" w:hAnsi="宋体" w:cs="宋体"/>
        </w:rPr>
        <w:t>承包人、监理人和发包人三方，都有预防索赔发生的责任和义务。共同做好索赔预防工作，尽可能减少和杜绝索赔的发生</w:t>
      </w:r>
      <w:r>
        <w:rPr>
          <w:rFonts w:ascii="宋体" w:cs="宋体"/>
        </w:rPr>
        <w:t>,</w:t>
      </w:r>
      <w:r>
        <w:rPr>
          <w:rFonts w:hint="eastAsia" w:ascii="宋体" w:hAnsi="宋体" w:cs="宋体"/>
        </w:rPr>
        <w:t>不符合索赔程序和不真实的索赔资料发包人有权拒绝索赔</w:t>
      </w:r>
      <w:r>
        <w:rPr>
          <w:rFonts w:ascii="宋体" w:cs="宋体"/>
        </w:rPr>
        <w:t>,</w:t>
      </w:r>
      <w:r>
        <w:rPr>
          <w:rFonts w:hint="eastAsia" w:ascii="宋体" w:hAnsi="宋体" w:cs="宋体"/>
        </w:rPr>
        <w:t>逾期送达的索赔发包人将不予受理。</w:t>
      </w:r>
    </w:p>
    <w:p>
      <w:pPr>
        <w:adjustRightInd w:val="0"/>
        <w:snapToGrid w:val="0"/>
        <w:spacing w:line="400" w:lineRule="exact"/>
        <w:rPr>
          <w:rFonts w:ascii="宋体" w:hAnsi="宋体"/>
          <w:b/>
          <w:bCs/>
          <w:snapToGrid w:val="0"/>
          <w:kern w:val="0"/>
        </w:rPr>
      </w:pPr>
      <w:r>
        <w:rPr>
          <w:rFonts w:hint="eastAsia" w:hAnsi="宋体" w:cs="宋体"/>
          <w:b/>
          <w:bCs/>
          <w:snapToGrid w:val="0"/>
          <w:kern w:val="0"/>
        </w:rPr>
        <w:t>第</w:t>
      </w:r>
      <w:r>
        <w:rPr>
          <w:rFonts w:hint="eastAsia" w:ascii="宋体" w:hAnsi="宋体"/>
          <w:b/>
          <w:bCs/>
          <w:snapToGrid w:val="0"/>
          <w:kern w:val="0"/>
        </w:rPr>
        <w:t>55</w:t>
      </w:r>
      <w:r>
        <w:rPr>
          <w:rFonts w:hint="eastAsia" w:ascii="宋体" w:hAnsi="宋体" w:cs="宋体"/>
          <w:b/>
          <w:bCs/>
          <w:snapToGrid w:val="0"/>
          <w:kern w:val="0"/>
        </w:rPr>
        <w:t>条 通用合同条款第</w:t>
      </w:r>
      <w:r>
        <w:rPr>
          <w:rFonts w:ascii="宋体" w:hAnsi="宋体" w:cs="宋体"/>
          <w:b/>
          <w:bCs/>
          <w:snapToGrid w:val="0"/>
          <w:kern w:val="0"/>
        </w:rPr>
        <w:t>24.1</w:t>
      </w:r>
      <w:r>
        <w:rPr>
          <w:rFonts w:hint="eastAsia" w:ascii="宋体" w:hAnsi="宋体" w:cs="宋体"/>
          <w:b/>
          <w:bCs/>
          <w:snapToGrid w:val="0"/>
          <w:kern w:val="0"/>
        </w:rPr>
        <w:t>（</w:t>
      </w:r>
      <w:r>
        <w:rPr>
          <w:rFonts w:ascii="宋体" w:hAnsi="宋体" w:cs="宋体"/>
          <w:b/>
          <w:bCs/>
          <w:snapToGrid w:val="0"/>
          <w:kern w:val="0"/>
        </w:rPr>
        <w:t>1</w:t>
      </w:r>
      <w:r>
        <w:rPr>
          <w:rFonts w:hint="eastAsia" w:ascii="宋体" w:hAnsi="宋体" w:cs="宋体"/>
          <w:b/>
          <w:bCs/>
          <w:snapToGrid w:val="0"/>
          <w:kern w:val="0"/>
        </w:rPr>
        <w:t>）款做如下解释：</w:t>
      </w:r>
    </w:p>
    <w:p>
      <w:pPr>
        <w:adjustRightInd w:val="0"/>
        <w:snapToGrid w:val="0"/>
        <w:spacing w:line="400" w:lineRule="exact"/>
        <w:ind w:firstLine="420" w:firstLineChars="200"/>
        <w:rPr>
          <w:rFonts w:ascii="宋体" w:hAnsi="宋体"/>
          <w:snapToGrid w:val="0"/>
          <w:kern w:val="0"/>
          <w:szCs w:val="20"/>
        </w:rPr>
      </w:pPr>
      <w:r>
        <w:rPr>
          <w:rFonts w:hint="eastAsia" w:ascii="宋体" w:hAnsi="宋体"/>
          <w:szCs w:val="20"/>
        </w:rPr>
        <w:t>争议的最终解决方式：向项目所在地有管辖权的人民法院诉讼。</w:t>
      </w:r>
    </w:p>
    <w:p>
      <w:pPr>
        <w:adjustRightInd w:val="0"/>
        <w:snapToGrid w:val="0"/>
        <w:spacing w:line="400" w:lineRule="exact"/>
        <w:rPr>
          <w:rFonts w:ascii="宋体"/>
          <w:b/>
          <w:bCs/>
        </w:rPr>
      </w:pPr>
      <w:r>
        <w:rPr>
          <w:rFonts w:hint="eastAsia" w:ascii="宋体" w:hAnsi="宋体" w:cs="宋体"/>
          <w:b/>
          <w:bCs/>
          <w:snapToGrid w:val="0"/>
          <w:kern w:val="0"/>
        </w:rPr>
        <w:t>第</w:t>
      </w:r>
      <w:r>
        <w:rPr>
          <w:rFonts w:hint="eastAsia" w:ascii="宋体" w:hAnsi="宋体"/>
          <w:b/>
          <w:bCs/>
          <w:snapToGrid w:val="0"/>
          <w:kern w:val="0"/>
        </w:rPr>
        <w:t>56</w:t>
      </w:r>
      <w:r>
        <w:rPr>
          <w:rFonts w:hint="eastAsia" w:hAnsi="宋体" w:cs="宋体"/>
          <w:b/>
          <w:bCs/>
          <w:snapToGrid w:val="0"/>
          <w:kern w:val="0"/>
        </w:rPr>
        <w:t xml:space="preserve">条 </w:t>
      </w:r>
      <w:r>
        <w:rPr>
          <w:rFonts w:hint="eastAsia" w:ascii="宋体" w:hAnsi="宋体" w:cs="宋体"/>
          <w:b/>
          <w:bCs/>
        </w:rPr>
        <w:t>新增</w:t>
      </w:r>
    </w:p>
    <w:p>
      <w:pPr>
        <w:adjustRightInd w:val="0"/>
        <w:snapToGrid w:val="0"/>
        <w:spacing w:line="400" w:lineRule="exact"/>
        <w:ind w:firstLine="357" w:firstLineChars="170"/>
        <w:rPr>
          <w:rFonts w:ascii="宋体"/>
        </w:rPr>
      </w:pPr>
      <w:r>
        <w:rPr>
          <w:rFonts w:hint="eastAsia" w:ascii="宋体" w:hAnsi="宋体" w:cs="宋体"/>
        </w:rPr>
        <w:t>该工程应按发包人的要求，作好搞好该工程文明施工的相关工作，承包人投入相应文明施工费，并综合考虑保证文明施工的具体措施和相应费用（费用已含在投标报价中，不予单独列项）。</w:t>
      </w:r>
    </w:p>
    <w:p>
      <w:pPr>
        <w:adjustRightInd w:val="0"/>
        <w:snapToGrid w:val="0"/>
        <w:spacing w:line="400" w:lineRule="exact"/>
        <w:ind w:firstLine="357" w:firstLineChars="170"/>
        <w:rPr>
          <w:rFonts w:ascii="宋体"/>
        </w:rPr>
      </w:pPr>
      <w:r>
        <w:rPr>
          <w:rFonts w:hint="eastAsia" w:ascii="宋体" w:hAnsi="宋体"/>
        </w:rPr>
        <w:t>安全生产费用提取和使用须符合《企业安全生产费用提取和使用管理办法》的通知财资〔2022〕136 号的要求，</w:t>
      </w:r>
      <w:r>
        <w:rPr>
          <w:rFonts w:hint="eastAsia" w:ascii="宋体" w:hAnsi="宋体" w:cs="宋体"/>
        </w:rPr>
        <w:t>安全生产费用（含安全生产责任保险）主要用于完善、改造和维护安全防护设备、设施，配备必要的应急救援器材、设备和现场作业人员安全防护物品，安全生产检查与评价，重大危险源、重大事故隐患的评估、整改、监控，安全技能培训及进行应急救援演练，其他与安全生产直接相关的方面。</w:t>
      </w:r>
    </w:p>
    <w:p>
      <w:pPr>
        <w:adjustRightInd w:val="0"/>
        <w:snapToGrid w:val="0"/>
        <w:spacing w:line="400" w:lineRule="exact"/>
        <w:ind w:firstLine="357" w:firstLineChars="170"/>
        <w:rPr>
          <w:rFonts w:hint="eastAsia" w:ascii="宋体" w:hAnsi="宋体" w:cs="宋体"/>
        </w:rPr>
      </w:pPr>
      <w:r>
        <w:rPr>
          <w:rFonts w:hint="eastAsia" w:ascii="宋体" w:hAnsi="宋体" w:cs="宋体"/>
        </w:rPr>
        <w:t>承包人应当建立健全内部安全费用管理制度，明确安全费用使用、管理的程序、职责及权限，接受相关管理部门和发包人、监理人的监督。该项所有费用支出必须得到发包人、监理人的批准。</w:t>
      </w:r>
    </w:p>
    <w:p>
      <w:pPr>
        <w:adjustRightInd w:val="0"/>
        <w:snapToGrid w:val="0"/>
        <w:spacing w:line="400" w:lineRule="exact"/>
        <w:ind w:firstLine="357" w:firstLineChars="170"/>
        <w:rPr>
          <w:rFonts w:ascii="宋体" w:hAnsi="宋体" w:cs="宋体"/>
        </w:rPr>
      </w:pPr>
      <w:r>
        <w:rPr>
          <w:rFonts w:hint="eastAsia" w:ascii="宋体" w:hAnsi="宋体" w:cs="宋体"/>
        </w:rPr>
        <w:t>承包人应足额投入安全生产费用，发包人据实计量，超出部分由承包人自行承担。</w:t>
      </w:r>
    </w:p>
    <w:p>
      <w:pPr>
        <w:adjustRightInd w:val="0"/>
        <w:snapToGrid w:val="0"/>
        <w:spacing w:line="400" w:lineRule="exact"/>
        <w:rPr>
          <w:rFonts w:ascii="宋体"/>
          <w:b/>
          <w:bCs/>
        </w:rPr>
      </w:pPr>
      <w:r>
        <w:rPr>
          <w:rFonts w:hint="eastAsia" w:hAnsi="宋体" w:cs="宋体"/>
          <w:b/>
          <w:bCs/>
          <w:snapToGrid w:val="0"/>
          <w:kern w:val="0"/>
        </w:rPr>
        <w:t>第</w:t>
      </w:r>
      <w:r>
        <w:rPr>
          <w:rFonts w:hint="eastAsia" w:hAnsi="宋体"/>
          <w:b/>
          <w:bCs/>
          <w:snapToGrid w:val="0"/>
          <w:kern w:val="0"/>
        </w:rPr>
        <w:t>57</w:t>
      </w:r>
      <w:r>
        <w:rPr>
          <w:rFonts w:hint="eastAsia" w:hAnsi="宋体" w:cs="宋体"/>
          <w:b/>
          <w:bCs/>
          <w:snapToGrid w:val="0"/>
          <w:kern w:val="0"/>
        </w:rPr>
        <w:t xml:space="preserve">条 </w:t>
      </w:r>
      <w:r>
        <w:rPr>
          <w:rFonts w:hint="eastAsia" w:ascii="宋体" w:hAnsi="宋体" w:cs="宋体"/>
          <w:b/>
          <w:bCs/>
        </w:rPr>
        <w:t>新增</w:t>
      </w:r>
    </w:p>
    <w:p>
      <w:pPr>
        <w:adjustRightInd w:val="0"/>
        <w:snapToGrid w:val="0"/>
        <w:spacing w:line="400" w:lineRule="exact"/>
        <w:ind w:firstLine="420" w:firstLineChars="200"/>
        <w:rPr>
          <w:rFonts w:ascii="宋体" w:hAnsi="宋体"/>
          <w:b/>
          <w:bCs/>
          <w:snapToGrid w:val="0"/>
          <w:kern w:val="0"/>
          <w:szCs w:val="20"/>
        </w:rPr>
      </w:pPr>
      <w:r>
        <w:rPr>
          <w:rFonts w:hint="eastAsia" w:ascii="宋体" w:hAnsi="宋体"/>
          <w:snapToGrid w:val="0"/>
          <w:kern w:val="0"/>
          <w:szCs w:val="20"/>
        </w:rPr>
        <w:t>承包人应严格遵守《</w:t>
      </w:r>
      <w:r>
        <w:rPr>
          <w:rFonts w:hint="eastAsia" w:ascii="宋体" w:hAnsi="宋体"/>
          <w:szCs w:val="20"/>
        </w:rPr>
        <w:t>天津市治理车辆非法超限超载规定</w:t>
      </w:r>
      <w:r>
        <w:rPr>
          <w:rFonts w:hint="eastAsia" w:ascii="宋体" w:hAnsi="宋体"/>
          <w:snapToGrid w:val="0"/>
          <w:kern w:val="0"/>
          <w:szCs w:val="20"/>
        </w:rPr>
        <w:t>》、《</w:t>
      </w:r>
      <w:r>
        <w:rPr>
          <w:rFonts w:hint="eastAsia" w:ascii="宋体" w:hAnsi="宋体"/>
          <w:szCs w:val="20"/>
        </w:rPr>
        <w:t>天津市建立长效治理车辆超限超载工作责任机制实施办法</w:t>
      </w:r>
      <w:r>
        <w:rPr>
          <w:rFonts w:hint="eastAsia" w:ascii="宋体" w:hAnsi="宋体"/>
          <w:snapToGrid w:val="0"/>
          <w:kern w:val="0"/>
          <w:szCs w:val="20"/>
        </w:rPr>
        <w:t>》等相关规定。</w:t>
      </w:r>
      <w:r>
        <w:rPr>
          <w:rFonts w:hint="eastAsia" w:ascii="宋体" w:hAnsi="宋体"/>
          <w:szCs w:val="20"/>
        </w:rPr>
        <w:t>承包人应对建筑材料运输实施有效管理，要与运输单位、供料商等项目参建单位签订禁止超限超载运输协议，发现违规运输车辆立即清除出场。对公路等相关设施造成损害的，还应按赔</w:t>
      </w:r>
      <w:r>
        <w:rPr>
          <w:rFonts w:ascii="宋体" w:hAnsi="宋体"/>
          <w:szCs w:val="20"/>
        </w:rPr>
        <w:t>（</w:t>
      </w:r>
      <w:r>
        <w:rPr>
          <w:rFonts w:hint="eastAsia" w:ascii="宋体" w:hAnsi="宋体"/>
          <w:szCs w:val="20"/>
        </w:rPr>
        <w:t>补</w:t>
      </w:r>
      <w:r>
        <w:rPr>
          <w:rFonts w:ascii="宋体" w:hAnsi="宋体"/>
          <w:szCs w:val="20"/>
        </w:rPr>
        <w:t>）</w:t>
      </w:r>
      <w:r>
        <w:rPr>
          <w:rFonts w:hint="eastAsia" w:ascii="宋体" w:hAnsi="宋体"/>
          <w:szCs w:val="20"/>
        </w:rPr>
        <w:t>偿标准缴纳公路赔</w:t>
      </w:r>
      <w:r>
        <w:rPr>
          <w:rFonts w:ascii="宋体" w:hAnsi="宋体"/>
          <w:szCs w:val="20"/>
        </w:rPr>
        <w:t>（</w:t>
      </w:r>
      <w:r>
        <w:rPr>
          <w:rFonts w:hint="eastAsia" w:ascii="宋体" w:hAnsi="宋体"/>
          <w:szCs w:val="20"/>
        </w:rPr>
        <w:t>补</w:t>
      </w:r>
      <w:r>
        <w:rPr>
          <w:rFonts w:ascii="宋体" w:hAnsi="宋体"/>
          <w:szCs w:val="20"/>
        </w:rPr>
        <w:t>）</w:t>
      </w:r>
      <w:r>
        <w:rPr>
          <w:rFonts w:hint="eastAsia" w:ascii="宋体" w:hAnsi="宋体"/>
          <w:szCs w:val="20"/>
        </w:rPr>
        <w:t>偿费。</w:t>
      </w:r>
    </w:p>
    <w:p>
      <w:pPr>
        <w:adjustRightInd w:val="0"/>
        <w:snapToGrid w:val="0"/>
        <w:spacing w:line="400" w:lineRule="exact"/>
        <w:rPr>
          <w:rFonts w:ascii="宋体"/>
          <w:b/>
          <w:bCs/>
        </w:rPr>
      </w:pPr>
      <w:r>
        <w:rPr>
          <w:rFonts w:hint="eastAsia" w:hAnsi="宋体" w:cs="宋体"/>
          <w:b/>
          <w:bCs/>
          <w:snapToGrid w:val="0"/>
          <w:kern w:val="0"/>
        </w:rPr>
        <w:t>第</w:t>
      </w:r>
      <w:r>
        <w:rPr>
          <w:rFonts w:hint="eastAsia" w:hAnsi="宋体"/>
          <w:b/>
          <w:bCs/>
          <w:snapToGrid w:val="0"/>
          <w:kern w:val="0"/>
        </w:rPr>
        <w:t>58</w:t>
      </w:r>
      <w:r>
        <w:rPr>
          <w:rFonts w:hint="eastAsia" w:hAnsi="宋体" w:cs="宋体"/>
          <w:b/>
          <w:bCs/>
          <w:snapToGrid w:val="0"/>
          <w:kern w:val="0"/>
        </w:rPr>
        <w:t xml:space="preserve">条 </w:t>
      </w:r>
      <w:r>
        <w:rPr>
          <w:rFonts w:hint="eastAsia" w:ascii="宋体" w:hAnsi="宋体" w:cs="宋体"/>
          <w:b/>
          <w:bCs/>
        </w:rPr>
        <w:t>新增</w:t>
      </w:r>
    </w:p>
    <w:p>
      <w:pPr>
        <w:adjustRightInd w:val="0"/>
        <w:snapToGrid w:val="0"/>
        <w:spacing w:line="400" w:lineRule="exact"/>
        <w:ind w:firstLine="420" w:firstLineChars="200"/>
        <w:rPr>
          <w:rFonts w:ascii="宋体" w:hAnsi="宋体"/>
          <w:szCs w:val="20"/>
        </w:rPr>
      </w:pPr>
      <w:r>
        <w:rPr>
          <w:rFonts w:hint="eastAsia" w:ascii="宋体" w:hAnsi="宋体"/>
          <w:snapToGrid w:val="0"/>
          <w:kern w:val="0"/>
          <w:szCs w:val="20"/>
        </w:rPr>
        <w:t>承包人必须严格执行天津市交通运输委员会、各级主管部门及发包人相关施工扬尘相关管理条款的规定，施工工地要全面落实“六个百分百”的要求，大中修工程要落实专人负责。施工过程中的扬尘控制措施费用以及补偿和赔偿费在报价时予以考虑，发包人不再另行支付。</w:t>
      </w:r>
    </w:p>
    <w:p>
      <w:pPr>
        <w:adjustRightInd w:val="0"/>
        <w:snapToGrid w:val="0"/>
        <w:spacing w:line="400" w:lineRule="exact"/>
        <w:rPr>
          <w:rFonts w:ascii="宋体"/>
          <w:b/>
          <w:bCs/>
          <w:u w:val="single"/>
        </w:rPr>
      </w:pPr>
      <w:r>
        <w:rPr>
          <w:rFonts w:hint="eastAsia" w:ascii="宋体" w:hAnsi="宋体" w:cs="宋体"/>
          <w:b/>
          <w:bCs/>
          <w:snapToGrid w:val="0"/>
          <w:kern w:val="0"/>
        </w:rPr>
        <w:t>第59条 新增</w:t>
      </w:r>
    </w:p>
    <w:p>
      <w:pPr>
        <w:adjustRightInd w:val="0"/>
        <w:snapToGrid w:val="0"/>
        <w:spacing w:line="400" w:lineRule="exact"/>
        <w:ind w:firstLine="420" w:firstLineChars="200"/>
        <w:rPr>
          <w:rFonts w:ascii="宋体"/>
          <w:b/>
          <w:bCs/>
          <w:u w:val="single"/>
        </w:rPr>
      </w:pPr>
      <w:r>
        <w:rPr>
          <w:rFonts w:hint="eastAsia" w:ascii="宋体" w:hAnsi="宋体" w:cs="宋体"/>
        </w:rPr>
        <w:t>承包人应充分细致调查了解施工地域的施工环境、风土人情，充分考虑可能出现的各种情况，本项目不接受因征地、拆迁、进场时间、计划调整、土方供应、阻工、业主供应的材料等原因造成的索赔。</w:t>
      </w:r>
    </w:p>
    <w:p>
      <w:pPr>
        <w:adjustRightInd w:val="0"/>
        <w:snapToGrid w:val="0"/>
        <w:spacing w:line="400" w:lineRule="exact"/>
        <w:rPr>
          <w:rFonts w:ascii="宋体"/>
        </w:rPr>
      </w:pPr>
      <w:r>
        <w:rPr>
          <w:rFonts w:hint="eastAsia" w:ascii="宋体" w:hAnsi="宋体" w:cs="宋体"/>
          <w:b/>
          <w:bCs/>
          <w:snapToGrid w:val="0"/>
          <w:kern w:val="0"/>
        </w:rPr>
        <w:t>第60条 新增</w:t>
      </w:r>
    </w:p>
    <w:p>
      <w:pPr>
        <w:adjustRightInd w:val="0"/>
        <w:snapToGrid w:val="0"/>
        <w:spacing w:line="400" w:lineRule="exact"/>
        <w:ind w:firstLine="420" w:firstLineChars="200"/>
        <w:rPr>
          <w:rFonts w:ascii="宋体"/>
        </w:rPr>
      </w:pPr>
      <w:r>
        <w:rPr>
          <w:rFonts w:hint="eastAsia" w:ascii="宋体" w:hAnsi="宋体" w:cs="宋体"/>
        </w:rPr>
        <w:t>混凝土、路面基层粒料、路面面层沥青混凝土必须为拌和场集中拌和生产的产品，承包人可以自行决定建立拌和场或是外购成品；无论自建或外购，均应通过相关部门的检验验收合格，其拌和设施均应符合业主要求及相关标准；其相应的费用包含在相应的工程项目之中，不予单独支付。</w:t>
      </w:r>
    </w:p>
    <w:p>
      <w:pPr>
        <w:adjustRightInd w:val="0"/>
        <w:snapToGrid w:val="0"/>
        <w:spacing w:line="400" w:lineRule="exact"/>
        <w:ind w:firstLine="405"/>
        <w:rPr>
          <w:rFonts w:ascii="宋体" w:hAnsi="宋体" w:cs="宋体"/>
        </w:rPr>
      </w:pPr>
      <w:r>
        <w:rPr>
          <w:rFonts w:hint="eastAsia" w:ascii="宋体" w:hAnsi="宋体" w:cs="宋体"/>
        </w:rPr>
        <w:t>同时水泥要求采用低碱水泥，生产厂家具备较大生产规模，产品质量稳定，有一定知名度的产品。</w:t>
      </w:r>
    </w:p>
    <w:p>
      <w:pPr>
        <w:adjustRightInd w:val="0"/>
        <w:snapToGrid w:val="0"/>
        <w:spacing w:line="400" w:lineRule="exact"/>
        <w:rPr>
          <w:rFonts w:ascii="宋体" w:hAnsi="宋体" w:cs="宋体"/>
          <w:b/>
          <w:bCs/>
          <w:snapToGrid w:val="0"/>
          <w:kern w:val="0"/>
        </w:rPr>
      </w:pPr>
      <w:r>
        <w:rPr>
          <w:rFonts w:hint="eastAsia" w:ascii="宋体" w:hAnsi="宋体" w:cs="宋体"/>
          <w:b/>
          <w:bCs/>
          <w:snapToGrid w:val="0"/>
          <w:kern w:val="0"/>
        </w:rPr>
        <w:t>第61条 新增</w:t>
      </w:r>
    </w:p>
    <w:p>
      <w:pPr>
        <w:adjustRightInd w:val="0"/>
        <w:snapToGrid w:val="0"/>
        <w:spacing w:line="400" w:lineRule="exact"/>
        <w:ind w:firstLine="420" w:firstLineChars="200"/>
        <w:rPr>
          <w:rFonts w:hint="eastAsia" w:ascii="宋体"/>
        </w:rPr>
      </w:pPr>
      <w:r>
        <w:rPr>
          <w:rFonts w:hint="eastAsia" w:ascii="宋体"/>
        </w:rPr>
        <w:t>承包人应落实《天津市开展公路交通标线质量控制专项工作方案》津交发[2018]57号通知精神，做好交通标线质量施工管理，严格原材料管控及施划管控，做好自检工作。</w:t>
      </w:r>
    </w:p>
    <w:p>
      <w:pPr>
        <w:adjustRightInd w:val="0"/>
        <w:snapToGrid w:val="0"/>
        <w:spacing w:line="400" w:lineRule="exact"/>
        <w:rPr>
          <w:rFonts w:ascii="宋体" w:hAnsi="宋体" w:cs="宋体"/>
          <w:b/>
          <w:bCs/>
          <w:snapToGrid w:val="0"/>
          <w:kern w:val="0"/>
        </w:rPr>
      </w:pPr>
      <w:r>
        <w:rPr>
          <w:rFonts w:hint="eastAsia" w:ascii="宋体" w:hAnsi="宋体" w:cs="宋体"/>
          <w:b/>
          <w:bCs/>
          <w:snapToGrid w:val="0"/>
          <w:kern w:val="0"/>
        </w:rPr>
        <w:t>第62条 新增</w:t>
      </w:r>
    </w:p>
    <w:p>
      <w:pPr>
        <w:adjustRightInd w:val="0"/>
        <w:snapToGrid w:val="0"/>
        <w:spacing w:line="400" w:lineRule="exact"/>
        <w:ind w:firstLine="420" w:firstLineChars="200"/>
        <w:rPr>
          <w:rFonts w:ascii="宋体"/>
        </w:rPr>
      </w:pPr>
      <w:r>
        <w:rPr>
          <w:rFonts w:hint="eastAsia" w:ascii="宋体"/>
        </w:rPr>
        <w:t>所有标段内拆除的设施、铣刨的旧料等，优先满足用于本标段对旧料、设施等的需求。剩余部分归承包人所有，可自行合理处置，发包人已按市场价扣除相关费用，由承包人在投标报价中综合考虑。以上设施、旧料包括但不限于：波形板护栏板、立柱，铣刨的旧路沥青混凝土、路面基层材料，中央分隔带侧石等。</w:t>
      </w:r>
    </w:p>
    <w:p>
      <w:pPr>
        <w:adjustRightInd w:val="0"/>
        <w:snapToGrid w:val="0"/>
        <w:spacing w:line="400" w:lineRule="exact"/>
        <w:rPr>
          <w:rFonts w:hint="eastAsia" w:ascii="宋体" w:hAnsi="宋体" w:cs="宋体"/>
          <w:b/>
          <w:bCs/>
          <w:snapToGrid w:val="0"/>
          <w:kern w:val="0"/>
        </w:rPr>
      </w:pPr>
      <w:r>
        <w:rPr>
          <w:rFonts w:hint="eastAsia" w:ascii="宋体" w:hAnsi="宋体" w:cs="宋体"/>
          <w:b/>
          <w:bCs/>
          <w:snapToGrid w:val="0"/>
          <w:kern w:val="0"/>
        </w:rPr>
        <w:t>第63条 新增</w:t>
      </w:r>
    </w:p>
    <w:p>
      <w:pPr>
        <w:spacing w:line="400" w:lineRule="exact"/>
        <w:ind w:firstLine="420" w:firstLineChars="200"/>
        <w:rPr>
          <w:rFonts w:hint="eastAsia" w:ascii="宋体"/>
        </w:rPr>
      </w:pPr>
      <w:r>
        <w:rPr>
          <w:rFonts w:hint="eastAsia" w:ascii="宋体"/>
        </w:rPr>
        <w:t>承包人须在施工现场安装实时视频监控系统，并将监控视频共享至发包人和监理人。监控内容至少要包括项目起、终点及相交路口的临时交通设施、施工作业点位，监控点位之间距离最长不超过1公里。承包人因该项工作所发生的全部费用承包人在投标时纳入综合报价中，发包人不再另行支付。</w:t>
      </w:r>
    </w:p>
    <w:p>
      <w:pPr>
        <w:adjustRightInd w:val="0"/>
        <w:snapToGrid w:val="0"/>
        <w:spacing w:line="400" w:lineRule="exact"/>
        <w:rPr>
          <w:rFonts w:ascii="宋体" w:hAnsi="宋体" w:cs="宋体"/>
          <w:b/>
          <w:bCs/>
          <w:snapToGrid w:val="0"/>
          <w:kern w:val="0"/>
        </w:rPr>
      </w:pPr>
      <w:r>
        <w:rPr>
          <w:rFonts w:hint="eastAsia" w:ascii="宋体" w:hAnsi="宋体" w:cs="宋体"/>
          <w:b/>
          <w:bCs/>
          <w:snapToGrid w:val="0"/>
          <w:kern w:val="0"/>
        </w:rPr>
        <w:t>第64条 新增</w:t>
      </w:r>
    </w:p>
    <w:p>
      <w:pPr>
        <w:spacing w:line="400" w:lineRule="exact"/>
        <w:ind w:firstLine="420" w:firstLineChars="200"/>
        <w:rPr>
          <w:rFonts w:hint="eastAsia" w:ascii="宋体"/>
        </w:rPr>
      </w:pPr>
      <w:r>
        <w:rPr>
          <w:rFonts w:hint="eastAsia" w:ascii="宋体"/>
        </w:rPr>
        <w:t>开工前，承包人应对工程沿线的地上、地下管线等障碍物进行调查。对于图纸已明确或现场可见的管线等障碍物，在施工过程中，如无须切改，承包人应采取有效措施保证其功能的正常使用，还需请各专业产权单位进行现场监护；如需加固的，应按产权单位要求进行加固、承担相应费用，并与产权单位签订保护加固协议。如由于施工或保护措施不利造成管线损坏及索赔，由承包人自行承担相应损失。对于图纸中未明确或现场隐蔽管线等障碍物，如需加固、保护的相关费用由双方协商解决，承包人应采取有效措施保证其功能的正常使用，还需请各专业产权单位进行现场监护。</w:t>
      </w:r>
    </w:p>
    <w:p>
      <w:pPr>
        <w:spacing w:line="400" w:lineRule="exact"/>
        <w:rPr>
          <w:rFonts w:ascii="宋体" w:hAnsi="宋体" w:cs="宋体"/>
          <w:b/>
          <w:bCs/>
          <w:snapToGrid w:val="0"/>
          <w:kern w:val="0"/>
        </w:rPr>
      </w:pPr>
      <w:r>
        <w:rPr>
          <w:rFonts w:hint="eastAsia" w:ascii="宋体" w:hAnsi="宋体" w:cs="宋体"/>
          <w:b/>
          <w:bCs/>
          <w:snapToGrid w:val="0"/>
          <w:kern w:val="0"/>
        </w:rPr>
        <w:t xml:space="preserve">第65条 新增 </w:t>
      </w:r>
    </w:p>
    <w:p>
      <w:pPr>
        <w:spacing w:line="400" w:lineRule="exact"/>
        <w:ind w:firstLine="420" w:firstLineChars="200"/>
        <w:rPr>
          <w:rFonts w:ascii="宋体"/>
        </w:rPr>
      </w:pPr>
      <w:r>
        <w:rPr>
          <w:rFonts w:hint="eastAsia" w:ascii="宋体" w:hAnsi="宋体"/>
        </w:rPr>
        <w:t>本工程采用一阶段形式组织竣工验收，执行《天津市交通运输委员会关于印发天津市公路养护工程管理办法的通知》</w:t>
      </w:r>
      <w:r>
        <w:rPr>
          <w:rFonts w:hint="eastAsia" w:ascii="宋体"/>
        </w:rPr>
        <w:t>（津交规[2022]</w:t>
      </w:r>
      <w:r>
        <w:rPr>
          <w:rFonts w:ascii="宋体"/>
        </w:rPr>
        <w:t>2</w:t>
      </w:r>
      <w:r>
        <w:rPr>
          <w:rFonts w:hint="eastAsia" w:ascii="宋体"/>
        </w:rPr>
        <w:t>号）。</w:t>
      </w:r>
    </w:p>
    <w:p>
      <w:pPr>
        <w:spacing w:line="400" w:lineRule="exact"/>
        <w:rPr>
          <w:rFonts w:hint="eastAsia" w:ascii="宋体"/>
        </w:rPr>
      </w:pPr>
      <w:r>
        <w:rPr>
          <w:rFonts w:hint="eastAsia" w:ascii="宋体" w:hAnsi="宋体" w:cs="宋体"/>
          <w:b/>
          <w:bCs/>
          <w:snapToGrid w:val="0"/>
          <w:kern w:val="0"/>
        </w:rPr>
        <w:t>第66条 新增</w:t>
      </w:r>
    </w:p>
    <w:bookmarkEnd w:id="899"/>
    <w:p>
      <w:pPr>
        <w:spacing w:line="400" w:lineRule="exact"/>
        <w:ind w:firstLine="420" w:firstLineChars="200"/>
        <w:rPr>
          <w:rFonts w:hint="eastAsia" w:ascii="宋体"/>
        </w:rPr>
      </w:pPr>
      <w:r>
        <w:rPr>
          <w:rFonts w:hint="eastAsia" w:ascii="宋体"/>
        </w:rPr>
        <w:t>本工程建设资金为财政性资金，由建设单位按财政拨付资金额度进行支付。本工程全部资金均由建设单位依据发包人申报的资金使用申请直接向承包人支付，承包人应向建设单位开具正式发票。财政拨付资金下达后，方能向承包人支付工程资金，故建设单位及发包人不承担因财政资金不到位造成无法向承包人支付的责任，承包人承诺自行承担该风险。</w:t>
      </w:r>
    </w:p>
    <w:p>
      <w:pPr>
        <w:spacing w:line="400" w:lineRule="exact"/>
        <w:ind w:firstLine="420" w:firstLineChars="200"/>
        <w:rPr>
          <w:rFonts w:hint="eastAsia" w:ascii="宋体"/>
        </w:rPr>
      </w:pPr>
      <w:r>
        <w:rPr>
          <w:rFonts w:hint="eastAsia" w:ascii="宋体"/>
        </w:rPr>
        <w:t>为保证工程款专款专用，资金支付前，承包人须开具共管账户，并与发包人、银行共同签订三方监管协议，接受发包人和银行对资金的监管。每笔工程款必须拨付至共管账户，账户内的资金不得用于本工程以外其他项目，发包人有权控制共管账户资金流向。</w:t>
      </w:r>
    </w:p>
    <w:p>
      <w:pPr>
        <w:spacing w:line="400" w:lineRule="exact"/>
        <w:ind w:firstLine="420" w:firstLineChars="200"/>
        <w:rPr>
          <w:rFonts w:hint="eastAsia" w:ascii="宋体"/>
        </w:rPr>
      </w:pPr>
      <w:r>
        <w:rPr>
          <w:rFonts w:hint="eastAsia" w:ascii="宋体"/>
        </w:rPr>
        <w:t>工程完工后，承包人须根据项目资金到位情况及时提供涉及人、机、材等工程账款已结清的承诺书。</w:t>
      </w:r>
    </w:p>
    <w:p>
      <w:pPr>
        <w:spacing w:line="400" w:lineRule="exact"/>
        <w:rPr>
          <w:rFonts w:hint="eastAsia" w:ascii="宋体"/>
        </w:rPr>
      </w:pPr>
      <w:r>
        <w:rPr>
          <w:rFonts w:hint="eastAsia" w:ascii="宋体" w:hAnsi="宋体" w:cs="宋体"/>
          <w:b/>
          <w:bCs/>
          <w:snapToGrid w:val="0"/>
          <w:kern w:val="0"/>
        </w:rPr>
        <w:t>第67条 新增</w:t>
      </w:r>
    </w:p>
    <w:p>
      <w:pPr>
        <w:spacing w:line="400" w:lineRule="exact"/>
        <w:ind w:firstLine="420" w:firstLineChars="200"/>
        <w:rPr>
          <w:rFonts w:ascii="宋体"/>
        </w:rPr>
      </w:pPr>
      <w:r>
        <w:rPr>
          <w:rFonts w:hint="eastAsia" w:ascii="宋体"/>
        </w:rPr>
        <w:t>发包人和承包人双方对在商谈、签订和履行本合同过程中所知悉的另一方的信息，无论在本合同期限内还是本合同终止后，均负有严格的保密义务。双方保证，其依本合同知悉的所有保密信息只用于本合同的目的，不得用于其他任何目的。未经一方事先书面授权，另一方不得以任何方式向第三人披露、转让、许可使用、交换、赠与或与任何其他第三人共同使用或不正当使用该等保密信息。违反本条约定，给一方造成损失的，另一方负相关的法律责任。</w:t>
      </w:r>
    </w:p>
    <w:p>
      <w:pPr>
        <w:spacing w:line="400" w:lineRule="exact"/>
        <w:rPr>
          <w:rFonts w:hint="eastAsia" w:ascii="宋体" w:hAnsi="宋体" w:cs="宋体"/>
          <w:b/>
          <w:bCs/>
          <w:snapToGrid w:val="0"/>
          <w:kern w:val="0"/>
        </w:rPr>
      </w:pPr>
      <w:r>
        <w:rPr>
          <w:rFonts w:hint="eastAsia" w:ascii="宋体" w:hAnsi="宋体" w:cs="宋体"/>
          <w:b/>
          <w:bCs/>
          <w:snapToGrid w:val="0"/>
          <w:kern w:val="0"/>
        </w:rPr>
        <w:t>第68条 新增</w:t>
      </w:r>
    </w:p>
    <w:p>
      <w:pPr>
        <w:spacing w:line="400" w:lineRule="exact"/>
        <w:ind w:firstLine="420" w:firstLineChars="200"/>
        <w:rPr>
          <w:rFonts w:ascii="宋体"/>
        </w:rPr>
      </w:pPr>
      <w:r>
        <w:rPr>
          <w:rFonts w:hint="eastAsia" w:ascii="宋体"/>
        </w:rPr>
        <w:t>施工过程中的信访问题，未按发包人要求及时处理的，或处理不妥当的，视同违约，课以10000元违约金。</w:t>
      </w:r>
    </w:p>
    <w:p>
      <w:pPr>
        <w:spacing w:line="400" w:lineRule="exact"/>
        <w:rPr>
          <w:rFonts w:hint="eastAsia" w:ascii="宋体"/>
        </w:rPr>
      </w:pPr>
      <w:r>
        <w:rPr>
          <w:rFonts w:hint="eastAsia" w:ascii="宋体" w:hAnsi="宋体" w:cs="宋体"/>
          <w:b/>
          <w:bCs/>
          <w:snapToGrid w:val="0"/>
          <w:kern w:val="0"/>
        </w:rPr>
        <w:t>第69条 新增</w:t>
      </w:r>
    </w:p>
    <w:p>
      <w:pPr>
        <w:spacing w:line="400" w:lineRule="exact"/>
        <w:ind w:firstLine="420" w:firstLineChars="200"/>
        <w:rPr>
          <w:rFonts w:ascii="宋体"/>
        </w:rPr>
      </w:pPr>
      <w:r>
        <w:rPr>
          <w:rFonts w:hint="eastAsia" w:ascii="宋体"/>
        </w:rPr>
        <w:t>本合同任何一方给另一方的通知，都应以书面形式发送，而另一方也应以书面形式确认并发送到对方明确的地址。合同签订地址适用范围包括双方非诉时各类通知、合同等文件以及就合同发生纠纷时相关文件和法律文书的送达，同时包括在争议进入民事诉讼程序后的一审、二审、再审和执行程序。如一方变更地址，应当在地址变更前三日以书面形式告知对方，如未按约定告知的，变更方自行承担相关责任。</w:t>
      </w:r>
    </w:p>
    <w:p>
      <w:pPr>
        <w:spacing w:line="400" w:lineRule="exact"/>
        <w:rPr>
          <w:rFonts w:ascii="宋体" w:hAnsi="宋体" w:cs="宋体"/>
          <w:b/>
          <w:bCs/>
          <w:snapToGrid w:val="0"/>
          <w:kern w:val="0"/>
        </w:rPr>
      </w:pPr>
      <w:r>
        <w:rPr>
          <w:rFonts w:hint="eastAsia" w:ascii="宋体" w:hAnsi="宋体" w:cs="宋体"/>
          <w:b/>
          <w:bCs/>
          <w:snapToGrid w:val="0"/>
          <w:kern w:val="0"/>
        </w:rPr>
        <w:t>第70</w:t>
      </w:r>
      <w:r>
        <w:rPr>
          <w:rFonts w:ascii="宋体" w:hAnsi="宋体" w:cs="宋体"/>
          <w:b/>
          <w:bCs/>
          <w:snapToGrid w:val="0"/>
          <w:kern w:val="0"/>
        </w:rPr>
        <w:t>条 新增</w:t>
      </w:r>
    </w:p>
    <w:p>
      <w:pPr>
        <w:snapToGrid w:val="0"/>
        <w:spacing w:line="400" w:lineRule="exact"/>
        <w:rPr>
          <w:rFonts w:ascii="宋体"/>
        </w:rPr>
      </w:pPr>
      <w:r>
        <w:rPr>
          <w:rFonts w:ascii="宋体"/>
        </w:rPr>
        <w:t>1、沥青混合料运输过程监控要求</w:t>
      </w:r>
    </w:p>
    <w:p>
      <w:pPr>
        <w:snapToGrid w:val="0"/>
        <w:spacing w:line="400" w:lineRule="exact"/>
        <w:rPr>
          <w:rFonts w:ascii="宋体"/>
        </w:rPr>
      </w:pPr>
      <w:r>
        <w:rPr>
          <w:rFonts w:hint="eastAsia" w:ascii="宋体"/>
        </w:rPr>
        <w:t>为确保沥青拌合站生产的沥青混合料源头可控，承包人需采取沥青混合料运输过程监控手段，应具备可追溯、统计车辆在途时间、运输过程中温度损失情况以及累计车次等功能。</w:t>
      </w:r>
    </w:p>
    <w:p>
      <w:pPr>
        <w:snapToGrid w:val="0"/>
        <w:spacing w:line="400" w:lineRule="exact"/>
        <w:rPr>
          <w:rFonts w:ascii="宋体"/>
        </w:rPr>
      </w:pPr>
      <w:r>
        <w:rPr>
          <w:rFonts w:ascii="宋体"/>
        </w:rPr>
        <w:t>2、路面压实质量监控要求</w:t>
      </w:r>
    </w:p>
    <w:p>
      <w:pPr>
        <w:snapToGrid w:val="0"/>
        <w:spacing w:line="400" w:lineRule="exact"/>
        <w:rPr>
          <w:rFonts w:ascii="宋体"/>
        </w:rPr>
      </w:pPr>
      <w:r>
        <w:rPr>
          <w:rFonts w:hint="eastAsia" w:ascii="宋体"/>
        </w:rPr>
        <w:t>为加强路面质量管控，承包人应采取路面压实质量监控手段，能够实时监测摊铺温度、速度，现场碾压设备运行数据等质量数据，向监理人及发包人提供监控使用权限，让监理人及发包人对路面全过程施工的数据做到可查询可追溯。</w:t>
      </w:r>
    </w:p>
    <w:p>
      <w:pPr>
        <w:snapToGrid w:val="0"/>
        <w:spacing w:line="400" w:lineRule="exact"/>
        <w:rPr>
          <w:rFonts w:ascii="宋体"/>
        </w:rPr>
      </w:pPr>
      <w:r>
        <w:rPr>
          <w:rFonts w:hint="eastAsia" w:ascii="宋体"/>
        </w:rPr>
        <w:t>沥青混合料运输过程监控及路面压实质量监控手段费用均包含在承包人综合报价中，发包人不再另行支付。</w:t>
      </w:r>
    </w:p>
    <w:p>
      <w:pPr>
        <w:spacing w:line="400" w:lineRule="exact"/>
        <w:rPr>
          <w:rFonts w:ascii="宋体" w:hAnsi="宋体" w:cs="宋体"/>
          <w:b/>
          <w:bCs/>
          <w:snapToGrid w:val="0"/>
          <w:kern w:val="0"/>
        </w:rPr>
      </w:pPr>
      <w:r>
        <w:rPr>
          <w:rFonts w:hint="eastAsia" w:ascii="宋体" w:hAnsi="宋体" w:cs="宋体"/>
          <w:b/>
          <w:bCs/>
          <w:snapToGrid w:val="0"/>
          <w:kern w:val="0"/>
        </w:rPr>
        <w:t>第71</w:t>
      </w:r>
      <w:r>
        <w:rPr>
          <w:rFonts w:ascii="宋体" w:hAnsi="宋体" w:cs="宋体"/>
          <w:b/>
          <w:bCs/>
          <w:snapToGrid w:val="0"/>
          <w:kern w:val="0"/>
        </w:rPr>
        <w:t>条 新增</w:t>
      </w:r>
    </w:p>
    <w:p>
      <w:pPr>
        <w:spacing w:line="400" w:lineRule="exact"/>
        <w:rPr>
          <w:rFonts w:hint="eastAsia"/>
        </w:rPr>
      </w:pPr>
      <w:r>
        <w:rPr>
          <w:rFonts w:hint="eastAsia"/>
        </w:rPr>
        <w:t>承包人应在竣工验收合格后，三个月内完成全部档案移交工作，且符合档案移交的相关要求。</w:t>
      </w:r>
    </w:p>
    <w:p>
      <w:pPr>
        <w:spacing w:line="400" w:lineRule="exact"/>
        <w:rPr>
          <w:rFonts w:ascii="宋体" w:hAnsi="宋体" w:cs="宋体"/>
          <w:b/>
          <w:bCs/>
          <w:snapToGrid w:val="0"/>
          <w:kern w:val="0"/>
        </w:rPr>
      </w:pPr>
      <w:r>
        <w:rPr>
          <w:rFonts w:hint="eastAsia" w:ascii="宋体" w:hAnsi="宋体" w:cs="宋体"/>
          <w:b/>
          <w:bCs/>
          <w:snapToGrid w:val="0"/>
          <w:kern w:val="0"/>
        </w:rPr>
        <w:t>第</w:t>
      </w:r>
      <w:r>
        <w:rPr>
          <w:rFonts w:ascii="宋体" w:hAnsi="宋体" w:cs="宋体"/>
          <w:b/>
          <w:bCs/>
          <w:snapToGrid w:val="0"/>
          <w:kern w:val="0"/>
        </w:rPr>
        <w:t>7</w:t>
      </w:r>
      <w:r>
        <w:rPr>
          <w:rFonts w:hint="eastAsia" w:ascii="宋体" w:hAnsi="宋体" w:cs="宋体"/>
          <w:b/>
          <w:bCs/>
          <w:snapToGrid w:val="0"/>
          <w:kern w:val="0"/>
        </w:rPr>
        <w:t>2</w:t>
      </w:r>
      <w:r>
        <w:rPr>
          <w:rFonts w:ascii="宋体" w:hAnsi="宋体" w:cs="宋体"/>
          <w:b/>
          <w:bCs/>
          <w:snapToGrid w:val="0"/>
          <w:kern w:val="0"/>
        </w:rPr>
        <w:t>条 新增</w:t>
      </w:r>
    </w:p>
    <w:p>
      <w:pPr>
        <w:spacing w:line="400" w:lineRule="exact"/>
        <w:ind w:firstLine="420" w:firstLineChars="200"/>
        <w:rPr>
          <w:rFonts w:hint="eastAsia" w:ascii="宋体"/>
        </w:rPr>
      </w:pPr>
      <w:r>
        <w:rPr>
          <w:rFonts w:hint="eastAsia" w:ascii="宋体"/>
        </w:rPr>
        <w:t>承包人应当按照施工图设计中的要求对工程的沿线附属设施进行施工，所需的材料及设备的型号、规格、数量应当与施工图设计中要求保持一致，功能上满足使用要求，并与主体工程同时进行验收。</w:t>
      </w:r>
    </w:p>
    <w:p>
      <w:pPr>
        <w:spacing w:line="400" w:lineRule="exact"/>
        <w:rPr>
          <w:rFonts w:hint="eastAsia" w:ascii="宋体" w:hAnsi="宋体" w:cs="宋体"/>
          <w:b/>
          <w:bCs/>
          <w:snapToGrid w:val="0"/>
          <w:kern w:val="0"/>
        </w:rPr>
      </w:pPr>
      <w:r>
        <w:rPr>
          <w:rFonts w:hint="eastAsia" w:ascii="宋体" w:hAnsi="宋体" w:cs="宋体"/>
          <w:b/>
          <w:bCs/>
          <w:snapToGrid w:val="0"/>
          <w:kern w:val="0"/>
        </w:rPr>
        <w:t>第73条 新增</w:t>
      </w:r>
    </w:p>
    <w:p>
      <w:pPr>
        <w:spacing w:line="400" w:lineRule="exact"/>
        <w:ind w:firstLine="420" w:firstLineChars="200"/>
        <w:rPr>
          <w:rFonts w:hint="eastAsia" w:ascii="宋体"/>
        </w:rPr>
      </w:pPr>
      <w:r>
        <w:rPr>
          <w:rFonts w:hint="eastAsia" w:ascii="宋体"/>
        </w:rPr>
        <w:t>若承包人在从事公路养护活动过程中违反国家有关法律、法规、规章，包括但不限于违反公路养护技术规范、安全生产规定等，发包人有权依据《天津市交通运输委员会关于印发天津市公路养护市场信用管理办法的通知》(津交规[2022]4号)将承包人的不良行为记录纳入天津市公路养护信用信息管理系统。一旦承包人的不良行为被纳入天津市公路养护信用信息管理系统，承包人应承担由此产生的一切后果，包括但不限于可能面临的信用评级降低、限制参与后续公路养护项目投标等。承包人应严格遵守公路养护活动中的各项法律规定和合同约定，确保养护工作的质量和安全。如因承包人的故意或重大过失导致不良行为发生，承包人应负责采取积极有效的措施进行整改，并承担相应的整改费用。</w:t>
      </w:r>
    </w:p>
    <w:p>
      <w:pPr>
        <w:rPr>
          <w:rFonts w:hint="eastAsia" w:ascii="宋体" w:hAnsi="宋体" w:cs="宋体"/>
          <w:b/>
          <w:color w:val="auto"/>
          <w:highlight w:val="none"/>
        </w:rPr>
      </w:pPr>
      <w:r>
        <w:rPr>
          <w:rFonts w:hint="eastAsia" w:ascii="宋体" w:hAnsi="宋体" w:cs="宋体"/>
          <w:b/>
          <w:color w:val="auto"/>
          <w:highlight w:val="none"/>
        </w:rPr>
        <w:br w:type="page"/>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第三节 合同附件格式</w:t>
      </w:r>
      <w:bookmarkEnd w:id="894"/>
      <w:bookmarkEnd w:id="895"/>
      <w:bookmarkEnd w:id="896"/>
      <w:bookmarkEnd w:id="897"/>
    </w:p>
    <w:p>
      <w:pPr>
        <w:pStyle w:val="31"/>
        <w:shd w:val="clear" w:color="auto" w:fill="auto"/>
        <w:spacing w:before="0" w:after="56" w:line="360" w:lineRule="auto"/>
        <w:ind w:left="40"/>
        <w:jc w:val="both"/>
        <w:rPr>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rPr>
        <w:t>附件一：合同协议书</w:t>
      </w:r>
    </w:p>
    <w:p>
      <w:pPr>
        <w:pStyle w:val="36"/>
        <w:shd w:val="clear" w:color="auto" w:fill="auto"/>
        <w:spacing w:before="0" w:after="193" w:line="360" w:lineRule="auto"/>
        <w:ind w:right="60"/>
        <w:rPr>
          <w:rFonts w:hint="eastAsia" w:ascii="宋体" w:hAnsi="宋体" w:eastAsia="宋体" w:cs="宋体"/>
          <w:b w:val="0"/>
          <w:bCs w:val="0"/>
          <w:color w:val="auto"/>
          <w:sz w:val="24"/>
          <w:szCs w:val="24"/>
          <w:highlight w:val="none"/>
        </w:rPr>
      </w:pPr>
      <w:bookmarkStart w:id="900" w:name="bookmark195"/>
      <w:r>
        <w:rPr>
          <w:rStyle w:val="37"/>
          <w:rFonts w:hint="eastAsia" w:ascii="宋体" w:hAnsi="宋体" w:eastAsia="宋体" w:cs="宋体"/>
          <w:b w:val="0"/>
          <w:bCs w:val="0"/>
          <w:color w:val="auto"/>
          <w:sz w:val="24"/>
          <w:szCs w:val="24"/>
          <w:highlight w:val="none"/>
        </w:rPr>
        <w:t>合同协议书</w:t>
      </w:r>
      <w:bookmarkEnd w:id="900"/>
    </w:p>
    <w:p>
      <w:pPr>
        <w:pStyle w:val="31"/>
        <w:shd w:val="clear" w:color="auto" w:fill="auto"/>
        <w:spacing w:before="0" w:line="360" w:lineRule="auto"/>
        <w:ind w:right="60"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___________（发包人名称，以下简称“发包人”）为实施</w:t>
      </w:r>
      <w:r>
        <w:rPr>
          <w:rStyle w:val="35"/>
          <w:rFonts w:hint="eastAsia" w:ascii="宋体" w:hAnsi="宋体" w:eastAsia="宋体" w:cs="宋体"/>
          <w:color w:val="auto"/>
          <w:sz w:val="24"/>
          <w:szCs w:val="24"/>
          <w:highlight w:val="none"/>
          <w:u w:val="single"/>
          <w:lang w:val="en-US"/>
        </w:rPr>
        <w:t xml:space="preserve">          </w:t>
      </w:r>
      <w:r>
        <w:rPr>
          <w:rStyle w:val="35"/>
          <w:rFonts w:hint="eastAsia" w:ascii="宋体" w:hAnsi="宋体" w:eastAsia="宋体" w:cs="宋体"/>
          <w:color w:val="auto"/>
          <w:sz w:val="24"/>
          <w:szCs w:val="24"/>
          <w:highlight w:val="none"/>
        </w:rPr>
        <w:t>（项目名称），已接受</w:t>
      </w:r>
      <w:r>
        <w:rPr>
          <w:rStyle w:val="35"/>
          <w:rFonts w:hint="eastAsia" w:ascii="宋体" w:hAnsi="宋体" w:eastAsia="宋体" w:cs="宋体"/>
          <w:color w:val="auto"/>
          <w:sz w:val="24"/>
          <w:szCs w:val="24"/>
          <w:highlight w:val="none"/>
          <w:u w:val="single"/>
        </w:rPr>
        <w:t xml:space="preserve">       </w:t>
      </w:r>
      <w:r>
        <w:rPr>
          <w:rStyle w:val="32"/>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承包人名称，以下简称</w:t>
      </w:r>
      <w:r>
        <w:rPr>
          <w:rStyle w:val="32"/>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承包人”）对该项目</w:t>
      </w:r>
      <w:r>
        <w:rPr>
          <w:rStyle w:val="32"/>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标段施工的投标。发包人和承包人共同达成如下协议。</w:t>
      </w:r>
    </w:p>
    <w:p>
      <w:pPr>
        <w:pStyle w:val="31"/>
        <w:shd w:val="clear" w:color="auto" w:fill="auto"/>
        <w:spacing w:before="0" w:line="360" w:lineRule="auto"/>
        <w:ind w:right="60"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1.第</w:t>
      </w:r>
      <w:r>
        <w:rPr>
          <w:rStyle w:val="32"/>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标段由</w:t>
      </w:r>
      <w:r>
        <w:rPr>
          <w:rStyle w:val="32"/>
          <w:rFonts w:hint="eastAsia" w:ascii="宋体" w:hAnsi="宋体" w:eastAsia="宋体" w:cs="宋体"/>
          <w:color w:val="auto"/>
          <w:sz w:val="24"/>
          <w:szCs w:val="24"/>
          <w:highlight w:val="none"/>
        </w:rPr>
        <w:t>K</w:t>
      </w:r>
      <w:r>
        <w:rPr>
          <w:rStyle w:val="32"/>
          <w:rFonts w:hint="eastAsia" w:ascii="宋体" w:hAnsi="宋体" w:eastAsia="宋体" w:cs="宋体"/>
          <w:color w:val="auto"/>
          <w:sz w:val="24"/>
          <w:szCs w:val="24"/>
          <w:highlight w:val="none"/>
          <w:u w:val="single"/>
        </w:rPr>
        <w:t xml:space="preserve">   </w:t>
      </w:r>
      <w:r>
        <w:rPr>
          <w:rStyle w:val="32"/>
          <w:rFonts w:hint="eastAsia" w:ascii="宋体" w:hAnsi="宋体" w:eastAsia="宋体" w:cs="宋体"/>
          <w:color w:val="auto"/>
          <w:sz w:val="24"/>
          <w:szCs w:val="24"/>
          <w:highlight w:val="none"/>
        </w:rPr>
        <w:t>+</w:t>
      </w:r>
      <w:r>
        <w:rPr>
          <w:rStyle w:val="32"/>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至</w:t>
      </w:r>
      <w:r>
        <w:rPr>
          <w:rStyle w:val="32"/>
          <w:rFonts w:hint="eastAsia" w:ascii="宋体" w:hAnsi="宋体" w:eastAsia="宋体" w:cs="宋体"/>
          <w:color w:val="auto"/>
          <w:sz w:val="24"/>
          <w:szCs w:val="24"/>
          <w:highlight w:val="none"/>
        </w:rPr>
        <w:t>K</w:t>
      </w:r>
      <w:r>
        <w:rPr>
          <w:rStyle w:val="32"/>
          <w:rFonts w:hint="eastAsia" w:ascii="宋体" w:hAnsi="宋体" w:eastAsia="宋体" w:cs="宋体"/>
          <w:color w:val="auto"/>
          <w:sz w:val="24"/>
          <w:szCs w:val="24"/>
          <w:highlight w:val="none"/>
          <w:u w:val="single"/>
        </w:rPr>
        <w:t xml:space="preserve">   </w:t>
      </w:r>
      <w:r>
        <w:rPr>
          <w:rStyle w:val="32"/>
          <w:rFonts w:hint="eastAsia" w:ascii="宋体" w:hAnsi="宋体" w:eastAsia="宋体" w:cs="宋体"/>
          <w:color w:val="auto"/>
          <w:sz w:val="24"/>
          <w:szCs w:val="24"/>
          <w:highlight w:val="none"/>
        </w:rPr>
        <w:t>+</w:t>
      </w:r>
      <w:r>
        <w:rPr>
          <w:rStyle w:val="32"/>
          <w:rFonts w:hint="eastAsia" w:ascii="宋体" w:hAnsi="宋体" w:eastAsia="宋体" w:cs="宋体"/>
          <w:color w:val="auto"/>
          <w:sz w:val="24"/>
          <w:szCs w:val="24"/>
          <w:highlight w:val="none"/>
          <w:u w:val="single"/>
        </w:rPr>
        <w:t xml:space="preserve">   </w:t>
      </w:r>
      <w:r>
        <w:rPr>
          <w:rStyle w:val="32"/>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长约</w:t>
      </w:r>
      <w:r>
        <w:rPr>
          <w:rStyle w:val="35"/>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km，公路等级为</w:t>
      </w:r>
      <w:r>
        <w:rPr>
          <w:rStyle w:val="35"/>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，设计时速为</w:t>
      </w:r>
      <w:r>
        <w:rPr>
          <w:rStyle w:val="32"/>
          <w:rFonts w:hint="eastAsia" w:ascii="宋体" w:hAnsi="宋体" w:eastAsia="宋体" w:cs="宋体"/>
          <w:color w:val="auto"/>
          <w:sz w:val="24"/>
          <w:szCs w:val="24"/>
          <w:highlight w:val="none"/>
          <w:u w:val="single"/>
        </w:rPr>
        <w:t xml:space="preserve">     </w:t>
      </w:r>
      <w:r>
        <w:rPr>
          <w:rStyle w:val="32"/>
          <w:rFonts w:hint="eastAsia" w:ascii="宋体" w:hAnsi="宋体" w:eastAsia="宋体" w:cs="宋体"/>
          <w:color w:val="auto"/>
          <w:sz w:val="24"/>
          <w:szCs w:val="24"/>
          <w:highlight w:val="none"/>
        </w:rPr>
        <w:t>，____</w:t>
      </w:r>
      <w:r>
        <w:rPr>
          <w:rStyle w:val="35"/>
          <w:rFonts w:hint="eastAsia" w:ascii="宋体" w:hAnsi="宋体" w:eastAsia="宋体" w:cs="宋体"/>
          <w:color w:val="auto"/>
          <w:sz w:val="24"/>
          <w:szCs w:val="24"/>
          <w:highlight w:val="none"/>
        </w:rPr>
        <w:t>路面，有</w:t>
      </w:r>
      <w:r>
        <w:rPr>
          <w:rStyle w:val="32"/>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立交</w:t>
      </w:r>
      <w:r>
        <w:rPr>
          <w:rStyle w:val="32"/>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处；特大桥</w:t>
      </w:r>
      <w:r>
        <w:rPr>
          <w:rStyle w:val="32"/>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座，计长</w:t>
      </w:r>
      <w:r>
        <w:rPr>
          <w:rStyle w:val="32"/>
          <w:rFonts w:hint="eastAsia" w:ascii="宋体" w:hAnsi="宋体" w:eastAsia="宋体" w:cs="宋体"/>
          <w:color w:val="auto"/>
          <w:sz w:val="24"/>
          <w:szCs w:val="24"/>
          <w:highlight w:val="none"/>
          <w:u w:val="single"/>
        </w:rPr>
        <w:t xml:space="preserve">   </w:t>
      </w:r>
      <w:r>
        <w:rPr>
          <w:rStyle w:val="32"/>
          <w:rFonts w:hint="eastAsia" w:ascii="宋体" w:hAnsi="宋体" w:eastAsia="宋体" w:cs="宋体"/>
          <w:color w:val="auto"/>
          <w:sz w:val="24"/>
          <w:szCs w:val="24"/>
          <w:highlight w:val="none"/>
        </w:rPr>
        <w:t>m</w:t>
      </w:r>
      <w:r>
        <w:rPr>
          <w:rStyle w:val="35"/>
          <w:rFonts w:hint="eastAsia" w:ascii="宋体" w:hAnsi="宋体" w:eastAsia="宋体" w:cs="宋体"/>
          <w:color w:val="auto"/>
          <w:sz w:val="24"/>
          <w:szCs w:val="24"/>
          <w:highlight w:val="none"/>
        </w:rPr>
        <w:t>；大中桥座，计长</w:t>
      </w:r>
      <w:r>
        <w:rPr>
          <w:rStyle w:val="32"/>
          <w:rFonts w:hint="eastAsia" w:ascii="宋体" w:hAnsi="宋体" w:eastAsia="宋体" w:cs="宋体"/>
          <w:color w:val="auto"/>
          <w:sz w:val="24"/>
          <w:szCs w:val="24"/>
          <w:highlight w:val="none"/>
          <w:u w:val="single"/>
        </w:rPr>
        <w:t xml:space="preserve">   </w:t>
      </w:r>
      <w:r>
        <w:rPr>
          <w:rStyle w:val="32"/>
          <w:rFonts w:hint="eastAsia" w:ascii="宋体" w:hAnsi="宋体" w:eastAsia="宋体" w:cs="宋体"/>
          <w:color w:val="auto"/>
          <w:sz w:val="24"/>
          <w:szCs w:val="24"/>
          <w:highlight w:val="none"/>
        </w:rPr>
        <w:t>m</w:t>
      </w:r>
      <w:r>
        <w:rPr>
          <w:rStyle w:val="35"/>
          <w:rFonts w:hint="eastAsia" w:ascii="宋体" w:hAnsi="宋体" w:eastAsia="宋体" w:cs="宋体"/>
          <w:color w:val="auto"/>
          <w:sz w:val="24"/>
          <w:szCs w:val="24"/>
          <w:highlight w:val="none"/>
        </w:rPr>
        <w:t>隧道</w:t>
      </w:r>
      <w:r>
        <w:rPr>
          <w:rStyle w:val="32"/>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座，计长</w:t>
      </w:r>
      <w:r>
        <w:rPr>
          <w:rStyle w:val="32"/>
          <w:rFonts w:hint="eastAsia" w:ascii="宋体" w:hAnsi="宋体" w:eastAsia="宋体" w:cs="宋体"/>
          <w:color w:val="auto"/>
          <w:sz w:val="24"/>
          <w:szCs w:val="24"/>
          <w:highlight w:val="none"/>
          <w:u w:val="single"/>
        </w:rPr>
        <w:t xml:space="preserve">    </w:t>
      </w:r>
      <w:r>
        <w:rPr>
          <w:rStyle w:val="32"/>
          <w:rFonts w:hint="eastAsia" w:ascii="宋体" w:hAnsi="宋体" w:eastAsia="宋体" w:cs="宋体"/>
          <w:color w:val="auto"/>
          <w:sz w:val="24"/>
          <w:szCs w:val="24"/>
          <w:highlight w:val="none"/>
        </w:rPr>
        <w:t>m</w:t>
      </w:r>
      <w:r>
        <w:rPr>
          <w:rStyle w:val="35"/>
          <w:rFonts w:hint="eastAsia" w:ascii="宋体" w:hAnsi="宋体" w:eastAsia="宋体" w:cs="宋体"/>
          <w:color w:val="auto"/>
          <w:sz w:val="24"/>
          <w:szCs w:val="24"/>
          <w:highlight w:val="none"/>
        </w:rPr>
        <w:t>以及其他构造物工程等。</w:t>
      </w:r>
      <w:bookmarkStart w:id="901" w:name="bookmark196"/>
    </w:p>
    <w:p>
      <w:pPr>
        <w:pStyle w:val="31"/>
        <w:shd w:val="clear" w:color="auto" w:fill="auto"/>
        <w:spacing w:before="0" w:line="360" w:lineRule="auto"/>
        <w:ind w:right="6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2.下列文件应视为构成合同文件的组成部分：</w:t>
      </w:r>
      <w:bookmarkEnd w:id="901"/>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（1）本协议书及各种合同附件（含评标期间和合同谈判过程中的澄清文件和补充资料）；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（3）投标函及投标函附录；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（4）项目专用合同条款；</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（5）公路工程专用合同条款；</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（6）通用合同条款；</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（7）工程量清单计量规则；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（8）技术规范；</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（9）图纸；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（10）已标价工程量清单；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（11）承包人有关人员、设备投入的承诺及投标文件中的施工组织设计；</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（12）其他合同文件。</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上述合同文件互相补充和解释，如果合同文件之间存在矛盾或不一致之处，以上述文件的排列顺序在先者为准。</w:t>
      </w:r>
    </w:p>
    <w:p>
      <w:pPr>
        <w:snapToGrid w:val="0"/>
        <w:spacing w:line="360" w:lineRule="auto"/>
        <w:ind w:firstLine="465"/>
        <w:rPr>
          <w:rFonts w:hint="eastAsia" w:ascii="宋体" w:hAnsi="宋体" w:cs="宋体"/>
          <w:color w:val="auto"/>
          <w:sz w:val="24"/>
          <w:highlight w:val="none"/>
        </w:rPr>
      </w:pPr>
      <w:r>
        <w:rPr>
          <w:rFonts w:hint="eastAsia" w:ascii="宋体" w:hAnsi="宋体" w:cs="宋体"/>
          <w:color w:val="auto"/>
          <w:sz w:val="24"/>
          <w:highlight w:val="none"/>
        </w:rPr>
        <w:t>3.根据工程量清单所列的预计数量和单价或总额价计算的签约合同价：人民币（大写）________元(¥_______)。</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4.承包人项目经理：________。承包人项目总工：________。</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5.工程质量符合________标准，安全目标_________。</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6.承包人承诺按合同约定承担工程的实施、完成及缺陷修复。</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7.发包人承诺按合同约定的条件、时间和方式向承包人支付合同价款。</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8.承包人应按照监理人指示开工，工期为___日历天。</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9.本协议书在承包人提供履约保证金后，由双方法定代表人或其委托代理人签署并加盖单位章后生效。全部工程完工后经交工验收合格、缺陷责任期满签发缺陷责任终止证书后失效。</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10.本协议书正本二份、副本___份，合同双方各执正本一份，副本___份，当正本与副本的内容不一致时，以正本为准。</w:t>
      </w:r>
    </w:p>
    <w:p>
      <w:pPr>
        <w:snapToGrid w:val="0"/>
        <w:spacing w:line="360" w:lineRule="auto"/>
        <w:ind w:firstLine="435"/>
        <w:rPr>
          <w:rFonts w:hint="eastAsia" w:ascii="宋体" w:hAnsi="宋体" w:cs="宋体"/>
          <w:color w:val="auto"/>
          <w:sz w:val="24"/>
          <w:highlight w:val="none"/>
        </w:rPr>
      </w:pPr>
      <w:r>
        <w:rPr>
          <w:rFonts w:hint="eastAsia" w:ascii="宋体" w:hAnsi="宋体" w:cs="宋体"/>
          <w:color w:val="auto"/>
          <w:sz w:val="24"/>
          <w:highlight w:val="none"/>
        </w:rPr>
        <w:t>11.合同未尽事宜，双方另行签订补充协议。补充协议是合同的组成部分。</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发包人：______________(盖单位章)             承包人：_____________(盖单位章)</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法定代表人或其委托代理人：____(签字)    法定代表人或其委托代理人_____(签字)</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_____年_____月_____日                        ______年_____月______日</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p>
    <w:p>
      <w:pPr>
        <w:framePr w:h="161" w:wrap="notBeside" w:vAnchor="text" w:hAnchor="text" w:xAlign="center" w:y="1"/>
        <w:spacing w:line="360" w:lineRule="auto"/>
        <w:jc w:val="center"/>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sectPr>
          <w:footerReference r:id="rId8" w:type="even"/>
          <w:pgSz w:w="11905" w:h="16838"/>
          <w:pgMar w:top="1304" w:right="1304" w:bottom="1304" w:left="1361" w:header="720" w:footer="720" w:gutter="0"/>
          <w:paperSrc w:first="7" w:other="7"/>
          <w:pgNumType w:fmt="numberInDash"/>
          <w:cols w:space="720" w:num="1"/>
          <w:titlePg/>
          <w:docGrid w:linePitch="360" w:charSpace="0"/>
        </w:sectPr>
      </w:pPr>
    </w:p>
    <w:p>
      <w:pPr>
        <w:pStyle w:val="38"/>
        <w:shd w:val="clear" w:color="auto" w:fill="auto"/>
        <w:spacing w:after="54" w:line="360" w:lineRule="auto"/>
        <w:ind w:firstLine="0"/>
        <w:jc w:val="left"/>
        <w:rPr>
          <w:rFonts w:hint="eastAsia" w:ascii="宋体" w:hAnsi="宋体" w:eastAsia="宋体" w:cs="宋体"/>
          <w:color w:val="auto"/>
          <w:sz w:val="24"/>
          <w:szCs w:val="24"/>
          <w:highlight w:val="none"/>
        </w:rPr>
      </w:pPr>
      <w:r>
        <w:rPr>
          <w:rStyle w:val="39"/>
          <w:rFonts w:hint="eastAsia" w:ascii="宋体" w:hAnsi="宋体" w:eastAsia="宋体" w:cs="宋体"/>
          <w:b/>
          <w:bCs/>
          <w:color w:val="auto"/>
          <w:sz w:val="24"/>
          <w:szCs w:val="24"/>
          <w:highlight w:val="none"/>
        </w:rPr>
        <w:t>附件二</w:t>
      </w:r>
      <w:r>
        <w:rPr>
          <w:rStyle w:val="39"/>
          <w:rFonts w:hint="eastAsia" w:ascii="宋体" w:hAnsi="宋体" w:eastAsia="宋体" w:cs="宋体"/>
          <w:b/>
          <w:bCs/>
          <w:color w:val="auto"/>
          <w:sz w:val="24"/>
          <w:szCs w:val="24"/>
          <w:highlight w:val="none"/>
          <w:lang w:val="en-US"/>
        </w:rPr>
        <w:t>：</w:t>
      </w:r>
      <w:r>
        <w:rPr>
          <w:rStyle w:val="39"/>
          <w:rFonts w:hint="eastAsia" w:ascii="宋体" w:hAnsi="宋体" w:eastAsia="宋体" w:cs="宋体"/>
          <w:b/>
          <w:bCs/>
          <w:color w:val="auto"/>
          <w:sz w:val="24"/>
          <w:szCs w:val="24"/>
          <w:highlight w:val="none"/>
        </w:rPr>
        <w:t>廉政合同</w:t>
      </w:r>
    </w:p>
    <w:p>
      <w:pPr>
        <w:adjustRightIn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廉 政 合 同</w:t>
      </w:r>
    </w:p>
    <w:p>
      <w:pPr>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（本格式编排在招标文件中，供投标人参考，投标时不需附此表）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（项目名称）的项目法人________（项目法人名称，以下简称“发包人”）与该项目___标段的施工单位_______（施工单位名称，以下简称“承包人”），特订立如下合同。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1.发包人和承包人双方的权利和义务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（1）严格遵守党的政策规定和国家有关法律法规及交通运输部的有关规定。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（2）严格执行_______（项目名称）____标段施工合同文件，自觉按合同办事。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（3）双方的业务活动坚持公开、公正、诚信、透明的原则(法律认定的商业秘密和合同文件另有规定除外)，不得损害国家和集体利益，不得违反工程建设管理规章制度。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（4）建立健全廉政制度，开展廉政教育，设立廉政告示牌，公布举报电话，监督并认真查处违法违纪行为。</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（5）发现对方在业务活动中有违反廉政规定的行为，有及时提醒对方纠正的权利和义务。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（6）发现对方严重违反本合同义务条款的行为，有向其上级有关部门举报、建议给予处理并要求告知处理结果的权利。</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2.发包人的义务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（1）发包人及其工作人员不得索要或接受承包人的礼金、有价证券和贵重物品，不得让承包人报销任何应由发包人或发包人工作人员个人支付的费用等。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（2）发包人工作人员不得参加承包人安排的超标准宴请和娱乐活动；不得接受承包人提供的通讯工具、交通工具和高档办公用品等。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（3）发包人及其工作人员不得要求或者接受承包人为其住房装修、婚丧嫁娶活动、配偶子女的工作安排以及出国出境、旅游等提供方便等。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（4）发包人工作人员及其配偶、子女不得从事与发包人工程有关的材料设备供应、工程分包、劳务等经济活动等。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（5）发包人及其工作人员不得以任何理由向承包人推荐分包单位或推销材料，不得要求承包人购买合同规定外的材料和设备。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（6）发包人工作人员要秉公办事，不准营私舞弊，不准利用职权从事各种个人有偿中介活动和安排个人施工队伍。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3.承包人的义务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（1）承包人不得以任何理由向发包人及其工作人员行贿或馈赠礼金、有价证券、贵重礼品。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（2）承包人不得以任何名义为发包人及其工作人员报销应由发包人单位或个人支付的任何费用。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（3）承包人不得以任何理由安排发包人工作人员参加超标准宴请及娱乐活动。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（4）承包人不得为发包人单位和个人购置或提供通讯工具、交通工具和高档办公用品等。</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4.违约责任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（1）发包人及其工作人员违反本合同第1、2条，按管理权限，依据有关规定给予党纪、政纪或组织处理；涉嫌犯罪的，移交司法机关追究刑事责任；给承包人单位造成经济损失的，应予以赔偿。</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承包人及其工作人员违反本合同第1、3条，按管理权限，依据有关规定给予党纪、政纪或组织处理；给发包人单位造成经济损失的，应予以赔偿；情节严重的，发包人建议公路主管部门给予承包人一至三年内不得进入其主管的公路建设市场的处罚。</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6.本合同有效期为发包人和承包人签署之日起至该工程项目竣工验收后止。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7.本合同作为________（项目名称）____标段施工合同的附件，与工程施工合同具有同等的法律效力，经合同双方签署后立即生效。</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8.本合同一式四份，由发包人和承包人各执一份，送交发包人和承包人的监督单位各一份。</w:t>
      </w:r>
    </w:p>
    <w:p>
      <w:pPr>
        <w:spacing w:line="480" w:lineRule="auto"/>
        <w:rPr>
          <w:rFonts w:hint="eastAsia" w:ascii="宋体" w:hAnsi="宋体" w:cs="宋体"/>
          <w:color w:val="auto"/>
          <w:sz w:val="24"/>
          <w:highlight w:val="none"/>
        </w:rPr>
      </w:pP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发包人：________________（盖单位章）  承包人：_____________（盖单位章）</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法定代表人或其委托代理人：_（签字）  法定代表人或其委托代理人：_（签字）</w:t>
      </w:r>
    </w:p>
    <w:p>
      <w:pPr>
        <w:spacing w:line="480" w:lineRule="auto"/>
        <w:ind w:firstLine="1800" w:firstLineChars="750"/>
        <w:rPr>
          <w:rFonts w:hint="eastAsia" w:ascii="宋体" w:hAnsi="宋体" w:cs="宋体"/>
          <w:color w:val="auto"/>
          <w:sz w:val="24"/>
          <w:highlight w:val="none"/>
        </w:rPr>
      </w:pPr>
      <w:r>
        <w:rPr>
          <w:rFonts w:hint="eastAsia" w:ascii="宋体" w:hAnsi="宋体" w:cs="宋体"/>
          <w:color w:val="auto"/>
          <w:sz w:val="24"/>
          <w:highlight w:val="none"/>
        </w:rPr>
        <w:t>_____年____月_____日            _____年_____月____日</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发包人监督单位：（</w:t>
      </w:r>
      <w:r>
        <w:rPr>
          <w:rFonts w:hint="eastAsia" w:ascii="宋体" w:hAnsi="宋体" w:cs="宋体"/>
          <w:color w:val="auto"/>
          <w:sz w:val="24"/>
          <w:highlight w:val="none"/>
          <w:u w:val="single"/>
        </w:rPr>
        <w:t>全称）（盖单位章）</w:t>
      </w:r>
      <w:r>
        <w:rPr>
          <w:rFonts w:hint="eastAsia" w:ascii="宋体" w:hAnsi="宋体" w:cs="宋体"/>
          <w:color w:val="auto"/>
          <w:sz w:val="24"/>
          <w:highlight w:val="none"/>
        </w:rPr>
        <w:t xml:space="preserve"> 承包人监督单位：</w:t>
      </w:r>
      <w:r>
        <w:rPr>
          <w:rFonts w:hint="eastAsia" w:ascii="宋体" w:hAnsi="宋体" w:cs="宋体"/>
          <w:color w:val="auto"/>
          <w:sz w:val="24"/>
          <w:highlight w:val="none"/>
          <w:u w:val="single"/>
        </w:rPr>
        <w:t>（全称）（盖单位章）</w:t>
      </w:r>
      <w:r>
        <w:rPr>
          <w:rFonts w:hint="eastAsia" w:ascii="宋体" w:hAnsi="宋体" w:cs="宋体"/>
          <w:color w:val="auto"/>
          <w:sz w:val="24"/>
          <w:highlight w:val="none"/>
          <w:u w:val="single"/>
        </w:rPr>
        <w:br w:type="page"/>
      </w:r>
      <w:r>
        <w:rPr>
          <w:rStyle w:val="35"/>
          <w:rFonts w:hint="eastAsia" w:ascii="宋体" w:hAnsi="宋体" w:eastAsia="宋体" w:cs="宋体"/>
          <w:b/>
          <w:bCs/>
          <w:color w:val="auto"/>
          <w:sz w:val="24"/>
          <w:szCs w:val="24"/>
          <w:highlight w:val="none"/>
        </w:rPr>
        <w:t>附件三：安全生产合同</w:t>
      </w:r>
    </w:p>
    <w:bookmarkEnd w:id="898"/>
    <w:p>
      <w:pPr>
        <w:spacing w:line="410" w:lineRule="exact"/>
        <w:jc w:val="center"/>
        <w:rPr>
          <w:rFonts w:hint="eastAsia" w:ascii="宋体" w:hAnsi="宋体"/>
          <w:color w:val="auto"/>
          <w:sz w:val="28"/>
          <w:szCs w:val="28"/>
          <w:highlight w:val="none"/>
        </w:rPr>
      </w:pPr>
      <w:r>
        <w:rPr>
          <w:rFonts w:hint="eastAsia" w:ascii="宋体" w:hAnsi="宋体"/>
          <w:color w:val="auto"/>
          <w:sz w:val="28"/>
          <w:szCs w:val="28"/>
          <w:highlight w:val="none"/>
        </w:rPr>
        <w:t>安全生产合同</w:t>
      </w:r>
    </w:p>
    <w:p>
      <w:pPr>
        <w:spacing w:line="410" w:lineRule="exact"/>
        <w:rPr>
          <w:rFonts w:hint="eastAsia" w:ascii="宋体" w:hAnsi="宋体"/>
          <w:color w:val="auto"/>
          <w:sz w:val="24"/>
          <w:highlight w:val="none"/>
        </w:rPr>
      </w:pP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为在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标段施工合同的实施过程中创造安全、高效</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的施工环境，切实搞好本项目的安全管理工作，本项目发包人</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(发包人名称，以下简称“发包人")与承包人</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(承包人名称，以下简称“承包人")特此签订安全生产合同：</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1.发包人职责</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(1)严格遵守国家有关安全生产的法律法规，认真执行工程承包合同中的有关安全要求。</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(2)按照“安全第一、预防为主"和坚持“管生产必须管安全”的原则进行安全生产管理，做到生产与安全工作同时计划、布置、检查、总结和评比。</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(3)重要的安全设施必须坚持与主体工程“三同时"的原则，即：同时设计、审批，同时施工，同时验收，投入使用。</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(4)定期召开安全生产调度会，及时传达中央及地方有关安全生产的精神。</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(5)组织对承包人施工现场进行安全生产检查，监督承包人及时处理发现的各种安全隐患。</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2.承包人职责</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napToGrid w:val="0"/>
        <w:spacing w:line="300" w:lineRule="auto"/>
        <w:rPr>
          <w:rFonts w:ascii="宋体" w:hAnsi="宋体"/>
          <w:color w:val="auto"/>
          <w:sz w:val="24"/>
          <w:highlight w:val="none"/>
        </w:rPr>
      </w:pPr>
      <w:r>
        <w:rPr>
          <w:rFonts w:hint="eastAsia" w:ascii="宋体" w:hAnsi="宋体"/>
          <w:color w:val="auto"/>
          <w:sz w:val="24"/>
          <w:highlight w:val="none"/>
        </w:rPr>
        <w:t xml:space="preserve">    (4)承包人在任何时候都应采取各种合理的预防措施，防止其员工发生任何违法、违禁、暴力或妨碍治安的行为。</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(7)操作人员上岗，必须按规定穿戴防护用品。施工负责人和安全检查员应随时检查劳动防护用品的穿戴情况，不按规定穿戴防护用品的人员不得上岗。</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(8)所有施工机具设备和高空作业的设备均应定期检查，并有安全员的签字记录，保证其经常处于完好状态；不合格的机具、设备和劳动保护用品严禁使用。</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(9)施工中采用新技术、新工艺、新设备、新材料时，必须制定相应的安全技术措施，施工现场必须具有相关的安全标志牌。</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(11)安全生产费用按照《公路水运工程安全生产监督管理办法》的相关规定使用和管理。</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3.违约责任</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如因发包人或承包人违约造成安全事故，将依法追究责任。</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 xml:space="preserve">    4.本合同由双方法定代表人或其授权的代理人签署并加盖单位章后生效，全部工程竣工验收后失效。</w:t>
      </w:r>
    </w:p>
    <w:p>
      <w:pPr>
        <w:snapToGrid w:val="0"/>
        <w:spacing w:line="300" w:lineRule="auto"/>
        <w:ind w:firstLine="480"/>
        <w:rPr>
          <w:rFonts w:hint="eastAsia" w:ascii="宋体" w:hAnsi="宋体"/>
          <w:color w:val="auto"/>
          <w:sz w:val="24"/>
          <w:highlight w:val="none"/>
        </w:rPr>
      </w:pPr>
      <w:r>
        <w:rPr>
          <w:rFonts w:hint="eastAsia" w:ascii="宋体" w:hAnsi="宋体"/>
          <w:color w:val="auto"/>
          <w:sz w:val="24"/>
          <w:highlight w:val="none"/>
        </w:rPr>
        <w:t>5.本合同正本二份、副本</w:t>
      </w:r>
      <w:r>
        <w:rPr>
          <w:rFonts w:hint="eastAsia" w:ascii="宋体" w:hAnsi="宋体"/>
          <w:color w:val="auto"/>
          <w:sz w:val="24"/>
          <w:highlight w:val="none"/>
          <w:u w:val="single"/>
        </w:rPr>
        <w:t xml:space="preserve">      </w:t>
      </w:r>
      <w:r>
        <w:rPr>
          <w:rFonts w:hint="eastAsia" w:ascii="宋体" w:hAnsi="宋体"/>
          <w:color w:val="auto"/>
          <w:sz w:val="24"/>
          <w:highlight w:val="none"/>
        </w:rPr>
        <w:t>份，合同双方各执正本一份，副本</w:t>
      </w:r>
      <w:r>
        <w:rPr>
          <w:rFonts w:hint="eastAsia" w:ascii="宋体" w:hAnsi="宋体"/>
          <w:color w:val="auto"/>
          <w:sz w:val="24"/>
          <w:highlight w:val="none"/>
          <w:u w:val="single"/>
        </w:rPr>
        <w:t xml:space="preserve">    </w:t>
      </w:r>
      <w:r>
        <w:rPr>
          <w:rFonts w:hint="eastAsia" w:ascii="宋体" w:hAnsi="宋体"/>
          <w:color w:val="auto"/>
          <w:sz w:val="24"/>
          <w:highlight w:val="none"/>
        </w:rPr>
        <w:t>份，当正本与副本的内容不一致时，以正本为准。</w:t>
      </w:r>
    </w:p>
    <w:p>
      <w:pPr>
        <w:snapToGrid w:val="0"/>
        <w:spacing w:line="300" w:lineRule="auto"/>
        <w:ind w:firstLine="480"/>
        <w:rPr>
          <w:rFonts w:hint="eastAsia" w:ascii="宋体" w:hAnsi="宋体"/>
          <w:color w:val="auto"/>
          <w:sz w:val="24"/>
          <w:highlight w:val="none"/>
        </w:rPr>
      </w:pPr>
    </w:p>
    <w:p>
      <w:pPr>
        <w:snapToGrid w:val="0"/>
        <w:spacing w:line="300" w:lineRule="auto"/>
        <w:ind w:firstLine="480"/>
        <w:rPr>
          <w:rFonts w:hint="eastAsia" w:ascii="宋体" w:hAnsi="宋体"/>
          <w:color w:val="auto"/>
          <w:sz w:val="24"/>
          <w:highlight w:val="none"/>
        </w:rPr>
      </w:pP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u w:val="single"/>
        </w:rPr>
        <w:t xml:space="preserve">                </w:t>
      </w:r>
      <w:r>
        <w:rPr>
          <w:rFonts w:hint="eastAsia" w:ascii="宋体" w:hAnsi="宋体"/>
          <w:color w:val="auto"/>
          <w:sz w:val="24"/>
          <w:highlight w:val="none"/>
        </w:rPr>
        <w:t>(盖单位章)      承包人：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napToGrid w:val="0"/>
        <w:spacing w:line="300" w:lineRule="auto"/>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    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napToGrid w:val="0"/>
        <w:spacing w:line="300" w:lineRule="auto"/>
        <w:ind w:firstLine="1800" w:firstLineChars="75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40"/>
        <w:shd w:val="clear" w:color="auto" w:fill="auto"/>
        <w:spacing w:before="0" w:after="268" w:line="360" w:lineRule="auto"/>
        <w:jc w:val="both"/>
        <w:rPr>
          <w:rStyle w:val="41"/>
          <w:rFonts w:hint="eastAsia" w:ascii="宋体" w:hAnsi="宋体" w:eastAsia="宋体" w:cs="宋体"/>
          <w:b w:val="0"/>
          <w:bCs w:val="0"/>
          <w:color w:val="auto"/>
          <w:sz w:val="24"/>
          <w:szCs w:val="24"/>
          <w:highlight w:val="none"/>
        </w:rPr>
      </w:pPr>
      <w:r>
        <w:rPr>
          <w:rFonts w:hint="eastAsia" w:ascii="宋体" w:hAnsi="宋体" w:eastAsia="宋体"/>
          <w:color w:val="auto"/>
          <w:highlight w:val="none"/>
        </w:rPr>
        <w:br w:type="page"/>
      </w:r>
      <w:r>
        <w:rPr>
          <w:rStyle w:val="41"/>
          <w:rFonts w:hint="eastAsia" w:ascii="宋体" w:hAnsi="宋体" w:eastAsia="宋体" w:cs="宋体"/>
          <w:b w:val="0"/>
          <w:bCs w:val="0"/>
          <w:color w:val="auto"/>
          <w:sz w:val="24"/>
          <w:szCs w:val="24"/>
          <w:highlight w:val="none"/>
        </w:rPr>
        <w:t>附件四：其他管理和技术人员最低要求</w:t>
      </w:r>
    </w:p>
    <w:tbl>
      <w:tblPr>
        <w:tblStyle w:val="18"/>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750"/>
        <w:gridCol w:w="5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417"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  员</w:t>
            </w:r>
          </w:p>
        </w:tc>
        <w:tc>
          <w:tcPr>
            <w:tcW w:w="750"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5941"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417" w:type="dxa"/>
            <w:vAlign w:val="center"/>
          </w:tcPr>
          <w:p>
            <w:pPr>
              <w:jc w:val="center"/>
              <w:rPr>
                <w:rFonts w:ascii="宋体" w:hAnsi="宋体" w:cs="宋体"/>
                <w:color w:val="auto"/>
                <w:szCs w:val="21"/>
                <w:highlight w:val="none"/>
              </w:rPr>
            </w:pPr>
          </w:p>
        </w:tc>
        <w:tc>
          <w:tcPr>
            <w:tcW w:w="750" w:type="dxa"/>
            <w:vAlign w:val="center"/>
          </w:tcPr>
          <w:p>
            <w:pPr>
              <w:jc w:val="center"/>
              <w:rPr>
                <w:rFonts w:hint="eastAsia" w:ascii="宋体" w:hAnsi="宋体" w:cs="宋体"/>
                <w:color w:val="auto"/>
                <w:szCs w:val="21"/>
                <w:highlight w:val="none"/>
              </w:rPr>
            </w:pPr>
          </w:p>
        </w:tc>
        <w:tc>
          <w:tcPr>
            <w:tcW w:w="5941" w:type="dxa"/>
            <w:vAlign w:val="center"/>
          </w:tcPr>
          <w:p>
            <w:pPr>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pStyle w:val="14"/>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line="260" w:lineRule="exact"/>
              <w:rPr>
                <w:rFonts w:hint="eastAsia"/>
                <w:color w:val="auto"/>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pStyle w:val="14"/>
              <w:jc w:val="center"/>
              <w:rPr>
                <w:rFonts w:hint="eastAsia"/>
                <w:color w:val="auto"/>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pStyle w:val="14"/>
              <w:rPr>
                <w:rFonts w:hint="eastAsia"/>
                <w:color w:val="auto"/>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pStyle w:val="14"/>
              <w:jc w:val="center"/>
              <w:rPr>
                <w:rFonts w:hint="eastAsia"/>
                <w:color w:val="auto"/>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line="26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line="260" w:lineRule="exact"/>
              <w:rPr>
                <w:rFonts w:hint="eastAsia"/>
                <w:color w:val="auto"/>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line="260" w:lineRule="exact"/>
              <w:rPr>
                <w:rFonts w:hint="eastAsia"/>
                <w:color w:val="auto"/>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pStyle w:val="14"/>
              <w:jc w:val="center"/>
              <w:rPr>
                <w:rFonts w:hint="eastAsia"/>
                <w:color w:val="auto"/>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line="360" w:lineRule="auto"/>
              <w:rPr>
                <w:rFonts w:hint="eastAsia"/>
                <w:color w:val="auto"/>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pStyle w:val="14"/>
              <w:jc w:val="center"/>
              <w:rPr>
                <w:rFonts w:hint="eastAsia"/>
                <w:color w:val="auto"/>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line="360" w:lineRule="auto"/>
              <w:rPr>
                <w:rFonts w:hint="eastAsia"/>
                <w:color w:val="auto"/>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rPr>
                <w:rFonts w:hint="eastAsia"/>
                <w:color w:val="auto"/>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417" w:type="dxa"/>
            <w:vAlign w:val="center"/>
          </w:tcPr>
          <w:p>
            <w:pPr>
              <w:autoSpaceDE w:val="0"/>
              <w:autoSpaceDN w:val="0"/>
              <w:adjustRightInd w:val="0"/>
              <w:snapToGrid w:val="0"/>
              <w:spacing w:line="240" w:lineRule="atLeast"/>
              <w:jc w:val="center"/>
              <w:rPr>
                <w:color w:val="auto"/>
                <w:szCs w:val="23"/>
                <w:highlight w:val="none"/>
              </w:rPr>
            </w:pPr>
          </w:p>
        </w:tc>
        <w:tc>
          <w:tcPr>
            <w:tcW w:w="750" w:type="dxa"/>
            <w:vAlign w:val="center"/>
          </w:tcPr>
          <w:p>
            <w:pPr>
              <w:autoSpaceDE w:val="0"/>
              <w:autoSpaceDN w:val="0"/>
              <w:adjustRightInd w:val="0"/>
              <w:snapToGrid w:val="0"/>
              <w:spacing w:line="240" w:lineRule="atLeast"/>
              <w:jc w:val="center"/>
              <w:rPr>
                <w:rFonts w:hint="eastAsia"/>
                <w:color w:val="auto"/>
                <w:szCs w:val="23"/>
                <w:highlight w:val="none"/>
              </w:rPr>
            </w:pPr>
          </w:p>
        </w:tc>
        <w:tc>
          <w:tcPr>
            <w:tcW w:w="5941" w:type="dxa"/>
            <w:vAlign w:val="center"/>
          </w:tcPr>
          <w:p>
            <w:pPr>
              <w:autoSpaceDE w:val="0"/>
              <w:autoSpaceDN w:val="0"/>
              <w:adjustRightInd w:val="0"/>
              <w:snapToGrid w:val="0"/>
              <w:spacing w:before="72" w:beforeLines="30"/>
              <w:rPr>
                <w:rFonts w:hint="eastAsia"/>
                <w:color w:val="auto"/>
                <w:highlight w:val="none"/>
              </w:rPr>
            </w:pPr>
          </w:p>
        </w:tc>
      </w:tr>
    </w:tbl>
    <w:p>
      <w:pPr>
        <w:spacing w:line="360" w:lineRule="auto"/>
        <w:rPr>
          <w:rStyle w:val="42"/>
          <w:rFonts w:hint="eastAsia" w:ascii="宋体" w:hAnsi="宋体" w:eastAsia="宋体" w:cs="宋体"/>
          <w:b/>
          <w:color w:val="auto"/>
          <w:sz w:val="21"/>
          <w:szCs w:val="21"/>
          <w:highlight w:val="none"/>
        </w:rPr>
      </w:pPr>
    </w:p>
    <w:p>
      <w:pPr>
        <w:spacing w:line="360" w:lineRule="auto"/>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注：上述人员的具体人选由招标人和中标人在合同谈判阶段确定，且经招标人审批后作为派驻本标段的项目管理机构主要人员（</w:t>
      </w:r>
      <w:r>
        <w:rPr>
          <w:rStyle w:val="42"/>
          <w:rFonts w:hint="eastAsia" w:ascii="宋体" w:hAnsi="宋体" w:eastAsia="宋体" w:cs="宋体"/>
          <w:b/>
          <w:color w:val="auto"/>
          <w:sz w:val="21"/>
          <w:szCs w:val="21"/>
          <w:highlight w:val="none"/>
          <w:lang w:val="en-US"/>
        </w:rPr>
        <w:t>需提供</w:t>
      </w:r>
      <w:r>
        <w:rPr>
          <w:rFonts w:hint="eastAsia"/>
          <w:color w:val="auto"/>
          <w:szCs w:val="21"/>
          <w:highlight w:val="none"/>
        </w:rPr>
        <w:t>在本单位社保系统打印的社会保险缴费证明明细</w:t>
      </w:r>
      <w:r>
        <w:rPr>
          <w:rStyle w:val="42"/>
          <w:rFonts w:hint="eastAsia" w:ascii="宋体" w:hAnsi="宋体" w:eastAsia="宋体" w:cs="宋体"/>
          <w:b/>
          <w:color w:val="auto"/>
          <w:sz w:val="21"/>
          <w:szCs w:val="21"/>
          <w:highlight w:val="none"/>
        </w:rPr>
        <w:t>），不允许更换。如中标人拟派驻的人员数量和资格条件不满足本表要求，招标人应取消其中标资格。</w:t>
      </w:r>
    </w:p>
    <w:p>
      <w:pPr>
        <w:spacing w:line="360" w:lineRule="auto"/>
        <w:ind w:firstLine="241" w:firstLineChars="100"/>
        <w:rPr>
          <w:rStyle w:val="42"/>
          <w:rFonts w:hint="eastAsia" w:ascii="宋体" w:hAnsi="宋体" w:eastAsia="宋体" w:cs="宋体"/>
          <w:b/>
          <w:color w:val="auto"/>
          <w:sz w:val="24"/>
          <w:szCs w:val="24"/>
          <w:highlight w:val="none"/>
        </w:rPr>
      </w:pPr>
    </w:p>
    <w:p>
      <w:pPr>
        <w:pStyle w:val="40"/>
        <w:shd w:val="clear" w:color="auto" w:fill="auto"/>
        <w:spacing w:before="0" w:after="268" w:line="360" w:lineRule="auto"/>
        <w:jc w:val="both"/>
        <w:rPr>
          <w:rStyle w:val="41"/>
          <w:rFonts w:hint="eastAsia" w:ascii="宋体" w:hAnsi="宋体" w:eastAsia="宋体" w:cs="宋体"/>
          <w:b w:val="0"/>
          <w:bCs w:val="0"/>
          <w:color w:val="auto"/>
          <w:sz w:val="24"/>
          <w:szCs w:val="24"/>
          <w:highlight w:val="none"/>
        </w:rPr>
      </w:pPr>
      <w:bookmarkStart w:id="902" w:name="bookmark200"/>
    </w:p>
    <w:p>
      <w:pPr>
        <w:pStyle w:val="40"/>
        <w:shd w:val="clear" w:color="auto" w:fill="auto"/>
        <w:spacing w:before="0" w:after="268" w:line="360" w:lineRule="auto"/>
        <w:jc w:val="both"/>
        <w:rPr>
          <w:rStyle w:val="41"/>
          <w:rFonts w:hint="eastAsia" w:ascii="宋体" w:hAnsi="宋体" w:eastAsia="宋体"/>
          <w:b w:val="0"/>
          <w:bCs w:val="0"/>
          <w:color w:val="auto"/>
          <w:sz w:val="24"/>
          <w:szCs w:val="24"/>
          <w:highlight w:val="none"/>
        </w:rPr>
      </w:pPr>
      <w:r>
        <w:rPr>
          <w:rStyle w:val="41"/>
          <w:rFonts w:hint="eastAsia" w:ascii="宋体" w:hAnsi="宋体" w:eastAsia="宋体" w:cs="宋体"/>
          <w:b w:val="0"/>
          <w:bCs w:val="0"/>
          <w:color w:val="auto"/>
          <w:sz w:val="24"/>
          <w:szCs w:val="24"/>
          <w:highlight w:val="none"/>
        </w:rPr>
        <w:br w:type="page"/>
      </w:r>
      <w:bookmarkEnd w:id="902"/>
      <w:r>
        <w:rPr>
          <w:rStyle w:val="41"/>
          <w:rFonts w:ascii="宋体" w:hAnsi="宋体" w:eastAsia="宋体"/>
          <w:b w:val="0"/>
          <w:bCs w:val="0"/>
          <w:color w:val="auto"/>
          <w:sz w:val="24"/>
          <w:szCs w:val="24"/>
          <w:highlight w:val="none"/>
        </w:rPr>
        <w:t>附件五</w:t>
      </w:r>
      <w:r>
        <w:rPr>
          <w:rStyle w:val="41"/>
          <w:rFonts w:hint="eastAsia" w:ascii="宋体" w:hAnsi="宋体" w:eastAsia="宋体"/>
          <w:b w:val="0"/>
          <w:bCs w:val="0"/>
          <w:color w:val="auto"/>
          <w:sz w:val="24"/>
          <w:szCs w:val="24"/>
          <w:highlight w:val="none"/>
        </w:rPr>
        <w:t>：</w:t>
      </w:r>
      <w:r>
        <w:rPr>
          <w:rStyle w:val="41"/>
          <w:rFonts w:ascii="宋体" w:hAnsi="宋体" w:eastAsia="宋体"/>
          <w:b w:val="0"/>
          <w:bCs w:val="0"/>
          <w:color w:val="auto"/>
          <w:sz w:val="24"/>
          <w:szCs w:val="24"/>
          <w:highlight w:val="none"/>
        </w:rPr>
        <w:t>主要机械设备和试验检测设备最低要</w:t>
      </w:r>
      <w:r>
        <w:rPr>
          <w:rStyle w:val="41"/>
          <w:rFonts w:hint="eastAsia" w:ascii="宋体" w:hAnsi="宋体" w:eastAsia="宋体"/>
          <w:b w:val="0"/>
          <w:bCs w:val="0"/>
          <w:color w:val="auto"/>
          <w:sz w:val="24"/>
          <w:szCs w:val="24"/>
          <w:highlight w:val="none"/>
        </w:rPr>
        <w:t>求</w:t>
      </w:r>
    </w:p>
    <w:tbl>
      <w:tblPr>
        <w:tblStyle w:val="1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2268"/>
        <w:gridCol w:w="12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blHeader/>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r>
              <w:rPr>
                <w:rFonts w:hint="eastAsia"/>
                <w:color w:val="auto"/>
                <w:szCs w:val="21"/>
                <w:highlight w:val="none"/>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r>
              <w:rPr>
                <w:rFonts w:hint="eastAsia"/>
                <w:color w:val="auto"/>
                <w:szCs w:val="21"/>
                <w:highlight w:val="none"/>
              </w:rPr>
              <w:t>规格、功率及容量</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r>
              <w:rPr>
                <w:rFonts w:hint="eastAsia"/>
                <w:color w:val="auto"/>
                <w:szCs w:val="21"/>
                <w:highlight w:val="none"/>
              </w:rPr>
              <w:t>单  位</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r>
              <w:rPr>
                <w:rFonts w:hint="eastAsia"/>
                <w:color w:val="auto"/>
                <w:szCs w:val="21"/>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p>
        </w:tc>
      </w:tr>
    </w:tbl>
    <w:p>
      <w:pPr>
        <w:spacing w:line="360" w:lineRule="auto"/>
        <w:ind w:firstLine="241" w:firstLineChars="100"/>
        <w:rPr>
          <w:rStyle w:val="42"/>
          <w:rFonts w:hint="eastAsia" w:ascii="宋体" w:hAnsi="宋体" w:eastAsia="宋体" w:cs="宋体"/>
          <w:b/>
          <w:color w:val="auto"/>
          <w:sz w:val="24"/>
          <w:szCs w:val="24"/>
          <w:highlight w:val="none"/>
          <w:lang w:val="en-US"/>
        </w:rPr>
      </w:pPr>
    </w:p>
    <w:p>
      <w:pPr>
        <w:spacing w:line="360" w:lineRule="auto"/>
        <w:ind w:firstLine="241" w:firstLineChars="100"/>
        <w:rPr>
          <w:rFonts w:hint="eastAsia" w:ascii="宋体" w:hAnsi="宋体" w:cs="宋体"/>
          <w:color w:val="auto"/>
          <w:sz w:val="24"/>
          <w:highlight w:val="none"/>
        </w:rPr>
      </w:pPr>
      <w:r>
        <w:rPr>
          <w:rStyle w:val="42"/>
          <w:rFonts w:hint="eastAsia" w:ascii="宋体" w:hAnsi="宋体" w:eastAsia="宋体" w:cs="宋体"/>
          <w:b/>
          <w:color w:val="auto"/>
          <w:sz w:val="24"/>
          <w:szCs w:val="24"/>
          <w:highlight w:val="none"/>
          <w:lang w:val="en-US"/>
        </w:rPr>
        <w:t>注：</w:t>
      </w:r>
      <w:r>
        <w:rPr>
          <w:rStyle w:val="42"/>
          <w:rFonts w:hint="eastAsia" w:ascii="宋体" w:hAnsi="宋体" w:eastAsia="宋体" w:cs="宋体"/>
          <w:b/>
          <w:color w:val="auto"/>
          <w:sz w:val="24"/>
          <w:szCs w:val="24"/>
          <w:highlight w:val="none"/>
        </w:rPr>
        <w:t>招标人将在合同谈判阶段要求中标人按照本表的最低要求填报为本标段配备的主要设备，在经招标人审批后作为投入本标段的主要设备且不允许更换。如中标人拟提供的设备数量和规格指标等不满足本表要求，招标人应取消其中标资格。</w:t>
      </w:r>
    </w:p>
    <w:p>
      <w:pPr>
        <w:pStyle w:val="43"/>
        <w:shd w:val="clear" w:color="auto" w:fill="auto"/>
        <w:spacing w:line="360" w:lineRule="auto"/>
        <w:ind w:left="300" w:right="20"/>
        <w:jc w:val="both"/>
        <w:rPr>
          <w:rFonts w:hint="eastAsia" w:ascii="宋体" w:hAnsi="宋体" w:eastAsia="宋体" w:cs="宋体"/>
          <w:color w:val="auto"/>
          <w:sz w:val="24"/>
          <w:szCs w:val="24"/>
          <w:highlight w:val="none"/>
        </w:rPr>
        <w:sectPr>
          <w:headerReference r:id="rId9" w:type="even"/>
          <w:type w:val="nextColumn"/>
          <w:pgSz w:w="11905" w:h="16838"/>
          <w:pgMar w:top="1304" w:right="1304" w:bottom="1304" w:left="1361" w:header="720" w:footer="720" w:gutter="0"/>
          <w:paperSrc w:first="7" w:other="7"/>
          <w:pgNumType w:fmt="numberInDash"/>
          <w:cols w:space="720" w:num="1"/>
          <w:titlePg/>
          <w:docGrid w:linePitch="360" w:charSpace="0"/>
        </w:sectPr>
      </w:pPr>
    </w:p>
    <w:p>
      <w:pPr>
        <w:pStyle w:val="31"/>
        <w:shd w:val="clear" w:color="auto" w:fill="auto"/>
        <w:spacing w:before="0" w:line="360" w:lineRule="auto"/>
        <w:jc w:val="left"/>
        <w:rPr>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rPr>
        <w:t>附件六：项目经理委任书</w:t>
      </w:r>
    </w:p>
    <w:p>
      <w:pPr>
        <w:spacing w:line="380" w:lineRule="exact"/>
        <w:jc w:val="center"/>
        <w:rPr>
          <w:rFonts w:hint="eastAsia" w:ascii="宋体" w:hAnsi="宋体" w:cs="宋体"/>
          <w:color w:val="auto"/>
          <w:sz w:val="28"/>
          <w:highlight w:val="none"/>
          <w:u w:val="single"/>
        </w:rPr>
      </w:pPr>
      <w:r>
        <w:rPr>
          <w:rFonts w:hint="eastAsia" w:ascii="宋体" w:hAnsi="宋体" w:cs="宋体"/>
          <w:color w:val="auto"/>
          <w:sz w:val="28"/>
          <w:highlight w:val="none"/>
          <w:u w:val="single"/>
        </w:rPr>
        <w:t>(承包人全称)</w:t>
      </w:r>
    </w:p>
    <w:p>
      <w:pPr>
        <w:spacing w:line="380" w:lineRule="exact"/>
        <w:jc w:val="center"/>
        <w:rPr>
          <w:rFonts w:hint="eastAsia" w:ascii="宋体" w:hAnsi="宋体" w:cs="宋体"/>
          <w:color w:val="auto"/>
          <w:sz w:val="28"/>
          <w:highlight w:val="none"/>
        </w:rPr>
      </w:pPr>
      <w:r>
        <w:rPr>
          <w:rFonts w:hint="eastAsia" w:ascii="宋体" w:hAnsi="宋体" w:cs="宋体"/>
          <w:color w:val="auto"/>
          <w:sz w:val="28"/>
          <w:highlight w:val="none"/>
          <w:u w:val="single"/>
        </w:rPr>
        <w:t>(合同工程名称)</w:t>
      </w:r>
      <w:r>
        <w:rPr>
          <w:rFonts w:hint="eastAsia" w:ascii="宋体" w:hAnsi="宋体" w:cs="宋体"/>
          <w:color w:val="auto"/>
          <w:sz w:val="28"/>
          <w:highlight w:val="none"/>
        </w:rPr>
        <w:t>项目经理委任书</w:t>
      </w:r>
    </w:p>
    <w:p>
      <w:pPr>
        <w:adjustRightInd w:val="0"/>
        <w:spacing w:line="360" w:lineRule="auto"/>
        <w:jc w:val="center"/>
        <w:rPr>
          <w:rFonts w:hint="eastAsia" w:ascii="宋体" w:hAnsi="宋体" w:cs="宋体"/>
          <w:b/>
          <w:color w:val="auto"/>
          <w:sz w:val="28"/>
          <w:szCs w:val="28"/>
          <w:highlight w:val="none"/>
        </w:rPr>
      </w:pPr>
      <w:r>
        <w:rPr>
          <w:rFonts w:hint="eastAsia" w:ascii="宋体" w:hAnsi="宋体" w:cs="宋体"/>
          <w:color w:val="auto"/>
          <w:highlight w:val="none"/>
        </w:rPr>
        <w:t>（本格式编排在招标文件中，供投标人参考，投标时不需附此表）</w:t>
      </w:r>
    </w:p>
    <w:p>
      <w:pPr>
        <w:spacing w:line="460" w:lineRule="exact"/>
        <w:jc w:val="center"/>
        <w:rPr>
          <w:rFonts w:hint="eastAsia" w:ascii="宋体" w:hAnsi="宋体" w:cs="宋体"/>
          <w:color w:val="auto"/>
          <w:highlight w:val="none"/>
        </w:rPr>
      </w:pPr>
    </w:p>
    <w:p>
      <w:pPr>
        <w:spacing w:line="460" w:lineRule="exact"/>
        <w:jc w:val="center"/>
        <w:rPr>
          <w:rFonts w:hint="eastAsia" w:ascii="宋体" w:hAnsi="宋体" w:cs="宋体"/>
          <w:color w:val="auto"/>
          <w:sz w:val="24"/>
          <w:highlight w:val="none"/>
        </w:rPr>
      </w:pP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(发包人全称)</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u w:val="single"/>
        </w:rPr>
        <w:t>(承包人全称)</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(职务、姓名)</w:t>
      </w:r>
      <w:r>
        <w:rPr>
          <w:rFonts w:hint="eastAsia" w:ascii="宋体" w:hAnsi="宋体" w:cs="宋体"/>
          <w:color w:val="auto"/>
          <w:szCs w:val="21"/>
          <w:highlight w:val="none"/>
        </w:rPr>
        <w:t>代表本单位委任</w:t>
      </w:r>
      <w:r>
        <w:rPr>
          <w:rFonts w:hint="eastAsia" w:ascii="宋体" w:hAnsi="宋体" w:cs="宋体"/>
          <w:color w:val="auto"/>
          <w:szCs w:val="21"/>
          <w:highlight w:val="none"/>
          <w:u w:val="single"/>
        </w:rPr>
        <w:t>(职务、姓名)</w:t>
      </w:r>
      <w:r>
        <w:rPr>
          <w:rFonts w:hint="eastAsia" w:ascii="宋体" w:hAnsi="宋体" w:cs="宋体"/>
          <w:color w:val="auto"/>
          <w:szCs w:val="21"/>
          <w:highlight w:val="none"/>
        </w:rPr>
        <w:t>为</w:t>
      </w:r>
      <w:r>
        <w:rPr>
          <w:rFonts w:hint="eastAsia" w:ascii="宋体" w:hAnsi="宋体" w:cs="宋体"/>
          <w:color w:val="auto"/>
          <w:szCs w:val="21"/>
          <w:highlight w:val="none"/>
          <w:u w:val="single"/>
        </w:rPr>
        <w:t>(合同工程名称)</w:t>
      </w:r>
      <w:r>
        <w:rPr>
          <w:rFonts w:hint="eastAsia" w:ascii="宋体" w:hAnsi="宋体" w:cs="宋体"/>
          <w:color w:val="auto"/>
          <w:szCs w:val="21"/>
          <w:highlight w:val="none"/>
        </w:rPr>
        <w:t>的项目经理。凡本合同执行中的有关技术、工程进度、现场管理、质量检验、结算与支付等方面工作，由</w:t>
      </w:r>
      <w:r>
        <w:rPr>
          <w:rFonts w:hint="eastAsia" w:ascii="宋体" w:hAnsi="宋体" w:cs="宋体"/>
          <w:color w:val="auto"/>
          <w:szCs w:val="21"/>
          <w:highlight w:val="none"/>
          <w:u w:val="single"/>
        </w:rPr>
        <w:t>(姓名)</w:t>
      </w:r>
      <w:r>
        <w:rPr>
          <w:rFonts w:hint="eastAsia" w:ascii="宋体" w:hAnsi="宋体" w:cs="宋体"/>
          <w:color w:val="auto"/>
          <w:szCs w:val="21"/>
          <w:highlight w:val="none"/>
        </w:rPr>
        <w:t>代表本单位全面负责。</w:t>
      </w:r>
    </w:p>
    <w:p>
      <w:pPr>
        <w:spacing w:line="460" w:lineRule="exact"/>
        <w:ind w:firstLine="480"/>
        <w:rPr>
          <w:rFonts w:hint="eastAsia" w:ascii="宋体" w:hAnsi="宋体" w:cs="宋体"/>
          <w:color w:val="auto"/>
          <w:sz w:val="24"/>
          <w:highlight w:val="none"/>
        </w:rPr>
      </w:pPr>
    </w:p>
    <w:p>
      <w:pPr>
        <w:spacing w:line="460" w:lineRule="exact"/>
        <w:ind w:firstLine="480"/>
        <w:rPr>
          <w:rFonts w:hint="eastAsia" w:ascii="宋体" w:hAnsi="宋体" w:cs="宋体"/>
          <w:color w:val="auto"/>
          <w:sz w:val="24"/>
          <w:highlight w:val="none"/>
          <w:u w:val="single"/>
        </w:rPr>
      </w:pPr>
    </w:p>
    <w:p>
      <w:pPr>
        <w:spacing w:line="460" w:lineRule="exact"/>
        <w:ind w:right="480"/>
        <w:jc w:val="center"/>
        <w:rPr>
          <w:rFonts w:hint="eastAsia" w:ascii="宋体" w:hAnsi="宋体" w:cs="宋体"/>
          <w:color w:val="auto"/>
          <w:sz w:val="24"/>
          <w:highlight w:val="none"/>
        </w:rPr>
      </w:pPr>
      <w:r>
        <w:rPr>
          <w:rFonts w:hint="eastAsia" w:ascii="宋体" w:hAnsi="宋体" w:cs="宋体"/>
          <w:color w:val="auto"/>
          <w:sz w:val="24"/>
          <w:highlight w:val="none"/>
        </w:rPr>
        <w:t xml:space="preserve">                           承包人：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(盖单位章)</w:t>
      </w:r>
    </w:p>
    <w:p>
      <w:pPr>
        <w:spacing w:line="460" w:lineRule="exact"/>
        <w:ind w:right="480"/>
        <w:jc w:val="right"/>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(职务)         </w:t>
      </w:r>
    </w:p>
    <w:p>
      <w:pPr>
        <w:spacing w:line="460" w:lineRule="exact"/>
        <w:jc w:val="righ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(姓名)       </w:t>
      </w:r>
    </w:p>
    <w:p>
      <w:pPr>
        <w:spacing w:line="460" w:lineRule="exact"/>
        <w:jc w:val="righ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(签字)       </w:t>
      </w:r>
    </w:p>
    <w:p>
      <w:pPr>
        <w:spacing w:line="460" w:lineRule="exact"/>
        <w:ind w:right="120"/>
        <w:jc w:val="righ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460" w:lineRule="exact"/>
        <w:ind w:firstLine="3600" w:firstLineChars="1500"/>
        <w:rPr>
          <w:rFonts w:hint="eastAsia" w:ascii="宋体" w:hAnsi="宋体" w:cs="宋体"/>
          <w:color w:val="auto"/>
          <w:sz w:val="24"/>
          <w:highlight w:val="none"/>
        </w:rPr>
      </w:pPr>
    </w:p>
    <w:p>
      <w:pPr>
        <w:spacing w:line="460" w:lineRule="exact"/>
        <w:ind w:firstLine="3600" w:firstLineChars="1500"/>
        <w:rPr>
          <w:rFonts w:hint="eastAsia" w:ascii="宋体" w:hAnsi="宋体" w:cs="宋体"/>
          <w:color w:val="auto"/>
          <w:sz w:val="24"/>
          <w:highlight w:val="none"/>
        </w:rPr>
      </w:pPr>
    </w:p>
    <w:p>
      <w:pPr>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抄送： </w:t>
      </w:r>
      <w:r>
        <w:rPr>
          <w:rFonts w:hint="eastAsia" w:ascii="宋体" w:hAnsi="宋体" w:cs="宋体"/>
          <w:color w:val="auto"/>
          <w:sz w:val="24"/>
          <w:highlight w:val="none"/>
          <w:u w:val="single"/>
        </w:rPr>
        <w:t xml:space="preserve">   (监理人)   </w:t>
      </w:r>
    </w:p>
    <w:p>
      <w:pPr>
        <w:spacing w:line="460" w:lineRule="exact"/>
        <w:rPr>
          <w:rFonts w:hint="eastAsia" w:ascii="宋体" w:hAnsi="宋体" w:cs="宋体"/>
          <w:color w:val="auto"/>
          <w:sz w:val="24"/>
          <w:highlight w:val="none"/>
          <w:u w:val="single"/>
        </w:rPr>
      </w:pPr>
    </w:p>
    <w:p>
      <w:pPr>
        <w:pStyle w:val="31"/>
        <w:shd w:val="clear" w:color="auto" w:fill="auto"/>
        <w:spacing w:before="719" w:line="360" w:lineRule="auto"/>
        <w:jc w:val="left"/>
        <w:rPr>
          <w:rFonts w:hint="eastAsia" w:ascii="宋体" w:hAnsi="宋体" w:eastAsia="宋体" w:cs="宋体"/>
          <w:color w:val="auto"/>
          <w:sz w:val="24"/>
          <w:szCs w:val="24"/>
          <w:highlight w:val="none"/>
        </w:rPr>
        <w:sectPr>
          <w:headerReference r:id="rId12" w:type="first"/>
          <w:footerReference r:id="rId14" w:type="first"/>
          <w:headerReference r:id="rId10" w:type="default"/>
          <w:headerReference r:id="rId11" w:type="even"/>
          <w:footerReference r:id="rId13" w:type="even"/>
          <w:type w:val="nextColumn"/>
          <w:pgSz w:w="11905" w:h="16838"/>
          <w:pgMar w:top="1304" w:right="1304" w:bottom="1304" w:left="1361" w:header="720" w:footer="720" w:gutter="0"/>
          <w:paperSrc w:first="7" w:other="7"/>
          <w:pgNumType w:fmt="numberInDash"/>
          <w:cols w:space="720" w:num="1"/>
          <w:titlePg/>
          <w:docGrid w:linePitch="360" w:charSpace="0"/>
        </w:sectPr>
      </w:pPr>
    </w:p>
    <w:p>
      <w:pPr>
        <w:pStyle w:val="31"/>
        <w:shd w:val="clear" w:color="auto" w:fill="auto"/>
        <w:spacing w:before="0" w:line="360" w:lineRule="auto"/>
        <w:ind w:left="40"/>
        <w:jc w:val="both"/>
        <w:rPr>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rPr>
        <w:t>附件七：履约保证金格式</w:t>
      </w:r>
    </w:p>
    <w:p>
      <w:pPr>
        <w:pStyle w:val="31"/>
        <w:shd w:val="clear" w:color="auto" w:fill="auto"/>
        <w:spacing w:before="0" w:line="360" w:lineRule="auto"/>
        <w:ind w:left="4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如采用银行保函，格式如下。</w:t>
      </w:r>
    </w:p>
    <w:p>
      <w:pPr>
        <w:spacing w:line="380" w:lineRule="exact"/>
        <w:jc w:val="center"/>
        <w:rPr>
          <w:rFonts w:hint="eastAsia" w:ascii="宋体" w:hAnsi="宋体" w:cs="宋体"/>
          <w:color w:val="auto"/>
          <w:sz w:val="28"/>
          <w:highlight w:val="none"/>
        </w:rPr>
      </w:pPr>
      <w:r>
        <w:rPr>
          <w:rFonts w:hint="eastAsia" w:ascii="宋体" w:hAnsi="宋体" w:cs="宋体"/>
          <w:color w:val="auto"/>
          <w:sz w:val="28"/>
          <w:highlight w:val="none"/>
        </w:rPr>
        <w:t>履 约 保 证 金</w:t>
      </w:r>
    </w:p>
    <w:p>
      <w:pPr>
        <w:spacing w:line="460" w:lineRule="exact"/>
        <w:jc w:val="center"/>
        <w:rPr>
          <w:rFonts w:hint="eastAsia" w:ascii="宋体" w:hAnsi="宋体" w:cs="宋体"/>
          <w:color w:val="auto"/>
          <w:highlight w:val="none"/>
        </w:rPr>
      </w:pPr>
      <w:r>
        <w:rPr>
          <w:rFonts w:hint="eastAsia" w:ascii="宋体" w:hAnsi="宋体" w:cs="宋体"/>
          <w:color w:val="auto"/>
          <w:highlight w:val="none"/>
        </w:rPr>
        <w:t>（本格式编排在招标文件中，供投标人参考，投标时不需附此表）</w:t>
      </w:r>
    </w:p>
    <w:p>
      <w:pPr>
        <w:spacing w:line="360" w:lineRule="auto"/>
        <w:rPr>
          <w:rFonts w:hint="eastAsia" w:ascii="宋体" w:hAnsi="宋体" w:cs="宋体"/>
          <w:color w:val="auto"/>
          <w:szCs w:val="21"/>
          <w:highlight w:val="none"/>
          <w:u w:val="singl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(发包人名称，以下简称“发包人”)接受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标段施工的投标。我方愿意无条件地、不可撤销地就承包人履行与你方订立的合同，向你方提供担保。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2.担保有效期自发包人与承包人签订的合同生效之日起至发包人签发交工验收证书且承包人按照合同约定缴纳质量保证金之日止。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4.发包人和承包人按合同条款第15条变更合同时，无论我方是否收到该变更，我方承担本担保规定的义务不变。</w:t>
      </w:r>
    </w:p>
    <w:p>
      <w:pPr>
        <w:spacing w:line="460" w:lineRule="exact"/>
        <w:ind w:firstLine="480"/>
        <w:rPr>
          <w:rFonts w:hint="eastAsia" w:ascii="宋体" w:hAnsi="宋体" w:cs="宋体"/>
          <w:color w:val="auto"/>
          <w:sz w:val="24"/>
          <w:highlight w:val="none"/>
        </w:rPr>
      </w:pPr>
    </w:p>
    <w:p>
      <w:pPr>
        <w:spacing w:line="460" w:lineRule="exact"/>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担保人名称：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(盖单位章)</w:t>
      </w:r>
    </w:p>
    <w:p>
      <w:pPr>
        <w:spacing w:line="460" w:lineRule="exact"/>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(签字)</w:t>
      </w:r>
    </w:p>
    <w:p>
      <w:pPr>
        <w:tabs>
          <w:tab w:val="left" w:pos="8640"/>
        </w:tabs>
        <w:spacing w:line="460" w:lineRule="exact"/>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tabs>
          <w:tab w:val="left" w:pos="8640"/>
        </w:tabs>
        <w:spacing w:line="460" w:lineRule="exact"/>
        <w:ind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pPr>
        <w:tabs>
          <w:tab w:val="left" w:pos="8640"/>
        </w:tabs>
        <w:spacing w:line="460" w:lineRule="exact"/>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pPr>
        <w:tabs>
          <w:tab w:val="left" w:pos="8640"/>
        </w:tabs>
        <w:spacing w:line="460" w:lineRule="exact"/>
        <w:ind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p>
    <w:p>
      <w:pPr>
        <w:pStyle w:val="44"/>
        <w:shd w:val="clear" w:color="auto" w:fill="auto"/>
        <w:spacing w:before="0" w:line="360" w:lineRule="auto"/>
        <w:ind w:left="40" w:right="1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44"/>
        <w:shd w:val="clear" w:color="auto" w:fill="auto"/>
        <w:spacing w:before="0" w:line="360" w:lineRule="auto"/>
        <w:ind w:left="840" w:leftChars="400" w:right="160"/>
        <w:jc w:val="both"/>
        <w:rPr>
          <w:rFonts w:hint="eastAsia" w:ascii="宋体" w:hAnsi="宋体" w:eastAsia="宋体" w:cs="宋体"/>
          <w:color w:val="auto"/>
          <w:sz w:val="24"/>
          <w:szCs w:val="24"/>
          <w:highlight w:val="none"/>
        </w:rPr>
      </w:pPr>
    </w:p>
    <w:p>
      <w:pPr>
        <w:pStyle w:val="44"/>
        <w:shd w:val="clear" w:color="auto" w:fill="auto"/>
        <w:spacing w:before="0" w:line="360" w:lineRule="auto"/>
        <w:ind w:right="160"/>
        <w:jc w:val="both"/>
        <w:rPr>
          <w:rFonts w:hint="eastAsia" w:ascii="宋体" w:hAnsi="宋体" w:eastAsia="宋体" w:cs="宋体"/>
          <w:color w:val="auto"/>
          <w:sz w:val="24"/>
          <w:szCs w:val="24"/>
          <w:highlight w:val="none"/>
        </w:rPr>
      </w:pPr>
      <w:r>
        <w:rPr>
          <w:rStyle w:val="35"/>
          <w:rFonts w:hint="eastAsia" w:ascii="宋体" w:hAnsi="宋体" w:eastAsia="宋体" w:cs="宋体"/>
          <w:b/>
          <w:bCs/>
          <w:color w:val="auto"/>
          <w:sz w:val="24"/>
          <w:szCs w:val="24"/>
          <w:highlight w:val="none"/>
        </w:rPr>
        <w:br w:type="page"/>
      </w:r>
      <w:r>
        <w:rPr>
          <w:rStyle w:val="35"/>
          <w:rFonts w:hint="eastAsia" w:ascii="宋体" w:hAnsi="宋体" w:eastAsia="宋体" w:cs="宋体"/>
          <w:b/>
          <w:bCs/>
          <w:color w:val="auto"/>
          <w:sz w:val="24"/>
          <w:szCs w:val="24"/>
          <w:highlight w:val="none"/>
        </w:rPr>
        <w:t>附件八：工程资金监管协议格式</w:t>
      </w:r>
    </w:p>
    <w:p>
      <w:pPr>
        <w:pStyle w:val="31"/>
        <w:shd w:val="clear" w:color="auto" w:fill="auto"/>
        <w:spacing w:before="0" w:after="227" w:line="360" w:lineRule="auto"/>
        <w:ind w:right="180"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(发包人与承包人签订合同协议书时应与发包人指定的银行签署工程资金监管协议，工程资金监管协议内容在保证本项目资金有效监管的前提下由三方共同商定）</w:t>
      </w:r>
    </w:p>
    <w:p>
      <w:pPr>
        <w:pStyle w:val="36"/>
        <w:shd w:val="clear" w:color="auto" w:fill="auto"/>
        <w:spacing w:before="0" w:after="218" w:line="360" w:lineRule="auto"/>
        <w:ind w:right="100"/>
        <w:rPr>
          <w:rFonts w:hint="eastAsia" w:ascii="宋体" w:hAnsi="宋体" w:eastAsia="宋体" w:cs="宋体"/>
          <w:color w:val="auto"/>
          <w:sz w:val="24"/>
          <w:szCs w:val="24"/>
          <w:highlight w:val="none"/>
        </w:rPr>
      </w:pPr>
      <w:bookmarkStart w:id="903" w:name="bookmark203"/>
      <w:r>
        <w:rPr>
          <w:rFonts w:hint="eastAsia" w:ascii="宋体" w:hAnsi="宋体" w:eastAsia="宋体" w:cs="宋体"/>
          <w:color w:val="auto"/>
          <w:sz w:val="24"/>
          <w:szCs w:val="24"/>
          <w:highlight w:val="none"/>
        </w:rPr>
        <w:t>工程资金监管协议</w:t>
      </w:r>
      <w:bookmarkEnd w:id="903"/>
    </w:p>
    <w:p>
      <w:pPr>
        <w:pStyle w:val="31"/>
        <w:shd w:val="clear" w:color="auto" w:fill="auto"/>
        <w:spacing w:before="0" w:line="360" w:lineRule="auto"/>
        <w:jc w:val="left"/>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发包人：</w:t>
      </w:r>
      <w:r>
        <w:rPr>
          <w:rStyle w:val="35"/>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以下简称</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甲方”）</w:t>
      </w:r>
    </w:p>
    <w:p>
      <w:pPr>
        <w:pStyle w:val="31"/>
        <w:shd w:val="clear" w:color="auto" w:fill="auto"/>
        <w:spacing w:before="0" w:line="360" w:lineRule="auto"/>
        <w:ind w:right="2381"/>
        <w:jc w:val="left"/>
        <w:rPr>
          <w:rStyle w:val="20"/>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承包人：</w:t>
      </w:r>
      <w:r>
        <w:rPr>
          <w:rStyle w:val="35"/>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以下简称</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乙方</w:t>
      </w:r>
      <w:r>
        <w:rPr>
          <w:rStyle w:val="20"/>
          <w:rFonts w:hint="eastAsia" w:ascii="宋体" w:hAnsi="宋体" w:eastAsia="宋体" w:cs="宋体"/>
          <w:color w:val="auto"/>
          <w:sz w:val="24"/>
          <w:szCs w:val="24"/>
          <w:highlight w:val="none"/>
        </w:rPr>
        <w:t>”）</w:t>
      </w:r>
    </w:p>
    <w:p>
      <w:pPr>
        <w:pStyle w:val="31"/>
        <w:shd w:val="clear" w:color="auto" w:fill="auto"/>
        <w:spacing w:before="0" w:after="380" w:line="360" w:lineRule="auto"/>
        <w:ind w:right="2381"/>
        <w:jc w:val="left"/>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经办银行：</w:t>
      </w:r>
      <w:r>
        <w:rPr>
          <w:rStyle w:val="35"/>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以下简称</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丙方”）</w:t>
      </w:r>
    </w:p>
    <w:p>
      <w:pPr>
        <w:pStyle w:val="31"/>
        <w:shd w:val="clear" w:color="auto" w:fill="auto"/>
        <w:spacing w:before="0" w:line="360" w:lineRule="auto"/>
        <w:ind w:right="181"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为了促进</w:t>
      </w:r>
      <w:r>
        <w:rPr>
          <w:rStyle w:val="35"/>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项目名称）的顺利实施，管好用好建设资金，确保工程资金专款专用，同时为承包人提供便捷有效的银行业务服务，根据</w:t>
      </w:r>
      <w:r>
        <w:rPr>
          <w:rStyle w:val="20"/>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项目名称）合同条款有关规定，经甲、乙、丙三方协商，达成协议下：</w:t>
      </w:r>
    </w:p>
    <w:p>
      <w:pPr>
        <w:pStyle w:val="31"/>
        <w:shd w:val="clear" w:color="auto" w:fill="auto"/>
        <w:spacing w:before="0" w:line="360" w:lineRule="auto"/>
        <w:ind w:right="181" w:firstLine="480" w:firstLineChars="200"/>
        <w:jc w:val="both"/>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1.</w:t>
      </w:r>
      <w:r>
        <w:rPr>
          <w:rStyle w:val="35"/>
          <w:rFonts w:hint="eastAsia" w:ascii="宋体" w:hAnsi="宋体" w:eastAsia="宋体" w:cs="宋体"/>
          <w:color w:val="auto"/>
          <w:sz w:val="24"/>
          <w:szCs w:val="24"/>
          <w:highlight w:val="none"/>
        </w:rPr>
        <w:t>资金管理的内容</w:t>
      </w:r>
    </w:p>
    <w:p>
      <w:pPr>
        <w:pStyle w:val="31"/>
        <w:shd w:val="clear" w:color="auto" w:fill="auto"/>
        <w:spacing w:before="0" w:line="360" w:lineRule="auto"/>
        <w:ind w:right="100"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（1）乙方为完成</w:t>
      </w:r>
      <w:r>
        <w:rPr>
          <w:rStyle w:val="35"/>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项目名称）工程成立的项目经理部在丙方开设基本结算户；</w:t>
      </w:r>
    </w:p>
    <w:p>
      <w:pPr>
        <w:pStyle w:val="31"/>
        <w:shd w:val="clear" w:color="auto" w:fill="auto"/>
        <w:spacing w:before="0" w:line="360" w:lineRule="auto"/>
        <w:ind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（2）甲方应按合同规定将工程款汇入乙方在丙方开设的账户；</w:t>
      </w:r>
    </w:p>
    <w:p>
      <w:pPr>
        <w:pStyle w:val="31"/>
        <w:shd w:val="clear" w:color="auto" w:fill="auto"/>
        <w:spacing w:before="0" w:line="360" w:lineRule="auto"/>
        <w:ind w:firstLine="480" w:firstLineChars="200"/>
        <w:jc w:val="left"/>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（3）乙方应将流动资金及甲方所拨付资金专项用于</w:t>
      </w:r>
      <w:r>
        <w:rPr>
          <w:rStyle w:val="35"/>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（项目名称）</w:t>
      </w:r>
      <w:r>
        <w:rPr>
          <w:rStyle w:val="35"/>
          <w:rFonts w:hint="eastAsia" w:ascii="宋体" w:hAnsi="宋体" w:eastAsia="宋体" w:cs="宋体"/>
          <w:color w:val="auto"/>
          <w:sz w:val="24"/>
          <w:szCs w:val="24"/>
          <w:highlight w:val="none"/>
        </w:rPr>
        <w:t>；</w:t>
      </w:r>
    </w:p>
    <w:p>
      <w:pPr>
        <w:pStyle w:val="31"/>
        <w:shd w:val="clear" w:color="auto" w:fill="auto"/>
        <w:spacing w:before="0" w:line="360" w:lineRule="auto"/>
        <w:ind w:right="180"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（4）丙方应为乙方提供便捷有效的银行业务服务，并接受甲方委托对乙方在丙方开设的基本结算户资金使用情况进行监督。</w:t>
      </w:r>
    </w:p>
    <w:p>
      <w:pPr>
        <w:pStyle w:val="31"/>
        <w:shd w:val="clear" w:color="auto" w:fill="auto"/>
        <w:spacing w:before="0" w:line="360" w:lineRule="auto"/>
        <w:ind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2.甲方的权责</w:t>
      </w:r>
    </w:p>
    <w:p>
      <w:pPr>
        <w:pStyle w:val="31"/>
        <w:shd w:val="clear" w:color="auto" w:fill="auto"/>
        <w:spacing w:before="0" w:line="360" w:lineRule="auto"/>
        <w:ind w:right="180"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（1）按照</w:t>
      </w:r>
      <w:r>
        <w:rPr>
          <w:rStyle w:val="20"/>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项目名称）合同有关条款规定的时间和方式，向乙方支付程款；</w:t>
      </w:r>
    </w:p>
    <w:p>
      <w:pPr>
        <w:pStyle w:val="31"/>
        <w:shd w:val="clear" w:color="auto" w:fill="auto"/>
        <w:spacing w:before="0" w:line="360" w:lineRule="auto"/>
        <w:ind w:right="180"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（2）在发现乙方将本项目资金挪用、转移时，甲方有权中止工程支付，直至乙方改正为止；</w:t>
      </w:r>
    </w:p>
    <w:p>
      <w:pPr>
        <w:pStyle w:val="31"/>
        <w:shd w:val="clear" w:color="auto" w:fill="auto"/>
        <w:spacing w:before="0" w:line="360" w:lineRule="auto"/>
        <w:ind w:right="180"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（3）不定期审查丙方对乙方的资金使用监督情况，如丙方不能履行其责任，甲方有权随时终止本协议；</w:t>
      </w:r>
    </w:p>
    <w:p>
      <w:pPr>
        <w:pStyle w:val="31"/>
        <w:shd w:val="clear" w:color="auto" w:fill="auto"/>
        <w:spacing w:before="0" w:line="360" w:lineRule="auto"/>
        <w:ind w:right="180"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（4）在乙、丙双方发生争议时，甲方应负责协调、解决。</w:t>
      </w:r>
    </w:p>
    <w:p>
      <w:pPr>
        <w:pStyle w:val="31"/>
        <w:shd w:val="clear" w:color="auto" w:fill="auto"/>
        <w:spacing w:before="0" w:line="360" w:lineRule="auto"/>
        <w:ind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3.乙方的权责</w:t>
      </w:r>
    </w:p>
    <w:p>
      <w:pPr>
        <w:pStyle w:val="31"/>
        <w:shd w:val="clear" w:color="auto" w:fill="auto"/>
        <w:spacing w:before="0" w:line="360" w:lineRule="auto"/>
        <w:ind w:right="180" w:firstLine="480" w:firstLineChars="200"/>
        <w:jc w:val="left"/>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（1）项目经理部成立以后，乙方应尽快在丙方开设基本结算户；</w:t>
      </w:r>
    </w:p>
    <w:p>
      <w:pPr>
        <w:pStyle w:val="31"/>
        <w:shd w:val="clear" w:color="auto" w:fill="auto"/>
        <w:spacing w:before="0" w:line="360" w:lineRule="auto"/>
        <w:ind w:right="180" w:firstLine="480" w:firstLineChars="200"/>
        <w:jc w:val="left"/>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（2）确保本项目资金专款专用，不发生挪用、转移资金的现象；保证不通过权益转让、抵押、担保承担债务等任何其他方式使用基本结算户的资金；</w:t>
      </w:r>
    </w:p>
    <w:p>
      <w:pPr>
        <w:pStyle w:val="31"/>
        <w:shd w:val="clear" w:color="auto" w:fill="auto"/>
        <w:spacing w:before="0" w:line="360" w:lineRule="auto"/>
        <w:ind w:right="180"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（3）办理材料、设备等采购业务金额在</w:t>
      </w:r>
      <w:r>
        <w:rPr>
          <w:rStyle w:val="35"/>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万元以上的，应出示购货合同、协议和发票；在办理总额超过</w:t>
      </w:r>
      <w:r>
        <w:rPr>
          <w:rStyle w:val="35"/>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万元以上的采购业务时，应将合同、协议和发票复印件送丙方备案；购买应急材料、设备时可先办理支付手续，但事后必须补备有关资料；</w:t>
      </w:r>
    </w:p>
    <w:p>
      <w:pPr>
        <w:pStyle w:val="31"/>
        <w:shd w:val="clear" w:color="auto" w:fill="auto"/>
        <w:spacing w:before="0" w:line="360" w:lineRule="auto"/>
        <w:ind w:right="180"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（4）用银账支票办理支付款项时，必须将转账支票送交丙方，由内方负责办理支票转付手续；</w:t>
      </w:r>
    </w:p>
    <w:p>
      <w:pPr>
        <w:pStyle w:val="31"/>
        <w:shd w:val="clear" w:color="auto" w:fill="auto"/>
        <w:spacing w:before="0" w:line="360" w:lineRule="auto"/>
        <w:ind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（5）向分包单位支付工程进度款时，应附甲方批准分包的文件；</w:t>
      </w:r>
    </w:p>
    <w:p>
      <w:pPr>
        <w:pStyle w:val="31"/>
        <w:shd w:val="clear" w:color="auto" w:fill="auto"/>
        <w:spacing w:before="0" w:line="360" w:lineRule="auto"/>
        <w:ind w:right="20"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（6）向上级单位缴纳管理费、机械设备及周转材料租赁摊销费等款项时，应附上级单位出具的转账通知等有关资料，以确保资金专款专用。</w:t>
      </w:r>
    </w:p>
    <w:p>
      <w:pPr>
        <w:pStyle w:val="31"/>
        <w:shd w:val="clear" w:color="auto" w:fill="auto"/>
        <w:spacing w:before="0" w:line="360" w:lineRule="auto"/>
        <w:ind w:right="20" w:firstLine="480" w:firstLineChars="200"/>
        <w:jc w:val="both"/>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4.</w:t>
      </w:r>
      <w:r>
        <w:rPr>
          <w:rStyle w:val="35"/>
          <w:rFonts w:hint="eastAsia" w:ascii="宋体" w:hAnsi="宋体" w:eastAsia="宋体" w:cs="宋体"/>
          <w:color w:val="auto"/>
          <w:sz w:val="24"/>
          <w:szCs w:val="24"/>
          <w:highlight w:val="none"/>
        </w:rPr>
        <w:t>丙方的权责</w:t>
      </w:r>
    </w:p>
    <w:p>
      <w:pPr>
        <w:pStyle w:val="31"/>
        <w:shd w:val="clear" w:color="auto" w:fill="auto"/>
        <w:spacing w:before="0" w:line="360" w:lineRule="auto"/>
        <w:ind w:right="20" w:firstLine="480" w:firstLineChars="200"/>
        <w:jc w:val="both"/>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（1）成立</w:t>
      </w:r>
      <w:r>
        <w:rPr>
          <w:rStyle w:val="35"/>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项目名称）工程资金管理服务小组，明确业务流程，提高工作效率，杜绝</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压票</w:t>
      </w:r>
      <w:r>
        <w:rPr>
          <w:rStyle w:val="20"/>
          <w:rFonts w:hint="eastAsia" w:ascii="宋体" w:hAnsi="宋体" w:eastAsia="宋体" w:cs="宋体"/>
          <w:color w:val="auto"/>
          <w:sz w:val="24"/>
          <w:szCs w:val="24"/>
          <w:highlight w:val="none"/>
        </w:rPr>
        <w:t>”</w:t>
      </w:r>
      <w:r>
        <w:rPr>
          <w:rStyle w:val="35"/>
          <w:rFonts w:hint="eastAsia" w:ascii="宋体" w:hAnsi="宋体" w:eastAsia="宋体" w:cs="宋体"/>
          <w:color w:val="auto"/>
          <w:sz w:val="24"/>
          <w:szCs w:val="24"/>
          <w:highlight w:val="none"/>
        </w:rPr>
        <w:t>现象；</w:t>
      </w:r>
    </w:p>
    <w:p>
      <w:pPr>
        <w:pStyle w:val="31"/>
        <w:shd w:val="clear" w:color="auto" w:fill="auto"/>
        <w:spacing w:before="0" w:line="360" w:lineRule="auto"/>
        <w:ind w:right="23"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（2）根据乙方提供的购货合同、协议和发票，检查其所购材料、设备是否用于</w:t>
      </w:r>
      <w:r>
        <w:rPr>
          <w:rStyle w:val="35"/>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 xml:space="preserve"> _______________________(项目名称）工程建设，对本标段以外的购货款项，有权拒绝办理，并及时报告甲方；</w:t>
      </w:r>
    </w:p>
    <w:p>
      <w:pPr>
        <w:pStyle w:val="31"/>
        <w:shd w:val="clear" w:color="auto" w:fill="auto"/>
        <w:spacing w:before="0" w:line="360" w:lineRule="auto"/>
        <w:ind w:right="23"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（3）根据乙方与分包单位签订的合问及支付文件，检查其支付款项是否符合有关条件，向分包单位以外单位的支付有权拒绝办理，并及时报告甲方；</w:t>
      </w:r>
    </w:p>
    <w:p>
      <w:pPr>
        <w:pStyle w:val="31"/>
        <w:shd w:val="clear" w:color="auto" w:fill="auto"/>
        <w:spacing w:before="0" w:line="360" w:lineRule="auto"/>
        <w:ind w:right="23"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（4）根据乙方提供的上级单位出具的转账通知等有关资料，办理管理费、机械设备及周转材料租赁摊销费等款项的支付；对超出转账通知等有关资料以外的支付，有权拒绝办理，并及时报告甲方；</w:t>
      </w:r>
    </w:p>
    <w:p>
      <w:pPr>
        <w:pStyle w:val="31"/>
        <w:shd w:val="clear" w:color="auto" w:fill="auto"/>
        <w:spacing w:before="0" w:line="360" w:lineRule="auto"/>
        <w:ind w:right="23"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（5）定期将乙方前一个周期的支付情况，整理后书面报送甲方；乙方复印备案的材料一并送甲方。</w:t>
      </w:r>
    </w:p>
    <w:p>
      <w:pPr>
        <w:pStyle w:val="31"/>
        <w:shd w:val="clear" w:color="auto" w:fill="auto"/>
        <w:spacing w:before="0" w:line="360" w:lineRule="auto"/>
        <w:ind w:right="23"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5.甲、乙、丙三方都应履行保密责任，不得将其他两方的业务情况透露给三方以外的其他单位或个人。</w:t>
      </w:r>
    </w:p>
    <w:p>
      <w:pPr>
        <w:pStyle w:val="31"/>
        <w:shd w:val="clear" w:color="auto" w:fill="auto"/>
        <w:spacing w:before="0" w:line="360" w:lineRule="auto"/>
        <w:ind w:right="23"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6.本协议有效期自乙方在丙方开户起，至工程交工验收甲方向乙方颁发交工验收证书后结束。</w:t>
      </w:r>
    </w:p>
    <w:p>
      <w:pPr>
        <w:pStyle w:val="31"/>
        <w:shd w:val="clear" w:color="auto" w:fill="auto"/>
        <w:spacing w:before="0" w:line="360" w:lineRule="auto"/>
        <w:ind w:right="23"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7.本协议未尽事宜，由甲方牵头，三方协商解决。</w:t>
      </w:r>
    </w:p>
    <w:p>
      <w:pPr>
        <w:pStyle w:val="31"/>
        <w:shd w:val="clear" w:color="auto" w:fill="auto"/>
        <w:spacing w:before="0" w:line="360" w:lineRule="auto"/>
        <w:ind w:right="23" w:firstLine="480" w:firstLineChars="200"/>
        <w:jc w:val="both"/>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8.本协议正本三份、副本</w:t>
      </w:r>
      <w:r>
        <w:rPr>
          <w:rStyle w:val="35"/>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4"/>
          <w:szCs w:val="24"/>
          <w:highlight w:val="none"/>
        </w:rPr>
        <w:t>份。合同三方各执正本一份、副本___份，当正本与副本内容不一致时，以正本为准。</w:t>
      </w:r>
    </w:p>
    <w:p>
      <w:pPr>
        <w:spacing w:line="480" w:lineRule="auto"/>
        <w:rPr>
          <w:rFonts w:hint="eastAsia" w:ascii="宋体" w:hAnsi="宋体" w:cs="宋体"/>
          <w:color w:val="auto"/>
          <w:sz w:val="24"/>
          <w:highlight w:val="none"/>
        </w:rPr>
      </w:pPr>
    </w:p>
    <w:p>
      <w:pPr>
        <w:spacing w:line="480" w:lineRule="auto"/>
        <w:rPr>
          <w:rFonts w:hint="eastAsia" w:ascii="宋体" w:hAnsi="宋体" w:cs="宋体"/>
          <w:color w:val="auto"/>
          <w:sz w:val="24"/>
          <w:highlight w:val="none"/>
        </w:rPr>
      </w:pP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发包人：___________________（盖单位章）  承包人：__________________（盖单位章）</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法定代表人或其委托代理人：_（签字）  法定代表人或其委托代理人：_（签字）</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_____年____月_____日                    _____年_____月____日</w:t>
      </w:r>
    </w:p>
    <w:p>
      <w:pPr>
        <w:spacing w:line="360" w:lineRule="auto"/>
        <w:rPr>
          <w:rFonts w:hint="eastAsia" w:ascii="宋体" w:hAnsi="宋体" w:cs="宋体"/>
          <w:color w:val="auto"/>
          <w:sz w:val="24"/>
          <w:highlight w:val="none"/>
        </w:rPr>
      </w:pP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 xml:space="preserve">经办银行：___________________（盖单位章）  </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法定代表人或其委托代理人：____（签字）  </w:t>
      </w:r>
    </w:p>
    <w:p>
      <w:pPr>
        <w:tabs>
          <w:tab w:val="left" w:pos="915"/>
        </w:tabs>
        <w:rPr>
          <w:rFonts w:hint="eastAsia" w:ascii="宋体" w:hAnsi="宋体" w:cs="宋体"/>
          <w:color w:val="auto"/>
          <w:sz w:val="24"/>
          <w:highlight w:val="none"/>
        </w:rPr>
      </w:pPr>
      <w:r>
        <w:rPr>
          <w:rFonts w:hint="eastAsia" w:ascii="宋体" w:hAnsi="宋体" w:cs="宋体"/>
          <w:color w:val="auto"/>
          <w:sz w:val="24"/>
          <w:highlight w:val="none"/>
        </w:rPr>
        <w:t xml:space="preserve">_____年____月_____日                      </w:t>
      </w:r>
    </w:p>
    <w:p>
      <w:pPr>
        <w:rPr>
          <w:color w:val="auto"/>
          <w:highlight w:val="none"/>
        </w:rPr>
      </w:pPr>
    </w:p>
    <w:p>
      <w:pPr>
        <w:tabs>
          <w:tab w:val="left" w:pos="915"/>
        </w:tabs>
        <w:rPr>
          <w:rFonts w:hint="eastAsia" w:ascii="宋体" w:hAnsi="宋体" w:cs="宋体"/>
          <w:color w:val="auto"/>
          <w:sz w:val="24"/>
          <w:highlight w:val="none"/>
        </w:rPr>
      </w:pPr>
      <w:r>
        <w:rPr>
          <w:rFonts w:hint="eastAsia" w:ascii="宋体" w:hAnsi="宋体" w:cs="宋体"/>
          <w:color w:val="auto"/>
          <w:sz w:val="24"/>
          <w:highlight w:val="none"/>
        </w:rPr>
        <w:t xml:space="preserve">                    </w:t>
      </w:r>
    </w:p>
    <w:p>
      <w:pPr>
        <w:tabs>
          <w:tab w:val="left" w:pos="915"/>
        </w:tabs>
        <w:rPr>
          <w:rFonts w:hint="eastAsia" w:ascii="宋体" w:hAnsi="宋体" w:cs="宋体"/>
          <w:b/>
          <w:color w:val="auto"/>
          <w:sz w:val="28"/>
          <w:szCs w:val="28"/>
          <w:highlight w:val="none"/>
        </w:rPr>
      </w:pPr>
      <w:r>
        <w:rPr>
          <w:rFonts w:hint="eastAsia" w:ascii="宋体" w:hAnsi="宋体" w:cs="宋体"/>
          <w:color w:val="auto"/>
          <w:sz w:val="24"/>
          <w:highlight w:val="none"/>
        </w:rPr>
        <w:br w:type="page"/>
      </w:r>
    </w:p>
    <w:p>
      <w:pPr>
        <w:rPr>
          <w:rFonts w:hint="eastAsia" w:ascii="宋体" w:hAnsi="宋体" w:cs="宋体"/>
          <w:color w:val="auto"/>
          <w:sz w:val="24"/>
          <w:highlight w:val="none"/>
        </w:rPr>
      </w:pPr>
    </w:p>
    <w:p>
      <w:pPr>
        <w:topLinePunct/>
        <w:spacing w:line="500" w:lineRule="exact"/>
        <w:ind w:firstLine="235" w:firstLineChars="98"/>
        <w:rPr>
          <w:rFonts w:hint="eastAsia" w:ascii="宋体" w:hAnsi="宋体" w:cs="宋体"/>
          <w:color w:val="auto"/>
          <w:sz w:val="24"/>
          <w:highlight w:val="none"/>
        </w:rPr>
      </w:pPr>
    </w:p>
    <w:p>
      <w:pPr>
        <w:adjustRightInd w:val="0"/>
        <w:snapToGrid w:val="0"/>
        <w:spacing w:after="120" w:afterLines="50" w:line="360" w:lineRule="auto"/>
        <w:ind w:firstLine="480" w:firstLineChars="200"/>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24"/>
          <w:highlight w:val="none"/>
        </w:rPr>
      </w:pPr>
    </w:p>
    <w:p>
      <w:pPr>
        <w:pStyle w:val="2"/>
        <w:spacing w:before="480" w:after="240"/>
        <w:rPr>
          <w:rFonts w:hint="eastAsia" w:ascii="宋体" w:hAnsi="宋体" w:eastAsia="宋体" w:cs="宋体"/>
          <w:color w:val="auto"/>
          <w:highlight w:val="none"/>
        </w:rPr>
      </w:pPr>
      <w:bookmarkStart w:id="904" w:name="_Toc234346108"/>
      <w:bookmarkStart w:id="905" w:name="_Toc511896826"/>
      <w:bookmarkStart w:id="906" w:name="_Toc234350675"/>
      <w:bookmarkStart w:id="907" w:name="_Toc234348974"/>
      <w:bookmarkStart w:id="908" w:name="_Toc234349548"/>
      <w:bookmarkStart w:id="909" w:name="_Toc234345893"/>
      <w:bookmarkStart w:id="910" w:name="_Toc29415"/>
      <w:r>
        <w:rPr>
          <w:rFonts w:hint="eastAsia" w:ascii="宋体" w:hAnsi="宋体" w:eastAsia="宋体" w:cs="宋体"/>
          <w:color w:val="auto"/>
          <w:highlight w:val="none"/>
        </w:rPr>
        <w:t>第五章  工程量清单</w:t>
      </w:r>
      <w:bookmarkEnd w:id="904"/>
      <w:bookmarkEnd w:id="905"/>
      <w:bookmarkEnd w:id="906"/>
      <w:bookmarkEnd w:id="907"/>
      <w:bookmarkEnd w:id="908"/>
      <w:bookmarkEnd w:id="909"/>
      <w:bookmarkEnd w:id="910"/>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b/>
          <w:color w:val="auto"/>
          <w:sz w:val="32"/>
          <w:szCs w:val="32"/>
          <w:highlight w:val="none"/>
        </w:rPr>
      </w:pPr>
      <w:r>
        <w:rPr>
          <w:rFonts w:hint="eastAsia" w:ascii="宋体" w:hAnsi="宋体" w:cs="宋体"/>
          <w:color w:val="auto"/>
          <w:highlight w:val="none"/>
        </w:rPr>
        <w:br w:type="page"/>
      </w:r>
      <w:bookmarkStart w:id="911" w:name="_Toc234345894"/>
      <w:bookmarkStart w:id="912" w:name="_Toc234349549"/>
      <w:bookmarkStart w:id="913" w:name="_Toc234350676"/>
      <w:bookmarkStart w:id="914" w:name="_Toc234348975"/>
      <w:bookmarkStart w:id="915" w:name="_Toc234346109"/>
      <w:r>
        <w:rPr>
          <w:rFonts w:hint="eastAsia" w:ascii="宋体" w:hAnsi="宋体" w:cs="宋体"/>
          <w:b/>
          <w:color w:val="auto"/>
          <w:sz w:val="32"/>
          <w:szCs w:val="32"/>
          <w:highlight w:val="none"/>
        </w:rPr>
        <w:t>第五章  工程量清单</w:t>
      </w:r>
      <w:bookmarkEnd w:id="911"/>
      <w:bookmarkEnd w:id="912"/>
      <w:bookmarkEnd w:id="913"/>
      <w:bookmarkEnd w:id="914"/>
      <w:bookmarkEnd w:id="915"/>
    </w:p>
    <w:p>
      <w:pPr>
        <w:spacing w:line="360" w:lineRule="auto"/>
        <w:ind w:firstLine="482" w:firstLineChars="200"/>
        <w:rPr>
          <w:rFonts w:hint="eastAsia" w:ascii="宋体" w:hAnsi="宋体" w:cs="宋体"/>
          <w:b/>
          <w:bCs/>
          <w:color w:val="auto"/>
          <w:sz w:val="24"/>
          <w:highlight w:val="none"/>
          <w:lang w:eastAsia="zh-CN"/>
        </w:rPr>
      </w:pPr>
      <w:bookmarkStart w:id="916" w:name="_Toc234349557"/>
      <w:bookmarkStart w:id="917" w:name="_Toc234345897"/>
      <w:bookmarkStart w:id="918" w:name="_Toc234346112"/>
      <w:bookmarkStart w:id="919" w:name="_Toc234348983"/>
      <w:bookmarkStart w:id="920" w:name="_Toc234350679"/>
      <w:r>
        <w:rPr>
          <w:rFonts w:hint="eastAsia" w:ascii="宋体" w:hAnsi="宋体" w:cs="宋体"/>
          <w:b/>
          <w:bCs/>
          <w:color w:val="auto"/>
          <w:sz w:val="24"/>
          <w:highlight w:val="none"/>
          <w:lang w:eastAsia="zh-CN"/>
        </w:rPr>
        <w:t>一、工程概况</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本次工程维修道路为滨海新区苏翟路(徐太路一翟庄子)，长度为5.</w:t>
      </w:r>
      <w:r>
        <w:rPr>
          <w:rFonts w:hint="eastAsia" w:ascii="宋体" w:hAnsi="宋体" w:cs="宋体"/>
          <w:b/>
          <w:bCs/>
          <w:color w:val="auto"/>
          <w:sz w:val="24"/>
          <w:highlight w:val="none"/>
          <w:lang w:val="en-US" w:eastAsia="zh-CN"/>
        </w:rPr>
        <w:t>559</w:t>
      </w:r>
      <w:r>
        <w:rPr>
          <w:rFonts w:hint="eastAsia" w:ascii="宋体" w:hAnsi="宋体" w:cs="宋体"/>
          <w:b/>
          <w:bCs/>
          <w:color w:val="auto"/>
          <w:sz w:val="24"/>
          <w:highlight w:val="none"/>
        </w:rPr>
        <w:t>km。本次改造道路宽度多为 4m，目前旧路路面出现了块状裂缝、坑槽、大面积龟裂等严重病害，行车舒适性较差，道路服务水平较低，给沿线村镇居民出行带来了极大的不便，同时制约了当地经济的发展，本次工程对苏翟路(徐太路一翟庄子)进行维修改造，是改善滨海新区农村交通条件、振兴农村经济的重要举措。</w:t>
      </w:r>
    </w:p>
    <w:p>
      <w:pPr>
        <w:numPr>
          <w:ilvl w:val="0"/>
          <w:numId w:val="9"/>
        </w:numPr>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编制依据</w:t>
      </w:r>
    </w:p>
    <w:p>
      <w:pPr>
        <w:numPr>
          <w:ilvl w:val="0"/>
          <w:numId w:val="0"/>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1、2025年滨海新区农村公路路面严重破损路段维修工程施工图；</w:t>
      </w:r>
    </w:p>
    <w:p>
      <w:pPr>
        <w:numPr>
          <w:ilvl w:val="0"/>
          <w:numId w:val="0"/>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2、《公路工程建设项目概算预算编制办法》（JTG 3830-2018）；</w:t>
      </w:r>
    </w:p>
    <w:p>
      <w:pPr>
        <w:numPr>
          <w:ilvl w:val="0"/>
          <w:numId w:val="0"/>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3、《公路工程预算定额》（JTG/T 3832-2018）；</w:t>
      </w:r>
    </w:p>
    <w:p>
      <w:pPr>
        <w:numPr>
          <w:ilvl w:val="0"/>
          <w:numId w:val="0"/>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4、《公路工程机械台班费用定额》（JTG/T 3832-2018）；</w:t>
      </w:r>
    </w:p>
    <w:p>
      <w:pPr>
        <w:numPr>
          <w:ilvl w:val="0"/>
          <w:numId w:val="0"/>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5、安全生产费为134655元，不作为竞争性费用</w:t>
      </w:r>
      <w:r>
        <w:rPr>
          <w:rFonts w:hint="eastAsia" w:ascii="宋体" w:hAnsi="宋体" w:cs="宋体"/>
          <w:b/>
          <w:bCs/>
          <w:color w:val="auto"/>
          <w:sz w:val="24"/>
          <w:highlight w:val="none"/>
          <w:lang w:val="en-US" w:eastAsia="zh-CN"/>
        </w:rPr>
        <w:t>,临时交通工程一览表设施均包含在安全生产费中</w:t>
      </w:r>
      <w:r>
        <w:rPr>
          <w:rFonts w:hint="eastAsia" w:ascii="宋体" w:hAnsi="宋体" w:cs="宋体"/>
          <w:b/>
          <w:bCs/>
          <w:color w:val="auto"/>
          <w:sz w:val="24"/>
          <w:highlight w:val="none"/>
        </w:rPr>
        <w:t>。</w:t>
      </w:r>
    </w:p>
    <w:p>
      <w:pPr>
        <w:numPr>
          <w:ilvl w:val="0"/>
          <w:numId w:val="9"/>
        </w:numPr>
        <w:spacing w:line="360" w:lineRule="auto"/>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编制范围</w:t>
      </w:r>
    </w:p>
    <w:p>
      <w:pPr>
        <w:numPr>
          <w:ilvl w:val="0"/>
          <w:numId w:val="0"/>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2025年滨海新区农村公路路面严重破损路段维修工程施工图范围内全部施工内容。</w:t>
      </w:r>
    </w:p>
    <w:p>
      <w:pPr>
        <w:numPr>
          <w:ilvl w:val="0"/>
          <w:numId w:val="0"/>
        </w:numPr>
        <w:spacing w:line="360" w:lineRule="auto"/>
        <w:rPr>
          <w:rFonts w:hint="eastAsia" w:ascii="宋体" w:hAnsi="宋体" w:cs="宋体"/>
          <w:b/>
          <w:bCs/>
          <w:color w:val="auto"/>
          <w:sz w:val="32"/>
          <w:szCs w:val="32"/>
          <w:highlight w:val="none"/>
        </w:rPr>
      </w:pPr>
      <w:r>
        <w:rPr>
          <w:rFonts w:hint="eastAsia" w:ascii="宋体" w:hAnsi="宋体" w:cs="宋体"/>
          <w:b/>
          <w:bCs/>
          <w:color w:val="auto"/>
          <w:sz w:val="24"/>
          <w:highlight w:val="none"/>
        </w:rPr>
        <w:br w:type="page"/>
      </w:r>
      <w:r>
        <w:rPr>
          <w:rFonts w:hint="eastAsia" w:ascii="宋体" w:hAnsi="宋体" w:cs="宋体"/>
          <w:b/>
          <w:bCs/>
          <w:color w:val="auto"/>
          <w:sz w:val="32"/>
          <w:szCs w:val="32"/>
          <w:highlight w:val="none"/>
        </w:rPr>
        <w:t xml:space="preserve">5.工程量清单  </w:t>
      </w:r>
    </w:p>
    <w:p>
      <w:pPr>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5.1工程量清单表</w:t>
      </w:r>
    </w:p>
    <w:tbl>
      <w:tblPr>
        <w:tblStyle w:val="18"/>
        <w:tblW w:w="9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4"/>
        <w:gridCol w:w="12"/>
        <w:gridCol w:w="14"/>
        <w:gridCol w:w="259"/>
        <w:gridCol w:w="3376"/>
        <w:gridCol w:w="34"/>
        <w:gridCol w:w="186"/>
        <w:gridCol w:w="105"/>
        <w:gridCol w:w="452"/>
        <w:gridCol w:w="2"/>
        <w:gridCol w:w="246"/>
        <w:gridCol w:w="99"/>
        <w:gridCol w:w="710"/>
        <w:gridCol w:w="23"/>
        <w:gridCol w:w="227"/>
        <w:gridCol w:w="111"/>
        <w:gridCol w:w="695"/>
        <w:gridCol w:w="76"/>
        <w:gridCol w:w="174"/>
        <w:gridCol w:w="126"/>
        <w:gridCol w:w="997"/>
        <w:gridCol w:w="45"/>
        <w:gridCol w:w="165"/>
        <w:gridCol w:w="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trPr>
        <w:tc>
          <w:tcPr>
            <w:tcW w:w="9456"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9456" w:type="dxa"/>
            <w:gridSpan w:val="24"/>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90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7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7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475" w:type="dxa"/>
            <w:gridSpan w:val="4"/>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90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7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90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7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90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7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90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7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90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7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134655</w:t>
            </w:r>
          </w:p>
        </w:tc>
        <w:tc>
          <w:tcPr>
            <w:tcW w:w="1475" w:type="dxa"/>
            <w:gridSpan w:val="4"/>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134655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86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90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7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66" w:type="dxa"/>
            <w:gridSpan w:val="2"/>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69"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04"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71"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75"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935" w:type="dxa"/>
            <w:gridSpan w:val="7"/>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975" w:type="dxa"/>
            <w:gridSpan w:val="9"/>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46"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760" w:hRule="atLeast"/>
        </w:trPr>
        <w:tc>
          <w:tcPr>
            <w:tcW w:w="9023" w:type="dxa"/>
            <w:gridSpan w:val="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600" w:hRule="atLeast"/>
        </w:trPr>
        <w:tc>
          <w:tcPr>
            <w:tcW w:w="9023" w:type="dxa"/>
            <w:gridSpan w:val="22"/>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342" w:type="dxa"/>
            <w:gridSpan w:val="4"/>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Arial Narrow" w:hAnsi="Arial Narrow" w:eastAsia="Arial Narrow" w:cs="Arial Narrow"/>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挖除旧路面</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铣刨（路面）</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1619</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挖旧路（路面）</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7401</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凿除松散混凝土（桥面）</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2.69</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铣刨5cm桥面沥青铺装（桥面）</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45.18</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1308</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2528</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路基填筑（含填前压实）</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回填土</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特殊路基处理</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205-1</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软土处理</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石灰土（8%）换填</w:t>
            </w:r>
          </w:p>
        </w:tc>
        <w:tc>
          <w:tcPr>
            <w:tcW w:w="743" w:type="dxa"/>
            <w:gridSpan w:val="3"/>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5472</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护坡、护面墙</w:t>
            </w:r>
          </w:p>
        </w:tc>
        <w:tc>
          <w:tcPr>
            <w:tcW w:w="7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208-4</w:t>
            </w:r>
          </w:p>
        </w:tc>
        <w:tc>
          <w:tcPr>
            <w:tcW w:w="3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混凝土护坡</w:t>
            </w:r>
          </w:p>
        </w:tc>
        <w:tc>
          <w:tcPr>
            <w:tcW w:w="7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12cm厚C30水泥混凝土板硬化路肩   </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1154.64</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路基填筑（含填前压实）</w:t>
            </w: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66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15cm石灰土（8%）                                       </w:t>
            </w:r>
          </w:p>
        </w:tc>
        <w:tc>
          <w:tcPr>
            <w:tcW w:w="74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80"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1010.25</w:t>
            </w: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9" w:type="dxa"/>
            <w:gridSpan w:val="3"/>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9" w:type="dxa"/>
            <w:gridSpan w:val="3"/>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9" w:type="dxa"/>
            <w:gridSpan w:val="3"/>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9" w:type="dxa"/>
            <w:gridSpan w:val="3"/>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433" w:type="dxa"/>
          <w:trHeight w:val="400" w:hRule="atLeast"/>
        </w:trPr>
        <w:tc>
          <w:tcPr>
            <w:tcW w:w="1080" w:type="dxa"/>
            <w:gridSpan w:val="3"/>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9" w:type="dxa"/>
            <w:gridSpan w:val="3"/>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43"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gridSpan w:val="5"/>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10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42"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33" w:type="dxa"/>
          <w:trHeight w:val="400" w:hRule="atLeast"/>
        </w:trPr>
        <w:tc>
          <w:tcPr>
            <w:tcW w:w="4749" w:type="dxa"/>
            <w:gridSpan w:val="6"/>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823" w:type="dxa"/>
            <w:gridSpan w:val="8"/>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51"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900" w:hRule="atLeast"/>
        </w:trPr>
        <w:tc>
          <w:tcPr>
            <w:tcW w:w="9188"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540" w:hRule="atLeast"/>
        </w:trPr>
        <w:tc>
          <w:tcPr>
            <w:tcW w:w="9188" w:type="dxa"/>
            <w:gridSpan w:val="2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333" w:type="dxa"/>
            <w:gridSpan w:val="4"/>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路面及中央分隔带排水</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314-5</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防水层</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玻纤格栅                                               </w:t>
            </w:r>
          </w:p>
        </w:tc>
        <w:tc>
          <w:tcPr>
            <w:tcW w:w="7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石灰稳定土垫层</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石灰土（12%）</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厚150mm</w:t>
            </w:r>
          </w:p>
        </w:tc>
        <w:tc>
          <w:tcPr>
            <w:tcW w:w="7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26039</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305</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石灰粉煤灰稳定土底基层、基层</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305-1</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石灰粉煤灰碎石</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厚180mm</w:t>
            </w:r>
          </w:p>
        </w:tc>
        <w:tc>
          <w:tcPr>
            <w:tcW w:w="7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26053</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透层、粘层、封层</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306-1</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w:t>
            </w:r>
          </w:p>
        </w:tc>
        <w:tc>
          <w:tcPr>
            <w:tcW w:w="7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26053</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306-2</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粘层</w:t>
            </w:r>
          </w:p>
        </w:tc>
        <w:tc>
          <w:tcPr>
            <w:tcW w:w="7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23084</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306-3</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封层</w:t>
            </w:r>
          </w:p>
        </w:tc>
        <w:tc>
          <w:tcPr>
            <w:tcW w:w="7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26053</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热拌沥青混合料面层</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细粒式沥青混凝土（AC-13C）</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厚35mm</w:t>
            </w:r>
          </w:p>
        </w:tc>
        <w:tc>
          <w:tcPr>
            <w:tcW w:w="7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23084</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311-2</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厂拌热再生中粒式沥青混凝土(AC-16C)</w:t>
            </w: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0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厚40mm</w:t>
            </w:r>
          </w:p>
        </w:tc>
        <w:tc>
          <w:tcPr>
            <w:tcW w:w="7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9"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23084</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8" w:type="dxa"/>
          <w:trHeight w:val="400" w:hRule="atLeast"/>
        </w:trPr>
        <w:tc>
          <w:tcPr>
            <w:tcW w:w="1339" w:type="dxa"/>
            <w:gridSpan w:val="4"/>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0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00"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9"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3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68" w:type="dxa"/>
          <w:trHeight w:val="400" w:hRule="atLeast"/>
        </w:trPr>
        <w:tc>
          <w:tcPr>
            <w:tcW w:w="5040" w:type="dxa"/>
            <w:gridSpan w:val="8"/>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59" w:type="dxa"/>
            <w:gridSpan w:val="7"/>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89"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900" w:hRule="atLeast"/>
        </w:trPr>
        <w:tc>
          <w:tcPr>
            <w:tcW w:w="8978"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540" w:hRule="atLeast"/>
        </w:trPr>
        <w:tc>
          <w:tcPr>
            <w:tcW w:w="8978" w:type="dxa"/>
            <w:gridSpan w:val="21"/>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373"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桥面铺装</w:t>
            </w: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415-1</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沥青混凝土桥面铺装</w:t>
            </w: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5cm厂拌热再生（AC-16C） </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903.6</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415-3</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硅烷浸渍混凝土保护剂                                   </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415-3</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水迹打磨</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415-3</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改性沥青防水层</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903.6</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415-4</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聚合物水泥修补砂浆 </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2.69</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桥梁支座</w:t>
            </w: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73"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416-4</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盆式支座</w:t>
            </w: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支座填塞钢板 </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桥梁伸缩缝</w:t>
            </w: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417-1</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更换橡胶止水带</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417-1</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环氧树脂封缝胶封缝</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383.94</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417-1</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环氧树脂压力注胶灌缝</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579.5</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417-1</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混凝土铺装灌封  </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417-1</w:t>
            </w:r>
          </w:p>
        </w:tc>
        <w:tc>
          <w:tcPr>
            <w:tcW w:w="3661"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13cmPVC泄水管</w:t>
            </w:r>
          </w:p>
        </w:tc>
        <w:tc>
          <w:tcPr>
            <w:tcW w:w="779"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47.2</w:t>
            </w: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478" w:type="dxa"/>
          <w:trHeight w:val="40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61" w:type="dxa"/>
            <w:gridSpan w:val="4"/>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9" w:type="dxa"/>
            <w:gridSpan w:val="5"/>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5" w:type="dxa"/>
            <w:gridSpan w:val="3"/>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056" w:type="dxa"/>
            <w:gridSpan w:val="4"/>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373" w:type="dxa"/>
            <w:gridSpan w:val="4"/>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3"/>
          <w:wAfter w:w="478" w:type="dxa"/>
          <w:trHeight w:val="560" w:hRule="atLeast"/>
        </w:trPr>
        <w:tc>
          <w:tcPr>
            <w:tcW w:w="4715" w:type="dxa"/>
            <w:gridSpan w:val="5"/>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834" w:type="dxa"/>
            <w:gridSpan w:val="8"/>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29"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br w:type="page"/>
      </w:r>
    </w:p>
    <w:tbl>
      <w:tblPr>
        <w:tblStyle w:val="18"/>
        <w:tblW w:w="9134"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4"/>
        <w:gridCol w:w="3290"/>
        <w:gridCol w:w="771"/>
        <w:gridCol w:w="1056"/>
        <w:gridCol w:w="1538"/>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9134"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9134" w:type="dxa"/>
            <w:gridSpan w:val="6"/>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5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42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D60cm停车让行标志</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△70cm*80cm单柱式标志</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凸面镜</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40cm*60cm*2线性诱导标志</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604-12</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道口标注 </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热熔型白色标线 </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605-5</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振荡标线</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波形钢板护栏</w:t>
            </w: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Gr-C-2E级波形梁护栏 </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602-5</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波形钢护栏起、终端头</w:t>
            </w: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Gr-C-2E桥梁过渡段</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Gr-C-2E（m）地锚式端头</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eastAsia" w:ascii="Arial Narrow" w:hAnsi="Arial Narrow" w:eastAsia="Arial Narrow" w:cs="Arial Narrow"/>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4" w:type="dxa"/>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71"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538" w:type="dxa"/>
            <w:tcBorders>
              <w:top w:val="nil"/>
              <w:left w:val="nil"/>
              <w:bottom w:val="single" w:color="000000" w:sz="4" w:space="0"/>
              <w:right w:val="single" w:color="000000" w:sz="4"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c>
          <w:tcPr>
            <w:tcW w:w="1425" w:type="dxa"/>
            <w:tcBorders>
              <w:top w:val="nil"/>
              <w:left w:val="nil"/>
              <w:bottom w:val="single" w:color="000000" w:sz="4" w:space="0"/>
              <w:right w:val="single" w:color="000000" w:sz="8" w:space="0"/>
            </w:tcBorders>
            <w:shd w:val="clear" w:color="auto" w:fill="auto"/>
            <w:vAlign w:val="center"/>
          </w:tcPr>
          <w:p>
            <w:pPr>
              <w:jc w:val="center"/>
              <w:rPr>
                <w:rFonts w:hint="default" w:ascii="Arial Narrow" w:hAnsi="Arial Narrow" w:eastAsia="Arial Narrow" w:cs="Arial Narrow"/>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344" w:type="dxa"/>
            <w:gridSpan w:val="2"/>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827" w:type="dxa"/>
            <w:gridSpan w:val="2"/>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6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pPr>
        <w:rPr>
          <w:color w:val="auto"/>
          <w:highlight w:val="none"/>
        </w:rPr>
      </w:pPr>
      <w:r>
        <w:rPr>
          <w:color w:val="auto"/>
          <w:highlight w:val="none"/>
        </w:rPr>
        <w:br w:type="page"/>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b/>
          <w:bCs w:val="0"/>
          <w:i w:val="0"/>
          <w:iCs w:val="0"/>
          <w:color w:val="auto"/>
          <w:kern w:val="2"/>
          <w:sz w:val="24"/>
          <w:szCs w:val="24"/>
          <w:highlight w:val="none"/>
          <w:u w:val="none"/>
          <w:lang w:val="en-US" w:eastAsia="zh-CN" w:bidi="ar"/>
        </w:rPr>
        <w:t>投标报价汇总表</w:t>
      </w:r>
    </w:p>
    <w:tbl>
      <w:tblPr>
        <w:tblStyle w:val="18"/>
        <w:tblW w:w="9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992"/>
        <w:gridCol w:w="2640"/>
        <w:gridCol w:w="3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612" w:type="dxa"/>
            <w:gridSpan w:val="4"/>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612" w:type="dxa"/>
            <w:gridSpan w:val="4"/>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w:t>
            </w:r>
            <w:r>
              <w:rPr>
                <w:rFonts w:hint="eastAsia" w:ascii="宋体" w:hAnsi="宋体" w:cs="宋体"/>
                <w:i w:val="0"/>
                <w:iCs w:val="0"/>
                <w:color w:val="auto"/>
                <w:kern w:val="0"/>
                <w:sz w:val="20"/>
                <w:szCs w:val="20"/>
                <w:highlight w:val="none"/>
                <w:u w:val="none"/>
                <w:lang w:val="en-US" w:eastAsia="zh-CN" w:bidi="ar"/>
              </w:rPr>
              <w:t>2025年滨海新区农村公路路面严重破损路段维修工程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章次</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   目   名   称</w:t>
            </w:r>
          </w:p>
        </w:tc>
        <w:tc>
          <w:tcPr>
            <w:tcW w:w="34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   额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100</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总则</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200</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路基工程</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300</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路面工程</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400</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桥梁、涵洞</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600</w:t>
            </w:r>
          </w:p>
        </w:tc>
        <w:tc>
          <w:tcPr>
            <w:tcW w:w="2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安全设施及预埋管线工程</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第100章至第700章合计</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4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已包含在清单合计中的材料、工程设备、专业工程暂估价合计</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4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清单合计减去材料、工程设备、专业工程暂估价合计</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4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计日工合计</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4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造价合计</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bl>
    <w:p>
      <w:pPr>
        <w:pStyle w:val="7"/>
        <w:rPr>
          <w:color w:val="auto"/>
          <w:highlight w:val="none"/>
        </w:rPr>
        <w:sectPr>
          <w:headerReference r:id="rId16" w:type="first"/>
          <w:footerReference r:id="rId17" w:type="first"/>
          <w:headerReference r:id="rId15" w:type="default"/>
          <w:pgSz w:w="11905" w:h="16838"/>
          <w:pgMar w:top="1304" w:right="1304" w:bottom="1304" w:left="1361" w:header="720" w:footer="720" w:gutter="0"/>
          <w:paperSrc w:first="7" w:other="7"/>
          <w:pgNumType w:fmt="numberInDash"/>
          <w:cols w:space="720" w:num="1"/>
          <w:titlePg/>
          <w:docGrid w:linePitch="360" w:charSpace="0"/>
        </w:sectPr>
      </w:pPr>
    </w:p>
    <w:p>
      <w:pPr>
        <w:jc w:val="left"/>
        <w:rPr>
          <w:rFonts w:hint="eastAsia" w:ascii="宋体" w:hAnsi="宋体" w:cs="宋体"/>
          <w:b/>
          <w:bCs/>
          <w:color w:val="auto"/>
          <w:sz w:val="24"/>
          <w:highlight w:val="none"/>
        </w:rPr>
      </w:pPr>
      <w:r>
        <w:rPr>
          <w:rFonts w:hint="eastAsia" w:ascii="宋体" w:hAnsi="宋体" w:cs="宋体"/>
          <w:b/>
          <w:bCs/>
          <w:color w:val="auto"/>
          <w:sz w:val="24"/>
          <w:highlight w:val="none"/>
        </w:rPr>
        <w:t>5.3 工程量清单单价分析表</w:t>
      </w:r>
    </w:p>
    <w:tbl>
      <w:tblPr>
        <w:tblStyle w:val="18"/>
        <w:tblW w:w="14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970"/>
        <w:gridCol w:w="1254"/>
        <w:gridCol w:w="699"/>
        <w:gridCol w:w="699"/>
        <w:gridCol w:w="699"/>
        <w:gridCol w:w="691"/>
        <w:gridCol w:w="691"/>
        <w:gridCol w:w="691"/>
        <w:gridCol w:w="922"/>
        <w:gridCol w:w="575"/>
        <w:gridCol w:w="682"/>
        <w:gridCol w:w="870"/>
        <w:gridCol w:w="774"/>
        <w:gridCol w:w="930"/>
        <w:gridCol w:w="665"/>
        <w:gridCol w:w="864"/>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Merge w:val="restart"/>
            <w:vAlign w:val="center"/>
          </w:tcPr>
          <w:p>
            <w:pPr>
              <w:jc w:val="center"/>
              <w:rPr>
                <w:color w:val="auto"/>
                <w:highlight w:val="none"/>
              </w:rPr>
            </w:pPr>
            <w:r>
              <w:rPr>
                <w:color w:val="auto"/>
                <w:highlight w:val="none"/>
              </w:rPr>
              <w:t>序号</w:t>
            </w:r>
          </w:p>
        </w:tc>
        <w:tc>
          <w:tcPr>
            <w:tcW w:w="970" w:type="dxa"/>
            <w:vMerge w:val="restart"/>
            <w:vAlign w:val="center"/>
          </w:tcPr>
          <w:p>
            <w:pPr>
              <w:jc w:val="center"/>
              <w:rPr>
                <w:color w:val="auto"/>
                <w:highlight w:val="none"/>
              </w:rPr>
            </w:pPr>
            <w:r>
              <w:rPr>
                <w:color w:val="auto"/>
                <w:highlight w:val="none"/>
              </w:rPr>
              <w:t>编码</w:t>
            </w:r>
          </w:p>
        </w:tc>
        <w:tc>
          <w:tcPr>
            <w:tcW w:w="1254" w:type="dxa"/>
            <w:vMerge w:val="restart"/>
            <w:vAlign w:val="center"/>
          </w:tcPr>
          <w:p>
            <w:pPr>
              <w:jc w:val="center"/>
              <w:rPr>
                <w:color w:val="auto"/>
                <w:highlight w:val="none"/>
              </w:rPr>
            </w:pPr>
            <w:r>
              <w:rPr>
                <w:color w:val="auto"/>
                <w:highlight w:val="none"/>
              </w:rPr>
              <w:t>子目名称</w:t>
            </w:r>
          </w:p>
        </w:tc>
        <w:tc>
          <w:tcPr>
            <w:tcW w:w="2097" w:type="dxa"/>
            <w:gridSpan w:val="3"/>
            <w:vAlign w:val="center"/>
          </w:tcPr>
          <w:p>
            <w:pPr>
              <w:jc w:val="center"/>
              <w:rPr>
                <w:color w:val="auto"/>
                <w:highlight w:val="none"/>
              </w:rPr>
            </w:pPr>
            <w:r>
              <w:rPr>
                <w:color w:val="auto"/>
                <w:highlight w:val="none"/>
              </w:rPr>
              <w:t>人工费</w:t>
            </w:r>
          </w:p>
        </w:tc>
        <w:tc>
          <w:tcPr>
            <w:tcW w:w="4252" w:type="dxa"/>
            <w:gridSpan w:val="6"/>
            <w:vAlign w:val="center"/>
          </w:tcPr>
          <w:p>
            <w:pPr>
              <w:jc w:val="center"/>
              <w:rPr>
                <w:color w:val="auto"/>
                <w:highlight w:val="none"/>
              </w:rPr>
            </w:pPr>
            <w:r>
              <w:rPr>
                <w:color w:val="auto"/>
                <w:highlight w:val="none"/>
              </w:rPr>
              <w:t>材料费</w:t>
            </w:r>
          </w:p>
        </w:tc>
        <w:tc>
          <w:tcPr>
            <w:tcW w:w="870" w:type="dxa"/>
            <w:vMerge w:val="restart"/>
            <w:vAlign w:val="center"/>
          </w:tcPr>
          <w:p>
            <w:pPr>
              <w:jc w:val="center"/>
              <w:rPr>
                <w:color w:val="auto"/>
                <w:highlight w:val="none"/>
              </w:rPr>
            </w:pPr>
            <w:r>
              <w:rPr>
                <w:color w:val="auto"/>
                <w:highlight w:val="none"/>
              </w:rPr>
              <w:t>机械使用费</w:t>
            </w:r>
          </w:p>
        </w:tc>
        <w:tc>
          <w:tcPr>
            <w:tcW w:w="774" w:type="dxa"/>
            <w:vMerge w:val="restart"/>
            <w:vAlign w:val="center"/>
          </w:tcPr>
          <w:p>
            <w:pPr>
              <w:jc w:val="center"/>
              <w:rPr>
                <w:color w:val="auto"/>
                <w:highlight w:val="none"/>
              </w:rPr>
            </w:pPr>
            <w:r>
              <w:rPr>
                <w:color w:val="auto"/>
                <w:highlight w:val="none"/>
              </w:rPr>
              <w:t>其他</w:t>
            </w:r>
          </w:p>
        </w:tc>
        <w:tc>
          <w:tcPr>
            <w:tcW w:w="930" w:type="dxa"/>
            <w:vMerge w:val="restart"/>
            <w:vAlign w:val="center"/>
          </w:tcPr>
          <w:p>
            <w:pPr>
              <w:jc w:val="center"/>
              <w:rPr>
                <w:color w:val="auto"/>
                <w:highlight w:val="none"/>
              </w:rPr>
            </w:pPr>
            <w:r>
              <w:rPr>
                <w:color w:val="auto"/>
                <w:highlight w:val="none"/>
              </w:rPr>
              <w:t>管理费</w:t>
            </w:r>
          </w:p>
        </w:tc>
        <w:tc>
          <w:tcPr>
            <w:tcW w:w="665" w:type="dxa"/>
            <w:vMerge w:val="restart"/>
            <w:vAlign w:val="center"/>
          </w:tcPr>
          <w:p>
            <w:pPr>
              <w:jc w:val="center"/>
              <w:rPr>
                <w:color w:val="auto"/>
                <w:highlight w:val="none"/>
              </w:rPr>
            </w:pPr>
            <w:r>
              <w:rPr>
                <w:color w:val="auto"/>
                <w:highlight w:val="none"/>
              </w:rPr>
              <w:t>税费</w:t>
            </w:r>
          </w:p>
        </w:tc>
        <w:tc>
          <w:tcPr>
            <w:tcW w:w="864" w:type="dxa"/>
            <w:vMerge w:val="restart"/>
            <w:vAlign w:val="center"/>
          </w:tcPr>
          <w:p>
            <w:pPr>
              <w:jc w:val="center"/>
              <w:rPr>
                <w:color w:val="auto"/>
                <w:highlight w:val="none"/>
              </w:rPr>
            </w:pPr>
            <w:r>
              <w:rPr>
                <w:color w:val="auto"/>
                <w:highlight w:val="none"/>
              </w:rPr>
              <w:t>利润</w:t>
            </w:r>
          </w:p>
        </w:tc>
        <w:tc>
          <w:tcPr>
            <w:tcW w:w="841" w:type="dxa"/>
            <w:vMerge w:val="restart"/>
            <w:vAlign w:val="center"/>
          </w:tcPr>
          <w:p>
            <w:pPr>
              <w:jc w:val="center"/>
              <w:rPr>
                <w:color w:val="auto"/>
                <w:highlight w:val="none"/>
              </w:rPr>
            </w:pPr>
            <w:r>
              <w:rPr>
                <w:color w:val="auto"/>
                <w:highlight w:val="none"/>
              </w:rPr>
              <w:t>综合</w:t>
            </w:r>
          </w:p>
          <w:p>
            <w:pPr>
              <w:jc w:val="center"/>
              <w:rPr>
                <w:color w:val="auto"/>
                <w:highlight w:val="none"/>
              </w:rPr>
            </w:pPr>
            <w:r>
              <w:rPr>
                <w:color w:val="auto"/>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Merge w:val="continue"/>
            <w:vAlign w:val="center"/>
          </w:tcPr>
          <w:p>
            <w:pPr>
              <w:jc w:val="center"/>
              <w:rPr>
                <w:color w:val="auto"/>
                <w:highlight w:val="none"/>
              </w:rPr>
            </w:pPr>
          </w:p>
        </w:tc>
        <w:tc>
          <w:tcPr>
            <w:tcW w:w="970" w:type="dxa"/>
            <w:vMerge w:val="continue"/>
            <w:vAlign w:val="center"/>
          </w:tcPr>
          <w:p>
            <w:pPr>
              <w:jc w:val="center"/>
              <w:rPr>
                <w:color w:val="auto"/>
                <w:highlight w:val="none"/>
              </w:rPr>
            </w:pPr>
          </w:p>
        </w:tc>
        <w:tc>
          <w:tcPr>
            <w:tcW w:w="1254" w:type="dxa"/>
            <w:vMerge w:val="continue"/>
            <w:vAlign w:val="center"/>
          </w:tcPr>
          <w:p>
            <w:pPr>
              <w:jc w:val="center"/>
              <w:rPr>
                <w:color w:val="auto"/>
                <w:highlight w:val="none"/>
              </w:rPr>
            </w:pPr>
          </w:p>
        </w:tc>
        <w:tc>
          <w:tcPr>
            <w:tcW w:w="699" w:type="dxa"/>
            <w:vMerge w:val="restart"/>
            <w:vAlign w:val="center"/>
          </w:tcPr>
          <w:p>
            <w:pPr>
              <w:jc w:val="center"/>
              <w:rPr>
                <w:color w:val="auto"/>
                <w:highlight w:val="none"/>
              </w:rPr>
            </w:pPr>
            <w:r>
              <w:rPr>
                <w:color w:val="auto"/>
                <w:highlight w:val="none"/>
              </w:rPr>
              <w:t>工日</w:t>
            </w:r>
          </w:p>
        </w:tc>
        <w:tc>
          <w:tcPr>
            <w:tcW w:w="699" w:type="dxa"/>
            <w:vMerge w:val="restart"/>
            <w:vAlign w:val="center"/>
          </w:tcPr>
          <w:p>
            <w:pPr>
              <w:jc w:val="center"/>
              <w:rPr>
                <w:color w:val="auto"/>
                <w:highlight w:val="none"/>
              </w:rPr>
            </w:pPr>
            <w:r>
              <w:rPr>
                <w:color w:val="auto"/>
                <w:highlight w:val="none"/>
              </w:rPr>
              <w:t>单价</w:t>
            </w:r>
          </w:p>
        </w:tc>
        <w:tc>
          <w:tcPr>
            <w:tcW w:w="699" w:type="dxa"/>
            <w:vMerge w:val="restart"/>
            <w:vAlign w:val="center"/>
          </w:tcPr>
          <w:p>
            <w:pPr>
              <w:jc w:val="center"/>
              <w:rPr>
                <w:color w:val="auto"/>
                <w:highlight w:val="none"/>
              </w:rPr>
            </w:pPr>
            <w:r>
              <w:rPr>
                <w:color w:val="auto"/>
                <w:highlight w:val="none"/>
              </w:rPr>
              <w:t>金额</w:t>
            </w:r>
          </w:p>
        </w:tc>
        <w:tc>
          <w:tcPr>
            <w:tcW w:w="2995" w:type="dxa"/>
            <w:gridSpan w:val="4"/>
            <w:vAlign w:val="center"/>
          </w:tcPr>
          <w:p>
            <w:pPr>
              <w:jc w:val="center"/>
              <w:rPr>
                <w:color w:val="auto"/>
                <w:highlight w:val="none"/>
              </w:rPr>
            </w:pPr>
            <w:r>
              <w:rPr>
                <w:color w:val="auto"/>
                <w:highlight w:val="none"/>
              </w:rPr>
              <w:t>主材</w:t>
            </w:r>
          </w:p>
        </w:tc>
        <w:tc>
          <w:tcPr>
            <w:tcW w:w="575" w:type="dxa"/>
            <w:vMerge w:val="restart"/>
            <w:vAlign w:val="center"/>
          </w:tcPr>
          <w:p>
            <w:pPr>
              <w:jc w:val="center"/>
              <w:rPr>
                <w:color w:val="auto"/>
                <w:highlight w:val="none"/>
              </w:rPr>
            </w:pPr>
            <w:r>
              <w:rPr>
                <w:color w:val="auto"/>
                <w:highlight w:val="none"/>
              </w:rPr>
              <w:t>辅材费</w:t>
            </w:r>
          </w:p>
        </w:tc>
        <w:tc>
          <w:tcPr>
            <w:tcW w:w="682" w:type="dxa"/>
            <w:vMerge w:val="restart"/>
            <w:vAlign w:val="center"/>
          </w:tcPr>
          <w:p>
            <w:pPr>
              <w:jc w:val="center"/>
              <w:rPr>
                <w:color w:val="auto"/>
                <w:highlight w:val="none"/>
              </w:rPr>
            </w:pPr>
            <w:r>
              <w:rPr>
                <w:color w:val="auto"/>
                <w:highlight w:val="none"/>
              </w:rPr>
              <w:t>金额</w:t>
            </w:r>
          </w:p>
        </w:tc>
        <w:tc>
          <w:tcPr>
            <w:tcW w:w="870" w:type="dxa"/>
            <w:vMerge w:val="continue"/>
            <w:vAlign w:val="center"/>
          </w:tcPr>
          <w:p>
            <w:pPr>
              <w:jc w:val="center"/>
              <w:rPr>
                <w:color w:val="auto"/>
                <w:highlight w:val="none"/>
              </w:rPr>
            </w:pPr>
          </w:p>
        </w:tc>
        <w:tc>
          <w:tcPr>
            <w:tcW w:w="774" w:type="dxa"/>
            <w:vMerge w:val="continue"/>
            <w:vAlign w:val="center"/>
          </w:tcPr>
          <w:p>
            <w:pPr>
              <w:jc w:val="center"/>
              <w:rPr>
                <w:color w:val="auto"/>
                <w:highlight w:val="none"/>
              </w:rPr>
            </w:pPr>
          </w:p>
        </w:tc>
        <w:tc>
          <w:tcPr>
            <w:tcW w:w="930" w:type="dxa"/>
            <w:vMerge w:val="continue"/>
            <w:vAlign w:val="center"/>
          </w:tcPr>
          <w:p>
            <w:pPr>
              <w:jc w:val="center"/>
              <w:rPr>
                <w:color w:val="auto"/>
                <w:highlight w:val="none"/>
              </w:rPr>
            </w:pPr>
          </w:p>
        </w:tc>
        <w:tc>
          <w:tcPr>
            <w:tcW w:w="665" w:type="dxa"/>
            <w:vMerge w:val="continue"/>
            <w:vAlign w:val="center"/>
          </w:tcPr>
          <w:p>
            <w:pPr>
              <w:jc w:val="center"/>
              <w:rPr>
                <w:color w:val="auto"/>
                <w:highlight w:val="none"/>
              </w:rPr>
            </w:pPr>
          </w:p>
        </w:tc>
        <w:tc>
          <w:tcPr>
            <w:tcW w:w="864" w:type="dxa"/>
            <w:vMerge w:val="continue"/>
            <w:vAlign w:val="center"/>
          </w:tcPr>
          <w:p>
            <w:pPr>
              <w:jc w:val="center"/>
              <w:rPr>
                <w:color w:val="auto"/>
                <w:highlight w:val="none"/>
              </w:rPr>
            </w:pPr>
          </w:p>
        </w:tc>
        <w:tc>
          <w:tcPr>
            <w:tcW w:w="84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Merge w:val="continue"/>
            <w:vAlign w:val="center"/>
          </w:tcPr>
          <w:p>
            <w:pPr>
              <w:jc w:val="center"/>
              <w:rPr>
                <w:color w:val="auto"/>
                <w:highlight w:val="none"/>
              </w:rPr>
            </w:pPr>
          </w:p>
        </w:tc>
        <w:tc>
          <w:tcPr>
            <w:tcW w:w="970" w:type="dxa"/>
            <w:vMerge w:val="continue"/>
            <w:vAlign w:val="center"/>
          </w:tcPr>
          <w:p>
            <w:pPr>
              <w:jc w:val="center"/>
              <w:rPr>
                <w:color w:val="auto"/>
                <w:highlight w:val="none"/>
              </w:rPr>
            </w:pPr>
          </w:p>
        </w:tc>
        <w:tc>
          <w:tcPr>
            <w:tcW w:w="1254" w:type="dxa"/>
            <w:vMerge w:val="continue"/>
            <w:vAlign w:val="center"/>
          </w:tcPr>
          <w:p>
            <w:pPr>
              <w:jc w:val="center"/>
              <w:rPr>
                <w:color w:val="auto"/>
                <w:highlight w:val="none"/>
              </w:rPr>
            </w:pPr>
          </w:p>
        </w:tc>
        <w:tc>
          <w:tcPr>
            <w:tcW w:w="699" w:type="dxa"/>
            <w:vMerge w:val="continue"/>
            <w:vAlign w:val="center"/>
          </w:tcPr>
          <w:p>
            <w:pPr>
              <w:jc w:val="center"/>
              <w:rPr>
                <w:color w:val="auto"/>
                <w:highlight w:val="none"/>
              </w:rPr>
            </w:pPr>
          </w:p>
        </w:tc>
        <w:tc>
          <w:tcPr>
            <w:tcW w:w="699" w:type="dxa"/>
            <w:vMerge w:val="continue"/>
            <w:vAlign w:val="center"/>
          </w:tcPr>
          <w:p>
            <w:pPr>
              <w:jc w:val="center"/>
              <w:rPr>
                <w:color w:val="auto"/>
                <w:highlight w:val="none"/>
              </w:rPr>
            </w:pPr>
          </w:p>
        </w:tc>
        <w:tc>
          <w:tcPr>
            <w:tcW w:w="699" w:type="dxa"/>
            <w:vMerge w:val="continue"/>
            <w:vAlign w:val="center"/>
          </w:tcPr>
          <w:p>
            <w:pPr>
              <w:jc w:val="center"/>
              <w:rPr>
                <w:color w:val="auto"/>
                <w:highlight w:val="none"/>
              </w:rPr>
            </w:pPr>
          </w:p>
        </w:tc>
        <w:tc>
          <w:tcPr>
            <w:tcW w:w="691" w:type="dxa"/>
            <w:vAlign w:val="center"/>
          </w:tcPr>
          <w:p>
            <w:pPr>
              <w:jc w:val="center"/>
              <w:rPr>
                <w:color w:val="auto"/>
                <w:highlight w:val="none"/>
              </w:rPr>
            </w:pPr>
            <w:r>
              <w:rPr>
                <w:color w:val="auto"/>
                <w:highlight w:val="none"/>
              </w:rPr>
              <w:t>主材耗量</w:t>
            </w:r>
          </w:p>
        </w:tc>
        <w:tc>
          <w:tcPr>
            <w:tcW w:w="691" w:type="dxa"/>
            <w:vAlign w:val="center"/>
          </w:tcPr>
          <w:p>
            <w:pPr>
              <w:jc w:val="center"/>
              <w:rPr>
                <w:color w:val="auto"/>
                <w:highlight w:val="none"/>
              </w:rPr>
            </w:pPr>
            <w:r>
              <w:rPr>
                <w:color w:val="auto"/>
                <w:highlight w:val="none"/>
              </w:rPr>
              <w:t>单位</w:t>
            </w:r>
          </w:p>
        </w:tc>
        <w:tc>
          <w:tcPr>
            <w:tcW w:w="691" w:type="dxa"/>
            <w:vAlign w:val="center"/>
          </w:tcPr>
          <w:p>
            <w:pPr>
              <w:jc w:val="center"/>
              <w:rPr>
                <w:color w:val="auto"/>
                <w:highlight w:val="none"/>
              </w:rPr>
            </w:pPr>
            <w:r>
              <w:rPr>
                <w:color w:val="auto"/>
                <w:highlight w:val="none"/>
              </w:rPr>
              <w:t>单价</w:t>
            </w:r>
          </w:p>
        </w:tc>
        <w:tc>
          <w:tcPr>
            <w:tcW w:w="922" w:type="dxa"/>
            <w:vAlign w:val="center"/>
          </w:tcPr>
          <w:p>
            <w:pPr>
              <w:jc w:val="center"/>
              <w:rPr>
                <w:color w:val="auto"/>
                <w:highlight w:val="none"/>
              </w:rPr>
            </w:pPr>
            <w:r>
              <w:rPr>
                <w:color w:val="auto"/>
                <w:highlight w:val="none"/>
              </w:rPr>
              <w:t>主材费</w:t>
            </w:r>
          </w:p>
        </w:tc>
        <w:tc>
          <w:tcPr>
            <w:tcW w:w="575" w:type="dxa"/>
            <w:vMerge w:val="continue"/>
            <w:vAlign w:val="center"/>
          </w:tcPr>
          <w:p>
            <w:pPr>
              <w:jc w:val="center"/>
              <w:rPr>
                <w:color w:val="auto"/>
                <w:highlight w:val="none"/>
              </w:rPr>
            </w:pPr>
          </w:p>
        </w:tc>
        <w:tc>
          <w:tcPr>
            <w:tcW w:w="682" w:type="dxa"/>
            <w:vMerge w:val="continue"/>
            <w:vAlign w:val="center"/>
          </w:tcPr>
          <w:p>
            <w:pPr>
              <w:jc w:val="center"/>
              <w:rPr>
                <w:color w:val="auto"/>
                <w:highlight w:val="none"/>
              </w:rPr>
            </w:pPr>
          </w:p>
        </w:tc>
        <w:tc>
          <w:tcPr>
            <w:tcW w:w="870" w:type="dxa"/>
            <w:vMerge w:val="continue"/>
            <w:vAlign w:val="center"/>
          </w:tcPr>
          <w:p>
            <w:pPr>
              <w:jc w:val="center"/>
              <w:rPr>
                <w:color w:val="auto"/>
                <w:highlight w:val="none"/>
              </w:rPr>
            </w:pPr>
          </w:p>
        </w:tc>
        <w:tc>
          <w:tcPr>
            <w:tcW w:w="774" w:type="dxa"/>
            <w:vMerge w:val="continue"/>
            <w:vAlign w:val="center"/>
          </w:tcPr>
          <w:p>
            <w:pPr>
              <w:jc w:val="center"/>
              <w:rPr>
                <w:color w:val="auto"/>
                <w:highlight w:val="none"/>
              </w:rPr>
            </w:pPr>
          </w:p>
        </w:tc>
        <w:tc>
          <w:tcPr>
            <w:tcW w:w="930" w:type="dxa"/>
            <w:vMerge w:val="continue"/>
            <w:vAlign w:val="center"/>
          </w:tcPr>
          <w:p>
            <w:pPr>
              <w:jc w:val="center"/>
              <w:rPr>
                <w:color w:val="auto"/>
                <w:highlight w:val="none"/>
              </w:rPr>
            </w:pPr>
          </w:p>
        </w:tc>
        <w:tc>
          <w:tcPr>
            <w:tcW w:w="665" w:type="dxa"/>
            <w:vMerge w:val="continue"/>
            <w:vAlign w:val="center"/>
          </w:tcPr>
          <w:p>
            <w:pPr>
              <w:jc w:val="center"/>
              <w:rPr>
                <w:color w:val="auto"/>
                <w:highlight w:val="none"/>
              </w:rPr>
            </w:pPr>
          </w:p>
        </w:tc>
        <w:tc>
          <w:tcPr>
            <w:tcW w:w="864" w:type="dxa"/>
            <w:vMerge w:val="continue"/>
            <w:vAlign w:val="center"/>
          </w:tcPr>
          <w:p>
            <w:pPr>
              <w:jc w:val="center"/>
              <w:rPr>
                <w:color w:val="auto"/>
                <w:highlight w:val="none"/>
              </w:rPr>
            </w:pPr>
          </w:p>
        </w:tc>
        <w:tc>
          <w:tcPr>
            <w:tcW w:w="84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29" w:type="dxa"/>
            <w:vAlign w:val="center"/>
          </w:tcPr>
          <w:p>
            <w:pPr>
              <w:jc w:val="center"/>
              <w:rPr>
                <w:color w:val="auto"/>
                <w:highlight w:val="none"/>
              </w:rPr>
            </w:pPr>
          </w:p>
        </w:tc>
        <w:tc>
          <w:tcPr>
            <w:tcW w:w="970" w:type="dxa"/>
            <w:vAlign w:val="center"/>
          </w:tcPr>
          <w:p>
            <w:pPr>
              <w:jc w:val="center"/>
              <w:rPr>
                <w:color w:val="auto"/>
                <w:highlight w:val="none"/>
              </w:rPr>
            </w:pPr>
          </w:p>
        </w:tc>
        <w:tc>
          <w:tcPr>
            <w:tcW w:w="1254"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9"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691" w:type="dxa"/>
            <w:vAlign w:val="center"/>
          </w:tcPr>
          <w:p>
            <w:pPr>
              <w:jc w:val="center"/>
              <w:rPr>
                <w:color w:val="auto"/>
                <w:highlight w:val="none"/>
              </w:rPr>
            </w:pPr>
          </w:p>
        </w:tc>
        <w:tc>
          <w:tcPr>
            <w:tcW w:w="922" w:type="dxa"/>
            <w:vAlign w:val="center"/>
          </w:tcPr>
          <w:p>
            <w:pPr>
              <w:jc w:val="center"/>
              <w:rPr>
                <w:color w:val="auto"/>
                <w:highlight w:val="none"/>
              </w:rPr>
            </w:pPr>
          </w:p>
        </w:tc>
        <w:tc>
          <w:tcPr>
            <w:tcW w:w="575" w:type="dxa"/>
            <w:vAlign w:val="center"/>
          </w:tcPr>
          <w:p>
            <w:pPr>
              <w:jc w:val="center"/>
              <w:rPr>
                <w:color w:val="auto"/>
                <w:highlight w:val="none"/>
              </w:rPr>
            </w:pPr>
          </w:p>
        </w:tc>
        <w:tc>
          <w:tcPr>
            <w:tcW w:w="682" w:type="dxa"/>
            <w:vAlign w:val="center"/>
          </w:tcPr>
          <w:p>
            <w:pPr>
              <w:jc w:val="center"/>
              <w:rPr>
                <w:color w:val="auto"/>
                <w:highlight w:val="none"/>
              </w:rPr>
            </w:pPr>
          </w:p>
        </w:tc>
        <w:tc>
          <w:tcPr>
            <w:tcW w:w="870" w:type="dxa"/>
            <w:vAlign w:val="center"/>
          </w:tcPr>
          <w:p>
            <w:pPr>
              <w:jc w:val="center"/>
              <w:rPr>
                <w:color w:val="auto"/>
                <w:highlight w:val="none"/>
              </w:rPr>
            </w:pPr>
          </w:p>
        </w:tc>
        <w:tc>
          <w:tcPr>
            <w:tcW w:w="774" w:type="dxa"/>
            <w:vAlign w:val="center"/>
          </w:tcPr>
          <w:p>
            <w:pPr>
              <w:jc w:val="center"/>
              <w:rPr>
                <w:color w:val="auto"/>
                <w:highlight w:val="none"/>
              </w:rPr>
            </w:pPr>
          </w:p>
        </w:tc>
        <w:tc>
          <w:tcPr>
            <w:tcW w:w="930" w:type="dxa"/>
            <w:vAlign w:val="center"/>
          </w:tcPr>
          <w:p>
            <w:pPr>
              <w:jc w:val="center"/>
              <w:rPr>
                <w:color w:val="auto"/>
                <w:highlight w:val="none"/>
              </w:rPr>
            </w:pPr>
          </w:p>
        </w:tc>
        <w:tc>
          <w:tcPr>
            <w:tcW w:w="665" w:type="dxa"/>
            <w:vAlign w:val="center"/>
          </w:tcPr>
          <w:p>
            <w:pPr>
              <w:jc w:val="center"/>
              <w:rPr>
                <w:color w:val="auto"/>
                <w:highlight w:val="none"/>
              </w:rPr>
            </w:pPr>
          </w:p>
        </w:tc>
        <w:tc>
          <w:tcPr>
            <w:tcW w:w="864" w:type="dxa"/>
            <w:vAlign w:val="center"/>
          </w:tcPr>
          <w:p>
            <w:pPr>
              <w:jc w:val="center"/>
              <w:rPr>
                <w:color w:val="auto"/>
                <w:highlight w:val="none"/>
              </w:rPr>
            </w:pPr>
          </w:p>
        </w:tc>
        <w:tc>
          <w:tcPr>
            <w:tcW w:w="841" w:type="dxa"/>
            <w:vAlign w:val="center"/>
          </w:tcPr>
          <w:p>
            <w:pPr>
              <w:jc w:val="center"/>
              <w:rPr>
                <w:color w:val="auto"/>
                <w:highlight w:val="none"/>
              </w:rPr>
            </w:pPr>
          </w:p>
        </w:tc>
      </w:tr>
    </w:tbl>
    <w:p>
      <w:pPr>
        <w:pStyle w:val="7"/>
        <w:rPr>
          <w:color w:val="auto"/>
          <w:highlight w:val="none"/>
        </w:rPr>
        <w:sectPr>
          <w:pgSz w:w="16838" w:h="11905" w:orient="landscape"/>
          <w:pgMar w:top="1361" w:right="1304" w:bottom="1304" w:left="1304" w:header="720" w:footer="720" w:gutter="0"/>
          <w:paperSrc w:first="7" w:other="7"/>
          <w:pgNumType w:fmt="numberInDash"/>
          <w:cols w:space="720" w:num="1"/>
          <w:titlePg/>
          <w:docGrid w:linePitch="360" w:charSpace="0"/>
        </w:sectPr>
      </w:pPr>
    </w:p>
    <w:p>
      <w:pPr>
        <w:spacing w:line="420" w:lineRule="atLeast"/>
        <w:ind w:right="480"/>
        <w:rPr>
          <w:rFonts w:hint="eastAsia" w:ascii="宋体" w:hAnsi="宋体" w:cs="宋体"/>
          <w:b/>
          <w:bCs/>
          <w:color w:val="auto"/>
          <w:sz w:val="76"/>
          <w:szCs w:val="76"/>
          <w:highlight w:val="none"/>
        </w:rPr>
      </w:pPr>
    </w:p>
    <w:p>
      <w:pPr>
        <w:spacing w:line="420" w:lineRule="atLeast"/>
        <w:ind w:right="480"/>
        <w:rPr>
          <w:rFonts w:hint="eastAsia" w:ascii="宋体" w:hAnsi="宋体" w:cs="宋体"/>
          <w:b/>
          <w:bCs/>
          <w:color w:val="auto"/>
          <w:sz w:val="76"/>
          <w:szCs w:val="76"/>
          <w:highlight w:val="none"/>
        </w:rPr>
      </w:pPr>
    </w:p>
    <w:p>
      <w:pPr>
        <w:spacing w:line="420" w:lineRule="atLeast"/>
        <w:ind w:right="480"/>
        <w:rPr>
          <w:rFonts w:hint="eastAsia" w:ascii="宋体" w:hAnsi="宋体" w:cs="宋体"/>
          <w:b/>
          <w:bCs/>
          <w:color w:val="auto"/>
          <w:sz w:val="76"/>
          <w:szCs w:val="76"/>
          <w:highlight w:val="none"/>
        </w:rPr>
      </w:pPr>
    </w:p>
    <w:p>
      <w:pPr>
        <w:spacing w:line="420" w:lineRule="atLeast"/>
        <w:ind w:right="480"/>
        <w:rPr>
          <w:rFonts w:hint="eastAsia" w:ascii="宋体" w:hAnsi="宋体" w:cs="宋体"/>
          <w:b/>
          <w:bCs/>
          <w:color w:val="auto"/>
          <w:sz w:val="76"/>
          <w:szCs w:val="76"/>
          <w:highlight w:val="none"/>
        </w:rPr>
      </w:pPr>
    </w:p>
    <w:p>
      <w:pPr>
        <w:spacing w:line="420" w:lineRule="atLeast"/>
        <w:ind w:right="480"/>
        <w:rPr>
          <w:rFonts w:hint="eastAsia" w:ascii="宋体" w:hAnsi="宋体" w:cs="宋体"/>
          <w:b/>
          <w:bCs/>
          <w:color w:val="auto"/>
          <w:sz w:val="76"/>
          <w:szCs w:val="76"/>
          <w:highlight w:val="none"/>
        </w:rPr>
      </w:pPr>
    </w:p>
    <w:p>
      <w:pPr>
        <w:spacing w:line="420" w:lineRule="atLeast"/>
        <w:ind w:right="480"/>
        <w:jc w:val="center"/>
        <w:rPr>
          <w:rFonts w:hint="eastAsia" w:ascii="宋体" w:hAnsi="宋体" w:cs="宋体"/>
          <w:color w:val="auto"/>
          <w:sz w:val="76"/>
          <w:szCs w:val="76"/>
          <w:highlight w:val="none"/>
        </w:rPr>
      </w:pPr>
      <w:r>
        <w:rPr>
          <w:rFonts w:hint="eastAsia" w:ascii="宋体" w:hAnsi="宋体" w:cs="宋体"/>
          <w:b/>
          <w:bCs/>
          <w:color w:val="auto"/>
          <w:sz w:val="76"/>
          <w:szCs w:val="76"/>
          <w:highlight w:val="none"/>
        </w:rPr>
        <w:t>第二卷</w:t>
      </w:r>
      <w:r>
        <w:rPr>
          <w:rFonts w:hint="eastAsia" w:ascii="宋体" w:hAnsi="宋体" w:cs="宋体"/>
          <w:color w:val="auto"/>
          <w:sz w:val="76"/>
          <w:szCs w:val="76"/>
          <w:highlight w:val="none"/>
        </w:rPr>
        <w:br w:type="page"/>
      </w:r>
    </w:p>
    <w:p>
      <w:pPr>
        <w:spacing w:line="420" w:lineRule="atLeast"/>
        <w:ind w:right="480"/>
        <w:jc w:val="center"/>
        <w:rPr>
          <w:rFonts w:hint="eastAsia" w:ascii="宋体" w:hAnsi="宋体" w:cs="宋体"/>
          <w:color w:val="auto"/>
          <w:sz w:val="76"/>
          <w:szCs w:val="76"/>
          <w:highlight w:val="none"/>
        </w:rPr>
      </w:pPr>
    </w:p>
    <w:p>
      <w:pPr>
        <w:spacing w:line="420" w:lineRule="atLeast"/>
        <w:ind w:right="480"/>
        <w:jc w:val="center"/>
        <w:rPr>
          <w:rFonts w:hint="eastAsia" w:ascii="宋体" w:hAnsi="宋体" w:cs="宋体"/>
          <w:color w:val="auto"/>
          <w:sz w:val="76"/>
          <w:szCs w:val="76"/>
          <w:highlight w:val="none"/>
        </w:rPr>
      </w:pPr>
    </w:p>
    <w:p>
      <w:pPr>
        <w:spacing w:line="420" w:lineRule="atLeast"/>
        <w:ind w:right="480"/>
        <w:jc w:val="center"/>
        <w:rPr>
          <w:rFonts w:hint="eastAsia" w:ascii="宋体" w:hAnsi="宋体" w:cs="宋体"/>
          <w:color w:val="auto"/>
          <w:sz w:val="76"/>
          <w:szCs w:val="76"/>
          <w:highlight w:val="none"/>
        </w:rPr>
      </w:pPr>
    </w:p>
    <w:p>
      <w:pPr>
        <w:spacing w:line="420" w:lineRule="atLeast"/>
        <w:ind w:right="480"/>
        <w:jc w:val="center"/>
        <w:rPr>
          <w:rFonts w:hint="eastAsia" w:ascii="宋体" w:hAnsi="宋体" w:cs="宋体"/>
          <w:color w:val="auto"/>
          <w:sz w:val="24"/>
          <w:highlight w:val="none"/>
        </w:rPr>
      </w:pPr>
    </w:p>
    <w:p>
      <w:pPr>
        <w:pStyle w:val="2"/>
        <w:spacing w:before="480" w:after="240"/>
        <w:rPr>
          <w:rFonts w:hint="eastAsia" w:ascii="宋体" w:hAnsi="宋体" w:eastAsia="宋体" w:cs="宋体"/>
          <w:color w:val="auto"/>
          <w:highlight w:val="none"/>
        </w:rPr>
      </w:pPr>
      <w:bookmarkStart w:id="921" w:name="_Toc9100"/>
      <w:bookmarkStart w:id="922" w:name="_Toc511896827"/>
      <w:r>
        <w:rPr>
          <w:rFonts w:hint="eastAsia" w:ascii="宋体" w:hAnsi="宋体" w:eastAsia="宋体" w:cs="宋体"/>
          <w:color w:val="auto"/>
          <w:highlight w:val="none"/>
        </w:rPr>
        <w:t>第六章  图纸（另册）</w:t>
      </w:r>
      <w:bookmarkEnd w:id="921"/>
      <w:bookmarkEnd w:id="922"/>
    </w:p>
    <w:p>
      <w:pPr>
        <w:ind w:left="2085" w:leftChars="993"/>
        <w:rPr>
          <w:rFonts w:hint="eastAsia" w:ascii="宋体" w:hAnsi="宋体" w:cs="宋体"/>
          <w:snapToGrid w:val="0"/>
          <w:color w:val="auto"/>
          <w:kern w:val="0"/>
          <w:highlight w:val="none"/>
        </w:rPr>
      </w:pPr>
    </w:p>
    <w:p>
      <w:pPr>
        <w:ind w:left="5" w:hanging="5"/>
        <w:jc w:val="center"/>
        <w:rPr>
          <w:rFonts w:hint="eastAsia" w:ascii="宋体" w:hAnsi="宋体" w:cs="宋体"/>
          <w:color w:val="auto"/>
          <w:highlight w:val="none"/>
        </w:rPr>
      </w:pPr>
    </w:p>
    <w:p>
      <w:pPr>
        <w:ind w:left="5" w:hanging="5"/>
        <w:jc w:val="center"/>
        <w:rPr>
          <w:rFonts w:hint="eastAsia" w:ascii="宋体" w:hAnsi="宋体" w:cs="宋体"/>
          <w:color w:val="auto"/>
          <w:highlight w:val="none"/>
        </w:rPr>
      </w:pPr>
    </w:p>
    <w:p>
      <w:pPr>
        <w:ind w:left="5" w:hanging="5"/>
        <w:jc w:val="center"/>
        <w:rPr>
          <w:rFonts w:hint="eastAsia" w:ascii="宋体" w:hAnsi="宋体" w:cs="宋体"/>
          <w:color w:val="auto"/>
          <w:highlight w:val="none"/>
        </w:rPr>
      </w:pPr>
    </w:p>
    <w:p>
      <w:pPr>
        <w:ind w:left="5" w:hanging="5"/>
        <w:jc w:val="center"/>
        <w:rPr>
          <w:rFonts w:hint="eastAsia" w:ascii="宋体" w:hAnsi="宋体" w:cs="宋体"/>
          <w:color w:val="auto"/>
          <w:highlight w:val="none"/>
        </w:rPr>
      </w:pPr>
    </w:p>
    <w:p>
      <w:pPr>
        <w:ind w:left="5" w:hanging="5"/>
        <w:jc w:val="center"/>
        <w:rPr>
          <w:rFonts w:hint="eastAsia" w:ascii="宋体" w:hAnsi="宋体" w:cs="宋体"/>
          <w:color w:val="auto"/>
          <w:highlight w:val="none"/>
        </w:rPr>
      </w:pPr>
    </w:p>
    <w:p>
      <w:pPr>
        <w:spacing w:line="420" w:lineRule="atLeast"/>
        <w:ind w:right="480"/>
        <w:jc w:val="center"/>
        <w:rPr>
          <w:rFonts w:hint="eastAsia" w:ascii="宋体" w:hAnsi="宋体" w:cs="宋体"/>
          <w:color w:val="auto"/>
          <w:sz w:val="24"/>
          <w:highlight w:val="none"/>
        </w:rPr>
      </w:pPr>
    </w:p>
    <w:p>
      <w:pPr>
        <w:spacing w:line="420" w:lineRule="atLeast"/>
        <w:ind w:right="480"/>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br w:type="page"/>
      </w:r>
    </w:p>
    <w:p>
      <w:pPr>
        <w:spacing w:line="420" w:lineRule="atLeast"/>
        <w:ind w:right="480"/>
        <w:jc w:val="center"/>
        <w:rPr>
          <w:rFonts w:hint="eastAsia" w:ascii="宋体" w:hAnsi="宋体" w:cs="宋体"/>
          <w:color w:val="auto"/>
          <w:sz w:val="72"/>
          <w:szCs w:val="72"/>
          <w:highlight w:val="none"/>
        </w:rPr>
      </w:pPr>
    </w:p>
    <w:p>
      <w:pPr>
        <w:spacing w:line="420" w:lineRule="atLeast"/>
        <w:ind w:right="480"/>
        <w:jc w:val="center"/>
        <w:rPr>
          <w:rFonts w:hint="eastAsia" w:ascii="宋体" w:hAnsi="宋体" w:cs="宋体"/>
          <w:color w:val="auto"/>
          <w:sz w:val="72"/>
          <w:szCs w:val="72"/>
          <w:highlight w:val="none"/>
        </w:rPr>
      </w:pPr>
    </w:p>
    <w:p>
      <w:pPr>
        <w:spacing w:line="420" w:lineRule="atLeast"/>
        <w:ind w:right="480"/>
        <w:jc w:val="center"/>
        <w:rPr>
          <w:rFonts w:hint="eastAsia" w:ascii="宋体" w:hAnsi="宋体" w:cs="宋体"/>
          <w:color w:val="auto"/>
          <w:sz w:val="72"/>
          <w:szCs w:val="72"/>
          <w:highlight w:val="none"/>
        </w:rPr>
      </w:pPr>
    </w:p>
    <w:p>
      <w:pPr>
        <w:ind w:right="480"/>
        <w:jc w:val="center"/>
        <w:rPr>
          <w:rFonts w:hint="eastAsia" w:ascii="宋体" w:hAnsi="宋体" w:cs="宋体"/>
          <w:color w:val="auto"/>
          <w:sz w:val="30"/>
          <w:szCs w:val="30"/>
          <w:highlight w:val="none"/>
        </w:rPr>
      </w:pPr>
      <w:r>
        <w:rPr>
          <w:rFonts w:hint="eastAsia" w:ascii="宋体" w:hAnsi="宋体" w:cs="宋体"/>
          <w:b/>
          <w:bCs/>
          <w:color w:val="auto"/>
          <w:sz w:val="76"/>
          <w:szCs w:val="76"/>
          <w:highlight w:val="none"/>
        </w:rPr>
        <w:t>第三卷</w:t>
      </w:r>
      <w:r>
        <w:rPr>
          <w:rFonts w:hint="eastAsia" w:ascii="宋体" w:hAnsi="宋体" w:cs="宋体"/>
          <w:color w:val="auto"/>
          <w:sz w:val="72"/>
          <w:szCs w:val="72"/>
          <w:highlight w:val="none"/>
        </w:rPr>
        <w:br w:type="page"/>
      </w:r>
    </w:p>
    <w:p>
      <w:pPr>
        <w:pStyle w:val="2"/>
        <w:spacing w:before="480" w:after="240"/>
        <w:rPr>
          <w:rFonts w:hint="eastAsia" w:ascii="宋体" w:hAnsi="宋体" w:eastAsia="宋体" w:cs="宋体"/>
          <w:color w:val="auto"/>
          <w:highlight w:val="none"/>
        </w:rPr>
      </w:pPr>
      <w:bookmarkStart w:id="923" w:name="_Toc511896828"/>
      <w:bookmarkStart w:id="924" w:name="_Toc27978"/>
      <w:r>
        <w:rPr>
          <w:rFonts w:hint="eastAsia" w:ascii="宋体" w:hAnsi="宋体" w:eastAsia="宋体" w:cs="宋体"/>
          <w:color w:val="auto"/>
          <w:highlight w:val="none"/>
        </w:rPr>
        <w:t>第七章  技术规范</w:t>
      </w:r>
      <w:bookmarkEnd w:id="923"/>
      <w:bookmarkEnd w:id="924"/>
    </w:p>
    <w:p>
      <w:pPr>
        <w:adjustRightInd w:val="0"/>
        <w:snapToGrid w:val="0"/>
        <w:spacing w:line="360" w:lineRule="auto"/>
        <w:ind w:firstLine="491" w:firstLineChars="234"/>
        <w:rPr>
          <w:rFonts w:hint="eastAsia"/>
          <w:snapToGrid w:val="0"/>
          <w:color w:val="auto"/>
          <w:kern w:val="0"/>
          <w:highlight w:val="none"/>
        </w:rPr>
      </w:pPr>
      <w:r>
        <w:rPr>
          <w:rFonts w:hint="eastAsia"/>
          <w:snapToGrid w:val="0"/>
          <w:color w:val="auto"/>
          <w:kern w:val="0"/>
          <w:highlight w:val="none"/>
        </w:rPr>
        <w:t>【见《</w:t>
      </w:r>
      <w:r>
        <w:rPr>
          <w:rFonts w:hint="eastAsia"/>
          <w:color w:val="auto"/>
          <w:highlight w:val="none"/>
        </w:rPr>
        <w:t>公路工程标准施工招标文件</w:t>
      </w:r>
      <w:r>
        <w:rPr>
          <w:rFonts w:hint="eastAsia"/>
          <w:snapToGrid w:val="0"/>
          <w:color w:val="auto"/>
          <w:kern w:val="0"/>
          <w:highlight w:val="none"/>
        </w:rPr>
        <w:t>》（2018年版）（第二册）交通运输部公告2017年第51号，自2018年3月1日起施行】。</w:t>
      </w:r>
      <w:bookmarkStart w:id="925" w:name="_Toc511896829"/>
    </w:p>
    <w:p>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本技术规范包括但不限于：</w:t>
      </w:r>
    </w:p>
    <w:p>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（1）《公路养护工程质量检验评定标准》（JTG 5220—2020）；</w:t>
      </w:r>
    </w:p>
    <w:p>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（2）《公路养护安全作业规程》（JTG H30—2015）；</w:t>
      </w:r>
    </w:p>
    <w:p>
      <w:pPr>
        <w:spacing w:line="360" w:lineRule="auto"/>
        <w:ind w:firstLine="420" w:firstLineChars="200"/>
        <w:rPr>
          <w:rFonts w:ascii="宋体" w:hAnsi="宋体"/>
        </w:rPr>
      </w:pPr>
      <w:r>
        <w:rPr>
          <w:rFonts w:hint="eastAsia" w:ascii="宋体" w:hAnsi="宋体"/>
          <w:snapToGrid w:val="0"/>
          <w:kern w:val="0"/>
          <w:szCs w:val="21"/>
        </w:rPr>
        <w:t>如有新的规范或标准高于本技术规范相关要求的，以新的规范或标准为准。</w:t>
      </w:r>
    </w:p>
    <w:p>
      <w:pPr>
        <w:numPr>
          <w:ilvl w:val="0"/>
          <w:numId w:val="0"/>
        </w:numPr>
        <w:adjustRightInd w:val="0"/>
        <w:snapToGrid w:val="0"/>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44"/>
          <w:sz w:val="36"/>
          <w:szCs w:val="28"/>
          <w:highlight w:val="none"/>
          <w:lang w:val="en-US" w:eastAsia="zh-CN" w:bidi="ar-SA"/>
        </w:rPr>
        <w:t>第八章  工程量清单计量规则</w:t>
      </w:r>
      <w:bookmarkEnd w:id="925"/>
    </w:p>
    <w:p>
      <w:pPr>
        <w:spacing w:line="420" w:lineRule="atLeast"/>
        <w:ind w:right="480"/>
        <w:jc w:val="center"/>
        <w:rPr>
          <w:rFonts w:hint="eastAsia" w:ascii="宋体" w:hAnsi="宋体" w:cs="宋体"/>
          <w:color w:val="auto"/>
          <w:sz w:val="36"/>
          <w:szCs w:val="36"/>
          <w:highlight w:val="none"/>
        </w:rPr>
      </w:pPr>
      <w:r>
        <w:rPr>
          <w:rFonts w:hint="eastAsia" w:ascii="宋体" w:hAnsi="宋体" w:cs="宋体"/>
          <w:snapToGrid w:val="0"/>
          <w:color w:val="auto"/>
          <w:kern w:val="0"/>
          <w:highlight w:val="none"/>
        </w:rPr>
        <w:t>【见《</w:t>
      </w:r>
      <w:r>
        <w:rPr>
          <w:rFonts w:hint="eastAsia" w:ascii="宋体" w:hAnsi="宋体" w:cs="宋体"/>
          <w:color w:val="auto"/>
          <w:highlight w:val="none"/>
        </w:rPr>
        <w:t>公路工程标准施工招标文件</w:t>
      </w:r>
      <w:r>
        <w:rPr>
          <w:rFonts w:hint="eastAsia" w:ascii="宋体" w:hAnsi="宋体" w:cs="宋体"/>
          <w:snapToGrid w:val="0"/>
          <w:color w:val="auto"/>
          <w:kern w:val="0"/>
          <w:highlight w:val="none"/>
        </w:rPr>
        <w:t>》（2018年版）（第三册）交通运输部公告2017年第51号，自2018年3月1日起施行】。</w:t>
      </w:r>
    </w:p>
    <w:p>
      <w:pPr>
        <w:pStyle w:val="2"/>
        <w:spacing w:before="480" w:after="24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color w:val="auto"/>
          <w:highlight w:val="none"/>
        </w:rPr>
      </w:pPr>
    </w:p>
    <w:p>
      <w:pPr>
        <w:pStyle w:val="6"/>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rPr>
          <w:rFonts w:hint="eastAsia" w:ascii="宋体" w:hAnsi="宋体" w:cs="宋体"/>
          <w:color w:val="auto"/>
          <w:highlight w:val="none"/>
        </w:rPr>
      </w:pPr>
    </w:p>
    <w:p>
      <w:pPr>
        <w:snapToGrid w:val="0"/>
        <w:spacing w:line="480" w:lineRule="auto"/>
        <w:jc w:val="center"/>
        <w:rPr>
          <w:rFonts w:hint="eastAsia" w:ascii="宋体" w:hAnsi="宋体" w:cs="宋体"/>
          <w:b/>
          <w:bCs/>
          <w:color w:val="auto"/>
          <w:sz w:val="76"/>
          <w:szCs w:val="76"/>
          <w:highlight w:val="none"/>
        </w:rPr>
      </w:pPr>
      <w:r>
        <w:rPr>
          <w:rFonts w:hint="eastAsia" w:ascii="宋体" w:hAnsi="宋体" w:cs="宋体"/>
          <w:b/>
          <w:bCs/>
          <w:color w:val="auto"/>
          <w:sz w:val="76"/>
          <w:szCs w:val="76"/>
          <w:highlight w:val="none"/>
        </w:rPr>
        <w:t>第四卷</w:t>
      </w:r>
      <w:r>
        <w:rPr>
          <w:rFonts w:hint="eastAsia" w:ascii="宋体" w:hAnsi="宋体" w:cs="宋体"/>
          <w:b/>
          <w:bCs/>
          <w:color w:val="auto"/>
          <w:sz w:val="76"/>
          <w:szCs w:val="76"/>
          <w:highlight w:val="none"/>
        </w:rPr>
        <w:br w:type="page"/>
      </w: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pStyle w:val="2"/>
        <w:spacing w:before="480" w:after="240"/>
        <w:rPr>
          <w:rFonts w:hint="eastAsia" w:ascii="宋体" w:hAnsi="宋体" w:eastAsia="宋体" w:cs="宋体"/>
          <w:color w:val="auto"/>
          <w:highlight w:val="none"/>
        </w:rPr>
      </w:pPr>
      <w:bookmarkStart w:id="926" w:name="_Toc511896831"/>
      <w:bookmarkStart w:id="927" w:name="_Toc3806"/>
      <w:r>
        <w:rPr>
          <w:rFonts w:hint="eastAsia" w:ascii="宋体" w:hAnsi="宋体" w:eastAsia="宋体" w:cs="宋体"/>
          <w:color w:val="auto"/>
          <w:highlight w:val="none"/>
        </w:rPr>
        <w:t>第九章  投标文件格式</w:t>
      </w:r>
      <w:bookmarkEnd w:id="916"/>
      <w:bookmarkEnd w:id="917"/>
      <w:bookmarkEnd w:id="918"/>
      <w:bookmarkEnd w:id="919"/>
      <w:bookmarkEnd w:id="920"/>
      <w:bookmarkEnd w:id="926"/>
      <w:bookmarkEnd w:id="927"/>
    </w:p>
    <w:p>
      <w:pPr>
        <w:rPr>
          <w:rFonts w:hint="eastAsia" w:ascii="宋体" w:hAnsi="宋体" w:cs="宋体"/>
          <w:color w:val="auto"/>
          <w:highlight w:val="none"/>
        </w:rPr>
      </w:pPr>
    </w:p>
    <w:p>
      <w:pPr>
        <w:ind w:left="2085" w:leftChars="993"/>
        <w:rPr>
          <w:rFonts w:hint="eastAsia" w:ascii="宋体" w:hAnsi="宋体" w:cs="宋体"/>
          <w:color w:val="auto"/>
          <w:highlight w:val="none"/>
        </w:rPr>
      </w:pPr>
      <w:r>
        <w:rPr>
          <w:rFonts w:hint="eastAsia" w:ascii="宋体" w:hAnsi="宋体" w:cs="宋体"/>
          <w:color w:val="auto"/>
          <w:highlight w:val="none"/>
        </w:rPr>
        <w:br w:type="page"/>
      </w:r>
    </w:p>
    <w:p>
      <w:pPr>
        <w:ind w:left="2085" w:leftChars="993"/>
        <w:rPr>
          <w:rFonts w:hint="eastAsia" w:ascii="宋体" w:hAnsi="宋体" w:cs="宋体"/>
          <w:color w:val="auto"/>
          <w:highlight w:val="none"/>
        </w:rPr>
      </w:pPr>
    </w:p>
    <w:p>
      <w:pPr>
        <w:ind w:left="2085" w:leftChars="993"/>
        <w:rPr>
          <w:rFonts w:hint="eastAsia" w:ascii="宋体" w:hAnsi="宋体" w:cs="宋体"/>
          <w:color w:val="auto"/>
          <w:highlight w:val="none"/>
        </w:rPr>
      </w:pPr>
    </w:p>
    <w:p>
      <w:pPr>
        <w:ind w:left="2085" w:leftChars="993"/>
        <w:rPr>
          <w:rFonts w:hint="eastAsia" w:ascii="宋体" w:hAnsi="宋体" w:cs="宋体"/>
          <w:color w:val="auto"/>
          <w:highlight w:val="none"/>
        </w:rPr>
      </w:pPr>
    </w:p>
    <w:p>
      <w:pPr>
        <w:ind w:left="2085" w:leftChars="993"/>
        <w:rPr>
          <w:rFonts w:hint="eastAsia" w:ascii="宋体" w:hAnsi="宋体" w:cs="宋体"/>
          <w:color w:val="auto"/>
          <w:highlight w:val="none"/>
        </w:rPr>
      </w:pPr>
    </w:p>
    <w:p>
      <w:pPr>
        <w:ind w:left="2085" w:leftChars="993"/>
        <w:rPr>
          <w:rFonts w:hint="eastAsia" w:ascii="宋体" w:hAnsi="宋体" w:cs="宋体"/>
          <w:color w:val="auto"/>
          <w:highlight w:val="none"/>
        </w:rPr>
      </w:pPr>
    </w:p>
    <w:p>
      <w:pPr>
        <w:snapToGrid w:val="0"/>
        <w:spacing w:line="360" w:lineRule="auto"/>
        <w:ind w:left="2085" w:leftChars="993"/>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省（自治区、直辖市）</w:t>
      </w:r>
    </w:p>
    <w:p>
      <w:pPr>
        <w:snapToGrid w:val="0"/>
        <w:spacing w:line="360" w:lineRule="auto"/>
        <w:ind w:left="853" w:leftChars="406"/>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标段施工招标</w:t>
      </w: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投标文件</w:t>
      </w:r>
    </w:p>
    <w:p>
      <w:pPr>
        <w:ind w:left="853" w:leftChars="406"/>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（商务及技术文件）</w:t>
      </w:r>
    </w:p>
    <w:p>
      <w:pPr>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snapToGrid w:val="0"/>
        <w:spacing w:line="360" w:lineRule="auto"/>
        <w:ind w:left="853" w:leftChars="406"/>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投标人：</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（盖单位章）</w:t>
      </w:r>
    </w:p>
    <w:p>
      <w:pPr>
        <w:snapToGrid w:val="0"/>
        <w:spacing w:line="360" w:lineRule="auto"/>
        <w:ind w:left="2226" w:leftChars="1060"/>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jc w:val="center"/>
        <w:rPr>
          <w:rFonts w:hint="eastAsia" w:ascii="宋体" w:hAnsi="宋体" w:cs="宋体"/>
          <w:color w:val="auto"/>
          <w:sz w:val="28"/>
          <w:szCs w:val="28"/>
          <w:highlight w:val="none"/>
        </w:rPr>
      </w:pPr>
      <w:r>
        <w:rPr>
          <w:rFonts w:hint="eastAsia" w:ascii="宋体" w:hAnsi="宋体" w:cs="宋体"/>
          <w:color w:val="auto"/>
          <w:highlight w:val="none"/>
        </w:rPr>
        <w:br w:type="page"/>
      </w:r>
      <w:bookmarkStart w:id="928" w:name="_Toc234348984"/>
      <w:bookmarkStart w:id="929" w:name="_Toc234349558"/>
      <w:bookmarkStart w:id="930" w:name="_Toc234346113"/>
      <w:bookmarkStart w:id="931" w:name="_Toc234345898"/>
      <w:r>
        <w:rPr>
          <w:rFonts w:hint="eastAsia" w:ascii="宋体" w:hAnsi="宋体" w:cs="宋体"/>
          <w:color w:val="auto"/>
          <w:sz w:val="28"/>
          <w:szCs w:val="28"/>
          <w:highlight w:val="none"/>
        </w:rPr>
        <w:t>目  录</w:t>
      </w:r>
      <w:bookmarkEnd w:id="928"/>
      <w:bookmarkEnd w:id="929"/>
      <w:bookmarkEnd w:id="930"/>
      <w:bookmarkEnd w:id="931"/>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一、投标函及投标函附录</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二、法定代表人身份证明及授权委托书</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三、投标保证金</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四、施工组织设计</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五、项目管理机构</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六、拟分包项目情况表</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七、资格审查资料</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八、其他材料</w:t>
      </w:r>
    </w:p>
    <w:p>
      <w:pPr>
        <w:pStyle w:val="3"/>
        <w:spacing w:before="0" w:after="0"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32" w:name="_Toc234349560"/>
      <w:bookmarkStart w:id="933" w:name="_Toc234348986"/>
      <w:bookmarkStart w:id="934" w:name="_Toc234345900"/>
      <w:bookmarkStart w:id="935" w:name="_Toc234346115"/>
      <w:bookmarkStart w:id="936" w:name="_Toc6635"/>
      <w:bookmarkStart w:id="937" w:name="_Toc511896832"/>
      <w:bookmarkStart w:id="938" w:name="_Toc511905844"/>
      <w:r>
        <w:rPr>
          <w:rFonts w:hint="eastAsia" w:ascii="宋体" w:hAnsi="宋体" w:eastAsia="宋体" w:cs="宋体"/>
          <w:color w:val="auto"/>
          <w:highlight w:val="none"/>
        </w:rPr>
        <w:t>一、投标函及投标函附录</w:t>
      </w:r>
      <w:bookmarkEnd w:id="932"/>
      <w:bookmarkEnd w:id="933"/>
      <w:bookmarkEnd w:id="934"/>
      <w:bookmarkEnd w:id="935"/>
      <w:bookmarkEnd w:id="936"/>
      <w:bookmarkEnd w:id="937"/>
      <w:bookmarkEnd w:id="938"/>
    </w:p>
    <w:p>
      <w:pPr>
        <w:pStyle w:val="3"/>
        <w:spacing w:before="0" w:after="0" w:line="240" w:lineRule="auto"/>
        <w:rPr>
          <w:rFonts w:hint="eastAsia" w:ascii="宋体" w:hAnsi="宋体" w:eastAsia="宋体" w:cs="宋体"/>
          <w:color w:val="auto"/>
          <w:highlight w:val="none"/>
        </w:rPr>
      </w:pPr>
      <w:bookmarkStart w:id="939" w:name="_Toc234349561"/>
      <w:bookmarkStart w:id="940" w:name="_Toc9436"/>
      <w:bookmarkStart w:id="941" w:name="_Toc234346116"/>
      <w:bookmarkStart w:id="942" w:name="_Toc511896833"/>
      <w:bookmarkStart w:id="943" w:name="_Toc441578385"/>
      <w:bookmarkStart w:id="944" w:name="_Toc234348987"/>
      <w:bookmarkStart w:id="945" w:name="_Toc234345901"/>
      <w:bookmarkStart w:id="946" w:name="_Toc511905845"/>
      <w:r>
        <w:rPr>
          <w:rFonts w:hint="eastAsia" w:ascii="宋体" w:hAnsi="宋体" w:eastAsia="宋体" w:cs="宋体"/>
          <w:color w:val="auto"/>
          <w:highlight w:val="none"/>
        </w:rPr>
        <w:t>(一)投标函</w:t>
      </w:r>
      <w:bookmarkEnd w:id="939"/>
      <w:bookmarkEnd w:id="940"/>
      <w:bookmarkEnd w:id="941"/>
      <w:bookmarkEnd w:id="942"/>
      <w:bookmarkEnd w:id="943"/>
      <w:bookmarkEnd w:id="944"/>
      <w:bookmarkEnd w:id="945"/>
      <w:bookmarkEnd w:id="946"/>
    </w:p>
    <w:p>
      <w:pPr>
        <w:spacing w:line="39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标段施工招标文件的全部内容（含补遗书第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号至第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号），在考察工程现场后，愿意以第二个信封（报价文件）中的投标总报价（或根据招标文件规定修正核实后确定的另一金额），按合同约定实施和完成承包工程，修补工程中的任何缺陷。</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2.我方承诺在招标文件规定的投标有效期内不撤销投标文件。</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3.工程质量：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，安全目标：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4.如我方中标，我方承诺：</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（1）在收到中标通知书后，在中标通知书规定的期限内与你方签订合同；</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（3）按照招标文件要求提交履约保证金；</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（4）在合同约定的期限内完成合同规定的全部义务；</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5.我方在此声明，所递交的投标文件及有关资料内容完整、真实和准确，且不存在招标文件第二章“投标人须知”第1.4.3项和第1.4.4项规定的任何一种情形。</w:t>
      </w:r>
    </w:p>
    <w:p>
      <w:pPr>
        <w:spacing w:line="37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6.在合同协议书正式签署生效之前，本投标函连同你方的中标通知书将构成我们双方之间共同遵守的文件，对双方具有约束力。</w:t>
      </w:r>
    </w:p>
    <w:p>
      <w:pPr>
        <w:spacing w:line="37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7.</w:t>
      </w:r>
      <w:r>
        <w:rPr>
          <w:rFonts w:hint="eastAsia" w:ascii="宋体" w:hAnsi="宋体" w:cs="宋体"/>
          <w:color w:val="auto"/>
          <w:szCs w:val="21"/>
          <w:highlight w:val="none"/>
          <w:u w:val="single"/>
        </w:rPr>
        <w:t>我方在此声明：近三年内我单位及法定代表人、拟委任的项目经理、项目总工均无行贿犯罪行为。</w:t>
      </w:r>
    </w:p>
    <w:p>
      <w:pPr>
        <w:spacing w:line="37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我方在此承诺：自本标段中标通知书发放之日起至完成合同签订期间，保证拟委任的项目经理、项目总工进驻施工现场筹备相关工作，如不能按期到场视为我方违约，你方有权取消我方中标资格。同时在合同期内项目经理、项目总工一直驻场，不对项目经理、项目总工进行更换(其他补充说明)。  </w:t>
      </w:r>
    </w:p>
    <w:p>
      <w:pPr>
        <w:spacing w:line="370" w:lineRule="exact"/>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37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7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370" w:lineRule="exact"/>
        <w:ind w:firstLine="4473" w:firstLineChars="2130"/>
        <w:rPr>
          <w:rFonts w:hint="eastAsia" w:ascii="宋体" w:hAnsi="宋体" w:cs="宋体"/>
          <w:color w:val="auto"/>
          <w:szCs w:val="21"/>
          <w:highlight w:val="none"/>
          <w:u w:val="singl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spacing w:line="37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spacing w:line="37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spacing w:line="37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spacing w:line="37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70" w:lineRule="exact"/>
        <w:rPr>
          <w:rFonts w:hint="eastAsia" w:ascii="宋体" w:hAnsi="宋体" w:cs="宋体"/>
          <w:color w:val="auto"/>
          <w:szCs w:val="21"/>
          <w:highlight w:val="none"/>
        </w:rPr>
      </w:pPr>
      <w:r>
        <w:rPr>
          <w:rFonts w:hint="eastAsia" w:ascii="宋体" w:hAnsi="宋体" w:cs="宋体"/>
          <w:color w:val="auto"/>
          <w:highlight w:val="none"/>
        </w:rPr>
        <w:t>注：投标人仅须在投标函上加盖单位章，或由法定代表人或其委托代理人签字。</w:t>
      </w:r>
    </w:p>
    <w:p>
      <w:pPr>
        <w:pStyle w:val="3"/>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947" w:name="_Toc511896834"/>
      <w:bookmarkStart w:id="948" w:name="_Toc441578386"/>
      <w:bookmarkStart w:id="949" w:name="_Toc234346117"/>
      <w:bookmarkStart w:id="950" w:name="_Toc234349562"/>
      <w:bookmarkStart w:id="951" w:name="_Toc234348988"/>
      <w:bookmarkStart w:id="952" w:name="_Toc511905846"/>
      <w:bookmarkStart w:id="953" w:name="_Toc19826"/>
      <w:bookmarkStart w:id="954" w:name="_Toc234345902"/>
      <w:r>
        <w:rPr>
          <w:rFonts w:hint="eastAsia" w:ascii="宋体" w:hAnsi="宋体" w:eastAsia="宋体" w:cs="宋体"/>
          <w:color w:val="auto"/>
          <w:highlight w:val="none"/>
        </w:rPr>
        <w:t>(二)投标函附录</w:t>
      </w:r>
      <w:bookmarkEnd w:id="947"/>
      <w:bookmarkEnd w:id="948"/>
      <w:bookmarkEnd w:id="949"/>
      <w:bookmarkEnd w:id="950"/>
      <w:bookmarkEnd w:id="951"/>
      <w:bookmarkEnd w:id="952"/>
      <w:bookmarkEnd w:id="953"/>
      <w:bookmarkEnd w:id="954"/>
    </w:p>
    <w:tbl>
      <w:tblPr>
        <w:tblStyle w:val="18"/>
        <w:tblW w:w="9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505"/>
        <w:gridCol w:w="1442"/>
        <w:gridCol w:w="424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rPr>
                <w:rFonts w:hint="eastAsia" w:ascii="宋体" w:hAnsi="宋体" w:cs="宋体"/>
                <w:color w:val="auto"/>
                <w:highlight w:val="none"/>
              </w:rPr>
            </w:pPr>
            <w:r>
              <w:rPr>
                <w:rFonts w:hint="eastAsia" w:ascii="宋体" w:hAnsi="宋体" w:cs="宋体"/>
                <w:color w:val="auto"/>
                <w:highlight w:val="none"/>
              </w:rPr>
              <w:t>序号</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条款名称</w:t>
            </w:r>
          </w:p>
        </w:tc>
        <w:tc>
          <w:tcPr>
            <w:tcW w:w="1442" w:type="dxa"/>
            <w:vAlign w:val="center"/>
          </w:tcPr>
          <w:p>
            <w:pPr>
              <w:rPr>
                <w:rFonts w:hint="eastAsia" w:ascii="宋体" w:hAnsi="宋体" w:cs="宋体"/>
                <w:color w:val="auto"/>
                <w:highlight w:val="none"/>
              </w:rPr>
            </w:pPr>
            <w:r>
              <w:rPr>
                <w:rFonts w:hint="eastAsia" w:ascii="宋体" w:hAnsi="宋体" w:cs="宋体"/>
                <w:color w:val="auto"/>
                <w:highlight w:val="none"/>
              </w:rPr>
              <w:t>合同条目号</w:t>
            </w:r>
          </w:p>
        </w:tc>
        <w:tc>
          <w:tcPr>
            <w:tcW w:w="4244" w:type="dxa"/>
            <w:vAlign w:val="center"/>
          </w:tcPr>
          <w:p>
            <w:pPr>
              <w:jc w:val="center"/>
              <w:rPr>
                <w:rFonts w:hint="eastAsia" w:ascii="宋体" w:hAnsi="宋体" w:cs="宋体"/>
                <w:color w:val="auto"/>
                <w:highlight w:val="none"/>
              </w:rPr>
            </w:pPr>
            <w:r>
              <w:rPr>
                <w:rFonts w:hint="eastAsia" w:ascii="宋体" w:hAnsi="宋体" w:cs="宋体"/>
                <w:color w:val="auto"/>
                <w:highlight w:val="none"/>
              </w:rPr>
              <w:t>约定内容</w:t>
            </w:r>
          </w:p>
        </w:tc>
        <w:tc>
          <w:tcPr>
            <w:tcW w:w="1024" w:type="dxa"/>
            <w:vAlign w:val="center"/>
          </w:tcPr>
          <w:p>
            <w:pPr>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1</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缺陷责任期</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1.1.4.5</w:t>
            </w:r>
          </w:p>
        </w:tc>
        <w:tc>
          <w:tcPr>
            <w:tcW w:w="4244"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自实际交工日期起计算</w:t>
            </w:r>
            <w:r>
              <w:rPr>
                <w:rFonts w:hint="eastAsia" w:ascii="宋体" w:hAnsi="宋体" w:cs="宋体"/>
                <w:color w:val="auto"/>
                <w:highlight w:val="none"/>
                <w:u w:val="single"/>
              </w:rPr>
              <w:t>2</w:t>
            </w:r>
            <w:r>
              <w:rPr>
                <w:rFonts w:hint="eastAsia" w:ascii="宋体" w:hAnsi="宋体" w:cs="宋体"/>
                <w:color w:val="auto"/>
                <w:highlight w:val="none"/>
              </w:rPr>
              <w:t>年</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2</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逾期交工违约金</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11.5</w:t>
            </w:r>
          </w:p>
        </w:tc>
        <w:tc>
          <w:tcPr>
            <w:tcW w:w="4244" w:type="dxa"/>
            <w:vAlign w:val="center"/>
          </w:tcPr>
          <w:p>
            <w:pPr>
              <w:ind w:firstLine="210" w:firstLineChars="100"/>
              <w:jc w:val="left"/>
              <w:rPr>
                <w:rFonts w:hint="eastAsia" w:ascii="宋体" w:hAnsi="宋体" w:cs="宋体"/>
                <w:color w:val="auto"/>
                <w:highlight w:val="none"/>
              </w:rPr>
            </w:pPr>
            <w:r>
              <w:rPr>
                <w:rFonts w:hint="eastAsia" w:ascii="宋体" w:hAnsi="宋体" w:cs="宋体"/>
                <w:color w:val="auto"/>
                <w:highlight w:val="none"/>
                <w:u w:val="single"/>
              </w:rPr>
              <w:t>万分之3</w:t>
            </w:r>
            <w:r>
              <w:rPr>
                <w:rFonts w:hint="eastAsia" w:ascii="宋体" w:hAnsi="宋体" w:cs="宋体"/>
                <w:color w:val="auto"/>
                <w:highlight w:val="none"/>
              </w:rPr>
              <w:t>签约合同价</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3</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逾期交工违约金限额</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11.5</w:t>
            </w:r>
          </w:p>
        </w:tc>
        <w:tc>
          <w:tcPr>
            <w:tcW w:w="4244" w:type="dxa"/>
            <w:vAlign w:val="center"/>
          </w:tcPr>
          <w:p>
            <w:pPr>
              <w:ind w:firstLine="210" w:firstLineChars="100"/>
              <w:jc w:val="left"/>
              <w:rPr>
                <w:rFonts w:hint="eastAsia" w:ascii="宋体" w:hAnsi="宋体" w:cs="宋体"/>
                <w:color w:val="auto"/>
                <w:highlight w:val="none"/>
              </w:rPr>
            </w:pPr>
            <w:r>
              <w:rPr>
                <w:rFonts w:hint="eastAsia" w:ascii="宋体" w:hAnsi="宋体" w:cs="宋体"/>
                <w:color w:val="auto"/>
                <w:highlight w:val="none"/>
                <w:u w:val="single"/>
              </w:rPr>
              <w:t>10</w:t>
            </w:r>
            <w:r>
              <w:rPr>
                <w:rFonts w:hint="eastAsia" w:ascii="宋体" w:hAnsi="宋体" w:cs="宋体"/>
                <w:color w:val="auto"/>
                <w:highlight w:val="none"/>
              </w:rPr>
              <w:t>％签约合同价</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4</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提前交工的奖金</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11.6</w:t>
            </w:r>
          </w:p>
        </w:tc>
        <w:tc>
          <w:tcPr>
            <w:tcW w:w="4244" w:type="dxa"/>
            <w:vAlign w:val="center"/>
          </w:tcPr>
          <w:p>
            <w:pPr>
              <w:ind w:firstLine="210" w:firstLineChars="100"/>
              <w:jc w:val="left"/>
              <w:rPr>
                <w:rFonts w:hint="eastAsia" w:ascii="宋体" w:hAnsi="宋体" w:cs="宋体"/>
                <w:color w:val="auto"/>
                <w:highlight w:val="none"/>
              </w:rPr>
            </w:pPr>
            <w:r>
              <w:rPr>
                <w:rFonts w:hint="eastAsia" w:ascii="宋体" w:hAnsi="宋体" w:cs="宋体"/>
                <w:color w:val="auto"/>
                <w:highlight w:val="none"/>
                <w:u w:val="single"/>
              </w:rPr>
              <w:t>/</w:t>
            </w:r>
            <w:r>
              <w:rPr>
                <w:rFonts w:hint="eastAsia" w:ascii="宋体" w:hAnsi="宋体" w:cs="宋体"/>
                <w:color w:val="auto"/>
                <w:highlight w:val="none"/>
              </w:rPr>
              <w:t>元／天</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5</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提前交工的奖金限额</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11.6</w:t>
            </w:r>
          </w:p>
        </w:tc>
        <w:tc>
          <w:tcPr>
            <w:tcW w:w="4244" w:type="dxa"/>
            <w:vAlign w:val="center"/>
          </w:tcPr>
          <w:p>
            <w:pPr>
              <w:ind w:firstLine="210" w:firstLineChars="100"/>
              <w:jc w:val="left"/>
              <w:rPr>
                <w:rFonts w:hint="eastAsia" w:ascii="宋体" w:hAnsi="宋体" w:cs="宋体"/>
                <w:color w:val="auto"/>
                <w:highlight w:val="none"/>
              </w:rPr>
            </w:pPr>
            <w:r>
              <w:rPr>
                <w:rFonts w:hint="eastAsia" w:ascii="宋体" w:hAnsi="宋体" w:cs="宋体"/>
                <w:color w:val="auto"/>
                <w:highlight w:val="none"/>
                <w:u w:val="single"/>
              </w:rPr>
              <w:t>/</w:t>
            </w:r>
            <w:r>
              <w:rPr>
                <w:rFonts w:hint="eastAsia" w:ascii="宋体" w:hAnsi="宋体" w:cs="宋体"/>
                <w:color w:val="auto"/>
                <w:highlight w:val="none"/>
              </w:rPr>
              <w:t>％签约合同价</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6</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价格调整的差额计算</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16.1.1</w:t>
            </w:r>
          </w:p>
        </w:tc>
        <w:tc>
          <w:tcPr>
            <w:tcW w:w="4244" w:type="dxa"/>
            <w:vAlign w:val="center"/>
          </w:tcPr>
          <w:p>
            <w:pPr>
              <w:ind w:firstLine="210" w:firstLineChars="100"/>
              <w:rPr>
                <w:rFonts w:hint="eastAsia" w:ascii="宋体" w:hAnsi="宋体" w:cs="宋体"/>
                <w:color w:val="auto"/>
                <w:highlight w:val="none"/>
              </w:rPr>
            </w:pPr>
            <w:r>
              <w:rPr>
                <w:rFonts w:hint="eastAsia" w:ascii="宋体" w:hAnsi="宋体" w:cs="宋体"/>
                <w:color w:val="auto"/>
                <w:szCs w:val="21"/>
                <w:highlight w:val="none"/>
              </w:rPr>
              <w:t>合同期内不调价</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7</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开工预付款金额</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17.2.1（1）</w:t>
            </w:r>
          </w:p>
        </w:tc>
        <w:tc>
          <w:tcPr>
            <w:tcW w:w="4244" w:type="dxa"/>
            <w:vAlign w:val="center"/>
          </w:tcPr>
          <w:p>
            <w:pPr>
              <w:ind w:firstLine="210" w:firstLineChars="100"/>
              <w:jc w:val="left"/>
              <w:rPr>
                <w:rFonts w:hint="eastAsia" w:ascii="宋体" w:hAnsi="宋体" w:cs="宋体"/>
                <w:color w:val="auto"/>
                <w:highlight w:val="none"/>
              </w:rPr>
            </w:pP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0</w:t>
            </w:r>
            <w:r>
              <w:rPr>
                <w:rFonts w:hint="eastAsia" w:ascii="宋体" w:hAnsi="宋体" w:cs="宋体"/>
                <w:color w:val="auto"/>
                <w:szCs w:val="21"/>
                <w:highlight w:val="none"/>
              </w:rPr>
              <w:t>％签约合同价</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8</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材料、设备预付款比例</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17.2.1（2）</w:t>
            </w:r>
          </w:p>
        </w:tc>
        <w:tc>
          <w:tcPr>
            <w:tcW w:w="4244" w:type="dxa"/>
            <w:vAlign w:val="center"/>
          </w:tcPr>
          <w:p>
            <w:pPr>
              <w:ind w:firstLine="210" w:firstLineChars="100"/>
              <w:jc w:val="left"/>
              <w:rPr>
                <w:rFonts w:hint="eastAsia" w:ascii="宋体" w:hAnsi="宋体" w:cs="宋体"/>
                <w:color w:val="auto"/>
                <w:highlight w:val="none"/>
              </w:rPr>
            </w:pPr>
            <w:r>
              <w:rPr>
                <w:rFonts w:hint="eastAsia" w:ascii="宋体" w:hAnsi="宋体" w:cs="宋体"/>
                <w:color w:val="auto"/>
                <w:szCs w:val="21"/>
                <w:highlight w:val="none"/>
              </w:rPr>
              <w:t>无</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9</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进度付款证书最低限额</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17.3.3（1）</w:t>
            </w:r>
          </w:p>
        </w:tc>
        <w:tc>
          <w:tcPr>
            <w:tcW w:w="4244" w:type="dxa"/>
            <w:vAlign w:val="center"/>
          </w:tcPr>
          <w:p>
            <w:pPr>
              <w:ind w:firstLine="210" w:firstLineChars="100"/>
              <w:jc w:val="left"/>
              <w:rPr>
                <w:rFonts w:hint="eastAsia" w:ascii="宋体" w:hAnsi="宋体" w:cs="宋体"/>
                <w:color w:val="auto"/>
                <w:highlight w:val="none"/>
              </w:rPr>
            </w:pPr>
            <w:r>
              <w:rPr>
                <w:rFonts w:hint="eastAsia" w:ascii="宋体" w:hAnsi="宋体" w:cs="宋体"/>
                <w:color w:val="auto"/>
                <w:highlight w:val="none"/>
                <w:u w:val="single"/>
              </w:rPr>
              <w:t>100</w:t>
            </w:r>
            <w:r>
              <w:rPr>
                <w:rFonts w:hint="eastAsia" w:ascii="宋体" w:hAnsi="宋体" w:cs="宋体"/>
                <w:color w:val="auto"/>
                <w:highlight w:val="none"/>
              </w:rPr>
              <w:t>万元</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10</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逾期付款违约金的利率</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17.3.3（2）</w:t>
            </w:r>
          </w:p>
        </w:tc>
        <w:tc>
          <w:tcPr>
            <w:tcW w:w="4244" w:type="dxa"/>
            <w:vAlign w:val="center"/>
          </w:tcPr>
          <w:p>
            <w:pPr>
              <w:ind w:firstLine="210" w:firstLineChars="100"/>
              <w:jc w:val="left"/>
              <w:rPr>
                <w:rFonts w:hint="eastAsia" w:ascii="宋体" w:hAnsi="宋体" w:cs="宋体"/>
                <w:color w:val="auto"/>
                <w:highlight w:val="none"/>
              </w:rPr>
            </w:pPr>
            <w:r>
              <w:rPr>
                <w:rFonts w:hint="eastAsia" w:ascii="宋体" w:hAnsi="宋体" w:cs="宋体"/>
                <w:color w:val="auto"/>
                <w:szCs w:val="21"/>
                <w:highlight w:val="none"/>
              </w:rPr>
              <w:t>中国人民银行授权全国银行间同业拆借中心公布的贷款市场报价利率加手续费</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11</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质量保证金金额</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17.4.1</w:t>
            </w:r>
          </w:p>
        </w:tc>
        <w:tc>
          <w:tcPr>
            <w:tcW w:w="4244" w:type="dxa"/>
            <w:vAlign w:val="center"/>
          </w:tcPr>
          <w:p>
            <w:pPr>
              <w:ind w:firstLine="210" w:firstLineChars="100"/>
              <w:jc w:val="left"/>
              <w:rPr>
                <w:rFonts w:hint="eastAsia" w:ascii="宋体" w:hAnsi="宋体" w:cs="宋体"/>
                <w:color w:val="auto"/>
                <w:highlight w:val="none"/>
                <w:u w:val="single"/>
              </w:rPr>
            </w:pPr>
            <w:r>
              <w:rPr>
                <w:rFonts w:hint="eastAsia" w:ascii="宋体" w:hAnsi="宋体" w:cs="宋体"/>
                <w:color w:val="auto"/>
                <w:highlight w:val="none"/>
                <w:u w:val="single"/>
              </w:rPr>
              <w:t xml:space="preserve"> 3</w:t>
            </w:r>
            <w:r>
              <w:rPr>
                <w:rFonts w:hint="eastAsia" w:ascii="宋体" w:hAnsi="宋体" w:cs="宋体"/>
                <w:color w:val="auto"/>
                <w:highlight w:val="none"/>
              </w:rPr>
              <w:t>%合同价格，若交工验收时承包人具备被招标项目所在地省级交通运输主管部门评定的最高信用等级，发包人给予</w:t>
            </w:r>
            <w:r>
              <w:rPr>
                <w:rFonts w:hint="eastAsia" w:ascii="宋体" w:hAnsi="宋体" w:cs="宋体"/>
                <w:color w:val="auto"/>
                <w:highlight w:val="none"/>
                <w:u w:val="single"/>
              </w:rPr>
              <w:t>/</w:t>
            </w:r>
            <w:r>
              <w:rPr>
                <w:rFonts w:hint="eastAsia" w:ascii="宋体" w:hAnsi="宋体" w:cs="宋体"/>
                <w:color w:val="auto"/>
                <w:highlight w:val="none"/>
              </w:rPr>
              <w:t>%合同价格质量保证金的优惠</w:t>
            </w:r>
          </w:p>
        </w:tc>
        <w:tc>
          <w:tcPr>
            <w:tcW w:w="1024"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4" w:type="dxa"/>
            <w:vAlign w:val="center"/>
          </w:tcPr>
          <w:p>
            <w:pPr>
              <w:jc w:val="center"/>
              <w:rPr>
                <w:rFonts w:hint="eastAsia" w:ascii="宋体" w:hAnsi="宋体" w:cs="宋体"/>
                <w:color w:val="auto"/>
                <w:highlight w:val="none"/>
              </w:rPr>
            </w:pPr>
            <w:r>
              <w:rPr>
                <w:rFonts w:hint="eastAsia" w:ascii="宋体" w:hAnsi="宋体" w:cs="宋体"/>
                <w:color w:val="auto"/>
                <w:highlight w:val="none"/>
              </w:rPr>
              <w:t>12</w:t>
            </w:r>
          </w:p>
        </w:tc>
        <w:tc>
          <w:tcPr>
            <w:tcW w:w="2505" w:type="dxa"/>
            <w:vAlign w:val="center"/>
          </w:tcPr>
          <w:p>
            <w:pPr>
              <w:jc w:val="center"/>
              <w:rPr>
                <w:rFonts w:hint="eastAsia" w:ascii="宋体" w:hAnsi="宋体" w:cs="宋体"/>
                <w:color w:val="auto"/>
                <w:highlight w:val="none"/>
              </w:rPr>
            </w:pPr>
            <w:r>
              <w:rPr>
                <w:rFonts w:hint="eastAsia" w:ascii="宋体" w:hAnsi="宋体" w:cs="宋体"/>
                <w:color w:val="auto"/>
                <w:highlight w:val="none"/>
              </w:rPr>
              <w:t>保修期</w:t>
            </w:r>
          </w:p>
        </w:tc>
        <w:tc>
          <w:tcPr>
            <w:tcW w:w="1442" w:type="dxa"/>
            <w:vAlign w:val="center"/>
          </w:tcPr>
          <w:p>
            <w:pPr>
              <w:jc w:val="center"/>
              <w:rPr>
                <w:rFonts w:hint="eastAsia" w:ascii="宋体" w:hAnsi="宋体" w:cs="宋体"/>
                <w:color w:val="auto"/>
                <w:highlight w:val="none"/>
              </w:rPr>
            </w:pPr>
            <w:r>
              <w:rPr>
                <w:rFonts w:hint="eastAsia" w:ascii="宋体" w:hAnsi="宋体" w:cs="宋体"/>
                <w:color w:val="auto"/>
                <w:highlight w:val="none"/>
              </w:rPr>
              <w:t>19.7（1）</w:t>
            </w:r>
          </w:p>
        </w:tc>
        <w:tc>
          <w:tcPr>
            <w:tcW w:w="4244" w:type="dxa"/>
            <w:vAlign w:val="center"/>
          </w:tcPr>
          <w:p>
            <w:pPr>
              <w:ind w:firstLine="210" w:firstLineChars="100"/>
              <w:rPr>
                <w:rFonts w:hint="eastAsia" w:ascii="宋体" w:hAnsi="宋体" w:cs="宋体"/>
                <w:color w:val="auto"/>
                <w:highlight w:val="none"/>
              </w:rPr>
            </w:pPr>
            <w:r>
              <w:rPr>
                <w:rFonts w:hint="eastAsia" w:ascii="宋体" w:hAnsi="宋体" w:cs="宋体"/>
                <w:color w:val="auto"/>
                <w:szCs w:val="21"/>
                <w:highlight w:val="none"/>
              </w:rPr>
              <w:t>自实际交工日期起计算</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年</w:t>
            </w:r>
          </w:p>
        </w:tc>
        <w:tc>
          <w:tcPr>
            <w:tcW w:w="1024" w:type="dxa"/>
            <w:vAlign w:val="center"/>
          </w:tcPr>
          <w:p>
            <w:pPr>
              <w:rPr>
                <w:rFonts w:hint="eastAsia" w:ascii="宋体" w:hAnsi="宋体" w:cs="宋体"/>
                <w:color w:val="auto"/>
                <w:highlight w:val="none"/>
              </w:rPr>
            </w:pPr>
          </w:p>
        </w:tc>
      </w:tr>
    </w:tbl>
    <w:p>
      <w:pPr>
        <w:spacing w:line="360" w:lineRule="auto"/>
        <w:ind w:left="-2" w:leftChars="-1" w:firstLine="4935" w:firstLineChars="2350"/>
        <w:rPr>
          <w:rFonts w:hint="eastAsia" w:ascii="宋体" w:hAnsi="宋体" w:cs="宋体"/>
          <w:color w:val="auto"/>
          <w:szCs w:val="21"/>
          <w:highlight w:val="none"/>
          <w:u w:val="single"/>
        </w:rPr>
      </w:pPr>
    </w:p>
    <w:p>
      <w:pPr>
        <w:spacing w:line="360" w:lineRule="auto"/>
        <w:jc w:val="center"/>
        <w:rPr>
          <w:rFonts w:hint="eastAsia" w:ascii="宋体" w:hAnsi="宋体" w:cs="宋体"/>
          <w:b/>
          <w:color w:val="auto"/>
          <w:sz w:val="36"/>
          <w:szCs w:val="36"/>
          <w:highlight w:val="none"/>
        </w:rPr>
      </w:pPr>
      <w:bookmarkStart w:id="955" w:name="_Toc234346118"/>
      <w:bookmarkStart w:id="956" w:name="_Toc234349563"/>
      <w:bookmarkStart w:id="957" w:name="_Toc234348989"/>
      <w:bookmarkStart w:id="958" w:name="_Toc234345903"/>
      <w:bookmarkStart w:id="959" w:name="_Toc265483675"/>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二、</w:t>
      </w:r>
      <w:bookmarkEnd w:id="955"/>
      <w:bookmarkEnd w:id="956"/>
      <w:bookmarkEnd w:id="957"/>
      <w:bookmarkEnd w:id="958"/>
      <w:bookmarkEnd w:id="959"/>
      <w:r>
        <w:rPr>
          <w:rFonts w:hint="eastAsia" w:ascii="宋体" w:hAnsi="宋体" w:cs="宋体"/>
          <w:b/>
          <w:color w:val="auto"/>
          <w:sz w:val="36"/>
          <w:szCs w:val="36"/>
          <w:highlight w:val="none"/>
        </w:rPr>
        <w:t>授权委托书或法定代表人身份证明</w:t>
      </w:r>
    </w:p>
    <w:p>
      <w:pPr>
        <w:spacing w:line="360" w:lineRule="auto"/>
        <w:jc w:val="center"/>
        <w:rPr>
          <w:rFonts w:hint="eastAsia" w:ascii="宋体" w:hAnsi="宋体" w:cs="宋体"/>
          <w:b/>
          <w:color w:val="auto"/>
          <w:sz w:val="32"/>
          <w:szCs w:val="32"/>
          <w:highlight w:val="none"/>
        </w:rPr>
      </w:pPr>
      <w:bookmarkStart w:id="960" w:name="_Toc234345905"/>
      <w:bookmarkStart w:id="961" w:name="_Toc234349565"/>
      <w:bookmarkStart w:id="962" w:name="_Toc265483677"/>
      <w:bookmarkStart w:id="963" w:name="_Toc234346120"/>
      <w:bookmarkStart w:id="964" w:name="_Toc234348991"/>
      <w:r>
        <w:rPr>
          <w:rFonts w:hint="eastAsia" w:ascii="宋体" w:hAnsi="宋体" w:cs="宋体"/>
          <w:b/>
          <w:color w:val="auto"/>
          <w:sz w:val="32"/>
          <w:szCs w:val="32"/>
          <w:highlight w:val="none"/>
        </w:rPr>
        <w:t>（一）授权委托书</w:t>
      </w:r>
      <w:bookmarkEnd w:id="960"/>
      <w:bookmarkEnd w:id="961"/>
      <w:bookmarkEnd w:id="962"/>
      <w:bookmarkEnd w:id="963"/>
      <w:bookmarkEnd w:id="964"/>
    </w:p>
    <w:p>
      <w:pPr>
        <w:jc w:val="center"/>
        <w:rPr>
          <w:rFonts w:hint="eastAsia" w:ascii="宋体" w:hAnsi="宋体" w:cs="宋体"/>
          <w:b/>
          <w:color w:val="auto"/>
          <w:sz w:val="32"/>
          <w:szCs w:val="32"/>
          <w:highlight w:val="none"/>
        </w:rPr>
      </w:pPr>
    </w:p>
    <w:p>
      <w:pPr>
        <w:spacing w:line="360" w:lineRule="auto"/>
        <w:ind w:firstLine="45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(姓名)为我方代理人。代理人根据授权，以我方名义签署、澄清确认、递交、撤回、修改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标段施工投标文件、签订合同和处理有关事宜，其法律后果由我方承担。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委托期限：自本委托书签署之日起至投标有效期期满。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附：法定代表人身份证复印件、委托代理人身份证复印件、委托代理人投标截止时间前三个月中任意一个月的社保缴费证明材料复印件。</w:t>
      </w:r>
    </w:p>
    <w:p>
      <w:pPr>
        <w:spacing w:line="360" w:lineRule="auto"/>
        <w:ind w:firstLine="480" w:firstLineChars="200"/>
        <w:rPr>
          <w:rFonts w:hint="eastAsia" w:ascii="宋体" w:hAnsi="宋体" w:cs="宋体"/>
          <w:color w:val="auto"/>
          <w:sz w:val="24"/>
          <w:highlight w:val="none"/>
        </w:rPr>
      </w:pPr>
    </w:p>
    <w:p>
      <w:pPr>
        <w:tabs>
          <w:tab w:val="left" w:pos="3969"/>
        </w:tabs>
        <w:spacing w:line="460" w:lineRule="exact"/>
        <w:ind w:firstLine="4200" w:firstLineChars="175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tabs>
          <w:tab w:val="left" w:pos="3969"/>
        </w:tabs>
        <w:spacing w:line="460" w:lineRule="exact"/>
        <w:ind w:firstLine="4200" w:firstLineChars="175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pPr>
        <w:tabs>
          <w:tab w:val="left" w:pos="3969"/>
        </w:tabs>
        <w:spacing w:line="460" w:lineRule="exact"/>
        <w:ind w:firstLine="4200" w:firstLineChars="1750"/>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tabs>
          <w:tab w:val="left" w:pos="3969"/>
        </w:tabs>
        <w:spacing w:line="460" w:lineRule="exact"/>
        <w:ind w:firstLine="4200" w:firstLineChars="175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pPr>
        <w:tabs>
          <w:tab w:val="left" w:pos="3969"/>
        </w:tabs>
        <w:spacing w:line="460" w:lineRule="exact"/>
        <w:ind w:firstLine="4200" w:firstLineChars="1750"/>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tabs>
          <w:tab w:val="left" w:pos="3969"/>
        </w:tabs>
        <w:spacing w:line="460" w:lineRule="exact"/>
        <w:ind w:firstLine="4200" w:firstLineChars="1750"/>
        <w:jc w:val="righ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460" w:lineRule="exact"/>
        <w:ind w:firstLine="4524" w:firstLineChars="1885"/>
        <w:rPr>
          <w:rFonts w:hint="eastAsia" w:ascii="宋体" w:hAnsi="宋体" w:cs="宋体"/>
          <w:color w:val="auto"/>
          <w:sz w:val="24"/>
          <w:highlight w:val="none"/>
        </w:rPr>
      </w:pP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注：1.法定代表人和委托代理人必须在授权书上亲笔签名，不得使用印章、签名章或其他电子制版签名代替；</w:t>
      </w:r>
    </w:p>
    <w:p>
      <w:pPr>
        <w:spacing w:line="460" w:lineRule="exact"/>
        <w:ind w:firstLine="840" w:firstLineChars="400"/>
        <w:rPr>
          <w:rFonts w:hint="eastAsia"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 xml:space="preserve"> 如果由投标人的法定代表人签署投标文件，则无须提交授权委托书。</w:t>
      </w:r>
    </w:p>
    <w:p>
      <w:pPr>
        <w:spacing w:line="460" w:lineRule="exact"/>
        <w:ind w:firstLine="4524" w:firstLineChars="1885"/>
        <w:rPr>
          <w:rFonts w:ascii="宋体" w:hAnsi="宋体"/>
          <w:color w:val="auto"/>
          <w:sz w:val="24"/>
          <w:highlight w:val="none"/>
        </w:rPr>
      </w:pPr>
    </w:p>
    <w:p>
      <w:pPr>
        <w:spacing w:line="360" w:lineRule="auto"/>
        <w:jc w:val="center"/>
        <w:rPr>
          <w:rFonts w:hint="eastAsia" w:ascii="宋体" w:hAnsi="宋体" w:cs="宋体"/>
          <w:b/>
          <w:color w:val="auto"/>
          <w:sz w:val="32"/>
          <w:szCs w:val="32"/>
          <w:highlight w:val="none"/>
        </w:rPr>
      </w:pPr>
      <w:r>
        <w:rPr>
          <w:color w:val="auto"/>
          <w:kern w:val="0"/>
          <w:szCs w:val="21"/>
          <w:highlight w:val="none"/>
        </w:rPr>
        <w:br w:type="page"/>
      </w:r>
      <w:bookmarkStart w:id="965" w:name="_Toc234348990"/>
      <w:bookmarkStart w:id="966" w:name="_Toc265483676"/>
      <w:bookmarkStart w:id="967" w:name="_Toc234345904"/>
      <w:bookmarkStart w:id="968" w:name="_Toc234346119"/>
      <w:bookmarkStart w:id="969" w:name="_Toc234349564"/>
      <w:r>
        <w:rPr>
          <w:rFonts w:hint="eastAsia" w:ascii="宋体" w:hAnsi="宋体" w:cs="宋体"/>
          <w:b/>
          <w:color w:val="auto"/>
          <w:sz w:val="32"/>
          <w:szCs w:val="32"/>
          <w:highlight w:val="none"/>
        </w:rPr>
        <w:t>(二)法定代表人身份证明</w:t>
      </w:r>
      <w:bookmarkEnd w:id="965"/>
      <w:bookmarkEnd w:id="966"/>
      <w:bookmarkEnd w:id="967"/>
      <w:bookmarkEnd w:id="968"/>
      <w:bookmarkEnd w:id="969"/>
    </w:p>
    <w:p>
      <w:pPr>
        <w:tabs>
          <w:tab w:val="left" w:pos="3960"/>
        </w:tabs>
        <w:spacing w:line="500" w:lineRule="exact"/>
        <w:jc w:val="left"/>
        <w:rPr>
          <w:rFonts w:hint="eastAsia" w:ascii="宋体" w:hAnsi="宋体" w:cs="宋体"/>
          <w:color w:val="auto"/>
          <w:szCs w:val="21"/>
          <w:highlight w:val="none"/>
        </w:rPr>
      </w:pPr>
    </w:p>
    <w:p>
      <w:pPr>
        <w:tabs>
          <w:tab w:val="left" w:pos="3960"/>
        </w:tabs>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tabs>
          <w:tab w:val="left" w:pos="3960"/>
        </w:tabs>
        <w:spacing w:line="50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（法定代表人亲笔签字）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tabs>
          <w:tab w:val="left" w:pos="3960"/>
        </w:tabs>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pPr>
        <w:tabs>
          <w:tab w:val="left" w:pos="3960"/>
        </w:tabs>
        <w:spacing w:line="500" w:lineRule="exact"/>
        <w:ind w:firstLine="570"/>
        <w:jc w:val="left"/>
        <w:rPr>
          <w:rFonts w:hint="eastAsia" w:ascii="宋体" w:hAnsi="宋体" w:cs="宋体"/>
          <w:color w:val="auto"/>
          <w:szCs w:val="21"/>
          <w:highlight w:val="none"/>
        </w:rPr>
      </w:pPr>
      <w:r>
        <w:rPr>
          <w:rFonts w:hint="eastAsia" w:ascii="宋体" w:hAnsi="宋体" w:cs="宋体"/>
          <w:color w:val="auto"/>
          <w:szCs w:val="21"/>
          <w:highlight w:val="none"/>
        </w:rPr>
        <w:t>特此证明。</w:t>
      </w:r>
    </w:p>
    <w:p>
      <w:pPr>
        <w:tabs>
          <w:tab w:val="left" w:pos="3960"/>
        </w:tabs>
        <w:spacing w:line="500" w:lineRule="exact"/>
        <w:ind w:firstLine="570"/>
        <w:jc w:val="left"/>
        <w:rPr>
          <w:rFonts w:hint="eastAsia" w:ascii="宋体" w:hAnsi="宋体" w:cs="宋体"/>
          <w:color w:val="auto"/>
          <w:szCs w:val="21"/>
          <w:highlight w:val="none"/>
        </w:rPr>
      </w:pPr>
    </w:p>
    <w:p>
      <w:pPr>
        <w:tabs>
          <w:tab w:val="left" w:pos="3960"/>
        </w:tabs>
        <w:spacing w:line="500" w:lineRule="exact"/>
        <w:ind w:firstLine="570"/>
        <w:jc w:val="left"/>
        <w:rPr>
          <w:rFonts w:hint="eastAsia" w:ascii="宋体" w:hAnsi="宋体" w:cs="宋体"/>
          <w:color w:val="auto"/>
          <w:szCs w:val="21"/>
          <w:highlight w:val="none"/>
        </w:rPr>
      </w:pPr>
    </w:p>
    <w:p>
      <w:pPr>
        <w:tabs>
          <w:tab w:val="left" w:pos="3960"/>
        </w:tabs>
        <w:spacing w:line="500" w:lineRule="exact"/>
        <w:ind w:firstLine="570"/>
        <w:jc w:val="left"/>
        <w:rPr>
          <w:rFonts w:hint="eastAsia" w:ascii="宋体" w:hAnsi="宋体" w:cs="宋体"/>
          <w:color w:val="auto"/>
          <w:szCs w:val="21"/>
          <w:highlight w:val="none"/>
        </w:rPr>
      </w:pPr>
      <w:r>
        <w:rPr>
          <w:rFonts w:hint="eastAsia" w:ascii="宋体" w:hAnsi="宋体" w:cs="宋体"/>
          <w:color w:val="auto"/>
          <w:szCs w:val="21"/>
          <w:highlight w:val="none"/>
        </w:rPr>
        <w:t>附：法定代表人身份证复印件</w:t>
      </w:r>
    </w:p>
    <w:p>
      <w:pPr>
        <w:spacing w:line="460" w:lineRule="exact"/>
        <w:ind w:firstLine="465"/>
        <w:rPr>
          <w:rFonts w:hint="eastAsia" w:ascii="宋体" w:hAnsi="宋体" w:cs="宋体"/>
          <w:color w:val="auto"/>
          <w:sz w:val="24"/>
          <w:highlight w:val="none"/>
        </w:rPr>
      </w:pPr>
    </w:p>
    <w:p>
      <w:pPr>
        <w:spacing w:line="460" w:lineRule="exact"/>
        <w:ind w:firstLine="465"/>
        <w:rPr>
          <w:rFonts w:hint="eastAsia" w:ascii="宋体" w:hAnsi="宋体" w:cs="宋体"/>
          <w:color w:val="auto"/>
          <w:sz w:val="24"/>
          <w:highlight w:val="none"/>
        </w:rPr>
      </w:pPr>
    </w:p>
    <w:p>
      <w:pPr>
        <w:spacing w:line="460" w:lineRule="exact"/>
        <w:ind w:firstLine="465"/>
        <w:rPr>
          <w:rFonts w:hint="eastAsia" w:ascii="宋体" w:hAnsi="宋体" w:cs="宋体"/>
          <w:color w:val="auto"/>
          <w:sz w:val="24"/>
          <w:highlight w:val="none"/>
        </w:rPr>
      </w:pPr>
    </w:p>
    <w:p>
      <w:pPr>
        <w:spacing w:line="460" w:lineRule="exact"/>
        <w:ind w:firstLine="465"/>
        <w:rPr>
          <w:rFonts w:hint="eastAsia" w:ascii="宋体" w:hAnsi="宋体" w:cs="宋体"/>
          <w:color w:val="auto"/>
          <w:sz w:val="24"/>
          <w:highlight w:val="none"/>
        </w:rPr>
      </w:pPr>
    </w:p>
    <w:p>
      <w:pPr>
        <w:wordWrap w:val="0"/>
        <w:spacing w:line="46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wordWrap w:val="0"/>
        <w:spacing w:line="46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60" w:lineRule="exact"/>
        <w:jc w:val="right"/>
        <w:rPr>
          <w:rFonts w:hint="eastAsia" w:ascii="宋体" w:hAnsi="宋体" w:cs="宋体"/>
          <w:color w:val="auto"/>
          <w:sz w:val="24"/>
          <w:highlight w:val="none"/>
        </w:rPr>
      </w:pPr>
    </w:p>
    <w:p>
      <w:pPr>
        <w:spacing w:line="460" w:lineRule="exact"/>
        <w:rPr>
          <w:rFonts w:hint="eastAsia" w:ascii="宋体" w:hAnsi="宋体" w:cs="宋体"/>
          <w:color w:val="auto"/>
          <w:sz w:val="24"/>
          <w:highlight w:val="none"/>
        </w:rPr>
      </w:pPr>
    </w:p>
    <w:p>
      <w:pPr>
        <w:spacing w:line="460" w:lineRule="exact"/>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 xml:space="preserve">注：1.法定代表人的签字必须是亲笔签名，不得使用印章、签名章或其他电子制版签名代替。 </w:t>
      </w:r>
    </w:p>
    <w:p>
      <w:pPr>
        <w:pStyle w:val="3"/>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970" w:name="_Toc20068"/>
      <w:bookmarkStart w:id="971" w:name="_Toc511896835"/>
      <w:bookmarkStart w:id="972" w:name="_Toc511905847"/>
      <w:bookmarkStart w:id="973" w:name="_Toc234348994"/>
      <w:bookmarkStart w:id="974" w:name="_Toc234345908"/>
      <w:bookmarkStart w:id="975" w:name="_Toc234349568"/>
      <w:bookmarkStart w:id="976" w:name="_Toc234346123"/>
      <w:r>
        <w:rPr>
          <w:rFonts w:hint="eastAsia" w:ascii="宋体" w:hAnsi="宋体" w:eastAsia="宋体" w:cs="宋体"/>
          <w:color w:val="auto"/>
          <w:highlight w:val="none"/>
        </w:rPr>
        <w:t>三、投标保证金</w:t>
      </w:r>
      <w:bookmarkEnd w:id="970"/>
      <w:bookmarkEnd w:id="971"/>
      <w:bookmarkEnd w:id="972"/>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1.若采用电汇，投标人应在此提供银行电汇凭证复印件。</w:t>
      </w:r>
    </w:p>
    <w:p>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.若采用转账支票，投标人应再此提供支票复印件和招标人开具的收据复印件。</w:t>
      </w:r>
    </w:p>
    <w:p>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.如采用银行保函，应再此提供银行保函复印件，格式如下。</w:t>
      </w:r>
    </w:p>
    <w:p>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若使用电子保函、保单，无需使用此格式，以金融机构出具的电子保函、保单格式为准（投标人应承诺在发生法律法规或招标文件规定可以不予退还投标保证金的情形时，在收到招标人书面通知后，由金融机构对其所出具电子保函、保单中所列的金额无条件支付。金融机构对其出具的电子保函、保单中所列金额不能及时支付的，由投标人支付。投标人应提供承诺书并加盖投标人公章）。</w:t>
      </w:r>
    </w:p>
    <w:p>
      <w:pPr>
        <w:spacing w:after="240" w:afterLines="100" w:line="440" w:lineRule="exact"/>
        <w:rPr>
          <w:rFonts w:hint="eastAsia" w:ascii="宋体" w:hAnsi="宋体" w:cs="宋体"/>
          <w:color w:val="auto"/>
          <w:sz w:val="24"/>
          <w:highlight w:val="none"/>
          <w:u w:val="single"/>
        </w:rPr>
      </w:pPr>
    </w:p>
    <w:p>
      <w:pPr>
        <w:spacing w:after="240" w:afterLines="100" w:line="44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440" w:lineRule="exact"/>
        <w:rPr>
          <w:rFonts w:hint="eastAsia"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highlight w:val="none"/>
        </w:rPr>
        <w:t>鉴于</w:t>
      </w:r>
      <w:r>
        <w:rPr>
          <w:rFonts w:hint="eastAsia" w:ascii="宋体" w:hAnsi="宋体" w:cs="宋体"/>
          <w:color w:val="auto"/>
          <w:highlight w:val="none"/>
          <w:u w:val="single"/>
        </w:rPr>
        <w:t xml:space="preserve">         </w:t>
      </w:r>
      <w:r>
        <w:rPr>
          <w:rFonts w:hint="eastAsia" w:ascii="宋体" w:hAnsi="宋体" w:cs="宋体"/>
          <w:color w:val="auto"/>
          <w:highlight w:val="none"/>
        </w:rPr>
        <w:t>（ 投标人名称）（ 以下称“投标人”） 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日参加</w:t>
      </w:r>
      <w:r>
        <w:rPr>
          <w:rFonts w:hint="eastAsia" w:ascii="宋体" w:hAnsi="宋体" w:cs="宋体"/>
          <w:color w:val="auto"/>
          <w:highlight w:val="none"/>
          <w:u w:val="single"/>
        </w:rPr>
        <w:t xml:space="preserve">          </w:t>
      </w:r>
      <w:r>
        <w:rPr>
          <w:rFonts w:hint="eastAsia" w:ascii="宋体" w:hAnsi="宋体" w:cs="宋体"/>
          <w:color w:val="auto"/>
          <w:highlight w:val="none"/>
        </w:rPr>
        <w:t>（ 项目名称）</w:t>
      </w:r>
      <w:r>
        <w:rPr>
          <w:rFonts w:hint="eastAsia" w:ascii="宋体" w:hAnsi="宋体" w:cs="宋体"/>
          <w:color w:val="auto"/>
          <w:highlight w:val="none"/>
          <w:u w:val="single"/>
        </w:rPr>
        <w:t xml:space="preserve">       </w:t>
      </w:r>
      <w:r>
        <w:rPr>
          <w:rFonts w:hint="eastAsia" w:ascii="宋体" w:hAnsi="宋体" w:cs="宋体"/>
          <w:color w:val="auto"/>
          <w:highlight w:val="none"/>
        </w:rPr>
        <w:t>标段施工的投标，</w:t>
      </w:r>
      <w:r>
        <w:rPr>
          <w:rFonts w:hint="eastAsia" w:ascii="宋体" w:hAnsi="宋体" w:cs="宋体"/>
          <w:color w:val="auto"/>
          <w:highlight w:val="none"/>
          <w:u w:val="single"/>
        </w:rPr>
        <w:t xml:space="preserve">           </w:t>
      </w:r>
      <w:r>
        <w:rPr>
          <w:rFonts w:hint="eastAsia" w:ascii="宋体" w:hAnsi="宋体" w:cs="宋体"/>
          <w:color w:val="auto"/>
          <w:highlight w:val="none"/>
        </w:rPr>
        <w:t>（ 担保人名称，以下简称“我方”） 无条件地、不可撤销地保证： 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 7 日内向你方无条件支付人民币（大写）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元。</w:t>
      </w:r>
    </w:p>
    <w:p>
      <w:pPr>
        <w:spacing w:line="440" w:lineRule="exact"/>
        <w:rPr>
          <w:rFonts w:hint="eastAsia" w:ascii="宋体" w:hAnsi="宋体" w:cs="宋体"/>
          <w:color w:val="auto"/>
          <w:sz w:val="24"/>
          <w:highlight w:val="none"/>
        </w:rPr>
      </w:pPr>
      <w:r>
        <w:rPr>
          <w:rFonts w:hint="eastAsia" w:ascii="宋体" w:hAnsi="宋体" w:cs="宋体"/>
          <w:color w:val="auto"/>
          <w:highlight w:val="none"/>
        </w:rPr>
        <w:t xml:space="preserve">    本保函在投标有效期或经延长的投标有效期内保持有效。要求我方承担保证责任的通知应在上述期限内送达我方。 你方延长投标有效期的决定，应通知我方。</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rPr>
          <w:rFonts w:hint="eastAsia" w:ascii="宋体" w:hAnsi="宋体" w:cs="宋体"/>
          <w:color w:val="auto"/>
          <w:sz w:val="24"/>
          <w:highlight w:val="none"/>
        </w:rPr>
      </w:pPr>
    </w:p>
    <w:p>
      <w:pPr>
        <w:spacing w:line="440" w:lineRule="exact"/>
        <w:ind w:firstLine="3028" w:firstLineChars="1262"/>
        <w:rPr>
          <w:rFonts w:hint="eastAsia" w:ascii="宋体" w:hAnsi="宋体" w:cs="宋体"/>
          <w:color w:val="auto"/>
          <w:sz w:val="24"/>
          <w:highlight w:val="none"/>
        </w:rPr>
      </w:pPr>
      <w:r>
        <w:rPr>
          <w:rFonts w:hint="eastAsia" w:ascii="宋体" w:hAnsi="宋体" w:cs="宋体"/>
          <w:color w:val="auto"/>
          <w:sz w:val="24"/>
          <w:highlight w:val="none"/>
        </w:rPr>
        <w:t>担保人名称：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(盖单位章)</w:t>
      </w:r>
    </w:p>
    <w:p>
      <w:pPr>
        <w:spacing w:line="440" w:lineRule="exact"/>
        <w:ind w:firstLine="2551" w:firstLineChars="1063"/>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(签字)</w:t>
      </w:r>
    </w:p>
    <w:p>
      <w:pPr>
        <w:spacing w:line="440" w:lineRule="exact"/>
        <w:ind w:firstLine="2551" w:firstLineChars="1063"/>
        <w:rPr>
          <w:rFonts w:hint="eastAsia"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p>
    <w:p>
      <w:pPr>
        <w:spacing w:line="440" w:lineRule="exact"/>
        <w:ind w:firstLine="2551" w:firstLineChars="1063"/>
        <w:rPr>
          <w:rFonts w:hint="eastAsia" w:ascii="宋体" w:hAnsi="宋体" w:cs="宋体"/>
          <w:color w:val="auto"/>
          <w:sz w:val="24"/>
          <w:highlight w:val="none"/>
        </w:rPr>
      </w:pP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p>
    <w:p>
      <w:pPr>
        <w:spacing w:line="440" w:lineRule="exact"/>
        <w:ind w:firstLine="2551" w:firstLineChars="1063"/>
        <w:rPr>
          <w:rFonts w:hint="eastAsia" w:ascii="宋体" w:hAnsi="宋体" w:cs="宋体"/>
          <w:color w:val="auto"/>
          <w:sz w:val="24"/>
          <w:highlight w:val="none"/>
        </w:rPr>
      </w:pP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pPr>
        <w:spacing w:line="440" w:lineRule="exact"/>
        <w:ind w:firstLine="2551" w:firstLineChars="1063"/>
        <w:rPr>
          <w:rFonts w:hint="eastAsia" w:ascii="宋体" w:hAnsi="宋体" w:cs="宋体"/>
          <w:color w:val="auto"/>
          <w:sz w:val="24"/>
          <w:highlight w:val="none"/>
          <w:u w:val="single"/>
        </w:rPr>
      </w:pP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w:t>
      </w:r>
    </w:p>
    <w:p>
      <w:pPr>
        <w:spacing w:line="440" w:lineRule="exact"/>
        <w:ind w:firstLine="2551" w:firstLineChars="1063"/>
        <w:rPr>
          <w:rFonts w:hint="eastAsia" w:ascii="宋体" w:hAnsi="宋体" w:cs="宋体"/>
          <w:color w:val="auto"/>
          <w:sz w:val="24"/>
          <w:highlight w:val="none"/>
        </w:rPr>
      </w:pPr>
    </w:p>
    <w:p>
      <w:pPr>
        <w:spacing w:line="440" w:lineRule="exact"/>
        <w:jc w:val="righ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973"/>
      <w:bookmarkEnd w:id="974"/>
      <w:bookmarkEnd w:id="975"/>
      <w:bookmarkEnd w:id="976"/>
      <w:bookmarkStart w:id="977" w:name="_Toc511896836"/>
      <w:bookmarkStart w:id="978" w:name="_Toc234348995"/>
      <w:bookmarkStart w:id="979" w:name="_Toc234346124"/>
      <w:bookmarkStart w:id="980" w:name="_Toc5790"/>
      <w:bookmarkStart w:id="981" w:name="_Toc234345909"/>
      <w:bookmarkStart w:id="982" w:name="_Toc234349569"/>
      <w:bookmarkStart w:id="983" w:name="_Toc511905848"/>
      <w:r>
        <w:rPr>
          <w:rFonts w:hint="eastAsia" w:ascii="宋体" w:hAnsi="宋体" w:eastAsia="宋体" w:cs="宋体"/>
          <w:color w:val="auto"/>
          <w:highlight w:val="none"/>
        </w:rPr>
        <w:t>四、施工组织设计</w:t>
      </w:r>
      <w:bookmarkEnd w:id="977"/>
      <w:bookmarkEnd w:id="978"/>
      <w:bookmarkEnd w:id="979"/>
      <w:bookmarkEnd w:id="980"/>
      <w:bookmarkEnd w:id="981"/>
      <w:bookmarkEnd w:id="982"/>
      <w:bookmarkEnd w:id="98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1.投标人应按以下要点编制施工组织设计(文字宜精练、内容具有针对性)：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(1)总体施工组织布置及规划</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(2)主要工程项目的施工方案、方法与技术措施(尤其对重点、关键和难点工程的施工方案、方法及其措施)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(3)工期保证体系及保证措施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(4)工程质量管理体系及保证措施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(5)安全生产管理体系及保证措施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(6)环境保护、水土保持保证体系及保证措施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(7)文明施工、文物保护保证体系及保证措施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(8)项目风险预测与防范，事故应急预案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(9)其他应说明的事项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2.施工组织设计除采用文字表述外可附下列图表，图表及格式要求附后。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附表一  施工总体计划表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附表二  分项工程进度率计划(斜率图)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附表三  工程管理曲线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附表四  分项工程生产率和施工周期表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附表五  施工总平面图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附表六  劳动力计划表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附表七  临时占地计划表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附表八  外供电力需求计划表</w:t>
      </w:r>
    </w:p>
    <w:p>
      <w:pPr>
        <w:snapToGrid w:val="0"/>
        <w:rPr>
          <w:rFonts w:hint="eastAsia" w:ascii="宋体" w:hAnsi="宋体" w:cs="宋体"/>
          <w:color w:val="auto"/>
          <w:highlight w:val="none"/>
        </w:rPr>
      </w:pPr>
    </w:p>
    <w:p>
      <w:pPr>
        <w:snapToGrid w:val="0"/>
        <w:rPr>
          <w:rFonts w:hint="eastAsia" w:ascii="宋体" w:hAnsi="宋体" w:cs="宋体"/>
          <w:color w:val="auto"/>
          <w:highlight w:val="none"/>
        </w:rPr>
      </w:pPr>
    </w:p>
    <w:p>
      <w:pPr>
        <w:snapToGrid w:val="0"/>
        <w:rPr>
          <w:rFonts w:hint="eastAsia" w:ascii="宋体" w:hAnsi="宋体" w:cs="宋体"/>
          <w:color w:val="auto"/>
          <w:highlight w:val="none"/>
        </w:rPr>
      </w:pPr>
      <w:r>
        <w:rPr>
          <w:rFonts w:hint="eastAsia" w:ascii="宋体" w:hAnsi="宋体" w:cs="宋体"/>
          <w:color w:val="auto"/>
          <w:highlight w:val="none"/>
        </w:rPr>
        <w:br w:type="page"/>
      </w:r>
    </w:p>
    <w:p>
      <w:pPr>
        <w:snapToGrid w:val="0"/>
        <w:rPr>
          <w:rFonts w:hint="eastAsia" w:ascii="宋体" w:hAnsi="宋体" w:cs="宋体"/>
          <w:color w:val="auto"/>
          <w:sz w:val="13"/>
          <w:highlight w:val="none"/>
        </w:rPr>
      </w:pPr>
    </w:p>
    <w:tbl>
      <w:tblPr>
        <w:tblStyle w:val="18"/>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
        <w:gridCol w:w="934"/>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507" w:type="dxa"/>
            <w:gridSpan w:val="2"/>
            <w:vMerge w:val="restart"/>
            <w:textDirection w:val="btLr"/>
            <w:vAlign w:val="top"/>
          </w:tcPr>
          <w:p>
            <w:pPr>
              <w:ind w:left="113" w:leftChars="54" w:right="113"/>
              <w:jc w:val="cente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vAlign w:val="top"/>
          </w:tcPr>
          <w:p>
            <w:pPr>
              <w:spacing w:line="360" w:lineRule="exact"/>
              <w:rPr>
                <w:rFonts w:hint="eastAsia" w:ascii="宋体" w:hAnsi="宋体" w:cs="宋体"/>
                <w:color w:val="auto"/>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vAlign w:val="top"/>
          </w:tcPr>
          <w:p>
            <w:pPr>
              <w:spacing w:line="360" w:lineRule="exact"/>
              <w:rPr>
                <w:rFonts w:hint="eastAsia" w:ascii="宋体" w:hAnsi="宋体" w:cs="宋体"/>
                <w:color w:val="auto"/>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vAlign w:val="top"/>
          </w:tcPr>
          <w:p>
            <w:pPr>
              <w:spacing w:line="360" w:lineRule="exact"/>
              <w:rPr>
                <w:rFonts w:hint="eastAsia" w:ascii="宋体" w:hAnsi="宋体" w:cs="宋体"/>
                <w:color w:val="auto"/>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vAlign w:val="top"/>
          </w:tcPr>
          <w:p>
            <w:pPr>
              <w:spacing w:line="360" w:lineRule="exact"/>
              <w:rPr>
                <w:rFonts w:hint="eastAsia" w:ascii="宋体" w:hAnsi="宋体" w:cs="宋体"/>
                <w:color w:val="auto"/>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restart"/>
            <w:textDirection w:val="btLr"/>
            <w:vAlign w:val="top"/>
          </w:tcPr>
          <w:p>
            <w:pPr>
              <w:ind w:left="113" w:right="113"/>
              <w:jc w:val="center"/>
              <w:rPr>
                <w:rFonts w:hint="eastAsia" w:ascii="宋体" w:hAnsi="宋体" w:cs="宋体"/>
                <w:color w:val="auto"/>
                <w:sz w:val="18"/>
                <w:szCs w:val="18"/>
                <w:highlight w:val="none"/>
              </w:rPr>
            </w:pPr>
            <w:r>
              <w:rPr>
                <w:rFonts w:hint="eastAsia" w:ascii="宋体" w:hAnsi="宋体" w:cs="宋体"/>
                <w:color w:val="auto"/>
                <w:sz w:val="18"/>
                <w:szCs w:val="18"/>
                <w:highlight w:val="none"/>
                <w:u w:val="single"/>
              </w:rPr>
              <w:t xml:space="preserve">     </w:t>
            </w:r>
            <w:r>
              <w:rPr>
                <w:rFonts w:hint="eastAsia" w:ascii="宋体" w:hAnsi="宋体" w:cs="宋体"/>
                <w:color w:val="auto"/>
                <w:sz w:val="18"/>
                <w:szCs w:val="18"/>
                <w:highlight w:val="none"/>
              </w:rPr>
              <w:t>年</w:t>
            </w:r>
          </w:p>
        </w:tc>
        <w:tc>
          <w:tcPr>
            <w:tcW w:w="934" w:type="dxa"/>
            <w:textDirection w:val="btLr"/>
            <w:vAlign w:val="top"/>
          </w:tcPr>
          <w:p>
            <w:pPr>
              <w:spacing w:line="360" w:lineRule="exact"/>
              <w:ind w:left="113" w:right="113"/>
              <w:rPr>
                <w:rFonts w:hint="eastAsia" w:ascii="宋体" w:hAnsi="宋体" w:cs="宋体"/>
                <w:color w:val="auto"/>
                <w:sz w:val="13"/>
                <w:szCs w:val="13"/>
                <w:highlight w:val="none"/>
              </w:rPr>
            </w:pPr>
            <w:r>
              <w:rPr>
                <w:rFonts w:hint="eastAsia" w:ascii="宋体" w:hAnsi="宋体" w:cs="宋体"/>
                <w:color w:val="auto"/>
                <w:sz w:val="13"/>
                <w:szCs w:val="13"/>
                <w:highlight w:val="none"/>
              </w:rPr>
              <w:t>12</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3"/>
                <w:szCs w:val="13"/>
                <w:highlight w:val="none"/>
              </w:rPr>
            </w:pPr>
            <w:r>
              <w:rPr>
                <w:rFonts w:hint="eastAsia" w:ascii="宋体" w:hAnsi="宋体" w:cs="宋体"/>
                <w:color w:val="auto"/>
                <w:sz w:val="13"/>
                <w:szCs w:val="13"/>
                <w:highlight w:val="none"/>
              </w:rPr>
              <w:t>11</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3"/>
                <w:szCs w:val="13"/>
                <w:highlight w:val="none"/>
              </w:rPr>
            </w:pPr>
            <w:r>
              <w:rPr>
                <w:rFonts w:hint="eastAsia" w:ascii="宋体" w:hAnsi="宋体" w:cs="宋体"/>
                <w:color w:val="auto"/>
                <w:sz w:val="13"/>
                <w:szCs w:val="13"/>
                <w:highlight w:val="none"/>
              </w:rPr>
              <w:t>10</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9</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restart"/>
            <w:textDirection w:val="btLr"/>
            <w:vAlign w:val="top"/>
          </w:tcPr>
          <w:p>
            <w:pPr>
              <w:ind w:left="113" w:right="113"/>
              <w:rPr>
                <w:rFonts w:hint="eastAsia" w:ascii="宋体" w:hAnsi="宋体" w:cs="宋体"/>
                <w:color w:val="auto"/>
                <w:sz w:val="18"/>
                <w:szCs w:val="18"/>
                <w:highlight w:val="none"/>
              </w:rPr>
            </w:pPr>
            <w:r>
              <w:rPr>
                <w:rFonts w:hint="eastAsia" w:ascii="宋体" w:hAnsi="宋体" w:cs="宋体"/>
                <w:i/>
                <w:color w:val="auto"/>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-532765</wp:posOffset>
                      </wp:positionH>
                      <wp:positionV relativeFrom="paragraph">
                        <wp:posOffset>-2733040</wp:posOffset>
                      </wp:positionV>
                      <wp:extent cx="367030" cy="2933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7030" cy="2933700"/>
                              </a:xfrm>
                              <a:prstGeom prst="rect">
                                <a:avLst/>
                              </a:prstGeom>
                              <a:noFill/>
                              <a:ln>
                                <a:noFill/>
                              </a:ln>
                              <a:effectLst/>
                            </wps:spPr>
                            <wps:txbx>
                              <w:txbxContent>
                                <w:p>
                                  <w:pPr>
                                    <w:pStyle w:val="48"/>
                                  </w:pPr>
                                  <w:bookmarkStart w:id="1054" w:name="_Toc129699896"/>
                                  <w:bookmarkStart w:id="1055" w:name="_Toc80005842"/>
                                  <w:bookmarkStart w:id="1056" w:name="_Toc124840685"/>
                                  <w:bookmarkStart w:id="1057" w:name="_Toc511896837"/>
                                  <w:bookmarkStart w:id="1058" w:name="_Toc124838831"/>
                                  <w:bookmarkStart w:id="1059" w:name="_Toc511905849"/>
                                  <w:bookmarkStart w:id="1060" w:name="_Toc124838803"/>
                                  <w:bookmarkStart w:id="1061" w:name="_Toc441578392"/>
                                  <w:r>
                                    <w:rPr>
                                      <w:rFonts w:hint="eastAsia"/>
                                    </w:rPr>
                                    <w:t>附表一   施工总体计划表</w:t>
                                  </w:r>
                                  <w:bookmarkEnd w:id="1054"/>
                                  <w:bookmarkEnd w:id="1055"/>
                                  <w:bookmarkEnd w:id="1056"/>
                                  <w:bookmarkEnd w:id="1057"/>
                                  <w:bookmarkEnd w:id="1058"/>
                                  <w:bookmarkEnd w:id="1059"/>
                                  <w:bookmarkEnd w:id="1060"/>
                                  <w:bookmarkEnd w:id="1061"/>
                                </w:p>
                              </w:txbxContent>
                            </wps:txbx>
                            <wps:bodyPr vert="vert270" lIns="0" tIns="0" rIns="0" bIns="0" upright="1"/>
                          </wps:wsp>
                        </a:graphicData>
                      </a:graphic>
                    </wp:anchor>
                  </w:drawing>
                </mc:Choice>
                <mc:Fallback>
                  <w:pict>
                    <v:shape id="_x0000_s1026" o:spid="_x0000_s1026" o:spt="202" type="#_x0000_t202" style="position:absolute;left:0pt;margin-left:-41.95pt;margin-top:-215.2pt;height:231pt;width:28.9pt;z-index:251659264;mso-width-relative:page;mso-height-relative:page;" filled="f" stroked="f" coordsize="21600,21600" o:gfxdata="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mv8C2AAA&#10;AAsBAAAPAAAAAAAAAAEAIAAAACIAAABkcnMvZG93bnJldi54bWxQSwECFAAUAAAACACHTuJACvsu&#10;+KwBAABBAwAADgAAAAAAAAABACAAAAAnAQAAZHJzL2Uyb0RvYy54bWxQSwUGAAAAAAYABgBZAQAA&#10;RQUAAAAA&#10;">
                      <v:fill on="f" focussize="0,0"/>
                      <v:stroke on="f"/>
                      <v:imagedata o:title=""/>
                      <o:lock v:ext="edit" aspectratio="f"/>
                      <v:textbox inset="0mm,0mm,0mm,0mm" style="layout-flow:vertical;mso-layout-flow-alt:bottom-to-top;">
                        <w:txbxContent>
                          <w:p>
                            <w:pPr>
                              <w:pStyle w:val="48"/>
                            </w:pPr>
                            <w:bookmarkStart w:id="1054" w:name="_Toc129699896"/>
                            <w:bookmarkStart w:id="1055" w:name="_Toc80005842"/>
                            <w:bookmarkStart w:id="1056" w:name="_Toc124840685"/>
                            <w:bookmarkStart w:id="1057" w:name="_Toc511896837"/>
                            <w:bookmarkStart w:id="1058" w:name="_Toc124838831"/>
                            <w:bookmarkStart w:id="1059" w:name="_Toc511905849"/>
                            <w:bookmarkStart w:id="1060" w:name="_Toc124838803"/>
                            <w:bookmarkStart w:id="1061" w:name="_Toc441578392"/>
                            <w:r>
                              <w:rPr>
                                <w:rFonts w:hint="eastAsia"/>
                              </w:rPr>
                              <w:t>附表一   施工总体计划表</w:t>
                            </w:r>
                            <w:bookmarkEnd w:id="1054"/>
                            <w:bookmarkEnd w:id="1055"/>
                            <w:bookmarkEnd w:id="1056"/>
                            <w:bookmarkEnd w:id="1057"/>
                            <w:bookmarkEnd w:id="1058"/>
                            <w:bookmarkEnd w:id="1059"/>
                            <w:bookmarkEnd w:id="1060"/>
                            <w:bookmarkEnd w:id="1061"/>
                          </w:p>
                        </w:txbxContent>
                      </v:textbox>
                    </v:shape>
                  </w:pict>
                </mc:Fallback>
              </mc:AlternateContent>
            </w:r>
            <w:r>
              <w:rPr>
                <w:rFonts w:hint="eastAsia" w:ascii="宋体" w:hAnsi="宋体" w:cs="宋体"/>
                <w:i/>
                <w:color w:val="auto"/>
                <w:sz w:val="18"/>
                <w:szCs w:val="18"/>
                <w:highlight w:val="none"/>
              </w:rPr>
              <w:t xml:space="preserve">                     </w:t>
            </w:r>
            <w:r>
              <w:rPr>
                <w:rFonts w:hint="eastAsia" w:ascii="宋体" w:hAnsi="宋体" w:cs="宋体"/>
                <w:color w:val="auto"/>
                <w:sz w:val="18"/>
                <w:szCs w:val="18"/>
                <w:highlight w:val="none"/>
                <w:u w:val="single"/>
              </w:rPr>
              <w:t xml:space="preserve">     </w:t>
            </w:r>
            <w:r>
              <w:rPr>
                <w:rFonts w:hint="eastAsia" w:ascii="宋体" w:hAnsi="宋体" w:cs="宋体"/>
                <w:color w:val="auto"/>
                <w:sz w:val="18"/>
                <w:szCs w:val="18"/>
                <w:highlight w:val="none"/>
              </w:rPr>
              <w:t>年</w:t>
            </w:r>
          </w:p>
        </w:tc>
        <w:tc>
          <w:tcPr>
            <w:tcW w:w="934" w:type="dxa"/>
            <w:textDirection w:val="btLr"/>
            <w:vAlign w:val="top"/>
          </w:tcPr>
          <w:p>
            <w:pPr>
              <w:spacing w:line="360" w:lineRule="exact"/>
              <w:ind w:left="113" w:right="113"/>
              <w:rPr>
                <w:rFonts w:hint="eastAsia" w:ascii="宋体" w:hAnsi="宋体" w:cs="宋体"/>
                <w:color w:val="auto"/>
                <w:sz w:val="13"/>
                <w:szCs w:val="13"/>
                <w:highlight w:val="none"/>
              </w:rPr>
            </w:pPr>
            <w:r>
              <w:rPr>
                <w:rFonts w:hint="eastAsia" w:ascii="宋体" w:hAnsi="宋体" w:cs="宋体"/>
                <w:color w:val="auto"/>
                <w:sz w:val="13"/>
                <w:szCs w:val="13"/>
                <w:highlight w:val="none"/>
              </w:rPr>
              <w:t>12</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3"/>
                <w:szCs w:val="13"/>
                <w:highlight w:val="none"/>
              </w:rPr>
            </w:pPr>
            <w:r>
              <w:rPr>
                <w:rFonts w:hint="eastAsia" w:ascii="宋体" w:hAnsi="宋体" w:cs="宋体"/>
                <w:color w:val="auto"/>
                <w:sz w:val="13"/>
                <w:szCs w:val="13"/>
                <w:highlight w:val="none"/>
              </w:rPr>
              <w:t>11</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3"/>
                <w:szCs w:val="13"/>
                <w:highlight w:val="none"/>
              </w:rPr>
            </w:pPr>
            <w:r>
              <w:rPr>
                <w:rFonts w:hint="eastAsia" w:ascii="宋体" w:hAnsi="宋体" w:cs="宋体"/>
                <w:color w:val="auto"/>
                <w:sz w:val="13"/>
                <w:szCs w:val="13"/>
                <w:highlight w:val="none"/>
              </w:rPr>
              <w:t>10</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9</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507" w:type="dxa"/>
            <w:gridSpan w:val="2"/>
            <w:vMerge w:val="continue"/>
            <w:textDirection w:val="btLr"/>
            <w:vAlign w:val="top"/>
          </w:tcPr>
          <w:p>
            <w:pPr>
              <w:spacing w:line="360" w:lineRule="exact"/>
              <w:ind w:left="113" w:right="113"/>
              <w:rPr>
                <w:rFonts w:hint="eastAsia" w:ascii="宋体" w:hAnsi="宋体" w:cs="宋体"/>
                <w:color w:val="auto"/>
                <w:sz w:val="18"/>
                <w:szCs w:val="18"/>
                <w:highlight w:val="none"/>
              </w:rPr>
            </w:pPr>
          </w:p>
        </w:tc>
        <w:tc>
          <w:tcPr>
            <w:tcW w:w="934" w:type="dxa"/>
            <w:textDirection w:val="btLr"/>
            <w:vAlign w:val="top"/>
          </w:tcPr>
          <w:p>
            <w:pPr>
              <w:spacing w:line="360" w:lineRule="exact"/>
              <w:ind w:left="113" w:right="113"/>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3" w:type="dxa"/>
            <w:textDirection w:val="btLr"/>
            <w:vAlign w:val="top"/>
          </w:tcPr>
          <w:p>
            <w:pPr>
              <w:spacing w:line="360" w:lineRule="exact"/>
              <w:ind w:left="113" w:right="113"/>
              <w:rPr>
                <w:rFonts w:hint="eastAsia" w:ascii="宋体" w:hAnsi="宋体" w:cs="宋体"/>
                <w:color w:val="auto"/>
                <w:highlight w:val="none"/>
              </w:rPr>
            </w:pPr>
          </w:p>
        </w:tc>
        <w:tc>
          <w:tcPr>
            <w:tcW w:w="376" w:type="dxa"/>
            <w:textDirection w:val="btLr"/>
            <w:vAlign w:val="top"/>
          </w:tcPr>
          <w:p>
            <w:pPr>
              <w:spacing w:line="360" w:lineRule="exact"/>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0" w:hRule="atLeast"/>
          <w:jc w:val="center"/>
        </w:trPr>
        <w:tc>
          <w:tcPr>
            <w:tcW w:w="499" w:type="dxa"/>
            <w:textDirection w:val="btLr"/>
            <w:vAlign w:val="top"/>
          </w:tcPr>
          <w:p>
            <w:pPr>
              <w:spacing w:line="260" w:lineRule="exact"/>
              <w:ind w:left="113" w:leftChars="54" w:firstLine="735" w:firstLineChars="350"/>
              <w:rPr>
                <w:rFonts w:hint="eastAsia" w:ascii="宋体" w:hAnsi="宋体" w:cs="宋体"/>
                <w:color w:val="auto"/>
                <w:highlight w:val="none"/>
              </w:rPr>
            </w:pPr>
            <w:r>
              <w:rPr>
                <w:rFonts w:hint="eastAsia" w:ascii="宋体" w:hAnsi="宋体" w:cs="宋体"/>
                <w:color w:val="auto"/>
                <w:highlight w:val="none"/>
              </w:rPr>
              <w:t xml:space="preserve">年 度 </w:t>
            </w:r>
          </w:p>
        </w:tc>
        <w:tc>
          <w:tcPr>
            <w:tcW w:w="942" w:type="dxa"/>
            <w:gridSpan w:val="2"/>
            <w:tcBorders>
              <w:tr2bl w:val="single" w:color="auto" w:sz="4" w:space="0"/>
            </w:tcBorders>
            <w:textDirection w:val="btLr"/>
            <w:vAlign w:val="center"/>
          </w:tcPr>
          <w:p>
            <w:pPr>
              <w:spacing w:line="360" w:lineRule="exact"/>
              <w:ind w:right="113"/>
              <w:jc w:val="right"/>
              <w:rPr>
                <w:rFonts w:hint="eastAsia" w:ascii="宋体" w:hAnsi="宋体" w:cs="宋体"/>
                <w:color w:val="auto"/>
                <w:sz w:val="18"/>
                <w:szCs w:val="18"/>
                <w:highlight w:val="none"/>
              </w:rPr>
            </w:pPr>
            <w:r>
              <w:rPr>
                <w:rFonts w:hint="eastAsia" w:ascii="宋体" w:hAnsi="宋体" w:cs="宋体"/>
                <w:color w:val="auto"/>
                <w:sz w:val="18"/>
                <w:szCs w:val="18"/>
                <w:highlight w:val="none"/>
              </w:rPr>
              <w:t>月 份</w:t>
            </w:r>
          </w:p>
          <w:p>
            <w:pPr>
              <w:spacing w:line="360" w:lineRule="exact"/>
              <w:ind w:left="113" w:leftChars="54" w:right="113" w:firstLine="90" w:firstLineChars="50"/>
              <w:rPr>
                <w:rFonts w:hint="eastAsia" w:ascii="宋体" w:hAnsi="宋体" w:cs="宋体"/>
                <w:color w:val="auto"/>
                <w:sz w:val="18"/>
                <w:szCs w:val="18"/>
                <w:highlight w:val="none"/>
              </w:rPr>
            </w:pPr>
            <w:r>
              <w:rPr>
                <w:rFonts w:hint="eastAsia" w:ascii="宋体" w:hAnsi="宋体" w:cs="宋体"/>
                <w:color w:val="auto"/>
                <w:sz w:val="18"/>
                <w:szCs w:val="18"/>
                <w:highlight w:val="none"/>
              </w:rPr>
              <w:t>主要工程项目</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1.</w:t>
            </w:r>
            <w:r>
              <w:rPr>
                <w:rStyle w:val="45"/>
                <w:rFonts w:hint="default"/>
                <w:color w:val="auto"/>
                <w:highlight w:val="none"/>
              </w:rPr>
              <w:t>施工准备</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2.</w:t>
            </w:r>
            <w:r>
              <w:rPr>
                <w:rStyle w:val="45"/>
                <w:rFonts w:hint="default"/>
                <w:color w:val="auto"/>
                <w:highlight w:val="none"/>
              </w:rPr>
              <w:t>路基处理</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3.</w:t>
            </w:r>
            <w:r>
              <w:rPr>
                <w:rStyle w:val="45"/>
                <w:rFonts w:hint="default"/>
                <w:color w:val="auto"/>
                <w:highlight w:val="none"/>
              </w:rPr>
              <w:t>路基填筑</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4.</w:t>
            </w:r>
            <w:r>
              <w:rPr>
                <w:rStyle w:val="45"/>
                <w:rFonts w:hint="default"/>
                <w:color w:val="auto"/>
                <w:highlight w:val="none"/>
              </w:rPr>
              <w:t>涵洞</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5.</w:t>
            </w:r>
            <w:r>
              <w:rPr>
                <w:rStyle w:val="45"/>
                <w:rFonts w:hint="default"/>
                <w:color w:val="auto"/>
                <w:highlight w:val="none"/>
              </w:rPr>
              <w:t>通道</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6.</w:t>
            </w:r>
            <w:r>
              <w:rPr>
                <w:rStyle w:val="45"/>
                <w:rFonts w:hint="default"/>
                <w:color w:val="auto"/>
                <w:highlight w:val="none"/>
              </w:rPr>
              <w:t>防护及排水</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7.</w:t>
            </w:r>
            <w:r>
              <w:rPr>
                <w:rStyle w:val="45"/>
                <w:rFonts w:hint="default"/>
                <w:color w:val="auto"/>
                <w:highlight w:val="none"/>
              </w:rPr>
              <w:t>路面基层</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w:t>
            </w:r>
            <w:r>
              <w:rPr>
                <w:rStyle w:val="46"/>
                <w:rFonts w:hint="eastAsia" w:ascii="宋体" w:hAnsi="宋体" w:cs="宋体"/>
                <w:color w:val="auto"/>
                <w:highlight w:val="none"/>
              </w:rPr>
              <w:t>1</w:t>
            </w:r>
            <w:r>
              <w:rPr>
                <w:rStyle w:val="45"/>
                <w:rFonts w:hint="default"/>
                <w:color w:val="auto"/>
                <w:highlight w:val="none"/>
              </w:rPr>
              <w:t>）底基层</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w:t>
            </w:r>
            <w:r>
              <w:rPr>
                <w:rStyle w:val="46"/>
                <w:rFonts w:hint="eastAsia" w:ascii="宋体" w:hAnsi="宋体" w:cs="宋体"/>
                <w:color w:val="auto"/>
                <w:highlight w:val="none"/>
              </w:rPr>
              <w:t>2</w:t>
            </w:r>
            <w:r>
              <w:rPr>
                <w:rStyle w:val="45"/>
                <w:rFonts w:hint="default"/>
                <w:color w:val="auto"/>
                <w:highlight w:val="none"/>
              </w:rPr>
              <w:t>）基层</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8.</w:t>
            </w:r>
            <w:r>
              <w:rPr>
                <w:rStyle w:val="45"/>
                <w:rFonts w:hint="default"/>
                <w:color w:val="auto"/>
                <w:highlight w:val="none"/>
              </w:rPr>
              <w:t>路面铺筑</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9.</w:t>
            </w:r>
            <w:r>
              <w:rPr>
                <w:rStyle w:val="45"/>
                <w:rFonts w:hint="default"/>
                <w:color w:val="auto"/>
                <w:highlight w:val="none"/>
              </w:rPr>
              <w:t>路面标志标线</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10.</w:t>
            </w:r>
            <w:r>
              <w:rPr>
                <w:rStyle w:val="45"/>
                <w:rFonts w:hint="default"/>
                <w:color w:val="auto"/>
                <w:highlight w:val="none"/>
              </w:rPr>
              <w:t>桥梁工程</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w:t>
            </w:r>
            <w:r>
              <w:rPr>
                <w:rStyle w:val="46"/>
                <w:rFonts w:hint="eastAsia" w:ascii="宋体" w:hAnsi="宋体" w:cs="宋体"/>
                <w:color w:val="auto"/>
                <w:highlight w:val="none"/>
              </w:rPr>
              <w:t>1</w:t>
            </w:r>
            <w:r>
              <w:rPr>
                <w:rStyle w:val="45"/>
                <w:rFonts w:hint="default"/>
                <w:color w:val="auto"/>
                <w:highlight w:val="none"/>
              </w:rPr>
              <w:t>）基础工程</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w:t>
            </w:r>
            <w:r>
              <w:rPr>
                <w:rStyle w:val="46"/>
                <w:rFonts w:hint="eastAsia" w:ascii="宋体" w:hAnsi="宋体" w:cs="宋体"/>
                <w:color w:val="auto"/>
                <w:highlight w:val="none"/>
              </w:rPr>
              <w:t>2</w:t>
            </w:r>
            <w:r>
              <w:rPr>
                <w:rStyle w:val="45"/>
                <w:rFonts w:hint="default"/>
                <w:color w:val="auto"/>
                <w:highlight w:val="none"/>
              </w:rPr>
              <w:t>）墩台工程</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w:t>
            </w:r>
            <w:r>
              <w:rPr>
                <w:rStyle w:val="46"/>
                <w:rFonts w:hint="eastAsia" w:ascii="宋体" w:hAnsi="宋体" w:cs="宋体"/>
                <w:color w:val="auto"/>
                <w:highlight w:val="none"/>
              </w:rPr>
              <w:t>3</w:t>
            </w:r>
            <w:r>
              <w:rPr>
                <w:rStyle w:val="45"/>
                <w:rFonts w:hint="default"/>
                <w:color w:val="auto"/>
                <w:highlight w:val="none"/>
              </w:rPr>
              <w:t>）梁体工程</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w:t>
            </w:r>
            <w:r>
              <w:rPr>
                <w:rStyle w:val="46"/>
                <w:rFonts w:hint="eastAsia" w:ascii="宋体" w:hAnsi="宋体" w:cs="宋体"/>
                <w:color w:val="auto"/>
                <w:highlight w:val="none"/>
              </w:rPr>
              <w:t>4</w:t>
            </w:r>
            <w:r>
              <w:rPr>
                <w:rStyle w:val="45"/>
                <w:rFonts w:hint="default"/>
                <w:color w:val="auto"/>
                <w:highlight w:val="none"/>
              </w:rPr>
              <w:t>）梁体安装</w:t>
            </w:r>
          </w:p>
        </w:tc>
        <w:tc>
          <w:tcPr>
            <w:tcW w:w="373" w:type="dxa"/>
            <w:textDirection w:val="btLr"/>
            <w:vAlign w:val="top"/>
          </w:tcPr>
          <w:p>
            <w:pPr>
              <w:widowControl/>
              <w:ind w:left="113" w:right="113"/>
              <w:jc w:val="left"/>
              <w:textAlignment w:val="top"/>
              <w:rPr>
                <w:rFonts w:hint="eastAsia" w:ascii="宋体" w:hAnsi="宋体" w:cs="宋体"/>
                <w:color w:val="auto"/>
                <w:spacing w:val="-10"/>
                <w:szCs w:val="21"/>
                <w:highlight w:val="none"/>
              </w:rPr>
            </w:pPr>
            <w:r>
              <w:rPr>
                <w:rFonts w:hint="eastAsia" w:ascii="宋体" w:hAnsi="宋体" w:cs="宋体"/>
                <w:color w:val="auto"/>
                <w:kern w:val="0"/>
                <w:sz w:val="20"/>
                <w:szCs w:val="20"/>
                <w:highlight w:val="none"/>
              </w:rPr>
              <w:t>（</w:t>
            </w:r>
            <w:r>
              <w:rPr>
                <w:rStyle w:val="46"/>
                <w:rFonts w:hint="eastAsia" w:ascii="宋体" w:hAnsi="宋体" w:cs="宋体"/>
                <w:color w:val="auto"/>
                <w:highlight w:val="none"/>
              </w:rPr>
              <w:t>5</w:t>
            </w:r>
            <w:r>
              <w:rPr>
                <w:rStyle w:val="45"/>
                <w:rFonts w:hint="default"/>
                <w:color w:val="auto"/>
                <w:highlight w:val="none"/>
              </w:rPr>
              <w:t>）桥面铺装及人行道</w:t>
            </w:r>
          </w:p>
        </w:tc>
        <w:tc>
          <w:tcPr>
            <w:tcW w:w="373"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11.</w:t>
            </w:r>
            <w:r>
              <w:rPr>
                <w:rStyle w:val="45"/>
                <w:rFonts w:hint="default"/>
                <w:color w:val="auto"/>
                <w:highlight w:val="none"/>
              </w:rPr>
              <w:t>隧道</w:t>
            </w:r>
          </w:p>
        </w:tc>
        <w:tc>
          <w:tcPr>
            <w:tcW w:w="376" w:type="dxa"/>
            <w:textDirection w:val="btLr"/>
            <w:vAlign w:val="top"/>
          </w:tcPr>
          <w:p>
            <w:pPr>
              <w:widowControl/>
              <w:ind w:left="113" w:right="113"/>
              <w:jc w:val="left"/>
              <w:textAlignment w:val="top"/>
              <w:rPr>
                <w:rFonts w:hint="eastAsia" w:ascii="宋体" w:hAnsi="宋体" w:cs="宋体"/>
                <w:color w:val="auto"/>
                <w:highlight w:val="none"/>
              </w:rPr>
            </w:pPr>
            <w:r>
              <w:rPr>
                <w:rFonts w:hint="eastAsia" w:ascii="宋体" w:hAnsi="宋体" w:cs="宋体"/>
                <w:color w:val="auto"/>
                <w:kern w:val="0"/>
                <w:sz w:val="20"/>
                <w:szCs w:val="20"/>
                <w:highlight w:val="none"/>
              </w:rPr>
              <w:t>12.</w:t>
            </w:r>
            <w:r>
              <w:rPr>
                <w:rStyle w:val="45"/>
                <w:rFonts w:hint="default"/>
                <w:color w:val="auto"/>
                <w:highlight w:val="none"/>
              </w:rPr>
              <w:t>其他</w:t>
            </w:r>
          </w:p>
        </w:tc>
      </w:tr>
    </w:tbl>
    <w:p>
      <w:pPr>
        <w:rPr>
          <w:rFonts w:hint="eastAsia" w:ascii="宋体" w:hAnsi="宋体" w:cs="宋体"/>
          <w:color w:val="auto"/>
          <w:sz w:val="19"/>
          <w:highlight w:val="none"/>
        </w:rPr>
      </w:pPr>
    </w:p>
    <w:p>
      <w:pPr>
        <w:rPr>
          <w:rFonts w:hint="eastAsia" w:ascii="宋体" w:hAnsi="宋体" w:cs="宋体"/>
          <w:color w:val="auto"/>
          <w:sz w:val="19"/>
          <w:highlight w:val="none"/>
        </w:rPr>
      </w:pPr>
      <w:r>
        <w:rPr>
          <w:rFonts w:hint="eastAsia" w:ascii="宋体" w:hAnsi="宋体" w:cs="宋体"/>
          <w:color w:val="auto"/>
          <w:sz w:val="19"/>
          <w:highlight w:val="none"/>
        </w:rPr>
        <w:br w:type="page"/>
      </w:r>
    </w:p>
    <w:p>
      <w:pPr>
        <w:rPr>
          <w:rFonts w:hint="eastAsia" w:ascii="宋体" w:hAnsi="宋体" w:cs="宋体"/>
          <w:color w:val="auto"/>
          <w:sz w:val="19"/>
          <w:highlight w:val="none"/>
        </w:rPr>
      </w:pPr>
    </w:p>
    <w:p>
      <w:pPr>
        <w:rPr>
          <w:rFonts w:hint="eastAsia" w:ascii="宋体" w:hAnsi="宋体" w:cs="宋体"/>
          <w:color w:val="auto"/>
          <w:sz w:val="2"/>
          <w:highlight w:val="none"/>
        </w:rPr>
      </w:pPr>
    </w:p>
    <w:tbl>
      <w:tblPr>
        <w:tblStyle w:val="18"/>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584"/>
        <w:gridCol w:w="406"/>
        <w:gridCol w:w="406"/>
        <w:gridCol w:w="406"/>
        <w:gridCol w:w="406"/>
        <w:gridCol w:w="407"/>
        <w:gridCol w:w="406"/>
        <w:gridCol w:w="406"/>
        <w:gridCol w:w="406"/>
        <w:gridCol w:w="407"/>
        <w:gridCol w:w="406"/>
        <w:gridCol w:w="406"/>
        <w:gridCol w:w="406"/>
        <w:gridCol w:w="407"/>
        <w:gridCol w:w="406"/>
        <w:gridCol w:w="406"/>
        <w:gridCol w:w="406"/>
        <w:gridCol w:w="407"/>
        <w:gridCol w:w="406"/>
        <w:gridCol w:w="406"/>
        <w:gridCol w:w="406"/>
        <w:gridCol w:w="40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restart"/>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____年</w:t>
            </w:r>
          </w:p>
        </w:tc>
        <w:tc>
          <w:tcPr>
            <w:tcW w:w="584" w:type="dxa"/>
            <w:vMerge w:val="restart"/>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四</w:t>
            </w: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10</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restart"/>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三</w:t>
            </w: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9</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8</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7</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restart"/>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二</w:t>
            </w: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6</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5</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4</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restart"/>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一</w:t>
            </w: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3</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2</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1</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restart"/>
            <w:textDirection w:val="btLr"/>
            <w:vAlign w:val="center"/>
          </w:tcPr>
          <w:p>
            <w:pPr>
              <w:ind w:left="113" w:leftChars="54" w:right="113" w:firstLine="315" w:firstLineChars="150"/>
              <w:jc w:val="center"/>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-417830</wp:posOffset>
                      </wp:positionH>
                      <wp:positionV relativeFrom="paragraph">
                        <wp:posOffset>-2039620</wp:posOffset>
                      </wp:positionV>
                      <wp:extent cx="328930" cy="347853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28930" cy="3478530"/>
                              </a:xfrm>
                              <a:prstGeom prst="rect">
                                <a:avLst/>
                              </a:prstGeom>
                              <a:noFill/>
                              <a:ln>
                                <a:noFill/>
                              </a:ln>
                              <a:effectLst/>
                            </wps:spPr>
                            <wps:txbx>
                              <w:txbxContent>
                                <w:p>
                                  <w:pPr>
                                    <w:rPr>
                                      <w:rFonts w:ascii="黑体" w:eastAsia="黑体"/>
                                      <w:sz w:val="24"/>
                                    </w:rPr>
                                  </w:pPr>
                                  <w:r>
                                    <w:rPr>
                                      <w:rFonts w:hint="eastAsia" w:ascii="黑体" w:eastAsia="黑体"/>
                                      <w:sz w:val="24"/>
                                    </w:rPr>
                                    <w:t>附表二  分项工程进度率计划（斜率图）</w:t>
                                  </w:r>
                                </w:p>
                              </w:txbxContent>
                            </wps:txbx>
                            <wps:bodyPr vert="vert270" lIns="0" tIns="0" rIns="0" bIns="0" upright="1"/>
                          </wps:wsp>
                        </a:graphicData>
                      </a:graphic>
                    </wp:anchor>
                  </w:drawing>
                </mc:Choice>
                <mc:Fallback>
                  <w:pict>
                    <v:shape id="_x0000_s1026" o:spid="_x0000_s1026" o:spt="202" type="#_x0000_t202" style="position:absolute;left:0pt;margin-left:-32.9pt;margin-top:-160.6pt;height:273.9pt;width:25.9pt;z-index:251662336;mso-width-relative:page;mso-height-relative:page;" filled="f" stroked="f" coordsize="21600,21600" o:gfxdata="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yU2LtkA&#10;AAAMAQAADwAAAAAAAAABACAAAAAiAAAAZHJzL2Rvd25yZXYueG1sUEsBAhQAFAAAAAgAh07iQDT0&#10;baWsAQAAQwMAAA4AAAAAAAAAAQAgAAAAKAEAAGRycy9lMm9Eb2MueG1sUEsFBgAAAAAGAAYAWQEA&#10;AEYFAAAAAA==&#10;">
                      <v:fill on="f" focussize="0,0"/>
                      <v:stroke on="f"/>
                      <v:imagedata o:title=""/>
                      <o:lock v:ext="edit" aspectratio="f"/>
                      <v:textbox inset="0mm,0mm,0mm,0mm" style="layout-flow:vertical;mso-layout-flow-alt:bottom-to-top;">
                        <w:txbxContent>
                          <w:p>
                            <w:pPr>
                              <w:rPr>
                                <w:rFonts w:ascii="黑体" w:eastAsia="黑体"/>
                                <w:sz w:val="24"/>
                              </w:rPr>
                            </w:pPr>
                            <w:r>
                              <w:rPr>
                                <w:rFonts w:hint="eastAsia" w:ascii="黑体" w:eastAsia="黑体"/>
                                <w:sz w:val="24"/>
                              </w:rPr>
                              <w:t>附表二  分项工程进度率计划（斜率图）</w:t>
                            </w:r>
                          </w:p>
                        </w:txbxContent>
                      </v:textbox>
                    </v:shape>
                  </w:pict>
                </mc:Fallback>
              </mc:AlternateContent>
            </w:r>
            <w:r>
              <w:rPr>
                <w:rFonts w:hint="eastAsia" w:ascii="宋体" w:hAnsi="宋体" w:cs="宋体"/>
                <w:color w:val="auto"/>
                <w:highlight w:val="none"/>
              </w:rPr>
              <w:t>____年</w:t>
            </w:r>
          </w:p>
        </w:tc>
        <w:tc>
          <w:tcPr>
            <w:tcW w:w="584" w:type="dxa"/>
            <w:vMerge w:val="restart"/>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四</w:t>
            </w: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12</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11</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10</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restart"/>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三</w:t>
            </w: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9</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r>
              <w:rPr>
                <w:rFonts w:hint="eastAsia" w:ascii="宋体" w:hAnsi="宋体" w:cs="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140335</wp:posOffset>
                      </wp:positionH>
                      <wp:positionV relativeFrom="paragraph">
                        <wp:posOffset>-57785</wp:posOffset>
                      </wp:positionV>
                      <wp:extent cx="502920" cy="35356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02920" cy="3535680"/>
                              </a:xfrm>
                              <a:prstGeom prst="rect">
                                <a:avLst/>
                              </a:prstGeom>
                              <a:noFill/>
                              <a:ln>
                                <a:noFill/>
                              </a:ln>
                              <a:effectLst/>
                            </wps:spPr>
                            <wps:txbx>
                              <w:txbxContent>
                                <w:p>
                                  <w:pPr>
                                    <w:rPr>
                                      <w:rFonts w:ascii="黑体" w:eastAsia="黑体"/>
                                      <w:szCs w:val="21"/>
                                    </w:rPr>
                                  </w:pPr>
                                  <w:r>
                                    <w:rPr>
                                      <w:rFonts w:hint="eastAsia" w:ascii="黑体" w:eastAsia="黑体"/>
                                      <w:szCs w:val="21"/>
                                    </w:rPr>
                                    <w:t>注：1.应按各标段实际工程内容填写。</w:t>
                                  </w:r>
                                </w:p>
                                <w:p>
                                  <w:pPr>
                                    <w:ind w:firstLine="420" w:firstLineChars="200"/>
                                    <w:rPr>
                                      <w:rFonts w:ascii="黑体" w:eastAsia="黑体"/>
                                      <w:szCs w:val="21"/>
                                    </w:rPr>
                                  </w:pPr>
                                  <w:r>
                                    <w:rPr>
                                      <w:rFonts w:hint="eastAsia" w:ascii="黑体" w:eastAsia="黑体"/>
                                      <w:szCs w:val="21"/>
                                    </w:rPr>
                                    <w:t>2.各个项目的进程可用线条的长短来表示</w:t>
                                  </w:r>
                                </w:p>
                              </w:txbxContent>
                            </wps:txbx>
                            <wps:bodyPr vert="vert270" upright="1"/>
                          </wps:wsp>
                        </a:graphicData>
                      </a:graphic>
                    </wp:anchor>
                  </w:drawing>
                </mc:Choice>
                <mc:Fallback>
                  <w:pict>
                    <v:shape id="_x0000_s1026" o:spid="_x0000_s1026" o:spt="202" type="#_x0000_t202" style="position:absolute;left:0pt;margin-left:11.05pt;margin-top:-4.55pt;height:278.4pt;width:39.6pt;z-index:251661312;mso-width-relative:page;mso-height-relative:page;" filled="f" stroked="f" coordsize="21600,21600" o:gfxdata="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uVyN9oAAAAJAQAADwAAAAAA&#10;AAABACAAAAAiAAAAZHJzL2Rvd25yZXYueG1sUEsBAhQAFAAAAAgAh07iQFPTowufAQAAHwMAAA4A&#10;AAAAAAAAAQAgAAAAKQEAAGRycy9lMm9Eb2MueG1sUEsFBgAAAAAGAAYAWQEAADoFAAAAAA==&#10;">
                      <v:fill on="f" focussize="0,0"/>
                      <v:stroke on="f"/>
                      <v:imagedata o:title=""/>
                      <o:lock v:ext="edit" aspectratio="f"/>
                      <v:textbox style="layout-flow:vertical;mso-layout-flow-alt:bottom-to-top;">
                        <w:txbxContent>
                          <w:p>
                            <w:pPr>
                              <w:rPr>
                                <w:rFonts w:ascii="黑体" w:eastAsia="黑体"/>
                                <w:szCs w:val="21"/>
                              </w:rPr>
                            </w:pPr>
                            <w:r>
                              <w:rPr>
                                <w:rFonts w:hint="eastAsia" w:ascii="黑体" w:eastAsia="黑体"/>
                                <w:szCs w:val="21"/>
                              </w:rPr>
                              <w:t>注：1.应按各标段实际工程内容填写。</w:t>
                            </w:r>
                          </w:p>
                          <w:p>
                            <w:pPr>
                              <w:ind w:firstLine="420" w:firstLineChars="200"/>
                              <w:rPr>
                                <w:rFonts w:ascii="黑体" w:eastAsia="黑体"/>
                                <w:szCs w:val="21"/>
                              </w:rPr>
                            </w:pPr>
                            <w:r>
                              <w:rPr>
                                <w:rFonts w:hint="eastAsia" w:ascii="黑体" w:eastAsia="黑体"/>
                                <w:szCs w:val="21"/>
                              </w:rPr>
                              <w:t>2.各个项目的进程可用线条的长短来表示</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8</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7</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restart"/>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二</w:t>
            </w: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6</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5</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center"/>
          </w:tcPr>
          <w:p>
            <w:pPr>
              <w:ind w:left="113" w:right="113"/>
              <w:jc w:val="center"/>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4</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restart"/>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一</w:t>
            </w: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3</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top"/>
          </w:tcPr>
          <w:p>
            <w:pPr>
              <w:ind w:left="113" w:right="113"/>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2</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87" w:type="dxa"/>
            <w:vMerge w:val="continue"/>
            <w:textDirection w:val="btLr"/>
            <w:vAlign w:val="top"/>
          </w:tcPr>
          <w:p>
            <w:pPr>
              <w:ind w:left="113" w:right="113"/>
              <w:rPr>
                <w:rFonts w:hint="eastAsia" w:ascii="宋体" w:hAnsi="宋体" w:cs="宋体"/>
                <w:color w:val="auto"/>
                <w:highlight w:val="none"/>
              </w:rPr>
            </w:pPr>
          </w:p>
        </w:tc>
        <w:tc>
          <w:tcPr>
            <w:tcW w:w="584" w:type="dxa"/>
            <w:vMerge w:val="continue"/>
            <w:textDirection w:val="btLr"/>
            <w:vAlign w:val="top"/>
          </w:tcPr>
          <w:p>
            <w:pPr>
              <w:ind w:left="113" w:right="113"/>
              <w:rPr>
                <w:rFonts w:hint="eastAsia" w:ascii="宋体" w:hAnsi="宋体" w:cs="宋体"/>
                <w:color w:val="auto"/>
                <w:highlight w:val="none"/>
              </w:rPr>
            </w:pPr>
          </w:p>
        </w:tc>
        <w:tc>
          <w:tcPr>
            <w:tcW w:w="406" w:type="dxa"/>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1</w:t>
            </w: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6" w:type="dxa"/>
            <w:textDirection w:val="btLr"/>
            <w:vAlign w:val="top"/>
          </w:tcPr>
          <w:p>
            <w:pPr>
              <w:ind w:left="113" w:right="113"/>
              <w:rPr>
                <w:rFonts w:hint="eastAsia" w:ascii="宋体" w:hAnsi="宋体" w:cs="宋体"/>
                <w:color w:val="auto"/>
                <w:highlight w:val="none"/>
              </w:rPr>
            </w:pPr>
          </w:p>
        </w:tc>
        <w:tc>
          <w:tcPr>
            <w:tcW w:w="407" w:type="dxa"/>
            <w:gridSpan w:val="2"/>
            <w:textDirection w:val="btLr"/>
            <w:vAlign w:val="top"/>
          </w:tcPr>
          <w:p>
            <w:pPr>
              <w:ind w:left="113" w:right="113"/>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2559" w:hRule="atLeast"/>
          <w:jc w:val="center"/>
        </w:trPr>
        <w:tc>
          <w:tcPr>
            <w:tcW w:w="387" w:type="dxa"/>
            <w:textDirection w:val="btLr"/>
            <w:vAlign w:val="top"/>
          </w:tcPr>
          <w:p>
            <w:pPr>
              <w:ind w:left="113" w:right="113"/>
              <w:jc w:val="center"/>
              <w:rPr>
                <w:rFonts w:hint="eastAsia" w:ascii="宋体" w:hAnsi="宋体" w:cs="宋体"/>
                <w:color w:val="auto"/>
                <w:highlight w:val="none"/>
              </w:rPr>
            </w:pPr>
            <w:r>
              <w:rPr>
                <w:rFonts w:hint="eastAsia" w:ascii="宋体" w:hAnsi="宋体" w:cs="宋体"/>
                <w:color w:val="auto"/>
                <w:highlight w:val="none"/>
              </w:rPr>
              <w:t>年 度</w:t>
            </w:r>
          </w:p>
        </w:tc>
        <w:tc>
          <w:tcPr>
            <w:tcW w:w="584" w:type="dxa"/>
            <w:textDirection w:val="btLr"/>
            <w:vAlign w:val="top"/>
          </w:tcPr>
          <w:p>
            <w:pPr>
              <w:ind w:left="113" w:right="113"/>
              <w:jc w:val="center"/>
              <w:rPr>
                <w:rFonts w:hint="eastAsia" w:ascii="宋体" w:hAnsi="宋体" w:cs="宋体"/>
                <w:color w:val="auto"/>
                <w:highlight w:val="none"/>
              </w:rPr>
            </w:pPr>
            <w:r>
              <w:rPr>
                <w:rFonts w:hint="eastAsia" w:ascii="宋体" w:hAnsi="宋体" w:cs="宋体"/>
                <w:color w:val="auto"/>
                <w:highlight w:val="none"/>
              </w:rPr>
              <w:t>季 度</w:t>
            </w:r>
          </w:p>
        </w:tc>
        <w:tc>
          <w:tcPr>
            <w:tcW w:w="406" w:type="dxa"/>
            <w:textDirection w:val="btLr"/>
            <w:vAlign w:val="top"/>
          </w:tcPr>
          <w:p>
            <w:pPr>
              <w:ind w:left="113" w:right="113"/>
              <w:jc w:val="center"/>
              <w:rPr>
                <w:rFonts w:hint="eastAsia" w:ascii="宋体" w:hAnsi="宋体" w:cs="宋体"/>
                <w:color w:val="auto"/>
                <w:highlight w:val="none"/>
              </w:rPr>
            </w:pPr>
            <w:r>
              <w:rPr>
                <w:rFonts w:hint="eastAsia" w:ascii="宋体" w:hAnsi="宋体" w:cs="宋体"/>
                <w:color w:val="auto"/>
                <w:highlight w:val="none"/>
              </w:rPr>
              <w:t>月 份</w:t>
            </w:r>
          </w:p>
        </w:tc>
        <w:tc>
          <w:tcPr>
            <w:tcW w:w="8119" w:type="dxa"/>
            <w:gridSpan w:val="20"/>
            <w:textDirection w:val="btLr"/>
            <w:vAlign w:val="top"/>
          </w:tcPr>
          <w:p>
            <w:pPr>
              <w:spacing w:line="400" w:lineRule="exact"/>
              <w:ind w:left="113" w:right="113"/>
              <w:jc w:val="left"/>
              <w:rPr>
                <w:rFonts w:hint="eastAsia" w:ascii="宋体" w:hAnsi="宋体" w:cs="宋体"/>
                <w:color w:val="auto"/>
                <w:highlight w:val="none"/>
              </w:rPr>
            </w:pPr>
            <w:r>
              <w:rPr>
                <w:rFonts w:hint="eastAsia" w:ascii="宋体" w:hAnsi="宋体" w:cs="宋体"/>
                <w:color w:val="auto"/>
                <w:highlight w:val="none"/>
              </w:rPr>
              <w:drawing>
                <wp:anchor distT="0" distB="0" distL="114300" distR="114300" simplePos="0" relativeHeight="251664384" behindDoc="0" locked="0" layoutInCell="1" allowOverlap="1">
                  <wp:simplePos x="0" y="0"/>
                  <wp:positionH relativeFrom="column">
                    <wp:posOffset>80645</wp:posOffset>
                  </wp:positionH>
                  <wp:positionV relativeFrom="paragraph">
                    <wp:posOffset>-1504950</wp:posOffset>
                  </wp:positionV>
                  <wp:extent cx="4827905" cy="1447165"/>
                  <wp:effectExtent l="0" t="0" r="10795" b="635"/>
                  <wp:wrapNone/>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21"/>
                          <a:stretch>
                            <a:fillRect/>
                          </a:stretch>
                        </pic:blipFill>
                        <pic:spPr>
                          <a:xfrm>
                            <a:off x="0" y="0"/>
                            <a:ext cx="4827905" cy="1447165"/>
                          </a:xfrm>
                          <a:prstGeom prst="rect">
                            <a:avLst/>
                          </a:prstGeom>
                          <a:noFill/>
                          <a:ln>
                            <a:noFill/>
                          </a:ln>
                        </pic:spPr>
                      </pic:pic>
                    </a:graphicData>
                  </a:graphic>
                </wp:anchor>
              </w:drawing>
            </w:r>
          </w:p>
        </w:tc>
      </w:tr>
    </w:tbl>
    <w:p>
      <w:pP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984" w:name="_Toc234349570"/>
      <w:bookmarkStart w:id="985" w:name="_Toc234348996"/>
      <w:r>
        <w:rPr>
          <w:rFonts w:hint="eastAsia" w:ascii="宋体" w:hAnsi="宋体" w:cs="宋体"/>
          <w:b/>
          <w:color w:val="auto"/>
          <w:sz w:val="28"/>
          <w:szCs w:val="28"/>
          <w:highlight w:val="none"/>
        </w:rPr>
        <w:t>附表三  工程管理曲线</w:t>
      </w:r>
      <w:bookmarkEnd w:id="984"/>
      <w:bookmarkEnd w:id="985"/>
    </w:p>
    <w:tbl>
      <w:tblPr>
        <w:tblStyle w:val="18"/>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377"/>
        <w:gridCol w:w="381"/>
        <w:gridCol w:w="382"/>
        <w:gridCol w:w="381"/>
        <w:gridCol w:w="381"/>
        <w:gridCol w:w="380"/>
        <w:gridCol w:w="381"/>
        <w:gridCol w:w="380"/>
        <w:gridCol w:w="381"/>
        <w:gridCol w:w="381"/>
        <w:gridCol w:w="380"/>
        <w:gridCol w:w="385"/>
        <w:gridCol w:w="380"/>
        <w:gridCol w:w="381"/>
        <w:gridCol w:w="375"/>
        <w:gridCol w:w="6"/>
        <w:gridCol w:w="380"/>
        <w:gridCol w:w="381"/>
        <w:gridCol w:w="381"/>
        <w:gridCol w:w="381"/>
        <w:gridCol w:w="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19" w:type="dxa"/>
            <w:vMerge w:val="restart"/>
            <w:tcMar>
              <w:left w:w="0" w:type="dxa"/>
              <w:right w:w="0" w:type="dxa"/>
            </w:tcMar>
            <w:vAlign w:val="top"/>
          </w:tcPr>
          <w:p>
            <w:pPr>
              <w:ind w:firstLine="420" w:firstLineChars="200"/>
              <w:rPr>
                <w:rFonts w:hint="eastAsia" w:ascii="宋体" w:hAnsi="宋体" w:cs="宋体"/>
                <w:color w:val="auto"/>
                <w:highlight w:val="none"/>
              </w:rPr>
            </w:pPr>
            <w:r>
              <w:rPr>
                <w:rFonts w:hint="eastAsia" w:ascii="宋体" w:hAnsi="宋体" w:cs="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-10795</wp:posOffset>
                      </wp:positionH>
                      <wp:positionV relativeFrom="paragraph">
                        <wp:posOffset>-23495</wp:posOffset>
                      </wp:positionV>
                      <wp:extent cx="1144270" cy="6460490"/>
                      <wp:effectExtent l="1270" t="0" r="0" b="0"/>
                      <wp:wrapNone/>
                      <wp:docPr id="9" name="组合 9"/>
                      <wp:cNvGraphicFramePr/>
                      <a:graphic xmlns:a="http://schemas.openxmlformats.org/drawingml/2006/main">
                        <a:graphicData uri="http://schemas.microsoft.com/office/word/2010/wordprocessingGroup">
                          <wpg:wgp>
                            <wpg:cNvGrpSpPr/>
                            <wpg:grpSpPr>
                              <a:xfrm>
                                <a:off x="0" y="0"/>
                                <a:ext cx="1144270" cy="6460490"/>
                                <a:chOff x="0" y="0"/>
                                <a:chExt cx="1802" cy="10174"/>
                              </a:xfrm>
                              <a:effectLst/>
                            </wpg:grpSpPr>
                            <wps:wsp>
                              <wps:cNvPr id="4" name="矩形 7"/>
                              <wps:cNvSpPr/>
                              <wps:spPr>
                                <a:xfrm>
                                  <a:off x="27" y="961"/>
                                  <a:ext cx="1078" cy="536"/>
                                </a:xfrm>
                                <a:prstGeom prst="rect">
                                  <a:avLst/>
                                </a:prstGeom>
                                <a:noFill/>
                                <a:ln>
                                  <a:noFill/>
                                </a:ln>
                                <a:effectLst/>
                              </wps:spPr>
                              <wps:txbx>
                                <w:txbxContent>
                                  <w:p>
                                    <w:r>
                                      <w:rPr>
                                        <w:rFonts w:hint="eastAsia"/>
                                      </w:rPr>
                                      <w:t>进   度</w:t>
                                    </w:r>
                                  </w:p>
                                </w:txbxContent>
                              </wps:txbx>
                              <wps:bodyPr upright="1"/>
                            </wps:wsp>
                            <wps:wsp>
                              <wps:cNvPr id="5" name="矩形 8"/>
                              <wps:cNvSpPr/>
                              <wps:spPr>
                                <a:xfrm>
                                  <a:off x="902" y="0"/>
                                  <a:ext cx="900" cy="468"/>
                                </a:xfrm>
                                <a:prstGeom prst="rect">
                                  <a:avLst/>
                                </a:prstGeom>
                                <a:noFill/>
                                <a:ln>
                                  <a:noFill/>
                                </a:ln>
                                <a:effectLst/>
                              </wps:spPr>
                              <wps:txbx>
                                <w:txbxContent>
                                  <w:p>
                                    <w:r>
                                      <w:rPr>
                                        <w:rFonts w:hint="eastAsia"/>
                                      </w:rPr>
                                      <w:t>年 度</w:t>
                                    </w:r>
                                  </w:p>
                                </w:txbxContent>
                              </wps:txbx>
                              <wps:bodyPr upright="1"/>
                            </wps:wsp>
                            <wps:wsp>
                              <wps:cNvPr id="6" name="直线 9"/>
                              <wps:cNvCnPr/>
                              <wps:spPr>
                                <a:xfrm>
                                  <a:off x="0" y="54"/>
                                  <a:ext cx="1625" cy="428"/>
                                </a:xfrm>
                                <a:prstGeom prst="line">
                                  <a:avLst/>
                                </a:prstGeom>
                                <a:ln w="9525" cap="flat" cmpd="sng">
                                  <a:solidFill>
                                    <a:srgbClr val="000000"/>
                                  </a:solidFill>
                                  <a:prstDash val="solid"/>
                                  <a:headEnd type="none" w="med" len="med"/>
                                  <a:tailEnd type="none" w="med" len="med"/>
                                </a:ln>
                                <a:effectLst/>
                              </wps:spPr>
                              <wps:bodyPr upright="1"/>
                            </wps:wsp>
                            <wps:wsp>
                              <wps:cNvPr id="7" name="直线 10"/>
                              <wps:cNvCnPr/>
                              <wps:spPr>
                                <a:xfrm>
                                  <a:off x="17" y="47"/>
                                  <a:ext cx="1621" cy="905"/>
                                </a:xfrm>
                                <a:prstGeom prst="line">
                                  <a:avLst/>
                                </a:prstGeom>
                                <a:ln w="9525" cap="flat" cmpd="sng">
                                  <a:solidFill>
                                    <a:srgbClr val="000000"/>
                                  </a:solidFill>
                                  <a:prstDash val="solid"/>
                                  <a:headEnd type="none" w="med" len="med"/>
                                  <a:tailEnd type="none" w="med" len="med"/>
                                </a:ln>
                                <a:effectLst/>
                              </wps:spPr>
                              <wps:bodyPr upright="1"/>
                            </wps:wsp>
                            <wps:wsp>
                              <wps:cNvPr id="8" name="文本框 11"/>
                              <wps:cNvSpPr txBox="1"/>
                              <wps:spPr>
                                <a:xfrm>
                                  <a:off x="377" y="3154"/>
                                  <a:ext cx="900" cy="7020"/>
                                </a:xfrm>
                                <a:prstGeom prst="rect">
                                  <a:avLst/>
                                </a:prstGeom>
                                <a:noFill/>
                                <a:ln>
                                  <a:noFill/>
                                </a:ln>
                                <a:effectLst/>
                              </wps:spPr>
                              <wps:txbx>
                                <w:txbxContent>
                                  <w:p>
                                    <w:pPr>
                                      <w:jc w:val="center"/>
                                      <w:rPr>
                                        <w:spacing w:val="60"/>
                                        <w:sz w:val="24"/>
                                      </w:rPr>
                                    </w:pPr>
                                    <w:r>
                                      <w:rPr>
                                        <w:rFonts w:hint="eastAsia"/>
                                        <w:spacing w:val="60"/>
                                        <w:sz w:val="24"/>
                                      </w:rPr>
                                      <w:t>工程完成的百分比</w:t>
                                    </w:r>
                                  </w:p>
                                  <w:p>
                                    <w:pPr>
                                      <w:rPr>
                                        <w:spacing w:val="60"/>
                                        <w:sz w:val="24"/>
                                      </w:rPr>
                                    </w:pPr>
                                    <w:r>
                                      <w:rPr>
                                        <w:rFonts w:hint="eastAsia"/>
                                        <w:spacing w:val="60"/>
                                        <w:sz w:val="24"/>
                                      </w:rPr>
                                      <w:t>(%)</w:t>
                                    </w:r>
                                  </w:p>
                                </w:txbxContent>
                              </wps:txbx>
                              <wps:bodyPr upright="1"/>
                            </wps:wsp>
                            <wps:wsp>
                              <wps:cNvPr id="12" name="矩形 12"/>
                              <wps:cNvSpPr/>
                              <wps:spPr>
                                <a:xfrm>
                                  <a:off x="925" y="337"/>
                                  <a:ext cx="353" cy="382"/>
                                </a:xfrm>
                                <a:prstGeom prst="rect">
                                  <a:avLst/>
                                </a:prstGeom>
                                <a:noFill/>
                                <a:ln>
                                  <a:noFill/>
                                </a:ln>
                                <a:effectLst/>
                              </wps:spPr>
                              <wps:txbx>
                                <w:txbxContent>
                                  <w:p>
                                    <w:pPr>
                                      <w:ind w:firstLine="105" w:firstLineChars="50"/>
                                    </w:pPr>
                                    <w:r>
                                      <w:rPr>
                                        <w:rFonts w:hint="eastAsia"/>
                                      </w:rPr>
                                      <w:t xml:space="preserve">季    </w:t>
                                    </w:r>
                                  </w:p>
                                </w:txbxContent>
                              </wps:txbx>
                              <wps:bodyPr lIns="0" tIns="0" rIns="0" bIns="0" upright="1"/>
                            </wps:wsp>
                            <wps:wsp>
                              <wps:cNvPr id="15" name="矩形 13"/>
                              <wps:cNvSpPr/>
                              <wps:spPr>
                                <a:xfrm>
                                  <a:off x="1285" y="493"/>
                                  <a:ext cx="353" cy="382"/>
                                </a:xfrm>
                                <a:prstGeom prst="rect">
                                  <a:avLst/>
                                </a:prstGeom>
                                <a:noFill/>
                                <a:ln>
                                  <a:noFill/>
                                </a:ln>
                                <a:effectLst/>
                              </wps:spPr>
                              <wps:txbx>
                                <w:txbxContent>
                                  <w:p>
                                    <w:r>
                                      <w:rPr>
                                        <w:rFonts w:hint="eastAsia"/>
                                      </w:rPr>
                                      <w:t>度</w:t>
                                    </w:r>
                                  </w:p>
                                </w:txbxContent>
                              </wps:txbx>
                              <wps:bodyPr lIns="0" tIns="0" rIns="0" bIns="0" upright="1"/>
                            </wps:wsp>
                          </wpg:wgp>
                        </a:graphicData>
                      </a:graphic>
                    </wp:anchor>
                  </w:drawing>
                </mc:Choice>
                <mc:Fallback>
                  <w:pict>
                    <v:group id="_x0000_s1026" o:spid="_x0000_s1026" o:spt="203" style="position:absolute;left:0pt;margin-left:-0.85pt;margin-top:-1.85pt;height:508.7pt;width:90.1pt;z-index:251660288;mso-width-relative:page;mso-height-relative:page;" coordsize="1802,10174" o:gfxdata="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CYjat41wAAAAoBAAAPAAAAAAAA&#10;AAEAIAAAACIAAABkcnMvZG93bnJldi54bWxQSwECFAAUAAAACACHTuJAY0h3V2kDAABjDgAADgAA&#10;AAAAAAABACAAAAAmAQAAZHJzL2Uyb0RvYy54bWxQSwUGAAAAAAYABgBZAQAAAQcAAAAA&#10;">
                      <o:lock v:ext="edit" aspectratio="f"/>
                      <v:rect id="矩形 7" o:spid="_x0000_s1026" o:spt="1" style="position:absolute;left:27;top:961;height:536;width:1078;"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进   度</w:t>
                              </w:r>
                            </w:p>
                          </w:txbxContent>
                        </v:textbox>
                      </v:rect>
                      <v:rect id="矩形 8" o:spid="_x0000_s1026" o:spt="1" style="position:absolute;left:902;top:0;height:468;width:9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年 度</w:t>
                              </w:r>
                            </w:p>
                          </w:txbxContent>
                        </v:textbox>
                      </v:rect>
                      <v:line id="直线 9" o:spid="_x0000_s1026" o:spt="20" style="position:absolute;left:0;top:54;height:428;width:1625;"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0" o:spid="_x0000_s1026" o:spt="20" style="position:absolute;left:17;top:47;height:905;width:162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11" o:spid="_x0000_s1026" o:spt="202" type="#_x0000_t202" style="position:absolute;left:377;top:3154;height:7020;width:90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rPr>
                                  <w:spacing w:val="60"/>
                                  <w:sz w:val="24"/>
                                </w:rPr>
                              </w:pPr>
                              <w:r>
                                <w:rPr>
                                  <w:rFonts w:hint="eastAsia"/>
                                  <w:spacing w:val="60"/>
                                  <w:sz w:val="24"/>
                                </w:rPr>
                                <w:t>工程完成的百分比</w:t>
                              </w:r>
                            </w:p>
                            <w:p>
                              <w:pPr>
                                <w:rPr>
                                  <w:spacing w:val="60"/>
                                  <w:sz w:val="24"/>
                                </w:rPr>
                              </w:pPr>
                              <w:r>
                                <w:rPr>
                                  <w:rFonts w:hint="eastAsia"/>
                                  <w:spacing w:val="60"/>
                                  <w:sz w:val="24"/>
                                </w:rPr>
                                <w:t>(%)</w:t>
                              </w:r>
                            </w:p>
                          </w:txbxContent>
                        </v:textbox>
                      </v:shape>
                      <v:rect id="_x0000_s1026" o:spid="_x0000_s1026" o:spt="1" style="position:absolute;left:925;top:337;height:382;width:353;" filled="f" stroked="f" coordsize="21600,21600" o:gfxdata="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Rmu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ind w:firstLine="105" w:firstLineChars="50"/>
                              </w:pPr>
                              <w:r>
                                <w:rPr>
                                  <w:rFonts w:hint="eastAsia"/>
                                </w:rPr>
                                <w:t xml:space="preserve">季    </w:t>
                              </w:r>
                            </w:p>
                          </w:txbxContent>
                        </v:textbox>
                      </v:rect>
                      <v:rect id="矩形 13" o:spid="_x0000_s1026" o:spt="1" style="position:absolute;left:1285;top:493;height:382;width:353;" filled="f" stroked="f" coordsize="21600,21600" o:gfxdata="UEsDBAoAAAAAAIdO4kAAAAAAAAAAAAAAAAAEAAAAZHJzL1BLAwQUAAAACACHTuJAPbgCl7sAAADb&#10;AAAADwAAAGRycy9kb3ducmV2LnhtbEVPS4vCMBC+C/sfwix401RhRa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gCl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rFonts w:hint="eastAsia"/>
                                </w:rPr>
                                <w:t>度</w:t>
                              </w:r>
                            </w:p>
                          </w:txbxContent>
                        </v:textbox>
                      </v:rect>
                    </v:group>
                  </w:pict>
                </mc:Fallback>
              </mc:AlternateContent>
            </w:r>
            <w:r>
              <w:rPr>
                <w:rFonts w:hint="eastAsia" w:ascii="宋体" w:hAnsi="宋体" w:cs="宋体"/>
                <w:color w:val="auto"/>
                <w:highlight w:val="none"/>
              </w:rPr>
              <w:t xml:space="preserve">  </w:t>
            </w:r>
          </w:p>
          <w:p>
            <w:pPr>
              <w:ind w:firstLine="105" w:firstLineChars="50"/>
              <w:rPr>
                <w:rFonts w:hint="eastAsia" w:ascii="宋体" w:hAnsi="宋体" w:cs="宋体"/>
                <w:color w:val="auto"/>
                <w:highlight w:val="none"/>
              </w:rPr>
            </w:pPr>
            <w:r>
              <w:rPr>
                <w:rFonts w:hint="eastAsia" w:ascii="宋体" w:hAnsi="宋体" w:cs="宋体"/>
                <w:color w:val="auto"/>
                <w:highlight w:val="none"/>
              </w:rPr>
              <w:t xml:space="preserve"> </w:t>
            </w:r>
          </w:p>
          <w:p>
            <w:pPr>
              <w:ind w:firstLine="315" w:firstLineChars="150"/>
              <w:rPr>
                <w:rFonts w:hint="eastAsia" w:ascii="宋体" w:hAnsi="宋体" w:cs="宋体"/>
                <w:color w:val="auto"/>
                <w:highlight w:val="none"/>
              </w:rPr>
            </w:pPr>
          </w:p>
          <w:p>
            <w:pPr>
              <w:rPr>
                <w:rFonts w:hint="eastAsia" w:ascii="宋体" w:hAnsi="宋体" w:cs="宋体"/>
                <w:color w:val="auto"/>
                <w:highlight w:val="none"/>
              </w:rPr>
            </w:pPr>
          </w:p>
        </w:tc>
        <w:tc>
          <w:tcPr>
            <w:tcW w:w="4570" w:type="dxa"/>
            <w:gridSpan w:val="12"/>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_____年</w:t>
            </w:r>
          </w:p>
        </w:tc>
        <w:tc>
          <w:tcPr>
            <w:tcW w:w="3046" w:type="dxa"/>
            <w:gridSpan w:val="9"/>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19" w:type="dxa"/>
            <w:vMerge w:val="continue"/>
            <w:tcMar>
              <w:left w:w="0" w:type="dxa"/>
              <w:right w:w="0" w:type="dxa"/>
            </w:tcMar>
            <w:vAlign w:val="top"/>
          </w:tcPr>
          <w:p>
            <w:pPr>
              <w:rPr>
                <w:rFonts w:hint="eastAsia" w:ascii="宋体" w:hAnsi="宋体" w:cs="宋体"/>
                <w:color w:val="auto"/>
                <w:highlight w:val="none"/>
              </w:rPr>
            </w:pPr>
          </w:p>
        </w:tc>
        <w:tc>
          <w:tcPr>
            <w:tcW w:w="1140" w:type="dxa"/>
            <w:gridSpan w:val="3"/>
            <w:tcBorders>
              <w:bottom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一</w:t>
            </w:r>
          </w:p>
        </w:tc>
        <w:tc>
          <w:tcPr>
            <w:tcW w:w="1142" w:type="dxa"/>
            <w:gridSpan w:val="3"/>
            <w:tcBorders>
              <w:bottom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二</w:t>
            </w:r>
          </w:p>
        </w:tc>
        <w:tc>
          <w:tcPr>
            <w:tcW w:w="1142" w:type="dxa"/>
            <w:gridSpan w:val="3"/>
            <w:tcBorders>
              <w:bottom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三</w:t>
            </w:r>
          </w:p>
        </w:tc>
        <w:tc>
          <w:tcPr>
            <w:tcW w:w="1146" w:type="dxa"/>
            <w:gridSpan w:val="3"/>
            <w:tcBorders>
              <w:bottom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四</w:t>
            </w:r>
          </w:p>
        </w:tc>
        <w:tc>
          <w:tcPr>
            <w:tcW w:w="1136" w:type="dxa"/>
            <w:gridSpan w:val="3"/>
            <w:tcBorders>
              <w:bottom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一</w:t>
            </w:r>
          </w:p>
        </w:tc>
        <w:tc>
          <w:tcPr>
            <w:tcW w:w="1148" w:type="dxa"/>
            <w:gridSpan w:val="4"/>
            <w:tcBorders>
              <w:bottom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二</w:t>
            </w:r>
          </w:p>
        </w:tc>
        <w:tc>
          <w:tcPr>
            <w:tcW w:w="762" w:type="dxa"/>
            <w:gridSpan w:val="2"/>
            <w:tcBorders>
              <w:bottom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19" w:type="dxa"/>
            <w:vMerge w:val="continue"/>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7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1</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2</w:t>
            </w:r>
          </w:p>
        </w:tc>
        <w:tc>
          <w:tcPr>
            <w:tcW w:w="3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3</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4</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5</w:t>
            </w:r>
          </w:p>
        </w:tc>
        <w:tc>
          <w:tcPr>
            <w:tcW w:w="3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6</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7</w:t>
            </w:r>
          </w:p>
        </w:tc>
        <w:tc>
          <w:tcPr>
            <w:tcW w:w="3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8</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9</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10</w:t>
            </w:r>
          </w:p>
        </w:tc>
        <w:tc>
          <w:tcPr>
            <w:tcW w:w="3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11</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12</w:t>
            </w:r>
          </w:p>
        </w:tc>
        <w:tc>
          <w:tcPr>
            <w:tcW w:w="3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1</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2</w:t>
            </w:r>
          </w:p>
        </w:tc>
        <w:tc>
          <w:tcPr>
            <w:tcW w:w="38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3</w:t>
            </w:r>
          </w:p>
        </w:tc>
        <w:tc>
          <w:tcPr>
            <w:tcW w:w="3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4</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5</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6</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restart"/>
            <w:tcMar>
              <w:left w:w="0" w:type="dxa"/>
              <w:right w:w="0" w:type="dxa"/>
            </w:tcMar>
            <w:vAlign w:val="top"/>
          </w:tcPr>
          <w:p>
            <w:pPr>
              <w:ind w:right="21" w:rightChars="10"/>
              <w:jc w:val="right"/>
              <w:rPr>
                <w:rFonts w:hint="eastAsia" w:ascii="宋体" w:hAnsi="宋体" w:cs="宋体"/>
                <w:color w:val="auto"/>
                <w:highlight w:val="none"/>
              </w:rPr>
            </w:pPr>
            <w:r>
              <w:rPr>
                <w:rFonts w:hint="eastAsia" w:ascii="宋体" w:hAnsi="宋体" w:cs="宋体"/>
                <w:color w:val="auto"/>
                <w:highlight w:val="none"/>
              </w:rPr>
              <w:t xml:space="preserve">100   </w:t>
            </w:r>
          </w:p>
          <w:p>
            <w:pPr>
              <w:ind w:right="21" w:rightChars="10"/>
              <w:jc w:val="right"/>
              <w:rPr>
                <w:rFonts w:hint="eastAsia" w:ascii="宋体" w:hAnsi="宋体" w:cs="宋体"/>
                <w:color w:val="auto"/>
                <w:highlight w:val="none"/>
              </w:rPr>
            </w:pPr>
          </w:p>
          <w:p>
            <w:pPr>
              <w:ind w:right="21" w:rightChars="10"/>
              <w:jc w:val="right"/>
              <w:rPr>
                <w:rFonts w:hint="eastAsia" w:ascii="宋体" w:hAnsi="宋体" w:cs="宋体"/>
                <w:color w:val="auto"/>
                <w:highlight w:val="none"/>
              </w:rPr>
            </w:pPr>
            <w:r>
              <w:rPr>
                <w:rFonts w:hint="eastAsia" w:ascii="宋体" w:hAnsi="宋体" w:cs="宋体"/>
                <w:color w:val="auto"/>
                <w:highlight w:val="none"/>
              </w:rPr>
              <w:t>90</w:t>
            </w:r>
          </w:p>
          <w:p>
            <w:pPr>
              <w:ind w:right="21" w:rightChars="10"/>
              <w:jc w:val="right"/>
              <w:rPr>
                <w:rFonts w:hint="eastAsia" w:ascii="宋体" w:hAnsi="宋体" w:cs="宋体"/>
                <w:color w:val="auto"/>
                <w:highlight w:val="none"/>
              </w:rPr>
            </w:pPr>
          </w:p>
          <w:p>
            <w:pPr>
              <w:ind w:right="21" w:rightChars="10"/>
              <w:jc w:val="right"/>
              <w:rPr>
                <w:rFonts w:hint="eastAsia" w:ascii="宋体" w:hAnsi="宋体" w:cs="宋体"/>
                <w:color w:val="auto"/>
                <w:highlight w:val="none"/>
              </w:rPr>
            </w:pPr>
            <w:r>
              <w:rPr>
                <w:rFonts w:hint="eastAsia" w:ascii="宋体" w:hAnsi="宋体" w:cs="宋体"/>
                <w:color w:val="auto"/>
                <w:highlight w:val="none"/>
              </w:rPr>
              <w:t>80</w:t>
            </w:r>
          </w:p>
          <w:p>
            <w:pPr>
              <w:ind w:right="21" w:rightChars="10"/>
              <w:jc w:val="right"/>
              <w:rPr>
                <w:rFonts w:hint="eastAsia" w:ascii="宋体" w:hAnsi="宋体" w:cs="宋体"/>
                <w:color w:val="auto"/>
                <w:highlight w:val="none"/>
              </w:rPr>
            </w:pPr>
          </w:p>
          <w:p>
            <w:pPr>
              <w:ind w:right="21" w:rightChars="10"/>
              <w:jc w:val="right"/>
              <w:rPr>
                <w:rFonts w:hint="eastAsia" w:ascii="宋体" w:hAnsi="宋体" w:cs="宋体"/>
                <w:color w:val="auto"/>
                <w:highlight w:val="none"/>
              </w:rPr>
            </w:pPr>
            <w:r>
              <w:rPr>
                <w:rFonts w:hint="eastAsia" w:ascii="宋体" w:hAnsi="宋体" w:cs="宋体"/>
                <w:color w:val="auto"/>
                <w:highlight w:val="none"/>
              </w:rPr>
              <w:t>70</w:t>
            </w:r>
          </w:p>
          <w:p>
            <w:pPr>
              <w:ind w:right="21" w:rightChars="10"/>
              <w:jc w:val="right"/>
              <w:rPr>
                <w:rFonts w:hint="eastAsia" w:ascii="宋体" w:hAnsi="宋体" w:cs="宋体"/>
                <w:color w:val="auto"/>
                <w:highlight w:val="none"/>
              </w:rPr>
            </w:pPr>
          </w:p>
          <w:p>
            <w:pPr>
              <w:ind w:right="21" w:rightChars="10"/>
              <w:jc w:val="right"/>
              <w:rPr>
                <w:rFonts w:hint="eastAsia" w:ascii="宋体" w:hAnsi="宋体" w:cs="宋体"/>
                <w:color w:val="auto"/>
                <w:highlight w:val="none"/>
              </w:rPr>
            </w:pPr>
            <w:r>
              <w:rPr>
                <w:rFonts w:hint="eastAsia" w:ascii="宋体" w:hAnsi="宋体" w:cs="宋体"/>
                <w:color w:val="auto"/>
                <w:highlight w:val="none"/>
              </w:rPr>
              <w:t>60</w:t>
            </w:r>
          </w:p>
          <w:p>
            <w:pPr>
              <w:ind w:right="21" w:rightChars="10"/>
              <w:jc w:val="right"/>
              <w:rPr>
                <w:rFonts w:hint="eastAsia" w:ascii="宋体" w:hAnsi="宋体" w:cs="宋体"/>
                <w:color w:val="auto"/>
                <w:highlight w:val="none"/>
              </w:rPr>
            </w:pPr>
          </w:p>
          <w:p>
            <w:pPr>
              <w:ind w:right="21" w:rightChars="10"/>
              <w:jc w:val="right"/>
              <w:rPr>
                <w:rFonts w:hint="eastAsia" w:ascii="宋体" w:hAnsi="宋体" w:cs="宋体"/>
                <w:color w:val="auto"/>
                <w:highlight w:val="none"/>
              </w:rPr>
            </w:pPr>
            <w:r>
              <w:rPr>
                <w:rFonts w:hint="eastAsia" w:ascii="宋体" w:hAnsi="宋体" w:cs="宋体"/>
                <w:color w:val="auto"/>
                <w:highlight w:val="none"/>
              </w:rPr>
              <w:t>50</w:t>
            </w:r>
          </w:p>
          <w:p>
            <w:pPr>
              <w:ind w:right="21" w:rightChars="10"/>
              <w:jc w:val="right"/>
              <w:rPr>
                <w:rFonts w:hint="eastAsia" w:ascii="宋体" w:hAnsi="宋体" w:cs="宋体"/>
                <w:color w:val="auto"/>
                <w:highlight w:val="none"/>
              </w:rPr>
            </w:pPr>
          </w:p>
          <w:p>
            <w:pPr>
              <w:ind w:right="21" w:rightChars="10"/>
              <w:jc w:val="right"/>
              <w:rPr>
                <w:rFonts w:hint="eastAsia" w:ascii="宋体" w:hAnsi="宋体" w:cs="宋体"/>
                <w:color w:val="auto"/>
                <w:highlight w:val="none"/>
              </w:rPr>
            </w:pPr>
            <w:r>
              <w:rPr>
                <w:rFonts w:hint="eastAsia" w:ascii="宋体" w:hAnsi="宋体" w:cs="宋体"/>
                <w:color w:val="auto"/>
                <w:highlight w:val="none"/>
              </w:rPr>
              <w:t>40</w:t>
            </w:r>
          </w:p>
          <w:p>
            <w:pPr>
              <w:ind w:right="21" w:rightChars="10"/>
              <w:jc w:val="right"/>
              <w:rPr>
                <w:rFonts w:hint="eastAsia" w:ascii="宋体" w:hAnsi="宋体" w:cs="宋体"/>
                <w:color w:val="auto"/>
                <w:highlight w:val="none"/>
              </w:rPr>
            </w:pPr>
          </w:p>
          <w:p>
            <w:pPr>
              <w:ind w:right="21" w:rightChars="10"/>
              <w:jc w:val="right"/>
              <w:rPr>
                <w:rFonts w:hint="eastAsia" w:ascii="宋体" w:hAnsi="宋体" w:cs="宋体"/>
                <w:color w:val="auto"/>
                <w:highlight w:val="none"/>
              </w:rPr>
            </w:pPr>
            <w:r>
              <w:rPr>
                <w:rFonts w:hint="eastAsia" w:ascii="宋体" w:hAnsi="宋体" w:cs="宋体"/>
                <w:color w:val="auto"/>
                <w:highlight w:val="none"/>
              </w:rPr>
              <w:t>30</w:t>
            </w:r>
          </w:p>
          <w:p>
            <w:pPr>
              <w:ind w:right="21" w:rightChars="10"/>
              <w:jc w:val="right"/>
              <w:rPr>
                <w:rFonts w:hint="eastAsia" w:ascii="宋体" w:hAnsi="宋体" w:cs="宋体"/>
                <w:color w:val="auto"/>
                <w:highlight w:val="none"/>
              </w:rPr>
            </w:pPr>
          </w:p>
          <w:p>
            <w:pPr>
              <w:ind w:right="21" w:rightChars="10"/>
              <w:jc w:val="right"/>
              <w:rPr>
                <w:rFonts w:hint="eastAsia" w:ascii="宋体" w:hAnsi="宋体" w:cs="宋体"/>
                <w:color w:val="auto"/>
                <w:highlight w:val="none"/>
              </w:rPr>
            </w:pPr>
            <w:r>
              <w:rPr>
                <w:rFonts w:hint="eastAsia" w:ascii="宋体" w:hAnsi="宋体" w:cs="宋体"/>
                <w:color w:val="auto"/>
                <w:highlight w:val="none"/>
              </w:rPr>
              <w:t>20</w:t>
            </w:r>
          </w:p>
          <w:p>
            <w:pPr>
              <w:ind w:right="21" w:rightChars="10"/>
              <w:jc w:val="right"/>
              <w:rPr>
                <w:rFonts w:hint="eastAsia" w:ascii="宋体" w:hAnsi="宋体" w:cs="宋体"/>
                <w:color w:val="auto"/>
                <w:highlight w:val="none"/>
              </w:rPr>
            </w:pPr>
          </w:p>
          <w:p>
            <w:pPr>
              <w:ind w:right="21" w:rightChars="10"/>
              <w:jc w:val="right"/>
              <w:rPr>
                <w:rFonts w:hint="eastAsia" w:ascii="宋体" w:hAnsi="宋体" w:cs="宋体"/>
                <w:color w:val="auto"/>
                <w:highlight w:val="none"/>
              </w:rPr>
            </w:pPr>
            <w:r>
              <w:rPr>
                <w:rFonts w:hint="eastAsia" w:ascii="宋体" w:hAnsi="宋体" w:cs="宋体"/>
                <w:color w:val="auto"/>
                <w:highlight w:val="none"/>
              </w:rPr>
              <w:t>10</w:t>
            </w:r>
          </w:p>
        </w:tc>
        <w:tc>
          <w:tcPr>
            <w:tcW w:w="377"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2"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0"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0"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0"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5"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0"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gridSpan w:val="2"/>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0"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top w:val="single" w:color="auto" w:sz="4" w:space="0"/>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9" w:type="dxa"/>
            <w:vMerge w:val="continue"/>
            <w:tcMar>
              <w:left w:w="0" w:type="dxa"/>
              <w:right w:w="0" w:type="dxa"/>
            </w:tcMar>
            <w:vAlign w:val="top"/>
          </w:tcPr>
          <w:p>
            <w:pPr>
              <w:rPr>
                <w:rFonts w:hint="eastAsia" w:ascii="宋体" w:hAnsi="宋体" w:cs="宋体"/>
                <w:color w:val="auto"/>
                <w:highlight w:val="none"/>
              </w:rPr>
            </w:pPr>
          </w:p>
        </w:tc>
        <w:tc>
          <w:tcPr>
            <w:tcW w:w="377"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2"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5" w:type="dxa"/>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gridSpan w:val="2"/>
            <w:tcMar>
              <w:left w:w="0" w:type="dxa"/>
              <w:right w:w="0" w:type="dxa"/>
            </w:tcMar>
            <w:vAlign w:val="top"/>
          </w:tcPr>
          <w:p>
            <w:pPr>
              <w:rPr>
                <w:rFonts w:hint="eastAsia" w:ascii="宋体" w:hAnsi="宋体" w:cs="宋体"/>
                <w:color w:val="auto"/>
                <w:highlight w:val="none"/>
              </w:rPr>
            </w:pPr>
          </w:p>
        </w:tc>
        <w:tc>
          <w:tcPr>
            <w:tcW w:w="380" w:type="dxa"/>
            <w:tcMar>
              <w:left w:w="0" w:type="dxa"/>
              <w:right w:w="0" w:type="dxa"/>
            </w:tcMar>
            <w:vAlign w:val="top"/>
          </w:tcPr>
          <w:p>
            <w:pPr>
              <w:rPr>
                <w:rFonts w:hint="eastAsia" w:ascii="宋体" w:hAnsi="宋体" w:cs="宋体"/>
                <w:color w:val="auto"/>
                <w:highlight w:val="none"/>
              </w:rPr>
            </w:pPr>
          </w:p>
        </w:tc>
        <w:tc>
          <w:tcPr>
            <w:tcW w:w="381" w:type="dxa"/>
            <w:tcMar>
              <w:left w:w="0" w:type="dxa"/>
              <w:right w:w="0" w:type="dxa"/>
            </w:tcMar>
            <w:vAlign w:val="top"/>
          </w:tcPr>
          <w:p>
            <w:pPr>
              <w:rPr>
                <w:rFonts w:hint="eastAsia" w:ascii="宋体" w:hAnsi="宋体" w:cs="宋体"/>
                <w:color w:val="auto"/>
                <w:highlight w:val="none"/>
              </w:rPr>
            </w:pPr>
          </w:p>
        </w:tc>
        <w:tc>
          <w:tcPr>
            <w:tcW w:w="381" w:type="dxa"/>
            <w:tcBorders>
              <w:righ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c>
          <w:tcPr>
            <w:tcW w:w="381" w:type="dxa"/>
            <w:tcBorders>
              <w:left w:val="single" w:color="auto" w:sz="4" w:space="0"/>
            </w:tcBorders>
            <w:tcMar>
              <w:left w:w="0" w:type="dxa"/>
              <w:right w:w="0" w:type="dxa"/>
            </w:tcMar>
            <w:vAlign w:val="top"/>
          </w:tcPr>
          <w:p>
            <w:pPr>
              <w:rPr>
                <w:rFonts w:hint="eastAsia" w:ascii="宋体" w:hAnsi="宋体" w:cs="宋体"/>
                <w:color w:val="auto"/>
                <w:highlight w:val="none"/>
              </w:rPr>
            </w:pPr>
          </w:p>
        </w:tc>
      </w:tr>
    </w:tbl>
    <w:p>
      <w:pPr>
        <w:ind w:right="-344" w:rightChars="-164"/>
        <w:rPr>
          <w:rFonts w:hint="eastAsia" w:ascii="宋体" w:hAnsi="宋体" w:cs="宋体"/>
          <w:color w:val="auto"/>
          <w:spacing w:val="-6"/>
          <w:szCs w:val="21"/>
          <w:highlight w:val="none"/>
        </w:rPr>
      </w:pPr>
      <w:r>
        <w:rPr>
          <w:rFonts w:hint="eastAsia" w:ascii="宋体" w:hAnsi="宋体" w:cs="宋体"/>
          <w:color w:val="auto"/>
          <w:highlight w:val="none"/>
        </w:rPr>
        <w:t xml:space="preserve">               </w:t>
      </w:r>
      <w:r>
        <w:rPr>
          <w:rFonts w:hint="eastAsia" w:ascii="宋体" w:hAnsi="宋体" w:cs="宋体"/>
          <w:color w:val="auto"/>
          <w:spacing w:val="-6"/>
          <w:szCs w:val="21"/>
          <w:highlight w:val="none"/>
        </w:rPr>
        <w:t>0      10      20      30      40       50      60      70      80      90     100</w:t>
      </w:r>
    </w:p>
    <w:p>
      <w:pPr>
        <w:jc w:val="center"/>
        <w:rPr>
          <w:rFonts w:hint="eastAsia" w:ascii="宋体" w:hAnsi="宋体" w:cs="宋体"/>
          <w:color w:val="auto"/>
          <w:highlight w:val="none"/>
        </w:rPr>
      </w:pPr>
    </w:p>
    <w:p>
      <w:pPr>
        <w:jc w:val="center"/>
        <w:rPr>
          <w:rFonts w:hint="eastAsia" w:ascii="宋体" w:hAnsi="宋体" w:cs="宋体"/>
          <w:color w:val="auto"/>
          <w:highlight w:val="none"/>
        </w:rPr>
      </w:pPr>
      <w:r>
        <w:rPr>
          <w:rFonts w:hint="eastAsia" w:ascii="宋体" w:hAnsi="宋体" w:cs="宋体"/>
          <w:color w:val="auto"/>
          <w:highlight w:val="none"/>
        </w:rPr>
        <w:t>工期历程的百分比（%）</w:t>
      </w:r>
    </w:p>
    <w:p>
      <w:pPr>
        <w:snapToGrid w:val="0"/>
        <w:rPr>
          <w:rFonts w:hint="eastAsia" w:ascii="宋体" w:hAnsi="宋体" w:cs="宋体"/>
          <w:color w:val="auto"/>
          <w:highlight w:val="none"/>
        </w:rPr>
      </w:pPr>
    </w:p>
    <w:p>
      <w:pPr>
        <w:snapToGrid w:val="0"/>
        <w:rPr>
          <w:rFonts w:hint="eastAsia" w:ascii="宋体" w:hAnsi="宋体" w:cs="宋体"/>
          <w:color w:val="auto"/>
          <w:highlight w:val="none"/>
        </w:rPr>
      </w:pPr>
    </w:p>
    <w:p>
      <w:pPr>
        <w:snapToGrid w:val="0"/>
        <w:rPr>
          <w:rFonts w:hint="eastAsia" w:ascii="宋体" w:hAnsi="宋体" w:cs="宋体"/>
          <w:color w:val="auto"/>
          <w:highlight w:val="none"/>
        </w:rPr>
      </w:pPr>
      <w:r>
        <w:rPr>
          <w:rFonts w:hint="eastAsia" w:ascii="宋体" w:hAnsi="宋体" w:cs="宋体"/>
          <w:color w:val="auto"/>
          <w:highlight w:val="none"/>
        </w:rPr>
        <w:br w:type="page"/>
      </w:r>
    </w:p>
    <w:p>
      <w:pPr>
        <w:snapToGrid w:val="0"/>
        <w:rPr>
          <w:rFonts w:hint="eastAsia" w:ascii="宋体" w:hAnsi="宋体" w:cs="宋体"/>
          <w:color w:val="auto"/>
          <w:highlight w:val="none"/>
        </w:rPr>
      </w:pPr>
    </w:p>
    <w:p>
      <w:pPr>
        <w:snapToGrid w:val="0"/>
        <w:rPr>
          <w:rFonts w:hint="eastAsia" w:ascii="宋体" w:hAnsi="宋体" w:cs="宋体"/>
          <w:color w:val="auto"/>
          <w:sz w:val="7"/>
          <w:highlight w:val="none"/>
        </w:rPr>
      </w:pPr>
    </w:p>
    <w:tbl>
      <w:tblPr>
        <w:tblStyle w:val="18"/>
        <w:tblW w:w="9166" w:type="dxa"/>
        <w:tblInd w:w="4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759"/>
        <w:gridCol w:w="760"/>
        <w:gridCol w:w="760"/>
        <w:gridCol w:w="760"/>
        <w:gridCol w:w="760"/>
        <w:gridCol w:w="759"/>
        <w:gridCol w:w="760"/>
        <w:gridCol w:w="760"/>
        <w:gridCol w:w="760"/>
        <w:gridCol w:w="760"/>
        <w:gridCol w:w="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75" w:type="dxa"/>
          <w:cantSplit/>
          <w:trHeight w:val="1237" w:hRule="atLeast"/>
        </w:trPr>
        <w:tc>
          <w:tcPr>
            <w:tcW w:w="1193"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生产单位总数（个）</w:t>
            </w:r>
          </w:p>
        </w:tc>
        <w:tc>
          <w:tcPr>
            <w:tcW w:w="759"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59"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12" w:space="0"/>
              <w:bottom w:val="single" w:color="auto" w:sz="6" w:space="0"/>
            </w:tcBorders>
            <w:textDirection w:val="btLr"/>
            <w:vAlign w:val="center"/>
          </w:tcPr>
          <w:p>
            <w:pPr>
              <w:ind w:left="113" w:right="113"/>
              <w:jc w:val="center"/>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75" w:type="dxa"/>
          <w:cantSplit/>
          <w:trHeight w:val="1781" w:hRule="atLeast"/>
        </w:trPr>
        <w:tc>
          <w:tcPr>
            <w:tcW w:w="1193" w:type="dxa"/>
            <w:tcBorders>
              <w:top w:val="single" w:color="auto" w:sz="6" w:space="0"/>
              <w:bottom w:val="single" w:color="auto" w:sz="6" w:space="0"/>
            </w:tcBorders>
            <w:textDirection w:val="btLr"/>
            <w:vAlign w:val="center"/>
          </w:tcPr>
          <w:p>
            <w:pPr>
              <w:ind w:left="113" w:right="113"/>
              <w:rPr>
                <w:rFonts w:hint="eastAsia" w:ascii="宋体" w:hAnsi="宋体" w:cs="宋体"/>
                <w:color w:val="auto"/>
                <w:highlight w:val="none"/>
              </w:rPr>
            </w:pPr>
            <w:r>
              <w:rPr>
                <w:rFonts w:hint="eastAsia" w:ascii="宋体" w:hAnsi="宋体" w:cs="宋体"/>
                <w:color w:val="auto"/>
                <w:highlight w:val="none"/>
              </w:rPr>
              <w:t>每生产单平均   施工时间（周）</w:t>
            </w: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75" w:type="dxa"/>
          <w:cantSplit/>
          <w:trHeight w:val="1831" w:hRule="atLeast"/>
        </w:trPr>
        <w:tc>
          <w:tcPr>
            <w:tcW w:w="1193"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平均每单位生率（数量、每周）</w:t>
            </w: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60" w:hRule="atLeast"/>
        </w:trPr>
        <w:tc>
          <w:tcPr>
            <w:tcW w:w="1193" w:type="dxa"/>
            <w:tcBorders>
              <w:top w:val="single" w:color="auto" w:sz="6" w:space="0"/>
              <w:bottom w:val="single" w:color="auto" w:sz="6" w:space="0"/>
            </w:tcBorders>
            <w:textDirection w:val="btLr"/>
            <w:vAlign w:val="center"/>
          </w:tcPr>
          <w:p>
            <w:pPr>
              <w:ind w:left="743" w:leftChars="54" w:right="113" w:hanging="630" w:hangingChars="300"/>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-495300</wp:posOffset>
                      </wp:positionH>
                      <wp:positionV relativeFrom="paragraph">
                        <wp:posOffset>-782955</wp:posOffset>
                      </wp:positionV>
                      <wp:extent cx="477520" cy="372681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77520" cy="3726815"/>
                              </a:xfrm>
                              <a:prstGeom prst="rect">
                                <a:avLst/>
                              </a:prstGeom>
                              <a:noFill/>
                              <a:ln>
                                <a:noFill/>
                              </a:ln>
                              <a:effectLst/>
                            </wps:spPr>
                            <wps:txbx>
                              <w:txbxContent>
                                <w:p>
                                  <w:pPr>
                                    <w:rPr>
                                      <w:b/>
                                      <w:color w:val="FF00FF"/>
                                      <w:sz w:val="28"/>
                                      <w:szCs w:val="28"/>
                                    </w:rPr>
                                  </w:pPr>
                                  <w:r>
                                    <w:rPr>
                                      <w:rFonts w:hint="eastAsia"/>
                                      <w:b/>
                                      <w:sz w:val="28"/>
                                      <w:szCs w:val="28"/>
                                    </w:rPr>
                                    <w:t>附表</w:t>
                                  </w:r>
                                  <w:r>
                                    <w:rPr>
                                      <w:rFonts w:hint="eastAsia"/>
                                      <w:b/>
                                      <w:color w:val="000000"/>
                                      <w:sz w:val="28"/>
                                      <w:szCs w:val="28"/>
                                    </w:rPr>
                                    <w:t>四  分项工程生产率和施工周期表</w:t>
                                  </w:r>
                                </w:p>
                              </w:txbxContent>
                            </wps:txbx>
                            <wps:bodyPr vert="vert270" upright="1"/>
                          </wps:wsp>
                        </a:graphicData>
                      </a:graphic>
                    </wp:anchor>
                  </w:drawing>
                </mc:Choice>
                <mc:Fallback>
                  <w:pict>
                    <v:shape id="_x0000_s1026" o:spid="_x0000_s1026" o:spt="202" type="#_x0000_t202" style="position:absolute;left:0pt;margin-left:-39pt;margin-top:-61.65pt;height:293.45pt;width:37.6pt;z-index:251663360;mso-width-relative:page;mso-height-relative:page;" filled="f" stroked="f" coordsize="21600,21600" o:gfxdata="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e1DyjbAAAACwEAAA8AAAAA&#10;AAAAAQAgAAAAIgAAAGRycy9kb3ducmV2LnhtbFBLAQIUABQAAAAIAIdO4kAzMQ8gnwEAAB8DAAAO&#10;AAAAAAAAAAEAIAAAACoBAABkcnMvZTJvRG9jLnhtbFBLBQYAAAAABgAGAFkBAAA7BQAAAAA=&#10;">
                      <v:fill on="f" focussize="0,0"/>
                      <v:stroke on="f"/>
                      <v:imagedata o:title=""/>
                      <o:lock v:ext="edit" aspectratio="f"/>
                      <v:textbox style="layout-flow:vertical;mso-layout-flow-alt:bottom-to-top;">
                        <w:txbxContent>
                          <w:p>
                            <w:pPr>
                              <w:rPr>
                                <w:b/>
                                <w:color w:val="FF00FF"/>
                                <w:sz w:val="28"/>
                                <w:szCs w:val="28"/>
                              </w:rPr>
                            </w:pPr>
                            <w:r>
                              <w:rPr>
                                <w:rFonts w:hint="eastAsia"/>
                                <w:b/>
                                <w:sz w:val="28"/>
                                <w:szCs w:val="28"/>
                              </w:rPr>
                              <w:t>附表</w:t>
                            </w:r>
                            <w:r>
                              <w:rPr>
                                <w:rFonts w:hint="eastAsia"/>
                                <w:b/>
                                <w:color w:val="000000"/>
                                <w:sz w:val="28"/>
                                <w:szCs w:val="28"/>
                              </w:rPr>
                              <w:t>四  分项工程生产率和施工周期表</w:t>
                            </w:r>
                          </w:p>
                        </w:txbxContent>
                      </v:textbox>
                    </v:shape>
                  </w:pict>
                </mc:Fallback>
              </mc:AlternateContent>
            </w:r>
            <w:r>
              <w:rPr>
                <w:rFonts w:hint="eastAsia" w:ascii="宋体" w:hAnsi="宋体" w:cs="宋体"/>
                <w:color w:val="auto"/>
                <w:highlight w:val="none"/>
              </w:rPr>
              <w:t>平均每生产单位规模（</w:t>
            </w:r>
            <w:r>
              <w:rPr>
                <w:rFonts w:hint="eastAsia" w:ascii="宋体" w:hAnsi="宋体" w:cs="宋体"/>
                <w:color w:val="auto"/>
                <w:highlight w:val="none"/>
                <w:u w:val="single"/>
              </w:rPr>
              <w:t xml:space="preserve">    </w:t>
            </w:r>
            <w:r>
              <w:rPr>
                <w:rFonts w:hint="eastAsia" w:ascii="宋体" w:hAnsi="宋体" w:cs="宋体"/>
                <w:color w:val="auto"/>
                <w:highlight w:val="none"/>
              </w:rPr>
              <w:t>人，各种机械</w:t>
            </w:r>
            <w:r>
              <w:rPr>
                <w:rFonts w:hint="eastAsia" w:ascii="宋体" w:hAnsi="宋体" w:cs="宋体"/>
                <w:color w:val="auto"/>
                <w:highlight w:val="none"/>
                <w:u w:val="single"/>
              </w:rPr>
              <w:t xml:space="preserve">   </w:t>
            </w:r>
            <w:r>
              <w:rPr>
                <w:rFonts w:hint="eastAsia" w:ascii="宋体" w:hAnsi="宋体" w:cs="宋体"/>
                <w:color w:val="auto"/>
                <w:highlight w:val="none"/>
              </w:rPr>
              <w:t>台）</w:t>
            </w: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right w:val="single" w:color="auto" w:sz="12" w:space="0"/>
            </w:tcBorders>
            <w:textDirection w:val="btLr"/>
            <w:vAlign w:val="center"/>
          </w:tcPr>
          <w:p>
            <w:pPr>
              <w:ind w:left="113" w:right="113"/>
              <w:jc w:val="center"/>
              <w:rPr>
                <w:rFonts w:hint="eastAsia" w:ascii="宋体" w:hAnsi="宋体" w:cs="宋体"/>
                <w:color w:val="auto"/>
                <w:highlight w:val="none"/>
              </w:rPr>
            </w:pPr>
          </w:p>
        </w:tc>
        <w:tc>
          <w:tcPr>
            <w:tcW w:w="375" w:type="dxa"/>
            <w:vMerge w:val="restart"/>
            <w:tcBorders>
              <w:top w:val="nil"/>
              <w:left w:val="single" w:color="auto" w:sz="12" w:space="0"/>
              <w:bottom w:val="nil"/>
              <w:right w:val="nil"/>
            </w:tcBorders>
            <w:textDirection w:val="btLr"/>
            <w:vAlign w:val="top"/>
          </w:tcPr>
          <w:p>
            <w:pPr>
              <w:widowControl/>
              <w:ind w:left="113" w:right="113"/>
              <w:jc w:val="left"/>
              <w:rPr>
                <w:rFonts w:hint="eastAsia" w:ascii="宋体" w:hAnsi="宋体" w:cs="宋体"/>
                <w:color w:val="auto"/>
                <w:highlight w:val="none"/>
              </w:rPr>
            </w:pPr>
            <w:r>
              <w:rPr>
                <w:rFonts w:hint="eastAsia" w:ascii="宋体" w:hAnsi="宋体" w:cs="宋体"/>
                <w:color w:val="auto"/>
                <w:sz w:val="24"/>
                <w:highlight w:val="none"/>
              </w:rPr>
              <w:t>注：互通立交、分离立交的匝道、匝道涵洞、通道、桥梁分别归入表中相关。的项目内。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97" w:hRule="atLeast"/>
        </w:trPr>
        <w:tc>
          <w:tcPr>
            <w:tcW w:w="1193"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数量</w:t>
            </w: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p>
        </w:tc>
        <w:tc>
          <w:tcPr>
            <w:tcW w:w="760" w:type="dxa"/>
            <w:tcBorders>
              <w:top w:val="single" w:color="auto" w:sz="6" w:space="0"/>
              <w:bottom w:val="single" w:color="auto" w:sz="6" w:space="0"/>
              <w:right w:val="single" w:color="auto" w:sz="12" w:space="0"/>
            </w:tcBorders>
            <w:textDirection w:val="btLr"/>
            <w:vAlign w:val="center"/>
          </w:tcPr>
          <w:p>
            <w:pPr>
              <w:ind w:left="113" w:right="113"/>
              <w:jc w:val="center"/>
              <w:rPr>
                <w:rFonts w:hint="eastAsia" w:ascii="宋体" w:hAnsi="宋体" w:cs="宋体"/>
                <w:color w:val="auto"/>
                <w:highlight w:val="none"/>
              </w:rPr>
            </w:pPr>
          </w:p>
        </w:tc>
        <w:tc>
          <w:tcPr>
            <w:tcW w:w="375" w:type="dxa"/>
            <w:vMerge w:val="continue"/>
            <w:tcBorders>
              <w:top w:val="nil"/>
              <w:left w:val="single" w:color="auto" w:sz="12" w:space="0"/>
              <w:bottom w:val="nil"/>
              <w:right w:val="nil"/>
            </w:tcBorders>
            <w:textDirection w:val="btLr"/>
            <w:vAlign w:val="top"/>
          </w:tcPr>
          <w:p>
            <w:pPr>
              <w:widowControl/>
              <w:ind w:left="113" w:right="113"/>
              <w:jc w:val="left"/>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86" w:hRule="atLeast"/>
        </w:trPr>
        <w:tc>
          <w:tcPr>
            <w:tcW w:w="1193"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单位</w:t>
            </w: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km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万m3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万m2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万m2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km </w:t>
            </w: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道</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道</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根</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座</w:t>
            </w:r>
          </w:p>
        </w:tc>
        <w:tc>
          <w:tcPr>
            <w:tcW w:w="760" w:type="dxa"/>
            <w:tcBorders>
              <w:top w:val="single" w:color="auto" w:sz="6" w:space="0"/>
              <w:bottom w:val="single" w:color="auto" w:sz="6" w:space="0"/>
              <w:right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片</w:t>
            </w:r>
          </w:p>
        </w:tc>
        <w:tc>
          <w:tcPr>
            <w:tcW w:w="375" w:type="dxa"/>
            <w:vMerge w:val="continue"/>
            <w:tcBorders>
              <w:top w:val="nil"/>
              <w:left w:val="single" w:color="auto" w:sz="12" w:space="0"/>
              <w:bottom w:val="nil"/>
              <w:right w:val="nil"/>
            </w:tcBorders>
            <w:textDirection w:val="btLr"/>
            <w:vAlign w:val="top"/>
          </w:tcPr>
          <w:p>
            <w:pPr>
              <w:widowControl/>
              <w:ind w:left="113" w:right="113"/>
              <w:jc w:val="left"/>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48" w:hRule="atLeast"/>
        </w:trPr>
        <w:tc>
          <w:tcPr>
            <w:tcW w:w="1193"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工程项目</w:t>
            </w: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特殊路基处理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路基填筑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路面基层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路面基层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路基防护及排水</w:t>
            </w:r>
          </w:p>
        </w:tc>
        <w:tc>
          <w:tcPr>
            <w:tcW w:w="759"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涵洞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通道</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桥梁基桩 </w:t>
            </w:r>
          </w:p>
        </w:tc>
        <w:tc>
          <w:tcPr>
            <w:tcW w:w="760" w:type="dxa"/>
            <w:tcBorders>
              <w:top w:val="single" w:color="auto" w:sz="6" w:space="0"/>
              <w:bottom w:val="single" w:color="auto" w:sz="6"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 xml:space="preserve">桥梁墩台 </w:t>
            </w:r>
          </w:p>
        </w:tc>
        <w:tc>
          <w:tcPr>
            <w:tcW w:w="760" w:type="dxa"/>
            <w:tcBorders>
              <w:top w:val="single" w:color="auto" w:sz="6" w:space="0"/>
              <w:bottom w:val="single" w:color="auto" w:sz="6" w:space="0"/>
              <w:right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梁体预制安装</w:t>
            </w:r>
          </w:p>
        </w:tc>
        <w:tc>
          <w:tcPr>
            <w:tcW w:w="375" w:type="dxa"/>
            <w:vMerge w:val="continue"/>
            <w:tcBorders>
              <w:top w:val="nil"/>
              <w:left w:val="single" w:color="auto" w:sz="12" w:space="0"/>
              <w:bottom w:val="nil"/>
              <w:right w:val="nil"/>
            </w:tcBorders>
            <w:textDirection w:val="btLr"/>
            <w:vAlign w:val="top"/>
          </w:tcPr>
          <w:p>
            <w:pPr>
              <w:widowControl/>
              <w:ind w:left="113" w:right="113"/>
              <w:jc w:val="left"/>
              <w:rPr>
                <w:rFonts w:hint="eastAsia"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trPr>
        <w:tc>
          <w:tcPr>
            <w:tcW w:w="1193"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序号</w:t>
            </w:r>
          </w:p>
        </w:tc>
        <w:tc>
          <w:tcPr>
            <w:tcW w:w="759"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1</w:t>
            </w:r>
          </w:p>
        </w:tc>
        <w:tc>
          <w:tcPr>
            <w:tcW w:w="760"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2</w:t>
            </w:r>
          </w:p>
        </w:tc>
        <w:tc>
          <w:tcPr>
            <w:tcW w:w="760"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3</w:t>
            </w:r>
          </w:p>
        </w:tc>
        <w:tc>
          <w:tcPr>
            <w:tcW w:w="760"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4</w:t>
            </w:r>
          </w:p>
        </w:tc>
        <w:tc>
          <w:tcPr>
            <w:tcW w:w="760"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5</w:t>
            </w:r>
          </w:p>
        </w:tc>
        <w:tc>
          <w:tcPr>
            <w:tcW w:w="759"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6</w:t>
            </w:r>
          </w:p>
        </w:tc>
        <w:tc>
          <w:tcPr>
            <w:tcW w:w="760"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7</w:t>
            </w:r>
          </w:p>
        </w:tc>
        <w:tc>
          <w:tcPr>
            <w:tcW w:w="760"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8</w:t>
            </w:r>
          </w:p>
        </w:tc>
        <w:tc>
          <w:tcPr>
            <w:tcW w:w="760" w:type="dxa"/>
            <w:tcBorders>
              <w:top w:val="single" w:color="auto" w:sz="6" w:space="0"/>
              <w:bottom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9</w:t>
            </w:r>
          </w:p>
        </w:tc>
        <w:tc>
          <w:tcPr>
            <w:tcW w:w="760" w:type="dxa"/>
            <w:tcBorders>
              <w:top w:val="single" w:color="auto" w:sz="6" w:space="0"/>
              <w:bottom w:val="single" w:color="auto" w:sz="12" w:space="0"/>
              <w:right w:val="single" w:color="auto" w:sz="12" w:space="0"/>
            </w:tcBorders>
            <w:textDirection w:val="btLr"/>
            <w:vAlign w:val="center"/>
          </w:tcPr>
          <w:p>
            <w:pPr>
              <w:ind w:left="113" w:right="113"/>
              <w:jc w:val="center"/>
              <w:rPr>
                <w:rFonts w:hint="eastAsia" w:ascii="宋体" w:hAnsi="宋体" w:cs="宋体"/>
                <w:color w:val="auto"/>
                <w:highlight w:val="none"/>
              </w:rPr>
            </w:pPr>
            <w:r>
              <w:rPr>
                <w:rFonts w:hint="eastAsia" w:ascii="宋体" w:hAnsi="宋体" w:cs="宋体"/>
                <w:color w:val="auto"/>
                <w:highlight w:val="none"/>
              </w:rPr>
              <w:t>10</w:t>
            </w:r>
          </w:p>
        </w:tc>
        <w:tc>
          <w:tcPr>
            <w:tcW w:w="375" w:type="dxa"/>
            <w:vMerge w:val="continue"/>
            <w:tcBorders>
              <w:top w:val="nil"/>
              <w:left w:val="single" w:color="auto" w:sz="12" w:space="0"/>
              <w:bottom w:val="nil"/>
              <w:right w:val="nil"/>
            </w:tcBorders>
            <w:textDirection w:val="btLr"/>
            <w:vAlign w:val="top"/>
          </w:tcPr>
          <w:p>
            <w:pPr>
              <w:widowControl/>
              <w:ind w:left="113" w:right="113"/>
              <w:jc w:val="left"/>
              <w:rPr>
                <w:rFonts w:hint="eastAsia" w:ascii="宋体" w:hAnsi="宋体" w:cs="宋体"/>
                <w:color w:val="auto"/>
                <w:highlight w:val="none"/>
              </w:rPr>
            </w:pPr>
          </w:p>
        </w:tc>
      </w:tr>
    </w:tbl>
    <w:p>
      <w:pP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986" w:name="_Toc234349571"/>
      <w:bookmarkStart w:id="987" w:name="_Toc234348997"/>
      <w:r>
        <w:rPr>
          <w:rFonts w:hint="eastAsia" w:ascii="宋体" w:hAnsi="宋体" w:cs="宋体"/>
          <w:b/>
          <w:color w:val="auto"/>
          <w:sz w:val="28"/>
          <w:szCs w:val="28"/>
          <w:highlight w:val="none"/>
        </w:rPr>
        <w:t>附表五  施工总平面图</w:t>
      </w:r>
      <w:bookmarkEnd w:id="986"/>
      <w:bookmarkEnd w:id="987"/>
    </w:p>
    <w:p>
      <w:pPr>
        <w:spacing w:line="360" w:lineRule="auto"/>
        <w:ind w:firstLine="525" w:firstLineChars="250"/>
        <w:rPr>
          <w:rFonts w:hint="eastAsia" w:ascii="宋体" w:hAnsi="宋体" w:cs="宋体"/>
          <w:color w:val="auto"/>
          <w:szCs w:val="21"/>
          <w:highlight w:val="none"/>
        </w:rPr>
      </w:pP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投标人应递交一份施工总平面图，绘出现场临时设施布置图表并附文字说明，说明施工营地、料场、临时设施、加工车间、现场办公、设备及仓储、供电、供水、卫生、生活、道路、消防等设施的情况和布置。</w:t>
      </w:r>
    </w:p>
    <w:p>
      <w:pP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988" w:name="_Toc234349572"/>
      <w:bookmarkStart w:id="989" w:name="_Toc234348998"/>
      <w:r>
        <w:rPr>
          <w:rFonts w:hint="eastAsia" w:ascii="宋体" w:hAnsi="宋体" w:cs="宋体"/>
          <w:b/>
          <w:color w:val="auto"/>
          <w:sz w:val="28"/>
          <w:szCs w:val="28"/>
          <w:highlight w:val="none"/>
        </w:rPr>
        <w:t>附表六  劳动力计划表</w:t>
      </w:r>
      <w:bookmarkEnd w:id="988"/>
      <w:bookmarkEnd w:id="989"/>
    </w:p>
    <w:p>
      <w:pPr>
        <w:jc w:val="right"/>
        <w:rPr>
          <w:rFonts w:hint="eastAsia" w:ascii="宋体" w:hAnsi="宋体" w:cs="宋体"/>
          <w:color w:val="auto"/>
          <w:highlight w:val="none"/>
        </w:rPr>
      </w:pPr>
      <w:r>
        <w:rPr>
          <w:rFonts w:hint="eastAsia" w:ascii="宋体" w:hAnsi="宋体" w:cs="宋体"/>
          <w:color w:val="auto"/>
          <w:highlight w:val="none"/>
        </w:rPr>
        <w:t>单位：人</w:t>
      </w:r>
    </w:p>
    <w:tbl>
      <w:tblPr>
        <w:tblStyle w:val="18"/>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418"/>
        <w:gridCol w:w="1275"/>
        <w:gridCol w:w="1134"/>
        <w:gridCol w:w="1134"/>
        <w:gridCol w:w="123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工种</w:t>
            </w:r>
          </w:p>
        </w:tc>
        <w:tc>
          <w:tcPr>
            <w:tcW w:w="8647" w:type="dxa"/>
            <w:gridSpan w:val="7"/>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top"/>
          </w:tcPr>
          <w:p>
            <w:pPr>
              <w:snapToGrid w:val="0"/>
              <w:jc w:val="center"/>
              <w:rPr>
                <w:rFonts w:hint="eastAsia" w:ascii="宋体" w:hAnsi="宋体" w:cs="宋体"/>
                <w:color w:val="auto"/>
                <w:highlight w:val="none"/>
              </w:rPr>
            </w:pPr>
          </w:p>
        </w:tc>
        <w:tc>
          <w:tcPr>
            <w:tcW w:w="1276" w:type="dxa"/>
            <w:vAlign w:val="top"/>
          </w:tcPr>
          <w:p>
            <w:pPr>
              <w:snapToGrid w:val="0"/>
              <w:jc w:val="center"/>
              <w:rPr>
                <w:rFonts w:hint="eastAsia" w:ascii="宋体" w:hAnsi="宋体" w:cs="宋体"/>
                <w:color w:val="auto"/>
                <w:highlight w:val="none"/>
              </w:rPr>
            </w:pPr>
          </w:p>
        </w:tc>
        <w:tc>
          <w:tcPr>
            <w:tcW w:w="1418" w:type="dxa"/>
            <w:vAlign w:val="top"/>
          </w:tcPr>
          <w:p>
            <w:pPr>
              <w:snapToGrid w:val="0"/>
              <w:jc w:val="center"/>
              <w:rPr>
                <w:rFonts w:hint="eastAsia" w:ascii="宋体" w:hAnsi="宋体" w:cs="宋体"/>
                <w:color w:val="auto"/>
                <w:highlight w:val="none"/>
              </w:rPr>
            </w:pPr>
          </w:p>
        </w:tc>
        <w:tc>
          <w:tcPr>
            <w:tcW w:w="1275"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134" w:type="dxa"/>
            <w:vAlign w:val="top"/>
          </w:tcPr>
          <w:p>
            <w:pPr>
              <w:snapToGrid w:val="0"/>
              <w:jc w:val="center"/>
              <w:rPr>
                <w:rFonts w:hint="eastAsia" w:ascii="宋体" w:hAnsi="宋体" w:cs="宋体"/>
                <w:color w:val="auto"/>
                <w:highlight w:val="none"/>
              </w:rPr>
            </w:pPr>
          </w:p>
        </w:tc>
        <w:tc>
          <w:tcPr>
            <w:tcW w:w="1239" w:type="dxa"/>
            <w:vAlign w:val="top"/>
          </w:tcPr>
          <w:p>
            <w:pPr>
              <w:snapToGrid w:val="0"/>
              <w:jc w:val="center"/>
              <w:rPr>
                <w:rFonts w:hint="eastAsia" w:ascii="宋体" w:hAnsi="宋体" w:cs="宋体"/>
                <w:color w:val="auto"/>
                <w:highlight w:val="none"/>
              </w:rPr>
            </w:pPr>
          </w:p>
        </w:tc>
        <w:tc>
          <w:tcPr>
            <w:tcW w:w="1171" w:type="dxa"/>
            <w:vAlign w:val="top"/>
          </w:tcPr>
          <w:p>
            <w:pPr>
              <w:snapToGrid w:val="0"/>
              <w:jc w:val="center"/>
              <w:rPr>
                <w:rFonts w:hint="eastAsia" w:ascii="宋体" w:hAnsi="宋体" w:cs="宋体"/>
                <w:color w:val="auto"/>
                <w:highlight w:val="none"/>
              </w:rPr>
            </w:pPr>
          </w:p>
        </w:tc>
      </w:tr>
    </w:tbl>
    <w:p>
      <w:pP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990" w:name="_Toc234349573"/>
      <w:bookmarkStart w:id="991" w:name="_Toc234348999"/>
      <w:r>
        <w:rPr>
          <w:rFonts w:hint="eastAsia" w:ascii="宋体" w:hAnsi="宋体" w:cs="宋体"/>
          <w:b/>
          <w:color w:val="auto"/>
          <w:sz w:val="28"/>
          <w:szCs w:val="28"/>
          <w:highlight w:val="none"/>
        </w:rPr>
        <w:t>附表七  临时占地计划表</w:t>
      </w:r>
      <w:bookmarkEnd w:id="990"/>
      <w:bookmarkEnd w:id="991"/>
    </w:p>
    <w:tbl>
      <w:tblPr>
        <w:tblStyle w:val="18"/>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555"/>
        <w:gridCol w:w="724"/>
        <w:gridCol w:w="709"/>
        <w:gridCol w:w="709"/>
        <w:gridCol w:w="708"/>
        <w:gridCol w:w="1701"/>
        <w:gridCol w:w="851"/>
        <w:gridCol w:w="86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060"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用    途</w:t>
            </w:r>
          </w:p>
        </w:tc>
        <w:tc>
          <w:tcPr>
            <w:tcW w:w="3405" w:type="dxa"/>
            <w:gridSpan w:val="5"/>
            <w:vAlign w:val="center"/>
          </w:tcPr>
          <w:p>
            <w:pPr>
              <w:jc w:val="center"/>
              <w:rPr>
                <w:rFonts w:hint="eastAsia" w:ascii="宋体" w:hAnsi="宋体" w:cs="宋体"/>
                <w:color w:val="auto"/>
                <w:highlight w:val="none"/>
              </w:rPr>
            </w:pPr>
            <w:r>
              <w:rPr>
                <w:rFonts w:hint="eastAsia" w:ascii="宋体" w:hAnsi="宋体" w:cs="宋体"/>
                <w:color w:val="auto"/>
                <w:highlight w:val="none"/>
              </w:rPr>
              <w:t>面积（m</w:t>
            </w:r>
            <w:r>
              <w:rPr>
                <w:rFonts w:hint="eastAsia" w:ascii="宋体" w:hAnsi="宋体" w:cs="宋体"/>
                <w:color w:val="auto"/>
                <w:highlight w:val="none"/>
                <w:vertAlign w:val="superscript"/>
              </w:rPr>
              <w:t>2</w:t>
            </w:r>
            <w:r>
              <w:rPr>
                <w:rFonts w:hint="eastAsia" w:ascii="宋体" w:hAnsi="宋体" w:cs="宋体"/>
                <w:color w:val="auto"/>
                <w:highlight w:val="none"/>
              </w:rPr>
              <w:t>）</w:t>
            </w:r>
          </w:p>
        </w:tc>
        <w:tc>
          <w:tcPr>
            <w:tcW w:w="1701"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需用时间</w:t>
            </w:r>
          </w:p>
          <w:p>
            <w:pPr>
              <w:ind w:left="525" w:hanging="525" w:hangingChars="25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p>
          <w:p>
            <w:pPr>
              <w:ind w:left="525" w:hanging="525" w:hangingChars="250"/>
              <w:rPr>
                <w:rFonts w:hint="eastAsia" w:ascii="宋体" w:hAnsi="宋体" w:cs="宋体"/>
                <w:color w:val="auto"/>
                <w:highlight w:val="none"/>
              </w:rPr>
            </w:pPr>
            <w:r>
              <w:rPr>
                <w:rFonts w:hint="eastAsia" w:ascii="宋体" w:hAnsi="宋体" w:cs="宋体"/>
                <w:color w:val="auto"/>
                <w:highlight w:val="none"/>
              </w:rPr>
              <w:t>至</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p>
        </w:tc>
        <w:tc>
          <w:tcPr>
            <w:tcW w:w="2572" w:type="dxa"/>
            <w:gridSpan w:val="3"/>
            <w:vAlign w:val="center"/>
          </w:tcPr>
          <w:p>
            <w:pPr>
              <w:jc w:val="center"/>
              <w:rPr>
                <w:rFonts w:hint="eastAsia" w:ascii="宋体" w:hAnsi="宋体" w:cs="宋体"/>
                <w:color w:val="auto"/>
                <w:highlight w:val="none"/>
              </w:rPr>
            </w:pPr>
            <w:r>
              <w:rPr>
                <w:rFonts w:hint="eastAsia" w:ascii="宋体" w:hAnsi="宋体" w:cs="宋体"/>
                <w:color w:val="auto"/>
                <w:highlight w:val="none"/>
              </w:rPr>
              <w:t>用地位置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2060" w:type="dxa"/>
            <w:vMerge w:val="continue"/>
            <w:vAlign w:val="center"/>
          </w:tcPr>
          <w:p>
            <w:pPr>
              <w:rPr>
                <w:rFonts w:hint="eastAsia" w:ascii="宋体" w:hAnsi="宋体" w:cs="宋体"/>
                <w:color w:val="auto"/>
                <w:highlight w:val="none"/>
              </w:rPr>
            </w:pPr>
          </w:p>
        </w:tc>
        <w:tc>
          <w:tcPr>
            <w:tcW w:w="555" w:type="dxa"/>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菜地</w:t>
            </w:r>
          </w:p>
        </w:tc>
        <w:tc>
          <w:tcPr>
            <w:tcW w:w="724" w:type="dxa"/>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水</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田</w:t>
            </w:r>
          </w:p>
        </w:tc>
        <w:tc>
          <w:tcPr>
            <w:tcW w:w="709" w:type="dxa"/>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旱</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地</w:t>
            </w:r>
          </w:p>
        </w:tc>
        <w:tc>
          <w:tcPr>
            <w:tcW w:w="709" w:type="dxa"/>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果</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园</w:t>
            </w:r>
          </w:p>
        </w:tc>
        <w:tc>
          <w:tcPr>
            <w:tcW w:w="708" w:type="dxa"/>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荒</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地</w:t>
            </w:r>
          </w:p>
        </w:tc>
        <w:tc>
          <w:tcPr>
            <w:tcW w:w="1701" w:type="dxa"/>
            <w:vMerge w:val="continue"/>
            <w:vAlign w:val="center"/>
          </w:tcPr>
          <w:p>
            <w:pPr>
              <w:rPr>
                <w:rFonts w:hint="eastAsia" w:ascii="宋体" w:hAnsi="宋体" w:cs="宋体"/>
                <w:color w:val="auto"/>
                <w:highlight w:val="none"/>
              </w:rPr>
            </w:pPr>
          </w:p>
        </w:tc>
        <w:tc>
          <w:tcPr>
            <w:tcW w:w="851" w:type="dxa"/>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桩</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号</w:t>
            </w:r>
          </w:p>
        </w:tc>
        <w:tc>
          <w:tcPr>
            <w:tcW w:w="860" w:type="dxa"/>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左侧（m）</w:t>
            </w:r>
          </w:p>
        </w:tc>
        <w:tc>
          <w:tcPr>
            <w:tcW w:w="861" w:type="dxa"/>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右侧（m）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60" w:type="dxa"/>
            <w:vAlign w:val="center"/>
          </w:tcPr>
          <w:p>
            <w:pPr>
              <w:rPr>
                <w:rFonts w:hint="eastAsia" w:ascii="宋体" w:hAnsi="宋体" w:cs="宋体"/>
                <w:color w:val="auto"/>
                <w:highlight w:val="none"/>
              </w:rPr>
            </w:pPr>
            <w:r>
              <w:rPr>
                <w:rFonts w:hint="eastAsia" w:ascii="宋体" w:hAnsi="宋体" w:cs="宋体"/>
                <w:color w:val="auto"/>
                <w:highlight w:val="none"/>
              </w:rPr>
              <w:t>一、临时工程</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hint="eastAsia" w:ascii="宋体" w:hAnsi="宋体" w:cs="宋体"/>
                <w:color w:val="auto"/>
                <w:highlight w:val="none"/>
              </w:rPr>
            </w:pPr>
            <w:r>
              <w:rPr>
                <w:rFonts w:hint="eastAsia" w:ascii="宋体" w:hAnsi="宋体" w:cs="宋体"/>
                <w:color w:val="auto"/>
                <w:highlight w:val="none"/>
              </w:rPr>
              <w:t>1.便道</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hint="eastAsia" w:ascii="宋体" w:hAnsi="宋体" w:cs="宋体"/>
                <w:color w:val="auto"/>
                <w:highlight w:val="none"/>
              </w:rPr>
            </w:pPr>
            <w:r>
              <w:rPr>
                <w:rFonts w:hint="eastAsia" w:ascii="宋体" w:hAnsi="宋体" w:cs="宋体"/>
                <w:color w:val="auto"/>
                <w:highlight w:val="none"/>
              </w:rPr>
              <w:t>2.便桥</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hint="eastAsia" w:ascii="宋体" w:hAnsi="宋体" w:cs="宋体"/>
                <w:color w:val="auto"/>
                <w:highlight w:val="none"/>
              </w:rPr>
            </w:pPr>
            <w:r>
              <w:rPr>
                <w:rFonts w:hint="eastAsia" w:ascii="宋体" w:hAnsi="宋体" w:cs="宋体"/>
                <w:color w:val="auto"/>
                <w:highlight w:val="none"/>
              </w:rPr>
              <w:t>3.……</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hint="eastAsia" w:ascii="宋体" w:hAnsi="宋体" w:cs="宋体"/>
                <w:color w:val="auto"/>
                <w:highlight w:val="none"/>
              </w:rPr>
            </w:pPr>
            <w:r>
              <w:rPr>
                <w:rFonts w:hint="eastAsia" w:ascii="宋体" w:hAnsi="宋体" w:cs="宋体"/>
                <w:color w:val="auto"/>
                <w:highlight w:val="none"/>
              </w:rPr>
              <w:t>……</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2060" w:type="dxa"/>
            <w:vAlign w:val="center"/>
          </w:tcPr>
          <w:p>
            <w:pPr>
              <w:ind w:firstLine="105" w:firstLineChars="50"/>
              <w:rPr>
                <w:rFonts w:hint="eastAsia" w:ascii="宋体" w:hAnsi="宋体" w:cs="宋体"/>
                <w:color w:val="auto"/>
                <w:highlight w:val="none"/>
              </w:rPr>
            </w:pPr>
            <w:r>
              <w:rPr>
                <w:rFonts w:hint="eastAsia" w:ascii="宋体" w:hAnsi="宋体" w:cs="宋体"/>
                <w:color w:val="auto"/>
                <w:highlight w:val="none"/>
              </w:rPr>
              <w:t>二、生产及生活临时设施</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hint="eastAsia" w:ascii="宋体" w:hAnsi="宋体" w:cs="宋体"/>
                <w:color w:val="auto"/>
                <w:highlight w:val="none"/>
              </w:rPr>
            </w:pPr>
            <w:r>
              <w:rPr>
                <w:rFonts w:hint="eastAsia" w:ascii="宋体" w:hAnsi="宋体" w:cs="宋体"/>
                <w:color w:val="auto"/>
                <w:highlight w:val="none"/>
              </w:rPr>
              <w:t>1.临时住房</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2060" w:type="dxa"/>
            <w:vAlign w:val="center"/>
          </w:tcPr>
          <w:p>
            <w:pPr>
              <w:ind w:firstLine="432" w:firstLineChars="206"/>
              <w:rPr>
                <w:rFonts w:hint="eastAsia" w:ascii="宋体" w:hAnsi="宋体" w:cs="宋体"/>
                <w:color w:val="auto"/>
                <w:highlight w:val="none"/>
              </w:rPr>
            </w:pPr>
            <w:r>
              <w:rPr>
                <w:rFonts w:hint="eastAsia" w:ascii="宋体" w:hAnsi="宋体" w:cs="宋体"/>
                <w:color w:val="auto"/>
                <w:highlight w:val="none"/>
              </w:rPr>
              <w:t>2.办公等公用房屋</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60" w:type="dxa"/>
            <w:vAlign w:val="center"/>
          </w:tcPr>
          <w:p>
            <w:pPr>
              <w:ind w:firstLine="432" w:firstLineChars="206"/>
              <w:rPr>
                <w:rFonts w:hint="eastAsia" w:ascii="宋体" w:hAnsi="宋体" w:cs="宋体"/>
                <w:color w:val="auto"/>
                <w:highlight w:val="none"/>
              </w:rPr>
            </w:pPr>
            <w:r>
              <w:rPr>
                <w:rFonts w:hint="eastAsia" w:ascii="宋体" w:hAnsi="宋体" w:cs="宋体"/>
                <w:color w:val="auto"/>
                <w:highlight w:val="none"/>
              </w:rPr>
              <w:t>3.料库</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hint="eastAsia" w:ascii="宋体" w:hAnsi="宋体" w:cs="宋体"/>
                <w:color w:val="auto"/>
                <w:highlight w:val="none"/>
              </w:rPr>
            </w:pPr>
            <w:r>
              <w:rPr>
                <w:rFonts w:hint="eastAsia" w:ascii="宋体" w:hAnsi="宋体" w:cs="宋体"/>
                <w:color w:val="auto"/>
                <w:highlight w:val="none"/>
              </w:rPr>
              <w:t>4.预制场</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ind w:firstLine="432" w:firstLineChars="206"/>
              <w:rPr>
                <w:rFonts w:hint="eastAsia" w:ascii="宋体" w:hAnsi="宋体" w:cs="宋体"/>
                <w:color w:val="auto"/>
                <w:highlight w:val="none"/>
              </w:rPr>
            </w:pPr>
            <w:r>
              <w:rPr>
                <w:rFonts w:hint="eastAsia" w:ascii="宋体" w:hAnsi="宋体" w:cs="宋体"/>
                <w:color w:val="auto"/>
                <w:highlight w:val="none"/>
              </w:rPr>
              <w:t>……</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060" w:type="dxa"/>
            <w:vAlign w:val="center"/>
          </w:tcPr>
          <w:p>
            <w:pPr>
              <w:rPr>
                <w:rFonts w:hint="eastAsia" w:ascii="宋体" w:hAnsi="宋体" w:cs="宋体"/>
                <w:color w:val="auto"/>
                <w:highlight w:val="none"/>
              </w:rPr>
            </w:pP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060" w:type="dxa"/>
            <w:vAlign w:val="center"/>
          </w:tcPr>
          <w:p>
            <w:pPr>
              <w:rPr>
                <w:rFonts w:hint="eastAsia" w:ascii="宋体" w:hAnsi="宋体" w:cs="宋体"/>
                <w:color w:val="auto"/>
                <w:highlight w:val="none"/>
              </w:rPr>
            </w:pPr>
            <w:r>
              <w:rPr>
                <w:rFonts w:hint="eastAsia" w:ascii="宋体" w:hAnsi="宋体" w:cs="宋体"/>
                <w:color w:val="auto"/>
                <w:highlight w:val="none"/>
              </w:rPr>
              <w:t>租用面积合计</w:t>
            </w:r>
          </w:p>
        </w:tc>
        <w:tc>
          <w:tcPr>
            <w:tcW w:w="555" w:type="dxa"/>
            <w:vAlign w:val="center"/>
          </w:tcPr>
          <w:p>
            <w:pPr>
              <w:rPr>
                <w:rFonts w:hint="eastAsia" w:ascii="宋体" w:hAnsi="宋体" w:cs="宋体"/>
                <w:color w:val="auto"/>
                <w:highlight w:val="none"/>
              </w:rPr>
            </w:pPr>
          </w:p>
        </w:tc>
        <w:tc>
          <w:tcPr>
            <w:tcW w:w="724"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9" w:type="dxa"/>
            <w:vAlign w:val="center"/>
          </w:tcPr>
          <w:p>
            <w:pPr>
              <w:rPr>
                <w:rFonts w:hint="eastAsia" w:ascii="宋体" w:hAnsi="宋体" w:cs="宋体"/>
                <w:color w:val="auto"/>
                <w:highlight w:val="none"/>
              </w:rPr>
            </w:pPr>
          </w:p>
        </w:tc>
        <w:tc>
          <w:tcPr>
            <w:tcW w:w="708" w:type="dxa"/>
            <w:vAlign w:val="center"/>
          </w:tcPr>
          <w:p>
            <w:pPr>
              <w:rPr>
                <w:rFonts w:hint="eastAsia" w:ascii="宋体" w:hAnsi="宋体" w:cs="宋体"/>
                <w:color w:val="auto"/>
                <w:highlight w:val="none"/>
              </w:rPr>
            </w:pPr>
          </w:p>
        </w:tc>
        <w:tc>
          <w:tcPr>
            <w:tcW w:w="1701" w:type="dxa"/>
            <w:vAlign w:val="center"/>
          </w:tcPr>
          <w:p>
            <w:pPr>
              <w:rPr>
                <w:rFonts w:hint="eastAsia" w:ascii="宋体" w:hAnsi="宋体" w:cs="宋体"/>
                <w:color w:val="auto"/>
                <w:highlight w:val="none"/>
              </w:rPr>
            </w:pPr>
          </w:p>
        </w:tc>
        <w:tc>
          <w:tcPr>
            <w:tcW w:w="851" w:type="dxa"/>
            <w:vAlign w:val="center"/>
          </w:tcPr>
          <w:p>
            <w:pPr>
              <w:rPr>
                <w:rFonts w:hint="eastAsia" w:ascii="宋体" w:hAnsi="宋体" w:cs="宋体"/>
                <w:color w:val="auto"/>
                <w:highlight w:val="none"/>
              </w:rPr>
            </w:pPr>
          </w:p>
        </w:tc>
        <w:tc>
          <w:tcPr>
            <w:tcW w:w="860" w:type="dxa"/>
            <w:vAlign w:val="center"/>
          </w:tcPr>
          <w:p>
            <w:pPr>
              <w:rPr>
                <w:rFonts w:hint="eastAsia" w:ascii="宋体" w:hAnsi="宋体" w:cs="宋体"/>
                <w:color w:val="auto"/>
                <w:highlight w:val="none"/>
              </w:rPr>
            </w:pPr>
          </w:p>
        </w:tc>
        <w:tc>
          <w:tcPr>
            <w:tcW w:w="861" w:type="dxa"/>
            <w:vAlign w:val="center"/>
          </w:tcPr>
          <w:p>
            <w:pPr>
              <w:rPr>
                <w:rFonts w:hint="eastAsia" w:ascii="宋体" w:hAnsi="宋体" w:cs="宋体"/>
                <w:color w:val="auto"/>
                <w:highlight w:val="none"/>
              </w:rPr>
            </w:pPr>
          </w:p>
        </w:tc>
      </w:tr>
    </w:tbl>
    <w:p>
      <w:pP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992" w:name="_Toc234349000"/>
      <w:bookmarkStart w:id="993" w:name="_Toc234349574"/>
      <w:r>
        <w:rPr>
          <w:rFonts w:hint="eastAsia" w:ascii="宋体" w:hAnsi="宋体" w:cs="宋体"/>
          <w:b/>
          <w:color w:val="auto"/>
          <w:sz w:val="28"/>
          <w:szCs w:val="28"/>
          <w:highlight w:val="none"/>
        </w:rPr>
        <w:t>附表八  外供电力需求计划表</w:t>
      </w:r>
      <w:bookmarkEnd w:id="992"/>
      <w:bookmarkEnd w:id="993"/>
    </w:p>
    <w:tbl>
      <w:tblPr>
        <w:tblStyle w:val="18"/>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59"/>
        <w:gridCol w:w="1596"/>
        <w:gridCol w:w="1216"/>
        <w:gridCol w:w="182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080" w:type="dxa"/>
            <w:gridSpan w:val="2"/>
            <w:vAlign w:val="center"/>
          </w:tcPr>
          <w:p>
            <w:pPr>
              <w:jc w:val="center"/>
              <w:rPr>
                <w:rFonts w:hint="eastAsia" w:ascii="宋体" w:hAnsi="宋体" w:cs="宋体"/>
                <w:color w:val="auto"/>
                <w:highlight w:val="none"/>
              </w:rPr>
            </w:pPr>
            <w:r>
              <w:rPr>
                <w:rFonts w:hint="eastAsia" w:ascii="宋体" w:hAnsi="宋体" w:cs="宋体"/>
                <w:color w:val="auto"/>
                <w:highlight w:val="none"/>
              </w:rPr>
              <w:t>用电位置</w:t>
            </w:r>
          </w:p>
        </w:tc>
        <w:tc>
          <w:tcPr>
            <w:tcW w:w="1596"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计划用电数量（kW.h）</w:t>
            </w:r>
          </w:p>
        </w:tc>
        <w:tc>
          <w:tcPr>
            <w:tcW w:w="1216"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用  途</w:t>
            </w:r>
          </w:p>
        </w:tc>
        <w:tc>
          <w:tcPr>
            <w:tcW w:w="1828" w:type="dxa"/>
            <w:vMerge w:val="restart"/>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需用时间</w:t>
            </w:r>
          </w:p>
          <w:p>
            <w:pP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p>
          <w:p>
            <w:pPr>
              <w:rPr>
                <w:rFonts w:hint="eastAsia" w:ascii="宋体" w:hAnsi="宋体" w:cs="宋体"/>
                <w:color w:val="auto"/>
                <w:highlight w:val="none"/>
              </w:rPr>
            </w:pPr>
            <w:r>
              <w:rPr>
                <w:rFonts w:hint="eastAsia" w:ascii="宋体" w:hAnsi="宋体" w:cs="宋体"/>
                <w:color w:val="auto"/>
                <w:highlight w:val="none"/>
              </w:rPr>
              <w:t>至</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p>
        </w:tc>
        <w:tc>
          <w:tcPr>
            <w:tcW w:w="1522"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521" w:type="dxa"/>
            <w:vAlign w:val="center"/>
          </w:tcPr>
          <w:p>
            <w:pPr>
              <w:jc w:val="center"/>
              <w:rPr>
                <w:rFonts w:hint="eastAsia" w:ascii="宋体" w:hAnsi="宋体" w:cs="宋体"/>
                <w:color w:val="auto"/>
                <w:highlight w:val="none"/>
              </w:rPr>
            </w:pPr>
            <w:r>
              <w:rPr>
                <w:rFonts w:hint="eastAsia" w:ascii="宋体" w:hAnsi="宋体" w:cs="宋体"/>
                <w:color w:val="auto"/>
                <w:highlight w:val="none"/>
              </w:rPr>
              <w:t>桩号</w:t>
            </w:r>
          </w:p>
        </w:tc>
        <w:tc>
          <w:tcPr>
            <w:tcW w:w="1559" w:type="dxa"/>
            <w:vAlign w:val="center"/>
          </w:tcPr>
          <w:p>
            <w:pPr>
              <w:jc w:val="center"/>
              <w:rPr>
                <w:rFonts w:hint="eastAsia" w:ascii="宋体" w:hAnsi="宋体" w:cs="宋体"/>
                <w:color w:val="auto"/>
                <w:highlight w:val="none"/>
              </w:rPr>
            </w:pPr>
            <w:r>
              <w:rPr>
                <w:rFonts w:hint="eastAsia" w:ascii="宋体" w:hAnsi="宋体" w:cs="宋体"/>
                <w:color w:val="auto"/>
                <w:highlight w:val="none"/>
              </w:rPr>
              <w:t>左或右</w:t>
            </w:r>
          </w:p>
          <w:p>
            <w:pPr>
              <w:jc w:val="center"/>
              <w:rPr>
                <w:rFonts w:hint="eastAsia" w:ascii="宋体" w:hAnsi="宋体" w:cs="宋体"/>
                <w:color w:val="auto"/>
                <w:highlight w:val="none"/>
              </w:rPr>
            </w:pPr>
            <w:r>
              <w:rPr>
                <w:rFonts w:hint="eastAsia" w:ascii="宋体" w:hAnsi="宋体" w:cs="宋体"/>
                <w:color w:val="auto"/>
                <w:highlight w:val="none"/>
              </w:rPr>
              <w:t>（m）</w:t>
            </w:r>
          </w:p>
        </w:tc>
        <w:tc>
          <w:tcPr>
            <w:tcW w:w="1596" w:type="dxa"/>
            <w:vMerge w:val="continue"/>
            <w:vAlign w:val="center"/>
          </w:tcPr>
          <w:p>
            <w:pPr>
              <w:rPr>
                <w:rFonts w:hint="eastAsia" w:ascii="宋体" w:hAnsi="宋体" w:cs="宋体"/>
                <w:color w:val="auto"/>
                <w:highlight w:val="none"/>
              </w:rPr>
            </w:pPr>
          </w:p>
        </w:tc>
        <w:tc>
          <w:tcPr>
            <w:tcW w:w="1216" w:type="dxa"/>
            <w:vMerge w:val="continue"/>
            <w:vAlign w:val="center"/>
          </w:tcPr>
          <w:p>
            <w:pPr>
              <w:rPr>
                <w:rFonts w:hint="eastAsia" w:ascii="宋体" w:hAnsi="宋体" w:cs="宋体"/>
                <w:color w:val="auto"/>
                <w:highlight w:val="none"/>
              </w:rPr>
            </w:pPr>
          </w:p>
        </w:tc>
        <w:tc>
          <w:tcPr>
            <w:tcW w:w="1828" w:type="dxa"/>
            <w:vMerge w:val="continue"/>
            <w:vAlign w:val="center"/>
          </w:tcPr>
          <w:p>
            <w:pPr>
              <w:rPr>
                <w:rFonts w:hint="eastAsia" w:ascii="宋体" w:hAnsi="宋体" w:cs="宋体"/>
                <w:color w:val="auto"/>
                <w:highlight w:val="none"/>
              </w:rPr>
            </w:pPr>
          </w:p>
        </w:tc>
        <w:tc>
          <w:tcPr>
            <w:tcW w:w="1522" w:type="dxa"/>
            <w:vMerge w:val="continue"/>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521" w:type="dxa"/>
            <w:vAlign w:val="center"/>
          </w:tcPr>
          <w:p>
            <w:pPr>
              <w:spacing w:line="360" w:lineRule="auto"/>
              <w:rPr>
                <w:rFonts w:hint="eastAsia" w:ascii="宋体" w:hAnsi="宋体" w:cs="宋体"/>
                <w:color w:val="auto"/>
                <w:highlight w:val="none"/>
              </w:rPr>
            </w:pPr>
          </w:p>
        </w:tc>
        <w:tc>
          <w:tcPr>
            <w:tcW w:w="1559" w:type="dxa"/>
            <w:vAlign w:val="center"/>
          </w:tcPr>
          <w:p>
            <w:pPr>
              <w:spacing w:line="360" w:lineRule="auto"/>
              <w:rPr>
                <w:rFonts w:hint="eastAsia" w:ascii="宋体" w:hAnsi="宋体" w:cs="宋体"/>
                <w:color w:val="auto"/>
                <w:highlight w:val="none"/>
              </w:rPr>
            </w:pPr>
          </w:p>
        </w:tc>
        <w:tc>
          <w:tcPr>
            <w:tcW w:w="1596" w:type="dxa"/>
            <w:vAlign w:val="center"/>
          </w:tcPr>
          <w:p>
            <w:pPr>
              <w:spacing w:line="360" w:lineRule="auto"/>
              <w:rPr>
                <w:rFonts w:hint="eastAsia" w:ascii="宋体" w:hAnsi="宋体" w:cs="宋体"/>
                <w:color w:val="auto"/>
                <w:highlight w:val="none"/>
              </w:rPr>
            </w:pPr>
          </w:p>
        </w:tc>
        <w:tc>
          <w:tcPr>
            <w:tcW w:w="1216" w:type="dxa"/>
            <w:vAlign w:val="center"/>
          </w:tcPr>
          <w:p>
            <w:pPr>
              <w:spacing w:line="360" w:lineRule="auto"/>
              <w:rPr>
                <w:rFonts w:hint="eastAsia" w:ascii="宋体" w:hAnsi="宋体" w:cs="宋体"/>
                <w:color w:val="auto"/>
                <w:highlight w:val="none"/>
              </w:rPr>
            </w:pPr>
          </w:p>
        </w:tc>
        <w:tc>
          <w:tcPr>
            <w:tcW w:w="1828" w:type="dxa"/>
            <w:vAlign w:val="center"/>
          </w:tcPr>
          <w:p>
            <w:pPr>
              <w:spacing w:line="360" w:lineRule="auto"/>
              <w:rPr>
                <w:rFonts w:hint="eastAsia" w:ascii="宋体" w:hAnsi="宋体" w:cs="宋体"/>
                <w:color w:val="auto"/>
                <w:highlight w:val="none"/>
              </w:rPr>
            </w:pPr>
          </w:p>
        </w:tc>
        <w:tc>
          <w:tcPr>
            <w:tcW w:w="1522" w:type="dxa"/>
            <w:vAlign w:val="center"/>
          </w:tcPr>
          <w:p>
            <w:pPr>
              <w:spacing w:line="360" w:lineRule="auto"/>
              <w:rPr>
                <w:rFonts w:hint="eastAsia" w:ascii="宋体" w:hAnsi="宋体" w:cs="宋体"/>
                <w:color w:val="auto"/>
                <w:highlight w:val="none"/>
              </w:rPr>
            </w:pPr>
          </w:p>
        </w:tc>
      </w:tr>
    </w:tbl>
    <w:p>
      <w:pPr>
        <w:rPr>
          <w:rFonts w:hint="eastAsia" w:ascii="宋体" w:hAnsi="宋体" w:cs="宋体"/>
          <w:color w:val="auto"/>
          <w:highlight w:val="none"/>
        </w:rPr>
      </w:pPr>
    </w:p>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94" w:name="_Toc234349576"/>
      <w:bookmarkStart w:id="995" w:name="_Toc234346125"/>
      <w:bookmarkStart w:id="996" w:name="_Toc234349002"/>
      <w:bookmarkStart w:id="997" w:name="_Toc234345910"/>
      <w:bookmarkStart w:id="998" w:name="_Toc511896838"/>
      <w:bookmarkStart w:id="999" w:name="_Toc511905850"/>
      <w:bookmarkStart w:id="1000" w:name="_Toc27439"/>
      <w:r>
        <w:rPr>
          <w:rFonts w:hint="eastAsia" w:ascii="宋体" w:hAnsi="宋体" w:eastAsia="宋体" w:cs="宋体"/>
          <w:color w:val="auto"/>
          <w:highlight w:val="none"/>
        </w:rPr>
        <w:t>五、项目管理机构</w:t>
      </w:r>
      <w:bookmarkEnd w:id="994"/>
      <w:bookmarkEnd w:id="995"/>
      <w:bookmarkEnd w:id="996"/>
      <w:bookmarkEnd w:id="997"/>
      <w:bookmarkEnd w:id="998"/>
      <w:bookmarkEnd w:id="999"/>
      <w:bookmarkEnd w:id="1000"/>
    </w:p>
    <w:tbl>
      <w:tblPr>
        <w:tblStyle w:val="1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rPr>
                <w:rFonts w:hint="eastAsia" w:ascii="宋体" w:hAnsi="宋体" w:cs="宋体"/>
                <w:color w:val="auto"/>
                <w:highlight w:val="none"/>
              </w:rPr>
            </w:pPr>
          </w:p>
          <w:p>
            <w:pPr>
              <w:rPr>
                <w:rFonts w:hint="eastAsia" w:ascii="宋体" w:hAnsi="宋体" w:cs="宋体"/>
                <w:color w:val="auto"/>
                <w:highlight w:val="none"/>
              </w:rPr>
            </w:pPr>
          </w:p>
          <w:p>
            <w:pPr>
              <w:ind w:firstLine="105" w:firstLineChars="50"/>
              <w:rPr>
                <w:rFonts w:hint="eastAsia" w:ascii="宋体" w:hAnsi="宋体" w:cs="宋体"/>
                <w:color w:val="auto"/>
                <w:highlight w:val="none"/>
              </w:rPr>
            </w:pPr>
            <w:r>
              <w:rPr>
                <w:rFonts w:hint="eastAsia" w:ascii="宋体" w:hAnsi="宋体" w:cs="宋体"/>
                <w:color w:val="auto"/>
                <w:highlight w:val="none"/>
              </w:rPr>
              <w:t>拟为承包本标段工程设立的组织机构以框图方式表示。</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vAlign w:val="top"/>
          </w:tcPr>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说明</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tc>
      </w:tr>
    </w:tbl>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01" w:name="_Toc234346126"/>
      <w:bookmarkStart w:id="1002" w:name="_Toc234345911"/>
      <w:bookmarkStart w:id="1003" w:name="_Toc234349003"/>
      <w:bookmarkStart w:id="1004" w:name="_Toc234349577"/>
      <w:bookmarkStart w:id="1005" w:name="_Toc511905851"/>
      <w:bookmarkStart w:id="1006" w:name="_Toc511896839"/>
      <w:bookmarkStart w:id="1007" w:name="_Toc31347"/>
      <w:r>
        <w:rPr>
          <w:rFonts w:hint="eastAsia" w:ascii="宋体" w:hAnsi="宋体" w:eastAsia="宋体" w:cs="宋体"/>
          <w:color w:val="auto"/>
          <w:highlight w:val="none"/>
        </w:rPr>
        <w:t>六、拟分包项目情况表</w:t>
      </w:r>
      <w:bookmarkEnd w:id="1001"/>
      <w:bookmarkEnd w:id="1002"/>
      <w:bookmarkEnd w:id="1003"/>
      <w:bookmarkEnd w:id="1004"/>
      <w:bookmarkEnd w:id="1005"/>
      <w:bookmarkEnd w:id="1006"/>
      <w:bookmarkEnd w:id="1007"/>
    </w:p>
    <w:tbl>
      <w:tblPr>
        <w:tblStyle w:val="18"/>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121"/>
        <w:gridCol w:w="213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拟分包的工程项目</w:t>
            </w:r>
          </w:p>
        </w:tc>
        <w:tc>
          <w:tcPr>
            <w:tcW w:w="2121" w:type="dxa"/>
            <w:vAlign w:val="center"/>
          </w:tcPr>
          <w:p>
            <w:pPr>
              <w:jc w:val="center"/>
              <w:rPr>
                <w:rFonts w:hint="eastAsia" w:ascii="宋体" w:hAnsi="宋体" w:cs="宋体"/>
                <w:color w:val="auto"/>
                <w:highlight w:val="none"/>
              </w:rPr>
            </w:pPr>
            <w:r>
              <w:rPr>
                <w:rFonts w:hint="eastAsia" w:ascii="宋体" w:hAnsi="宋体" w:cs="宋体"/>
                <w:color w:val="auto"/>
                <w:highlight w:val="none"/>
              </w:rPr>
              <w:t>主要工程内容</w:t>
            </w:r>
          </w:p>
        </w:tc>
        <w:tc>
          <w:tcPr>
            <w:tcW w:w="2138" w:type="dxa"/>
            <w:vAlign w:val="center"/>
          </w:tcPr>
          <w:p>
            <w:pPr>
              <w:jc w:val="center"/>
              <w:rPr>
                <w:rFonts w:hint="eastAsia" w:ascii="宋体" w:hAnsi="宋体" w:cs="宋体"/>
                <w:color w:val="auto"/>
                <w:highlight w:val="none"/>
              </w:rPr>
            </w:pPr>
            <w:r>
              <w:rPr>
                <w:rFonts w:hint="eastAsia" w:ascii="宋体" w:hAnsi="宋体" w:cs="宋体"/>
                <w:color w:val="auto"/>
                <w:highlight w:val="none"/>
              </w:rPr>
              <w:t>预计造价（万元）</w:t>
            </w:r>
          </w:p>
        </w:tc>
        <w:tc>
          <w:tcPr>
            <w:tcW w:w="2153" w:type="dxa"/>
            <w:vAlign w:val="center"/>
          </w:tcPr>
          <w:p>
            <w:pPr>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restart"/>
            <w:vAlign w:val="top"/>
          </w:tcPr>
          <w:p>
            <w:pPr>
              <w:ind w:firstLine="210" w:firstLineChars="100"/>
              <w:rPr>
                <w:rFonts w:hint="eastAsia" w:ascii="宋体" w:hAnsi="宋体" w:cs="宋体"/>
                <w:color w:val="auto"/>
                <w:highlight w:val="none"/>
              </w:rPr>
            </w:pPr>
            <w:r>
              <w:rPr>
                <w:rFonts w:hint="eastAsia" w:ascii="宋体" w:hAnsi="宋体" w:cs="宋体"/>
                <w:color w:val="auto"/>
                <w:highlight w:val="none"/>
              </w:rPr>
              <w:t>注：若无分包计划，则投标人应在本表填写“无”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top"/>
          </w:tcPr>
          <w:p>
            <w:pPr>
              <w:jc w:val="center"/>
              <w:rPr>
                <w:rFonts w:hint="eastAsia" w:ascii="宋体" w:hAnsi="宋体" w:cs="宋体"/>
                <w:color w:val="auto"/>
                <w:highlight w:val="none"/>
              </w:rPr>
            </w:pPr>
          </w:p>
        </w:tc>
        <w:tc>
          <w:tcPr>
            <w:tcW w:w="2121" w:type="dxa"/>
            <w:vAlign w:val="top"/>
          </w:tcPr>
          <w:p>
            <w:pPr>
              <w:jc w:val="center"/>
              <w:rPr>
                <w:rFonts w:hint="eastAsia" w:ascii="宋体" w:hAnsi="宋体" w:cs="宋体"/>
                <w:color w:val="auto"/>
                <w:highlight w:val="none"/>
              </w:rPr>
            </w:pP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240" w:type="dxa"/>
            <w:gridSpan w:val="2"/>
            <w:vAlign w:val="center"/>
          </w:tcPr>
          <w:p>
            <w:pPr>
              <w:jc w:val="center"/>
              <w:rPr>
                <w:rFonts w:hint="eastAsia" w:ascii="宋体" w:hAnsi="宋体" w:cs="宋体"/>
                <w:color w:val="auto"/>
                <w:highlight w:val="none"/>
              </w:rPr>
            </w:pPr>
            <w:r>
              <w:rPr>
                <w:rFonts w:hint="eastAsia" w:ascii="宋体" w:hAnsi="宋体" w:cs="宋体"/>
                <w:color w:val="auto"/>
                <w:highlight w:val="none"/>
              </w:rPr>
              <w:t>拟分包工程造价合计（万元）</w:t>
            </w:r>
          </w:p>
        </w:tc>
        <w:tc>
          <w:tcPr>
            <w:tcW w:w="2138" w:type="dxa"/>
            <w:vAlign w:val="top"/>
          </w:tcPr>
          <w:p>
            <w:pPr>
              <w:jc w:val="center"/>
              <w:rPr>
                <w:rFonts w:hint="eastAsia" w:ascii="宋体" w:hAnsi="宋体" w:cs="宋体"/>
                <w:color w:val="auto"/>
                <w:highlight w:val="none"/>
              </w:rPr>
            </w:pPr>
          </w:p>
        </w:tc>
        <w:tc>
          <w:tcPr>
            <w:tcW w:w="2153" w:type="dxa"/>
            <w:vMerge w:val="continue"/>
            <w:vAlign w:val="top"/>
          </w:tcPr>
          <w:p>
            <w:pPr>
              <w:rPr>
                <w:rFonts w:hint="eastAsia" w:ascii="宋体" w:hAnsi="宋体" w:cs="宋体"/>
                <w:color w:val="auto"/>
                <w:highlight w:val="none"/>
              </w:rPr>
            </w:pPr>
          </w:p>
        </w:tc>
      </w:tr>
    </w:tbl>
    <w:p>
      <w:pPr>
        <w:rPr>
          <w:rFonts w:hint="eastAsia" w:ascii="宋体" w:hAnsi="宋体" w:cs="宋体"/>
          <w:color w:val="auto"/>
          <w:highlight w:val="none"/>
        </w:rPr>
      </w:pPr>
    </w:p>
    <w:p>
      <w:pPr>
        <w:pStyle w:val="3"/>
        <w:spacing w:before="0" w:after="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08" w:name="_Toc234345912"/>
      <w:bookmarkStart w:id="1009" w:name="_Toc511896840"/>
      <w:bookmarkStart w:id="1010" w:name="_Toc511905852"/>
      <w:bookmarkStart w:id="1011" w:name="_Toc10158"/>
      <w:bookmarkStart w:id="1012" w:name="_Toc234349004"/>
      <w:bookmarkStart w:id="1013" w:name="_Toc234346127"/>
      <w:bookmarkStart w:id="1014" w:name="_Toc234349578"/>
      <w:r>
        <w:rPr>
          <w:rFonts w:hint="eastAsia" w:ascii="宋体" w:hAnsi="宋体" w:eastAsia="宋体" w:cs="宋体"/>
          <w:color w:val="auto"/>
          <w:highlight w:val="none"/>
        </w:rPr>
        <w:t>七、资格审查资料</w:t>
      </w:r>
      <w:bookmarkEnd w:id="1008"/>
      <w:bookmarkEnd w:id="1009"/>
      <w:bookmarkEnd w:id="1010"/>
      <w:bookmarkEnd w:id="1011"/>
      <w:bookmarkEnd w:id="1012"/>
      <w:bookmarkEnd w:id="1013"/>
      <w:bookmarkEnd w:id="1014"/>
    </w:p>
    <w:p>
      <w:pPr>
        <w:tabs>
          <w:tab w:val="left" w:pos="3960"/>
        </w:tabs>
        <w:spacing w:line="400" w:lineRule="exact"/>
        <w:jc w:val="center"/>
        <w:rPr>
          <w:rFonts w:hint="eastAsia" w:ascii="宋体" w:hAnsi="宋体" w:cs="宋体"/>
          <w:b/>
          <w:color w:val="auto"/>
          <w:sz w:val="32"/>
          <w:szCs w:val="32"/>
          <w:highlight w:val="none"/>
        </w:rPr>
      </w:pPr>
      <w:bookmarkStart w:id="1015" w:name="_Toc234346129"/>
      <w:bookmarkStart w:id="1016" w:name="_Toc234345914"/>
      <w:bookmarkStart w:id="1017" w:name="_Toc234349580"/>
      <w:bookmarkStart w:id="1018" w:name="_Toc234349006"/>
      <w:r>
        <w:rPr>
          <w:rFonts w:hint="eastAsia" w:ascii="宋体" w:hAnsi="宋体" w:cs="宋体"/>
          <w:b/>
          <w:color w:val="auto"/>
          <w:sz w:val="32"/>
          <w:szCs w:val="32"/>
          <w:highlight w:val="none"/>
        </w:rPr>
        <w:t>（一）投标人基本情况表</w:t>
      </w:r>
      <w:bookmarkEnd w:id="1015"/>
      <w:bookmarkEnd w:id="1016"/>
      <w:bookmarkEnd w:id="1017"/>
      <w:bookmarkEnd w:id="1018"/>
    </w:p>
    <w:tbl>
      <w:tblPr>
        <w:tblStyle w:val="18"/>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010"/>
        <w:gridCol w:w="1010"/>
        <w:gridCol w:w="1179"/>
        <w:gridCol w:w="176"/>
        <w:gridCol w:w="1298"/>
        <w:gridCol w:w="181"/>
        <w:gridCol w:w="7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752" w:type="dxa"/>
            <w:gridSpan w:val="8"/>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375" w:type="dxa"/>
            <w:gridSpan w:val="4"/>
            <w:vAlign w:val="center"/>
          </w:tcPr>
          <w:p>
            <w:pPr>
              <w:tabs>
                <w:tab w:val="left" w:pos="3960"/>
              </w:tabs>
              <w:spacing w:line="400" w:lineRule="exact"/>
              <w:jc w:val="center"/>
              <w:rPr>
                <w:rFonts w:hint="eastAsia" w:ascii="宋体" w:hAnsi="宋体" w:cs="宋体"/>
                <w:color w:val="auto"/>
                <w:szCs w:val="21"/>
                <w:highlight w:val="none"/>
              </w:rPr>
            </w:pPr>
          </w:p>
        </w:tc>
        <w:tc>
          <w:tcPr>
            <w:tcW w:w="1298"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079" w:type="dxa"/>
            <w:gridSpan w:val="3"/>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Merge w:val="restart"/>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1010"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365" w:type="dxa"/>
            <w:gridSpan w:val="3"/>
            <w:vAlign w:val="center"/>
          </w:tcPr>
          <w:p>
            <w:pPr>
              <w:tabs>
                <w:tab w:val="left" w:pos="3960"/>
              </w:tabs>
              <w:spacing w:line="400" w:lineRule="exact"/>
              <w:jc w:val="center"/>
              <w:rPr>
                <w:rFonts w:hint="eastAsia" w:ascii="宋体" w:hAnsi="宋体" w:cs="宋体"/>
                <w:color w:val="auto"/>
                <w:szCs w:val="21"/>
                <w:highlight w:val="none"/>
              </w:rPr>
            </w:pPr>
          </w:p>
        </w:tc>
        <w:tc>
          <w:tcPr>
            <w:tcW w:w="1298"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079" w:type="dxa"/>
            <w:gridSpan w:val="3"/>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Merge w:val="continue"/>
            <w:vAlign w:val="center"/>
          </w:tcPr>
          <w:p>
            <w:pPr>
              <w:tabs>
                <w:tab w:val="left" w:pos="3960"/>
              </w:tabs>
              <w:spacing w:line="400" w:lineRule="exact"/>
              <w:jc w:val="center"/>
              <w:rPr>
                <w:rFonts w:hint="eastAsia" w:ascii="宋体" w:hAnsi="宋体" w:cs="宋体"/>
                <w:color w:val="auto"/>
                <w:szCs w:val="21"/>
                <w:highlight w:val="none"/>
              </w:rPr>
            </w:pPr>
          </w:p>
        </w:tc>
        <w:tc>
          <w:tcPr>
            <w:tcW w:w="1010"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365" w:type="dxa"/>
            <w:gridSpan w:val="3"/>
            <w:vAlign w:val="center"/>
          </w:tcPr>
          <w:p>
            <w:pPr>
              <w:tabs>
                <w:tab w:val="left" w:pos="3960"/>
              </w:tabs>
              <w:spacing w:line="400" w:lineRule="exact"/>
              <w:jc w:val="center"/>
              <w:rPr>
                <w:rFonts w:hint="eastAsia" w:ascii="宋体" w:hAnsi="宋体" w:cs="宋体"/>
                <w:color w:val="auto"/>
                <w:szCs w:val="21"/>
                <w:highlight w:val="none"/>
              </w:rPr>
            </w:pPr>
          </w:p>
        </w:tc>
        <w:tc>
          <w:tcPr>
            <w:tcW w:w="1298"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电子邮件</w:t>
            </w:r>
          </w:p>
        </w:tc>
        <w:tc>
          <w:tcPr>
            <w:tcW w:w="2079" w:type="dxa"/>
            <w:gridSpan w:val="3"/>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010"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10" w:type="dxa"/>
            <w:vAlign w:val="center"/>
          </w:tcPr>
          <w:p>
            <w:pPr>
              <w:tabs>
                <w:tab w:val="left" w:pos="3960"/>
              </w:tabs>
              <w:spacing w:line="400" w:lineRule="exact"/>
              <w:jc w:val="center"/>
              <w:rPr>
                <w:rFonts w:hint="eastAsia" w:ascii="宋体" w:hAnsi="宋体" w:cs="宋体"/>
                <w:color w:val="auto"/>
                <w:szCs w:val="21"/>
                <w:highlight w:val="none"/>
              </w:rPr>
            </w:pPr>
          </w:p>
        </w:tc>
        <w:tc>
          <w:tcPr>
            <w:tcW w:w="1179" w:type="dxa"/>
            <w:vAlign w:val="center"/>
          </w:tcPr>
          <w:p>
            <w:pPr>
              <w:tabs>
                <w:tab w:val="left" w:pos="3960"/>
              </w:tabs>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655" w:type="dxa"/>
            <w:gridSpan w:val="3"/>
            <w:vAlign w:val="center"/>
          </w:tcPr>
          <w:p>
            <w:pPr>
              <w:tabs>
                <w:tab w:val="left" w:pos="3960"/>
              </w:tabs>
              <w:spacing w:line="400" w:lineRule="exact"/>
              <w:jc w:val="center"/>
              <w:rPr>
                <w:rFonts w:hint="eastAsia" w:ascii="宋体" w:hAnsi="宋体" w:cs="宋体"/>
                <w:color w:val="auto"/>
                <w:szCs w:val="21"/>
                <w:highlight w:val="none"/>
              </w:rPr>
            </w:pPr>
          </w:p>
        </w:tc>
        <w:tc>
          <w:tcPr>
            <w:tcW w:w="713"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185" w:type="dxa"/>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010"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10" w:type="dxa"/>
            <w:vAlign w:val="center"/>
          </w:tcPr>
          <w:p>
            <w:pPr>
              <w:tabs>
                <w:tab w:val="left" w:pos="3960"/>
              </w:tabs>
              <w:spacing w:line="400" w:lineRule="exact"/>
              <w:jc w:val="center"/>
              <w:rPr>
                <w:rFonts w:hint="eastAsia" w:ascii="宋体" w:hAnsi="宋体" w:cs="宋体"/>
                <w:color w:val="auto"/>
                <w:szCs w:val="21"/>
                <w:highlight w:val="none"/>
              </w:rPr>
            </w:pPr>
          </w:p>
        </w:tc>
        <w:tc>
          <w:tcPr>
            <w:tcW w:w="1179"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655" w:type="dxa"/>
            <w:gridSpan w:val="3"/>
            <w:vAlign w:val="center"/>
          </w:tcPr>
          <w:p>
            <w:pPr>
              <w:tabs>
                <w:tab w:val="left" w:pos="3960"/>
              </w:tabs>
              <w:spacing w:line="400" w:lineRule="exact"/>
              <w:jc w:val="center"/>
              <w:rPr>
                <w:rFonts w:hint="eastAsia" w:ascii="宋体" w:hAnsi="宋体" w:cs="宋体"/>
                <w:color w:val="auto"/>
                <w:szCs w:val="21"/>
                <w:highlight w:val="none"/>
              </w:rPr>
            </w:pPr>
          </w:p>
        </w:tc>
        <w:tc>
          <w:tcPr>
            <w:tcW w:w="713"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185" w:type="dxa"/>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2020" w:type="dxa"/>
            <w:gridSpan w:val="2"/>
            <w:vAlign w:val="center"/>
          </w:tcPr>
          <w:p>
            <w:pPr>
              <w:tabs>
                <w:tab w:val="left" w:pos="3960"/>
              </w:tabs>
              <w:spacing w:line="400" w:lineRule="exact"/>
              <w:jc w:val="center"/>
              <w:rPr>
                <w:rFonts w:hint="eastAsia" w:ascii="宋体" w:hAnsi="宋体" w:cs="宋体"/>
                <w:color w:val="auto"/>
                <w:szCs w:val="21"/>
                <w:highlight w:val="none"/>
              </w:rPr>
            </w:pPr>
          </w:p>
        </w:tc>
        <w:tc>
          <w:tcPr>
            <w:tcW w:w="4732" w:type="dxa"/>
            <w:gridSpan w:val="6"/>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2020" w:type="dxa"/>
            <w:gridSpan w:val="2"/>
            <w:vAlign w:val="center"/>
          </w:tcPr>
          <w:p>
            <w:pPr>
              <w:tabs>
                <w:tab w:val="left" w:pos="3960"/>
              </w:tabs>
              <w:spacing w:line="400" w:lineRule="exact"/>
              <w:jc w:val="center"/>
              <w:rPr>
                <w:rFonts w:hint="eastAsia" w:ascii="宋体" w:hAnsi="宋体" w:cs="宋体"/>
                <w:color w:val="auto"/>
                <w:szCs w:val="21"/>
                <w:highlight w:val="none"/>
              </w:rPr>
            </w:pPr>
          </w:p>
        </w:tc>
        <w:tc>
          <w:tcPr>
            <w:tcW w:w="1179" w:type="dxa"/>
            <w:vMerge w:val="restart"/>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1655" w:type="dxa"/>
            <w:gridSpan w:val="3"/>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898" w:type="dxa"/>
            <w:gridSpan w:val="2"/>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注册资本</w:t>
            </w:r>
          </w:p>
        </w:tc>
        <w:tc>
          <w:tcPr>
            <w:tcW w:w="2020" w:type="dxa"/>
            <w:gridSpan w:val="2"/>
            <w:vAlign w:val="center"/>
          </w:tcPr>
          <w:p>
            <w:pPr>
              <w:tabs>
                <w:tab w:val="left" w:pos="3960"/>
              </w:tabs>
              <w:spacing w:line="400" w:lineRule="exact"/>
              <w:jc w:val="center"/>
              <w:rPr>
                <w:rFonts w:hint="eastAsia" w:ascii="宋体" w:hAnsi="宋体" w:cs="宋体"/>
                <w:color w:val="auto"/>
                <w:szCs w:val="21"/>
                <w:highlight w:val="none"/>
              </w:rPr>
            </w:pPr>
          </w:p>
        </w:tc>
        <w:tc>
          <w:tcPr>
            <w:tcW w:w="1179" w:type="dxa"/>
            <w:vMerge w:val="continue"/>
            <w:vAlign w:val="center"/>
          </w:tcPr>
          <w:p>
            <w:pPr>
              <w:tabs>
                <w:tab w:val="left" w:pos="3960"/>
              </w:tabs>
              <w:spacing w:line="400" w:lineRule="exact"/>
              <w:jc w:val="center"/>
              <w:rPr>
                <w:rFonts w:hint="eastAsia" w:ascii="宋体" w:hAnsi="宋体" w:cs="宋体"/>
                <w:color w:val="auto"/>
                <w:szCs w:val="21"/>
                <w:highlight w:val="none"/>
              </w:rPr>
            </w:pPr>
          </w:p>
        </w:tc>
        <w:tc>
          <w:tcPr>
            <w:tcW w:w="1655" w:type="dxa"/>
            <w:gridSpan w:val="3"/>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高级职称人员</w:t>
            </w:r>
          </w:p>
        </w:tc>
        <w:tc>
          <w:tcPr>
            <w:tcW w:w="1898" w:type="dxa"/>
            <w:gridSpan w:val="2"/>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成立日期</w:t>
            </w:r>
          </w:p>
        </w:tc>
        <w:tc>
          <w:tcPr>
            <w:tcW w:w="2020" w:type="dxa"/>
            <w:gridSpan w:val="2"/>
            <w:vAlign w:val="center"/>
          </w:tcPr>
          <w:p>
            <w:pPr>
              <w:tabs>
                <w:tab w:val="left" w:pos="3960"/>
              </w:tabs>
              <w:spacing w:line="400" w:lineRule="exact"/>
              <w:jc w:val="center"/>
              <w:rPr>
                <w:rFonts w:hint="eastAsia" w:ascii="宋体" w:hAnsi="宋体" w:cs="宋体"/>
                <w:color w:val="auto"/>
                <w:szCs w:val="21"/>
                <w:highlight w:val="none"/>
              </w:rPr>
            </w:pPr>
          </w:p>
        </w:tc>
        <w:tc>
          <w:tcPr>
            <w:tcW w:w="1179" w:type="dxa"/>
            <w:vMerge w:val="continue"/>
            <w:vAlign w:val="center"/>
          </w:tcPr>
          <w:p>
            <w:pPr>
              <w:tabs>
                <w:tab w:val="left" w:pos="3960"/>
              </w:tabs>
              <w:spacing w:line="400" w:lineRule="exact"/>
              <w:jc w:val="center"/>
              <w:rPr>
                <w:rFonts w:hint="eastAsia" w:ascii="宋体" w:hAnsi="宋体" w:cs="宋体"/>
                <w:color w:val="auto"/>
                <w:szCs w:val="21"/>
                <w:highlight w:val="none"/>
              </w:rPr>
            </w:pPr>
          </w:p>
        </w:tc>
        <w:tc>
          <w:tcPr>
            <w:tcW w:w="1655" w:type="dxa"/>
            <w:gridSpan w:val="3"/>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中级职称人员</w:t>
            </w:r>
          </w:p>
        </w:tc>
        <w:tc>
          <w:tcPr>
            <w:tcW w:w="1898" w:type="dxa"/>
            <w:gridSpan w:val="2"/>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基本账户开户银行</w:t>
            </w:r>
          </w:p>
        </w:tc>
        <w:tc>
          <w:tcPr>
            <w:tcW w:w="2020" w:type="dxa"/>
            <w:gridSpan w:val="2"/>
            <w:vAlign w:val="center"/>
          </w:tcPr>
          <w:p>
            <w:pPr>
              <w:tabs>
                <w:tab w:val="left" w:pos="3960"/>
              </w:tabs>
              <w:spacing w:line="400" w:lineRule="exact"/>
              <w:jc w:val="center"/>
              <w:rPr>
                <w:rFonts w:hint="eastAsia" w:ascii="宋体" w:hAnsi="宋体" w:cs="宋体"/>
                <w:color w:val="auto"/>
                <w:szCs w:val="21"/>
                <w:highlight w:val="none"/>
              </w:rPr>
            </w:pPr>
          </w:p>
        </w:tc>
        <w:tc>
          <w:tcPr>
            <w:tcW w:w="1179" w:type="dxa"/>
            <w:vMerge w:val="continue"/>
            <w:vAlign w:val="center"/>
          </w:tcPr>
          <w:p>
            <w:pPr>
              <w:tabs>
                <w:tab w:val="left" w:pos="3960"/>
              </w:tabs>
              <w:spacing w:line="400" w:lineRule="exact"/>
              <w:jc w:val="center"/>
              <w:rPr>
                <w:rFonts w:hint="eastAsia" w:ascii="宋体" w:hAnsi="宋体" w:cs="宋体"/>
                <w:color w:val="auto"/>
                <w:szCs w:val="21"/>
                <w:highlight w:val="none"/>
              </w:rPr>
            </w:pPr>
          </w:p>
        </w:tc>
        <w:tc>
          <w:tcPr>
            <w:tcW w:w="1655" w:type="dxa"/>
            <w:gridSpan w:val="3"/>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初级职称人员</w:t>
            </w:r>
          </w:p>
        </w:tc>
        <w:tc>
          <w:tcPr>
            <w:tcW w:w="1898" w:type="dxa"/>
            <w:gridSpan w:val="2"/>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基本账户银行账号</w:t>
            </w:r>
          </w:p>
        </w:tc>
        <w:tc>
          <w:tcPr>
            <w:tcW w:w="2020" w:type="dxa"/>
            <w:gridSpan w:val="2"/>
            <w:vAlign w:val="center"/>
          </w:tcPr>
          <w:p>
            <w:pPr>
              <w:tabs>
                <w:tab w:val="left" w:pos="3960"/>
              </w:tabs>
              <w:spacing w:line="400" w:lineRule="exact"/>
              <w:jc w:val="center"/>
              <w:rPr>
                <w:rFonts w:hint="eastAsia" w:ascii="宋体" w:hAnsi="宋体" w:cs="宋体"/>
                <w:color w:val="auto"/>
                <w:szCs w:val="21"/>
                <w:highlight w:val="none"/>
              </w:rPr>
            </w:pPr>
          </w:p>
        </w:tc>
        <w:tc>
          <w:tcPr>
            <w:tcW w:w="1179" w:type="dxa"/>
            <w:vMerge w:val="continue"/>
            <w:vAlign w:val="center"/>
          </w:tcPr>
          <w:p>
            <w:pPr>
              <w:tabs>
                <w:tab w:val="left" w:pos="3960"/>
              </w:tabs>
              <w:spacing w:line="400" w:lineRule="exact"/>
              <w:jc w:val="center"/>
              <w:rPr>
                <w:rFonts w:hint="eastAsia" w:ascii="宋体" w:hAnsi="宋体" w:cs="宋体"/>
                <w:color w:val="auto"/>
                <w:szCs w:val="21"/>
                <w:highlight w:val="none"/>
              </w:rPr>
            </w:pPr>
          </w:p>
        </w:tc>
        <w:tc>
          <w:tcPr>
            <w:tcW w:w="1655" w:type="dxa"/>
            <w:gridSpan w:val="3"/>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技工</w:t>
            </w:r>
          </w:p>
        </w:tc>
        <w:tc>
          <w:tcPr>
            <w:tcW w:w="1898" w:type="dxa"/>
            <w:gridSpan w:val="2"/>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6752" w:type="dxa"/>
            <w:gridSpan w:val="8"/>
            <w:vAlign w:val="center"/>
          </w:tcPr>
          <w:p>
            <w:pPr>
              <w:tabs>
                <w:tab w:val="left" w:pos="3960"/>
              </w:tabs>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投标人关联</w:t>
            </w:r>
          </w:p>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企业情况</w:t>
            </w:r>
          </w:p>
        </w:tc>
        <w:tc>
          <w:tcPr>
            <w:tcW w:w="6752" w:type="dxa"/>
            <w:gridSpan w:val="8"/>
            <w:vAlign w:val="center"/>
          </w:tcPr>
          <w:p>
            <w:pPr>
              <w:tabs>
                <w:tab w:val="left" w:pos="3960"/>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投标人应提供关联企业情况，包括：</w:t>
            </w:r>
          </w:p>
          <w:p>
            <w:pPr>
              <w:numPr>
                <w:ilvl w:val="0"/>
                <w:numId w:val="10"/>
              </w:numPr>
              <w:tabs>
                <w:tab w:val="left" w:pos="3960"/>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投标人的所有股东名称及相应股权（出资额）比例；如投标人为上市公司，投标人应提供股权占公司股份总数_20__%以上的所有股东名称及相应股权比例；</w:t>
            </w:r>
          </w:p>
          <w:p>
            <w:pPr>
              <w:numPr>
                <w:ilvl w:val="0"/>
                <w:numId w:val="10"/>
              </w:numPr>
              <w:tabs>
                <w:tab w:val="left" w:pos="3960"/>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投标人投资（控股）或管理的下属企业名称、持有股权（出资额）比例；</w:t>
            </w:r>
          </w:p>
          <w:p>
            <w:pPr>
              <w:numPr>
                <w:ilvl w:val="0"/>
                <w:numId w:val="10"/>
              </w:numPr>
              <w:tabs>
                <w:tab w:val="left" w:pos="3960"/>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与投标人单位负责人（即法定代表人）为同一人的其他单位名称</w:t>
            </w:r>
          </w:p>
          <w:p>
            <w:pPr>
              <w:numPr>
                <w:ilvl w:val="0"/>
                <w:numId w:val="10"/>
              </w:numPr>
              <w:tabs>
                <w:tab w:val="left" w:pos="3960"/>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登记类型为全民所有制企业的，可只附主管部门信息，其主管部门视为其全资股东。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121"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752" w:type="dxa"/>
            <w:gridSpan w:val="8"/>
            <w:vAlign w:val="center"/>
          </w:tcPr>
          <w:p>
            <w:pPr>
              <w:tabs>
                <w:tab w:val="left" w:pos="3960"/>
              </w:tabs>
              <w:spacing w:line="400" w:lineRule="exact"/>
              <w:jc w:val="center"/>
              <w:rPr>
                <w:rFonts w:hint="eastAsia" w:ascii="宋体" w:hAnsi="宋体" w:cs="宋体"/>
                <w:color w:val="auto"/>
                <w:szCs w:val="21"/>
                <w:highlight w:val="none"/>
              </w:rPr>
            </w:pPr>
          </w:p>
        </w:tc>
      </w:tr>
    </w:tbl>
    <w:p>
      <w:pPr>
        <w:pStyle w:val="31"/>
        <w:shd w:val="clear" w:color="auto" w:fill="auto"/>
        <w:spacing w:before="0" w:line="360" w:lineRule="auto"/>
        <w:ind w:right="60"/>
        <w:jc w:val="left"/>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注：</w:t>
      </w:r>
      <w:r>
        <w:rPr>
          <w:rStyle w:val="20"/>
          <w:rFonts w:hint="eastAsia" w:ascii="宋体" w:hAnsi="宋体" w:eastAsia="宋体" w:cs="宋体"/>
          <w:color w:val="auto"/>
          <w:sz w:val="21"/>
          <w:szCs w:val="21"/>
          <w:highlight w:val="none"/>
        </w:rPr>
        <w:t>1.</w:t>
      </w:r>
      <w:r>
        <w:rPr>
          <w:rStyle w:val="47"/>
          <w:rFonts w:hint="eastAsia" w:ascii="宋体" w:hAnsi="宋体" w:eastAsia="宋体" w:cs="宋体"/>
          <w:color w:val="auto"/>
          <w:sz w:val="21"/>
          <w:szCs w:val="21"/>
          <w:highlight w:val="none"/>
        </w:rPr>
        <w:t>投标人应根据招标文件第二章“投标人须知</w:t>
      </w:r>
      <w:r>
        <w:rPr>
          <w:rStyle w:val="20"/>
          <w:rFonts w:hint="eastAsia" w:ascii="宋体" w:hAnsi="宋体" w:eastAsia="宋体" w:cs="宋体"/>
          <w:color w:val="auto"/>
          <w:sz w:val="21"/>
          <w:szCs w:val="21"/>
          <w:highlight w:val="none"/>
        </w:rPr>
        <w:t>”</w:t>
      </w:r>
      <w:r>
        <w:rPr>
          <w:rStyle w:val="47"/>
          <w:rFonts w:hint="eastAsia" w:ascii="宋体" w:hAnsi="宋体" w:eastAsia="宋体" w:cs="宋体"/>
          <w:color w:val="auto"/>
          <w:sz w:val="21"/>
          <w:szCs w:val="21"/>
          <w:highlight w:val="none"/>
        </w:rPr>
        <w:t>第</w:t>
      </w:r>
      <w:r>
        <w:rPr>
          <w:rStyle w:val="20"/>
          <w:rFonts w:hint="eastAsia" w:ascii="宋体" w:hAnsi="宋体" w:eastAsia="宋体" w:cs="宋体"/>
          <w:color w:val="auto"/>
          <w:sz w:val="21"/>
          <w:szCs w:val="21"/>
          <w:highlight w:val="none"/>
        </w:rPr>
        <w:t>3.5.1</w:t>
      </w:r>
      <w:r>
        <w:rPr>
          <w:rStyle w:val="47"/>
          <w:rFonts w:hint="eastAsia" w:ascii="宋体" w:hAnsi="宋体" w:eastAsia="宋体" w:cs="宋体"/>
          <w:color w:val="auto"/>
          <w:sz w:val="21"/>
          <w:szCs w:val="21"/>
          <w:highlight w:val="none"/>
        </w:rPr>
        <w:t xml:space="preserve">项的要求在本表后附相关证明材料。 </w:t>
      </w:r>
    </w:p>
    <w:p>
      <w:pPr>
        <w:pStyle w:val="31"/>
        <w:shd w:val="clear" w:color="auto" w:fill="auto"/>
        <w:spacing w:before="0" w:line="360" w:lineRule="auto"/>
        <w:ind w:right="60" w:firstLine="630" w:firstLineChars="300"/>
        <w:jc w:val="left"/>
        <w:rPr>
          <w:rFonts w:hint="eastAsia" w:ascii="宋体" w:hAnsi="宋体" w:eastAsia="宋体" w:cs="宋体"/>
          <w:color w:val="auto"/>
          <w:sz w:val="21"/>
          <w:szCs w:val="21"/>
          <w:highlight w:val="none"/>
        </w:rPr>
        <w:sectPr>
          <w:pgSz w:w="11905" w:h="16838"/>
          <w:pgMar w:top="1304" w:right="1304" w:bottom="1304" w:left="1361" w:header="720" w:footer="720" w:gutter="0"/>
          <w:paperSrc w:first="7" w:other="7"/>
          <w:pgNumType w:fmt="numberInDash"/>
          <w:cols w:space="720" w:num="1"/>
          <w:titlePg/>
          <w:docGrid w:linePitch="360" w:charSpace="0"/>
        </w:sectPr>
      </w:pPr>
      <w:r>
        <w:rPr>
          <w:rStyle w:val="20"/>
          <w:rFonts w:hint="eastAsia" w:ascii="宋体" w:hAnsi="宋体" w:eastAsia="宋体" w:cs="宋体"/>
          <w:color w:val="auto"/>
          <w:sz w:val="21"/>
          <w:szCs w:val="21"/>
          <w:highlight w:val="none"/>
        </w:rPr>
        <w:t>2.</w:t>
      </w:r>
      <w:r>
        <w:rPr>
          <w:rStyle w:val="47"/>
          <w:rFonts w:hint="eastAsia" w:ascii="宋体" w:hAnsi="宋体" w:eastAsia="宋体" w:cs="宋体"/>
          <w:color w:val="auto"/>
          <w:sz w:val="21"/>
          <w:szCs w:val="21"/>
          <w:highlight w:val="none"/>
        </w:rPr>
        <w:t>以联合体形式参与投标的，联合体各成员应分别填写。</w:t>
      </w:r>
    </w:p>
    <w:p>
      <w:pPr>
        <w:tabs>
          <w:tab w:val="left" w:pos="3960"/>
        </w:tabs>
        <w:spacing w:line="400" w:lineRule="exact"/>
        <w:ind w:firstLine="420" w:firstLineChars="200"/>
        <w:jc w:val="left"/>
        <w:rPr>
          <w:rFonts w:hint="eastAsia" w:ascii="宋体" w:hAnsi="宋体" w:cs="宋体"/>
          <w:color w:val="auto"/>
          <w:szCs w:val="21"/>
          <w:highlight w:val="none"/>
        </w:rPr>
      </w:pPr>
    </w:p>
    <w:p>
      <w:pPr>
        <w:tabs>
          <w:tab w:val="left" w:pos="3960"/>
        </w:tabs>
        <w:spacing w:line="400" w:lineRule="exact"/>
        <w:jc w:val="center"/>
        <w:rPr>
          <w:rFonts w:hint="eastAsia" w:ascii="宋体" w:hAnsi="宋体" w:cs="宋体"/>
          <w:b/>
          <w:color w:val="auto"/>
          <w:sz w:val="32"/>
          <w:szCs w:val="32"/>
          <w:highlight w:val="none"/>
        </w:rPr>
      </w:pPr>
      <w:bookmarkStart w:id="1019" w:name="_Toc234349581"/>
      <w:bookmarkStart w:id="1020" w:name="_Toc234346130"/>
      <w:bookmarkStart w:id="1021" w:name="_Toc234349007"/>
      <w:bookmarkStart w:id="1022" w:name="_Toc234345915"/>
      <w:r>
        <w:rPr>
          <w:rFonts w:hint="eastAsia" w:ascii="宋体" w:hAnsi="宋体" w:cs="宋体"/>
          <w:b/>
          <w:color w:val="auto"/>
          <w:sz w:val="32"/>
          <w:szCs w:val="32"/>
          <w:highlight w:val="none"/>
        </w:rPr>
        <w:t>（二）投标人企业组织机构框图</w:t>
      </w:r>
      <w:bookmarkEnd w:id="1019"/>
      <w:bookmarkEnd w:id="1020"/>
      <w:bookmarkEnd w:id="1021"/>
      <w:bookmarkEnd w:id="1022"/>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以框图方式表示</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说明</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tc>
      </w:tr>
    </w:tbl>
    <w:p>
      <w:pPr>
        <w:tabs>
          <w:tab w:val="left" w:pos="3960"/>
        </w:tabs>
        <w:spacing w:line="400" w:lineRule="exact"/>
        <w:jc w:val="center"/>
        <w:rPr>
          <w:rFonts w:hint="eastAsia" w:ascii="宋体" w:hAnsi="宋体" w:cs="宋体"/>
          <w:b/>
          <w:color w:val="auto"/>
          <w:sz w:val="32"/>
          <w:szCs w:val="32"/>
          <w:highlight w:val="none"/>
        </w:rPr>
      </w:pPr>
      <w:r>
        <w:rPr>
          <w:rFonts w:hint="eastAsia" w:ascii="宋体" w:hAnsi="宋体" w:cs="宋体"/>
          <w:color w:val="auto"/>
          <w:highlight w:val="none"/>
        </w:rPr>
        <w:br w:type="page"/>
      </w:r>
      <w:bookmarkStart w:id="1023" w:name="_Toc234349009"/>
      <w:bookmarkStart w:id="1024" w:name="_Toc234346132"/>
      <w:bookmarkStart w:id="1025" w:name="_Toc234349583"/>
      <w:bookmarkStart w:id="1026" w:name="_Toc234345917"/>
      <w:r>
        <w:rPr>
          <w:rFonts w:hint="eastAsia" w:ascii="宋体" w:hAnsi="宋体" w:cs="宋体"/>
          <w:b/>
          <w:color w:val="auto"/>
          <w:sz w:val="32"/>
          <w:szCs w:val="32"/>
          <w:highlight w:val="none"/>
        </w:rPr>
        <w:t>（三）近年财务状况表</w:t>
      </w:r>
      <w:bookmarkEnd w:id="1023"/>
      <w:bookmarkEnd w:id="1024"/>
      <w:bookmarkEnd w:id="1025"/>
      <w:bookmarkEnd w:id="1026"/>
    </w:p>
    <w:p>
      <w:pPr>
        <w:tabs>
          <w:tab w:val="left" w:pos="3960"/>
        </w:tabs>
        <w:spacing w:line="400" w:lineRule="exact"/>
        <w:jc w:val="center"/>
        <w:rPr>
          <w:rFonts w:hint="eastAsia" w:ascii="宋体" w:hAnsi="宋体" w:cs="宋体"/>
          <w:b/>
          <w:color w:val="auto"/>
          <w:sz w:val="32"/>
          <w:szCs w:val="32"/>
          <w:highlight w:val="none"/>
        </w:rPr>
      </w:pPr>
      <w:r>
        <w:rPr>
          <w:rFonts w:hint="eastAsia" w:ascii="宋体" w:hAnsi="宋体" w:cs="宋体"/>
          <w:color w:val="auto"/>
          <w:sz w:val="23"/>
          <w:szCs w:val="23"/>
          <w:highlight w:val="none"/>
        </w:rPr>
        <w:t>财务状况表</w:t>
      </w:r>
    </w:p>
    <w:tbl>
      <w:tblPr>
        <w:tblStyle w:val="18"/>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119"/>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jc w:val="center"/>
              <w:rPr>
                <w:rFonts w:hint="eastAsia" w:ascii="宋体" w:hAnsi="宋体" w:cs="宋体"/>
                <w:color w:val="auto"/>
                <w:highlight w:val="none"/>
              </w:rPr>
            </w:pPr>
            <w:r>
              <w:rPr>
                <w:rFonts w:hint="eastAsia" w:ascii="宋体" w:hAnsi="宋体" w:cs="宋体"/>
                <w:color w:val="auto"/>
                <w:highlight w:val="none"/>
              </w:rPr>
              <w:t>项目或指标</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单位</w:t>
            </w:r>
          </w:p>
        </w:tc>
        <w:tc>
          <w:tcPr>
            <w:tcW w:w="1423" w:type="dxa"/>
            <w:vAlign w:val="center"/>
          </w:tcPr>
          <w:p>
            <w:pPr>
              <w:ind w:firstLine="105" w:firstLineChars="5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p>
        </w:tc>
        <w:tc>
          <w:tcPr>
            <w:tcW w:w="1423" w:type="dxa"/>
            <w:vAlign w:val="center"/>
          </w:tcPr>
          <w:p>
            <w:pPr>
              <w:ind w:firstLine="105" w:firstLineChars="5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p>
        </w:tc>
        <w:tc>
          <w:tcPr>
            <w:tcW w:w="1423" w:type="dxa"/>
            <w:vAlign w:val="center"/>
          </w:tcPr>
          <w:p>
            <w:pPr>
              <w:ind w:firstLine="105" w:firstLineChars="5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一、注册资金</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二、净资产</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三、总资产</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四、固定资产</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五、流动资产</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六、流动负债</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七、负债合计</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八、营业收入</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九、净利润</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210" w:firstLineChars="100"/>
              <w:rPr>
                <w:rFonts w:hint="eastAsia" w:ascii="宋体" w:hAnsi="宋体" w:cs="宋体"/>
                <w:color w:val="auto"/>
                <w:highlight w:val="none"/>
              </w:rPr>
            </w:pPr>
            <w:r>
              <w:rPr>
                <w:rFonts w:hint="eastAsia" w:ascii="宋体" w:hAnsi="宋体" w:cs="宋体"/>
                <w:color w:val="auto"/>
                <w:highlight w:val="none"/>
              </w:rPr>
              <w:t>十、现金流量净额</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万元</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460" w:type="dxa"/>
            <w:vAlign w:val="center"/>
          </w:tcPr>
          <w:p>
            <w:pPr>
              <w:jc w:val="center"/>
              <w:rPr>
                <w:rFonts w:hint="eastAsia" w:ascii="宋体" w:hAnsi="宋体" w:cs="宋体"/>
                <w:color w:val="auto"/>
                <w:highlight w:val="none"/>
              </w:rPr>
            </w:pPr>
            <w:r>
              <w:rPr>
                <w:rFonts w:hint="eastAsia" w:ascii="宋体" w:hAnsi="宋体" w:cs="宋体"/>
                <w:color w:val="auto"/>
                <w:highlight w:val="none"/>
              </w:rPr>
              <w:t>十一、主要财务指标</w:t>
            </w:r>
          </w:p>
        </w:tc>
        <w:tc>
          <w:tcPr>
            <w:tcW w:w="2119" w:type="dxa"/>
            <w:vAlign w:val="center"/>
          </w:tcPr>
          <w:p>
            <w:pPr>
              <w:jc w:val="cente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jc w:val="center"/>
              <w:rPr>
                <w:rFonts w:hint="eastAsia" w:ascii="宋体" w:hAnsi="宋体" w:cs="宋体"/>
                <w:color w:val="auto"/>
                <w:highlight w:val="none"/>
              </w:rPr>
            </w:pPr>
            <w:r>
              <w:rPr>
                <w:rFonts w:hint="eastAsia" w:ascii="宋体" w:hAnsi="宋体" w:cs="宋体"/>
                <w:color w:val="auto"/>
                <w:highlight w:val="none"/>
              </w:rPr>
              <w:t>1.净资产收益率</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jc w:val="center"/>
              <w:rPr>
                <w:rFonts w:hint="eastAsia" w:ascii="宋体" w:hAnsi="宋体" w:cs="宋体"/>
                <w:color w:val="auto"/>
                <w:highlight w:val="none"/>
              </w:rPr>
            </w:pPr>
            <w:r>
              <w:rPr>
                <w:rFonts w:hint="eastAsia" w:ascii="宋体" w:hAnsi="宋体" w:cs="宋体"/>
                <w:color w:val="auto"/>
                <w:highlight w:val="none"/>
              </w:rPr>
              <w:t>2.总资产报酬率</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460" w:type="dxa"/>
            <w:vAlign w:val="center"/>
          </w:tcPr>
          <w:p>
            <w:pPr>
              <w:ind w:firstLine="315" w:firstLineChars="150"/>
              <w:rPr>
                <w:rFonts w:hint="eastAsia" w:ascii="宋体" w:hAnsi="宋体" w:cs="宋体"/>
                <w:color w:val="auto"/>
                <w:highlight w:val="none"/>
              </w:rPr>
            </w:pPr>
            <w:r>
              <w:rPr>
                <w:rFonts w:hint="eastAsia" w:ascii="宋体" w:hAnsi="宋体" w:cs="宋体"/>
                <w:color w:val="auto"/>
                <w:highlight w:val="none"/>
              </w:rPr>
              <w:t>3.主营业务利润率</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315" w:firstLineChars="150"/>
              <w:rPr>
                <w:rFonts w:hint="eastAsia" w:ascii="宋体" w:hAnsi="宋体" w:cs="宋体"/>
                <w:color w:val="auto"/>
                <w:highlight w:val="none"/>
              </w:rPr>
            </w:pPr>
            <w:r>
              <w:rPr>
                <w:rFonts w:hint="eastAsia" w:ascii="宋体" w:hAnsi="宋体" w:cs="宋体"/>
                <w:color w:val="auto"/>
                <w:highlight w:val="none"/>
              </w:rPr>
              <w:t>4.资产负债率</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315" w:firstLineChars="150"/>
              <w:rPr>
                <w:rFonts w:hint="eastAsia" w:ascii="宋体" w:hAnsi="宋体" w:cs="宋体"/>
                <w:color w:val="auto"/>
                <w:highlight w:val="none"/>
              </w:rPr>
            </w:pPr>
            <w:r>
              <w:rPr>
                <w:rFonts w:hint="eastAsia" w:ascii="宋体" w:hAnsi="宋体" w:cs="宋体"/>
                <w:color w:val="auto"/>
                <w:highlight w:val="none"/>
              </w:rPr>
              <w:t>5.流动比率</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460" w:type="dxa"/>
            <w:vAlign w:val="center"/>
          </w:tcPr>
          <w:p>
            <w:pPr>
              <w:ind w:firstLine="315" w:firstLineChars="150"/>
              <w:rPr>
                <w:rFonts w:hint="eastAsia" w:ascii="宋体" w:hAnsi="宋体" w:cs="宋体"/>
                <w:color w:val="auto"/>
                <w:highlight w:val="none"/>
              </w:rPr>
            </w:pPr>
            <w:r>
              <w:rPr>
                <w:rFonts w:hint="eastAsia" w:ascii="宋体" w:hAnsi="宋体" w:cs="宋体"/>
                <w:color w:val="auto"/>
                <w:highlight w:val="none"/>
              </w:rPr>
              <w:t>6.速动比率</w:t>
            </w:r>
          </w:p>
        </w:tc>
        <w:tc>
          <w:tcPr>
            <w:tcW w:w="2119"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c>
          <w:tcPr>
            <w:tcW w:w="1423" w:type="dxa"/>
            <w:vAlign w:val="center"/>
          </w:tcPr>
          <w:p>
            <w:pPr>
              <w:rPr>
                <w:rFonts w:hint="eastAsia" w:ascii="宋体" w:hAnsi="宋体" w:cs="宋体"/>
                <w:color w:val="auto"/>
                <w:highlight w:val="none"/>
              </w:rPr>
            </w:pPr>
          </w:p>
        </w:tc>
      </w:tr>
    </w:tbl>
    <w:p>
      <w:pPr>
        <w:tabs>
          <w:tab w:val="left" w:pos="3960"/>
        </w:tabs>
        <w:spacing w:line="400" w:lineRule="exact"/>
        <w:ind w:left="630" w:hanging="630" w:hangingChars="300"/>
        <w:rPr>
          <w:rFonts w:hint="eastAsia" w:ascii="宋体" w:hAnsi="宋体" w:cs="宋体"/>
          <w:color w:val="auto"/>
          <w:highlight w:val="none"/>
        </w:rPr>
      </w:pPr>
      <w:r>
        <w:rPr>
          <w:rFonts w:hint="eastAsia" w:ascii="宋体" w:hAnsi="宋体" w:cs="宋体"/>
          <w:color w:val="auto"/>
          <w:highlight w:val="none"/>
        </w:rPr>
        <w:t>注：1.投标人应根据招标文件第二章“投标人须知”第3.5.2项的要求在本表后附相关证明材料。</w:t>
      </w:r>
    </w:p>
    <w:p>
      <w:pPr>
        <w:tabs>
          <w:tab w:val="left" w:pos="3960"/>
        </w:tabs>
        <w:spacing w:line="400" w:lineRule="exact"/>
        <w:ind w:left="630" w:hanging="630" w:hangingChars="300"/>
        <w:rPr>
          <w:rFonts w:hint="eastAsia" w:ascii="宋体" w:hAnsi="宋体" w:cs="宋体"/>
          <w:color w:val="auto"/>
          <w:highlight w:val="none"/>
        </w:rPr>
      </w:pPr>
      <w:r>
        <w:rPr>
          <w:rFonts w:hint="eastAsia" w:ascii="宋体" w:hAnsi="宋体" w:cs="宋体"/>
          <w:color w:val="auto"/>
          <w:highlight w:val="none"/>
        </w:rPr>
        <w:t>2.本表所列数据必须与本表各附件中的数据相一致。</w:t>
      </w:r>
    </w:p>
    <w:p>
      <w:pPr>
        <w:tabs>
          <w:tab w:val="left" w:pos="3960"/>
        </w:tabs>
        <w:spacing w:line="400" w:lineRule="exact"/>
        <w:ind w:left="630" w:hanging="630" w:hangingChars="300"/>
        <w:rPr>
          <w:rFonts w:hint="eastAsia" w:ascii="宋体" w:hAnsi="宋体" w:cs="宋体"/>
          <w:color w:val="auto"/>
          <w:highlight w:val="none"/>
        </w:rPr>
      </w:pPr>
      <w:r>
        <w:rPr>
          <w:rFonts w:hint="eastAsia" w:ascii="宋体" w:hAnsi="宋体" w:cs="宋体"/>
          <w:color w:val="auto"/>
          <w:highlight w:val="none"/>
        </w:rPr>
        <w:t>3.以联合体形式参与投标的，联合体各成员应分别填写。</w:t>
      </w:r>
    </w:p>
    <w:p>
      <w:pPr>
        <w:tabs>
          <w:tab w:val="left" w:pos="3960"/>
        </w:tabs>
        <w:spacing w:after="120" w:afterLines="50" w:line="400" w:lineRule="exact"/>
        <w:jc w:val="center"/>
        <w:rPr>
          <w:rFonts w:hint="eastAsia" w:ascii="宋体" w:hAnsi="宋体" w:cs="宋体"/>
          <w:b/>
          <w:color w:val="auto"/>
          <w:sz w:val="32"/>
          <w:szCs w:val="32"/>
          <w:highlight w:val="none"/>
        </w:rPr>
      </w:pPr>
      <w:r>
        <w:rPr>
          <w:rFonts w:hint="eastAsia" w:ascii="宋体" w:hAnsi="宋体" w:cs="宋体"/>
          <w:color w:val="auto"/>
          <w:highlight w:val="none"/>
        </w:rPr>
        <w:br w:type="page"/>
      </w:r>
      <w:bookmarkStart w:id="1027" w:name="_Toc234349010"/>
      <w:bookmarkStart w:id="1028" w:name="_Toc234349584"/>
      <w:bookmarkStart w:id="1029" w:name="_Toc234345918"/>
      <w:bookmarkStart w:id="1030" w:name="_Toc234346133"/>
      <w:r>
        <w:rPr>
          <w:rFonts w:hint="eastAsia" w:ascii="宋体" w:hAnsi="宋体" w:cs="宋体"/>
          <w:b/>
          <w:color w:val="auto"/>
          <w:sz w:val="32"/>
          <w:szCs w:val="32"/>
          <w:highlight w:val="none"/>
        </w:rPr>
        <w:t>（四）近年完成的类似项目情况表</w:t>
      </w:r>
      <w:bookmarkEnd w:id="1027"/>
      <w:bookmarkEnd w:id="1028"/>
      <w:bookmarkEnd w:id="1029"/>
      <w:bookmarkEnd w:id="1030"/>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项目名称</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项目所在地</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发包人名称</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发包人地址</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发包人电话</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合同价格</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开工日期</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交工日期</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承担的工作</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工程质量</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项目经理</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项目总工</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总监理工程师及电话</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项目描述</w:t>
            </w:r>
          </w:p>
        </w:tc>
        <w:tc>
          <w:tcPr>
            <w:tcW w:w="6543" w:type="dxa"/>
            <w:vAlign w:val="top"/>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79" w:type="dxa"/>
            <w:vAlign w:val="center"/>
          </w:tcPr>
          <w:p>
            <w:pPr>
              <w:jc w:val="center"/>
              <w:rPr>
                <w:rFonts w:hint="eastAsia" w:ascii="宋体" w:hAnsi="宋体" w:cs="宋体"/>
                <w:color w:val="auto"/>
                <w:highlight w:val="none"/>
              </w:rPr>
            </w:pPr>
            <w:r>
              <w:rPr>
                <w:rFonts w:hint="eastAsia" w:ascii="宋体" w:hAnsi="宋体" w:cs="宋体"/>
                <w:color w:val="auto"/>
                <w:highlight w:val="none"/>
              </w:rPr>
              <w:t>备注</w:t>
            </w:r>
          </w:p>
        </w:tc>
        <w:tc>
          <w:tcPr>
            <w:tcW w:w="6543" w:type="dxa"/>
            <w:vAlign w:val="top"/>
          </w:tcPr>
          <w:p>
            <w:pPr>
              <w:rPr>
                <w:rFonts w:hint="eastAsia" w:ascii="宋体" w:hAnsi="宋体" w:cs="宋体"/>
                <w:color w:val="auto"/>
                <w:highlight w:val="none"/>
              </w:rPr>
            </w:pPr>
          </w:p>
        </w:tc>
      </w:tr>
    </w:tbl>
    <w:p>
      <w:pPr>
        <w:ind w:left="630" w:leftChars="200" w:hanging="210" w:hangingChars="100"/>
        <w:rPr>
          <w:rFonts w:hint="eastAsia" w:ascii="宋体" w:hAnsi="宋体" w:cs="宋体"/>
          <w:color w:val="auto"/>
          <w:highlight w:val="none"/>
        </w:rPr>
      </w:pPr>
      <w:r>
        <w:rPr>
          <w:rFonts w:hint="eastAsia" w:ascii="宋体" w:hAnsi="宋体" w:cs="宋体"/>
          <w:color w:val="auto"/>
          <w:highlight w:val="none"/>
        </w:rPr>
        <w:t>注：1.每张表格只填写一个项目，并标明序号。</w:t>
      </w:r>
    </w:p>
    <w:p>
      <w:pPr>
        <w:ind w:left="630" w:leftChars="200" w:hanging="210" w:hangingChars="100"/>
        <w:rPr>
          <w:rFonts w:hint="eastAsia" w:ascii="宋体" w:hAnsi="宋体" w:cs="宋体"/>
          <w:color w:val="auto"/>
          <w:highlight w:val="none"/>
        </w:rPr>
      </w:pPr>
      <w:r>
        <w:rPr>
          <w:rFonts w:hint="eastAsia" w:ascii="宋体" w:hAnsi="宋体" w:cs="宋体"/>
          <w:color w:val="auto"/>
          <w:highlight w:val="none"/>
        </w:rPr>
        <w:t>2.投标人应根据招标文件第二章“投标人须知”第3.5.3项的要求在本表后附相关证明材料。</w:t>
      </w:r>
    </w:p>
    <w:p>
      <w:pPr>
        <w:ind w:left="630" w:leftChars="200" w:hanging="210" w:hangingChars="100"/>
        <w:rPr>
          <w:rFonts w:hint="eastAsia" w:ascii="宋体" w:hAnsi="宋体" w:cs="宋体"/>
          <w:color w:val="auto"/>
          <w:highlight w:val="none"/>
        </w:rPr>
      </w:pPr>
      <w:r>
        <w:rPr>
          <w:rFonts w:hint="eastAsia" w:ascii="宋体" w:hAnsi="宋体" w:cs="宋体"/>
          <w:color w:val="auto"/>
          <w:highlight w:val="none"/>
        </w:rPr>
        <w:t>3.如近年来，投标人法人机构发生合法变更或重组或法人名称变更时，应提供相关部门的合法批件或其他相关证明材料来证明其所附业绩的继承性。</w:t>
      </w:r>
    </w:p>
    <w:p>
      <w:pPr>
        <w:ind w:left="630" w:leftChars="200" w:hanging="210" w:hangingChars="100"/>
        <w:rPr>
          <w:rFonts w:hint="eastAsia" w:ascii="宋体" w:hAnsi="宋体" w:cs="宋体"/>
          <w:color w:val="auto"/>
          <w:highlight w:val="none"/>
        </w:rPr>
      </w:pPr>
      <w:r>
        <w:rPr>
          <w:rFonts w:hint="eastAsia" w:ascii="宋体" w:hAnsi="宋体" w:cs="宋体"/>
          <w:color w:val="auto"/>
          <w:highlight w:val="none"/>
        </w:rPr>
        <w:t>4.以联合体形式参与投标的，联合体各成员应分别填写。</w:t>
      </w:r>
    </w:p>
    <w:p>
      <w:pPr>
        <w:tabs>
          <w:tab w:val="left" w:pos="3960"/>
        </w:tabs>
        <w:spacing w:after="120" w:afterLines="50" w:line="400" w:lineRule="exact"/>
        <w:jc w:val="center"/>
        <w:rPr>
          <w:rFonts w:hint="eastAsia" w:ascii="宋体" w:hAnsi="宋体" w:cs="宋体"/>
          <w:b/>
          <w:bCs/>
          <w:color w:val="auto"/>
          <w:sz w:val="32"/>
          <w:szCs w:val="32"/>
          <w:highlight w:val="none"/>
        </w:rPr>
      </w:pPr>
      <w:r>
        <w:rPr>
          <w:rFonts w:hint="eastAsia" w:ascii="宋体" w:hAnsi="宋体" w:cs="宋体"/>
          <w:color w:val="auto"/>
          <w:highlight w:val="none"/>
        </w:rPr>
        <w:br w:type="page"/>
      </w:r>
      <w:bookmarkStart w:id="1031" w:name="_Toc234349012"/>
      <w:bookmarkStart w:id="1032" w:name="_Toc236644852"/>
      <w:bookmarkStart w:id="1033" w:name="_Toc234345920"/>
      <w:bookmarkStart w:id="1034" w:name="_Toc234346135"/>
      <w:r>
        <w:rPr>
          <w:rFonts w:hint="eastAsia" w:ascii="宋体" w:hAnsi="宋体" w:cs="宋体"/>
          <w:b/>
          <w:color w:val="auto"/>
          <w:sz w:val="32"/>
          <w:szCs w:val="32"/>
          <w:highlight w:val="none"/>
        </w:rPr>
        <w:t>（五）</w:t>
      </w:r>
      <w:bookmarkEnd w:id="1031"/>
      <w:bookmarkEnd w:id="1032"/>
      <w:bookmarkEnd w:id="1033"/>
      <w:bookmarkEnd w:id="1034"/>
      <w:r>
        <w:rPr>
          <w:rFonts w:hint="eastAsia" w:ascii="宋体" w:hAnsi="宋体" w:cs="宋体"/>
          <w:b/>
          <w:color w:val="auto"/>
          <w:sz w:val="32"/>
          <w:szCs w:val="32"/>
          <w:highlight w:val="none"/>
        </w:rPr>
        <w:t>投标人的信誉情况</w:t>
      </w:r>
    </w:p>
    <w:tbl>
      <w:tblPr>
        <w:tblStyle w:val="18"/>
        <w:tblW w:w="9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9"/>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5099" w:type="dxa"/>
            <w:vAlign w:val="center"/>
          </w:tcPr>
          <w:p>
            <w:pPr>
              <w:ind w:left="740" w:leftChars="200" w:hanging="320" w:hangingChars="1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项  目</w:t>
            </w:r>
          </w:p>
        </w:tc>
        <w:tc>
          <w:tcPr>
            <w:tcW w:w="4033" w:type="dxa"/>
            <w:vAlign w:val="center"/>
          </w:tcPr>
          <w:p>
            <w:pPr>
              <w:ind w:left="740" w:leftChars="200" w:hanging="320" w:hangingChars="1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099" w:type="dxa"/>
            <w:vAlign w:val="center"/>
          </w:tcPr>
          <w:p>
            <w:pPr>
              <w:ind w:left="740" w:leftChars="200" w:hanging="320" w:hangingChars="100"/>
              <w:jc w:val="center"/>
              <w:rPr>
                <w:rFonts w:hint="eastAsia" w:ascii="宋体" w:hAnsi="宋体" w:cs="宋体"/>
                <w:color w:val="auto"/>
                <w:sz w:val="32"/>
                <w:szCs w:val="32"/>
                <w:highlight w:val="none"/>
              </w:rPr>
            </w:pPr>
          </w:p>
        </w:tc>
        <w:tc>
          <w:tcPr>
            <w:tcW w:w="4033" w:type="dxa"/>
            <w:vAlign w:val="center"/>
          </w:tcPr>
          <w:p>
            <w:pPr>
              <w:ind w:left="740" w:leftChars="200" w:hanging="320" w:hangingChars="100"/>
              <w:jc w:val="center"/>
              <w:rPr>
                <w:rFonts w:hint="eastAsia" w:ascii="宋体" w:hAnsi="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099" w:type="dxa"/>
            <w:vAlign w:val="center"/>
          </w:tcPr>
          <w:p>
            <w:pPr>
              <w:ind w:left="740" w:leftChars="200" w:hanging="320" w:hangingChars="100"/>
              <w:jc w:val="center"/>
              <w:rPr>
                <w:rFonts w:hint="eastAsia" w:ascii="宋体" w:hAnsi="宋体" w:cs="宋体"/>
                <w:color w:val="auto"/>
                <w:sz w:val="32"/>
                <w:szCs w:val="32"/>
                <w:highlight w:val="none"/>
              </w:rPr>
            </w:pPr>
          </w:p>
        </w:tc>
        <w:tc>
          <w:tcPr>
            <w:tcW w:w="4033" w:type="dxa"/>
            <w:vAlign w:val="center"/>
          </w:tcPr>
          <w:p>
            <w:pPr>
              <w:ind w:left="740" w:leftChars="200" w:hanging="320" w:hangingChars="100"/>
              <w:jc w:val="center"/>
              <w:rPr>
                <w:rFonts w:hint="eastAsia" w:ascii="宋体" w:hAnsi="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099" w:type="dxa"/>
            <w:vAlign w:val="center"/>
          </w:tcPr>
          <w:p>
            <w:pPr>
              <w:ind w:left="740" w:leftChars="200" w:hanging="320" w:hangingChars="100"/>
              <w:jc w:val="center"/>
              <w:rPr>
                <w:rFonts w:hint="eastAsia" w:ascii="宋体" w:hAnsi="宋体" w:cs="宋体"/>
                <w:color w:val="auto"/>
                <w:sz w:val="32"/>
                <w:szCs w:val="32"/>
                <w:highlight w:val="none"/>
              </w:rPr>
            </w:pPr>
          </w:p>
        </w:tc>
        <w:tc>
          <w:tcPr>
            <w:tcW w:w="4033" w:type="dxa"/>
            <w:vAlign w:val="center"/>
          </w:tcPr>
          <w:p>
            <w:pPr>
              <w:ind w:left="740" w:leftChars="200" w:hanging="320" w:hangingChars="100"/>
              <w:jc w:val="center"/>
              <w:rPr>
                <w:rFonts w:hint="eastAsia" w:ascii="宋体" w:hAnsi="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099" w:type="dxa"/>
            <w:vAlign w:val="center"/>
          </w:tcPr>
          <w:p>
            <w:pPr>
              <w:ind w:left="740" w:leftChars="200" w:hanging="320" w:hangingChars="100"/>
              <w:jc w:val="center"/>
              <w:rPr>
                <w:rFonts w:hint="eastAsia" w:ascii="宋体" w:hAnsi="宋体" w:cs="宋体"/>
                <w:color w:val="auto"/>
                <w:sz w:val="32"/>
                <w:szCs w:val="32"/>
                <w:highlight w:val="none"/>
              </w:rPr>
            </w:pPr>
          </w:p>
        </w:tc>
        <w:tc>
          <w:tcPr>
            <w:tcW w:w="4033" w:type="dxa"/>
            <w:vAlign w:val="center"/>
          </w:tcPr>
          <w:p>
            <w:pPr>
              <w:ind w:left="740" w:leftChars="200" w:hanging="320" w:hangingChars="100"/>
              <w:jc w:val="center"/>
              <w:rPr>
                <w:rFonts w:hint="eastAsia" w:ascii="宋体" w:hAnsi="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099" w:type="dxa"/>
            <w:vAlign w:val="center"/>
          </w:tcPr>
          <w:p>
            <w:pPr>
              <w:ind w:left="740" w:leftChars="200" w:hanging="320" w:hangingChars="100"/>
              <w:jc w:val="center"/>
              <w:rPr>
                <w:rFonts w:hint="eastAsia" w:ascii="宋体" w:hAnsi="宋体" w:cs="宋体"/>
                <w:color w:val="auto"/>
                <w:sz w:val="32"/>
                <w:szCs w:val="32"/>
                <w:highlight w:val="none"/>
              </w:rPr>
            </w:pPr>
          </w:p>
        </w:tc>
        <w:tc>
          <w:tcPr>
            <w:tcW w:w="4033" w:type="dxa"/>
            <w:vAlign w:val="center"/>
          </w:tcPr>
          <w:p>
            <w:pPr>
              <w:ind w:left="740" w:leftChars="200" w:hanging="320" w:hangingChars="100"/>
              <w:jc w:val="center"/>
              <w:rPr>
                <w:rFonts w:hint="eastAsia" w:ascii="宋体" w:hAnsi="宋体" w:cs="宋体"/>
                <w:color w:val="auto"/>
                <w:sz w:val="32"/>
                <w:szCs w:val="32"/>
                <w:highlight w:val="none"/>
              </w:rPr>
            </w:pPr>
          </w:p>
          <w:p>
            <w:pPr>
              <w:ind w:left="740" w:leftChars="200" w:hanging="320" w:hangingChars="100"/>
              <w:jc w:val="center"/>
              <w:rPr>
                <w:rFonts w:hint="eastAsia" w:ascii="宋体" w:hAnsi="宋体" w:cs="宋体"/>
                <w:color w:val="auto"/>
                <w:sz w:val="32"/>
                <w:szCs w:val="32"/>
                <w:highlight w:val="none"/>
              </w:rPr>
            </w:pPr>
          </w:p>
        </w:tc>
      </w:tr>
    </w:tbl>
    <w:p>
      <w:pPr>
        <w:ind w:left="740" w:leftChars="200" w:hanging="320" w:hangingChars="100"/>
        <w:jc w:val="center"/>
        <w:rPr>
          <w:rFonts w:hint="eastAsia" w:ascii="宋体" w:hAnsi="宋体" w:cs="宋体"/>
          <w:color w:val="auto"/>
          <w:sz w:val="32"/>
          <w:szCs w:val="32"/>
          <w:highlight w:val="none"/>
        </w:rPr>
      </w:pPr>
    </w:p>
    <w:p>
      <w:pPr>
        <w:ind w:left="630" w:leftChars="200" w:hanging="210" w:hangingChars="100"/>
        <w:rPr>
          <w:rFonts w:hint="eastAsia" w:ascii="宋体" w:hAnsi="宋体" w:cs="宋体"/>
          <w:color w:val="auto"/>
          <w:highlight w:val="none"/>
        </w:rPr>
      </w:pPr>
      <w:r>
        <w:rPr>
          <w:rFonts w:hint="eastAsia" w:ascii="宋体" w:hAnsi="宋体" w:cs="宋体"/>
          <w:color w:val="auto"/>
          <w:highlight w:val="none"/>
        </w:rPr>
        <w:t>注：1.投标人应根据招标文件第二章“投标人须知”前附表附录4和“投标人须知”正文第1.4.4项规定，逐条说明其信誉情况。</w:t>
      </w:r>
    </w:p>
    <w:p>
      <w:pPr>
        <w:ind w:left="630" w:leftChars="200" w:hanging="210" w:hangingChars="100"/>
        <w:rPr>
          <w:rFonts w:hint="eastAsia" w:ascii="宋体" w:hAnsi="宋体" w:cs="宋体"/>
          <w:color w:val="auto"/>
          <w:highlight w:val="none"/>
        </w:rPr>
      </w:pPr>
      <w:r>
        <w:rPr>
          <w:rFonts w:hint="eastAsia" w:ascii="宋体" w:hAnsi="宋体" w:cs="宋体"/>
          <w:color w:val="auto"/>
          <w:highlight w:val="none"/>
        </w:rPr>
        <w:t>2.投标人应根据招标文件第二章“投标人须知”第3.5.4项的要求在本表后附相关证明材料。</w:t>
      </w:r>
    </w:p>
    <w:p>
      <w:pPr>
        <w:ind w:left="630" w:leftChars="200" w:hanging="210" w:hangingChars="100"/>
        <w:rPr>
          <w:rFonts w:hint="eastAsia" w:ascii="宋体" w:hAnsi="宋体" w:cs="宋体"/>
          <w:color w:val="auto"/>
          <w:highlight w:val="none"/>
        </w:rPr>
      </w:pPr>
      <w:r>
        <w:rPr>
          <w:rFonts w:hint="eastAsia" w:ascii="宋体" w:hAnsi="宋体" w:cs="宋体"/>
          <w:color w:val="auto"/>
          <w:highlight w:val="none"/>
        </w:rPr>
        <w:t>3.以联合体形式参与投标的，联合体各成员应分别填写。</w:t>
      </w:r>
    </w:p>
    <w:p>
      <w:pPr>
        <w:tabs>
          <w:tab w:val="left" w:pos="3960"/>
        </w:tabs>
        <w:spacing w:after="120" w:afterLines="50" w:line="400" w:lineRule="exact"/>
        <w:jc w:val="center"/>
        <w:rPr>
          <w:rFonts w:hint="eastAsia" w:ascii="宋体" w:hAnsi="宋体" w:cs="宋体"/>
          <w:b/>
          <w:color w:val="auto"/>
          <w:sz w:val="32"/>
          <w:szCs w:val="32"/>
          <w:highlight w:val="none"/>
        </w:rPr>
      </w:pPr>
      <w:r>
        <w:rPr>
          <w:rStyle w:val="47"/>
          <w:rFonts w:hint="eastAsia" w:ascii="宋体" w:hAnsi="宋体" w:eastAsia="宋体" w:cs="宋体"/>
          <w:color w:val="auto"/>
          <w:sz w:val="24"/>
          <w:szCs w:val="24"/>
          <w:highlight w:val="none"/>
        </w:rPr>
        <w:br w:type="page"/>
      </w:r>
      <w:bookmarkStart w:id="1035" w:name="_Toc234349582"/>
      <w:bookmarkStart w:id="1036" w:name="_Toc234346131"/>
      <w:bookmarkStart w:id="1037" w:name="_Toc234345916"/>
      <w:bookmarkStart w:id="1038" w:name="_Toc234349008"/>
      <w:r>
        <w:rPr>
          <w:rFonts w:hint="eastAsia" w:ascii="宋体" w:hAnsi="宋体" w:cs="宋体"/>
          <w:b/>
          <w:color w:val="auto"/>
          <w:sz w:val="32"/>
          <w:szCs w:val="32"/>
          <w:highlight w:val="none"/>
        </w:rPr>
        <w:t>（六）拟委任的项目经理和项目总工资历表</w:t>
      </w:r>
      <w:bookmarkEnd w:id="1035"/>
      <w:bookmarkEnd w:id="1036"/>
      <w:bookmarkEnd w:id="1037"/>
      <w:bookmarkEnd w:id="1038"/>
    </w:p>
    <w:tbl>
      <w:tblPr>
        <w:tblStyle w:val="18"/>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722"/>
        <w:gridCol w:w="1363"/>
        <w:gridCol w:w="363"/>
        <w:gridCol w:w="1129"/>
        <w:gridCol w:w="163"/>
        <w:gridCol w:w="202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120"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722"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1363" w:type="dxa"/>
            <w:vAlign w:val="center"/>
          </w:tcPr>
          <w:p>
            <w:pPr>
              <w:tabs>
                <w:tab w:val="left" w:pos="3960"/>
              </w:tabs>
              <w:spacing w:after="120"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492" w:type="dxa"/>
            <w:gridSpan w:val="2"/>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2186" w:type="dxa"/>
            <w:gridSpan w:val="2"/>
            <w:vAlign w:val="center"/>
          </w:tcPr>
          <w:p>
            <w:pPr>
              <w:tabs>
                <w:tab w:val="left" w:pos="3960"/>
              </w:tabs>
              <w:spacing w:after="120"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722" w:type="dxa"/>
            <w:vAlign w:val="center"/>
          </w:tcPr>
          <w:p>
            <w:pPr>
              <w:tabs>
                <w:tab w:val="left" w:pos="3960"/>
              </w:tabs>
              <w:spacing w:line="400" w:lineRule="exact"/>
              <w:jc w:val="center"/>
              <w:rPr>
                <w:rFonts w:hint="eastAsia" w:ascii="宋体" w:hAnsi="宋体" w:cs="宋体"/>
                <w:color w:val="auto"/>
                <w:szCs w:val="21"/>
                <w:highlight w:val="none"/>
              </w:rPr>
            </w:pPr>
          </w:p>
        </w:tc>
        <w:tc>
          <w:tcPr>
            <w:tcW w:w="1363"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学  历 </w:t>
            </w:r>
          </w:p>
        </w:tc>
        <w:tc>
          <w:tcPr>
            <w:tcW w:w="1492" w:type="dxa"/>
            <w:gridSpan w:val="2"/>
            <w:vAlign w:val="center"/>
          </w:tcPr>
          <w:p>
            <w:pPr>
              <w:tabs>
                <w:tab w:val="left" w:pos="3960"/>
              </w:tabs>
              <w:spacing w:line="400" w:lineRule="exact"/>
              <w:jc w:val="center"/>
              <w:rPr>
                <w:rFonts w:hint="eastAsia" w:ascii="宋体" w:hAnsi="宋体" w:cs="宋体"/>
                <w:color w:val="auto"/>
                <w:szCs w:val="21"/>
                <w:highlight w:val="none"/>
              </w:rPr>
            </w:pPr>
          </w:p>
        </w:tc>
        <w:tc>
          <w:tcPr>
            <w:tcW w:w="2186" w:type="dxa"/>
            <w:gridSpan w:val="2"/>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拟在本标段</w:t>
            </w:r>
          </w:p>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工程任职</w:t>
            </w: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工作年限</w:t>
            </w:r>
          </w:p>
        </w:tc>
        <w:tc>
          <w:tcPr>
            <w:tcW w:w="4577" w:type="dxa"/>
            <w:gridSpan w:val="4"/>
            <w:vAlign w:val="center"/>
          </w:tcPr>
          <w:p>
            <w:pPr>
              <w:tabs>
                <w:tab w:val="left" w:pos="3960"/>
              </w:tabs>
              <w:spacing w:line="400" w:lineRule="exact"/>
              <w:jc w:val="center"/>
              <w:rPr>
                <w:rFonts w:hint="eastAsia" w:ascii="宋体" w:hAnsi="宋体" w:cs="宋体"/>
                <w:color w:val="auto"/>
                <w:szCs w:val="21"/>
                <w:highlight w:val="none"/>
              </w:rPr>
            </w:pPr>
          </w:p>
        </w:tc>
        <w:tc>
          <w:tcPr>
            <w:tcW w:w="2186" w:type="dxa"/>
            <w:gridSpan w:val="2"/>
            <w:vAlign w:val="center"/>
          </w:tcPr>
          <w:p>
            <w:pPr>
              <w:tabs>
                <w:tab w:val="left" w:pos="396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类似施工经验年限</w:t>
            </w: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120"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8303" w:type="dxa"/>
            <w:gridSpan w:val="7"/>
            <w:vAlign w:val="center"/>
          </w:tcPr>
          <w:p>
            <w:pPr>
              <w:tabs>
                <w:tab w:val="left" w:pos="3960"/>
              </w:tabs>
              <w:spacing w:after="120"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月毕业于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学校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专业，学制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549" w:type="dxa"/>
            <w:gridSpan w:val="8"/>
            <w:vAlign w:val="center"/>
          </w:tcPr>
          <w:p>
            <w:pPr>
              <w:tabs>
                <w:tab w:val="left" w:pos="3960"/>
              </w:tabs>
              <w:jc w:val="center"/>
              <w:rPr>
                <w:rFonts w:hint="eastAsia" w:ascii="宋体" w:hAnsi="宋体" w:cs="宋体"/>
                <w:color w:val="auto"/>
                <w:szCs w:val="21"/>
                <w:highlight w:val="none"/>
              </w:rPr>
            </w:pPr>
            <w:r>
              <w:rPr>
                <w:rFonts w:hint="eastAsia" w:ascii="宋体" w:hAnsi="宋体" w:cs="宋体"/>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246" w:type="dxa"/>
            <w:vAlign w:val="center"/>
          </w:tcPr>
          <w:p>
            <w:pPr>
              <w:tabs>
                <w:tab w:val="left" w:pos="3960"/>
              </w:tabs>
              <w:spacing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 xml:space="preserve">时  间 </w:t>
            </w:r>
          </w:p>
        </w:tc>
        <w:tc>
          <w:tcPr>
            <w:tcW w:w="4740" w:type="dxa"/>
            <w:gridSpan w:val="5"/>
            <w:vAlign w:val="center"/>
          </w:tcPr>
          <w:p>
            <w:pPr>
              <w:tabs>
                <w:tab w:val="left" w:pos="3960"/>
              </w:tabs>
              <w:spacing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参加过的类似工程项目名称</w:t>
            </w:r>
          </w:p>
        </w:tc>
        <w:tc>
          <w:tcPr>
            <w:tcW w:w="2023" w:type="dxa"/>
            <w:vAlign w:val="center"/>
          </w:tcPr>
          <w:p>
            <w:pPr>
              <w:tabs>
                <w:tab w:val="left" w:pos="3960"/>
              </w:tabs>
              <w:spacing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担任何职</w:t>
            </w:r>
          </w:p>
        </w:tc>
        <w:tc>
          <w:tcPr>
            <w:tcW w:w="1540" w:type="dxa"/>
            <w:vAlign w:val="center"/>
          </w:tcPr>
          <w:p>
            <w:pPr>
              <w:tabs>
                <w:tab w:val="left" w:pos="3960"/>
              </w:tabs>
              <w:spacing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发包人及</w:t>
            </w:r>
          </w:p>
          <w:p>
            <w:pPr>
              <w:tabs>
                <w:tab w:val="left" w:pos="3960"/>
              </w:tabs>
              <w:spacing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4740" w:type="dxa"/>
            <w:gridSpan w:val="5"/>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2023"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4740" w:type="dxa"/>
            <w:gridSpan w:val="5"/>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2023"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4740" w:type="dxa"/>
            <w:gridSpan w:val="5"/>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2023"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4740" w:type="dxa"/>
            <w:gridSpan w:val="5"/>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2023"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4740" w:type="dxa"/>
            <w:gridSpan w:val="5"/>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2023"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4740" w:type="dxa"/>
            <w:gridSpan w:val="5"/>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2023"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4740" w:type="dxa"/>
            <w:gridSpan w:val="5"/>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2023"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c>
          <w:tcPr>
            <w:tcW w:w="1540" w:type="dxa"/>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4694" w:type="dxa"/>
            <w:gridSpan w:val="4"/>
            <w:vAlign w:val="center"/>
          </w:tcPr>
          <w:p>
            <w:pPr>
              <w:tabs>
                <w:tab w:val="left" w:pos="3960"/>
              </w:tabs>
              <w:spacing w:after="120"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获奖情况</w:t>
            </w:r>
          </w:p>
        </w:tc>
        <w:tc>
          <w:tcPr>
            <w:tcW w:w="4855" w:type="dxa"/>
            <w:gridSpan w:val="4"/>
            <w:vAlign w:val="center"/>
          </w:tcPr>
          <w:p>
            <w:pPr>
              <w:tabs>
                <w:tab w:val="left" w:pos="3960"/>
              </w:tabs>
              <w:spacing w:after="120" w:afterLines="50"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exact"/>
          <w:jc w:val="center"/>
        </w:trPr>
        <w:tc>
          <w:tcPr>
            <w:tcW w:w="4694" w:type="dxa"/>
            <w:gridSpan w:val="4"/>
            <w:vAlign w:val="center"/>
          </w:tcPr>
          <w:p>
            <w:pPr>
              <w:tabs>
                <w:tab w:val="left" w:pos="3960"/>
              </w:tabs>
              <w:spacing w:after="120"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说明在岗情况</w:t>
            </w:r>
          </w:p>
        </w:tc>
        <w:tc>
          <w:tcPr>
            <w:tcW w:w="4855" w:type="dxa"/>
            <w:gridSpan w:val="4"/>
            <w:vAlign w:val="top"/>
          </w:tcPr>
          <w:p>
            <w:pPr>
              <w:tabs>
                <w:tab w:val="left" w:pos="3960"/>
              </w:tabs>
              <w:spacing w:after="120" w:afterLines="50"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□目前未在其他项目上任职，现从事工作为：_______________</w:t>
            </w:r>
          </w:p>
          <w:p>
            <w:pPr>
              <w:tabs>
                <w:tab w:val="left" w:pos="3960"/>
              </w:tabs>
              <w:spacing w:after="120" w:afterLines="50"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□目前虽在其他项目上任职，但本项目中标后能够从该项目撤离，目前任职项目：______________,担任职位：____________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jc w:val="center"/>
        </w:trPr>
        <w:tc>
          <w:tcPr>
            <w:tcW w:w="4694" w:type="dxa"/>
            <w:gridSpan w:val="4"/>
            <w:vAlign w:val="center"/>
          </w:tcPr>
          <w:p>
            <w:pPr>
              <w:tabs>
                <w:tab w:val="left" w:pos="3960"/>
              </w:tabs>
              <w:spacing w:after="120" w:afterLines="50" w:line="400" w:lineRule="exact"/>
              <w:jc w:val="center"/>
              <w:rPr>
                <w:rFonts w:hint="eastAsia" w:ascii="宋体" w:hAnsi="宋体" w:cs="宋体"/>
                <w:color w:val="auto"/>
                <w:szCs w:val="21"/>
                <w:highlight w:val="none"/>
              </w:rPr>
            </w:pPr>
          </w:p>
          <w:p>
            <w:pPr>
              <w:tabs>
                <w:tab w:val="left" w:pos="3960"/>
              </w:tabs>
              <w:spacing w:after="120"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p>
            <w:pPr>
              <w:tabs>
                <w:tab w:val="left" w:pos="3960"/>
              </w:tabs>
              <w:spacing w:after="120" w:afterLines="50" w:line="400" w:lineRule="exact"/>
              <w:jc w:val="center"/>
              <w:rPr>
                <w:rFonts w:hint="eastAsia" w:ascii="宋体" w:hAnsi="宋体" w:cs="宋体"/>
                <w:color w:val="auto"/>
                <w:szCs w:val="21"/>
                <w:highlight w:val="none"/>
              </w:rPr>
            </w:pPr>
          </w:p>
        </w:tc>
        <w:tc>
          <w:tcPr>
            <w:tcW w:w="4855" w:type="dxa"/>
            <w:gridSpan w:val="4"/>
            <w:vAlign w:val="top"/>
          </w:tcPr>
          <w:p>
            <w:pPr>
              <w:tabs>
                <w:tab w:val="left" w:pos="3960"/>
              </w:tabs>
              <w:spacing w:after="120" w:afterLines="50" w:line="400" w:lineRule="exact"/>
              <w:rPr>
                <w:rFonts w:hint="eastAsia" w:ascii="宋体" w:hAnsi="宋体" w:cs="宋体"/>
                <w:color w:val="auto"/>
                <w:szCs w:val="21"/>
                <w:highlight w:val="none"/>
              </w:rPr>
            </w:pPr>
          </w:p>
        </w:tc>
      </w:tr>
    </w:tbl>
    <w:p>
      <w:pPr>
        <w:pStyle w:val="19"/>
        <w:rPr>
          <w:rFonts w:hint="eastAsia" w:hAnsi="宋体"/>
          <w:color w:val="auto"/>
          <w:sz w:val="21"/>
          <w:szCs w:val="21"/>
          <w:highlight w:val="none"/>
        </w:rPr>
      </w:pPr>
      <w:r>
        <w:rPr>
          <w:rStyle w:val="47"/>
          <w:rFonts w:hint="eastAsia" w:ascii="宋体" w:hAnsi="宋体" w:eastAsia="宋体" w:cs="宋体"/>
          <w:color w:val="auto"/>
          <w:sz w:val="24"/>
          <w:szCs w:val="24"/>
          <w:highlight w:val="none"/>
        </w:rPr>
        <w:t>注：</w:t>
      </w:r>
      <w:r>
        <w:rPr>
          <w:rFonts w:hint="eastAsia" w:hAnsi="宋体"/>
          <w:color w:val="auto"/>
          <w:sz w:val="21"/>
          <w:szCs w:val="21"/>
          <w:highlight w:val="none"/>
        </w:rPr>
        <w:t xml:space="preserve">1.本表应填写项目经理和项目总工相关情况。 </w:t>
      </w:r>
    </w:p>
    <w:p>
      <w:pPr>
        <w:pStyle w:val="31"/>
        <w:shd w:val="clear" w:color="auto" w:fill="auto"/>
        <w:spacing w:before="0" w:line="360" w:lineRule="auto"/>
        <w:ind w:right="40"/>
        <w:jc w:val="left"/>
        <w:rPr>
          <w:rFonts w:hint="eastAsia" w:ascii="宋体" w:hAnsi="宋体" w:eastAsia="宋体" w:cs="宋体"/>
          <w:color w:val="auto"/>
          <w:sz w:val="24"/>
          <w:szCs w:val="24"/>
          <w:highlight w:val="none"/>
          <w:shd w:val="clear" w:color="auto" w:fill="FFFFFF"/>
          <w:lang w:val="zh-CN"/>
        </w:rPr>
      </w:pPr>
      <w:r>
        <w:rPr>
          <w:rFonts w:hint="eastAsia" w:ascii="宋体" w:hAnsi="宋体" w:cs="宋体"/>
          <w:color w:val="auto"/>
          <w:szCs w:val="21"/>
          <w:highlight w:val="none"/>
        </w:rPr>
        <w:t>投标人应根据招标文件第二章“投标人须知”第3.5.5项的要求在本表后附相关证明材料。</w:t>
      </w:r>
      <w:r>
        <w:rPr>
          <w:rStyle w:val="47"/>
          <w:rFonts w:hint="eastAsia" w:ascii="宋体" w:hAnsi="宋体" w:eastAsia="宋体" w:cs="宋体"/>
          <w:color w:val="auto"/>
          <w:sz w:val="24"/>
          <w:szCs w:val="24"/>
          <w:highlight w:val="none"/>
        </w:rPr>
        <w:br w:type="page"/>
      </w:r>
    </w:p>
    <w:p>
      <w:pPr>
        <w:pStyle w:val="3"/>
        <w:spacing w:before="120" w:line="360" w:lineRule="auto"/>
        <w:rPr>
          <w:rFonts w:hint="eastAsia" w:ascii="宋体" w:hAnsi="宋体" w:eastAsia="宋体" w:cs="宋体"/>
          <w:color w:val="auto"/>
          <w:highlight w:val="none"/>
        </w:rPr>
      </w:pPr>
      <w:bookmarkStart w:id="1039" w:name="_Toc511905853"/>
      <w:bookmarkStart w:id="1040" w:name="_Toc234345926"/>
      <w:bookmarkStart w:id="1041" w:name="_Toc18708"/>
      <w:bookmarkStart w:id="1042" w:name="_Toc234349018"/>
      <w:bookmarkStart w:id="1043" w:name="_Toc511896841"/>
      <w:bookmarkStart w:id="1044" w:name="_Toc234346141"/>
      <w:bookmarkStart w:id="1045" w:name="_Toc234349592"/>
      <w:r>
        <w:rPr>
          <w:rFonts w:hint="eastAsia" w:ascii="宋体" w:hAnsi="宋体" w:eastAsia="宋体" w:cs="宋体"/>
          <w:color w:val="auto"/>
          <w:highlight w:val="none"/>
        </w:rPr>
        <w:t>八、其他材料</w:t>
      </w:r>
      <w:bookmarkEnd w:id="1039"/>
      <w:bookmarkEnd w:id="1040"/>
      <w:bookmarkEnd w:id="1041"/>
      <w:bookmarkEnd w:id="1042"/>
      <w:bookmarkEnd w:id="1043"/>
      <w:bookmarkEnd w:id="1044"/>
      <w:bookmarkEnd w:id="1045"/>
    </w:p>
    <w:p>
      <w:pPr>
        <w:spacing w:line="580" w:lineRule="exact"/>
        <w:ind w:firstLine="420" w:firstLineChars="200"/>
        <w:rPr>
          <w:rFonts w:hint="eastAsia" w:ascii="宋体" w:hAnsi="宋体" w:cs="宋体"/>
          <w:color w:val="auto"/>
          <w:highlight w:val="none"/>
        </w:rPr>
      </w:pPr>
      <w:r>
        <w:rPr>
          <w:rFonts w:hint="eastAsia" w:ascii="宋体" w:hAnsi="宋体" w:cs="宋体"/>
          <w:color w:val="auto"/>
          <w:highlight w:val="none"/>
        </w:rPr>
        <w:br w:type="page"/>
      </w:r>
    </w:p>
    <w:p>
      <w:pPr>
        <w:ind w:left="2085" w:leftChars="993"/>
        <w:rPr>
          <w:rFonts w:hint="eastAsia" w:ascii="宋体" w:hAnsi="宋体" w:cs="宋体"/>
          <w:color w:val="auto"/>
          <w:highlight w:val="none"/>
        </w:rPr>
      </w:pPr>
    </w:p>
    <w:p>
      <w:pPr>
        <w:ind w:left="2085" w:leftChars="993"/>
        <w:rPr>
          <w:rFonts w:hint="eastAsia" w:ascii="宋体" w:hAnsi="宋体" w:cs="宋体"/>
          <w:color w:val="auto"/>
          <w:highlight w:val="none"/>
        </w:rPr>
      </w:pPr>
    </w:p>
    <w:p>
      <w:pPr>
        <w:ind w:left="2085" w:leftChars="993"/>
        <w:rPr>
          <w:rFonts w:hint="eastAsia" w:ascii="宋体" w:hAnsi="宋体" w:cs="宋体"/>
          <w:color w:val="auto"/>
          <w:highlight w:val="none"/>
        </w:rPr>
      </w:pPr>
    </w:p>
    <w:p>
      <w:pPr>
        <w:ind w:left="2085" w:leftChars="993"/>
        <w:rPr>
          <w:rFonts w:hint="eastAsia" w:ascii="宋体" w:hAnsi="宋体" w:cs="宋体"/>
          <w:color w:val="auto"/>
          <w:highlight w:val="none"/>
        </w:rPr>
      </w:pPr>
    </w:p>
    <w:p>
      <w:pPr>
        <w:ind w:left="2085" w:leftChars="993"/>
        <w:rPr>
          <w:rFonts w:hint="eastAsia" w:ascii="宋体" w:hAnsi="宋体" w:cs="宋体"/>
          <w:color w:val="auto"/>
          <w:highlight w:val="none"/>
        </w:rPr>
      </w:pPr>
    </w:p>
    <w:p>
      <w:pPr>
        <w:snapToGrid w:val="0"/>
        <w:spacing w:line="360" w:lineRule="auto"/>
        <w:ind w:left="2085" w:leftChars="993"/>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省（自治区、直辖市）</w:t>
      </w:r>
    </w:p>
    <w:p>
      <w:pPr>
        <w:snapToGrid w:val="0"/>
        <w:spacing w:line="360" w:lineRule="auto"/>
        <w:ind w:left="853" w:leftChars="406"/>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标段施工招标</w:t>
      </w:r>
    </w:p>
    <w:p>
      <w:pPr>
        <w:ind w:left="853" w:leftChars="406"/>
        <w:rPr>
          <w:rFonts w:hint="eastAsia" w:ascii="宋体" w:hAnsi="宋体" w:cs="宋体"/>
          <w:color w:val="auto"/>
          <w:sz w:val="32"/>
          <w:szCs w:val="32"/>
          <w:highlight w:val="none"/>
        </w:rPr>
      </w:pPr>
    </w:p>
    <w:p>
      <w:pPr>
        <w:ind w:left="853" w:leftChars="406"/>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投标文件</w:t>
      </w: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（报价文件）</w:t>
      </w: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ind w:left="853" w:leftChars="406"/>
        <w:rPr>
          <w:rFonts w:hint="eastAsia" w:ascii="宋体" w:hAnsi="宋体" w:cs="宋体"/>
          <w:color w:val="auto"/>
          <w:sz w:val="32"/>
          <w:szCs w:val="32"/>
          <w:highlight w:val="none"/>
        </w:rPr>
      </w:pPr>
    </w:p>
    <w:p>
      <w:pPr>
        <w:snapToGrid w:val="0"/>
        <w:spacing w:line="360" w:lineRule="auto"/>
        <w:ind w:left="853" w:leftChars="406"/>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投标人：</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（盖单位章）</w:t>
      </w:r>
    </w:p>
    <w:p>
      <w:pPr>
        <w:snapToGrid w:val="0"/>
        <w:spacing w:line="360" w:lineRule="auto"/>
        <w:ind w:left="2226" w:leftChars="1060"/>
        <w:rPr>
          <w:rFonts w:hint="eastAsia" w:ascii="宋体" w:hAnsi="宋体" w:cs="宋体"/>
          <w:color w:val="auto"/>
          <w:sz w:val="32"/>
          <w:szCs w:val="32"/>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jc w:val="center"/>
        <w:rPr>
          <w:rFonts w:hint="eastAsia" w:ascii="宋体" w:hAnsi="宋体" w:cs="宋体"/>
          <w:color w:val="auto"/>
          <w:sz w:val="28"/>
          <w:szCs w:val="28"/>
          <w:highlight w:val="none"/>
        </w:rPr>
      </w:pPr>
      <w:r>
        <w:rPr>
          <w:rFonts w:hint="eastAsia" w:ascii="宋体" w:hAnsi="宋体" w:cs="宋体"/>
          <w:color w:val="auto"/>
          <w:highlight w:val="none"/>
        </w:rPr>
        <w:br w:type="page"/>
      </w:r>
      <w:r>
        <w:rPr>
          <w:rFonts w:hint="eastAsia" w:ascii="宋体" w:hAnsi="宋体" w:cs="宋体"/>
          <w:color w:val="auto"/>
          <w:sz w:val="28"/>
          <w:szCs w:val="28"/>
          <w:highlight w:val="none"/>
        </w:rPr>
        <w:t>目  录</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一、投标函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二、已标价工程量清单；</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三、合同用款估算表</w:t>
      </w:r>
    </w:p>
    <w:p>
      <w:pPr>
        <w:pStyle w:val="3"/>
        <w:rPr>
          <w:rFonts w:hint="eastAsia" w:ascii="宋体" w:hAnsi="宋体" w:eastAsia="宋体" w:cs="宋体"/>
          <w:color w:val="auto"/>
          <w:szCs w:val="32"/>
          <w:highlight w:val="none"/>
        </w:rPr>
      </w:pPr>
      <w:r>
        <w:rPr>
          <w:rFonts w:hint="eastAsia" w:ascii="宋体" w:hAnsi="宋体" w:eastAsia="宋体" w:cs="宋体"/>
          <w:color w:val="auto"/>
          <w:highlight w:val="none"/>
        </w:rPr>
        <w:br w:type="page"/>
      </w:r>
      <w:bookmarkStart w:id="1046" w:name="_Toc511905854"/>
      <w:bookmarkStart w:id="1047" w:name="_Toc511896842"/>
      <w:bookmarkStart w:id="1048" w:name="_Toc31506"/>
      <w:r>
        <w:rPr>
          <w:rFonts w:hint="eastAsia" w:ascii="宋体" w:hAnsi="宋体" w:eastAsia="宋体" w:cs="宋体"/>
          <w:color w:val="auto"/>
          <w:szCs w:val="32"/>
          <w:highlight w:val="none"/>
        </w:rPr>
        <w:t>一、投标函</w:t>
      </w:r>
      <w:bookmarkEnd w:id="1046"/>
      <w:bookmarkEnd w:id="1047"/>
      <w:bookmarkEnd w:id="1048"/>
    </w:p>
    <w:p>
      <w:pPr>
        <w:spacing w:before="120" w:beforeLines="50" w:after="120" w:afterLines="50"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zh-CN"/>
        </w:rPr>
        <w:t>项目名称）</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标段施工招标文件的全部内容（含补遗书第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号至第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号），在考察工程现场后，愿意以人民币（大写）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元（¥</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）的投标总报价（或根据招标文件规定修正核实后确定的另一金额，其中，增值税税率为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），按合同约定实施和完成承包工程，修补工程中的任何缺陷。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在合同协议书正式签署生效之前，本投标函连同你方的中标通知书将构成我们双方之间共同遵守的文件，对双方具有约束力。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pPr>
        <w:ind w:firstLine="2834" w:firstLineChars="1181"/>
        <w:rPr>
          <w:rFonts w:hint="eastAsia" w:ascii="宋体" w:hAnsi="宋体" w:cs="宋体"/>
          <w:color w:val="auto"/>
          <w:sz w:val="24"/>
          <w:highlight w:val="none"/>
        </w:rPr>
      </w:pPr>
    </w:p>
    <w:p>
      <w:pPr>
        <w:spacing w:line="42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2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2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20" w:lineRule="exact"/>
        <w:ind w:firstLine="4473" w:firstLineChars="2130"/>
        <w:rPr>
          <w:rFonts w:hint="eastAsia" w:ascii="宋体" w:hAnsi="宋体" w:cs="宋体"/>
          <w:color w:val="auto"/>
          <w:szCs w:val="21"/>
          <w:highlight w:val="none"/>
          <w:u w:val="singl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spacing w:line="42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spacing w:line="42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spacing w:line="420" w:lineRule="exact"/>
        <w:ind w:firstLine="4473" w:firstLineChars="213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spacing w:line="42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18"/>
          <w:highlight w:val="none"/>
        </w:rPr>
      </w:pPr>
    </w:p>
    <w:p>
      <w:pPr>
        <w:jc w:val="left"/>
        <w:rPr>
          <w:rFonts w:hint="eastAsia" w:ascii="宋体" w:hAnsi="宋体" w:cs="宋体"/>
          <w:b/>
          <w:bCs/>
          <w:color w:val="auto"/>
          <w:sz w:val="24"/>
          <w:highlight w:val="none"/>
        </w:rPr>
        <w:sectPr>
          <w:footnotePr>
            <w:numFmt w:val="decimalEnclosedCircleChinese"/>
            <w:numRestart w:val="eachPage"/>
          </w:footnotePr>
          <w:pgSz w:w="11905" w:h="16838"/>
          <w:pgMar w:top="1304" w:right="1304" w:bottom="1304" w:left="1361" w:header="720" w:footer="720" w:gutter="0"/>
          <w:paperSrc w:first="7" w:other="7"/>
          <w:pgNumType w:fmt="numberInDash"/>
          <w:cols w:space="720" w:num="1"/>
          <w:titlePg/>
          <w:docGrid w:linePitch="312" w:charSpace="0"/>
        </w:sectPr>
      </w:pPr>
      <w:r>
        <w:rPr>
          <w:rFonts w:hint="eastAsia" w:ascii="宋体" w:hAnsi="宋体" w:cs="宋体"/>
          <w:b/>
          <w:bCs/>
          <w:color w:val="auto"/>
          <w:sz w:val="18"/>
          <w:highlight w:val="none"/>
        </w:rPr>
        <w:t>注：投标人仅须在投标函上加盖单位章，或由法定代表人或其委托代理人签字。</w:t>
      </w:r>
    </w:p>
    <w:p>
      <w:pPr>
        <w:pStyle w:val="3"/>
        <w:rPr>
          <w:rFonts w:hint="eastAsia" w:ascii="宋体" w:hAnsi="宋体" w:eastAsia="宋体" w:cs="宋体"/>
          <w:color w:val="auto"/>
          <w:szCs w:val="32"/>
          <w:highlight w:val="none"/>
        </w:rPr>
      </w:pPr>
      <w:bookmarkStart w:id="1049" w:name="_Toc511905855"/>
      <w:bookmarkStart w:id="1050" w:name="_Toc511896843"/>
      <w:bookmarkStart w:id="1051" w:name="_Toc11833"/>
      <w:r>
        <w:rPr>
          <w:rFonts w:hint="eastAsia" w:ascii="宋体" w:hAnsi="宋体" w:eastAsia="宋体" w:cs="宋体"/>
          <w:color w:val="auto"/>
          <w:szCs w:val="32"/>
          <w:highlight w:val="none"/>
        </w:rPr>
        <w:t>二、已标价工程量清单</w:t>
      </w:r>
      <w:bookmarkEnd w:id="1049"/>
      <w:bookmarkEnd w:id="1050"/>
      <w:bookmarkEnd w:id="1051"/>
    </w:p>
    <w:p>
      <w:pPr>
        <w:spacing w:line="46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投标人应按照第五章“工程量清单”的要求逐项填报工程量清单，包括工程量清单说明、投标报价说明、计日工说明、其他说明及工程量清单各项表格（工程量清单表5.1～表5.3）。</w:t>
      </w:r>
    </w:p>
    <w:p>
      <w:pPr>
        <w:spacing w:line="460" w:lineRule="exact"/>
        <w:ind w:firstLine="480" w:firstLineChars="200"/>
        <w:rPr>
          <w:rFonts w:hint="eastAsia" w:ascii="宋体" w:hAnsi="宋体" w:cs="宋体"/>
          <w:color w:val="auto"/>
          <w:sz w:val="24"/>
          <w:highlight w:val="none"/>
        </w:rPr>
      </w:pPr>
    </w:p>
    <w:p>
      <w:pPr>
        <w:jc w:val="cente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1052" w:name="_Toc234349001"/>
      <w:bookmarkStart w:id="1053" w:name="_Toc234349575"/>
      <w:r>
        <w:rPr>
          <w:rFonts w:hint="eastAsia" w:ascii="宋体" w:hAnsi="宋体" w:cs="宋体"/>
          <w:b/>
          <w:color w:val="auto"/>
          <w:sz w:val="28"/>
          <w:szCs w:val="28"/>
          <w:highlight w:val="none"/>
        </w:rPr>
        <w:t>三、 合同用款估算表</w:t>
      </w:r>
      <w:bookmarkEnd w:id="1052"/>
      <w:bookmarkEnd w:id="1053"/>
    </w:p>
    <w:tbl>
      <w:tblPr>
        <w:tblStyle w:val="18"/>
        <w:tblpPr w:leftFromText="180" w:rightFromText="180" w:vertAnchor="text" w:tblpXSpec="center" w:tblpY="1"/>
        <w:tblOverlap w:val="never"/>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423"/>
        <w:gridCol w:w="1723"/>
        <w:gridCol w:w="1723"/>
        <w:gridCol w:w="172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从开工月算起的时间（月）</w:t>
            </w:r>
          </w:p>
        </w:tc>
        <w:tc>
          <w:tcPr>
            <w:tcW w:w="6892" w:type="dxa"/>
            <w:gridSpan w:val="4"/>
            <w:vAlign w:val="center"/>
          </w:tcPr>
          <w:p>
            <w:pPr>
              <w:jc w:val="center"/>
              <w:rPr>
                <w:rFonts w:hint="eastAsia" w:ascii="宋体" w:hAnsi="宋体" w:cs="宋体"/>
                <w:color w:val="auto"/>
                <w:highlight w:val="none"/>
              </w:rPr>
            </w:pPr>
            <w:r>
              <w:rPr>
                <w:rFonts w:hint="eastAsia" w:ascii="宋体" w:hAnsi="宋体" w:cs="宋体"/>
                <w:color w:val="auto"/>
                <w:highlight w:val="none"/>
              </w:rPr>
              <w:t>投标人的估算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Merge w:val="continue"/>
            <w:vAlign w:val="center"/>
          </w:tcPr>
          <w:p>
            <w:pPr>
              <w:rPr>
                <w:rFonts w:hint="eastAsia" w:ascii="宋体" w:hAnsi="宋体" w:cs="宋体"/>
                <w:color w:val="auto"/>
                <w:highlight w:val="none"/>
              </w:rPr>
            </w:pPr>
          </w:p>
        </w:tc>
        <w:tc>
          <w:tcPr>
            <w:tcW w:w="3446" w:type="dxa"/>
            <w:gridSpan w:val="2"/>
            <w:vAlign w:val="center"/>
          </w:tcPr>
          <w:p>
            <w:pPr>
              <w:jc w:val="center"/>
              <w:rPr>
                <w:rFonts w:hint="eastAsia" w:ascii="宋体" w:hAnsi="宋体" w:cs="宋体"/>
                <w:color w:val="auto"/>
                <w:highlight w:val="none"/>
              </w:rPr>
            </w:pPr>
            <w:r>
              <w:rPr>
                <w:rFonts w:hint="eastAsia" w:ascii="宋体" w:hAnsi="宋体" w:cs="宋体"/>
                <w:color w:val="auto"/>
                <w:highlight w:val="none"/>
              </w:rPr>
              <w:t>分期</w:t>
            </w:r>
          </w:p>
        </w:tc>
        <w:tc>
          <w:tcPr>
            <w:tcW w:w="3446" w:type="dxa"/>
            <w:gridSpan w:val="2"/>
            <w:vAlign w:val="center"/>
          </w:tcPr>
          <w:p>
            <w:pPr>
              <w:jc w:val="center"/>
              <w:rPr>
                <w:rFonts w:hint="eastAsia" w:ascii="宋体" w:hAnsi="宋体" w:cs="宋体"/>
                <w:color w:val="auto"/>
                <w:highlight w:val="none"/>
              </w:rPr>
            </w:pPr>
            <w:r>
              <w:rPr>
                <w:rFonts w:hint="eastAsia" w:ascii="宋体" w:hAnsi="宋体" w:cs="宋体"/>
                <w:color w:val="auto"/>
                <w:highlight w:val="none"/>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Merge w:val="continue"/>
            <w:vAlign w:val="center"/>
          </w:tcPr>
          <w:p>
            <w:pPr>
              <w:rPr>
                <w:rFonts w:hint="eastAsia" w:ascii="宋体" w:hAnsi="宋体" w:cs="宋体"/>
                <w:color w:val="auto"/>
                <w:highlight w:val="none"/>
              </w:rPr>
            </w:pPr>
          </w:p>
        </w:tc>
        <w:tc>
          <w:tcPr>
            <w:tcW w:w="1723" w:type="dxa"/>
            <w:vAlign w:val="center"/>
          </w:tcPr>
          <w:p>
            <w:pPr>
              <w:jc w:val="center"/>
              <w:rPr>
                <w:rFonts w:hint="eastAsia" w:ascii="宋体" w:hAnsi="宋体" w:cs="宋体"/>
                <w:color w:val="auto"/>
                <w:highlight w:val="none"/>
              </w:rPr>
            </w:pPr>
            <w:r>
              <w:rPr>
                <w:rFonts w:hint="eastAsia" w:ascii="宋体" w:hAnsi="宋体" w:cs="宋体"/>
                <w:color w:val="auto"/>
                <w:highlight w:val="none"/>
              </w:rPr>
              <w:t>金额（元）</w:t>
            </w:r>
          </w:p>
        </w:tc>
        <w:tc>
          <w:tcPr>
            <w:tcW w:w="1723"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723" w:type="dxa"/>
            <w:vAlign w:val="center"/>
          </w:tcPr>
          <w:p>
            <w:pPr>
              <w:jc w:val="center"/>
              <w:rPr>
                <w:rFonts w:hint="eastAsia" w:ascii="宋体" w:hAnsi="宋体" w:cs="宋体"/>
                <w:color w:val="auto"/>
                <w:highlight w:val="none"/>
              </w:rPr>
            </w:pPr>
            <w:r>
              <w:rPr>
                <w:rFonts w:hint="eastAsia" w:ascii="宋体" w:hAnsi="宋体" w:cs="宋体"/>
                <w:color w:val="auto"/>
                <w:highlight w:val="none"/>
              </w:rPr>
              <w:t>金额（元）</w:t>
            </w:r>
          </w:p>
        </w:tc>
        <w:tc>
          <w:tcPr>
            <w:tcW w:w="1723"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第一次开工预付款</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4～6</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7～9</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10～12</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13～15</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缺陷责任期</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89" w:type="dxa"/>
            <w:gridSpan w:val="2"/>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小  计</w:t>
            </w:r>
          </w:p>
        </w:tc>
        <w:tc>
          <w:tcPr>
            <w:tcW w:w="1723" w:type="dxa"/>
            <w:vAlign w:val="center"/>
          </w:tcPr>
          <w:p>
            <w:pPr>
              <w:rPr>
                <w:rFonts w:hint="eastAsia" w:ascii="宋体" w:hAnsi="宋体" w:cs="宋体"/>
                <w:color w:val="auto"/>
                <w:highlight w:val="none"/>
              </w:rPr>
            </w:pPr>
          </w:p>
        </w:tc>
        <w:tc>
          <w:tcPr>
            <w:tcW w:w="1723" w:type="dxa"/>
            <w:vAlign w:val="center"/>
          </w:tcPr>
          <w:p>
            <w:pPr>
              <w:jc w:val="center"/>
              <w:rPr>
                <w:rFonts w:hint="eastAsia" w:ascii="宋体" w:hAnsi="宋体" w:cs="宋体"/>
                <w:color w:val="auto"/>
                <w:highlight w:val="none"/>
              </w:rPr>
            </w:pPr>
            <w:r>
              <w:rPr>
                <w:rFonts w:hint="eastAsia" w:ascii="宋体" w:hAnsi="宋体" w:cs="宋体"/>
                <w:color w:val="auto"/>
                <w:highlight w:val="none"/>
              </w:rPr>
              <w:t>100.00</w:t>
            </w:r>
          </w:p>
        </w:tc>
        <w:tc>
          <w:tcPr>
            <w:tcW w:w="1723" w:type="dxa"/>
            <w:vAlign w:val="center"/>
          </w:tcPr>
          <w:p>
            <w:pPr>
              <w:rPr>
                <w:rFonts w:hint="eastAsia" w:ascii="宋体" w:hAnsi="宋体" w:cs="宋体"/>
                <w:color w:val="auto"/>
                <w:highlight w:val="none"/>
              </w:rPr>
            </w:pPr>
          </w:p>
        </w:tc>
        <w:tc>
          <w:tcPr>
            <w:tcW w:w="1723" w:type="dxa"/>
            <w:vAlign w:val="center"/>
          </w:tcPr>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281" w:type="dxa"/>
            <w:gridSpan w:val="6"/>
            <w:vAlign w:val="center"/>
          </w:tcPr>
          <w:p>
            <w:pPr>
              <w:rPr>
                <w:rFonts w:hint="eastAsia" w:ascii="宋体" w:hAnsi="宋体" w:cs="宋体"/>
                <w:color w:val="auto"/>
                <w:highlight w:val="none"/>
              </w:rPr>
            </w:pPr>
            <w:r>
              <w:rPr>
                <w:rFonts w:hint="eastAsia" w:ascii="宋体" w:hAnsi="宋体" w:cs="宋体"/>
                <w:color w:val="auto"/>
                <w:highlight w:val="none"/>
              </w:rPr>
              <w:t>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jc w:val="center"/>
        </w:trPr>
        <w:tc>
          <w:tcPr>
            <w:tcW w:w="966" w:type="dxa"/>
            <w:vAlign w:val="center"/>
          </w:tcPr>
          <w:p>
            <w:pPr>
              <w:jc w:val="center"/>
              <w:rPr>
                <w:rFonts w:hint="eastAsia" w:ascii="宋体" w:hAnsi="宋体" w:cs="宋体"/>
                <w:color w:val="auto"/>
                <w:highlight w:val="none"/>
              </w:rPr>
            </w:pPr>
            <w:r>
              <w:rPr>
                <w:rFonts w:hint="eastAsia" w:ascii="宋体" w:hAnsi="宋体" w:cs="宋体"/>
                <w:color w:val="auto"/>
                <w:highlight w:val="none"/>
              </w:rPr>
              <w:t>说</w:t>
            </w: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r>
              <w:rPr>
                <w:rFonts w:hint="eastAsia" w:ascii="宋体" w:hAnsi="宋体" w:cs="宋体"/>
                <w:color w:val="auto"/>
                <w:highlight w:val="none"/>
              </w:rPr>
              <w:t>明</w:t>
            </w:r>
          </w:p>
        </w:tc>
        <w:tc>
          <w:tcPr>
            <w:tcW w:w="8315" w:type="dxa"/>
            <w:gridSpan w:val="5"/>
            <w:vAlign w:val="center"/>
          </w:tcPr>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tc>
      </w:tr>
    </w:tbl>
    <w:p>
      <w:pPr>
        <w:rPr>
          <w:rFonts w:hint="eastAsia" w:ascii="宋体" w:hAnsi="宋体" w:cs="宋体"/>
          <w:color w:val="auto"/>
          <w:highlight w:val="none"/>
        </w:rPr>
      </w:pPr>
      <w:r>
        <w:rPr>
          <w:rFonts w:hint="eastAsia" w:ascii="宋体" w:hAnsi="宋体" w:cs="宋体"/>
          <w:color w:val="auto"/>
          <w:highlight w:val="none"/>
        </w:rPr>
        <w:t>注：1.</w:t>
      </w:r>
      <w:r>
        <w:rPr>
          <w:rFonts w:hint="eastAsia" w:ascii="宋体" w:hAnsi="宋体" w:cs="宋体"/>
          <w:color w:val="auto"/>
          <w:sz w:val="20"/>
          <w:szCs w:val="20"/>
          <w:highlight w:val="none"/>
        </w:rPr>
        <w:t xml:space="preserve"> </w:t>
      </w:r>
      <w:r>
        <w:rPr>
          <w:rFonts w:hint="eastAsia" w:ascii="宋体" w:hAnsi="宋体" w:cs="宋体"/>
          <w:color w:val="auto"/>
          <w:highlight w:val="none"/>
        </w:rPr>
        <w:t>投标人可按工程进度估算并填写本表。</w:t>
      </w:r>
    </w:p>
    <w:p>
      <w:pPr>
        <w:rPr>
          <w:rFonts w:hint="eastAsia" w:ascii="宋体" w:hAnsi="宋体" w:cs="宋体"/>
          <w:color w:val="auto"/>
          <w:highlight w:val="none"/>
        </w:rPr>
      </w:pPr>
      <w:r>
        <w:rPr>
          <w:rFonts w:hint="eastAsia" w:ascii="宋体" w:hAnsi="宋体" w:cs="宋体"/>
          <w:color w:val="auto"/>
          <w:highlight w:val="none"/>
        </w:rPr>
        <w:t>2.用款额按所报单价和总额价估算，不包括价格调整和暂列金额、暂估价，但应考虑开工预付款的扣回以及签发付款证书后到实际支付的时间间隔。</w:t>
      </w:r>
    </w:p>
    <w:p>
      <w:pPr>
        <w:rPr>
          <w:rFonts w:hint="eastAsia" w:ascii="宋体" w:hAnsi="宋体" w:cs="宋体"/>
          <w:vanish/>
          <w:color w:val="auto"/>
          <w:kern w:val="0"/>
          <w:sz w:val="18"/>
          <w:szCs w:val="18"/>
          <w:highlight w:val="none"/>
        </w:rPr>
      </w:pPr>
      <w:r>
        <w:rPr>
          <w:rFonts w:hint="eastAsia" w:ascii="宋体" w:hAnsi="宋体" w:cs="宋体"/>
          <w:vanish/>
          <w:color w:val="auto"/>
          <w:kern w:val="0"/>
          <w:sz w:val="18"/>
          <w:szCs w:val="18"/>
          <w:highlight w:val="none"/>
        </w:rPr>
        <w:t xml:space="preserve"> </w:t>
      </w:r>
    </w:p>
    <w:p>
      <w:pPr>
        <w:rPr>
          <w:highlight w:val="none"/>
        </w:rPr>
      </w:pPr>
    </w:p>
    <w:p>
      <w:pPr>
        <w:rPr>
          <w:highlight w:val="none"/>
        </w:rPr>
      </w:pPr>
    </w:p>
    <w:sectPr>
      <w:footnotePr>
        <w:numFmt w:val="decimalEnclosedCircleChinese"/>
        <w:numRestart w:val="eachPage"/>
      </w:footnotePr>
      <w:pgSz w:w="11905" w:h="16838"/>
      <w:pgMar w:top="1304" w:right="1304" w:bottom="1304" w:left="1361" w:header="720" w:footer="720" w:gutter="0"/>
      <w:paperSrc w:first="7" w:other="7"/>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cho">
    <w:altName w:val="MS Mincho"/>
    <w:panose1 w:val="02020609040305080305"/>
    <w:charset w:val="80"/>
    <w:family w:val="roman"/>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Arial Unicode MS">
    <w:panose1 w:val="020B0604020202020204"/>
    <w:charset w:val="86"/>
    <w:family w:val="swiss"/>
    <w:pitch w:val="default"/>
    <w:sig w:usb0="FFFFFFFF" w:usb1="E9FFFFFF"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fldChar w:fldCharType="begin"/>
                          </w:r>
                          <w:r>
                            <w:instrText xml:space="preserve"> PAGE  \* MERGEFORMAT </w:instrText>
                          </w:r>
                          <w:r>
                            <w:fldChar w:fldCharType="separate"/>
                          </w:r>
                          <w:r>
                            <w:t>- 3 -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bq7VvAEAAGUDAAAOAAAAAAAAAAEAIAAAACIBAABkcnMvZTJvRG9jLnhtbFBLBQYA&#10;AAAABgAGAFkBAABQ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DEC7XevAEAAGUDAAAOAAAAAAAAAAEAIAAAACIBAABkcnMvZTJvRG9jLnhtbFBLBQYA&#10;AAAABgAGAFkBAABQ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58</w:t>
    </w:r>
    <w:r>
      <w:rPr>
        <w:lang w:val="zh-CN"/>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136</w:t>
    </w:r>
    <w:r>
      <w:rPr>
        <w:lang w:val="zh-CN"/>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fldChar w:fldCharType="begin"/>
                          </w:r>
                          <w:r>
                            <w:instrText xml:space="preserve"> PAGE  \* MERGEFORMAT </w:instrText>
                          </w:r>
                          <w:r>
                            <w:fldChar w:fldCharType="separate"/>
                          </w:r>
                          <w:r>
                            <w:t>- 80 -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fldChar w:fldCharType="begin"/>
                          </w:r>
                          <w:r>
                            <w:instrText xml:space="preserve"> PAGE  \* MERGEFORMAT </w:instrText>
                          </w:r>
                          <w:r>
                            <w:fldChar w:fldCharType="separate"/>
                          </w:r>
                          <w:r>
                            <w:t>- 81 -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COSGZy7AQAAZQMAAA4AAAAAAAAAAQAgAAAAIgEAAGRycy9lMm9Eb2MueG1sUEsFBgAA&#10;AAAGAAYAWQEAAE8FA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b/>
        <w:bCs/>
      </w:rPr>
    </w:pPr>
    <w:r>
      <w:rPr>
        <w:rFonts w:hint="eastAsia"/>
        <w:b/>
        <w:bCs/>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b/>
        <w:bCs/>
      </w:rPr>
      <w:t>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b/>
        <w:bCs/>
      </w:rPr>
    </w:pPr>
    <w:r>
      <w:rPr>
        <w:rFonts w:hint="eastAsia"/>
        <w:b/>
        <w:bCs/>
      </w:rPr>
      <w:t>施工招标文件</w:t>
    </w:r>
  </w:p>
  <w:p>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b/>
        <w:bCs/>
      </w:rPr>
    </w:pPr>
    <w:r>
      <w:rPr>
        <w:rFonts w:hint="eastAsia"/>
        <w:b/>
        <w:bCs/>
      </w:rPr>
      <w:t>施工招标文件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1BD71"/>
    <w:multiLevelType w:val="singleLevel"/>
    <w:tmpl w:val="9E21BD71"/>
    <w:lvl w:ilvl="0" w:tentative="0">
      <w:start w:val="8"/>
      <w:numFmt w:val="decimal"/>
      <w:suff w:val="nothing"/>
      <w:lvlText w:val="%1．"/>
      <w:lvlJc w:val="left"/>
    </w:lvl>
  </w:abstractNum>
  <w:abstractNum w:abstractNumId="1">
    <w:nsid w:val="12184B4F"/>
    <w:multiLevelType w:val="singleLevel"/>
    <w:tmpl w:val="12184B4F"/>
    <w:lvl w:ilvl="0" w:tentative="0">
      <w:start w:val="1"/>
      <w:numFmt w:val="decimal"/>
      <w:suff w:val="nothing"/>
      <w:lvlText w:val="%1、"/>
      <w:lvlJc w:val="left"/>
    </w:lvl>
  </w:abstractNum>
  <w:abstractNum w:abstractNumId="2">
    <w:nsid w:val="16BB65A2"/>
    <w:multiLevelType w:val="singleLevel"/>
    <w:tmpl w:val="16BB65A2"/>
    <w:lvl w:ilvl="0" w:tentative="0">
      <w:start w:val="2"/>
      <w:numFmt w:val="chineseCounting"/>
      <w:suff w:val="nothing"/>
      <w:lvlText w:val="%1、"/>
      <w:lvlJc w:val="left"/>
      <w:rPr>
        <w:rFonts w:hint="eastAsia"/>
      </w:rPr>
    </w:lvl>
  </w:abstractNum>
  <w:abstractNum w:abstractNumId="3">
    <w:nsid w:val="48A4AEBD"/>
    <w:multiLevelType w:val="singleLevel"/>
    <w:tmpl w:val="48A4AEBD"/>
    <w:lvl w:ilvl="0" w:tentative="0">
      <w:start w:val="1"/>
      <w:numFmt w:val="decimal"/>
      <w:suff w:val="nothing"/>
      <w:lvlText w:val="（%1）"/>
      <w:lvlJc w:val="left"/>
    </w:lvl>
  </w:abstractNum>
  <w:abstractNum w:abstractNumId="4">
    <w:nsid w:val="5A96C1FB"/>
    <w:multiLevelType w:val="singleLevel"/>
    <w:tmpl w:val="5A96C1FB"/>
    <w:lvl w:ilvl="0" w:tentative="0">
      <w:start w:val="1"/>
      <w:numFmt w:val="decimal"/>
      <w:suff w:val="nothing"/>
      <w:lvlText w:val="（%1）"/>
      <w:lvlJc w:val="left"/>
    </w:lvl>
  </w:abstractNum>
  <w:abstractNum w:abstractNumId="5">
    <w:nsid w:val="5A9A4D9F"/>
    <w:multiLevelType w:val="singleLevel"/>
    <w:tmpl w:val="5A9A4D9F"/>
    <w:lvl w:ilvl="0" w:tentative="0">
      <w:start w:val="1"/>
      <w:numFmt w:val="decimal"/>
      <w:suff w:val="nothing"/>
      <w:lvlText w:val="（%1）"/>
      <w:lvlJc w:val="left"/>
    </w:lvl>
  </w:abstractNum>
  <w:abstractNum w:abstractNumId="6">
    <w:nsid w:val="5A9A4DF2"/>
    <w:multiLevelType w:val="singleLevel"/>
    <w:tmpl w:val="5A9A4DF2"/>
    <w:lvl w:ilvl="0" w:tentative="0">
      <w:start w:val="1"/>
      <w:numFmt w:val="decimal"/>
      <w:suff w:val="nothing"/>
      <w:lvlText w:val="（%1）"/>
      <w:lvlJc w:val="left"/>
    </w:lvl>
  </w:abstractNum>
  <w:abstractNum w:abstractNumId="7">
    <w:nsid w:val="5A9A4F55"/>
    <w:multiLevelType w:val="singleLevel"/>
    <w:tmpl w:val="5A9A4F55"/>
    <w:lvl w:ilvl="0" w:tentative="0">
      <w:start w:val="1"/>
      <w:numFmt w:val="decimal"/>
      <w:suff w:val="nothing"/>
      <w:lvlText w:val="（%1）"/>
      <w:lvlJc w:val="left"/>
    </w:lvl>
  </w:abstractNum>
  <w:abstractNum w:abstractNumId="8">
    <w:nsid w:val="5A9A560B"/>
    <w:multiLevelType w:val="singleLevel"/>
    <w:tmpl w:val="5A9A560B"/>
    <w:lvl w:ilvl="0" w:tentative="0">
      <w:start w:val="1"/>
      <w:numFmt w:val="decimal"/>
      <w:suff w:val="nothing"/>
      <w:lvlText w:val="（%1）"/>
      <w:lvlJc w:val="left"/>
    </w:lvl>
  </w:abstractNum>
  <w:abstractNum w:abstractNumId="9">
    <w:nsid w:val="5A9A562F"/>
    <w:multiLevelType w:val="singleLevel"/>
    <w:tmpl w:val="5A9A562F"/>
    <w:lvl w:ilvl="0" w:tentative="0">
      <w:start w:val="1"/>
      <w:numFmt w:val="lowerLetter"/>
      <w:lvlText w:val="%1."/>
      <w:lvlJc w:val="left"/>
      <w:pPr>
        <w:tabs>
          <w:tab w:val="left" w:pos="312"/>
        </w:tabs>
      </w:pPr>
    </w:lvl>
  </w:abstractNum>
  <w:num w:numId="1">
    <w:abstractNumId w:val="0"/>
  </w:num>
  <w:num w:numId="2">
    <w:abstractNumId w:val="1"/>
  </w:num>
  <w:num w:numId="3">
    <w:abstractNumId w:val="5"/>
  </w:num>
  <w:num w:numId="4">
    <w:abstractNumId w:val="6"/>
  </w:num>
  <w:num w:numId="5">
    <w:abstractNumId w:val="7"/>
  </w:num>
  <w:num w:numId="6">
    <w:abstractNumId w:val="8"/>
  </w:num>
  <w:num w:numId="7">
    <w:abstractNumId w:val="9"/>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47DC9"/>
    <w:rsid w:val="033420D1"/>
    <w:rsid w:val="10C66DCF"/>
    <w:rsid w:val="12577069"/>
    <w:rsid w:val="163079A4"/>
    <w:rsid w:val="1BAE7284"/>
    <w:rsid w:val="2551032A"/>
    <w:rsid w:val="275B3A1F"/>
    <w:rsid w:val="29A6660E"/>
    <w:rsid w:val="2CF65AE9"/>
    <w:rsid w:val="2D264B26"/>
    <w:rsid w:val="2D450775"/>
    <w:rsid w:val="32010DB1"/>
    <w:rsid w:val="320539CB"/>
    <w:rsid w:val="34EA756C"/>
    <w:rsid w:val="39155B91"/>
    <w:rsid w:val="3C5F091A"/>
    <w:rsid w:val="3F69352A"/>
    <w:rsid w:val="406B1E48"/>
    <w:rsid w:val="44F0336E"/>
    <w:rsid w:val="462C66DF"/>
    <w:rsid w:val="47247DC9"/>
    <w:rsid w:val="4C4E38D2"/>
    <w:rsid w:val="4D3154EA"/>
    <w:rsid w:val="530C1E60"/>
    <w:rsid w:val="58A37F03"/>
    <w:rsid w:val="594219A5"/>
    <w:rsid w:val="5A1E59D0"/>
    <w:rsid w:val="5BCB26B3"/>
    <w:rsid w:val="5D9B5A9B"/>
    <w:rsid w:val="64A54D16"/>
    <w:rsid w:val="68644747"/>
    <w:rsid w:val="69D6479A"/>
    <w:rsid w:val="6E2F0AA0"/>
    <w:rsid w:val="7189187F"/>
    <w:rsid w:val="74D472B5"/>
    <w:rsid w:val="75E108F2"/>
    <w:rsid w:val="7E6E2175"/>
    <w:rsid w:val="7FF1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napToGrid w:val="0"/>
      <w:spacing w:beforeLines="200" w:afterLines="100" w:line="324" w:lineRule="auto"/>
      <w:jc w:val="center"/>
      <w:outlineLvl w:val="0"/>
    </w:pPr>
    <w:rPr>
      <w:rFonts w:ascii="黑体" w:eastAsia="黑体"/>
      <w:b/>
      <w:bCs/>
      <w:kern w:val="44"/>
      <w:sz w:val="36"/>
      <w:szCs w:val="28"/>
    </w:rPr>
  </w:style>
  <w:style w:type="paragraph" w:styleId="3">
    <w:name w:val="heading 2"/>
    <w:basedOn w:val="1"/>
    <w:next w:val="1"/>
    <w:qFormat/>
    <w:uiPriority w:val="0"/>
    <w:pPr>
      <w:keepNext/>
      <w:keepLines/>
      <w:spacing w:before="240" w:after="120" w:line="480" w:lineRule="auto"/>
      <w:jc w:val="center"/>
      <w:outlineLvl w:val="1"/>
    </w:pPr>
    <w:rPr>
      <w:rFonts w:ascii="Arial" w:hAnsi="Arial" w:eastAsia="黑体"/>
      <w:b/>
      <w:bCs/>
      <w:sz w:val="32"/>
    </w:rPr>
  </w:style>
  <w:style w:type="paragraph" w:styleId="4">
    <w:name w:val="heading 3"/>
    <w:basedOn w:val="1"/>
    <w:next w:val="1"/>
    <w:qFormat/>
    <w:uiPriority w:val="0"/>
    <w:pPr>
      <w:keepNext/>
      <w:keepLines/>
      <w:snapToGrid w:val="0"/>
      <w:spacing w:before="180" w:line="324" w:lineRule="auto"/>
      <w:outlineLvl w:val="2"/>
    </w:pPr>
    <w:rPr>
      <w:rFonts w:eastAsia="黑体"/>
      <w:bCs/>
      <w:sz w:val="24"/>
      <w:szCs w:val="32"/>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99"/>
    <w:pPr>
      <w:autoSpaceDE w:val="0"/>
      <w:autoSpaceDN w:val="0"/>
      <w:adjustRightInd w:val="0"/>
      <w:spacing w:line="360" w:lineRule="auto"/>
    </w:pPr>
    <w:rPr>
      <w:rFonts w:ascii="Mincho"/>
      <w:kern w:val="0"/>
      <w:sz w:val="24"/>
    </w:rPr>
  </w:style>
  <w:style w:type="paragraph" w:styleId="7">
    <w:name w:val="Body Text 2"/>
    <w:basedOn w:val="1"/>
    <w:qFormat/>
    <w:uiPriority w:val="0"/>
    <w:rPr>
      <w:rFonts w:ascii="仿宋_GB2312" w:eastAsia="仿宋_GB2312"/>
      <w:b/>
      <w:sz w:val="28"/>
      <w:szCs w:val="20"/>
    </w:rPr>
  </w:style>
  <w:style w:type="paragraph" w:styleId="8">
    <w:name w:val="toc 3"/>
    <w:basedOn w:val="1"/>
    <w:next w:val="1"/>
    <w:qFormat/>
    <w:uiPriority w:val="0"/>
    <w:pPr>
      <w:ind w:left="840" w:leftChars="400"/>
    </w:pPr>
  </w:style>
  <w:style w:type="paragraph" w:styleId="9">
    <w:name w:val="Plain Text"/>
    <w:basedOn w:val="1"/>
    <w:qFormat/>
    <w:uiPriority w:val="99"/>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016"/>
      </w:tabs>
      <w:snapToGrid w:val="0"/>
      <w:spacing w:line="300" w:lineRule="auto"/>
    </w:pPr>
    <w:rPr>
      <w:rFonts w:eastAsia="黑体"/>
      <w:sz w:val="24"/>
    </w:rPr>
  </w:style>
  <w:style w:type="paragraph" w:styleId="13">
    <w:name w:val="toc 2"/>
    <w:basedOn w:val="1"/>
    <w:next w:val="1"/>
    <w:qFormat/>
    <w:uiPriority w:val="0"/>
    <w:pPr>
      <w:ind w:left="420" w:leftChars="200"/>
    </w:pPr>
  </w:style>
  <w:style w:type="paragraph" w:styleId="14">
    <w:name w:val="index 1"/>
    <w:basedOn w:val="1"/>
    <w:next w:val="1"/>
    <w:qFormat/>
    <w:uiPriority w:val="99"/>
  </w:style>
  <w:style w:type="paragraph" w:styleId="15">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7">
    <w:name w:val="Hyperlink"/>
    <w:qFormat/>
    <w:uiPriority w:val="99"/>
    <w:rPr>
      <w:color w:val="0000FF"/>
      <w:sz w:val="24"/>
      <w:u w:val="single"/>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正文文本 + MS Mincho1"/>
    <w:qFormat/>
    <w:uiPriority w:val="0"/>
    <w:rPr>
      <w:rFonts w:ascii="MS Mincho" w:hAnsi="MS Mincho" w:eastAsia="MS Mincho" w:cs="MS Mincho"/>
      <w:color w:val="000000"/>
      <w:spacing w:val="0"/>
      <w:w w:val="100"/>
      <w:position w:val="0"/>
      <w:sz w:val="14"/>
      <w:szCs w:val="14"/>
      <w:shd w:val="clear" w:color="auto" w:fill="FFFFFF"/>
    </w:rPr>
  </w:style>
  <w:style w:type="character" w:customStyle="1" w:styleId="21">
    <w:name w:val="正文文本3"/>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paragraph" w:customStyle="1" w:styleId="22">
    <w:name w:val="正文文本 (5)"/>
    <w:basedOn w:val="1"/>
    <w:qFormat/>
    <w:uiPriority w:val="0"/>
    <w:pPr>
      <w:shd w:val="clear" w:color="auto" w:fill="FFFFFF"/>
      <w:spacing w:before="60" w:after="180" w:line="0" w:lineRule="atLeast"/>
      <w:ind w:hanging="260"/>
      <w:jc w:val="center"/>
    </w:pPr>
    <w:rPr>
      <w:rFonts w:ascii="Arial Unicode MS" w:hAnsi="Arial Unicode MS" w:eastAsia="Arial Unicode MS"/>
      <w:kern w:val="0"/>
      <w:sz w:val="14"/>
      <w:szCs w:val="14"/>
    </w:rPr>
  </w:style>
  <w:style w:type="character" w:customStyle="1" w:styleId="23">
    <w:name w:val="正文文本 (5)2"/>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paragraph" w:customStyle="1" w:styleId="24">
    <w:name w:val="标题 #12"/>
    <w:basedOn w:val="1"/>
    <w:qFormat/>
    <w:uiPriority w:val="0"/>
    <w:pPr>
      <w:shd w:val="clear" w:color="auto" w:fill="FFFFFF"/>
      <w:spacing w:before="180" w:after="180" w:line="0" w:lineRule="atLeast"/>
      <w:jc w:val="left"/>
    </w:pPr>
    <w:rPr>
      <w:rFonts w:ascii="黑体" w:hAnsi="黑体" w:eastAsia="黑体"/>
      <w:b/>
      <w:bCs/>
      <w:kern w:val="0"/>
      <w:sz w:val="16"/>
      <w:szCs w:val="16"/>
    </w:rPr>
  </w:style>
  <w:style w:type="character" w:customStyle="1" w:styleId="25">
    <w:name w:val="正文文本6"/>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26">
    <w:name w:val="正文文本 (8) + 间距 -1 pt"/>
    <w:qFormat/>
    <w:uiPriority w:val="0"/>
    <w:rPr>
      <w:rFonts w:ascii="MS Mincho" w:hAnsi="MS Mincho" w:eastAsia="MS Mincho" w:cs="MS Mincho"/>
      <w:b/>
      <w:bCs/>
      <w:color w:val="000000"/>
      <w:spacing w:val="-20"/>
      <w:w w:val="100"/>
      <w:position w:val="0"/>
      <w:sz w:val="15"/>
      <w:szCs w:val="15"/>
      <w:shd w:val="clear" w:color="auto" w:fill="FFFFFF"/>
      <w:lang w:val="zh-CN"/>
    </w:rPr>
  </w:style>
  <w:style w:type="character" w:customStyle="1" w:styleId="27">
    <w:name w:val="正文文本 (26) + 6 pt"/>
    <w:qFormat/>
    <w:uiPriority w:val="0"/>
    <w:rPr>
      <w:rFonts w:ascii="黑体" w:hAnsi="黑体" w:eastAsia="黑体" w:cs="黑体"/>
      <w:b/>
      <w:bCs/>
      <w:color w:val="000000"/>
      <w:spacing w:val="0"/>
      <w:w w:val="100"/>
      <w:position w:val="0"/>
      <w:sz w:val="12"/>
      <w:szCs w:val="12"/>
      <w:u w:val="none"/>
    </w:rPr>
  </w:style>
  <w:style w:type="character" w:customStyle="1" w:styleId="28">
    <w:name w:val="标题 #13 + 间距 1 pt"/>
    <w:qFormat/>
    <w:uiPriority w:val="0"/>
    <w:rPr>
      <w:rFonts w:ascii="黑体" w:hAnsi="黑体" w:eastAsia="黑体" w:cs="黑体"/>
      <w:b/>
      <w:bCs/>
      <w:color w:val="000000"/>
      <w:spacing w:val="20"/>
      <w:w w:val="100"/>
      <w:position w:val="0"/>
      <w:sz w:val="16"/>
      <w:szCs w:val="16"/>
      <w:shd w:val="clear" w:color="auto" w:fill="FFFFFF"/>
      <w:lang w:val="zh-CN"/>
    </w:rPr>
  </w:style>
  <w:style w:type="paragraph" w:customStyle="1" w:styleId="29">
    <w:name w:val="标题 #14"/>
    <w:basedOn w:val="1"/>
    <w:qFormat/>
    <w:uiPriority w:val="0"/>
    <w:pPr>
      <w:shd w:val="clear" w:color="auto" w:fill="FFFFFF"/>
      <w:spacing w:before="180" w:after="180" w:line="0" w:lineRule="atLeast"/>
      <w:jc w:val="distribute"/>
    </w:pPr>
    <w:rPr>
      <w:rFonts w:ascii="Arial Unicode MS" w:hAnsi="Arial Unicode MS" w:eastAsia="Arial Unicode MS"/>
      <w:kern w:val="0"/>
      <w:sz w:val="14"/>
      <w:szCs w:val="14"/>
    </w:rPr>
  </w:style>
  <w:style w:type="character" w:customStyle="1" w:styleId="30">
    <w:name w:val="标题 #14 + MS Mincho"/>
    <w:qFormat/>
    <w:uiPriority w:val="0"/>
    <w:rPr>
      <w:rFonts w:ascii="MS Mincho" w:hAnsi="MS Mincho" w:eastAsia="MS Mincho" w:cs="MS Mincho"/>
      <w:b/>
      <w:bCs/>
      <w:color w:val="000000"/>
      <w:spacing w:val="-20"/>
      <w:w w:val="100"/>
      <w:position w:val="0"/>
      <w:sz w:val="15"/>
      <w:szCs w:val="15"/>
      <w:u w:val="none"/>
      <w:shd w:val="clear" w:color="auto" w:fill="FFFFFF"/>
      <w:lang w:val="zh-CN"/>
    </w:rPr>
  </w:style>
  <w:style w:type="paragraph" w:customStyle="1" w:styleId="31">
    <w:name w:val="正文文本18"/>
    <w:basedOn w:val="1"/>
    <w:qFormat/>
    <w:uiPriority w:val="0"/>
    <w:pPr>
      <w:shd w:val="clear" w:color="auto" w:fill="FFFFFF"/>
      <w:spacing w:before="180" w:line="229" w:lineRule="exact"/>
      <w:jc w:val="right"/>
    </w:pPr>
    <w:rPr>
      <w:rFonts w:ascii="Arial Unicode MS" w:hAnsi="Arial Unicode MS" w:eastAsia="Arial Unicode MS"/>
      <w:kern w:val="0"/>
      <w:sz w:val="14"/>
      <w:szCs w:val="14"/>
    </w:rPr>
  </w:style>
  <w:style w:type="character" w:customStyle="1" w:styleId="32">
    <w:name w:val="正文文本 + MS Mincho"/>
    <w:qFormat/>
    <w:uiPriority w:val="0"/>
    <w:rPr>
      <w:rFonts w:ascii="MS Mincho" w:hAnsi="MS Mincho" w:eastAsia="MS Mincho" w:cs="MS Mincho"/>
      <w:color w:val="000000"/>
      <w:spacing w:val="0"/>
      <w:w w:val="100"/>
      <w:position w:val="0"/>
      <w:sz w:val="14"/>
      <w:szCs w:val="14"/>
      <w:shd w:val="clear" w:color="auto" w:fill="FFFFFF"/>
    </w:rPr>
  </w:style>
  <w:style w:type="character" w:customStyle="1" w:styleId="33">
    <w:name w:val="正文文本 (37) + MS Mincho"/>
    <w:qFormat/>
    <w:uiPriority w:val="0"/>
    <w:rPr>
      <w:rFonts w:ascii="MS Mincho" w:hAnsi="MS Mincho" w:eastAsia="MS Mincho" w:cs="MS Mincho"/>
      <w:color w:val="000000"/>
      <w:spacing w:val="0"/>
      <w:w w:val="100"/>
      <w:position w:val="0"/>
      <w:sz w:val="19"/>
      <w:szCs w:val="19"/>
      <w:shd w:val="clear" w:color="auto" w:fill="FFFFFF"/>
    </w:rPr>
  </w:style>
  <w:style w:type="character" w:customStyle="1" w:styleId="34">
    <w:name w:val="正文文本 + SimHei"/>
    <w:qFormat/>
    <w:uiPriority w:val="0"/>
    <w:rPr>
      <w:rFonts w:ascii="黑体" w:hAnsi="黑体" w:eastAsia="黑体" w:cs="黑体"/>
      <w:color w:val="000000"/>
      <w:spacing w:val="0"/>
      <w:w w:val="100"/>
      <w:position w:val="0"/>
      <w:sz w:val="12"/>
      <w:szCs w:val="12"/>
      <w:u w:val="none"/>
      <w:shd w:val="clear" w:color="auto" w:fill="FFFFFF"/>
      <w:lang w:val="zh-CN"/>
    </w:rPr>
  </w:style>
  <w:style w:type="character" w:customStyle="1" w:styleId="35">
    <w:name w:val="正文文本14"/>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paragraph" w:customStyle="1" w:styleId="36">
    <w:name w:val="标题 #17 (3)"/>
    <w:basedOn w:val="1"/>
    <w:qFormat/>
    <w:uiPriority w:val="0"/>
    <w:pPr>
      <w:shd w:val="clear" w:color="auto" w:fill="FFFFFF"/>
      <w:spacing w:before="60" w:after="300" w:line="0" w:lineRule="atLeast"/>
      <w:jc w:val="center"/>
    </w:pPr>
    <w:rPr>
      <w:rFonts w:ascii="黑体" w:hAnsi="黑体" w:eastAsia="黑体"/>
      <w:b/>
      <w:bCs/>
      <w:kern w:val="0"/>
      <w:sz w:val="16"/>
      <w:szCs w:val="16"/>
    </w:rPr>
  </w:style>
  <w:style w:type="character" w:customStyle="1" w:styleId="37">
    <w:name w:val="标题 #17 (3) + 间距 4 pt"/>
    <w:qFormat/>
    <w:uiPriority w:val="0"/>
    <w:rPr>
      <w:rFonts w:ascii="黑体" w:hAnsi="黑体" w:eastAsia="黑体" w:cs="黑体"/>
      <w:b/>
      <w:bCs/>
      <w:color w:val="000000"/>
      <w:spacing w:val="80"/>
      <w:w w:val="100"/>
      <w:position w:val="0"/>
      <w:sz w:val="16"/>
      <w:szCs w:val="16"/>
      <w:shd w:val="clear" w:color="auto" w:fill="FFFFFF"/>
      <w:lang w:val="zh-CN"/>
    </w:rPr>
  </w:style>
  <w:style w:type="paragraph" w:customStyle="1" w:styleId="38">
    <w:name w:val="正文文本 (17)"/>
    <w:basedOn w:val="1"/>
    <w:qFormat/>
    <w:uiPriority w:val="0"/>
    <w:pPr>
      <w:shd w:val="clear" w:color="auto" w:fill="FFFFFF"/>
      <w:spacing w:line="305" w:lineRule="exact"/>
      <w:ind w:hanging="200"/>
      <w:jc w:val="distribute"/>
    </w:pPr>
    <w:rPr>
      <w:rFonts w:ascii="MingLiU" w:hAnsi="MingLiU" w:eastAsia="MingLiU"/>
      <w:spacing w:val="20"/>
      <w:kern w:val="0"/>
      <w:sz w:val="15"/>
      <w:szCs w:val="15"/>
    </w:rPr>
  </w:style>
  <w:style w:type="character" w:customStyle="1" w:styleId="39">
    <w:name w:val="正文文本 (17) + 间距 0 pt2"/>
    <w:qFormat/>
    <w:uiPriority w:val="0"/>
    <w:rPr>
      <w:rFonts w:ascii="MingLiU" w:hAnsi="MingLiU" w:eastAsia="MingLiU" w:cs="MingLiU"/>
      <w:color w:val="000000"/>
      <w:spacing w:val="-10"/>
      <w:w w:val="100"/>
      <w:position w:val="0"/>
      <w:sz w:val="15"/>
      <w:szCs w:val="15"/>
      <w:shd w:val="clear" w:color="auto" w:fill="FFFFFF"/>
      <w:lang w:val="zh-CN"/>
    </w:rPr>
  </w:style>
  <w:style w:type="paragraph" w:customStyle="1" w:styleId="40">
    <w:name w:val="正文文本 (26)"/>
    <w:basedOn w:val="1"/>
    <w:qFormat/>
    <w:uiPriority w:val="0"/>
    <w:pPr>
      <w:shd w:val="clear" w:color="auto" w:fill="FFFFFF"/>
      <w:spacing w:before="300" w:after="420" w:line="0" w:lineRule="atLeast"/>
      <w:jc w:val="left"/>
    </w:pPr>
    <w:rPr>
      <w:rFonts w:ascii="黑体" w:hAnsi="黑体" w:eastAsia="黑体"/>
      <w:b/>
      <w:bCs/>
      <w:kern w:val="0"/>
      <w:sz w:val="16"/>
      <w:szCs w:val="16"/>
    </w:rPr>
  </w:style>
  <w:style w:type="character" w:customStyle="1" w:styleId="41">
    <w:name w:val="正文文本 (26)3"/>
    <w:qFormat/>
    <w:uiPriority w:val="0"/>
    <w:rPr>
      <w:rFonts w:ascii="黑体" w:hAnsi="黑体" w:eastAsia="黑体" w:cs="黑体"/>
      <w:b/>
      <w:bCs/>
      <w:color w:val="000000"/>
      <w:spacing w:val="0"/>
      <w:w w:val="100"/>
      <w:position w:val="0"/>
      <w:sz w:val="16"/>
      <w:szCs w:val="16"/>
      <w:shd w:val="clear" w:color="auto" w:fill="FFFFFF"/>
      <w:lang w:val="zh-CN"/>
    </w:rPr>
  </w:style>
  <w:style w:type="character" w:customStyle="1" w:styleId="42">
    <w:name w:val="标题 #121"/>
    <w:qFormat/>
    <w:uiPriority w:val="0"/>
    <w:rPr>
      <w:rFonts w:ascii="黑体" w:hAnsi="黑体" w:eastAsia="黑体" w:cs="黑体"/>
      <w:b/>
      <w:bCs/>
      <w:color w:val="000000"/>
      <w:spacing w:val="0"/>
      <w:w w:val="100"/>
      <w:position w:val="0"/>
      <w:sz w:val="16"/>
      <w:szCs w:val="16"/>
      <w:shd w:val="clear" w:color="auto" w:fill="FFFFFF"/>
      <w:lang w:val="zh-CN"/>
    </w:rPr>
  </w:style>
  <w:style w:type="paragraph" w:customStyle="1" w:styleId="43">
    <w:name w:val="正文文本 (9)"/>
    <w:basedOn w:val="1"/>
    <w:qFormat/>
    <w:uiPriority w:val="0"/>
    <w:pPr>
      <w:shd w:val="clear" w:color="auto" w:fill="FFFFFF"/>
      <w:spacing w:line="305" w:lineRule="exact"/>
      <w:jc w:val="distribute"/>
    </w:pPr>
    <w:rPr>
      <w:rFonts w:ascii="Arial Unicode MS" w:hAnsi="Arial Unicode MS" w:eastAsia="Arial Unicode MS"/>
      <w:kern w:val="0"/>
      <w:sz w:val="14"/>
      <w:szCs w:val="14"/>
    </w:rPr>
  </w:style>
  <w:style w:type="paragraph" w:customStyle="1" w:styleId="44">
    <w:name w:val="正文文本 (27)"/>
    <w:basedOn w:val="1"/>
    <w:qFormat/>
    <w:uiPriority w:val="0"/>
    <w:pPr>
      <w:shd w:val="clear" w:color="auto" w:fill="FFFFFF"/>
      <w:spacing w:before="180" w:line="186" w:lineRule="exact"/>
      <w:jc w:val="distribute"/>
    </w:pPr>
    <w:rPr>
      <w:rFonts w:ascii="黑体" w:hAnsi="黑体" w:eastAsia="黑体"/>
      <w:kern w:val="0"/>
      <w:sz w:val="11"/>
      <w:szCs w:val="11"/>
    </w:rPr>
  </w:style>
  <w:style w:type="character" w:customStyle="1" w:styleId="45">
    <w:name w:val="font01"/>
    <w:qFormat/>
    <w:uiPriority w:val="0"/>
    <w:rPr>
      <w:rFonts w:hint="eastAsia" w:ascii="宋体" w:hAnsi="宋体" w:eastAsia="宋体" w:cs="宋体"/>
      <w:color w:val="000000"/>
      <w:sz w:val="20"/>
      <w:szCs w:val="20"/>
      <w:u w:val="none"/>
    </w:rPr>
  </w:style>
  <w:style w:type="character" w:customStyle="1" w:styleId="46">
    <w:name w:val="font11"/>
    <w:qFormat/>
    <w:uiPriority w:val="0"/>
    <w:rPr>
      <w:rFonts w:hint="default" w:ascii="Times New Roman" w:hAnsi="Times New Roman" w:cs="Times New Roman"/>
      <w:color w:val="000000"/>
      <w:sz w:val="20"/>
      <w:szCs w:val="20"/>
      <w:u w:val="none"/>
    </w:rPr>
  </w:style>
  <w:style w:type="character" w:customStyle="1" w:styleId="47">
    <w:name w:val="正文文本11"/>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paragraph" w:customStyle="1" w:styleId="48">
    <w:name w:val="标题2"/>
    <w:basedOn w:val="3"/>
    <w:qFormat/>
    <w:uiPriority w:val="0"/>
    <w:pPr>
      <w:snapToGrid w:val="0"/>
      <w:spacing w:line="324" w:lineRule="auto"/>
      <w:jc w:val="both"/>
    </w:pPr>
    <w:rPr>
      <w:sz w:val="28"/>
    </w:rPr>
  </w:style>
  <w:style w:type="paragraph" w:customStyle="1" w:styleId="49">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 w:val="0"/>
      <w:bCs w:val="0"/>
      <w:sz w:val="28"/>
      <w:szCs w:val="20"/>
    </w:rPr>
  </w:style>
  <w:style w:type="paragraph" w:customStyle="1" w:styleId="50">
    <w:name w:val="样式 标题 3 + (中文) 黑体 小四 非加粗 段前: 7.8 磅 段后: 0 磅 行距: 固定值 20 磅"/>
    <w:basedOn w:val="4"/>
    <w:qFormat/>
    <w:uiPriority w:val="0"/>
    <w:pPr>
      <w:snapToGrid/>
      <w:spacing w:before="0" w:line="400" w:lineRule="exact"/>
    </w:pPr>
    <w:rPr>
      <w:rFonts w:cs="宋体"/>
      <w:bCs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188</Pages>
  <Words>20825</Words>
  <Characters>23366</Characters>
  <Lines>0</Lines>
  <Paragraphs>0</Paragraphs>
  <TotalTime>76</TotalTime>
  <ScaleCrop>false</ScaleCrop>
  <LinksUpToDate>false</LinksUpToDate>
  <CharactersWithSpaces>23746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2025-08-07T01:25:00Z</dcterms:created>
  <dc:creator>OKAY</dc:creator>
  <cp:lastModifiedBy>Lenovo</cp:lastModifiedBy>
  <dcterms:modified xsi:type="dcterms:W3CDTF">2025-08-20T01:38:17Z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363D5B80029F45C0A3F514A11E694168_13</vt:lpwstr>
  </property>
  <property fmtid="{D5CDD505-2E9C-101B-9397-08002B2CF9AE}" pid="4" name="KSOTemplateDocerSaveRecord">
    <vt:lpwstr>eyJoZGlkIjoiOWY0YjJiZWVhYTc4MmY1MGI0NTM3MmY3ODgwOTA3ZjEiLCJ1c2VySWQiOiI0NDY3MTI5NjQifQ==</vt:lpwstr>
  </property>
</Properties>
</file>