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E5421">
      <w:pPr>
        <w:spacing w:line="580" w:lineRule="exact"/>
        <w:jc w:val="center"/>
        <w:rPr>
          <w:rFonts w:hint="eastAsia" w:eastAsia="黑体"/>
          <w:w w:val="95"/>
          <w:sz w:val="44"/>
          <w:szCs w:val="44"/>
        </w:rPr>
      </w:pPr>
    </w:p>
    <w:p w14:paraId="398D8BBF">
      <w:pPr>
        <w:spacing w:line="580" w:lineRule="exact"/>
        <w:jc w:val="center"/>
        <w:rPr>
          <w:rFonts w:eastAsia="黑体"/>
          <w:w w:val="95"/>
          <w:sz w:val="44"/>
          <w:szCs w:val="44"/>
        </w:rPr>
      </w:pPr>
    </w:p>
    <w:p w14:paraId="68EFB891">
      <w:pPr>
        <w:spacing w:line="580" w:lineRule="exact"/>
        <w:jc w:val="center"/>
        <w:rPr>
          <w:rFonts w:eastAsia="黑体"/>
          <w:w w:val="95"/>
          <w:sz w:val="44"/>
          <w:szCs w:val="44"/>
        </w:rPr>
      </w:pPr>
    </w:p>
    <w:p w14:paraId="74E82768">
      <w:pPr>
        <w:spacing w:line="580" w:lineRule="exact"/>
        <w:jc w:val="center"/>
        <w:rPr>
          <w:rFonts w:eastAsia="黑体"/>
          <w:w w:val="95"/>
          <w:sz w:val="44"/>
          <w:szCs w:val="44"/>
        </w:rPr>
      </w:pPr>
    </w:p>
    <w:p w14:paraId="479DE2FF">
      <w:pPr>
        <w:spacing w:line="580" w:lineRule="exact"/>
        <w:jc w:val="center"/>
        <w:rPr>
          <w:rFonts w:eastAsia="黑体"/>
          <w:w w:val="95"/>
          <w:sz w:val="44"/>
          <w:szCs w:val="44"/>
        </w:rPr>
      </w:pPr>
    </w:p>
    <w:p w14:paraId="21951000">
      <w:pPr>
        <w:spacing w:line="580" w:lineRule="exact"/>
        <w:jc w:val="center"/>
        <w:rPr>
          <w:rFonts w:eastAsia="黑体"/>
          <w:w w:val="95"/>
          <w:sz w:val="44"/>
          <w:szCs w:val="44"/>
        </w:rPr>
      </w:pPr>
    </w:p>
    <w:p w14:paraId="093043F8">
      <w:pPr>
        <w:spacing w:line="240" w:lineRule="auto"/>
        <w:jc w:val="center"/>
        <w:rPr>
          <w:rFonts w:hint="eastAsia"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天津市滨海新区交通运输综合行政执法支队202</w:t>
      </w:r>
      <w:r>
        <w:rPr>
          <w:rFonts w:hint="eastAsia" w:ascii="仿宋_GB2312" w:hAnsi="仿宋_GB2312" w:eastAsia="仿宋_GB2312" w:cs="仿宋_GB2312"/>
          <w:b/>
          <w:color w:val="auto"/>
          <w:sz w:val="44"/>
          <w:szCs w:val="44"/>
          <w:lang w:val="en-US" w:eastAsia="zh-CN"/>
        </w:rPr>
        <w:t>5</w:t>
      </w:r>
      <w:r>
        <w:rPr>
          <w:rFonts w:hint="eastAsia" w:ascii="仿宋_GB2312" w:hAnsi="仿宋_GB2312" w:eastAsia="仿宋_GB2312" w:cs="仿宋_GB2312"/>
          <w:b/>
          <w:color w:val="auto"/>
          <w:sz w:val="44"/>
          <w:szCs w:val="44"/>
        </w:rPr>
        <w:t>年</w:t>
      </w:r>
      <w:r>
        <w:rPr>
          <w:rFonts w:hint="eastAsia" w:ascii="仿宋_GB2312" w:hAnsi="仿宋_GB2312" w:eastAsia="仿宋_GB2312" w:cs="仿宋_GB2312"/>
          <w:b/>
          <w:color w:val="auto"/>
          <w:sz w:val="44"/>
          <w:szCs w:val="44"/>
          <w:lang w:eastAsia="zh-CN"/>
        </w:rPr>
        <w:t>单位</w:t>
      </w:r>
      <w:r>
        <w:rPr>
          <w:rFonts w:hint="eastAsia" w:ascii="仿宋_GB2312" w:hAnsi="仿宋_GB2312" w:eastAsia="仿宋_GB2312" w:cs="仿宋_GB2312"/>
          <w:b/>
          <w:color w:val="auto"/>
          <w:sz w:val="44"/>
          <w:szCs w:val="44"/>
        </w:rPr>
        <w:t>预算</w:t>
      </w:r>
    </w:p>
    <w:p w14:paraId="6EAE698C">
      <w:pPr>
        <w:spacing w:line="580" w:lineRule="exact"/>
        <w:jc w:val="center"/>
        <w:rPr>
          <w:rFonts w:hint="eastAsia" w:ascii="黑体" w:eastAsia="黑体"/>
          <w:sz w:val="30"/>
          <w:szCs w:val="30"/>
        </w:rPr>
      </w:pPr>
    </w:p>
    <w:p w14:paraId="6DADF4B0">
      <w:pPr>
        <w:spacing w:line="580" w:lineRule="exact"/>
        <w:jc w:val="center"/>
        <w:rPr>
          <w:rFonts w:hint="eastAsia" w:ascii="黑体" w:eastAsia="黑体"/>
          <w:sz w:val="30"/>
          <w:szCs w:val="30"/>
        </w:rPr>
      </w:pPr>
    </w:p>
    <w:p w14:paraId="71739C38">
      <w:pPr>
        <w:spacing w:line="580" w:lineRule="exact"/>
        <w:jc w:val="center"/>
        <w:rPr>
          <w:rFonts w:hint="eastAsia" w:ascii="黑体" w:eastAsia="黑体"/>
          <w:sz w:val="30"/>
          <w:szCs w:val="30"/>
        </w:rPr>
      </w:pPr>
    </w:p>
    <w:p w14:paraId="487DF9B2">
      <w:pPr>
        <w:spacing w:line="580" w:lineRule="exact"/>
        <w:jc w:val="center"/>
        <w:rPr>
          <w:rFonts w:hint="eastAsia" w:ascii="黑体" w:eastAsia="黑体"/>
          <w:sz w:val="30"/>
          <w:szCs w:val="30"/>
        </w:rPr>
      </w:pPr>
    </w:p>
    <w:p w14:paraId="32E40134">
      <w:pPr>
        <w:spacing w:line="580" w:lineRule="exact"/>
        <w:jc w:val="center"/>
        <w:rPr>
          <w:rFonts w:hint="eastAsia" w:ascii="黑体" w:eastAsia="黑体"/>
          <w:sz w:val="30"/>
          <w:szCs w:val="30"/>
        </w:rPr>
      </w:pPr>
    </w:p>
    <w:p w14:paraId="6AC144F7">
      <w:pPr>
        <w:spacing w:line="580" w:lineRule="exact"/>
        <w:jc w:val="center"/>
        <w:rPr>
          <w:rFonts w:hint="eastAsia" w:ascii="黑体" w:eastAsia="黑体"/>
          <w:sz w:val="30"/>
          <w:szCs w:val="30"/>
        </w:rPr>
      </w:pPr>
    </w:p>
    <w:p w14:paraId="70780B8E">
      <w:pPr>
        <w:spacing w:line="580" w:lineRule="exact"/>
        <w:jc w:val="center"/>
        <w:rPr>
          <w:rFonts w:hint="eastAsia" w:ascii="黑体" w:eastAsia="黑体"/>
          <w:sz w:val="30"/>
          <w:szCs w:val="30"/>
        </w:rPr>
      </w:pPr>
    </w:p>
    <w:p w14:paraId="1489A5EA">
      <w:pPr>
        <w:spacing w:line="580" w:lineRule="exact"/>
        <w:jc w:val="center"/>
        <w:rPr>
          <w:rFonts w:hint="eastAsia" w:ascii="黑体" w:eastAsia="黑体"/>
          <w:sz w:val="30"/>
          <w:szCs w:val="30"/>
        </w:rPr>
      </w:pPr>
    </w:p>
    <w:p w14:paraId="5844D484">
      <w:pPr>
        <w:spacing w:line="580" w:lineRule="exact"/>
        <w:jc w:val="center"/>
        <w:rPr>
          <w:rFonts w:hint="eastAsia" w:ascii="黑体" w:eastAsia="黑体"/>
          <w:sz w:val="30"/>
          <w:szCs w:val="30"/>
        </w:rPr>
      </w:pPr>
    </w:p>
    <w:p w14:paraId="1CDCA4E5">
      <w:pPr>
        <w:spacing w:line="580" w:lineRule="exact"/>
        <w:jc w:val="center"/>
        <w:rPr>
          <w:rFonts w:hint="eastAsia" w:ascii="黑体" w:eastAsia="黑体"/>
          <w:sz w:val="30"/>
          <w:szCs w:val="30"/>
        </w:rPr>
      </w:pPr>
    </w:p>
    <w:p w14:paraId="5357FBF9">
      <w:pPr>
        <w:spacing w:line="580" w:lineRule="exact"/>
        <w:jc w:val="center"/>
        <w:rPr>
          <w:rFonts w:hint="eastAsia" w:ascii="黑体" w:eastAsia="黑体"/>
          <w:sz w:val="30"/>
          <w:szCs w:val="30"/>
        </w:rPr>
      </w:pPr>
    </w:p>
    <w:p w14:paraId="5F70C225">
      <w:pPr>
        <w:spacing w:line="580" w:lineRule="exact"/>
        <w:jc w:val="center"/>
        <w:rPr>
          <w:rFonts w:hint="eastAsia" w:ascii="黑体" w:eastAsia="黑体"/>
          <w:sz w:val="30"/>
          <w:szCs w:val="30"/>
        </w:rPr>
      </w:pPr>
    </w:p>
    <w:p w14:paraId="33BF6B0C">
      <w:pPr>
        <w:spacing w:line="580" w:lineRule="exact"/>
        <w:jc w:val="center"/>
        <w:rPr>
          <w:rFonts w:hint="eastAsia" w:ascii="黑体" w:eastAsia="黑体"/>
          <w:sz w:val="44"/>
          <w:szCs w:val="44"/>
        </w:rPr>
      </w:pPr>
    </w:p>
    <w:p w14:paraId="3D0494F9">
      <w:pPr>
        <w:spacing w:line="600" w:lineRule="exact"/>
        <w:jc w:val="center"/>
        <w:rPr>
          <w:rFonts w:hint="eastAsia" w:ascii="黑体" w:eastAsia="黑体"/>
          <w:sz w:val="44"/>
          <w:szCs w:val="44"/>
        </w:rPr>
      </w:pPr>
    </w:p>
    <w:p w14:paraId="1035BFB4">
      <w:pPr>
        <w:spacing w:line="600" w:lineRule="exact"/>
        <w:jc w:val="both"/>
        <w:rPr>
          <w:rFonts w:hint="eastAsia" w:ascii="黑体" w:eastAsia="黑体"/>
          <w:sz w:val="44"/>
          <w:szCs w:val="44"/>
        </w:rPr>
      </w:pPr>
    </w:p>
    <w:p w14:paraId="6D50081A">
      <w:pPr>
        <w:spacing w:line="600" w:lineRule="exact"/>
        <w:jc w:val="center"/>
        <w:rPr>
          <w:rFonts w:hint="eastAsia" w:ascii="黑体" w:eastAsia="黑体"/>
          <w:sz w:val="44"/>
          <w:szCs w:val="44"/>
        </w:rPr>
      </w:pPr>
      <w:r>
        <w:rPr>
          <w:rFonts w:hint="eastAsia" w:ascii="黑体" w:eastAsia="黑体"/>
          <w:sz w:val="44"/>
          <w:szCs w:val="44"/>
        </w:rPr>
        <w:t>目   录</w:t>
      </w:r>
    </w:p>
    <w:p w14:paraId="106C8B53">
      <w:pPr>
        <w:spacing w:line="600" w:lineRule="exact"/>
        <w:rPr>
          <w:rFonts w:hint="eastAsia" w:ascii="黑体" w:eastAsia="黑体"/>
          <w:sz w:val="30"/>
          <w:szCs w:val="30"/>
        </w:rPr>
      </w:pPr>
    </w:p>
    <w:p w14:paraId="2B14C123">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第一部分  概 况</w:t>
      </w:r>
    </w:p>
    <w:p w14:paraId="052D5286">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一、主要职责</w:t>
      </w:r>
    </w:p>
    <w:p w14:paraId="4872FAB2">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二、机构设置情况</w:t>
      </w:r>
    </w:p>
    <w:p w14:paraId="4FB0C3DF">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第二部分  2025年</w:t>
      </w:r>
      <w:r>
        <w:rPr>
          <w:rFonts w:hint="eastAsia" w:ascii="仿宋_GB2312" w:hAnsi="Times New Roman" w:eastAsia="仿宋_GB2312"/>
          <w:b/>
          <w:sz w:val="30"/>
          <w:szCs w:val="30"/>
          <w:lang w:eastAsia="zh-CN"/>
        </w:rPr>
        <w:t>单位</w:t>
      </w:r>
      <w:r>
        <w:rPr>
          <w:rFonts w:hint="eastAsia" w:ascii="仿宋_GB2312" w:hAnsi="Times New Roman" w:eastAsia="仿宋_GB2312"/>
          <w:b/>
          <w:sz w:val="30"/>
          <w:szCs w:val="30"/>
        </w:rPr>
        <w:t>预算情况说明</w:t>
      </w:r>
    </w:p>
    <w:p w14:paraId="4E6115CD">
      <w:pPr>
        <w:spacing w:line="600" w:lineRule="exact"/>
        <w:ind w:firstLine="594" w:firstLineChars="198"/>
        <w:rPr>
          <w:rFonts w:hint="eastAsia" w:ascii="仿宋_GB2312" w:hAnsi="Times New Roman" w:eastAsia="仿宋_GB2312"/>
          <w:b/>
          <w:sz w:val="30"/>
          <w:szCs w:val="30"/>
        </w:rPr>
      </w:pPr>
      <w:r>
        <w:rPr>
          <w:rFonts w:hint="eastAsia" w:ascii="仿宋_GB2312" w:hAnsi="Times New Roman" w:eastAsia="仿宋_GB2312"/>
          <w:sz w:val="30"/>
          <w:szCs w:val="30"/>
        </w:rPr>
        <w:t>一、关于收支预算总表的说明</w:t>
      </w:r>
    </w:p>
    <w:p w14:paraId="436B2AD5">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二、关于收入预算总表的说明</w:t>
      </w:r>
    </w:p>
    <w:p w14:paraId="3853D11C">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三、关于支出预算总表的说明</w:t>
      </w:r>
    </w:p>
    <w:p w14:paraId="52F52800">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四、关于财政拨款收支预算总表的说明</w:t>
      </w:r>
    </w:p>
    <w:p w14:paraId="7AC8C1BA">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五、关于财政拨款一般公共预算支出预算表的说明</w:t>
      </w:r>
    </w:p>
    <w:p w14:paraId="05C20F69">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六、关于财政拨款一般公共预算基本支出预算表的说明</w:t>
      </w:r>
    </w:p>
    <w:p w14:paraId="5E152071">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七、</w:t>
      </w:r>
      <w:r>
        <w:rPr>
          <w:rFonts w:hint="eastAsia" w:ascii="仿宋_GB2312" w:hAnsi="Times New Roman" w:eastAsia="仿宋_GB2312"/>
          <w:spacing w:val="-20"/>
          <w:sz w:val="30"/>
          <w:szCs w:val="30"/>
        </w:rPr>
        <w:t>关于财政拨款一般公共预算“三公”经费支出预算表的说明</w:t>
      </w:r>
    </w:p>
    <w:p w14:paraId="041E8852">
      <w:pPr>
        <w:spacing w:line="600" w:lineRule="exact"/>
        <w:ind w:left="1200" w:leftChars="250" w:hanging="600" w:hangingChars="200"/>
        <w:rPr>
          <w:rFonts w:hint="eastAsia" w:ascii="仿宋_GB2312" w:hAnsi="Times New Roman" w:eastAsia="仿宋_GB2312"/>
          <w:spacing w:val="-20"/>
          <w:sz w:val="30"/>
          <w:szCs w:val="30"/>
        </w:rPr>
      </w:pPr>
      <w:r>
        <w:rPr>
          <w:rFonts w:hint="eastAsia" w:ascii="仿宋_GB2312" w:hAnsi="Times New Roman" w:eastAsia="仿宋_GB2312"/>
          <w:sz w:val="30"/>
          <w:szCs w:val="30"/>
        </w:rPr>
        <w:t>八、关于财政拨款政府性基金预算支出预算表的说明</w:t>
      </w:r>
    </w:p>
    <w:p w14:paraId="54787DED">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九、关于国有资本经营预算支出预算表的说明</w:t>
      </w:r>
    </w:p>
    <w:p w14:paraId="15E009B0">
      <w:pPr>
        <w:spacing w:line="600" w:lineRule="exact"/>
        <w:ind w:firstLine="600" w:firstLineChars="200"/>
        <w:rPr>
          <w:rFonts w:hint="eastAsia" w:ascii="仿宋_GB2312" w:hAnsi="Times New Roman" w:eastAsia="仿宋_GB2312"/>
          <w:sz w:val="30"/>
          <w:szCs w:val="30"/>
        </w:rPr>
      </w:pPr>
      <w:r>
        <w:rPr>
          <w:rFonts w:hint="eastAsia" w:ascii="仿宋_GB2312" w:hAnsi="Times New Roman" w:eastAsia="仿宋_GB2312"/>
          <w:sz w:val="30"/>
          <w:szCs w:val="30"/>
        </w:rPr>
        <w:t>十、其他重要事项的情况说明</w:t>
      </w:r>
    </w:p>
    <w:p w14:paraId="6B5D3ADF">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第三部分  名词解释</w:t>
      </w:r>
    </w:p>
    <w:p w14:paraId="605AFAB1">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第四部分  2025年</w:t>
      </w:r>
      <w:r>
        <w:rPr>
          <w:rFonts w:hint="eastAsia" w:ascii="仿宋_GB2312" w:hAnsi="Times New Roman" w:eastAsia="仿宋_GB2312"/>
          <w:b/>
          <w:sz w:val="30"/>
          <w:szCs w:val="30"/>
          <w:lang w:eastAsia="zh-CN"/>
        </w:rPr>
        <w:t>单位</w:t>
      </w:r>
      <w:r>
        <w:rPr>
          <w:rFonts w:hint="eastAsia" w:ascii="仿宋_GB2312" w:hAnsi="Times New Roman" w:eastAsia="仿宋_GB2312"/>
          <w:b/>
          <w:sz w:val="30"/>
          <w:szCs w:val="30"/>
        </w:rPr>
        <w:t>预算表</w:t>
      </w:r>
    </w:p>
    <w:p w14:paraId="2A28C983">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一、</w:t>
      </w:r>
      <w:r>
        <w:rPr>
          <w:rFonts w:ascii="仿宋_GB2312" w:hAnsi="Times New Roman" w:eastAsia="仿宋_GB2312"/>
          <w:sz w:val="30"/>
          <w:szCs w:val="30"/>
        </w:rPr>
        <w:t>2025年收支预算总表</w:t>
      </w:r>
    </w:p>
    <w:p w14:paraId="0F9A8CEE">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二、</w:t>
      </w:r>
      <w:r>
        <w:rPr>
          <w:rFonts w:ascii="仿宋_GB2312" w:hAnsi="Times New Roman" w:eastAsia="仿宋_GB2312"/>
          <w:sz w:val="30"/>
          <w:szCs w:val="30"/>
        </w:rPr>
        <w:t>2025年收入预算总表</w:t>
      </w:r>
    </w:p>
    <w:p w14:paraId="4F586C3D">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三、</w:t>
      </w:r>
      <w:r>
        <w:rPr>
          <w:rFonts w:ascii="仿宋_GB2312" w:hAnsi="Times New Roman" w:eastAsia="仿宋_GB2312"/>
          <w:sz w:val="30"/>
          <w:szCs w:val="30"/>
        </w:rPr>
        <w:t>2025年支出预算总表</w:t>
      </w:r>
    </w:p>
    <w:p w14:paraId="2AACA044">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四、</w:t>
      </w:r>
      <w:r>
        <w:rPr>
          <w:rFonts w:ascii="仿宋_GB2312" w:hAnsi="Times New Roman" w:eastAsia="仿宋_GB2312"/>
          <w:sz w:val="30"/>
          <w:szCs w:val="30"/>
        </w:rPr>
        <w:t>2025年财政拨款收支预算总表</w:t>
      </w:r>
    </w:p>
    <w:p w14:paraId="2E0BDA98">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五、</w:t>
      </w:r>
      <w:r>
        <w:rPr>
          <w:rFonts w:ascii="仿宋_GB2312" w:hAnsi="Times New Roman" w:eastAsia="仿宋_GB2312"/>
          <w:sz w:val="30"/>
          <w:szCs w:val="30"/>
        </w:rPr>
        <w:t>2025年财政拨款一般公共预算支出预算表</w:t>
      </w:r>
    </w:p>
    <w:p w14:paraId="0C07C2B0">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六、</w:t>
      </w:r>
      <w:r>
        <w:rPr>
          <w:rFonts w:ascii="仿宋_GB2312" w:hAnsi="Times New Roman" w:eastAsia="仿宋_GB2312"/>
          <w:sz w:val="30"/>
          <w:szCs w:val="30"/>
        </w:rPr>
        <w:t>2025年财政拨款一般公共预算基本支出预算表</w:t>
      </w:r>
    </w:p>
    <w:p w14:paraId="01FB9370">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七、2025年财政拨款一般公共预算“三公”经费支出预算表</w:t>
      </w:r>
    </w:p>
    <w:p w14:paraId="1CF87DA8">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八、</w:t>
      </w:r>
      <w:r>
        <w:rPr>
          <w:rFonts w:ascii="仿宋_GB2312" w:hAnsi="Times New Roman" w:eastAsia="仿宋_GB2312"/>
          <w:sz w:val="30"/>
          <w:szCs w:val="30"/>
        </w:rPr>
        <w:t>2025年财政拨款政府性基金预算支出预算表</w:t>
      </w:r>
    </w:p>
    <w:p w14:paraId="35178875">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九、2025年国有资本经营预算支出预算表</w:t>
      </w:r>
    </w:p>
    <w:p w14:paraId="342232E6">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十、</w:t>
      </w:r>
      <w:r>
        <w:rPr>
          <w:rFonts w:ascii="仿宋_GB2312" w:hAnsi="Times New Roman" w:eastAsia="仿宋_GB2312"/>
          <w:sz w:val="30"/>
          <w:szCs w:val="30"/>
        </w:rPr>
        <w:t>2025年项目支出预算表</w:t>
      </w:r>
    </w:p>
    <w:p w14:paraId="60B9FEA0">
      <w:pPr>
        <w:spacing w:line="600" w:lineRule="exact"/>
        <w:ind w:firstLine="594" w:firstLineChars="198"/>
        <w:rPr>
          <w:rFonts w:ascii="仿宋_GB2312" w:hAnsi="Times New Roman" w:eastAsia="仿宋_GB2312"/>
          <w:sz w:val="30"/>
          <w:szCs w:val="30"/>
        </w:rPr>
      </w:pPr>
      <w:r>
        <w:rPr>
          <w:rFonts w:hint="eastAsia" w:ascii="仿宋_GB2312" w:hAnsi="Times New Roman" w:eastAsia="仿宋_GB2312"/>
          <w:sz w:val="30"/>
          <w:szCs w:val="30"/>
        </w:rPr>
        <w:t>十一、</w:t>
      </w:r>
      <w:r>
        <w:rPr>
          <w:rFonts w:ascii="仿宋_GB2312" w:hAnsi="Times New Roman" w:eastAsia="仿宋_GB2312"/>
          <w:sz w:val="30"/>
          <w:szCs w:val="30"/>
        </w:rPr>
        <w:t>2025年财政拨款政府采购预算表</w:t>
      </w:r>
    </w:p>
    <w:p w14:paraId="2B098D45">
      <w:pPr>
        <w:spacing w:line="600" w:lineRule="exact"/>
        <w:ind w:firstLine="594" w:firstLineChars="198"/>
        <w:rPr>
          <w:rFonts w:hint="eastAsia" w:ascii="仿宋_GB2312" w:hAnsi="Times New Roman" w:eastAsia="仿宋_GB2312"/>
          <w:sz w:val="30"/>
          <w:szCs w:val="30"/>
        </w:rPr>
      </w:pPr>
      <w:r>
        <w:rPr>
          <w:rFonts w:hint="eastAsia" w:ascii="仿宋_GB2312" w:hAnsi="Times New Roman" w:eastAsia="仿宋_GB2312"/>
          <w:sz w:val="30"/>
          <w:szCs w:val="30"/>
        </w:rPr>
        <w:t>十二、关于空表的说明</w:t>
      </w:r>
    </w:p>
    <w:p w14:paraId="203BDDCE">
      <w:pPr>
        <w:pStyle w:val="8"/>
        <w:tabs>
          <w:tab w:val="right" w:leader="dot" w:pos="8296"/>
        </w:tabs>
        <w:spacing w:line="600" w:lineRule="exact"/>
        <w:ind w:left="0"/>
        <w:rPr>
          <w:rFonts w:ascii="黑体" w:eastAsia="黑体"/>
          <w:sz w:val="30"/>
          <w:szCs w:val="30"/>
        </w:rPr>
        <w:sectPr>
          <w:headerReference r:id="rId5" w:type="default"/>
          <w:footerReference r:id="rId6" w:type="default"/>
          <w:footerReference r:id="rId7" w:type="even"/>
          <w:pgSz w:w="11907" w:h="16840"/>
          <w:pgMar w:top="2098" w:right="1474" w:bottom="1304" w:left="1588" w:header="765" w:footer="765" w:gutter="0"/>
          <w:pgNumType w:fmt="numberInDash" w:start="1"/>
          <w:cols w:space="720" w:num="1"/>
          <w:docGrid w:linePitch="326" w:charSpace="0"/>
        </w:sectPr>
      </w:pPr>
    </w:p>
    <w:p w14:paraId="33F64E3D">
      <w:pPr>
        <w:pStyle w:val="2"/>
        <w:spacing w:line="600" w:lineRule="exact"/>
        <w:jc w:val="center"/>
        <w:rPr>
          <w:rFonts w:ascii="方正小标宋简体" w:hAnsi="方正小标宋简体" w:eastAsia="方正小标宋简体" w:cs="方正小标宋简体"/>
          <w:b w:val="0"/>
          <w:sz w:val="48"/>
          <w:szCs w:val="48"/>
        </w:rPr>
      </w:pPr>
      <w:bookmarkStart w:id="0" w:name="_Toc78784554"/>
      <w:r>
        <w:rPr>
          <w:rFonts w:hint="eastAsia" w:ascii="方正小标宋简体" w:hAnsi="方正小标宋简体" w:eastAsia="方正小标宋简体" w:cs="方正小标宋简体"/>
          <w:b w:val="0"/>
          <w:sz w:val="48"/>
          <w:szCs w:val="48"/>
        </w:rPr>
        <w:t>第一部分  概 况</w:t>
      </w:r>
      <w:bookmarkEnd w:id="0"/>
    </w:p>
    <w:p w14:paraId="6015D116">
      <w:pPr>
        <w:spacing w:line="600" w:lineRule="exact"/>
        <w:rPr>
          <w:rFonts w:hint="eastAsia"/>
        </w:rPr>
      </w:pPr>
    </w:p>
    <w:p w14:paraId="68CDAA4E">
      <w:pPr>
        <w:spacing w:line="600" w:lineRule="exact"/>
        <w:rPr>
          <w:rFonts w:hint="eastAsia" w:ascii="仿宋_GB2312" w:hAnsi="Times New Roman" w:eastAsia="仿宋_GB2312"/>
          <w:b/>
          <w:sz w:val="30"/>
          <w:szCs w:val="30"/>
        </w:rPr>
      </w:pPr>
      <w:bookmarkStart w:id="1" w:name="_Toc78784555"/>
      <w:r>
        <w:rPr>
          <w:rFonts w:hint="eastAsia" w:ascii="仿宋_GB2312" w:hAnsi="Times New Roman" w:eastAsia="仿宋_GB2312"/>
          <w:b/>
          <w:sz w:val="30"/>
          <w:szCs w:val="30"/>
        </w:rPr>
        <w:t>一、主要职责</w:t>
      </w:r>
      <w:bookmarkEnd w:id="1"/>
    </w:p>
    <w:p w14:paraId="1C9AC51B">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bookmarkStart w:id="2" w:name="_Toc78784556"/>
      <w:r>
        <w:rPr>
          <w:rFonts w:hint="eastAsia" w:ascii="仿宋_GB2312" w:hAnsi="仿宋_GB2312" w:eastAsia="仿宋_GB2312" w:cs="仿宋_GB2312"/>
          <w:color w:val="auto"/>
          <w:sz w:val="28"/>
          <w:szCs w:val="28"/>
          <w:lang w:val="en-US" w:eastAsia="zh-CN"/>
        </w:rPr>
        <w:t xml:space="preserve"> (一)贯彻实施国家和本市有关交通运输行政执法的方针政策、法律法规，研究提出完善本辖区交通运输综合行政执法体制的意见和建议。</w:t>
      </w:r>
    </w:p>
    <w:p w14:paraId="505F2AFA">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(二)负责全区公路(高速公路、天津大道除外)路政和道路运政行政执法。</w:t>
      </w:r>
    </w:p>
    <w:p w14:paraId="7AB482C0">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(三)负责全区道路运政和城市客运管理行政执法。</w:t>
      </w:r>
    </w:p>
    <w:p w14:paraId="1BD83099">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(四)负责区域内运营线路轨道交通运营行政执法。</w:t>
      </w:r>
    </w:p>
    <w:p w14:paraId="217AB3F1">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(五)负责全区公路(高速公路和普通国省干线除外)和工程水运(市级水运工程除外)工程建设市场及质量安全监督管理、铁路道口监督管理等行政执法。</w:t>
      </w:r>
    </w:p>
    <w:p w14:paraId="7F854692">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(六)负责全区水路运政、航道行政、港口行政、地方海事行政、内河船舶检验监督管理、渔船检验监督管理等方面的执法职责。</w:t>
      </w:r>
    </w:p>
    <w:p w14:paraId="6E1A4B94">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(七)配合交通运输领域重大复杂案件查处和跨区域行政执法工作。</w:t>
      </w:r>
    </w:p>
    <w:p w14:paraId="70569D12">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(八)提出全区交通运输行政执法站点规划布局和设置的意见。</w:t>
      </w:r>
    </w:p>
    <w:p w14:paraId="34F4ACD7">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(九)负责组织交通运输行政执法宣传教育、人员培训和信息化工作。</w:t>
      </w:r>
    </w:p>
    <w:p w14:paraId="4D6F5333">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(十)完成区交通运输局交办的其他相关行政执法工作。</w:t>
      </w:r>
    </w:p>
    <w:p w14:paraId="4725E757">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 (十一)具体按照市交通运输委会同区交通运输单位提出的区交通运输单位权责清单中有关行政处罚、行政检查、行政强制的权责事项执行。</w:t>
      </w:r>
    </w:p>
    <w:p w14:paraId="2C8C79FD">
      <w:pPr>
        <w:keepNext w:val="0"/>
        <w:keepLines w:val="0"/>
        <w:pageBreakBefore w:val="0"/>
        <w:widowControl w:val="0"/>
        <w:kinsoku/>
        <w:wordWrap/>
        <w:overflowPunct/>
        <w:topLinePunct w:val="0"/>
        <w:autoSpaceDE/>
        <w:autoSpaceDN/>
        <w:bidi w:val="0"/>
        <w:adjustRightInd w:val="0"/>
        <w:snapToGrid/>
        <w:spacing w:line="580" w:lineRule="exact"/>
        <w:ind w:firstLine="560" w:firstLineChars="200"/>
        <w:textAlignment w:val="baseline"/>
        <w:rPr>
          <w:rFonts w:eastAsia="仿宋_GB2312"/>
          <w:color w:val="FF0000"/>
          <w:sz w:val="30"/>
          <w:szCs w:val="30"/>
        </w:rPr>
      </w:pPr>
      <w:r>
        <w:rPr>
          <w:rFonts w:hint="eastAsia" w:ascii="仿宋_GB2312" w:hAnsi="仿宋_GB2312" w:eastAsia="仿宋_GB2312" w:cs="仿宋_GB2312"/>
          <w:color w:val="auto"/>
          <w:sz w:val="28"/>
          <w:szCs w:val="28"/>
          <w:lang w:val="en-US" w:eastAsia="zh-CN"/>
        </w:rPr>
        <w:t xml:space="preserve"> (十二)天津经济技术开发区、天津港保税区、天津滨海高新技术产业开发区、天津东疆保税港区、中新天津生态城依照法定授权开展行政执法工作。天津港等特殊区域依照有关法律、法规和天津市有关规定开展综合行政执法工作。</w:t>
      </w:r>
    </w:p>
    <w:p w14:paraId="54CABA9B">
      <w:pPr>
        <w:spacing w:line="600" w:lineRule="exact"/>
        <w:rPr>
          <w:rFonts w:hint="eastAsia" w:ascii="仿宋_GB2312" w:hAnsi="Times New Roman" w:eastAsia="仿宋_GB2312"/>
          <w:b/>
          <w:sz w:val="30"/>
          <w:szCs w:val="30"/>
        </w:rPr>
      </w:pPr>
      <w:r>
        <w:rPr>
          <w:rFonts w:hint="eastAsia" w:ascii="仿宋_GB2312" w:hAnsi="Times New Roman" w:eastAsia="仿宋_GB2312"/>
          <w:b/>
          <w:sz w:val="30"/>
          <w:szCs w:val="30"/>
        </w:rPr>
        <w:t>二、机构设置</w:t>
      </w:r>
      <w:bookmarkEnd w:id="2"/>
      <w:r>
        <w:rPr>
          <w:rFonts w:hint="eastAsia" w:ascii="仿宋_GB2312" w:hAnsi="Times New Roman" w:eastAsia="仿宋_GB2312"/>
          <w:b/>
          <w:sz w:val="30"/>
          <w:szCs w:val="30"/>
        </w:rPr>
        <w:t>情况</w:t>
      </w:r>
    </w:p>
    <w:p w14:paraId="10ABBD2C">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lang w:val="en-US" w:eastAsia="zh-CN"/>
        </w:rPr>
        <w:t>本单位</w:t>
      </w:r>
      <w:r>
        <w:rPr>
          <w:rFonts w:ascii="仿宋_GB2312" w:hAnsi="Times New Roman" w:eastAsia="仿宋_GB2312"/>
          <w:sz w:val="30"/>
          <w:szCs w:val="30"/>
        </w:rPr>
        <w:t>内设</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16</w:t>
      </w:r>
      <w:r>
        <w:rPr>
          <w:rFonts w:ascii="仿宋_GB2312" w:hAnsi="Times New Roman" w:eastAsia="仿宋_GB2312"/>
          <w:sz w:val="30"/>
          <w:szCs w:val="30"/>
          <w:u w:val="single"/>
        </w:rPr>
        <w:t xml:space="preserve">  </w:t>
      </w:r>
      <w:r>
        <w:rPr>
          <w:rFonts w:ascii="仿宋_GB2312" w:hAnsi="Times New Roman" w:eastAsia="仿宋_GB2312"/>
          <w:sz w:val="30"/>
          <w:szCs w:val="30"/>
        </w:rPr>
        <w:t>个职能处室；下辖</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个预算单位</w:t>
      </w:r>
      <w:r>
        <w:rPr>
          <w:rFonts w:hint="eastAsia" w:ascii="仿宋_GB2312" w:hAnsi="Times New Roman" w:eastAsia="仿宋_GB2312"/>
          <w:sz w:val="30"/>
          <w:szCs w:val="30"/>
        </w:rPr>
        <w:t>。</w:t>
      </w:r>
    </w:p>
    <w:p w14:paraId="08502ECC">
      <w:pPr>
        <w:spacing w:line="600" w:lineRule="exact"/>
        <w:ind w:firstLine="600"/>
        <w:jc w:val="both"/>
        <w:rPr>
          <w:rFonts w:hint="eastAsia" w:ascii="仿宋_GB2312" w:hAnsi="Times New Roman" w:eastAsia="仿宋_GB2312"/>
          <w:sz w:val="30"/>
          <w:szCs w:val="30"/>
        </w:rPr>
      </w:pPr>
      <w:r>
        <w:rPr>
          <w:rFonts w:hint="eastAsia" w:ascii="仿宋_GB2312" w:hAnsi="Times New Roman" w:eastAsia="仿宋_GB2312"/>
          <w:sz w:val="30"/>
          <w:szCs w:val="30"/>
        </w:rPr>
        <w:t>纳入</w:t>
      </w:r>
      <w:r>
        <w:rPr>
          <w:rFonts w:hint="eastAsia" w:ascii="仿宋_GB2312" w:hAnsi="Times New Roman" w:eastAsia="仿宋_GB2312"/>
          <w:sz w:val="30"/>
          <w:szCs w:val="30"/>
          <w:lang w:val="en-US" w:eastAsia="zh-CN"/>
        </w:rPr>
        <w:t>本单位</w:t>
      </w:r>
      <w:r>
        <w:rPr>
          <w:rFonts w:hint="eastAsia" w:ascii="仿宋_GB2312" w:hAnsi="Times New Roman" w:eastAsia="仿宋_GB2312"/>
          <w:sz w:val="30"/>
          <w:szCs w:val="30"/>
        </w:rPr>
        <w:t>2025年</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预算编制范围的预算单位包括：</w:t>
      </w:r>
    </w:p>
    <w:p w14:paraId="783442AE">
      <w:pPr>
        <w:spacing w:line="600" w:lineRule="exact"/>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lang w:val="en-US" w:eastAsia="zh-CN"/>
        </w:rPr>
        <w:t>天津市滨海新区交通运输综合行政执法支队</w:t>
      </w:r>
      <w:r>
        <w:rPr>
          <w:rFonts w:hint="eastAsia" w:ascii="仿宋_GB2312" w:hAnsi="仿宋_GB2312" w:eastAsia="仿宋_GB2312" w:cs="仿宋_GB2312"/>
          <w:color w:val="auto"/>
          <w:sz w:val="28"/>
          <w:szCs w:val="28"/>
        </w:rPr>
        <w:t>本级</w:t>
      </w:r>
    </w:p>
    <w:p w14:paraId="43F28FBF">
      <w:pPr>
        <w:spacing w:line="600" w:lineRule="exact"/>
        <w:ind w:firstLine="600"/>
        <w:jc w:val="both"/>
        <w:rPr>
          <w:rFonts w:hint="eastAsia" w:ascii="仿宋_GB2312" w:hAnsi="Times New Roman" w:eastAsia="仿宋_GB2312"/>
          <w:sz w:val="30"/>
          <w:szCs w:val="30"/>
        </w:rPr>
      </w:pPr>
    </w:p>
    <w:p w14:paraId="16F9966E">
      <w:pPr>
        <w:spacing w:line="600" w:lineRule="exact"/>
        <w:jc w:val="both"/>
        <w:rPr>
          <w:rFonts w:hint="eastAsia" w:eastAsia="黑体"/>
          <w:w w:val="95"/>
          <w:sz w:val="44"/>
          <w:szCs w:val="44"/>
        </w:rPr>
      </w:pPr>
    </w:p>
    <w:p w14:paraId="0EB358B6">
      <w:pPr>
        <w:spacing w:line="600" w:lineRule="exact"/>
        <w:jc w:val="both"/>
        <w:rPr>
          <w:rFonts w:hint="eastAsia" w:eastAsia="黑体"/>
          <w:w w:val="95"/>
          <w:sz w:val="44"/>
          <w:szCs w:val="44"/>
        </w:rPr>
      </w:pPr>
    </w:p>
    <w:p w14:paraId="0934769D">
      <w:pPr>
        <w:spacing w:line="600" w:lineRule="exact"/>
        <w:jc w:val="both"/>
        <w:rPr>
          <w:rFonts w:hint="eastAsia" w:eastAsia="黑体"/>
          <w:w w:val="95"/>
          <w:sz w:val="44"/>
          <w:szCs w:val="44"/>
        </w:rPr>
      </w:pPr>
    </w:p>
    <w:p w14:paraId="131C64E6">
      <w:pPr>
        <w:spacing w:line="600" w:lineRule="exact"/>
        <w:jc w:val="both"/>
        <w:rPr>
          <w:rFonts w:hint="eastAsia" w:eastAsia="黑体"/>
          <w:w w:val="95"/>
          <w:sz w:val="44"/>
          <w:szCs w:val="44"/>
        </w:rPr>
      </w:pPr>
    </w:p>
    <w:p w14:paraId="545D3AF4">
      <w:pPr>
        <w:spacing w:line="600" w:lineRule="exact"/>
        <w:jc w:val="both"/>
        <w:rPr>
          <w:rFonts w:hint="eastAsia" w:eastAsia="黑体"/>
          <w:w w:val="95"/>
          <w:sz w:val="44"/>
          <w:szCs w:val="44"/>
        </w:rPr>
      </w:pPr>
    </w:p>
    <w:p w14:paraId="377227B8">
      <w:pPr>
        <w:spacing w:line="600" w:lineRule="exact"/>
        <w:jc w:val="both"/>
        <w:rPr>
          <w:rFonts w:hint="eastAsia" w:eastAsia="黑体"/>
          <w:w w:val="95"/>
          <w:sz w:val="44"/>
          <w:szCs w:val="44"/>
        </w:rPr>
      </w:pPr>
    </w:p>
    <w:p w14:paraId="040A01BE">
      <w:pPr>
        <w:spacing w:line="600" w:lineRule="exact"/>
        <w:jc w:val="both"/>
        <w:rPr>
          <w:rFonts w:hint="eastAsia" w:eastAsia="黑体"/>
          <w:w w:val="95"/>
          <w:sz w:val="44"/>
          <w:szCs w:val="44"/>
        </w:rPr>
      </w:pPr>
    </w:p>
    <w:p w14:paraId="0B5C3175">
      <w:pPr>
        <w:spacing w:line="600" w:lineRule="exact"/>
        <w:jc w:val="both"/>
        <w:rPr>
          <w:rFonts w:hint="eastAsia" w:eastAsia="黑体"/>
          <w:w w:val="95"/>
          <w:sz w:val="44"/>
          <w:szCs w:val="44"/>
        </w:rPr>
      </w:pPr>
    </w:p>
    <w:p w14:paraId="4A6B2575">
      <w:pPr>
        <w:spacing w:line="600" w:lineRule="exact"/>
        <w:jc w:val="both"/>
        <w:rPr>
          <w:rFonts w:hint="eastAsia" w:eastAsia="黑体"/>
          <w:w w:val="95"/>
          <w:sz w:val="44"/>
          <w:szCs w:val="44"/>
        </w:rPr>
      </w:pPr>
    </w:p>
    <w:p w14:paraId="5C6D6016">
      <w:pPr>
        <w:spacing w:line="600" w:lineRule="exact"/>
        <w:jc w:val="both"/>
        <w:rPr>
          <w:rFonts w:hint="eastAsia" w:eastAsia="黑体"/>
          <w:w w:val="95"/>
          <w:sz w:val="44"/>
          <w:szCs w:val="44"/>
        </w:rPr>
      </w:pPr>
    </w:p>
    <w:p w14:paraId="16CECB12">
      <w:pPr>
        <w:spacing w:line="600" w:lineRule="exact"/>
        <w:jc w:val="both"/>
        <w:rPr>
          <w:rFonts w:hint="eastAsia" w:eastAsia="黑体"/>
          <w:w w:val="95"/>
          <w:sz w:val="44"/>
          <w:szCs w:val="44"/>
        </w:rPr>
      </w:pPr>
    </w:p>
    <w:p w14:paraId="70944D68">
      <w:pPr>
        <w:pStyle w:val="2"/>
        <w:keepNext w:val="0"/>
        <w:spacing w:line="600" w:lineRule="exact"/>
        <w:jc w:val="center"/>
        <w:rPr>
          <w:rFonts w:hint="eastAsia" w:ascii="方正小标宋简体" w:hAnsi="方正小标宋简体" w:eastAsia="方正小标宋简体" w:cs="方正小标宋简体"/>
          <w:b w:val="0"/>
          <w:sz w:val="48"/>
          <w:szCs w:val="48"/>
        </w:rPr>
      </w:pPr>
      <w:bookmarkStart w:id="3" w:name="_Toc78784570"/>
    </w:p>
    <w:p w14:paraId="33B1074C">
      <w:pPr>
        <w:pStyle w:val="2"/>
        <w:spacing w:line="600" w:lineRule="exact"/>
        <w:jc w:val="center"/>
        <w:rPr>
          <w:rFonts w:ascii="方正小标宋简体" w:hAnsi="方正小标宋简体" w:eastAsia="方正小标宋简体" w:cs="方正小标宋简体"/>
          <w:b w:val="0"/>
          <w:sz w:val="48"/>
          <w:szCs w:val="48"/>
        </w:rPr>
      </w:pPr>
      <w:r>
        <w:rPr>
          <w:rFonts w:ascii="方正小标宋简体" w:hAnsi="方正小标宋简体" w:eastAsia="方正小标宋简体" w:cs="方正小标宋简体"/>
          <w:b w:val="0"/>
          <w:sz w:val="48"/>
          <w:szCs w:val="48"/>
        </w:rPr>
        <w:t>第</w:t>
      </w:r>
      <w:r>
        <w:rPr>
          <w:rFonts w:hint="eastAsia" w:ascii="方正小标宋简体" w:hAnsi="方正小标宋简体" w:eastAsia="方正小标宋简体" w:cs="方正小标宋简体"/>
          <w:b w:val="0"/>
          <w:sz w:val="48"/>
          <w:szCs w:val="48"/>
        </w:rPr>
        <w:t>二</w:t>
      </w:r>
      <w:r>
        <w:rPr>
          <w:rFonts w:ascii="方正小标宋简体" w:hAnsi="方正小标宋简体" w:eastAsia="方正小标宋简体" w:cs="方正小标宋简体"/>
          <w:b w:val="0"/>
          <w:sz w:val="48"/>
          <w:szCs w:val="48"/>
        </w:rPr>
        <w:t xml:space="preserve">部分  </w:t>
      </w:r>
      <w:r>
        <w:rPr>
          <w:rFonts w:hint="eastAsia" w:ascii="方正小标宋简体" w:hAnsi="方正小标宋简体" w:eastAsia="方正小标宋简体" w:cs="方正小标宋简体"/>
          <w:b w:val="0"/>
          <w:spacing w:val="-20"/>
          <w:sz w:val="48"/>
          <w:szCs w:val="48"/>
        </w:rPr>
        <w:t>2025</w:t>
      </w:r>
      <w:r>
        <w:rPr>
          <w:rFonts w:ascii="方正小标宋简体" w:hAnsi="方正小标宋简体" w:eastAsia="方正小标宋简体" w:cs="方正小标宋简体"/>
          <w:b w:val="0"/>
          <w:spacing w:val="-20"/>
          <w:sz w:val="48"/>
          <w:szCs w:val="48"/>
        </w:rPr>
        <w:t>年</w:t>
      </w:r>
      <w:r>
        <w:rPr>
          <w:rFonts w:hint="eastAsia" w:ascii="方正小标宋简体" w:hAnsi="方正小标宋简体" w:eastAsia="方正小标宋简体" w:cs="方正小标宋简体"/>
          <w:b w:val="0"/>
          <w:spacing w:val="-20"/>
          <w:sz w:val="48"/>
          <w:szCs w:val="48"/>
          <w:lang w:eastAsia="zh-CN"/>
        </w:rPr>
        <w:t>单位</w:t>
      </w:r>
      <w:r>
        <w:rPr>
          <w:rFonts w:hint="eastAsia" w:ascii="方正小标宋简体" w:hAnsi="方正小标宋简体" w:eastAsia="方正小标宋简体" w:cs="方正小标宋简体"/>
          <w:b w:val="0"/>
          <w:spacing w:val="-20"/>
          <w:sz w:val="48"/>
          <w:szCs w:val="48"/>
        </w:rPr>
        <w:t>预算情况</w:t>
      </w:r>
      <w:r>
        <w:rPr>
          <w:rFonts w:ascii="方正小标宋简体" w:hAnsi="方正小标宋简体" w:eastAsia="方正小标宋简体" w:cs="方正小标宋简体"/>
          <w:b w:val="0"/>
          <w:spacing w:val="-20"/>
          <w:sz w:val="48"/>
          <w:szCs w:val="48"/>
        </w:rPr>
        <w:t>说明</w:t>
      </w:r>
      <w:bookmarkEnd w:id="3"/>
    </w:p>
    <w:p w14:paraId="5F4EB5D1">
      <w:pPr>
        <w:spacing w:line="600" w:lineRule="exact"/>
        <w:ind w:firstLine="600" w:firstLineChars="200"/>
        <w:rPr>
          <w:rFonts w:hint="eastAsia" w:ascii="黑体" w:eastAsia="黑体"/>
          <w:sz w:val="30"/>
          <w:szCs w:val="30"/>
        </w:rPr>
      </w:pPr>
    </w:p>
    <w:p w14:paraId="2840089A">
      <w:pPr>
        <w:spacing w:line="600" w:lineRule="exact"/>
        <w:rPr>
          <w:rFonts w:hint="eastAsia" w:ascii="仿宋_GB2312" w:hAnsi="Times New Roman" w:eastAsia="仿宋_GB2312"/>
          <w:b/>
          <w:sz w:val="30"/>
          <w:szCs w:val="30"/>
        </w:rPr>
      </w:pPr>
      <w:bookmarkStart w:id="4" w:name="_Toc78784571"/>
      <w:r>
        <w:rPr>
          <w:rFonts w:hint="eastAsia" w:ascii="仿宋_GB2312" w:hAnsi="Times New Roman" w:eastAsia="仿宋_GB2312"/>
          <w:b/>
          <w:sz w:val="30"/>
          <w:szCs w:val="30"/>
        </w:rPr>
        <w:t>一、</w:t>
      </w:r>
      <w:bookmarkEnd w:id="4"/>
      <w:r>
        <w:rPr>
          <w:rFonts w:hint="eastAsia" w:ascii="仿宋_GB2312" w:hAnsi="Times New Roman" w:eastAsia="仿宋_GB2312"/>
          <w:b/>
          <w:sz w:val="30"/>
          <w:szCs w:val="30"/>
        </w:rPr>
        <w:t>关于收支预算总表的说明</w:t>
      </w:r>
    </w:p>
    <w:p w14:paraId="29031BC3">
      <w:pPr>
        <w:spacing w:line="600" w:lineRule="exact"/>
        <w:ind w:firstLine="600" w:firstLineChars="200"/>
        <w:rPr>
          <w:rFonts w:eastAsia="仿宋_GB2312"/>
          <w:sz w:val="30"/>
          <w:szCs w:val="30"/>
        </w:rPr>
      </w:pPr>
      <w:r>
        <w:rPr>
          <w:rFonts w:hint="eastAsia" w:ascii="仿宋_GB2312" w:hAnsi="Times New Roman" w:eastAsia="仿宋_GB2312"/>
          <w:sz w:val="30"/>
          <w:szCs w:val="30"/>
        </w:rPr>
        <w:t>按照综合预算的原则，本</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所有收入和支出均纳入</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预算管理。收入包括：一般公共预算拨款收入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5265.84</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政府性基金预算拨款收入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国有资本经营预算拨款收入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、财政专户管理资金收入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、事业收入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事业单位经营收入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上级补助收入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附属单位上缴收入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、其他收入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w:t>
      </w:r>
      <w:r>
        <w:rPr>
          <w:rFonts w:ascii="仿宋_GB2312" w:hAnsi="Times New Roman" w:eastAsia="仿宋_GB2312"/>
          <w:sz w:val="30"/>
          <w:szCs w:val="30"/>
        </w:rPr>
        <w:t>上年结转结余</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74.37</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；支出包括：交通运输支出</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rPr>
        <w:t>5340.21</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。本</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2025年收支总预算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5340.21</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w:t>
      </w:r>
    </w:p>
    <w:p w14:paraId="6FDE517D">
      <w:pPr>
        <w:spacing w:line="600" w:lineRule="exact"/>
        <w:rPr>
          <w:rFonts w:hint="eastAsia" w:ascii="仿宋_GB2312" w:hAnsi="Times New Roman" w:eastAsia="仿宋_GB2312"/>
          <w:b/>
          <w:sz w:val="30"/>
          <w:szCs w:val="30"/>
        </w:rPr>
      </w:pPr>
      <w:bookmarkStart w:id="5" w:name="_Toc78784572"/>
      <w:r>
        <w:rPr>
          <w:rFonts w:hint="eastAsia" w:ascii="仿宋_GB2312" w:hAnsi="Times New Roman" w:eastAsia="仿宋_GB2312"/>
          <w:b/>
          <w:sz w:val="30"/>
          <w:szCs w:val="30"/>
        </w:rPr>
        <w:t>二、</w:t>
      </w:r>
      <w:bookmarkEnd w:id="5"/>
      <w:r>
        <w:rPr>
          <w:rFonts w:hint="eastAsia" w:ascii="仿宋_GB2312" w:hAnsi="Times New Roman" w:eastAsia="仿宋_GB2312"/>
          <w:b/>
          <w:sz w:val="30"/>
          <w:szCs w:val="30"/>
        </w:rPr>
        <w:t>关于收入预算总表的说明</w:t>
      </w:r>
    </w:p>
    <w:p w14:paraId="516271D2">
      <w:pPr>
        <w:spacing w:line="600" w:lineRule="exact"/>
        <w:ind w:firstLine="600" w:firstLineChars="200"/>
        <w:rPr>
          <w:rFonts w:ascii="仿宋_GB2312" w:hAnsi="Times New Roman" w:eastAsia="仿宋_GB2312"/>
          <w:sz w:val="30"/>
          <w:szCs w:val="30"/>
        </w:rPr>
      </w:pPr>
      <w:r>
        <w:rPr>
          <w:rFonts w:hint="eastAsia" w:ascii="仿宋_GB2312" w:hAnsi="Times New Roman" w:eastAsia="仿宋_GB2312"/>
          <w:sz w:val="30"/>
          <w:szCs w:val="30"/>
        </w:rPr>
        <w:t>本</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2025</w:t>
      </w:r>
      <w:r>
        <w:rPr>
          <w:rFonts w:ascii="仿宋_GB2312" w:hAnsi="Times New Roman" w:eastAsia="仿宋_GB2312"/>
          <w:sz w:val="30"/>
          <w:szCs w:val="30"/>
        </w:rPr>
        <w:t>年</w:t>
      </w:r>
      <w:r>
        <w:rPr>
          <w:rFonts w:hint="eastAsia" w:ascii="仿宋_GB2312" w:hAnsi="Times New Roman" w:eastAsia="仿宋_GB2312"/>
          <w:sz w:val="30"/>
          <w:szCs w:val="30"/>
          <w:lang w:eastAsia="zh-CN"/>
        </w:rPr>
        <w:t>单位</w:t>
      </w:r>
      <w:r>
        <w:rPr>
          <w:rFonts w:hint="eastAsia" w:ascii="仿宋_GB2312" w:hAnsi="Times New Roman" w:eastAsia="仿宋_GB2312"/>
          <w:sz w:val="30"/>
          <w:szCs w:val="30"/>
        </w:rPr>
        <w:t>预算</w:t>
      </w:r>
      <w:r>
        <w:rPr>
          <w:rFonts w:ascii="仿宋_GB2312" w:hAnsi="Times New Roman" w:eastAsia="仿宋_GB2312"/>
          <w:sz w:val="30"/>
          <w:szCs w:val="30"/>
        </w:rPr>
        <w:t>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5340.21</w:t>
      </w:r>
      <w:r>
        <w:rPr>
          <w:rFonts w:ascii="仿宋_GB2312" w:hAnsi="Times New Roman" w:eastAsia="仿宋_GB2312"/>
          <w:sz w:val="30"/>
          <w:szCs w:val="30"/>
          <w:u w:val="single"/>
        </w:rPr>
        <w:t xml:space="preserve">  </w:t>
      </w:r>
      <w:r>
        <w:rPr>
          <w:rFonts w:ascii="仿宋_GB2312" w:hAnsi="Times New Roman" w:eastAsia="仿宋_GB2312"/>
          <w:sz w:val="30"/>
          <w:szCs w:val="30"/>
        </w:rPr>
        <w:t>万元，与</w:t>
      </w:r>
      <w:r>
        <w:rPr>
          <w:rFonts w:hint="eastAsia" w:ascii="仿宋_GB2312" w:hAnsi="Times New Roman" w:eastAsia="仿宋_GB2312"/>
          <w:sz w:val="30"/>
          <w:szCs w:val="30"/>
        </w:rPr>
        <w:t>2024</w:t>
      </w:r>
      <w:r>
        <w:rPr>
          <w:rFonts w:ascii="仿宋_GB2312" w:hAnsi="Times New Roman" w:eastAsia="仿宋_GB2312"/>
          <w:sz w:val="30"/>
          <w:szCs w:val="30"/>
        </w:rPr>
        <w:t>年</w:t>
      </w:r>
      <w:r>
        <w:rPr>
          <w:rFonts w:hint="eastAsia" w:ascii="仿宋_GB2312" w:hAnsi="Times New Roman" w:eastAsia="仿宋_GB2312"/>
          <w:sz w:val="30"/>
          <w:szCs w:val="30"/>
        </w:rPr>
        <w:t>预</w:t>
      </w:r>
      <w:r>
        <w:rPr>
          <w:rFonts w:ascii="仿宋_GB2312" w:hAnsi="Times New Roman" w:eastAsia="仿宋_GB2312"/>
          <w:sz w:val="30"/>
          <w:szCs w:val="30"/>
        </w:rPr>
        <w:t>算相比增加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142.40</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主要原因是</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eastAsia="zh-CN"/>
        </w:rPr>
        <w:t>项目支出增加</w:t>
      </w:r>
      <w:r>
        <w:rPr>
          <w:rFonts w:ascii="仿宋_GB2312" w:hAnsi="Times New Roman" w:eastAsia="仿宋_GB2312"/>
          <w:sz w:val="30"/>
          <w:szCs w:val="30"/>
          <w:u w:val="single"/>
        </w:rPr>
        <w:t xml:space="preserve">    </w:t>
      </w:r>
      <w:r>
        <w:rPr>
          <w:rFonts w:hint="eastAsia" w:ascii="仿宋_GB2312" w:hAnsi="Times New Roman" w:eastAsia="仿宋_GB2312"/>
          <w:sz w:val="30"/>
          <w:szCs w:val="30"/>
        </w:rPr>
        <w:t>。</w:t>
      </w:r>
      <w:r>
        <w:rPr>
          <w:rFonts w:ascii="仿宋_GB2312" w:hAnsi="Times New Roman" w:eastAsia="仿宋_GB2312"/>
          <w:sz w:val="30"/>
          <w:szCs w:val="30"/>
        </w:rPr>
        <w:t>其中：</w:t>
      </w:r>
      <w:r>
        <w:rPr>
          <w:rFonts w:hint="eastAsia" w:ascii="仿宋_GB2312" w:hAnsi="Times New Roman" w:eastAsia="仿宋_GB2312"/>
          <w:sz w:val="30"/>
          <w:szCs w:val="30"/>
        </w:rPr>
        <w:t>上年结转结余</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74.37</w:t>
      </w:r>
      <w:r>
        <w:rPr>
          <w:rFonts w:ascii="仿宋_GB2312" w:hAnsi="Times New Roman" w:eastAsia="仿宋_GB2312"/>
          <w:sz w:val="30"/>
          <w:szCs w:val="30"/>
          <w:u w:val="single"/>
        </w:rPr>
        <w:t xml:space="preserve">  </w:t>
      </w:r>
      <w:r>
        <w:rPr>
          <w:rFonts w:ascii="仿宋_GB2312" w:hAnsi="Times New Roman" w:eastAsia="仿宋_GB2312"/>
          <w:sz w:val="30"/>
          <w:szCs w:val="30"/>
        </w:rPr>
        <w:t>万元</w:t>
      </w:r>
      <w:r>
        <w:rPr>
          <w:rFonts w:hint="eastAsia" w:ascii="仿宋_GB2312" w:hAnsi="Times New Roman" w:eastAsia="仿宋_GB2312"/>
          <w:sz w:val="30"/>
          <w:szCs w:val="30"/>
        </w:rPr>
        <w:t>，占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1.39</w:t>
      </w:r>
      <w:r>
        <w:rPr>
          <w:rFonts w:ascii="仿宋_GB2312" w:hAnsi="Times New Roman" w:eastAsia="仿宋_GB2312"/>
          <w:sz w:val="30"/>
          <w:szCs w:val="30"/>
          <w:u w:val="single"/>
        </w:rPr>
        <w:t xml:space="preserve"> </w:t>
      </w:r>
      <w:r>
        <w:rPr>
          <w:rFonts w:ascii="仿宋_GB2312" w:hAnsi="Times New Roman" w:eastAsia="仿宋_GB2312"/>
          <w:sz w:val="30"/>
          <w:szCs w:val="30"/>
        </w:rPr>
        <w:t>%；一般公共预算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5265.84</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98.61</w:t>
      </w:r>
      <w:r>
        <w:rPr>
          <w:rFonts w:ascii="仿宋_GB2312" w:hAnsi="Times New Roman" w:eastAsia="仿宋_GB2312"/>
          <w:sz w:val="30"/>
          <w:szCs w:val="30"/>
          <w:u w:val="single"/>
        </w:rPr>
        <w:t xml:space="preserve">  </w:t>
      </w:r>
      <w:r>
        <w:rPr>
          <w:rFonts w:ascii="仿宋_GB2312" w:hAnsi="Times New Roman" w:eastAsia="仿宋_GB2312"/>
          <w:sz w:val="30"/>
          <w:szCs w:val="30"/>
        </w:rPr>
        <w:t>%；政府性基金预算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%；国有资本经营预算</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财政专户管理资金</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%；事业收入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事业单位</w:t>
      </w:r>
      <w:r>
        <w:rPr>
          <w:rFonts w:ascii="仿宋_GB2312" w:hAnsi="Times New Roman" w:eastAsia="仿宋_GB2312"/>
          <w:sz w:val="30"/>
          <w:szCs w:val="30"/>
        </w:rPr>
        <w:t>经营收入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 xml:space="preserve"> </w:t>
      </w:r>
      <w:r>
        <w:rPr>
          <w:rFonts w:ascii="仿宋_GB2312" w:hAnsi="Times New Roman" w:eastAsia="仿宋_GB2312"/>
          <w:sz w:val="30"/>
          <w:szCs w:val="30"/>
        </w:rPr>
        <w:t>%；上级补助收入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%；附属单位上缴收入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%；其他收入</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万元，占</w:t>
      </w:r>
      <w:r>
        <w:rPr>
          <w:rFonts w:ascii="仿宋_GB2312" w:hAnsi="Times New Roman" w:eastAsia="仿宋_GB2312"/>
          <w:sz w:val="30"/>
          <w:szCs w:val="30"/>
          <w:u w:val="single"/>
        </w:rPr>
        <w:t xml:space="preserve"> </w:t>
      </w:r>
      <w:r>
        <w:rPr>
          <w:rFonts w:hint="eastAsia" w:ascii="仿宋_GB2312" w:hAnsi="Times New Roman" w:eastAsia="仿宋_GB2312"/>
          <w:sz w:val="30"/>
          <w:szCs w:val="30"/>
          <w:u w:val="single"/>
          <w:lang w:val="en-US" w:eastAsia="zh-CN"/>
        </w:rPr>
        <w:t>0</w:t>
      </w:r>
      <w:r>
        <w:rPr>
          <w:rFonts w:ascii="仿宋_GB2312" w:hAnsi="Times New Roman" w:eastAsia="仿宋_GB2312"/>
          <w:sz w:val="30"/>
          <w:szCs w:val="30"/>
          <w:u w:val="single"/>
        </w:rPr>
        <w:t xml:space="preserve"> </w:t>
      </w:r>
      <w:r>
        <w:rPr>
          <w:rFonts w:ascii="仿宋_GB2312" w:hAnsi="Times New Roman" w:eastAsia="仿宋_GB2312"/>
          <w:sz w:val="30"/>
          <w:szCs w:val="30"/>
        </w:rPr>
        <w:t>%</w:t>
      </w:r>
      <w:r>
        <w:rPr>
          <w:rFonts w:hint="eastAsia" w:ascii="仿宋_GB2312" w:hAnsi="Times New Roman" w:eastAsia="仿宋_GB2312"/>
          <w:sz w:val="30"/>
          <w:szCs w:val="30"/>
        </w:rPr>
        <w:t>。</w:t>
      </w:r>
    </w:p>
    <w:p w14:paraId="3B5FFC0C">
      <w:pPr>
        <w:spacing w:line="600" w:lineRule="exact"/>
        <w:rPr>
          <w:rFonts w:hint="eastAsia" w:ascii="仿宋_GB2312" w:hAnsi="Times New Roman" w:eastAsia="仿宋_GB2312"/>
          <w:b/>
          <w:sz w:val="30"/>
          <w:szCs w:val="30"/>
        </w:rPr>
      </w:pPr>
      <w:bookmarkStart w:id="6" w:name="_Toc78784573"/>
    </w:p>
    <w:p w14:paraId="2851E46F">
      <w:pPr>
        <w:spacing w:line="6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w:t>
      </w:r>
      <w:bookmarkEnd w:id="6"/>
      <w:r>
        <w:rPr>
          <w:rFonts w:hint="eastAsia" w:ascii="仿宋_GB2312" w:hAnsi="仿宋_GB2312" w:eastAsia="仿宋_GB2312" w:cs="仿宋_GB2312"/>
          <w:b/>
          <w:sz w:val="30"/>
          <w:szCs w:val="30"/>
        </w:rPr>
        <w:t>关于支出预算总表的说明</w:t>
      </w:r>
    </w:p>
    <w:p w14:paraId="77AA532B">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2025年支出预算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142.40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项目支出增加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。其中：基本支出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3145.67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58.91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%；项目支出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2194.54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41.09</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%；事业单位经营支出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%；上缴上级支出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%；对附属单位补助支出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 </w:t>
      </w:r>
    </w:p>
    <w:p w14:paraId="50312CCF">
      <w:pPr>
        <w:spacing w:line="600" w:lineRule="exact"/>
        <w:rPr>
          <w:rFonts w:hint="eastAsia" w:ascii="仿宋_GB2312" w:hAnsi="仿宋_GB2312" w:eastAsia="仿宋_GB2312" w:cs="仿宋_GB2312"/>
          <w:b/>
          <w:sz w:val="30"/>
          <w:szCs w:val="30"/>
        </w:rPr>
      </w:pPr>
      <w:bookmarkStart w:id="7" w:name="_Toc78784574"/>
      <w:r>
        <w:rPr>
          <w:rFonts w:hint="eastAsia" w:ascii="仿宋_GB2312" w:hAnsi="仿宋_GB2312" w:eastAsia="仿宋_GB2312" w:cs="仿宋_GB2312"/>
          <w:b/>
          <w:sz w:val="30"/>
          <w:szCs w:val="30"/>
        </w:rPr>
        <w:t>四、</w:t>
      </w:r>
      <w:bookmarkEnd w:id="7"/>
      <w:r>
        <w:rPr>
          <w:rFonts w:hint="eastAsia" w:ascii="仿宋_GB2312" w:hAnsi="仿宋_GB2312" w:eastAsia="仿宋_GB2312" w:cs="仿宋_GB2312"/>
          <w:b/>
          <w:sz w:val="30"/>
          <w:szCs w:val="30"/>
        </w:rPr>
        <w:t>关于财政拨款收支预算总表的说明</w:t>
      </w:r>
    </w:p>
    <w:p w14:paraId="49B4BA47">
      <w:pPr>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2025年财政拨款收入预算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142.40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项目支出增加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。收入包括：一般公共预算拨款收入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5265.84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万元、政府性基金预算拨款收入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万元、国有资本经营预算拨款收入</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万元、上年财政结转结余</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74.37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万元。2025年财政拨款支出预算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142.20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项目支出增加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。支出包括：</w:t>
      </w:r>
      <w:r>
        <w:rPr>
          <w:rFonts w:hint="eastAsia" w:ascii="仿宋_GB2312" w:hAnsi="仿宋_GB2312" w:eastAsia="仿宋_GB2312" w:cs="仿宋_GB2312"/>
          <w:sz w:val="30"/>
          <w:szCs w:val="30"/>
          <w:lang w:eastAsia="zh-CN"/>
        </w:rPr>
        <w:t>交通运输</w:t>
      </w:r>
      <w:r>
        <w:rPr>
          <w:rFonts w:hint="eastAsia" w:ascii="仿宋_GB2312" w:hAnsi="仿宋_GB2312" w:eastAsia="仿宋_GB2312" w:cs="仿宋_GB2312"/>
          <w:sz w:val="30"/>
          <w:szCs w:val="30"/>
        </w:rPr>
        <w:t>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p>
    <w:p w14:paraId="039A471C">
      <w:pPr>
        <w:spacing w:line="600" w:lineRule="exact"/>
        <w:rPr>
          <w:rFonts w:hint="eastAsia" w:ascii="仿宋_GB2312" w:hAnsi="仿宋_GB2312" w:eastAsia="仿宋_GB2312" w:cs="仿宋_GB2312"/>
          <w:b/>
          <w:sz w:val="30"/>
          <w:szCs w:val="30"/>
        </w:rPr>
      </w:pPr>
      <w:bookmarkStart w:id="8" w:name="_Toc78784575"/>
      <w:r>
        <w:rPr>
          <w:rFonts w:hint="eastAsia" w:ascii="仿宋_GB2312" w:hAnsi="仿宋_GB2312" w:eastAsia="仿宋_GB2312" w:cs="仿宋_GB2312"/>
          <w:b/>
          <w:sz w:val="30"/>
          <w:szCs w:val="30"/>
        </w:rPr>
        <w:t>五、</w:t>
      </w:r>
      <w:bookmarkEnd w:id="8"/>
      <w:r>
        <w:rPr>
          <w:rFonts w:hint="eastAsia" w:ascii="仿宋_GB2312" w:hAnsi="仿宋_GB2312" w:eastAsia="仿宋_GB2312" w:cs="仿宋_GB2312"/>
          <w:b/>
          <w:sz w:val="30"/>
          <w:szCs w:val="30"/>
        </w:rPr>
        <w:t>关于财政拨款一般公共预算支出预算表的说明</w:t>
      </w:r>
    </w:p>
    <w:p w14:paraId="26691A88">
      <w:pPr>
        <w:spacing w:line="580" w:lineRule="exact"/>
        <w:ind w:firstLine="600" w:firstLineChars="200"/>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（一）总体情况</w:t>
      </w:r>
    </w:p>
    <w:p w14:paraId="7795C352">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2025年一般公共预算支出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142.40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项目支出增加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3D5C17EE">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（二）具体情况</w:t>
      </w:r>
    </w:p>
    <w:p w14:paraId="78062A52">
      <w:pPr>
        <w:numPr>
          <w:ilvl w:val="0"/>
          <w:numId w:val="1"/>
        </w:numPr>
        <w:wordWrap w:val="0"/>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auto"/>
          <w:sz w:val="30"/>
          <w:szCs w:val="30"/>
          <w:lang w:eastAsia="zh-CN"/>
        </w:rPr>
        <w:t>交通运输支出</w:t>
      </w:r>
      <w:r>
        <w:rPr>
          <w:rFonts w:hint="eastAsia" w:ascii="仿宋_GB2312" w:hAnsi="仿宋_GB2312" w:eastAsia="仿宋_GB2312" w:cs="仿宋_GB2312"/>
          <w:color w:val="auto"/>
          <w:sz w:val="30"/>
          <w:szCs w:val="30"/>
        </w:rPr>
        <w:t>（类）</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 xml:space="preserve">万元，与2024年预算相比增加（减少）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142.40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项目支出增加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，其中：</w:t>
      </w:r>
    </w:p>
    <w:p w14:paraId="734FE3D8">
      <w:pPr>
        <w:spacing w:line="5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w:t>
      </w:r>
      <w:r>
        <w:rPr>
          <w:rFonts w:hint="eastAsia" w:ascii="仿宋_GB2312" w:hAnsi="仿宋_GB2312" w:eastAsia="仿宋_GB2312" w:cs="仿宋_GB2312"/>
          <w:color w:val="auto"/>
          <w:sz w:val="30"/>
          <w:szCs w:val="30"/>
          <w:lang w:eastAsia="zh-CN"/>
        </w:rPr>
        <w:t>公路水路运输</w:t>
      </w:r>
      <w:r>
        <w:rPr>
          <w:rFonts w:hint="eastAsia" w:ascii="仿宋_GB2312" w:hAnsi="仿宋_GB2312" w:eastAsia="仿宋_GB2312" w:cs="仿宋_GB2312"/>
          <w:color w:val="auto"/>
          <w:sz w:val="30"/>
          <w:szCs w:val="30"/>
        </w:rPr>
        <w:t>（款）</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5340.21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万元，包括：“</w:t>
      </w:r>
      <w:r>
        <w:rPr>
          <w:rFonts w:hint="eastAsia" w:ascii="仿宋_GB2312" w:hAnsi="仿宋_GB2312" w:eastAsia="仿宋_GB2312" w:cs="仿宋_GB2312"/>
          <w:color w:val="auto"/>
          <w:sz w:val="30"/>
          <w:szCs w:val="30"/>
          <w:lang w:eastAsia="zh-CN"/>
        </w:rPr>
        <w:t>公路运输管理</w:t>
      </w:r>
      <w:r>
        <w:rPr>
          <w:rFonts w:hint="eastAsia" w:ascii="仿宋_GB2312" w:hAnsi="仿宋_GB2312" w:eastAsia="仿宋_GB2312" w:cs="仿宋_GB2312"/>
          <w:color w:val="auto"/>
          <w:sz w:val="30"/>
          <w:szCs w:val="30"/>
        </w:rPr>
        <w:t>（项）</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106.37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万元，主要用于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auto"/>
          <w:sz w:val="28"/>
          <w:szCs w:val="28"/>
          <w:u w:val="single"/>
          <w:lang w:eastAsia="zh-CN"/>
        </w:rPr>
        <w:t>超限检测站（点）设施日常养护</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其他公路水路运输支出</w:t>
      </w:r>
      <w:r>
        <w:rPr>
          <w:rFonts w:hint="eastAsia" w:ascii="仿宋_GB2312" w:hAnsi="仿宋_GB2312" w:eastAsia="仿宋_GB2312" w:cs="仿宋_GB2312"/>
          <w:sz w:val="30"/>
          <w:szCs w:val="30"/>
        </w:rPr>
        <w:t>（项）”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5233.84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万元，主要用于</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人员支出、公用支出、办公楼运行、治超卸载点租赁、行政执法、执法站标准化建设、长聘人员经费、工程质量检测</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7955BCFE">
      <w:pPr>
        <w:spacing w:line="600" w:lineRule="exact"/>
        <w:rPr>
          <w:rFonts w:hint="eastAsia" w:ascii="仿宋_GB2312" w:hAnsi="仿宋_GB2312" w:eastAsia="仿宋_GB2312" w:cs="仿宋_GB2312"/>
          <w:b/>
          <w:sz w:val="30"/>
          <w:szCs w:val="30"/>
        </w:rPr>
      </w:pPr>
      <w:bookmarkStart w:id="9" w:name="_Toc78784576"/>
      <w:r>
        <w:rPr>
          <w:rFonts w:hint="eastAsia" w:ascii="仿宋_GB2312" w:hAnsi="仿宋_GB2312" w:eastAsia="仿宋_GB2312" w:cs="仿宋_GB2312"/>
          <w:b/>
          <w:sz w:val="30"/>
          <w:szCs w:val="30"/>
        </w:rPr>
        <w:t>六、</w:t>
      </w:r>
      <w:bookmarkEnd w:id="9"/>
      <w:r>
        <w:rPr>
          <w:rFonts w:hint="eastAsia" w:ascii="仿宋_GB2312" w:hAnsi="仿宋_GB2312" w:eastAsia="仿宋_GB2312" w:cs="仿宋_GB2312"/>
          <w:b/>
          <w:sz w:val="30"/>
          <w:szCs w:val="30"/>
        </w:rPr>
        <w:t>关于财政拨款一般公共预算基本支出预算表的说明</w:t>
      </w:r>
    </w:p>
    <w:p w14:paraId="49394C39">
      <w:pPr>
        <w:spacing w:line="600" w:lineRule="exact"/>
        <w:ind w:firstLine="594" w:firstLineChars="198"/>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一般公共预算基本支出</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3145.67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333.17</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eastAsia="zh-CN"/>
        </w:rPr>
        <w:t>人员支出减少、公用支出减少</w:t>
      </w:r>
      <w:r>
        <w:rPr>
          <w:rFonts w:hint="eastAsia" w:ascii="仿宋_GB2312" w:hAnsi="仿宋_GB2312" w:eastAsia="仿宋_GB2312" w:cs="仿宋_GB2312"/>
          <w:sz w:val="30"/>
          <w:szCs w:val="30"/>
          <w:u w:val="single"/>
          <w:lang w:val="en-US" w:eastAsia="zh-CN"/>
        </w:rPr>
        <w:t xml:space="preserve"> </w:t>
      </w:r>
      <w:r>
        <w:rPr>
          <w:rFonts w:hint="eastAsia" w:ascii="仿宋_GB2312" w:hAnsi="仿宋_GB2312" w:eastAsia="仿宋_GB2312" w:cs="仿宋_GB2312"/>
          <w:sz w:val="30"/>
          <w:szCs w:val="30"/>
        </w:rPr>
        <w:t>。其中：</w:t>
      </w:r>
    </w:p>
    <w:p w14:paraId="61514B6D">
      <w:pPr>
        <w:spacing w:line="60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人员经费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2897.92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万元，主要包括：</w:t>
      </w:r>
      <w:r>
        <w:rPr>
          <w:rFonts w:hint="eastAsia" w:ascii="仿宋_GB2312" w:hAnsi="仿宋_GB2312" w:eastAsia="仿宋_GB2312" w:cs="仿宋_GB2312"/>
          <w:color w:val="000000"/>
          <w:sz w:val="28"/>
          <w:szCs w:val="28"/>
          <w:highlight w:val="none"/>
        </w:rPr>
        <w:t>基本工资、津贴补贴、绩效工资、机关事业单位基本养老保险缴费、职业年金缴费、 职工基本医疗保险缴费、其他社会保障缴费</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住房公积金</w:t>
      </w:r>
      <w:r>
        <w:rPr>
          <w:rFonts w:hint="eastAsia" w:ascii="仿宋_GB2312" w:hAnsi="仿宋_GB2312" w:eastAsia="仿宋_GB2312" w:cs="仿宋_GB2312"/>
          <w:color w:val="000000"/>
          <w:sz w:val="28"/>
          <w:szCs w:val="28"/>
          <w:highlight w:val="none"/>
          <w:lang w:eastAsia="zh-CN"/>
        </w:rPr>
        <w:t>、退休费等</w:t>
      </w:r>
      <w:r>
        <w:rPr>
          <w:rFonts w:hint="eastAsia" w:ascii="仿宋_GB2312" w:hAnsi="仿宋_GB2312" w:eastAsia="仿宋_GB2312" w:cs="仿宋_GB2312"/>
          <w:sz w:val="30"/>
          <w:szCs w:val="30"/>
        </w:rPr>
        <w:t>。</w:t>
      </w:r>
    </w:p>
    <w:p w14:paraId="4878C596">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公用经费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247.75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万元，主要包括：</w:t>
      </w:r>
      <w:r>
        <w:rPr>
          <w:rFonts w:hint="eastAsia" w:ascii="仿宋_GB2312" w:hAnsi="仿宋_GB2312" w:eastAsia="仿宋_GB2312" w:cs="仿宋_GB2312"/>
          <w:color w:val="000000"/>
          <w:sz w:val="28"/>
          <w:szCs w:val="28"/>
          <w:highlight w:val="none"/>
        </w:rPr>
        <w:t>办公费、</w:t>
      </w:r>
      <w:r>
        <w:rPr>
          <w:rFonts w:hint="eastAsia" w:ascii="仿宋_GB2312" w:hAnsi="仿宋_GB2312" w:eastAsia="仿宋_GB2312" w:cs="仿宋_GB2312"/>
          <w:color w:val="000000"/>
          <w:sz w:val="28"/>
          <w:szCs w:val="28"/>
          <w:highlight w:val="none"/>
          <w:lang w:eastAsia="zh-CN"/>
        </w:rPr>
        <w:t>水费、</w:t>
      </w:r>
      <w:r>
        <w:rPr>
          <w:rFonts w:hint="eastAsia" w:ascii="仿宋_GB2312" w:hAnsi="仿宋_GB2312" w:eastAsia="仿宋_GB2312" w:cs="仿宋_GB2312"/>
          <w:color w:val="000000"/>
          <w:sz w:val="28"/>
          <w:szCs w:val="28"/>
          <w:highlight w:val="none"/>
        </w:rPr>
        <w:t>电费、邮电费、差旅费、</w:t>
      </w:r>
      <w:r>
        <w:rPr>
          <w:rFonts w:hint="eastAsia" w:ascii="仿宋_GB2312" w:hAnsi="仿宋_GB2312" w:eastAsia="仿宋_GB2312" w:cs="仿宋_GB2312"/>
          <w:color w:val="000000"/>
          <w:sz w:val="28"/>
          <w:szCs w:val="28"/>
          <w:highlight w:val="none"/>
          <w:lang w:eastAsia="zh-CN"/>
        </w:rPr>
        <w:t>培训费</w:t>
      </w:r>
      <w:r>
        <w:rPr>
          <w:rFonts w:hint="eastAsia" w:ascii="仿宋_GB2312" w:hAnsi="仿宋_GB2312" w:eastAsia="仿宋_GB2312" w:cs="仿宋_GB2312"/>
          <w:color w:val="000000"/>
          <w:sz w:val="28"/>
          <w:szCs w:val="28"/>
          <w:highlight w:val="none"/>
        </w:rPr>
        <w:t>、委托业务费、工会经费、福利费、其他交通费</w:t>
      </w:r>
      <w:r>
        <w:rPr>
          <w:rFonts w:hint="eastAsia" w:ascii="仿宋_GB2312" w:hAnsi="仿宋_GB2312" w:eastAsia="仿宋_GB2312" w:cs="仿宋_GB2312"/>
          <w:color w:val="000000"/>
          <w:sz w:val="28"/>
          <w:szCs w:val="28"/>
          <w:highlight w:val="none"/>
          <w:lang w:eastAsia="zh-CN"/>
        </w:rPr>
        <w:t>用</w:t>
      </w:r>
      <w:r>
        <w:rPr>
          <w:rFonts w:hint="eastAsia" w:ascii="仿宋_GB2312" w:hAnsi="仿宋_GB2312" w:eastAsia="仿宋_GB2312" w:cs="仿宋_GB2312"/>
          <w:color w:val="000000"/>
          <w:sz w:val="28"/>
          <w:szCs w:val="28"/>
          <w:highlight w:val="none"/>
        </w:rPr>
        <w:t>、税金及附加费用</w:t>
      </w:r>
      <w:r>
        <w:rPr>
          <w:rFonts w:hint="eastAsia" w:ascii="仿宋_GB2312" w:hAnsi="仿宋_GB2312" w:eastAsia="仿宋_GB2312" w:cs="仿宋_GB2312"/>
          <w:color w:val="000000"/>
          <w:sz w:val="28"/>
          <w:szCs w:val="28"/>
          <w:highlight w:val="none"/>
          <w:lang w:eastAsia="zh-CN"/>
        </w:rPr>
        <w:t>、其他商品和服务支出、办公设备购置</w:t>
      </w:r>
      <w:r>
        <w:rPr>
          <w:rFonts w:hint="eastAsia" w:ascii="仿宋_GB2312" w:hAnsi="仿宋_GB2312" w:eastAsia="仿宋_GB2312" w:cs="仿宋_GB2312"/>
          <w:sz w:val="30"/>
          <w:szCs w:val="30"/>
        </w:rPr>
        <w:t>。</w:t>
      </w:r>
    </w:p>
    <w:p w14:paraId="5638A3AE">
      <w:pPr>
        <w:spacing w:line="600" w:lineRule="exact"/>
        <w:rPr>
          <w:rFonts w:hint="eastAsia" w:ascii="仿宋_GB2312" w:hAnsi="仿宋_GB2312" w:eastAsia="仿宋_GB2312" w:cs="仿宋_GB2312"/>
          <w:b/>
          <w:sz w:val="30"/>
          <w:szCs w:val="30"/>
        </w:rPr>
      </w:pPr>
      <w:bookmarkStart w:id="10" w:name="_Toc78784577"/>
      <w:r>
        <w:rPr>
          <w:rFonts w:hint="eastAsia" w:ascii="仿宋_GB2312" w:hAnsi="仿宋_GB2312" w:eastAsia="仿宋_GB2312" w:cs="仿宋_GB2312"/>
          <w:b/>
          <w:sz w:val="30"/>
          <w:szCs w:val="30"/>
        </w:rPr>
        <w:t>七、关于财政拨款一般公共预算“三公”经费支出预算表的说明</w:t>
      </w:r>
    </w:p>
    <w:p w14:paraId="5A9ED252">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2025年一般公共预算“三公”经费安排</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u w:val="single"/>
        </w:rPr>
        <w:t>本</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一般公共预算未安排“三公”经费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。具体情况：</w:t>
      </w:r>
    </w:p>
    <w:p w14:paraId="527BE846">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（一）2025年因公出国（境）费预算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u w:val="single"/>
        </w:rPr>
        <w:t>本</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一般公共预算未安排“三公”经费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3D8D7134">
      <w:pPr>
        <w:spacing w:line="560" w:lineRule="exact"/>
        <w:ind w:firstLine="600" w:firstLineChars="200"/>
        <w:jc w:val="both"/>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（二）2025年公务用车购置及运行费预算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万元，其中公务用车运行费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u w:val="single"/>
        </w:rPr>
        <w:t>本</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一般公共预算未安排“三公”经费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；公务用车购置费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u w:val="single"/>
        </w:rPr>
        <w:t>本</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一般公共预算未安排“三公”经费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578A8B8C">
      <w:pPr>
        <w:spacing w:line="560" w:lineRule="exact"/>
        <w:ind w:firstLine="645"/>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（三）2025年公务接待费预算</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万元，与2024年预算相比增加（减少）</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万元，主要原因是</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u w:val="single"/>
        </w:rPr>
        <w:t>本</w:t>
      </w:r>
      <w:r>
        <w:rPr>
          <w:rFonts w:hint="eastAsia" w:ascii="仿宋_GB2312" w:hAnsi="仿宋_GB2312" w:eastAsia="仿宋_GB2312" w:cs="仿宋_GB2312"/>
          <w:sz w:val="28"/>
          <w:szCs w:val="28"/>
          <w:u w:val="single"/>
          <w:lang w:eastAsia="zh-CN"/>
        </w:rPr>
        <w:t>单位</w:t>
      </w:r>
      <w:r>
        <w:rPr>
          <w:rFonts w:hint="eastAsia" w:ascii="仿宋_GB2312" w:hAnsi="仿宋_GB2312" w:eastAsia="仿宋_GB2312" w:cs="仿宋_GB2312"/>
          <w:sz w:val="28"/>
          <w:szCs w:val="28"/>
          <w:u w:val="single"/>
        </w:rPr>
        <w:t>一般公共预算未安排“三公”经费</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w:t>
      </w:r>
    </w:p>
    <w:p w14:paraId="625C97A8">
      <w:pPr>
        <w:spacing w:line="600" w:lineRule="exact"/>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八、</w:t>
      </w:r>
      <w:bookmarkEnd w:id="10"/>
      <w:r>
        <w:rPr>
          <w:rFonts w:hint="eastAsia" w:ascii="仿宋_GB2312" w:hAnsi="仿宋_GB2312" w:eastAsia="仿宋_GB2312" w:cs="仿宋_GB2312"/>
          <w:b/>
          <w:sz w:val="30"/>
          <w:szCs w:val="30"/>
        </w:rPr>
        <w:t>关于财政拨款政府性基金预算支出预算表的说明</w:t>
      </w:r>
    </w:p>
    <w:p w14:paraId="54734BEB">
      <w:pPr>
        <w:spacing w:line="60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2025年本</w:t>
      </w:r>
      <w:r>
        <w:rPr>
          <w:rFonts w:hint="default" w:ascii="仿宋_GB2312" w:hAnsi="仿宋_GB2312" w:eastAsia="仿宋_GB2312" w:cs="仿宋_GB2312"/>
          <w:sz w:val="30"/>
          <w:szCs w:val="30"/>
        </w:rPr>
        <w:t>单位</w:t>
      </w:r>
      <w:r>
        <w:rPr>
          <w:rFonts w:hint="eastAsia" w:ascii="仿宋_GB2312" w:hAnsi="仿宋_GB2312" w:eastAsia="仿宋_GB2312" w:cs="仿宋_GB2312"/>
          <w:sz w:val="30"/>
          <w:szCs w:val="30"/>
        </w:rPr>
        <w:t>预算中没有使用政府性基金预算安排的支出。</w:t>
      </w:r>
    </w:p>
    <w:p w14:paraId="59A065D7">
      <w:pPr>
        <w:spacing w:line="600" w:lineRule="exact"/>
        <w:rPr>
          <w:rFonts w:hint="eastAsia" w:ascii="仿宋_GB2312" w:hAnsi="仿宋_GB2312" w:eastAsia="仿宋_GB2312" w:cs="仿宋_GB2312"/>
          <w:b/>
          <w:sz w:val="30"/>
          <w:szCs w:val="30"/>
        </w:rPr>
      </w:pPr>
      <w:bookmarkStart w:id="11" w:name="_Toc78784578"/>
      <w:r>
        <w:rPr>
          <w:rFonts w:hint="eastAsia" w:ascii="仿宋_GB2312" w:hAnsi="仿宋_GB2312" w:eastAsia="仿宋_GB2312" w:cs="仿宋_GB2312"/>
          <w:b/>
          <w:sz w:val="30"/>
          <w:szCs w:val="30"/>
        </w:rPr>
        <w:t>九、</w:t>
      </w:r>
      <w:bookmarkEnd w:id="11"/>
      <w:r>
        <w:rPr>
          <w:rFonts w:hint="eastAsia" w:ascii="仿宋_GB2312" w:hAnsi="仿宋_GB2312" w:eastAsia="仿宋_GB2312" w:cs="仿宋_GB2312"/>
          <w:b/>
          <w:sz w:val="30"/>
          <w:szCs w:val="30"/>
        </w:rPr>
        <w:t>关于国有资本经营预算支出预算表的说明</w:t>
      </w:r>
    </w:p>
    <w:p w14:paraId="51CB7932">
      <w:pPr>
        <w:spacing w:line="60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2025年本</w:t>
      </w:r>
      <w:r>
        <w:rPr>
          <w:rFonts w:hint="default" w:ascii="仿宋_GB2312" w:hAnsi="仿宋_GB2312" w:eastAsia="仿宋_GB2312" w:cs="仿宋_GB2312"/>
          <w:sz w:val="30"/>
          <w:szCs w:val="30"/>
        </w:rPr>
        <w:t>单位</w:t>
      </w:r>
      <w:r>
        <w:rPr>
          <w:rFonts w:hint="eastAsia" w:ascii="仿宋_GB2312" w:hAnsi="仿宋_GB2312" w:eastAsia="仿宋_GB2312" w:cs="仿宋_GB2312"/>
          <w:sz w:val="30"/>
          <w:szCs w:val="30"/>
        </w:rPr>
        <w:t>预算中没有使用国有资本经营预算预算安排的支出。</w:t>
      </w:r>
    </w:p>
    <w:p w14:paraId="61912FE5">
      <w:pPr>
        <w:rPr>
          <w:rFonts w:hint="eastAsia" w:ascii="仿宋_GB2312" w:hAnsi="仿宋_GB2312" w:eastAsia="仿宋_GB2312" w:cs="仿宋_GB2312"/>
        </w:rPr>
      </w:pPr>
    </w:p>
    <w:p w14:paraId="1FA94E59">
      <w:pPr>
        <w:spacing w:line="600" w:lineRule="exact"/>
        <w:rPr>
          <w:rFonts w:hint="eastAsia" w:ascii="仿宋_GB2312" w:hAnsi="仿宋_GB2312" w:eastAsia="仿宋_GB2312" w:cs="仿宋_GB2312"/>
          <w:b/>
          <w:sz w:val="30"/>
          <w:szCs w:val="30"/>
        </w:rPr>
      </w:pPr>
      <w:bookmarkStart w:id="12" w:name="_Toc78784579"/>
      <w:r>
        <w:rPr>
          <w:rFonts w:hint="eastAsia" w:ascii="仿宋_GB2312" w:hAnsi="仿宋_GB2312" w:eastAsia="仿宋_GB2312" w:cs="仿宋_GB2312"/>
          <w:b/>
          <w:sz w:val="30"/>
          <w:szCs w:val="30"/>
        </w:rPr>
        <w:t>十、其他重要事项的情况说明</w:t>
      </w:r>
    </w:p>
    <w:p w14:paraId="50E74D8C">
      <w:pPr>
        <w:spacing w:line="600" w:lineRule="exact"/>
        <w:ind w:left="480" w:left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一）机关运行经费</w:t>
      </w:r>
      <w:bookmarkEnd w:id="12"/>
    </w:p>
    <w:p w14:paraId="3FDFC7D1">
      <w:pPr>
        <w:spacing w:line="580" w:lineRule="exact"/>
        <w:ind w:firstLine="600" w:firstLineChars="200"/>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本</w:t>
      </w:r>
      <w:r>
        <w:rPr>
          <w:rFonts w:hint="default" w:ascii="仿宋_GB2312" w:hAnsi="仿宋_GB2312" w:eastAsia="仿宋_GB2312" w:cs="仿宋_GB2312"/>
          <w:sz w:val="30"/>
          <w:szCs w:val="30"/>
        </w:rPr>
        <w:t>单位</w:t>
      </w:r>
      <w:r>
        <w:rPr>
          <w:rFonts w:hint="eastAsia" w:ascii="仿宋_GB2312" w:hAnsi="仿宋_GB2312" w:eastAsia="仿宋_GB2312" w:cs="仿宋_GB2312"/>
          <w:sz w:val="30"/>
          <w:szCs w:val="30"/>
        </w:rPr>
        <w:t>2025年未安排机关运行经费预算。</w:t>
      </w:r>
    </w:p>
    <w:p w14:paraId="63B880BF">
      <w:pPr>
        <w:spacing w:line="600" w:lineRule="exact"/>
        <w:ind w:left="480" w:left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（二）政府采购情况</w:t>
      </w:r>
    </w:p>
    <w:p w14:paraId="00DD3268">
      <w:pPr>
        <w:kinsoku w:val="0"/>
        <w:wordWrap w:val="0"/>
        <w:spacing w:line="580" w:lineRule="exact"/>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sz w:val="30"/>
          <w:szCs w:val="30"/>
        </w:rPr>
        <w:t>本</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2025年安排政府采购预算</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579.81</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万元，</w:t>
      </w:r>
      <w:r>
        <w:rPr>
          <w:rFonts w:hint="eastAsia" w:ascii="仿宋_GB2312" w:hAnsi="仿宋_GB2312" w:eastAsia="仿宋_GB2312" w:cs="仿宋_GB2312"/>
          <w:color w:val="000000"/>
          <w:sz w:val="30"/>
          <w:szCs w:val="30"/>
        </w:rPr>
        <w:t>其中：政府采购货物支出</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22.32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万元、政府采购服务支出</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557.49</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万元。主要项目是：</w:t>
      </w:r>
      <w:r>
        <w:rPr>
          <w:rFonts w:hint="eastAsia" w:ascii="仿宋_GB2312" w:hAnsi="仿宋_GB2312" w:eastAsia="仿宋_GB2312" w:cs="仿宋_GB2312"/>
          <w:color w:val="auto"/>
          <w:sz w:val="30"/>
          <w:szCs w:val="30"/>
        </w:rPr>
        <w:t>2025年预算公用经费项目</w:t>
      </w:r>
      <w:r>
        <w:rPr>
          <w:rFonts w:hint="eastAsia" w:ascii="仿宋_GB2312" w:hAnsi="仿宋_GB2312" w:eastAsia="仿宋_GB2312" w:cs="仿宋_GB2312"/>
          <w:color w:val="auto"/>
          <w:sz w:val="30"/>
          <w:szCs w:val="30"/>
          <w:u w:val="single"/>
        </w:rPr>
        <w:t xml:space="preserve">  </w:t>
      </w:r>
      <w:r>
        <w:rPr>
          <w:rFonts w:hint="default" w:ascii="仿宋_GB2312" w:hAnsi="仿宋_GB2312" w:eastAsia="仿宋_GB2312" w:cs="仿宋_GB2312"/>
          <w:color w:val="auto"/>
          <w:sz w:val="30"/>
          <w:szCs w:val="30"/>
          <w:u w:val="single"/>
        </w:rPr>
        <w:t>1</w:t>
      </w:r>
      <w:r>
        <w:rPr>
          <w:rFonts w:hint="default" w:ascii="仿宋_GB2312" w:hAnsi="仿宋_GB2312" w:eastAsia="仿宋_GB2312" w:cs="仿宋_GB2312"/>
          <w:sz w:val="30"/>
          <w:szCs w:val="30"/>
          <w:u w:val="single"/>
        </w:rPr>
        <w:t>1.52</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万元，2025年行政执法费</w:t>
      </w:r>
      <w:r>
        <w:rPr>
          <w:rFonts w:hint="eastAsia" w:ascii="仿宋_GB2312" w:hAnsi="仿宋_GB2312" w:eastAsia="仿宋_GB2312" w:cs="仿宋_GB2312"/>
          <w:color w:val="auto"/>
          <w:sz w:val="30"/>
          <w:szCs w:val="30"/>
        </w:rPr>
        <w:t>项目</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10.80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color w:val="auto"/>
          <w:sz w:val="30"/>
          <w:szCs w:val="30"/>
        </w:rPr>
        <w:t>、2025年治超卸载点租赁费项目</w:t>
      </w:r>
      <w:r>
        <w:rPr>
          <w:rFonts w:hint="eastAsia" w:ascii="仿宋_GB2312" w:hAnsi="仿宋_GB2312" w:eastAsia="仿宋_GB2312" w:cs="仿宋_GB2312"/>
          <w:color w:val="auto"/>
          <w:sz w:val="30"/>
          <w:szCs w:val="30"/>
          <w:u w:val="single"/>
        </w:rPr>
        <w:t xml:space="preserve">  </w:t>
      </w:r>
      <w:r>
        <w:rPr>
          <w:rFonts w:hint="default" w:ascii="仿宋_GB2312" w:hAnsi="仿宋_GB2312" w:eastAsia="仿宋_GB2312" w:cs="仿宋_GB2312"/>
          <w:color w:val="auto"/>
          <w:sz w:val="30"/>
          <w:szCs w:val="30"/>
          <w:u w:val="single"/>
        </w:rPr>
        <w:t>502.49</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r>
        <w:rPr>
          <w:rFonts w:hint="default" w:ascii="仿宋_GB2312" w:hAnsi="仿宋_GB2312" w:eastAsia="仿宋_GB2312" w:cs="仿宋_GB2312"/>
          <w:color w:val="000000"/>
          <w:sz w:val="30"/>
          <w:szCs w:val="30"/>
        </w:rPr>
        <w:t>、</w:t>
      </w:r>
      <w:r>
        <w:rPr>
          <w:rFonts w:hint="eastAsia" w:ascii="仿宋_GB2312" w:hAnsi="仿宋_GB2312" w:eastAsia="仿宋_GB2312" w:cs="仿宋_GB2312"/>
          <w:color w:val="000000"/>
          <w:sz w:val="30"/>
          <w:szCs w:val="30"/>
          <w:lang w:eastAsia="zh-CN"/>
        </w:rPr>
        <w:t>2025年办公楼运行费</w:t>
      </w:r>
      <w:r>
        <w:rPr>
          <w:rFonts w:hint="eastAsia" w:ascii="仿宋_GB2312" w:hAnsi="仿宋_GB2312" w:eastAsia="仿宋_GB2312" w:cs="仿宋_GB2312"/>
          <w:color w:val="auto"/>
          <w:sz w:val="30"/>
          <w:szCs w:val="30"/>
        </w:rPr>
        <w:t>项目</w:t>
      </w:r>
      <w:r>
        <w:rPr>
          <w:rFonts w:hint="eastAsia" w:ascii="仿宋_GB2312" w:hAnsi="仿宋_GB2312" w:eastAsia="仿宋_GB2312" w:cs="仿宋_GB2312"/>
          <w:color w:val="auto"/>
          <w:sz w:val="30"/>
          <w:szCs w:val="30"/>
          <w:u w:val="single"/>
        </w:rPr>
        <w:t xml:space="preserve">  </w:t>
      </w:r>
      <w:r>
        <w:rPr>
          <w:rFonts w:hint="default" w:ascii="仿宋_GB2312" w:hAnsi="仿宋_GB2312" w:eastAsia="仿宋_GB2312" w:cs="仿宋_GB2312"/>
          <w:color w:val="auto"/>
          <w:sz w:val="30"/>
          <w:szCs w:val="30"/>
          <w:u w:val="single"/>
          <w:lang w:eastAsia="zh-CN"/>
        </w:rPr>
        <w:t>55</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万元</w:t>
      </w:r>
      <w:r>
        <w:rPr>
          <w:rFonts w:hint="eastAsia" w:ascii="仿宋_GB2312" w:hAnsi="仿宋_GB2312" w:eastAsia="仿宋_GB2312" w:cs="仿宋_GB2312"/>
          <w:sz w:val="30"/>
          <w:szCs w:val="30"/>
        </w:rPr>
        <w:t>。</w:t>
      </w:r>
    </w:p>
    <w:p w14:paraId="358C1D89">
      <w:pPr>
        <w:spacing w:line="600" w:lineRule="exact"/>
        <w:ind w:left="480" w:left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（三）国有资产占用情况</w:t>
      </w:r>
    </w:p>
    <w:p w14:paraId="77B8FF6D">
      <w:pPr>
        <w:spacing w:line="580" w:lineRule="exact"/>
        <w:ind w:firstLine="600" w:firstLineChars="200"/>
        <w:jc w:val="both"/>
        <w:rPr>
          <w:rFonts w:hint="eastAsia" w:ascii="仿宋_GB2312" w:hAnsi="仿宋_GB2312" w:eastAsia="仿宋_GB2312" w:cs="仿宋_GB2312"/>
          <w:color w:val="004080"/>
          <w:sz w:val="27"/>
          <w:szCs w:val="27"/>
          <w:lang w:val="zh-CN"/>
        </w:rPr>
      </w:pPr>
      <w:r>
        <w:rPr>
          <w:rFonts w:hint="eastAsia" w:ascii="仿宋_GB2312" w:hAnsi="仿宋_GB2312" w:eastAsia="仿宋_GB2312" w:cs="仿宋_GB2312"/>
          <w:color w:val="000000"/>
          <w:sz w:val="30"/>
          <w:szCs w:val="30"/>
        </w:rPr>
        <w:t>截至2024年7月底，本</w:t>
      </w:r>
      <w:r>
        <w:rPr>
          <w:rFonts w:hint="eastAsia" w:ascii="仿宋_GB2312" w:hAnsi="仿宋_GB2312" w:eastAsia="仿宋_GB2312" w:cs="仿宋_GB2312"/>
          <w:color w:val="000000"/>
          <w:sz w:val="30"/>
          <w:szCs w:val="30"/>
          <w:lang w:eastAsia="zh-CN"/>
        </w:rPr>
        <w:t>单位</w:t>
      </w:r>
      <w:r>
        <w:rPr>
          <w:rFonts w:hint="eastAsia" w:ascii="仿宋_GB2312" w:hAnsi="仿宋_GB2312" w:eastAsia="仿宋_GB2312" w:cs="仿宋_GB2312"/>
          <w:color w:val="000000"/>
          <w:sz w:val="30"/>
          <w:szCs w:val="30"/>
        </w:rPr>
        <w:t>共有车辆</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20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辆，其中：副部（省）级及以上领导用车</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辆、主要负责人干部用车</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辆、机要通信用车</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辆、应急保障用车</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辆、执法执勤用车</w:t>
      </w:r>
      <w:r>
        <w:rPr>
          <w:rFonts w:hint="eastAsia" w:ascii="仿宋_GB2312" w:hAnsi="仿宋_GB2312" w:eastAsia="仿宋_GB2312" w:cs="仿宋_GB2312"/>
          <w:color w:val="000000"/>
          <w:sz w:val="30"/>
          <w:szCs w:val="30"/>
          <w:u w:val="single"/>
          <w:lang w:val="en-US" w:eastAsia="zh-CN"/>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 xml:space="preserve">   20 </w:t>
      </w:r>
      <w:r>
        <w:rPr>
          <w:rFonts w:hint="eastAsia" w:ascii="仿宋_GB2312" w:hAnsi="仿宋_GB2312" w:eastAsia="仿宋_GB2312" w:cs="仿宋_GB2312"/>
          <w:color w:val="000000"/>
          <w:sz w:val="30"/>
          <w:szCs w:val="30"/>
        </w:rPr>
        <w:t>辆、特种专业技术用车</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辆、离退休干部服务用车</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辆、其他用车</w:t>
      </w:r>
      <w:r>
        <w:rPr>
          <w:rFonts w:hint="eastAsia" w:ascii="仿宋_GB2312" w:hAnsi="仿宋_GB2312" w:eastAsia="仿宋_GB2312" w:cs="仿宋_GB2312"/>
          <w:color w:val="000000"/>
          <w:sz w:val="30"/>
          <w:szCs w:val="30"/>
          <w:u w:val="single"/>
        </w:rPr>
        <w:t xml:space="preserve"> </w:t>
      </w:r>
      <w:r>
        <w:rPr>
          <w:rFonts w:hint="default" w:ascii="仿宋_GB2312" w:hAnsi="仿宋_GB2312" w:eastAsia="仿宋_GB2312" w:cs="仿宋_GB2312"/>
          <w:color w:val="000000"/>
          <w:sz w:val="30"/>
          <w:szCs w:val="30"/>
          <w:u w:val="single"/>
        </w:rPr>
        <w:t>0</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辆，其他用车主要包括</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无</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。单价（账面原值）100万以上的设备</w:t>
      </w:r>
      <w:r>
        <w:rPr>
          <w:rFonts w:hint="eastAsia" w:ascii="仿宋_GB2312" w:hAnsi="仿宋_GB2312" w:eastAsia="仿宋_GB2312" w:cs="仿宋_GB2312"/>
          <w:sz w:val="30"/>
          <w:szCs w:val="30"/>
          <w:u w:val="single"/>
        </w:rPr>
        <w:t xml:space="preserve"> </w:t>
      </w:r>
      <w:r>
        <w:rPr>
          <w:rFonts w:hint="default" w:ascii="仿宋_GB2312" w:hAnsi="仿宋_GB2312" w:eastAsia="仿宋_GB2312" w:cs="仿宋_GB2312"/>
          <w:sz w:val="30"/>
          <w:szCs w:val="30"/>
          <w:u w:val="single"/>
        </w:rPr>
        <w:t>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台（套）。</w:t>
      </w:r>
      <w:r>
        <w:rPr>
          <w:rFonts w:hint="eastAsia" w:ascii="仿宋_GB2312" w:hAnsi="仿宋_GB2312" w:eastAsia="仿宋_GB2312" w:cs="仿宋_GB2312"/>
          <w:color w:val="004080"/>
          <w:sz w:val="27"/>
          <w:szCs w:val="27"/>
          <w:lang w:val="zh-CN"/>
        </w:rPr>
        <w:t xml:space="preserve"> </w:t>
      </w:r>
    </w:p>
    <w:p w14:paraId="134C6E5A">
      <w:pPr>
        <w:spacing w:line="600" w:lineRule="exact"/>
        <w:ind w:left="480" w:leftChars="200"/>
        <w:rPr>
          <w:rFonts w:hint="eastAsia" w:ascii="仿宋_GB2312" w:hAnsi="仿宋_GB2312" w:eastAsia="仿宋_GB2312" w:cs="仿宋_GB2312"/>
          <w:b/>
          <w:sz w:val="30"/>
          <w:szCs w:val="30"/>
        </w:rPr>
      </w:pPr>
      <w:r>
        <w:rPr>
          <w:rFonts w:hint="eastAsia" w:ascii="仿宋_GB2312" w:hAnsi="仿宋_GB2312" w:eastAsia="仿宋_GB2312" w:cs="仿宋_GB2312"/>
          <w:b/>
          <w:sz w:val="30"/>
          <w:szCs w:val="30"/>
        </w:rPr>
        <w:t>（四）预算绩效情况说明</w:t>
      </w:r>
    </w:p>
    <w:p w14:paraId="35BC3C68">
      <w:pPr>
        <w:spacing w:line="580" w:lineRule="exact"/>
        <w:ind w:left="151" w:leftChars="63" w:firstLine="450" w:firstLineChars="15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w:t>
      </w:r>
      <w:r>
        <w:rPr>
          <w:rFonts w:hint="eastAsia" w:ascii="仿宋_GB2312" w:hAnsi="仿宋_GB2312" w:eastAsia="仿宋_GB2312" w:cs="仿宋_GB2312"/>
          <w:color w:val="000000"/>
          <w:sz w:val="30"/>
          <w:szCs w:val="30"/>
          <w:lang w:eastAsia="zh-CN"/>
        </w:rPr>
        <w:t>单位</w:t>
      </w:r>
      <w:r>
        <w:rPr>
          <w:rFonts w:hint="eastAsia" w:ascii="仿宋_GB2312" w:hAnsi="仿宋_GB2312" w:eastAsia="仿宋_GB2312" w:cs="仿宋_GB2312"/>
          <w:color w:val="000000"/>
          <w:sz w:val="30"/>
          <w:szCs w:val="30"/>
        </w:rPr>
        <w:t>2025年实行绩效目标管理的项目</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10</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color w:val="000000"/>
          <w:sz w:val="30"/>
          <w:szCs w:val="30"/>
        </w:rPr>
        <w:t>个，涉及预算金额</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u w:val="single"/>
          <w:lang w:val="en-US" w:eastAsia="zh-CN"/>
        </w:rPr>
        <w:t>2194.54</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万</w:t>
      </w:r>
      <w:r>
        <w:rPr>
          <w:rFonts w:hint="eastAsia" w:ascii="仿宋_GB2312" w:hAnsi="仿宋_GB2312" w:eastAsia="仿宋_GB2312" w:cs="仿宋_GB2312"/>
          <w:color w:val="000000"/>
          <w:sz w:val="30"/>
          <w:szCs w:val="30"/>
        </w:rPr>
        <w:t>元。</w:t>
      </w:r>
    </w:p>
    <w:p w14:paraId="5AEFFE6B">
      <w:pPr>
        <w:spacing w:line="580" w:lineRule="exact"/>
        <w:ind w:left="151" w:leftChars="63" w:firstLine="450" w:firstLineChars="150"/>
        <w:jc w:val="both"/>
        <w:rPr>
          <w:rFonts w:hint="eastAsia" w:ascii="仿宋_GB2312" w:hAnsi="仿宋_GB2312" w:eastAsia="仿宋_GB2312" w:cs="仿宋_GB2312"/>
          <w:color w:val="000000"/>
          <w:sz w:val="30"/>
          <w:szCs w:val="30"/>
        </w:rPr>
      </w:pPr>
    </w:p>
    <w:p w14:paraId="6DF80441">
      <w:pPr>
        <w:pStyle w:val="2"/>
        <w:keepLines w:val="0"/>
        <w:spacing w:line="600" w:lineRule="exact"/>
        <w:jc w:val="center"/>
        <w:rPr>
          <w:rFonts w:hint="eastAsia" w:ascii="方正小标宋简体" w:hAnsi="方正小标宋简体" w:eastAsia="方正小标宋简体" w:cs="方正小标宋简体"/>
          <w:b w:val="0"/>
          <w:sz w:val="48"/>
          <w:szCs w:val="48"/>
        </w:rPr>
      </w:pPr>
      <w:bookmarkStart w:id="13" w:name="_Toc78784585"/>
      <w:r>
        <w:rPr>
          <w:rFonts w:hint="eastAsia" w:ascii="方正小标宋简体" w:hAnsi="方正小标宋简体" w:eastAsia="方正小标宋简体" w:cs="方正小标宋简体"/>
          <w:b w:val="0"/>
          <w:sz w:val="48"/>
          <w:szCs w:val="48"/>
        </w:rPr>
        <w:t>第三部分  名词解释</w:t>
      </w:r>
      <w:bookmarkEnd w:id="13"/>
    </w:p>
    <w:p w14:paraId="58BA4678">
      <w:pPr>
        <w:spacing w:line="580" w:lineRule="exact"/>
        <w:ind w:firstLine="602" w:firstLineChars="200"/>
        <w:rPr>
          <w:rFonts w:hint="eastAsia" w:eastAsia="仿宋_GB2312"/>
          <w:sz w:val="30"/>
          <w:szCs w:val="30"/>
        </w:rPr>
      </w:pPr>
      <w:r>
        <w:rPr>
          <w:rFonts w:eastAsia="楷体_GB2312"/>
          <w:b/>
          <w:sz w:val="30"/>
          <w:szCs w:val="30"/>
        </w:rPr>
        <w:t>1.</w:t>
      </w:r>
      <w:r>
        <w:rPr>
          <w:rFonts w:hint="eastAsia" w:eastAsia="楷体_GB2312"/>
          <w:b/>
          <w:sz w:val="30"/>
          <w:szCs w:val="30"/>
          <w:lang w:eastAsia="zh-CN"/>
        </w:rPr>
        <w:t>单位</w:t>
      </w:r>
      <w:r>
        <w:rPr>
          <w:rFonts w:hint="eastAsia" w:eastAsia="楷体_GB2312"/>
          <w:b/>
          <w:sz w:val="30"/>
          <w:szCs w:val="30"/>
        </w:rPr>
        <w:t>预算。</w:t>
      </w:r>
      <w:r>
        <w:rPr>
          <w:rFonts w:hint="eastAsia" w:eastAsia="仿宋_GB2312"/>
          <w:sz w:val="30"/>
          <w:szCs w:val="30"/>
        </w:rPr>
        <w:t>是指主管预算</w:t>
      </w:r>
      <w:r>
        <w:rPr>
          <w:rFonts w:hint="eastAsia" w:eastAsia="仿宋_GB2312"/>
          <w:sz w:val="30"/>
          <w:szCs w:val="30"/>
          <w:lang w:eastAsia="zh-CN"/>
        </w:rPr>
        <w:t>单位</w:t>
      </w:r>
      <w:r>
        <w:rPr>
          <w:rFonts w:hint="eastAsia" w:eastAsia="仿宋_GB2312"/>
          <w:sz w:val="30"/>
          <w:szCs w:val="30"/>
        </w:rPr>
        <w:t>依据相关法律、法规和政策规定及其行使职能需要，组织所属预算单位编制并逐级上报、审核、汇总，经财政部门审核后按程序依法批准的</w:t>
      </w:r>
      <w:r>
        <w:rPr>
          <w:rFonts w:hint="eastAsia" w:eastAsia="仿宋_GB2312"/>
          <w:sz w:val="30"/>
          <w:szCs w:val="30"/>
          <w:lang w:eastAsia="zh-CN"/>
        </w:rPr>
        <w:t>单位</w:t>
      </w:r>
      <w:r>
        <w:rPr>
          <w:rFonts w:hint="eastAsia" w:eastAsia="仿宋_GB2312"/>
          <w:sz w:val="30"/>
          <w:szCs w:val="30"/>
        </w:rPr>
        <w:t>综合收支计划。</w:t>
      </w:r>
    </w:p>
    <w:p w14:paraId="04E8040A">
      <w:pPr>
        <w:spacing w:line="580" w:lineRule="exact"/>
        <w:ind w:firstLine="602" w:firstLineChars="200"/>
        <w:rPr>
          <w:rFonts w:hint="eastAsia" w:eastAsia="仿宋_GB2312"/>
          <w:sz w:val="30"/>
          <w:szCs w:val="30"/>
        </w:rPr>
      </w:pPr>
      <w:r>
        <w:rPr>
          <w:rFonts w:hint="eastAsia" w:eastAsia="楷体_GB2312"/>
          <w:b/>
          <w:sz w:val="30"/>
          <w:szCs w:val="30"/>
        </w:rPr>
        <w:t>2.</w:t>
      </w:r>
      <w:r>
        <w:rPr>
          <w:rFonts w:eastAsia="楷体_GB2312"/>
          <w:b/>
          <w:sz w:val="30"/>
          <w:szCs w:val="30"/>
        </w:rPr>
        <w:t xml:space="preserve"> 机关运行经费</w:t>
      </w:r>
      <w:r>
        <w:rPr>
          <w:rFonts w:hint="eastAsia" w:eastAsia="楷体_GB2312"/>
          <w:b/>
          <w:sz w:val="30"/>
          <w:szCs w:val="30"/>
        </w:rPr>
        <w:t>。</w:t>
      </w:r>
      <w:r>
        <w:rPr>
          <w:rFonts w:eastAsia="仿宋_GB2312"/>
          <w:sz w:val="30"/>
          <w:szCs w:val="30"/>
        </w:rPr>
        <w:t>是指各</w:t>
      </w:r>
      <w:r>
        <w:rPr>
          <w:rFonts w:hint="eastAsia" w:eastAsia="仿宋_GB2312"/>
          <w:sz w:val="30"/>
          <w:szCs w:val="30"/>
          <w:lang w:eastAsia="zh-CN"/>
        </w:rPr>
        <w:t>单位</w:t>
      </w:r>
      <w:r>
        <w:rPr>
          <w:rFonts w:eastAsia="仿宋_GB2312"/>
          <w:sz w:val="30"/>
          <w:szCs w:val="30"/>
        </w:rPr>
        <w:t>的公用经费，包括办公及印刷费、邮电费、差旅费、会议费、福利费、日常维修费、专用材料及一般设备购置费、办公用房水电费、办公用房取暖费、办公用房物业管理费、公务用车运行维护费以及其他费用</w:t>
      </w:r>
      <w:r>
        <w:rPr>
          <w:rFonts w:hint="eastAsia" w:eastAsia="仿宋_GB2312"/>
          <w:sz w:val="30"/>
          <w:szCs w:val="30"/>
        </w:rPr>
        <w:t>。</w:t>
      </w:r>
    </w:p>
    <w:p w14:paraId="18ABC2B8">
      <w:pPr>
        <w:pStyle w:val="2"/>
        <w:keepNext w:val="0"/>
        <w:keepLines w:val="0"/>
        <w:spacing w:line="600" w:lineRule="exact"/>
        <w:jc w:val="both"/>
        <w:rPr>
          <w:rFonts w:hint="eastAsia" w:ascii="方正小标宋简体" w:hAnsi="方正小标宋简体" w:eastAsia="方正小标宋简体" w:cs="方正小标宋简体"/>
          <w:b w:val="0"/>
          <w:sz w:val="48"/>
          <w:szCs w:val="48"/>
        </w:rPr>
      </w:pPr>
      <w:bookmarkStart w:id="14" w:name="_GoBack"/>
      <w:bookmarkEnd w:id="14"/>
    </w:p>
    <w:p w14:paraId="74128719">
      <w:pPr>
        <w:pStyle w:val="2"/>
        <w:keepNext w:val="0"/>
        <w:keepLines w:val="0"/>
        <w:spacing w:line="600" w:lineRule="exact"/>
        <w:jc w:val="center"/>
        <w:rPr>
          <w:rFonts w:hint="eastAsia" w:ascii="方正小标宋简体" w:hAnsi="方正小标宋简体" w:eastAsia="方正小标宋简体" w:cs="方正小标宋简体"/>
          <w:b w:val="0"/>
          <w:sz w:val="48"/>
          <w:szCs w:val="48"/>
        </w:rPr>
      </w:pPr>
      <w:r>
        <w:rPr>
          <w:rFonts w:hint="eastAsia" w:ascii="方正小标宋简体" w:hAnsi="方正小标宋简体" w:eastAsia="方正小标宋简体" w:cs="方正小标宋简体"/>
          <w:b w:val="0"/>
          <w:sz w:val="48"/>
          <w:szCs w:val="48"/>
        </w:rPr>
        <w:t>第四部分  2025年</w:t>
      </w:r>
      <w:r>
        <w:rPr>
          <w:rFonts w:hint="eastAsia" w:ascii="方正小标宋简体" w:hAnsi="方正小标宋简体" w:eastAsia="方正小标宋简体" w:cs="方正小标宋简体"/>
          <w:b w:val="0"/>
          <w:sz w:val="48"/>
          <w:szCs w:val="48"/>
          <w:lang w:eastAsia="zh-CN"/>
        </w:rPr>
        <w:t>单位</w:t>
      </w:r>
      <w:r>
        <w:rPr>
          <w:rFonts w:hint="eastAsia" w:ascii="方正小标宋简体" w:hAnsi="方正小标宋简体" w:eastAsia="方正小标宋简体" w:cs="方正小标宋简体"/>
          <w:b w:val="0"/>
          <w:sz w:val="48"/>
          <w:szCs w:val="48"/>
        </w:rPr>
        <w:t>预算表</w:t>
      </w:r>
    </w:p>
    <w:p w14:paraId="1E5B1121">
      <w:pPr>
        <w:spacing w:line="600" w:lineRule="exact"/>
        <w:ind w:firstLine="594" w:firstLineChars="198"/>
        <w:rPr>
          <w:rFonts w:eastAsia="仿宋_GB2312"/>
          <w:sz w:val="30"/>
          <w:szCs w:val="30"/>
        </w:rPr>
      </w:pPr>
      <w:r>
        <w:rPr>
          <w:rFonts w:hint="eastAsia" w:eastAsia="仿宋_GB2312"/>
          <w:sz w:val="30"/>
          <w:szCs w:val="30"/>
        </w:rPr>
        <w:t>一、</w:t>
      </w:r>
      <w:r>
        <w:rPr>
          <w:rFonts w:eastAsia="仿宋_GB2312"/>
          <w:sz w:val="30"/>
          <w:szCs w:val="30"/>
        </w:rPr>
        <w:t>2025年收支预算总表</w:t>
      </w:r>
    </w:p>
    <w:p w14:paraId="5B542B8C">
      <w:pPr>
        <w:spacing w:line="600" w:lineRule="exact"/>
        <w:ind w:firstLine="600" w:firstLineChars="200"/>
        <w:rPr>
          <w:rFonts w:eastAsia="仿宋_GB2312"/>
          <w:sz w:val="30"/>
          <w:szCs w:val="30"/>
        </w:rPr>
      </w:pPr>
      <w:r>
        <w:rPr>
          <w:rFonts w:hint="eastAsia" w:eastAsia="仿宋_GB2312"/>
          <w:sz w:val="30"/>
          <w:szCs w:val="30"/>
        </w:rPr>
        <w:t>二、</w:t>
      </w:r>
      <w:r>
        <w:rPr>
          <w:rFonts w:eastAsia="仿宋_GB2312"/>
          <w:sz w:val="30"/>
          <w:szCs w:val="30"/>
        </w:rPr>
        <w:t>2025年收入预算总表</w:t>
      </w:r>
    </w:p>
    <w:p w14:paraId="17D0FC21">
      <w:pPr>
        <w:spacing w:line="600" w:lineRule="exact"/>
        <w:ind w:firstLine="600" w:firstLineChars="200"/>
        <w:rPr>
          <w:rFonts w:eastAsia="仿宋_GB2312"/>
          <w:sz w:val="30"/>
          <w:szCs w:val="30"/>
        </w:rPr>
      </w:pPr>
      <w:r>
        <w:rPr>
          <w:rFonts w:hint="eastAsia" w:eastAsia="仿宋_GB2312"/>
          <w:sz w:val="30"/>
          <w:szCs w:val="30"/>
        </w:rPr>
        <w:t>三、</w:t>
      </w:r>
      <w:r>
        <w:rPr>
          <w:rFonts w:eastAsia="仿宋_GB2312"/>
          <w:sz w:val="30"/>
          <w:szCs w:val="30"/>
        </w:rPr>
        <w:t>2025年支出预算总表</w:t>
      </w:r>
    </w:p>
    <w:p w14:paraId="6BAFFBB7">
      <w:pPr>
        <w:spacing w:line="600" w:lineRule="exact"/>
        <w:ind w:firstLine="600" w:firstLineChars="200"/>
        <w:rPr>
          <w:rFonts w:eastAsia="仿宋_GB2312"/>
          <w:sz w:val="30"/>
          <w:szCs w:val="30"/>
        </w:rPr>
      </w:pPr>
      <w:r>
        <w:rPr>
          <w:rFonts w:hint="eastAsia" w:eastAsia="仿宋_GB2312"/>
          <w:sz w:val="30"/>
          <w:szCs w:val="30"/>
        </w:rPr>
        <w:t>四、</w:t>
      </w:r>
      <w:r>
        <w:rPr>
          <w:rFonts w:eastAsia="仿宋_GB2312"/>
          <w:sz w:val="30"/>
          <w:szCs w:val="30"/>
        </w:rPr>
        <w:t>2025年财政拨款收支预算总表</w:t>
      </w:r>
    </w:p>
    <w:p w14:paraId="6D4641DC">
      <w:pPr>
        <w:spacing w:line="600" w:lineRule="exact"/>
        <w:ind w:firstLine="600" w:firstLineChars="200"/>
        <w:rPr>
          <w:rFonts w:eastAsia="仿宋_GB2312"/>
          <w:sz w:val="30"/>
          <w:szCs w:val="30"/>
        </w:rPr>
      </w:pPr>
      <w:r>
        <w:rPr>
          <w:rFonts w:hint="eastAsia" w:eastAsia="仿宋_GB2312"/>
          <w:sz w:val="30"/>
          <w:szCs w:val="30"/>
        </w:rPr>
        <w:t>五、</w:t>
      </w:r>
      <w:r>
        <w:rPr>
          <w:rFonts w:eastAsia="仿宋_GB2312"/>
          <w:sz w:val="30"/>
          <w:szCs w:val="30"/>
        </w:rPr>
        <w:t>2025年财政拨款一般公共预算支出预算表</w:t>
      </w:r>
    </w:p>
    <w:p w14:paraId="231BC83D">
      <w:pPr>
        <w:spacing w:line="600" w:lineRule="exact"/>
        <w:ind w:firstLine="600" w:firstLineChars="200"/>
        <w:rPr>
          <w:rFonts w:eastAsia="仿宋_GB2312"/>
          <w:sz w:val="30"/>
          <w:szCs w:val="30"/>
        </w:rPr>
      </w:pPr>
      <w:r>
        <w:rPr>
          <w:rFonts w:hint="eastAsia" w:eastAsia="仿宋_GB2312"/>
          <w:sz w:val="30"/>
          <w:szCs w:val="30"/>
        </w:rPr>
        <w:t>六、</w:t>
      </w:r>
      <w:r>
        <w:rPr>
          <w:rFonts w:eastAsia="仿宋_GB2312"/>
          <w:sz w:val="30"/>
          <w:szCs w:val="30"/>
        </w:rPr>
        <w:t>2025年财政拨款一般公共预算基本支出预算表</w:t>
      </w:r>
    </w:p>
    <w:p w14:paraId="06AF5FD5">
      <w:pPr>
        <w:spacing w:line="600" w:lineRule="exact"/>
        <w:ind w:firstLine="600" w:firstLineChars="200"/>
        <w:rPr>
          <w:rFonts w:eastAsia="仿宋_GB2312"/>
          <w:sz w:val="30"/>
          <w:szCs w:val="30"/>
        </w:rPr>
      </w:pPr>
      <w:r>
        <w:rPr>
          <w:rFonts w:hint="eastAsia" w:eastAsia="仿宋_GB2312"/>
          <w:sz w:val="30"/>
          <w:szCs w:val="30"/>
        </w:rPr>
        <w:t>七、2025年财政拨款一般公共预算“三公”经费支出预算表</w:t>
      </w:r>
    </w:p>
    <w:p w14:paraId="56498F51">
      <w:pPr>
        <w:spacing w:line="600" w:lineRule="exact"/>
        <w:ind w:firstLine="600" w:firstLineChars="200"/>
        <w:rPr>
          <w:rFonts w:eastAsia="仿宋_GB2312"/>
          <w:sz w:val="30"/>
          <w:szCs w:val="30"/>
        </w:rPr>
      </w:pPr>
      <w:r>
        <w:rPr>
          <w:rFonts w:hint="eastAsia" w:eastAsia="仿宋_GB2312"/>
          <w:sz w:val="30"/>
          <w:szCs w:val="30"/>
        </w:rPr>
        <w:t>八、</w:t>
      </w:r>
      <w:r>
        <w:rPr>
          <w:rFonts w:eastAsia="仿宋_GB2312"/>
          <w:sz w:val="30"/>
          <w:szCs w:val="30"/>
        </w:rPr>
        <w:t>2025年财政拨款政府性基金预算支出预算表</w:t>
      </w:r>
    </w:p>
    <w:p w14:paraId="3602CACF">
      <w:pPr>
        <w:spacing w:line="600" w:lineRule="exact"/>
        <w:ind w:firstLine="600" w:firstLineChars="200"/>
        <w:rPr>
          <w:rFonts w:eastAsia="仿宋_GB2312"/>
          <w:sz w:val="30"/>
          <w:szCs w:val="30"/>
        </w:rPr>
      </w:pPr>
      <w:r>
        <w:rPr>
          <w:rFonts w:hint="eastAsia" w:eastAsia="仿宋_GB2312"/>
          <w:sz w:val="30"/>
          <w:szCs w:val="30"/>
        </w:rPr>
        <w:t>九、2025年国有资本经营预算支出预算表</w:t>
      </w:r>
    </w:p>
    <w:p w14:paraId="0770544C">
      <w:pPr>
        <w:spacing w:line="600" w:lineRule="exact"/>
        <w:ind w:firstLine="600" w:firstLineChars="200"/>
        <w:rPr>
          <w:rFonts w:eastAsia="仿宋_GB2312"/>
          <w:sz w:val="30"/>
          <w:szCs w:val="30"/>
        </w:rPr>
      </w:pPr>
      <w:r>
        <w:rPr>
          <w:rFonts w:hint="eastAsia" w:eastAsia="仿宋_GB2312"/>
          <w:sz w:val="30"/>
          <w:szCs w:val="30"/>
        </w:rPr>
        <w:t>十、</w:t>
      </w:r>
      <w:r>
        <w:rPr>
          <w:rFonts w:eastAsia="仿宋_GB2312"/>
          <w:sz w:val="30"/>
          <w:szCs w:val="30"/>
        </w:rPr>
        <w:t>2025年项目支出预算表</w:t>
      </w:r>
    </w:p>
    <w:p w14:paraId="1E1E4C98">
      <w:pPr>
        <w:spacing w:line="600" w:lineRule="exact"/>
        <w:ind w:firstLine="600" w:firstLineChars="200"/>
        <w:rPr>
          <w:rFonts w:eastAsia="仿宋_GB2312"/>
          <w:sz w:val="30"/>
          <w:szCs w:val="30"/>
        </w:rPr>
      </w:pPr>
      <w:r>
        <w:rPr>
          <w:rFonts w:hint="eastAsia" w:eastAsia="仿宋_GB2312"/>
          <w:sz w:val="30"/>
          <w:szCs w:val="30"/>
        </w:rPr>
        <w:t>十一、</w:t>
      </w:r>
      <w:r>
        <w:rPr>
          <w:rFonts w:eastAsia="仿宋_GB2312"/>
          <w:sz w:val="30"/>
          <w:szCs w:val="30"/>
        </w:rPr>
        <w:t>2025年财政拨款政府采购预算表</w:t>
      </w:r>
    </w:p>
    <w:p w14:paraId="4F5244D5">
      <w:pPr>
        <w:spacing w:line="560" w:lineRule="exact"/>
        <w:ind w:left="480" w:leftChars="200" w:firstLine="147" w:firstLineChars="49"/>
        <w:rPr>
          <w:rFonts w:hint="eastAsia" w:eastAsia="仿宋_GB2312"/>
          <w:sz w:val="30"/>
          <w:szCs w:val="30"/>
        </w:rPr>
      </w:pPr>
      <w:r>
        <w:rPr>
          <w:rFonts w:hint="eastAsia" w:eastAsia="仿宋_GB2312"/>
          <w:sz w:val="30"/>
          <w:szCs w:val="30"/>
        </w:rPr>
        <w:t>十二、关于空表的说明</w:t>
      </w:r>
      <w:r>
        <w:rPr>
          <w:rFonts w:hint="eastAsia" w:eastAsia="仿宋_GB2312"/>
          <w:sz w:val="30"/>
          <w:szCs w:val="30"/>
        </w:rPr>
        <w:tab/>
      </w:r>
    </w:p>
    <w:p w14:paraId="1B98C0B4">
      <w:pPr>
        <w:spacing w:line="560" w:lineRule="exact"/>
        <w:ind w:firstLine="600" w:firstLineChars="200"/>
        <w:rPr>
          <w:rFonts w:hint="eastAsia" w:eastAsia="仿宋_GB2312"/>
          <w:sz w:val="30"/>
          <w:szCs w:val="30"/>
        </w:rPr>
      </w:pPr>
      <w:r>
        <w:rPr>
          <w:rFonts w:hint="eastAsia" w:eastAsia="仿宋_GB2312"/>
          <w:sz w:val="30"/>
          <w:szCs w:val="30"/>
        </w:rPr>
        <w:t>本</w:t>
      </w:r>
      <w:r>
        <w:rPr>
          <w:rFonts w:hint="eastAsia" w:eastAsia="仿宋_GB2312"/>
          <w:sz w:val="30"/>
          <w:szCs w:val="30"/>
          <w:lang w:eastAsia="zh-CN"/>
        </w:rPr>
        <w:t>单位</w:t>
      </w:r>
      <w:r>
        <w:rPr>
          <w:rFonts w:hint="eastAsia" w:eastAsia="仿宋_GB2312"/>
          <w:sz w:val="30"/>
          <w:szCs w:val="30"/>
        </w:rPr>
        <w:t>2025年一般公共预算“三公”经费支出情况表为空表。</w:t>
      </w:r>
    </w:p>
    <w:p w14:paraId="6E0A67FA">
      <w:pPr>
        <w:spacing w:line="560" w:lineRule="exact"/>
        <w:ind w:firstLine="600" w:firstLineChars="200"/>
        <w:rPr>
          <w:rFonts w:eastAsia="仿宋_GB2312"/>
          <w:sz w:val="30"/>
          <w:szCs w:val="30"/>
        </w:rPr>
      </w:pPr>
      <w:r>
        <w:rPr>
          <w:rFonts w:hint="eastAsia" w:eastAsia="仿宋_GB2312"/>
          <w:sz w:val="30"/>
          <w:szCs w:val="30"/>
        </w:rPr>
        <w:t>本</w:t>
      </w:r>
      <w:r>
        <w:rPr>
          <w:rFonts w:hint="eastAsia" w:eastAsia="仿宋_GB2312"/>
          <w:sz w:val="30"/>
          <w:szCs w:val="30"/>
          <w:lang w:eastAsia="zh-CN"/>
        </w:rPr>
        <w:t>单位</w:t>
      </w:r>
      <w:r>
        <w:rPr>
          <w:rFonts w:eastAsia="仿宋_GB2312"/>
          <w:sz w:val="30"/>
          <w:szCs w:val="30"/>
        </w:rPr>
        <w:t>2025年</w:t>
      </w:r>
      <w:r>
        <w:rPr>
          <w:rFonts w:hint="eastAsia" w:eastAsia="仿宋_GB2312"/>
          <w:sz w:val="30"/>
          <w:szCs w:val="30"/>
        </w:rPr>
        <w:t>政府性基金预算支出情况表为空表。</w:t>
      </w:r>
    </w:p>
    <w:p w14:paraId="2529C733">
      <w:pPr>
        <w:spacing w:line="560" w:lineRule="exact"/>
        <w:ind w:firstLine="600" w:firstLineChars="200"/>
        <w:rPr>
          <w:rFonts w:eastAsia="楷体_GB2312"/>
          <w:color w:val="FF0000"/>
          <w:sz w:val="30"/>
          <w:szCs w:val="30"/>
        </w:rPr>
      </w:pPr>
      <w:r>
        <w:rPr>
          <w:rFonts w:hint="eastAsia" w:eastAsia="仿宋_GB2312"/>
          <w:sz w:val="30"/>
          <w:szCs w:val="30"/>
        </w:rPr>
        <w:t>本</w:t>
      </w:r>
      <w:r>
        <w:rPr>
          <w:rFonts w:hint="eastAsia" w:eastAsia="仿宋_GB2312"/>
          <w:sz w:val="30"/>
          <w:szCs w:val="30"/>
          <w:lang w:eastAsia="zh-CN"/>
        </w:rPr>
        <w:t>单位</w:t>
      </w:r>
      <w:r>
        <w:rPr>
          <w:rFonts w:eastAsia="仿宋_GB2312"/>
          <w:sz w:val="30"/>
          <w:szCs w:val="30"/>
        </w:rPr>
        <w:t>2025年</w:t>
      </w:r>
      <w:r>
        <w:rPr>
          <w:rFonts w:hint="eastAsia" w:eastAsia="仿宋_GB2312"/>
          <w:sz w:val="30"/>
          <w:szCs w:val="30"/>
        </w:rPr>
        <w:t>国有资本经营预算支出情况表为空表。</w:t>
      </w:r>
    </w:p>
    <w:sectPr>
      <w:footerReference r:id="rId8" w:type="default"/>
      <w:pgSz w:w="11907" w:h="16840"/>
      <w:pgMar w:top="2098" w:right="1474" w:bottom="1304" w:left="1588" w:header="765" w:footer="765" w:gutter="0"/>
      <w:pgNumType w:fmt="numberInDash" w:start="1"/>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Serif">
    <w:altName w:val="DejaVu Math TeX Gyre"/>
    <w:panose1 w:val="00000000000000000000"/>
    <w:charset w:val="00"/>
    <w:family w:val="roman"/>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3E13">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A8E1D">
    <w:pPr>
      <w:pStyle w:val="6"/>
      <w:framePr w:wrap="around" w:vAnchor="text" w:hAnchor="margin" w:xAlign="outside" w:y="1"/>
      <w:rPr>
        <w:rStyle w:val="11"/>
      </w:rPr>
    </w:pPr>
    <w:r>
      <w:fldChar w:fldCharType="begin"/>
    </w:r>
    <w:r>
      <w:rPr>
        <w:rStyle w:val="11"/>
      </w:rPr>
      <w:instrText xml:space="preserve">PAGE  </w:instrText>
    </w:r>
    <w:r>
      <w:fldChar w:fldCharType="end"/>
    </w:r>
  </w:p>
  <w:p w14:paraId="0B792610">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B2BF">
    <w:pPr>
      <w:pStyle w:val="6"/>
      <w:jc w:val="center"/>
    </w:pPr>
    <w:r>
      <w:fldChar w:fldCharType="begin"/>
    </w:r>
    <w:r>
      <w:instrText xml:space="preserve">PAGE   \* MERGEFORMAT</w:instrText>
    </w:r>
    <w:r>
      <w:fldChar w:fldCharType="separate"/>
    </w:r>
    <w:r>
      <w:rPr>
        <w:lang w:val="zh-CN"/>
      </w:rPr>
      <w:t>-</w:t>
    </w:r>
    <w:r>
      <w:t xml:space="preserve"> 1 -</w:t>
    </w:r>
    <w:r>
      <w:fldChar w:fldCharType="end"/>
    </w:r>
  </w:p>
  <w:p w14:paraId="4EFE348D">
    <w:pPr>
      <w:pStyle w:val="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829B2">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5A5549"/>
    <w:multiLevelType w:val="singleLevel"/>
    <w:tmpl w:val="B85A554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D77"/>
    <w:rsid w:val="0001204D"/>
    <w:rsid w:val="00012D48"/>
    <w:rsid w:val="00014B7E"/>
    <w:rsid w:val="00020DAE"/>
    <w:rsid w:val="00025DCF"/>
    <w:rsid w:val="00026B49"/>
    <w:rsid w:val="000279BC"/>
    <w:rsid w:val="00035889"/>
    <w:rsid w:val="0003736F"/>
    <w:rsid w:val="00040A70"/>
    <w:rsid w:val="000546FB"/>
    <w:rsid w:val="00055156"/>
    <w:rsid w:val="000561F0"/>
    <w:rsid w:val="000638DE"/>
    <w:rsid w:val="00066DA5"/>
    <w:rsid w:val="00081133"/>
    <w:rsid w:val="00082771"/>
    <w:rsid w:val="00093F1A"/>
    <w:rsid w:val="00097C4D"/>
    <w:rsid w:val="000A4C45"/>
    <w:rsid w:val="000A6A5A"/>
    <w:rsid w:val="000A750A"/>
    <w:rsid w:val="000B1B04"/>
    <w:rsid w:val="000B5758"/>
    <w:rsid w:val="000C1D30"/>
    <w:rsid w:val="000C211F"/>
    <w:rsid w:val="000C3FFB"/>
    <w:rsid w:val="000C5349"/>
    <w:rsid w:val="000C704F"/>
    <w:rsid w:val="000D1BEF"/>
    <w:rsid w:val="000E221E"/>
    <w:rsid w:val="000E5A14"/>
    <w:rsid w:val="000F2DDD"/>
    <w:rsid w:val="00101B9A"/>
    <w:rsid w:val="00103D12"/>
    <w:rsid w:val="001044EF"/>
    <w:rsid w:val="00107793"/>
    <w:rsid w:val="00107F74"/>
    <w:rsid w:val="00141FB3"/>
    <w:rsid w:val="00143640"/>
    <w:rsid w:val="00146622"/>
    <w:rsid w:val="00151DB8"/>
    <w:rsid w:val="00151E56"/>
    <w:rsid w:val="00154D50"/>
    <w:rsid w:val="001574DB"/>
    <w:rsid w:val="00160516"/>
    <w:rsid w:val="001616F8"/>
    <w:rsid w:val="001639E6"/>
    <w:rsid w:val="0016548E"/>
    <w:rsid w:val="00167781"/>
    <w:rsid w:val="00173D03"/>
    <w:rsid w:val="0017420B"/>
    <w:rsid w:val="001743A6"/>
    <w:rsid w:val="0019552B"/>
    <w:rsid w:val="001A1316"/>
    <w:rsid w:val="001A58F7"/>
    <w:rsid w:val="001B26CD"/>
    <w:rsid w:val="001B47FB"/>
    <w:rsid w:val="001C525C"/>
    <w:rsid w:val="001E4814"/>
    <w:rsid w:val="001F43D8"/>
    <w:rsid w:val="001F69BB"/>
    <w:rsid w:val="0020344E"/>
    <w:rsid w:val="00217977"/>
    <w:rsid w:val="00222775"/>
    <w:rsid w:val="00223D56"/>
    <w:rsid w:val="00225E9E"/>
    <w:rsid w:val="002319C9"/>
    <w:rsid w:val="00235DDA"/>
    <w:rsid w:val="00243A70"/>
    <w:rsid w:val="002456BF"/>
    <w:rsid w:val="00247B07"/>
    <w:rsid w:val="00252DD7"/>
    <w:rsid w:val="002568D5"/>
    <w:rsid w:val="0026664B"/>
    <w:rsid w:val="00275986"/>
    <w:rsid w:val="00290082"/>
    <w:rsid w:val="00290EAC"/>
    <w:rsid w:val="00293ACA"/>
    <w:rsid w:val="002A1782"/>
    <w:rsid w:val="002A23DC"/>
    <w:rsid w:val="002A3DBF"/>
    <w:rsid w:val="002D67AE"/>
    <w:rsid w:val="002D715E"/>
    <w:rsid w:val="002E3C02"/>
    <w:rsid w:val="002F0601"/>
    <w:rsid w:val="002F0F40"/>
    <w:rsid w:val="002F0F49"/>
    <w:rsid w:val="002F6622"/>
    <w:rsid w:val="00304097"/>
    <w:rsid w:val="003147A8"/>
    <w:rsid w:val="0032641E"/>
    <w:rsid w:val="003407F4"/>
    <w:rsid w:val="00343F3E"/>
    <w:rsid w:val="0035053A"/>
    <w:rsid w:val="0035182A"/>
    <w:rsid w:val="003609DB"/>
    <w:rsid w:val="00361453"/>
    <w:rsid w:val="00364050"/>
    <w:rsid w:val="00364294"/>
    <w:rsid w:val="003734E1"/>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45C1"/>
    <w:rsid w:val="004654FD"/>
    <w:rsid w:val="004660E2"/>
    <w:rsid w:val="0046727B"/>
    <w:rsid w:val="0047004A"/>
    <w:rsid w:val="00472621"/>
    <w:rsid w:val="00474C09"/>
    <w:rsid w:val="0048352E"/>
    <w:rsid w:val="004A5DF5"/>
    <w:rsid w:val="004A6EE3"/>
    <w:rsid w:val="004A77B0"/>
    <w:rsid w:val="004B0888"/>
    <w:rsid w:val="004C0EED"/>
    <w:rsid w:val="004C1F92"/>
    <w:rsid w:val="004C3B81"/>
    <w:rsid w:val="004D2A21"/>
    <w:rsid w:val="004E5901"/>
    <w:rsid w:val="004E7F96"/>
    <w:rsid w:val="004F1D8F"/>
    <w:rsid w:val="004F304B"/>
    <w:rsid w:val="00500E62"/>
    <w:rsid w:val="00507FC2"/>
    <w:rsid w:val="0051134F"/>
    <w:rsid w:val="00513E0C"/>
    <w:rsid w:val="00531F24"/>
    <w:rsid w:val="00534FC8"/>
    <w:rsid w:val="005442FD"/>
    <w:rsid w:val="00547CCA"/>
    <w:rsid w:val="0055334A"/>
    <w:rsid w:val="0056218D"/>
    <w:rsid w:val="00563DE0"/>
    <w:rsid w:val="00566B36"/>
    <w:rsid w:val="005717FD"/>
    <w:rsid w:val="00577762"/>
    <w:rsid w:val="00580FFE"/>
    <w:rsid w:val="00585D27"/>
    <w:rsid w:val="0058731A"/>
    <w:rsid w:val="00587691"/>
    <w:rsid w:val="0059010F"/>
    <w:rsid w:val="0059248B"/>
    <w:rsid w:val="00595115"/>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7301"/>
    <w:rsid w:val="00646289"/>
    <w:rsid w:val="00646C58"/>
    <w:rsid w:val="0065320E"/>
    <w:rsid w:val="00664752"/>
    <w:rsid w:val="00673ABE"/>
    <w:rsid w:val="006777CE"/>
    <w:rsid w:val="006934E1"/>
    <w:rsid w:val="00694200"/>
    <w:rsid w:val="0069616E"/>
    <w:rsid w:val="006A0604"/>
    <w:rsid w:val="006A317F"/>
    <w:rsid w:val="006A57EE"/>
    <w:rsid w:val="006A7042"/>
    <w:rsid w:val="006A7123"/>
    <w:rsid w:val="006B0F4B"/>
    <w:rsid w:val="006D456D"/>
    <w:rsid w:val="006D7313"/>
    <w:rsid w:val="006E5C14"/>
    <w:rsid w:val="006F408B"/>
    <w:rsid w:val="00703777"/>
    <w:rsid w:val="00716804"/>
    <w:rsid w:val="00737A20"/>
    <w:rsid w:val="0074381E"/>
    <w:rsid w:val="00754417"/>
    <w:rsid w:val="0078521D"/>
    <w:rsid w:val="00795DC2"/>
    <w:rsid w:val="007A5596"/>
    <w:rsid w:val="007B750A"/>
    <w:rsid w:val="007C0CD1"/>
    <w:rsid w:val="007C220B"/>
    <w:rsid w:val="007C257B"/>
    <w:rsid w:val="007C27C2"/>
    <w:rsid w:val="007C4FF4"/>
    <w:rsid w:val="007C5704"/>
    <w:rsid w:val="007E011D"/>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1709C"/>
    <w:rsid w:val="009224E2"/>
    <w:rsid w:val="00922C71"/>
    <w:rsid w:val="00931ADF"/>
    <w:rsid w:val="009339F5"/>
    <w:rsid w:val="00933DD8"/>
    <w:rsid w:val="00934F3E"/>
    <w:rsid w:val="00937D77"/>
    <w:rsid w:val="00944267"/>
    <w:rsid w:val="00946BC0"/>
    <w:rsid w:val="00951511"/>
    <w:rsid w:val="0095553A"/>
    <w:rsid w:val="00962587"/>
    <w:rsid w:val="009822BE"/>
    <w:rsid w:val="00990C9A"/>
    <w:rsid w:val="009970B7"/>
    <w:rsid w:val="009A08A7"/>
    <w:rsid w:val="009A3307"/>
    <w:rsid w:val="009A41AC"/>
    <w:rsid w:val="009A45FD"/>
    <w:rsid w:val="009A47C1"/>
    <w:rsid w:val="009B0D59"/>
    <w:rsid w:val="009B0FCC"/>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1B34"/>
    <w:rsid w:val="00A82A7D"/>
    <w:rsid w:val="00A8708A"/>
    <w:rsid w:val="00A918A4"/>
    <w:rsid w:val="00A91C28"/>
    <w:rsid w:val="00A96D04"/>
    <w:rsid w:val="00AB093E"/>
    <w:rsid w:val="00AB385B"/>
    <w:rsid w:val="00AB791A"/>
    <w:rsid w:val="00AC0500"/>
    <w:rsid w:val="00AC3444"/>
    <w:rsid w:val="00AC4DF4"/>
    <w:rsid w:val="00AD51D9"/>
    <w:rsid w:val="00AD6740"/>
    <w:rsid w:val="00AD6772"/>
    <w:rsid w:val="00AE14F7"/>
    <w:rsid w:val="00AE3DA6"/>
    <w:rsid w:val="00AF0A58"/>
    <w:rsid w:val="00AF121D"/>
    <w:rsid w:val="00AF38CA"/>
    <w:rsid w:val="00B03433"/>
    <w:rsid w:val="00B100CB"/>
    <w:rsid w:val="00B1463F"/>
    <w:rsid w:val="00B25010"/>
    <w:rsid w:val="00B370F4"/>
    <w:rsid w:val="00B4348E"/>
    <w:rsid w:val="00B45D35"/>
    <w:rsid w:val="00B47C04"/>
    <w:rsid w:val="00B53EC1"/>
    <w:rsid w:val="00B5771C"/>
    <w:rsid w:val="00B66FA2"/>
    <w:rsid w:val="00B73DE5"/>
    <w:rsid w:val="00B757C2"/>
    <w:rsid w:val="00B90553"/>
    <w:rsid w:val="00B91BBF"/>
    <w:rsid w:val="00B93818"/>
    <w:rsid w:val="00BA2588"/>
    <w:rsid w:val="00BA3C6F"/>
    <w:rsid w:val="00BA407A"/>
    <w:rsid w:val="00BB359F"/>
    <w:rsid w:val="00BB423E"/>
    <w:rsid w:val="00BC0DF6"/>
    <w:rsid w:val="00BC3841"/>
    <w:rsid w:val="00BC5E5F"/>
    <w:rsid w:val="00BC76FF"/>
    <w:rsid w:val="00BF3615"/>
    <w:rsid w:val="00BF54DA"/>
    <w:rsid w:val="00BF7933"/>
    <w:rsid w:val="00C1455B"/>
    <w:rsid w:val="00C148BB"/>
    <w:rsid w:val="00C149C4"/>
    <w:rsid w:val="00C17C17"/>
    <w:rsid w:val="00C24562"/>
    <w:rsid w:val="00C37827"/>
    <w:rsid w:val="00C378B1"/>
    <w:rsid w:val="00C435D4"/>
    <w:rsid w:val="00C50520"/>
    <w:rsid w:val="00C63085"/>
    <w:rsid w:val="00C64EC0"/>
    <w:rsid w:val="00C70269"/>
    <w:rsid w:val="00C73CFA"/>
    <w:rsid w:val="00C77359"/>
    <w:rsid w:val="00C8411D"/>
    <w:rsid w:val="00C84F06"/>
    <w:rsid w:val="00C96C5A"/>
    <w:rsid w:val="00CA1B19"/>
    <w:rsid w:val="00CA1BC8"/>
    <w:rsid w:val="00CA68E2"/>
    <w:rsid w:val="00CB0036"/>
    <w:rsid w:val="00CB119F"/>
    <w:rsid w:val="00CC066C"/>
    <w:rsid w:val="00CE05B1"/>
    <w:rsid w:val="00CE5A0A"/>
    <w:rsid w:val="00CE6EAE"/>
    <w:rsid w:val="00CE7964"/>
    <w:rsid w:val="00CE7AC9"/>
    <w:rsid w:val="00CE7B3E"/>
    <w:rsid w:val="00CF3C5E"/>
    <w:rsid w:val="00CF57E8"/>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0F72"/>
    <w:rsid w:val="00DF2103"/>
    <w:rsid w:val="00DF4EF1"/>
    <w:rsid w:val="00DF6570"/>
    <w:rsid w:val="00E01833"/>
    <w:rsid w:val="00E27103"/>
    <w:rsid w:val="00E37F65"/>
    <w:rsid w:val="00E407D2"/>
    <w:rsid w:val="00E51564"/>
    <w:rsid w:val="00E62551"/>
    <w:rsid w:val="00E6262F"/>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33E696D"/>
    <w:rsid w:val="10B734BD"/>
    <w:rsid w:val="13B37DE9"/>
    <w:rsid w:val="16D54272"/>
    <w:rsid w:val="1CB83B89"/>
    <w:rsid w:val="1D681DEC"/>
    <w:rsid w:val="245E2574"/>
    <w:rsid w:val="268758BC"/>
    <w:rsid w:val="2AEC56CD"/>
    <w:rsid w:val="2C293467"/>
    <w:rsid w:val="3557428F"/>
    <w:rsid w:val="3942025E"/>
    <w:rsid w:val="3A287226"/>
    <w:rsid w:val="3A6B4E0D"/>
    <w:rsid w:val="3D0A4BEF"/>
    <w:rsid w:val="3D407E3C"/>
    <w:rsid w:val="3FCB28EB"/>
    <w:rsid w:val="40956B0D"/>
    <w:rsid w:val="4C7F3F6E"/>
    <w:rsid w:val="4CBA2A35"/>
    <w:rsid w:val="4E1E02D7"/>
    <w:rsid w:val="4EB909AA"/>
    <w:rsid w:val="4F204931"/>
    <w:rsid w:val="51581F33"/>
    <w:rsid w:val="519531C9"/>
    <w:rsid w:val="56A50055"/>
    <w:rsid w:val="5BBA7F5E"/>
    <w:rsid w:val="5ED65B32"/>
    <w:rsid w:val="648857EE"/>
    <w:rsid w:val="652B1487"/>
    <w:rsid w:val="663C7C5F"/>
    <w:rsid w:val="663E7534"/>
    <w:rsid w:val="693608A5"/>
    <w:rsid w:val="693A5856"/>
    <w:rsid w:val="6A2D5246"/>
    <w:rsid w:val="6F8C6C56"/>
    <w:rsid w:val="73A82400"/>
    <w:rsid w:val="748F20DD"/>
    <w:rsid w:val="77EFDD89"/>
    <w:rsid w:val="7AFD01CE"/>
    <w:rsid w:val="7C684B50"/>
    <w:rsid w:val="7D1868D9"/>
    <w:rsid w:val="7DB24BF4"/>
    <w:rsid w:val="7ECE503D"/>
    <w:rsid w:val="BDEB7FB1"/>
    <w:rsid w:val="DEFFAB64"/>
    <w:rsid w:val="F51C35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S Serif" w:hAnsi="MS Serif"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textAlignment w:val="baseline"/>
    </w:pPr>
    <w:rPr>
      <w:rFonts w:ascii="MS Serif" w:hAnsi="MS Serif" w:eastAsia="宋体" w:cs="Times New Roman"/>
      <w:sz w:val="24"/>
      <w:lang w:val="en-US" w:eastAsia="zh-CN" w:bidi="ar-SA"/>
    </w:rPr>
  </w:style>
  <w:style w:type="paragraph" w:styleId="2">
    <w:name w:val="heading 1"/>
    <w:basedOn w:val="1"/>
    <w:next w:val="1"/>
    <w:link w:val="12"/>
    <w:qFormat/>
    <w:uiPriority w:val="9"/>
    <w:pPr>
      <w:keepNext/>
      <w:keepLines/>
      <w:spacing w:before="340" w:after="330" w:line="578" w:lineRule="atLeast"/>
      <w:outlineLvl w:val="0"/>
    </w:pPr>
    <w:rPr>
      <w:rFonts w:ascii="Times New Roman" w:hAnsi="Times New Roman"/>
      <w:b/>
      <w:bCs/>
      <w:kern w:val="44"/>
      <w:sz w:val="44"/>
      <w:szCs w:val="44"/>
    </w:rPr>
  </w:style>
  <w:style w:type="paragraph" w:styleId="3">
    <w:name w:val="heading 2"/>
    <w:basedOn w:val="1"/>
    <w:next w:val="1"/>
    <w:link w:val="13"/>
    <w:qFormat/>
    <w:uiPriority w:val="9"/>
    <w:pPr>
      <w:keepNext/>
      <w:keepLines/>
      <w:spacing w:before="260" w:after="260" w:line="416" w:lineRule="atLeast"/>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Document Map"/>
    <w:basedOn w:val="1"/>
    <w:semiHidden/>
    <w:uiPriority w:val="0"/>
    <w:pPr>
      <w:shd w:val="clear" w:color="auto" w:fill="000080"/>
    </w:pPr>
  </w:style>
  <w:style w:type="paragraph" w:styleId="5">
    <w:name w:val="Balloon Text"/>
    <w:basedOn w:val="1"/>
    <w:link w:val="14"/>
    <w:uiPriority w:val="0"/>
    <w:pPr>
      <w:spacing w:line="240" w:lineRule="auto"/>
    </w:pPr>
    <w:rPr>
      <w:sz w:val="18"/>
      <w:szCs w:val="18"/>
    </w:rPr>
  </w:style>
  <w:style w:type="paragraph" w:styleId="6">
    <w:name w:val="footer"/>
    <w:basedOn w:val="1"/>
    <w:link w:val="15"/>
    <w:uiPriority w:val="99"/>
    <w:pPr>
      <w:tabs>
        <w:tab w:val="center" w:pos="4153"/>
        <w:tab w:val="right" w:pos="8306"/>
      </w:tabs>
      <w:snapToGrid w:val="0"/>
      <w:spacing w:line="240" w:lineRule="atLeast"/>
    </w:pPr>
    <w:rPr>
      <w:sz w:val="18"/>
      <w:szCs w:val="18"/>
    </w:rPr>
  </w:style>
  <w:style w:type="paragraph" w:styleId="7">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8">
    <w:name w:val="toc 2"/>
    <w:basedOn w:val="1"/>
    <w:next w:val="1"/>
    <w:unhideWhenUsed/>
    <w:qFormat/>
    <w:uiPriority w:val="39"/>
    <w:pPr>
      <w:widowControl/>
      <w:adjustRightInd/>
      <w:spacing w:after="100" w:line="276" w:lineRule="auto"/>
      <w:ind w:left="220"/>
      <w:textAlignment w:val="auto"/>
    </w:pPr>
    <w:rPr>
      <w:rFonts w:ascii="Calibri" w:hAnsi="Calibri"/>
      <w:sz w:val="22"/>
      <w:szCs w:val="22"/>
    </w:rPr>
  </w:style>
  <w:style w:type="character" w:styleId="11">
    <w:name w:val="page number"/>
    <w:uiPriority w:val="0"/>
  </w:style>
  <w:style w:type="character" w:customStyle="1" w:styleId="12">
    <w:name w:val="标题 1 Char"/>
    <w:link w:val="2"/>
    <w:uiPriority w:val="9"/>
    <w:rPr>
      <w:rFonts w:ascii="Times New Roman" w:hAnsi="Times New Roman"/>
      <w:b/>
      <w:bCs/>
      <w:kern w:val="44"/>
      <w:sz w:val="44"/>
      <w:szCs w:val="44"/>
    </w:rPr>
  </w:style>
  <w:style w:type="character" w:customStyle="1" w:styleId="13">
    <w:name w:val="标题 2 Char"/>
    <w:link w:val="3"/>
    <w:uiPriority w:val="9"/>
    <w:rPr>
      <w:rFonts w:ascii="Cambria" w:hAnsi="Cambria"/>
      <w:b/>
      <w:bCs/>
      <w:sz w:val="32"/>
      <w:szCs w:val="32"/>
    </w:rPr>
  </w:style>
  <w:style w:type="character" w:customStyle="1" w:styleId="14">
    <w:name w:val="批注框文本 Char"/>
    <w:link w:val="5"/>
    <w:uiPriority w:val="0"/>
    <w:rPr>
      <w:sz w:val="18"/>
      <w:szCs w:val="18"/>
    </w:rPr>
  </w:style>
  <w:style w:type="character" w:customStyle="1" w:styleId="15">
    <w:name w:val="页脚 Char"/>
    <w:link w:val="6"/>
    <w:uiPriority w:val="99"/>
    <w:rPr>
      <w:sz w:val="18"/>
      <w:szCs w:val="18"/>
    </w:rPr>
  </w:style>
  <w:style w:type="paragraph" w:customStyle="1" w:styleId="16">
    <w:name w:val="Char Char"/>
    <w:basedOn w:val="4"/>
    <w:uiPriority w:val="0"/>
    <w:pPr>
      <w:adjustRightInd/>
      <w:spacing w:line="240" w:lineRule="auto"/>
      <w:jc w:val="both"/>
      <w:textAlignment w:val="auto"/>
    </w:pPr>
  </w:style>
  <w:style w:type="paragraph" w:styleId="17">
    <w:name w:val="List Paragraph"/>
    <w:basedOn w:val="1"/>
    <w:qFormat/>
    <w:uiPriority w:val="34"/>
    <w:pPr>
      <w:adjustRightInd/>
      <w:spacing w:line="240" w:lineRule="auto"/>
      <w:ind w:firstLine="420" w:firstLineChars="200"/>
      <w:jc w:val="both"/>
      <w:textAlignment w:val="auto"/>
    </w:pPr>
    <w:rPr>
      <w:rFonts w:ascii="Calibri" w:hAnsi="Calibri" w:eastAsia="宋体"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3520</Words>
  <Characters>3931</Characters>
  <Lines>34</Lines>
  <Paragraphs>9</Paragraphs>
  <TotalTime>3</TotalTime>
  <ScaleCrop>false</ScaleCrop>
  <LinksUpToDate>false</LinksUpToDate>
  <CharactersWithSpaces>4362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2024-02-23T17:39:00Z</dcterms:created>
  <dc:creator>朱春礼</dc:creator>
  <cp:lastModifiedBy>Administrator</cp:lastModifiedBy>
  <cp:lastPrinted>2025-02-06T14:42:00Z</cp:lastPrinted>
  <dcterms:modified xsi:type="dcterms:W3CDTF">2025-02-24T05:15:38Z</dcterms:modified>
  <dc:title>附件1</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eyJoZGlkIjoiODczYTcwMjRjNDEzMTU4OGRkZGZkZDVmZDQ0Mzk2M2EifQ==</vt:lpwstr>
  </property>
  <property fmtid="{D5CDD505-2E9C-101B-9397-08002B2CF9AE}" pid="4" name="ICV">
    <vt:lpwstr>9E20016422A94236A477AE1C622C9019_13</vt:lpwstr>
  </property>
</Properties>
</file>