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1.2025年公交运营补贴—滨海公交（各开发区）绩效目标表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2025年公交运营补贴—滨海公交（各开发区）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203639300.00</w:t>
            </w:r>
          </w:p>
        </w:tc>
        <w:tc>
          <w:tcPr>
            <w:tcW w:w="1587" w:type="dxa"/>
            <w:vAlign w:val="center"/>
          </w:tcPr>
          <w:p>
            <w:pPr>
              <w:pStyle w:val="14"/>
            </w:pPr>
            <w:r>
              <w:t>其中：财政    资金</w:t>
            </w:r>
          </w:p>
        </w:tc>
        <w:tc>
          <w:tcPr>
            <w:tcW w:w="1843" w:type="dxa"/>
            <w:vAlign w:val="center"/>
          </w:tcPr>
          <w:p>
            <w:pPr>
              <w:pStyle w:val="13"/>
            </w:pPr>
            <w:r>
              <w:t>203639300.00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2025年公交运营补贴—滨海公交（各开发区）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1.按照补贴标准，保证补贴资金及时足额发放，确保新区公交集团正常运营。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补贴公交线路</w:t>
            </w:r>
          </w:p>
        </w:tc>
        <w:tc>
          <w:tcPr>
            <w:tcW w:w="3430" w:type="dxa"/>
            <w:vAlign w:val="center"/>
          </w:tcPr>
          <w:p>
            <w:pPr>
              <w:pStyle w:val="13"/>
            </w:pPr>
            <w:r>
              <w:t>补贴公交线路</w:t>
            </w:r>
          </w:p>
        </w:tc>
        <w:tc>
          <w:tcPr>
            <w:tcW w:w="2551" w:type="dxa"/>
            <w:vAlign w:val="center"/>
          </w:tcPr>
          <w:p>
            <w:pPr>
              <w:pStyle w:val="13"/>
            </w:pPr>
            <w:r>
              <w:t>≥100条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补贴发放期限</w:t>
            </w:r>
          </w:p>
        </w:tc>
        <w:tc>
          <w:tcPr>
            <w:tcW w:w="3430" w:type="dxa"/>
            <w:vAlign w:val="center"/>
          </w:tcPr>
          <w:p>
            <w:pPr>
              <w:pStyle w:val="13"/>
            </w:pPr>
            <w:r>
              <w:t>补贴发放期限</w:t>
            </w:r>
          </w:p>
        </w:tc>
        <w:tc>
          <w:tcPr>
            <w:tcW w:w="2551" w:type="dxa"/>
            <w:vAlign w:val="center"/>
          </w:tcPr>
          <w:p>
            <w:pPr>
              <w:pStyle w:val="13"/>
            </w:pPr>
            <w:r>
              <w:t>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发放补贴资金费用</w:t>
            </w:r>
          </w:p>
        </w:tc>
        <w:tc>
          <w:tcPr>
            <w:tcW w:w="3430" w:type="dxa"/>
            <w:vAlign w:val="center"/>
          </w:tcPr>
          <w:p>
            <w:pPr>
              <w:pStyle w:val="13"/>
            </w:pPr>
            <w:r>
              <w:t>发放补贴资金费用</w:t>
            </w:r>
          </w:p>
        </w:tc>
        <w:tc>
          <w:tcPr>
            <w:tcW w:w="2551" w:type="dxa"/>
            <w:vAlign w:val="center"/>
          </w:tcPr>
          <w:p>
            <w:pPr>
              <w:pStyle w:val="13"/>
            </w:pPr>
            <w:r>
              <w:t>203639300元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2.2025年公交运营补贴—滨海公交（区本级）绩效目标表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2025年公交运营补贴—滨海公交（区本级）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170000000.00</w:t>
            </w:r>
          </w:p>
        </w:tc>
        <w:tc>
          <w:tcPr>
            <w:tcW w:w="1587" w:type="dxa"/>
            <w:vAlign w:val="center"/>
          </w:tcPr>
          <w:p>
            <w:pPr>
              <w:pStyle w:val="14"/>
            </w:pPr>
            <w:r>
              <w:t>其中：财政    资金</w:t>
            </w:r>
          </w:p>
        </w:tc>
        <w:tc>
          <w:tcPr>
            <w:tcW w:w="1843" w:type="dxa"/>
            <w:vAlign w:val="center"/>
          </w:tcPr>
          <w:p>
            <w:pPr>
              <w:pStyle w:val="13"/>
            </w:pPr>
            <w:r>
              <w:t>170000000.00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2025年公交运营补贴—滨海公交（区本级）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1.按照补贴标准，保证补贴资金及时足额发放，确保新区公交集团正常运营。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补贴公交线路</w:t>
            </w:r>
          </w:p>
        </w:tc>
        <w:tc>
          <w:tcPr>
            <w:tcW w:w="3430" w:type="dxa"/>
            <w:vAlign w:val="center"/>
          </w:tcPr>
          <w:p>
            <w:pPr>
              <w:pStyle w:val="13"/>
            </w:pPr>
            <w:r>
              <w:t>补贴公交线路</w:t>
            </w:r>
          </w:p>
        </w:tc>
        <w:tc>
          <w:tcPr>
            <w:tcW w:w="2551" w:type="dxa"/>
            <w:vAlign w:val="center"/>
          </w:tcPr>
          <w:p>
            <w:pPr>
              <w:pStyle w:val="13"/>
            </w:pPr>
            <w:r>
              <w:t>≥100条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补贴发放期限</w:t>
            </w:r>
          </w:p>
        </w:tc>
        <w:tc>
          <w:tcPr>
            <w:tcW w:w="3430" w:type="dxa"/>
            <w:vAlign w:val="center"/>
          </w:tcPr>
          <w:p>
            <w:pPr>
              <w:pStyle w:val="13"/>
            </w:pPr>
            <w:r>
              <w:t>补贴发放期限</w:t>
            </w:r>
          </w:p>
        </w:tc>
        <w:tc>
          <w:tcPr>
            <w:tcW w:w="2551" w:type="dxa"/>
            <w:vAlign w:val="center"/>
          </w:tcPr>
          <w:p>
            <w:pPr>
              <w:pStyle w:val="13"/>
            </w:pPr>
            <w:r>
              <w:t>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发放补贴资金费用</w:t>
            </w:r>
          </w:p>
        </w:tc>
        <w:tc>
          <w:tcPr>
            <w:tcW w:w="3430" w:type="dxa"/>
            <w:vAlign w:val="center"/>
          </w:tcPr>
          <w:p>
            <w:pPr>
              <w:pStyle w:val="13"/>
            </w:pPr>
            <w:r>
              <w:t>发放补贴资金费用</w:t>
            </w:r>
          </w:p>
        </w:tc>
        <w:tc>
          <w:tcPr>
            <w:tcW w:w="2551" w:type="dxa"/>
            <w:vAlign w:val="center"/>
          </w:tcPr>
          <w:p>
            <w:pPr>
              <w:pStyle w:val="13"/>
            </w:pPr>
            <w:r>
              <w:t>17000万元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3.2025年公交运营补贴—市公交（各开发区）绩效目标表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2025年公交运营补贴—市公交（各开发区）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58078000.00</w:t>
            </w:r>
          </w:p>
        </w:tc>
        <w:tc>
          <w:tcPr>
            <w:tcW w:w="1587" w:type="dxa"/>
            <w:vAlign w:val="center"/>
          </w:tcPr>
          <w:p>
            <w:pPr>
              <w:pStyle w:val="14"/>
            </w:pPr>
            <w:r>
              <w:t>其中：财政    资金</w:t>
            </w:r>
          </w:p>
        </w:tc>
        <w:tc>
          <w:tcPr>
            <w:tcW w:w="1843" w:type="dxa"/>
            <w:vAlign w:val="center"/>
          </w:tcPr>
          <w:p>
            <w:pPr>
              <w:pStyle w:val="13"/>
            </w:pPr>
            <w:r>
              <w:t>58078000.00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2025年公交运营补贴—市公交（各开发区）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1.按照补贴标准，保证补贴资金及时足额发放，确保市公交集团正常运营。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补贴运营单位</w:t>
            </w:r>
          </w:p>
        </w:tc>
        <w:tc>
          <w:tcPr>
            <w:tcW w:w="3430" w:type="dxa"/>
            <w:vAlign w:val="center"/>
          </w:tcPr>
          <w:p>
            <w:pPr>
              <w:pStyle w:val="13"/>
            </w:pPr>
            <w:r>
              <w:t>补贴运营单位</w:t>
            </w:r>
          </w:p>
        </w:tc>
        <w:tc>
          <w:tcPr>
            <w:tcW w:w="2551" w:type="dxa"/>
            <w:vAlign w:val="center"/>
          </w:tcPr>
          <w:p>
            <w:pPr>
              <w:pStyle w:val="13"/>
            </w:pPr>
            <w:r>
              <w:t>1个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补贴发放期限</w:t>
            </w:r>
          </w:p>
        </w:tc>
        <w:tc>
          <w:tcPr>
            <w:tcW w:w="3430" w:type="dxa"/>
            <w:vAlign w:val="center"/>
          </w:tcPr>
          <w:p>
            <w:pPr>
              <w:pStyle w:val="13"/>
            </w:pPr>
            <w:r>
              <w:t>补贴发放期限</w:t>
            </w:r>
          </w:p>
        </w:tc>
        <w:tc>
          <w:tcPr>
            <w:tcW w:w="2551" w:type="dxa"/>
            <w:vAlign w:val="center"/>
          </w:tcPr>
          <w:p>
            <w:pPr>
              <w:pStyle w:val="13"/>
            </w:pPr>
            <w:r>
              <w:t>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补贴公交运营成本</w:t>
            </w:r>
          </w:p>
        </w:tc>
        <w:tc>
          <w:tcPr>
            <w:tcW w:w="3430" w:type="dxa"/>
            <w:vAlign w:val="center"/>
          </w:tcPr>
          <w:p>
            <w:pPr>
              <w:pStyle w:val="13"/>
            </w:pPr>
            <w:r>
              <w:t>补贴公交运营成本</w:t>
            </w:r>
          </w:p>
        </w:tc>
        <w:tc>
          <w:tcPr>
            <w:tcW w:w="2551" w:type="dxa"/>
            <w:vAlign w:val="center"/>
          </w:tcPr>
          <w:p>
            <w:pPr>
              <w:pStyle w:val="13"/>
            </w:pPr>
            <w:r>
              <w:t>58078000元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4.2025年公交运营补贴—市公交（区本级）绩效目标表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2025年公交运营补贴—市公交（区本级）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125652000.00</w:t>
            </w:r>
          </w:p>
        </w:tc>
        <w:tc>
          <w:tcPr>
            <w:tcW w:w="1587" w:type="dxa"/>
            <w:vAlign w:val="center"/>
          </w:tcPr>
          <w:p>
            <w:pPr>
              <w:pStyle w:val="14"/>
            </w:pPr>
            <w:r>
              <w:t>其中：财政    资金</w:t>
            </w:r>
          </w:p>
        </w:tc>
        <w:tc>
          <w:tcPr>
            <w:tcW w:w="1843" w:type="dxa"/>
            <w:vAlign w:val="center"/>
          </w:tcPr>
          <w:p>
            <w:pPr>
              <w:pStyle w:val="13"/>
            </w:pPr>
            <w:r>
              <w:t>125652000.00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2025年公交运营补贴—市公交（区本级）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1.按照补贴标准，保证补贴资金及时足额发放，确保市公交集团正常运营。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补贴运营单位</w:t>
            </w:r>
          </w:p>
        </w:tc>
        <w:tc>
          <w:tcPr>
            <w:tcW w:w="3430" w:type="dxa"/>
            <w:vAlign w:val="center"/>
          </w:tcPr>
          <w:p>
            <w:pPr>
              <w:pStyle w:val="13"/>
            </w:pPr>
            <w:r>
              <w:t>补贴运营单位</w:t>
            </w:r>
          </w:p>
        </w:tc>
        <w:tc>
          <w:tcPr>
            <w:tcW w:w="2551" w:type="dxa"/>
            <w:vAlign w:val="center"/>
          </w:tcPr>
          <w:p>
            <w:pPr>
              <w:pStyle w:val="13"/>
            </w:pPr>
            <w:r>
              <w:t>1个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补贴发放期限</w:t>
            </w:r>
          </w:p>
        </w:tc>
        <w:tc>
          <w:tcPr>
            <w:tcW w:w="3430" w:type="dxa"/>
            <w:vAlign w:val="center"/>
          </w:tcPr>
          <w:p>
            <w:pPr>
              <w:pStyle w:val="13"/>
            </w:pPr>
            <w:r>
              <w:t>补贴发放期限</w:t>
            </w:r>
          </w:p>
        </w:tc>
        <w:tc>
          <w:tcPr>
            <w:tcW w:w="2551" w:type="dxa"/>
            <w:vAlign w:val="center"/>
          </w:tcPr>
          <w:p>
            <w:pPr>
              <w:pStyle w:val="13"/>
            </w:pPr>
            <w:r>
              <w:t>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补贴公交运营成本</w:t>
            </w:r>
          </w:p>
        </w:tc>
        <w:tc>
          <w:tcPr>
            <w:tcW w:w="3430" w:type="dxa"/>
            <w:vAlign w:val="center"/>
          </w:tcPr>
          <w:p>
            <w:pPr>
              <w:pStyle w:val="13"/>
            </w:pPr>
            <w:r>
              <w:t>补贴公交运营成本</w:t>
            </w:r>
          </w:p>
        </w:tc>
        <w:tc>
          <w:tcPr>
            <w:tcW w:w="2551" w:type="dxa"/>
            <w:vAlign w:val="center"/>
          </w:tcPr>
          <w:p>
            <w:pPr>
              <w:pStyle w:val="13"/>
            </w:pPr>
            <w:r>
              <w:t>125652000元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5.2025年交通运输综合管理经费绩效目标表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2025年交通运输综合管理经费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2025年交通运输综合管理经费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1.开展滨海新区交通运输系统办公系统运营维护、原建交局固定资产搬运、原建交局及塘汉大分局资产清查和经济鉴证工作，提高交通运输系统综合服务效能。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系统维护数量</w:t>
            </w:r>
          </w:p>
        </w:tc>
        <w:tc>
          <w:tcPr>
            <w:tcW w:w="3430" w:type="dxa"/>
            <w:vAlign w:val="center"/>
          </w:tcPr>
          <w:p>
            <w:pPr>
              <w:pStyle w:val="13"/>
            </w:pPr>
            <w:r>
              <w:t>系统维护数量</w:t>
            </w:r>
          </w:p>
        </w:tc>
        <w:tc>
          <w:tcPr>
            <w:tcW w:w="2551" w:type="dxa"/>
            <w:vAlign w:val="center"/>
          </w:tcPr>
          <w:p>
            <w:pPr>
              <w:pStyle w:val="13"/>
            </w:pPr>
            <w:r>
              <w:t>≥1个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办公系统覆盖率</w:t>
            </w:r>
          </w:p>
        </w:tc>
        <w:tc>
          <w:tcPr>
            <w:tcW w:w="3430" w:type="dxa"/>
            <w:vAlign w:val="center"/>
          </w:tcPr>
          <w:p>
            <w:pPr>
              <w:pStyle w:val="13"/>
            </w:pPr>
            <w:r>
              <w:t>办公系统覆盖率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系统运维完成时间</w:t>
            </w:r>
          </w:p>
        </w:tc>
        <w:tc>
          <w:tcPr>
            <w:tcW w:w="3430" w:type="dxa"/>
            <w:vAlign w:val="center"/>
          </w:tcPr>
          <w:p>
            <w:pPr>
              <w:pStyle w:val="13"/>
            </w:pPr>
            <w:r>
              <w:t>系统运维完成时间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支付标准</w:t>
            </w:r>
          </w:p>
        </w:tc>
        <w:tc>
          <w:tcPr>
            <w:tcW w:w="3430" w:type="dxa"/>
            <w:vAlign w:val="center"/>
          </w:tcPr>
          <w:p>
            <w:pPr>
              <w:pStyle w:val="13"/>
            </w:pPr>
            <w:r>
              <w:t>支付标准</w:t>
            </w:r>
          </w:p>
        </w:tc>
        <w:tc>
          <w:tcPr>
            <w:tcW w:w="2551" w:type="dxa"/>
            <w:vAlign w:val="center"/>
          </w:tcPr>
          <w:p>
            <w:pPr>
              <w:pStyle w:val="13"/>
            </w:pPr>
            <w:r>
              <w:t>≤20万元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提高交通运输系统综合服务效能</w:t>
            </w:r>
          </w:p>
        </w:tc>
        <w:tc>
          <w:tcPr>
            <w:tcW w:w="3430" w:type="dxa"/>
            <w:vAlign w:val="center"/>
          </w:tcPr>
          <w:p>
            <w:pPr>
              <w:pStyle w:val="13"/>
            </w:pPr>
            <w:r>
              <w:t>提高交通运输系统综合服务效能</w:t>
            </w:r>
          </w:p>
        </w:tc>
        <w:tc>
          <w:tcPr>
            <w:tcW w:w="2551" w:type="dxa"/>
            <w:vAlign w:val="center"/>
          </w:tcPr>
          <w:p>
            <w:pPr>
              <w:pStyle w:val="13"/>
            </w:pPr>
            <w:r>
              <w:t>有效提升</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机关工作人员满意度</w:t>
            </w:r>
          </w:p>
        </w:tc>
        <w:tc>
          <w:tcPr>
            <w:tcW w:w="3430" w:type="dxa"/>
            <w:vAlign w:val="center"/>
          </w:tcPr>
          <w:p>
            <w:pPr>
              <w:pStyle w:val="13"/>
            </w:pPr>
            <w:r>
              <w:t>机关工作人员满意度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6.2025年滨海西站运营补贴绩效目标表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2025年滨海西站运营补贴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843" w:type="dxa"/>
            <w:vAlign w:val="center"/>
          </w:tcPr>
          <w:p>
            <w:pPr>
              <w:pStyle w:val="13"/>
            </w:pPr>
            <w:r>
              <w:t>10000000.00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2025年滨海西站运营补贴。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1.为了确保滨海西站市政配套设施运营正常，将通过及时发放运营补贴资金等方法的实施，完成滨海西站市政配套设施正常运营，确保旅客的安全出行，达到滨海西站运营服务满意度100%</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维护高铁站数量</w:t>
            </w:r>
          </w:p>
        </w:tc>
        <w:tc>
          <w:tcPr>
            <w:tcW w:w="3430" w:type="dxa"/>
            <w:vAlign w:val="center"/>
          </w:tcPr>
          <w:p>
            <w:pPr>
              <w:pStyle w:val="13"/>
            </w:pPr>
            <w:r>
              <w:t>维护高铁站数量</w:t>
            </w:r>
          </w:p>
        </w:tc>
        <w:tc>
          <w:tcPr>
            <w:tcW w:w="2551" w:type="dxa"/>
            <w:vAlign w:val="center"/>
          </w:tcPr>
          <w:p>
            <w:pPr>
              <w:pStyle w:val="13"/>
            </w:pPr>
            <w:r>
              <w:t>1座</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滨海西站市政配套设施运营合格率</w:t>
            </w:r>
          </w:p>
        </w:tc>
        <w:tc>
          <w:tcPr>
            <w:tcW w:w="3430" w:type="dxa"/>
            <w:vAlign w:val="center"/>
          </w:tcPr>
          <w:p>
            <w:pPr>
              <w:pStyle w:val="13"/>
            </w:pPr>
            <w:r>
              <w:t>滨海西站市政配套设施运营合格率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补贴期限</w:t>
            </w:r>
          </w:p>
        </w:tc>
        <w:tc>
          <w:tcPr>
            <w:tcW w:w="3430" w:type="dxa"/>
            <w:vAlign w:val="center"/>
          </w:tcPr>
          <w:p>
            <w:pPr>
              <w:pStyle w:val="13"/>
            </w:pPr>
            <w:r>
              <w:t>补贴期限</w:t>
            </w:r>
          </w:p>
        </w:tc>
        <w:tc>
          <w:tcPr>
            <w:tcW w:w="2551" w:type="dxa"/>
            <w:vAlign w:val="center"/>
          </w:tcPr>
          <w:p>
            <w:pPr>
              <w:pStyle w:val="13"/>
            </w:pPr>
            <w:r>
              <w:t>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运营补贴资金</w:t>
            </w:r>
          </w:p>
        </w:tc>
        <w:tc>
          <w:tcPr>
            <w:tcW w:w="3430" w:type="dxa"/>
            <w:vAlign w:val="center"/>
          </w:tcPr>
          <w:p>
            <w:pPr>
              <w:pStyle w:val="13"/>
            </w:pPr>
            <w:r>
              <w:t>运营补贴资金</w:t>
            </w:r>
          </w:p>
        </w:tc>
        <w:tc>
          <w:tcPr>
            <w:tcW w:w="2551" w:type="dxa"/>
            <w:vAlign w:val="center"/>
          </w:tcPr>
          <w:p>
            <w:pPr>
              <w:pStyle w:val="13"/>
            </w:pPr>
            <w:r>
              <w:t>10000000元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完善高铁站配套设施，提高便利出行率</w:t>
            </w:r>
          </w:p>
        </w:tc>
        <w:tc>
          <w:tcPr>
            <w:tcW w:w="3430" w:type="dxa"/>
            <w:vAlign w:val="center"/>
          </w:tcPr>
          <w:p>
            <w:pPr>
              <w:pStyle w:val="13"/>
            </w:pPr>
            <w:r>
              <w:t>完善高铁站配套设施，提高便利出行率</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7.2025年滨海新区智能网联汽车测试道路咨询服务费及开放提示牌安装费用绩效目标表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2025年滨海新区智能网联汽车测试道路咨询服务费及开放提示牌安装费用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843" w:type="dxa"/>
            <w:vAlign w:val="center"/>
          </w:tcPr>
          <w:p>
            <w:pPr>
              <w:pStyle w:val="13"/>
            </w:pPr>
            <w:r>
              <w:t>2000000.00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为滨海新区智能网联汽车测试道路开放提供咨询服务，安装开放提示牌，确保滨海新区智能网联汽车测试道路开放工作顺利开展。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1.为滨海新区智能网联汽车测试道路开放提供咨询服务，安装开放提示牌，确保滨海新区智能网联汽车测试道路开放工作顺利开展。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编制测试道路开放实施方案及安全设施评估报告</w:t>
            </w:r>
          </w:p>
        </w:tc>
        <w:tc>
          <w:tcPr>
            <w:tcW w:w="3430" w:type="dxa"/>
            <w:vAlign w:val="center"/>
          </w:tcPr>
          <w:p>
            <w:pPr>
              <w:pStyle w:val="13"/>
            </w:pPr>
            <w:r>
              <w:t>编制测试道路开放实施方案及安全设施评估报告</w:t>
            </w:r>
          </w:p>
        </w:tc>
        <w:tc>
          <w:tcPr>
            <w:tcW w:w="2551" w:type="dxa"/>
            <w:vAlign w:val="center"/>
          </w:tcPr>
          <w:p>
            <w:pPr>
              <w:pStyle w:val="13"/>
            </w:pPr>
            <w:r>
              <w:t>1项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开放提示牌安装达标率</w:t>
            </w:r>
          </w:p>
        </w:tc>
        <w:tc>
          <w:tcPr>
            <w:tcW w:w="3430" w:type="dxa"/>
            <w:vAlign w:val="center"/>
          </w:tcPr>
          <w:p>
            <w:pPr>
              <w:pStyle w:val="13"/>
            </w:pPr>
            <w:r>
              <w:t>开放提示牌安装达标率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测试道路开放完成时间</w:t>
            </w:r>
          </w:p>
        </w:tc>
        <w:tc>
          <w:tcPr>
            <w:tcW w:w="3430" w:type="dxa"/>
            <w:vAlign w:val="center"/>
          </w:tcPr>
          <w:p>
            <w:pPr>
              <w:pStyle w:val="13"/>
            </w:pPr>
            <w:r>
              <w:t>测试道路开放完成时间</w:t>
            </w:r>
          </w:p>
        </w:tc>
        <w:tc>
          <w:tcPr>
            <w:tcW w:w="2551" w:type="dxa"/>
            <w:vAlign w:val="center"/>
          </w:tcPr>
          <w:p>
            <w:pPr>
              <w:pStyle w:val="13"/>
            </w:pPr>
            <w:r>
              <w:t>2025年12月底前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咨询服务及提示牌安装费用</w:t>
            </w:r>
          </w:p>
        </w:tc>
        <w:tc>
          <w:tcPr>
            <w:tcW w:w="3430" w:type="dxa"/>
            <w:vAlign w:val="center"/>
          </w:tcPr>
          <w:p>
            <w:pPr>
              <w:pStyle w:val="13"/>
            </w:pPr>
            <w:r>
              <w:t>咨询服务及提示牌安装费用</w:t>
            </w:r>
          </w:p>
        </w:tc>
        <w:tc>
          <w:tcPr>
            <w:tcW w:w="2551" w:type="dxa"/>
            <w:vAlign w:val="center"/>
          </w:tcPr>
          <w:p>
            <w:pPr>
              <w:pStyle w:val="13"/>
            </w:pPr>
            <w:r>
              <w:t>200万元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为智能网联汽车测试提供测试道路</w:t>
            </w:r>
          </w:p>
        </w:tc>
        <w:tc>
          <w:tcPr>
            <w:tcW w:w="3430" w:type="dxa"/>
            <w:vAlign w:val="center"/>
          </w:tcPr>
          <w:p>
            <w:pPr>
              <w:pStyle w:val="13"/>
            </w:pPr>
            <w:r>
              <w:t>为智能网联汽车测试提供测试道路</w:t>
            </w:r>
          </w:p>
        </w:tc>
        <w:tc>
          <w:tcPr>
            <w:tcW w:w="2551" w:type="dxa"/>
            <w:vAlign w:val="center"/>
          </w:tcPr>
          <w:p>
            <w:pPr>
              <w:pStyle w:val="13"/>
            </w:pPr>
            <w:r>
              <w:t>效果显著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8.2025年滨海站运营补贴绩效目标表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843" w:type="dxa"/>
            <w:vAlign w:val="center"/>
          </w:tcPr>
          <w:p>
            <w:pPr>
              <w:pStyle w:val="13"/>
            </w:pPr>
            <w:r>
              <w:t>10000000.00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2025年滨海站运营补贴。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1.为了确保滨海站市政配套设施运营正常，将通过及时发放运营补贴资金等方法的实施，完成滨海站市政配套设施正常运营任务，确保旅客的安全出行。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维护高铁站数量</w:t>
            </w:r>
          </w:p>
        </w:tc>
        <w:tc>
          <w:tcPr>
            <w:tcW w:w="3430" w:type="dxa"/>
            <w:vAlign w:val="center"/>
          </w:tcPr>
          <w:p>
            <w:pPr>
              <w:pStyle w:val="13"/>
            </w:pPr>
            <w:r>
              <w:t>维护高铁站数量</w:t>
            </w:r>
          </w:p>
        </w:tc>
        <w:tc>
          <w:tcPr>
            <w:tcW w:w="2551" w:type="dxa"/>
            <w:vAlign w:val="center"/>
          </w:tcPr>
          <w:p>
            <w:pPr>
              <w:pStyle w:val="13"/>
            </w:pPr>
            <w:r>
              <w:t>1座</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运营补贴资金发放率</w:t>
            </w:r>
          </w:p>
        </w:tc>
        <w:tc>
          <w:tcPr>
            <w:tcW w:w="3430" w:type="dxa"/>
            <w:vAlign w:val="center"/>
          </w:tcPr>
          <w:p>
            <w:pPr>
              <w:pStyle w:val="13"/>
            </w:pPr>
            <w:r>
              <w:t>运营补贴资金发放率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补贴经费发放期限</w:t>
            </w:r>
          </w:p>
        </w:tc>
        <w:tc>
          <w:tcPr>
            <w:tcW w:w="3430" w:type="dxa"/>
            <w:vAlign w:val="center"/>
          </w:tcPr>
          <w:p>
            <w:pPr>
              <w:pStyle w:val="13"/>
            </w:pPr>
            <w:r>
              <w:t>补贴经费发放期限</w:t>
            </w:r>
          </w:p>
        </w:tc>
        <w:tc>
          <w:tcPr>
            <w:tcW w:w="2551" w:type="dxa"/>
            <w:vAlign w:val="center"/>
          </w:tcPr>
          <w:p>
            <w:pPr>
              <w:pStyle w:val="13"/>
            </w:pPr>
            <w:r>
              <w:t>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运营补贴资金</w:t>
            </w:r>
          </w:p>
        </w:tc>
        <w:tc>
          <w:tcPr>
            <w:tcW w:w="3430" w:type="dxa"/>
            <w:vAlign w:val="center"/>
          </w:tcPr>
          <w:p>
            <w:pPr>
              <w:pStyle w:val="13"/>
            </w:pPr>
            <w:r>
              <w:t>运营补贴资金</w:t>
            </w:r>
          </w:p>
        </w:tc>
        <w:tc>
          <w:tcPr>
            <w:tcW w:w="2551" w:type="dxa"/>
            <w:vAlign w:val="center"/>
          </w:tcPr>
          <w:p>
            <w:pPr>
              <w:pStyle w:val="13"/>
            </w:pPr>
            <w:r>
              <w:t>10000000元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完善高铁站配套设施，提高便利出行率</w:t>
            </w:r>
          </w:p>
        </w:tc>
        <w:tc>
          <w:tcPr>
            <w:tcW w:w="3430" w:type="dxa"/>
            <w:vAlign w:val="center"/>
          </w:tcPr>
          <w:p>
            <w:pPr>
              <w:pStyle w:val="13"/>
            </w:pPr>
            <w:r>
              <w:t>完善高铁站配套设施，提高便利出行率</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9.2025年地铁开通前期工作经费绩效目标表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2025年地铁开通前期工作经费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5800000.00</w:t>
            </w:r>
          </w:p>
        </w:tc>
        <w:tc>
          <w:tcPr>
            <w:tcW w:w="1587" w:type="dxa"/>
            <w:vAlign w:val="center"/>
          </w:tcPr>
          <w:p>
            <w:pPr>
              <w:pStyle w:val="14"/>
            </w:pPr>
            <w:r>
              <w:t>其中：财政    资金</w:t>
            </w:r>
          </w:p>
        </w:tc>
        <w:tc>
          <w:tcPr>
            <w:tcW w:w="1843" w:type="dxa"/>
            <w:vAlign w:val="center"/>
          </w:tcPr>
          <w:p>
            <w:pPr>
              <w:pStyle w:val="13"/>
            </w:pPr>
            <w:r>
              <w:t>5800000.00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前期经费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1.按照相关标准，及时拨付相关项目费用，确保城市轨道线路正常运营。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维护线路数</w:t>
            </w:r>
          </w:p>
        </w:tc>
        <w:tc>
          <w:tcPr>
            <w:tcW w:w="3430" w:type="dxa"/>
            <w:vAlign w:val="center"/>
          </w:tcPr>
          <w:p>
            <w:pPr>
              <w:pStyle w:val="13"/>
            </w:pPr>
            <w:r>
              <w:t>维护线路数</w:t>
            </w:r>
          </w:p>
        </w:tc>
        <w:tc>
          <w:tcPr>
            <w:tcW w:w="2551" w:type="dxa"/>
            <w:vAlign w:val="center"/>
          </w:tcPr>
          <w:p>
            <w:pPr>
              <w:pStyle w:val="13"/>
            </w:pPr>
            <w:r>
              <w:rPr>
                <w:rFonts w:hint="eastAsia"/>
                <w:lang w:eastAsia="zh-CN"/>
              </w:rPr>
              <w:t>≥</w:t>
            </w: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资金拨付合规率</w:t>
            </w:r>
          </w:p>
        </w:tc>
        <w:tc>
          <w:tcPr>
            <w:tcW w:w="3430" w:type="dxa"/>
            <w:vAlign w:val="center"/>
          </w:tcPr>
          <w:p>
            <w:pPr>
              <w:pStyle w:val="13"/>
            </w:pPr>
            <w:r>
              <w:t>资金拨付合规率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拨付期限</w:t>
            </w:r>
          </w:p>
        </w:tc>
        <w:tc>
          <w:tcPr>
            <w:tcW w:w="3430" w:type="dxa"/>
            <w:vAlign w:val="center"/>
          </w:tcPr>
          <w:p>
            <w:pPr>
              <w:pStyle w:val="13"/>
            </w:pPr>
            <w:r>
              <w:t>拨付期限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拨付项目费用</w:t>
            </w:r>
          </w:p>
        </w:tc>
        <w:tc>
          <w:tcPr>
            <w:tcW w:w="3430" w:type="dxa"/>
            <w:vAlign w:val="center"/>
          </w:tcPr>
          <w:p>
            <w:pPr>
              <w:pStyle w:val="13"/>
            </w:pPr>
            <w:r>
              <w:t>拨付项目费用</w:t>
            </w:r>
          </w:p>
        </w:tc>
        <w:tc>
          <w:tcPr>
            <w:tcW w:w="2551" w:type="dxa"/>
            <w:vAlign w:val="center"/>
          </w:tcPr>
          <w:p>
            <w:pPr>
              <w:pStyle w:val="13"/>
            </w:pPr>
            <w:r>
              <w:t>5800000元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10.2025年法律、资产与安全顾问*绩效目标表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2025年法律、资产与安全顾问*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2025年法律、资产与安全顾问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1.开展安全生产咨询及法律咨询服务，压实企业单位安全生产主体责任。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开展检查次数</w:t>
            </w:r>
          </w:p>
        </w:tc>
        <w:tc>
          <w:tcPr>
            <w:tcW w:w="3430" w:type="dxa"/>
            <w:vAlign w:val="center"/>
          </w:tcPr>
          <w:p>
            <w:pPr>
              <w:pStyle w:val="13"/>
            </w:pPr>
            <w:r>
              <w:t>开展检查次数</w:t>
            </w:r>
          </w:p>
        </w:tc>
        <w:tc>
          <w:tcPr>
            <w:tcW w:w="2551" w:type="dxa"/>
            <w:vAlign w:val="center"/>
          </w:tcPr>
          <w:p>
            <w:pPr>
              <w:pStyle w:val="13"/>
            </w:pPr>
            <w:r>
              <w:t>≥4次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服务事项办结率</w:t>
            </w:r>
          </w:p>
        </w:tc>
        <w:tc>
          <w:tcPr>
            <w:tcW w:w="3430" w:type="dxa"/>
            <w:vAlign w:val="center"/>
          </w:tcPr>
          <w:p>
            <w:pPr>
              <w:pStyle w:val="13"/>
            </w:pPr>
            <w:r>
              <w:t>服务事项办结率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工作任务按时完成时间</w:t>
            </w:r>
          </w:p>
        </w:tc>
        <w:tc>
          <w:tcPr>
            <w:tcW w:w="3430" w:type="dxa"/>
            <w:vAlign w:val="center"/>
          </w:tcPr>
          <w:p>
            <w:pPr>
              <w:pStyle w:val="13"/>
            </w:pPr>
            <w:r>
              <w:t>工作任务按时完成时间</w:t>
            </w:r>
          </w:p>
        </w:tc>
        <w:tc>
          <w:tcPr>
            <w:tcW w:w="2551" w:type="dxa"/>
            <w:vAlign w:val="center"/>
          </w:tcPr>
          <w:p>
            <w:pPr>
              <w:pStyle w:val="13"/>
            </w:pPr>
            <w:r>
              <w:t>1-12月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安全生产咨询成本</w:t>
            </w:r>
          </w:p>
        </w:tc>
        <w:tc>
          <w:tcPr>
            <w:tcW w:w="3430" w:type="dxa"/>
            <w:vAlign w:val="center"/>
          </w:tcPr>
          <w:p>
            <w:pPr>
              <w:pStyle w:val="13"/>
            </w:pPr>
            <w:r>
              <w:t>安全生产咨询成本</w:t>
            </w:r>
          </w:p>
        </w:tc>
        <w:tc>
          <w:tcPr>
            <w:tcW w:w="2551" w:type="dxa"/>
            <w:vAlign w:val="center"/>
          </w:tcPr>
          <w:p>
            <w:pPr>
              <w:pStyle w:val="13"/>
            </w:pPr>
            <w:r>
              <w:t>≤15万元</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法律咨询成本</w:t>
            </w:r>
          </w:p>
        </w:tc>
        <w:tc>
          <w:tcPr>
            <w:tcW w:w="3430" w:type="dxa"/>
            <w:vAlign w:val="center"/>
          </w:tcPr>
          <w:p>
            <w:pPr>
              <w:pStyle w:val="13"/>
            </w:pPr>
            <w:r>
              <w:t>法律咨询成本</w:t>
            </w:r>
          </w:p>
        </w:tc>
        <w:tc>
          <w:tcPr>
            <w:tcW w:w="2551" w:type="dxa"/>
            <w:vAlign w:val="center"/>
          </w:tcPr>
          <w:p>
            <w:pPr>
              <w:pStyle w:val="13"/>
            </w:pPr>
            <w:r>
              <w:t>≤15万元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压实企业单位安全生产主体责任</w:t>
            </w:r>
          </w:p>
        </w:tc>
        <w:tc>
          <w:tcPr>
            <w:tcW w:w="3430" w:type="dxa"/>
            <w:vAlign w:val="center"/>
          </w:tcPr>
          <w:p>
            <w:pPr>
              <w:pStyle w:val="13"/>
            </w:pPr>
            <w:r>
              <w:t>压实企业单位安全生产主体责任</w:t>
            </w:r>
          </w:p>
        </w:tc>
        <w:tc>
          <w:tcPr>
            <w:tcW w:w="2551" w:type="dxa"/>
            <w:vAlign w:val="center"/>
          </w:tcPr>
          <w:p>
            <w:pPr>
              <w:pStyle w:val="13"/>
            </w:pPr>
            <w:r>
              <w:t>效果显著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享受咨询服务人员满意度</w:t>
            </w:r>
          </w:p>
        </w:tc>
        <w:tc>
          <w:tcPr>
            <w:tcW w:w="3430" w:type="dxa"/>
            <w:vAlign w:val="center"/>
          </w:tcPr>
          <w:p>
            <w:pPr>
              <w:pStyle w:val="13"/>
            </w:pPr>
            <w:r>
              <w:t>享受咨询服务人员满意度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11.2025年公路设施养管费绩效目标表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2025年公路设施养管费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21000000.00</w:t>
            </w:r>
          </w:p>
        </w:tc>
        <w:tc>
          <w:tcPr>
            <w:tcW w:w="1587" w:type="dxa"/>
            <w:vAlign w:val="center"/>
          </w:tcPr>
          <w:p>
            <w:pPr>
              <w:pStyle w:val="14"/>
            </w:pPr>
            <w:r>
              <w:t>其中：财政    资金</w:t>
            </w:r>
          </w:p>
        </w:tc>
        <w:tc>
          <w:tcPr>
            <w:tcW w:w="1843" w:type="dxa"/>
            <w:vAlign w:val="center"/>
          </w:tcPr>
          <w:p>
            <w:pPr>
              <w:pStyle w:val="13"/>
            </w:pPr>
            <w:r>
              <w:t>21000000.00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支付滨海新区范围内公路、区委托道路等养护管理经费及路灯电费等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1.通过对滨海新区范围内公路、区委托道路等支付养管经费及路灯电费，保障道路通行能力，增强群众出行的舒适感与安全感。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养管道路里程</w:t>
            </w:r>
          </w:p>
        </w:tc>
        <w:tc>
          <w:tcPr>
            <w:tcW w:w="3430" w:type="dxa"/>
            <w:vAlign w:val="center"/>
          </w:tcPr>
          <w:p>
            <w:pPr>
              <w:pStyle w:val="13"/>
            </w:pPr>
            <w:r>
              <w:t>养管道路里程</w:t>
            </w:r>
          </w:p>
        </w:tc>
        <w:tc>
          <w:tcPr>
            <w:tcW w:w="2551" w:type="dxa"/>
            <w:vAlign w:val="center"/>
          </w:tcPr>
          <w:p>
            <w:pPr>
              <w:pStyle w:val="13"/>
            </w:pPr>
            <w:r>
              <w:t>≥133公里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道路养护达标率</w:t>
            </w:r>
          </w:p>
        </w:tc>
        <w:tc>
          <w:tcPr>
            <w:tcW w:w="3430" w:type="dxa"/>
            <w:vAlign w:val="center"/>
          </w:tcPr>
          <w:p>
            <w:pPr>
              <w:pStyle w:val="13"/>
            </w:pPr>
            <w:r>
              <w:t>道路养护达标率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公路设施养管完成时间</w:t>
            </w:r>
          </w:p>
        </w:tc>
        <w:tc>
          <w:tcPr>
            <w:tcW w:w="3430" w:type="dxa"/>
            <w:vAlign w:val="center"/>
          </w:tcPr>
          <w:p>
            <w:pPr>
              <w:pStyle w:val="13"/>
            </w:pPr>
            <w:r>
              <w:t>公路设施养管完成时间</w:t>
            </w:r>
          </w:p>
        </w:tc>
        <w:tc>
          <w:tcPr>
            <w:tcW w:w="2551" w:type="dxa"/>
            <w:vAlign w:val="center"/>
          </w:tcPr>
          <w:p>
            <w:pPr>
              <w:pStyle w:val="13"/>
            </w:pPr>
            <w:r>
              <w:t>2025年12月底前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公路养护管理费用</w:t>
            </w:r>
          </w:p>
        </w:tc>
        <w:tc>
          <w:tcPr>
            <w:tcW w:w="3430" w:type="dxa"/>
            <w:vAlign w:val="center"/>
          </w:tcPr>
          <w:p>
            <w:pPr>
              <w:pStyle w:val="13"/>
            </w:pPr>
            <w:r>
              <w:t>公路养护管理费用</w:t>
            </w:r>
          </w:p>
        </w:tc>
        <w:tc>
          <w:tcPr>
            <w:tcW w:w="2551" w:type="dxa"/>
            <w:vAlign w:val="center"/>
          </w:tcPr>
          <w:p>
            <w:pPr>
              <w:pStyle w:val="13"/>
            </w:pPr>
            <w:r>
              <w:t>2100万元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保障道路通行能力，增强居民出行的舒适度</w:t>
            </w:r>
          </w:p>
        </w:tc>
        <w:tc>
          <w:tcPr>
            <w:tcW w:w="3430" w:type="dxa"/>
            <w:vAlign w:val="center"/>
          </w:tcPr>
          <w:p>
            <w:pPr>
              <w:pStyle w:val="13"/>
            </w:pPr>
            <w:r>
              <w:t>保障道路通行能力，增强居民出行的舒适度</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出行群众满意度</w:t>
            </w:r>
          </w:p>
        </w:tc>
        <w:tc>
          <w:tcPr>
            <w:tcW w:w="3430" w:type="dxa"/>
            <w:vAlign w:val="center"/>
          </w:tcPr>
          <w:p>
            <w:pPr>
              <w:pStyle w:val="13"/>
            </w:pPr>
            <w:r>
              <w:t>出行群众满意度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12.2025年津石高速天津东段日常运营养护及联网运营维护费用绩效目标表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2025年津石高速天津东段日常运营养护及联网运营维护费用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9000000.00</w:t>
            </w:r>
          </w:p>
        </w:tc>
        <w:tc>
          <w:tcPr>
            <w:tcW w:w="1587" w:type="dxa"/>
            <w:vAlign w:val="center"/>
          </w:tcPr>
          <w:p>
            <w:pPr>
              <w:pStyle w:val="14"/>
            </w:pPr>
            <w:r>
              <w:t>其中：财政    资金</w:t>
            </w:r>
          </w:p>
        </w:tc>
        <w:tc>
          <w:tcPr>
            <w:tcW w:w="1843" w:type="dxa"/>
            <w:vAlign w:val="center"/>
          </w:tcPr>
          <w:p>
            <w:pPr>
              <w:pStyle w:val="13"/>
            </w:pPr>
            <w:r>
              <w:t>9000000.00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用于确保津石高速运营正常，及时发放日常运营养护及联网运营维护费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了确保津石高速运营正常，将通过及时发放日常运营养护及联网运营维护费等方法的实施，完成津石高速天津东段主线正常运营，顺利完成联网收费系统维护及票据管理业务，确保道路畅通，达到津石高速天津东段主线运营服务满意度≥90%</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高速运营里程</w:t>
            </w:r>
          </w:p>
        </w:tc>
        <w:tc>
          <w:tcPr>
            <w:tcW w:w="3430" w:type="dxa"/>
            <w:vAlign w:val="center"/>
          </w:tcPr>
          <w:p>
            <w:pPr>
              <w:pStyle w:val="13"/>
            </w:pPr>
            <w:r>
              <w:t>高速运营里程</w:t>
            </w:r>
          </w:p>
        </w:tc>
        <w:tc>
          <w:tcPr>
            <w:tcW w:w="2551" w:type="dxa"/>
            <w:vAlign w:val="center"/>
          </w:tcPr>
          <w:p>
            <w:pPr>
              <w:pStyle w:val="13"/>
            </w:pPr>
            <w:r>
              <w:t>31.3公里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运营合格率</w:t>
            </w:r>
          </w:p>
        </w:tc>
        <w:tc>
          <w:tcPr>
            <w:tcW w:w="3430" w:type="dxa"/>
            <w:vAlign w:val="center"/>
          </w:tcPr>
          <w:p>
            <w:pPr>
              <w:pStyle w:val="13"/>
            </w:pPr>
            <w:r>
              <w:t>运营合格率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日常运营养护及联网运营维护完成时间</w:t>
            </w:r>
          </w:p>
        </w:tc>
        <w:tc>
          <w:tcPr>
            <w:tcW w:w="3430" w:type="dxa"/>
            <w:vAlign w:val="center"/>
          </w:tcPr>
          <w:p>
            <w:pPr>
              <w:pStyle w:val="13"/>
            </w:pPr>
            <w:r>
              <w:t>日常运营养护及联网运营维护完成时间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日常运营养护及联网运营维护费支出</w:t>
            </w:r>
          </w:p>
        </w:tc>
        <w:tc>
          <w:tcPr>
            <w:tcW w:w="3430" w:type="dxa"/>
            <w:vAlign w:val="center"/>
          </w:tcPr>
          <w:p>
            <w:pPr>
              <w:pStyle w:val="13"/>
            </w:pPr>
            <w:r>
              <w:t>日常运营养护及联网运营维护费支出</w:t>
            </w:r>
          </w:p>
        </w:tc>
        <w:tc>
          <w:tcPr>
            <w:tcW w:w="2551" w:type="dxa"/>
            <w:vAlign w:val="center"/>
          </w:tcPr>
          <w:p>
            <w:pPr>
              <w:pStyle w:val="13"/>
            </w:pPr>
            <w:r>
              <w:t>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确保高速运营正常</w:t>
            </w:r>
          </w:p>
        </w:tc>
        <w:tc>
          <w:tcPr>
            <w:tcW w:w="3430" w:type="dxa"/>
            <w:vAlign w:val="center"/>
          </w:tcPr>
          <w:p>
            <w:pPr>
              <w:pStyle w:val="13"/>
            </w:pPr>
            <w:r>
              <w:t>确保高速运营正常</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周边群众满意度</w:t>
            </w:r>
          </w:p>
        </w:tc>
        <w:tc>
          <w:tcPr>
            <w:tcW w:w="3430" w:type="dxa"/>
            <w:vAlign w:val="center"/>
          </w:tcPr>
          <w:p>
            <w:pPr>
              <w:pStyle w:val="13"/>
            </w:pPr>
            <w:r>
              <w:t>周边群众满意度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13.2025年京津城际延伸线客票精准补贴绩效目标表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2025年京津城际延伸线客票精准补贴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843" w:type="dxa"/>
            <w:vAlign w:val="center"/>
          </w:tcPr>
          <w:p>
            <w:pPr>
              <w:pStyle w:val="13"/>
            </w:pPr>
            <w:r>
              <w:t>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2025年京津城际延伸线客票精准补贴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1.按照相关标准，及时拨付符合津滨通勤精准补贴条件人员费用，确保京津城际延长线精准补贴政策顺利推行。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补贴运营单位</w:t>
            </w:r>
          </w:p>
        </w:tc>
        <w:tc>
          <w:tcPr>
            <w:tcW w:w="3430" w:type="dxa"/>
            <w:vAlign w:val="center"/>
          </w:tcPr>
          <w:p>
            <w:pPr>
              <w:pStyle w:val="13"/>
            </w:pPr>
            <w:r>
              <w:t>补贴运营单位</w:t>
            </w:r>
          </w:p>
        </w:tc>
        <w:tc>
          <w:tcPr>
            <w:tcW w:w="2551" w:type="dxa"/>
            <w:vAlign w:val="center"/>
          </w:tcPr>
          <w:p>
            <w:pPr>
              <w:pStyle w:val="13"/>
            </w:pPr>
            <w:r>
              <w:t>1个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补贴拨付合规率</w:t>
            </w:r>
          </w:p>
        </w:tc>
        <w:tc>
          <w:tcPr>
            <w:tcW w:w="3430" w:type="dxa"/>
            <w:vAlign w:val="center"/>
          </w:tcPr>
          <w:p>
            <w:pPr>
              <w:pStyle w:val="13"/>
            </w:pPr>
            <w:r>
              <w:t>补贴拨付合规率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补贴期限</w:t>
            </w:r>
          </w:p>
        </w:tc>
        <w:tc>
          <w:tcPr>
            <w:tcW w:w="3430" w:type="dxa"/>
            <w:vAlign w:val="center"/>
          </w:tcPr>
          <w:p>
            <w:pPr>
              <w:pStyle w:val="13"/>
            </w:pPr>
            <w:r>
              <w:t>补贴期限</w:t>
            </w:r>
          </w:p>
        </w:tc>
        <w:tc>
          <w:tcPr>
            <w:tcW w:w="2551" w:type="dxa"/>
            <w:vAlign w:val="center"/>
          </w:tcPr>
          <w:p>
            <w:pPr>
              <w:pStyle w:val="13"/>
            </w:pPr>
            <w:r>
              <w:t>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拨付符合津滨通勤精准补贴条件人员费用</w:t>
            </w:r>
          </w:p>
        </w:tc>
        <w:tc>
          <w:tcPr>
            <w:tcW w:w="3430" w:type="dxa"/>
            <w:vAlign w:val="center"/>
          </w:tcPr>
          <w:p>
            <w:pPr>
              <w:pStyle w:val="13"/>
            </w:pPr>
            <w:r>
              <w:t>拨付符合津滨通勤精准补贴条件人员费用</w:t>
            </w:r>
          </w:p>
        </w:tc>
        <w:tc>
          <w:tcPr>
            <w:tcW w:w="2551" w:type="dxa"/>
            <w:vAlign w:val="center"/>
          </w:tcPr>
          <w:p>
            <w:pPr>
              <w:pStyle w:val="13"/>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14.2025年京津城际延伸线运营补贴绩效目标表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2025年京津城际延伸线运营补贴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126790000.00</w:t>
            </w:r>
          </w:p>
        </w:tc>
        <w:tc>
          <w:tcPr>
            <w:tcW w:w="1587" w:type="dxa"/>
            <w:vAlign w:val="center"/>
          </w:tcPr>
          <w:p>
            <w:pPr>
              <w:pStyle w:val="14"/>
            </w:pPr>
            <w:r>
              <w:t>其中：财政    资金</w:t>
            </w:r>
          </w:p>
        </w:tc>
        <w:tc>
          <w:tcPr>
            <w:tcW w:w="1843" w:type="dxa"/>
            <w:vAlign w:val="center"/>
          </w:tcPr>
          <w:p>
            <w:pPr>
              <w:pStyle w:val="13"/>
            </w:pPr>
            <w:r>
              <w:t>126790000.00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2025年京津城际延伸线运营补贴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1.按照补贴标准，保证补贴资金及时足额发放，确保京津城际铁路延伸线正常运营。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补贴运营单位</w:t>
            </w:r>
          </w:p>
        </w:tc>
        <w:tc>
          <w:tcPr>
            <w:tcW w:w="3430" w:type="dxa"/>
            <w:vAlign w:val="center"/>
          </w:tcPr>
          <w:p>
            <w:pPr>
              <w:pStyle w:val="13"/>
            </w:pPr>
            <w:r>
              <w:t>补贴运营单位</w:t>
            </w:r>
          </w:p>
        </w:tc>
        <w:tc>
          <w:tcPr>
            <w:tcW w:w="2551" w:type="dxa"/>
            <w:vAlign w:val="center"/>
          </w:tcPr>
          <w:p>
            <w:pPr>
              <w:pStyle w:val="13"/>
            </w:pPr>
            <w:r>
              <w:t>1个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补贴拨付合规率</w:t>
            </w:r>
          </w:p>
        </w:tc>
        <w:tc>
          <w:tcPr>
            <w:tcW w:w="3430" w:type="dxa"/>
            <w:vAlign w:val="center"/>
          </w:tcPr>
          <w:p>
            <w:pPr>
              <w:pStyle w:val="13"/>
            </w:pPr>
            <w:r>
              <w:t>补贴拨付合规率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补贴期限</w:t>
            </w:r>
          </w:p>
        </w:tc>
        <w:tc>
          <w:tcPr>
            <w:tcW w:w="3430" w:type="dxa"/>
            <w:vAlign w:val="center"/>
          </w:tcPr>
          <w:p>
            <w:pPr>
              <w:pStyle w:val="13"/>
            </w:pPr>
            <w:r>
              <w:t>补贴期限</w:t>
            </w:r>
          </w:p>
        </w:tc>
        <w:tc>
          <w:tcPr>
            <w:tcW w:w="2551" w:type="dxa"/>
            <w:vAlign w:val="center"/>
          </w:tcPr>
          <w:p>
            <w:pPr>
              <w:pStyle w:val="13"/>
            </w:pPr>
            <w:r>
              <w:t>12月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补贴动车组列车运营成本</w:t>
            </w:r>
          </w:p>
        </w:tc>
        <w:tc>
          <w:tcPr>
            <w:tcW w:w="3430" w:type="dxa"/>
            <w:vAlign w:val="center"/>
          </w:tcPr>
          <w:p>
            <w:pPr>
              <w:pStyle w:val="13"/>
            </w:pPr>
            <w:r>
              <w:t>补贴动车组列车运营成本</w:t>
            </w:r>
          </w:p>
        </w:tc>
        <w:tc>
          <w:tcPr>
            <w:tcW w:w="2551" w:type="dxa"/>
            <w:vAlign w:val="center"/>
          </w:tcPr>
          <w:p>
            <w:pPr>
              <w:pStyle w:val="13"/>
            </w:pPr>
            <w:r>
              <w:t>126790000元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推进双城通勤便利化工作</w:t>
            </w:r>
          </w:p>
        </w:tc>
        <w:tc>
          <w:tcPr>
            <w:tcW w:w="3430" w:type="dxa"/>
            <w:vAlign w:val="center"/>
          </w:tcPr>
          <w:p>
            <w:pPr>
              <w:pStyle w:val="13"/>
            </w:pPr>
            <w:r>
              <w:t>推进双城通勤便利化工作</w:t>
            </w:r>
          </w:p>
        </w:tc>
        <w:tc>
          <w:tcPr>
            <w:tcW w:w="2551" w:type="dxa"/>
            <w:vAlign w:val="center"/>
          </w:tcPr>
          <w:p>
            <w:pPr>
              <w:pStyle w:val="13"/>
            </w:pPr>
            <w:r>
              <w:t>有效促进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15.2025年一般债券付息支出（基建）绩效目标表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2025年一般债券付息支出（基建）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166672734.19</w:t>
            </w:r>
          </w:p>
        </w:tc>
        <w:tc>
          <w:tcPr>
            <w:tcW w:w="1587" w:type="dxa"/>
            <w:vAlign w:val="center"/>
          </w:tcPr>
          <w:p>
            <w:pPr>
              <w:pStyle w:val="14"/>
            </w:pPr>
            <w:r>
              <w:t>其中：财政    资金</w:t>
            </w:r>
          </w:p>
        </w:tc>
        <w:tc>
          <w:tcPr>
            <w:tcW w:w="1843" w:type="dxa"/>
            <w:vAlign w:val="center"/>
          </w:tcPr>
          <w:p>
            <w:pPr>
              <w:pStyle w:val="13"/>
            </w:pPr>
            <w:r>
              <w:t>166672734.19</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2025年一般债券付息支出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1.通过按时偿还一般债利息，保障债权人权利，保障项目顺利进行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≥2个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≥99%</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偿还利息</w:t>
            </w:r>
          </w:p>
        </w:tc>
        <w:tc>
          <w:tcPr>
            <w:tcW w:w="3430" w:type="dxa"/>
            <w:vAlign w:val="center"/>
          </w:tcPr>
          <w:p>
            <w:pPr>
              <w:pStyle w:val="13"/>
            </w:pPr>
            <w:r>
              <w:t>偿还利息</w:t>
            </w:r>
          </w:p>
        </w:tc>
        <w:tc>
          <w:tcPr>
            <w:tcW w:w="2551" w:type="dxa"/>
            <w:vAlign w:val="center"/>
          </w:tcPr>
          <w:p>
            <w:pPr>
              <w:pStyle w:val="13"/>
            </w:pPr>
            <w:r>
              <w:t>≤166672734.19元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16.2025年专项债券付息支出（债券）绩效目标表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2025年专项债券付息支出（债券）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494439540.63</w:t>
            </w:r>
          </w:p>
        </w:tc>
        <w:tc>
          <w:tcPr>
            <w:tcW w:w="1587" w:type="dxa"/>
            <w:vAlign w:val="center"/>
          </w:tcPr>
          <w:p>
            <w:pPr>
              <w:pStyle w:val="14"/>
            </w:pPr>
            <w:r>
              <w:t>其中：财政    资金</w:t>
            </w:r>
          </w:p>
        </w:tc>
        <w:tc>
          <w:tcPr>
            <w:tcW w:w="1843" w:type="dxa"/>
            <w:vAlign w:val="center"/>
          </w:tcPr>
          <w:p>
            <w:pPr>
              <w:pStyle w:val="13"/>
            </w:pPr>
            <w:r>
              <w:t>494439540.63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2025年专项债付息支出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1.通过按时偿还专项债利息，保障债权人权利，保障项目顺利进行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≥10个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≥99%</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偿还利息</w:t>
            </w:r>
          </w:p>
        </w:tc>
        <w:tc>
          <w:tcPr>
            <w:tcW w:w="3430" w:type="dxa"/>
            <w:vAlign w:val="center"/>
          </w:tcPr>
          <w:p>
            <w:pPr>
              <w:pStyle w:val="13"/>
            </w:pPr>
            <w:r>
              <w:t>偿还利息</w:t>
            </w:r>
          </w:p>
        </w:tc>
        <w:tc>
          <w:tcPr>
            <w:tcW w:w="2551" w:type="dxa"/>
            <w:vAlign w:val="center"/>
          </w:tcPr>
          <w:p>
            <w:pPr>
              <w:pStyle w:val="13"/>
            </w:pPr>
            <w:r>
              <w:t>≤494439540.63元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17.滨海新区2024年公路7座桥梁大修工程绩效目标表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滨海新区2024年公路7座桥梁大修工程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1330969.40</w:t>
            </w:r>
          </w:p>
        </w:tc>
        <w:tc>
          <w:tcPr>
            <w:tcW w:w="1587" w:type="dxa"/>
            <w:vAlign w:val="center"/>
          </w:tcPr>
          <w:p>
            <w:pPr>
              <w:pStyle w:val="14"/>
            </w:pPr>
            <w:r>
              <w:t>其中：财政    资金</w:t>
            </w:r>
          </w:p>
        </w:tc>
        <w:tc>
          <w:tcPr>
            <w:tcW w:w="1843" w:type="dxa"/>
            <w:vAlign w:val="center"/>
          </w:tcPr>
          <w:p>
            <w:pPr>
              <w:pStyle w:val="13"/>
            </w:pPr>
            <w:r>
              <w:t>1330969.40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1.支付塘汉快速路永定新河特大桥、北大街跨唐津高速桥、疏港联络线跨线桥的修复性养护费用，缓解区域交通拥堵，提升区域交通报务水平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修复桥梁</w:t>
            </w:r>
          </w:p>
        </w:tc>
        <w:tc>
          <w:tcPr>
            <w:tcW w:w="3430" w:type="dxa"/>
            <w:vAlign w:val="center"/>
          </w:tcPr>
          <w:p>
            <w:pPr>
              <w:pStyle w:val="13"/>
            </w:pPr>
            <w:r>
              <w:t>修复桥梁</w:t>
            </w:r>
          </w:p>
        </w:tc>
        <w:tc>
          <w:tcPr>
            <w:tcW w:w="2551" w:type="dxa"/>
            <w:vAlign w:val="center"/>
          </w:tcPr>
          <w:p>
            <w:pPr>
              <w:pStyle w:val="13"/>
            </w:pPr>
            <w:r>
              <w:t>3座</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符合技术规范</w:t>
            </w:r>
          </w:p>
        </w:tc>
        <w:tc>
          <w:tcPr>
            <w:tcW w:w="3430" w:type="dxa"/>
            <w:vAlign w:val="center"/>
          </w:tcPr>
          <w:p>
            <w:pPr>
              <w:pStyle w:val="13"/>
            </w:pPr>
            <w:r>
              <w:t>符合技术规范</w:t>
            </w:r>
          </w:p>
        </w:tc>
        <w:tc>
          <w:tcPr>
            <w:tcW w:w="2551" w:type="dxa"/>
            <w:vAlign w:val="center"/>
          </w:tcPr>
          <w:p>
            <w:pPr>
              <w:pStyle w:val="13"/>
            </w:pPr>
            <w:r>
              <w:t>合格</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工程款支付完成时间</w:t>
            </w:r>
          </w:p>
        </w:tc>
        <w:tc>
          <w:tcPr>
            <w:tcW w:w="3430" w:type="dxa"/>
            <w:vAlign w:val="center"/>
          </w:tcPr>
          <w:p>
            <w:pPr>
              <w:pStyle w:val="13"/>
            </w:pPr>
            <w:r>
              <w:t>工程款支付完成时间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2024年地方政府一般债</w:t>
            </w:r>
          </w:p>
        </w:tc>
        <w:tc>
          <w:tcPr>
            <w:tcW w:w="3430" w:type="dxa"/>
            <w:vAlign w:val="center"/>
          </w:tcPr>
          <w:p>
            <w:pPr>
              <w:pStyle w:val="13"/>
            </w:pPr>
            <w:r>
              <w:t>2024年地方政府一般债</w:t>
            </w:r>
          </w:p>
        </w:tc>
        <w:tc>
          <w:tcPr>
            <w:tcW w:w="2551" w:type="dxa"/>
            <w:vAlign w:val="center"/>
          </w:tcPr>
          <w:p>
            <w:pPr>
              <w:pStyle w:val="13"/>
            </w:pPr>
            <w:r>
              <w:t>≤133.1万元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项目的实施缓解区域交通拥堵，提升区域交通报务水平。</w:t>
            </w:r>
          </w:p>
        </w:tc>
        <w:tc>
          <w:tcPr>
            <w:tcW w:w="3430" w:type="dxa"/>
            <w:vAlign w:val="center"/>
          </w:tcPr>
          <w:p>
            <w:pPr>
              <w:pStyle w:val="13"/>
            </w:pPr>
            <w:r>
              <w:t>项目的实施缓解区域交通拥堵，提升区域交通报务水平。</w:t>
            </w:r>
          </w:p>
        </w:tc>
        <w:tc>
          <w:tcPr>
            <w:tcW w:w="2551" w:type="dxa"/>
            <w:vAlign w:val="center"/>
          </w:tcPr>
          <w:p>
            <w:pPr>
              <w:pStyle w:val="13"/>
            </w:pPr>
            <w:r>
              <w:t>显著提高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周边群众满意度</w:t>
            </w:r>
          </w:p>
        </w:tc>
        <w:tc>
          <w:tcPr>
            <w:tcW w:w="3430" w:type="dxa"/>
            <w:vAlign w:val="center"/>
          </w:tcPr>
          <w:p>
            <w:pPr>
              <w:pStyle w:val="13"/>
            </w:pPr>
            <w:r>
              <w:t>周边群众满意度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18.京津冀协同发展之产业协同与智慧城市建设项目（天津治超联网信息管理系统）绩效目标表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京津冀协同发展之产业协同与智慧城市建设项目（天津治超联网信息管理系统）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17828821.78</w:t>
            </w:r>
          </w:p>
        </w:tc>
        <w:tc>
          <w:tcPr>
            <w:tcW w:w="1587" w:type="dxa"/>
            <w:vAlign w:val="center"/>
          </w:tcPr>
          <w:p>
            <w:pPr>
              <w:pStyle w:val="14"/>
            </w:pPr>
            <w:r>
              <w:t>其中：财政    资金</w:t>
            </w:r>
          </w:p>
        </w:tc>
        <w:tc>
          <w:tcPr>
            <w:tcW w:w="1843" w:type="dxa"/>
            <w:vAlign w:val="center"/>
          </w:tcPr>
          <w:p>
            <w:pPr>
              <w:pStyle w:val="13"/>
            </w:pPr>
            <w:r>
              <w:t>17828821.78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1.建设16处非现场执法点位，点位设备质量合格、精度准确，持有合格有效的计量检定证书；点位设备、设施损坏后及时维修，不影响正常运行。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建设非现场执法点位</w:t>
            </w:r>
          </w:p>
        </w:tc>
        <w:tc>
          <w:tcPr>
            <w:tcW w:w="3430" w:type="dxa"/>
            <w:vAlign w:val="center"/>
          </w:tcPr>
          <w:p>
            <w:pPr>
              <w:pStyle w:val="13"/>
            </w:pPr>
            <w:r>
              <w:t>建设非现场执法点位</w:t>
            </w:r>
          </w:p>
        </w:tc>
        <w:tc>
          <w:tcPr>
            <w:tcW w:w="2551" w:type="dxa"/>
            <w:vAlign w:val="center"/>
          </w:tcPr>
          <w:p>
            <w:pPr>
              <w:pStyle w:val="13"/>
            </w:pPr>
            <w:r>
              <w:t>16个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检测设备质量要求</w:t>
            </w:r>
          </w:p>
        </w:tc>
        <w:tc>
          <w:tcPr>
            <w:tcW w:w="3430" w:type="dxa"/>
            <w:vAlign w:val="center"/>
          </w:tcPr>
          <w:p>
            <w:pPr>
              <w:pStyle w:val="13"/>
            </w:pPr>
            <w:r>
              <w:t>检测设备质量要求</w:t>
            </w:r>
          </w:p>
        </w:tc>
        <w:tc>
          <w:tcPr>
            <w:tcW w:w="2551" w:type="dxa"/>
            <w:vAlign w:val="center"/>
          </w:tcPr>
          <w:p>
            <w:pPr>
              <w:pStyle w:val="13"/>
            </w:pPr>
            <w:r>
              <w:t>合格</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检测设备维修完成时间</w:t>
            </w:r>
          </w:p>
        </w:tc>
        <w:tc>
          <w:tcPr>
            <w:tcW w:w="3430" w:type="dxa"/>
            <w:vAlign w:val="center"/>
          </w:tcPr>
          <w:p>
            <w:pPr>
              <w:pStyle w:val="13"/>
            </w:pPr>
            <w:r>
              <w:t>检测设备维修完成时间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执法点位建设经费</w:t>
            </w:r>
          </w:p>
        </w:tc>
        <w:tc>
          <w:tcPr>
            <w:tcW w:w="3430" w:type="dxa"/>
            <w:vAlign w:val="center"/>
          </w:tcPr>
          <w:p>
            <w:pPr>
              <w:pStyle w:val="13"/>
            </w:pPr>
            <w:r>
              <w:t>执法点位建设经费</w:t>
            </w:r>
          </w:p>
        </w:tc>
        <w:tc>
          <w:tcPr>
            <w:tcW w:w="2551" w:type="dxa"/>
            <w:vAlign w:val="center"/>
          </w:tcPr>
          <w:p>
            <w:pPr>
              <w:pStyle w:val="13"/>
            </w:pPr>
            <w:r>
              <w:t>≤1782.88万元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保障非现场执法点位检测设施正常运行</w:t>
            </w:r>
          </w:p>
        </w:tc>
        <w:tc>
          <w:tcPr>
            <w:tcW w:w="3430" w:type="dxa"/>
            <w:vAlign w:val="center"/>
          </w:tcPr>
          <w:p>
            <w:pPr>
              <w:pStyle w:val="13"/>
            </w:pPr>
            <w:r>
              <w:t>保障非现场执法点位检测设施正常运行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受检市民满意率</w:t>
            </w:r>
          </w:p>
        </w:tc>
        <w:tc>
          <w:tcPr>
            <w:tcW w:w="3430" w:type="dxa"/>
            <w:vAlign w:val="center"/>
          </w:tcPr>
          <w:p>
            <w:pPr>
              <w:pStyle w:val="13"/>
            </w:pPr>
            <w:r>
              <w:t>受检市民满意率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19.天津建设世界一流港口集疏运南部通道基础设施（津歧线）项目绩效目标表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天津建设世界一流港口集疏运南部通道基础设施（津歧线）项目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3245759.00</w:t>
            </w:r>
          </w:p>
        </w:tc>
        <w:tc>
          <w:tcPr>
            <w:tcW w:w="1587" w:type="dxa"/>
            <w:vAlign w:val="center"/>
          </w:tcPr>
          <w:p>
            <w:pPr>
              <w:pStyle w:val="14"/>
            </w:pPr>
            <w:r>
              <w:t>其中：财政    资金</w:t>
            </w:r>
          </w:p>
        </w:tc>
        <w:tc>
          <w:tcPr>
            <w:tcW w:w="1843" w:type="dxa"/>
            <w:vAlign w:val="center"/>
          </w:tcPr>
          <w:p>
            <w:pPr>
              <w:pStyle w:val="13"/>
            </w:pPr>
            <w:r>
              <w:t>3245759.00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1.支付天津建设世界一流港口集疏运南部通道基础设施（津歧线）项目费用，提高区域交通运行效率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公路建设</w:t>
            </w:r>
          </w:p>
        </w:tc>
        <w:tc>
          <w:tcPr>
            <w:tcW w:w="3430" w:type="dxa"/>
            <w:vAlign w:val="center"/>
          </w:tcPr>
          <w:p>
            <w:pPr>
              <w:pStyle w:val="13"/>
            </w:pPr>
            <w:r>
              <w:t>公路建设</w:t>
            </w:r>
          </w:p>
        </w:tc>
        <w:tc>
          <w:tcPr>
            <w:tcW w:w="2551" w:type="dxa"/>
            <w:vAlign w:val="center"/>
          </w:tcPr>
          <w:p>
            <w:pPr>
              <w:pStyle w:val="13"/>
            </w:pPr>
            <w:r>
              <w:t>≥23.47公里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工程款支付完成时间</w:t>
            </w:r>
          </w:p>
        </w:tc>
        <w:tc>
          <w:tcPr>
            <w:tcW w:w="3430" w:type="dxa"/>
            <w:vAlign w:val="center"/>
          </w:tcPr>
          <w:p>
            <w:pPr>
              <w:pStyle w:val="13"/>
            </w:pPr>
            <w:r>
              <w:t>工程款支付完成时间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3430" w:type="dxa"/>
            <w:vAlign w:val="center"/>
          </w:tcPr>
          <w:p>
            <w:pPr>
              <w:pStyle w:val="13"/>
            </w:pPr>
            <w:r>
              <w:t>项目建设成本</w:t>
            </w:r>
          </w:p>
        </w:tc>
        <w:tc>
          <w:tcPr>
            <w:tcW w:w="2551" w:type="dxa"/>
            <w:vAlign w:val="center"/>
          </w:tcPr>
          <w:p>
            <w:pPr>
              <w:pStyle w:val="13"/>
            </w:pPr>
            <w:r>
              <w:t>≤324.58万元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提高区域交通运行效率</w:t>
            </w:r>
          </w:p>
        </w:tc>
        <w:tc>
          <w:tcPr>
            <w:tcW w:w="3430" w:type="dxa"/>
            <w:vAlign w:val="center"/>
          </w:tcPr>
          <w:p>
            <w:pPr>
              <w:pStyle w:val="13"/>
            </w:pPr>
            <w:r>
              <w:t>提高区域交通运行效率</w:t>
            </w:r>
          </w:p>
        </w:tc>
        <w:tc>
          <w:tcPr>
            <w:tcW w:w="2551" w:type="dxa"/>
            <w:vAlign w:val="center"/>
          </w:tcPr>
          <w:p>
            <w:pPr>
              <w:pStyle w:val="13"/>
            </w:pPr>
            <w:r>
              <w:t>有效提高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提高周边居民出行便利度</w:t>
            </w:r>
          </w:p>
        </w:tc>
        <w:tc>
          <w:tcPr>
            <w:tcW w:w="3430" w:type="dxa"/>
            <w:vAlign w:val="center"/>
          </w:tcPr>
          <w:p>
            <w:pPr>
              <w:pStyle w:val="13"/>
            </w:pPr>
            <w:r>
              <w:t>提高周边居民出行便利度</w:t>
            </w:r>
          </w:p>
        </w:tc>
        <w:tc>
          <w:tcPr>
            <w:tcW w:w="2551" w:type="dxa"/>
            <w:vAlign w:val="center"/>
          </w:tcPr>
          <w:p>
            <w:pPr>
              <w:pStyle w:val="13"/>
            </w:pPr>
            <w:r>
              <w:t>有效提高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持续发挥作用时限</w:t>
            </w:r>
          </w:p>
        </w:tc>
        <w:tc>
          <w:tcPr>
            <w:tcW w:w="3430" w:type="dxa"/>
            <w:vAlign w:val="center"/>
          </w:tcPr>
          <w:p>
            <w:pPr>
              <w:pStyle w:val="13"/>
            </w:pPr>
            <w:r>
              <w:t>持续发挥作用时限</w:t>
            </w:r>
          </w:p>
        </w:tc>
        <w:tc>
          <w:tcPr>
            <w:tcW w:w="2551" w:type="dxa"/>
            <w:vAlign w:val="center"/>
          </w:tcPr>
          <w:p>
            <w:pPr>
              <w:pStyle w:val="13"/>
            </w:pPr>
            <w:r>
              <w:t>15年</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20.天津市建设世界一流大港集疏运北部通道基础设施工程—汉南路改 线及配套服务区项目（一期）市级专项(津财基指【2024】129号)绩效目标表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天津市建设世界一流大港集疏运北部通道基础设施工程—汉南路改 线及配套服务区项目（一期）市级专项(津财基指【2024】129号)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7650000.00</w:t>
            </w:r>
          </w:p>
        </w:tc>
        <w:tc>
          <w:tcPr>
            <w:tcW w:w="1587" w:type="dxa"/>
            <w:vAlign w:val="center"/>
          </w:tcPr>
          <w:p>
            <w:pPr>
              <w:pStyle w:val="14"/>
            </w:pPr>
            <w:r>
              <w:t>其中：财政    资金</w:t>
            </w:r>
          </w:p>
        </w:tc>
        <w:tc>
          <w:tcPr>
            <w:tcW w:w="1843" w:type="dxa"/>
            <w:vAlign w:val="center"/>
          </w:tcPr>
          <w:p>
            <w:pPr>
              <w:pStyle w:val="13"/>
            </w:pPr>
            <w:r>
              <w:t>7650000.00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按照《公路沥青路面施工技术规范》（JTG F40-2004）、《公路工程质量检验评定标准第一册 土建工程》（JTG F80-1-2017）标准实施基础设施工程，提升公路等级标准，提升群众出行感受。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1.按照《公路沥青路面施工技术规范》（JTG F40-2004）、《公路工程质量检验评定标准第一册 土建工程》（JTG F80-1-2017）标准实施基础设施工程，提升公路等级标准，提升群众出行感受。</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路基填筑施工体积</w:t>
            </w:r>
          </w:p>
        </w:tc>
        <w:tc>
          <w:tcPr>
            <w:tcW w:w="3430" w:type="dxa"/>
            <w:vAlign w:val="center"/>
          </w:tcPr>
          <w:p>
            <w:pPr>
              <w:pStyle w:val="13"/>
            </w:pPr>
            <w:r>
              <w:t>路基填筑施工体积</w:t>
            </w:r>
          </w:p>
        </w:tc>
        <w:tc>
          <w:tcPr>
            <w:tcW w:w="2551" w:type="dxa"/>
            <w:vAlign w:val="center"/>
          </w:tcPr>
          <w:p>
            <w:pPr>
              <w:pStyle w:val="13"/>
            </w:pPr>
            <w:r>
              <w:t>≥51360立方米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路基分部工程验收合格率</w:t>
            </w:r>
          </w:p>
        </w:tc>
        <w:tc>
          <w:tcPr>
            <w:tcW w:w="3430" w:type="dxa"/>
            <w:vAlign w:val="center"/>
          </w:tcPr>
          <w:p>
            <w:pPr>
              <w:pStyle w:val="13"/>
            </w:pPr>
            <w:r>
              <w:t>路基分部工程验收合格率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施工完成时间</w:t>
            </w:r>
          </w:p>
        </w:tc>
        <w:tc>
          <w:tcPr>
            <w:tcW w:w="3430" w:type="dxa"/>
            <w:vAlign w:val="center"/>
          </w:tcPr>
          <w:p>
            <w:pPr>
              <w:pStyle w:val="13"/>
            </w:pPr>
            <w:r>
              <w:t>施工完成时间</w:t>
            </w:r>
          </w:p>
        </w:tc>
        <w:tc>
          <w:tcPr>
            <w:tcW w:w="2551" w:type="dxa"/>
            <w:vAlign w:val="center"/>
          </w:tcPr>
          <w:p>
            <w:pPr>
              <w:pStyle w:val="13"/>
            </w:pPr>
            <w:r>
              <w:t>2025年11月底之前完成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路基填筑施工综合单价</w:t>
            </w:r>
          </w:p>
        </w:tc>
        <w:tc>
          <w:tcPr>
            <w:tcW w:w="3430" w:type="dxa"/>
            <w:vAlign w:val="center"/>
          </w:tcPr>
          <w:p>
            <w:pPr>
              <w:pStyle w:val="13"/>
            </w:pPr>
            <w:r>
              <w:t>路基填筑施工综合单价</w:t>
            </w:r>
          </w:p>
        </w:tc>
        <w:tc>
          <w:tcPr>
            <w:tcW w:w="2551" w:type="dxa"/>
            <w:vAlign w:val="center"/>
          </w:tcPr>
          <w:p>
            <w:pPr>
              <w:pStyle w:val="13"/>
            </w:pPr>
            <w:r>
              <w:t>≤148.95元/立方米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提升公路等级标准</w:t>
            </w:r>
          </w:p>
        </w:tc>
        <w:tc>
          <w:tcPr>
            <w:tcW w:w="3430" w:type="dxa"/>
            <w:vAlign w:val="center"/>
          </w:tcPr>
          <w:p>
            <w:pPr>
              <w:pStyle w:val="13"/>
            </w:pPr>
            <w:r>
              <w:t>提升公路等级标准</w:t>
            </w:r>
          </w:p>
        </w:tc>
        <w:tc>
          <w:tcPr>
            <w:tcW w:w="2551" w:type="dxa"/>
            <w:vAlign w:val="center"/>
          </w:tcPr>
          <w:p>
            <w:pPr>
              <w:pStyle w:val="13"/>
            </w:pPr>
            <w:r>
              <w:t>待项目完成后，预计提升至一级公路标准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提升公路通行速度</w:t>
            </w:r>
          </w:p>
        </w:tc>
        <w:tc>
          <w:tcPr>
            <w:tcW w:w="3430" w:type="dxa"/>
            <w:vAlign w:val="center"/>
          </w:tcPr>
          <w:p>
            <w:pPr>
              <w:pStyle w:val="13"/>
            </w:pPr>
            <w:r>
              <w:t>提升公路通行速度</w:t>
            </w:r>
          </w:p>
        </w:tc>
        <w:tc>
          <w:tcPr>
            <w:tcW w:w="2551" w:type="dxa"/>
            <w:vAlign w:val="center"/>
          </w:tcPr>
          <w:p>
            <w:pPr>
              <w:pStyle w:val="13"/>
            </w:pPr>
            <w:r>
              <w:t>待项目完成后，预计提升公路通行速度至80km/h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环境影响评价通过率</w:t>
            </w:r>
          </w:p>
        </w:tc>
        <w:tc>
          <w:tcPr>
            <w:tcW w:w="3430" w:type="dxa"/>
            <w:vAlign w:val="center"/>
          </w:tcPr>
          <w:p>
            <w:pPr>
              <w:pStyle w:val="13"/>
            </w:pPr>
            <w:r>
              <w:t>环境影响评价通过率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道路工程设计使用年限</w:t>
            </w:r>
          </w:p>
        </w:tc>
        <w:tc>
          <w:tcPr>
            <w:tcW w:w="3430" w:type="dxa"/>
            <w:vAlign w:val="center"/>
          </w:tcPr>
          <w:p>
            <w:pPr>
              <w:pStyle w:val="13"/>
            </w:pPr>
            <w:r>
              <w:t>道路工程设计使用年限</w:t>
            </w:r>
          </w:p>
        </w:tc>
        <w:tc>
          <w:tcPr>
            <w:tcW w:w="2551" w:type="dxa"/>
            <w:vAlign w:val="center"/>
          </w:tcPr>
          <w:p>
            <w:pPr>
              <w:pStyle w:val="13"/>
            </w:pPr>
            <w:r>
              <w:t>≥15年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桥梁工程设计使用年限</w:t>
            </w:r>
          </w:p>
        </w:tc>
        <w:tc>
          <w:tcPr>
            <w:tcW w:w="3430" w:type="dxa"/>
            <w:vAlign w:val="center"/>
          </w:tcPr>
          <w:p>
            <w:pPr>
              <w:pStyle w:val="13"/>
            </w:pPr>
            <w:r>
              <w:t>桥梁工程设计使用年限</w:t>
            </w:r>
          </w:p>
        </w:tc>
        <w:tc>
          <w:tcPr>
            <w:tcW w:w="2551" w:type="dxa"/>
            <w:vAlign w:val="center"/>
          </w:tcPr>
          <w:p>
            <w:pPr>
              <w:pStyle w:val="13"/>
            </w:pPr>
            <w:r>
              <w:t>≥100年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21.天津市建设世界一流南部集疏运配套（海景大道南延）一期工程绩效目标表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天津市建设世界一流南部集疏运配套（海景大道南延）一期工程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20135207.00</w:t>
            </w:r>
          </w:p>
        </w:tc>
        <w:tc>
          <w:tcPr>
            <w:tcW w:w="1587" w:type="dxa"/>
            <w:vAlign w:val="center"/>
          </w:tcPr>
          <w:p>
            <w:pPr>
              <w:pStyle w:val="14"/>
            </w:pPr>
            <w:r>
              <w:t>其中：财政    资金</w:t>
            </w:r>
          </w:p>
        </w:tc>
        <w:tc>
          <w:tcPr>
            <w:tcW w:w="1843" w:type="dxa"/>
            <w:vAlign w:val="center"/>
          </w:tcPr>
          <w:p>
            <w:pPr>
              <w:pStyle w:val="13"/>
            </w:pPr>
            <w:r>
              <w:t>20135207.00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1.通过实施天津市建设世界一流南部集疏运配套（海景大道南延）一期工程 ，缓解区域交通拥堵，提升区域交通服务水平。2024年计划完成施工招标，完成道路红线范围内管线切改，完成道路红线内的排水、清淤约30000立方米。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排水清淤方量</w:t>
            </w:r>
          </w:p>
        </w:tc>
        <w:tc>
          <w:tcPr>
            <w:tcW w:w="3430" w:type="dxa"/>
            <w:vAlign w:val="center"/>
          </w:tcPr>
          <w:p>
            <w:pPr>
              <w:pStyle w:val="13"/>
            </w:pPr>
            <w:r>
              <w:t>排水清淤方量</w:t>
            </w:r>
          </w:p>
        </w:tc>
        <w:tc>
          <w:tcPr>
            <w:tcW w:w="2551" w:type="dxa"/>
            <w:vAlign w:val="center"/>
          </w:tcPr>
          <w:p>
            <w:pPr>
              <w:pStyle w:val="13"/>
            </w:pPr>
            <w:r>
              <w:t>30000立方米</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符合技术规范</w:t>
            </w:r>
          </w:p>
        </w:tc>
        <w:tc>
          <w:tcPr>
            <w:tcW w:w="3430" w:type="dxa"/>
            <w:vAlign w:val="center"/>
          </w:tcPr>
          <w:p>
            <w:pPr>
              <w:pStyle w:val="13"/>
            </w:pPr>
            <w:r>
              <w:t>符合技术规范</w:t>
            </w:r>
          </w:p>
        </w:tc>
        <w:tc>
          <w:tcPr>
            <w:tcW w:w="2551" w:type="dxa"/>
            <w:vAlign w:val="center"/>
          </w:tcPr>
          <w:p>
            <w:pPr>
              <w:pStyle w:val="13"/>
            </w:pPr>
            <w:r>
              <w:t>合格</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一期工程工程款支付完成时间</w:t>
            </w:r>
          </w:p>
        </w:tc>
        <w:tc>
          <w:tcPr>
            <w:tcW w:w="3430" w:type="dxa"/>
            <w:vAlign w:val="center"/>
          </w:tcPr>
          <w:p>
            <w:pPr>
              <w:pStyle w:val="13"/>
            </w:pPr>
            <w:r>
              <w:t>一期工程工程款支付完成时间</w:t>
            </w:r>
          </w:p>
        </w:tc>
        <w:tc>
          <w:tcPr>
            <w:tcW w:w="2551" w:type="dxa"/>
            <w:vAlign w:val="center"/>
          </w:tcPr>
          <w:p>
            <w:pPr>
              <w:pStyle w:val="13"/>
            </w:pPr>
            <w:r>
              <w:t>2025年12月底</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2024年地方政府一般债</w:t>
            </w:r>
          </w:p>
        </w:tc>
        <w:tc>
          <w:tcPr>
            <w:tcW w:w="3430" w:type="dxa"/>
            <w:vAlign w:val="center"/>
          </w:tcPr>
          <w:p>
            <w:pPr>
              <w:pStyle w:val="13"/>
            </w:pPr>
            <w:r>
              <w:t>2024年地方政府一般债</w:t>
            </w:r>
          </w:p>
        </w:tc>
        <w:tc>
          <w:tcPr>
            <w:tcW w:w="2551" w:type="dxa"/>
            <w:vAlign w:val="center"/>
          </w:tcPr>
          <w:p>
            <w:pPr>
              <w:pStyle w:val="13"/>
            </w:pPr>
            <w:r>
              <w:t>≤2013.52万元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项目的实施缓解区域交通拥堵，提升区域交通报务水平。</w:t>
            </w:r>
          </w:p>
        </w:tc>
        <w:tc>
          <w:tcPr>
            <w:tcW w:w="3430" w:type="dxa"/>
            <w:vAlign w:val="center"/>
          </w:tcPr>
          <w:p>
            <w:pPr>
              <w:pStyle w:val="13"/>
            </w:pPr>
            <w:r>
              <w:t>项目的实施缓解区域交通拥堵，提升区域交通报务水平。</w:t>
            </w:r>
          </w:p>
        </w:tc>
        <w:tc>
          <w:tcPr>
            <w:tcW w:w="2551" w:type="dxa"/>
            <w:vAlign w:val="center"/>
          </w:tcPr>
          <w:p>
            <w:pPr>
              <w:pStyle w:val="13"/>
            </w:pPr>
            <w:r>
              <w:t>显著提高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周边群众满意度</w:t>
            </w:r>
          </w:p>
        </w:tc>
        <w:tc>
          <w:tcPr>
            <w:tcW w:w="3430" w:type="dxa"/>
            <w:vAlign w:val="center"/>
          </w:tcPr>
          <w:p>
            <w:pPr>
              <w:pStyle w:val="13"/>
            </w:pPr>
            <w:r>
              <w:t>周边群众满意度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22.2025年子牙新河工农大道一号桥抗洪拆桥工程绩效目标表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327201天津市滨海新区交通运输服务中心</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2025年子牙新河工农大道一号桥抗洪拆桥工程</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800000.00</w:t>
            </w:r>
          </w:p>
        </w:tc>
        <w:tc>
          <w:tcPr>
            <w:tcW w:w="1327" w:type="dxa"/>
            <w:vAlign w:val="center"/>
          </w:tcPr>
          <w:p>
            <w:pPr>
              <w:pStyle w:val="14"/>
            </w:pPr>
            <w:r>
              <w:t>其中：财政    资金</w:t>
            </w:r>
          </w:p>
        </w:tc>
        <w:tc>
          <w:tcPr>
            <w:tcW w:w="1327" w:type="dxa"/>
            <w:vAlign w:val="center"/>
          </w:tcPr>
          <w:p>
            <w:pPr>
              <w:pStyle w:val="13"/>
            </w:pPr>
            <w:r>
              <w:t>800000.00</w:t>
            </w:r>
          </w:p>
        </w:tc>
        <w:tc>
          <w:tcPr>
            <w:tcW w:w="1327" w:type="dxa"/>
            <w:vAlign w:val="center"/>
          </w:tcPr>
          <w:p>
            <w:pPr>
              <w:pStyle w:val="14"/>
            </w:pPr>
            <w:r>
              <w:t>其他资金</w:t>
            </w:r>
          </w:p>
        </w:tc>
        <w:tc>
          <w:tcPr>
            <w:tcW w:w="1327"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2021年10月8日至2021年10月27日，子牙新河等河道太平镇段由于上游地区山西行洪，区抗洪指挥部要求做好抗洪抢险应急工作，我中心（工农大道项目经理部）组织施工单位成立桥梁抗洪应急抢险队伍，区抗洪指挥部要求对子牙新河工农大道一号桥(老桥)桥梁混凝土护栏进行拆除，并临时启用未完工的新桥。随着水位持续下降，区抗洪指挥部要求对子牙新河工农大道一号桥(老桥)进行恢复，保证通行。</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1.通过拆除及修复桥梁混凝土护栏，保证两岸村民的安全通行。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桥梁拆除及修复长度</w:t>
            </w:r>
          </w:p>
        </w:tc>
        <w:tc>
          <w:tcPr>
            <w:tcW w:w="3430" w:type="dxa"/>
            <w:vAlign w:val="center"/>
          </w:tcPr>
          <w:p>
            <w:pPr>
              <w:pStyle w:val="13"/>
            </w:pPr>
            <w:r>
              <w:t>桥梁拆除及修复长度</w:t>
            </w:r>
          </w:p>
        </w:tc>
        <w:tc>
          <w:tcPr>
            <w:tcW w:w="2551" w:type="dxa"/>
            <w:vAlign w:val="center"/>
          </w:tcPr>
          <w:p>
            <w:pPr>
              <w:pStyle w:val="13"/>
            </w:pPr>
            <w:r>
              <w:t>≥320米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桥梁拆除及修复率</w:t>
            </w:r>
          </w:p>
        </w:tc>
        <w:tc>
          <w:tcPr>
            <w:tcW w:w="3430" w:type="dxa"/>
            <w:vAlign w:val="center"/>
          </w:tcPr>
          <w:p>
            <w:pPr>
              <w:pStyle w:val="13"/>
            </w:pPr>
            <w:r>
              <w:t>桥梁拆除及修复率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桥梁拆除及修复完成时间</w:t>
            </w:r>
          </w:p>
        </w:tc>
        <w:tc>
          <w:tcPr>
            <w:tcW w:w="3430" w:type="dxa"/>
            <w:vAlign w:val="center"/>
          </w:tcPr>
          <w:p>
            <w:pPr>
              <w:pStyle w:val="13"/>
            </w:pPr>
            <w:r>
              <w:t>桥梁拆除及修复完成时间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桥梁抗洪应急抢险费用</w:t>
            </w:r>
          </w:p>
        </w:tc>
        <w:tc>
          <w:tcPr>
            <w:tcW w:w="3430" w:type="dxa"/>
            <w:vAlign w:val="center"/>
          </w:tcPr>
          <w:p>
            <w:pPr>
              <w:pStyle w:val="13"/>
            </w:pPr>
            <w:r>
              <w:t>桥梁抗洪应急抢险费用</w:t>
            </w:r>
          </w:p>
        </w:tc>
        <w:tc>
          <w:tcPr>
            <w:tcW w:w="2551" w:type="dxa"/>
            <w:vAlign w:val="center"/>
          </w:tcPr>
          <w:p>
            <w:pPr>
              <w:pStyle w:val="13"/>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保证两岸村民的安全通行</w:t>
            </w:r>
          </w:p>
        </w:tc>
        <w:tc>
          <w:tcPr>
            <w:tcW w:w="3430" w:type="dxa"/>
            <w:vAlign w:val="center"/>
          </w:tcPr>
          <w:p>
            <w:pPr>
              <w:pStyle w:val="13"/>
            </w:pPr>
            <w:r>
              <w:t>保证两岸村民的安全通行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周边居民满意度</w:t>
            </w:r>
          </w:p>
        </w:tc>
        <w:tc>
          <w:tcPr>
            <w:tcW w:w="3430" w:type="dxa"/>
            <w:vAlign w:val="center"/>
          </w:tcPr>
          <w:p>
            <w:pPr>
              <w:pStyle w:val="13"/>
            </w:pPr>
            <w:r>
              <w:t>周边居民满意度</w:t>
            </w:r>
          </w:p>
        </w:tc>
        <w:tc>
          <w:tcPr>
            <w:tcW w:w="2551" w:type="dxa"/>
            <w:vAlign w:val="center"/>
          </w:tcPr>
          <w:p>
            <w:pPr>
              <w:pStyle w:val="13"/>
              <w:rPr>
                <w:rFonts w:hint="eastAsia" w:eastAsia="方正书宋_GBK"/>
                <w:lang w:val="en-US" w:eastAsia="zh-CN"/>
              </w:rPr>
            </w:pPr>
            <w:r>
              <w:t>≥95</w:t>
            </w:r>
            <w:r>
              <w:rPr>
                <w:rFonts w:hint="eastAsia"/>
                <w:lang w:val="en-US" w:eastAsia="zh-CN"/>
              </w:rPr>
              <w:t>%</w:t>
            </w:r>
            <w:bookmarkStart w:id="37" w:name="_GoBack"/>
            <w:bookmarkEnd w:id="37"/>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23.2025年滨海新区交通运输服务中心公路设施养管经费绩效目标表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327201天津市滨海新区交通运输服务中心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2025年滨海新区交通运输服务中心公路设施养管经费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18350000.00</w:t>
            </w:r>
          </w:p>
        </w:tc>
        <w:tc>
          <w:tcPr>
            <w:tcW w:w="1587" w:type="dxa"/>
            <w:vAlign w:val="center"/>
          </w:tcPr>
          <w:p>
            <w:pPr>
              <w:pStyle w:val="14"/>
            </w:pPr>
            <w:r>
              <w:t>其中：财政    资金</w:t>
            </w:r>
          </w:p>
        </w:tc>
        <w:tc>
          <w:tcPr>
            <w:tcW w:w="1843" w:type="dxa"/>
            <w:vAlign w:val="center"/>
          </w:tcPr>
          <w:p>
            <w:pPr>
              <w:pStyle w:val="13"/>
            </w:pPr>
            <w:r>
              <w:t>18350000.00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对辖区范围内区委托的公路及附属设施进行养管、维修，保障交通正常运行。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1.对辖区范围内区委托的公路及附属设施进行养管、维修，保障交通正常运行。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完成养管工作量</w:t>
            </w:r>
          </w:p>
        </w:tc>
        <w:tc>
          <w:tcPr>
            <w:tcW w:w="3430" w:type="dxa"/>
            <w:vAlign w:val="center"/>
          </w:tcPr>
          <w:p>
            <w:pPr>
              <w:pStyle w:val="13"/>
            </w:pPr>
            <w:r>
              <w:t>完成养管工作量</w:t>
            </w:r>
          </w:p>
        </w:tc>
        <w:tc>
          <w:tcPr>
            <w:tcW w:w="2551" w:type="dxa"/>
            <w:vAlign w:val="center"/>
          </w:tcPr>
          <w:p>
            <w:pPr>
              <w:pStyle w:val="13"/>
            </w:pPr>
            <w:r>
              <w:t>≥26公里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公路安全运行率</w:t>
            </w:r>
          </w:p>
        </w:tc>
        <w:tc>
          <w:tcPr>
            <w:tcW w:w="3430" w:type="dxa"/>
            <w:vAlign w:val="center"/>
          </w:tcPr>
          <w:p>
            <w:pPr>
              <w:pStyle w:val="13"/>
            </w:pPr>
            <w:r>
              <w:t>公路安全运行率</w:t>
            </w:r>
          </w:p>
        </w:tc>
        <w:tc>
          <w:tcPr>
            <w:tcW w:w="2551" w:type="dxa"/>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养管、维修完成时间</w:t>
            </w:r>
          </w:p>
        </w:tc>
        <w:tc>
          <w:tcPr>
            <w:tcW w:w="3430" w:type="dxa"/>
            <w:vAlign w:val="center"/>
          </w:tcPr>
          <w:p>
            <w:pPr>
              <w:pStyle w:val="13"/>
            </w:pPr>
            <w:r>
              <w:t>养管、维修完成时间</w:t>
            </w:r>
          </w:p>
        </w:tc>
        <w:tc>
          <w:tcPr>
            <w:tcW w:w="2551" w:type="dxa"/>
            <w:vAlign w:val="center"/>
          </w:tcPr>
          <w:p>
            <w:pPr>
              <w:pStyle w:val="13"/>
            </w:pPr>
            <w:r>
              <w:t>2025年12月31日</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中心公路设施养管经费成本</w:t>
            </w:r>
          </w:p>
        </w:tc>
        <w:tc>
          <w:tcPr>
            <w:tcW w:w="3430" w:type="dxa"/>
            <w:vAlign w:val="center"/>
          </w:tcPr>
          <w:p>
            <w:pPr>
              <w:pStyle w:val="13"/>
            </w:pPr>
            <w:r>
              <w:t>中心公路设施养管经费成本</w:t>
            </w:r>
          </w:p>
        </w:tc>
        <w:tc>
          <w:tcPr>
            <w:tcW w:w="2551" w:type="dxa"/>
            <w:vAlign w:val="center"/>
          </w:tcPr>
          <w:p>
            <w:pPr>
              <w:pStyle w:val="13"/>
            </w:pPr>
            <w:r>
              <w:t>≤1835万元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降低车辆行人出行成本</w:t>
            </w:r>
          </w:p>
        </w:tc>
        <w:tc>
          <w:tcPr>
            <w:tcW w:w="3430" w:type="dxa"/>
            <w:vAlign w:val="center"/>
          </w:tcPr>
          <w:p>
            <w:pPr>
              <w:pStyle w:val="13"/>
            </w:pPr>
            <w:r>
              <w:t>降低车辆行人出行成本</w:t>
            </w:r>
          </w:p>
        </w:tc>
        <w:tc>
          <w:tcPr>
            <w:tcW w:w="2551" w:type="dxa"/>
            <w:vAlign w:val="center"/>
          </w:tcPr>
          <w:p>
            <w:pPr>
              <w:pStyle w:val="13"/>
            </w:pPr>
            <w:r>
              <w:t>有效降低</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保障交通设施正常使用</w:t>
            </w:r>
          </w:p>
        </w:tc>
        <w:tc>
          <w:tcPr>
            <w:tcW w:w="3430" w:type="dxa"/>
            <w:vAlign w:val="center"/>
          </w:tcPr>
          <w:p>
            <w:pPr>
              <w:pStyle w:val="13"/>
            </w:pPr>
            <w:r>
              <w:t>保障交通设施正常使用</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提高公路通行环境</w:t>
            </w:r>
          </w:p>
        </w:tc>
        <w:tc>
          <w:tcPr>
            <w:tcW w:w="3430" w:type="dxa"/>
            <w:vAlign w:val="center"/>
          </w:tcPr>
          <w:p>
            <w:pPr>
              <w:pStyle w:val="13"/>
            </w:pPr>
            <w:r>
              <w:t>提高公路通行环境</w:t>
            </w:r>
          </w:p>
        </w:tc>
        <w:tc>
          <w:tcPr>
            <w:tcW w:w="2551" w:type="dxa"/>
            <w:vAlign w:val="center"/>
          </w:tcPr>
          <w:p>
            <w:pPr>
              <w:pStyle w:val="13"/>
            </w:pPr>
            <w:r>
              <w:t>有效提高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24.普通国省级公路日常养护市级补助（津财基指[2024]127号）绩效目标表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327201天津市滨海新区交通运输服务中心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普通国省级公路日常养护市级补助（津财基指[2024]127号）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48130000.00</w:t>
            </w:r>
          </w:p>
        </w:tc>
        <w:tc>
          <w:tcPr>
            <w:tcW w:w="1587" w:type="dxa"/>
            <w:vAlign w:val="center"/>
          </w:tcPr>
          <w:p>
            <w:pPr>
              <w:pStyle w:val="14"/>
            </w:pPr>
            <w:r>
              <w:t>其中：财政    资金</w:t>
            </w:r>
          </w:p>
        </w:tc>
        <w:tc>
          <w:tcPr>
            <w:tcW w:w="1843" w:type="dxa"/>
            <w:vAlign w:val="center"/>
          </w:tcPr>
          <w:p>
            <w:pPr>
              <w:pStyle w:val="13"/>
            </w:pPr>
            <w:r>
              <w:t>48130000.00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1.完成普通国省级公路日常养护工作，其中，支持养护里程311.586公里、路面面积490.66292万平方米、桥梁1.7061万平方米、绿地19.643万平方米、排水设施80639延米、安保设施447848延米、泵站2座。</w:t>
            </w:r>
          </w:p>
          <w:p>
            <w:pPr>
              <w:pStyle w:val="13"/>
            </w:pPr>
            <w:r>
              <w:t>2.按时按质完成普通国省级公路日常养护工作，路况巡查到位率100%。招投标符合规定，养护工作管理规范。</w:t>
            </w:r>
          </w:p>
          <w:p>
            <w:pPr>
              <w:pStyle w:val="13"/>
            </w:pPr>
            <w:r>
              <w:t>3.技术状况综合评定PQI≥80%（MQI）；路面完好，无坑槽、松散、拥包等严重病害。</w:t>
            </w:r>
          </w:p>
          <w:p>
            <w:pPr>
              <w:pStyle w:val="13"/>
            </w:pPr>
            <w:r>
              <w:t>4.有效提升行车舒适度，提升公路安全水平，出行群众满意度达90%。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1.普通国省级公路日常养护工作和路况巡查工作，保障路面完好，无坑槽、松散、拥包等严重病害，提升群众行车舒适度。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国省级公路养护里程</w:t>
            </w:r>
          </w:p>
        </w:tc>
        <w:tc>
          <w:tcPr>
            <w:tcW w:w="3430" w:type="dxa"/>
            <w:vAlign w:val="center"/>
          </w:tcPr>
          <w:p>
            <w:pPr>
              <w:pStyle w:val="13"/>
            </w:pPr>
            <w:r>
              <w:t>国省级公路养护里程</w:t>
            </w:r>
          </w:p>
        </w:tc>
        <w:tc>
          <w:tcPr>
            <w:tcW w:w="2551" w:type="dxa"/>
            <w:vAlign w:val="center"/>
          </w:tcPr>
          <w:p>
            <w:pPr>
              <w:pStyle w:val="13"/>
            </w:pPr>
            <w:r>
              <w:t>≥311.59公里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公路设施安全运行达标率</w:t>
            </w:r>
          </w:p>
        </w:tc>
        <w:tc>
          <w:tcPr>
            <w:tcW w:w="3430" w:type="dxa"/>
            <w:vAlign w:val="center"/>
          </w:tcPr>
          <w:p>
            <w:pPr>
              <w:pStyle w:val="13"/>
            </w:pPr>
            <w:r>
              <w:t>公路设施安全运行达标率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日常养护完成时间</w:t>
            </w:r>
          </w:p>
        </w:tc>
        <w:tc>
          <w:tcPr>
            <w:tcW w:w="3430" w:type="dxa"/>
            <w:vAlign w:val="center"/>
          </w:tcPr>
          <w:p>
            <w:pPr>
              <w:pStyle w:val="13"/>
            </w:pPr>
            <w:r>
              <w:t>日常养护完成时间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普通国省级公路养护成本</w:t>
            </w:r>
          </w:p>
        </w:tc>
        <w:tc>
          <w:tcPr>
            <w:tcW w:w="3430" w:type="dxa"/>
            <w:vAlign w:val="center"/>
          </w:tcPr>
          <w:p>
            <w:pPr>
              <w:pStyle w:val="13"/>
            </w:pPr>
            <w:r>
              <w:t>普通国省级公路养护成本</w:t>
            </w:r>
          </w:p>
        </w:tc>
        <w:tc>
          <w:tcPr>
            <w:tcW w:w="2551" w:type="dxa"/>
            <w:vAlign w:val="center"/>
          </w:tcPr>
          <w:p>
            <w:pPr>
              <w:pStyle w:val="13"/>
            </w:pPr>
            <w:r>
              <w:t>≤15.45万元/公里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国省干线公路设施完好率</w:t>
            </w:r>
          </w:p>
        </w:tc>
        <w:tc>
          <w:tcPr>
            <w:tcW w:w="3430" w:type="dxa"/>
            <w:vAlign w:val="center"/>
          </w:tcPr>
          <w:p>
            <w:pPr>
              <w:pStyle w:val="13"/>
            </w:pPr>
            <w:r>
              <w:t>国省干线公路设施完好率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出行群众满意度</w:t>
            </w:r>
          </w:p>
        </w:tc>
        <w:tc>
          <w:tcPr>
            <w:tcW w:w="3430" w:type="dxa"/>
            <w:vAlign w:val="center"/>
          </w:tcPr>
          <w:p>
            <w:pPr>
              <w:pStyle w:val="13"/>
            </w:pPr>
            <w:r>
              <w:t>出行群众满意度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25.区县级公路日常养护市级补助（津财基指[2024]127号）绩效目标表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327201天津市滨海新区交通运输服务中心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区县级公路日常养护市级补助（津财基指[2024]127号）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6522000.00</w:t>
            </w:r>
          </w:p>
        </w:tc>
        <w:tc>
          <w:tcPr>
            <w:tcW w:w="1587" w:type="dxa"/>
            <w:vAlign w:val="center"/>
          </w:tcPr>
          <w:p>
            <w:pPr>
              <w:pStyle w:val="14"/>
            </w:pPr>
            <w:r>
              <w:t>其中：财政    资金</w:t>
            </w:r>
          </w:p>
        </w:tc>
        <w:tc>
          <w:tcPr>
            <w:tcW w:w="1843" w:type="dxa"/>
            <w:vAlign w:val="center"/>
          </w:tcPr>
          <w:p>
            <w:pPr>
              <w:pStyle w:val="13"/>
            </w:pPr>
            <w:r>
              <w:t>6522000.00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1.完成区县级公路日常养护工作，其中，支持养护里110.14公里、路面面积96.66万平方米、中小桥0.36万平方米、大桥特大桥1.98万平方米。</w:t>
            </w:r>
          </w:p>
          <w:p>
            <w:pPr>
              <w:pStyle w:val="13"/>
            </w:pPr>
            <w:r>
              <w:t>2.按时按质完成普通区县级公路日常养护工作，路况巡查到位率100%。招投标符合规定，养护工作管理规范。</w:t>
            </w:r>
          </w:p>
          <w:p>
            <w:pPr>
              <w:pStyle w:val="13"/>
            </w:pPr>
            <w:r>
              <w:t>3.技术状况综合评定无差等路；路面完好，无坑槽、松散、拥包等严重病害。</w:t>
            </w:r>
          </w:p>
          <w:p>
            <w:pPr>
              <w:pStyle w:val="13"/>
            </w:pPr>
            <w:r>
              <w:t>4.有效提升行车舒适度，提升公路安全水平，出行群众满意度达90%以上。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1.完成县级公路日常养护和路况巡查工作，保障路面完好，无坑槽、松散、拥包等严重病害，提升群众行车舒适度。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区县级公路养护里程</w:t>
            </w:r>
          </w:p>
        </w:tc>
        <w:tc>
          <w:tcPr>
            <w:tcW w:w="3430" w:type="dxa"/>
            <w:vAlign w:val="center"/>
          </w:tcPr>
          <w:p>
            <w:pPr>
              <w:pStyle w:val="13"/>
            </w:pPr>
            <w:r>
              <w:t>区县级公路养护里程</w:t>
            </w:r>
          </w:p>
        </w:tc>
        <w:tc>
          <w:tcPr>
            <w:tcW w:w="2551" w:type="dxa"/>
            <w:vAlign w:val="center"/>
          </w:tcPr>
          <w:p>
            <w:pPr>
              <w:pStyle w:val="13"/>
            </w:pPr>
            <w:r>
              <w:t>≥110.14公里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公路设施安全运行达标率</w:t>
            </w:r>
          </w:p>
        </w:tc>
        <w:tc>
          <w:tcPr>
            <w:tcW w:w="3430" w:type="dxa"/>
            <w:vAlign w:val="center"/>
          </w:tcPr>
          <w:p>
            <w:pPr>
              <w:pStyle w:val="13"/>
            </w:pPr>
            <w:r>
              <w:t>公路设施安全运行达标率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日常养护完成时间</w:t>
            </w:r>
          </w:p>
        </w:tc>
        <w:tc>
          <w:tcPr>
            <w:tcW w:w="3430" w:type="dxa"/>
            <w:vAlign w:val="center"/>
          </w:tcPr>
          <w:p>
            <w:pPr>
              <w:pStyle w:val="13"/>
            </w:pPr>
            <w:r>
              <w:t>日常养护完成时间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养护单位成本</w:t>
            </w:r>
          </w:p>
        </w:tc>
        <w:tc>
          <w:tcPr>
            <w:tcW w:w="3430" w:type="dxa"/>
            <w:vAlign w:val="center"/>
          </w:tcPr>
          <w:p>
            <w:pPr>
              <w:pStyle w:val="13"/>
            </w:pPr>
            <w:r>
              <w:t>养护单位成本</w:t>
            </w:r>
          </w:p>
        </w:tc>
        <w:tc>
          <w:tcPr>
            <w:tcW w:w="2551" w:type="dxa"/>
            <w:vAlign w:val="center"/>
          </w:tcPr>
          <w:p>
            <w:pPr>
              <w:pStyle w:val="13"/>
            </w:pPr>
            <w:r>
              <w:t>≤5.92万元/公里</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区县级公路设施完好率</w:t>
            </w:r>
          </w:p>
        </w:tc>
        <w:tc>
          <w:tcPr>
            <w:tcW w:w="3430" w:type="dxa"/>
            <w:vAlign w:val="center"/>
          </w:tcPr>
          <w:p>
            <w:pPr>
              <w:pStyle w:val="13"/>
            </w:pPr>
            <w:r>
              <w:t>区县级公路设施完好率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出行群众满意度</w:t>
            </w:r>
          </w:p>
        </w:tc>
        <w:tc>
          <w:tcPr>
            <w:tcW w:w="3430" w:type="dxa"/>
            <w:vAlign w:val="center"/>
          </w:tcPr>
          <w:p>
            <w:pPr>
              <w:pStyle w:val="13"/>
            </w:pPr>
            <w:r>
              <w:t>出行群众满意度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26.乡村公路日常养护市级补助（津财基指[2024]127号）绩效目标表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327201天津市滨海新区交通运输服务中心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乡村公路日常养护市级补助（津财基指[2024]127号）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2991000.00</w:t>
            </w:r>
          </w:p>
        </w:tc>
        <w:tc>
          <w:tcPr>
            <w:tcW w:w="1587" w:type="dxa"/>
            <w:vAlign w:val="center"/>
          </w:tcPr>
          <w:p>
            <w:pPr>
              <w:pStyle w:val="14"/>
            </w:pPr>
            <w:r>
              <w:t>其中：财政    资金</w:t>
            </w:r>
          </w:p>
        </w:tc>
        <w:tc>
          <w:tcPr>
            <w:tcW w:w="1843" w:type="dxa"/>
            <w:vAlign w:val="center"/>
          </w:tcPr>
          <w:p>
            <w:pPr>
              <w:pStyle w:val="13"/>
            </w:pPr>
            <w:r>
              <w:t>2991000.00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目标1：保障新区范纳入市财政养护补贴672.148公里乡村公路及设施完好，正常运行，做好公路日常养护管理工作。</w:t>
            </w:r>
          </w:p>
          <w:p>
            <w:pPr>
              <w:pStyle w:val="13"/>
            </w:pPr>
            <w:r>
              <w:t>目标2：对部分路段进行修复养护，改善通行服务功能，保障车辆行人安全舒适通行。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1.对部分路段进行修复养护，改善通行服务功能，保障车辆行人安全舒适通行。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养管公路里程数</w:t>
            </w:r>
          </w:p>
        </w:tc>
        <w:tc>
          <w:tcPr>
            <w:tcW w:w="3430" w:type="dxa"/>
            <w:vAlign w:val="center"/>
          </w:tcPr>
          <w:p>
            <w:pPr>
              <w:pStyle w:val="13"/>
            </w:pPr>
            <w:r>
              <w:t>养管公路里程数</w:t>
            </w:r>
          </w:p>
        </w:tc>
        <w:tc>
          <w:tcPr>
            <w:tcW w:w="2551" w:type="dxa"/>
            <w:vAlign w:val="center"/>
          </w:tcPr>
          <w:p>
            <w:pPr>
              <w:pStyle w:val="13"/>
            </w:pPr>
            <w:r>
              <w:t>≥672.14公里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公路设施安全运行达标率</w:t>
            </w:r>
          </w:p>
        </w:tc>
        <w:tc>
          <w:tcPr>
            <w:tcW w:w="3430" w:type="dxa"/>
            <w:vAlign w:val="center"/>
          </w:tcPr>
          <w:p>
            <w:pPr>
              <w:pStyle w:val="13"/>
            </w:pPr>
            <w:r>
              <w:t>公路设施安全运行达标率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养护管理完成时间</w:t>
            </w:r>
          </w:p>
        </w:tc>
        <w:tc>
          <w:tcPr>
            <w:tcW w:w="3430" w:type="dxa"/>
            <w:vAlign w:val="center"/>
          </w:tcPr>
          <w:p>
            <w:pPr>
              <w:pStyle w:val="13"/>
            </w:pPr>
            <w:r>
              <w:t>养护管理完成时间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养护管理成本</w:t>
            </w:r>
          </w:p>
        </w:tc>
        <w:tc>
          <w:tcPr>
            <w:tcW w:w="3430" w:type="dxa"/>
            <w:vAlign w:val="center"/>
          </w:tcPr>
          <w:p>
            <w:pPr>
              <w:pStyle w:val="13"/>
            </w:pPr>
            <w:r>
              <w:t>养护管理成本</w:t>
            </w:r>
          </w:p>
        </w:tc>
        <w:tc>
          <w:tcPr>
            <w:tcW w:w="2551" w:type="dxa"/>
            <w:vAlign w:val="center"/>
          </w:tcPr>
          <w:p>
            <w:pPr>
              <w:pStyle w:val="13"/>
            </w:pPr>
            <w:r>
              <w:t>≤299.1万元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提升行车舒适度</w:t>
            </w:r>
          </w:p>
        </w:tc>
        <w:tc>
          <w:tcPr>
            <w:tcW w:w="3430" w:type="dxa"/>
            <w:vAlign w:val="center"/>
          </w:tcPr>
          <w:p>
            <w:pPr>
              <w:pStyle w:val="13"/>
            </w:pPr>
            <w:r>
              <w:t>提升行车舒适度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车辆行人满意度</w:t>
            </w:r>
          </w:p>
        </w:tc>
        <w:tc>
          <w:tcPr>
            <w:tcW w:w="3430" w:type="dxa"/>
            <w:vAlign w:val="center"/>
          </w:tcPr>
          <w:p>
            <w:pPr>
              <w:pStyle w:val="13"/>
            </w:pPr>
            <w:r>
              <w:t>车辆行人满意度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27.乡村公路提档升级工程市级补助（津财基指[2024]127号）绩效目标表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327201天津市滨海新区交通运输服务中心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乡村公路提档升级工程市级补助（津财基指[2024]127号）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1785000.00</w:t>
            </w:r>
          </w:p>
        </w:tc>
        <w:tc>
          <w:tcPr>
            <w:tcW w:w="1587" w:type="dxa"/>
            <w:vAlign w:val="center"/>
          </w:tcPr>
          <w:p>
            <w:pPr>
              <w:pStyle w:val="14"/>
            </w:pPr>
            <w:r>
              <w:t>其中：财政    资金</w:t>
            </w:r>
          </w:p>
        </w:tc>
        <w:tc>
          <w:tcPr>
            <w:tcW w:w="1843" w:type="dxa"/>
            <w:vAlign w:val="center"/>
          </w:tcPr>
          <w:p>
            <w:pPr>
              <w:pStyle w:val="13"/>
            </w:pPr>
            <w:r>
              <w:t>1785000.00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对2.789公里的原状宽度 4 米的路面，进行拓宽改造，提档升级后路面宽度 6m，破除原路面层和部分基层，新做沥青混凝土路面。</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 对2.789公里的原状宽度 4 米的路面，进行拓宽改造，提档升级后路面宽度 6m，破除原路面层和部分基层，新做沥青混凝土路面。提升群众出行舒适度。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提升改造路面长度</w:t>
            </w:r>
          </w:p>
        </w:tc>
        <w:tc>
          <w:tcPr>
            <w:tcW w:w="3430" w:type="dxa"/>
            <w:vAlign w:val="center"/>
          </w:tcPr>
          <w:p>
            <w:pPr>
              <w:pStyle w:val="13"/>
            </w:pPr>
            <w:r>
              <w:t>提升改造路面长度</w:t>
            </w:r>
          </w:p>
        </w:tc>
        <w:tc>
          <w:tcPr>
            <w:tcW w:w="2551" w:type="dxa"/>
            <w:vAlign w:val="center"/>
          </w:tcPr>
          <w:p>
            <w:pPr>
              <w:pStyle w:val="13"/>
            </w:pPr>
            <w:r>
              <w:t>≥2.79公里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竣工验收合格率</w:t>
            </w:r>
          </w:p>
        </w:tc>
        <w:tc>
          <w:tcPr>
            <w:tcW w:w="3430" w:type="dxa"/>
            <w:vAlign w:val="center"/>
          </w:tcPr>
          <w:p>
            <w:pPr>
              <w:pStyle w:val="13"/>
            </w:pPr>
            <w:r>
              <w:t>竣工验收合格率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提档升级完工时间</w:t>
            </w:r>
          </w:p>
        </w:tc>
        <w:tc>
          <w:tcPr>
            <w:tcW w:w="3430" w:type="dxa"/>
            <w:vAlign w:val="center"/>
          </w:tcPr>
          <w:p>
            <w:pPr>
              <w:pStyle w:val="13"/>
            </w:pPr>
            <w:r>
              <w:t>提档升级完工时间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西庄坨路提升改造成本</w:t>
            </w:r>
          </w:p>
        </w:tc>
        <w:tc>
          <w:tcPr>
            <w:tcW w:w="3430" w:type="dxa"/>
            <w:vAlign w:val="center"/>
          </w:tcPr>
          <w:p>
            <w:pPr>
              <w:pStyle w:val="13"/>
            </w:pPr>
            <w:r>
              <w:t>西庄坨路提升改造成本</w:t>
            </w:r>
          </w:p>
        </w:tc>
        <w:tc>
          <w:tcPr>
            <w:tcW w:w="2551" w:type="dxa"/>
            <w:vAlign w:val="center"/>
          </w:tcPr>
          <w:p>
            <w:pPr>
              <w:pStyle w:val="13"/>
            </w:pPr>
            <w:r>
              <w:t>≤62.66万元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崔庄子路提升改造成本</w:t>
            </w:r>
          </w:p>
        </w:tc>
        <w:tc>
          <w:tcPr>
            <w:tcW w:w="3430" w:type="dxa"/>
            <w:vAlign w:val="center"/>
          </w:tcPr>
          <w:p>
            <w:pPr>
              <w:pStyle w:val="13"/>
            </w:pPr>
            <w:r>
              <w:t>崔庄子路提升改造成本</w:t>
            </w:r>
          </w:p>
        </w:tc>
        <w:tc>
          <w:tcPr>
            <w:tcW w:w="2551" w:type="dxa"/>
            <w:vAlign w:val="center"/>
          </w:tcPr>
          <w:p>
            <w:pPr>
              <w:pStyle w:val="13"/>
            </w:pPr>
            <w:r>
              <w:t>≤115.84万元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提升行车舒适度</w:t>
            </w:r>
          </w:p>
        </w:tc>
        <w:tc>
          <w:tcPr>
            <w:tcW w:w="3430" w:type="dxa"/>
            <w:vAlign w:val="center"/>
          </w:tcPr>
          <w:p>
            <w:pPr>
              <w:pStyle w:val="13"/>
            </w:pPr>
            <w:r>
              <w:t>提升行车舒适度</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车辆行人满意度 </w:t>
            </w:r>
          </w:p>
        </w:tc>
        <w:tc>
          <w:tcPr>
            <w:tcW w:w="3430" w:type="dxa"/>
            <w:vAlign w:val="center"/>
          </w:tcPr>
          <w:p>
            <w:pPr>
              <w:pStyle w:val="13"/>
            </w:pPr>
            <w:r>
              <w:t xml:space="preserve">车辆行人满意度 </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28.2025年办公楼运行费*绩效目标表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2025年办公楼运行费*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1390000.00</w:t>
            </w:r>
          </w:p>
        </w:tc>
        <w:tc>
          <w:tcPr>
            <w:tcW w:w="1587" w:type="dxa"/>
            <w:vAlign w:val="center"/>
          </w:tcPr>
          <w:p>
            <w:pPr>
              <w:pStyle w:val="14"/>
            </w:pPr>
            <w:r>
              <w:t>其中：财政    资金</w:t>
            </w:r>
          </w:p>
        </w:tc>
        <w:tc>
          <w:tcPr>
            <w:tcW w:w="1843" w:type="dxa"/>
            <w:vAlign w:val="center"/>
          </w:tcPr>
          <w:p>
            <w:pPr>
              <w:pStyle w:val="13"/>
            </w:pPr>
            <w:r>
              <w:t>1390000.00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通过支付办公楼运行费用，保障日常工作顺利进行。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1.通过支付办公楼运行费用，保障日常工作顺利进行。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办公楼数量</w:t>
            </w:r>
          </w:p>
        </w:tc>
        <w:tc>
          <w:tcPr>
            <w:tcW w:w="3430" w:type="dxa"/>
            <w:vAlign w:val="center"/>
          </w:tcPr>
          <w:p>
            <w:pPr>
              <w:pStyle w:val="13"/>
            </w:pPr>
            <w:r>
              <w:t>办公楼数量</w:t>
            </w:r>
          </w:p>
        </w:tc>
        <w:tc>
          <w:tcPr>
            <w:tcW w:w="2551" w:type="dxa"/>
            <w:vAlign w:val="center"/>
          </w:tcPr>
          <w:p>
            <w:pPr>
              <w:pStyle w:val="13"/>
            </w:pPr>
            <w:r>
              <w:t>≥10处</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办公楼使用率</w:t>
            </w:r>
          </w:p>
        </w:tc>
        <w:tc>
          <w:tcPr>
            <w:tcW w:w="3430" w:type="dxa"/>
            <w:vAlign w:val="center"/>
          </w:tcPr>
          <w:p>
            <w:pPr>
              <w:pStyle w:val="13"/>
            </w:pPr>
            <w:r>
              <w:t>办公楼使用率</w:t>
            </w:r>
          </w:p>
        </w:tc>
        <w:tc>
          <w:tcPr>
            <w:tcW w:w="2551" w:type="dxa"/>
            <w:vAlign w:val="center"/>
          </w:tcPr>
          <w:p>
            <w:pPr>
              <w:pStyle w:val="13"/>
            </w:pPr>
            <w:r>
              <w:t>100百分比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办公楼运行保障时间</w:t>
            </w:r>
          </w:p>
        </w:tc>
        <w:tc>
          <w:tcPr>
            <w:tcW w:w="3430" w:type="dxa"/>
            <w:vAlign w:val="center"/>
          </w:tcPr>
          <w:p>
            <w:pPr>
              <w:pStyle w:val="13"/>
            </w:pPr>
            <w:r>
              <w:t>办公楼运行保障时间</w:t>
            </w:r>
          </w:p>
        </w:tc>
        <w:tc>
          <w:tcPr>
            <w:tcW w:w="2551" w:type="dxa"/>
            <w:vAlign w:val="center"/>
          </w:tcPr>
          <w:p>
            <w:pPr>
              <w:pStyle w:val="13"/>
            </w:pPr>
            <w:r>
              <w:t>2025年全年</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办公楼运行费用</w:t>
            </w:r>
          </w:p>
        </w:tc>
        <w:tc>
          <w:tcPr>
            <w:tcW w:w="3430" w:type="dxa"/>
            <w:vAlign w:val="center"/>
          </w:tcPr>
          <w:p>
            <w:pPr>
              <w:pStyle w:val="13"/>
            </w:pPr>
            <w:r>
              <w:t>办公楼运行费用</w:t>
            </w:r>
          </w:p>
        </w:tc>
        <w:tc>
          <w:tcPr>
            <w:tcW w:w="2551" w:type="dxa"/>
            <w:vAlign w:val="center"/>
          </w:tcPr>
          <w:p>
            <w:pPr>
              <w:pStyle w:val="13"/>
            </w:pPr>
            <w:r>
              <w:t>≤139万元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保障日常工作顺利推进</w:t>
            </w:r>
          </w:p>
        </w:tc>
        <w:tc>
          <w:tcPr>
            <w:tcW w:w="3430" w:type="dxa"/>
            <w:vAlign w:val="center"/>
          </w:tcPr>
          <w:p>
            <w:pPr>
              <w:pStyle w:val="13"/>
            </w:pPr>
            <w:r>
              <w:t>保障日常工作顺利推进</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≥90百分比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29.2025年工程质量检测费*绩效目标表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2025年工程质量检测费*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480000.00</w:t>
            </w:r>
          </w:p>
        </w:tc>
        <w:tc>
          <w:tcPr>
            <w:tcW w:w="1587" w:type="dxa"/>
            <w:vAlign w:val="center"/>
          </w:tcPr>
          <w:p>
            <w:pPr>
              <w:pStyle w:val="14"/>
            </w:pPr>
            <w:r>
              <w:t>其中：财政    资金</w:t>
            </w:r>
          </w:p>
        </w:tc>
        <w:tc>
          <w:tcPr>
            <w:tcW w:w="1843" w:type="dxa"/>
            <w:vAlign w:val="center"/>
          </w:tcPr>
          <w:p>
            <w:pPr>
              <w:pStyle w:val="13"/>
            </w:pPr>
            <w:r>
              <w:t>480000.00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通过开展工程质量检测费，保障项目质量合格，顺利推进项目进行。</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1.通过开展工程质量检测费，保障项目质量合格，顺利推进项目进行。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工程数量</w:t>
            </w:r>
          </w:p>
        </w:tc>
        <w:tc>
          <w:tcPr>
            <w:tcW w:w="3430" w:type="dxa"/>
            <w:vAlign w:val="center"/>
          </w:tcPr>
          <w:p>
            <w:pPr>
              <w:pStyle w:val="13"/>
            </w:pPr>
            <w:r>
              <w:t>工程数量</w:t>
            </w:r>
          </w:p>
        </w:tc>
        <w:tc>
          <w:tcPr>
            <w:tcW w:w="2551" w:type="dxa"/>
            <w:vAlign w:val="center"/>
          </w:tcPr>
          <w:p>
            <w:pPr>
              <w:pStyle w:val="13"/>
            </w:pPr>
            <w:r>
              <w:t>≥5个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检测质量合格率</w:t>
            </w:r>
          </w:p>
        </w:tc>
        <w:tc>
          <w:tcPr>
            <w:tcW w:w="3430" w:type="dxa"/>
            <w:vAlign w:val="center"/>
          </w:tcPr>
          <w:p>
            <w:pPr>
              <w:pStyle w:val="13"/>
            </w:pPr>
            <w:r>
              <w:t>检测质量合格率</w:t>
            </w:r>
          </w:p>
        </w:tc>
        <w:tc>
          <w:tcPr>
            <w:tcW w:w="2551" w:type="dxa"/>
            <w:vAlign w:val="center"/>
          </w:tcPr>
          <w:p>
            <w:pPr>
              <w:pStyle w:val="13"/>
            </w:pPr>
            <w:r>
              <w:t>≥95百分比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检测质量完成时间</w:t>
            </w:r>
          </w:p>
        </w:tc>
        <w:tc>
          <w:tcPr>
            <w:tcW w:w="3430" w:type="dxa"/>
            <w:vAlign w:val="center"/>
          </w:tcPr>
          <w:p>
            <w:pPr>
              <w:pStyle w:val="13"/>
            </w:pPr>
            <w:r>
              <w:t>检测质量完成时间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支付检测费用</w:t>
            </w:r>
          </w:p>
        </w:tc>
        <w:tc>
          <w:tcPr>
            <w:tcW w:w="3430" w:type="dxa"/>
            <w:vAlign w:val="center"/>
          </w:tcPr>
          <w:p>
            <w:pPr>
              <w:pStyle w:val="13"/>
            </w:pPr>
            <w:r>
              <w:t>支付检测费用</w:t>
            </w:r>
          </w:p>
        </w:tc>
        <w:tc>
          <w:tcPr>
            <w:tcW w:w="2551" w:type="dxa"/>
            <w:vAlign w:val="center"/>
          </w:tcPr>
          <w:p>
            <w:pPr>
              <w:pStyle w:val="13"/>
            </w:pPr>
            <w:r>
              <w:t>≤48万元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保障项目工程质量</w:t>
            </w:r>
          </w:p>
        </w:tc>
        <w:tc>
          <w:tcPr>
            <w:tcW w:w="3430" w:type="dxa"/>
            <w:vAlign w:val="center"/>
          </w:tcPr>
          <w:p>
            <w:pPr>
              <w:pStyle w:val="13"/>
            </w:pPr>
            <w:r>
              <w:t>保障项目工程质量</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30.2025年行政执法费*绩效目标表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2025年行政执法费*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730000.00</w:t>
            </w:r>
          </w:p>
        </w:tc>
        <w:tc>
          <w:tcPr>
            <w:tcW w:w="1587" w:type="dxa"/>
            <w:vAlign w:val="center"/>
          </w:tcPr>
          <w:p>
            <w:pPr>
              <w:pStyle w:val="14"/>
            </w:pPr>
            <w:r>
              <w:t>其中：财政    资金</w:t>
            </w:r>
          </w:p>
        </w:tc>
        <w:tc>
          <w:tcPr>
            <w:tcW w:w="1843" w:type="dxa"/>
            <w:vAlign w:val="center"/>
          </w:tcPr>
          <w:p>
            <w:pPr>
              <w:pStyle w:val="13"/>
            </w:pPr>
            <w:r>
              <w:t>730000.00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通过支付行政执法费，保障执法工作顺利进行。</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1.通过支付行政执法费，保障执法工作顺利进行。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购买执法设备数量</w:t>
            </w:r>
          </w:p>
        </w:tc>
        <w:tc>
          <w:tcPr>
            <w:tcW w:w="3430" w:type="dxa"/>
            <w:vAlign w:val="center"/>
          </w:tcPr>
          <w:p>
            <w:pPr>
              <w:pStyle w:val="13"/>
            </w:pPr>
            <w:r>
              <w:t>购买执法设备数量</w:t>
            </w:r>
          </w:p>
        </w:tc>
        <w:tc>
          <w:tcPr>
            <w:tcW w:w="2551" w:type="dxa"/>
            <w:vAlign w:val="center"/>
          </w:tcPr>
          <w:p>
            <w:pPr>
              <w:pStyle w:val="13"/>
            </w:pPr>
            <w:r>
              <w:t>≥24个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3430" w:type="dxa"/>
            <w:vAlign w:val="center"/>
          </w:tcPr>
          <w:p>
            <w:pPr>
              <w:pStyle w:val="13"/>
            </w:pPr>
            <w:r>
              <w:t>验收合格率</w:t>
            </w:r>
          </w:p>
        </w:tc>
        <w:tc>
          <w:tcPr>
            <w:tcW w:w="2551" w:type="dxa"/>
            <w:vAlign w:val="center"/>
          </w:tcPr>
          <w:p>
            <w:pPr>
              <w:pStyle w:val="13"/>
            </w:pPr>
            <w:r>
              <w:t>≥95百分比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执法设备购置完成时间</w:t>
            </w:r>
          </w:p>
        </w:tc>
        <w:tc>
          <w:tcPr>
            <w:tcW w:w="3430" w:type="dxa"/>
            <w:vAlign w:val="center"/>
          </w:tcPr>
          <w:p>
            <w:pPr>
              <w:pStyle w:val="13"/>
            </w:pPr>
            <w:r>
              <w:t>执法设备购置完成时间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行政执法费成本</w:t>
            </w:r>
          </w:p>
        </w:tc>
        <w:tc>
          <w:tcPr>
            <w:tcW w:w="3430" w:type="dxa"/>
            <w:vAlign w:val="center"/>
          </w:tcPr>
          <w:p>
            <w:pPr>
              <w:pStyle w:val="13"/>
            </w:pPr>
            <w:r>
              <w:t>行政执法费成本</w:t>
            </w:r>
          </w:p>
        </w:tc>
        <w:tc>
          <w:tcPr>
            <w:tcW w:w="2551" w:type="dxa"/>
            <w:vAlign w:val="center"/>
          </w:tcPr>
          <w:p>
            <w:pPr>
              <w:pStyle w:val="13"/>
            </w:pPr>
            <w:r>
              <w:t>≤730000元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保障执法工作</w:t>
            </w:r>
          </w:p>
        </w:tc>
        <w:tc>
          <w:tcPr>
            <w:tcW w:w="3430" w:type="dxa"/>
            <w:vAlign w:val="center"/>
          </w:tcPr>
          <w:p>
            <w:pPr>
              <w:pStyle w:val="13"/>
            </w:pPr>
            <w:r>
              <w:t>保障执法工作顺利进行</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执法人员满意度</w:t>
            </w:r>
          </w:p>
        </w:tc>
        <w:tc>
          <w:tcPr>
            <w:tcW w:w="3430" w:type="dxa"/>
            <w:vAlign w:val="center"/>
          </w:tcPr>
          <w:p>
            <w:pPr>
              <w:pStyle w:val="13"/>
            </w:pPr>
            <w:r>
              <w:t>基层执法人员满意度</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31.2025年执法站标准化建设*绩效目标表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2025年执法站标准化建设*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通过执法站所标准化建设提升执法形象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1.通过执法站所标准化建设提升执法形象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执法站数量</w:t>
            </w:r>
          </w:p>
        </w:tc>
        <w:tc>
          <w:tcPr>
            <w:tcW w:w="3430" w:type="dxa"/>
            <w:vAlign w:val="center"/>
          </w:tcPr>
          <w:p>
            <w:pPr>
              <w:pStyle w:val="13"/>
            </w:pPr>
            <w:r>
              <w:t>执法站数量</w:t>
            </w:r>
          </w:p>
        </w:tc>
        <w:tc>
          <w:tcPr>
            <w:tcW w:w="2551" w:type="dxa"/>
            <w:vAlign w:val="center"/>
          </w:tcPr>
          <w:p>
            <w:pPr>
              <w:pStyle w:val="13"/>
            </w:pPr>
            <w:r>
              <w:t>≥12个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建设合格率</w:t>
            </w:r>
          </w:p>
        </w:tc>
        <w:tc>
          <w:tcPr>
            <w:tcW w:w="3430" w:type="dxa"/>
            <w:vAlign w:val="center"/>
          </w:tcPr>
          <w:p>
            <w:pPr>
              <w:pStyle w:val="13"/>
            </w:pPr>
            <w:r>
              <w:t>执法站所标准化建设合格率</w:t>
            </w:r>
          </w:p>
        </w:tc>
        <w:tc>
          <w:tcPr>
            <w:tcW w:w="2551" w:type="dxa"/>
            <w:vAlign w:val="center"/>
          </w:tcPr>
          <w:p>
            <w:pPr>
              <w:pStyle w:val="13"/>
            </w:pPr>
            <w:r>
              <w:t>≥95百分比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建设完成时间</w:t>
            </w:r>
          </w:p>
        </w:tc>
        <w:tc>
          <w:tcPr>
            <w:tcW w:w="3430" w:type="dxa"/>
            <w:vAlign w:val="center"/>
          </w:tcPr>
          <w:p>
            <w:pPr>
              <w:pStyle w:val="13"/>
            </w:pPr>
            <w:r>
              <w:t>建设完成时间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标准化建设费用</w:t>
            </w:r>
          </w:p>
        </w:tc>
        <w:tc>
          <w:tcPr>
            <w:tcW w:w="3430" w:type="dxa"/>
            <w:vAlign w:val="center"/>
          </w:tcPr>
          <w:p>
            <w:pPr>
              <w:pStyle w:val="13"/>
            </w:pPr>
            <w:r>
              <w:t>标准化建设费用</w:t>
            </w:r>
          </w:p>
        </w:tc>
        <w:tc>
          <w:tcPr>
            <w:tcW w:w="2551" w:type="dxa"/>
            <w:vAlign w:val="center"/>
          </w:tcPr>
          <w:p>
            <w:pPr>
              <w:pStyle w:val="13"/>
            </w:pPr>
            <w:r>
              <w:t>≤50万元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保障执法工作</w:t>
            </w:r>
          </w:p>
        </w:tc>
        <w:tc>
          <w:tcPr>
            <w:tcW w:w="3430" w:type="dxa"/>
            <w:vAlign w:val="center"/>
          </w:tcPr>
          <w:p>
            <w:pPr>
              <w:pStyle w:val="13"/>
            </w:pPr>
            <w:r>
              <w:t>保障执法工作顺利进行</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32.2025年治超卸载点租赁费*绩效目标表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2025年治超卸载点租赁费*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5024900.00</w:t>
            </w:r>
          </w:p>
        </w:tc>
        <w:tc>
          <w:tcPr>
            <w:tcW w:w="1587" w:type="dxa"/>
            <w:vAlign w:val="center"/>
          </w:tcPr>
          <w:p>
            <w:pPr>
              <w:pStyle w:val="14"/>
            </w:pPr>
            <w:r>
              <w:t>其中：财政    资金</w:t>
            </w:r>
          </w:p>
        </w:tc>
        <w:tc>
          <w:tcPr>
            <w:tcW w:w="1843" w:type="dxa"/>
            <w:vAlign w:val="center"/>
          </w:tcPr>
          <w:p>
            <w:pPr>
              <w:pStyle w:val="13"/>
            </w:pPr>
            <w:r>
              <w:t>5024900.00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通过租赁治超卸载点，保障治超工作正常运行。</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1.通过租赁治超卸载点，保障治超工作正常运行。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租赁治超卸载点数量</w:t>
            </w:r>
          </w:p>
        </w:tc>
        <w:tc>
          <w:tcPr>
            <w:tcW w:w="3430" w:type="dxa"/>
            <w:vAlign w:val="center"/>
          </w:tcPr>
          <w:p>
            <w:pPr>
              <w:pStyle w:val="13"/>
            </w:pPr>
            <w:r>
              <w:t>租赁治超卸载点数量</w:t>
            </w:r>
          </w:p>
        </w:tc>
        <w:tc>
          <w:tcPr>
            <w:tcW w:w="2551" w:type="dxa"/>
            <w:vAlign w:val="center"/>
          </w:tcPr>
          <w:p>
            <w:pPr>
              <w:pStyle w:val="13"/>
            </w:pPr>
            <w:r>
              <w:t>≥3个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设施质量合格率</w:t>
            </w:r>
          </w:p>
        </w:tc>
        <w:tc>
          <w:tcPr>
            <w:tcW w:w="3430" w:type="dxa"/>
            <w:vAlign w:val="center"/>
          </w:tcPr>
          <w:p>
            <w:pPr>
              <w:pStyle w:val="13"/>
            </w:pPr>
            <w:r>
              <w:t>设施质量合格率</w:t>
            </w:r>
          </w:p>
        </w:tc>
        <w:tc>
          <w:tcPr>
            <w:tcW w:w="2551" w:type="dxa"/>
            <w:vAlign w:val="center"/>
          </w:tcPr>
          <w:p>
            <w:pPr>
              <w:pStyle w:val="13"/>
            </w:pPr>
            <w:r>
              <w:t>≥90%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治超卸载点完成时间</w:t>
            </w:r>
          </w:p>
        </w:tc>
        <w:tc>
          <w:tcPr>
            <w:tcW w:w="3430" w:type="dxa"/>
            <w:vAlign w:val="center"/>
          </w:tcPr>
          <w:p>
            <w:pPr>
              <w:pStyle w:val="13"/>
            </w:pPr>
            <w:r>
              <w:t>治超卸载点完成时间</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卸载点租赁费用</w:t>
            </w:r>
          </w:p>
        </w:tc>
        <w:tc>
          <w:tcPr>
            <w:tcW w:w="3430" w:type="dxa"/>
            <w:vAlign w:val="center"/>
          </w:tcPr>
          <w:p>
            <w:pPr>
              <w:pStyle w:val="13"/>
            </w:pPr>
            <w:r>
              <w:t>卸载点租赁费用</w:t>
            </w:r>
          </w:p>
        </w:tc>
        <w:tc>
          <w:tcPr>
            <w:tcW w:w="2551" w:type="dxa"/>
            <w:vAlign w:val="center"/>
          </w:tcPr>
          <w:p>
            <w:pPr>
              <w:pStyle w:val="13"/>
            </w:pPr>
            <w:r>
              <w:t>≤502.49万元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保障治超工作正常运行</w:t>
            </w:r>
          </w:p>
        </w:tc>
        <w:tc>
          <w:tcPr>
            <w:tcW w:w="3430" w:type="dxa"/>
            <w:vAlign w:val="center"/>
          </w:tcPr>
          <w:p>
            <w:pPr>
              <w:pStyle w:val="13"/>
            </w:pPr>
            <w:r>
              <w:t>保障治超工作正常运行</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群众对检测准确性满意率</w:t>
            </w:r>
          </w:p>
        </w:tc>
        <w:tc>
          <w:tcPr>
            <w:tcW w:w="3430" w:type="dxa"/>
            <w:vAlign w:val="center"/>
          </w:tcPr>
          <w:p>
            <w:pPr>
              <w:pStyle w:val="13"/>
            </w:pPr>
            <w:r>
              <w:t>群众对检测准确性满意率</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sz w:val="28"/>
        </w:rPr>
        <w:t>33. 2025年编制外长聘-机关事业单位辅助人员（基本建设室）绩效目标表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2025年编制外长聘-机关事业单位辅助人员（基本建设室）</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750000.00</w:t>
            </w:r>
          </w:p>
        </w:tc>
        <w:tc>
          <w:tcPr>
            <w:tcW w:w="1587" w:type="dxa"/>
            <w:vAlign w:val="center"/>
          </w:tcPr>
          <w:p>
            <w:pPr>
              <w:pStyle w:val="14"/>
            </w:pPr>
            <w:r>
              <w:t>其中：财政    资金</w:t>
            </w:r>
          </w:p>
        </w:tc>
        <w:tc>
          <w:tcPr>
            <w:tcW w:w="1843" w:type="dxa"/>
            <w:vAlign w:val="center"/>
          </w:tcPr>
          <w:p>
            <w:pPr>
              <w:pStyle w:val="13"/>
            </w:pPr>
            <w:r>
              <w:t>750000.00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≥13人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≤5.77万元/年/人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sz w:val="28"/>
        </w:rPr>
        <w:t>34.2024超限检测站(点)设施日常养护(含土地租赁)市级补助直达资金(津财基指[2023]92号)绩效目标表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2024超限检测站(点)设施日常养护(含土地租赁)市级补助直达资金(津财基指[2023]92号)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743677.20</w:t>
            </w:r>
          </w:p>
        </w:tc>
        <w:tc>
          <w:tcPr>
            <w:tcW w:w="1587" w:type="dxa"/>
            <w:vAlign w:val="center"/>
          </w:tcPr>
          <w:p>
            <w:pPr>
              <w:pStyle w:val="14"/>
            </w:pPr>
            <w:r>
              <w:t>其中：财政    资金</w:t>
            </w:r>
          </w:p>
        </w:tc>
        <w:tc>
          <w:tcPr>
            <w:tcW w:w="1843" w:type="dxa"/>
            <w:vAlign w:val="center"/>
          </w:tcPr>
          <w:p>
            <w:pPr>
              <w:pStyle w:val="13"/>
            </w:pPr>
            <w:r>
              <w:t>743677.20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2024年度对滨海新区1个1类公路超限检测点，5个超限检测点开展运维工作，保证超限站（点）检测设备质量合格，精度准确，持有合格有效的计量检定证书。</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1.2024年度对滨海新区1个1类公路超限检测点，5个超限检测点开展运维工作，保证超限站（点）检测设备质量合格，精度准确，持有合格有效的计量检定证书。超限站（点）检测设备和设施损坏后及时维修，不影响站区正常运行，超限站（点）年度养护补助使用率达到100%。</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市级补助1类超限站数量</w:t>
            </w:r>
          </w:p>
        </w:tc>
        <w:tc>
          <w:tcPr>
            <w:tcW w:w="3430" w:type="dxa"/>
            <w:vAlign w:val="center"/>
          </w:tcPr>
          <w:p>
            <w:pPr>
              <w:pStyle w:val="13"/>
            </w:pPr>
            <w:r>
              <w:t>市级补助1类超限站数量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市级补助超限点数量</w:t>
            </w:r>
          </w:p>
        </w:tc>
        <w:tc>
          <w:tcPr>
            <w:tcW w:w="3430" w:type="dxa"/>
            <w:vAlign w:val="center"/>
          </w:tcPr>
          <w:p>
            <w:pPr>
              <w:pStyle w:val="13"/>
            </w:pPr>
            <w:r>
              <w:t>市级补助超限点数量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超限站防雷设施质量</w:t>
            </w:r>
          </w:p>
        </w:tc>
        <w:tc>
          <w:tcPr>
            <w:tcW w:w="3430" w:type="dxa"/>
            <w:vAlign w:val="center"/>
          </w:tcPr>
          <w:p>
            <w:pPr>
              <w:pStyle w:val="13"/>
            </w:pPr>
            <w:r>
              <w:t>超限站防雷设施质量</w:t>
            </w:r>
          </w:p>
        </w:tc>
        <w:tc>
          <w:tcPr>
            <w:tcW w:w="2551"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超限站检测设备质量</w:t>
            </w:r>
          </w:p>
        </w:tc>
        <w:tc>
          <w:tcPr>
            <w:tcW w:w="3430" w:type="dxa"/>
            <w:vAlign w:val="center"/>
          </w:tcPr>
          <w:p>
            <w:pPr>
              <w:pStyle w:val="13"/>
            </w:pPr>
            <w:r>
              <w:t>超限站检测设备质量</w:t>
            </w:r>
          </w:p>
        </w:tc>
        <w:tc>
          <w:tcPr>
            <w:tcW w:w="2551"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超限站检测联网率</w:t>
            </w:r>
          </w:p>
        </w:tc>
        <w:tc>
          <w:tcPr>
            <w:tcW w:w="3430" w:type="dxa"/>
            <w:vAlign w:val="center"/>
          </w:tcPr>
          <w:p>
            <w:pPr>
              <w:pStyle w:val="13"/>
            </w:pPr>
            <w:r>
              <w:t>超限站检测联网率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超限设施维修完成时间</w:t>
            </w:r>
          </w:p>
        </w:tc>
        <w:tc>
          <w:tcPr>
            <w:tcW w:w="3430" w:type="dxa"/>
            <w:vAlign w:val="center"/>
          </w:tcPr>
          <w:p>
            <w:pPr>
              <w:pStyle w:val="13"/>
            </w:pPr>
            <w:r>
              <w:t>超限设施维修完成时间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超限设施日常养护经费</w:t>
            </w:r>
          </w:p>
        </w:tc>
        <w:tc>
          <w:tcPr>
            <w:tcW w:w="3430" w:type="dxa"/>
            <w:vAlign w:val="center"/>
          </w:tcPr>
          <w:p>
            <w:pPr>
              <w:pStyle w:val="13"/>
            </w:pPr>
            <w:r>
              <w:t>超限设施日常养护经费</w:t>
            </w:r>
          </w:p>
        </w:tc>
        <w:tc>
          <w:tcPr>
            <w:tcW w:w="2551" w:type="dxa"/>
            <w:vAlign w:val="center"/>
          </w:tcPr>
          <w:p>
            <w:pPr>
              <w:pStyle w:val="13"/>
            </w:pPr>
            <w:r>
              <w:t>≤74.37万元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保障超限站(点)设施正常运行</w:t>
            </w:r>
          </w:p>
        </w:tc>
        <w:tc>
          <w:tcPr>
            <w:tcW w:w="3430" w:type="dxa"/>
            <w:vAlign w:val="center"/>
          </w:tcPr>
          <w:p>
            <w:pPr>
              <w:pStyle w:val="13"/>
            </w:pPr>
            <w:r>
              <w:t>保障超限站(点)设施正常运行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检测车辆驾驶员投诉率</w:t>
            </w:r>
          </w:p>
        </w:tc>
        <w:tc>
          <w:tcPr>
            <w:tcW w:w="3430" w:type="dxa"/>
            <w:vAlign w:val="center"/>
          </w:tcPr>
          <w:p>
            <w:pPr>
              <w:pStyle w:val="13"/>
            </w:pPr>
            <w:r>
              <w:t>检测车辆驾驶员投诉率</w:t>
            </w:r>
          </w:p>
        </w:tc>
        <w:tc>
          <w:tcPr>
            <w:tcW w:w="2551" w:type="dxa"/>
            <w:vAlign w:val="center"/>
          </w:tcPr>
          <w:p>
            <w:pPr>
              <w:pStyle w:val="13"/>
            </w:pPr>
            <w:r>
              <w:t>≤5%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sz w:val="28"/>
        </w:rPr>
        <w:t>35.2025年编制外长聘-（原大港学生）（基本建设室）绩效目标表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2025年编制外长聘-（原大港学生）（基本建设室）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2400000.00</w:t>
            </w:r>
          </w:p>
        </w:tc>
        <w:tc>
          <w:tcPr>
            <w:tcW w:w="1587" w:type="dxa"/>
            <w:vAlign w:val="center"/>
          </w:tcPr>
          <w:p>
            <w:pPr>
              <w:pStyle w:val="14"/>
            </w:pPr>
            <w:r>
              <w:t>其中：财政    资金</w:t>
            </w:r>
          </w:p>
        </w:tc>
        <w:tc>
          <w:tcPr>
            <w:tcW w:w="1843" w:type="dxa"/>
            <w:vAlign w:val="center"/>
          </w:tcPr>
          <w:p>
            <w:pPr>
              <w:pStyle w:val="13"/>
            </w:pPr>
            <w:r>
              <w:t>2400000.00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通过发放多种用工派遣人员工作津费，保障派遣员工的基本合法权益，保障工作顺利推进。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≥11人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≤21.81万元/年/人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sz w:val="28"/>
        </w:rPr>
        <w:t>36.2025年编制外长聘-综合执法部门人员（基本建设室）绩效目标表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2025年编制外长聘-综合执法部门人员（基本建设室）</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9606800.00</w:t>
            </w:r>
          </w:p>
        </w:tc>
        <w:tc>
          <w:tcPr>
            <w:tcW w:w="1587" w:type="dxa"/>
            <w:vAlign w:val="center"/>
          </w:tcPr>
          <w:p>
            <w:pPr>
              <w:pStyle w:val="14"/>
            </w:pPr>
            <w:r>
              <w:t>其中：财政    资金</w:t>
            </w:r>
          </w:p>
        </w:tc>
        <w:tc>
          <w:tcPr>
            <w:tcW w:w="1843" w:type="dxa"/>
            <w:vAlign w:val="center"/>
          </w:tcPr>
          <w:p>
            <w:pPr>
              <w:pStyle w:val="13"/>
            </w:pPr>
            <w:r>
              <w:t>9606800.00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≥146人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≤6.58万元/年/人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sz w:val="28"/>
        </w:rPr>
        <w:t>37.超限检测站(点)设施日常养护(含土地租赁)市级补助(津财基指[2024]127号)绩效目标表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超限检测站(点)设施日常养护(含土地租赁)市级补助(津财基指[2024]127号)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320000.00</w:t>
            </w:r>
          </w:p>
        </w:tc>
        <w:tc>
          <w:tcPr>
            <w:tcW w:w="1587" w:type="dxa"/>
            <w:vAlign w:val="center"/>
          </w:tcPr>
          <w:p>
            <w:pPr>
              <w:pStyle w:val="14"/>
            </w:pPr>
            <w:r>
              <w:t>其中：财政    资金</w:t>
            </w:r>
          </w:p>
        </w:tc>
        <w:tc>
          <w:tcPr>
            <w:tcW w:w="1843" w:type="dxa"/>
            <w:vAlign w:val="center"/>
          </w:tcPr>
          <w:p>
            <w:pPr>
              <w:pStyle w:val="13"/>
            </w:pPr>
            <w:r>
              <w:t>320000.00</w:t>
            </w:r>
          </w:p>
        </w:tc>
        <w:tc>
          <w:tcPr>
            <w:tcW w:w="1276" w:type="dxa"/>
            <w:vAlign w:val="center"/>
          </w:tcPr>
          <w:p>
            <w:pPr>
              <w:pStyle w:val="14"/>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2025年度对滨海新区范围内1个1类超限站开展运维工作,保障治超工作顺利开展.</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1.对滨海新区范围内1个1类超限站开展运维工作,保障治超工作顺利开展.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日常养护超限检测站(点)数量</w:t>
            </w:r>
          </w:p>
        </w:tc>
        <w:tc>
          <w:tcPr>
            <w:tcW w:w="3430" w:type="dxa"/>
            <w:vAlign w:val="center"/>
          </w:tcPr>
          <w:p>
            <w:pPr>
              <w:pStyle w:val="13"/>
            </w:pPr>
            <w:r>
              <w:t>日常养护超限检测站(点)数量</w:t>
            </w:r>
          </w:p>
        </w:tc>
        <w:tc>
          <w:tcPr>
            <w:tcW w:w="2551" w:type="dxa"/>
            <w:vAlign w:val="center"/>
          </w:tcPr>
          <w:p>
            <w:pPr>
              <w:pStyle w:val="13"/>
            </w:pPr>
            <w:r>
              <w:t>1个</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检测设备正常运转率</w:t>
            </w:r>
          </w:p>
        </w:tc>
        <w:tc>
          <w:tcPr>
            <w:tcW w:w="3430" w:type="dxa"/>
            <w:vAlign w:val="center"/>
          </w:tcPr>
          <w:p>
            <w:pPr>
              <w:pStyle w:val="13"/>
            </w:pPr>
            <w:r>
              <w:t>检测设备正常运转率</w:t>
            </w:r>
          </w:p>
        </w:tc>
        <w:tc>
          <w:tcPr>
            <w:tcW w:w="2551" w:type="dxa"/>
            <w:vAlign w:val="center"/>
          </w:tcPr>
          <w:p>
            <w:pPr>
              <w:pStyle w:val="13"/>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日常养护完成时间</w:t>
            </w:r>
          </w:p>
        </w:tc>
        <w:tc>
          <w:tcPr>
            <w:tcW w:w="3430" w:type="dxa"/>
            <w:vAlign w:val="center"/>
          </w:tcPr>
          <w:p>
            <w:pPr>
              <w:pStyle w:val="13"/>
            </w:pPr>
            <w:r>
              <w:t>日常养护完成时间</w:t>
            </w:r>
          </w:p>
        </w:tc>
        <w:tc>
          <w:tcPr>
            <w:tcW w:w="2551" w:type="dxa"/>
            <w:vAlign w:val="center"/>
          </w:tcPr>
          <w:p>
            <w:pPr>
              <w:pStyle w:val="13"/>
            </w:pPr>
            <w:r>
              <w:t>2025年</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日常养护费用</w:t>
            </w:r>
          </w:p>
        </w:tc>
        <w:tc>
          <w:tcPr>
            <w:tcW w:w="3430" w:type="dxa"/>
            <w:vAlign w:val="center"/>
          </w:tcPr>
          <w:p>
            <w:pPr>
              <w:pStyle w:val="13"/>
            </w:pPr>
            <w:r>
              <w:t>日常养护费用</w:t>
            </w:r>
          </w:p>
        </w:tc>
        <w:tc>
          <w:tcPr>
            <w:tcW w:w="2551" w:type="dxa"/>
            <w:vAlign w:val="center"/>
          </w:tcPr>
          <w:p>
            <w:pPr>
              <w:pStyle w:val="13"/>
            </w:pPr>
            <w:r>
              <w:t>≤32万元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保障超限检测站正常运行</w:t>
            </w:r>
          </w:p>
        </w:tc>
        <w:tc>
          <w:tcPr>
            <w:tcW w:w="3430" w:type="dxa"/>
            <w:vAlign w:val="center"/>
          </w:tcPr>
          <w:p>
            <w:pPr>
              <w:pStyle w:val="13"/>
            </w:pPr>
            <w:r>
              <w:t>保障超限检测站正常运行</w:t>
            </w:r>
          </w:p>
        </w:tc>
        <w:tc>
          <w:tcPr>
            <w:tcW w:w="2551" w:type="dxa"/>
            <w:vAlign w:val="center"/>
          </w:tcPr>
          <w:p>
            <w:pPr>
              <w:pStyle w:val="13"/>
            </w:pPr>
            <w:r>
              <w:t>有效保障</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周边群众满意度</w:t>
            </w:r>
          </w:p>
        </w:tc>
        <w:tc>
          <w:tcPr>
            <w:tcW w:w="3430" w:type="dxa"/>
            <w:vAlign w:val="center"/>
          </w:tcPr>
          <w:p>
            <w:pPr>
              <w:pStyle w:val="13"/>
            </w:pPr>
            <w:r>
              <w:t>周边群众满意度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2CC13E88"/>
    <w:rsid w:val="35964338"/>
    <w:rsid w:val="4E7500C4"/>
    <w:rsid w:val="5C8F5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2025-01-21T10:46:46Z</dcterms:created>
  <dcterms:modified xsi:type="dcterms:W3CDTF">2025-01-21T02:46:46Z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2025-01-21T10:46:40Z</dcterms:created>
  <dcterms:modified xsi:type="dcterms:W3CDTF">2025-01-21T02:46:40Z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2025-01-21T10:46:41Z</dcterms:created>
  <dcterms:modified xsi:type="dcterms:W3CDTF">2025-01-21T02:46:41Z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2025-01-21T10:46:41Z</dcterms:created>
  <dcterms:modified xsi:type="dcterms:W3CDTF">2025-01-21T02:46:41Z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2025-01-21T10:46:41Z</dcterms:created>
  <dcterms:modified xsi:type="dcterms:W3CDTF">2025-01-21T02:46:41Z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2025-01-21T10:46:41Z</dcterms:created>
  <dcterms:modified xsi:type="dcterms:W3CDTF">2025-01-21T02:46:41Z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2025-01-21T10:46:41Z</dcterms:created>
  <dcterms:modified xsi:type="dcterms:W3CDTF">2025-01-21T02:46:41Z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2025-01-21T10:46:42Z</dcterms:created>
  <dcterms:modified xsi:type="dcterms:W3CDTF">2025-01-21T02:46:42Z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2025-01-21T10:46:42Z</dcterms:created>
  <dcterms:modified xsi:type="dcterms:W3CDTF">2025-01-21T02:46:42Z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2025-01-21T10:46:42Z</dcterms:created>
  <dcterms:modified xsi:type="dcterms:W3CDTF">2025-01-21T02:46:42Z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2025-01-21T10:46:42Z</dcterms:created>
  <dcterms:modified xsi:type="dcterms:W3CDTF">2025-01-21T02:46:42Z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2025-01-21T10:46:43Z</dcterms:created>
  <dcterms:modified xsi:type="dcterms:W3CDTF">2025-01-21T02:46:43Z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2025-01-21T10:46:43Z</dcterms:created>
  <dcterms:modified xsi:type="dcterms:W3CDTF">2025-01-21T02:46:43Z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2025-01-21T10:46:43Z</dcterms:created>
  <dcterms:modified xsi:type="dcterms:W3CDTF">2025-01-21T02:46:43Z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2025-01-21T10:46:43Z</dcterms:created>
  <dcterms:modified xsi:type="dcterms:W3CDTF">2025-01-21T02:46:43Z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2025-01-21T10:46:44Z</dcterms:created>
  <dcterms:modified xsi:type="dcterms:W3CDTF">2025-01-21T02:46:43Z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2025-01-21T10:46:44Z</dcterms:created>
  <dcterms:modified xsi:type="dcterms:W3CDTF">2025-01-21T02:46:44Z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2025-01-21T10:46:44Z</dcterms:created>
  <dcterms:modified xsi:type="dcterms:W3CDTF">2025-01-21T02:46:44Z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2025-01-21T10:46:44Z</dcterms:created>
  <dcterms:modified xsi:type="dcterms:W3CDTF">2025-01-21T02:46:44Z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2025-01-21T10:46:44Z</dcterms:created>
  <dcterms:modified xsi:type="dcterms:W3CDTF">2025-01-21T02:46:44Z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2025-01-21T10:46:45Z</dcterms:created>
  <dcterms:modified xsi:type="dcterms:W3CDTF">2025-01-21T02:46:45Z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2025-01-21T10:46:45Z</dcterms:created>
  <dcterms:modified xsi:type="dcterms:W3CDTF">2025-01-21T02:46:45Z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2025-01-21T10:46:38Z</dcterms:created>
  <dcterms:modified xsi:type="dcterms:W3CDTF">2025-01-21T02:46:38Z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2025-01-21T10:46:45Z</dcterms:created>
  <dcterms:modified xsi:type="dcterms:W3CDTF">2025-01-21T02:46:45Z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2025-01-21T10:46:45Z</dcterms:created>
  <dcterms:modified xsi:type="dcterms:W3CDTF">2025-01-21T02:46:45Z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2025-01-21T10:46:46Z</dcterms:created>
  <dcterms:modified xsi:type="dcterms:W3CDTF">2025-01-21T02:46:46Z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2025-01-21T10:46:39Z</dcterms:created>
  <dcterms:modified xsi:type="dcterms:W3CDTF">2025-01-21T02:46:39Z</dcterms:modified>
</cp:coreProperties>
</file>

<file path=customXml/itemProps1.xml><?xml version="1.0" encoding="utf-8"?>
<ds:datastoreItem xmlns:ds="http://schemas.openxmlformats.org/officeDocument/2006/customXml" ds:itemID="{6082b6f2-1020-458b-ad19-55c9eca5ac06}">
  <ds:schemaRefs/>
</ds:datastoreItem>
</file>

<file path=customXml/itemProps10.xml><?xml version="1.0" encoding="utf-8"?>
<ds:datastoreItem xmlns:ds="http://schemas.openxmlformats.org/officeDocument/2006/customXml" ds:itemID="{755533c7-0ab0-48a9-a7d9-e9e3ea44bf9d}">
  <ds:schemaRefs/>
</ds:datastoreItem>
</file>

<file path=customXml/itemProps11.xml><?xml version="1.0" encoding="utf-8"?>
<ds:datastoreItem xmlns:ds="http://schemas.openxmlformats.org/officeDocument/2006/customXml" ds:itemID="{67bf3f16-70ff-4fb1-8f24-680cd27f939f}">
  <ds:schemaRefs/>
</ds:datastoreItem>
</file>

<file path=customXml/itemProps12.xml><?xml version="1.0" encoding="utf-8"?>
<ds:datastoreItem xmlns:ds="http://schemas.openxmlformats.org/officeDocument/2006/customXml" ds:itemID="{8b94b69d-a5a1-4c7d-ae39-13a7cd589861}">
  <ds:schemaRefs/>
</ds:datastoreItem>
</file>

<file path=customXml/itemProps13.xml><?xml version="1.0" encoding="utf-8"?>
<ds:datastoreItem xmlns:ds="http://schemas.openxmlformats.org/officeDocument/2006/customXml" ds:itemID="{7c504bb3-3eb7-4544-a589-c03598d0d06e}">
  <ds:schemaRefs/>
</ds:datastoreItem>
</file>

<file path=customXml/itemProps14.xml><?xml version="1.0" encoding="utf-8"?>
<ds:datastoreItem xmlns:ds="http://schemas.openxmlformats.org/officeDocument/2006/customXml" ds:itemID="{9ebed8b6-5bad-415d-a6c7-801d06e9b5c3}">
  <ds:schemaRefs/>
</ds:datastoreItem>
</file>

<file path=customXml/itemProps15.xml><?xml version="1.0" encoding="utf-8"?>
<ds:datastoreItem xmlns:ds="http://schemas.openxmlformats.org/officeDocument/2006/customXml" ds:itemID="{61993aa2-ecf7-4806-ab6b-fb64141c9c14}">
  <ds:schemaRefs/>
</ds:datastoreItem>
</file>

<file path=customXml/itemProps16.xml><?xml version="1.0" encoding="utf-8"?>
<ds:datastoreItem xmlns:ds="http://schemas.openxmlformats.org/officeDocument/2006/customXml" ds:itemID="{19aec1cc-b81c-45c4-b7a2-d507e91d2340}">
  <ds:schemaRefs/>
</ds:datastoreItem>
</file>

<file path=customXml/itemProps17.xml><?xml version="1.0" encoding="utf-8"?>
<ds:datastoreItem xmlns:ds="http://schemas.openxmlformats.org/officeDocument/2006/customXml" ds:itemID="{9fcadddb-6219-44d5-9613-ee432b531fbe}">
  <ds:schemaRefs/>
</ds:datastoreItem>
</file>

<file path=customXml/itemProps18.xml><?xml version="1.0" encoding="utf-8"?>
<ds:datastoreItem xmlns:ds="http://schemas.openxmlformats.org/officeDocument/2006/customXml" ds:itemID="{fd1c681d-3b51-45f6-9dcd-d952c2ffb846}">
  <ds:schemaRefs/>
</ds:datastoreItem>
</file>

<file path=customXml/itemProps19.xml><?xml version="1.0" encoding="utf-8"?>
<ds:datastoreItem xmlns:ds="http://schemas.openxmlformats.org/officeDocument/2006/customXml" ds:itemID="{e995cf81-982a-4688-9fb7-0ac34a6bca2a}">
  <ds:schemaRefs/>
</ds:datastoreItem>
</file>

<file path=customXml/itemProps2.xml><?xml version="1.0" encoding="utf-8"?>
<ds:datastoreItem xmlns:ds="http://schemas.openxmlformats.org/officeDocument/2006/customXml" ds:itemID="{1a3d978b-6904-48aa-9d32-838fe71b5438}">
  <ds:schemaRefs/>
</ds:datastoreItem>
</file>

<file path=customXml/itemProps20.xml><?xml version="1.0" encoding="utf-8"?>
<ds:datastoreItem xmlns:ds="http://schemas.openxmlformats.org/officeDocument/2006/customXml" ds:itemID="{8f10ba58-6737-4cc4-b3aa-b8576f9a468f}">
  <ds:schemaRefs/>
</ds:datastoreItem>
</file>

<file path=customXml/itemProps21.xml><?xml version="1.0" encoding="utf-8"?>
<ds:datastoreItem xmlns:ds="http://schemas.openxmlformats.org/officeDocument/2006/customXml" ds:itemID="{467e0cbb-7ec9-4769-9768-fce68d30c034}">
  <ds:schemaRefs/>
</ds:datastoreItem>
</file>

<file path=customXml/itemProps22.xml><?xml version="1.0" encoding="utf-8"?>
<ds:datastoreItem xmlns:ds="http://schemas.openxmlformats.org/officeDocument/2006/customXml" ds:itemID="{ea3e3077-d1b1-4d18-a3c9-cd84c6bac1e9}">
  <ds:schemaRefs/>
</ds:datastoreItem>
</file>

<file path=customXml/itemProps23.xml><?xml version="1.0" encoding="utf-8"?>
<ds:datastoreItem xmlns:ds="http://schemas.openxmlformats.org/officeDocument/2006/customXml" ds:itemID="{5dcc46a1-6301-43cd-bfd1-f32b1214e635}">
  <ds:schemaRefs/>
</ds:datastoreItem>
</file>

<file path=customXml/itemProps24.xml><?xml version="1.0" encoding="utf-8"?>
<ds:datastoreItem xmlns:ds="http://schemas.openxmlformats.org/officeDocument/2006/customXml" ds:itemID="{3174a7f5-591c-47c8-9cda-10cc0924a109}">
  <ds:schemaRefs/>
</ds:datastoreItem>
</file>

<file path=customXml/itemProps25.xml><?xml version="1.0" encoding="utf-8"?>
<ds:datastoreItem xmlns:ds="http://schemas.openxmlformats.org/officeDocument/2006/customXml" ds:itemID="{e5aa0c37-f582-44d5-b9d7-e15bd21a92ae}">
  <ds:schemaRefs/>
</ds:datastoreItem>
</file>

<file path=customXml/itemProps26.xml><?xml version="1.0" encoding="utf-8"?>
<ds:datastoreItem xmlns:ds="http://schemas.openxmlformats.org/officeDocument/2006/customXml" ds:itemID="{148ee76d-6d6a-4c68-8fed-406e0c2cde69}">
  <ds:schemaRefs/>
</ds:datastoreItem>
</file>

<file path=customXml/itemProps27.xml><?xml version="1.0" encoding="utf-8"?>
<ds:datastoreItem xmlns:ds="http://schemas.openxmlformats.org/officeDocument/2006/customXml" ds:itemID="{82db94ed-0f82-4ad1-b787-b375f92ae9a3}">
  <ds:schemaRefs/>
</ds:datastoreItem>
</file>

<file path=customXml/itemProps28.xml><?xml version="1.0" encoding="utf-8"?>
<ds:datastoreItem xmlns:ds="http://schemas.openxmlformats.org/officeDocument/2006/customXml" ds:itemID="{595e2ce5-85cd-434b-ae15-0576738609cc}">
  <ds:schemaRefs/>
</ds:datastoreItem>
</file>

<file path=customXml/itemProps29.xml><?xml version="1.0" encoding="utf-8"?>
<ds:datastoreItem xmlns:ds="http://schemas.openxmlformats.org/officeDocument/2006/customXml" ds:itemID="{39fd69e2-4888-409d-b716-1d81a0729cc9}">
  <ds:schemaRefs/>
</ds:datastoreItem>
</file>

<file path=customXml/itemProps3.xml><?xml version="1.0" encoding="utf-8"?>
<ds:datastoreItem xmlns:ds="http://schemas.openxmlformats.org/officeDocument/2006/customXml" ds:itemID="{168e955c-5cd6-44a4-b35a-db823e91fa24}">
  <ds:schemaRefs/>
</ds:datastoreItem>
</file>

<file path=customXml/itemProps30.xml><?xml version="1.0" encoding="utf-8"?>
<ds:datastoreItem xmlns:ds="http://schemas.openxmlformats.org/officeDocument/2006/customXml" ds:itemID="{e6d17c7d-b79f-4717-94a0-a51c6b2babaa}">
  <ds:schemaRefs/>
</ds:datastoreItem>
</file>

<file path=customXml/itemProps31.xml><?xml version="1.0" encoding="utf-8"?>
<ds:datastoreItem xmlns:ds="http://schemas.openxmlformats.org/officeDocument/2006/customXml" ds:itemID="{01e43a06-a202-46ff-af62-7f004698d784}">
  <ds:schemaRefs/>
</ds:datastoreItem>
</file>

<file path=customXml/itemProps32.xml><?xml version="1.0" encoding="utf-8"?>
<ds:datastoreItem xmlns:ds="http://schemas.openxmlformats.org/officeDocument/2006/customXml" ds:itemID="{869c0b01-d714-4832-9f77-3f2471348b17}">
  <ds:schemaRefs/>
</ds:datastoreItem>
</file>

<file path=customXml/itemProps33.xml><?xml version="1.0" encoding="utf-8"?>
<ds:datastoreItem xmlns:ds="http://schemas.openxmlformats.org/officeDocument/2006/customXml" ds:itemID="{05a46d94-ebb8-442c-8185-62fc29f526c5}">
  <ds:schemaRefs/>
</ds:datastoreItem>
</file>

<file path=customXml/itemProps34.xml><?xml version="1.0" encoding="utf-8"?>
<ds:datastoreItem xmlns:ds="http://schemas.openxmlformats.org/officeDocument/2006/customXml" ds:itemID="{b99bc6c7-5eae-488d-8a0d-5f9c6b9e70c4}">
  <ds:schemaRefs/>
</ds:datastoreItem>
</file>

<file path=customXml/itemProps35.xml><?xml version="1.0" encoding="utf-8"?>
<ds:datastoreItem xmlns:ds="http://schemas.openxmlformats.org/officeDocument/2006/customXml" ds:itemID="{304add3c-a66a-4b57-9185-c6b82bd56122}">
  <ds:schemaRefs/>
</ds:datastoreItem>
</file>

<file path=customXml/itemProps36.xml><?xml version="1.0" encoding="utf-8"?>
<ds:datastoreItem xmlns:ds="http://schemas.openxmlformats.org/officeDocument/2006/customXml" ds:itemID="{d855b113-f7c2-4241-9a51-a1d3be0134b5}">
  <ds:schemaRefs/>
</ds:datastoreItem>
</file>

<file path=customXml/itemProps37.xml><?xml version="1.0" encoding="utf-8"?>
<ds:datastoreItem xmlns:ds="http://schemas.openxmlformats.org/officeDocument/2006/customXml" ds:itemID="{9fd823b0-ba50-4b99-b95b-3428ca6df8b0}">
  <ds:schemaRefs/>
</ds:datastoreItem>
</file>

<file path=customXml/itemProps38.xml><?xml version="1.0" encoding="utf-8"?>
<ds:datastoreItem xmlns:ds="http://schemas.openxmlformats.org/officeDocument/2006/customXml" ds:itemID="{ea15b82c-75b7-4fa9-a1ea-89243988a9dc}">
  <ds:schemaRefs/>
</ds:datastoreItem>
</file>

<file path=customXml/itemProps39.xml><?xml version="1.0" encoding="utf-8"?>
<ds:datastoreItem xmlns:ds="http://schemas.openxmlformats.org/officeDocument/2006/customXml" ds:itemID="{abd5d884-2f22-4d96-9013-85862bb8a5b0}">
  <ds:schemaRefs/>
</ds:datastoreItem>
</file>

<file path=customXml/itemProps4.xml><?xml version="1.0" encoding="utf-8"?>
<ds:datastoreItem xmlns:ds="http://schemas.openxmlformats.org/officeDocument/2006/customXml" ds:itemID="{53844317-99bd-4d4a-88a1-b0d81b43186d}">
  <ds:schemaRefs/>
</ds:datastoreItem>
</file>

<file path=customXml/itemProps40.xml><?xml version="1.0" encoding="utf-8"?>
<ds:datastoreItem xmlns:ds="http://schemas.openxmlformats.org/officeDocument/2006/customXml" ds:itemID="{12222b4c-f4f5-41c9-b779-aa16fe9708a7}">
  <ds:schemaRefs/>
</ds:datastoreItem>
</file>

<file path=customXml/itemProps41.xml><?xml version="1.0" encoding="utf-8"?>
<ds:datastoreItem xmlns:ds="http://schemas.openxmlformats.org/officeDocument/2006/customXml" ds:itemID="{78f1cb4b-f1a4-4a43-871a-daa7eee5f497}">
  <ds:schemaRefs/>
</ds:datastoreItem>
</file>

<file path=customXml/itemProps42.xml><?xml version="1.0" encoding="utf-8"?>
<ds:datastoreItem xmlns:ds="http://schemas.openxmlformats.org/officeDocument/2006/customXml" ds:itemID="{f3c2b3bb-1130-4f53-87e1-6558d59f1bf4}">
  <ds:schemaRefs/>
</ds:datastoreItem>
</file>

<file path=customXml/itemProps43.xml><?xml version="1.0" encoding="utf-8"?>
<ds:datastoreItem xmlns:ds="http://schemas.openxmlformats.org/officeDocument/2006/customXml" ds:itemID="{1ca37b25-14d2-4142-a784-0092a15ea469}">
  <ds:schemaRefs/>
</ds:datastoreItem>
</file>

<file path=customXml/itemProps44.xml><?xml version="1.0" encoding="utf-8"?>
<ds:datastoreItem xmlns:ds="http://schemas.openxmlformats.org/officeDocument/2006/customXml" ds:itemID="{08b7c41b-e840-4883-8f28-37cfdedee45c}">
  <ds:schemaRefs/>
</ds:datastoreItem>
</file>

<file path=customXml/itemProps45.xml><?xml version="1.0" encoding="utf-8"?>
<ds:datastoreItem xmlns:ds="http://schemas.openxmlformats.org/officeDocument/2006/customXml" ds:itemID="{c3c22c31-6af9-44b9-82ff-3a33ae9b8f63}">
  <ds:schemaRefs/>
</ds:datastoreItem>
</file>

<file path=customXml/itemProps46.xml><?xml version="1.0" encoding="utf-8"?>
<ds:datastoreItem xmlns:ds="http://schemas.openxmlformats.org/officeDocument/2006/customXml" ds:itemID="{8cbb9c17-566d-498f-90a2-9cd782f0ac09}">
  <ds:schemaRefs/>
</ds:datastoreItem>
</file>

<file path=customXml/itemProps47.xml><?xml version="1.0" encoding="utf-8"?>
<ds:datastoreItem xmlns:ds="http://schemas.openxmlformats.org/officeDocument/2006/customXml" ds:itemID="{066e1d83-3176-4f9a-aa9e-e5beb627db3d}">
  <ds:schemaRefs/>
</ds:datastoreItem>
</file>

<file path=customXml/itemProps48.xml><?xml version="1.0" encoding="utf-8"?>
<ds:datastoreItem xmlns:ds="http://schemas.openxmlformats.org/officeDocument/2006/customXml" ds:itemID="{a0bb6b06-c198-404a-ba98-d6f5c9ab900c}">
  <ds:schemaRefs/>
</ds:datastoreItem>
</file>

<file path=customXml/itemProps49.xml><?xml version="1.0" encoding="utf-8"?>
<ds:datastoreItem xmlns:ds="http://schemas.openxmlformats.org/officeDocument/2006/customXml" ds:itemID="{7d91b97e-8d21-4452-b960-ea74794ab5e6}">
  <ds:schemaRefs/>
</ds:datastoreItem>
</file>

<file path=customXml/itemProps5.xml><?xml version="1.0" encoding="utf-8"?>
<ds:datastoreItem xmlns:ds="http://schemas.openxmlformats.org/officeDocument/2006/customXml" ds:itemID="{e0371f42-424e-4968-a119-afcae69311cc}">
  <ds:schemaRefs/>
</ds:datastoreItem>
</file>

<file path=customXml/itemProps50.xml><?xml version="1.0" encoding="utf-8"?>
<ds:datastoreItem xmlns:ds="http://schemas.openxmlformats.org/officeDocument/2006/customXml" ds:itemID="{28bc215f-d3a8-455d-ad89-79ed22398fb6}">
  <ds:schemaRefs/>
</ds:datastoreItem>
</file>

<file path=customXml/itemProps51.xml><?xml version="1.0" encoding="utf-8"?>
<ds:datastoreItem xmlns:ds="http://schemas.openxmlformats.org/officeDocument/2006/customXml" ds:itemID="{b5b96122-ece7-4b6f-bb0e-a290a59e5eea}">
  <ds:schemaRefs/>
</ds:datastoreItem>
</file>

<file path=customXml/itemProps52.xml><?xml version="1.0" encoding="utf-8"?>
<ds:datastoreItem xmlns:ds="http://schemas.openxmlformats.org/officeDocument/2006/customXml" ds:itemID="{9cab7e51-d9dc-4a88-9685-603d9950c2cc}">
  <ds:schemaRefs/>
</ds:datastoreItem>
</file>

<file path=customXml/itemProps53.xml><?xml version="1.0" encoding="utf-8"?>
<ds:datastoreItem xmlns:ds="http://schemas.openxmlformats.org/officeDocument/2006/customXml" ds:itemID="{54d36eb1-a012-49e0-96ae-8fbec8482933}">
  <ds:schemaRefs/>
</ds:datastoreItem>
</file>

<file path=customXml/itemProps54.xml><?xml version="1.0" encoding="utf-8"?>
<ds:datastoreItem xmlns:ds="http://schemas.openxmlformats.org/officeDocument/2006/customXml" ds:itemID="{a0db2ea4-45d6-452f-a680-98f09e2f3148}">
  <ds:schemaRefs/>
</ds:datastoreItem>
</file>

<file path=customXml/itemProps55.xml><?xml version="1.0" encoding="utf-8"?>
<ds:datastoreItem xmlns:ds="http://schemas.openxmlformats.org/officeDocument/2006/customXml" ds:itemID="{aac419c4-c3a4-427a-ae2b-252f90947f1f}">
  <ds:schemaRefs/>
</ds:datastoreItem>
</file>

<file path=customXml/itemProps56.xml><?xml version="1.0" encoding="utf-8"?>
<ds:datastoreItem xmlns:ds="http://schemas.openxmlformats.org/officeDocument/2006/customXml" ds:itemID="{f101cea6-fe5a-45e9-a9d8-fdfd870beb92}">
  <ds:schemaRefs/>
</ds:datastoreItem>
</file>

<file path=customXml/itemProps57.xml><?xml version="1.0" encoding="utf-8"?>
<ds:datastoreItem xmlns:ds="http://schemas.openxmlformats.org/officeDocument/2006/customXml" ds:itemID="{0c249247-0ed2-40e0-be7a-53f37c7e9e7a}">
  <ds:schemaRefs/>
</ds:datastoreItem>
</file>

<file path=customXml/itemProps58.xml><?xml version="1.0" encoding="utf-8"?>
<ds:datastoreItem xmlns:ds="http://schemas.openxmlformats.org/officeDocument/2006/customXml" ds:itemID="{312659d1-04fe-44bc-b484-a472ab373ab0}">
  <ds:schemaRefs/>
</ds:datastoreItem>
</file>

<file path=customXml/itemProps59.xml><?xml version="1.0" encoding="utf-8"?>
<ds:datastoreItem xmlns:ds="http://schemas.openxmlformats.org/officeDocument/2006/customXml" ds:itemID="{83b863c1-7beb-43eb-87aa-adccd4981ffc}">
  <ds:schemaRefs/>
</ds:datastoreItem>
</file>

<file path=customXml/itemProps6.xml><?xml version="1.0" encoding="utf-8"?>
<ds:datastoreItem xmlns:ds="http://schemas.openxmlformats.org/officeDocument/2006/customXml" ds:itemID="{7bb61f33-c869-477c-908d-7ff55ec562a3}">
  <ds:schemaRefs/>
</ds:datastoreItem>
</file>

<file path=customXml/itemProps60.xml><?xml version="1.0" encoding="utf-8"?>
<ds:datastoreItem xmlns:ds="http://schemas.openxmlformats.org/officeDocument/2006/customXml" ds:itemID="{ed4042c4-1b7b-4412-8c22-fd95b2915bf6}">
  <ds:schemaRefs/>
</ds:datastoreItem>
</file>

<file path=customXml/itemProps61.xml><?xml version="1.0" encoding="utf-8"?>
<ds:datastoreItem xmlns:ds="http://schemas.openxmlformats.org/officeDocument/2006/customXml" ds:itemID="{f979725b-ed51-4bcf-99fc-dc54a238c302}">
  <ds:schemaRefs/>
</ds:datastoreItem>
</file>

<file path=customXml/itemProps62.xml><?xml version="1.0" encoding="utf-8"?>
<ds:datastoreItem xmlns:ds="http://schemas.openxmlformats.org/officeDocument/2006/customXml" ds:itemID="{5913ce98-6ee8-47f5-8517-cc546ad2004b}">
  <ds:schemaRefs/>
</ds:datastoreItem>
</file>

<file path=customXml/itemProps63.xml><?xml version="1.0" encoding="utf-8"?>
<ds:datastoreItem xmlns:ds="http://schemas.openxmlformats.org/officeDocument/2006/customXml" ds:itemID="{802f93cf-37fa-439b-9841-fe704d05852f}">
  <ds:schemaRefs/>
</ds:datastoreItem>
</file>

<file path=customXml/itemProps64.xml><?xml version="1.0" encoding="utf-8"?>
<ds:datastoreItem xmlns:ds="http://schemas.openxmlformats.org/officeDocument/2006/customXml" ds:itemID="{913b6fa2-8cd7-416a-982a-ec7d482095a3}">
  <ds:schemaRefs/>
</ds:datastoreItem>
</file>

<file path=customXml/itemProps65.xml><?xml version="1.0" encoding="utf-8"?>
<ds:datastoreItem xmlns:ds="http://schemas.openxmlformats.org/officeDocument/2006/customXml" ds:itemID="{06900058-be86-485a-8512-23d32050b350}">
  <ds:schemaRefs/>
</ds:datastoreItem>
</file>

<file path=customXml/itemProps66.xml><?xml version="1.0" encoding="utf-8"?>
<ds:datastoreItem xmlns:ds="http://schemas.openxmlformats.org/officeDocument/2006/customXml" ds:itemID="{822ddcd6-58d6-4a61-98da-4a3b6ac3c364}">
  <ds:schemaRefs/>
</ds:datastoreItem>
</file>

<file path=customXml/itemProps67.xml><?xml version="1.0" encoding="utf-8"?>
<ds:datastoreItem xmlns:ds="http://schemas.openxmlformats.org/officeDocument/2006/customXml" ds:itemID="{a4ba5ede-bafa-4d00-bc7b-221c012c78a3}">
  <ds:schemaRefs/>
</ds:datastoreItem>
</file>

<file path=customXml/itemProps68.xml><?xml version="1.0" encoding="utf-8"?>
<ds:datastoreItem xmlns:ds="http://schemas.openxmlformats.org/officeDocument/2006/customXml" ds:itemID="{d7b944bc-79d0-4a3b-9c7e-64895a8bd069}">
  <ds:schemaRefs/>
</ds:datastoreItem>
</file>

<file path=customXml/itemProps69.xml><?xml version="1.0" encoding="utf-8"?>
<ds:datastoreItem xmlns:ds="http://schemas.openxmlformats.org/officeDocument/2006/customXml" ds:itemID="{e8fdc1b2-2a87-46ef-b72c-979500b4a441}">
  <ds:schemaRefs/>
</ds:datastoreItem>
</file>

<file path=customXml/itemProps7.xml><?xml version="1.0" encoding="utf-8"?>
<ds:datastoreItem xmlns:ds="http://schemas.openxmlformats.org/officeDocument/2006/customXml" ds:itemID="{6e163ae6-3f2f-4e22-a7ae-2fcdc0959e70}">
  <ds:schemaRefs/>
</ds:datastoreItem>
</file>

<file path=customXml/itemProps70.xml><?xml version="1.0" encoding="utf-8"?>
<ds:datastoreItem xmlns:ds="http://schemas.openxmlformats.org/officeDocument/2006/customXml" ds:itemID="{2808de56-32fc-474a-afa7-b5533aa7d4eb}">
  <ds:schemaRefs/>
</ds:datastoreItem>
</file>

<file path=customXml/itemProps71.xml><?xml version="1.0" encoding="utf-8"?>
<ds:datastoreItem xmlns:ds="http://schemas.openxmlformats.org/officeDocument/2006/customXml" ds:itemID="{b3815003-07cb-4ab2-82b8-a2649366cf57}">
  <ds:schemaRefs/>
</ds:datastoreItem>
</file>

<file path=customXml/itemProps72.xml><?xml version="1.0" encoding="utf-8"?>
<ds:datastoreItem xmlns:ds="http://schemas.openxmlformats.org/officeDocument/2006/customXml" ds:itemID="{d2a92fdf-6cad-496d-9594-2c91a671212c}">
  <ds:schemaRefs/>
</ds:datastoreItem>
</file>

<file path=customXml/itemProps73.xml><?xml version="1.0" encoding="utf-8"?>
<ds:datastoreItem xmlns:ds="http://schemas.openxmlformats.org/officeDocument/2006/customXml" ds:itemID="{8de7cdab-5472-41e0-9c31-86bfe1cf9564}">
  <ds:schemaRefs/>
</ds:datastoreItem>
</file>

<file path=customXml/itemProps74.xml><?xml version="1.0" encoding="utf-8"?>
<ds:datastoreItem xmlns:ds="http://schemas.openxmlformats.org/officeDocument/2006/customXml" ds:itemID="{74dae45e-5a11-4c7c-88be-26d597cf5811}">
  <ds:schemaRefs/>
</ds:datastoreItem>
</file>

<file path=customXml/itemProps75.xml><?xml version="1.0" encoding="utf-8"?>
<ds:datastoreItem xmlns:ds="http://schemas.openxmlformats.org/officeDocument/2006/customXml" ds:itemID="{76a2fee9-708d-4c76-b9b6-a4f1dfb58fe3}">
  <ds:schemaRefs/>
</ds:datastoreItem>
</file>

<file path=customXml/itemProps76.xml><?xml version="1.0" encoding="utf-8"?>
<ds:datastoreItem xmlns:ds="http://schemas.openxmlformats.org/officeDocument/2006/customXml" ds:itemID="{b4f8930e-7211-44bf-9283-51c063aea52d}">
  <ds:schemaRefs/>
</ds:datastoreItem>
</file>

<file path=customXml/itemProps77.xml><?xml version="1.0" encoding="utf-8"?>
<ds:datastoreItem xmlns:ds="http://schemas.openxmlformats.org/officeDocument/2006/customXml" ds:itemID="{16e01df3-8ee4-498a-99b0-06eab82f5c3d}">
  <ds:schemaRefs/>
</ds:datastoreItem>
</file>

<file path=customXml/itemProps78.xml><?xml version="1.0" encoding="utf-8"?>
<ds:datastoreItem xmlns:ds="http://schemas.openxmlformats.org/officeDocument/2006/customXml" ds:itemID="{0cf9d331-2fc7-4396-885a-9b856e1fb78f}">
  <ds:schemaRefs/>
</ds:datastoreItem>
</file>

<file path=customXml/itemProps8.xml><?xml version="1.0" encoding="utf-8"?>
<ds:datastoreItem xmlns:ds="http://schemas.openxmlformats.org/officeDocument/2006/customXml" ds:itemID="{c2b670e9-a5ca-4851-8452-e2f56dce4888}">
  <ds:schemaRefs/>
</ds:datastoreItem>
</file>

<file path=customXml/itemProps9.xml><?xml version="1.0" encoding="utf-8"?>
<ds:datastoreItem xmlns:ds="http://schemas.openxmlformats.org/officeDocument/2006/customXml" ds:itemID="{d757b508-d3cc-4268-94b9-47e39e06b2c9}">
  <ds:schemaRefs/>
</ds:datastoreItem>
</file>

<file path=docProps/app.xml><?xml version="1.0" encoding="utf-8"?>
<Properties xmlns="http://schemas.openxmlformats.org/officeDocument/2006/extended-properties" xmlns:vt="http://schemas.openxmlformats.org/officeDocument/2006/docPropsVTypes">
  <Pages>41</Pag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2025-01-21T10:46:00Z</dcterms:created>
  <dc:creator>Dell</dc:creator>
  <cp:lastModifiedBy>Dell</cp:lastModifiedBy>
  <dcterms:modified xsi:type="dcterms:W3CDTF">2025-01-24T01:37:04Z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7FB98111D8784ED381DE6589AA4729FF_13</vt:lpwstr>
  </property>
</Properties>
</file>