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小标宋_GBK" w:hAnsi="方正小标宋_GBK" w:eastAsia="方正小标宋_GBK" w:cs="方正小标宋_GBK"/>
          <w:sz w:val="52"/>
        </w:rPr>
        <w:t xml:space="preserve"> </w:t>
      </w: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0" w:name="_Toc_4_4_0000000004"/>
      <w:r>
        <w:rPr>
          <w:rFonts w:ascii="方正仿宋_GBK" w:hAnsi="方正仿宋_GBK" w:eastAsia="方正仿宋_GBK" w:cs="方正仿宋_GBK"/>
          <w:sz w:val="28"/>
        </w:rPr>
        <w:t>1.2025年公交运营补贴—滨海公交（各开发区）绩效目标表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2025年公交运营补贴—滨海公交（各开发区）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203639300.00</w:t>
            </w:r>
          </w:p>
        </w:tc>
        <w:tc>
          <w:tcPr>
            <w:tcW w:w="1587" w:type="dxa"/>
            <w:vAlign w:val="center"/>
          </w:tcPr>
          <w:p>
            <w:pPr>
              <w:pStyle w:val="14"/>
            </w:pPr>
            <w:r>
              <w:t>其中：财政    资金</w:t>
            </w:r>
          </w:p>
        </w:tc>
        <w:tc>
          <w:tcPr>
            <w:tcW w:w="1843" w:type="dxa"/>
            <w:vAlign w:val="center"/>
          </w:tcPr>
          <w:p>
            <w:pPr>
              <w:pStyle w:val="13"/>
            </w:pPr>
            <w:r>
              <w:t>203639300.00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2025年公交运营补贴—滨海公交（各开发区）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1.按照补贴标准，保证补贴资金及时足额发放，确保新区公交集团正常运营。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补贴公交线路</w:t>
            </w:r>
          </w:p>
        </w:tc>
        <w:tc>
          <w:tcPr>
            <w:tcW w:w="3430" w:type="dxa"/>
            <w:vAlign w:val="center"/>
          </w:tcPr>
          <w:p>
            <w:pPr>
              <w:pStyle w:val="13"/>
            </w:pPr>
            <w:r>
              <w:t>补贴公交线路</w:t>
            </w:r>
          </w:p>
        </w:tc>
        <w:tc>
          <w:tcPr>
            <w:tcW w:w="2551" w:type="dxa"/>
            <w:vAlign w:val="center"/>
          </w:tcPr>
          <w:p>
            <w:pPr>
              <w:pStyle w:val="13"/>
            </w:pPr>
            <w:r>
              <w:t>≥100条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发放补贴资金费用</w:t>
            </w:r>
          </w:p>
        </w:tc>
        <w:tc>
          <w:tcPr>
            <w:tcW w:w="3430" w:type="dxa"/>
            <w:vAlign w:val="center"/>
          </w:tcPr>
          <w:p>
            <w:pPr>
              <w:pStyle w:val="13"/>
            </w:pPr>
            <w:r>
              <w:t>发放补贴资金费用</w:t>
            </w:r>
          </w:p>
        </w:tc>
        <w:tc>
          <w:tcPr>
            <w:tcW w:w="2551" w:type="dxa"/>
            <w:vAlign w:val="center"/>
          </w:tcPr>
          <w:p>
            <w:pPr>
              <w:pStyle w:val="13"/>
            </w:pPr>
            <w:r>
              <w:t>203639300元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footerReference r:id="rId3" w:type="default"/>
          <w:footerReference r:id="rId4" w:type="even"/>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 w:name="_Toc_4_4_0000000005"/>
      <w:r>
        <w:rPr>
          <w:rFonts w:ascii="方正仿宋_GBK" w:hAnsi="方正仿宋_GBK" w:eastAsia="方正仿宋_GBK" w:cs="方正仿宋_GBK"/>
          <w:sz w:val="28"/>
        </w:rPr>
        <w:t>2.2025年公交运营补贴—滨海公交（区本级）绩效目标表</w:t>
      </w:r>
      <w:bookmarkEnd w:id="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2025年公交运营补贴—滨海公交（区本级）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170000000.00</w:t>
            </w:r>
          </w:p>
        </w:tc>
        <w:tc>
          <w:tcPr>
            <w:tcW w:w="1587" w:type="dxa"/>
            <w:vAlign w:val="center"/>
          </w:tcPr>
          <w:p>
            <w:pPr>
              <w:pStyle w:val="14"/>
            </w:pPr>
            <w:r>
              <w:t>其中：财政    资金</w:t>
            </w:r>
          </w:p>
        </w:tc>
        <w:tc>
          <w:tcPr>
            <w:tcW w:w="1843" w:type="dxa"/>
            <w:vAlign w:val="center"/>
          </w:tcPr>
          <w:p>
            <w:pPr>
              <w:pStyle w:val="13"/>
            </w:pPr>
            <w:r>
              <w:t>170000000.00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2025年公交运营补贴—滨海公交（区本级）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1.按照补贴标准，保证补贴资金及时足额发放，确保新区公交集团正常运营。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补贴公交线路</w:t>
            </w:r>
          </w:p>
        </w:tc>
        <w:tc>
          <w:tcPr>
            <w:tcW w:w="3430" w:type="dxa"/>
            <w:vAlign w:val="center"/>
          </w:tcPr>
          <w:p>
            <w:pPr>
              <w:pStyle w:val="13"/>
            </w:pPr>
            <w:r>
              <w:t>补贴公交线路</w:t>
            </w:r>
          </w:p>
        </w:tc>
        <w:tc>
          <w:tcPr>
            <w:tcW w:w="2551" w:type="dxa"/>
            <w:vAlign w:val="center"/>
          </w:tcPr>
          <w:p>
            <w:pPr>
              <w:pStyle w:val="13"/>
            </w:pPr>
            <w:r>
              <w:t>≥100条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发放补贴资金费用</w:t>
            </w:r>
          </w:p>
        </w:tc>
        <w:tc>
          <w:tcPr>
            <w:tcW w:w="3430" w:type="dxa"/>
            <w:vAlign w:val="center"/>
          </w:tcPr>
          <w:p>
            <w:pPr>
              <w:pStyle w:val="13"/>
            </w:pPr>
            <w:r>
              <w:t>发放补贴资金费用</w:t>
            </w:r>
          </w:p>
        </w:tc>
        <w:tc>
          <w:tcPr>
            <w:tcW w:w="2551" w:type="dxa"/>
            <w:vAlign w:val="center"/>
          </w:tcPr>
          <w:p>
            <w:pPr>
              <w:pStyle w:val="13"/>
            </w:pPr>
            <w:r>
              <w:t>17000万元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 w:name="_Toc_4_4_0000000006"/>
      <w:r>
        <w:rPr>
          <w:rFonts w:ascii="方正仿宋_GBK" w:hAnsi="方正仿宋_GBK" w:eastAsia="方正仿宋_GBK" w:cs="方正仿宋_GBK"/>
          <w:sz w:val="28"/>
        </w:rPr>
        <w:t>3.2025年公交运营补贴—市公交（各开发区）绩效目标表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2025年公交运营补贴—市公交（各开发区）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58078000.00</w:t>
            </w:r>
          </w:p>
        </w:tc>
        <w:tc>
          <w:tcPr>
            <w:tcW w:w="1587" w:type="dxa"/>
            <w:vAlign w:val="center"/>
          </w:tcPr>
          <w:p>
            <w:pPr>
              <w:pStyle w:val="14"/>
            </w:pPr>
            <w:r>
              <w:t>其中：财政    资金</w:t>
            </w:r>
          </w:p>
        </w:tc>
        <w:tc>
          <w:tcPr>
            <w:tcW w:w="1843" w:type="dxa"/>
            <w:vAlign w:val="center"/>
          </w:tcPr>
          <w:p>
            <w:pPr>
              <w:pStyle w:val="13"/>
            </w:pPr>
            <w:r>
              <w:t>58078000.00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2025年公交运营补贴—市公交（各开发区）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1.按照补贴标准，保证补贴资金及时足额发放，确保市公交集团正常运营。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补贴公交运营成本</w:t>
            </w:r>
          </w:p>
        </w:tc>
        <w:tc>
          <w:tcPr>
            <w:tcW w:w="3430" w:type="dxa"/>
            <w:vAlign w:val="center"/>
          </w:tcPr>
          <w:p>
            <w:pPr>
              <w:pStyle w:val="13"/>
            </w:pPr>
            <w:r>
              <w:t>补贴公交运营成本</w:t>
            </w:r>
          </w:p>
        </w:tc>
        <w:tc>
          <w:tcPr>
            <w:tcW w:w="2551" w:type="dxa"/>
            <w:vAlign w:val="center"/>
          </w:tcPr>
          <w:p>
            <w:pPr>
              <w:pStyle w:val="13"/>
            </w:pPr>
            <w:r>
              <w:t>58078000元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3" w:name="_Toc_4_4_0000000007"/>
      <w:r>
        <w:rPr>
          <w:rFonts w:ascii="方正仿宋_GBK" w:hAnsi="方正仿宋_GBK" w:eastAsia="方正仿宋_GBK" w:cs="方正仿宋_GBK"/>
          <w:sz w:val="28"/>
        </w:rPr>
        <w:t>4.2025年公交运营补贴—市公交（区本级）绩效目标表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2025年公交运营补贴—市公交（区本级）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125652000.00</w:t>
            </w:r>
          </w:p>
        </w:tc>
        <w:tc>
          <w:tcPr>
            <w:tcW w:w="1587" w:type="dxa"/>
            <w:vAlign w:val="center"/>
          </w:tcPr>
          <w:p>
            <w:pPr>
              <w:pStyle w:val="14"/>
            </w:pPr>
            <w:r>
              <w:t>其中：财政    资金</w:t>
            </w:r>
          </w:p>
        </w:tc>
        <w:tc>
          <w:tcPr>
            <w:tcW w:w="1843" w:type="dxa"/>
            <w:vAlign w:val="center"/>
          </w:tcPr>
          <w:p>
            <w:pPr>
              <w:pStyle w:val="13"/>
            </w:pPr>
            <w:r>
              <w:t>125652000.00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2025年公交运营补贴—市公交（区本级）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1.按照补贴标准，保证补贴资金及时足额发放，确保市公交集团正常运营。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补贴发放期限</w:t>
            </w:r>
          </w:p>
        </w:tc>
        <w:tc>
          <w:tcPr>
            <w:tcW w:w="3430" w:type="dxa"/>
            <w:vAlign w:val="center"/>
          </w:tcPr>
          <w:p>
            <w:pPr>
              <w:pStyle w:val="13"/>
            </w:pPr>
            <w:r>
              <w:t>补贴发放期限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补贴公交运营成本</w:t>
            </w:r>
          </w:p>
        </w:tc>
        <w:tc>
          <w:tcPr>
            <w:tcW w:w="3430" w:type="dxa"/>
            <w:vAlign w:val="center"/>
          </w:tcPr>
          <w:p>
            <w:pPr>
              <w:pStyle w:val="13"/>
            </w:pPr>
            <w:r>
              <w:t>补贴公交运营成本</w:t>
            </w:r>
          </w:p>
        </w:tc>
        <w:tc>
          <w:tcPr>
            <w:tcW w:w="2551" w:type="dxa"/>
            <w:vAlign w:val="center"/>
          </w:tcPr>
          <w:p>
            <w:pPr>
              <w:pStyle w:val="13"/>
            </w:pPr>
            <w:r>
              <w:t>125652000元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4" w:name="_Toc_4_4_0000000008"/>
      <w:r>
        <w:rPr>
          <w:rFonts w:ascii="方正仿宋_GBK" w:hAnsi="方正仿宋_GBK" w:eastAsia="方正仿宋_GBK" w:cs="方正仿宋_GBK"/>
          <w:sz w:val="28"/>
        </w:rPr>
        <w:t>5.2025年交通运输综合管理经费绩效目标表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2025年交通运输综合管理经费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w:t>
            </w:r>
          </w:p>
        </w:tc>
        <w:tc>
          <w:tcPr>
            <w:tcW w:w="1587" w:type="dxa"/>
            <w:vAlign w:val="center"/>
          </w:tcPr>
          <w:p>
            <w:pPr>
              <w:pStyle w:val="14"/>
            </w:pPr>
            <w:r>
              <w:t>其中：财政    资金</w:t>
            </w:r>
          </w:p>
        </w:tc>
        <w:tc>
          <w:tcPr>
            <w:tcW w:w="1843" w:type="dxa"/>
            <w:vAlign w:val="center"/>
          </w:tcPr>
          <w:p>
            <w:pPr>
              <w:pStyle w:val="13"/>
            </w:pPr>
            <w:r>
              <w:t>200000.00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2025年交通运输综合管理经费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1.开展滨海新区交通运输系统办公系统运营维护、原建交局固定资产搬运、原建交局及塘汉大分局资产清查和经济鉴证工作，提高交通运输系统综合服务效能。</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系统维护数量</w:t>
            </w:r>
          </w:p>
        </w:tc>
        <w:tc>
          <w:tcPr>
            <w:tcW w:w="3430" w:type="dxa"/>
            <w:vAlign w:val="center"/>
          </w:tcPr>
          <w:p>
            <w:pPr>
              <w:pStyle w:val="13"/>
            </w:pPr>
            <w:r>
              <w:t>系统维护数量</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办公系统覆盖率</w:t>
            </w:r>
          </w:p>
        </w:tc>
        <w:tc>
          <w:tcPr>
            <w:tcW w:w="3430" w:type="dxa"/>
            <w:vAlign w:val="center"/>
          </w:tcPr>
          <w:p>
            <w:pPr>
              <w:pStyle w:val="13"/>
            </w:pPr>
            <w:r>
              <w:t>办公系统覆盖率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系统运维完成时间</w:t>
            </w:r>
          </w:p>
        </w:tc>
        <w:tc>
          <w:tcPr>
            <w:tcW w:w="3430" w:type="dxa"/>
            <w:vAlign w:val="center"/>
          </w:tcPr>
          <w:p>
            <w:pPr>
              <w:pStyle w:val="13"/>
            </w:pPr>
            <w:r>
              <w:t>系统运维完成时间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支付标准</w:t>
            </w:r>
          </w:p>
        </w:tc>
        <w:tc>
          <w:tcPr>
            <w:tcW w:w="3430" w:type="dxa"/>
            <w:vAlign w:val="center"/>
          </w:tcPr>
          <w:p>
            <w:pPr>
              <w:pStyle w:val="13"/>
            </w:pPr>
            <w:r>
              <w:t>支付标准</w:t>
            </w:r>
          </w:p>
        </w:tc>
        <w:tc>
          <w:tcPr>
            <w:tcW w:w="2551" w:type="dxa"/>
            <w:vAlign w:val="center"/>
          </w:tcPr>
          <w:p>
            <w:pPr>
              <w:pStyle w:val="13"/>
            </w:pPr>
            <w:r>
              <w:t>≤20万元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提高交通运输系统综合服务效能</w:t>
            </w:r>
          </w:p>
        </w:tc>
        <w:tc>
          <w:tcPr>
            <w:tcW w:w="3430" w:type="dxa"/>
            <w:vAlign w:val="center"/>
          </w:tcPr>
          <w:p>
            <w:pPr>
              <w:pStyle w:val="13"/>
            </w:pPr>
            <w:r>
              <w:t>提高交通运输系统综合服务效能</w:t>
            </w:r>
          </w:p>
        </w:tc>
        <w:tc>
          <w:tcPr>
            <w:tcW w:w="2551" w:type="dxa"/>
            <w:vAlign w:val="center"/>
          </w:tcPr>
          <w:p>
            <w:pPr>
              <w:pStyle w:val="13"/>
            </w:pPr>
            <w: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机关工作人员满意度</w:t>
            </w:r>
          </w:p>
        </w:tc>
        <w:tc>
          <w:tcPr>
            <w:tcW w:w="3430" w:type="dxa"/>
            <w:vAlign w:val="center"/>
          </w:tcPr>
          <w:p>
            <w:pPr>
              <w:pStyle w:val="13"/>
            </w:pPr>
            <w:r>
              <w:t>机关工作人员满意度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5" w:name="_Toc_4_4_0000000009"/>
      <w:r>
        <w:rPr>
          <w:rFonts w:ascii="方正仿宋_GBK" w:hAnsi="方正仿宋_GBK" w:eastAsia="方正仿宋_GBK" w:cs="方正仿宋_GBK"/>
          <w:sz w:val="28"/>
        </w:rPr>
        <w:t>6.2025年滨海西站运营补贴绩效目标表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2025年滨海西站运营补贴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2025年滨海西站运营补贴。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1.为了确保滨海西站市政配套设施运营正常，将通过及时发放运营补贴资金等方法的实施，完成滨海西站市政配套设施正常运营，确保旅客的安全出行，达到滨海西站运营服务满意度100%</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维护高铁站数量</w:t>
            </w:r>
          </w:p>
        </w:tc>
        <w:tc>
          <w:tcPr>
            <w:tcW w:w="3430" w:type="dxa"/>
            <w:vAlign w:val="center"/>
          </w:tcPr>
          <w:p>
            <w:pPr>
              <w:pStyle w:val="13"/>
            </w:pPr>
            <w:r>
              <w:t>维护高铁站数量</w:t>
            </w:r>
          </w:p>
        </w:tc>
        <w:tc>
          <w:tcPr>
            <w:tcW w:w="2551" w:type="dxa"/>
            <w:vAlign w:val="center"/>
          </w:tcPr>
          <w:p>
            <w:pPr>
              <w:pStyle w:val="13"/>
            </w:pPr>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滨海西站市政配套设施运营合格率</w:t>
            </w:r>
          </w:p>
        </w:tc>
        <w:tc>
          <w:tcPr>
            <w:tcW w:w="3430" w:type="dxa"/>
            <w:vAlign w:val="center"/>
          </w:tcPr>
          <w:p>
            <w:pPr>
              <w:pStyle w:val="13"/>
            </w:pPr>
            <w:r>
              <w:t>滨海西站市政配套设施运营合格率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补贴期限</w:t>
            </w:r>
          </w:p>
        </w:tc>
        <w:tc>
          <w:tcPr>
            <w:tcW w:w="3430" w:type="dxa"/>
            <w:vAlign w:val="center"/>
          </w:tcPr>
          <w:p>
            <w:pPr>
              <w:pStyle w:val="13"/>
            </w:pPr>
            <w:r>
              <w:t>补贴期限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运营补贴资金</w:t>
            </w:r>
          </w:p>
        </w:tc>
        <w:tc>
          <w:tcPr>
            <w:tcW w:w="3430" w:type="dxa"/>
            <w:vAlign w:val="center"/>
          </w:tcPr>
          <w:p>
            <w:pPr>
              <w:pStyle w:val="13"/>
            </w:pPr>
            <w:r>
              <w:t>运营补贴资金</w:t>
            </w:r>
          </w:p>
        </w:tc>
        <w:tc>
          <w:tcPr>
            <w:tcW w:w="2551" w:type="dxa"/>
            <w:vAlign w:val="center"/>
          </w:tcPr>
          <w:p>
            <w:pPr>
              <w:pStyle w:val="13"/>
            </w:pPr>
            <w:r>
              <w:t>10000000元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完善高铁站配套设施，提高便利出行率</w:t>
            </w:r>
          </w:p>
        </w:tc>
        <w:tc>
          <w:tcPr>
            <w:tcW w:w="3430" w:type="dxa"/>
            <w:vAlign w:val="center"/>
          </w:tcPr>
          <w:p>
            <w:pPr>
              <w:pStyle w:val="13"/>
            </w:pPr>
            <w:r>
              <w:t>完善高铁站配套设施，提高便利出行率</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6" w:name="_Toc_4_4_0000000010"/>
      <w:r>
        <w:rPr>
          <w:rFonts w:ascii="方正仿宋_GBK" w:hAnsi="方正仿宋_GBK" w:eastAsia="方正仿宋_GBK" w:cs="方正仿宋_GBK"/>
          <w:sz w:val="28"/>
        </w:rPr>
        <w:t>7.2025年滨海新区智能网联汽车测试道路咨询服务费及开放提示牌安装费用绩效目标表</w:t>
      </w:r>
      <w:bookmarkEnd w:id="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2025年滨海新区智能网联汽车测试道路咨询服务费及开放提示牌安装费用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2000000.00</w:t>
            </w:r>
          </w:p>
        </w:tc>
        <w:tc>
          <w:tcPr>
            <w:tcW w:w="1587" w:type="dxa"/>
            <w:vAlign w:val="center"/>
          </w:tcPr>
          <w:p>
            <w:pPr>
              <w:pStyle w:val="14"/>
            </w:pPr>
            <w:r>
              <w:t>其中：财政    资金</w:t>
            </w:r>
          </w:p>
        </w:tc>
        <w:tc>
          <w:tcPr>
            <w:tcW w:w="1843" w:type="dxa"/>
            <w:vAlign w:val="center"/>
          </w:tcPr>
          <w:p>
            <w:pPr>
              <w:pStyle w:val="13"/>
            </w:pPr>
            <w:r>
              <w:t>2000000.00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为滨海新区智能网联汽车测试道路开放提供咨询服务，安装开放提示牌，确保滨海新区智能网联汽车测试道路开放工作顺利开展。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1.为滨海新区智能网联汽车测试道路开放提供咨询服务，安装开放提示牌，确保滨海新区智能网联汽车测试道路开放工作顺利开展。</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编制测试道路开放实施方案及安全设施评估报告</w:t>
            </w:r>
          </w:p>
        </w:tc>
        <w:tc>
          <w:tcPr>
            <w:tcW w:w="3430" w:type="dxa"/>
            <w:vAlign w:val="center"/>
          </w:tcPr>
          <w:p>
            <w:pPr>
              <w:pStyle w:val="13"/>
            </w:pPr>
            <w:r>
              <w:t>编制测试道路开放实施方案及安全设施评估报告</w:t>
            </w:r>
          </w:p>
        </w:tc>
        <w:tc>
          <w:tcPr>
            <w:tcW w:w="2551" w:type="dxa"/>
            <w:vAlign w:val="center"/>
          </w:tcPr>
          <w:p>
            <w:pPr>
              <w:pStyle w:val="13"/>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开放提示牌安装达标率</w:t>
            </w:r>
          </w:p>
        </w:tc>
        <w:tc>
          <w:tcPr>
            <w:tcW w:w="3430" w:type="dxa"/>
            <w:vAlign w:val="center"/>
          </w:tcPr>
          <w:p>
            <w:pPr>
              <w:pStyle w:val="13"/>
            </w:pPr>
            <w:r>
              <w:t>开放提示牌安装达标率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测试道路开放完成时间</w:t>
            </w:r>
          </w:p>
        </w:tc>
        <w:tc>
          <w:tcPr>
            <w:tcW w:w="3430" w:type="dxa"/>
            <w:vAlign w:val="center"/>
          </w:tcPr>
          <w:p>
            <w:pPr>
              <w:pStyle w:val="13"/>
            </w:pPr>
            <w:r>
              <w:t>测试道路开放完成时间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咨询服务及提示牌安装费用</w:t>
            </w:r>
          </w:p>
        </w:tc>
        <w:tc>
          <w:tcPr>
            <w:tcW w:w="3430" w:type="dxa"/>
            <w:vAlign w:val="center"/>
          </w:tcPr>
          <w:p>
            <w:pPr>
              <w:pStyle w:val="13"/>
            </w:pPr>
            <w:r>
              <w:t>咨询服务及提示牌安装费用</w:t>
            </w:r>
          </w:p>
        </w:tc>
        <w:tc>
          <w:tcPr>
            <w:tcW w:w="2551" w:type="dxa"/>
            <w:vAlign w:val="center"/>
          </w:tcPr>
          <w:p>
            <w:pPr>
              <w:pStyle w:val="13"/>
            </w:pPr>
            <w:r>
              <w:t>200万元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为智能网联汽车测试提供测试道路</w:t>
            </w:r>
          </w:p>
        </w:tc>
        <w:tc>
          <w:tcPr>
            <w:tcW w:w="3430" w:type="dxa"/>
            <w:vAlign w:val="center"/>
          </w:tcPr>
          <w:p>
            <w:pPr>
              <w:pStyle w:val="13"/>
            </w:pPr>
            <w:r>
              <w:t>为智能网联汽车测试提供测试道路</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上级部门满意度</w:t>
            </w:r>
          </w:p>
        </w:tc>
        <w:tc>
          <w:tcPr>
            <w:tcW w:w="3430" w:type="dxa"/>
            <w:vAlign w:val="center"/>
          </w:tcPr>
          <w:p>
            <w:pPr>
              <w:pStyle w:val="13"/>
            </w:pPr>
            <w:r>
              <w:t>上级部门满意度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7" w:name="_Toc_4_4_0000000011"/>
      <w:r>
        <w:rPr>
          <w:rFonts w:ascii="方正仿宋_GBK" w:hAnsi="方正仿宋_GBK" w:eastAsia="方正仿宋_GBK" w:cs="方正仿宋_GBK"/>
          <w:sz w:val="28"/>
        </w:rPr>
        <w:t>8.2025年滨海站运营补贴绩效目标表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2025年滨海站运营补贴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10000000.00</w:t>
            </w:r>
          </w:p>
        </w:tc>
        <w:tc>
          <w:tcPr>
            <w:tcW w:w="1587" w:type="dxa"/>
            <w:vAlign w:val="center"/>
          </w:tcPr>
          <w:p>
            <w:pPr>
              <w:pStyle w:val="14"/>
            </w:pPr>
            <w:r>
              <w:t>其中：财政    资金</w:t>
            </w:r>
          </w:p>
        </w:tc>
        <w:tc>
          <w:tcPr>
            <w:tcW w:w="1843" w:type="dxa"/>
            <w:vAlign w:val="center"/>
          </w:tcPr>
          <w:p>
            <w:pPr>
              <w:pStyle w:val="13"/>
            </w:pPr>
            <w:r>
              <w:t>10000000.00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2025年滨海站运营补贴。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1.为了确保滨海站市政配套设施运营正常，将通过及时发放运营补贴资金等方法的实施，完成滨海站市政配套设施正常运营任务，确保旅客的安全出行。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维护高铁站数量</w:t>
            </w:r>
          </w:p>
        </w:tc>
        <w:tc>
          <w:tcPr>
            <w:tcW w:w="3430" w:type="dxa"/>
            <w:vAlign w:val="center"/>
          </w:tcPr>
          <w:p>
            <w:pPr>
              <w:pStyle w:val="13"/>
            </w:pPr>
            <w:r>
              <w:t>维护高铁站数量</w:t>
            </w:r>
          </w:p>
        </w:tc>
        <w:tc>
          <w:tcPr>
            <w:tcW w:w="2551" w:type="dxa"/>
            <w:vAlign w:val="center"/>
          </w:tcPr>
          <w:p>
            <w:pPr>
              <w:pStyle w:val="13"/>
            </w:pPr>
            <w:r>
              <w:t>1座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运营补贴资金发放率</w:t>
            </w:r>
          </w:p>
        </w:tc>
        <w:tc>
          <w:tcPr>
            <w:tcW w:w="3430" w:type="dxa"/>
            <w:vAlign w:val="center"/>
          </w:tcPr>
          <w:p>
            <w:pPr>
              <w:pStyle w:val="13"/>
            </w:pPr>
            <w:r>
              <w:t>运营补贴资金发放率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补贴经费发放期限</w:t>
            </w:r>
          </w:p>
        </w:tc>
        <w:tc>
          <w:tcPr>
            <w:tcW w:w="3430" w:type="dxa"/>
            <w:vAlign w:val="center"/>
          </w:tcPr>
          <w:p>
            <w:pPr>
              <w:pStyle w:val="13"/>
            </w:pPr>
            <w:r>
              <w:t>补贴经费发放期限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运营补贴资金</w:t>
            </w:r>
          </w:p>
        </w:tc>
        <w:tc>
          <w:tcPr>
            <w:tcW w:w="3430" w:type="dxa"/>
            <w:vAlign w:val="center"/>
          </w:tcPr>
          <w:p>
            <w:pPr>
              <w:pStyle w:val="13"/>
            </w:pPr>
            <w:r>
              <w:t>运营补贴资金</w:t>
            </w:r>
          </w:p>
        </w:tc>
        <w:tc>
          <w:tcPr>
            <w:tcW w:w="2551" w:type="dxa"/>
            <w:vAlign w:val="center"/>
          </w:tcPr>
          <w:p>
            <w:pPr>
              <w:pStyle w:val="13"/>
            </w:pPr>
            <w:r>
              <w:t>10000000元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完善高铁站配套设施，提高便利出行率</w:t>
            </w:r>
          </w:p>
        </w:tc>
        <w:tc>
          <w:tcPr>
            <w:tcW w:w="3430" w:type="dxa"/>
            <w:vAlign w:val="center"/>
          </w:tcPr>
          <w:p>
            <w:pPr>
              <w:pStyle w:val="13"/>
            </w:pPr>
            <w:r>
              <w:t>完善高铁站配套设施，提高便利出行率</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8" w:name="_Toc_4_4_0000000012"/>
      <w:r>
        <w:rPr>
          <w:rFonts w:ascii="方正仿宋_GBK" w:hAnsi="方正仿宋_GBK" w:eastAsia="方正仿宋_GBK" w:cs="方正仿宋_GBK"/>
          <w:sz w:val="28"/>
        </w:rPr>
        <w:t>9.2025年地铁开通前期工作经费绩效目标表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2025年地铁开通前期工作经费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5800000.00</w:t>
            </w:r>
          </w:p>
        </w:tc>
        <w:tc>
          <w:tcPr>
            <w:tcW w:w="1587" w:type="dxa"/>
            <w:vAlign w:val="center"/>
          </w:tcPr>
          <w:p>
            <w:pPr>
              <w:pStyle w:val="14"/>
            </w:pPr>
            <w:r>
              <w:t>其中：财政    资金</w:t>
            </w:r>
          </w:p>
        </w:tc>
        <w:tc>
          <w:tcPr>
            <w:tcW w:w="1843" w:type="dxa"/>
            <w:vAlign w:val="center"/>
          </w:tcPr>
          <w:p>
            <w:pPr>
              <w:pStyle w:val="13"/>
            </w:pPr>
            <w:r>
              <w:t>5800000.00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前期经费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1.按照相关标准，及时拨付相关项目费用，确保城市轨道线路正常运营。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维护线路数</w:t>
            </w:r>
          </w:p>
        </w:tc>
        <w:tc>
          <w:tcPr>
            <w:tcW w:w="3430" w:type="dxa"/>
            <w:vAlign w:val="center"/>
          </w:tcPr>
          <w:p>
            <w:pPr>
              <w:pStyle w:val="13"/>
            </w:pPr>
            <w:r>
              <w:t>维护线路数</w:t>
            </w:r>
          </w:p>
        </w:tc>
        <w:tc>
          <w:tcPr>
            <w:tcW w:w="2551" w:type="dxa"/>
            <w:vAlign w:val="center"/>
          </w:tcPr>
          <w:p>
            <w:pPr>
              <w:pStyle w:val="13"/>
            </w:pPr>
            <w:r>
              <w:rPr>
                <w:rFonts w:hint="eastAsia"/>
                <w:lang w:eastAsia="zh-CN"/>
              </w:rPr>
              <w:t>≥</w:t>
            </w:r>
            <w:r>
              <w:t>3个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资金发放覆盖率</w:t>
            </w:r>
          </w:p>
        </w:tc>
        <w:tc>
          <w:tcPr>
            <w:tcW w:w="3430" w:type="dxa"/>
            <w:vAlign w:val="center"/>
          </w:tcPr>
          <w:p>
            <w:pPr>
              <w:pStyle w:val="13"/>
            </w:pPr>
            <w:r>
              <w:t>资金发放覆盖率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资金拨付合规率</w:t>
            </w:r>
          </w:p>
        </w:tc>
        <w:tc>
          <w:tcPr>
            <w:tcW w:w="3430" w:type="dxa"/>
            <w:vAlign w:val="center"/>
          </w:tcPr>
          <w:p>
            <w:pPr>
              <w:pStyle w:val="13"/>
            </w:pPr>
            <w:r>
              <w:t>资金拨付合规率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拨付期限</w:t>
            </w:r>
          </w:p>
        </w:tc>
        <w:tc>
          <w:tcPr>
            <w:tcW w:w="3430" w:type="dxa"/>
            <w:vAlign w:val="center"/>
          </w:tcPr>
          <w:p>
            <w:pPr>
              <w:pStyle w:val="13"/>
            </w:pPr>
            <w:r>
              <w:t>拨付期限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拨付项目费用</w:t>
            </w:r>
          </w:p>
        </w:tc>
        <w:tc>
          <w:tcPr>
            <w:tcW w:w="3430" w:type="dxa"/>
            <w:vAlign w:val="center"/>
          </w:tcPr>
          <w:p>
            <w:pPr>
              <w:pStyle w:val="13"/>
            </w:pPr>
            <w:r>
              <w:t>拨付项目费用</w:t>
            </w:r>
          </w:p>
        </w:tc>
        <w:tc>
          <w:tcPr>
            <w:tcW w:w="2551" w:type="dxa"/>
            <w:vAlign w:val="center"/>
          </w:tcPr>
          <w:p>
            <w:pPr>
              <w:pStyle w:val="13"/>
            </w:pPr>
            <w:r>
              <w:t>5800000元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9" w:name="_Toc_4_4_0000000013"/>
      <w:r>
        <w:rPr>
          <w:rFonts w:ascii="方正仿宋_GBK" w:hAnsi="方正仿宋_GBK" w:eastAsia="方正仿宋_GBK" w:cs="方正仿宋_GBK"/>
          <w:sz w:val="28"/>
        </w:rPr>
        <w:t>10.2025年法律、资产与安全顾问*绩效目标表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2025年法律、资产与安全顾问*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300000.00</w:t>
            </w:r>
          </w:p>
        </w:tc>
        <w:tc>
          <w:tcPr>
            <w:tcW w:w="1587" w:type="dxa"/>
            <w:vAlign w:val="center"/>
          </w:tcPr>
          <w:p>
            <w:pPr>
              <w:pStyle w:val="14"/>
            </w:pPr>
            <w:r>
              <w:t>其中：财政    资金</w:t>
            </w:r>
          </w:p>
        </w:tc>
        <w:tc>
          <w:tcPr>
            <w:tcW w:w="1843" w:type="dxa"/>
            <w:vAlign w:val="center"/>
          </w:tcPr>
          <w:p>
            <w:pPr>
              <w:pStyle w:val="13"/>
            </w:pPr>
            <w:r>
              <w:t>300000.00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2025年法律、资产与安全顾问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1.开展安全生产咨询及法律咨询服务，压实企业单位安全生产主体责任。</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开展检查次数</w:t>
            </w:r>
          </w:p>
        </w:tc>
        <w:tc>
          <w:tcPr>
            <w:tcW w:w="3430" w:type="dxa"/>
            <w:vAlign w:val="center"/>
          </w:tcPr>
          <w:p>
            <w:pPr>
              <w:pStyle w:val="13"/>
            </w:pPr>
            <w:r>
              <w:t>开展检查次数</w:t>
            </w:r>
          </w:p>
        </w:tc>
        <w:tc>
          <w:tcPr>
            <w:tcW w:w="2551" w:type="dxa"/>
            <w:vAlign w:val="center"/>
          </w:tcPr>
          <w:p>
            <w:pPr>
              <w:pStyle w:val="13"/>
            </w:pPr>
            <w:r>
              <w:t>≥4次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服务事项办结率</w:t>
            </w:r>
          </w:p>
        </w:tc>
        <w:tc>
          <w:tcPr>
            <w:tcW w:w="3430" w:type="dxa"/>
            <w:vAlign w:val="center"/>
          </w:tcPr>
          <w:p>
            <w:pPr>
              <w:pStyle w:val="13"/>
            </w:pPr>
            <w:r>
              <w:t>服务事项办结率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工作任务按时完成时间</w:t>
            </w:r>
          </w:p>
        </w:tc>
        <w:tc>
          <w:tcPr>
            <w:tcW w:w="3430" w:type="dxa"/>
            <w:vAlign w:val="center"/>
          </w:tcPr>
          <w:p>
            <w:pPr>
              <w:pStyle w:val="13"/>
            </w:pPr>
            <w:r>
              <w:t>工作任务按时完成时间</w:t>
            </w:r>
          </w:p>
        </w:tc>
        <w:tc>
          <w:tcPr>
            <w:tcW w:w="2551" w:type="dxa"/>
            <w:vAlign w:val="center"/>
          </w:tcPr>
          <w:p>
            <w:pPr>
              <w:pStyle w:val="13"/>
            </w:pPr>
            <w:r>
              <w:t>1-12月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安全生产咨询成本</w:t>
            </w:r>
          </w:p>
        </w:tc>
        <w:tc>
          <w:tcPr>
            <w:tcW w:w="3430" w:type="dxa"/>
            <w:vAlign w:val="center"/>
          </w:tcPr>
          <w:p>
            <w:pPr>
              <w:pStyle w:val="13"/>
            </w:pPr>
            <w:r>
              <w:t>安全生产咨询成本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法律咨询成本</w:t>
            </w:r>
          </w:p>
        </w:tc>
        <w:tc>
          <w:tcPr>
            <w:tcW w:w="3430" w:type="dxa"/>
            <w:vAlign w:val="center"/>
          </w:tcPr>
          <w:p>
            <w:pPr>
              <w:pStyle w:val="13"/>
            </w:pPr>
            <w:r>
              <w:t>法律咨询成本</w:t>
            </w:r>
          </w:p>
        </w:tc>
        <w:tc>
          <w:tcPr>
            <w:tcW w:w="2551" w:type="dxa"/>
            <w:vAlign w:val="center"/>
          </w:tcPr>
          <w:p>
            <w:pPr>
              <w:pStyle w:val="13"/>
            </w:pPr>
            <w:r>
              <w:t>≤15万元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压实企业单位安全生产主体责任</w:t>
            </w:r>
          </w:p>
        </w:tc>
        <w:tc>
          <w:tcPr>
            <w:tcW w:w="3430" w:type="dxa"/>
            <w:vAlign w:val="center"/>
          </w:tcPr>
          <w:p>
            <w:pPr>
              <w:pStyle w:val="13"/>
            </w:pPr>
            <w:r>
              <w:t>压实企业单位安全生产主体责任</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享受咨询服务人员满意度</w:t>
            </w:r>
          </w:p>
        </w:tc>
        <w:tc>
          <w:tcPr>
            <w:tcW w:w="3430" w:type="dxa"/>
            <w:vAlign w:val="center"/>
          </w:tcPr>
          <w:p>
            <w:pPr>
              <w:pStyle w:val="13"/>
            </w:pPr>
            <w:r>
              <w:t>享受咨询服务人员满意度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0" w:name="_Toc_4_4_0000000014"/>
      <w:r>
        <w:rPr>
          <w:rFonts w:ascii="方正仿宋_GBK" w:hAnsi="方正仿宋_GBK" w:eastAsia="方正仿宋_GBK" w:cs="方正仿宋_GBK"/>
          <w:sz w:val="28"/>
        </w:rPr>
        <w:t>11.2025年公路设施养管费绩效目标表</w:t>
      </w:r>
      <w:bookmarkEnd w:id="1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2025年公路设施养管费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21000000.00</w:t>
            </w:r>
          </w:p>
        </w:tc>
        <w:tc>
          <w:tcPr>
            <w:tcW w:w="1587" w:type="dxa"/>
            <w:vAlign w:val="center"/>
          </w:tcPr>
          <w:p>
            <w:pPr>
              <w:pStyle w:val="14"/>
            </w:pPr>
            <w:r>
              <w:t>其中：财政    资金</w:t>
            </w:r>
          </w:p>
        </w:tc>
        <w:tc>
          <w:tcPr>
            <w:tcW w:w="1843" w:type="dxa"/>
            <w:vAlign w:val="center"/>
          </w:tcPr>
          <w:p>
            <w:pPr>
              <w:pStyle w:val="13"/>
            </w:pPr>
            <w:r>
              <w:t>21000000.00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支付滨海新区范围内公路、区委托道路等养护管理经费及路灯电费等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1.通过对滨海新区范围内公路、区委托道路等支付养管经费及路灯电费，保障道路通行能力，增强群众出行的舒适感与安全感。</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养管道路里程</w:t>
            </w:r>
          </w:p>
        </w:tc>
        <w:tc>
          <w:tcPr>
            <w:tcW w:w="3430" w:type="dxa"/>
            <w:vAlign w:val="center"/>
          </w:tcPr>
          <w:p>
            <w:pPr>
              <w:pStyle w:val="13"/>
            </w:pPr>
            <w:r>
              <w:t>养管道路里程</w:t>
            </w:r>
          </w:p>
        </w:tc>
        <w:tc>
          <w:tcPr>
            <w:tcW w:w="2551" w:type="dxa"/>
            <w:vAlign w:val="center"/>
          </w:tcPr>
          <w:p>
            <w:pPr>
              <w:pStyle w:val="13"/>
            </w:pPr>
            <w:r>
              <w:t>≥133公里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道路养护达标率</w:t>
            </w:r>
          </w:p>
        </w:tc>
        <w:tc>
          <w:tcPr>
            <w:tcW w:w="3430" w:type="dxa"/>
            <w:vAlign w:val="center"/>
          </w:tcPr>
          <w:p>
            <w:pPr>
              <w:pStyle w:val="13"/>
            </w:pPr>
            <w:r>
              <w:t>道路养护达标率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公路设施养管完成时间</w:t>
            </w:r>
          </w:p>
        </w:tc>
        <w:tc>
          <w:tcPr>
            <w:tcW w:w="3430" w:type="dxa"/>
            <w:vAlign w:val="center"/>
          </w:tcPr>
          <w:p>
            <w:pPr>
              <w:pStyle w:val="13"/>
            </w:pPr>
            <w:r>
              <w:t>公路设施养管完成时间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公路养护管理费用</w:t>
            </w:r>
          </w:p>
        </w:tc>
        <w:tc>
          <w:tcPr>
            <w:tcW w:w="3430" w:type="dxa"/>
            <w:vAlign w:val="center"/>
          </w:tcPr>
          <w:p>
            <w:pPr>
              <w:pStyle w:val="13"/>
            </w:pPr>
            <w:r>
              <w:t>公路养护管理费用</w:t>
            </w:r>
          </w:p>
        </w:tc>
        <w:tc>
          <w:tcPr>
            <w:tcW w:w="2551" w:type="dxa"/>
            <w:vAlign w:val="center"/>
          </w:tcPr>
          <w:p>
            <w:pPr>
              <w:pStyle w:val="13"/>
            </w:pPr>
            <w:r>
              <w:t>2100万元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保障道路通行能力，增强居民出行的舒适度</w:t>
            </w:r>
          </w:p>
        </w:tc>
        <w:tc>
          <w:tcPr>
            <w:tcW w:w="3430" w:type="dxa"/>
            <w:vAlign w:val="center"/>
          </w:tcPr>
          <w:p>
            <w:pPr>
              <w:pStyle w:val="13"/>
            </w:pPr>
            <w:r>
              <w:t>保障道路通行能力，增强居民出行的舒适度</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出行群众满意度</w:t>
            </w:r>
          </w:p>
        </w:tc>
        <w:tc>
          <w:tcPr>
            <w:tcW w:w="3430" w:type="dxa"/>
            <w:vAlign w:val="center"/>
          </w:tcPr>
          <w:p>
            <w:pPr>
              <w:pStyle w:val="13"/>
            </w:pPr>
            <w:r>
              <w:t>出行群众满意度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1" w:name="_Toc_4_4_0000000015"/>
      <w:r>
        <w:rPr>
          <w:rFonts w:ascii="方正仿宋_GBK" w:hAnsi="方正仿宋_GBK" w:eastAsia="方正仿宋_GBK" w:cs="方正仿宋_GBK"/>
          <w:sz w:val="28"/>
        </w:rPr>
        <w:t>12.2025年津石高速天津东段日常运营养护及联网运营维护费用绩效目标表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2025年津石高速天津东段日常运营养护及联网运营维护费用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9000000.00</w:t>
            </w:r>
          </w:p>
        </w:tc>
        <w:tc>
          <w:tcPr>
            <w:tcW w:w="1587" w:type="dxa"/>
            <w:vAlign w:val="center"/>
          </w:tcPr>
          <w:p>
            <w:pPr>
              <w:pStyle w:val="14"/>
            </w:pPr>
            <w:r>
              <w:t>其中：财政    资金</w:t>
            </w:r>
          </w:p>
        </w:tc>
        <w:tc>
          <w:tcPr>
            <w:tcW w:w="1843" w:type="dxa"/>
            <w:vAlign w:val="center"/>
          </w:tcPr>
          <w:p>
            <w:pPr>
              <w:pStyle w:val="13"/>
            </w:pPr>
            <w:r>
              <w:t>9000000.00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用于确保津石高速运营正常，及时发放日常运营养护及联网运营维护费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为了确保津石高速运营正常，将通过及时发放日常运营养护及联网运营维护费等方法的实施，完成津石高速天津东段主线正常运营，顺利完成联网收费系统维护及票据管理业务，确保道路畅通，达到津石高速天津东段主线运营服务满意度≥90%</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高速运营里程</w:t>
            </w:r>
          </w:p>
        </w:tc>
        <w:tc>
          <w:tcPr>
            <w:tcW w:w="3430" w:type="dxa"/>
            <w:vAlign w:val="center"/>
          </w:tcPr>
          <w:p>
            <w:pPr>
              <w:pStyle w:val="13"/>
            </w:pPr>
            <w:r>
              <w:t>高速运营里程</w:t>
            </w:r>
          </w:p>
        </w:tc>
        <w:tc>
          <w:tcPr>
            <w:tcW w:w="2551" w:type="dxa"/>
            <w:vAlign w:val="center"/>
          </w:tcPr>
          <w:p>
            <w:pPr>
              <w:pStyle w:val="13"/>
            </w:pPr>
            <w:r>
              <w:t>31.3公里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运营合格率</w:t>
            </w:r>
          </w:p>
        </w:tc>
        <w:tc>
          <w:tcPr>
            <w:tcW w:w="3430" w:type="dxa"/>
            <w:vAlign w:val="center"/>
          </w:tcPr>
          <w:p>
            <w:pPr>
              <w:pStyle w:val="13"/>
            </w:pPr>
            <w:r>
              <w:t>运营合格率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日常运营养护及联网运营维护完成时间</w:t>
            </w:r>
          </w:p>
        </w:tc>
        <w:tc>
          <w:tcPr>
            <w:tcW w:w="3430" w:type="dxa"/>
            <w:vAlign w:val="center"/>
          </w:tcPr>
          <w:p>
            <w:pPr>
              <w:pStyle w:val="13"/>
            </w:pPr>
            <w:r>
              <w:t>日常运营养护及联网运营维护完成时间</w:t>
            </w:r>
          </w:p>
        </w:tc>
        <w:tc>
          <w:tcPr>
            <w:tcW w:w="2551" w:type="dxa"/>
            <w:vAlign w:val="center"/>
          </w:tcPr>
          <w:p>
            <w:pPr>
              <w:pStyle w:val="13"/>
            </w:pPr>
            <w:r>
              <w:t>2025年12月底前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日常运营养护及联网运营维护费支出</w:t>
            </w:r>
          </w:p>
        </w:tc>
        <w:tc>
          <w:tcPr>
            <w:tcW w:w="3430" w:type="dxa"/>
            <w:vAlign w:val="center"/>
          </w:tcPr>
          <w:p>
            <w:pPr>
              <w:pStyle w:val="13"/>
            </w:pPr>
            <w:r>
              <w:t>日常运营养护及联网运营维护费支出</w:t>
            </w:r>
          </w:p>
        </w:tc>
        <w:tc>
          <w:tcPr>
            <w:tcW w:w="2551" w:type="dxa"/>
            <w:vAlign w:val="center"/>
          </w:tcPr>
          <w:p>
            <w:pPr>
              <w:pStyle w:val="13"/>
            </w:pPr>
            <w:r>
              <w:t>900万元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确保高速运营正常</w:t>
            </w:r>
          </w:p>
        </w:tc>
        <w:tc>
          <w:tcPr>
            <w:tcW w:w="3430" w:type="dxa"/>
            <w:vAlign w:val="center"/>
          </w:tcPr>
          <w:p>
            <w:pPr>
              <w:pStyle w:val="13"/>
            </w:pPr>
            <w:r>
              <w:t>确保高速运营正常</w:t>
            </w:r>
          </w:p>
        </w:tc>
        <w:tc>
          <w:tcPr>
            <w:tcW w:w="2551" w:type="dxa"/>
            <w:vAlign w:val="center"/>
          </w:tcPr>
          <w:p>
            <w:pPr>
              <w:pStyle w:val="13"/>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2" w:name="_Toc_4_4_0000000016"/>
      <w:r>
        <w:rPr>
          <w:rFonts w:ascii="方正仿宋_GBK" w:hAnsi="方正仿宋_GBK" w:eastAsia="方正仿宋_GBK" w:cs="方正仿宋_GBK"/>
          <w:sz w:val="28"/>
        </w:rPr>
        <w:t>13.2025年京津城际延伸线客票精准补贴绩效目标表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2025年京津城际延伸线客票精准补贴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20000.00</w:t>
            </w:r>
          </w:p>
        </w:tc>
        <w:tc>
          <w:tcPr>
            <w:tcW w:w="1587" w:type="dxa"/>
            <w:vAlign w:val="center"/>
          </w:tcPr>
          <w:p>
            <w:pPr>
              <w:pStyle w:val="14"/>
            </w:pPr>
            <w:r>
              <w:t>其中：财政    资金</w:t>
            </w:r>
          </w:p>
        </w:tc>
        <w:tc>
          <w:tcPr>
            <w:tcW w:w="1843" w:type="dxa"/>
            <w:vAlign w:val="center"/>
          </w:tcPr>
          <w:p>
            <w:pPr>
              <w:pStyle w:val="13"/>
            </w:pPr>
            <w:r>
              <w:t>20000.00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2025年京津城际延伸线客票精准补贴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1.按照相关标准，及时拨付符合津滨通勤精准补贴条件人员费用，确保京津城际延长线精准补贴政策顺利推行。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补贴发放覆盖率</w:t>
            </w:r>
          </w:p>
        </w:tc>
        <w:tc>
          <w:tcPr>
            <w:tcW w:w="3430" w:type="dxa"/>
            <w:vAlign w:val="center"/>
          </w:tcPr>
          <w:p>
            <w:pPr>
              <w:pStyle w:val="13"/>
            </w:pPr>
            <w:r>
              <w:t>补贴发放覆盖率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补贴拨付合规率</w:t>
            </w:r>
          </w:p>
        </w:tc>
        <w:tc>
          <w:tcPr>
            <w:tcW w:w="3430" w:type="dxa"/>
            <w:vAlign w:val="center"/>
          </w:tcPr>
          <w:p>
            <w:pPr>
              <w:pStyle w:val="13"/>
            </w:pPr>
            <w:r>
              <w:t>补贴拨付合规率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补贴期限</w:t>
            </w:r>
          </w:p>
        </w:tc>
        <w:tc>
          <w:tcPr>
            <w:tcW w:w="3430" w:type="dxa"/>
            <w:vAlign w:val="center"/>
          </w:tcPr>
          <w:p>
            <w:pPr>
              <w:pStyle w:val="13"/>
            </w:pPr>
            <w:r>
              <w:t>补贴期限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拨付符合津滨通勤精准补贴条件人员费用</w:t>
            </w:r>
          </w:p>
        </w:tc>
        <w:tc>
          <w:tcPr>
            <w:tcW w:w="3430" w:type="dxa"/>
            <w:vAlign w:val="center"/>
          </w:tcPr>
          <w:p>
            <w:pPr>
              <w:pStyle w:val="13"/>
            </w:pPr>
            <w:r>
              <w:t>拨付符合津滨通勤精准补贴条件人员费用</w:t>
            </w:r>
          </w:p>
        </w:tc>
        <w:tc>
          <w:tcPr>
            <w:tcW w:w="2551" w:type="dxa"/>
            <w:vAlign w:val="center"/>
          </w:tcPr>
          <w:p>
            <w:pPr>
              <w:pStyle w:val="13"/>
            </w:pPr>
            <w:r>
              <w:t>≤20000元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促进公共交通健康发展</w:t>
            </w:r>
          </w:p>
        </w:tc>
        <w:tc>
          <w:tcPr>
            <w:tcW w:w="3430" w:type="dxa"/>
            <w:vAlign w:val="center"/>
          </w:tcPr>
          <w:p>
            <w:pPr>
              <w:pStyle w:val="13"/>
            </w:pPr>
            <w:r>
              <w:t>促进公共交通健康发展</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3" w:name="_Toc_4_4_0000000017"/>
      <w:r>
        <w:rPr>
          <w:rFonts w:ascii="方正仿宋_GBK" w:hAnsi="方正仿宋_GBK" w:eastAsia="方正仿宋_GBK" w:cs="方正仿宋_GBK"/>
          <w:sz w:val="28"/>
        </w:rPr>
        <w:t>14.2025年京津城际延伸线运营补贴绩效目标表</w:t>
      </w:r>
      <w:bookmarkEnd w:id="1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2025年京津城际延伸线运营补贴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126790000.00</w:t>
            </w:r>
          </w:p>
        </w:tc>
        <w:tc>
          <w:tcPr>
            <w:tcW w:w="1587" w:type="dxa"/>
            <w:vAlign w:val="center"/>
          </w:tcPr>
          <w:p>
            <w:pPr>
              <w:pStyle w:val="14"/>
            </w:pPr>
            <w:r>
              <w:t>其中：财政    资金</w:t>
            </w:r>
          </w:p>
        </w:tc>
        <w:tc>
          <w:tcPr>
            <w:tcW w:w="1843" w:type="dxa"/>
            <w:vAlign w:val="center"/>
          </w:tcPr>
          <w:p>
            <w:pPr>
              <w:pStyle w:val="13"/>
            </w:pPr>
            <w:r>
              <w:t>126790000.00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2025年京津城际延伸线运营补贴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1.按照补贴标准，保证补贴资金及时足额发放，确保京津城际铁路延伸线正常运营。</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补贴运营单位</w:t>
            </w:r>
          </w:p>
        </w:tc>
        <w:tc>
          <w:tcPr>
            <w:tcW w:w="3430" w:type="dxa"/>
            <w:vAlign w:val="center"/>
          </w:tcPr>
          <w:p>
            <w:pPr>
              <w:pStyle w:val="13"/>
            </w:pPr>
            <w:r>
              <w:t>补贴运营单位</w:t>
            </w:r>
          </w:p>
        </w:tc>
        <w:tc>
          <w:tcPr>
            <w:tcW w:w="2551" w:type="dxa"/>
            <w:vAlign w:val="center"/>
          </w:tcPr>
          <w:p>
            <w:pPr>
              <w:pStyle w:val="13"/>
            </w:pPr>
            <w:r>
              <w:t>1个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补贴拨付合规率</w:t>
            </w:r>
          </w:p>
        </w:tc>
        <w:tc>
          <w:tcPr>
            <w:tcW w:w="3430" w:type="dxa"/>
            <w:vAlign w:val="center"/>
          </w:tcPr>
          <w:p>
            <w:pPr>
              <w:pStyle w:val="13"/>
            </w:pPr>
            <w:r>
              <w:t>补贴拨付合规率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补贴期限</w:t>
            </w:r>
          </w:p>
        </w:tc>
        <w:tc>
          <w:tcPr>
            <w:tcW w:w="3430" w:type="dxa"/>
            <w:vAlign w:val="center"/>
          </w:tcPr>
          <w:p>
            <w:pPr>
              <w:pStyle w:val="13"/>
            </w:pPr>
            <w:r>
              <w:t>补贴期限</w:t>
            </w:r>
          </w:p>
        </w:tc>
        <w:tc>
          <w:tcPr>
            <w:tcW w:w="2551" w:type="dxa"/>
            <w:vAlign w:val="center"/>
          </w:tcPr>
          <w:p>
            <w:pPr>
              <w:pStyle w:val="13"/>
            </w:pPr>
            <w:r>
              <w:t>12月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补贴动车组列车运营成本</w:t>
            </w:r>
          </w:p>
        </w:tc>
        <w:tc>
          <w:tcPr>
            <w:tcW w:w="3430" w:type="dxa"/>
            <w:vAlign w:val="center"/>
          </w:tcPr>
          <w:p>
            <w:pPr>
              <w:pStyle w:val="13"/>
            </w:pPr>
            <w:r>
              <w:t>补贴动车组列车运营成本</w:t>
            </w:r>
          </w:p>
        </w:tc>
        <w:tc>
          <w:tcPr>
            <w:tcW w:w="2551" w:type="dxa"/>
            <w:vAlign w:val="center"/>
          </w:tcPr>
          <w:p>
            <w:pPr>
              <w:pStyle w:val="13"/>
            </w:pPr>
            <w:r>
              <w:t>126790000元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推进双城通勤便利化工作</w:t>
            </w:r>
          </w:p>
        </w:tc>
        <w:tc>
          <w:tcPr>
            <w:tcW w:w="3430" w:type="dxa"/>
            <w:vAlign w:val="center"/>
          </w:tcPr>
          <w:p>
            <w:pPr>
              <w:pStyle w:val="13"/>
            </w:pPr>
            <w:r>
              <w:t>推进双城通勤便利化工作</w:t>
            </w:r>
          </w:p>
        </w:tc>
        <w:tc>
          <w:tcPr>
            <w:tcW w:w="2551" w:type="dxa"/>
            <w:vAlign w:val="center"/>
          </w:tcPr>
          <w:p>
            <w:pPr>
              <w:pStyle w:val="13"/>
            </w:pPr>
            <w:r>
              <w:t>有效促进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企业投诉次数</w:t>
            </w:r>
          </w:p>
        </w:tc>
        <w:tc>
          <w:tcPr>
            <w:tcW w:w="3430" w:type="dxa"/>
            <w:vAlign w:val="center"/>
          </w:tcPr>
          <w:p>
            <w:pPr>
              <w:pStyle w:val="13"/>
            </w:pPr>
            <w:r>
              <w:t>企业投诉次数</w:t>
            </w:r>
          </w:p>
        </w:tc>
        <w:tc>
          <w:tcPr>
            <w:tcW w:w="2551" w:type="dxa"/>
            <w:vAlign w:val="center"/>
          </w:tcPr>
          <w:p>
            <w:pPr>
              <w:pStyle w:val="13"/>
            </w:pPr>
            <w:r>
              <w:t>≤10次</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4" w:name="_Toc_4_4_0000000018"/>
      <w:r>
        <w:rPr>
          <w:rFonts w:ascii="方正仿宋_GBK" w:hAnsi="方正仿宋_GBK" w:eastAsia="方正仿宋_GBK" w:cs="方正仿宋_GBK"/>
          <w:sz w:val="28"/>
        </w:rPr>
        <w:t>15.2025年一般债券付息支出（基建）绩效目标表</w:t>
      </w:r>
      <w:bookmarkEnd w:id="1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2025年一般债券付息支出（基建）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166672734.19</w:t>
            </w:r>
          </w:p>
        </w:tc>
        <w:tc>
          <w:tcPr>
            <w:tcW w:w="1587" w:type="dxa"/>
            <w:vAlign w:val="center"/>
          </w:tcPr>
          <w:p>
            <w:pPr>
              <w:pStyle w:val="14"/>
            </w:pPr>
            <w:r>
              <w:t>其中：财政    资金</w:t>
            </w:r>
          </w:p>
        </w:tc>
        <w:tc>
          <w:tcPr>
            <w:tcW w:w="1843" w:type="dxa"/>
            <w:vAlign w:val="center"/>
          </w:tcPr>
          <w:p>
            <w:pPr>
              <w:pStyle w:val="13"/>
            </w:pPr>
            <w:r>
              <w:t>166672734.19</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2025年一般债券付息支出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1.通过按时偿还一般债利息，保障债权人权利，保障项目顺利进行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≥2个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偿还利息</w:t>
            </w:r>
          </w:p>
        </w:tc>
        <w:tc>
          <w:tcPr>
            <w:tcW w:w="3430" w:type="dxa"/>
            <w:vAlign w:val="center"/>
          </w:tcPr>
          <w:p>
            <w:pPr>
              <w:pStyle w:val="13"/>
            </w:pPr>
            <w:r>
              <w:t>偿还利息</w:t>
            </w:r>
          </w:p>
        </w:tc>
        <w:tc>
          <w:tcPr>
            <w:tcW w:w="2551" w:type="dxa"/>
            <w:vAlign w:val="center"/>
          </w:tcPr>
          <w:p>
            <w:pPr>
              <w:pStyle w:val="13"/>
            </w:pPr>
            <w:r>
              <w:t>≤166672734.19元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5" w:name="_Toc_4_4_0000000019"/>
      <w:r>
        <w:rPr>
          <w:rFonts w:ascii="方正仿宋_GBK" w:hAnsi="方正仿宋_GBK" w:eastAsia="方正仿宋_GBK" w:cs="方正仿宋_GBK"/>
          <w:sz w:val="28"/>
        </w:rPr>
        <w:t>16.2025年专项债券付息支出（债券）绩效目标表</w:t>
      </w:r>
      <w:bookmarkEnd w:id="1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2025年专项债券付息支出（债券）</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494439540.63</w:t>
            </w:r>
          </w:p>
        </w:tc>
        <w:tc>
          <w:tcPr>
            <w:tcW w:w="1587" w:type="dxa"/>
            <w:vAlign w:val="center"/>
          </w:tcPr>
          <w:p>
            <w:pPr>
              <w:pStyle w:val="14"/>
            </w:pPr>
            <w:r>
              <w:t>其中：财政    资金</w:t>
            </w:r>
          </w:p>
        </w:tc>
        <w:tc>
          <w:tcPr>
            <w:tcW w:w="1843" w:type="dxa"/>
            <w:vAlign w:val="center"/>
          </w:tcPr>
          <w:p>
            <w:pPr>
              <w:pStyle w:val="13"/>
            </w:pPr>
            <w:r>
              <w:t>494439540.63</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2025年专项债付息支出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1.通过按时偿还专项债利息，保障债权人权利，保障项目顺利进行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支付银行利息合同数量</w:t>
            </w:r>
          </w:p>
        </w:tc>
        <w:tc>
          <w:tcPr>
            <w:tcW w:w="3430" w:type="dxa"/>
            <w:vAlign w:val="center"/>
          </w:tcPr>
          <w:p>
            <w:pPr>
              <w:pStyle w:val="13"/>
            </w:pPr>
            <w:r>
              <w:t>支付银行利息合同数量</w:t>
            </w:r>
          </w:p>
        </w:tc>
        <w:tc>
          <w:tcPr>
            <w:tcW w:w="2551" w:type="dxa"/>
            <w:vAlign w:val="center"/>
          </w:tcPr>
          <w:p>
            <w:pPr>
              <w:pStyle w:val="13"/>
            </w:pPr>
            <w:r>
              <w:t>≥10个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利息支付合规率</w:t>
            </w:r>
          </w:p>
        </w:tc>
        <w:tc>
          <w:tcPr>
            <w:tcW w:w="3430" w:type="dxa"/>
            <w:vAlign w:val="center"/>
          </w:tcPr>
          <w:p>
            <w:pPr>
              <w:pStyle w:val="13"/>
            </w:pPr>
            <w:r>
              <w:t>利息支付合规率</w:t>
            </w:r>
          </w:p>
        </w:tc>
        <w:tc>
          <w:tcPr>
            <w:tcW w:w="2551" w:type="dxa"/>
            <w:vAlign w:val="center"/>
          </w:tcPr>
          <w:p>
            <w:pPr>
              <w:pStyle w:val="13"/>
            </w:pPr>
            <w:r>
              <w:t>≥99%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利息支付完成时间</w:t>
            </w:r>
          </w:p>
        </w:tc>
        <w:tc>
          <w:tcPr>
            <w:tcW w:w="3430" w:type="dxa"/>
            <w:vAlign w:val="center"/>
          </w:tcPr>
          <w:p>
            <w:pPr>
              <w:pStyle w:val="13"/>
            </w:pPr>
            <w:r>
              <w:t>利息支付完成时间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偿还利息</w:t>
            </w:r>
          </w:p>
        </w:tc>
        <w:tc>
          <w:tcPr>
            <w:tcW w:w="3430" w:type="dxa"/>
            <w:vAlign w:val="center"/>
          </w:tcPr>
          <w:p>
            <w:pPr>
              <w:pStyle w:val="13"/>
            </w:pPr>
            <w:r>
              <w:t>偿还利息</w:t>
            </w:r>
          </w:p>
        </w:tc>
        <w:tc>
          <w:tcPr>
            <w:tcW w:w="2551" w:type="dxa"/>
            <w:vAlign w:val="center"/>
          </w:tcPr>
          <w:p>
            <w:pPr>
              <w:pStyle w:val="13"/>
            </w:pPr>
            <w:r>
              <w:t>≤494439540.63元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保障债权人权利，保障项目顺利进行</w:t>
            </w:r>
          </w:p>
        </w:tc>
        <w:tc>
          <w:tcPr>
            <w:tcW w:w="3430" w:type="dxa"/>
            <w:vAlign w:val="center"/>
          </w:tcPr>
          <w:p>
            <w:pPr>
              <w:pStyle w:val="13"/>
            </w:pPr>
            <w:r>
              <w:t>保障债权人权利，保障项目顺利进行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债权人满意度</w:t>
            </w:r>
          </w:p>
        </w:tc>
        <w:tc>
          <w:tcPr>
            <w:tcW w:w="3430" w:type="dxa"/>
            <w:vAlign w:val="center"/>
          </w:tcPr>
          <w:p>
            <w:pPr>
              <w:pStyle w:val="13"/>
            </w:pPr>
            <w:r>
              <w:t>债权人满意度</w:t>
            </w:r>
          </w:p>
        </w:tc>
        <w:tc>
          <w:tcPr>
            <w:tcW w:w="2551" w:type="dxa"/>
            <w:vAlign w:val="center"/>
          </w:tcPr>
          <w:p>
            <w:pPr>
              <w:pStyle w:val="13"/>
            </w:pPr>
            <w:r>
              <w:t>≥95%</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6" w:name="_Toc_4_4_0000000020"/>
      <w:r>
        <w:rPr>
          <w:rFonts w:ascii="方正仿宋_GBK" w:hAnsi="方正仿宋_GBK" w:eastAsia="方正仿宋_GBK" w:cs="方正仿宋_GBK"/>
          <w:sz w:val="28"/>
        </w:rPr>
        <w:t>17.滨海新区2024年公路7座桥梁大修工程绩效目标表</w:t>
      </w:r>
      <w:bookmarkEnd w:id="16"/>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滨海新区2024年公路7座桥梁大修工程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1330969.40</w:t>
            </w:r>
          </w:p>
        </w:tc>
        <w:tc>
          <w:tcPr>
            <w:tcW w:w="1587" w:type="dxa"/>
            <w:vAlign w:val="center"/>
          </w:tcPr>
          <w:p>
            <w:pPr>
              <w:pStyle w:val="14"/>
            </w:pPr>
            <w:r>
              <w:t>其中：财政    资金</w:t>
            </w:r>
          </w:p>
        </w:tc>
        <w:tc>
          <w:tcPr>
            <w:tcW w:w="1843" w:type="dxa"/>
            <w:vAlign w:val="center"/>
          </w:tcPr>
          <w:p>
            <w:pPr>
              <w:pStyle w:val="13"/>
            </w:pPr>
            <w:r>
              <w:t>1330969.40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1.支付塘汉快速路永定新河特大桥、北大街跨唐津高速桥、疏港联络线跨线桥的修复性养护费用，缓解区域交通拥堵，提升区域交通报务水平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修复桥梁</w:t>
            </w:r>
          </w:p>
        </w:tc>
        <w:tc>
          <w:tcPr>
            <w:tcW w:w="3430" w:type="dxa"/>
            <w:vAlign w:val="center"/>
          </w:tcPr>
          <w:p>
            <w:pPr>
              <w:pStyle w:val="13"/>
            </w:pPr>
            <w:r>
              <w:t>修复桥梁</w:t>
            </w:r>
          </w:p>
        </w:tc>
        <w:tc>
          <w:tcPr>
            <w:tcW w:w="2551" w:type="dxa"/>
            <w:vAlign w:val="center"/>
          </w:tcPr>
          <w:p>
            <w:pPr>
              <w:pStyle w:val="13"/>
            </w:pPr>
            <w:r>
              <w:t>3座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符合技术规范</w:t>
            </w:r>
          </w:p>
        </w:tc>
        <w:tc>
          <w:tcPr>
            <w:tcW w:w="3430" w:type="dxa"/>
            <w:vAlign w:val="center"/>
          </w:tcPr>
          <w:p>
            <w:pPr>
              <w:pStyle w:val="13"/>
            </w:pPr>
            <w:r>
              <w:t>符合技术规范</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工程款支付完成时间</w:t>
            </w:r>
          </w:p>
        </w:tc>
        <w:tc>
          <w:tcPr>
            <w:tcW w:w="3430" w:type="dxa"/>
            <w:vAlign w:val="center"/>
          </w:tcPr>
          <w:p>
            <w:pPr>
              <w:pStyle w:val="13"/>
            </w:pPr>
            <w:r>
              <w:t>工程款支付完成时间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2024年地方政府一般债</w:t>
            </w:r>
          </w:p>
        </w:tc>
        <w:tc>
          <w:tcPr>
            <w:tcW w:w="3430" w:type="dxa"/>
            <w:vAlign w:val="center"/>
          </w:tcPr>
          <w:p>
            <w:pPr>
              <w:pStyle w:val="13"/>
            </w:pPr>
            <w:r>
              <w:t>2024年地方政府一般债</w:t>
            </w:r>
          </w:p>
        </w:tc>
        <w:tc>
          <w:tcPr>
            <w:tcW w:w="2551" w:type="dxa"/>
            <w:vAlign w:val="center"/>
          </w:tcPr>
          <w:p>
            <w:pPr>
              <w:pStyle w:val="13"/>
            </w:pPr>
            <w:r>
              <w:t>≤133.1万元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项目的实施缓解区域交通拥堵，提升区域交通报务水平。</w:t>
            </w:r>
          </w:p>
        </w:tc>
        <w:tc>
          <w:tcPr>
            <w:tcW w:w="3430" w:type="dxa"/>
            <w:vAlign w:val="center"/>
          </w:tcPr>
          <w:p>
            <w:pPr>
              <w:pStyle w:val="13"/>
            </w:pPr>
            <w:r>
              <w:t>项目的实施缓解区域交通拥堵，提升区域交通报务水平。</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7" w:name="_Toc_4_4_0000000021"/>
      <w:r>
        <w:rPr>
          <w:rFonts w:ascii="方正仿宋_GBK" w:hAnsi="方正仿宋_GBK" w:eastAsia="方正仿宋_GBK" w:cs="方正仿宋_GBK"/>
          <w:sz w:val="28"/>
        </w:rPr>
        <w:t>18.京津冀协同发展之产业协同与智慧城市建设项目（天津治超联网信息管理系统）绩效目标表</w:t>
      </w:r>
      <w:bookmarkEnd w:id="1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京津冀协同发展之产业协同与智慧城市建设项目（天津治超联网信息管理系统）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17828821.78</w:t>
            </w:r>
          </w:p>
        </w:tc>
        <w:tc>
          <w:tcPr>
            <w:tcW w:w="1587" w:type="dxa"/>
            <w:vAlign w:val="center"/>
          </w:tcPr>
          <w:p>
            <w:pPr>
              <w:pStyle w:val="14"/>
            </w:pPr>
            <w:r>
              <w:t>其中：财政    资金</w:t>
            </w:r>
          </w:p>
        </w:tc>
        <w:tc>
          <w:tcPr>
            <w:tcW w:w="1843" w:type="dxa"/>
            <w:vAlign w:val="center"/>
          </w:tcPr>
          <w:p>
            <w:pPr>
              <w:pStyle w:val="13"/>
            </w:pPr>
            <w:r>
              <w:t>17828821.78</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1.建设16处非现场执法点位，点位设备质量合格、精度准确，持有合格有效的计量检定证书；点位设备、设施损坏后及时维修，不影响正常运行。</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建设非现场执法点位</w:t>
            </w:r>
          </w:p>
        </w:tc>
        <w:tc>
          <w:tcPr>
            <w:tcW w:w="3430" w:type="dxa"/>
            <w:vAlign w:val="center"/>
          </w:tcPr>
          <w:p>
            <w:pPr>
              <w:pStyle w:val="13"/>
            </w:pPr>
            <w:r>
              <w:t>建设非现场执法点位</w:t>
            </w:r>
          </w:p>
        </w:tc>
        <w:tc>
          <w:tcPr>
            <w:tcW w:w="2551" w:type="dxa"/>
            <w:vAlign w:val="center"/>
          </w:tcPr>
          <w:p>
            <w:pPr>
              <w:pStyle w:val="13"/>
            </w:pPr>
            <w:r>
              <w:t>16个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检测设备质量要求</w:t>
            </w:r>
          </w:p>
        </w:tc>
        <w:tc>
          <w:tcPr>
            <w:tcW w:w="3430" w:type="dxa"/>
            <w:vAlign w:val="center"/>
          </w:tcPr>
          <w:p>
            <w:pPr>
              <w:pStyle w:val="13"/>
            </w:pPr>
            <w:r>
              <w:t>检测设备质量要求</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检测设备维修完成时间</w:t>
            </w:r>
          </w:p>
        </w:tc>
        <w:tc>
          <w:tcPr>
            <w:tcW w:w="3430" w:type="dxa"/>
            <w:vAlign w:val="center"/>
          </w:tcPr>
          <w:p>
            <w:pPr>
              <w:pStyle w:val="13"/>
            </w:pPr>
            <w:r>
              <w:t>检测设备维修完成时间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执法点位建设经费</w:t>
            </w:r>
          </w:p>
        </w:tc>
        <w:tc>
          <w:tcPr>
            <w:tcW w:w="3430" w:type="dxa"/>
            <w:vAlign w:val="center"/>
          </w:tcPr>
          <w:p>
            <w:pPr>
              <w:pStyle w:val="13"/>
            </w:pPr>
            <w:r>
              <w:t>执法点位建设经费</w:t>
            </w:r>
          </w:p>
        </w:tc>
        <w:tc>
          <w:tcPr>
            <w:tcW w:w="2551" w:type="dxa"/>
            <w:vAlign w:val="center"/>
          </w:tcPr>
          <w:p>
            <w:pPr>
              <w:pStyle w:val="13"/>
            </w:pPr>
            <w:r>
              <w:t>≤1782.88万元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保障非现场执法点位检测设施正常运行</w:t>
            </w:r>
          </w:p>
        </w:tc>
        <w:tc>
          <w:tcPr>
            <w:tcW w:w="3430" w:type="dxa"/>
            <w:vAlign w:val="center"/>
          </w:tcPr>
          <w:p>
            <w:pPr>
              <w:pStyle w:val="13"/>
            </w:pPr>
            <w:r>
              <w:t>保障非现场执法点位检测设施正常运行</w:t>
            </w:r>
          </w:p>
        </w:tc>
        <w:tc>
          <w:tcPr>
            <w:tcW w:w="2551" w:type="dxa"/>
            <w:vAlign w:val="center"/>
          </w:tcPr>
          <w:p>
            <w:pPr>
              <w:pStyle w:val="13"/>
            </w:pPr>
            <w:r>
              <w:t>有效保障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受检市民满意率</w:t>
            </w:r>
          </w:p>
        </w:tc>
        <w:tc>
          <w:tcPr>
            <w:tcW w:w="3430" w:type="dxa"/>
            <w:vAlign w:val="center"/>
          </w:tcPr>
          <w:p>
            <w:pPr>
              <w:pStyle w:val="13"/>
            </w:pPr>
            <w:r>
              <w:t>受检市民满意率</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8" w:name="_Toc_4_4_0000000022"/>
      <w:r>
        <w:rPr>
          <w:rFonts w:ascii="方正仿宋_GBK" w:hAnsi="方正仿宋_GBK" w:eastAsia="方正仿宋_GBK" w:cs="方正仿宋_GBK"/>
          <w:sz w:val="28"/>
        </w:rPr>
        <w:t>19.天津建设世界一流港口集疏运南部通道基础设施（津歧线）项目绩效目标表</w:t>
      </w:r>
      <w:bookmarkEnd w:id="1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天津建设世界一流港口集疏运南部通道基础设施（津歧线）项目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3245759.00</w:t>
            </w:r>
          </w:p>
        </w:tc>
        <w:tc>
          <w:tcPr>
            <w:tcW w:w="1587" w:type="dxa"/>
            <w:vAlign w:val="center"/>
          </w:tcPr>
          <w:p>
            <w:pPr>
              <w:pStyle w:val="14"/>
            </w:pPr>
            <w:r>
              <w:t>其中：财政    资金</w:t>
            </w:r>
          </w:p>
        </w:tc>
        <w:tc>
          <w:tcPr>
            <w:tcW w:w="1843" w:type="dxa"/>
            <w:vAlign w:val="center"/>
          </w:tcPr>
          <w:p>
            <w:pPr>
              <w:pStyle w:val="13"/>
            </w:pPr>
            <w:r>
              <w:t>3245759.00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1.支付天津建设世界一流港口集疏运南部通道基础设施（津歧线）项目费用，提高区域交通运行效率</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公路建设</w:t>
            </w:r>
          </w:p>
        </w:tc>
        <w:tc>
          <w:tcPr>
            <w:tcW w:w="3430" w:type="dxa"/>
            <w:vAlign w:val="center"/>
          </w:tcPr>
          <w:p>
            <w:pPr>
              <w:pStyle w:val="13"/>
            </w:pPr>
            <w:r>
              <w:t>公路建设</w:t>
            </w:r>
          </w:p>
        </w:tc>
        <w:tc>
          <w:tcPr>
            <w:tcW w:w="2551" w:type="dxa"/>
            <w:vAlign w:val="center"/>
          </w:tcPr>
          <w:p>
            <w:pPr>
              <w:pStyle w:val="13"/>
            </w:pPr>
            <w:r>
              <w:t>≥23.47公里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项目验收合格率</w:t>
            </w:r>
          </w:p>
        </w:tc>
        <w:tc>
          <w:tcPr>
            <w:tcW w:w="3430" w:type="dxa"/>
            <w:vAlign w:val="center"/>
          </w:tcPr>
          <w:p>
            <w:pPr>
              <w:pStyle w:val="13"/>
            </w:pPr>
            <w:r>
              <w:t>项目验收合格率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工程款支付完成时间</w:t>
            </w:r>
          </w:p>
        </w:tc>
        <w:tc>
          <w:tcPr>
            <w:tcW w:w="3430" w:type="dxa"/>
            <w:vAlign w:val="center"/>
          </w:tcPr>
          <w:p>
            <w:pPr>
              <w:pStyle w:val="13"/>
            </w:pPr>
            <w:r>
              <w:t>工程款支付完成时间</w:t>
            </w:r>
          </w:p>
        </w:tc>
        <w:tc>
          <w:tcPr>
            <w:tcW w:w="2551" w:type="dxa"/>
            <w:vAlign w:val="center"/>
          </w:tcPr>
          <w:p>
            <w:pPr>
              <w:pStyle w:val="13"/>
            </w:pPr>
            <w:r>
              <w:t>2025年12月31日前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项目建设成本</w:t>
            </w:r>
          </w:p>
        </w:tc>
        <w:tc>
          <w:tcPr>
            <w:tcW w:w="3430" w:type="dxa"/>
            <w:vAlign w:val="center"/>
          </w:tcPr>
          <w:p>
            <w:pPr>
              <w:pStyle w:val="13"/>
            </w:pPr>
            <w:r>
              <w:t>项目建设成本</w:t>
            </w:r>
          </w:p>
        </w:tc>
        <w:tc>
          <w:tcPr>
            <w:tcW w:w="2551" w:type="dxa"/>
            <w:vAlign w:val="center"/>
          </w:tcPr>
          <w:p>
            <w:pPr>
              <w:pStyle w:val="13"/>
            </w:pPr>
            <w:r>
              <w:t>≤324.58万元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提高区域交通运行效率</w:t>
            </w:r>
          </w:p>
        </w:tc>
        <w:tc>
          <w:tcPr>
            <w:tcW w:w="3430" w:type="dxa"/>
            <w:vAlign w:val="center"/>
          </w:tcPr>
          <w:p>
            <w:pPr>
              <w:pStyle w:val="13"/>
            </w:pPr>
            <w:r>
              <w:t>提高区域交通运行效率</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提高周边居民出行便利度</w:t>
            </w:r>
          </w:p>
        </w:tc>
        <w:tc>
          <w:tcPr>
            <w:tcW w:w="3430" w:type="dxa"/>
            <w:vAlign w:val="center"/>
          </w:tcPr>
          <w:p>
            <w:pPr>
              <w:pStyle w:val="13"/>
            </w:pPr>
            <w:r>
              <w:t>提高周边居民出行便利度</w:t>
            </w:r>
          </w:p>
        </w:tc>
        <w:tc>
          <w:tcPr>
            <w:tcW w:w="2551" w:type="dxa"/>
            <w:vAlign w:val="center"/>
          </w:tcPr>
          <w:p>
            <w:pPr>
              <w:pStyle w:val="13"/>
            </w:pPr>
            <w:r>
              <w:t>有效提高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持续发挥作用时限</w:t>
            </w:r>
          </w:p>
        </w:tc>
        <w:tc>
          <w:tcPr>
            <w:tcW w:w="3430" w:type="dxa"/>
            <w:vAlign w:val="center"/>
          </w:tcPr>
          <w:p>
            <w:pPr>
              <w:pStyle w:val="13"/>
            </w:pPr>
            <w:r>
              <w:t>持续发挥作用时限</w:t>
            </w:r>
          </w:p>
        </w:tc>
        <w:tc>
          <w:tcPr>
            <w:tcW w:w="2551" w:type="dxa"/>
            <w:vAlign w:val="center"/>
          </w:tcPr>
          <w:p>
            <w:pPr>
              <w:pStyle w:val="13"/>
            </w:pPr>
            <w:r>
              <w:t>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居民满意度</w:t>
            </w:r>
          </w:p>
        </w:tc>
        <w:tc>
          <w:tcPr>
            <w:tcW w:w="3430" w:type="dxa"/>
            <w:vAlign w:val="center"/>
          </w:tcPr>
          <w:p>
            <w:pPr>
              <w:pStyle w:val="13"/>
            </w:pPr>
            <w:r>
              <w:t>居民满意度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19" w:name="_Toc_4_4_0000000023"/>
      <w:r>
        <w:rPr>
          <w:rFonts w:ascii="方正仿宋_GBK" w:hAnsi="方正仿宋_GBK" w:eastAsia="方正仿宋_GBK" w:cs="方正仿宋_GBK"/>
          <w:sz w:val="28"/>
        </w:rPr>
        <w:t>20.天津市建设世界一流大港集疏运北部通道基础设施工程—汉南路改 线及配套服务区项目（一期）市级专项(津财基指【2024】129号)绩效目标表</w:t>
      </w:r>
      <w:bookmarkEnd w:id="1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天津市建设世界一流大港集疏运北部通道基础设施工程—汉南路改 线及配套服务区项目（一期）市级专项(津财基指【2024】129号)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7650000.00</w:t>
            </w:r>
          </w:p>
        </w:tc>
        <w:tc>
          <w:tcPr>
            <w:tcW w:w="1587" w:type="dxa"/>
            <w:vAlign w:val="center"/>
          </w:tcPr>
          <w:p>
            <w:pPr>
              <w:pStyle w:val="14"/>
            </w:pPr>
            <w:r>
              <w:t>其中：财政    资金</w:t>
            </w:r>
          </w:p>
        </w:tc>
        <w:tc>
          <w:tcPr>
            <w:tcW w:w="1843" w:type="dxa"/>
            <w:vAlign w:val="center"/>
          </w:tcPr>
          <w:p>
            <w:pPr>
              <w:pStyle w:val="13"/>
            </w:pPr>
            <w:r>
              <w:t>7650000.00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按照《公路沥青路面施工技术规范》（JTG F40-2004）、《公路工程质量检验评定标准第一册 土建工程》（JTG F80-1-2017）标准实施基础设施工程，提升公路等级标准，提升群众出行感受。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1.按照《公路沥青路面施工技术规范》（JTG F40-2004）、《公路工程质量检验评定标准第一册 土建工程》（JTG F80-1-2017）标准实施基础设施工程，提升公路等级标准，提升群众出行感受。</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路基填筑施工体积</w:t>
            </w:r>
          </w:p>
        </w:tc>
        <w:tc>
          <w:tcPr>
            <w:tcW w:w="3430" w:type="dxa"/>
            <w:vAlign w:val="center"/>
          </w:tcPr>
          <w:p>
            <w:pPr>
              <w:pStyle w:val="13"/>
            </w:pPr>
            <w:r>
              <w:t>路基填筑施工体积</w:t>
            </w:r>
          </w:p>
        </w:tc>
        <w:tc>
          <w:tcPr>
            <w:tcW w:w="2551" w:type="dxa"/>
            <w:vAlign w:val="center"/>
          </w:tcPr>
          <w:p>
            <w:pPr>
              <w:pStyle w:val="13"/>
            </w:pPr>
            <w:r>
              <w:t>≥51360立方米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路基分部工程验收合格率</w:t>
            </w:r>
          </w:p>
        </w:tc>
        <w:tc>
          <w:tcPr>
            <w:tcW w:w="3430" w:type="dxa"/>
            <w:vAlign w:val="center"/>
          </w:tcPr>
          <w:p>
            <w:pPr>
              <w:pStyle w:val="13"/>
            </w:pPr>
            <w:r>
              <w:t>路基分部工程验收合格率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施工完成时间</w:t>
            </w:r>
          </w:p>
        </w:tc>
        <w:tc>
          <w:tcPr>
            <w:tcW w:w="3430" w:type="dxa"/>
            <w:vAlign w:val="center"/>
          </w:tcPr>
          <w:p>
            <w:pPr>
              <w:pStyle w:val="13"/>
            </w:pPr>
            <w:r>
              <w:t>施工完成时间</w:t>
            </w:r>
          </w:p>
        </w:tc>
        <w:tc>
          <w:tcPr>
            <w:tcW w:w="2551" w:type="dxa"/>
            <w:vAlign w:val="center"/>
          </w:tcPr>
          <w:p>
            <w:pPr>
              <w:pStyle w:val="13"/>
            </w:pPr>
            <w:r>
              <w:t>2025年11月底之前完成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路基填筑施工综合单价</w:t>
            </w:r>
          </w:p>
        </w:tc>
        <w:tc>
          <w:tcPr>
            <w:tcW w:w="3430" w:type="dxa"/>
            <w:vAlign w:val="center"/>
          </w:tcPr>
          <w:p>
            <w:pPr>
              <w:pStyle w:val="13"/>
            </w:pPr>
            <w:r>
              <w:t>路基填筑施工综合单价</w:t>
            </w:r>
          </w:p>
        </w:tc>
        <w:tc>
          <w:tcPr>
            <w:tcW w:w="2551" w:type="dxa"/>
            <w:vAlign w:val="center"/>
          </w:tcPr>
          <w:p>
            <w:pPr>
              <w:pStyle w:val="13"/>
            </w:pPr>
            <w:r>
              <w:t>≤148.95元/立方米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提升公路等级标准</w:t>
            </w:r>
          </w:p>
        </w:tc>
        <w:tc>
          <w:tcPr>
            <w:tcW w:w="3430" w:type="dxa"/>
            <w:vAlign w:val="center"/>
          </w:tcPr>
          <w:p>
            <w:pPr>
              <w:pStyle w:val="13"/>
            </w:pPr>
            <w:r>
              <w:t>提升公路等级标准</w:t>
            </w:r>
          </w:p>
        </w:tc>
        <w:tc>
          <w:tcPr>
            <w:tcW w:w="2551" w:type="dxa"/>
            <w:vAlign w:val="center"/>
          </w:tcPr>
          <w:p>
            <w:pPr>
              <w:pStyle w:val="13"/>
            </w:pPr>
            <w:r>
              <w:t>待项目完成后，预计提升至一级公路标准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提升公路通行速度</w:t>
            </w:r>
          </w:p>
        </w:tc>
        <w:tc>
          <w:tcPr>
            <w:tcW w:w="3430" w:type="dxa"/>
            <w:vAlign w:val="center"/>
          </w:tcPr>
          <w:p>
            <w:pPr>
              <w:pStyle w:val="13"/>
            </w:pPr>
            <w:r>
              <w:t>提升公路通行速度</w:t>
            </w:r>
          </w:p>
        </w:tc>
        <w:tc>
          <w:tcPr>
            <w:tcW w:w="2551" w:type="dxa"/>
            <w:vAlign w:val="center"/>
          </w:tcPr>
          <w:p>
            <w:pPr>
              <w:pStyle w:val="13"/>
            </w:pPr>
            <w:r>
              <w:t>待项目完成后，预计提升公路通行速度至80km/h</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生态效益指标</w:t>
            </w:r>
          </w:p>
        </w:tc>
        <w:tc>
          <w:tcPr>
            <w:tcW w:w="1332" w:type="dxa"/>
            <w:vAlign w:val="center"/>
          </w:tcPr>
          <w:p>
            <w:pPr>
              <w:pStyle w:val="13"/>
            </w:pPr>
            <w:r>
              <w:t>环境影响评价通过率</w:t>
            </w:r>
          </w:p>
        </w:tc>
        <w:tc>
          <w:tcPr>
            <w:tcW w:w="3430" w:type="dxa"/>
            <w:vAlign w:val="center"/>
          </w:tcPr>
          <w:p>
            <w:pPr>
              <w:pStyle w:val="13"/>
            </w:pPr>
            <w:r>
              <w:t>环境影响评价通过率</w:t>
            </w:r>
          </w:p>
        </w:tc>
        <w:tc>
          <w:tcPr>
            <w:tcW w:w="2551"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道路工程设计使用年限</w:t>
            </w:r>
          </w:p>
        </w:tc>
        <w:tc>
          <w:tcPr>
            <w:tcW w:w="3430" w:type="dxa"/>
            <w:vAlign w:val="center"/>
          </w:tcPr>
          <w:p>
            <w:pPr>
              <w:pStyle w:val="13"/>
            </w:pPr>
            <w:r>
              <w:t>道路工程设计使用年限</w:t>
            </w:r>
          </w:p>
        </w:tc>
        <w:tc>
          <w:tcPr>
            <w:tcW w:w="2551" w:type="dxa"/>
            <w:vAlign w:val="center"/>
          </w:tcPr>
          <w:p>
            <w:pPr>
              <w:pStyle w:val="13"/>
            </w:pPr>
            <w:r>
              <w:t>≥15年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可持续影响指标</w:t>
            </w:r>
          </w:p>
        </w:tc>
        <w:tc>
          <w:tcPr>
            <w:tcW w:w="1332" w:type="dxa"/>
            <w:vAlign w:val="center"/>
          </w:tcPr>
          <w:p>
            <w:pPr>
              <w:pStyle w:val="13"/>
            </w:pPr>
            <w:r>
              <w:t>桥梁工程设计使用年限</w:t>
            </w:r>
          </w:p>
        </w:tc>
        <w:tc>
          <w:tcPr>
            <w:tcW w:w="3430" w:type="dxa"/>
            <w:vAlign w:val="center"/>
          </w:tcPr>
          <w:p>
            <w:pPr>
              <w:pStyle w:val="13"/>
            </w:pPr>
            <w:r>
              <w:t>桥梁工程设计使用年限</w:t>
            </w:r>
          </w:p>
        </w:tc>
        <w:tc>
          <w:tcPr>
            <w:tcW w:w="2551" w:type="dxa"/>
            <w:vAlign w:val="center"/>
          </w:tcPr>
          <w:p>
            <w:pPr>
              <w:pStyle w:val="13"/>
            </w:pPr>
            <w:r>
              <w:t>≥100年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受益群体满意度</w:t>
            </w:r>
          </w:p>
        </w:tc>
        <w:tc>
          <w:tcPr>
            <w:tcW w:w="3430" w:type="dxa"/>
            <w:vAlign w:val="center"/>
          </w:tcPr>
          <w:p>
            <w:pPr>
              <w:pStyle w:val="13"/>
            </w:pPr>
            <w:r>
              <w:t>受益群体满意度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sz w:val="28"/>
        </w:rPr>
        <w:t xml:space="preserve"> </w:t>
      </w:r>
    </w:p>
    <w:p>
      <w:pPr>
        <w:spacing w:before="0" w:after="0"/>
        <w:ind w:firstLine="560"/>
        <w:jc w:val="left"/>
        <w:outlineLvl w:val="3"/>
      </w:pPr>
      <w:bookmarkStart w:id="20" w:name="_Toc_4_4_0000000024"/>
      <w:r>
        <w:rPr>
          <w:rFonts w:ascii="方正仿宋_GBK" w:hAnsi="方正仿宋_GBK" w:eastAsia="方正仿宋_GBK" w:cs="方正仿宋_GBK"/>
          <w:sz w:val="28"/>
        </w:rPr>
        <w:t>21.天津市建设世界一流南部集疏运配套（海景大道南延）一期工程绩效目标表</w:t>
      </w:r>
      <w:bookmarkEnd w:id="2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pPr>
              <w:pStyle w:val="12"/>
            </w:pPr>
            <w:r>
              <w:t>327101天津市滨海新区交通运输局</w:t>
            </w:r>
          </w:p>
        </w:tc>
        <w:tc>
          <w:tcPr>
            <w:tcW w:w="1276" w:type="dxa"/>
            <w:tcBorders>
              <w:top w:val="single" w:color="FFFFFF" w:sz="6" w:space="0"/>
              <w:left w:val="single" w:color="FFFFFF" w:sz="6" w:space="0"/>
              <w:right w:val="single" w:color="FFFFFF" w:sz="6" w:space="0"/>
            </w:tcBorders>
            <w:vAlign w:val="center"/>
          </w:tcPr>
          <w:p>
            <w:pPr>
              <w:pStyle w:val="11"/>
            </w:pPr>
            <w:r>
              <w:t>单位：元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项目名称</w:t>
            </w:r>
          </w:p>
        </w:tc>
        <w:tc>
          <w:tcPr>
            <w:tcW w:w="8589" w:type="dxa"/>
            <w:gridSpan w:val="6"/>
            <w:vAlign w:val="center"/>
          </w:tcPr>
          <w:p>
            <w:pPr>
              <w:pStyle w:val="13"/>
            </w:pPr>
            <w:r>
              <w:t>天津市建设世界一流南部集疏运配套（海景大道南延）一期工程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20135207.00</w:t>
            </w:r>
          </w:p>
        </w:tc>
        <w:tc>
          <w:tcPr>
            <w:tcW w:w="1587" w:type="dxa"/>
            <w:vAlign w:val="center"/>
          </w:tcPr>
          <w:p>
            <w:pPr>
              <w:pStyle w:val="14"/>
            </w:pPr>
            <w:r>
              <w:t>其中：财政    资金</w:t>
            </w:r>
          </w:p>
        </w:tc>
        <w:tc>
          <w:tcPr>
            <w:tcW w:w="1843" w:type="dxa"/>
            <w:vAlign w:val="center"/>
          </w:tcPr>
          <w:p>
            <w:pPr>
              <w:pStyle w:val="13"/>
            </w:pPr>
            <w:r>
              <w:t>20135207.00</w:t>
            </w:r>
          </w:p>
        </w:tc>
        <w:tc>
          <w:tcPr>
            <w:tcW w:w="1276" w:type="dxa"/>
            <w:vAlign w:val="center"/>
          </w:tcPr>
          <w:p>
            <w:pPr>
              <w:pStyle w:val="14"/>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89" w:type="dxa"/>
            <w:gridSpan w:val="6"/>
            <w:vAlign w:val="center"/>
          </w:tcPr>
          <w:p>
            <w:pPr>
              <w:pStyle w:val="13"/>
            </w:pPr>
            <w:r>
              <w:t>项目资金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589" w:type="dxa"/>
            <w:gridSpan w:val="6"/>
            <w:vAlign w:val="center"/>
          </w:tcPr>
          <w:p>
            <w:pPr>
              <w:pStyle w:val="13"/>
            </w:pPr>
            <w:r>
              <w:t>1.通过实施天津市建设世界一流南部集疏运配套（海景大道南延）一期工程 ，缓解区域交通拥堵，提升区域交通服务水平。2024年计划完成施工招标，完成道路红线范围内管线切改，完成道路红线内的排水、清淤约30000立方米。</w:t>
            </w:r>
          </w:p>
        </w:tc>
      </w:tr>
    </w:tbl>
    <w:p>
      <w:pPr>
        <w:spacing w:before="0" w:after="0" w:line="2" w:lineRule="exact"/>
        <w:ind w:firstLine="0"/>
        <w:jc w:val="center"/>
        <w:outlineLvl w:val="9"/>
      </w:pPr>
      <w:r>
        <w:rPr>
          <w:rFonts w:ascii="方正书宋_GBK" w:hAnsi="方正书宋_GBK" w:eastAsia="方正书宋_GBK" w:cs="方正书宋_GBK"/>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26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3430" w:type="dxa"/>
            <w:vAlign w:val="center"/>
          </w:tcPr>
          <w:p>
            <w:pPr>
              <w:pStyle w:val="14"/>
            </w:pPr>
            <w:r>
              <w:t>绩效指标描述</w:t>
            </w:r>
          </w:p>
        </w:tc>
        <w:tc>
          <w:tcPr>
            <w:tcW w:w="2551" w:type="dxa"/>
            <w:vAlign w:val="center"/>
          </w:tcPr>
          <w:p>
            <w:pPr>
              <w:pStyle w:val="14"/>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排水清淤方量</w:t>
            </w:r>
          </w:p>
        </w:tc>
        <w:tc>
          <w:tcPr>
            <w:tcW w:w="3430" w:type="dxa"/>
            <w:vAlign w:val="center"/>
          </w:tcPr>
          <w:p>
            <w:pPr>
              <w:pStyle w:val="13"/>
            </w:pPr>
            <w:r>
              <w:t>排水清淤方量</w:t>
            </w:r>
          </w:p>
        </w:tc>
        <w:tc>
          <w:tcPr>
            <w:tcW w:w="2551" w:type="dxa"/>
            <w:vAlign w:val="center"/>
          </w:tcPr>
          <w:p>
            <w:pPr>
              <w:pStyle w:val="13"/>
            </w:pPr>
            <w:r>
              <w:t>30000立方米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符合技术规范</w:t>
            </w:r>
          </w:p>
        </w:tc>
        <w:tc>
          <w:tcPr>
            <w:tcW w:w="3430" w:type="dxa"/>
            <w:vAlign w:val="center"/>
          </w:tcPr>
          <w:p>
            <w:pPr>
              <w:pStyle w:val="13"/>
            </w:pPr>
            <w:r>
              <w:t>符合技术规范</w:t>
            </w:r>
          </w:p>
        </w:tc>
        <w:tc>
          <w:tcPr>
            <w:tcW w:w="2551" w:type="dxa"/>
            <w:vAlign w:val="center"/>
          </w:tcPr>
          <w:p>
            <w:pPr>
              <w:pStyle w:val="13"/>
            </w:pPr>
            <w:r>
              <w:t>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一期工程工程款支付完成时间</w:t>
            </w:r>
          </w:p>
        </w:tc>
        <w:tc>
          <w:tcPr>
            <w:tcW w:w="3430" w:type="dxa"/>
            <w:vAlign w:val="center"/>
          </w:tcPr>
          <w:p>
            <w:pPr>
              <w:pStyle w:val="13"/>
            </w:pPr>
            <w:r>
              <w:t>一期工程工程款支付完成时间</w:t>
            </w:r>
          </w:p>
        </w:tc>
        <w:tc>
          <w:tcPr>
            <w:tcW w:w="2551" w:type="dxa"/>
            <w:vAlign w:val="center"/>
          </w:tcPr>
          <w:p>
            <w:pPr>
              <w:pStyle w:val="13"/>
            </w:pPr>
            <w:r>
              <w:t>2025年12月底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2024年地方政府一般债</w:t>
            </w:r>
          </w:p>
        </w:tc>
        <w:tc>
          <w:tcPr>
            <w:tcW w:w="3430" w:type="dxa"/>
            <w:vAlign w:val="center"/>
          </w:tcPr>
          <w:p>
            <w:pPr>
              <w:pStyle w:val="13"/>
            </w:pPr>
            <w:r>
              <w:t>2024年地方政府一般债</w:t>
            </w:r>
          </w:p>
        </w:tc>
        <w:tc>
          <w:tcPr>
            <w:tcW w:w="2551" w:type="dxa"/>
            <w:vAlign w:val="center"/>
          </w:tcPr>
          <w:p>
            <w:pPr>
              <w:pStyle w:val="13"/>
            </w:pPr>
            <w:r>
              <w:t>≤2013.52万元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项目的实施缓解区域交通拥堵，提升区域交通报务水平。</w:t>
            </w:r>
          </w:p>
        </w:tc>
        <w:tc>
          <w:tcPr>
            <w:tcW w:w="3430" w:type="dxa"/>
            <w:vAlign w:val="center"/>
          </w:tcPr>
          <w:p>
            <w:pPr>
              <w:pStyle w:val="13"/>
            </w:pPr>
            <w:r>
              <w:t>项目的实施缓解区域交通拥堵，提升区域交通报务水平。</w:t>
            </w:r>
          </w:p>
        </w:tc>
        <w:tc>
          <w:tcPr>
            <w:tcW w:w="2551" w:type="dxa"/>
            <w:vAlign w:val="center"/>
          </w:tcPr>
          <w:p>
            <w:pPr>
              <w:pStyle w:val="13"/>
            </w:pPr>
            <w:r>
              <w:t>显著提高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周边群众满意度</w:t>
            </w:r>
          </w:p>
        </w:tc>
        <w:tc>
          <w:tcPr>
            <w:tcW w:w="3430" w:type="dxa"/>
            <w:vAlign w:val="center"/>
          </w:tcPr>
          <w:p>
            <w:pPr>
              <w:pStyle w:val="13"/>
            </w:pPr>
            <w:r>
              <w:t>周边群众满意度</w:t>
            </w:r>
          </w:p>
        </w:tc>
        <w:tc>
          <w:tcPr>
            <w:tcW w:w="2551" w:type="dxa"/>
            <w:vAlign w:val="center"/>
          </w:tcPr>
          <w:p>
            <w:pPr>
              <w:pStyle w:val="13"/>
            </w:pPr>
            <w:r>
              <w:t>≥90%</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bookmarkStart w:id="21" w:name="_GoBack"/>
      <w:bookmarkEnd w:id="21"/>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5"/>
  </w:compat>
  <w:docVars>
    <w:docVar w:name="commondata" w:val="eyJoZGlkIjoiZTkyOGZiOTBiYWIzMjY3NDdlODhlNTI0ZjJkYWY0NjcifQ=="/>
  </w:docVars>
  <w:rsids>
    <w:rsidRoot w:val="00000000"/>
    <w:rsid w:val="2CC13E88"/>
    <w:rsid w:val="35964338"/>
    <w:rsid w:val="3FADFBBD"/>
    <w:rsid w:val="4E7500C4"/>
    <w:rsid w:val="5C8F5F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TotalTime>4</TotalTime>
  <ScaleCrop>false</ScaleCrop>
  <LinksUpToDate>false</LinksUpToDate>
  <Application>WPS Office_11.8.2.10554_F1E327BC-269C-435d-A152-05C5408002CA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2025-01-21T18:46:00Z</dcterms:created>
  <dc:creator>Dell</dc:creator>
  <cp:lastModifiedBy>赵瑾</cp:lastModifiedBy>
  <dcterms:modified xsi:type="dcterms:W3CDTF">2025-02-06T15:15:49Z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7FB98111D8784ED381DE6589AA4729FF_13</vt:lpwstr>
  </property>
</Properties>
</file>