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opLinePunct w:val="0"/>
        <w:bidi w:val="0"/>
        <w:snapToGrid/>
        <w:spacing w:line="360" w:lineRule="auto"/>
        <w:jc w:val="center"/>
        <w:textAlignment w:val="auto"/>
        <w:rPr>
          <w:rFonts w:hint="eastAsia" w:ascii="宋体" w:hAnsi="宋体" w:cs="宋体"/>
          <w:b/>
          <w:color w:val="auto"/>
          <w:sz w:val="24"/>
          <w:highlight w:val="none"/>
        </w:rPr>
      </w:pPr>
      <w:r>
        <w:rPr>
          <w:rFonts w:hint="eastAsia" w:ascii="宋体" w:hAnsi="宋体" w:cs="宋体"/>
          <w:b/>
          <w:bCs/>
          <w:color w:val="auto"/>
          <w:sz w:val="24"/>
          <w:highlight w:val="none"/>
          <w:lang w:eastAsia="zh-CN"/>
        </w:rPr>
        <w:t>2024年滨海新区区县级公路修复养护工程</w:t>
      </w:r>
      <w:r>
        <w:rPr>
          <w:rFonts w:hint="eastAsia" w:ascii="宋体" w:hAnsi="宋体" w:cs="宋体"/>
          <w:b/>
          <w:bCs/>
          <w:color w:val="auto"/>
          <w:sz w:val="24"/>
          <w:highlight w:val="none"/>
          <w:lang w:val="en-US" w:eastAsia="zh-CN"/>
        </w:rPr>
        <w:t>二次</w:t>
      </w:r>
      <w:r>
        <w:rPr>
          <w:rFonts w:hint="eastAsia" w:ascii="宋体" w:hAnsi="宋体" w:cs="宋体"/>
          <w:b/>
          <w:color w:val="auto"/>
          <w:sz w:val="24"/>
          <w:highlight w:val="none"/>
        </w:rPr>
        <w:t>招标公告</w:t>
      </w:r>
      <w:bookmarkStart w:id="13" w:name="_GoBack"/>
      <w:bookmarkEnd w:id="13"/>
    </w:p>
    <w:p>
      <w:pPr>
        <w:pageBreakBefore w:val="0"/>
        <w:widowControl w:val="0"/>
        <w:topLinePunct w:val="0"/>
        <w:bidi w:val="0"/>
        <w:snapToGrid/>
        <w:spacing w:line="360" w:lineRule="auto"/>
        <w:jc w:val="left"/>
        <w:textAlignment w:val="auto"/>
        <w:rPr>
          <w:rFonts w:hint="eastAsia" w:ascii="宋体" w:hAnsi="宋体" w:cs="宋体"/>
          <w:b/>
          <w:color w:val="auto"/>
          <w:sz w:val="24"/>
          <w:highlight w:val="none"/>
        </w:rPr>
      </w:pPr>
      <w:bookmarkStart w:id="0" w:name="_Toc234349308"/>
      <w:r>
        <w:rPr>
          <w:rFonts w:hint="eastAsia" w:ascii="宋体" w:hAnsi="宋体" w:cs="宋体"/>
          <w:b/>
          <w:color w:val="auto"/>
          <w:sz w:val="24"/>
          <w:highlight w:val="none"/>
        </w:rPr>
        <w:t>1.招标条件</w:t>
      </w:r>
      <w:bookmarkEnd w:id="0"/>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2024年滨海新区区县级公路修复养护工程</w:t>
      </w:r>
      <w:r>
        <w:rPr>
          <w:rFonts w:hint="eastAsia" w:ascii="宋体" w:hAnsi="宋体" w:cs="宋体"/>
          <w:color w:val="auto"/>
          <w:sz w:val="24"/>
          <w:highlight w:val="none"/>
        </w:rPr>
        <w:t>已由</w:t>
      </w:r>
      <w:r>
        <w:rPr>
          <w:rFonts w:hint="eastAsia" w:ascii="宋体" w:hAnsi="宋体" w:cs="宋体"/>
          <w:color w:val="auto"/>
          <w:sz w:val="24"/>
          <w:highlight w:val="none"/>
          <w:u w:val="single"/>
        </w:rPr>
        <w:t>天津市滨海新区交通运输局</w:t>
      </w:r>
      <w:r>
        <w:rPr>
          <w:rFonts w:hint="eastAsia" w:ascii="宋体" w:hAnsi="宋体" w:cs="宋体"/>
          <w:color w:val="auto"/>
          <w:sz w:val="24"/>
          <w:highlight w:val="none"/>
        </w:rPr>
        <w:t>以</w:t>
      </w:r>
      <w:r>
        <w:rPr>
          <w:rFonts w:hint="eastAsia" w:ascii="宋体" w:hAnsi="宋体" w:cs="宋体"/>
          <w:bCs/>
          <w:color w:val="auto"/>
          <w:sz w:val="24"/>
          <w:highlight w:val="none"/>
          <w:u w:val="single"/>
          <w:lang w:eastAsia="zh-CN"/>
        </w:rPr>
        <w:t>《关于2024年滨海新区区县级公路修复养护工程施工图设计及预算的批复》（津滨交运发〔2024〕20号）</w:t>
      </w:r>
      <w:r>
        <w:rPr>
          <w:rFonts w:hint="eastAsia" w:ascii="宋体" w:hAnsi="宋体" w:cs="宋体"/>
          <w:color w:val="auto"/>
          <w:sz w:val="24"/>
          <w:highlight w:val="none"/>
        </w:rPr>
        <w:t>批准建设，项目业主为</w:t>
      </w:r>
      <w:r>
        <w:rPr>
          <w:rFonts w:hint="eastAsia" w:ascii="宋体" w:hAnsi="宋体" w:cs="宋体"/>
          <w:color w:val="auto"/>
          <w:sz w:val="24"/>
          <w:highlight w:val="none"/>
          <w:u w:val="single"/>
        </w:rPr>
        <w:t>天津市滨海新区交通运输服务中心</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财政资金</w:t>
      </w:r>
      <w:r>
        <w:rPr>
          <w:rFonts w:hint="eastAsia" w:ascii="宋体" w:hAnsi="宋体" w:cs="宋体"/>
          <w:color w:val="auto"/>
          <w:sz w:val="24"/>
          <w:highlight w:val="none"/>
        </w:rPr>
        <w:t>，出资比例为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天津市滨海新区交通运输服务中心</w:t>
      </w:r>
      <w:r>
        <w:rPr>
          <w:rFonts w:hint="eastAsia" w:ascii="宋体" w:hAnsi="宋体" w:cs="宋体"/>
          <w:color w:val="auto"/>
          <w:sz w:val="24"/>
          <w:highlight w:val="none"/>
        </w:rPr>
        <w:t>。项目已具备招标条件，现对该项目的施工进行公开招标。</w:t>
      </w:r>
    </w:p>
    <w:p>
      <w:pPr>
        <w:pageBreakBefore w:val="0"/>
        <w:widowControl w:val="0"/>
        <w:topLinePunct w:val="0"/>
        <w:bidi w:val="0"/>
        <w:snapToGrid/>
        <w:spacing w:line="360" w:lineRule="auto"/>
        <w:jc w:val="left"/>
        <w:textAlignment w:val="auto"/>
        <w:rPr>
          <w:rFonts w:hint="eastAsia" w:ascii="宋体" w:hAnsi="宋体" w:cs="宋体"/>
          <w:b/>
          <w:color w:val="auto"/>
          <w:sz w:val="24"/>
          <w:highlight w:val="none"/>
        </w:rPr>
      </w:pPr>
      <w:bookmarkStart w:id="1" w:name="_Toc234349309"/>
      <w:r>
        <w:rPr>
          <w:rFonts w:hint="eastAsia" w:ascii="宋体" w:hAnsi="宋体" w:cs="宋体"/>
          <w:b/>
          <w:color w:val="auto"/>
          <w:sz w:val="24"/>
          <w:highlight w:val="none"/>
        </w:rPr>
        <w:t>2.项目概况与招标范围</w:t>
      </w:r>
      <w:bookmarkEnd w:id="1"/>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2.1 项目概况 </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为提高道路服务水平、改善出行条件、促进地方经济发展，本次招标对滨海新区部分道路工程及安全设施进行维修或完善。</w:t>
      </w:r>
    </w:p>
    <w:p>
      <w:pPr>
        <w:pageBreakBefore w:val="0"/>
        <w:widowControl w:val="0"/>
        <w:topLinePunct w:val="0"/>
        <w:bidi w:val="0"/>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2.2招标范围</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本次招标共分为1个标段，主要招标范围如下：</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2024年滨海新区区县级公路修复养护工程</w:t>
      </w:r>
      <w:r>
        <w:rPr>
          <w:rFonts w:hint="eastAsia" w:ascii="宋体" w:hAnsi="宋体" w:cs="宋体"/>
          <w:color w:val="auto"/>
          <w:sz w:val="24"/>
          <w:highlight w:val="none"/>
        </w:rPr>
        <w:t>，包括</w:t>
      </w:r>
      <w:r>
        <w:rPr>
          <w:rFonts w:hint="eastAsia" w:ascii="宋体" w:hAnsi="宋体" w:cs="宋体"/>
          <w:color w:val="auto"/>
          <w:sz w:val="24"/>
          <w:highlight w:val="none"/>
          <w:lang w:eastAsia="zh-CN"/>
        </w:rPr>
        <w:t>于庄子路</w:t>
      </w:r>
      <w:r>
        <w:rPr>
          <w:rFonts w:hint="eastAsia" w:ascii="宋体" w:hAnsi="宋体" w:cs="宋体"/>
          <w:color w:val="auto"/>
          <w:sz w:val="24"/>
          <w:highlight w:val="none"/>
        </w:rPr>
        <w:t>、</w:t>
      </w:r>
      <w:r>
        <w:rPr>
          <w:rFonts w:hint="eastAsia" w:ascii="宋体" w:hAnsi="宋体" w:cs="宋体"/>
          <w:color w:val="auto"/>
          <w:sz w:val="24"/>
          <w:highlight w:val="none"/>
          <w:lang w:eastAsia="zh-CN"/>
        </w:rPr>
        <w:t>徐太路</w:t>
      </w:r>
      <w:r>
        <w:rPr>
          <w:rFonts w:hint="eastAsia" w:ascii="宋体" w:hAnsi="宋体" w:cs="宋体"/>
          <w:color w:val="auto"/>
          <w:sz w:val="24"/>
          <w:highlight w:val="none"/>
        </w:rPr>
        <w:t>、</w:t>
      </w:r>
      <w:r>
        <w:rPr>
          <w:rFonts w:hint="eastAsia" w:ascii="宋体" w:hAnsi="宋体" w:cs="宋体"/>
          <w:color w:val="auto"/>
          <w:sz w:val="24"/>
          <w:highlight w:val="none"/>
          <w:lang w:eastAsia="zh-CN"/>
        </w:rPr>
        <w:t>津汉复线、汉南支线</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条公路，</w:t>
      </w:r>
      <w:r>
        <w:rPr>
          <w:rFonts w:hint="eastAsia" w:ascii="宋体" w:hAnsi="宋体" w:cs="宋体"/>
          <w:color w:val="auto"/>
          <w:sz w:val="24"/>
          <w:highlight w:val="none"/>
          <w:lang w:eastAsia="zh-CN"/>
        </w:rPr>
        <w:t>路线全长49.159km</w:t>
      </w:r>
      <w:r>
        <w:rPr>
          <w:rFonts w:hint="eastAsia" w:ascii="宋体" w:hAnsi="宋体" w:cs="宋体"/>
          <w:color w:val="auto"/>
          <w:sz w:val="24"/>
          <w:highlight w:val="none"/>
        </w:rPr>
        <w:t>。</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于庄子路起于滨海新区京滨线与胡家园交口，终点为京滨线于庄子通道桥，全长12.479km。现状于庄子路为三级公路，一般横断面布置为 1m</w:t>
      </w:r>
      <w:r>
        <w:rPr>
          <w:rFonts w:hint="eastAsia" w:ascii="宋体" w:hAnsi="宋体" w:cs="宋体"/>
          <w:color w:val="auto"/>
          <w:sz w:val="24"/>
          <w:highlight w:val="none"/>
          <w:lang w:eastAsia="zh-CN"/>
        </w:rPr>
        <w:t>（</w:t>
      </w:r>
      <w:r>
        <w:rPr>
          <w:rFonts w:hint="eastAsia" w:ascii="宋体" w:hAnsi="宋体" w:cs="宋体"/>
          <w:color w:val="auto"/>
          <w:sz w:val="24"/>
          <w:highlight w:val="none"/>
        </w:rPr>
        <w:t>土路肩</w:t>
      </w:r>
      <w:r>
        <w:rPr>
          <w:rFonts w:hint="eastAsia" w:ascii="宋体" w:hAnsi="宋体" w:cs="宋体"/>
          <w:color w:val="auto"/>
          <w:sz w:val="24"/>
          <w:highlight w:val="none"/>
          <w:lang w:eastAsia="zh-CN"/>
        </w:rPr>
        <w:t>）</w:t>
      </w:r>
      <w:r>
        <w:rPr>
          <w:rFonts w:hint="eastAsia" w:ascii="宋体" w:hAnsi="宋体" w:cs="宋体"/>
          <w:color w:val="auto"/>
          <w:sz w:val="24"/>
          <w:highlight w:val="none"/>
        </w:rPr>
        <w:t>+7m</w:t>
      </w:r>
      <w:r>
        <w:rPr>
          <w:rFonts w:hint="eastAsia" w:ascii="宋体" w:hAnsi="宋体" w:cs="宋体"/>
          <w:color w:val="auto"/>
          <w:sz w:val="24"/>
          <w:highlight w:val="none"/>
          <w:lang w:eastAsia="zh-CN"/>
        </w:rPr>
        <w:t>（</w:t>
      </w:r>
      <w:r>
        <w:rPr>
          <w:rFonts w:hint="eastAsia" w:ascii="宋体" w:hAnsi="宋体" w:cs="宋体"/>
          <w:color w:val="auto"/>
          <w:sz w:val="24"/>
          <w:highlight w:val="none"/>
        </w:rPr>
        <w:t>路面</w:t>
      </w:r>
      <w:r>
        <w:rPr>
          <w:rFonts w:hint="eastAsia" w:ascii="宋体" w:hAnsi="宋体" w:cs="宋体"/>
          <w:color w:val="auto"/>
          <w:sz w:val="24"/>
          <w:highlight w:val="none"/>
          <w:lang w:eastAsia="zh-CN"/>
        </w:rPr>
        <w:t>）</w:t>
      </w:r>
      <w:r>
        <w:rPr>
          <w:rFonts w:hint="eastAsia" w:ascii="宋体" w:hAnsi="宋体" w:cs="宋体"/>
          <w:color w:val="auto"/>
          <w:sz w:val="24"/>
          <w:highlight w:val="none"/>
        </w:rPr>
        <w:t>+1m</w:t>
      </w:r>
      <w:r>
        <w:rPr>
          <w:rFonts w:hint="eastAsia" w:ascii="宋体" w:hAnsi="宋体" w:cs="宋体"/>
          <w:color w:val="auto"/>
          <w:sz w:val="24"/>
          <w:highlight w:val="none"/>
          <w:lang w:eastAsia="zh-CN"/>
        </w:rPr>
        <w:t>（</w:t>
      </w:r>
      <w:r>
        <w:rPr>
          <w:rFonts w:hint="eastAsia" w:ascii="宋体" w:hAnsi="宋体" w:cs="宋体"/>
          <w:color w:val="auto"/>
          <w:sz w:val="24"/>
          <w:highlight w:val="none"/>
        </w:rPr>
        <w:t>土路肩</w:t>
      </w:r>
      <w:r>
        <w:rPr>
          <w:rFonts w:hint="eastAsia" w:ascii="宋体" w:hAnsi="宋体" w:cs="宋体"/>
          <w:color w:val="auto"/>
          <w:sz w:val="24"/>
          <w:highlight w:val="none"/>
          <w:lang w:eastAsia="zh-CN"/>
        </w:rPr>
        <w:t>），</w:t>
      </w:r>
      <w:r>
        <w:rPr>
          <w:rFonts w:hint="eastAsia" w:ascii="宋体" w:hAnsi="宋体" w:cs="宋体"/>
          <w:color w:val="auto"/>
          <w:sz w:val="24"/>
          <w:highlight w:val="none"/>
        </w:rPr>
        <w:t>路基宽9m。本</w:t>
      </w:r>
      <w:r>
        <w:rPr>
          <w:rFonts w:hint="eastAsia" w:ascii="宋体" w:hAnsi="宋体" w:cs="宋体"/>
          <w:color w:val="auto"/>
          <w:sz w:val="24"/>
          <w:highlight w:val="none"/>
          <w:lang w:eastAsia="zh-CN"/>
        </w:rPr>
        <w:t>次</w:t>
      </w:r>
      <w:r>
        <w:rPr>
          <w:rFonts w:hint="eastAsia" w:ascii="宋体" w:hAnsi="宋体" w:cs="宋体"/>
          <w:color w:val="auto"/>
          <w:sz w:val="24"/>
          <w:highlight w:val="none"/>
        </w:rPr>
        <w:t>维修范围为：K1+868-K12+479。第一段维修起点为</w:t>
      </w:r>
      <w:r>
        <w:rPr>
          <w:rFonts w:hint="eastAsia" w:ascii="宋体" w:hAnsi="宋体" w:cs="宋体"/>
          <w:color w:val="auto"/>
          <w:sz w:val="24"/>
          <w:highlight w:val="none"/>
          <w:lang w:val="en-US" w:eastAsia="zh-CN"/>
        </w:rPr>
        <w:t>K1+868桩号处，止于 K5+512桩号处，维修长度3.644公里，本</w:t>
      </w:r>
      <w:r>
        <w:rPr>
          <w:rFonts w:hint="eastAsia" w:ascii="宋体" w:hAnsi="宋体" w:cs="宋体"/>
          <w:color w:val="auto"/>
          <w:sz w:val="24"/>
          <w:highlight w:val="none"/>
        </w:rPr>
        <w:t>段采用功能性修复养护。第二段维修起点为K5+512桩号处</w:t>
      </w:r>
      <w:r>
        <w:rPr>
          <w:rFonts w:hint="eastAsia" w:ascii="宋体" w:hAnsi="宋体" w:cs="宋体"/>
          <w:color w:val="auto"/>
          <w:sz w:val="24"/>
          <w:highlight w:val="none"/>
          <w:lang w:eastAsia="zh-CN"/>
        </w:rPr>
        <w:t>，</w:t>
      </w:r>
      <w:r>
        <w:rPr>
          <w:rFonts w:hint="eastAsia" w:ascii="宋体" w:hAnsi="宋体" w:cs="宋体"/>
          <w:color w:val="auto"/>
          <w:sz w:val="24"/>
          <w:highlight w:val="none"/>
        </w:rPr>
        <w:t>止于K8+370桩号处，维修长度2.858公里，本段采用结构性修复养护。第三段维修期间为K8+370桩号处</w:t>
      </w:r>
      <w:r>
        <w:rPr>
          <w:rFonts w:hint="eastAsia" w:ascii="宋体" w:hAnsi="宋体" w:cs="宋体"/>
          <w:color w:val="auto"/>
          <w:sz w:val="24"/>
          <w:highlight w:val="none"/>
          <w:lang w:eastAsia="zh-CN"/>
        </w:rPr>
        <w:t>，</w:t>
      </w:r>
      <w:r>
        <w:rPr>
          <w:rFonts w:hint="eastAsia" w:ascii="宋体" w:hAnsi="宋体" w:cs="宋体"/>
          <w:color w:val="auto"/>
          <w:sz w:val="24"/>
          <w:highlight w:val="none"/>
        </w:rPr>
        <w:t>止于 K12+479桩号处，维修长度4.109公里，本段采用结构性修复养护。</w:t>
      </w:r>
    </w:p>
    <w:p>
      <w:pPr>
        <w:pageBreakBefore w:val="0"/>
        <w:widowControl w:val="0"/>
        <w:topLinePunct w:val="0"/>
        <w:bidi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徐太路（X422）起于滨海新区山深线，终点为太沙路，全长22.371km。现状徐太路为三级公路，全线横断面布置为：现状横断面布置均为1米（土路肩）+7米（路面）+1米（土路肩），路基全宽9米。本次维修范围为：本次徐太路维修路段，第一段起于K0+000，止于 K0+893，长0.9km，本段采用结构性修复养护。第二段起于K15+260，止于K18+989，长.729km,K17-K18，本段采用功能性修复养护。</w:t>
      </w:r>
    </w:p>
    <w:p>
      <w:pPr>
        <w:pageBreakBefore w:val="0"/>
        <w:widowControl w:val="0"/>
        <w:topLinePunct w:val="0"/>
        <w:bidi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津汉复线（X411）滨海新区段范围为宁河汉沽界-滨玉线，全长1.55km。现状津汉复线为二级公路，横断面布置为：1.5m（土路肩）+12m（路面）+1.5m（土路肩），路面宽12m，路基全宽15m。本次维修起点为宁河汉沽界（K3+060），止于K4+390（滨玉线），维修长度0.853公里（去除477m水泥混凝土路面）。本次工程采用功能性修复养护。</w:t>
      </w:r>
    </w:p>
    <w:p>
      <w:pPr>
        <w:pageBreakBefore w:val="0"/>
        <w:widowControl w:val="0"/>
        <w:topLinePunct w:val="0"/>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汉南支线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X415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全线范围为汉南线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汉沽丰南界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全长12.759km。现状汉南支线为三级公路，一般横断面布置为1m</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土</w:t>
      </w:r>
      <w:r>
        <w:rPr>
          <w:rFonts w:hint="eastAsia" w:ascii="宋体" w:hAnsi="宋体" w:eastAsia="宋体" w:cs="宋体"/>
          <w:color w:val="auto"/>
          <w:sz w:val="24"/>
          <w:highlight w:val="none"/>
          <w:lang w:val="en-US" w:eastAsia="zh-CN"/>
        </w:rPr>
        <w:t>路肩）</w:t>
      </w:r>
      <w:r>
        <w:rPr>
          <w:rFonts w:hint="default" w:ascii="宋体" w:hAnsi="宋体" w:eastAsia="宋体" w:cs="宋体"/>
          <w:color w:val="auto"/>
          <w:sz w:val="24"/>
          <w:highlight w:val="none"/>
          <w:lang w:val="en-US" w:eastAsia="zh-CN"/>
        </w:rPr>
        <w:t>+7m</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路面</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+1m</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土路肩</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路基宽9m。本次维修起点为汉南线（K0+000），维修止点（K1+000），维修长度1公里。本次工程</w:t>
      </w:r>
      <w:r>
        <w:rPr>
          <w:rFonts w:hint="default" w:ascii="宋体" w:hAnsi="宋体" w:eastAsia="宋体" w:cs="宋体"/>
          <w:color w:val="auto"/>
          <w:sz w:val="24"/>
          <w:highlight w:val="none"/>
        </w:rPr>
        <w:t>采用功能性修复养护。</w:t>
      </w:r>
    </w:p>
    <w:p>
      <w:pPr>
        <w:pageBreakBefore w:val="0"/>
        <w:widowControl w:val="0"/>
        <w:topLinePunct w:val="0"/>
        <w:bidi w:val="0"/>
        <w:snapToGrid/>
        <w:spacing w:line="360" w:lineRule="auto"/>
        <w:ind w:firstLine="480" w:firstLineChars="200"/>
        <w:jc w:val="left"/>
        <w:textAlignment w:val="auto"/>
        <w:rPr>
          <w:rFonts w:hint="eastAsia"/>
          <w:color w:val="auto"/>
          <w:highlight w:val="none"/>
        </w:rPr>
      </w:pPr>
      <w:r>
        <w:rPr>
          <w:rFonts w:hint="eastAsia" w:ascii="宋体" w:hAnsi="宋体" w:cs="宋体"/>
          <w:color w:val="auto"/>
          <w:sz w:val="24"/>
          <w:highlight w:val="none"/>
        </w:rPr>
        <w:t>（具体内容详见招标人所发工程量清单及图纸）</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2.3计划工期</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bookmarkStart w:id="2" w:name="_Toc234349310"/>
      <w:r>
        <w:rPr>
          <w:rFonts w:hint="eastAsia" w:ascii="宋体" w:hAnsi="宋体" w:cs="宋体"/>
          <w:color w:val="auto"/>
          <w:sz w:val="24"/>
          <w:highlight w:val="none"/>
        </w:rPr>
        <w:t>计划工期：</w:t>
      </w:r>
      <w:r>
        <w:rPr>
          <w:rFonts w:hint="eastAsia" w:ascii="宋体" w:hAnsi="宋体" w:cs="宋体"/>
          <w:color w:val="auto"/>
          <w:sz w:val="24"/>
          <w:highlight w:val="none"/>
          <w:lang w:val="en-US" w:eastAsia="zh-CN"/>
        </w:rPr>
        <w:t>123</w:t>
      </w:r>
      <w:r>
        <w:rPr>
          <w:rFonts w:hint="eastAsia" w:ascii="宋体" w:hAnsi="宋体" w:cs="宋体"/>
          <w:color w:val="auto"/>
          <w:sz w:val="24"/>
          <w:highlight w:val="none"/>
        </w:rPr>
        <w:t>日历天</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计划开工工期：</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计划交工日期：</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w:t>
      </w:r>
    </w:p>
    <w:p>
      <w:pPr>
        <w:pageBreakBefore w:val="0"/>
        <w:widowControl w:val="0"/>
        <w:topLinePunct w:val="0"/>
        <w:bidi w:val="0"/>
        <w:snapToGrid/>
        <w:spacing w:line="360" w:lineRule="auto"/>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3．投标人资格要求</w:t>
      </w:r>
      <w:bookmarkEnd w:id="2"/>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3.1本次招标要求</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投标人须具备独立法人资格，并具备</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省级交通运输主管部门颁发的原养护资质证书</w:t>
      </w:r>
      <w:r>
        <w:rPr>
          <w:rFonts w:hint="eastAsia" w:ascii="宋体" w:hAnsi="宋体" w:cs="宋体"/>
          <w:color w:val="auto"/>
          <w:sz w:val="24"/>
          <w:highlight w:val="none"/>
          <w:u w:val="single"/>
        </w:rPr>
        <w:t>，类别级别要求为</w:t>
      </w:r>
      <w:r>
        <w:rPr>
          <w:rFonts w:hint="eastAsia" w:ascii="宋体" w:hAnsi="宋体" w:cs="宋体"/>
          <w:color w:val="auto"/>
          <w:sz w:val="24"/>
          <w:highlight w:val="none"/>
          <w:u w:val="single"/>
          <w:lang w:eastAsia="zh-CN"/>
        </w:rPr>
        <w:t>公路养护工程二类（乙级）资质</w:t>
      </w:r>
      <w:r>
        <w:rPr>
          <w:rFonts w:hint="eastAsia" w:ascii="宋体" w:hAnsi="宋体" w:cs="宋体"/>
          <w:color w:val="auto"/>
          <w:sz w:val="24"/>
          <w:highlight w:val="none"/>
          <w:u w:val="single"/>
        </w:rPr>
        <w:t>（在有效期内）</w:t>
      </w:r>
      <w:r>
        <w:rPr>
          <w:rFonts w:hint="eastAsia" w:ascii="宋体" w:hAnsi="宋体" w:cs="宋体"/>
          <w:color w:val="auto"/>
          <w:sz w:val="24"/>
          <w:highlight w:val="none"/>
          <w:u w:val="single"/>
          <w:lang w:val="en-US" w:eastAsia="zh-CN"/>
        </w:rPr>
        <w:t>或</w:t>
      </w:r>
      <w:r>
        <w:rPr>
          <w:rFonts w:hint="eastAsia" w:ascii="宋体" w:hAnsi="宋体" w:cs="宋体"/>
          <w:color w:val="auto"/>
          <w:sz w:val="24"/>
          <w:highlight w:val="none"/>
          <w:u w:val="single"/>
        </w:rPr>
        <w:t>各省、自治区、直辖市人民政府交通运输主管部门颁发的新养护资质证书，序列等级要求为</w:t>
      </w:r>
      <w:r>
        <w:rPr>
          <w:rFonts w:hint="eastAsia" w:ascii="宋体" w:hAnsi="宋体" w:cs="宋体"/>
          <w:color w:val="auto"/>
          <w:sz w:val="24"/>
          <w:highlight w:val="none"/>
          <w:u w:val="single"/>
          <w:lang w:eastAsia="zh-CN"/>
        </w:rPr>
        <w:t>路基路面养护乙级</w:t>
      </w:r>
      <w:r>
        <w:rPr>
          <w:rFonts w:hint="eastAsia" w:ascii="宋体" w:hAnsi="宋体" w:cs="宋体"/>
          <w:color w:val="auto"/>
          <w:sz w:val="24"/>
          <w:highlight w:val="none"/>
          <w:u w:val="single"/>
          <w:lang w:val="en-US" w:eastAsia="zh-CN"/>
        </w:rPr>
        <w:t>及以上资质</w:t>
      </w:r>
      <w:r>
        <w:rPr>
          <w:rFonts w:hint="eastAsia" w:ascii="宋体" w:hAnsi="宋体" w:cs="宋体"/>
          <w:color w:val="auto"/>
          <w:sz w:val="24"/>
          <w:highlight w:val="none"/>
          <w:u w:val="single"/>
        </w:rPr>
        <w:t>、交通安全设施养护资质（在有效期内）</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近5年（工程交工验收时间为</w:t>
      </w:r>
      <w:r>
        <w:rPr>
          <w:rFonts w:hint="eastAsia" w:ascii="宋体" w:hAnsi="宋体" w:cs="宋体"/>
          <w:color w:val="auto"/>
          <w:sz w:val="24"/>
          <w:highlight w:val="none"/>
          <w:u w:val="single"/>
          <w:lang w:val="en-US" w:eastAsia="zh-CN"/>
        </w:rPr>
        <w:t>2019</w:t>
      </w:r>
      <w:r>
        <w:rPr>
          <w:rFonts w:hint="eastAsia" w:ascii="宋体" w:hAnsi="宋体" w:cs="宋体"/>
          <w:color w:val="auto"/>
          <w:sz w:val="24"/>
          <w:highlight w:val="none"/>
          <w:u w:val="single"/>
          <w:lang w:eastAsia="zh-CN"/>
        </w:rPr>
        <w:t>年6月1日至投标截止之日</w:t>
      </w:r>
      <w:r>
        <w:rPr>
          <w:rFonts w:hint="eastAsia" w:ascii="宋体" w:hAnsi="宋体" w:cs="宋体"/>
          <w:color w:val="auto"/>
          <w:sz w:val="24"/>
          <w:highlight w:val="none"/>
          <w:u w:val="single"/>
        </w:rPr>
        <w:t>）至少独立完成</w:t>
      </w:r>
      <w:r>
        <w:rPr>
          <w:rFonts w:hint="eastAsia" w:ascii="宋体" w:hAnsi="宋体" w:cs="宋体"/>
          <w:color w:val="auto"/>
          <w:sz w:val="24"/>
          <w:highlight w:val="none"/>
          <w:u w:val="single"/>
          <w:lang w:eastAsia="zh-CN"/>
        </w:rPr>
        <w:t>一项</w:t>
      </w:r>
      <w:r>
        <w:rPr>
          <w:rFonts w:hint="eastAsia" w:ascii="宋体" w:hAnsi="宋体" w:cs="宋体"/>
          <w:color w:val="auto"/>
          <w:sz w:val="24"/>
          <w:highlight w:val="none"/>
          <w:u w:val="single"/>
          <w:lang w:val="en-US" w:eastAsia="zh-CN"/>
        </w:rPr>
        <w:t>二</w:t>
      </w:r>
      <w:r>
        <w:rPr>
          <w:rFonts w:hint="eastAsia" w:ascii="宋体" w:hAnsi="宋体" w:cs="宋体"/>
          <w:color w:val="auto"/>
          <w:sz w:val="24"/>
          <w:highlight w:val="none"/>
          <w:u w:val="single"/>
          <w:lang w:eastAsia="zh-CN"/>
        </w:rPr>
        <w:t>级及以上公路养护工程施工业绩</w:t>
      </w:r>
      <w:r>
        <w:rPr>
          <w:rFonts w:hint="eastAsia" w:ascii="宋体" w:hAnsi="宋体" w:cs="宋体"/>
          <w:color w:val="auto"/>
          <w:sz w:val="24"/>
          <w:highlight w:val="none"/>
          <w:u w:val="single"/>
        </w:rPr>
        <w:t>，工程质量合格，</w:t>
      </w:r>
      <w:r>
        <w:rPr>
          <w:rFonts w:hint="eastAsia" w:ascii="宋体" w:hAnsi="宋体" w:cs="宋体"/>
          <w:color w:val="auto"/>
          <w:sz w:val="24"/>
          <w:highlight w:val="none"/>
        </w:rPr>
        <w:t>并在人员、设备、资金等方面具备相应的施工能力。</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3.2本次招标</w:t>
      </w:r>
      <w:r>
        <w:rPr>
          <w:rFonts w:hint="eastAsia" w:ascii="宋体" w:hAnsi="宋体" w:cs="宋体"/>
          <w:color w:val="auto"/>
          <w:sz w:val="24"/>
          <w:highlight w:val="none"/>
          <w:u w:val="single"/>
        </w:rPr>
        <w:t>不接受</w:t>
      </w:r>
      <w:r>
        <w:rPr>
          <w:rFonts w:hint="eastAsia" w:ascii="宋体" w:hAnsi="宋体" w:cs="宋体"/>
          <w:color w:val="auto"/>
          <w:sz w:val="24"/>
          <w:highlight w:val="none"/>
        </w:rPr>
        <w:t>联合体投标。</w:t>
      </w:r>
    </w:p>
    <w:p>
      <w:pPr>
        <w:pageBreakBefore w:val="0"/>
        <w:widowControl w:val="0"/>
        <w:kinsoku w:val="0"/>
        <w:overflowPunct w:val="0"/>
        <w:topLinePunct w:val="0"/>
        <w:autoSpaceDE w:val="0"/>
        <w:autoSpaceDN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3.3每</w:t>
      </w:r>
      <w:r>
        <w:rPr>
          <w:rFonts w:hint="eastAsia" w:ascii="宋体" w:hAnsi="宋体" w:cs="宋体"/>
          <w:color w:val="auto"/>
          <w:sz w:val="24"/>
          <w:highlight w:val="none"/>
        </w:rPr>
        <w:t>个投标人最多可对1个标段投标。每个投标人允许中1个标。对投标人信用等级的认定条件为：国家企业信用信息公示系统（http://www.gsxt.gov.cn/）中无经营异常情况。</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3.4与招标人存在利害关系可能影响招标公正性的单位，不得参加投标。单位负责人为同一人或存在控股、管理关系的不同单位，不得参加同一标段投标，否则，相关投标均无效。</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3.5在“信用中国”网站（</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HYPERLINK "http://www"</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w:t>
      </w:r>
      <w:r>
        <w:rPr>
          <w:rFonts w:hint="eastAsia" w:ascii="宋体" w:hAnsi="宋体" w:cs="宋体"/>
          <w:color w:val="auto"/>
          <w:sz w:val="24"/>
          <w:highlight w:val="none"/>
        </w:rPr>
        <w:fldChar w:fldCharType="end"/>
      </w:r>
      <w:r>
        <w:rPr>
          <w:rFonts w:hint="eastAsia" w:ascii="宋体" w:hAnsi="宋体" w:cs="宋体"/>
          <w:color w:val="auto"/>
          <w:sz w:val="24"/>
          <w:highlight w:val="none"/>
        </w:rPr>
        <w:t>.creditchina.gov.cn/）中被列入失信被执行人名单或在中国执行信息公开网（</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HYPERLINK "http://zxgk"</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http://zxgk</w:t>
      </w:r>
      <w:r>
        <w:rPr>
          <w:rFonts w:hint="eastAsia" w:ascii="宋体" w:hAnsi="宋体" w:cs="宋体"/>
          <w:color w:val="auto"/>
          <w:sz w:val="24"/>
          <w:highlight w:val="none"/>
        </w:rPr>
        <w:fldChar w:fldCharType="end"/>
      </w:r>
      <w:r>
        <w:rPr>
          <w:rFonts w:hint="eastAsia" w:ascii="宋体" w:hAnsi="宋体" w:cs="宋体"/>
          <w:color w:val="auto"/>
          <w:sz w:val="24"/>
          <w:highlight w:val="none"/>
        </w:rPr>
        <w:t>.court.gov.cn/shixin/）被列入失信被执行人的投标人，不得参加投标。</w:t>
      </w:r>
    </w:p>
    <w:p>
      <w:pPr>
        <w:pageBreakBefore w:val="0"/>
        <w:widowControl w:val="0"/>
        <w:topLinePunct w:val="0"/>
        <w:bidi w:val="0"/>
        <w:snapToGrid/>
        <w:spacing w:line="360" w:lineRule="auto"/>
        <w:jc w:val="left"/>
        <w:textAlignment w:val="auto"/>
        <w:rPr>
          <w:rFonts w:hint="eastAsia" w:ascii="宋体" w:hAnsi="宋体" w:cs="宋体"/>
          <w:b/>
          <w:color w:val="auto"/>
          <w:sz w:val="24"/>
          <w:highlight w:val="none"/>
        </w:rPr>
      </w:pPr>
      <w:bookmarkStart w:id="3" w:name="_Toc234348737"/>
      <w:bookmarkStart w:id="4" w:name="_Toc234349311"/>
      <w:r>
        <w:rPr>
          <w:rFonts w:hint="eastAsia" w:ascii="宋体" w:hAnsi="宋体" w:cs="宋体"/>
          <w:b/>
          <w:color w:val="auto"/>
          <w:sz w:val="24"/>
          <w:highlight w:val="none"/>
        </w:rPr>
        <w:t>4．招标文件的获取</w:t>
      </w:r>
      <w:bookmarkEnd w:id="3"/>
      <w:bookmarkEnd w:id="4"/>
    </w:p>
    <w:p>
      <w:pPr>
        <w:pageBreakBefore w:val="0"/>
        <w:widowControl w:val="0"/>
        <w:wordWrap w:val="0"/>
        <w:topLinePunct w:val="0"/>
        <w:bidi w:val="0"/>
        <w:snapToGrid/>
        <w:spacing w:line="360" w:lineRule="auto"/>
        <w:ind w:firstLine="480" w:firstLineChars="200"/>
        <w:jc w:val="left"/>
        <w:textAlignment w:val="auto"/>
        <w:rPr>
          <w:rFonts w:hint="eastAsia" w:ascii="宋体" w:hAnsi="宋体" w:cs="宋体"/>
          <w:color w:val="auto"/>
          <w:sz w:val="24"/>
          <w:highlight w:val="none"/>
        </w:rPr>
      </w:pPr>
      <w:bookmarkStart w:id="5" w:name="_Toc234348738"/>
      <w:bookmarkStart w:id="6" w:name="_Toc234349312"/>
      <w:r>
        <w:rPr>
          <w:rFonts w:hint="eastAsia" w:ascii="宋体" w:hAnsi="宋体" w:cs="宋体"/>
          <w:color w:val="auto"/>
          <w:sz w:val="24"/>
          <w:highlight w:val="none"/>
        </w:rPr>
        <w:t>4.1凡有意参加投标者，请于</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日至</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日（节假日除外），每日上午9时00分至11时30分，下午13时30分至16时00分（北京时间，下同），将法人营业执照副本、</w:t>
      </w:r>
      <w:bookmarkStart w:id="7" w:name="_Hlk95480822"/>
      <w:r>
        <w:rPr>
          <w:rFonts w:hint="eastAsia" w:ascii="宋体" w:hAnsi="宋体" w:cs="宋体"/>
          <w:color w:val="auto"/>
          <w:sz w:val="24"/>
          <w:highlight w:val="none"/>
        </w:rPr>
        <w:t>资质证书副本</w:t>
      </w:r>
      <w:bookmarkEnd w:id="7"/>
      <w:r>
        <w:rPr>
          <w:rFonts w:hint="eastAsia" w:ascii="宋体" w:hAnsi="宋体" w:cs="宋体"/>
          <w:color w:val="auto"/>
          <w:sz w:val="24"/>
          <w:highlight w:val="none"/>
        </w:rPr>
        <w:t>、基本账户开户许可证（或基本存款账户信息）、单位介绍信、经办人身份证等上述全部资料</w:t>
      </w:r>
      <w:bookmarkStart w:id="8" w:name="_Hlk95479285"/>
      <w:r>
        <w:rPr>
          <w:rFonts w:hint="eastAsia" w:ascii="宋体" w:hAnsi="宋体" w:cs="宋体"/>
          <w:color w:val="auto"/>
          <w:sz w:val="24"/>
          <w:highlight w:val="none"/>
        </w:rPr>
        <w:t>加盖公章后扫描成PDF格式文件</w:t>
      </w:r>
      <w:bookmarkEnd w:id="8"/>
      <w:r>
        <w:rPr>
          <w:rFonts w:hint="eastAsia" w:ascii="宋体" w:hAnsi="宋体" w:cs="宋体"/>
          <w:color w:val="auto"/>
          <w:sz w:val="24"/>
          <w:highlight w:val="none"/>
        </w:rPr>
        <w:t>发送至</w:t>
      </w:r>
      <w:r>
        <w:rPr>
          <w:rFonts w:hint="eastAsia" w:ascii="宋体" w:hAnsi="宋体" w:cs="宋体"/>
          <w:color w:val="auto"/>
          <w:sz w:val="24"/>
          <w:highlight w:val="none"/>
          <w:lang w:eastAsia="zh-CN"/>
        </w:rPr>
        <w:t>tjbh2016@126.com</w:t>
      </w:r>
      <w:r>
        <w:rPr>
          <w:rFonts w:hint="eastAsia" w:ascii="宋体" w:hAnsi="宋体" w:cs="宋体"/>
          <w:color w:val="auto"/>
          <w:sz w:val="24"/>
          <w:highlight w:val="none"/>
        </w:rPr>
        <w:t>邮箱</w:t>
      </w:r>
      <w:r>
        <w:rPr>
          <w:rFonts w:hint="eastAsia" w:ascii="宋体" w:hAnsi="宋体" w:cs="宋体"/>
          <w:color w:val="auto"/>
          <w:sz w:val="24"/>
          <w:highlight w:val="none"/>
          <w:lang w:eastAsia="zh-CN"/>
        </w:rPr>
        <w:t>，</w:t>
      </w:r>
      <w:r>
        <w:rPr>
          <w:rFonts w:hint="eastAsia" w:ascii="宋体" w:hAnsi="宋体" w:cs="宋体"/>
          <w:color w:val="auto"/>
          <w:sz w:val="24"/>
          <w:highlight w:val="none"/>
        </w:rPr>
        <w:t>并注明：1、项目名称；2、投标单位名称；3、联系人；4、联系方式；5、投标单位联系邮箱；6、增值税开票种类及具体开票信息；7、招标文件邮寄地址。（1）招标文件及图纸将按邮箱预留地址发送快递（顺丰到付）。（2）投标人可以持上述全部资料和经办人身份证原件到</w:t>
      </w:r>
      <w:r>
        <w:rPr>
          <w:rFonts w:hint="eastAsia" w:ascii="宋体" w:hAnsi="宋体" w:cs="宋体"/>
          <w:color w:val="auto"/>
          <w:sz w:val="24"/>
          <w:highlight w:val="none"/>
          <w:lang w:val="en-US" w:eastAsia="zh-CN"/>
        </w:rPr>
        <w:t>天津津建工程咨询有限公司</w:t>
      </w:r>
      <w:r>
        <w:rPr>
          <w:rFonts w:hint="eastAsia" w:ascii="宋体" w:hAnsi="宋体" w:cs="宋体"/>
          <w:color w:val="auto"/>
          <w:sz w:val="24"/>
          <w:highlight w:val="none"/>
        </w:rPr>
        <w:t>（天津市</w:t>
      </w:r>
      <w:r>
        <w:rPr>
          <w:rFonts w:hint="eastAsia" w:ascii="宋体" w:hAnsi="宋体" w:cs="宋体"/>
          <w:color w:val="auto"/>
          <w:sz w:val="24"/>
          <w:highlight w:val="none"/>
          <w:lang w:val="en-US" w:eastAsia="zh-CN"/>
        </w:rPr>
        <w:t>河北区狮子林大街200号六</w:t>
      </w:r>
      <w:r>
        <w:rPr>
          <w:rFonts w:hint="eastAsia" w:ascii="宋体" w:hAnsi="宋体" w:cs="宋体"/>
          <w:color w:val="auto"/>
          <w:sz w:val="24"/>
          <w:highlight w:val="none"/>
        </w:rPr>
        <w:t>层）购买本项目招标文件及图纸。</w:t>
      </w:r>
    </w:p>
    <w:p>
      <w:pPr>
        <w:pageBreakBefore w:val="0"/>
        <w:widowControl w:val="0"/>
        <w:topLinePunct w:val="0"/>
        <w:bidi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4.2招标文件每套售价800元，图纸每套售价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000元</w:t>
      </w:r>
      <w:r>
        <w:rPr>
          <w:rFonts w:hint="eastAsia" w:ascii="宋体" w:hAnsi="宋体" w:cs="宋体"/>
          <w:color w:val="auto"/>
          <w:kern w:val="0"/>
          <w:sz w:val="24"/>
          <w:highlight w:val="none"/>
        </w:rPr>
        <w:t>，售后不退</w:t>
      </w:r>
      <w:r>
        <w:rPr>
          <w:rFonts w:hint="eastAsia" w:ascii="宋体" w:hAnsi="宋体" w:cs="宋体"/>
          <w:color w:val="auto"/>
          <w:sz w:val="24"/>
          <w:highlight w:val="none"/>
          <w:lang w:eastAsia="zh-CN"/>
        </w:rPr>
        <w:t>。</w:t>
      </w:r>
    </w:p>
    <w:p>
      <w:pPr>
        <w:pageBreakBefore w:val="0"/>
        <w:widowControl w:val="0"/>
        <w:topLinePunct w:val="0"/>
        <w:bidi w:val="0"/>
        <w:snapToGrid/>
        <w:spacing w:line="360" w:lineRule="auto"/>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5．投标文件的递交及相关事宜</w:t>
      </w:r>
      <w:bookmarkEnd w:id="5"/>
      <w:bookmarkEnd w:id="6"/>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5.1招标人不组织工程现场踏勘及投标预备会。</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bookmarkStart w:id="9" w:name="_Toc234349313"/>
      <w:bookmarkStart w:id="10" w:name="_Toc234348739"/>
      <w:r>
        <w:rPr>
          <w:rFonts w:hint="eastAsia" w:ascii="宋体" w:hAnsi="宋体" w:cs="宋体"/>
          <w:color w:val="auto"/>
          <w:sz w:val="24"/>
          <w:highlight w:val="none"/>
        </w:rPr>
        <w:t>5.2投标文件递交的截止时间（投标截止时间，下同）</w:t>
      </w:r>
      <w:r>
        <w:rPr>
          <w:rFonts w:hint="eastAsia" w:ascii="宋体" w:hAnsi="宋体" w:cs="宋体"/>
          <w:color w:val="auto"/>
          <w:sz w:val="24"/>
          <w:highlight w:val="none"/>
          <w:lang w:val="en-US" w:eastAsia="zh-CN"/>
        </w:rPr>
        <w:t>为</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lang w:eastAsia="zh-CN"/>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lang w:eastAsia="zh-CN"/>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u w:val="single"/>
        </w:rPr>
        <w:t>9</w:t>
      </w:r>
      <w:r>
        <w:rPr>
          <w:rFonts w:hint="eastAsia" w:ascii="宋体" w:hAnsi="宋体" w:cs="宋体"/>
          <w:color w:val="auto"/>
          <w:sz w:val="24"/>
          <w:highlight w:val="none"/>
        </w:rPr>
        <w:t>时</w:t>
      </w:r>
      <w:r>
        <w:rPr>
          <w:rFonts w:hint="eastAsia" w:ascii="宋体" w:hAnsi="宋体" w:cs="宋体"/>
          <w:color w:val="auto"/>
          <w:sz w:val="24"/>
          <w:highlight w:val="none"/>
          <w:u w:val="single"/>
        </w:rPr>
        <w:t>30</w:t>
      </w:r>
      <w:r>
        <w:rPr>
          <w:rFonts w:hint="eastAsia" w:ascii="宋体" w:hAnsi="宋体" w:cs="宋体"/>
          <w:color w:val="auto"/>
          <w:sz w:val="24"/>
          <w:highlight w:val="none"/>
        </w:rPr>
        <w:t>分，投标人应于当日</w:t>
      </w:r>
      <w:r>
        <w:rPr>
          <w:rFonts w:hint="eastAsia" w:ascii="宋体" w:hAnsi="宋体" w:cs="宋体"/>
          <w:color w:val="auto"/>
          <w:sz w:val="24"/>
          <w:highlight w:val="none"/>
          <w:u w:val="single"/>
        </w:rPr>
        <w:t xml:space="preserve"> 9</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00 </w:t>
      </w:r>
      <w:r>
        <w:rPr>
          <w:rFonts w:hint="eastAsia" w:ascii="宋体" w:hAnsi="宋体" w:cs="宋体"/>
          <w:color w:val="auto"/>
          <w:sz w:val="24"/>
          <w:highlight w:val="none"/>
        </w:rPr>
        <w:t>分至</w:t>
      </w:r>
      <w:r>
        <w:rPr>
          <w:rFonts w:hint="eastAsia" w:ascii="宋体" w:hAnsi="宋体" w:cs="宋体"/>
          <w:color w:val="auto"/>
          <w:sz w:val="24"/>
          <w:highlight w:val="none"/>
          <w:u w:val="single"/>
        </w:rPr>
        <w:t xml:space="preserve"> 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分将投标文件递交至</w:t>
      </w:r>
      <w:r>
        <w:rPr>
          <w:rFonts w:hint="eastAsia" w:ascii="宋体" w:hAnsi="宋体"/>
          <w:color w:val="auto"/>
          <w:sz w:val="24"/>
          <w:highlight w:val="none"/>
          <w:u w:val="single"/>
        </w:rPr>
        <w:t>天津市政务服务中心第</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开标室（天津市河东区红星路79号，红星路与卫国道交口顺驰立交桥旁）</w:t>
      </w:r>
      <w:r>
        <w:rPr>
          <w:rFonts w:hint="eastAsia" w:ascii="宋体" w:hAnsi="宋体" w:cs="宋体"/>
          <w:color w:val="auto"/>
          <w:sz w:val="24"/>
          <w:highlight w:val="none"/>
        </w:rPr>
        <w:t>。</w:t>
      </w:r>
    </w:p>
    <w:p>
      <w:pPr>
        <w:pageBreakBefore w:val="0"/>
        <w:widowControl w:val="0"/>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5.3逾期送达的、未送达指定地点的或不按照招标文件要求密封的投标文件，招标人将予以拒收。</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cs="宋体"/>
          <w:b/>
          <w:color w:val="auto"/>
          <w:sz w:val="24"/>
          <w:highlight w:val="none"/>
        </w:rPr>
      </w:pPr>
      <w:r>
        <w:rPr>
          <w:rFonts w:hint="eastAsia" w:ascii="宋体" w:hAnsi="宋体" w:cs="宋体"/>
          <w:b/>
          <w:color w:val="auto"/>
          <w:sz w:val="24"/>
          <w:highlight w:val="none"/>
        </w:rPr>
        <w:t>6．发布公告的媒介</w:t>
      </w:r>
      <w:bookmarkEnd w:id="9"/>
      <w:bookmarkEnd w:id="10"/>
    </w:p>
    <w:p>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本次招标公告在</w:t>
      </w:r>
      <w:r>
        <w:rPr>
          <w:rFonts w:hint="eastAsia" w:ascii="宋体" w:hAnsi="宋体" w:cs="宋体"/>
          <w:color w:val="auto"/>
          <w:sz w:val="24"/>
          <w:highlight w:val="none"/>
          <w:u w:val="single"/>
        </w:rPr>
        <w:t>《天津市滨海新区交通运输局》（http://jtysj.tjbh.gov.cn/</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和《天津市公共资源交易平台》（http://60.28.163.169/）</w:t>
      </w:r>
      <w:r>
        <w:rPr>
          <w:rFonts w:hint="eastAsia" w:ascii="宋体" w:hAnsi="宋体" w:cs="宋体"/>
          <w:color w:val="auto"/>
          <w:sz w:val="24"/>
          <w:highlight w:val="none"/>
        </w:rPr>
        <w:t>上发布。</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highlight w:val="none"/>
        </w:rPr>
      </w:pPr>
      <w:r>
        <w:rPr>
          <w:rFonts w:hint="eastAsia"/>
          <w:color w:val="auto"/>
          <w:highlight w:val="none"/>
        </w:rPr>
        <w:t>提示：按照《天津市人民政府办公厅关于印发天津市整合建立统一的公共资源交易平台体系实施方案的通知》中统一注册市场主体信息的要求，初次参加投标的投标人需在天津市公共资源交易平台进行注册。</w:t>
      </w:r>
      <w:r>
        <w:rPr>
          <w:rFonts w:hint="eastAsia"/>
          <w:b/>
          <w:bCs/>
          <w:color w:val="auto"/>
          <w:highlight w:val="none"/>
        </w:rPr>
        <w:t>所有投标人须在文件获取截止时间前在《天津市公共资源交易平台》进行投标确认，未进行投标确认的投标人一切后果自行承担。</w:t>
      </w:r>
    </w:p>
    <w:p>
      <w:pPr>
        <w:pageBreakBefore w:val="0"/>
        <w:widowControl w:val="0"/>
        <w:numPr>
          <w:ilvl w:val="0"/>
          <w:numId w:val="1"/>
        </w:numPr>
        <w:topLinePunct w:val="0"/>
        <w:bidi w:val="0"/>
        <w:snapToGrid/>
        <w:spacing w:line="360" w:lineRule="auto"/>
        <w:textAlignment w:val="auto"/>
        <w:rPr>
          <w:rFonts w:hint="eastAsia" w:ascii="宋体" w:hAnsi="宋体" w:cs="宋体"/>
          <w:b/>
          <w:color w:val="auto"/>
          <w:sz w:val="24"/>
          <w:highlight w:val="none"/>
        </w:rPr>
      </w:pPr>
      <w:r>
        <w:rPr>
          <w:rFonts w:hint="eastAsia" w:ascii="宋体" w:hAnsi="宋体" w:cs="宋体"/>
          <w:b/>
          <w:color w:val="auto"/>
          <w:sz w:val="24"/>
          <w:highlight w:val="none"/>
        </w:rPr>
        <w:t>招标文件关键内容</w:t>
      </w:r>
    </w:p>
    <w:p>
      <w:pPr>
        <w:pStyle w:val="6"/>
        <w:pageBreakBefore w:val="0"/>
        <w:widowControl w:val="0"/>
        <w:topLinePunct w:val="0"/>
        <w:bidi w:val="0"/>
        <w:adjustRightInd/>
        <w:snapToGrid/>
        <w:spacing w:line="360" w:lineRule="auto"/>
        <w:ind w:firstLine="480" w:firstLineChars="200"/>
        <w:textAlignment w:val="auto"/>
        <w:rPr>
          <w:rFonts w:hint="eastAsia" w:ascii="宋体" w:hAnsi="宋体" w:cs="宋体"/>
          <w:color w:val="auto"/>
          <w:highlight w:val="none"/>
        </w:rPr>
      </w:pPr>
      <w:r>
        <w:rPr>
          <w:rFonts w:hint="eastAsia" w:ascii="宋体" w:hAnsi="宋体" w:cs="宋体"/>
          <w:color w:val="auto"/>
          <w:kern w:val="2"/>
          <w:highlight w:val="none"/>
        </w:rPr>
        <w:t>另见附件，最终以发售纸质招标文件为准。</w:t>
      </w:r>
    </w:p>
    <w:p>
      <w:pPr>
        <w:spacing w:line="380" w:lineRule="exact"/>
        <w:jc w:val="left"/>
        <w:rPr>
          <w:rFonts w:hint="eastAsia" w:ascii="宋体" w:hAnsi="宋体" w:cs="宋体"/>
          <w:b/>
          <w:color w:val="auto"/>
          <w:sz w:val="24"/>
          <w:highlight w:val="none"/>
        </w:rPr>
      </w:pPr>
      <w:r>
        <w:rPr>
          <w:rFonts w:hint="eastAsia" w:ascii="宋体" w:hAnsi="宋体" w:cs="宋体"/>
          <w:b/>
          <w:color w:val="auto"/>
          <w:sz w:val="24"/>
          <w:highlight w:val="none"/>
        </w:rPr>
        <w:t>8．联系方式</w:t>
      </w:r>
    </w:p>
    <w:tbl>
      <w:tblPr>
        <w:tblStyle w:val="4"/>
        <w:tblW w:w="9908" w:type="dxa"/>
        <w:tblInd w:w="0" w:type="dxa"/>
        <w:tblLayout w:type="fixed"/>
        <w:tblCellMar>
          <w:top w:w="0" w:type="dxa"/>
          <w:left w:w="108" w:type="dxa"/>
          <w:bottom w:w="0" w:type="dxa"/>
          <w:right w:w="108" w:type="dxa"/>
        </w:tblCellMar>
      </w:tblPr>
      <w:tblGrid>
        <w:gridCol w:w="1242"/>
        <w:gridCol w:w="3319"/>
        <w:gridCol w:w="1393"/>
        <w:gridCol w:w="3954"/>
      </w:tblGrid>
      <w:tr>
        <w:tblPrEx>
          <w:tblCellMar>
            <w:top w:w="0" w:type="dxa"/>
            <w:left w:w="108" w:type="dxa"/>
            <w:bottom w:w="0" w:type="dxa"/>
            <w:right w:w="108" w:type="dxa"/>
          </w:tblCellMar>
        </w:tblPrEx>
        <w:trPr>
          <w:trHeight w:val="420" w:hRule="atLeast"/>
        </w:trPr>
        <w:tc>
          <w:tcPr>
            <w:tcW w:w="1242" w:type="dxa"/>
            <w:noWrap w:val="0"/>
            <w:vAlign w:val="center"/>
          </w:tcPr>
          <w:p>
            <w:pPr>
              <w:rPr>
                <w:rFonts w:hint="eastAsia" w:ascii="宋体" w:hAnsi="宋体" w:cs="宋体"/>
                <w:color w:val="auto"/>
                <w:sz w:val="18"/>
                <w:szCs w:val="18"/>
                <w:highlight w:val="none"/>
              </w:rPr>
            </w:pPr>
            <w:bookmarkStart w:id="11" w:name="_Toc234349314"/>
            <w:bookmarkStart w:id="12" w:name="_Toc234348740"/>
            <w:r>
              <w:rPr>
                <w:rFonts w:hint="eastAsia" w:ascii="宋体" w:hAnsi="宋体" w:cs="宋体"/>
                <w:color w:val="auto"/>
                <w:sz w:val="18"/>
                <w:szCs w:val="18"/>
                <w:highlight w:val="none"/>
              </w:rPr>
              <w:t>招标人：</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天津市滨海新区交通运输服务中心</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招标代理机构：</w:t>
            </w:r>
          </w:p>
        </w:tc>
        <w:tc>
          <w:tcPr>
            <w:tcW w:w="3954" w:type="dxa"/>
            <w:noWrap w:val="0"/>
            <w:vAlign w:val="center"/>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天津津建工程咨询有限公司</w:t>
            </w:r>
          </w:p>
        </w:tc>
      </w:tr>
      <w:tr>
        <w:tblPrEx>
          <w:tblCellMar>
            <w:top w:w="0" w:type="dxa"/>
            <w:left w:w="108" w:type="dxa"/>
            <w:bottom w:w="0" w:type="dxa"/>
            <w:right w:w="108" w:type="dxa"/>
          </w:tblCellMar>
        </w:tblPrEx>
        <w:trPr>
          <w:trHeight w:val="420"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地  址：</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天津市滨海新区津塘公路5688号</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地  址：</w:t>
            </w:r>
          </w:p>
        </w:tc>
        <w:tc>
          <w:tcPr>
            <w:tcW w:w="3954" w:type="dxa"/>
            <w:noWrap w:val="0"/>
            <w:vAlign w:val="center"/>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天津市河北区狮子林大街200号泰鸿大厦六层</w:t>
            </w:r>
          </w:p>
        </w:tc>
      </w:tr>
      <w:tr>
        <w:tblPrEx>
          <w:tblCellMar>
            <w:top w:w="0" w:type="dxa"/>
            <w:left w:w="108" w:type="dxa"/>
            <w:bottom w:w="0" w:type="dxa"/>
            <w:right w:w="108" w:type="dxa"/>
          </w:tblCellMar>
        </w:tblPrEx>
        <w:trPr>
          <w:trHeight w:val="90"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邮  编：</w:t>
            </w:r>
          </w:p>
        </w:tc>
        <w:tc>
          <w:tcPr>
            <w:tcW w:w="3319" w:type="dxa"/>
            <w:noWrap w:val="0"/>
            <w:vAlign w:val="center"/>
          </w:tcPr>
          <w:p>
            <w:pPr>
              <w:rPr>
                <w:rFonts w:hint="eastAsia" w:ascii="宋体" w:hAnsi="宋体" w:eastAsia="宋体" w:cs="宋体"/>
                <w:color w:val="auto"/>
                <w:sz w:val="18"/>
                <w:szCs w:val="18"/>
                <w:highlight w:val="none"/>
                <w:u w:val="single"/>
                <w:lang w:eastAsia="zh-CN"/>
              </w:rPr>
            </w:pPr>
            <w:r>
              <w:rPr>
                <w:rFonts w:hint="eastAsia" w:ascii="宋体" w:hAnsi="宋体" w:eastAsia="宋体" w:cs="宋体"/>
                <w:color w:val="auto"/>
                <w:sz w:val="18"/>
                <w:szCs w:val="18"/>
                <w:highlight w:val="none"/>
                <w:u w:val="none"/>
                <w:lang w:eastAsia="zh-CN"/>
              </w:rPr>
              <w:t>300454</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邮  编：</w:t>
            </w:r>
          </w:p>
        </w:tc>
        <w:tc>
          <w:tcPr>
            <w:tcW w:w="3954" w:type="dxa"/>
            <w:noWrap w:val="0"/>
            <w:vAlign w:val="center"/>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300010</w:t>
            </w:r>
          </w:p>
        </w:tc>
      </w:tr>
      <w:tr>
        <w:tblPrEx>
          <w:tblCellMar>
            <w:top w:w="0" w:type="dxa"/>
            <w:left w:w="108" w:type="dxa"/>
            <w:bottom w:w="0" w:type="dxa"/>
            <w:right w:w="108" w:type="dxa"/>
          </w:tblCellMar>
        </w:tblPrEx>
        <w:trPr>
          <w:trHeight w:val="375"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联系人：</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lang w:val="en-US" w:eastAsia="zh-CN"/>
              </w:rPr>
              <w:t>白</w:t>
            </w:r>
            <w:r>
              <w:rPr>
                <w:rFonts w:hint="eastAsia" w:ascii="宋体" w:hAnsi="宋体" w:cs="宋体"/>
                <w:color w:val="auto"/>
                <w:sz w:val="18"/>
                <w:szCs w:val="18"/>
                <w:highlight w:val="none"/>
              </w:rPr>
              <w:t>工</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联系人：</w:t>
            </w:r>
          </w:p>
        </w:tc>
        <w:tc>
          <w:tcPr>
            <w:tcW w:w="3954"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王工</w:t>
            </w:r>
            <w:r>
              <w:rPr>
                <w:rFonts w:hint="eastAsia" w:ascii="宋体" w:hAnsi="宋体" w:cs="宋体"/>
                <w:color w:val="auto"/>
                <w:sz w:val="18"/>
                <w:szCs w:val="18"/>
                <w:highlight w:val="none"/>
              </w:rPr>
              <w:t xml:space="preserve"> </w:t>
            </w:r>
          </w:p>
        </w:tc>
      </w:tr>
      <w:tr>
        <w:tblPrEx>
          <w:tblCellMar>
            <w:top w:w="0" w:type="dxa"/>
            <w:left w:w="108" w:type="dxa"/>
            <w:bottom w:w="0" w:type="dxa"/>
            <w:right w:w="108" w:type="dxa"/>
          </w:tblCellMar>
        </w:tblPrEx>
        <w:trPr>
          <w:trHeight w:val="420"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电  话：</w:t>
            </w:r>
          </w:p>
        </w:tc>
        <w:tc>
          <w:tcPr>
            <w:tcW w:w="3319" w:type="dxa"/>
            <w:noWrap w:val="0"/>
            <w:vAlign w:val="center"/>
          </w:tcPr>
          <w:p>
            <w:pPr>
              <w:rPr>
                <w:rFonts w:ascii="宋体" w:hAnsi="宋体" w:cs="宋体"/>
                <w:color w:val="auto"/>
                <w:sz w:val="18"/>
                <w:szCs w:val="18"/>
                <w:highlight w:val="none"/>
                <w:u w:val="single"/>
              </w:rPr>
            </w:pPr>
            <w:r>
              <w:rPr>
                <w:rFonts w:hint="eastAsia" w:ascii="宋体" w:hAnsi="宋体" w:cs="宋体"/>
                <w:color w:val="auto"/>
                <w:sz w:val="18"/>
                <w:szCs w:val="18"/>
                <w:highlight w:val="none"/>
              </w:rPr>
              <w:t>022-66580268</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电  话：</w:t>
            </w:r>
          </w:p>
        </w:tc>
        <w:tc>
          <w:tcPr>
            <w:tcW w:w="3954" w:type="dxa"/>
            <w:noWrap w:val="0"/>
            <w:vAlign w:val="center"/>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022-</w:t>
            </w:r>
            <w:r>
              <w:rPr>
                <w:rFonts w:hint="eastAsia" w:ascii="宋体" w:hAnsi="宋体" w:cs="宋体"/>
                <w:color w:val="auto"/>
                <w:sz w:val="18"/>
                <w:szCs w:val="18"/>
                <w:highlight w:val="none"/>
                <w:lang w:eastAsia="zh-CN"/>
              </w:rPr>
              <w:t>87335233</w:t>
            </w:r>
          </w:p>
        </w:tc>
      </w:tr>
      <w:tr>
        <w:tblPrEx>
          <w:tblCellMar>
            <w:top w:w="0" w:type="dxa"/>
            <w:left w:w="108" w:type="dxa"/>
            <w:bottom w:w="0" w:type="dxa"/>
            <w:right w:w="108" w:type="dxa"/>
          </w:tblCellMar>
        </w:tblPrEx>
        <w:trPr>
          <w:trHeight w:val="420"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传  真：</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传  真：</w:t>
            </w:r>
          </w:p>
        </w:tc>
        <w:tc>
          <w:tcPr>
            <w:tcW w:w="3954" w:type="dxa"/>
            <w:noWrap w:val="0"/>
            <w:vAlign w:val="center"/>
          </w:tcPr>
          <w:p>
            <w:pP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022-</w:t>
            </w:r>
            <w:r>
              <w:rPr>
                <w:rFonts w:hint="eastAsia" w:ascii="宋体" w:hAnsi="宋体" w:cs="宋体"/>
                <w:color w:val="auto"/>
                <w:sz w:val="18"/>
                <w:szCs w:val="18"/>
                <w:highlight w:val="none"/>
                <w:lang w:eastAsia="zh-CN"/>
              </w:rPr>
              <w:t>87335233</w:t>
            </w:r>
          </w:p>
        </w:tc>
      </w:tr>
      <w:tr>
        <w:tblPrEx>
          <w:tblCellMar>
            <w:top w:w="0" w:type="dxa"/>
            <w:left w:w="108" w:type="dxa"/>
            <w:bottom w:w="0" w:type="dxa"/>
            <w:right w:w="108" w:type="dxa"/>
          </w:tblCellMar>
        </w:tblPrEx>
        <w:trPr>
          <w:trHeight w:val="356"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电子邮件：</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电子邮件：</w:t>
            </w:r>
          </w:p>
        </w:tc>
        <w:tc>
          <w:tcPr>
            <w:tcW w:w="3954" w:type="dxa"/>
            <w:noWrap w:val="0"/>
            <w:vAlign w:val="center"/>
          </w:tcPr>
          <w:p>
            <w:pPr>
              <w:rPr>
                <w:rFonts w:hint="eastAsia" w:ascii="宋体" w:hAnsi="宋体" w:eastAsia="宋体" w:cs="宋体"/>
                <w:color w:val="auto"/>
                <w:sz w:val="18"/>
                <w:szCs w:val="18"/>
                <w:highlight w:val="none"/>
                <w:u w:val="single"/>
                <w:lang w:eastAsia="zh-CN"/>
              </w:rPr>
            </w:pPr>
            <w:r>
              <w:rPr>
                <w:rFonts w:hint="eastAsia" w:ascii="宋体" w:hAnsi="宋体" w:cs="宋体"/>
                <w:color w:val="auto"/>
                <w:sz w:val="18"/>
                <w:szCs w:val="18"/>
                <w:highlight w:val="none"/>
                <w:u w:val="single"/>
                <w:lang w:eastAsia="zh-CN"/>
              </w:rPr>
              <w:t>tjbh2016@126.com</w:t>
            </w:r>
          </w:p>
        </w:tc>
      </w:tr>
      <w:tr>
        <w:tblPrEx>
          <w:tblCellMar>
            <w:top w:w="0" w:type="dxa"/>
            <w:left w:w="108" w:type="dxa"/>
            <w:bottom w:w="0" w:type="dxa"/>
            <w:right w:w="108" w:type="dxa"/>
          </w:tblCellMar>
        </w:tblPrEx>
        <w:trPr>
          <w:trHeight w:val="356"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网  址：</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网  址：</w:t>
            </w:r>
          </w:p>
        </w:tc>
        <w:tc>
          <w:tcPr>
            <w:tcW w:w="3954"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r>
      <w:tr>
        <w:tblPrEx>
          <w:tblCellMar>
            <w:top w:w="0" w:type="dxa"/>
            <w:left w:w="108" w:type="dxa"/>
            <w:bottom w:w="0" w:type="dxa"/>
            <w:right w:w="108" w:type="dxa"/>
          </w:tblCellMar>
        </w:tblPrEx>
        <w:trPr>
          <w:trHeight w:val="90"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开户银行：</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开户银行：</w:t>
            </w:r>
          </w:p>
        </w:tc>
        <w:tc>
          <w:tcPr>
            <w:tcW w:w="3954"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r>
      <w:tr>
        <w:tblPrEx>
          <w:tblCellMar>
            <w:top w:w="0" w:type="dxa"/>
            <w:left w:w="108" w:type="dxa"/>
            <w:bottom w:w="0" w:type="dxa"/>
            <w:right w:w="108" w:type="dxa"/>
          </w:tblCellMar>
        </w:tblPrEx>
        <w:trPr>
          <w:trHeight w:val="356" w:hRule="atLeast"/>
        </w:trPr>
        <w:tc>
          <w:tcPr>
            <w:tcW w:w="1242"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账  号：</w:t>
            </w:r>
          </w:p>
        </w:tc>
        <w:tc>
          <w:tcPr>
            <w:tcW w:w="3319"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c>
          <w:tcPr>
            <w:tcW w:w="1393" w:type="dxa"/>
            <w:noWrap w:val="0"/>
            <w:vAlign w:val="center"/>
          </w:tcPr>
          <w:p>
            <w:pPr>
              <w:rPr>
                <w:rFonts w:hint="eastAsia" w:ascii="宋体" w:hAnsi="宋体" w:cs="宋体"/>
                <w:color w:val="auto"/>
                <w:sz w:val="18"/>
                <w:szCs w:val="18"/>
                <w:highlight w:val="none"/>
              </w:rPr>
            </w:pPr>
            <w:r>
              <w:rPr>
                <w:rFonts w:hint="eastAsia" w:ascii="宋体" w:hAnsi="宋体" w:cs="宋体"/>
                <w:color w:val="auto"/>
                <w:sz w:val="18"/>
                <w:szCs w:val="18"/>
                <w:highlight w:val="none"/>
              </w:rPr>
              <w:t>账  号：</w:t>
            </w:r>
          </w:p>
        </w:tc>
        <w:tc>
          <w:tcPr>
            <w:tcW w:w="3954"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rPr>
              <w:t>/</w:t>
            </w:r>
          </w:p>
        </w:tc>
      </w:tr>
      <w:tr>
        <w:tblPrEx>
          <w:tblCellMar>
            <w:top w:w="0" w:type="dxa"/>
            <w:left w:w="108" w:type="dxa"/>
            <w:bottom w:w="0" w:type="dxa"/>
            <w:right w:w="108" w:type="dxa"/>
          </w:tblCellMar>
        </w:tblPrEx>
        <w:trPr>
          <w:trHeight w:val="420" w:hRule="atLeast"/>
        </w:trPr>
        <w:tc>
          <w:tcPr>
            <w:tcW w:w="1242" w:type="dxa"/>
            <w:noWrap w:val="0"/>
            <w:vAlign w:val="center"/>
          </w:tcPr>
          <w:p>
            <w:pPr>
              <w:rPr>
                <w:rFonts w:hint="eastAsia" w:ascii="宋体" w:hAnsi="宋体" w:cs="宋体"/>
                <w:color w:val="auto"/>
                <w:sz w:val="18"/>
                <w:szCs w:val="18"/>
                <w:highlight w:val="none"/>
              </w:rPr>
            </w:pPr>
          </w:p>
        </w:tc>
        <w:tc>
          <w:tcPr>
            <w:tcW w:w="3319" w:type="dxa"/>
            <w:noWrap w:val="0"/>
            <w:vAlign w:val="center"/>
          </w:tcPr>
          <w:p>
            <w:pPr>
              <w:rPr>
                <w:rFonts w:hint="eastAsia" w:ascii="宋体" w:hAnsi="宋体" w:cs="宋体"/>
                <w:color w:val="auto"/>
                <w:sz w:val="18"/>
                <w:szCs w:val="18"/>
                <w:highlight w:val="none"/>
              </w:rPr>
            </w:pPr>
          </w:p>
        </w:tc>
        <w:tc>
          <w:tcPr>
            <w:tcW w:w="1393" w:type="dxa"/>
            <w:noWrap w:val="0"/>
            <w:vAlign w:val="center"/>
          </w:tcPr>
          <w:p>
            <w:pPr>
              <w:rPr>
                <w:rFonts w:hint="eastAsia" w:ascii="宋体" w:hAnsi="宋体" w:cs="宋体"/>
                <w:color w:val="auto"/>
                <w:sz w:val="18"/>
                <w:szCs w:val="18"/>
                <w:highlight w:val="none"/>
                <w:u w:val="single"/>
              </w:rPr>
            </w:pPr>
          </w:p>
        </w:tc>
        <w:tc>
          <w:tcPr>
            <w:tcW w:w="3954" w:type="dxa"/>
            <w:noWrap w:val="0"/>
            <w:vAlign w:val="center"/>
          </w:tcPr>
          <w:p>
            <w:pPr>
              <w:rPr>
                <w:rFonts w:hint="eastAsia" w:ascii="宋体" w:hAnsi="宋体" w:cs="宋体"/>
                <w:color w:val="auto"/>
                <w:sz w:val="18"/>
                <w:szCs w:val="18"/>
                <w:highlight w:val="none"/>
                <w:u w:val="single"/>
              </w:rPr>
            </w:pPr>
            <w:r>
              <w:rPr>
                <w:rFonts w:hint="eastAsia" w:ascii="宋体" w:hAnsi="宋体" w:cs="宋体"/>
                <w:color w:val="auto"/>
                <w:sz w:val="18"/>
                <w:szCs w:val="18"/>
                <w:highlight w:val="none"/>
                <w:lang w:eastAsia="zh-CN"/>
              </w:rPr>
              <w:t>2024年</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月</w:t>
            </w:r>
            <w:r>
              <w:rPr>
                <w:rFonts w:hint="eastAsia" w:ascii="宋体" w:hAnsi="宋体" w:cs="宋体"/>
                <w:color w:val="auto"/>
                <w:sz w:val="18"/>
                <w:szCs w:val="18"/>
                <w:highlight w:val="none"/>
                <w:lang w:val="en-US" w:eastAsia="zh-CN"/>
              </w:rPr>
              <w:t>24</w:t>
            </w:r>
            <w:r>
              <w:rPr>
                <w:rFonts w:hint="eastAsia" w:ascii="宋体" w:hAnsi="宋体" w:cs="宋体"/>
                <w:color w:val="auto"/>
                <w:sz w:val="18"/>
                <w:szCs w:val="18"/>
                <w:highlight w:val="none"/>
              </w:rPr>
              <w:t>日</w:t>
            </w:r>
          </w:p>
        </w:tc>
      </w:tr>
      <w:bookmarkEnd w:id="11"/>
      <w:bookmarkEnd w:id="12"/>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cho">
    <w:altName w:val="Yu Gothic UI"/>
    <w:panose1 w:val="02020609040305080305"/>
    <w:charset w:val="80"/>
    <w:family w:val="roman"/>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BF9F8"/>
    <w:multiLevelType w:val="singleLevel"/>
    <w:tmpl w:val="CE5BF9F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ZGQ2MjMxNjJkY2UzYTdkZWQwNGQ0M2U4NTFiZjAifQ=="/>
  </w:docVars>
  <w:rsids>
    <w:rsidRoot w:val="00000000"/>
    <w:rsid w:val="128833E3"/>
    <w:rsid w:val="770D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autoSpaceDE w:val="0"/>
      <w:autoSpaceDN w:val="0"/>
      <w:adjustRightInd w:val="0"/>
      <w:spacing w:line="360" w:lineRule="auto"/>
    </w:pPr>
    <w:rPr>
      <w:rFonts w:ascii="Mincho"/>
      <w:kern w:val="0"/>
      <w:sz w:val="24"/>
    </w:rPr>
  </w:style>
  <w:style w:type="paragraph" w:styleId="3">
    <w:name w:val="Body Text 2"/>
    <w:basedOn w:val="1"/>
    <w:qFormat/>
    <w:uiPriority w:val="0"/>
    <w:rPr>
      <w:rFonts w:ascii="仿宋_GB2312" w:hAnsi="Times New Roman" w:eastAsia="仿宋_GB2312" w:cs="Times New Roman"/>
      <w:b/>
      <w:sz w:val="28"/>
      <w:szCs w:val="20"/>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2024-05-31T07:33:50Z</dcterms:created>
  <dc:creator>DWCOOLER</dc:creator>
  <cp:lastModifiedBy>王木木</cp:lastModifiedBy>
  <dcterms:modified xsi:type="dcterms:W3CDTF">2024-05-31T07:40:35Z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1980A6213B0745FE86776E117DB08430_12</vt:lpwstr>
  </property>
</Properties>
</file>