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24"/>
        </w:rPr>
      </w:pPr>
      <w:r>
        <w:rPr>
          <w:rFonts w:hint="eastAsia" w:ascii="宋体" w:hAnsi="宋体" w:cs="宋体"/>
          <w:b/>
          <w:bCs/>
          <w:sz w:val="24"/>
        </w:rPr>
        <w:t>塘汉快速路永定新河特大桥应急维修工程施工</w:t>
      </w:r>
      <w:r>
        <w:rPr>
          <w:rFonts w:hint="eastAsia" w:ascii="宋体" w:hAnsi="宋体" w:cs="宋体"/>
          <w:b/>
          <w:sz w:val="24"/>
        </w:rPr>
        <w:t>招标</w:t>
      </w:r>
    </w:p>
    <w:p>
      <w:pPr>
        <w:spacing w:line="400" w:lineRule="exact"/>
        <w:jc w:val="center"/>
        <w:rPr>
          <w:rFonts w:hint="eastAsia" w:ascii="宋体" w:hAnsi="宋体" w:cs="宋体"/>
          <w:b/>
          <w:sz w:val="24"/>
        </w:rPr>
      </w:pPr>
      <w:r>
        <w:rPr>
          <w:rFonts w:hint="eastAsia" w:ascii="宋体" w:hAnsi="宋体" w:cs="宋体"/>
          <w:b/>
          <w:sz w:val="24"/>
        </w:rPr>
        <w:t>招标公告</w:t>
      </w:r>
    </w:p>
    <w:p>
      <w:pPr>
        <w:jc w:val="left"/>
        <w:rPr>
          <w:rFonts w:hint="eastAsia" w:ascii="宋体" w:hAnsi="宋体" w:cs="宋体"/>
          <w:b/>
          <w:sz w:val="24"/>
        </w:rPr>
      </w:pPr>
      <w:bookmarkStart w:id="0" w:name="_Toc234349308"/>
      <w:r>
        <w:rPr>
          <w:rFonts w:hint="eastAsia" w:ascii="宋体" w:hAnsi="宋体" w:cs="宋体"/>
          <w:b/>
          <w:sz w:val="24"/>
        </w:rPr>
        <w:t>1.招标条件</w:t>
      </w:r>
      <w:bookmarkEnd w:id="0"/>
    </w:p>
    <w:p>
      <w:pPr>
        <w:pStyle w:val="8"/>
        <w:adjustRightInd/>
        <w:spacing w:line="440" w:lineRule="exact"/>
        <w:ind w:firstLine="480" w:firstLineChars="200"/>
        <w:rPr>
          <w:rFonts w:hint="eastAsia" w:hAnsi="宋体"/>
          <w:color w:val="auto"/>
        </w:rPr>
      </w:pPr>
      <w:r>
        <w:rPr>
          <w:rFonts w:hint="eastAsia" w:ascii="宋体" w:hAnsi="宋体" w:cs="宋体"/>
          <w:color w:val="auto"/>
        </w:rPr>
        <w:t>本招标项目</w:t>
      </w:r>
      <w:r>
        <w:rPr>
          <w:rFonts w:hint="eastAsia" w:ascii="宋体" w:hAnsi="宋体" w:cs="宋体"/>
          <w:bCs/>
          <w:color w:val="auto"/>
          <w:u w:val="single"/>
        </w:rPr>
        <w:t>塘汉快速路永定新河特大桥应急维修工程</w:t>
      </w:r>
      <w:r>
        <w:rPr>
          <w:rFonts w:hint="eastAsia" w:ascii="宋体" w:hAnsi="宋体" w:cs="宋体"/>
          <w:color w:val="auto"/>
        </w:rPr>
        <w:t>已由</w:t>
      </w:r>
      <w:r>
        <w:rPr>
          <w:rFonts w:hint="eastAsia" w:ascii="宋体" w:hAnsi="宋体" w:cs="宋体"/>
          <w:u w:val="single"/>
        </w:rPr>
        <w:t xml:space="preserve"> </w:t>
      </w:r>
      <w:r>
        <w:rPr>
          <w:rFonts w:hint="eastAsia" w:hAnsi="宋体"/>
          <w:u w:val="single"/>
        </w:rPr>
        <w:t>天津市滨海新区交通运输局</w:t>
      </w:r>
      <w:r>
        <w:rPr>
          <w:rFonts w:hint="eastAsia" w:hAnsi="宋体"/>
          <w:color w:val="auto"/>
        </w:rPr>
        <w:t>以</w:t>
      </w:r>
      <w:r>
        <w:rPr>
          <w:rFonts w:hint="eastAsia" w:hAnsi="宋体"/>
          <w:color w:val="auto"/>
          <w:u w:val="single"/>
        </w:rPr>
        <w:t>《</w:t>
      </w:r>
      <w:r>
        <w:rPr>
          <w:rFonts w:hint="eastAsia" w:hAnsi="宋体"/>
          <w:bCs/>
          <w:color w:val="auto"/>
          <w:u w:val="single"/>
        </w:rPr>
        <w:t>关于塘汉快速路永定新河特大桥应急维修工程</w:t>
      </w:r>
      <w:r>
        <w:rPr>
          <w:rFonts w:hint="eastAsia" w:hAnsi="宋体"/>
          <w:color w:val="auto"/>
          <w:u w:val="single"/>
        </w:rPr>
        <w:t>实施方案的批复》（津滨交运发〔2024〕4号）</w:t>
      </w:r>
      <w:r>
        <w:rPr>
          <w:rFonts w:hint="eastAsia" w:hAnsi="宋体"/>
          <w:color w:val="auto"/>
        </w:rPr>
        <w:t>批准建设</w:t>
      </w:r>
      <w:r>
        <w:rPr>
          <w:rFonts w:hint="eastAsia" w:ascii="宋体" w:hAnsi="宋体" w:cs="宋体"/>
          <w:color w:val="auto"/>
        </w:rPr>
        <w:t>，项目业主为</w:t>
      </w:r>
      <w:r>
        <w:rPr>
          <w:rFonts w:hint="eastAsia" w:ascii="宋体" w:hAnsi="宋体" w:cs="宋体"/>
          <w:u w:val="single"/>
        </w:rPr>
        <w:t>天津滨海新区基础设施养管有限公司</w:t>
      </w:r>
      <w:r>
        <w:rPr>
          <w:rFonts w:hint="eastAsia" w:ascii="宋体" w:hAnsi="宋体" w:cs="宋体"/>
          <w:color w:val="auto"/>
        </w:rPr>
        <w:t>，建设资金来自</w:t>
      </w:r>
      <w:r>
        <w:rPr>
          <w:rFonts w:hint="eastAsia" w:ascii="宋体" w:hAnsi="宋体" w:cs="宋体"/>
          <w:color w:val="auto"/>
          <w:u w:val="single"/>
        </w:rPr>
        <w:t xml:space="preserve"> 财政拨款 </w:t>
      </w:r>
      <w:r>
        <w:rPr>
          <w:rFonts w:hint="eastAsia" w:ascii="宋体" w:hAnsi="宋体" w:cs="宋体"/>
          <w:color w:val="auto"/>
        </w:rPr>
        <w:t>，出资比例为</w:t>
      </w:r>
      <w:r>
        <w:rPr>
          <w:rFonts w:hint="eastAsia" w:ascii="宋体" w:hAnsi="宋体" w:cs="宋体"/>
          <w:color w:val="auto"/>
          <w:u w:val="single"/>
        </w:rPr>
        <w:t xml:space="preserve"> 100% </w:t>
      </w:r>
      <w:r>
        <w:rPr>
          <w:rFonts w:hint="eastAsia" w:ascii="宋体" w:hAnsi="宋体" w:cs="宋体"/>
          <w:color w:val="auto"/>
        </w:rPr>
        <w:t>，招标人为</w:t>
      </w:r>
      <w:r>
        <w:rPr>
          <w:rFonts w:hint="eastAsia" w:ascii="宋体" w:hAnsi="宋体" w:cs="宋体"/>
          <w:color w:val="auto"/>
          <w:u w:val="single"/>
        </w:rPr>
        <w:t xml:space="preserve"> 天津滨海新区基础设施养管有限公司</w:t>
      </w:r>
      <w:r>
        <w:rPr>
          <w:rFonts w:hint="eastAsia" w:ascii="宋体" w:hAnsi="宋体" w:cs="宋体"/>
          <w:color w:val="auto"/>
        </w:rPr>
        <w:t>。</w:t>
      </w:r>
      <w:r>
        <w:rPr>
          <w:rFonts w:hint="eastAsia" w:ascii="宋体" w:hAnsi="宋体" w:cs="宋体"/>
        </w:rPr>
        <w:t>项目已具备招标条件，现对该项目的施工进行公开招标。</w:t>
      </w:r>
    </w:p>
    <w:p>
      <w:pPr>
        <w:spacing w:line="400" w:lineRule="exact"/>
        <w:jc w:val="left"/>
        <w:rPr>
          <w:rFonts w:hint="eastAsia" w:ascii="宋体" w:hAnsi="宋体" w:cs="宋体"/>
          <w:b/>
          <w:sz w:val="24"/>
        </w:rPr>
      </w:pPr>
      <w:bookmarkStart w:id="1" w:name="_Toc234349309"/>
      <w:r>
        <w:rPr>
          <w:rFonts w:hint="eastAsia" w:ascii="宋体" w:hAnsi="宋体" w:cs="宋体"/>
          <w:b/>
          <w:sz w:val="24"/>
        </w:rPr>
        <w:t>2.项目概况与招标范围</w:t>
      </w:r>
      <w:bookmarkEnd w:id="1"/>
    </w:p>
    <w:p>
      <w:pPr>
        <w:spacing w:line="400" w:lineRule="exact"/>
        <w:ind w:firstLine="480" w:firstLineChars="200"/>
        <w:jc w:val="left"/>
        <w:rPr>
          <w:rFonts w:hint="eastAsia" w:ascii="宋体" w:hAnsi="宋体" w:cs="宋体"/>
          <w:sz w:val="24"/>
        </w:rPr>
      </w:pPr>
      <w:r>
        <w:rPr>
          <w:rFonts w:hint="eastAsia" w:ascii="宋体" w:hAnsi="宋体" w:cs="宋体"/>
          <w:sz w:val="24"/>
        </w:rPr>
        <w:t xml:space="preserve">2.1 项目概况 </w:t>
      </w:r>
    </w:p>
    <w:p>
      <w:pPr>
        <w:spacing w:line="400" w:lineRule="exact"/>
        <w:ind w:firstLine="408"/>
        <w:rPr>
          <w:rFonts w:hint="eastAsia" w:ascii="宋体" w:hAnsi="宋体" w:cs="宋体"/>
          <w:sz w:val="24"/>
        </w:rPr>
      </w:pPr>
      <w:r>
        <w:rPr>
          <w:rFonts w:hint="eastAsia" w:ascii="宋体" w:hAnsi="宋体" w:cs="宋体"/>
          <w:sz w:val="24"/>
          <w:lang w:val="zh-CN"/>
        </w:rPr>
        <w:t>项目位于天津市滨海新区塘汉快速路永定新河特大桥(塘汉快速路南至杨北公路,北至津汉公路)</w:t>
      </w:r>
      <w:r>
        <w:rPr>
          <w:rFonts w:hint="eastAsia" w:ascii="宋体" w:hAnsi="宋体" w:cs="宋体"/>
          <w:sz w:val="24"/>
        </w:rPr>
        <w:t>。</w:t>
      </w:r>
    </w:p>
    <w:p>
      <w:pPr>
        <w:spacing w:line="400" w:lineRule="exact"/>
        <w:ind w:firstLine="480" w:firstLineChars="200"/>
        <w:jc w:val="left"/>
        <w:rPr>
          <w:rFonts w:hint="eastAsia" w:ascii="宋体" w:hAnsi="宋体" w:cs="宋体"/>
          <w:sz w:val="24"/>
        </w:rPr>
      </w:pPr>
      <w:r>
        <w:rPr>
          <w:rFonts w:hint="eastAsia" w:ascii="宋体" w:hAnsi="宋体" w:cs="宋体"/>
          <w:sz w:val="24"/>
        </w:rPr>
        <w:t>2.2招标范围及工作内容</w:t>
      </w:r>
    </w:p>
    <w:p>
      <w:pPr>
        <w:pStyle w:val="5"/>
        <w:spacing w:before="0" w:beforeAutospacing="0" w:after="0" w:afterAutospacing="0" w:line="420" w:lineRule="exact"/>
        <w:ind w:firstLine="480" w:firstLineChars="200"/>
        <w:rPr>
          <w:rFonts w:hint="eastAsia" w:cs="宋体"/>
          <w:kern w:val="2"/>
        </w:rPr>
      </w:pPr>
      <w:r>
        <w:rPr>
          <w:rFonts w:hint="eastAsia" w:cs="宋体"/>
          <w:kern w:val="2"/>
        </w:rPr>
        <w:t>本次招标为1个标段，</w:t>
      </w:r>
      <w:r>
        <w:rPr>
          <w:rFonts w:hint="eastAsia" w:cs="宋体"/>
        </w:rPr>
        <w:t>本项目为</w:t>
      </w:r>
      <w:r>
        <w:rPr>
          <w:rFonts w:hint="eastAsia" w:cs="宋体"/>
          <w:color w:val="000000"/>
          <w:kern w:val="2"/>
          <w:lang w:val="zh-CN" w:bidi="ar"/>
        </w:rPr>
        <w:t>塘汉快速路永定新河特大桥应急维修工程，对南侧东幅引桥第 22#～23#桥孔40米预应力小箱梁上部结构采取应急更换主梁的处置方案，结合桥梁的断交封闭，同步对全桥桥梁结构裂缝、检修道人行栏杆、伸缩缝、抗震挡、支座等相关附属设施的病害进行维修。</w:t>
      </w:r>
      <w:r>
        <w:rPr>
          <w:rFonts w:hint="eastAsia" w:cs="宋体"/>
          <w:kern w:val="2"/>
        </w:rPr>
        <w:t>（具体详见图纸及工程量清单）。</w:t>
      </w:r>
    </w:p>
    <w:p>
      <w:pPr>
        <w:spacing w:line="400" w:lineRule="exact"/>
        <w:ind w:firstLine="480" w:firstLineChars="200"/>
        <w:jc w:val="left"/>
        <w:rPr>
          <w:rFonts w:hint="eastAsia" w:ascii="宋体" w:hAnsi="宋体" w:cs="宋体"/>
          <w:sz w:val="24"/>
        </w:rPr>
      </w:pPr>
      <w:r>
        <w:rPr>
          <w:rFonts w:hint="eastAsia" w:ascii="宋体" w:hAnsi="宋体" w:cs="宋体"/>
          <w:sz w:val="24"/>
        </w:rPr>
        <w:t>2.3计划施工工期</w:t>
      </w:r>
      <w:bookmarkStart w:id="2" w:name="_Toc234349310"/>
    </w:p>
    <w:p>
      <w:pPr>
        <w:spacing w:line="400" w:lineRule="exact"/>
        <w:ind w:firstLine="480" w:firstLineChars="200"/>
        <w:jc w:val="left"/>
        <w:rPr>
          <w:rFonts w:hint="eastAsia" w:ascii="宋体" w:hAnsi="宋体" w:cs="宋体"/>
          <w:sz w:val="24"/>
        </w:rPr>
      </w:pPr>
      <w:r>
        <w:rPr>
          <w:rFonts w:hint="eastAsia" w:ascii="宋体" w:hAnsi="宋体" w:cs="宋体"/>
          <w:sz w:val="24"/>
        </w:rPr>
        <w:t>计划施工工期为2024年4月30日至2024年8月30日，共计122日历天。</w:t>
      </w:r>
    </w:p>
    <w:p>
      <w:pPr>
        <w:spacing w:line="400" w:lineRule="exact"/>
        <w:jc w:val="left"/>
        <w:rPr>
          <w:rFonts w:hint="eastAsia" w:ascii="宋体" w:hAnsi="宋体" w:cs="宋体"/>
          <w:b/>
          <w:bCs/>
          <w:sz w:val="24"/>
        </w:rPr>
      </w:pPr>
      <w:r>
        <w:rPr>
          <w:rFonts w:hint="eastAsia" w:ascii="宋体" w:hAnsi="宋体" w:cs="宋体"/>
          <w:b/>
          <w:bCs/>
          <w:sz w:val="24"/>
        </w:rPr>
        <w:t>3．投标人资格要求</w:t>
      </w:r>
      <w:bookmarkEnd w:id="2"/>
    </w:p>
    <w:p>
      <w:pPr>
        <w:spacing w:line="400" w:lineRule="exact"/>
        <w:ind w:firstLine="480" w:firstLineChars="200"/>
        <w:jc w:val="left"/>
        <w:rPr>
          <w:rFonts w:hint="eastAsia" w:ascii="宋体" w:hAnsi="宋体" w:cs="宋体"/>
          <w:sz w:val="24"/>
        </w:rPr>
      </w:pPr>
      <w:r>
        <w:rPr>
          <w:rFonts w:hint="eastAsia" w:ascii="宋体" w:hAnsi="宋体" w:cs="宋体"/>
          <w:sz w:val="24"/>
        </w:rPr>
        <w:t>3.1本次招标要求投标人须具备独立法人资格，并同时具备以下资质之一：</w:t>
      </w:r>
      <w:r>
        <w:rPr>
          <w:rFonts w:hint="eastAsia" w:ascii="宋体" w:hAnsi="宋体" w:cs="宋体"/>
          <w:sz w:val="24"/>
          <w:u w:val="single"/>
        </w:rPr>
        <w:t>1、省级交通主管部门颁发的公路养护工程一类；2、省级交通运输主管部门颁发的桥梁养护甲级资质</w:t>
      </w:r>
      <w:r>
        <w:rPr>
          <w:rFonts w:hint="eastAsia" w:ascii="宋体" w:hAnsi="宋体" w:cs="宋体"/>
          <w:sz w:val="24"/>
        </w:rPr>
        <w:t>；近5年（工程交工时间为2019年1月1日至投标截止之日）至少</w:t>
      </w:r>
      <w:r>
        <w:rPr>
          <w:rFonts w:hint="eastAsia" w:ascii="宋体" w:hAnsi="宋体" w:cs="宋体"/>
          <w:sz w:val="24"/>
          <w:highlight w:val="none"/>
        </w:rPr>
        <w:t>独立完成</w:t>
      </w:r>
      <w:r>
        <w:rPr>
          <w:rFonts w:hint="eastAsia" w:ascii="宋体" w:hAnsi="宋体" w:cs="宋体"/>
          <w:sz w:val="24"/>
          <w:highlight w:val="none"/>
          <w:u w:val="single"/>
        </w:rPr>
        <w:t>一项一级及以上公路桥梁养护（或公路养护含桥梁）维修工程的施工业绩</w:t>
      </w:r>
      <w:r>
        <w:rPr>
          <w:rFonts w:hint="eastAsia" w:ascii="宋体" w:hAnsi="宋体" w:cs="宋体"/>
          <w:sz w:val="24"/>
          <w:highlight w:val="none"/>
        </w:rPr>
        <w:t>，工程质量合格，并在人员</w:t>
      </w:r>
      <w:r>
        <w:rPr>
          <w:rFonts w:hint="eastAsia" w:ascii="宋体" w:hAnsi="宋体" w:cs="宋体"/>
          <w:sz w:val="24"/>
        </w:rPr>
        <w:t>、设备、资金等方面具备相应的施工能力。</w:t>
      </w:r>
    </w:p>
    <w:p>
      <w:pPr>
        <w:spacing w:line="400" w:lineRule="exact"/>
        <w:ind w:firstLine="480" w:firstLineChars="200"/>
        <w:jc w:val="left"/>
        <w:rPr>
          <w:rFonts w:hint="eastAsia" w:ascii="宋体" w:hAnsi="宋体" w:cs="宋体"/>
          <w:sz w:val="24"/>
        </w:rPr>
      </w:pPr>
      <w:r>
        <w:rPr>
          <w:rFonts w:hint="eastAsia" w:ascii="宋体" w:hAnsi="宋体" w:cs="宋体"/>
          <w:sz w:val="24"/>
        </w:rPr>
        <w:t>3.2本次招标不接受联合体投标。</w:t>
      </w:r>
    </w:p>
    <w:p>
      <w:pPr>
        <w:wordWrap w:val="0"/>
        <w:topLinePunct/>
        <w:spacing w:line="400" w:lineRule="exact"/>
        <w:ind w:firstLine="480" w:firstLineChars="200"/>
        <w:jc w:val="left"/>
        <w:rPr>
          <w:rFonts w:ascii="宋体" w:hAnsi="宋体" w:cs="宋体"/>
          <w:sz w:val="24"/>
          <w:u w:val="single"/>
        </w:rPr>
      </w:pPr>
      <w:r>
        <w:rPr>
          <w:rFonts w:hint="eastAsia" w:ascii="宋体" w:hAnsi="宋体" w:cs="宋体"/>
          <w:sz w:val="24"/>
        </w:rPr>
        <w:t>3.3每个投标人最多可对</w:t>
      </w:r>
      <w:r>
        <w:rPr>
          <w:rFonts w:hint="eastAsia" w:ascii="宋体" w:hAnsi="宋体" w:cs="宋体"/>
          <w:sz w:val="24"/>
          <w:u w:val="single"/>
        </w:rPr>
        <w:t>1</w:t>
      </w:r>
      <w:r>
        <w:rPr>
          <w:rFonts w:hint="eastAsia" w:ascii="宋体" w:hAnsi="宋体" w:cs="宋体"/>
          <w:sz w:val="24"/>
        </w:rPr>
        <w:t>个标段投标，每个投标人允许中</w:t>
      </w:r>
      <w:r>
        <w:rPr>
          <w:rFonts w:hint="eastAsia" w:ascii="宋体" w:hAnsi="宋体" w:cs="宋体"/>
          <w:sz w:val="24"/>
          <w:u w:val="single"/>
        </w:rPr>
        <w:t>1</w:t>
      </w:r>
      <w:r>
        <w:rPr>
          <w:rFonts w:hint="eastAsia" w:ascii="宋体" w:hAnsi="宋体" w:cs="宋体"/>
          <w:sz w:val="24"/>
        </w:rPr>
        <w:t>个标。对投标人信用等级的认定条件为：</w:t>
      </w:r>
      <w:r>
        <w:rPr>
          <w:rFonts w:hint="eastAsia" w:ascii="宋体" w:hAnsi="宋体" w:cs="宋体"/>
          <w:sz w:val="24"/>
          <w:u w:val="single"/>
        </w:rPr>
        <w:t>投标人在国家企业信用信息公示系统（http://www.gsxt.gov.cn/）中无经营异常情况</w:t>
      </w:r>
      <w:r>
        <w:rPr>
          <w:rFonts w:hint="eastAsia" w:ascii="宋体" w:hAnsi="宋体" w:cs="宋体"/>
          <w:sz w:val="24"/>
          <w:u w:val="single"/>
          <w:lang w:val="zh-CN"/>
        </w:rPr>
        <w:t>。</w:t>
      </w:r>
    </w:p>
    <w:p>
      <w:pPr>
        <w:spacing w:line="400" w:lineRule="exact"/>
        <w:ind w:firstLine="480" w:firstLineChars="200"/>
        <w:jc w:val="left"/>
        <w:rPr>
          <w:rFonts w:hint="eastAsia" w:ascii="宋体" w:hAnsi="宋体" w:cs="宋体"/>
          <w:sz w:val="24"/>
        </w:rPr>
      </w:pPr>
      <w:r>
        <w:rPr>
          <w:rFonts w:hint="eastAsia" w:ascii="宋体" w:hAnsi="宋体" w:cs="宋体"/>
          <w:sz w:val="24"/>
        </w:rPr>
        <w:t>3.4与招标人存在利害关系可能影响招标公正性的单位，不得参加投标。单位负责人为同一人或存在控股、管理关系的不同单位，不得参加同一标段投标，否则，相关投标均无效。</w:t>
      </w:r>
    </w:p>
    <w:p>
      <w:pPr>
        <w:spacing w:line="400" w:lineRule="exact"/>
        <w:ind w:firstLine="480" w:firstLineChars="200"/>
        <w:jc w:val="left"/>
        <w:rPr>
          <w:rFonts w:hint="eastAsia" w:ascii="宋体" w:hAnsi="宋体" w:cs="宋体"/>
          <w:sz w:val="24"/>
        </w:rPr>
      </w:pPr>
      <w:r>
        <w:rPr>
          <w:rFonts w:hint="eastAsia" w:ascii="宋体" w:hAnsi="宋体" w:cs="宋体"/>
          <w:sz w:val="24"/>
        </w:rPr>
        <w:t>3.5投标人在“信用中国”网站（http://www.creditchina.gov.cn/）中被列入失信被执行人名单的投标人，不得参加投标。</w:t>
      </w:r>
    </w:p>
    <w:p>
      <w:pPr>
        <w:spacing w:line="400" w:lineRule="exact"/>
        <w:jc w:val="left"/>
        <w:rPr>
          <w:rFonts w:hint="eastAsia" w:ascii="宋体" w:hAnsi="宋体" w:cs="宋体"/>
          <w:b/>
          <w:sz w:val="24"/>
        </w:rPr>
      </w:pPr>
      <w:bookmarkStart w:id="3" w:name="_Toc234348737"/>
      <w:bookmarkStart w:id="4" w:name="_Toc234349311"/>
      <w:r>
        <w:rPr>
          <w:rFonts w:hint="eastAsia" w:ascii="宋体" w:hAnsi="宋体" w:cs="宋体"/>
          <w:b/>
          <w:sz w:val="24"/>
        </w:rPr>
        <w:t>4．招标文件的获取</w:t>
      </w:r>
      <w:bookmarkEnd w:id="3"/>
      <w:bookmarkEnd w:id="4"/>
    </w:p>
    <w:p>
      <w:pPr>
        <w:wordWrap w:val="0"/>
        <w:spacing w:line="400" w:lineRule="exact"/>
        <w:ind w:firstLine="480" w:firstLineChars="200"/>
        <w:jc w:val="left"/>
        <w:rPr>
          <w:rFonts w:hint="eastAsia" w:ascii="宋体" w:hAnsi="宋体" w:cs="宋体"/>
          <w:sz w:val="24"/>
        </w:rPr>
      </w:pPr>
      <w:bookmarkStart w:id="5" w:name="_Toc234349312"/>
      <w:bookmarkStart w:id="6" w:name="_Toc234348738"/>
      <w:r>
        <w:rPr>
          <w:rFonts w:hint="eastAsia" w:ascii="宋体" w:hAnsi="宋体" w:cs="宋体"/>
          <w:sz w:val="24"/>
        </w:rPr>
        <w:t>4.1凡有意参加投标者，请于2024年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日至2024年4月</w:t>
      </w:r>
      <w:r>
        <w:rPr>
          <w:rFonts w:hint="eastAsia" w:ascii="宋体" w:hAnsi="宋体" w:cs="宋体"/>
          <w:sz w:val="24"/>
          <w:lang w:val="en-US" w:eastAsia="zh-CN"/>
        </w:rPr>
        <w:t>9</w:t>
      </w:r>
      <w:r>
        <w:rPr>
          <w:rFonts w:hint="eastAsia" w:ascii="宋体" w:hAnsi="宋体" w:cs="宋体"/>
          <w:sz w:val="24"/>
        </w:rPr>
        <w:t>日（节假日除外），每日上午9时00分至11时00分，下午14时00分至17时00分（北京时间，下同），将企业法人营业执照副本或事业单位法人证书副本、资质证书副本、基本账户开户许可证（或备案证明材料）、介绍信及经办人身份证复印件加盖公章后扫描成PDF发送至guangzhengzixun@126.com邮箱（联系项目负责人确认满足资格条件后汇款）,并注明：1、项目名称；2、投标单位名称；3、联系人；4、联系方式；5、投标单位联系邮箱；6、增值税开票种类及具体开票信息；7、招标文件邮寄地址。</w:t>
      </w:r>
    </w:p>
    <w:p>
      <w:pPr>
        <w:spacing w:line="400" w:lineRule="exact"/>
        <w:ind w:firstLine="480" w:firstLineChars="200"/>
        <w:jc w:val="left"/>
        <w:rPr>
          <w:rFonts w:hint="eastAsia" w:ascii="宋体" w:hAnsi="宋体" w:cs="宋体"/>
          <w:sz w:val="24"/>
        </w:rPr>
      </w:pPr>
      <w:r>
        <w:rPr>
          <w:rFonts w:hint="eastAsia" w:ascii="宋体" w:hAnsi="宋体" w:cs="宋体"/>
          <w:sz w:val="24"/>
        </w:rPr>
        <w:t>招标文件用采用银行电汇形式，电汇至：</w:t>
      </w:r>
    </w:p>
    <w:p>
      <w:pPr>
        <w:spacing w:line="400" w:lineRule="exact"/>
        <w:ind w:firstLine="480" w:firstLineChars="200"/>
        <w:jc w:val="left"/>
        <w:rPr>
          <w:rFonts w:hint="eastAsia" w:ascii="宋体" w:hAnsi="宋体" w:cs="宋体"/>
          <w:sz w:val="24"/>
        </w:rPr>
      </w:pPr>
      <w:r>
        <w:rPr>
          <w:rFonts w:hint="eastAsia" w:ascii="宋体" w:hAnsi="宋体" w:cs="宋体"/>
          <w:sz w:val="24"/>
        </w:rPr>
        <w:t>户名：天津广正建设项目咨询股份有限公司</w:t>
      </w:r>
    </w:p>
    <w:p>
      <w:pPr>
        <w:spacing w:line="400" w:lineRule="exact"/>
        <w:ind w:firstLine="480" w:firstLineChars="200"/>
        <w:jc w:val="left"/>
        <w:rPr>
          <w:rFonts w:hint="eastAsia" w:ascii="宋体" w:hAnsi="宋体" w:cs="宋体"/>
          <w:sz w:val="24"/>
        </w:rPr>
      </w:pPr>
      <w:r>
        <w:rPr>
          <w:rFonts w:hint="eastAsia" w:ascii="宋体" w:hAnsi="宋体" w:cs="宋体"/>
          <w:sz w:val="24"/>
        </w:rPr>
        <w:t>开户行：中信银行天津和平支行</w:t>
      </w:r>
    </w:p>
    <w:p>
      <w:pPr>
        <w:spacing w:line="400" w:lineRule="exact"/>
        <w:ind w:firstLine="480" w:firstLineChars="200"/>
        <w:jc w:val="left"/>
        <w:rPr>
          <w:rFonts w:hint="eastAsia" w:ascii="宋体" w:hAnsi="宋体" w:cs="宋体"/>
          <w:sz w:val="24"/>
        </w:rPr>
      </w:pPr>
      <w:r>
        <w:rPr>
          <w:rFonts w:hint="eastAsia" w:ascii="宋体" w:hAnsi="宋体" w:cs="宋体"/>
          <w:sz w:val="24"/>
        </w:rPr>
        <w:t>账号：7231310182600129934</w:t>
      </w:r>
    </w:p>
    <w:p>
      <w:pPr>
        <w:spacing w:line="400" w:lineRule="exact"/>
        <w:ind w:firstLine="480" w:firstLineChars="200"/>
        <w:jc w:val="left"/>
        <w:rPr>
          <w:rFonts w:hint="eastAsia" w:ascii="宋体" w:hAnsi="宋体" w:cs="宋体"/>
          <w:sz w:val="24"/>
        </w:rPr>
      </w:pPr>
      <w:r>
        <w:rPr>
          <w:rFonts w:hint="eastAsia" w:ascii="宋体" w:hAnsi="宋体" w:cs="宋体"/>
          <w:sz w:val="24"/>
        </w:rPr>
        <w:t>投标单位须从单位账户汇出，电汇时注明项目名称。</w:t>
      </w:r>
    </w:p>
    <w:p>
      <w:pPr>
        <w:spacing w:line="400" w:lineRule="exact"/>
        <w:ind w:firstLine="480" w:firstLineChars="200"/>
        <w:jc w:val="left"/>
        <w:rPr>
          <w:rFonts w:hint="eastAsia" w:ascii="宋体" w:hAnsi="宋体" w:cs="宋体"/>
          <w:sz w:val="24"/>
        </w:rPr>
      </w:pPr>
      <w:r>
        <w:rPr>
          <w:rFonts w:hint="eastAsia" w:ascii="宋体" w:hAnsi="宋体" w:cs="宋体"/>
          <w:sz w:val="24"/>
        </w:rPr>
        <w:t>4.2招标文件每套售价800元，图纸每套售价2</w:t>
      </w:r>
      <w:r>
        <w:rPr>
          <w:rFonts w:ascii="宋体" w:hAnsi="宋体" w:cs="宋体"/>
          <w:sz w:val="24"/>
        </w:rPr>
        <w:t>0</w:t>
      </w:r>
      <w:r>
        <w:rPr>
          <w:rFonts w:hint="eastAsia" w:ascii="宋体" w:hAnsi="宋体" w:cs="宋体"/>
          <w:sz w:val="24"/>
        </w:rPr>
        <w:t>00元，招标人根据对本合同工程勘察所取得的水文、地质、气象和料场分布、取土场、弃土场位置等资料编制的参考资料每套售价 / 元，售后不退。</w:t>
      </w:r>
    </w:p>
    <w:p>
      <w:pPr>
        <w:spacing w:line="400" w:lineRule="exact"/>
        <w:jc w:val="left"/>
        <w:rPr>
          <w:rFonts w:hint="eastAsia" w:ascii="宋体" w:hAnsi="宋体" w:cs="宋体"/>
          <w:b/>
          <w:sz w:val="24"/>
        </w:rPr>
      </w:pPr>
      <w:r>
        <w:rPr>
          <w:rFonts w:hint="eastAsia" w:ascii="宋体" w:hAnsi="宋体" w:cs="宋体"/>
          <w:b/>
          <w:sz w:val="24"/>
        </w:rPr>
        <w:t>5．投标文件的递交及相关事宜</w:t>
      </w:r>
      <w:bookmarkEnd w:id="5"/>
      <w:bookmarkEnd w:id="6"/>
    </w:p>
    <w:p>
      <w:pPr>
        <w:spacing w:line="400" w:lineRule="exact"/>
        <w:ind w:firstLine="480" w:firstLineChars="200"/>
        <w:jc w:val="left"/>
        <w:rPr>
          <w:rFonts w:hint="eastAsia" w:ascii="宋体" w:hAnsi="宋体" w:cs="宋体"/>
          <w:sz w:val="24"/>
        </w:rPr>
      </w:pPr>
      <w:r>
        <w:rPr>
          <w:rFonts w:hint="eastAsia" w:ascii="宋体" w:hAnsi="宋体" w:cs="宋体"/>
          <w:sz w:val="24"/>
        </w:rPr>
        <w:t>5.1招标人将于下列时间和地点组织进行工程现场踏勘并召开投标预备会。</w:t>
      </w:r>
    </w:p>
    <w:p>
      <w:pPr>
        <w:spacing w:line="400" w:lineRule="exact"/>
        <w:ind w:firstLine="480" w:firstLineChars="200"/>
        <w:jc w:val="left"/>
        <w:rPr>
          <w:rFonts w:hint="eastAsia" w:ascii="宋体" w:hAnsi="宋体" w:cs="宋体"/>
          <w:sz w:val="24"/>
        </w:rPr>
      </w:pPr>
      <w:r>
        <w:rPr>
          <w:rFonts w:hint="eastAsia" w:ascii="宋体" w:hAnsi="宋体" w:cs="宋体"/>
          <w:sz w:val="24"/>
        </w:rPr>
        <w:t xml:space="preserve">踏勘现场时间：不组织。 </w:t>
      </w:r>
    </w:p>
    <w:p>
      <w:pPr>
        <w:spacing w:line="400" w:lineRule="exact"/>
        <w:ind w:firstLine="480" w:firstLineChars="200"/>
        <w:jc w:val="left"/>
        <w:rPr>
          <w:rFonts w:hint="eastAsia" w:ascii="宋体" w:hAnsi="宋体" w:cs="宋体"/>
          <w:sz w:val="24"/>
        </w:rPr>
      </w:pPr>
      <w:r>
        <w:rPr>
          <w:rFonts w:hint="eastAsia" w:ascii="宋体" w:hAnsi="宋体" w:cs="宋体"/>
          <w:sz w:val="24"/>
        </w:rPr>
        <w:t>投标预备会时间：不组织。</w:t>
      </w:r>
    </w:p>
    <w:p>
      <w:pPr>
        <w:spacing w:line="420" w:lineRule="exact"/>
        <w:ind w:firstLine="480" w:firstLineChars="200"/>
        <w:jc w:val="left"/>
        <w:rPr>
          <w:rFonts w:hint="eastAsia" w:ascii="宋体" w:hAnsi="宋体" w:cs="宋体"/>
          <w:kern w:val="0"/>
          <w:sz w:val="24"/>
        </w:rPr>
      </w:pPr>
      <w:bookmarkStart w:id="7" w:name="_Toc234348739"/>
      <w:bookmarkStart w:id="8" w:name="_Toc234349313"/>
      <w:r>
        <w:rPr>
          <w:rFonts w:hint="eastAsia" w:ascii="宋体" w:hAnsi="宋体" w:cs="宋体"/>
          <w:kern w:val="0"/>
          <w:sz w:val="24"/>
        </w:rPr>
        <w:t xml:space="preserve">5.2投标文件递交的截止时间（投标截止时间，下同）为 </w:t>
      </w:r>
      <w:r>
        <w:rPr>
          <w:rFonts w:hint="eastAsia" w:ascii="宋体" w:hAnsi="宋体" w:cs="宋体"/>
          <w:sz w:val="24"/>
        </w:rPr>
        <w:t>2024年4月23日</w:t>
      </w:r>
      <w:r>
        <w:rPr>
          <w:rFonts w:hint="eastAsia" w:ascii="宋体" w:hAnsi="宋体" w:cs="宋体"/>
          <w:kern w:val="0"/>
          <w:sz w:val="24"/>
        </w:rPr>
        <w:t>9时30分，投标人应于当日9时00分至9时30分将投标文件递交至天津市政务服务中心第</w:t>
      </w:r>
      <w:r>
        <w:rPr>
          <w:rFonts w:hint="eastAsia" w:ascii="宋体" w:hAnsi="宋体" w:cs="宋体"/>
          <w:kern w:val="0"/>
          <w:sz w:val="24"/>
          <w:lang w:val="en-US" w:eastAsia="zh-CN"/>
        </w:rPr>
        <w:t>三</w:t>
      </w:r>
      <w:r>
        <w:rPr>
          <w:rFonts w:hint="eastAsia" w:ascii="宋体" w:hAnsi="宋体" w:cs="宋体"/>
          <w:kern w:val="0"/>
          <w:sz w:val="24"/>
        </w:rPr>
        <w:t>开标室（天津市河东区红星路79号，红星路与卫国道交口顺驰立交桥旁）。</w:t>
      </w:r>
    </w:p>
    <w:p>
      <w:pPr>
        <w:spacing w:line="420" w:lineRule="exact"/>
        <w:ind w:firstLine="480" w:firstLineChars="200"/>
        <w:jc w:val="left"/>
        <w:rPr>
          <w:rFonts w:hint="eastAsia" w:ascii="宋体" w:hAnsi="宋体" w:cs="宋体"/>
          <w:kern w:val="0"/>
          <w:sz w:val="24"/>
        </w:rPr>
      </w:pPr>
      <w:r>
        <w:rPr>
          <w:rFonts w:hint="eastAsia" w:ascii="宋体" w:hAnsi="宋体" w:cs="宋体"/>
          <w:kern w:val="0"/>
          <w:sz w:val="24"/>
        </w:rPr>
        <w:t>5.3逾期送达、未送达指定地点的或者不按照招标文件要求密封的投标文件，招标人将予以拒收。</w:t>
      </w:r>
    </w:p>
    <w:p>
      <w:pPr>
        <w:spacing w:line="400" w:lineRule="exact"/>
        <w:jc w:val="left"/>
        <w:rPr>
          <w:rFonts w:hint="eastAsia" w:ascii="宋体" w:hAnsi="宋体" w:cs="宋体"/>
          <w:b/>
          <w:sz w:val="24"/>
        </w:rPr>
      </w:pPr>
      <w:r>
        <w:rPr>
          <w:rFonts w:hint="eastAsia" w:ascii="宋体" w:hAnsi="宋体" w:cs="宋体"/>
          <w:b/>
          <w:sz w:val="24"/>
        </w:rPr>
        <w:t>6．发布公告的媒介</w:t>
      </w:r>
      <w:bookmarkEnd w:id="7"/>
      <w:bookmarkEnd w:id="8"/>
    </w:p>
    <w:p>
      <w:pPr>
        <w:spacing w:line="400" w:lineRule="exact"/>
        <w:ind w:firstLine="480" w:firstLineChars="200"/>
        <w:jc w:val="left"/>
        <w:rPr>
          <w:rFonts w:hint="eastAsia" w:ascii="宋体" w:hAnsi="宋体" w:cs="宋体"/>
          <w:sz w:val="24"/>
        </w:rPr>
      </w:pPr>
      <w:r>
        <w:rPr>
          <w:rFonts w:hint="eastAsia" w:ascii="宋体" w:hAnsi="宋体" w:cs="宋体"/>
          <w:sz w:val="24"/>
        </w:rPr>
        <w:t>本次招标公告在</w:t>
      </w:r>
      <w:r>
        <w:rPr>
          <w:rFonts w:hint="eastAsia" w:ascii="宋体" w:hAnsi="宋体" w:cs="宋体"/>
          <w:sz w:val="24"/>
          <w:u w:val="single"/>
        </w:rPr>
        <w:t>《天津市滨海新区交通运输局》（http://jtysj.tjbh.gov.cn/)和《天津市公共资源交易网》（http://60.28.163.169/）</w:t>
      </w:r>
      <w:r>
        <w:rPr>
          <w:rFonts w:hint="eastAsia" w:ascii="宋体" w:hAnsi="宋体" w:cs="宋体"/>
          <w:sz w:val="24"/>
        </w:rPr>
        <w:t>上发布。</w:t>
      </w:r>
    </w:p>
    <w:p>
      <w:pPr>
        <w:spacing w:line="400" w:lineRule="exact"/>
        <w:ind w:firstLine="480" w:firstLineChars="200"/>
        <w:jc w:val="left"/>
        <w:rPr>
          <w:rFonts w:hint="eastAsia"/>
        </w:rPr>
      </w:pPr>
      <w:r>
        <w:rPr>
          <w:rFonts w:hint="eastAsia" w:ascii="宋体" w:hAnsi="宋体" w:cs="宋体"/>
          <w:sz w:val="24"/>
        </w:rPr>
        <w:t>提示：按照《天津市人民政府办公厅关于印发天津市整合建立统一的公共资源交易平台体系实施方案的通知》中统一注册市场主体信息的要求，初次参加投标的投标人需在招标文件发售期间，在天津市公共资源交易网进行注册后，方可购买招标文件进行投标，注册方法可咨询招标代理机构。</w:t>
      </w:r>
      <w:r>
        <w:rPr>
          <w:rFonts w:hint="eastAsia" w:ascii="宋体" w:hAnsi="宋体" w:cs="宋体"/>
          <w:b/>
          <w:bCs/>
          <w:kern w:val="0"/>
          <w:sz w:val="24"/>
        </w:rPr>
        <w:t>已进行注册的投标人不需重新注册。所有投标人须在文件获</w:t>
      </w:r>
      <w:bookmarkStart w:id="11" w:name="_GoBack"/>
      <w:bookmarkEnd w:id="11"/>
      <w:r>
        <w:rPr>
          <w:rFonts w:hint="eastAsia" w:ascii="宋体" w:hAnsi="宋体" w:cs="宋体"/>
          <w:b/>
          <w:bCs/>
          <w:kern w:val="0"/>
          <w:sz w:val="24"/>
        </w:rPr>
        <w:t>取截止时间前在《天津市公共资源交易网》进行投标确认，未进行投标确认的投标人一切后果自行承担。</w:t>
      </w:r>
    </w:p>
    <w:p>
      <w:pPr>
        <w:numPr>
          <w:ilvl w:val="0"/>
          <w:numId w:val="1"/>
        </w:numPr>
        <w:spacing w:line="400" w:lineRule="exact"/>
        <w:rPr>
          <w:rFonts w:hint="eastAsia" w:ascii="宋体" w:hAnsi="宋体" w:cs="宋体"/>
          <w:b/>
          <w:sz w:val="24"/>
        </w:rPr>
      </w:pPr>
      <w:r>
        <w:rPr>
          <w:rFonts w:hint="eastAsia" w:ascii="宋体" w:hAnsi="宋体" w:cs="宋体"/>
          <w:b/>
          <w:sz w:val="24"/>
        </w:rPr>
        <w:t>招标文件关键内容</w:t>
      </w:r>
    </w:p>
    <w:p>
      <w:pPr>
        <w:pStyle w:val="8"/>
        <w:adjustRightInd/>
        <w:spacing w:line="400" w:lineRule="exact"/>
        <w:ind w:firstLine="480" w:firstLineChars="200"/>
        <w:rPr>
          <w:rFonts w:hint="eastAsia" w:ascii="宋体" w:hAnsi="宋体" w:cs="宋体"/>
          <w:color w:val="auto"/>
          <w:kern w:val="2"/>
        </w:rPr>
      </w:pPr>
      <w:r>
        <w:rPr>
          <w:rFonts w:hint="eastAsia" w:ascii="宋体" w:hAnsi="宋体" w:cs="宋体"/>
          <w:color w:val="auto"/>
          <w:kern w:val="2"/>
        </w:rPr>
        <w:t>另见附件，最终以发售纸质招标文件为准。</w:t>
      </w:r>
    </w:p>
    <w:p>
      <w:pPr>
        <w:spacing w:line="400" w:lineRule="exact"/>
        <w:jc w:val="left"/>
        <w:rPr>
          <w:rFonts w:hint="eastAsia" w:ascii="宋体" w:hAnsi="宋体" w:cs="宋体"/>
          <w:b/>
          <w:sz w:val="24"/>
        </w:rPr>
      </w:pPr>
      <w:r>
        <w:rPr>
          <w:rFonts w:hint="eastAsia" w:ascii="宋体" w:hAnsi="宋体" w:cs="宋体"/>
          <w:b/>
          <w:sz w:val="24"/>
        </w:rPr>
        <w:t>8．联系方式</w:t>
      </w:r>
    </w:p>
    <w:tbl>
      <w:tblPr>
        <w:tblStyle w:val="6"/>
        <w:tblW w:w="10065" w:type="dxa"/>
        <w:jc w:val="center"/>
        <w:tblLayout w:type="fixed"/>
        <w:tblCellMar>
          <w:top w:w="0" w:type="dxa"/>
          <w:left w:w="108" w:type="dxa"/>
          <w:bottom w:w="0" w:type="dxa"/>
          <w:right w:w="108" w:type="dxa"/>
        </w:tblCellMar>
      </w:tblPr>
      <w:tblGrid>
        <w:gridCol w:w="1206"/>
        <w:gridCol w:w="3654"/>
        <w:gridCol w:w="1582"/>
        <w:gridCol w:w="3623"/>
      </w:tblGrid>
      <w:tr>
        <w:tblPrEx>
          <w:tblCellMar>
            <w:top w:w="0" w:type="dxa"/>
            <w:left w:w="108" w:type="dxa"/>
            <w:bottom w:w="0" w:type="dxa"/>
            <w:right w:w="108" w:type="dxa"/>
          </w:tblCellMar>
        </w:tblPrEx>
        <w:trPr>
          <w:trHeight w:val="397" w:hRule="atLeast"/>
          <w:jc w:val="center"/>
        </w:trPr>
        <w:tc>
          <w:tcPr>
            <w:tcW w:w="1206" w:type="dxa"/>
            <w:noWrap w:val="0"/>
            <w:vAlign w:val="center"/>
          </w:tcPr>
          <w:p>
            <w:pPr>
              <w:rPr>
                <w:rFonts w:hint="eastAsia" w:ascii="宋体" w:hAnsi="宋体" w:cs="宋体"/>
              </w:rPr>
            </w:pPr>
            <w:bookmarkStart w:id="9" w:name="_Toc234349314"/>
            <w:bookmarkStart w:id="10" w:name="_Toc234348740"/>
            <w:r>
              <w:rPr>
                <w:rFonts w:hint="eastAsia" w:ascii="宋体" w:hAnsi="宋体" w:cs="宋体"/>
                <w:szCs w:val="21"/>
              </w:rPr>
              <w:t>招标人：</w:t>
            </w:r>
          </w:p>
        </w:tc>
        <w:tc>
          <w:tcPr>
            <w:tcW w:w="3654" w:type="dxa"/>
            <w:noWrap w:val="0"/>
            <w:vAlign w:val="center"/>
          </w:tcPr>
          <w:p>
            <w:pPr>
              <w:rPr>
                <w:rFonts w:hint="eastAsia" w:ascii="宋体" w:hAnsi="宋体" w:cs="宋体"/>
                <w:szCs w:val="21"/>
                <w:u w:val="single"/>
              </w:rPr>
            </w:pPr>
            <w:r>
              <w:rPr>
                <w:rFonts w:hint="eastAsia" w:ascii="宋体" w:hAnsi="宋体" w:cs="宋体"/>
                <w:szCs w:val="21"/>
                <w:u w:val="single"/>
              </w:rPr>
              <w:t>天津滨海新区基础设施养管有限公司</w:t>
            </w:r>
          </w:p>
        </w:tc>
        <w:tc>
          <w:tcPr>
            <w:tcW w:w="1582" w:type="dxa"/>
            <w:noWrap w:val="0"/>
            <w:vAlign w:val="center"/>
          </w:tcPr>
          <w:p>
            <w:pPr>
              <w:rPr>
                <w:rFonts w:hint="eastAsia" w:ascii="宋体" w:hAnsi="宋体" w:cs="宋体"/>
                <w:szCs w:val="21"/>
              </w:rPr>
            </w:pPr>
            <w:r>
              <w:rPr>
                <w:rFonts w:hint="eastAsia" w:ascii="宋体" w:hAnsi="宋体" w:cs="宋体"/>
                <w:szCs w:val="21"/>
              </w:rPr>
              <w:t>招标代理机构：</w:t>
            </w:r>
          </w:p>
        </w:tc>
        <w:tc>
          <w:tcPr>
            <w:tcW w:w="3623" w:type="dxa"/>
            <w:noWrap w:val="0"/>
            <w:vAlign w:val="center"/>
          </w:tcPr>
          <w:p>
            <w:pPr>
              <w:rPr>
                <w:rFonts w:hint="eastAsia" w:ascii="宋体" w:hAnsi="宋体" w:cs="宋体"/>
                <w:szCs w:val="21"/>
              </w:rPr>
            </w:pPr>
            <w:r>
              <w:rPr>
                <w:rFonts w:hint="eastAsia" w:ascii="宋体" w:hAnsi="宋体" w:cs="宋体"/>
                <w:szCs w:val="21"/>
                <w:u w:val="single"/>
              </w:rPr>
              <w:t>天津广正建设项目咨询股份有限公司</w:t>
            </w:r>
          </w:p>
        </w:tc>
      </w:tr>
      <w:tr>
        <w:tblPrEx>
          <w:tblCellMar>
            <w:top w:w="0" w:type="dxa"/>
            <w:left w:w="108" w:type="dxa"/>
            <w:bottom w:w="0" w:type="dxa"/>
            <w:right w:w="108" w:type="dxa"/>
          </w:tblCellMar>
        </w:tblPrEx>
        <w:trPr>
          <w:trHeight w:val="397" w:hRule="atLeast"/>
          <w:jc w:val="center"/>
        </w:trPr>
        <w:tc>
          <w:tcPr>
            <w:tcW w:w="1206" w:type="dxa"/>
            <w:noWrap w:val="0"/>
            <w:vAlign w:val="center"/>
          </w:tcPr>
          <w:p>
            <w:pPr>
              <w:rPr>
                <w:rFonts w:hint="eastAsia" w:ascii="宋体" w:hAnsi="宋体" w:cs="宋体"/>
              </w:rPr>
            </w:pPr>
            <w:r>
              <w:rPr>
                <w:rFonts w:hint="eastAsia" w:ascii="宋体" w:hAnsi="宋体" w:cs="宋体"/>
                <w:szCs w:val="21"/>
              </w:rPr>
              <w:t>地  址：</w:t>
            </w:r>
          </w:p>
        </w:tc>
        <w:tc>
          <w:tcPr>
            <w:tcW w:w="3654" w:type="dxa"/>
            <w:noWrap w:val="0"/>
            <w:vAlign w:val="center"/>
          </w:tcPr>
          <w:p>
            <w:pPr>
              <w:rPr>
                <w:rFonts w:hint="eastAsia" w:ascii="宋体" w:hAnsi="宋体" w:cs="宋体"/>
                <w:szCs w:val="21"/>
                <w:u w:val="single"/>
              </w:rPr>
            </w:pPr>
            <w:r>
              <w:rPr>
                <w:rFonts w:hint="eastAsia" w:ascii="宋体" w:hAnsi="宋体" w:cs="宋体"/>
                <w:szCs w:val="21"/>
                <w:u w:val="single"/>
              </w:rPr>
              <w:t>天津滨海新区北塘鑫盛商务园2号楼</w:t>
            </w:r>
          </w:p>
        </w:tc>
        <w:tc>
          <w:tcPr>
            <w:tcW w:w="1582" w:type="dxa"/>
            <w:noWrap w:val="0"/>
            <w:vAlign w:val="center"/>
          </w:tcPr>
          <w:p>
            <w:pPr>
              <w:rPr>
                <w:rFonts w:hint="eastAsia" w:ascii="宋体" w:hAnsi="宋体" w:cs="宋体"/>
                <w:szCs w:val="21"/>
              </w:rPr>
            </w:pPr>
            <w:r>
              <w:rPr>
                <w:rFonts w:hint="eastAsia" w:ascii="宋体" w:hAnsi="宋体" w:cs="宋体"/>
                <w:szCs w:val="21"/>
              </w:rPr>
              <w:t>地  址：</w:t>
            </w:r>
          </w:p>
        </w:tc>
        <w:tc>
          <w:tcPr>
            <w:tcW w:w="3623" w:type="dxa"/>
            <w:noWrap w:val="0"/>
            <w:vAlign w:val="center"/>
          </w:tcPr>
          <w:p>
            <w:pPr>
              <w:rPr>
                <w:rFonts w:hint="eastAsia" w:ascii="宋体" w:hAnsi="宋体" w:cs="宋体"/>
                <w:szCs w:val="21"/>
              </w:rPr>
            </w:pPr>
            <w:r>
              <w:rPr>
                <w:rFonts w:hint="eastAsia" w:ascii="宋体" w:hAnsi="宋体" w:cs="宋体"/>
                <w:szCs w:val="21"/>
                <w:u w:val="single"/>
              </w:rPr>
              <w:t>天津市和平区南京路85号君隆广场B1座17层</w:t>
            </w:r>
          </w:p>
        </w:tc>
      </w:tr>
      <w:tr>
        <w:tblPrEx>
          <w:tblCellMar>
            <w:top w:w="0" w:type="dxa"/>
            <w:left w:w="108" w:type="dxa"/>
            <w:bottom w:w="0" w:type="dxa"/>
            <w:right w:w="108" w:type="dxa"/>
          </w:tblCellMar>
        </w:tblPrEx>
        <w:trPr>
          <w:trHeight w:val="397" w:hRule="atLeast"/>
          <w:jc w:val="center"/>
        </w:trPr>
        <w:tc>
          <w:tcPr>
            <w:tcW w:w="1206" w:type="dxa"/>
            <w:noWrap w:val="0"/>
            <w:vAlign w:val="center"/>
          </w:tcPr>
          <w:p>
            <w:pPr>
              <w:rPr>
                <w:rFonts w:hint="eastAsia" w:ascii="宋体" w:hAnsi="宋体" w:cs="宋体"/>
              </w:rPr>
            </w:pPr>
            <w:r>
              <w:rPr>
                <w:rFonts w:hint="eastAsia" w:ascii="宋体" w:hAnsi="宋体" w:cs="宋体"/>
                <w:szCs w:val="21"/>
              </w:rPr>
              <w:t>邮  编：</w:t>
            </w:r>
          </w:p>
        </w:tc>
        <w:tc>
          <w:tcPr>
            <w:tcW w:w="3654" w:type="dxa"/>
            <w:noWrap w:val="0"/>
            <w:vAlign w:val="center"/>
          </w:tcPr>
          <w:p>
            <w:pPr>
              <w:rPr>
                <w:rFonts w:hint="eastAsia" w:ascii="宋体" w:hAnsi="宋体" w:cs="宋体"/>
                <w:szCs w:val="21"/>
                <w:u w:val="single"/>
              </w:rPr>
            </w:pPr>
            <w:r>
              <w:rPr>
                <w:rFonts w:hint="eastAsia" w:ascii="宋体" w:hAnsi="宋体" w:cs="宋体"/>
                <w:szCs w:val="21"/>
                <w:u w:val="single"/>
              </w:rPr>
              <w:t>300453</w:t>
            </w:r>
          </w:p>
        </w:tc>
        <w:tc>
          <w:tcPr>
            <w:tcW w:w="1582" w:type="dxa"/>
            <w:noWrap w:val="0"/>
            <w:vAlign w:val="center"/>
          </w:tcPr>
          <w:p>
            <w:pPr>
              <w:rPr>
                <w:rFonts w:hint="eastAsia" w:ascii="宋体" w:hAnsi="宋体" w:cs="宋体"/>
                <w:szCs w:val="21"/>
              </w:rPr>
            </w:pPr>
            <w:r>
              <w:rPr>
                <w:rFonts w:hint="eastAsia" w:ascii="宋体" w:hAnsi="宋体" w:cs="宋体"/>
                <w:szCs w:val="21"/>
              </w:rPr>
              <w:t>邮  编：</w:t>
            </w:r>
          </w:p>
        </w:tc>
        <w:tc>
          <w:tcPr>
            <w:tcW w:w="3623" w:type="dxa"/>
            <w:noWrap w:val="0"/>
            <w:vAlign w:val="center"/>
          </w:tcPr>
          <w:p>
            <w:pPr>
              <w:rPr>
                <w:rFonts w:hint="eastAsia" w:ascii="宋体" w:hAnsi="宋体" w:cs="宋体"/>
                <w:szCs w:val="21"/>
              </w:rPr>
            </w:pPr>
            <w:r>
              <w:rPr>
                <w:rFonts w:hint="eastAsia" w:ascii="宋体" w:hAnsi="宋体" w:cs="宋体"/>
                <w:szCs w:val="21"/>
                <w:u w:val="single"/>
              </w:rPr>
              <w:t>300040</w:t>
            </w:r>
          </w:p>
        </w:tc>
      </w:tr>
      <w:tr>
        <w:tblPrEx>
          <w:tblCellMar>
            <w:top w:w="0" w:type="dxa"/>
            <w:left w:w="108" w:type="dxa"/>
            <w:bottom w:w="0" w:type="dxa"/>
            <w:right w:w="108" w:type="dxa"/>
          </w:tblCellMar>
        </w:tblPrEx>
        <w:trPr>
          <w:trHeight w:val="397" w:hRule="atLeast"/>
          <w:jc w:val="center"/>
        </w:trPr>
        <w:tc>
          <w:tcPr>
            <w:tcW w:w="1206" w:type="dxa"/>
            <w:noWrap w:val="0"/>
            <w:vAlign w:val="center"/>
          </w:tcPr>
          <w:p>
            <w:pPr>
              <w:rPr>
                <w:rFonts w:hint="eastAsia" w:ascii="宋体" w:hAnsi="宋体" w:cs="宋体"/>
              </w:rPr>
            </w:pPr>
            <w:r>
              <w:rPr>
                <w:rFonts w:hint="eastAsia" w:ascii="宋体" w:hAnsi="宋体" w:cs="宋体"/>
                <w:szCs w:val="21"/>
              </w:rPr>
              <w:t>联系人：</w:t>
            </w:r>
          </w:p>
        </w:tc>
        <w:tc>
          <w:tcPr>
            <w:tcW w:w="3654" w:type="dxa"/>
            <w:noWrap w:val="0"/>
            <w:vAlign w:val="center"/>
          </w:tcPr>
          <w:p>
            <w:pPr>
              <w:rPr>
                <w:rFonts w:hint="eastAsia" w:ascii="宋体" w:hAnsi="宋体" w:cs="宋体"/>
                <w:szCs w:val="21"/>
                <w:u w:val="single"/>
              </w:rPr>
            </w:pPr>
            <w:r>
              <w:rPr>
                <w:rFonts w:hint="eastAsia" w:ascii="宋体" w:hAnsi="宋体" w:cs="宋体"/>
                <w:szCs w:val="21"/>
                <w:u w:val="single"/>
              </w:rPr>
              <w:t>房恩凯</w:t>
            </w:r>
          </w:p>
        </w:tc>
        <w:tc>
          <w:tcPr>
            <w:tcW w:w="1582" w:type="dxa"/>
            <w:noWrap w:val="0"/>
            <w:vAlign w:val="center"/>
          </w:tcPr>
          <w:p>
            <w:pPr>
              <w:rPr>
                <w:rFonts w:hint="eastAsia" w:ascii="宋体" w:hAnsi="宋体" w:cs="宋体"/>
                <w:szCs w:val="21"/>
              </w:rPr>
            </w:pPr>
            <w:r>
              <w:rPr>
                <w:rFonts w:hint="eastAsia" w:ascii="宋体" w:hAnsi="宋体" w:cs="宋体"/>
                <w:szCs w:val="21"/>
              </w:rPr>
              <w:t>联系人：</w:t>
            </w:r>
          </w:p>
        </w:tc>
        <w:tc>
          <w:tcPr>
            <w:tcW w:w="3623" w:type="dxa"/>
            <w:noWrap w:val="0"/>
            <w:vAlign w:val="center"/>
          </w:tcPr>
          <w:p>
            <w:pPr>
              <w:rPr>
                <w:rFonts w:hint="eastAsia" w:ascii="宋体" w:hAnsi="宋体" w:eastAsia="宋体" w:cs="宋体"/>
                <w:szCs w:val="21"/>
                <w:lang w:eastAsia="zh-CN"/>
              </w:rPr>
            </w:pPr>
            <w:r>
              <w:rPr>
                <w:rFonts w:hint="eastAsia" w:ascii="宋体" w:hAnsi="宋体" w:cs="宋体"/>
                <w:szCs w:val="21"/>
                <w:u w:val="single"/>
              </w:rPr>
              <w:t>宋雅琴、</w:t>
            </w:r>
            <w:r>
              <w:rPr>
                <w:rFonts w:hint="eastAsia" w:ascii="宋体" w:hAnsi="宋体" w:cs="宋体"/>
                <w:szCs w:val="21"/>
                <w:u w:val="single"/>
                <w:lang w:eastAsia="zh-CN"/>
              </w:rPr>
              <w:t>陈笑晨、刘子红</w:t>
            </w:r>
          </w:p>
        </w:tc>
      </w:tr>
      <w:tr>
        <w:tblPrEx>
          <w:tblCellMar>
            <w:top w:w="0" w:type="dxa"/>
            <w:left w:w="108" w:type="dxa"/>
            <w:bottom w:w="0" w:type="dxa"/>
            <w:right w:w="108" w:type="dxa"/>
          </w:tblCellMar>
        </w:tblPrEx>
        <w:trPr>
          <w:trHeight w:val="397" w:hRule="atLeast"/>
          <w:jc w:val="center"/>
        </w:trPr>
        <w:tc>
          <w:tcPr>
            <w:tcW w:w="1206" w:type="dxa"/>
            <w:noWrap w:val="0"/>
            <w:vAlign w:val="center"/>
          </w:tcPr>
          <w:p>
            <w:pPr>
              <w:rPr>
                <w:rFonts w:hint="eastAsia" w:ascii="宋体" w:hAnsi="宋体" w:cs="宋体"/>
                <w:szCs w:val="21"/>
              </w:rPr>
            </w:pPr>
            <w:r>
              <w:rPr>
                <w:rFonts w:hint="eastAsia" w:ascii="宋体" w:hAnsi="宋体" w:cs="宋体"/>
                <w:szCs w:val="21"/>
              </w:rPr>
              <w:t>电  话：</w:t>
            </w:r>
          </w:p>
        </w:tc>
        <w:tc>
          <w:tcPr>
            <w:tcW w:w="3654" w:type="dxa"/>
            <w:noWrap w:val="0"/>
            <w:vAlign w:val="center"/>
          </w:tcPr>
          <w:p>
            <w:pPr>
              <w:rPr>
                <w:rFonts w:hint="eastAsia" w:ascii="宋体" w:hAnsi="宋体" w:cs="宋体"/>
                <w:szCs w:val="21"/>
                <w:u w:val="single"/>
              </w:rPr>
            </w:pPr>
            <w:r>
              <w:rPr>
                <w:rFonts w:hint="eastAsia" w:ascii="宋体" w:hAnsi="宋体" w:cs="宋体"/>
                <w:szCs w:val="21"/>
                <w:u w:val="single"/>
              </w:rPr>
              <w:t>022-66202987</w:t>
            </w:r>
          </w:p>
        </w:tc>
        <w:tc>
          <w:tcPr>
            <w:tcW w:w="1582" w:type="dxa"/>
            <w:noWrap w:val="0"/>
            <w:vAlign w:val="center"/>
          </w:tcPr>
          <w:p>
            <w:pPr>
              <w:rPr>
                <w:rFonts w:hint="eastAsia" w:ascii="宋体" w:hAnsi="宋体" w:cs="宋体"/>
                <w:szCs w:val="21"/>
              </w:rPr>
            </w:pPr>
            <w:r>
              <w:rPr>
                <w:rFonts w:hint="eastAsia" w:ascii="宋体" w:hAnsi="宋体" w:cs="宋体"/>
                <w:szCs w:val="21"/>
              </w:rPr>
              <w:t>电  话：</w:t>
            </w:r>
          </w:p>
        </w:tc>
        <w:tc>
          <w:tcPr>
            <w:tcW w:w="3623" w:type="dxa"/>
            <w:noWrap w:val="0"/>
            <w:vAlign w:val="center"/>
          </w:tcPr>
          <w:p>
            <w:pPr>
              <w:rPr>
                <w:rFonts w:hint="eastAsia" w:ascii="宋体" w:hAnsi="宋体" w:cs="宋体"/>
                <w:szCs w:val="21"/>
              </w:rPr>
            </w:pPr>
            <w:r>
              <w:rPr>
                <w:rFonts w:hint="eastAsia" w:ascii="宋体" w:hAnsi="宋体" w:cs="宋体"/>
                <w:szCs w:val="21"/>
                <w:u w:val="single"/>
              </w:rPr>
              <w:t>022-23210356</w:t>
            </w:r>
          </w:p>
        </w:tc>
      </w:tr>
      <w:tr>
        <w:tblPrEx>
          <w:tblCellMar>
            <w:top w:w="0" w:type="dxa"/>
            <w:left w:w="108" w:type="dxa"/>
            <w:bottom w:w="0" w:type="dxa"/>
            <w:right w:w="108" w:type="dxa"/>
          </w:tblCellMar>
        </w:tblPrEx>
        <w:trPr>
          <w:trHeight w:val="397" w:hRule="atLeast"/>
          <w:jc w:val="center"/>
        </w:trPr>
        <w:tc>
          <w:tcPr>
            <w:tcW w:w="1206" w:type="dxa"/>
            <w:noWrap w:val="0"/>
            <w:vAlign w:val="center"/>
          </w:tcPr>
          <w:p>
            <w:pPr>
              <w:rPr>
                <w:rFonts w:hint="eastAsia" w:ascii="宋体" w:hAnsi="宋体" w:cs="宋体"/>
                <w:szCs w:val="21"/>
              </w:rPr>
            </w:pPr>
            <w:r>
              <w:rPr>
                <w:rFonts w:hint="eastAsia" w:ascii="宋体" w:hAnsi="宋体" w:cs="宋体"/>
                <w:szCs w:val="21"/>
              </w:rPr>
              <w:t>传  真：</w:t>
            </w:r>
          </w:p>
        </w:tc>
        <w:tc>
          <w:tcPr>
            <w:tcW w:w="3654" w:type="dxa"/>
            <w:noWrap w:val="0"/>
            <w:vAlign w:val="center"/>
          </w:tcPr>
          <w:p>
            <w:pPr>
              <w:rPr>
                <w:rFonts w:hint="eastAsia" w:ascii="宋体" w:hAnsi="宋体" w:cs="宋体"/>
                <w:szCs w:val="21"/>
                <w:u w:val="single"/>
              </w:rPr>
            </w:pPr>
            <w:r>
              <w:rPr>
                <w:rFonts w:hint="eastAsia" w:ascii="宋体" w:hAnsi="宋体" w:cs="宋体"/>
                <w:szCs w:val="21"/>
                <w:u w:val="single"/>
              </w:rPr>
              <w:t>022-25257198</w:t>
            </w:r>
          </w:p>
        </w:tc>
        <w:tc>
          <w:tcPr>
            <w:tcW w:w="1582" w:type="dxa"/>
            <w:noWrap w:val="0"/>
            <w:vAlign w:val="center"/>
          </w:tcPr>
          <w:p>
            <w:pPr>
              <w:rPr>
                <w:rFonts w:hint="eastAsia" w:ascii="宋体" w:hAnsi="宋体" w:cs="宋体"/>
                <w:szCs w:val="21"/>
              </w:rPr>
            </w:pPr>
            <w:r>
              <w:rPr>
                <w:rFonts w:hint="eastAsia" w:ascii="宋体" w:hAnsi="宋体" w:cs="宋体"/>
                <w:szCs w:val="21"/>
              </w:rPr>
              <w:t>传  真：</w:t>
            </w:r>
          </w:p>
        </w:tc>
        <w:tc>
          <w:tcPr>
            <w:tcW w:w="3623" w:type="dxa"/>
            <w:noWrap w:val="0"/>
            <w:vAlign w:val="center"/>
          </w:tcPr>
          <w:p>
            <w:pPr>
              <w:rPr>
                <w:rFonts w:hint="eastAsia" w:ascii="宋体" w:hAnsi="宋体" w:cs="宋体"/>
                <w:szCs w:val="21"/>
              </w:rPr>
            </w:pPr>
            <w:r>
              <w:rPr>
                <w:rFonts w:hint="eastAsia" w:ascii="宋体" w:hAnsi="宋体" w:cs="宋体"/>
                <w:szCs w:val="21"/>
                <w:u w:val="single"/>
              </w:rPr>
              <w:t>022-27116810</w:t>
            </w:r>
          </w:p>
        </w:tc>
      </w:tr>
      <w:tr>
        <w:tblPrEx>
          <w:tblCellMar>
            <w:top w:w="0" w:type="dxa"/>
            <w:left w:w="108" w:type="dxa"/>
            <w:bottom w:w="0" w:type="dxa"/>
            <w:right w:w="108" w:type="dxa"/>
          </w:tblCellMar>
        </w:tblPrEx>
        <w:trPr>
          <w:trHeight w:val="397" w:hRule="atLeast"/>
          <w:jc w:val="center"/>
        </w:trPr>
        <w:tc>
          <w:tcPr>
            <w:tcW w:w="1206" w:type="dxa"/>
            <w:noWrap w:val="0"/>
            <w:vAlign w:val="center"/>
          </w:tcPr>
          <w:p>
            <w:pPr>
              <w:rPr>
                <w:rFonts w:hint="eastAsia" w:ascii="宋体" w:hAnsi="宋体" w:cs="宋体"/>
                <w:szCs w:val="21"/>
              </w:rPr>
            </w:pPr>
            <w:r>
              <w:rPr>
                <w:rFonts w:hint="eastAsia" w:ascii="宋体" w:hAnsi="宋体" w:cs="宋体"/>
                <w:szCs w:val="21"/>
              </w:rPr>
              <w:t>电子邮件：</w:t>
            </w:r>
          </w:p>
        </w:tc>
        <w:tc>
          <w:tcPr>
            <w:tcW w:w="3654" w:type="dxa"/>
            <w:noWrap w:val="0"/>
            <w:vAlign w:val="center"/>
          </w:tcPr>
          <w:p>
            <w:pPr>
              <w:rPr>
                <w:rFonts w:hint="eastAsia" w:ascii="宋体" w:hAnsi="宋体" w:cs="宋体"/>
                <w:szCs w:val="21"/>
                <w:u w:val="single"/>
              </w:rPr>
            </w:pPr>
            <w:r>
              <w:rPr>
                <w:rFonts w:hint="eastAsia" w:ascii="宋体" w:hAnsi="宋体" w:cs="宋体"/>
                <w:szCs w:val="21"/>
                <w:u w:val="single"/>
              </w:rPr>
              <w:t>/</w:t>
            </w:r>
          </w:p>
        </w:tc>
        <w:tc>
          <w:tcPr>
            <w:tcW w:w="1582" w:type="dxa"/>
            <w:noWrap w:val="0"/>
            <w:vAlign w:val="center"/>
          </w:tcPr>
          <w:p>
            <w:pPr>
              <w:rPr>
                <w:rFonts w:hint="eastAsia" w:ascii="宋体" w:hAnsi="宋体" w:cs="宋体"/>
                <w:szCs w:val="21"/>
              </w:rPr>
            </w:pPr>
            <w:r>
              <w:rPr>
                <w:rFonts w:hint="eastAsia" w:ascii="宋体" w:hAnsi="宋体" w:cs="宋体"/>
                <w:szCs w:val="21"/>
              </w:rPr>
              <w:t>电子邮件：</w:t>
            </w:r>
          </w:p>
        </w:tc>
        <w:tc>
          <w:tcPr>
            <w:tcW w:w="3623" w:type="dxa"/>
            <w:noWrap w:val="0"/>
            <w:vAlign w:val="center"/>
          </w:tcPr>
          <w:p>
            <w:pPr>
              <w:rPr>
                <w:rFonts w:hint="eastAsia" w:ascii="宋体" w:hAnsi="宋体" w:cs="宋体"/>
                <w:szCs w:val="21"/>
                <w:u w:val="single"/>
              </w:rPr>
            </w:pPr>
            <w:r>
              <w:rPr>
                <w:rFonts w:hint="eastAsia" w:ascii="宋体" w:hAnsi="宋体" w:cs="宋体"/>
                <w:szCs w:val="21"/>
                <w:u w:val="single"/>
              </w:rPr>
              <w:t>guangzhengzixun@126.com</w:t>
            </w:r>
          </w:p>
        </w:tc>
      </w:tr>
      <w:tr>
        <w:tblPrEx>
          <w:tblCellMar>
            <w:top w:w="0" w:type="dxa"/>
            <w:left w:w="108" w:type="dxa"/>
            <w:bottom w:w="0" w:type="dxa"/>
            <w:right w:w="108" w:type="dxa"/>
          </w:tblCellMar>
        </w:tblPrEx>
        <w:trPr>
          <w:trHeight w:val="397" w:hRule="atLeast"/>
          <w:jc w:val="center"/>
        </w:trPr>
        <w:tc>
          <w:tcPr>
            <w:tcW w:w="1206" w:type="dxa"/>
            <w:noWrap w:val="0"/>
            <w:vAlign w:val="center"/>
          </w:tcPr>
          <w:p>
            <w:pPr>
              <w:rPr>
                <w:rFonts w:hint="eastAsia" w:ascii="宋体" w:hAnsi="宋体" w:cs="宋体"/>
                <w:szCs w:val="21"/>
              </w:rPr>
            </w:pPr>
            <w:r>
              <w:rPr>
                <w:rFonts w:hint="eastAsia" w:ascii="宋体" w:hAnsi="宋体" w:cs="宋体"/>
                <w:szCs w:val="21"/>
              </w:rPr>
              <w:t>网  址：</w:t>
            </w:r>
          </w:p>
        </w:tc>
        <w:tc>
          <w:tcPr>
            <w:tcW w:w="3654" w:type="dxa"/>
            <w:noWrap w:val="0"/>
            <w:vAlign w:val="center"/>
          </w:tcPr>
          <w:p>
            <w:pPr>
              <w:rPr>
                <w:rFonts w:hint="eastAsia" w:ascii="宋体" w:hAnsi="宋体" w:cs="宋体"/>
                <w:szCs w:val="21"/>
                <w:u w:val="single"/>
              </w:rPr>
            </w:pPr>
            <w:r>
              <w:rPr>
                <w:rFonts w:hint="eastAsia" w:ascii="宋体" w:hAnsi="宋体" w:cs="宋体"/>
                <w:szCs w:val="21"/>
                <w:u w:val="single"/>
              </w:rPr>
              <w:t>/</w:t>
            </w:r>
          </w:p>
        </w:tc>
        <w:tc>
          <w:tcPr>
            <w:tcW w:w="1582" w:type="dxa"/>
            <w:noWrap w:val="0"/>
            <w:vAlign w:val="center"/>
          </w:tcPr>
          <w:p>
            <w:pPr>
              <w:rPr>
                <w:rFonts w:hint="eastAsia" w:ascii="宋体" w:hAnsi="宋体" w:cs="宋体"/>
                <w:szCs w:val="21"/>
              </w:rPr>
            </w:pPr>
            <w:r>
              <w:rPr>
                <w:rFonts w:hint="eastAsia" w:ascii="宋体" w:hAnsi="宋体" w:cs="宋体"/>
                <w:szCs w:val="21"/>
              </w:rPr>
              <w:t>网  址：</w:t>
            </w:r>
          </w:p>
        </w:tc>
        <w:tc>
          <w:tcPr>
            <w:tcW w:w="3623" w:type="dxa"/>
            <w:noWrap w:val="0"/>
            <w:vAlign w:val="center"/>
          </w:tcPr>
          <w:p>
            <w:pPr>
              <w:rPr>
                <w:rFonts w:hint="eastAsia" w:ascii="宋体" w:hAnsi="宋体" w:cs="宋体"/>
                <w:szCs w:val="21"/>
                <w:u w:val="single"/>
              </w:rPr>
            </w:pPr>
            <w:r>
              <w:rPr>
                <w:rFonts w:hint="eastAsia" w:ascii="宋体" w:hAnsi="宋体" w:cs="宋体"/>
                <w:szCs w:val="21"/>
                <w:u w:val="single"/>
              </w:rPr>
              <w:t>http://www.tjgcc.com.cn/</w:t>
            </w:r>
          </w:p>
        </w:tc>
      </w:tr>
      <w:tr>
        <w:tblPrEx>
          <w:tblCellMar>
            <w:top w:w="0" w:type="dxa"/>
            <w:left w:w="108" w:type="dxa"/>
            <w:bottom w:w="0" w:type="dxa"/>
            <w:right w:w="108" w:type="dxa"/>
          </w:tblCellMar>
        </w:tblPrEx>
        <w:trPr>
          <w:trHeight w:val="397" w:hRule="atLeast"/>
          <w:jc w:val="center"/>
        </w:trPr>
        <w:tc>
          <w:tcPr>
            <w:tcW w:w="1206" w:type="dxa"/>
            <w:noWrap w:val="0"/>
            <w:vAlign w:val="center"/>
          </w:tcPr>
          <w:p>
            <w:pPr>
              <w:rPr>
                <w:rFonts w:hint="eastAsia" w:ascii="宋体" w:hAnsi="宋体" w:cs="宋体"/>
                <w:szCs w:val="21"/>
              </w:rPr>
            </w:pPr>
            <w:r>
              <w:rPr>
                <w:rFonts w:hint="eastAsia" w:ascii="宋体" w:hAnsi="宋体" w:cs="宋体"/>
                <w:szCs w:val="21"/>
              </w:rPr>
              <w:t>开户银行：</w:t>
            </w:r>
          </w:p>
        </w:tc>
        <w:tc>
          <w:tcPr>
            <w:tcW w:w="3654" w:type="dxa"/>
            <w:noWrap w:val="0"/>
            <w:vAlign w:val="center"/>
          </w:tcPr>
          <w:p>
            <w:pPr>
              <w:rPr>
                <w:rFonts w:hint="eastAsia" w:ascii="宋体" w:hAnsi="宋体" w:cs="宋体"/>
                <w:szCs w:val="21"/>
                <w:u w:val="single"/>
              </w:rPr>
            </w:pPr>
            <w:r>
              <w:rPr>
                <w:rFonts w:hint="eastAsia" w:ascii="宋体" w:hAnsi="宋体" w:cs="宋体"/>
                <w:szCs w:val="21"/>
                <w:u w:val="single"/>
              </w:rPr>
              <w:t>/</w:t>
            </w:r>
          </w:p>
        </w:tc>
        <w:tc>
          <w:tcPr>
            <w:tcW w:w="1582" w:type="dxa"/>
            <w:noWrap w:val="0"/>
            <w:vAlign w:val="center"/>
          </w:tcPr>
          <w:p>
            <w:pPr>
              <w:rPr>
                <w:rFonts w:hint="eastAsia" w:ascii="宋体" w:hAnsi="宋体" w:cs="宋体"/>
                <w:szCs w:val="21"/>
              </w:rPr>
            </w:pPr>
            <w:r>
              <w:rPr>
                <w:rFonts w:hint="eastAsia" w:ascii="宋体" w:hAnsi="宋体" w:cs="宋体"/>
                <w:szCs w:val="21"/>
              </w:rPr>
              <w:t>开户银行：</w:t>
            </w:r>
          </w:p>
        </w:tc>
        <w:tc>
          <w:tcPr>
            <w:tcW w:w="3623" w:type="dxa"/>
            <w:noWrap w:val="0"/>
            <w:vAlign w:val="center"/>
          </w:tcPr>
          <w:p>
            <w:pPr>
              <w:rPr>
                <w:rFonts w:hint="eastAsia" w:ascii="宋体" w:hAnsi="宋体" w:cs="宋体"/>
                <w:szCs w:val="21"/>
                <w:u w:val="single"/>
              </w:rPr>
            </w:pPr>
            <w:r>
              <w:rPr>
                <w:rFonts w:hint="eastAsia" w:ascii="宋体" w:hAnsi="宋体" w:cs="宋体"/>
                <w:szCs w:val="21"/>
                <w:u w:val="single"/>
              </w:rPr>
              <w:t xml:space="preserve">中信银行天津和平支行 </w:t>
            </w:r>
          </w:p>
        </w:tc>
      </w:tr>
      <w:tr>
        <w:tblPrEx>
          <w:tblCellMar>
            <w:top w:w="0" w:type="dxa"/>
            <w:left w:w="108" w:type="dxa"/>
            <w:bottom w:w="0" w:type="dxa"/>
            <w:right w:w="108" w:type="dxa"/>
          </w:tblCellMar>
        </w:tblPrEx>
        <w:trPr>
          <w:trHeight w:val="397" w:hRule="atLeast"/>
          <w:jc w:val="center"/>
        </w:trPr>
        <w:tc>
          <w:tcPr>
            <w:tcW w:w="1206" w:type="dxa"/>
            <w:noWrap w:val="0"/>
            <w:vAlign w:val="center"/>
          </w:tcPr>
          <w:p>
            <w:pPr>
              <w:rPr>
                <w:rFonts w:hint="eastAsia" w:ascii="宋体" w:hAnsi="宋体" w:cs="宋体"/>
                <w:szCs w:val="21"/>
              </w:rPr>
            </w:pPr>
            <w:r>
              <w:rPr>
                <w:rFonts w:hint="eastAsia" w:ascii="宋体" w:hAnsi="宋体" w:cs="宋体"/>
                <w:szCs w:val="21"/>
              </w:rPr>
              <w:t>账  号：</w:t>
            </w:r>
          </w:p>
        </w:tc>
        <w:tc>
          <w:tcPr>
            <w:tcW w:w="3654" w:type="dxa"/>
            <w:noWrap w:val="0"/>
            <w:vAlign w:val="center"/>
          </w:tcPr>
          <w:p>
            <w:pPr>
              <w:rPr>
                <w:rFonts w:hint="eastAsia" w:ascii="宋体" w:hAnsi="宋体" w:cs="宋体"/>
                <w:szCs w:val="21"/>
                <w:u w:val="single"/>
              </w:rPr>
            </w:pPr>
            <w:r>
              <w:rPr>
                <w:rFonts w:hint="eastAsia" w:ascii="宋体" w:hAnsi="宋体" w:cs="宋体"/>
                <w:szCs w:val="21"/>
                <w:u w:val="single"/>
              </w:rPr>
              <w:t>/</w:t>
            </w:r>
          </w:p>
        </w:tc>
        <w:tc>
          <w:tcPr>
            <w:tcW w:w="1582" w:type="dxa"/>
            <w:noWrap w:val="0"/>
            <w:vAlign w:val="center"/>
          </w:tcPr>
          <w:p>
            <w:pPr>
              <w:rPr>
                <w:rFonts w:hint="eastAsia" w:ascii="宋体" w:hAnsi="宋体" w:cs="宋体"/>
                <w:szCs w:val="21"/>
              </w:rPr>
            </w:pPr>
            <w:r>
              <w:rPr>
                <w:rFonts w:hint="eastAsia" w:ascii="宋体" w:hAnsi="宋体" w:cs="宋体"/>
                <w:szCs w:val="21"/>
              </w:rPr>
              <w:t>账  号：</w:t>
            </w:r>
          </w:p>
        </w:tc>
        <w:tc>
          <w:tcPr>
            <w:tcW w:w="3623" w:type="dxa"/>
            <w:noWrap w:val="0"/>
            <w:vAlign w:val="center"/>
          </w:tcPr>
          <w:p>
            <w:pPr>
              <w:rPr>
                <w:rFonts w:hint="eastAsia" w:ascii="宋体" w:hAnsi="宋体" w:cs="宋体"/>
                <w:szCs w:val="21"/>
                <w:u w:val="single"/>
              </w:rPr>
            </w:pPr>
            <w:r>
              <w:rPr>
                <w:rFonts w:hint="eastAsia" w:ascii="宋体" w:hAnsi="宋体" w:cs="宋体"/>
                <w:szCs w:val="21"/>
                <w:u w:val="single"/>
              </w:rPr>
              <w:t>7231310182600129934</w:t>
            </w:r>
          </w:p>
        </w:tc>
      </w:tr>
      <w:tr>
        <w:tblPrEx>
          <w:tblCellMar>
            <w:top w:w="0" w:type="dxa"/>
            <w:left w:w="108" w:type="dxa"/>
            <w:bottom w:w="0" w:type="dxa"/>
            <w:right w:w="108" w:type="dxa"/>
          </w:tblCellMar>
        </w:tblPrEx>
        <w:trPr>
          <w:trHeight w:val="397" w:hRule="atLeast"/>
          <w:jc w:val="center"/>
        </w:trPr>
        <w:tc>
          <w:tcPr>
            <w:tcW w:w="1206" w:type="dxa"/>
            <w:noWrap w:val="0"/>
            <w:vAlign w:val="center"/>
          </w:tcPr>
          <w:p>
            <w:pPr>
              <w:rPr>
                <w:rFonts w:hint="eastAsia" w:ascii="宋体" w:hAnsi="宋体" w:cs="宋体"/>
                <w:szCs w:val="21"/>
              </w:rPr>
            </w:pPr>
          </w:p>
        </w:tc>
        <w:tc>
          <w:tcPr>
            <w:tcW w:w="3654" w:type="dxa"/>
            <w:noWrap w:val="0"/>
            <w:vAlign w:val="center"/>
          </w:tcPr>
          <w:p>
            <w:pPr>
              <w:rPr>
                <w:rFonts w:hint="eastAsia" w:ascii="宋体" w:hAnsi="宋体" w:cs="宋体"/>
                <w:szCs w:val="21"/>
              </w:rPr>
            </w:pPr>
          </w:p>
        </w:tc>
        <w:tc>
          <w:tcPr>
            <w:tcW w:w="1582" w:type="dxa"/>
            <w:noWrap w:val="0"/>
            <w:vAlign w:val="center"/>
          </w:tcPr>
          <w:p>
            <w:pPr>
              <w:rPr>
                <w:rFonts w:hint="eastAsia" w:ascii="宋体" w:hAnsi="宋体" w:cs="宋体"/>
                <w:szCs w:val="21"/>
              </w:rPr>
            </w:pPr>
          </w:p>
        </w:tc>
        <w:tc>
          <w:tcPr>
            <w:tcW w:w="3623" w:type="dxa"/>
            <w:noWrap w:val="0"/>
            <w:vAlign w:val="center"/>
          </w:tcPr>
          <w:p>
            <w:pPr>
              <w:rPr>
                <w:rFonts w:hint="eastAsia" w:ascii="宋体" w:hAnsi="宋体" w:cs="宋体"/>
                <w:szCs w:val="21"/>
              </w:rPr>
            </w:pPr>
            <w:r>
              <w:rPr>
                <w:rFonts w:hint="eastAsia" w:ascii="宋体" w:hAnsi="宋体" w:cs="宋体"/>
                <w:szCs w:val="21"/>
                <w:u w:val="single"/>
              </w:rPr>
              <w:t>2024年</w:t>
            </w:r>
            <w:r>
              <w:rPr>
                <w:rFonts w:hint="eastAsia" w:ascii="宋体" w:hAnsi="宋体" w:cs="宋体"/>
                <w:szCs w:val="21"/>
                <w:u w:val="single"/>
                <w:lang w:val="en-US" w:eastAsia="zh-CN"/>
              </w:rPr>
              <w:t>4</w:t>
            </w:r>
            <w:r>
              <w:rPr>
                <w:rFonts w:hint="eastAsia" w:ascii="宋体" w:hAnsi="宋体" w:cs="宋体"/>
                <w:szCs w:val="21"/>
                <w:u w:val="single"/>
              </w:rPr>
              <w:t>月</w:t>
            </w:r>
            <w:r>
              <w:rPr>
                <w:rFonts w:hint="eastAsia" w:ascii="宋体" w:hAnsi="宋体" w:cs="宋体"/>
                <w:szCs w:val="21"/>
                <w:u w:val="single"/>
                <w:lang w:val="en-US" w:eastAsia="zh-CN"/>
              </w:rPr>
              <w:t>1</w:t>
            </w:r>
            <w:r>
              <w:rPr>
                <w:rFonts w:hint="eastAsia" w:ascii="宋体" w:hAnsi="宋体" w:cs="宋体"/>
                <w:szCs w:val="21"/>
                <w:u w:val="single"/>
              </w:rPr>
              <w:t>日</w:t>
            </w:r>
          </w:p>
        </w:tc>
      </w:tr>
      <w:bookmarkEnd w:id="9"/>
      <w:bookmarkEnd w:id="10"/>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cho">
    <w:altName w:val="MS Gothic"/>
    <w:panose1 w:val="02020609040305080305"/>
    <w:charset w:val="80"/>
    <w:family w:val="roman"/>
    <w:pitch w:val="default"/>
    <w:sig w:usb0="00000000" w:usb1="00000000" w:usb2="00000010" w:usb3="00000000" w:csb0="00020000" w:csb1="00000000"/>
  </w:font>
  <w:font w:name="仿宋_GB2312">
    <w:altName w:val="仿宋"/>
    <w:panose1 w:val="02010609030101010101"/>
    <w:charset w:val="86"/>
    <w:family w:val="modern"/>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BF9F8"/>
    <w:multiLevelType w:val="singleLevel"/>
    <w:tmpl w:val="CE5BF9F8"/>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YTU0YzJkYjRmMTg1NjljNDAwMmYwNTNiYWVhNTYifQ=="/>
  </w:docVars>
  <w:rsids>
    <w:rsidRoot w:val="256E02F9"/>
    <w:rsid w:val="0D2F10DD"/>
    <w:rsid w:val="1E2D340E"/>
    <w:rsid w:val="256E0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autoSpaceDE w:val="0"/>
      <w:autoSpaceDN w:val="0"/>
      <w:adjustRightInd w:val="0"/>
      <w:spacing w:line="360" w:lineRule="auto"/>
    </w:pPr>
    <w:rPr>
      <w:rFonts w:ascii="Mincho"/>
      <w:kern w:val="0"/>
      <w:sz w:val="24"/>
    </w:rPr>
  </w:style>
  <w:style w:type="paragraph" w:styleId="3">
    <w:name w:val="Body Text 2"/>
    <w:basedOn w:val="1"/>
    <w:next w:val="4"/>
    <w:autoRedefine/>
    <w:qFormat/>
    <w:uiPriority w:val="0"/>
    <w:rPr>
      <w:rFonts w:ascii="仿宋_GB2312" w:hAnsi="Times New Roman" w:eastAsia="仿宋_GB2312" w:cs="Times New Roman"/>
      <w:b/>
      <w:sz w:val="28"/>
      <w:szCs w:val="20"/>
    </w:rPr>
  </w:style>
  <w:style w:type="paragraph" w:styleId="4">
    <w:name w:val="Body Text Indent 3"/>
    <w:basedOn w:val="1"/>
    <w:autoRedefine/>
    <w:qFormat/>
    <w:uiPriority w:val="0"/>
    <w:pPr>
      <w:spacing w:after="120" w:afterLines="0"/>
      <w:ind w:left="420" w:leftChars="200"/>
    </w:pPr>
    <w:rPr>
      <w:sz w:val="16"/>
      <w:szCs w:val="16"/>
    </w:rPr>
  </w:style>
  <w:style w:type="paragraph" w:styleId="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2024-04-01T00:53:00Z</dcterms:created>
  <dc:creator>曹筱</dc:creator>
  <cp:lastModifiedBy>曹筱</cp:lastModifiedBy>
  <dcterms:modified xsi:type="dcterms:W3CDTF">2024-04-01T01:51:12Z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9ACDC8112DF143E381B11136AE08CCEF_11</vt:lpwstr>
  </property>
</Properties>
</file>