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.2024年多种用工人员经费绩效目标表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2024年多种用工人员经费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通过支付支队多种用工人员工资，保障员工积极性，保障工作正常进行。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1.目标内容1通过发放多种用工人员工资,保障员工积极性,保障工作顺利进行.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多种用工人员数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多种用工工资发放成本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.2024年治超派遣制人员经费绩效目标表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2024年治超派遣制人员经费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9804200.00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9804200.00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通过支付支队派遣人员工资，保障员工积极性，保障工作正常进行。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1.通过支付支队治超人员工资，保障工作正常进行。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6.58万元/人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保障治超工作正常进行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保障治超工作正常进行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3.办公楼运行费*绩效目标表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办公楼运行费*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1390000.00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1390000.00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通过支付办公楼运行费,保障执法工作顺利进行.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1.1.通过支付办公楼运行费用，保障日常工作顺利进行。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支付办公楼费用及时率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支付办公楼费用及时率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支付办公楼费用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支付办公楼费用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保障日常工作顺利推进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保障日常工作顺利推进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4.工程质量检测费*绩效目标表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工程质量检测费*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通过工程质量检测,保障工程质量合格.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1.1.通过开展工程质量检测，保障项目质量合格，顺利推进项目进行。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检测质量合格率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检测质量合格率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支付检测费及时率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支付检测费及时率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支付检测费用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支付检测费用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保障项目工程质量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保障项目工程质量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.公路超限检测站（点）运行费（津财基指【2022】89号）绩效目标表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公路超限检测站（点）运行费（津财基指【2022】89号）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524904.00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524904.00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检测设备质量合格,提高检测精度准确度,正常开展工作.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运行维护1类超限站数量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运行维护1类超限站数量及流动站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超限站检测设备质量要求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超限站检测设备质量要求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超限设施日常维修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超限设施日常维修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日常养护经费执行率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日常养护经费执行率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治超站设施运行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治超站设施运行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运行规范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.危险品场地租赁费*绩效目标表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危险品场地租赁费*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通过支付场地租赁费,保障执法工作顺利进行.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1.1.通过租赁危险品场地，保障危险品工作正常运行。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危化品场地数量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危化品场地数量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租赁场地使用率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租赁场地使用率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场地费支付及时率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场地费支付及时率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场地租赁费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场地租赁费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保障危险品工作正常运行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保障危险品工作正常运行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.行政执法费*绩效目标表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行政执法费*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通过支付行政执法费,保障执法工作顺利进行.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1.1.通过购置执法设备，保障执法工作顺利推进。</w:t>
            </w:r>
          </w:p>
          <w:p>
            <w:pPr>
              <w:pStyle w:val="12"/>
            </w:pPr>
            <w:r>
              <w:t>2.2.通过配备执法服装,提高规范执法形象.</w:t>
            </w:r>
          </w:p>
          <w:p>
            <w:pPr>
              <w:pStyle w:val="12"/>
            </w:pPr>
            <w:r>
              <w:t>3.3.通过聘用法律顾问,提高执法行业专业水平.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购买执法设备数量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购买执法设备数量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行政执法案件处理率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行政执法案件处理率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行政执法案件处理及时率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行政执法案件处理及时率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.执法站标准化建设*绩效目标表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执法站标准化建设*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通过标准化建设,提升执法形象.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1.通过执法站点标准化建设,提高执法形象.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执法站标准化建设合格率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执法站标准化建设合格率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执法站建设及时率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执法站建设及时率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.治超卸载点租赁费*绩效目标表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治超卸载点租赁费*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通过支付卸载点租赁费,保障执法工作顺利进行.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1.1.通过租赁治超卸载点，保障治超工作正常运行。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租赁治超卸载点数量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支付租赁费准确率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支付租赁费及时率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保障治超工作正常运行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保障治超工作正常运行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color w:val="000000"/>
          <w:sz w:val="28"/>
        </w:rPr>
        <w:t>.超限监测站（点）设施日常养护（含土地租赁）市级补助直达资金（津财基指【2022】101号）绩效目标表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超限监测站（点）设施日常养护（含土地租赁）市级补助直达资金（津财基指【2022】101号）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490600.00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490600.00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检测设备质量合格,提高检测精度准确度,正常开展工作.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1.对滨海新区范围内1个1类超限站、5个流动检测点开展运维工作。</w:t>
            </w:r>
          </w:p>
          <w:p>
            <w:pPr>
              <w:pStyle w:val="12"/>
            </w:pPr>
            <w:r>
              <w:t>2.公路超限站（点）检测设备质量合格、精度准确，持有合格有效的计量检定证书。</w:t>
            </w:r>
          </w:p>
          <w:p>
            <w:pPr>
              <w:pStyle w:val="12"/>
            </w:pPr>
            <w:r>
              <w:t>3.公路超限站（点）检测站设备、设施损坏后及时维修，不影响站区正常运行。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1个1类超限站5个流动检测站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1个1类超限站5个流动检测站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超限站检测设备质量标准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超限站检测设备质量标准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设施日常维修执行率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设施日常维修执行率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设施日常正常工作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设施日常正常工作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5FEB3923"/>
    <w:rsid w:val="7B9BC993"/>
    <w:rsid w:val="7D6A090C"/>
    <w:rsid w:val="EF921B24"/>
    <w:rsid w:val="F7DFE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2024-01-17T03:58:00Z</dcterms:created>
  <dc:creator>Administrator</dc:creator>
  <cp:lastModifiedBy>赵瑾</cp:lastModifiedBy>
  <dcterms:modified xsi:type="dcterms:W3CDTF">2024-01-31T16:44:59Z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7216C36DA2B041CBBF4D7A1663C4DC5E_12</vt:lpwstr>
  </property>
</Properties>
</file>