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1.安全生产管理咨询服务费*绩效目标表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安全生产管理咨询服务费*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150000.00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150000.00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安全生产管理咨询服务费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1.通过开展行业教育培训和协同开展安全检查，有利于压实企业安全责任。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协同开展安全检查次数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协同开展安全检查次数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≥4次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行业教育培训次数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行业教育培训次数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服务事项办结率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服务事项办结率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出具安全生产工作咨询意见成本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出具安全生产工作咨询意见成本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按规定时限完成率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按规定时限完成率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压实企业单位安全生产责任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压实企业单位安全生产责任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显著提高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机关工作人员满意度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机关工作人员满意度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</w:tbl>
    <w:p>
      <w:pPr>
        <w:sectPr>
          <w:footerReference r:id="rId3" w:type="default"/>
          <w:footerReference r:id="rId4" w:type="even"/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2.滨海西站配套2024年运营补贴绩效目标表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滨海西站配套2024年运营补贴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10000000.00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10000000.00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滨海西站2024年运营补贴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1.按照补贴标准，保证补贴资金及时足额发放，确保滨海西站配套运营公司正常运营。</w:t>
            </w:r>
          </w:p>
          <w:p>
            <w:pPr>
              <w:pStyle w:val="12"/>
            </w:pP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补贴运营单位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补贴运营单位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1-12月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补贴运营成本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补贴运营成本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有效促进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企业投诉次数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企业投诉次数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≤10次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3.滨海站配套2024年运营补贴绩效目标表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滨海站配套2024年运营补贴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10000000.00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10000000.00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滨海站2024年运营补贴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1.按照补贴标准，保证补贴资金及时足额发放，确保滨海站配套运营公司正常运营。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补贴运营单位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补贴运营单位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1-12月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补贴运营成本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补贴运营成本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有效促进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企业投诉次数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企业投诉次数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≤10次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4.法律顾问聘用费*绩效目标表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法律顾问聘用费*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200000.00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法律顾问聘用费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1.通过支付法律顾问聘用费用，开展法律服务，提高全局法治工作质量和依法行政水平，提升机关法治政府形象。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参与法律服务人数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参与法律服务人数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服务事项办结率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服务事项办结率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按法律时限完成率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按法律时限完成率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人均法律服务成本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人均法律服务成本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≤7万元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提高全局法治工作质量和依法行政水平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提高全局法治工作质量和依法行政水平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有效提高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提升机关法治政府形象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提升机关法治政府形象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有效提升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机关工作人员满意度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机关工作人员满意度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5.津石高速天津东段日常运营养护及联网运营维护费用绩效目标表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津石高速天津东段日常运营养护及联网运营维护费用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9200000.00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9200000.00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为了确保津石高速运营正常，将通过及时发放日常运营养护及联网运营维护费等方法的实施，完成津石高速天津东段主线运营正常，确保道路畅通。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1.为了确保津石高速运营正常，将通过及时发放日常运营养护及联网运营维护费等方法的实施，完成津石高速天津东段主线运营正常，确保道路畅通。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高速运营里程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高速运营里程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31.3公里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运营合格率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运营合格率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日常运营养护及联网运营维护费发放及时率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日常运营养护及联网运营维护费发放及时率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日常运营养护及联网运营维护费支出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日常运营养护及联网运营维护费支出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920万元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确保高速正常运营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确保高速正常运营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周边群众满意度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周边群众满意度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6.2021年度村村通客车补贴（津财建一指【2023】82号）绩效目标表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2021年度村村通客车补贴（津财建一指【2023】82号）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3981222.00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3981222.00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2021年度村村通客车补贴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1.目标内容1：按照补贴标准，保证补贴资金及时足额发放，确保市公交滨海公司、滨海新区公交集团村村通客车正常运营。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补贴村村通公交线路数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补贴村村通公交线路数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≥50条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补贴公交运营单位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补贴公交运营单位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补贴拨付运营单位合规率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补贴拨付运营单位合规率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补贴发放及时率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补贴发放及时率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补贴公交运营成本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补贴公交运营成本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3981222元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0有效促进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企业满意度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企业满意度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7.2022年度村村通客车补贴（津财建一指【2023】82号）绩效目标表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2022年度村村通客车补贴（津财建一指【2023】82号）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4324522.00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4324522.00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2022年度村村通客车补贴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1.目标内容1：按照补贴标准，保证补贴资金及时足额发放，确保市公交滨海公司、滨海新区公交集团村村通客车正常运营。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补贴村村通公交线路数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补贴村村通公交线路数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≥50条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补贴公交运营单位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补贴公交运营单位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补贴拨付运营单位合规率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补贴拨付运营单位合规率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补贴发放及时率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补贴发放及时率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补贴公交运营成本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补贴公交运营成本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4324522元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0有效促进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企业满意度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企业满意度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8.2022年度农村客运补贴资金（津财建一指【2023】81号）绩效目标表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2022年度农村客运补贴资金（津财建一指【2023】81号）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400200.00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400200.00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2022年度农村客运补贴资金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1.目标内容1：按照补贴标准，保证补贴资金及时足额发放，促进新区农村水路客运行业（渡口）健康发展。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服务对象数量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服务对象数量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补贴精准性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补贴精准性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0按政策精准补贴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资金拨付时间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资金拨付时间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02023年底前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补贴规模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补贴规模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0按照项目预算资金</w:t>
            </w:r>
          </w:p>
          <w:p>
            <w:pPr>
              <w:pStyle w:val="12"/>
            </w:pPr>
            <w:r>
              <w:t>足额发放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保障新区农村水路客运</w:t>
            </w:r>
          </w:p>
          <w:p>
            <w:pPr>
              <w:pStyle w:val="12"/>
            </w:pPr>
            <w:r>
              <w:t>行业稳定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保障新区农村水路客运</w:t>
            </w:r>
          </w:p>
          <w:p>
            <w:pPr>
              <w:pStyle w:val="12"/>
            </w:pPr>
            <w:r>
              <w:t>行业稳定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≥3营运渡口数量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补贴对象满意率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补贴对象满意率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≥75%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9.2024年公路设施养管经费绩效目标表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2024年公路设施养管经费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20000000.00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20000000.00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公路设施养管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1.用于支付公路路桥养护及路灯电费，保障养管的公路及设施完好，正常运行，为群众安全提供保障。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养管公路里程数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养管公路里程数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≥133公里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保障公路设施安全运行达标率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保障公路设施安全运行达标率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养护管理完成时间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养护管理完成时间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2024年12月31日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养护管理成本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养护管理成本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2000万元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保障交通设施正常使用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保障交通设施正常使用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得到提升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信访回复满意度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信访回复满意度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10.2024年新增一般债券安排项目应付利息绩效目标表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2024年新增一般债券安排项目应付利息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144522549.87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144522549.87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新增一般债券安排项目应付利息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1.通过支付新增一般债券安排项目应付利息有效化解债务纠纷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应付利息项目数量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应付利息项目数量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≤42个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资金使用合规性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资金使用合规性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贷款违约情况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贷款违约情况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不违约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偿还债务及时率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偿还债务及时率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一般债券安排项目应付利息（元）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一般债券安排项目应付利息（元）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144522549.87元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有效化解债务纠纷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有效化解债务纠纷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有效化解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债权人满意度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债权人满意度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11.2024年新增专项债券安排项目应付利息绩效目标表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2024年新增专项债券安排项目应付利息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287583649.76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287583649.76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新增专项债券安排项目应付利息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1.通过支付新增专项债券安排项目应付利息有效化解债务纠纷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应付利息项目数量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应付利息项目数量</w:t>
            </w:r>
          </w:p>
          <w:p>
            <w:pPr>
              <w:pStyle w:val="12"/>
            </w:pP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≤21个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资金使用合规性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资金使用合规性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贷款违约情况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贷款违约情况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不违约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专项债券安排项目应付利息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专项债券安排项目应付利息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287583649.76元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有效化解债务纠纷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有效化解债务纠纷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有效化解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债权人满意度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债权人满意度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12.2024年新增专项债券安排项目应付利息（收费公路-津石高速）绩效目标表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2024年新增专项债券安排项目应付利息（收费公路-津石高速）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138865000.00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138865000.00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新增专项债券安排项目应付利息（收费公路-津石高速）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1.通过支付新增专项债券安排项目应付利息（收费公路-津石高速）有效化解债务纠纷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应付利息项目数量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应付利息项目数量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资金使用合规性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资金使用合规性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贷款违约情况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贷款违约情况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不违约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偿还债务及时率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偿还债务及时率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专项债券安排项目应付利息（元）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专项债券安排项目应付利息（元）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138865000元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有效化解债务纠纷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有效化解债务纠纷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有效化解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债权人满意度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债权人满意度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13.滨海新区2024年公路7座桥梁大修工程绩效目标表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滨海新区2024年公路7座桥梁大修工程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30000000.00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30000000.00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桥梁维修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为确保桥梁运行安全，对塘汉快速路永定新河特大桥、北大街跨唐津高速桥、疏港联络线跨线桥、太沙路青静黄河桥、京滨线车站北路立交桥、港城大道京津高速跨线桥北幅桥、滨海大道迎宾桥等7座桥梁进行维修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桥梁维修数量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桥梁维修数量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7座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保障公路设施安全运行达标率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保障公路设施安全运行达标率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日常运营养护及时率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日常运营养护及时率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桥梁维修工程费用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桥梁维修工程费用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3000万元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确保桥梁运营正常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确保桥梁运营正常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周边群众满意度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周边群众满意度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14.滨海新区轻纺大道工程（一般债）绩效目标表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滨海新区轻纺大道工程（一般债）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329964770.07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329964770.07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滨海新区轻纺大道工程（一般债券）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1.通过发行再融资一般债券，实施滨海新区轻纺大道工程，完成滨海新区轻纺大道道路维修工程，改善了道路的通行条件，减少了颠簸和拥堵，减少了噪声污染和尾气排放，大大提高了道路通行的安全性。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完成滨海新区轻纺大道道路维修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完成滨海新区轻纺大道道路维修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11.8km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36100.45万元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改善道路通行条件，减少了颠簸和拥堵，减少了噪声污染和尾气排放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改善道路通行条件，减少了颠簸和拥堵，减少了噪声污染和尾气排放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沿线周边群众满意度</w:t>
            </w:r>
          </w:p>
          <w:p>
            <w:pPr>
              <w:pStyle w:val="12"/>
            </w:pPr>
          </w:p>
          <w:p>
            <w:pPr>
              <w:pStyle w:val="12"/>
            </w:pP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沿线周边群众满意度</w:t>
            </w:r>
          </w:p>
          <w:p>
            <w:pPr>
              <w:pStyle w:val="12"/>
            </w:pPr>
          </w:p>
          <w:p>
            <w:pPr>
              <w:pStyle w:val="12"/>
            </w:pP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≥95百分比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15.港塘路拓宽改造工程（一般债）绩效目标表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港塘路拓宽改造工程（一般债）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21889174.62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21889174.62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港塘路拓宽改造工程（一般债）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1.通过发行再融资一般债券，实施港塘路拓宽改造工程，完成大港区海景大道至天津大道段道路拓宽改造工程，道路质量、安全、成本满足预定要求，改善了周边区域道路通行条件。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完成港塘路（大港区海景大道至天津大道）道路施工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完成港塘路（大港区海景大道至天津大道）道路施工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11.33km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  <w:p>
            <w:pPr>
              <w:pStyle w:val="12"/>
            </w:pP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6834.45万元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≥95百分比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16.公交运营补贴—滨海公交绩效目标表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公交运营补贴—滨海公交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120000000.00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120000000.00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滨海公交运营补贴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1.目标内容1：按照补贴标准，保证补贴资金及时足额发放，确保新区公交集团正常运营。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补贴公交线路数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补贴公交线路数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≥50条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1-12月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补贴公交运营成本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补贴公交运营成本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120000000元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有效促进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公交企业投诉次数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公交企业投诉次数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≤10次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17.公交运营补贴—市公交绩效目标表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公交运营补贴—市公交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110000000.00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110000000.00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市公交运营补贴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1.目标内容1：按照补贴标准，保证补贴资金及时足额发放，确保市公交集团正常运营。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补贴公交线路数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补贴公交线路数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≥30条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补贴发放覆盖率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补贴期限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1-12月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补贴公交运营成本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补贴公交运营成本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110000000元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促进公共交通健康发展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有效促进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公交企业投诉次数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公交企业投诉次数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≤10次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18.海河大桥（一般债）绩效目标表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海河大桥（一般债）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22840968.87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22840968.87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海河大桥（一般债）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1.通过发行再融资一般债券，实施海河大桥回购。取消收费管理，改善了滨海新区投资环境。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完成海河大桥道路回购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完成海河大桥道路回购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2.65km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2814.1万元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取消收费管理，改善滨海新区投资环境。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取消收费管理，改善滨海新区投资环境。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沿线周边群众满意度</w:t>
            </w:r>
          </w:p>
          <w:p>
            <w:pPr>
              <w:pStyle w:val="12"/>
            </w:pPr>
          </w:p>
          <w:p>
            <w:pPr>
              <w:pStyle w:val="12"/>
            </w:pP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沿线周边群众满意度</w:t>
            </w:r>
          </w:p>
          <w:p>
            <w:pPr>
              <w:pStyle w:val="12"/>
            </w:pPr>
          </w:p>
          <w:p>
            <w:pPr>
              <w:pStyle w:val="12"/>
            </w:pP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≥95百分比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19.海景大道南延工程（一般债）绩效目标表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海景大道南延工程（一般债）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29914153.48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29914153.48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海景大道南延工程（一般债）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1.通过发行再融资一般债券，实施海景大道南延工程，完成大港海景大道至规划北穿港路段道路工程，道路质量、安全、成本满足预定要求，改善了周边区域道路通行条件。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完成海景大道（大港海景大道至规划北穿港路）道路施工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完成海景大道（大港海景大道至规划北穿港路）道路施工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8.9km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3336.1万元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≥95百分比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20.汉蔡路改造工程（一般债）绩效目标表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汉蔡路改造工程（一般债）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17085114.09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17085114.09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汉蔡路改造工程（一般债）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1.通过发行再融资一般债券，实施汉蔡路改造工程，完成汉沽南外环至海滨大道蔡家堡互通立交收费站段道路工程，道路质量、安全、成本满足预定要求，改善了周边区域道路通行条件。</w:t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>
            <w:pPr>
              <w:pStyle w:val="12"/>
            </w:pP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完成汉蔡路（汉沽南外环至海滨大道蔡家堡互通立交收费站）道路施工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完成汉蔡路（汉沽南外环至海滨大道蔡家堡互通立交收费站）道路施工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5.32km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1935.45万元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≥95百分比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21.集疏港公路一期工程（东段）（一般债）绩效目标表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集疏港公路一期工程（东段）（一般债）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42368772.09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42368772.09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集疏港公路一期（东段）（一般债）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1.通过发行再融资一般债券，实施集疏港公路一期工程（东段），完成京山铁路桥西侧坡道开口至海滨大道段道路工程，道路质量、安全、成本满足预定要求，改善了周边区域道路通行条件。</w:t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>
            <w:pPr>
              <w:pStyle w:val="12"/>
            </w:pP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完成集疏港公路（京山铁路桥西侧坡道开口至海滨大道）道路施工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完成集疏港公路（京山铁路桥西侧坡道开口至海滨大道）道路施工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6.15km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4256.81万元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  <w:p>
            <w:pPr>
              <w:pStyle w:val="12"/>
            </w:pPr>
          </w:p>
          <w:p>
            <w:pPr>
              <w:pStyle w:val="12"/>
            </w:pP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  <w:p>
            <w:pPr>
              <w:pStyle w:val="12"/>
            </w:pPr>
          </w:p>
          <w:p>
            <w:pPr>
              <w:pStyle w:val="12"/>
            </w:pP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≥95百分比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22.津沽一线（疏港联络线东延）工程（一般债）绩效目标表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津沽一线（疏港联络线东延）工程（一般债）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17757656.47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17757656.47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津沽一线（疏港联络线东延）（一般债）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 xml:space="preserve">1."通过发行再融资一般债券，实施津沽一线（疏港联络线东延）工程，完成津沽一线（疏港联络线东延）工程道路维修工程，改善了道路的通行条件，减少了颠簸和拥堵，减少了噪声污染和尾气排放，大大提高了道路通行的安全性。                                                    </w:t>
            </w:r>
          </w:p>
          <w:p>
            <w:pPr>
              <w:pStyle w:val="12"/>
            </w:pPr>
            <w:r>
              <w:t>"</w:t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>
            <w:pPr>
              <w:pStyle w:val="12"/>
            </w:pP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完成津沽一线（疏港联络线东延）工程道路维修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完成津沽一线（疏港联络线东延）工程道路维修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3.03km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18074.13万元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改善道路通行条件，减少了颠簸和拥堵，减少了噪声污染和尾气排放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改善道路通行条件，减少了颠簸和拥堵，减少了噪声污染和尾气排放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沿线周边群众满意度</w:t>
            </w:r>
          </w:p>
          <w:p>
            <w:pPr>
              <w:pStyle w:val="12"/>
            </w:pPr>
          </w:p>
          <w:p>
            <w:pPr>
              <w:pStyle w:val="12"/>
            </w:pP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沿线周边群众满意度</w:t>
            </w:r>
          </w:p>
          <w:p>
            <w:pPr>
              <w:pStyle w:val="12"/>
            </w:pPr>
          </w:p>
          <w:p>
            <w:pPr>
              <w:pStyle w:val="12"/>
            </w:pP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95百分比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23.京津冀协同发展之产业协同与智慧城市建设项目（天津治超联网信息管理系统）绩效目标表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京津冀协同发展之产业协同与智慧城市建设项目（天津治超联网信息管理系统）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17828821.78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17828821.78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治超联网系统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1.建设16处非现场执法点位，点位设备质量合格、精度准确，持有合格有效的计量检定证书；点位设备、设施损坏后及时维修，不影响正常运行。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建设非现场执法点位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建设非现场执法点位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16个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检测设备质量要求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检测设备质量要求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检测设备日常维修率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检测设备日常维修率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建设经费执行率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建设经费执行率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非现场执法点位检测设施运行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非现场执法点位检测设施运行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运行规范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受检市民满意率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受检市民满意率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24.疏港联络线拓宽改造工程（一般债）绩效目标表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疏港联络线拓宽改造工程（一般债）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56881481.27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56881481.27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疏港联络线改造工程（一般债）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1.通过发行再融资一般债券，实施疏港联络线拓宽改造工程，完成港塘路至津沽一线与迎宾大道交口处道路工程，道路质量、安全、成本满足预定要求，改善了周边区域道路通行条件。</w:t>
            </w:r>
            <w:r>
              <w:tab/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完成疏港联络线（港塘路至津沽一线与迎宾大道交口处）道路施工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完成疏港联络线（港塘路至津沽一线与迎宾大道交口处）道路施工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8.41km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8510.02万元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  <w:p>
            <w:pPr>
              <w:pStyle w:val="12"/>
            </w:pPr>
          </w:p>
          <w:p>
            <w:pPr>
              <w:pStyle w:val="12"/>
            </w:pP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  <w:p>
            <w:pPr>
              <w:pStyle w:val="12"/>
            </w:pPr>
          </w:p>
          <w:p>
            <w:pPr>
              <w:pStyle w:val="12"/>
            </w:pP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≥95百分比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25.塘汉快速路工程（一般债）绩效目标表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塘汉快速路工程（一般债）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194323348.55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194323348.55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塘汉快速路工程（一般债）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1.通过发行再融资一般债券，实施塘汉快速路工程，完成杨北公路以南300m处至汉沽西环段道路工程，道路质量、安全、成本满足预定要求，改善了周边区域道路通行条件。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完成塘汉快速路（杨北公路以南300m处至汉沽西环）道路施工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完成塘汉快速路（杨北公路以南300m处至汉沽西环）道路施工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14.33km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100百分比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30855.98万元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≥95百分比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26.塘汉路拓宽改造一期工程（一般债）绩效目标表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塘汉路拓宽改造一期工程（一般债）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13508000.00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13508000.00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塘汉路拓宽改造一期工程（一般债）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1.通过发行再融资一般债券，实施塘汉路拓宽改造一期工程，完成规划泰山道至京津高速延长线南辅道段道路工程，道路质量、安全、成本满足预定要求，改善了周边区域道路通行条件。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完成塘汉路一期（规划泰山道至京津高速延长线南辅道）道路施工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完成塘汉路一期（规划泰山道至京津高速延长线南辅道）道路施工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1.25km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15887万元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27.塘汉路拓宽改造一期工程（一般债）绩效目标表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塘汉路拓宽改造一期工程（一般债）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16480811.01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16480811.01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塘汉路拓宽改造一期工程（一般债）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1.通过发行再融资一般债券，实施塘汉路拓宽改造一期工程，完成规划泰山道至京津高速延长线南辅道段道路工程，道路质量、安全、成本满足预定要求，改善了周边区域道路通行条件。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完成塘汉路一期（规划泰山道至京津高速延长线南辅道）道路施工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完成塘汉路一期（规划泰山道至京津高速延长线南辅道）道路施工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1.25km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3433.87万元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28.天津集疏港公路（津沽一线立交-疏港二线立交）（一般债）绩效目标表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天津集疏港公路（津沽一线立交-疏港二线立交）（一般债）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126205551.91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126205551.91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天津集疏港公路(津沽一线立交-疏港二线立交）工程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 xml:space="preserve">1.通过发行再融资一般债券，实施天津集疏港公路（津沽一线立交-疏港二线立交）工程，通过在现有海滨大道的基础上改扩建，实现南北两端通过海滨大道与河北省沿海高速连接，实现城市交通与集疏港交通的分离。       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完成天津集疏港公路（津沽一线立交-疏港二线立交）项目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完成天津集疏港公路（津沽一线立交-疏港二线立交）项目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11.08km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交工验收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交工验收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15027.04万元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改善道路通行条件，减少了颠簸和拥堵，减少了噪声污染和尾气排放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改善道路通行条件，减少了颠簸和拥堵，减少了噪声污染和尾气排放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沿线周边群众满意度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沿线周边群众满意度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29.天津集疏港公路南段工程（津晋高速-津沽一线）（一般债）绩效目标表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天津集疏港公路南段工程（津晋高速-津沽一线）（一般债）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20539752.35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20539752.35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天津集疏港公路南段工程（津晋高速-津沽一线）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1.通过发行再融资一般债券，实施天津集疏港公路南段工程（津晋高速-津沽一线）工程，彻底解决港城交通矛盾，实现城市交通与集疏港交通的分离。</w:t>
            </w:r>
          </w:p>
          <w:p>
            <w:pPr>
              <w:pStyle w:val="12"/>
            </w:pP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完成天津集疏港公路南段工程（津晋高速-津沽一线）项目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完成天津集疏港公路南段工程（津晋高速-津沽一线）项目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8.24km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2143.29万元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改善道路通行条件，减少了颠簸和拥堵，减少了噪声污染和尾气排放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改善道路通行条件，减少了颠簸和拥堵，减少了噪声污染和尾气排放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沿线周边群众满意度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沿线周边群众满意度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30.西中环及延长线快速路二期工程（京港高速公路—京津高速公路）（一般债）绩效目标表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西中环及延长线快速路二期工程（京港高速公路—京津高速公路）（一般债）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44098165.55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44098165.55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项目资金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西中环及延长线快速路二期工程（京港高速公路—京津高速公路），完成第京港高速公路至京津高速公路互通立交段道路工程，道路质量、安全、成本满足预定要求，改善了周边区域道路通行条件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完成西中环及延长线快速路二期工程（京港高速公路—京津高速公路）道路施工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完成西中环及延长线快速路二期工程（京港高速公路—京津高速公路）道路施工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4.95km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8707.07万元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31.西中环及延长线快速路工程（一般债）绩效目标表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西中环及延长线快速路工程（一般债）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8467689.35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8467689.35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西中环及延长线快速路工程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1.通过发行再融资一般债券，实施西中环及延长线快速路工程，完成第九大街至津塘公路立交桥梁南落地点段道路工程，道路质量、安全、成本满足预定要求，改善了周边区域道路通行条件。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完成西中环及延长线快速路工程（第九大街至津塘公路立交桥梁南落地点）道路施工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完成西中环及延长线快速路工程（第九大街至津塘公路立交桥梁南落地点）道路施工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9.81km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竣工验收合格率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846.77万元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32.新杨北公路项目（一般债）绩效目标表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327101天津市滨海新区交通运输局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新杨北公路项目（一般债）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37221065.52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37221065.52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新杨北公路项目（一般债）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1.通过发行再融资一般债券，实施新杨北路工程，完成东丽区内杨北公路至港城大道段道路工程，道路质量、安全、成本满足预定要求，改善了周边区域道路通行条件。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完成新杨北路（东丽区内杨北公路至港城大道）道路施工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完成新杨北路（东丽区内杨北公路至港城大道）道路施工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21.8km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符合技术规范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项目按计划完工率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2023年再融资一般债券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6451.34万元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改善了道路的通行条件，大大提高了道路通行的安全性。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减少了噪声污染和尾气排放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bookmarkStart w:id="0" w:name="_GoBack"/>
      <w:bookmarkEnd w:id="0"/>
    </w:p>
    <w:sectPr>
      <w:pgSz w:w="11900" w:h="16840"/>
      <w:pgMar w:top="1984" w:right="1304" w:bottom="1134" w:left="1304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right"/>
    </w:pPr>
    <w:r>
      <w:fldChar w:fldCharType="begin"/>
    </w:r>
    <w:r>
      <w:instrText xml:space="preserve">PAGE "page number"</w:instrText>
    </w:r>
    <w:r>
      <w:fldChar w:fldCharType="separate"/>
    </w:r>
    <w:r>
      <w:t>page number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</w:pPr>
    <w:r>
      <w:fldChar w:fldCharType="begin"/>
    </w:r>
    <w:r>
      <w:instrText xml:space="preserve">PAGE "page number"</w:instrText>
    </w:r>
    <w:r>
      <w:fldChar w:fldCharType="separate"/>
    </w:r>
    <w:r>
      <w:t>page number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outline"/>
  <w:zoom w:percent="100"/>
  <w:bordersDoNotSurroundHeader w:val="false"/>
  <w:bordersDoNotSurroundFooter w:val="false"/>
  <w:doNotTrackMoves/>
  <w:documentProtection w:enforcement="0"/>
  <w:defaultTabStop w:val="720"/>
  <w:evenAndOddHeaders w:val="true"/>
  <w:characterSpacingControl w:val="doNotCompress"/>
  <w:compat>
    <w:doNotLeaveBackslashAlone/>
    <w:doNotExpandShiftReturn/>
    <w:adjustLineHeightInTable/>
    <w:useFELayout/>
    <w:compatSetting w:name="compatibilityMode" w:uri="http://schemas.microsoft.com/office/word" w:val="15"/>
  </w:compat>
  <w:docVars>
    <w:docVar w:name="commondata" w:val="eyJoZGlkIjoiOTAwMzQxYWQxYzQ2YmY2NWU0ZTgwY2U5NmQzY2U4ZmIifQ=="/>
  </w:docVars>
  <w:rsids>
    <w:rsidRoot w:val="00000000"/>
    <w:rsid w:val="5ECD6E1B"/>
    <w:rsid w:val="5FEB392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qFormat="1" w:unhideWhenUsed="0" w:uiPriority="0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 w:cstheme="minorBidi"/>
      <w:sz w:val="24"/>
      <w:szCs w:val="24"/>
      <w:lang w:val="en-US" w:eastAsia="uk-UA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  <w:pPr>
      <w:spacing w:before="120" w:line="240" w:lineRule="auto"/>
      <w:ind w:firstLine="0"/>
    </w:pPr>
    <w:rPr>
      <w:rFonts w:ascii="Times New Roman" w:hAnsi="Times New Roman" w:eastAsia="方正仿宋_GBK" w:cs="Times New Roman"/>
      <w:color w:val="000000"/>
      <w:sz w:val="28"/>
      <w:lang w:val="en-US"/>
    </w:rPr>
  </w:style>
  <w:style w:type="paragraph" w:styleId="3">
    <w:name w:val="toc 2"/>
    <w:basedOn w:val="1"/>
    <w:next w:val="1"/>
    <w:qFormat/>
    <w:uiPriority w:val="0"/>
    <w:pPr>
      <w:ind w:left="240"/>
    </w:pPr>
  </w:style>
  <w:style w:type="table" w:styleId="5">
    <w:name w:val="Table Grid"/>
    <w:basedOn w:val="4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7">
    <w:name w:val="插入文本样式-插入总体目标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8">
    <w:name w:val="插入文本样式-插入职责分类绩效目标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9">
    <w:name w:val="插入文本样式-插入实现年度发展规划目标的保障措施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10">
    <w:name w:val="单元格样式4"/>
    <w:basedOn w:val="1"/>
    <w:qFormat/>
    <w:uiPriority w:val="0"/>
    <w:pPr>
      <w:spacing w:before="0" w:after="0"/>
      <w:ind w:firstLine="0"/>
      <w:jc w:val="right"/>
      <w:outlineLvl w:val="9"/>
    </w:pPr>
    <w:rPr>
      <w:rFonts w:ascii="方正书宋_GBK" w:hAnsi="方正书宋_GBK" w:eastAsia="方正书宋_GBK" w:cs="方正书宋_GBK"/>
      <w:sz w:val="21"/>
    </w:rPr>
  </w:style>
  <w:style w:type="paragraph" w:customStyle="1" w:styleId="11">
    <w:name w:val="单元格样式5"/>
    <w:basedOn w:val="1"/>
    <w:qFormat/>
    <w:uiPriority w:val="0"/>
    <w:pPr>
      <w:spacing w:before="0" w:after="0"/>
      <w:ind w:firstLine="0"/>
      <w:jc w:val="left"/>
      <w:outlineLvl w:val="9"/>
    </w:pPr>
    <w:rPr>
      <w:rFonts w:ascii="方正书宋_GBK" w:hAnsi="方正书宋_GBK" w:eastAsia="方正书宋_GBK" w:cs="方正书宋_GBK"/>
      <w:b/>
      <w:sz w:val="21"/>
    </w:rPr>
  </w:style>
  <w:style w:type="paragraph" w:customStyle="1" w:styleId="12">
    <w:name w:val="单元格样式2"/>
    <w:basedOn w:val="1"/>
    <w:qFormat/>
    <w:uiPriority w:val="0"/>
    <w:pPr>
      <w:spacing w:before="0" w:after="0"/>
      <w:ind w:firstLine="0"/>
      <w:jc w:val="left"/>
      <w:outlineLvl w:val="9"/>
    </w:pPr>
    <w:rPr>
      <w:rFonts w:ascii="方正书宋_GBK" w:hAnsi="方正书宋_GBK" w:eastAsia="方正书宋_GBK" w:cs="方正书宋_GBK"/>
      <w:sz w:val="21"/>
    </w:rPr>
  </w:style>
  <w:style w:type="paragraph" w:customStyle="1" w:styleId="13">
    <w:name w:val="单元格样式1"/>
    <w:basedOn w:val="1"/>
    <w:qFormat/>
    <w:uiPriority w:val="0"/>
    <w:pPr>
      <w:spacing w:before="0" w:after="0"/>
      <w:ind w:firstLine="0"/>
      <w:jc w:val="center"/>
      <w:outlineLvl w:val="9"/>
    </w:pPr>
    <w:rPr>
      <w:rFonts w:ascii="方正书宋_GBK" w:hAnsi="方正书宋_GBK" w:eastAsia="方正书宋_GBK" w:cs="方正书宋_GBK"/>
      <w:b/>
      <w:sz w:val="21"/>
    </w:rPr>
  </w:style>
  <w:style w:type="paragraph" w:customStyle="1" w:styleId="14">
    <w:name w:val="单元格样式3"/>
    <w:basedOn w:val="1"/>
    <w:qFormat/>
    <w:uiPriority w:val="0"/>
    <w:pPr>
      <w:spacing w:before="0" w:after="0"/>
      <w:ind w:firstLine="0"/>
      <w:jc w:val="center"/>
      <w:outlineLvl w:val="9"/>
    </w:pPr>
    <w:rPr>
      <w:rFonts w:ascii="方正书宋_GBK" w:hAnsi="方正书宋_GBK" w:eastAsia="方正书宋_GBK" w:cs="方正书宋_GBK"/>
      <w:sz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ScaleCrop>false</ScaleCrop>
  <LinksUpToDate>false</LinksUpToDate>
  <Application>WPS Office_11.8.2.10554_F1E327BC-269C-435d-A152-05C5408002CA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2024-01-16T19:58:00Z</dcterms:created>
  <dc:creator>Administrator</dc:creator>
  <cp:lastModifiedBy>赵瑾</cp:lastModifiedBy>
  <dcterms:modified xsi:type="dcterms:W3CDTF">2024-01-31T16:33:22Z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2052-11.8.2.10554</vt:lpwstr>
  </property>
  <property fmtid="{D5CDD505-2E9C-101B-9397-08002B2CF9AE}" pid="3" name="ICV">
    <vt:lpwstr>7216C36DA2B041CBBF4D7A1663C4DC5E_12</vt:lpwstr>
  </property>
</Properties>
</file>