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19"/>
          <w:tab w:val="left" w:pos="5654"/>
        </w:tabs>
        <w:spacing w:line="360" w:lineRule="auto"/>
        <w:ind w:right="5"/>
        <w:jc w:val="center"/>
        <w:rPr>
          <w:b/>
          <w:spacing w:val="-10"/>
          <w:sz w:val="36"/>
          <w:szCs w:val="36"/>
        </w:rPr>
      </w:pPr>
      <w:bookmarkStart w:id="0" w:name="_Toc196474969"/>
    </w:p>
    <w:p>
      <w:pPr>
        <w:tabs>
          <w:tab w:val="left" w:pos="4819"/>
          <w:tab w:val="left" w:pos="5654"/>
        </w:tabs>
        <w:spacing w:line="360" w:lineRule="auto"/>
        <w:ind w:right="5"/>
        <w:jc w:val="center"/>
        <w:rPr>
          <w:b/>
          <w:spacing w:val="-10"/>
          <w:sz w:val="36"/>
          <w:szCs w:val="36"/>
        </w:rPr>
      </w:pPr>
    </w:p>
    <w:p>
      <w:pPr>
        <w:tabs>
          <w:tab w:val="left" w:pos="4819"/>
          <w:tab w:val="left" w:pos="5654"/>
        </w:tabs>
        <w:spacing w:line="360" w:lineRule="auto"/>
        <w:ind w:right="5"/>
        <w:jc w:val="center"/>
        <w:rPr>
          <w:b/>
          <w:bCs/>
          <w:kern w:val="0"/>
          <w:sz w:val="52"/>
          <w:szCs w:val="52"/>
        </w:rPr>
      </w:pPr>
      <w:r>
        <w:rPr>
          <w:rFonts w:hint="eastAsia"/>
          <w:b/>
          <w:bCs/>
          <w:kern w:val="0"/>
          <w:sz w:val="52"/>
          <w:szCs w:val="52"/>
        </w:rPr>
        <w:t>新建天津至潍坊高速铁路滨海段“三电”及地下管线迁改工程监理</w:t>
      </w:r>
    </w:p>
    <w:p>
      <w:pPr>
        <w:tabs>
          <w:tab w:val="left" w:pos="4819"/>
          <w:tab w:val="left" w:pos="5654"/>
        </w:tabs>
        <w:spacing w:line="360" w:lineRule="auto"/>
        <w:ind w:right="5"/>
        <w:jc w:val="center"/>
        <w:rPr>
          <w:b/>
          <w:bCs/>
          <w:kern w:val="0"/>
          <w:sz w:val="52"/>
          <w:szCs w:val="52"/>
        </w:rPr>
      </w:pPr>
    </w:p>
    <w:p>
      <w:pPr>
        <w:tabs>
          <w:tab w:val="left" w:pos="4819"/>
          <w:tab w:val="left" w:pos="5654"/>
        </w:tabs>
        <w:spacing w:line="360" w:lineRule="auto"/>
        <w:ind w:right="5"/>
        <w:jc w:val="center"/>
        <w:rPr>
          <w:b/>
          <w:bCs/>
          <w:kern w:val="0"/>
          <w:sz w:val="36"/>
          <w:szCs w:val="36"/>
        </w:rPr>
      </w:pPr>
    </w:p>
    <w:p>
      <w:pPr>
        <w:tabs>
          <w:tab w:val="left" w:pos="4819"/>
          <w:tab w:val="left" w:pos="5654"/>
        </w:tabs>
        <w:spacing w:line="360" w:lineRule="auto"/>
        <w:ind w:right="5"/>
        <w:jc w:val="center"/>
        <w:rPr>
          <w:b/>
          <w:bCs/>
          <w:kern w:val="0"/>
          <w:sz w:val="36"/>
          <w:szCs w:val="36"/>
        </w:rPr>
      </w:pPr>
    </w:p>
    <w:p>
      <w:pPr>
        <w:tabs>
          <w:tab w:val="left" w:pos="4819"/>
          <w:tab w:val="left" w:pos="5654"/>
        </w:tabs>
        <w:spacing w:line="360" w:lineRule="auto"/>
        <w:ind w:right="5"/>
        <w:jc w:val="center"/>
        <w:rPr>
          <w:b/>
          <w:bCs/>
          <w:kern w:val="0"/>
          <w:sz w:val="36"/>
          <w:szCs w:val="36"/>
        </w:rPr>
      </w:pPr>
    </w:p>
    <w:p>
      <w:pPr>
        <w:tabs>
          <w:tab w:val="left" w:pos="4819"/>
          <w:tab w:val="left" w:pos="5654"/>
        </w:tabs>
        <w:spacing w:line="360" w:lineRule="auto"/>
        <w:ind w:right="5"/>
        <w:jc w:val="center"/>
        <w:rPr>
          <w:b/>
          <w:bCs/>
          <w:kern w:val="0"/>
          <w:sz w:val="36"/>
          <w:szCs w:val="36"/>
        </w:rPr>
      </w:pPr>
    </w:p>
    <w:p>
      <w:pPr>
        <w:tabs>
          <w:tab w:val="left" w:pos="4819"/>
          <w:tab w:val="left" w:pos="5654"/>
        </w:tabs>
        <w:spacing w:line="360" w:lineRule="auto"/>
        <w:ind w:right="5"/>
        <w:jc w:val="center"/>
        <w:rPr>
          <w:b/>
          <w:bCs/>
          <w:kern w:val="0"/>
          <w:sz w:val="36"/>
          <w:szCs w:val="36"/>
        </w:rPr>
      </w:pPr>
      <w:r>
        <w:rPr>
          <w:rFonts w:hint="eastAsia"/>
          <w:b/>
          <w:bCs/>
          <w:kern w:val="0"/>
          <w:sz w:val="32"/>
          <w:szCs w:val="32"/>
        </w:rPr>
        <w:t>（招标编号：ctzx-2023-124号）</w:t>
      </w:r>
    </w:p>
    <w:p>
      <w:pPr>
        <w:tabs>
          <w:tab w:val="left" w:pos="4819"/>
          <w:tab w:val="left" w:pos="5654"/>
        </w:tabs>
        <w:spacing w:line="360" w:lineRule="auto"/>
        <w:ind w:right="5"/>
        <w:jc w:val="center"/>
        <w:rPr>
          <w:kern w:val="0"/>
          <w:sz w:val="28"/>
          <w:szCs w:val="28"/>
        </w:rPr>
      </w:pPr>
      <w:r>
        <w:rPr>
          <w:rFonts w:hint="eastAsia"/>
          <w:b/>
          <w:bCs/>
          <w:kern w:val="0"/>
          <w:sz w:val="52"/>
          <w:szCs w:val="52"/>
        </w:rPr>
        <w:t>招 标 文 件</w:t>
      </w:r>
    </w:p>
    <w:p>
      <w:pPr>
        <w:tabs>
          <w:tab w:val="left" w:pos="4819"/>
          <w:tab w:val="left" w:pos="5654"/>
        </w:tabs>
        <w:spacing w:line="458" w:lineRule="auto"/>
        <w:ind w:right="-806" w:firstLine="840" w:firstLineChars="300"/>
        <w:rPr>
          <w:kern w:val="0"/>
          <w:sz w:val="28"/>
          <w:szCs w:val="28"/>
        </w:rPr>
      </w:pPr>
    </w:p>
    <w:p>
      <w:pPr>
        <w:tabs>
          <w:tab w:val="left" w:pos="4819"/>
          <w:tab w:val="left" w:pos="5654"/>
        </w:tabs>
        <w:spacing w:line="458" w:lineRule="auto"/>
        <w:ind w:right="-806" w:firstLine="840" w:firstLineChars="300"/>
        <w:rPr>
          <w:kern w:val="0"/>
          <w:sz w:val="28"/>
          <w:szCs w:val="28"/>
        </w:rPr>
      </w:pPr>
    </w:p>
    <w:p>
      <w:pPr>
        <w:tabs>
          <w:tab w:val="left" w:pos="4819"/>
          <w:tab w:val="left" w:pos="5654"/>
        </w:tabs>
        <w:spacing w:line="458" w:lineRule="auto"/>
        <w:ind w:right="-806" w:firstLine="840" w:firstLineChars="300"/>
        <w:rPr>
          <w:kern w:val="0"/>
          <w:sz w:val="28"/>
          <w:szCs w:val="28"/>
        </w:rPr>
      </w:pPr>
    </w:p>
    <w:p>
      <w:pPr>
        <w:tabs>
          <w:tab w:val="left" w:pos="4819"/>
          <w:tab w:val="left" w:pos="5654"/>
        </w:tabs>
        <w:spacing w:line="458" w:lineRule="auto"/>
        <w:ind w:right="-806" w:firstLine="840" w:firstLineChars="300"/>
        <w:rPr>
          <w:kern w:val="0"/>
          <w:sz w:val="28"/>
          <w:szCs w:val="28"/>
        </w:rPr>
      </w:pPr>
    </w:p>
    <w:p>
      <w:pPr>
        <w:tabs>
          <w:tab w:val="left" w:pos="4819"/>
          <w:tab w:val="left" w:pos="5654"/>
        </w:tabs>
        <w:spacing w:line="458" w:lineRule="auto"/>
        <w:ind w:right="-806" w:firstLine="843" w:firstLineChars="300"/>
        <w:rPr>
          <w:b/>
          <w:bCs/>
          <w:kern w:val="0"/>
          <w:sz w:val="28"/>
          <w:szCs w:val="28"/>
        </w:rPr>
      </w:pPr>
      <w:r>
        <w:rPr>
          <w:rFonts w:hint="eastAsia"/>
          <w:b/>
          <w:bCs/>
          <w:kern w:val="0"/>
          <w:sz w:val="28"/>
          <w:szCs w:val="28"/>
        </w:rPr>
        <w:t>招标人：</w:t>
      </w:r>
      <w:r>
        <w:rPr>
          <w:rFonts w:hint="eastAsia"/>
          <w:b/>
          <w:bCs/>
          <w:kern w:val="0"/>
          <w:sz w:val="28"/>
          <w:szCs w:val="28"/>
          <w:u w:val="single"/>
        </w:rPr>
        <w:t xml:space="preserve">天津市滨海新区城投建设发展有限公司 </w:t>
      </w:r>
      <w:r>
        <w:rPr>
          <w:rFonts w:hint="eastAsia"/>
          <w:b/>
          <w:bCs/>
          <w:kern w:val="0"/>
          <w:sz w:val="28"/>
          <w:szCs w:val="28"/>
        </w:rPr>
        <w:t>（盖单位章）</w:t>
      </w:r>
    </w:p>
    <w:p>
      <w:pPr>
        <w:tabs>
          <w:tab w:val="left" w:pos="4819"/>
          <w:tab w:val="left" w:pos="5654"/>
        </w:tabs>
        <w:spacing w:line="458" w:lineRule="auto"/>
        <w:ind w:right="-806" w:firstLine="843" w:firstLineChars="300"/>
        <w:rPr>
          <w:b/>
          <w:bCs/>
          <w:kern w:val="0"/>
          <w:sz w:val="28"/>
          <w:szCs w:val="28"/>
        </w:rPr>
      </w:pPr>
      <w:r>
        <w:rPr>
          <w:rFonts w:hint="eastAsia"/>
          <w:b/>
          <w:bCs/>
          <w:kern w:val="0"/>
          <w:sz w:val="28"/>
          <w:szCs w:val="28"/>
        </w:rPr>
        <w:t>招标代理机构：</w:t>
      </w:r>
      <w:r>
        <w:rPr>
          <w:rFonts w:hint="eastAsia"/>
          <w:b/>
          <w:bCs/>
          <w:kern w:val="0"/>
          <w:sz w:val="28"/>
          <w:szCs w:val="28"/>
          <w:u w:val="single"/>
        </w:rPr>
        <w:t>天津市滨海新区城投工程咨询有限公司</w:t>
      </w:r>
      <w:r>
        <w:rPr>
          <w:rFonts w:hint="eastAsia"/>
          <w:b/>
          <w:bCs/>
          <w:kern w:val="0"/>
          <w:sz w:val="28"/>
          <w:szCs w:val="28"/>
        </w:rPr>
        <w:t>（盖单位章）</w:t>
      </w:r>
    </w:p>
    <w:p>
      <w:pPr>
        <w:jc w:val="center"/>
      </w:pPr>
      <w:r>
        <w:rPr>
          <w:rFonts w:hint="eastAsia"/>
          <w:b/>
          <w:bCs/>
          <w:w w:val="105"/>
          <w:sz w:val="28"/>
          <w:szCs w:val="28"/>
          <w:u w:val="single"/>
        </w:rPr>
        <w:t>2023</w:t>
      </w:r>
      <w:r>
        <w:rPr>
          <w:rFonts w:hint="eastAsia"/>
          <w:b/>
          <w:bCs/>
          <w:w w:val="105"/>
          <w:sz w:val="28"/>
          <w:szCs w:val="28"/>
        </w:rPr>
        <w:t>年</w:t>
      </w:r>
      <w:r>
        <w:rPr>
          <w:rFonts w:hint="eastAsia"/>
          <w:b/>
          <w:bCs/>
          <w:w w:val="105"/>
          <w:sz w:val="28"/>
          <w:szCs w:val="28"/>
          <w:u w:val="single"/>
        </w:rPr>
        <w:t xml:space="preserve"> </w:t>
      </w:r>
      <w:r>
        <w:rPr>
          <w:rFonts w:hint="eastAsia"/>
          <w:b/>
          <w:bCs/>
          <w:w w:val="105"/>
          <w:sz w:val="28"/>
          <w:szCs w:val="28"/>
          <w:u w:val="single"/>
          <w:lang w:val="en-US" w:eastAsia="zh-CN"/>
        </w:rPr>
        <w:t>8</w:t>
      </w:r>
      <w:r>
        <w:rPr>
          <w:rFonts w:hint="eastAsia"/>
          <w:b/>
          <w:bCs/>
          <w:w w:val="110"/>
          <w:sz w:val="28"/>
          <w:szCs w:val="28"/>
        </w:rPr>
        <w:t>月</w:t>
      </w:r>
      <w:r>
        <w:rPr>
          <w:rFonts w:hint="eastAsia"/>
          <w:b/>
          <w:bCs/>
          <w:w w:val="110"/>
          <w:sz w:val="28"/>
          <w:szCs w:val="28"/>
          <w:u w:val="single"/>
        </w:rPr>
        <w:t xml:space="preserve"> 1</w:t>
      </w:r>
      <w:r>
        <w:rPr>
          <w:rFonts w:hint="eastAsia"/>
          <w:b/>
          <w:bCs/>
          <w:w w:val="110"/>
          <w:sz w:val="28"/>
          <w:szCs w:val="28"/>
        </w:rPr>
        <w:t>日</w:t>
      </w:r>
    </w:p>
    <w:p>
      <w:pPr>
        <w:sectPr>
          <w:footerReference r:id="rId5" w:type="first"/>
          <w:headerReference r:id="rId3" w:type="default"/>
          <w:footerReference r:id="rId4" w:type="even"/>
          <w:pgSz w:w="11906" w:h="16838"/>
          <w:pgMar w:top="1247" w:right="1247" w:bottom="1247" w:left="1304" w:header="794" w:footer="794" w:gutter="0"/>
          <w:pgNumType w:start="0"/>
          <w:cols w:space="720" w:num="1"/>
          <w:titlePg/>
          <w:docGrid w:linePitch="312" w:charSpace="0"/>
        </w:sectPr>
      </w:pPr>
    </w:p>
    <w:p>
      <w:pPr>
        <w:spacing w:before="120" w:beforeLines="50" w:after="120" w:afterLines="50"/>
        <w:jc w:val="center"/>
        <w:rPr>
          <w:b/>
          <w:sz w:val="44"/>
          <w:szCs w:val="44"/>
        </w:rPr>
      </w:pPr>
      <w:r>
        <w:rPr>
          <w:rFonts w:hint="eastAsia"/>
          <w:b/>
          <w:sz w:val="44"/>
          <w:szCs w:val="44"/>
        </w:rPr>
        <w:t>目</w:t>
      </w:r>
      <w:r>
        <w:rPr>
          <w:b/>
          <w:sz w:val="44"/>
          <w:szCs w:val="44"/>
        </w:rPr>
        <w:t xml:space="preserve">    录</w:t>
      </w:r>
      <w:bookmarkEnd w:id="0"/>
    </w:p>
    <w:p>
      <w:pPr>
        <w:jc w:val="center"/>
        <w:rPr>
          <w:sz w:val="36"/>
          <w:szCs w:val="36"/>
        </w:rPr>
      </w:pPr>
      <w:r>
        <w:rPr>
          <w:rFonts w:hint="eastAsia"/>
          <w:sz w:val="36"/>
          <w:szCs w:val="36"/>
        </w:rPr>
        <w:t>第一卷</w:t>
      </w:r>
    </w:p>
    <w:p>
      <w:pPr>
        <w:pStyle w:val="19"/>
        <w:tabs>
          <w:tab w:val="right" w:leader="dot" w:pos="9355"/>
          <w:tab w:val="clear" w:pos="9458"/>
        </w:tabs>
        <w:rPr>
          <w:sz w:val="32"/>
          <w:szCs w:val="32"/>
        </w:rPr>
      </w:pPr>
      <w:r>
        <w:rPr>
          <w:sz w:val="36"/>
          <w:szCs w:val="36"/>
        </w:rPr>
        <w:fldChar w:fldCharType="begin"/>
      </w:r>
      <w:r>
        <w:rPr>
          <w:sz w:val="36"/>
          <w:szCs w:val="36"/>
        </w:rPr>
        <w:instrText xml:space="preserve"> TOC \o "1-2" \h \z \u </w:instrText>
      </w:r>
      <w:r>
        <w:rPr>
          <w:sz w:val="36"/>
          <w:szCs w:val="36"/>
        </w:rPr>
        <w:fldChar w:fldCharType="separate"/>
      </w:r>
      <w:r>
        <w:fldChar w:fldCharType="begin"/>
      </w:r>
      <w:r>
        <w:instrText xml:space="preserve"> HYPERLINK \l "_Toc26452" </w:instrText>
      </w:r>
      <w:r>
        <w:fldChar w:fldCharType="separate"/>
      </w:r>
      <w:r>
        <w:rPr>
          <w:rFonts w:ascii="宋体" w:hAnsi="宋体"/>
          <w:sz w:val="32"/>
          <w:szCs w:val="32"/>
        </w:rPr>
        <w:t>第一</w:t>
      </w:r>
      <w:r>
        <w:rPr>
          <w:rFonts w:hint="eastAsia" w:ascii="宋体" w:hAnsi="宋体"/>
          <w:sz w:val="32"/>
          <w:szCs w:val="32"/>
        </w:rPr>
        <w:t>章</w:t>
      </w:r>
      <w:r>
        <w:rPr>
          <w:rFonts w:ascii="宋体" w:hAnsi="宋体"/>
          <w:sz w:val="32"/>
          <w:szCs w:val="32"/>
        </w:rPr>
        <w:t xml:space="preserve">  招标公告</w:t>
      </w:r>
      <w:r>
        <w:rPr>
          <w:sz w:val="32"/>
          <w:szCs w:val="32"/>
        </w:rPr>
        <w:tab/>
      </w:r>
      <w:r>
        <w:rPr>
          <w:sz w:val="32"/>
          <w:szCs w:val="32"/>
        </w:rPr>
        <w:fldChar w:fldCharType="begin"/>
      </w:r>
      <w:r>
        <w:rPr>
          <w:sz w:val="32"/>
          <w:szCs w:val="32"/>
        </w:rPr>
        <w:instrText xml:space="preserve"> PAGEREF _Toc26452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19"/>
        <w:tabs>
          <w:tab w:val="right" w:leader="dot" w:pos="9355"/>
          <w:tab w:val="clear" w:pos="9458"/>
        </w:tabs>
        <w:rPr>
          <w:sz w:val="32"/>
          <w:szCs w:val="32"/>
        </w:rPr>
      </w:pPr>
      <w:r>
        <w:fldChar w:fldCharType="begin"/>
      </w:r>
      <w:r>
        <w:instrText xml:space="preserve"> HYPERLINK \l "_Toc25717" </w:instrText>
      </w:r>
      <w:r>
        <w:fldChar w:fldCharType="separate"/>
      </w:r>
      <w:r>
        <w:rPr>
          <w:rFonts w:ascii="宋体" w:hAnsi="宋体"/>
          <w:sz w:val="32"/>
          <w:szCs w:val="32"/>
        </w:rPr>
        <w:t>第二</w:t>
      </w:r>
      <w:r>
        <w:rPr>
          <w:rFonts w:hint="eastAsia" w:ascii="宋体" w:hAnsi="宋体"/>
          <w:sz w:val="32"/>
          <w:szCs w:val="32"/>
        </w:rPr>
        <w:t>章</w:t>
      </w:r>
      <w:r>
        <w:rPr>
          <w:rFonts w:ascii="宋体" w:hAnsi="宋体"/>
          <w:sz w:val="32"/>
          <w:szCs w:val="32"/>
        </w:rPr>
        <w:t xml:space="preserve">  投标</w:t>
      </w:r>
      <w:r>
        <w:rPr>
          <w:rFonts w:hint="eastAsia" w:ascii="宋体" w:hAnsi="宋体"/>
          <w:sz w:val="32"/>
          <w:szCs w:val="32"/>
        </w:rPr>
        <w:t>人</w:t>
      </w:r>
      <w:r>
        <w:rPr>
          <w:rFonts w:ascii="宋体" w:hAnsi="宋体"/>
          <w:sz w:val="32"/>
          <w:szCs w:val="32"/>
        </w:rPr>
        <w:t>须知</w:t>
      </w:r>
      <w:r>
        <w:rPr>
          <w:sz w:val="32"/>
          <w:szCs w:val="32"/>
        </w:rPr>
        <w:tab/>
      </w:r>
      <w:r>
        <w:rPr>
          <w:sz w:val="32"/>
          <w:szCs w:val="32"/>
        </w:rPr>
        <w:fldChar w:fldCharType="begin"/>
      </w:r>
      <w:r>
        <w:rPr>
          <w:sz w:val="32"/>
          <w:szCs w:val="32"/>
        </w:rPr>
        <w:instrText xml:space="preserve"> PAGEREF _Toc25717 </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19"/>
        <w:tabs>
          <w:tab w:val="right" w:leader="dot" w:pos="9355"/>
          <w:tab w:val="clear" w:pos="9458"/>
        </w:tabs>
        <w:rPr>
          <w:sz w:val="32"/>
          <w:szCs w:val="32"/>
        </w:rPr>
      </w:pPr>
      <w:r>
        <w:fldChar w:fldCharType="begin"/>
      </w:r>
      <w:r>
        <w:instrText xml:space="preserve"> HYPERLINK \l "_Toc3674" </w:instrText>
      </w:r>
      <w:r>
        <w:fldChar w:fldCharType="separate"/>
      </w:r>
      <w:r>
        <w:rPr>
          <w:rFonts w:hint="eastAsia" w:ascii="宋体" w:hAnsi="宋体"/>
          <w:sz w:val="32"/>
          <w:szCs w:val="32"/>
        </w:rPr>
        <w:t>第三章</w:t>
      </w:r>
      <w:r>
        <w:rPr>
          <w:rFonts w:ascii="宋体" w:hAnsi="宋体"/>
          <w:sz w:val="32"/>
          <w:szCs w:val="32"/>
        </w:rPr>
        <w:t xml:space="preserve"> </w:t>
      </w:r>
      <w:r>
        <w:rPr>
          <w:rFonts w:hint="eastAsia" w:ascii="宋体" w:hAnsi="宋体"/>
          <w:sz w:val="32"/>
          <w:szCs w:val="32"/>
        </w:rPr>
        <w:t xml:space="preserve"> 评标办法（综合评估法）</w:t>
      </w:r>
      <w:r>
        <w:rPr>
          <w:sz w:val="32"/>
          <w:szCs w:val="32"/>
        </w:rPr>
        <w:tab/>
      </w:r>
      <w:r>
        <w:rPr>
          <w:sz w:val="32"/>
          <w:szCs w:val="32"/>
        </w:rPr>
        <w:fldChar w:fldCharType="begin"/>
      </w:r>
      <w:r>
        <w:rPr>
          <w:sz w:val="32"/>
          <w:szCs w:val="32"/>
        </w:rPr>
        <w:instrText xml:space="preserve"> PAGEREF _Toc3674 </w:instrText>
      </w:r>
      <w:r>
        <w:rPr>
          <w:sz w:val="32"/>
          <w:szCs w:val="32"/>
        </w:rPr>
        <w:fldChar w:fldCharType="separate"/>
      </w:r>
      <w:r>
        <w:rPr>
          <w:sz w:val="32"/>
          <w:szCs w:val="32"/>
        </w:rPr>
        <w:t>35</w:t>
      </w:r>
      <w:r>
        <w:rPr>
          <w:sz w:val="32"/>
          <w:szCs w:val="32"/>
        </w:rPr>
        <w:fldChar w:fldCharType="end"/>
      </w:r>
      <w:r>
        <w:rPr>
          <w:sz w:val="32"/>
          <w:szCs w:val="32"/>
        </w:rPr>
        <w:fldChar w:fldCharType="end"/>
      </w:r>
    </w:p>
    <w:p>
      <w:pPr>
        <w:pStyle w:val="19"/>
        <w:tabs>
          <w:tab w:val="right" w:leader="dot" w:pos="9355"/>
          <w:tab w:val="clear" w:pos="9458"/>
        </w:tabs>
        <w:rPr>
          <w:sz w:val="32"/>
          <w:szCs w:val="32"/>
        </w:rPr>
      </w:pPr>
      <w:r>
        <w:fldChar w:fldCharType="begin"/>
      </w:r>
      <w:r>
        <w:instrText xml:space="preserve"> HYPERLINK \l "_Toc26368" </w:instrText>
      </w:r>
      <w:r>
        <w:fldChar w:fldCharType="separate"/>
      </w:r>
      <w:r>
        <w:rPr>
          <w:rFonts w:hint="eastAsia"/>
          <w:sz w:val="32"/>
          <w:szCs w:val="32"/>
        </w:rPr>
        <w:t>第四章  合同条款及格式</w:t>
      </w:r>
      <w:r>
        <w:rPr>
          <w:sz w:val="32"/>
          <w:szCs w:val="32"/>
        </w:rPr>
        <w:tab/>
      </w:r>
      <w:r>
        <w:rPr>
          <w:sz w:val="32"/>
          <w:szCs w:val="32"/>
        </w:rPr>
        <w:fldChar w:fldCharType="begin"/>
      </w:r>
      <w:r>
        <w:rPr>
          <w:sz w:val="32"/>
          <w:szCs w:val="32"/>
        </w:rPr>
        <w:instrText xml:space="preserve"> PAGEREF _Toc26368 </w:instrText>
      </w:r>
      <w:r>
        <w:rPr>
          <w:sz w:val="32"/>
          <w:szCs w:val="32"/>
        </w:rPr>
        <w:fldChar w:fldCharType="separate"/>
      </w:r>
      <w:r>
        <w:rPr>
          <w:sz w:val="32"/>
          <w:szCs w:val="32"/>
        </w:rPr>
        <w:t>44</w:t>
      </w:r>
      <w:r>
        <w:rPr>
          <w:sz w:val="32"/>
          <w:szCs w:val="32"/>
        </w:rPr>
        <w:fldChar w:fldCharType="end"/>
      </w:r>
      <w:r>
        <w:rPr>
          <w:sz w:val="32"/>
          <w:szCs w:val="32"/>
        </w:rPr>
        <w:fldChar w:fldCharType="end"/>
      </w:r>
    </w:p>
    <w:p>
      <w:pPr>
        <w:jc w:val="center"/>
      </w:pPr>
      <w:r>
        <w:rPr>
          <w:rFonts w:hint="eastAsia"/>
          <w:sz w:val="36"/>
          <w:szCs w:val="36"/>
        </w:rPr>
        <w:t>第二卷</w:t>
      </w:r>
    </w:p>
    <w:p>
      <w:pPr>
        <w:pStyle w:val="19"/>
        <w:tabs>
          <w:tab w:val="right" w:leader="dot" w:pos="9355"/>
          <w:tab w:val="clear" w:pos="9458"/>
        </w:tabs>
        <w:rPr>
          <w:sz w:val="32"/>
          <w:szCs w:val="32"/>
        </w:rPr>
      </w:pPr>
      <w:r>
        <w:fldChar w:fldCharType="begin"/>
      </w:r>
      <w:r>
        <w:instrText xml:space="preserve"> HYPERLINK \l "_Toc27516" </w:instrText>
      </w:r>
      <w:r>
        <w:fldChar w:fldCharType="separate"/>
      </w:r>
      <w:r>
        <w:rPr>
          <w:rFonts w:hint="eastAsia"/>
          <w:sz w:val="32"/>
          <w:szCs w:val="32"/>
        </w:rPr>
        <w:t>第五章  委托人要求</w:t>
      </w:r>
      <w:r>
        <w:rPr>
          <w:sz w:val="32"/>
          <w:szCs w:val="32"/>
        </w:rPr>
        <w:tab/>
      </w:r>
      <w:r>
        <w:rPr>
          <w:rFonts w:hint="eastAsia"/>
          <w:sz w:val="32"/>
          <w:szCs w:val="32"/>
        </w:rPr>
        <w:t>7</w:t>
      </w:r>
      <w:r>
        <w:rPr>
          <w:rFonts w:hint="eastAsia"/>
          <w:sz w:val="32"/>
          <w:szCs w:val="32"/>
        </w:rPr>
        <w:fldChar w:fldCharType="end"/>
      </w:r>
      <w:r>
        <w:rPr>
          <w:rFonts w:hint="eastAsia"/>
          <w:sz w:val="32"/>
          <w:szCs w:val="32"/>
        </w:rPr>
        <w:t>8</w:t>
      </w:r>
    </w:p>
    <w:p>
      <w:pPr>
        <w:pStyle w:val="19"/>
        <w:tabs>
          <w:tab w:val="right" w:leader="dot" w:pos="9355"/>
          <w:tab w:val="clear" w:pos="9458"/>
        </w:tabs>
        <w:rPr>
          <w:sz w:val="32"/>
          <w:szCs w:val="32"/>
        </w:rPr>
      </w:pPr>
      <w:r>
        <w:fldChar w:fldCharType="begin"/>
      </w:r>
      <w:r>
        <w:instrText xml:space="preserve"> HYPERLINK \l "_Toc15980" </w:instrText>
      </w:r>
      <w:r>
        <w:fldChar w:fldCharType="separate"/>
      </w:r>
      <w:r>
        <w:rPr>
          <w:rFonts w:hint="eastAsia"/>
          <w:sz w:val="32"/>
          <w:szCs w:val="32"/>
        </w:rPr>
        <w:t>第六章  图纸和资料</w:t>
      </w:r>
      <w:r>
        <w:rPr>
          <w:sz w:val="32"/>
          <w:szCs w:val="32"/>
        </w:rPr>
        <w:tab/>
      </w:r>
      <w:r>
        <w:rPr>
          <w:rFonts w:hint="eastAsia"/>
          <w:sz w:val="32"/>
          <w:szCs w:val="32"/>
        </w:rPr>
        <w:t>82</w:t>
      </w:r>
      <w:r>
        <w:rPr>
          <w:rFonts w:hint="eastAsia"/>
          <w:sz w:val="32"/>
          <w:szCs w:val="32"/>
        </w:rPr>
        <w:fldChar w:fldCharType="end"/>
      </w:r>
    </w:p>
    <w:p>
      <w:pPr>
        <w:jc w:val="center"/>
      </w:pPr>
      <w:r>
        <w:rPr>
          <w:rFonts w:hint="eastAsia"/>
          <w:sz w:val="36"/>
          <w:szCs w:val="36"/>
        </w:rPr>
        <w:t>第三卷</w:t>
      </w:r>
    </w:p>
    <w:p>
      <w:pPr>
        <w:pStyle w:val="19"/>
        <w:tabs>
          <w:tab w:val="right" w:leader="dot" w:pos="9355"/>
          <w:tab w:val="clear" w:pos="9458"/>
        </w:tabs>
        <w:rPr>
          <w:sz w:val="32"/>
          <w:szCs w:val="32"/>
        </w:rPr>
      </w:pPr>
      <w:r>
        <w:fldChar w:fldCharType="begin"/>
      </w:r>
      <w:r>
        <w:instrText xml:space="preserve"> HYPERLINK \l "_Toc16740" </w:instrText>
      </w:r>
      <w:r>
        <w:fldChar w:fldCharType="separate"/>
      </w:r>
      <w:r>
        <w:rPr>
          <w:rFonts w:hint="eastAsia" w:ascii="宋体" w:hAnsi="宋体"/>
          <w:sz w:val="32"/>
          <w:szCs w:val="32"/>
        </w:rPr>
        <w:t>第七章  投标文件格式</w:t>
      </w:r>
      <w:r>
        <w:rPr>
          <w:sz w:val="32"/>
          <w:szCs w:val="32"/>
        </w:rPr>
        <w:tab/>
      </w:r>
      <w:r>
        <w:rPr>
          <w:sz w:val="32"/>
          <w:szCs w:val="32"/>
        </w:rPr>
        <w:fldChar w:fldCharType="begin"/>
      </w:r>
      <w:r>
        <w:rPr>
          <w:sz w:val="32"/>
          <w:szCs w:val="32"/>
        </w:rPr>
        <w:instrText xml:space="preserve"> PAGEREF _Toc16740 </w:instrText>
      </w:r>
      <w:r>
        <w:rPr>
          <w:sz w:val="32"/>
          <w:szCs w:val="32"/>
        </w:rPr>
        <w:fldChar w:fldCharType="separate"/>
      </w:r>
      <w:r>
        <w:rPr>
          <w:sz w:val="32"/>
          <w:szCs w:val="32"/>
        </w:rPr>
        <w:t>90</w:t>
      </w:r>
      <w:r>
        <w:rPr>
          <w:sz w:val="32"/>
          <w:szCs w:val="32"/>
        </w:rPr>
        <w:fldChar w:fldCharType="end"/>
      </w:r>
      <w:r>
        <w:rPr>
          <w:sz w:val="32"/>
          <w:szCs w:val="32"/>
        </w:rPr>
        <w:fldChar w:fldCharType="end"/>
      </w:r>
    </w:p>
    <w:p>
      <w:pPr>
        <w:spacing w:line="360" w:lineRule="auto"/>
        <w:rPr>
          <w:sz w:val="28"/>
          <w:szCs w:val="28"/>
        </w:rPr>
      </w:pPr>
      <w:r>
        <w:rPr>
          <w:sz w:val="36"/>
          <w:szCs w:val="36"/>
        </w:rPr>
        <w:fldChar w:fldCharType="end"/>
      </w:r>
      <w:bookmarkStart w:id="1" w:name="_Toc196474971"/>
    </w:p>
    <w:p/>
    <w:p/>
    <w:p/>
    <w:p/>
    <w:p/>
    <w:p/>
    <w:p/>
    <w:p/>
    <w:p/>
    <w:p/>
    <w:p/>
    <w:p/>
    <w:p/>
    <w:p/>
    <w:p/>
    <w:p>
      <w:pPr>
        <w:sectPr>
          <w:headerReference r:id="rId6" w:type="default"/>
          <w:footerReference r:id="rId7" w:type="default"/>
          <w:endnotePr>
            <w:numFmt w:val="decimal"/>
          </w:endnotePr>
          <w:pgSz w:w="11906" w:h="16838"/>
          <w:pgMar w:top="1247" w:right="1247" w:bottom="1247" w:left="1304" w:header="794" w:footer="794" w:gutter="0"/>
          <w:pgNumType w:start="1"/>
          <w:cols w:space="720" w:num="1"/>
          <w:docGrid w:linePitch="312" w:charSpace="0"/>
        </w:sectPr>
      </w:pPr>
    </w:p>
    <w:p/>
    <w:p/>
    <w:p/>
    <w:p>
      <w:pPr>
        <w:keepNext/>
        <w:keepLines/>
        <w:tabs>
          <w:tab w:val="left" w:pos="870"/>
        </w:tabs>
        <w:spacing w:before="100" w:beforeAutospacing="1" w:after="100" w:afterAutospacing="1"/>
        <w:rPr>
          <w:rFonts w:ascii="宋体" w:hAnsi="宋体"/>
          <w:szCs w:val="21"/>
        </w:rPr>
      </w:pPr>
    </w:p>
    <w:p>
      <w:pPr>
        <w:keepNext/>
        <w:keepLines/>
        <w:tabs>
          <w:tab w:val="left" w:pos="870"/>
        </w:tabs>
        <w:spacing w:before="100" w:beforeAutospacing="1" w:after="100" w:afterAutospacing="1"/>
        <w:rPr>
          <w:rFonts w:ascii="宋体" w:hAnsi="宋体"/>
          <w:szCs w:val="21"/>
        </w:rPr>
      </w:pPr>
    </w:p>
    <w:p>
      <w:pPr>
        <w:keepNext/>
        <w:keepLines/>
        <w:tabs>
          <w:tab w:val="left" w:pos="870"/>
        </w:tabs>
        <w:spacing w:before="100" w:beforeAutospacing="1" w:after="100" w:afterAutospacing="1"/>
        <w:rPr>
          <w:rFonts w:ascii="宋体" w:hAnsi="宋体"/>
          <w:szCs w:val="21"/>
        </w:rPr>
      </w:pPr>
    </w:p>
    <w:p>
      <w:pPr>
        <w:keepNext/>
        <w:keepLines/>
        <w:tabs>
          <w:tab w:val="left" w:pos="870"/>
        </w:tabs>
        <w:spacing w:before="100" w:beforeAutospacing="1" w:after="100" w:afterAutospacing="1"/>
        <w:rPr>
          <w:rFonts w:ascii="宋体" w:hAnsi="宋体"/>
          <w:szCs w:val="21"/>
        </w:rPr>
      </w:pPr>
    </w:p>
    <w:p>
      <w:pPr>
        <w:keepNext/>
        <w:keepLines/>
        <w:tabs>
          <w:tab w:val="left" w:pos="870"/>
        </w:tabs>
        <w:spacing w:before="100" w:beforeAutospacing="1" w:after="100" w:afterAutospacing="1"/>
        <w:rPr>
          <w:rFonts w:ascii="宋体" w:hAnsi="宋体"/>
          <w:szCs w:val="21"/>
        </w:rPr>
      </w:pPr>
    </w:p>
    <w:p>
      <w:pPr>
        <w:keepNext/>
        <w:keepLines/>
        <w:tabs>
          <w:tab w:val="left" w:pos="870"/>
        </w:tabs>
        <w:spacing w:before="100" w:beforeAutospacing="1" w:after="100" w:afterAutospacing="1"/>
        <w:rPr>
          <w:rFonts w:ascii="宋体" w:hAnsi="宋体"/>
          <w:szCs w:val="21"/>
        </w:rPr>
      </w:pPr>
    </w:p>
    <w:p>
      <w:pPr>
        <w:keepNext/>
        <w:keepLines/>
        <w:spacing w:line="579" w:lineRule="auto"/>
        <w:ind w:firstLine="3600" w:firstLineChars="500"/>
        <w:rPr>
          <w:rFonts w:ascii="宋体" w:hAnsi="宋体"/>
          <w:sz w:val="72"/>
          <w:szCs w:val="72"/>
        </w:rPr>
      </w:pPr>
      <w:r>
        <w:rPr>
          <w:rFonts w:hint="eastAsia" w:ascii="宋体" w:hAnsi="宋体"/>
          <w:sz w:val="72"/>
          <w:szCs w:val="72"/>
        </w:rPr>
        <w:t>第一卷</w:t>
      </w:r>
    </w:p>
    <w:p>
      <w:pPr>
        <w:pStyle w:val="2"/>
        <w:adjustRightInd w:val="0"/>
        <w:snapToGrid w:val="0"/>
        <w:spacing w:before="180" w:after="180" w:line="480" w:lineRule="auto"/>
        <w:jc w:val="center"/>
        <w:rPr>
          <w:rFonts w:ascii="宋体" w:hAnsi="宋体"/>
          <w:szCs w:val="21"/>
        </w:rPr>
      </w:pPr>
      <w:r>
        <w:rPr>
          <w:rFonts w:ascii="宋体" w:hAnsi="宋体"/>
          <w:szCs w:val="21"/>
        </w:rPr>
        <w:br w:type="page"/>
      </w:r>
      <w:bookmarkEnd w:id="1"/>
      <w:bookmarkStart w:id="2" w:name="_Toc459295780"/>
      <w:bookmarkStart w:id="3" w:name="_Toc26452"/>
      <w:r>
        <w:rPr>
          <w:rFonts w:ascii="宋体" w:hAnsi="宋体"/>
          <w:szCs w:val="21"/>
        </w:rPr>
        <w:t>第一</w:t>
      </w:r>
      <w:r>
        <w:rPr>
          <w:rFonts w:hint="eastAsia" w:ascii="宋体" w:hAnsi="宋体"/>
          <w:szCs w:val="21"/>
        </w:rPr>
        <w:t>章</w:t>
      </w:r>
      <w:r>
        <w:rPr>
          <w:rFonts w:ascii="宋体" w:hAnsi="宋体"/>
          <w:szCs w:val="21"/>
        </w:rPr>
        <w:t xml:space="preserve">  招标公告</w:t>
      </w:r>
      <w:bookmarkEnd w:id="2"/>
      <w:bookmarkEnd w:id="3"/>
    </w:p>
    <w:p>
      <w:pPr>
        <w:spacing w:line="460" w:lineRule="exact"/>
        <w:jc w:val="left"/>
        <w:rPr>
          <w:b/>
          <w:sz w:val="24"/>
        </w:rPr>
      </w:pPr>
      <w:r>
        <w:rPr>
          <w:rFonts w:hint="eastAsia"/>
          <w:b/>
          <w:sz w:val="24"/>
        </w:rPr>
        <w:t>新建天津至潍坊高速铁路滨海段“三电”及地下管线迁改工程监理招标</w:t>
      </w:r>
      <w:r>
        <w:rPr>
          <w:b/>
          <w:sz w:val="24"/>
        </w:rPr>
        <w:t>公告</w:t>
      </w:r>
    </w:p>
    <w:p>
      <w:pPr>
        <w:tabs>
          <w:tab w:val="center" w:pos="4677"/>
        </w:tabs>
        <w:adjustRightInd w:val="0"/>
        <w:snapToGrid w:val="0"/>
        <w:spacing w:line="460" w:lineRule="exact"/>
        <w:rPr>
          <w:rFonts w:ascii="宋体" w:hAnsi="宋体" w:cs="宋体"/>
          <w:b/>
          <w:snapToGrid w:val="0"/>
          <w:kern w:val="0"/>
          <w:sz w:val="24"/>
        </w:rPr>
      </w:pPr>
      <w:bookmarkStart w:id="4" w:name="_Toc25717"/>
      <w:bookmarkStart w:id="5" w:name="_Toc196474973"/>
      <w:r>
        <w:rPr>
          <w:rFonts w:hint="eastAsia" w:ascii="宋体" w:hAnsi="宋体" w:cs="Arial"/>
          <w:b/>
          <w:snapToGrid w:val="0"/>
          <w:kern w:val="0"/>
          <w:sz w:val="24"/>
        </w:rPr>
        <w:t>1</w:t>
      </w:r>
      <w:r>
        <w:rPr>
          <w:rFonts w:ascii="宋体" w:hAnsi="宋体" w:cs="Arial"/>
          <w:b/>
          <w:snapToGrid w:val="0"/>
          <w:kern w:val="0"/>
          <w:sz w:val="24"/>
        </w:rPr>
        <w:t>.</w:t>
      </w:r>
      <w:r>
        <w:rPr>
          <w:rFonts w:ascii="宋体" w:hAnsi="宋体" w:cs="宋体"/>
          <w:b/>
          <w:snapToGrid w:val="0"/>
          <w:kern w:val="0"/>
          <w:sz w:val="24"/>
        </w:rPr>
        <w:t>招标条件</w:t>
      </w:r>
      <w:r>
        <w:rPr>
          <w:rFonts w:ascii="宋体" w:hAnsi="宋体" w:cs="宋体"/>
          <w:b/>
          <w:snapToGrid w:val="0"/>
          <w:kern w:val="0"/>
          <w:sz w:val="24"/>
        </w:rPr>
        <w:tab/>
      </w:r>
    </w:p>
    <w:p>
      <w:pPr>
        <w:pStyle w:val="11"/>
        <w:tabs>
          <w:tab w:val="left" w:pos="1852"/>
          <w:tab w:val="left" w:pos="2155"/>
          <w:tab w:val="left" w:pos="2702"/>
          <w:tab w:val="left" w:pos="3770"/>
          <w:tab w:val="left" w:pos="4612"/>
          <w:tab w:val="left" w:pos="4823"/>
          <w:tab w:val="left" w:pos="5830"/>
          <w:tab w:val="left" w:pos="6440"/>
          <w:tab w:val="left" w:pos="7710"/>
        </w:tabs>
        <w:adjustRightInd w:val="0"/>
        <w:snapToGrid w:val="0"/>
        <w:spacing w:after="0" w:line="460" w:lineRule="exact"/>
        <w:ind w:right="194" w:firstLine="480" w:firstLineChars="200"/>
        <w:rPr>
          <w:rFonts w:ascii="宋体" w:hAnsi="宋体" w:cs="宋体"/>
          <w:kern w:val="0"/>
          <w:sz w:val="24"/>
        </w:rPr>
      </w:pPr>
      <w:r>
        <w:rPr>
          <w:rFonts w:hint="eastAsia" w:ascii="宋体" w:hAnsi="宋体" w:cs="宋体"/>
          <w:kern w:val="0"/>
          <w:sz w:val="24"/>
        </w:rPr>
        <w:t>本招标项目</w:t>
      </w:r>
      <w:r>
        <w:rPr>
          <w:rFonts w:hint="eastAsia" w:ascii="宋体" w:cs="宋体"/>
          <w:kern w:val="0"/>
          <w:sz w:val="24"/>
          <w:u w:val="single"/>
        </w:rPr>
        <w:t>新建天津至潍坊高速铁路滨海段“三电”及地下管线迁改工程</w:t>
      </w:r>
      <w:r>
        <w:rPr>
          <w:rFonts w:hint="eastAsia" w:hAnsi="宋体" w:cs="Arial"/>
          <w:sz w:val="24"/>
        </w:rPr>
        <w:t>已由</w:t>
      </w:r>
      <w:r>
        <w:rPr>
          <w:rFonts w:hint="eastAsia" w:hAnsi="宋体" w:cs="Arial"/>
          <w:sz w:val="24"/>
          <w:u w:val="single"/>
        </w:rPr>
        <w:t xml:space="preserve"> </w:t>
      </w:r>
      <w:r>
        <w:rPr>
          <w:rFonts w:hint="eastAsia" w:ascii="宋体" w:cs="宋体"/>
          <w:kern w:val="0"/>
          <w:sz w:val="24"/>
          <w:u w:val="single"/>
        </w:rPr>
        <w:t xml:space="preserve">国家发展和改革委员会、中国国家铁路集团有限公司 </w:t>
      </w:r>
      <w:r>
        <w:rPr>
          <w:rFonts w:hint="eastAsia" w:hAnsi="宋体" w:cs="Arial"/>
          <w:sz w:val="24"/>
        </w:rPr>
        <w:t>以</w:t>
      </w:r>
      <w:r>
        <w:rPr>
          <w:rFonts w:hint="eastAsia" w:ascii="宋体" w:cs="宋体"/>
          <w:kern w:val="0"/>
          <w:sz w:val="24"/>
          <w:u w:val="single"/>
        </w:rPr>
        <w:t>《国家发展改革委关于新建天津至潍坊高速铁路可行性研究报告的批复》（发改基础〔2022〕34号）、《国铁集团、天津市、河北省、山东省人民政府关于新建天津至潍坊高速铁路（不含本线至济南联络线工程）初步设计的批复》（铁鉴函[2022]388号）</w:t>
      </w:r>
      <w:r>
        <w:rPr>
          <w:rFonts w:hint="eastAsia" w:hAnsi="宋体" w:cs="Arial"/>
          <w:sz w:val="24"/>
        </w:rPr>
        <w:t>批准建设</w:t>
      </w:r>
      <w:r>
        <w:rPr>
          <w:rFonts w:hint="eastAsia" w:ascii="宋体" w:hAnsi="宋体" w:cs="宋体"/>
          <w:kern w:val="0"/>
          <w:sz w:val="24"/>
        </w:rPr>
        <w:t>，项目业主为</w:t>
      </w:r>
      <w:r>
        <w:rPr>
          <w:rFonts w:hint="eastAsia" w:ascii="宋体" w:hAnsi="宋体" w:cs="宋体"/>
          <w:kern w:val="0"/>
          <w:sz w:val="24"/>
          <w:u w:val="single"/>
        </w:rPr>
        <w:t xml:space="preserve"> </w:t>
      </w:r>
      <w:r>
        <w:rPr>
          <w:rFonts w:hint="eastAsia" w:ascii="宋体" w:hAnsi="宋体" w:cs="宋体"/>
          <w:sz w:val="24"/>
          <w:u w:val="single"/>
        </w:rPr>
        <w:t>天津市滨海新区城投建设发展有限公司</w:t>
      </w:r>
      <w:r>
        <w:rPr>
          <w:rFonts w:hint="eastAsia" w:ascii="宋体" w:hAnsi="宋体" w:cs="宋体"/>
          <w:kern w:val="0"/>
          <w:sz w:val="24"/>
        </w:rPr>
        <w:t>，建设资金来自</w:t>
      </w:r>
      <w:r>
        <w:rPr>
          <w:rFonts w:hint="eastAsia" w:ascii="宋体" w:hAnsi="宋体" w:cs="宋体"/>
          <w:kern w:val="0"/>
          <w:sz w:val="24"/>
          <w:u w:val="single"/>
        </w:rPr>
        <w:t xml:space="preserve"> </w:t>
      </w:r>
      <w:r>
        <w:rPr>
          <w:rFonts w:hint="eastAsia" w:ascii="宋体" w:hAnsi="宋体" w:cs="宋体"/>
          <w:sz w:val="24"/>
          <w:u w:val="single"/>
        </w:rPr>
        <w:t xml:space="preserve">政府专项债 </w:t>
      </w:r>
      <w:r>
        <w:rPr>
          <w:rFonts w:hint="eastAsia" w:ascii="宋体" w:hAnsi="宋体" w:cs="宋体"/>
          <w:kern w:val="0"/>
          <w:sz w:val="24"/>
        </w:rPr>
        <w:t>，出资比例为</w:t>
      </w:r>
      <w:r>
        <w:rPr>
          <w:rFonts w:hint="eastAsia" w:ascii="宋体" w:hAnsi="宋体" w:cs="宋体"/>
          <w:kern w:val="0"/>
          <w:sz w:val="24"/>
          <w:u w:val="single"/>
        </w:rPr>
        <w:t xml:space="preserve"> 100% </w:t>
      </w:r>
      <w:r>
        <w:rPr>
          <w:rFonts w:hint="eastAsia" w:ascii="宋体" w:hAnsi="宋体" w:cs="宋体"/>
          <w:kern w:val="0"/>
          <w:sz w:val="24"/>
        </w:rPr>
        <w:t>，招标人为</w:t>
      </w:r>
      <w:r>
        <w:rPr>
          <w:rFonts w:hint="eastAsia" w:ascii="宋体" w:hAnsi="宋体" w:cs="宋体"/>
          <w:kern w:val="0"/>
          <w:sz w:val="24"/>
          <w:u w:val="single"/>
        </w:rPr>
        <w:t xml:space="preserve"> </w:t>
      </w:r>
      <w:r>
        <w:rPr>
          <w:rFonts w:hint="eastAsia" w:ascii="宋体" w:hAnsi="宋体" w:cs="宋体"/>
          <w:sz w:val="24"/>
          <w:u w:val="single"/>
        </w:rPr>
        <w:t>天津市滨海新区城投建设发展有限公司</w:t>
      </w:r>
      <w:r>
        <w:rPr>
          <w:rFonts w:hint="eastAsia" w:ascii="宋体" w:hAnsi="宋体" w:cs="宋体"/>
          <w:kern w:val="0"/>
          <w:sz w:val="24"/>
        </w:rPr>
        <w:t>。项目已具备招标条件，现对该项目的施工监理进行公开招标。</w:t>
      </w:r>
    </w:p>
    <w:p>
      <w:pPr>
        <w:pStyle w:val="11"/>
        <w:tabs>
          <w:tab w:val="left" w:pos="1852"/>
          <w:tab w:val="left" w:pos="2155"/>
          <w:tab w:val="left" w:pos="2702"/>
          <w:tab w:val="left" w:pos="3770"/>
          <w:tab w:val="left" w:pos="4612"/>
          <w:tab w:val="left" w:pos="4823"/>
          <w:tab w:val="left" w:pos="5830"/>
          <w:tab w:val="left" w:pos="6440"/>
          <w:tab w:val="left" w:pos="7710"/>
        </w:tabs>
        <w:adjustRightInd w:val="0"/>
        <w:snapToGrid w:val="0"/>
        <w:spacing w:after="0" w:line="460" w:lineRule="exact"/>
        <w:ind w:right="194"/>
        <w:rPr>
          <w:rFonts w:ascii="宋体" w:hAnsi="宋体" w:cs="宋体"/>
          <w:b/>
          <w:sz w:val="24"/>
        </w:rPr>
      </w:pPr>
      <w:r>
        <w:rPr>
          <w:rFonts w:hint="eastAsia" w:ascii="宋体" w:hAnsi="宋体"/>
          <w:b/>
          <w:sz w:val="24"/>
        </w:rPr>
        <w:t>2</w:t>
      </w:r>
      <w:r>
        <w:rPr>
          <w:rFonts w:ascii="宋体" w:hAnsi="宋体"/>
          <w:b/>
          <w:sz w:val="24"/>
        </w:rPr>
        <w:t>.</w:t>
      </w:r>
      <w:r>
        <w:rPr>
          <w:rFonts w:ascii="宋体" w:hAnsi="宋体" w:cs="宋体"/>
          <w:b/>
          <w:sz w:val="24"/>
        </w:rPr>
        <w:t>项目概况与招标范围</w:t>
      </w:r>
    </w:p>
    <w:p>
      <w:pPr>
        <w:snapToGrid w:val="0"/>
        <w:spacing w:line="560" w:lineRule="exact"/>
        <w:ind w:firstLine="480" w:firstLineChars="200"/>
        <w:rPr>
          <w:rFonts w:ascii="宋体" w:hAnsi="宋体"/>
          <w:sz w:val="24"/>
        </w:rPr>
      </w:pPr>
      <w:r>
        <w:rPr>
          <w:rFonts w:hint="eastAsia" w:ascii="宋体" w:hAnsi="宋体"/>
          <w:sz w:val="24"/>
        </w:rPr>
        <w:t xml:space="preserve">2.1项目概况： </w:t>
      </w:r>
    </w:p>
    <w:p>
      <w:pPr>
        <w:snapToGrid w:val="0"/>
        <w:spacing w:line="560" w:lineRule="exact"/>
        <w:ind w:firstLine="566" w:firstLineChars="236"/>
        <w:rPr>
          <w:rFonts w:cs="宋体"/>
          <w:sz w:val="24"/>
        </w:rPr>
      </w:pPr>
      <w:r>
        <w:rPr>
          <w:rFonts w:hint="eastAsia" w:cs="宋体"/>
          <w:sz w:val="24"/>
        </w:rPr>
        <w:t>影响新建天津至潍坊高速铁路滨海段建设及运营要求的“三电”及管线迁改相关工作，包括：新建高铁引起的路内外电力线迁改；路内外通信、信号、有线电视线路等迁改；地下给排水、油、气、热力管道的迁改；通信设备、油、气管道、油库等设施电磁防护等。项目总投资为5.899015亿元。</w:t>
      </w:r>
    </w:p>
    <w:p>
      <w:pPr>
        <w:snapToGrid w:val="0"/>
        <w:spacing w:line="560" w:lineRule="exact"/>
        <w:ind w:firstLine="566" w:firstLineChars="236"/>
        <w:rPr>
          <w:rFonts w:cs="宋体"/>
          <w:sz w:val="24"/>
        </w:rPr>
      </w:pPr>
      <w:r>
        <w:rPr>
          <w:rFonts w:hint="eastAsia" w:cs="宋体"/>
          <w:sz w:val="24"/>
        </w:rPr>
        <w:t>本次招标为1个标段，第1标段：电力线路299处，其中0.38kV及以下电力线路33处，路灯72处，6kV电力线路2处，10kV电力线路137处，35kV电力线路27处，110kV电力线路21处，220kV电力线路6处，500kV电力线路1处；通信线迁改225处，其中路内通信迁改74处，路外通信迁改151处（含国防光缆4处）；信号电缆迁改7处；给排水管线迁改162处，其中非饮用水39处，饮用水65处，雨污水58处；热力管线迁改39处，其中地埋热力管线20处，架空热力管线19处；油气管线迁改125处，其中石油管线73处（含管径350mm及以上管线1处），天然气管线43处（含管径350mm及以上管线8处），燃气管线3处，输油管线3处，氮气1处，氢气1处（含管径350mm及以上管线1处），氧气1处。（以现场实际核量情况为准）。监理范围：</w:t>
      </w:r>
      <w:r>
        <w:rPr>
          <w:rFonts w:hint="eastAsia" w:ascii="宋体" w:hAnsi="宋体"/>
          <w:sz w:val="24"/>
        </w:rPr>
        <w:t>施工阶段、验收和缺陷责任期阶段的“五控、两管、一协调”施工监理。</w:t>
      </w:r>
      <w:r>
        <w:rPr>
          <w:rFonts w:hint="eastAsia" w:cs="宋体"/>
          <w:sz w:val="24"/>
        </w:rPr>
        <w:t>本标段建安费为5.899015亿元。</w:t>
      </w:r>
    </w:p>
    <w:p>
      <w:pPr>
        <w:snapToGrid w:val="0"/>
        <w:spacing w:line="560" w:lineRule="exact"/>
        <w:ind w:firstLine="566" w:firstLineChars="236"/>
        <w:rPr>
          <w:rFonts w:ascii="宋体" w:hAnsi="宋体" w:cs="宋体"/>
          <w:kern w:val="0"/>
          <w:sz w:val="24"/>
        </w:rPr>
      </w:pPr>
      <w:r>
        <w:rPr>
          <w:rFonts w:hint="eastAsia" w:ascii="宋体" w:hAnsi="宋体" w:cs="宋体"/>
          <w:kern w:val="0"/>
          <w:sz w:val="24"/>
        </w:rPr>
        <w:t>2.2 监理服务期限</w:t>
      </w:r>
    </w:p>
    <w:p>
      <w:pPr>
        <w:snapToGrid w:val="0"/>
        <w:spacing w:line="560" w:lineRule="exact"/>
        <w:ind w:firstLine="566" w:firstLineChars="236"/>
        <w:rPr>
          <w:rFonts w:ascii="宋体" w:hAnsi="宋体" w:cs="宋体"/>
          <w:kern w:val="0"/>
          <w:sz w:val="24"/>
        </w:rPr>
      </w:pPr>
      <w:r>
        <w:rPr>
          <w:rFonts w:hint="eastAsia" w:ascii="宋体" w:hAnsi="宋体" w:cs="宋体"/>
          <w:kern w:val="0"/>
          <w:sz w:val="24"/>
        </w:rPr>
        <w:t>本工程计划施工工期：2023年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5</w:t>
      </w:r>
      <w:r>
        <w:rPr>
          <w:rFonts w:hint="eastAsia" w:ascii="宋体" w:hAnsi="宋体" w:cs="宋体"/>
          <w:kern w:val="0"/>
          <w:sz w:val="24"/>
        </w:rPr>
        <w:t>日至202</w:t>
      </w:r>
      <w:r>
        <w:rPr>
          <w:rFonts w:hint="eastAsia" w:ascii="宋体" w:hAnsi="宋体" w:cs="宋体"/>
          <w:kern w:val="0"/>
          <w:sz w:val="24"/>
          <w:lang w:val="en-US" w:eastAsia="zh-CN"/>
        </w:rPr>
        <w:t>7</w:t>
      </w:r>
      <w:r>
        <w:rPr>
          <w:rFonts w:hint="eastAsia" w:ascii="宋体" w:hAnsi="宋体" w:cs="宋体"/>
          <w:kern w:val="0"/>
          <w:sz w:val="24"/>
        </w:rPr>
        <w:t>年8月30日，共1</w:t>
      </w:r>
      <w:r>
        <w:rPr>
          <w:rFonts w:hint="eastAsia" w:ascii="宋体" w:hAnsi="宋体" w:cs="宋体"/>
          <w:kern w:val="0"/>
          <w:sz w:val="24"/>
          <w:lang w:val="en-US" w:eastAsia="zh-CN"/>
        </w:rPr>
        <w:t>456</w:t>
      </w:r>
      <w:r>
        <w:rPr>
          <w:rFonts w:hint="eastAsia" w:ascii="宋体" w:hAnsi="宋体" w:cs="宋体"/>
          <w:kern w:val="0"/>
          <w:sz w:val="24"/>
        </w:rPr>
        <w:t>日历天，监理服务期限18</w:t>
      </w:r>
      <w:r>
        <w:rPr>
          <w:rFonts w:hint="eastAsia" w:ascii="宋体" w:hAnsi="宋体" w:cs="宋体"/>
          <w:kern w:val="0"/>
          <w:sz w:val="24"/>
          <w:lang w:val="en-US" w:eastAsia="zh-CN"/>
        </w:rPr>
        <w:t>22</w:t>
      </w:r>
      <w:r>
        <w:rPr>
          <w:rFonts w:hint="eastAsia" w:ascii="宋体" w:hAnsi="宋体" w:cs="宋体"/>
          <w:kern w:val="0"/>
          <w:sz w:val="24"/>
        </w:rPr>
        <w:t>日历天（其中施工工期</w:t>
      </w:r>
      <w:r>
        <w:rPr>
          <w:rFonts w:hint="eastAsia" w:ascii="宋体" w:hAnsi="宋体" w:cs="宋体"/>
          <w:kern w:val="0"/>
          <w:sz w:val="24"/>
          <w:lang w:val="en-US" w:eastAsia="zh-CN"/>
        </w:rPr>
        <w:t>1456</w:t>
      </w:r>
      <w:r>
        <w:rPr>
          <w:rFonts w:hint="eastAsia" w:ascii="宋体" w:hAnsi="宋体" w:cs="宋体"/>
          <w:kern w:val="0"/>
          <w:sz w:val="24"/>
        </w:rPr>
        <w:t>日历天，缺陷责任期36</w:t>
      </w:r>
      <w:r>
        <w:rPr>
          <w:rFonts w:hint="eastAsia" w:ascii="宋体" w:hAnsi="宋体" w:cs="宋体"/>
          <w:kern w:val="0"/>
          <w:sz w:val="24"/>
          <w:lang w:val="en-US" w:eastAsia="zh-CN"/>
        </w:rPr>
        <w:t>6</w:t>
      </w:r>
      <w:r>
        <w:rPr>
          <w:rFonts w:hint="eastAsia" w:ascii="宋体" w:hAnsi="宋体" w:cs="宋体"/>
          <w:kern w:val="0"/>
          <w:sz w:val="24"/>
        </w:rPr>
        <w:t>日历天）。</w:t>
      </w:r>
    </w:p>
    <w:p>
      <w:pPr>
        <w:snapToGrid w:val="0"/>
        <w:spacing w:line="560" w:lineRule="exact"/>
        <w:ind w:firstLine="566" w:firstLineChars="236"/>
        <w:rPr>
          <w:rFonts w:ascii="宋体" w:hAnsi="宋体" w:cs="宋体"/>
          <w:kern w:val="0"/>
          <w:sz w:val="24"/>
        </w:rPr>
      </w:pPr>
      <w:r>
        <w:rPr>
          <w:rFonts w:hint="eastAsia" w:ascii="宋体" w:hAnsi="宋体" w:cs="宋体"/>
          <w:kern w:val="0"/>
          <w:sz w:val="24"/>
        </w:rPr>
        <w:t>2.3 招标范围</w:t>
      </w:r>
    </w:p>
    <w:p>
      <w:pPr>
        <w:snapToGrid w:val="0"/>
        <w:spacing w:line="560" w:lineRule="exact"/>
        <w:ind w:firstLine="566" w:firstLineChars="236"/>
        <w:rPr>
          <w:rFonts w:ascii="宋体" w:hAnsi="宋体" w:cs="宋体"/>
          <w:kern w:val="0"/>
          <w:sz w:val="24"/>
        </w:rPr>
      </w:pPr>
      <w:r>
        <w:rPr>
          <w:rFonts w:hint="eastAsia"/>
          <w:sz w:val="24"/>
        </w:rPr>
        <w:t>本项目监理分为1个监理合同段，</w:t>
      </w:r>
      <w:r>
        <w:rPr>
          <w:rFonts w:hint="eastAsia" w:ascii="宋体" w:hAnsi="宋体" w:cs="宋体"/>
          <w:kern w:val="0"/>
          <w:sz w:val="24"/>
          <w:u w:val="single"/>
        </w:rPr>
        <w:t>新建天津至潍坊高速铁路滨海段“三电”及地下管线迁改工程监理</w:t>
      </w:r>
      <w:r>
        <w:rPr>
          <w:rFonts w:hint="eastAsia" w:ascii="宋体" w:hAnsi="宋体"/>
          <w:sz w:val="24"/>
        </w:rPr>
        <w:t>施工准备阶段、施工阶段、验收和缺陷责任期阶段的“五控、两管、一协调”施工监理。</w:t>
      </w:r>
    </w:p>
    <w:p>
      <w:pPr>
        <w:numPr>
          <w:ilvl w:val="0"/>
          <w:numId w:val="1"/>
        </w:numPr>
        <w:tabs>
          <w:tab w:val="left" w:pos="1852"/>
          <w:tab w:val="left" w:pos="2155"/>
          <w:tab w:val="left" w:pos="2702"/>
          <w:tab w:val="left" w:pos="3770"/>
          <w:tab w:val="left" w:pos="4612"/>
          <w:tab w:val="left" w:pos="4823"/>
          <w:tab w:val="left" w:pos="5830"/>
          <w:tab w:val="left" w:pos="6440"/>
          <w:tab w:val="left" w:pos="7710"/>
        </w:tabs>
        <w:adjustRightInd w:val="0"/>
        <w:snapToGrid w:val="0"/>
        <w:spacing w:line="460" w:lineRule="exact"/>
        <w:ind w:right="194" w:firstLine="482" w:firstLineChars="200"/>
        <w:rPr>
          <w:b/>
          <w:bCs/>
          <w:sz w:val="24"/>
        </w:rPr>
      </w:pPr>
      <w:r>
        <w:rPr>
          <w:rFonts w:ascii="宋体" w:hAnsi="宋体" w:cs="宋体"/>
          <w:b/>
          <w:sz w:val="24"/>
        </w:rPr>
        <w:t>投标人资格要求</w:t>
      </w:r>
    </w:p>
    <w:p>
      <w:pPr>
        <w:pStyle w:val="11"/>
        <w:tabs>
          <w:tab w:val="left" w:pos="1852"/>
          <w:tab w:val="left" w:pos="2155"/>
          <w:tab w:val="left" w:pos="2702"/>
          <w:tab w:val="left" w:pos="3770"/>
          <w:tab w:val="left" w:pos="5080"/>
          <w:tab w:val="left" w:pos="5830"/>
          <w:tab w:val="left" w:pos="6440"/>
          <w:tab w:val="left" w:pos="7710"/>
        </w:tabs>
        <w:adjustRightInd w:val="0"/>
        <w:snapToGrid w:val="0"/>
        <w:spacing w:after="0" w:line="360" w:lineRule="auto"/>
        <w:ind w:right="194" w:firstLine="480" w:firstLineChars="200"/>
        <w:rPr>
          <w:rFonts w:ascii="宋体" w:hAnsi="宋体" w:cs="宋体"/>
          <w:kern w:val="0"/>
          <w:sz w:val="24"/>
        </w:rPr>
      </w:pPr>
      <w:r>
        <w:rPr>
          <w:rFonts w:ascii="宋体" w:hAnsi="宋体"/>
          <w:sz w:val="24"/>
        </w:rPr>
        <w:t xml:space="preserve">3.1  </w:t>
      </w:r>
      <w:r>
        <w:rPr>
          <w:rFonts w:hint="eastAsia" w:ascii="宋体" w:hAnsi="宋体" w:cs="宋体"/>
          <w:kern w:val="0"/>
          <w:sz w:val="24"/>
        </w:rPr>
        <w:t>本次招标要求投标人须具备</w:t>
      </w:r>
      <w:r>
        <w:rPr>
          <w:rFonts w:hint="eastAsia" w:ascii="宋体" w:hAnsi="宋体" w:cs="宋体"/>
          <w:kern w:val="0"/>
          <w:sz w:val="24"/>
          <w:u w:val="single"/>
        </w:rPr>
        <w:t xml:space="preserve"> 建设行政主管部门颁发的工程监理综合资质或</w:t>
      </w:r>
      <w:r>
        <w:rPr>
          <w:rFonts w:hint="eastAsia" w:ascii="宋体" w:hAnsi="宋体" w:cs="宋体"/>
          <w:kern w:val="0"/>
          <w:sz w:val="24"/>
          <w:highlight w:val="yellow"/>
          <w:u w:val="single"/>
        </w:rPr>
        <w:t>同时</w:t>
      </w:r>
      <w:r>
        <w:rPr>
          <w:rFonts w:hint="eastAsia" w:ascii="宋体" w:hAnsi="宋体" w:cs="宋体"/>
          <w:kern w:val="0"/>
          <w:sz w:val="24"/>
          <w:u w:val="single"/>
        </w:rPr>
        <w:t xml:space="preserve">具备铁路工程监理专业甲级资质、市政公用工程监理专业乙级及以上资质、电力工程监理专业乙级及以上资质﹑通信工程监理专业乙级及以上资质 </w:t>
      </w:r>
      <w:r>
        <w:rPr>
          <w:rFonts w:hint="eastAsia" w:ascii="宋体" w:hAnsi="宋体" w:cs="宋体"/>
          <w:kern w:val="0"/>
          <w:sz w:val="24"/>
        </w:rPr>
        <w:t>资质，</w:t>
      </w:r>
      <w:r>
        <w:rPr>
          <w:rFonts w:hint="eastAsia" w:ascii="宋体" w:hAnsi="宋体" w:cs="宋体"/>
          <w:kern w:val="0"/>
          <w:sz w:val="24"/>
          <w:u w:val="single"/>
        </w:rPr>
        <w:t xml:space="preserve"> 近五年内（2018年1月1日至投标截止之日）至少完成过一项铁路建设涉及的“三电及管线迁改”的监理业绩</w:t>
      </w:r>
      <w:r>
        <w:rPr>
          <w:rFonts w:hint="eastAsia" w:ascii="宋体" w:hAnsi="宋体" w:cs="宋体"/>
          <w:kern w:val="0"/>
          <w:sz w:val="24"/>
        </w:rPr>
        <w:t>，并在人员等方面具有相应的施工监理能力。</w:t>
      </w:r>
    </w:p>
    <w:p>
      <w:pPr>
        <w:spacing w:line="360" w:lineRule="auto"/>
        <w:ind w:firstLine="480" w:firstLineChars="200"/>
        <w:rPr>
          <w:rFonts w:ascii="宋体" w:hAnsi="宋体" w:cs="宋体"/>
          <w:kern w:val="0"/>
          <w:sz w:val="24"/>
        </w:rPr>
      </w:pPr>
      <w:r>
        <w:rPr>
          <w:rFonts w:hint="eastAsia" w:ascii="宋体" w:hAnsi="宋体" w:cs="宋体"/>
          <w:kern w:val="0"/>
          <w:sz w:val="24"/>
        </w:rPr>
        <w:t>已取得建筑业企业资质证书的投标人，由于在资产、主要人员、技术装备等方面已不能满足《建筑业企业资质管理规定》（住房和城乡建设部令第22号）、《住房和城乡建设部关于简化建筑业企业资质标准部分指标的通知》（建市〔2016〕226号）规定，被投标人注册地省级住房城乡建设主管部门责令限期整改（以省级住房城乡建设主管部门网站历次发布的责令企业限期整改的公告为准）且在整改期限有效期内的，不得参与投标。</w:t>
      </w:r>
    </w:p>
    <w:p>
      <w:pPr>
        <w:spacing w:line="360" w:lineRule="auto"/>
        <w:ind w:firstLine="480" w:firstLineChars="200"/>
        <w:rPr>
          <w:rFonts w:ascii="宋体" w:hAnsi="宋体" w:cs="宋体"/>
          <w:kern w:val="0"/>
          <w:sz w:val="24"/>
        </w:rPr>
      </w:pPr>
      <w:r>
        <w:rPr>
          <w:rFonts w:ascii="宋体" w:hAnsi="宋体" w:cs="宋体"/>
          <w:kern w:val="0"/>
          <w:sz w:val="24"/>
        </w:rPr>
        <w:t>3.</w:t>
      </w:r>
      <w:r>
        <w:rPr>
          <w:rFonts w:hint="eastAsia" w:ascii="宋体" w:hAnsi="宋体" w:cs="宋体"/>
          <w:kern w:val="0"/>
          <w:sz w:val="24"/>
        </w:rPr>
        <w:t>2 本次招标</w:t>
      </w:r>
      <w:r>
        <w:rPr>
          <w:rFonts w:hint="eastAsia" w:ascii="宋体" w:hAnsi="宋体" w:cs="宋体"/>
          <w:kern w:val="0"/>
          <w:sz w:val="24"/>
          <w:u w:val="single"/>
        </w:rPr>
        <w:t xml:space="preserve"> 不接受 </w:t>
      </w:r>
      <w:r>
        <w:rPr>
          <w:rFonts w:hint="eastAsia" w:ascii="宋体" w:hAnsi="宋体" w:cs="宋体"/>
          <w:kern w:val="0"/>
          <w:sz w:val="24"/>
        </w:rPr>
        <w:t>联合体投标。</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3</w:t>
      </w:r>
      <w:r>
        <w:rPr>
          <w:rFonts w:ascii="宋体" w:hAnsi="宋体"/>
          <w:sz w:val="24"/>
        </w:rPr>
        <w:t xml:space="preserve"> 与招标人存在利害关系可能影响招标公正性的单位，不得参加投标。单位负责人为同一人或存在控股、管理关系的不同单位，不得参加同一标段投标，否则，相关</w:t>
      </w:r>
      <w:r>
        <w:rPr>
          <w:rFonts w:hint="eastAsia" w:ascii="宋体" w:hAnsi="宋体"/>
          <w:sz w:val="24"/>
        </w:rPr>
        <w:t>投标</w:t>
      </w:r>
      <w:r>
        <w:rPr>
          <w:rFonts w:ascii="宋体" w:hAnsi="宋体"/>
          <w:sz w:val="24"/>
        </w:rPr>
        <w:t>均无效。</w:t>
      </w:r>
    </w:p>
    <w:p>
      <w:pPr>
        <w:pStyle w:val="11"/>
        <w:tabs>
          <w:tab w:val="left" w:pos="9356"/>
        </w:tabs>
        <w:adjustRightInd w:val="0"/>
        <w:snapToGrid w:val="0"/>
        <w:spacing w:after="0" w:line="460" w:lineRule="exact"/>
        <w:ind w:right="11" w:firstLine="426"/>
        <w:rPr>
          <w:rFonts w:ascii="宋体" w:hAnsi="宋体"/>
          <w:sz w:val="24"/>
        </w:rPr>
      </w:pPr>
      <w:r>
        <w:rPr>
          <w:rFonts w:ascii="宋体" w:hAnsi="宋体"/>
          <w:sz w:val="24"/>
        </w:rPr>
        <w:t>3.</w:t>
      </w:r>
      <w:r>
        <w:rPr>
          <w:rFonts w:hint="eastAsia" w:ascii="宋体" w:hAnsi="宋体"/>
          <w:sz w:val="24"/>
        </w:rPr>
        <w:t>4 在“信用中国”网站（http://www.creditchina.gov.cn/）中被列入失信被执行人名单或失信惩戒对象的投标人，不得参加投标。</w:t>
      </w:r>
    </w:p>
    <w:p>
      <w:pPr>
        <w:adjustRightInd w:val="0"/>
        <w:snapToGrid w:val="0"/>
        <w:spacing w:line="460" w:lineRule="exact"/>
        <w:ind w:right="194"/>
        <w:rPr>
          <w:rFonts w:ascii="宋体" w:hAnsi="宋体" w:cs="宋体"/>
          <w:b/>
          <w:sz w:val="24"/>
        </w:rPr>
      </w:pPr>
      <w:r>
        <w:rPr>
          <w:rFonts w:ascii="宋体" w:hAnsi="宋体" w:cs="宋体"/>
          <w:b/>
          <w:sz w:val="24"/>
        </w:rPr>
        <w:t>4. 招标文件的获取</w:t>
      </w:r>
    </w:p>
    <w:p>
      <w:pPr>
        <w:spacing w:line="360" w:lineRule="auto"/>
        <w:ind w:firstLine="480" w:firstLineChars="200"/>
        <w:rPr>
          <w:rFonts w:ascii="宋体" w:hAnsi="宋体"/>
          <w:sz w:val="24"/>
        </w:rPr>
      </w:pPr>
      <w:r>
        <w:rPr>
          <w:rFonts w:ascii="宋体" w:hAnsi="宋体"/>
          <w:sz w:val="24"/>
        </w:rPr>
        <w:t>4.1 凡有意参加投标者，请于</w:t>
      </w:r>
      <w:r>
        <w:rPr>
          <w:rFonts w:hint="eastAsia" w:ascii="宋体" w:hAnsi="宋体"/>
          <w:sz w:val="24"/>
        </w:rPr>
        <w:t>2023</w:t>
      </w:r>
      <w:r>
        <w:rPr>
          <w:rFonts w:ascii="宋体" w:hAnsi="宋体"/>
          <w:sz w:val="24"/>
        </w:rPr>
        <w:t>年</w:t>
      </w:r>
      <w:r>
        <w:rPr>
          <w:rFonts w:hint="eastAsia" w:ascii="宋体" w:hAnsi="宋体"/>
          <w:sz w:val="24"/>
          <w:lang w:val="en-US" w:eastAsia="zh-CN"/>
        </w:rPr>
        <w:t>8</w:t>
      </w:r>
      <w:r>
        <w:rPr>
          <w:rFonts w:ascii="宋体" w:hAnsi="宋体"/>
          <w:sz w:val="24"/>
        </w:rPr>
        <w:t>月</w:t>
      </w:r>
      <w:r>
        <w:rPr>
          <w:rFonts w:hint="eastAsia" w:ascii="宋体" w:hAnsi="宋体"/>
          <w:sz w:val="24"/>
          <w:lang w:val="en-US" w:eastAsia="zh-CN"/>
        </w:rPr>
        <w:t>1</w:t>
      </w:r>
      <w:r>
        <w:rPr>
          <w:rFonts w:ascii="宋体" w:hAnsi="宋体"/>
          <w:sz w:val="24"/>
        </w:rPr>
        <w:t>日至</w:t>
      </w:r>
      <w:r>
        <w:rPr>
          <w:rFonts w:hint="eastAsia" w:ascii="宋体" w:hAnsi="宋体"/>
          <w:sz w:val="24"/>
        </w:rPr>
        <w:t>2023</w:t>
      </w:r>
      <w:r>
        <w:rPr>
          <w:rFonts w:ascii="宋体" w:hAnsi="宋体"/>
          <w:sz w:val="24"/>
        </w:rPr>
        <w:t>年</w:t>
      </w:r>
      <w:r>
        <w:rPr>
          <w:rFonts w:hint="eastAsia" w:ascii="宋体" w:hAnsi="宋体"/>
          <w:sz w:val="24"/>
          <w:lang w:val="en-US" w:eastAsia="zh-CN"/>
        </w:rPr>
        <w:t>8</w:t>
      </w:r>
      <w:r>
        <w:rPr>
          <w:rFonts w:ascii="宋体" w:hAnsi="宋体"/>
          <w:sz w:val="24"/>
        </w:rPr>
        <w:t>月</w:t>
      </w:r>
      <w:r>
        <w:rPr>
          <w:rFonts w:hint="eastAsia" w:ascii="宋体" w:hAnsi="宋体"/>
          <w:sz w:val="24"/>
          <w:lang w:val="en-US" w:eastAsia="zh-CN"/>
        </w:rPr>
        <w:t>7</w:t>
      </w:r>
      <w:r>
        <w:rPr>
          <w:rFonts w:ascii="宋体" w:hAnsi="宋体"/>
          <w:sz w:val="24"/>
        </w:rPr>
        <w:t>日</w:t>
      </w:r>
      <w:r>
        <w:rPr>
          <w:rFonts w:hint="eastAsia" w:ascii="宋体" w:hAnsi="宋体"/>
          <w:sz w:val="24"/>
        </w:rPr>
        <w:t>，</w:t>
      </w:r>
      <w:r>
        <w:rPr>
          <w:rFonts w:ascii="宋体" w:hAnsi="宋体"/>
          <w:sz w:val="24"/>
        </w:rPr>
        <w:t>每日上午</w:t>
      </w:r>
      <w:r>
        <w:rPr>
          <w:rFonts w:hint="eastAsia" w:ascii="宋体" w:hAnsi="宋体"/>
          <w:sz w:val="24"/>
        </w:rPr>
        <w:t>9</w:t>
      </w:r>
      <w:r>
        <w:rPr>
          <w:rFonts w:ascii="宋体" w:hAnsi="宋体"/>
          <w:sz w:val="24"/>
        </w:rPr>
        <w:t>时</w:t>
      </w:r>
      <w:r>
        <w:rPr>
          <w:rFonts w:hint="eastAsia" w:ascii="宋体" w:hAnsi="宋体"/>
          <w:sz w:val="24"/>
        </w:rPr>
        <w:t>00</w:t>
      </w:r>
      <w:r>
        <w:rPr>
          <w:rFonts w:ascii="宋体" w:hAnsi="宋体"/>
          <w:sz w:val="24"/>
        </w:rPr>
        <w:t>分至</w:t>
      </w:r>
      <w:r>
        <w:rPr>
          <w:rFonts w:hint="eastAsia" w:ascii="宋体" w:hAnsi="宋体"/>
          <w:sz w:val="24"/>
        </w:rPr>
        <w:t>11</w:t>
      </w:r>
      <w:r>
        <w:rPr>
          <w:rFonts w:ascii="宋体" w:hAnsi="宋体"/>
          <w:sz w:val="24"/>
        </w:rPr>
        <w:t>时</w:t>
      </w:r>
      <w:r>
        <w:rPr>
          <w:rFonts w:hint="eastAsia" w:ascii="宋体" w:hAnsi="宋体"/>
          <w:sz w:val="24"/>
        </w:rPr>
        <w:t>30</w:t>
      </w:r>
      <w:r>
        <w:rPr>
          <w:rFonts w:ascii="宋体" w:hAnsi="宋体"/>
          <w:sz w:val="24"/>
        </w:rPr>
        <w:t>分，下午</w:t>
      </w:r>
      <w:r>
        <w:rPr>
          <w:rFonts w:hint="eastAsia" w:ascii="宋体" w:hAnsi="宋体"/>
          <w:sz w:val="24"/>
        </w:rPr>
        <w:t>13</w:t>
      </w:r>
      <w:r>
        <w:rPr>
          <w:rFonts w:ascii="宋体" w:hAnsi="宋体"/>
          <w:sz w:val="24"/>
        </w:rPr>
        <w:t>时</w:t>
      </w:r>
      <w:r>
        <w:rPr>
          <w:rFonts w:hint="eastAsia" w:ascii="宋体" w:hAnsi="宋体"/>
          <w:sz w:val="24"/>
        </w:rPr>
        <w:t>30</w:t>
      </w:r>
      <w:r>
        <w:rPr>
          <w:rFonts w:ascii="宋体" w:hAnsi="宋体"/>
          <w:sz w:val="24"/>
        </w:rPr>
        <w:t>分至</w:t>
      </w:r>
      <w:r>
        <w:rPr>
          <w:rFonts w:hint="eastAsia" w:ascii="宋体" w:hAnsi="宋体"/>
          <w:sz w:val="24"/>
        </w:rPr>
        <w:t>16</w:t>
      </w:r>
      <w:r>
        <w:rPr>
          <w:rFonts w:ascii="宋体" w:hAnsi="宋体"/>
          <w:sz w:val="24"/>
        </w:rPr>
        <w:t>时</w:t>
      </w:r>
      <w:r>
        <w:rPr>
          <w:rFonts w:hint="eastAsia" w:ascii="宋体" w:hAnsi="宋体"/>
          <w:sz w:val="24"/>
        </w:rPr>
        <w:t>00</w:t>
      </w:r>
      <w:r>
        <w:rPr>
          <w:rFonts w:ascii="宋体" w:hAnsi="宋体"/>
          <w:sz w:val="24"/>
        </w:rPr>
        <w:t>分（北京时</w:t>
      </w:r>
      <w:r>
        <w:rPr>
          <w:rFonts w:hint="eastAsia" w:ascii="宋体" w:hAnsi="宋体"/>
          <w:sz w:val="24"/>
        </w:rPr>
        <w:t>间，下同），</w:t>
      </w:r>
      <w:r>
        <w:rPr>
          <w:rFonts w:hint="eastAsia" w:ascii="宋体" w:hAnsi="宋体"/>
          <w:sz w:val="24"/>
          <w:u w:val="single"/>
        </w:rPr>
        <w:t>可直接通过电话与招标代理联系人联系，通过网络或邮寄方式获取招标文件，</w:t>
      </w:r>
      <w:r>
        <w:fldChar w:fldCharType="begin"/>
      </w:r>
      <w:r>
        <w:instrText xml:space="preserve"> HYPERLINK "mailto:将单位介绍信和经办人身份证的彩色扫描件发至邮箱bohaizhengwen01@126.com" </w:instrText>
      </w:r>
      <w:r>
        <w:fldChar w:fldCharType="separate"/>
      </w:r>
      <w:r>
        <w:rPr>
          <w:rFonts w:hint="eastAsia" w:ascii="宋体" w:hAnsi="宋体"/>
          <w:sz w:val="24"/>
          <w:u w:val="single"/>
        </w:rPr>
        <w:t>将单位介绍信和经办人身份证的彩色扫描件发至邮箱chengtouzixun@163.com</w:t>
      </w:r>
      <w:r>
        <w:rPr>
          <w:rFonts w:hint="eastAsia" w:ascii="宋体" w:hAnsi="宋体"/>
          <w:sz w:val="24"/>
          <w:u w:val="single"/>
        </w:rPr>
        <w:fldChar w:fldCharType="end"/>
      </w:r>
      <w:r>
        <w:rPr>
          <w:rFonts w:hint="eastAsia" w:ascii="宋体" w:hAnsi="宋体"/>
          <w:sz w:val="24"/>
          <w:u w:val="single"/>
        </w:rPr>
        <w:t>，并在电子邮件中留言以下信息：投标单位名称、联系人姓名、联系电话、开票信息 、邮寄地址</w:t>
      </w:r>
      <w:r>
        <w:rPr>
          <w:rFonts w:hint="eastAsia" w:ascii="宋体" w:hAnsi="宋体"/>
          <w:sz w:val="24"/>
        </w:rPr>
        <w:t>购买招标文件。</w:t>
      </w:r>
    </w:p>
    <w:p>
      <w:pPr>
        <w:spacing w:line="360" w:lineRule="auto"/>
        <w:ind w:firstLine="480" w:firstLineChars="200"/>
        <w:rPr>
          <w:rFonts w:ascii="宋体" w:hAnsi="宋体"/>
          <w:sz w:val="24"/>
        </w:rPr>
      </w:pPr>
      <w:r>
        <w:rPr>
          <w:rFonts w:hint="eastAsia" w:ascii="宋体" w:hAnsi="宋体"/>
          <w:sz w:val="24"/>
        </w:rPr>
        <w:t>4.2 招标文件每包售价2000元，图纸每套售价/元，售后不退。</w:t>
      </w:r>
    </w:p>
    <w:p>
      <w:pPr>
        <w:adjustRightInd w:val="0"/>
        <w:snapToGrid w:val="0"/>
        <w:spacing w:line="460" w:lineRule="exact"/>
        <w:ind w:left="11" w:leftChars="-46" w:right="638" w:hanging="108" w:hangingChars="45"/>
        <w:rPr>
          <w:rFonts w:ascii="宋体" w:hAnsi="宋体" w:cs="宋体"/>
          <w:b/>
          <w:sz w:val="24"/>
        </w:rPr>
      </w:pPr>
      <w:r>
        <w:rPr>
          <w:rFonts w:ascii="宋体" w:hAnsi="宋体" w:cs="宋体"/>
          <w:b/>
          <w:sz w:val="24"/>
        </w:rPr>
        <w:t>5. 投标文件的递交及相关</w:t>
      </w:r>
      <w:r>
        <w:rPr>
          <w:rFonts w:hint="eastAsia" w:ascii="宋体" w:hAnsi="宋体" w:cs="宋体"/>
          <w:b/>
          <w:sz w:val="24"/>
        </w:rPr>
        <w:t>事宜</w:t>
      </w:r>
    </w:p>
    <w:p>
      <w:pPr>
        <w:pStyle w:val="11"/>
        <w:adjustRightInd w:val="0"/>
        <w:spacing w:line="460" w:lineRule="exact"/>
        <w:ind w:left="-4" w:leftChars="-2" w:right="638" w:firstLine="489" w:firstLineChars="204"/>
        <w:rPr>
          <w:rFonts w:ascii="宋体" w:hAnsi="宋体"/>
          <w:sz w:val="24"/>
        </w:rPr>
      </w:pPr>
      <w:r>
        <w:rPr>
          <w:rFonts w:ascii="宋体" w:hAnsi="宋体"/>
          <w:sz w:val="24"/>
        </w:rPr>
        <w:t>5.1 招标人将于下列时间和地点组织进行工程现场踏勘并召开投标预备会。</w:t>
      </w:r>
    </w:p>
    <w:p>
      <w:pPr>
        <w:pStyle w:val="11"/>
        <w:tabs>
          <w:tab w:val="left" w:pos="9656"/>
        </w:tabs>
        <w:adjustRightInd w:val="0"/>
        <w:spacing w:line="460" w:lineRule="exact"/>
        <w:ind w:left="-4" w:leftChars="-2" w:right="110" w:firstLine="489" w:firstLineChars="204"/>
        <w:rPr>
          <w:rFonts w:ascii="宋体" w:hAnsi="宋体"/>
          <w:sz w:val="24"/>
          <w:u w:val="single"/>
        </w:rPr>
      </w:pPr>
      <w:r>
        <w:rPr>
          <w:rFonts w:ascii="宋体" w:hAnsi="宋体"/>
          <w:sz w:val="24"/>
        </w:rPr>
        <w:t>踏勘现场时间：</w:t>
      </w:r>
      <w:r>
        <w:rPr>
          <w:rFonts w:hint="eastAsia" w:ascii="宋体" w:hAnsi="宋体"/>
          <w:sz w:val="24"/>
          <w:u w:val="single"/>
        </w:rPr>
        <w:t>不组织</w:t>
      </w:r>
      <w:r>
        <w:rPr>
          <w:rFonts w:hint="eastAsia" w:ascii="宋体" w:hAnsi="宋体"/>
          <w:sz w:val="24"/>
        </w:rPr>
        <w:t>；</w:t>
      </w:r>
    </w:p>
    <w:p>
      <w:pPr>
        <w:pStyle w:val="11"/>
        <w:tabs>
          <w:tab w:val="left" w:pos="9656"/>
        </w:tabs>
        <w:adjustRightInd w:val="0"/>
        <w:spacing w:line="460" w:lineRule="exact"/>
        <w:ind w:left="-4" w:leftChars="-2" w:right="110" w:firstLine="489" w:firstLineChars="204"/>
        <w:rPr>
          <w:rFonts w:ascii="宋体" w:hAnsi="宋体"/>
          <w:sz w:val="24"/>
        </w:rPr>
      </w:pPr>
      <w:r>
        <w:rPr>
          <w:rFonts w:ascii="宋体" w:hAnsi="宋体"/>
          <w:sz w:val="24"/>
        </w:rPr>
        <w:t>投标预备会时间：</w:t>
      </w:r>
      <w:r>
        <w:rPr>
          <w:rFonts w:hint="eastAsia" w:ascii="宋体" w:hAnsi="宋体"/>
          <w:sz w:val="24"/>
          <w:u w:val="single"/>
        </w:rPr>
        <w:t>不组织。</w:t>
      </w:r>
      <w:r>
        <w:rPr>
          <w:rFonts w:ascii="宋体" w:hAnsi="宋体"/>
          <w:sz w:val="24"/>
        </w:rPr>
        <w:tab/>
      </w:r>
      <w:r>
        <w:rPr>
          <w:rFonts w:ascii="宋体" w:hAnsi="宋体"/>
          <w:sz w:val="24"/>
        </w:rPr>
        <w:t xml:space="preserve">  </w:t>
      </w:r>
    </w:p>
    <w:p>
      <w:pPr>
        <w:pStyle w:val="11"/>
        <w:tabs>
          <w:tab w:val="left" w:pos="9656"/>
        </w:tabs>
        <w:adjustRightInd w:val="0"/>
        <w:spacing w:line="460" w:lineRule="exact"/>
        <w:ind w:left="-4" w:leftChars="-2" w:right="110" w:firstLine="489" w:firstLineChars="204"/>
        <w:rPr>
          <w:rFonts w:ascii="宋体" w:hAnsi="宋体"/>
          <w:kern w:val="0"/>
          <w:sz w:val="24"/>
        </w:rPr>
      </w:pPr>
      <w:r>
        <w:rPr>
          <w:rFonts w:ascii="宋体" w:hAnsi="宋体"/>
          <w:sz w:val="24"/>
        </w:rPr>
        <w:t xml:space="preserve">5.2 </w:t>
      </w:r>
      <w:r>
        <w:rPr>
          <w:rFonts w:ascii="宋体" w:hAnsi="宋体"/>
          <w:kern w:val="0"/>
          <w:sz w:val="24"/>
        </w:rPr>
        <w:t>投标文件递交的截止时间（投标截止时间，下同）为</w:t>
      </w:r>
      <w:r>
        <w:rPr>
          <w:rFonts w:hint="eastAsia" w:ascii="宋体" w:hAnsi="宋体"/>
          <w:kern w:val="0"/>
          <w:sz w:val="24"/>
        </w:rPr>
        <w:t>2023年</w:t>
      </w:r>
      <w:r>
        <w:rPr>
          <w:rFonts w:hint="eastAsia" w:ascii="宋体" w:hAnsi="宋体"/>
          <w:kern w:val="0"/>
          <w:sz w:val="24"/>
          <w:lang w:val="en-US" w:eastAsia="zh-CN"/>
        </w:rPr>
        <w:t>8</w:t>
      </w:r>
      <w:r>
        <w:rPr>
          <w:rFonts w:hint="eastAsia" w:ascii="宋体" w:hAnsi="宋体"/>
          <w:kern w:val="0"/>
          <w:sz w:val="24"/>
        </w:rPr>
        <w:t>月</w:t>
      </w:r>
      <w:r>
        <w:rPr>
          <w:rFonts w:hint="eastAsia" w:ascii="宋体" w:hAnsi="宋体"/>
          <w:kern w:val="0"/>
          <w:sz w:val="24"/>
          <w:lang w:val="en-US" w:eastAsia="zh-CN"/>
        </w:rPr>
        <w:t>23</w:t>
      </w:r>
      <w:r>
        <w:rPr>
          <w:rFonts w:hint="eastAsia" w:ascii="宋体" w:hAnsi="宋体"/>
          <w:kern w:val="0"/>
          <w:sz w:val="24"/>
        </w:rPr>
        <w:t>日9时30分，地点为天津市政务服务中心（原天津市行政许可服务中心）二楼公共资源交易中心第</w:t>
      </w:r>
      <w:r>
        <w:rPr>
          <w:rFonts w:hint="eastAsia" w:ascii="宋体" w:hAnsi="宋体"/>
          <w:kern w:val="0"/>
          <w:sz w:val="24"/>
          <w:lang w:val="en-US" w:eastAsia="zh-CN"/>
        </w:rPr>
        <w:t>二</w:t>
      </w:r>
      <w:r>
        <w:rPr>
          <w:rFonts w:hint="eastAsia" w:ascii="宋体" w:hAnsi="宋体"/>
          <w:kern w:val="0"/>
          <w:sz w:val="24"/>
        </w:rPr>
        <w:t>开标室【天津市河东区红星路79号（红星路与卫国道交口顺驰立交桥旁）】。</w:t>
      </w:r>
    </w:p>
    <w:p>
      <w:pPr>
        <w:pStyle w:val="11"/>
        <w:tabs>
          <w:tab w:val="left" w:pos="9656"/>
        </w:tabs>
        <w:spacing w:line="460" w:lineRule="exact"/>
        <w:ind w:left="-4" w:leftChars="-2" w:right="110" w:firstLine="489" w:firstLineChars="204"/>
        <w:rPr>
          <w:sz w:val="24"/>
        </w:rPr>
      </w:pPr>
      <w:r>
        <w:rPr>
          <w:rFonts w:hint="eastAsia" w:ascii="宋体" w:hAnsi="宋体"/>
          <w:kern w:val="0"/>
          <w:sz w:val="24"/>
        </w:rPr>
        <w:t>5.3</w:t>
      </w:r>
      <w:r>
        <w:rPr>
          <w:rFonts w:hint="eastAsia"/>
          <w:sz w:val="24"/>
        </w:rPr>
        <w:t>本项目采用现场开标方式，在投标文件递交截止时间前，送达至天津市政务服务中心（二楼第</w:t>
      </w:r>
      <w:r>
        <w:rPr>
          <w:rFonts w:hint="eastAsia"/>
          <w:sz w:val="24"/>
          <w:lang w:val="en-US" w:eastAsia="zh-CN"/>
        </w:rPr>
        <w:t>二</w:t>
      </w:r>
      <w:r>
        <w:rPr>
          <w:rFonts w:hint="eastAsia"/>
          <w:sz w:val="24"/>
        </w:rPr>
        <w:t>开标室）（天津市河东区红星路79号，红星路与卫国道交口顺驰立交桥旁）</w:t>
      </w:r>
      <w:r>
        <w:rPr>
          <w:rFonts w:hint="eastAsia"/>
          <w:sz w:val="24"/>
          <w:lang w:eastAsia="zh-CN"/>
        </w:rPr>
        <w:t>，</w:t>
      </w:r>
      <w:r>
        <w:rPr>
          <w:rFonts w:hint="eastAsia"/>
          <w:sz w:val="24"/>
        </w:rPr>
        <w:t xml:space="preserve">逾期送达或寄达或者不按照招标文件要求密封的投标文件，招标人将予以拒收。  </w:t>
      </w:r>
    </w:p>
    <w:p>
      <w:pPr>
        <w:pStyle w:val="11"/>
        <w:adjustRightInd w:val="0"/>
        <w:snapToGrid w:val="0"/>
        <w:spacing w:after="0" w:line="460" w:lineRule="exact"/>
        <w:ind w:right="820"/>
        <w:rPr>
          <w:rFonts w:ascii="宋体" w:hAnsi="宋体" w:cs="宋体"/>
          <w:b/>
          <w:bCs/>
          <w:sz w:val="24"/>
        </w:rPr>
      </w:pPr>
      <w:r>
        <w:rPr>
          <w:rFonts w:ascii="宋体" w:hAnsi="宋体"/>
          <w:b/>
          <w:bCs/>
          <w:sz w:val="24"/>
        </w:rPr>
        <w:t xml:space="preserve">6. </w:t>
      </w:r>
      <w:r>
        <w:rPr>
          <w:rFonts w:ascii="宋体" w:hAnsi="宋体" w:cs="宋体"/>
          <w:b/>
          <w:bCs/>
          <w:sz w:val="24"/>
        </w:rPr>
        <w:t>发布公告的媒介</w:t>
      </w:r>
    </w:p>
    <w:p>
      <w:pPr>
        <w:pStyle w:val="11"/>
        <w:tabs>
          <w:tab w:val="left" w:pos="4206"/>
        </w:tabs>
        <w:adjustRightInd w:val="0"/>
        <w:snapToGrid w:val="0"/>
        <w:spacing w:after="0" w:line="460" w:lineRule="exact"/>
        <w:ind w:right="108" w:firstLine="480" w:firstLineChars="200"/>
        <w:rPr>
          <w:rFonts w:ascii="宋体" w:hAnsi="宋体"/>
          <w:sz w:val="24"/>
        </w:rPr>
      </w:pPr>
      <w:r>
        <w:rPr>
          <w:rFonts w:ascii="宋体" w:hAnsi="宋体"/>
          <w:sz w:val="24"/>
        </w:rPr>
        <w:t>本次招标公告同时</w:t>
      </w:r>
      <w:r>
        <w:rPr>
          <w:rFonts w:hint="eastAsia" w:ascii="宋体" w:hAnsi="宋体"/>
          <w:sz w:val="24"/>
        </w:rPr>
        <w:t>在</w:t>
      </w:r>
      <w:r>
        <w:rPr>
          <w:rFonts w:hint="eastAsia" w:ascii="宋体" w:hAnsi="宋体" w:cs="宋体"/>
          <w:kern w:val="0"/>
          <w:sz w:val="24"/>
          <w:u w:val="single"/>
        </w:rPr>
        <w:t>天津市公共资源交易网（</w:t>
      </w:r>
      <w:r>
        <w:rPr>
          <w:rFonts w:ascii="宋体" w:hAnsi="宋体" w:cs="宋体"/>
          <w:kern w:val="0"/>
          <w:sz w:val="24"/>
          <w:u w:val="single"/>
        </w:rPr>
        <w:t>http://60.28.163.169/</w:t>
      </w:r>
      <w:r>
        <w:rPr>
          <w:rFonts w:hint="eastAsia" w:ascii="宋体" w:hAnsi="宋体" w:cs="宋体"/>
          <w:kern w:val="0"/>
          <w:sz w:val="24"/>
          <w:u w:val="single"/>
        </w:rPr>
        <w:t>）、天津市滨海新区交通运输局官网（</w:t>
      </w:r>
      <w:r>
        <w:fldChar w:fldCharType="begin"/>
      </w:r>
      <w:r>
        <w:instrText xml:space="preserve"> HYPERLINK "http://jtysj.tjbh.gov.cn/" </w:instrText>
      </w:r>
      <w:r>
        <w:fldChar w:fldCharType="separate"/>
      </w:r>
      <w:r>
        <w:rPr>
          <w:rFonts w:ascii="宋体" w:hAnsi="宋体" w:cs="宋体"/>
          <w:kern w:val="0"/>
          <w:sz w:val="24"/>
          <w:u w:val="single"/>
        </w:rPr>
        <w:t>http://jtysj.tjbh.gov.cn/</w:t>
      </w:r>
      <w:r>
        <w:rPr>
          <w:rFonts w:ascii="宋体" w:hAnsi="宋体" w:cs="宋体"/>
          <w:kern w:val="0"/>
          <w:sz w:val="24"/>
          <w:u w:val="single"/>
        </w:rPr>
        <w:fldChar w:fldCharType="end"/>
      </w:r>
      <w:r>
        <w:rPr>
          <w:rFonts w:hint="eastAsia" w:ascii="宋体" w:hAnsi="宋体" w:cs="宋体"/>
          <w:kern w:val="0"/>
          <w:sz w:val="24"/>
          <w:u w:val="single"/>
        </w:rPr>
        <w:t>）</w:t>
      </w:r>
      <w:r>
        <w:rPr>
          <w:rFonts w:hint="eastAsia" w:ascii="宋体" w:hAnsi="宋体"/>
          <w:sz w:val="24"/>
        </w:rPr>
        <w:t>上</w:t>
      </w:r>
      <w:r>
        <w:rPr>
          <w:rFonts w:ascii="宋体" w:hAnsi="宋体"/>
          <w:sz w:val="24"/>
        </w:rPr>
        <w:t>发布。</w:t>
      </w:r>
    </w:p>
    <w:p>
      <w:pPr>
        <w:pStyle w:val="11"/>
        <w:tabs>
          <w:tab w:val="left" w:pos="4206"/>
        </w:tabs>
        <w:adjustRightInd w:val="0"/>
        <w:snapToGrid w:val="0"/>
        <w:spacing w:after="0" w:line="460" w:lineRule="exact"/>
        <w:ind w:right="108" w:firstLine="480" w:firstLineChars="200"/>
        <w:rPr>
          <w:rFonts w:ascii="宋体" w:hAnsi="宋体"/>
          <w:sz w:val="24"/>
        </w:rPr>
      </w:pPr>
      <w:r>
        <w:rPr>
          <w:rFonts w:hint="eastAsia" w:ascii="宋体" w:hAnsi="宋体"/>
          <w:sz w:val="24"/>
        </w:rPr>
        <w:t>提示：按照《天津市人民政府办公厅关于印发天津市整合建立统一的公共资源交易平台体系实施方案的通知》中统一注册市场主体信息的要求，初次参加投标的投标人需在招标文件发售期间，在天津市公共资源交易网进行注册报名后，方可购买招标文件进行投标，注册方法可咨询招标代理机构。已进行注册的投标人不需重新注册。</w:t>
      </w:r>
    </w:p>
    <w:p>
      <w:pPr>
        <w:pStyle w:val="11"/>
        <w:tabs>
          <w:tab w:val="left" w:pos="4055"/>
          <w:tab w:val="left" w:pos="7180"/>
        </w:tabs>
        <w:adjustRightInd w:val="0"/>
        <w:snapToGrid w:val="0"/>
        <w:spacing w:after="0" w:line="460" w:lineRule="exact"/>
        <w:ind w:left="-4" w:leftChars="-2" w:right="638" w:firstLine="2" w:firstLineChars="1"/>
        <w:rPr>
          <w:rFonts w:ascii="宋体" w:hAnsi="宋体"/>
          <w:b/>
          <w:bCs/>
          <w:sz w:val="24"/>
        </w:rPr>
      </w:pPr>
      <w:r>
        <w:rPr>
          <w:rFonts w:hint="eastAsia" w:ascii="宋体" w:hAnsi="宋体"/>
          <w:b/>
          <w:bCs/>
          <w:sz w:val="24"/>
        </w:rPr>
        <w:t xml:space="preserve">7.招标文件关键内容 </w:t>
      </w:r>
    </w:p>
    <w:p>
      <w:pPr>
        <w:pStyle w:val="11"/>
        <w:tabs>
          <w:tab w:val="left" w:pos="4055"/>
          <w:tab w:val="left" w:pos="7180"/>
        </w:tabs>
        <w:adjustRightInd w:val="0"/>
        <w:snapToGrid w:val="0"/>
        <w:spacing w:after="0" w:line="460" w:lineRule="exact"/>
        <w:ind w:left="-4" w:leftChars="-2" w:right="638" w:firstLine="362" w:firstLineChars="151"/>
        <w:rPr>
          <w:rFonts w:ascii="宋体" w:hAnsi="宋体"/>
          <w:szCs w:val="21"/>
        </w:rPr>
      </w:pPr>
      <w:r>
        <w:rPr>
          <w:rFonts w:hint="eastAsia" w:ascii="宋体" w:hAnsi="宋体"/>
          <w:sz w:val="24"/>
        </w:rPr>
        <w:t>另见附件，最终以发售纸质招标文件为准。</w:t>
      </w:r>
    </w:p>
    <w:p>
      <w:pPr>
        <w:numPr>
          <w:ilvl w:val="0"/>
          <w:numId w:val="2"/>
        </w:numPr>
        <w:spacing w:before="16" w:line="460" w:lineRule="exact"/>
        <w:ind w:right="108"/>
        <w:rPr>
          <w:rFonts w:ascii="宋体" w:hAnsi="宋体" w:cs="宋体"/>
          <w:b/>
          <w:bCs/>
          <w:sz w:val="24"/>
        </w:rPr>
      </w:pPr>
      <w:r>
        <w:rPr>
          <w:rFonts w:ascii="宋体" w:hAnsi="宋体" w:cs="宋体"/>
          <w:b/>
          <w:bCs/>
          <w:sz w:val="24"/>
        </w:rPr>
        <w:t>联系方式</w:t>
      </w:r>
    </w:p>
    <w:tbl>
      <w:tblPr>
        <w:tblStyle w:val="30"/>
        <w:tblW w:w="9679" w:type="dxa"/>
        <w:tblInd w:w="0" w:type="dxa"/>
        <w:tblLayout w:type="fixed"/>
        <w:tblCellMar>
          <w:top w:w="0" w:type="dxa"/>
          <w:left w:w="108" w:type="dxa"/>
          <w:bottom w:w="0" w:type="dxa"/>
          <w:right w:w="108" w:type="dxa"/>
        </w:tblCellMar>
      </w:tblPr>
      <w:tblGrid>
        <w:gridCol w:w="1502"/>
        <w:gridCol w:w="2926"/>
        <w:gridCol w:w="1821"/>
        <w:gridCol w:w="3430"/>
      </w:tblGrid>
      <w:tr>
        <w:tblPrEx>
          <w:tblCellMar>
            <w:top w:w="0" w:type="dxa"/>
            <w:left w:w="108" w:type="dxa"/>
            <w:bottom w:w="0" w:type="dxa"/>
            <w:right w:w="108" w:type="dxa"/>
          </w:tblCellMar>
        </w:tblPrEx>
        <w:trPr>
          <w:trHeight w:val="415" w:hRule="atLeast"/>
        </w:trPr>
        <w:tc>
          <w:tcPr>
            <w:tcW w:w="1502" w:type="dxa"/>
            <w:vAlign w:val="center"/>
          </w:tcPr>
          <w:p>
            <w:pPr>
              <w:spacing w:line="400" w:lineRule="exact"/>
              <w:rPr>
                <w:rFonts w:ascii="宋体" w:hAnsi="宋体"/>
                <w:sz w:val="24"/>
              </w:rPr>
            </w:pPr>
            <w:r>
              <w:rPr>
                <w:rFonts w:ascii="宋体" w:hAnsi="宋体"/>
                <w:sz w:val="24"/>
              </w:rPr>
              <w:t>招标人：</w:t>
            </w:r>
          </w:p>
        </w:tc>
        <w:tc>
          <w:tcPr>
            <w:tcW w:w="2926" w:type="dxa"/>
            <w:vAlign w:val="center"/>
          </w:tcPr>
          <w:p>
            <w:pPr>
              <w:spacing w:line="400" w:lineRule="exact"/>
              <w:rPr>
                <w:rFonts w:ascii="宋体" w:hAnsi="宋体"/>
                <w:sz w:val="24"/>
              </w:rPr>
            </w:pPr>
            <w:r>
              <w:rPr>
                <w:rFonts w:hint="eastAsia" w:ascii="宋体" w:hAnsi="宋体"/>
                <w:sz w:val="24"/>
                <w:u w:val="single"/>
              </w:rPr>
              <w:t>天津市滨海新区城投建设发展有限公司</w:t>
            </w:r>
          </w:p>
        </w:tc>
        <w:tc>
          <w:tcPr>
            <w:tcW w:w="1821" w:type="dxa"/>
            <w:vAlign w:val="center"/>
          </w:tcPr>
          <w:p>
            <w:pPr>
              <w:spacing w:line="400" w:lineRule="exact"/>
              <w:rPr>
                <w:rFonts w:ascii="宋体" w:hAnsi="宋体"/>
                <w:sz w:val="24"/>
              </w:rPr>
            </w:pPr>
            <w:r>
              <w:rPr>
                <w:rFonts w:ascii="宋体" w:hAnsi="宋体"/>
                <w:sz w:val="24"/>
              </w:rPr>
              <w:t>招标代理机构：</w:t>
            </w:r>
          </w:p>
        </w:tc>
        <w:tc>
          <w:tcPr>
            <w:tcW w:w="3430" w:type="dxa"/>
            <w:vAlign w:val="center"/>
          </w:tcPr>
          <w:p>
            <w:pPr>
              <w:spacing w:line="400" w:lineRule="exact"/>
              <w:rPr>
                <w:rFonts w:ascii="宋体" w:hAnsi="宋体"/>
                <w:sz w:val="24"/>
              </w:rPr>
            </w:pPr>
            <w:r>
              <w:rPr>
                <w:rFonts w:hint="eastAsia" w:ascii="宋体" w:hAnsi="宋体"/>
                <w:sz w:val="24"/>
                <w:u w:val="single"/>
              </w:rPr>
              <w:t>天津市滨海新区城投工程咨询有限公司</w:t>
            </w:r>
          </w:p>
        </w:tc>
      </w:tr>
      <w:tr>
        <w:tblPrEx>
          <w:tblCellMar>
            <w:top w:w="0" w:type="dxa"/>
            <w:left w:w="108" w:type="dxa"/>
            <w:bottom w:w="0" w:type="dxa"/>
            <w:right w:w="108" w:type="dxa"/>
          </w:tblCellMar>
        </w:tblPrEx>
        <w:trPr>
          <w:trHeight w:val="415" w:hRule="atLeast"/>
        </w:trPr>
        <w:tc>
          <w:tcPr>
            <w:tcW w:w="1502" w:type="dxa"/>
            <w:vAlign w:val="center"/>
          </w:tcPr>
          <w:p>
            <w:pPr>
              <w:spacing w:line="400" w:lineRule="exact"/>
              <w:rPr>
                <w:rFonts w:ascii="宋体" w:hAnsi="宋体"/>
                <w:sz w:val="24"/>
              </w:rPr>
            </w:pPr>
            <w:r>
              <w:rPr>
                <w:rFonts w:ascii="宋体" w:hAnsi="宋体"/>
                <w:sz w:val="24"/>
              </w:rPr>
              <w:t>地  址：</w:t>
            </w:r>
          </w:p>
        </w:tc>
        <w:tc>
          <w:tcPr>
            <w:tcW w:w="2926" w:type="dxa"/>
            <w:vAlign w:val="center"/>
          </w:tcPr>
          <w:p>
            <w:pPr>
              <w:spacing w:line="400" w:lineRule="exact"/>
              <w:rPr>
                <w:rFonts w:ascii="宋体" w:hAnsi="宋体"/>
                <w:sz w:val="24"/>
              </w:rPr>
            </w:pPr>
            <w:r>
              <w:rPr>
                <w:rFonts w:hint="eastAsia" w:ascii="宋体" w:hAnsi="宋体"/>
                <w:sz w:val="24"/>
                <w:u w:val="single"/>
              </w:rPr>
              <w:t>天津市滨海新区津塘公路5982号副598号</w:t>
            </w:r>
          </w:p>
        </w:tc>
        <w:tc>
          <w:tcPr>
            <w:tcW w:w="1821" w:type="dxa"/>
            <w:vAlign w:val="center"/>
          </w:tcPr>
          <w:p>
            <w:pPr>
              <w:spacing w:line="400" w:lineRule="exact"/>
              <w:rPr>
                <w:rFonts w:ascii="宋体" w:hAnsi="宋体"/>
                <w:sz w:val="24"/>
              </w:rPr>
            </w:pPr>
            <w:r>
              <w:rPr>
                <w:rFonts w:ascii="宋体" w:hAnsi="宋体"/>
                <w:sz w:val="24"/>
              </w:rPr>
              <w:t xml:space="preserve">地 </w:t>
            </w:r>
            <w:r>
              <w:rPr>
                <w:rFonts w:hint="eastAsia" w:ascii="宋体" w:hAnsi="宋体"/>
                <w:sz w:val="24"/>
              </w:rPr>
              <w:t xml:space="preserve">      </w:t>
            </w:r>
            <w:r>
              <w:rPr>
                <w:rFonts w:ascii="宋体" w:hAnsi="宋体"/>
                <w:sz w:val="24"/>
              </w:rPr>
              <w:t xml:space="preserve"> 址：</w:t>
            </w:r>
          </w:p>
        </w:tc>
        <w:tc>
          <w:tcPr>
            <w:tcW w:w="3430" w:type="dxa"/>
            <w:vAlign w:val="center"/>
          </w:tcPr>
          <w:p>
            <w:pPr>
              <w:spacing w:line="400" w:lineRule="exact"/>
              <w:rPr>
                <w:rFonts w:ascii="宋体" w:hAnsi="宋体"/>
                <w:sz w:val="24"/>
              </w:rPr>
            </w:pPr>
            <w:r>
              <w:rPr>
                <w:rFonts w:hint="eastAsia" w:ascii="宋体" w:hAnsi="宋体"/>
                <w:sz w:val="24"/>
                <w:u w:val="single"/>
              </w:rPr>
              <w:t>天津市滨海新区津塘公路5982号副598号</w:t>
            </w:r>
          </w:p>
        </w:tc>
      </w:tr>
      <w:tr>
        <w:tblPrEx>
          <w:tblCellMar>
            <w:top w:w="0" w:type="dxa"/>
            <w:left w:w="108" w:type="dxa"/>
            <w:bottom w:w="0" w:type="dxa"/>
            <w:right w:w="108" w:type="dxa"/>
          </w:tblCellMar>
        </w:tblPrEx>
        <w:trPr>
          <w:trHeight w:val="89" w:hRule="atLeast"/>
        </w:trPr>
        <w:tc>
          <w:tcPr>
            <w:tcW w:w="1502" w:type="dxa"/>
            <w:vAlign w:val="center"/>
          </w:tcPr>
          <w:p>
            <w:pPr>
              <w:spacing w:line="400" w:lineRule="exact"/>
              <w:rPr>
                <w:rFonts w:ascii="宋体" w:hAnsi="宋体"/>
                <w:sz w:val="24"/>
              </w:rPr>
            </w:pPr>
            <w:r>
              <w:rPr>
                <w:rFonts w:ascii="宋体" w:hAnsi="宋体"/>
                <w:sz w:val="24"/>
              </w:rPr>
              <w:t>邮  编：</w:t>
            </w:r>
          </w:p>
        </w:tc>
        <w:tc>
          <w:tcPr>
            <w:tcW w:w="2926" w:type="dxa"/>
            <w:vAlign w:val="center"/>
          </w:tcPr>
          <w:p>
            <w:pPr>
              <w:spacing w:line="400" w:lineRule="exact"/>
              <w:rPr>
                <w:rFonts w:ascii="宋体" w:hAnsi="宋体"/>
                <w:sz w:val="24"/>
                <w:u w:val="single"/>
              </w:rPr>
            </w:pPr>
            <w:r>
              <w:rPr>
                <w:rFonts w:hint="eastAsia" w:ascii="宋体" w:hAnsi="宋体"/>
                <w:sz w:val="24"/>
                <w:u w:val="single"/>
              </w:rPr>
              <w:t xml:space="preserve">300450           </w:t>
            </w:r>
          </w:p>
        </w:tc>
        <w:tc>
          <w:tcPr>
            <w:tcW w:w="1821" w:type="dxa"/>
            <w:vAlign w:val="center"/>
          </w:tcPr>
          <w:p>
            <w:pPr>
              <w:spacing w:line="400" w:lineRule="exact"/>
              <w:rPr>
                <w:rFonts w:ascii="宋体" w:hAnsi="宋体"/>
                <w:sz w:val="24"/>
              </w:rPr>
            </w:pPr>
            <w:r>
              <w:rPr>
                <w:rFonts w:ascii="宋体" w:hAnsi="宋体"/>
                <w:sz w:val="24"/>
              </w:rPr>
              <w:t xml:space="preserve">邮 </w:t>
            </w:r>
            <w:r>
              <w:rPr>
                <w:rFonts w:hint="eastAsia" w:ascii="宋体" w:hAnsi="宋体"/>
                <w:sz w:val="24"/>
              </w:rPr>
              <w:t xml:space="preserve">      </w:t>
            </w:r>
            <w:r>
              <w:rPr>
                <w:rFonts w:ascii="宋体" w:hAnsi="宋体"/>
                <w:sz w:val="24"/>
              </w:rPr>
              <w:t xml:space="preserve"> 编：</w:t>
            </w:r>
          </w:p>
        </w:tc>
        <w:tc>
          <w:tcPr>
            <w:tcW w:w="3430" w:type="dxa"/>
            <w:vAlign w:val="center"/>
          </w:tcPr>
          <w:p>
            <w:pPr>
              <w:spacing w:line="400" w:lineRule="exact"/>
              <w:rPr>
                <w:rFonts w:ascii="宋体" w:hAnsi="宋体"/>
                <w:sz w:val="24"/>
              </w:rPr>
            </w:pPr>
            <w:r>
              <w:rPr>
                <w:rFonts w:hint="eastAsia" w:ascii="宋体" w:hAnsi="宋体"/>
                <w:sz w:val="24"/>
                <w:u w:val="single"/>
              </w:rPr>
              <w:t xml:space="preserve">300450       </w:t>
            </w:r>
          </w:p>
        </w:tc>
      </w:tr>
      <w:tr>
        <w:tblPrEx>
          <w:tblCellMar>
            <w:top w:w="0" w:type="dxa"/>
            <w:left w:w="108" w:type="dxa"/>
            <w:bottom w:w="0" w:type="dxa"/>
            <w:right w:w="108" w:type="dxa"/>
          </w:tblCellMar>
        </w:tblPrEx>
        <w:trPr>
          <w:trHeight w:val="415" w:hRule="atLeast"/>
        </w:trPr>
        <w:tc>
          <w:tcPr>
            <w:tcW w:w="1502" w:type="dxa"/>
            <w:vAlign w:val="center"/>
          </w:tcPr>
          <w:p>
            <w:pPr>
              <w:adjustRightInd w:val="0"/>
              <w:snapToGrid w:val="0"/>
              <w:spacing w:line="400" w:lineRule="exact"/>
              <w:rPr>
                <w:rFonts w:ascii="宋体" w:hAnsi="宋体"/>
                <w:sz w:val="24"/>
              </w:rPr>
            </w:pPr>
            <w:r>
              <w:rPr>
                <w:rFonts w:ascii="宋体" w:hAnsi="宋体"/>
                <w:sz w:val="24"/>
              </w:rPr>
              <w:t>联</w:t>
            </w:r>
            <w:r>
              <w:rPr>
                <w:rFonts w:hint="eastAsia" w:ascii="宋体" w:hAnsi="宋体"/>
                <w:sz w:val="24"/>
              </w:rPr>
              <w:t>系人</w:t>
            </w:r>
            <w:r>
              <w:rPr>
                <w:rFonts w:ascii="宋体" w:hAnsi="宋体"/>
                <w:sz w:val="24"/>
              </w:rPr>
              <w:t>：</w:t>
            </w:r>
          </w:p>
        </w:tc>
        <w:tc>
          <w:tcPr>
            <w:tcW w:w="2926" w:type="dxa"/>
            <w:vAlign w:val="center"/>
          </w:tcPr>
          <w:p>
            <w:pPr>
              <w:adjustRightInd w:val="0"/>
              <w:snapToGrid w:val="0"/>
              <w:spacing w:line="400" w:lineRule="exact"/>
              <w:rPr>
                <w:rFonts w:ascii="宋体" w:hAnsi="宋体"/>
                <w:sz w:val="24"/>
              </w:rPr>
            </w:pPr>
            <w:r>
              <w:rPr>
                <w:rFonts w:hint="eastAsia" w:ascii="宋体" w:hAnsi="宋体"/>
                <w:sz w:val="24"/>
                <w:u w:val="single"/>
              </w:rPr>
              <w:t>韩琦</w:t>
            </w:r>
          </w:p>
        </w:tc>
        <w:tc>
          <w:tcPr>
            <w:tcW w:w="1821" w:type="dxa"/>
            <w:vAlign w:val="center"/>
          </w:tcPr>
          <w:p>
            <w:pPr>
              <w:spacing w:line="400" w:lineRule="exact"/>
              <w:jc w:val="left"/>
              <w:rPr>
                <w:rFonts w:ascii="宋体" w:hAnsi="宋体"/>
                <w:sz w:val="24"/>
              </w:rPr>
            </w:pPr>
            <w:r>
              <w:rPr>
                <w:rFonts w:hint="eastAsia" w:ascii="宋体" w:hAnsi="宋体"/>
                <w:sz w:val="24"/>
              </w:rPr>
              <w:t>联   系   人</w:t>
            </w:r>
            <w:r>
              <w:rPr>
                <w:rFonts w:ascii="宋体" w:hAnsi="宋体"/>
                <w:sz w:val="24"/>
              </w:rPr>
              <w:t>：</w:t>
            </w:r>
          </w:p>
        </w:tc>
        <w:tc>
          <w:tcPr>
            <w:tcW w:w="3430" w:type="dxa"/>
            <w:vAlign w:val="center"/>
          </w:tcPr>
          <w:p>
            <w:pPr>
              <w:spacing w:line="400" w:lineRule="exact"/>
              <w:rPr>
                <w:rFonts w:ascii="宋体" w:hAnsi="宋体"/>
                <w:sz w:val="24"/>
              </w:rPr>
            </w:pPr>
            <w:r>
              <w:rPr>
                <w:rFonts w:hint="eastAsia" w:ascii="宋体" w:hAnsi="宋体"/>
                <w:sz w:val="24"/>
                <w:u w:val="single"/>
              </w:rPr>
              <w:t>温欣</w:t>
            </w:r>
          </w:p>
        </w:tc>
      </w:tr>
      <w:tr>
        <w:tblPrEx>
          <w:tblCellMar>
            <w:top w:w="0" w:type="dxa"/>
            <w:left w:w="108" w:type="dxa"/>
            <w:bottom w:w="0" w:type="dxa"/>
            <w:right w:w="108" w:type="dxa"/>
          </w:tblCellMar>
        </w:tblPrEx>
        <w:trPr>
          <w:trHeight w:val="415" w:hRule="atLeast"/>
        </w:trPr>
        <w:tc>
          <w:tcPr>
            <w:tcW w:w="1502" w:type="dxa"/>
            <w:vAlign w:val="center"/>
          </w:tcPr>
          <w:p>
            <w:pPr>
              <w:adjustRightInd w:val="0"/>
              <w:snapToGrid w:val="0"/>
              <w:spacing w:line="400" w:lineRule="exact"/>
              <w:rPr>
                <w:rFonts w:ascii="宋体" w:hAnsi="宋体"/>
                <w:sz w:val="24"/>
              </w:rPr>
            </w:pPr>
            <w:r>
              <w:rPr>
                <w:rFonts w:hint="eastAsia" w:ascii="宋体" w:hAnsi="宋体"/>
                <w:sz w:val="24"/>
              </w:rPr>
              <w:t>电  话：</w:t>
            </w:r>
          </w:p>
        </w:tc>
        <w:tc>
          <w:tcPr>
            <w:tcW w:w="2926" w:type="dxa"/>
            <w:vAlign w:val="center"/>
          </w:tcPr>
          <w:p>
            <w:pPr>
              <w:adjustRightInd w:val="0"/>
              <w:snapToGrid w:val="0"/>
              <w:spacing w:line="400" w:lineRule="exact"/>
              <w:rPr>
                <w:rFonts w:hint="default" w:ascii="宋体" w:hAnsi="宋体" w:eastAsia="宋体"/>
                <w:sz w:val="24"/>
                <w:u w:val="single"/>
                <w:lang w:val="en-US" w:eastAsia="zh-CN"/>
              </w:rPr>
            </w:pPr>
            <w:r>
              <w:rPr>
                <w:rFonts w:hint="eastAsia" w:ascii="宋体" w:hAnsi="宋体"/>
                <w:sz w:val="24"/>
                <w:u w:val="single"/>
              </w:rPr>
              <w:t>022-652708</w:t>
            </w:r>
            <w:r>
              <w:rPr>
                <w:rFonts w:hint="eastAsia" w:ascii="宋体" w:hAnsi="宋体"/>
                <w:sz w:val="24"/>
                <w:u w:val="single"/>
                <w:lang w:val="en-US" w:eastAsia="zh-CN"/>
              </w:rPr>
              <w:t>63</w:t>
            </w:r>
          </w:p>
        </w:tc>
        <w:tc>
          <w:tcPr>
            <w:tcW w:w="1821" w:type="dxa"/>
            <w:vAlign w:val="center"/>
          </w:tcPr>
          <w:p>
            <w:pPr>
              <w:spacing w:line="400" w:lineRule="exact"/>
              <w:rPr>
                <w:rFonts w:ascii="宋体" w:hAnsi="宋体"/>
                <w:sz w:val="24"/>
              </w:rPr>
            </w:pPr>
            <w:r>
              <w:rPr>
                <w:rFonts w:ascii="宋体" w:hAnsi="宋体"/>
                <w:sz w:val="24"/>
              </w:rPr>
              <w:t xml:space="preserve">电 </w:t>
            </w:r>
            <w:r>
              <w:rPr>
                <w:rFonts w:hint="eastAsia" w:ascii="宋体" w:hAnsi="宋体"/>
                <w:sz w:val="24"/>
              </w:rPr>
              <w:t xml:space="preserve">      </w:t>
            </w:r>
            <w:r>
              <w:rPr>
                <w:rFonts w:ascii="宋体" w:hAnsi="宋体"/>
                <w:sz w:val="24"/>
              </w:rPr>
              <w:t xml:space="preserve"> 话：</w:t>
            </w:r>
          </w:p>
        </w:tc>
        <w:tc>
          <w:tcPr>
            <w:tcW w:w="3430" w:type="dxa"/>
            <w:vAlign w:val="center"/>
          </w:tcPr>
          <w:p>
            <w:pPr>
              <w:spacing w:line="400" w:lineRule="exact"/>
              <w:rPr>
                <w:rFonts w:ascii="宋体" w:hAnsi="宋体"/>
                <w:sz w:val="24"/>
              </w:rPr>
            </w:pPr>
            <w:r>
              <w:rPr>
                <w:rFonts w:hint="eastAsia" w:ascii="宋体" w:hAnsi="宋体"/>
                <w:sz w:val="24"/>
                <w:u w:val="single"/>
              </w:rPr>
              <w:t>022-65270851</w:t>
            </w:r>
          </w:p>
        </w:tc>
      </w:tr>
      <w:tr>
        <w:tblPrEx>
          <w:tblCellMar>
            <w:top w:w="0" w:type="dxa"/>
            <w:left w:w="108" w:type="dxa"/>
            <w:bottom w:w="0" w:type="dxa"/>
            <w:right w:w="108" w:type="dxa"/>
          </w:tblCellMar>
        </w:tblPrEx>
        <w:trPr>
          <w:trHeight w:val="415" w:hRule="atLeast"/>
        </w:trPr>
        <w:tc>
          <w:tcPr>
            <w:tcW w:w="1502" w:type="dxa"/>
            <w:vAlign w:val="center"/>
          </w:tcPr>
          <w:p>
            <w:pPr>
              <w:spacing w:line="400" w:lineRule="exact"/>
              <w:rPr>
                <w:rFonts w:ascii="宋体" w:hAnsi="宋体"/>
                <w:sz w:val="24"/>
              </w:rPr>
            </w:pPr>
            <w:r>
              <w:rPr>
                <w:rFonts w:hint="eastAsia" w:ascii="宋体" w:hAnsi="宋体"/>
                <w:sz w:val="24"/>
              </w:rPr>
              <w:t>传真：</w:t>
            </w:r>
          </w:p>
        </w:tc>
        <w:tc>
          <w:tcPr>
            <w:tcW w:w="2926" w:type="dxa"/>
            <w:vAlign w:val="center"/>
          </w:tcPr>
          <w:p>
            <w:pPr>
              <w:adjustRightInd w:val="0"/>
              <w:snapToGrid w:val="0"/>
              <w:spacing w:line="400" w:lineRule="exact"/>
              <w:rPr>
                <w:rFonts w:hint="default" w:ascii="宋体" w:hAnsi="宋体" w:eastAsia="宋体"/>
                <w:sz w:val="24"/>
                <w:u w:val="single"/>
                <w:lang w:val="en-US" w:eastAsia="zh-CN"/>
              </w:rPr>
            </w:pPr>
            <w:r>
              <w:rPr>
                <w:rFonts w:hint="eastAsia" w:ascii="宋体" w:hAnsi="宋体"/>
                <w:sz w:val="24"/>
                <w:u w:val="single"/>
              </w:rPr>
              <w:t>022-652708</w:t>
            </w:r>
            <w:r>
              <w:rPr>
                <w:rFonts w:hint="eastAsia" w:ascii="宋体" w:hAnsi="宋体"/>
                <w:sz w:val="24"/>
                <w:u w:val="single"/>
                <w:lang w:val="en-US" w:eastAsia="zh-CN"/>
              </w:rPr>
              <w:t>63</w:t>
            </w:r>
          </w:p>
        </w:tc>
        <w:tc>
          <w:tcPr>
            <w:tcW w:w="1821" w:type="dxa"/>
            <w:vAlign w:val="center"/>
          </w:tcPr>
          <w:p>
            <w:pPr>
              <w:spacing w:line="400" w:lineRule="exact"/>
              <w:rPr>
                <w:rFonts w:ascii="宋体" w:hAnsi="宋体"/>
                <w:sz w:val="24"/>
              </w:rPr>
            </w:pPr>
            <w:r>
              <w:rPr>
                <w:rFonts w:ascii="宋体" w:hAnsi="宋体"/>
                <w:sz w:val="24"/>
              </w:rPr>
              <w:t xml:space="preserve">传 </w:t>
            </w:r>
            <w:r>
              <w:rPr>
                <w:rFonts w:hint="eastAsia" w:ascii="宋体" w:hAnsi="宋体"/>
                <w:sz w:val="24"/>
              </w:rPr>
              <w:t xml:space="preserve">      </w:t>
            </w:r>
            <w:r>
              <w:rPr>
                <w:rFonts w:ascii="宋体" w:hAnsi="宋体"/>
                <w:sz w:val="24"/>
              </w:rPr>
              <w:t xml:space="preserve"> 真：</w:t>
            </w:r>
          </w:p>
        </w:tc>
        <w:tc>
          <w:tcPr>
            <w:tcW w:w="3430" w:type="dxa"/>
            <w:vAlign w:val="center"/>
          </w:tcPr>
          <w:p>
            <w:pPr>
              <w:spacing w:line="400" w:lineRule="exact"/>
              <w:rPr>
                <w:rFonts w:ascii="宋体" w:hAnsi="宋体"/>
                <w:sz w:val="24"/>
              </w:rPr>
            </w:pPr>
            <w:r>
              <w:rPr>
                <w:rFonts w:hint="eastAsia" w:ascii="宋体" w:hAnsi="宋体"/>
                <w:sz w:val="24"/>
                <w:u w:val="single"/>
              </w:rPr>
              <w:t>022-65270851</w:t>
            </w:r>
          </w:p>
        </w:tc>
      </w:tr>
      <w:tr>
        <w:tblPrEx>
          <w:tblCellMar>
            <w:top w:w="0" w:type="dxa"/>
            <w:left w:w="108" w:type="dxa"/>
            <w:bottom w:w="0" w:type="dxa"/>
            <w:right w:w="108" w:type="dxa"/>
          </w:tblCellMar>
        </w:tblPrEx>
        <w:trPr>
          <w:trHeight w:val="352" w:hRule="atLeast"/>
        </w:trPr>
        <w:tc>
          <w:tcPr>
            <w:tcW w:w="1502" w:type="dxa"/>
            <w:vAlign w:val="center"/>
          </w:tcPr>
          <w:p>
            <w:pPr>
              <w:spacing w:line="400" w:lineRule="exact"/>
              <w:rPr>
                <w:rFonts w:ascii="宋体" w:hAnsi="宋体"/>
                <w:sz w:val="24"/>
              </w:rPr>
            </w:pPr>
            <w:r>
              <w:rPr>
                <w:rFonts w:hint="eastAsia" w:ascii="宋体" w:hAnsi="宋体"/>
                <w:sz w:val="24"/>
              </w:rPr>
              <w:t>电子邮件：</w:t>
            </w:r>
          </w:p>
        </w:tc>
        <w:tc>
          <w:tcPr>
            <w:tcW w:w="2926" w:type="dxa"/>
            <w:vAlign w:val="center"/>
          </w:tcPr>
          <w:p>
            <w:pPr>
              <w:adjustRightInd w:val="0"/>
              <w:snapToGrid w:val="0"/>
              <w:spacing w:line="400" w:lineRule="exact"/>
              <w:rPr>
                <w:rFonts w:ascii="宋体" w:hAnsi="宋体"/>
                <w:sz w:val="24"/>
                <w:u w:val="single"/>
              </w:rPr>
            </w:pPr>
            <w:r>
              <w:rPr>
                <w:rFonts w:hint="eastAsia" w:ascii="宋体" w:hAnsi="宋体"/>
                <w:sz w:val="24"/>
                <w:u w:val="single"/>
              </w:rPr>
              <w:t>/</w:t>
            </w:r>
          </w:p>
        </w:tc>
        <w:tc>
          <w:tcPr>
            <w:tcW w:w="1821" w:type="dxa"/>
            <w:vAlign w:val="center"/>
          </w:tcPr>
          <w:p>
            <w:pPr>
              <w:spacing w:line="400" w:lineRule="exact"/>
              <w:rPr>
                <w:rFonts w:ascii="宋体" w:hAnsi="宋体"/>
                <w:sz w:val="24"/>
              </w:rPr>
            </w:pPr>
            <w:r>
              <w:rPr>
                <w:rFonts w:hint="eastAsia" w:ascii="宋体" w:hAnsi="宋体"/>
                <w:sz w:val="24"/>
              </w:rPr>
              <w:t>电 子 邮 件：</w:t>
            </w:r>
          </w:p>
        </w:tc>
        <w:tc>
          <w:tcPr>
            <w:tcW w:w="3430" w:type="dxa"/>
            <w:vAlign w:val="center"/>
          </w:tcPr>
          <w:p>
            <w:pPr>
              <w:spacing w:line="400" w:lineRule="exact"/>
              <w:rPr>
                <w:rFonts w:ascii="宋体" w:hAnsi="宋体"/>
                <w:sz w:val="24"/>
                <w:u w:val="single"/>
              </w:rPr>
            </w:pPr>
            <w:r>
              <w:rPr>
                <w:rFonts w:hint="eastAsia" w:ascii="宋体" w:hAnsi="宋体"/>
                <w:sz w:val="24"/>
                <w:u w:val="single"/>
              </w:rPr>
              <w:t>chengtouzixun@163.com</w:t>
            </w:r>
          </w:p>
        </w:tc>
      </w:tr>
      <w:tr>
        <w:tblPrEx>
          <w:tblCellMar>
            <w:top w:w="0" w:type="dxa"/>
            <w:left w:w="108" w:type="dxa"/>
            <w:bottom w:w="0" w:type="dxa"/>
            <w:right w:w="108" w:type="dxa"/>
          </w:tblCellMar>
        </w:tblPrEx>
        <w:trPr>
          <w:trHeight w:val="352" w:hRule="atLeast"/>
        </w:trPr>
        <w:tc>
          <w:tcPr>
            <w:tcW w:w="1502" w:type="dxa"/>
            <w:vAlign w:val="center"/>
          </w:tcPr>
          <w:p>
            <w:pPr>
              <w:spacing w:line="400" w:lineRule="exact"/>
              <w:rPr>
                <w:rFonts w:ascii="宋体" w:hAnsi="宋体"/>
                <w:sz w:val="24"/>
              </w:rPr>
            </w:pPr>
            <w:r>
              <w:rPr>
                <w:rFonts w:hint="eastAsia" w:ascii="宋体" w:hAnsi="宋体"/>
                <w:sz w:val="24"/>
              </w:rPr>
              <w:t>网    址：</w:t>
            </w:r>
          </w:p>
        </w:tc>
        <w:tc>
          <w:tcPr>
            <w:tcW w:w="2926" w:type="dxa"/>
            <w:vAlign w:val="center"/>
          </w:tcPr>
          <w:p>
            <w:pPr>
              <w:adjustRightInd w:val="0"/>
              <w:snapToGrid w:val="0"/>
              <w:spacing w:line="400" w:lineRule="exact"/>
              <w:rPr>
                <w:rFonts w:ascii="宋体" w:hAnsi="宋体"/>
                <w:sz w:val="24"/>
                <w:u w:val="single"/>
              </w:rPr>
            </w:pPr>
            <w:r>
              <w:rPr>
                <w:rFonts w:hint="eastAsia" w:ascii="宋体" w:hAnsi="宋体"/>
                <w:sz w:val="24"/>
                <w:u w:val="single"/>
              </w:rPr>
              <w:t>/</w:t>
            </w:r>
          </w:p>
        </w:tc>
        <w:tc>
          <w:tcPr>
            <w:tcW w:w="1821" w:type="dxa"/>
            <w:vAlign w:val="center"/>
          </w:tcPr>
          <w:p>
            <w:pPr>
              <w:spacing w:line="400" w:lineRule="exact"/>
              <w:rPr>
                <w:rFonts w:ascii="宋体" w:hAnsi="宋体"/>
                <w:sz w:val="24"/>
              </w:rPr>
            </w:pPr>
            <w:r>
              <w:rPr>
                <w:rFonts w:hint="eastAsia" w:ascii="宋体" w:hAnsi="宋体"/>
                <w:sz w:val="24"/>
              </w:rPr>
              <w:t>网       址：</w:t>
            </w:r>
          </w:p>
        </w:tc>
        <w:tc>
          <w:tcPr>
            <w:tcW w:w="3430" w:type="dxa"/>
            <w:vAlign w:val="center"/>
          </w:tcPr>
          <w:p>
            <w:pPr>
              <w:adjustRightInd w:val="0"/>
              <w:snapToGrid w:val="0"/>
              <w:spacing w:line="400" w:lineRule="exact"/>
              <w:rPr>
                <w:rFonts w:ascii="宋体" w:hAnsi="宋体"/>
                <w:sz w:val="24"/>
                <w:u w:val="single"/>
              </w:rPr>
            </w:pPr>
            <w:r>
              <w:rPr>
                <w:rFonts w:hint="eastAsia" w:ascii="宋体" w:hAnsi="宋体"/>
                <w:sz w:val="24"/>
                <w:u w:val="single"/>
              </w:rPr>
              <w:t>/</w:t>
            </w:r>
          </w:p>
        </w:tc>
      </w:tr>
      <w:tr>
        <w:tblPrEx>
          <w:tblCellMar>
            <w:top w:w="0" w:type="dxa"/>
            <w:left w:w="108" w:type="dxa"/>
            <w:bottom w:w="0" w:type="dxa"/>
            <w:right w:w="108" w:type="dxa"/>
          </w:tblCellMar>
        </w:tblPrEx>
        <w:trPr>
          <w:trHeight w:val="352" w:hRule="atLeast"/>
        </w:trPr>
        <w:tc>
          <w:tcPr>
            <w:tcW w:w="1502" w:type="dxa"/>
            <w:vAlign w:val="center"/>
          </w:tcPr>
          <w:p>
            <w:pPr>
              <w:spacing w:line="400" w:lineRule="exact"/>
              <w:rPr>
                <w:rFonts w:ascii="宋体" w:hAnsi="宋体"/>
                <w:sz w:val="24"/>
              </w:rPr>
            </w:pPr>
            <w:r>
              <w:rPr>
                <w:rFonts w:hint="eastAsia" w:ascii="宋体" w:hAnsi="宋体"/>
                <w:sz w:val="24"/>
              </w:rPr>
              <w:t>开户银行：</w:t>
            </w:r>
          </w:p>
        </w:tc>
        <w:tc>
          <w:tcPr>
            <w:tcW w:w="2926" w:type="dxa"/>
            <w:vAlign w:val="center"/>
          </w:tcPr>
          <w:p>
            <w:pPr>
              <w:adjustRightInd w:val="0"/>
              <w:snapToGrid w:val="0"/>
              <w:spacing w:line="400" w:lineRule="exact"/>
              <w:rPr>
                <w:rFonts w:ascii="宋体" w:hAnsi="宋体"/>
                <w:sz w:val="24"/>
                <w:u w:val="single"/>
              </w:rPr>
            </w:pPr>
            <w:r>
              <w:rPr>
                <w:rFonts w:hint="eastAsia" w:ascii="宋体" w:hAnsi="宋体"/>
                <w:sz w:val="24"/>
                <w:u w:val="single"/>
              </w:rPr>
              <w:t>/</w:t>
            </w:r>
          </w:p>
        </w:tc>
        <w:tc>
          <w:tcPr>
            <w:tcW w:w="1821" w:type="dxa"/>
            <w:vAlign w:val="center"/>
          </w:tcPr>
          <w:p>
            <w:pPr>
              <w:spacing w:line="400" w:lineRule="exact"/>
              <w:rPr>
                <w:rFonts w:ascii="宋体" w:hAnsi="宋体"/>
                <w:sz w:val="24"/>
              </w:rPr>
            </w:pPr>
            <w:r>
              <w:rPr>
                <w:rFonts w:hint="eastAsia" w:ascii="宋体" w:hAnsi="宋体"/>
                <w:sz w:val="24"/>
              </w:rPr>
              <w:t>开 户 银 行：</w:t>
            </w:r>
          </w:p>
        </w:tc>
        <w:tc>
          <w:tcPr>
            <w:tcW w:w="3430" w:type="dxa"/>
            <w:vAlign w:val="center"/>
          </w:tcPr>
          <w:p>
            <w:pPr>
              <w:spacing w:line="400" w:lineRule="exact"/>
              <w:rPr>
                <w:rFonts w:ascii="宋体" w:hAnsi="宋体"/>
                <w:sz w:val="24"/>
                <w:u w:val="single"/>
              </w:rPr>
            </w:pPr>
            <w:r>
              <w:rPr>
                <w:rFonts w:hint="eastAsia" w:ascii="宋体" w:hAnsi="宋体"/>
                <w:sz w:val="24"/>
                <w:u w:val="single"/>
              </w:rPr>
              <w:t>/</w:t>
            </w:r>
          </w:p>
        </w:tc>
      </w:tr>
      <w:tr>
        <w:tblPrEx>
          <w:tblCellMar>
            <w:top w:w="0" w:type="dxa"/>
            <w:left w:w="108" w:type="dxa"/>
            <w:bottom w:w="0" w:type="dxa"/>
            <w:right w:w="108" w:type="dxa"/>
          </w:tblCellMar>
        </w:tblPrEx>
        <w:trPr>
          <w:trHeight w:val="352" w:hRule="atLeast"/>
        </w:trPr>
        <w:tc>
          <w:tcPr>
            <w:tcW w:w="1502" w:type="dxa"/>
            <w:vAlign w:val="center"/>
          </w:tcPr>
          <w:p>
            <w:pPr>
              <w:spacing w:line="400" w:lineRule="exact"/>
              <w:rPr>
                <w:rFonts w:ascii="宋体" w:hAnsi="宋体"/>
                <w:sz w:val="24"/>
              </w:rPr>
            </w:pPr>
            <w:r>
              <w:rPr>
                <w:rFonts w:hint="eastAsia" w:ascii="宋体" w:hAnsi="宋体"/>
                <w:sz w:val="24"/>
              </w:rPr>
              <w:t>账    号：</w:t>
            </w:r>
          </w:p>
        </w:tc>
        <w:tc>
          <w:tcPr>
            <w:tcW w:w="2926" w:type="dxa"/>
            <w:vAlign w:val="center"/>
          </w:tcPr>
          <w:p>
            <w:pPr>
              <w:adjustRightInd w:val="0"/>
              <w:snapToGrid w:val="0"/>
              <w:spacing w:line="400" w:lineRule="exact"/>
              <w:rPr>
                <w:rFonts w:ascii="宋体" w:hAnsi="宋体"/>
                <w:sz w:val="24"/>
                <w:u w:val="single"/>
              </w:rPr>
            </w:pPr>
            <w:r>
              <w:rPr>
                <w:rFonts w:hint="eastAsia" w:ascii="宋体" w:hAnsi="宋体"/>
                <w:sz w:val="24"/>
                <w:u w:val="single"/>
              </w:rPr>
              <w:t>/</w:t>
            </w:r>
          </w:p>
        </w:tc>
        <w:tc>
          <w:tcPr>
            <w:tcW w:w="1821" w:type="dxa"/>
            <w:vAlign w:val="center"/>
          </w:tcPr>
          <w:p>
            <w:pPr>
              <w:spacing w:line="400" w:lineRule="exact"/>
              <w:rPr>
                <w:rFonts w:ascii="宋体" w:hAnsi="宋体"/>
                <w:sz w:val="24"/>
              </w:rPr>
            </w:pPr>
            <w:r>
              <w:rPr>
                <w:rFonts w:hint="eastAsia" w:ascii="宋体" w:hAnsi="宋体"/>
                <w:sz w:val="24"/>
              </w:rPr>
              <w:t>账       号：</w:t>
            </w:r>
          </w:p>
        </w:tc>
        <w:tc>
          <w:tcPr>
            <w:tcW w:w="3430" w:type="dxa"/>
            <w:vAlign w:val="center"/>
          </w:tcPr>
          <w:p>
            <w:pPr>
              <w:spacing w:line="400" w:lineRule="exact"/>
              <w:rPr>
                <w:rFonts w:ascii="宋体" w:hAnsi="宋体"/>
                <w:sz w:val="24"/>
                <w:u w:val="single"/>
              </w:rPr>
            </w:pPr>
            <w:r>
              <w:rPr>
                <w:rFonts w:hint="eastAsia" w:ascii="宋体" w:hAnsi="宋体"/>
                <w:sz w:val="24"/>
                <w:u w:val="single"/>
              </w:rPr>
              <w:t>/</w:t>
            </w:r>
          </w:p>
        </w:tc>
      </w:tr>
      <w:tr>
        <w:tblPrEx>
          <w:tblCellMar>
            <w:top w:w="0" w:type="dxa"/>
            <w:left w:w="108" w:type="dxa"/>
            <w:bottom w:w="0" w:type="dxa"/>
            <w:right w:w="108" w:type="dxa"/>
          </w:tblCellMar>
        </w:tblPrEx>
        <w:trPr>
          <w:trHeight w:val="368" w:hRule="atLeast"/>
        </w:trPr>
        <w:tc>
          <w:tcPr>
            <w:tcW w:w="1502" w:type="dxa"/>
            <w:vAlign w:val="center"/>
          </w:tcPr>
          <w:p>
            <w:pPr>
              <w:spacing w:line="360" w:lineRule="exact"/>
              <w:rPr>
                <w:rFonts w:ascii="宋体" w:hAnsi="宋体"/>
                <w:sz w:val="24"/>
              </w:rPr>
            </w:pPr>
          </w:p>
        </w:tc>
        <w:tc>
          <w:tcPr>
            <w:tcW w:w="2926" w:type="dxa"/>
            <w:vAlign w:val="center"/>
          </w:tcPr>
          <w:p>
            <w:pPr>
              <w:spacing w:line="360" w:lineRule="exact"/>
              <w:rPr>
                <w:rFonts w:ascii="宋体" w:hAnsi="宋体"/>
                <w:sz w:val="24"/>
              </w:rPr>
            </w:pPr>
          </w:p>
        </w:tc>
        <w:tc>
          <w:tcPr>
            <w:tcW w:w="1821" w:type="dxa"/>
            <w:vAlign w:val="center"/>
          </w:tcPr>
          <w:p>
            <w:pPr>
              <w:spacing w:line="360" w:lineRule="exact"/>
              <w:rPr>
                <w:rFonts w:ascii="宋体" w:hAnsi="宋体"/>
                <w:sz w:val="24"/>
              </w:rPr>
            </w:pPr>
          </w:p>
        </w:tc>
        <w:tc>
          <w:tcPr>
            <w:tcW w:w="3430" w:type="dxa"/>
            <w:vAlign w:val="center"/>
          </w:tcPr>
          <w:p>
            <w:pPr>
              <w:spacing w:line="360" w:lineRule="exact"/>
              <w:rPr>
                <w:rFonts w:ascii="宋体" w:hAnsi="宋体"/>
                <w:sz w:val="24"/>
              </w:rPr>
            </w:pPr>
            <w:r>
              <w:rPr>
                <w:rFonts w:hint="eastAsia" w:ascii="宋体" w:hAnsi="宋体" w:cs="宋体"/>
                <w:kern w:val="0"/>
                <w:sz w:val="24"/>
                <w:u w:val="single"/>
              </w:rPr>
              <w:t>2023年</w:t>
            </w:r>
            <w:r>
              <w:rPr>
                <w:rFonts w:hint="eastAsia" w:ascii="宋体" w:hAnsi="宋体" w:cs="宋体"/>
                <w:kern w:val="0"/>
                <w:sz w:val="24"/>
                <w:u w:val="single"/>
                <w:lang w:val="en-US" w:eastAsia="zh-CN"/>
              </w:rPr>
              <w:t>8</w:t>
            </w:r>
            <w:r>
              <w:rPr>
                <w:rFonts w:hint="eastAsia" w:ascii="宋体" w:hAnsi="宋体" w:cs="宋体"/>
                <w:kern w:val="0"/>
                <w:sz w:val="24"/>
                <w:u w:val="single"/>
              </w:rPr>
              <w:t>月</w:t>
            </w:r>
            <w:r>
              <w:rPr>
                <w:rFonts w:hint="eastAsia" w:ascii="宋体" w:hAnsi="宋体" w:cs="宋体"/>
                <w:kern w:val="0"/>
                <w:sz w:val="24"/>
                <w:u w:val="single"/>
                <w:lang w:val="en-US" w:eastAsia="zh-CN"/>
              </w:rPr>
              <w:t>1</w:t>
            </w:r>
            <w:r>
              <w:rPr>
                <w:rFonts w:hint="eastAsia" w:ascii="宋体" w:hAnsi="宋体" w:cs="宋体"/>
                <w:kern w:val="0"/>
                <w:sz w:val="24"/>
                <w:u w:val="single"/>
              </w:rPr>
              <w:t>日</w:t>
            </w:r>
          </w:p>
        </w:tc>
      </w:tr>
    </w:tbl>
    <w:p>
      <w:pPr>
        <w:pStyle w:val="2"/>
        <w:spacing w:line="240" w:lineRule="auto"/>
        <w:jc w:val="center"/>
        <w:rPr>
          <w:rFonts w:ascii="宋体" w:hAnsi="宋体"/>
          <w:szCs w:val="21"/>
        </w:rPr>
      </w:pPr>
    </w:p>
    <w:p>
      <w:pPr>
        <w:rPr>
          <w:kern w:val="44"/>
          <w:sz w:val="44"/>
        </w:rPr>
      </w:pPr>
      <w:r>
        <w:br w:type="page"/>
      </w:r>
    </w:p>
    <w:p>
      <w:pPr>
        <w:pStyle w:val="2"/>
        <w:spacing w:line="240" w:lineRule="auto"/>
        <w:jc w:val="center"/>
        <w:rPr>
          <w:rFonts w:ascii="宋体" w:hAnsi="宋体"/>
          <w:szCs w:val="21"/>
        </w:rPr>
      </w:pPr>
      <w:r>
        <w:rPr>
          <w:rFonts w:ascii="宋体" w:hAnsi="宋体"/>
          <w:szCs w:val="21"/>
        </w:rPr>
        <w:t>第二</w:t>
      </w:r>
      <w:r>
        <w:rPr>
          <w:rFonts w:hint="eastAsia" w:ascii="宋体" w:hAnsi="宋体"/>
          <w:szCs w:val="21"/>
        </w:rPr>
        <w:t>章</w:t>
      </w:r>
      <w:r>
        <w:rPr>
          <w:rFonts w:ascii="宋体" w:hAnsi="宋体"/>
          <w:szCs w:val="21"/>
        </w:rPr>
        <w:t xml:space="preserve">  投标</w:t>
      </w:r>
      <w:r>
        <w:rPr>
          <w:rFonts w:hint="eastAsia" w:ascii="宋体" w:hAnsi="宋体"/>
          <w:szCs w:val="21"/>
        </w:rPr>
        <w:t>人</w:t>
      </w:r>
      <w:r>
        <w:rPr>
          <w:rFonts w:ascii="宋体" w:hAnsi="宋体"/>
          <w:szCs w:val="21"/>
        </w:rPr>
        <w:t>须知</w:t>
      </w:r>
      <w:bookmarkEnd w:id="4"/>
      <w:bookmarkEnd w:id="5"/>
    </w:p>
    <w:p>
      <w:pPr>
        <w:autoSpaceDE w:val="0"/>
        <w:autoSpaceDN w:val="0"/>
        <w:adjustRightInd w:val="0"/>
        <w:spacing w:line="400" w:lineRule="atLeast"/>
        <w:jc w:val="left"/>
        <w:rPr>
          <w:b/>
          <w:kern w:val="0"/>
          <w:sz w:val="14"/>
          <w:szCs w:val="14"/>
        </w:rPr>
      </w:pPr>
      <w:r>
        <w:rPr>
          <w:rFonts w:hint="eastAsia"/>
          <w:b/>
          <w:kern w:val="0"/>
          <w:sz w:val="24"/>
        </w:rPr>
        <w:t>投标人须知前附表</w:t>
      </w:r>
      <w:r>
        <w:rPr>
          <w:rFonts w:hint="eastAsia"/>
          <w:b/>
          <w:kern w:val="0"/>
          <w:sz w:val="14"/>
          <w:szCs w:val="14"/>
        </w:rPr>
        <w:t xml:space="preserve"> </w:t>
      </w:r>
    </w:p>
    <w:tbl>
      <w:tblPr>
        <w:tblStyle w:val="30"/>
        <w:tblW w:w="96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2"/>
        <w:gridCol w:w="2611"/>
        <w:gridCol w:w="59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vAlign w:val="center"/>
          </w:tcPr>
          <w:p>
            <w:pPr>
              <w:autoSpaceDE w:val="0"/>
              <w:autoSpaceDN w:val="0"/>
              <w:adjustRightInd w:val="0"/>
              <w:snapToGrid w:val="0"/>
              <w:ind w:left="-92" w:leftChars="-44" w:right="-107" w:rightChars="-51"/>
              <w:jc w:val="center"/>
              <w:rPr>
                <w:b/>
                <w:kern w:val="0"/>
                <w:sz w:val="24"/>
              </w:rPr>
            </w:pPr>
            <w:r>
              <w:rPr>
                <w:rFonts w:hint="eastAsia"/>
                <w:b/>
                <w:kern w:val="0"/>
                <w:sz w:val="24"/>
              </w:rPr>
              <w:t>条款号</w:t>
            </w:r>
          </w:p>
        </w:tc>
        <w:tc>
          <w:tcPr>
            <w:tcW w:w="2611" w:type="dxa"/>
            <w:vAlign w:val="center"/>
          </w:tcPr>
          <w:p>
            <w:pPr>
              <w:autoSpaceDE w:val="0"/>
              <w:autoSpaceDN w:val="0"/>
              <w:adjustRightInd w:val="0"/>
              <w:snapToGrid w:val="0"/>
              <w:jc w:val="center"/>
              <w:rPr>
                <w:b/>
                <w:kern w:val="0"/>
                <w:sz w:val="24"/>
              </w:rPr>
            </w:pPr>
            <w:r>
              <w:rPr>
                <w:rFonts w:hint="eastAsia"/>
                <w:b/>
                <w:kern w:val="0"/>
                <w:sz w:val="24"/>
              </w:rPr>
              <w:t>条</w:t>
            </w:r>
            <w:r>
              <w:rPr>
                <w:b/>
                <w:kern w:val="0"/>
                <w:sz w:val="24"/>
              </w:rPr>
              <w:t xml:space="preserve"> </w:t>
            </w:r>
            <w:r>
              <w:rPr>
                <w:rFonts w:hint="eastAsia"/>
                <w:b/>
                <w:kern w:val="0"/>
                <w:sz w:val="24"/>
              </w:rPr>
              <w:t>款</w:t>
            </w:r>
            <w:r>
              <w:rPr>
                <w:b/>
                <w:kern w:val="0"/>
                <w:sz w:val="24"/>
              </w:rPr>
              <w:t xml:space="preserve"> </w:t>
            </w:r>
            <w:r>
              <w:rPr>
                <w:rFonts w:hint="eastAsia"/>
                <w:b/>
                <w:kern w:val="0"/>
                <w:sz w:val="24"/>
              </w:rPr>
              <w:t>名</w:t>
            </w:r>
            <w:r>
              <w:rPr>
                <w:b/>
                <w:kern w:val="0"/>
                <w:sz w:val="24"/>
              </w:rPr>
              <w:t xml:space="preserve"> </w:t>
            </w:r>
            <w:r>
              <w:rPr>
                <w:rFonts w:hint="eastAsia"/>
                <w:b/>
                <w:kern w:val="0"/>
                <w:sz w:val="24"/>
              </w:rPr>
              <w:t>称</w:t>
            </w:r>
          </w:p>
        </w:tc>
        <w:tc>
          <w:tcPr>
            <w:tcW w:w="5957" w:type="dxa"/>
            <w:vAlign w:val="center"/>
          </w:tcPr>
          <w:p>
            <w:pPr>
              <w:autoSpaceDE w:val="0"/>
              <w:autoSpaceDN w:val="0"/>
              <w:adjustRightInd w:val="0"/>
              <w:snapToGrid w:val="0"/>
              <w:jc w:val="center"/>
              <w:rPr>
                <w:b/>
                <w:kern w:val="0"/>
                <w:sz w:val="24"/>
              </w:rPr>
            </w:pPr>
            <w:r>
              <w:rPr>
                <w:rFonts w:hint="eastAsia"/>
                <w:b/>
                <w:kern w:val="0"/>
                <w:sz w:val="24"/>
              </w:rPr>
              <w:t>编</w:t>
            </w:r>
            <w:r>
              <w:rPr>
                <w:b/>
                <w:kern w:val="0"/>
                <w:sz w:val="24"/>
              </w:rPr>
              <w:t xml:space="preserve"> </w:t>
            </w:r>
            <w:r>
              <w:rPr>
                <w:rFonts w:hint="eastAsia"/>
                <w:b/>
                <w:kern w:val="0"/>
                <w:sz w:val="24"/>
              </w:rPr>
              <w:t>列</w:t>
            </w:r>
            <w:r>
              <w:rPr>
                <w:b/>
                <w:kern w:val="0"/>
                <w:sz w:val="24"/>
              </w:rPr>
              <w:t xml:space="preserve"> </w:t>
            </w:r>
            <w:r>
              <w:rPr>
                <w:rFonts w:hint="eastAsia"/>
                <w:b/>
                <w:kern w:val="0"/>
                <w:sz w:val="24"/>
              </w:rPr>
              <w:t>内</w:t>
            </w:r>
            <w:r>
              <w:rPr>
                <w:b/>
                <w:kern w:val="0"/>
                <w:sz w:val="24"/>
              </w:rPr>
              <w:t xml:space="preserve"> </w:t>
            </w:r>
            <w:r>
              <w:rPr>
                <w:rFonts w:hint="eastAsia"/>
                <w:b/>
                <w:kern w:val="0"/>
                <w:sz w:val="24"/>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bottom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1.1.2</w:t>
            </w:r>
          </w:p>
        </w:tc>
        <w:tc>
          <w:tcPr>
            <w:tcW w:w="2611" w:type="dxa"/>
            <w:vAlign w:val="center"/>
          </w:tcPr>
          <w:p>
            <w:pPr>
              <w:jc w:val="center"/>
              <w:rPr>
                <w:kern w:val="0"/>
                <w:szCs w:val="21"/>
              </w:rPr>
            </w:pPr>
            <w:r>
              <w:rPr>
                <w:rFonts w:hint="eastAsia"/>
                <w:szCs w:val="21"/>
              </w:rPr>
              <w:t>招标人</w:t>
            </w:r>
          </w:p>
        </w:tc>
        <w:tc>
          <w:tcPr>
            <w:tcW w:w="5957" w:type="dxa"/>
            <w:vAlign w:val="center"/>
          </w:tcPr>
          <w:p>
            <w:pPr>
              <w:spacing w:before="50" w:line="240" w:lineRule="exact"/>
            </w:pPr>
            <w:r>
              <w:rPr>
                <w:rFonts w:hint="eastAsia"/>
              </w:rPr>
              <w:t xml:space="preserve">名称：天津市滨海新区城投建设发展有限公司 </w:t>
            </w:r>
          </w:p>
          <w:p>
            <w:pPr>
              <w:spacing w:before="50" w:line="240" w:lineRule="exact"/>
            </w:pPr>
            <w:r>
              <w:rPr>
                <w:rFonts w:hint="eastAsia"/>
              </w:rPr>
              <w:t>地址：天津市滨海新区津塘公路5982号副598号</w:t>
            </w:r>
          </w:p>
          <w:p>
            <w:pPr>
              <w:spacing w:before="50" w:line="240" w:lineRule="exact"/>
            </w:pPr>
            <w:r>
              <w:rPr>
                <w:rFonts w:hint="eastAsia"/>
              </w:rPr>
              <w:t>联系人：韩琦</w:t>
            </w:r>
          </w:p>
          <w:p>
            <w:pPr>
              <w:spacing w:before="50" w:line="240" w:lineRule="exact"/>
            </w:pPr>
            <w:r>
              <w:rPr>
                <w:rFonts w:hint="eastAsia"/>
              </w:rPr>
              <w:t>电话：022-65270863</w:t>
            </w:r>
          </w:p>
          <w:p>
            <w:pPr>
              <w:spacing w:before="50" w:line="240" w:lineRule="exact"/>
            </w:pPr>
            <w:r>
              <w:rPr>
                <w:rFonts w:hint="eastAsia"/>
              </w:rPr>
              <w:t>传真：022-65270863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top w:val="single" w:color="auto" w:sz="4" w:space="0"/>
              <w:bottom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1.1.3</w:t>
            </w:r>
          </w:p>
        </w:tc>
        <w:tc>
          <w:tcPr>
            <w:tcW w:w="2611" w:type="dxa"/>
            <w:vAlign w:val="center"/>
          </w:tcPr>
          <w:p>
            <w:pPr>
              <w:jc w:val="center"/>
              <w:rPr>
                <w:kern w:val="0"/>
                <w:szCs w:val="21"/>
              </w:rPr>
            </w:pPr>
            <w:r>
              <w:rPr>
                <w:rFonts w:hint="eastAsia"/>
                <w:szCs w:val="21"/>
              </w:rPr>
              <w:t>招标代理机构</w:t>
            </w:r>
          </w:p>
        </w:tc>
        <w:tc>
          <w:tcPr>
            <w:tcW w:w="5957" w:type="dxa"/>
            <w:vAlign w:val="center"/>
          </w:tcPr>
          <w:p>
            <w:pPr>
              <w:spacing w:before="50" w:line="240" w:lineRule="exact"/>
              <w:rPr>
                <w:szCs w:val="21"/>
              </w:rPr>
            </w:pPr>
            <w:r>
              <w:rPr>
                <w:rFonts w:hint="eastAsia"/>
                <w:szCs w:val="21"/>
              </w:rPr>
              <w:t>名称：</w:t>
            </w:r>
            <w:r>
              <w:rPr>
                <w:rFonts w:hint="eastAsia" w:ascii="宋体" w:hAnsi="宋体" w:cs="宋体"/>
              </w:rPr>
              <w:t>天津市滨海新区城投工程咨询有限公司</w:t>
            </w:r>
          </w:p>
          <w:p>
            <w:pPr>
              <w:spacing w:before="50" w:line="240" w:lineRule="exact"/>
            </w:pPr>
            <w:r>
              <w:rPr>
                <w:rFonts w:hint="eastAsia"/>
                <w:szCs w:val="21"/>
              </w:rPr>
              <w:t>地址：</w:t>
            </w:r>
            <w:r>
              <w:rPr>
                <w:rFonts w:hint="eastAsia"/>
              </w:rPr>
              <w:t>天津市滨海新区津塘公路5982号副598号D104</w:t>
            </w:r>
          </w:p>
          <w:p>
            <w:pPr>
              <w:spacing w:before="50" w:line="240" w:lineRule="exact"/>
              <w:rPr>
                <w:szCs w:val="21"/>
              </w:rPr>
            </w:pPr>
            <w:r>
              <w:rPr>
                <w:rFonts w:hint="eastAsia"/>
                <w:szCs w:val="21"/>
              </w:rPr>
              <w:t>联系人：温欣</w:t>
            </w:r>
          </w:p>
          <w:p>
            <w:pPr>
              <w:spacing w:before="50" w:line="240" w:lineRule="exact"/>
              <w:rPr>
                <w:kern w:val="0"/>
                <w:szCs w:val="21"/>
              </w:rPr>
            </w:pPr>
            <w:r>
              <w:rPr>
                <w:rFonts w:hint="eastAsia"/>
                <w:szCs w:val="21"/>
              </w:rPr>
              <w:t>电话：022-65270851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 w:hRule="atLeast"/>
          <w:jc w:val="center"/>
        </w:trPr>
        <w:tc>
          <w:tcPr>
            <w:tcW w:w="1102" w:type="dxa"/>
            <w:tcBorders>
              <w:top w:val="single" w:color="auto" w:sz="4" w:space="0"/>
              <w:bottom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1.1.4</w:t>
            </w:r>
          </w:p>
        </w:tc>
        <w:tc>
          <w:tcPr>
            <w:tcW w:w="2611" w:type="dxa"/>
            <w:vAlign w:val="center"/>
          </w:tcPr>
          <w:p>
            <w:pPr>
              <w:autoSpaceDE w:val="0"/>
              <w:autoSpaceDN w:val="0"/>
              <w:adjustRightInd w:val="0"/>
              <w:jc w:val="center"/>
              <w:rPr>
                <w:kern w:val="0"/>
                <w:szCs w:val="21"/>
              </w:rPr>
            </w:pPr>
            <w:r>
              <w:rPr>
                <w:rFonts w:hint="eastAsia"/>
                <w:kern w:val="0"/>
                <w:szCs w:val="21"/>
              </w:rPr>
              <w:t>招标项目名称</w:t>
            </w:r>
          </w:p>
        </w:tc>
        <w:tc>
          <w:tcPr>
            <w:tcW w:w="5957" w:type="dxa"/>
            <w:vAlign w:val="center"/>
          </w:tcPr>
          <w:p>
            <w:pPr>
              <w:autoSpaceDE w:val="0"/>
              <w:autoSpaceDN w:val="0"/>
              <w:adjustRightInd w:val="0"/>
              <w:ind w:right="-2" w:rightChars="-1"/>
              <w:rPr>
                <w:bCs/>
                <w:kern w:val="0"/>
                <w:szCs w:val="21"/>
              </w:rPr>
            </w:pPr>
            <w:r>
              <w:rPr>
                <w:rFonts w:hint="eastAsia"/>
                <w:szCs w:val="21"/>
              </w:rPr>
              <w:t>新建天津至潍坊高速铁路滨海段“三电”及地下管线迁改工程监理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top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1.1.5</w:t>
            </w:r>
          </w:p>
        </w:tc>
        <w:tc>
          <w:tcPr>
            <w:tcW w:w="2611" w:type="dxa"/>
            <w:vAlign w:val="center"/>
          </w:tcPr>
          <w:p>
            <w:pPr>
              <w:autoSpaceDE w:val="0"/>
              <w:autoSpaceDN w:val="0"/>
              <w:adjustRightInd w:val="0"/>
              <w:jc w:val="center"/>
              <w:rPr>
                <w:kern w:val="0"/>
                <w:szCs w:val="21"/>
              </w:rPr>
            </w:pPr>
            <w:r>
              <w:rPr>
                <w:rFonts w:hint="eastAsia"/>
                <w:kern w:val="0"/>
                <w:szCs w:val="21"/>
              </w:rPr>
              <w:t>标段建设地点</w:t>
            </w:r>
          </w:p>
        </w:tc>
        <w:tc>
          <w:tcPr>
            <w:tcW w:w="5957" w:type="dxa"/>
            <w:vAlign w:val="center"/>
          </w:tcPr>
          <w:p>
            <w:pPr>
              <w:autoSpaceDE w:val="0"/>
              <w:autoSpaceDN w:val="0"/>
              <w:adjustRightInd w:val="0"/>
              <w:ind w:right="-2" w:rightChars="-1"/>
              <w:rPr>
                <w:bCs/>
                <w:kern w:val="0"/>
                <w:szCs w:val="21"/>
              </w:rPr>
            </w:pPr>
            <w:r>
              <w:rPr>
                <w:rFonts w:hint="eastAsia"/>
                <w:kern w:val="0"/>
                <w:szCs w:val="21"/>
              </w:rPr>
              <w:t>天津市滨海新区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top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1.1.6</w:t>
            </w:r>
          </w:p>
        </w:tc>
        <w:tc>
          <w:tcPr>
            <w:tcW w:w="2611" w:type="dxa"/>
            <w:vAlign w:val="center"/>
          </w:tcPr>
          <w:p>
            <w:pPr>
              <w:autoSpaceDE w:val="0"/>
              <w:autoSpaceDN w:val="0"/>
              <w:adjustRightInd w:val="0"/>
              <w:jc w:val="center"/>
              <w:rPr>
                <w:kern w:val="0"/>
                <w:szCs w:val="21"/>
              </w:rPr>
            </w:pPr>
            <w:r>
              <w:rPr>
                <w:rFonts w:hint="eastAsia"/>
                <w:szCs w:val="21"/>
              </w:rPr>
              <w:t>标段</w:t>
            </w:r>
            <w:r>
              <w:rPr>
                <w:szCs w:val="21"/>
              </w:rPr>
              <w:t>建设规模</w:t>
            </w:r>
          </w:p>
        </w:tc>
        <w:tc>
          <w:tcPr>
            <w:tcW w:w="5957" w:type="dxa"/>
            <w:vAlign w:val="center"/>
          </w:tcPr>
          <w:p>
            <w:pPr>
              <w:autoSpaceDE w:val="0"/>
              <w:autoSpaceDN w:val="0"/>
              <w:adjustRightInd w:val="0"/>
              <w:ind w:right="-2" w:rightChars="-1"/>
              <w:rPr>
                <w:szCs w:val="21"/>
              </w:rPr>
            </w:pPr>
            <w:r>
              <w:rPr>
                <w:rFonts w:hint="eastAsia"/>
                <w:szCs w:val="21"/>
              </w:rPr>
              <w:t>本次招标共1个标段。</w:t>
            </w:r>
          </w:p>
          <w:p>
            <w:pPr>
              <w:autoSpaceDE w:val="0"/>
              <w:autoSpaceDN w:val="0"/>
              <w:adjustRightInd w:val="0"/>
              <w:ind w:right="-2" w:rightChars="-1"/>
              <w:rPr>
                <w:rFonts w:ascii="宋体" w:hAnsi="宋体"/>
                <w:sz w:val="20"/>
                <w:szCs w:val="20"/>
              </w:rPr>
            </w:pPr>
            <w:r>
              <w:rPr>
                <w:rFonts w:hint="eastAsia"/>
                <w:szCs w:val="21"/>
              </w:rPr>
              <w:t>电力线路299处，其中0.38kV及以下电力线路33处，路灯72处，6kV电力线路2处，10kV电力线路137处，35kV电力线路27处，110kV电力线路21处，220kV电力线路6处，500kV电力线路1处；通信线迁改225处，其中路内通信迁改74处，路外通信迁改151处（含国防光缆4处）；信号电缆迁改7处；给排水管线迁改162处，其中非饮用水39处，饮用水65处，雨污水58处；热力管线迁改39处，其中地埋热力管线20处，架空热力管线19处；油气管线迁改125处，其中石油管线73处（含管径350mm及以上管线1处），天然气管线43处（含管径350mm及以上管线8处），燃气管线3处，输油管线3处，氮气1处，氢气1处（含管径350mm及以上管线1处），氧气1处。（以现场实际核量情况为准）。监理范围：施工阶段、验收和缺陷责任期阶段的“五控、两管、一协调”施工监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 w:hRule="atLeast"/>
          <w:jc w:val="center"/>
        </w:trPr>
        <w:tc>
          <w:tcPr>
            <w:tcW w:w="1102" w:type="dxa"/>
            <w:tcBorders>
              <w:top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1.1.7</w:t>
            </w:r>
          </w:p>
        </w:tc>
        <w:tc>
          <w:tcPr>
            <w:tcW w:w="2611" w:type="dxa"/>
            <w:vAlign w:val="center"/>
          </w:tcPr>
          <w:p>
            <w:pPr>
              <w:autoSpaceDE w:val="0"/>
              <w:autoSpaceDN w:val="0"/>
              <w:adjustRightInd w:val="0"/>
              <w:jc w:val="center"/>
              <w:rPr>
                <w:szCs w:val="21"/>
              </w:rPr>
            </w:pPr>
            <w:r>
              <w:rPr>
                <w:rFonts w:hint="eastAsia"/>
                <w:szCs w:val="21"/>
              </w:rPr>
              <w:t>招标项目施工预计开工日期和建设周期</w:t>
            </w:r>
          </w:p>
        </w:tc>
        <w:tc>
          <w:tcPr>
            <w:tcW w:w="5957" w:type="dxa"/>
            <w:vAlign w:val="center"/>
          </w:tcPr>
          <w:p>
            <w:pPr>
              <w:spacing w:before="50" w:line="280" w:lineRule="exact"/>
              <w:rPr>
                <w:rFonts w:cs="宋体"/>
                <w:sz w:val="24"/>
              </w:rPr>
            </w:pPr>
            <w:r>
              <w:rPr>
                <w:rFonts w:hint="eastAsia"/>
                <w:szCs w:val="21"/>
              </w:rPr>
              <w:t>施工预计开工日期：2023年9月5日至2027年8月30日，共1456日历天，监理服务期限1822日历天（其中施工工期1456日历天，缺陷责任期366日历天）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top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1.1.8</w:t>
            </w:r>
          </w:p>
        </w:tc>
        <w:tc>
          <w:tcPr>
            <w:tcW w:w="2611" w:type="dxa"/>
            <w:vAlign w:val="center"/>
          </w:tcPr>
          <w:p>
            <w:pPr>
              <w:autoSpaceDE w:val="0"/>
              <w:autoSpaceDN w:val="0"/>
              <w:adjustRightInd w:val="0"/>
              <w:jc w:val="center"/>
              <w:rPr>
                <w:szCs w:val="21"/>
              </w:rPr>
            </w:pPr>
            <w:r>
              <w:rPr>
                <w:rFonts w:hint="eastAsia"/>
                <w:szCs w:val="21"/>
              </w:rPr>
              <w:t>建筑安装工程费/工程概算投资额</w:t>
            </w:r>
          </w:p>
        </w:tc>
        <w:tc>
          <w:tcPr>
            <w:tcW w:w="5957" w:type="dxa"/>
            <w:vAlign w:val="center"/>
          </w:tcPr>
          <w:p>
            <w:pPr>
              <w:autoSpaceDE w:val="0"/>
              <w:autoSpaceDN w:val="0"/>
              <w:adjustRightInd w:val="0"/>
              <w:rPr>
                <w:szCs w:val="21"/>
              </w:rPr>
            </w:pPr>
            <w:r>
              <w:rPr>
                <w:rFonts w:hint="eastAsia"/>
                <w:szCs w:val="21"/>
              </w:rPr>
              <w:t>本标段建安费为58990.15万元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bottom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1.2.1</w:t>
            </w:r>
          </w:p>
        </w:tc>
        <w:tc>
          <w:tcPr>
            <w:tcW w:w="2611" w:type="dxa"/>
            <w:vAlign w:val="center"/>
          </w:tcPr>
          <w:p>
            <w:pPr>
              <w:autoSpaceDE w:val="0"/>
              <w:autoSpaceDN w:val="0"/>
              <w:adjustRightInd w:val="0"/>
              <w:jc w:val="center"/>
              <w:rPr>
                <w:kern w:val="0"/>
                <w:szCs w:val="21"/>
              </w:rPr>
            </w:pPr>
            <w:r>
              <w:rPr>
                <w:rFonts w:hint="eastAsia"/>
                <w:kern w:val="0"/>
                <w:szCs w:val="21"/>
              </w:rPr>
              <w:t>资金来源及比例</w:t>
            </w:r>
          </w:p>
        </w:tc>
        <w:tc>
          <w:tcPr>
            <w:tcW w:w="5957" w:type="dxa"/>
            <w:vAlign w:val="center"/>
          </w:tcPr>
          <w:p>
            <w:pPr>
              <w:autoSpaceDE w:val="0"/>
              <w:autoSpaceDN w:val="0"/>
              <w:adjustRightInd w:val="0"/>
              <w:ind w:right="-2" w:rightChars="-1"/>
              <w:rPr>
                <w:bCs/>
                <w:kern w:val="0"/>
                <w:szCs w:val="21"/>
              </w:rPr>
            </w:pPr>
            <w:r>
              <w:rPr>
                <w:rFonts w:hint="eastAsia"/>
                <w:bCs/>
                <w:kern w:val="0"/>
                <w:szCs w:val="21"/>
              </w:rPr>
              <w:t>政府专项债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top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1.2.2</w:t>
            </w:r>
          </w:p>
        </w:tc>
        <w:tc>
          <w:tcPr>
            <w:tcW w:w="2611" w:type="dxa"/>
            <w:vAlign w:val="center"/>
          </w:tcPr>
          <w:p>
            <w:pPr>
              <w:autoSpaceDE w:val="0"/>
              <w:autoSpaceDN w:val="0"/>
              <w:adjustRightInd w:val="0"/>
              <w:jc w:val="center"/>
              <w:rPr>
                <w:kern w:val="0"/>
                <w:szCs w:val="21"/>
              </w:rPr>
            </w:pPr>
            <w:r>
              <w:rPr>
                <w:rFonts w:hint="eastAsia"/>
                <w:kern w:val="0"/>
                <w:szCs w:val="21"/>
              </w:rPr>
              <w:t>资金落实情况</w:t>
            </w:r>
          </w:p>
        </w:tc>
        <w:tc>
          <w:tcPr>
            <w:tcW w:w="5957" w:type="dxa"/>
            <w:vAlign w:val="center"/>
          </w:tcPr>
          <w:p>
            <w:pPr>
              <w:autoSpaceDE w:val="0"/>
              <w:autoSpaceDN w:val="0"/>
              <w:adjustRightInd w:val="0"/>
              <w:ind w:right="-2" w:rightChars="-1"/>
              <w:rPr>
                <w:bCs/>
                <w:kern w:val="0"/>
                <w:szCs w:val="21"/>
              </w:rPr>
            </w:pPr>
            <w:r>
              <w:rPr>
                <w:rFonts w:hint="eastAsia"/>
                <w:bCs/>
                <w:kern w:val="0"/>
                <w:szCs w:val="21"/>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bottom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1.3.1</w:t>
            </w:r>
          </w:p>
        </w:tc>
        <w:tc>
          <w:tcPr>
            <w:tcW w:w="2611" w:type="dxa"/>
            <w:vAlign w:val="center"/>
          </w:tcPr>
          <w:p>
            <w:pPr>
              <w:autoSpaceDE w:val="0"/>
              <w:autoSpaceDN w:val="0"/>
              <w:adjustRightInd w:val="0"/>
              <w:jc w:val="center"/>
              <w:rPr>
                <w:kern w:val="0"/>
                <w:szCs w:val="21"/>
              </w:rPr>
            </w:pPr>
            <w:r>
              <w:rPr>
                <w:rFonts w:hint="eastAsia"/>
                <w:kern w:val="0"/>
                <w:szCs w:val="21"/>
              </w:rPr>
              <w:t>招标范围</w:t>
            </w:r>
          </w:p>
        </w:tc>
        <w:tc>
          <w:tcPr>
            <w:tcW w:w="5957" w:type="dxa"/>
            <w:vAlign w:val="center"/>
          </w:tcPr>
          <w:p>
            <w:pPr>
              <w:autoSpaceDE w:val="0"/>
              <w:autoSpaceDN w:val="0"/>
              <w:adjustRightInd w:val="0"/>
              <w:ind w:right="-2" w:rightChars="-1"/>
              <w:rPr>
                <w:bCs/>
                <w:kern w:val="0"/>
                <w:szCs w:val="21"/>
              </w:rPr>
            </w:pPr>
            <w:r>
              <w:rPr>
                <w:rFonts w:hint="eastAsia"/>
                <w:kern w:val="0"/>
                <w:szCs w:val="21"/>
              </w:rPr>
              <w:sym w:font="Wingdings" w:char="00FE"/>
            </w:r>
            <w:r>
              <w:rPr>
                <w:rFonts w:hint="eastAsia"/>
                <w:bCs/>
                <w:kern w:val="0"/>
                <w:szCs w:val="21"/>
              </w:rPr>
              <w:t>总监理工程师办公室</w:t>
            </w:r>
          </w:p>
          <w:p>
            <w:pPr>
              <w:autoSpaceDE w:val="0"/>
              <w:autoSpaceDN w:val="0"/>
              <w:adjustRightInd w:val="0"/>
              <w:ind w:right="-2" w:rightChars="-1"/>
              <w:rPr>
                <w:bCs/>
                <w:kern w:val="0"/>
                <w:szCs w:val="21"/>
              </w:rPr>
            </w:pPr>
            <w:r>
              <w:rPr>
                <w:rFonts w:hint="eastAsia"/>
                <w:kern w:val="0"/>
                <w:szCs w:val="21"/>
              </w:rPr>
              <w:t>□</w:t>
            </w:r>
            <w:r>
              <w:rPr>
                <w:rFonts w:hint="eastAsia"/>
                <w:bCs/>
                <w:kern w:val="0"/>
                <w:szCs w:val="21"/>
              </w:rPr>
              <w:t>驻地监理工程师办公室</w:t>
            </w:r>
          </w:p>
          <w:p>
            <w:pPr>
              <w:autoSpaceDE w:val="0"/>
              <w:autoSpaceDN w:val="0"/>
              <w:adjustRightInd w:val="0"/>
              <w:ind w:right="-2" w:rightChars="-1"/>
              <w:rPr>
                <w:bCs/>
                <w:kern w:val="0"/>
                <w:szCs w:val="21"/>
              </w:rPr>
            </w:pPr>
            <w:r>
              <w:rPr>
                <w:rFonts w:hint="eastAsia"/>
                <w:kern w:val="0"/>
                <w:szCs w:val="21"/>
              </w:rPr>
              <w:t>□</w:t>
            </w:r>
            <w:r>
              <w:rPr>
                <w:rFonts w:hint="eastAsia"/>
                <w:bCs/>
                <w:kern w:val="0"/>
                <w:szCs w:val="21"/>
              </w:rPr>
              <w:t>其他：________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top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1.3.2</w:t>
            </w:r>
          </w:p>
        </w:tc>
        <w:tc>
          <w:tcPr>
            <w:tcW w:w="2611" w:type="dxa"/>
            <w:vAlign w:val="center"/>
          </w:tcPr>
          <w:p>
            <w:pPr>
              <w:autoSpaceDE w:val="0"/>
              <w:autoSpaceDN w:val="0"/>
              <w:adjustRightInd w:val="0"/>
              <w:jc w:val="center"/>
              <w:rPr>
                <w:kern w:val="0"/>
                <w:szCs w:val="21"/>
              </w:rPr>
            </w:pPr>
            <w:r>
              <w:rPr>
                <w:rFonts w:hint="eastAsia"/>
                <w:kern w:val="0"/>
                <w:szCs w:val="21"/>
              </w:rPr>
              <w:t>监理服务期限</w:t>
            </w:r>
          </w:p>
        </w:tc>
        <w:tc>
          <w:tcPr>
            <w:tcW w:w="5957" w:type="dxa"/>
            <w:vAlign w:val="center"/>
          </w:tcPr>
          <w:p>
            <w:pPr>
              <w:pStyle w:val="72"/>
              <w:tabs>
                <w:tab w:val="left" w:pos="2553"/>
              </w:tabs>
              <w:adjustRightInd w:val="0"/>
              <w:snapToGrid w:val="0"/>
              <w:spacing w:before="83"/>
              <w:ind w:left="-13" w:leftChars="-6" w:firstLine="126" w:firstLineChars="60"/>
              <w:rPr>
                <w:rFonts w:ascii="宋体" w:hAnsi="宋体" w:cs="宋体"/>
                <w:szCs w:val="21"/>
              </w:rPr>
            </w:pPr>
            <w:r>
              <w:rPr>
                <w:rFonts w:ascii="宋体" w:hAnsi="宋体" w:cs="宋体"/>
                <w:szCs w:val="21"/>
              </w:rPr>
              <w:t>监理服务期</w:t>
            </w:r>
            <w:r>
              <w:rPr>
                <w:rFonts w:hint="eastAsia" w:ascii="宋体" w:hAnsi="宋体" w:cs="宋体"/>
                <w:szCs w:val="21"/>
                <w:u w:val="single"/>
              </w:rPr>
              <w:t>1822</w:t>
            </w:r>
            <w:r>
              <w:rPr>
                <w:rFonts w:ascii="宋体" w:hAnsi="宋体" w:cs="宋体"/>
                <w:szCs w:val="21"/>
              </w:rPr>
              <w:t>日历天</w:t>
            </w:r>
          </w:p>
          <w:p>
            <w:pPr>
              <w:pStyle w:val="72"/>
              <w:tabs>
                <w:tab w:val="left" w:pos="2553"/>
              </w:tabs>
              <w:adjustRightInd w:val="0"/>
              <w:snapToGrid w:val="0"/>
              <w:spacing w:before="83"/>
              <w:ind w:left="-13" w:leftChars="-6" w:firstLine="126" w:firstLineChars="60"/>
              <w:rPr>
                <w:rFonts w:ascii="宋体" w:hAnsi="宋体" w:cs="宋体"/>
                <w:szCs w:val="21"/>
              </w:rPr>
            </w:pPr>
            <w:r>
              <w:rPr>
                <w:rFonts w:ascii="宋体" w:hAnsi="宋体" w:cs="宋体"/>
                <w:szCs w:val="21"/>
              </w:rPr>
              <w:t>其中：施工期</w:t>
            </w:r>
            <w:r>
              <w:rPr>
                <w:rFonts w:hint="eastAsia" w:ascii="宋体" w:hAnsi="宋体" w:cs="宋体"/>
                <w:szCs w:val="21"/>
              </w:rPr>
              <w:t>（含</w:t>
            </w:r>
            <w:r>
              <w:rPr>
                <w:rFonts w:ascii="宋体" w:hAnsi="宋体" w:cs="宋体"/>
                <w:szCs w:val="21"/>
              </w:rPr>
              <w:t>施工准备期</w:t>
            </w:r>
            <w:r>
              <w:rPr>
                <w:rFonts w:hint="eastAsia" w:ascii="宋体" w:hAnsi="宋体" w:cs="宋体"/>
                <w:szCs w:val="21"/>
              </w:rPr>
              <w:t>）</w:t>
            </w:r>
            <w:r>
              <w:rPr>
                <w:rFonts w:ascii="宋体" w:hAnsi="宋体" w:cs="宋体"/>
                <w:szCs w:val="21"/>
              </w:rPr>
              <w:t>：</w:t>
            </w:r>
            <w:r>
              <w:rPr>
                <w:rFonts w:hint="eastAsia" w:ascii="宋体" w:hAnsi="宋体" w:cs="宋体"/>
                <w:szCs w:val="21"/>
                <w:u w:val="single"/>
              </w:rPr>
              <w:t>1456</w:t>
            </w:r>
            <w:r>
              <w:rPr>
                <w:rFonts w:ascii="宋体" w:hAnsi="宋体" w:cs="宋体"/>
                <w:szCs w:val="21"/>
              </w:rPr>
              <w:t>日历天</w:t>
            </w:r>
          </w:p>
          <w:p>
            <w:pPr>
              <w:pStyle w:val="72"/>
              <w:tabs>
                <w:tab w:val="left" w:pos="2135"/>
              </w:tabs>
              <w:adjustRightInd w:val="0"/>
              <w:snapToGrid w:val="0"/>
              <w:spacing w:before="15"/>
              <w:ind w:left="-13" w:leftChars="-6" w:firstLine="751" w:firstLineChars="358"/>
              <w:rPr>
                <w:kern w:val="0"/>
                <w:szCs w:val="21"/>
              </w:rPr>
            </w:pPr>
            <w:r>
              <w:rPr>
                <w:rFonts w:ascii="宋体" w:hAnsi="宋体" w:cs="宋体"/>
                <w:szCs w:val="21"/>
              </w:rPr>
              <w:t>缺陷责任期 ：</w:t>
            </w:r>
            <w:r>
              <w:rPr>
                <w:rFonts w:hint="eastAsia" w:ascii="宋体" w:hAnsi="宋体" w:cs="宋体"/>
                <w:szCs w:val="21"/>
                <w:u w:val="single"/>
              </w:rPr>
              <w:t>366</w:t>
            </w:r>
            <w:r>
              <w:rPr>
                <w:rFonts w:ascii="宋体" w:hAnsi="宋体" w:cs="宋体"/>
                <w:szCs w:val="21"/>
              </w:rPr>
              <w:t>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top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1.3.3</w:t>
            </w:r>
          </w:p>
        </w:tc>
        <w:tc>
          <w:tcPr>
            <w:tcW w:w="2611" w:type="dxa"/>
            <w:vAlign w:val="center"/>
          </w:tcPr>
          <w:p>
            <w:pPr>
              <w:autoSpaceDE w:val="0"/>
              <w:autoSpaceDN w:val="0"/>
              <w:adjustRightInd w:val="0"/>
              <w:jc w:val="center"/>
              <w:rPr>
                <w:kern w:val="0"/>
                <w:szCs w:val="21"/>
              </w:rPr>
            </w:pPr>
            <w:r>
              <w:rPr>
                <w:szCs w:val="21"/>
              </w:rPr>
              <w:t>质量要求</w:t>
            </w:r>
          </w:p>
        </w:tc>
        <w:tc>
          <w:tcPr>
            <w:tcW w:w="5957" w:type="dxa"/>
            <w:vAlign w:val="center"/>
          </w:tcPr>
          <w:p>
            <w:pPr>
              <w:autoSpaceDE w:val="0"/>
              <w:autoSpaceDN w:val="0"/>
              <w:adjustRightInd w:val="0"/>
              <w:rPr>
                <w:szCs w:val="21"/>
              </w:rPr>
            </w:pPr>
            <w:r>
              <w:rPr>
                <w:rFonts w:hint="eastAsia" w:ascii="宋体" w:hAnsi="宋体" w:cs="宋体"/>
                <w:szCs w:val="21"/>
              </w:rPr>
              <w:t>国家验收规范合格标准。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top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1.3.4</w:t>
            </w:r>
          </w:p>
        </w:tc>
        <w:tc>
          <w:tcPr>
            <w:tcW w:w="2611" w:type="dxa"/>
            <w:vAlign w:val="center"/>
          </w:tcPr>
          <w:p>
            <w:pPr>
              <w:autoSpaceDE w:val="0"/>
              <w:autoSpaceDN w:val="0"/>
              <w:adjustRightInd w:val="0"/>
              <w:jc w:val="center"/>
              <w:rPr>
                <w:szCs w:val="21"/>
              </w:rPr>
            </w:pPr>
            <w:r>
              <w:rPr>
                <w:szCs w:val="21"/>
              </w:rPr>
              <w:t>安全</w:t>
            </w:r>
            <w:r>
              <w:rPr>
                <w:rFonts w:hint="eastAsia"/>
                <w:szCs w:val="21"/>
              </w:rPr>
              <w:t>目</w:t>
            </w:r>
            <w:r>
              <w:rPr>
                <w:szCs w:val="21"/>
              </w:rPr>
              <w:t>标</w:t>
            </w:r>
          </w:p>
        </w:tc>
        <w:tc>
          <w:tcPr>
            <w:tcW w:w="5957" w:type="dxa"/>
            <w:vAlign w:val="center"/>
          </w:tcPr>
          <w:p>
            <w:pPr>
              <w:autoSpaceDE w:val="0"/>
              <w:autoSpaceDN w:val="0"/>
              <w:adjustRightInd w:val="0"/>
              <w:rPr>
                <w:kern w:val="0"/>
                <w:szCs w:val="21"/>
              </w:rPr>
            </w:pPr>
            <w:r>
              <w:rPr>
                <w:rFonts w:hint="eastAsia"/>
                <w:kern w:val="0"/>
                <w:szCs w:val="21"/>
              </w:rPr>
              <w:t>在生产过程中无生产责任事故、重大伤亡事故和死亡事故的发生。</w:t>
            </w:r>
          </w:p>
        </w:tc>
      </w:tr>
    </w:tbl>
    <w:p>
      <w:pPr>
        <w:autoSpaceDE w:val="0"/>
        <w:autoSpaceDN w:val="0"/>
        <w:adjustRightInd w:val="0"/>
        <w:snapToGrid w:val="0"/>
        <w:ind w:left="-92" w:leftChars="-44" w:right="-107" w:rightChars="-51"/>
        <w:jc w:val="center"/>
        <w:rPr>
          <w:b/>
          <w:kern w:val="0"/>
          <w:sz w:val="24"/>
        </w:rPr>
      </w:pPr>
    </w:p>
    <w:tbl>
      <w:tblPr>
        <w:tblStyle w:val="3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4"/>
        <w:gridCol w:w="2539"/>
        <w:gridCol w:w="5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autoSpaceDE w:val="0"/>
              <w:autoSpaceDN w:val="0"/>
              <w:adjustRightInd w:val="0"/>
              <w:snapToGrid w:val="0"/>
              <w:ind w:left="-92" w:leftChars="-44" w:right="-107" w:rightChars="-51"/>
              <w:jc w:val="center"/>
              <w:rPr>
                <w:b/>
                <w:kern w:val="0"/>
                <w:sz w:val="24"/>
              </w:rPr>
            </w:pPr>
            <w:r>
              <w:rPr>
                <w:rFonts w:hint="eastAsia"/>
                <w:b/>
                <w:kern w:val="0"/>
                <w:sz w:val="24"/>
              </w:rPr>
              <w:t>条款号</w:t>
            </w:r>
          </w:p>
        </w:tc>
        <w:tc>
          <w:tcPr>
            <w:tcW w:w="2539" w:type="dxa"/>
            <w:vAlign w:val="center"/>
          </w:tcPr>
          <w:p>
            <w:pPr>
              <w:autoSpaceDE w:val="0"/>
              <w:autoSpaceDN w:val="0"/>
              <w:adjustRightInd w:val="0"/>
              <w:snapToGrid w:val="0"/>
              <w:ind w:left="-92" w:leftChars="-44" w:right="-107" w:rightChars="-51"/>
              <w:jc w:val="center"/>
              <w:rPr>
                <w:b/>
                <w:kern w:val="0"/>
                <w:sz w:val="24"/>
              </w:rPr>
            </w:pPr>
            <w:r>
              <w:rPr>
                <w:rFonts w:hint="eastAsia"/>
                <w:b/>
                <w:kern w:val="0"/>
                <w:sz w:val="24"/>
              </w:rPr>
              <w:t>条 款 名 称</w:t>
            </w:r>
          </w:p>
        </w:tc>
        <w:tc>
          <w:tcPr>
            <w:tcW w:w="5794" w:type="dxa"/>
            <w:vAlign w:val="center"/>
          </w:tcPr>
          <w:p>
            <w:pPr>
              <w:autoSpaceDE w:val="0"/>
              <w:autoSpaceDN w:val="0"/>
              <w:adjustRightInd w:val="0"/>
              <w:snapToGrid w:val="0"/>
              <w:ind w:left="-92" w:leftChars="-44" w:right="-107" w:rightChars="-51"/>
              <w:jc w:val="center"/>
              <w:rPr>
                <w:b/>
                <w:kern w:val="0"/>
                <w:sz w:val="24"/>
              </w:rPr>
            </w:pPr>
            <w:r>
              <w:rPr>
                <w:rFonts w:hint="eastAsia"/>
                <w:b/>
                <w:kern w:val="0"/>
                <w:sz w:val="24"/>
              </w:rPr>
              <w:t xml:space="preserve">编 列 内 容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autoSpaceDE w:val="0"/>
              <w:autoSpaceDN w:val="0"/>
              <w:adjustRightInd w:val="0"/>
              <w:spacing w:line="400" w:lineRule="atLeast"/>
              <w:jc w:val="center"/>
              <w:rPr>
                <w:kern w:val="0"/>
                <w:szCs w:val="21"/>
              </w:rPr>
            </w:pPr>
            <w:r>
              <w:rPr>
                <w:kern w:val="0"/>
                <w:szCs w:val="21"/>
              </w:rPr>
              <w:t>1.4.1</w:t>
            </w:r>
          </w:p>
        </w:tc>
        <w:tc>
          <w:tcPr>
            <w:tcW w:w="2539" w:type="dxa"/>
            <w:vAlign w:val="center"/>
          </w:tcPr>
          <w:p>
            <w:pPr>
              <w:autoSpaceDE w:val="0"/>
              <w:autoSpaceDN w:val="0"/>
              <w:adjustRightInd w:val="0"/>
              <w:spacing w:line="400" w:lineRule="atLeast"/>
              <w:jc w:val="center"/>
              <w:rPr>
                <w:kern w:val="0"/>
                <w:szCs w:val="21"/>
              </w:rPr>
            </w:pPr>
            <w:r>
              <w:rPr>
                <w:rFonts w:hint="eastAsia"/>
                <w:kern w:val="0"/>
                <w:szCs w:val="21"/>
              </w:rPr>
              <w:t>投标人资质条件、能力和信誉</w:t>
            </w:r>
          </w:p>
        </w:tc>
        <w:tc>
          <w:tcPr>
            <w:tcW w:w="5794" w:type="dxa"/>
            <w:vAlign w:val="center"/>
          </w:tcPr>
          <w:p>
            <w:pPr>
              <w:autoSpaceDE w:val="0"/>
              <w:autoSpaceDN w:val="0"/>
              <w:adjustRightInd w:val="0"/>
              <w:spacing w:line="300" w:lineRule="atLeast"/>
              <w:rPr>
                <w:kern w:val="0"/>
                <w:szCs w:val="21"/>
              </w:rPr>
            </w:pPr>
            <w:r>
              <w:rPr>
                <w:rFonts w:hint="eastAsia"/>
                <w:kern w:val="0"/>
                <w:szCs w:val="21"/>
              </w:rPr>
              <w:t>资质要求：见附录1</w:t>
            </w:r>
          </w:p>
          <w:p>
            <w:pPr>
              <w:autoSpaceDE w:val="0"/>
              <w:autoSpaceDN w:val="0"/>
              <w:adjustRightInd w:val="0"/>
              <w:spacing w:line="300" w:lineRule="atLeast"/>
              <w:rPr>
                <w:kern w:val="0"/>
                <w:szCs w:val="21"/>
              </w:rPr>
            </w:pPr>
            <w:r>
              <w:rPr>
                <w:rFonts w:hint="eastAsia"/>
                <w:kern w:val="0"/>
                <w:szCs w:val="21"/>
              </w:rPr>
              <w:t>业绩要求：见附录2</w:t>
            </w:r>
          </w:p>
          <w:p>
            <w:pPr>
              <w:autoSpaceDE w:val="0"/>
              <w:autoSpaceDN w:val="0"/>
              <w:adjustRightInd w:val="0"/>
              <w:spacing w:line="300" w:lineRule="atLeast"/>
              <w:rPr>
                <w:kern w:val="0"/>
                <w:szCs w:val="21"/>
              </w:rPr>
            </w:pPr>
            <w:r>
              <w:rPr>
                <w:rFonts w:hint="eastAsia"/>
                <w:kern w:val="0"/>
                <w:szCs w:val="21"/>
              </w:rPr>
              <w:t>信誉要求：见附录3</w:t>
            </w:r>
          </w:p>
          <w:p>
            <w:pPr>
              <w:autoSpaceDE w:val="0"/>
              <w:autoSpaceDN w:val="0"/>
              <w:adjustRightInd w:val="0"/>
              <w:spacing w:line="300" w:lineRule="atLeast"/>
              <w:rPr>
                <w:kern w:val="0"/>
                <w:szCs w:val="21"/>
              </w:rPr>
            </w:pPr>
            <w:r>
              <w:rPr>
                <w:rFonts w:hint="eastAsia"/>
                <w:kern w:val="0"/>
                <w:szCs w:val="21"/>
              </w:rPr>
              <w:t>总监理工程师资格：见附录4</w:t>
            </w:r>
          </w:p>
          <w:p>
            <w:pPr>
              <w:autoSpaceDE w:val="0"/>
              <w:autoSpaceDN w:val="0"/>
              <w:adjustRightInd w:val="0"/>
              <w:spacing w:line="300" w:lineRule="atLeast"/>
              <w:rPr>
                <w:kern w:val="0"/>
                <w:szCs w:val="21"/>
              </w:rPr>
            </w:pPr>
            <w:r>
              <w:rPr>
                <w:rFonts w:hint="eastAsia"/>
                <w:kern w:val="0"/>
                <w:szCs w:val="21"/>
              </w:rPr>
              <w:t>其他要求：无。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00" w:lineRule="atLeast"/>
              <w:jc w:val="center"/>
              <w:rPr>
                <w:rFonts w:cs="Times New Roman"/>
                <w:color w:val="auto"/>
                <w:sz w:val="21"/>
                <w:szCs w:val="21"/>
              </w:rPr>
            </w:pPr>
            <w:r>
              <w:rPr>
                <w:rFonts w:cs="Times New Roman"/>
                <w:color w:val="auto"/>
                <w:sz w:val="21"/>
                <w:szCs w:val="21"/>
              </w:rPr>
              <w:t>1.4.2</w:t>
            </w:r>
          </w:p>
        </w:tc>
        <w:tc>
          <w:tcPr>
            <w:tcW w:w="2539" w:type="dxa"/>
            <w:vAlign w:val="center"/>
          </w:tcPr>
          <w:p>
            <w:pPr>
              <w:tabs>
                <w:tab w:val="left" w:pos="2604"/>
              </w:tabs>
              <w:spacing w:line="280" w:lineRule="exact"/>
              <w:ind w:right="-88" w:rightChars="-42"/>
              <w:jc w:val="center"/>
              <w:rPr>
                <w:kern w:val="0"/>
                <w:szCs w:val="21"/>
              </w:rPr>
            </w:pPr>
            <w:r>
              <w:rPr>
                <w:rFonts w:hint="eastAsia"/>
                <w:kern w:val="0"/>
                <w:szCs w:val="21"/>
              </w:rPr>
              <w:t>是否接受联合体投标</w:t>
            </w:r>
          </w:p>
        </w:tc>
        <w:tc>
          <w:tcPr>
            <w:tcW w:w="5794" w:type="dxa"/>
            <w:vAlign w:val="center"/>
          </w:tcPr>
          <w:p>
            <w:pPr>
              <w:adjustRightInd w:val="0"/>
              <w:snapToGrid w:val="0"/>
              <w:spacing w:line="280" w:lineRule="exact"/>
              <w:rPr>
                <w:kern w:val="0"/>
                <w:szCs w:val="21"/>
              </w:rPr>
            </w:pPr>
            <w:r>
              <w:rPr>
                <w:rFonts w:hint="eastAsia"/>
                <w:kern w:val="0"/>
                <w:szCs w:val="21"/>
              </w:rPr>
              <w:sym w:font="Wingdings" w:char="00FE"/>
            </w:r>
            <w:r>
              <w:rPr>
                <w:rFonts w:hint="eastAsia"/>
                <w:kern w:val="0"/>
                <w:szCs w:val="21"/>
              </w:rPr>
              <w:t>不接受</w:t>
            </w:r>
          </w:p>
          <w:p>
            <w:pPr>
              <w:rPr>
                <w:kern w:val="0"/>
              </w:rPr>
            </w:pPr>
            <w:r>
              <w:rPr>
                <w:rFonts w:hint="eastAsia"/>
                <w:kern w:val="0"/>
                <w:szCs w:val="21"/>
              </w:rPr>
              <w:t>□接受,</w:t>
            </w:r>
            <w:r>
              <w:rPr>
                <w:rFonts w:hint="eastAsia"/>
                <w:kern w:val="0"/>
              </w:rPr>
              <w:t>应满足下列要求：</w:t>
            </w:r>
          </w:p>
          <w:p>
            <w:pPr>
              <w:ind w:firstLine="105" w:firstLineChars="50"/>
              <w:rPr>
                <w:kern w:val="0"/>
              </w:rPr>
            </w:pPr>
            <w:r>
              <w:rPr>
                <w:rFonts w:hint="eastAsia"/>
                <w:kern w:val="0"/>
              </w:rPr>
              <w:t>（1）联合体所有成员数量不得超过</w:t>
            </w:r>
            <w:r>
              <w:rPr>
                <w:rFonts w:hint="eastAsia"/>
                <w:kern w:val="0"/>
                <w:u w:val="single"/>
              </w:rPr>
              <w:t xml:space="preserve"> / </w:t>
            </w:r>
            <w:r>
              <w:rPr>
                <w:rFonts w:hint="eastAsia"/>
                <w:kern w:val="0"/>
              </w:rPr>
              <w:t>家；</w:t>
            </w:r>
          </w:p>
          <w:p>
            <w:pPr>
              <w:adjustRightInd w:val="0"/>
              <w:snapToGrid w:val="0"/>
              <w:spacing w:line="280" w:lineRule="exact"/>
              <w:ind w:firstLine="105" w:firstLineChars="50"/>
              <w:rPr>
                <w:kern w:val="0"/>
              </w:rPr>
            </w:pPr>
            <w:r>
              <w:rPr>
                <w:rFonts w:hint="eastAsia"/>
                <w:kern w:val="0"/>
              </w:rPr>
              <w:t>（2）联合体牵头人应具有</w:t>
            </w:r>
            <w:r>
              <w:rPr>
                <w:rFonts w:hint="eastAsia"/>
                <w:kern w:val="0"/>
                <w:u w:val="single"/>
              </w:rPr>
              <w:t xml:space="preserve"> / </w:t>
            </w:r>
            <w:r>
              <w:rPr>
                <w:rFonts w:hint="eastAsia"/>
                <w:kern w:val="0"/>
              </w:rPr>
              <w:t>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00" w:lineRule="atLeast"/>
              <w:jc w:val="center"/>
              <w:rPr>
                <w:rFonts w:cs="Times New Roman"/>
                <w:color w:val="auto"/>
                <w:sz w:val="21"/>
                <w:szCs w:val="21"/>
              </w:rPr>
            </w:pPr>
            <w:r>
              <w:rPr>
                <w:rFonts w:hint="eastAsia" w:cs="Times New Roman"/>
                <w:color w:val="auto"/>
                <w:sz w:val="21"/>
                <w:szCs w:val="21"/>
              </w:rPr>
              <w:t>1.4.3</w:t>
            </w:r>
          </w:p>
        </w:tc>
        <w:tc>
          <w:tcPr>
            <w:tcW w:w="2539" w:type="dxa"/>
            <w:vAlign w:val="center"/>
          </w:tcPr>
          <w:p>
            <w:pPr>
              <w:tabs>
                <w:tab w:val="left" w:pos="2604"/>
              </w:tabs>
              <w:spacing w:line="280" w:lineRule="exact"/>
              <w:ind w:right="-88" w:rightChars="-42"/>
              <w:jc w:val="center"/>
              <w:rPr>
                <w:kern w:val="0"/>
                <w:szCs w:val="21"/>
              </w:rPr>
            </w:pPr>
            <w:r>
              <w:rPr>
                <w:rFonts w:hint="eastAsia"/>
                <w:kern w:val="0"/>
                <w:szCs w:val="21"/>
              </w:rPr>
              <w:t>投标人不得存在的其他关联情形</w:t>
            </w:r>
          </w:p>
        </w:tc>
        <w:tc>
          <w:tcPr>
            <w:tcW w:w="5794" w:type="dxa"/>
            <w:vAlign w:val="center"/>
          </w:tcPr>
          <w:p>
            <w:pPr>
              <w:adjustRightInd w:val="0"/>
              <w:snapToGrid w:val="0"/>
              <w:spacing w:line="280" w:lineRule="exact"/>
              <w:rPr>
                <w:kern w:val="0"/>
                <w:szCs w:val="21"/>
              </w:rPr>
            </w:pPr>
            <w:r>
              <w:rPr>
                <w:rFonts w:hint="eastAsia"/>
                <w:kern w:val="0"/>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00" w:lineRule="atLeast"/>
              <w:jc w:val="center"/>
              <w:rPr>
                <w:rFonts w:cs="Times New Roman"/>
                <w:color w:val="auto"/>
                <w:sz w:val="21"/>
                <w:szCs w:val="21"/>
              </w:rPr>
            </w:pPr>
            <w:r>
              <w:rPr>
                <w:rFonts w:hint="eastAsia" w:cs="Times New Roman"/>
                <w:color w:val="auto"/>
                <w:sz w:val="21"/>
                <w:szCs w:val="21"/>
              </w:rPr>
              <w:t>1.4.4</w:t>
            </w:r>
          </w:p>
        </w:tc>
        <w:tc>
          <w:tcPr>
            <w:tcW w:w="2539" w:type="dxa"/>
            <w:vAlign w:val="center"/>
          </w:tcPr>
          <w:p>
            <w:pPr>
              <w:tabs>
                <w:tab w:val="left" w:pos="2604"/>
              </w:tabs>
              <w:spacing w:line="280" w:lineRule="exact"/>
              <w:ind w:right="-88" w:rightChars="-42"/>
              <w:jc w:val="center"/>
              <w:rPr>
                <w:kern w:val="0"/>
                <w:szCs w:val="21"/>
              </w:rPr>
            </w:pPr>
            <w:r>
              <w:rPr>
                <w:szCs w:val="21"/>
              </w:rPr>
              <w:t>投标人不得存在的其他不良状况或不良信用记录</w:t>
            </w:r>
          </w:p>
        </w:tc>
        <w:tc>
          <w:tcPr>
            <w:tcW w:w="5794" w:type="dxa"/>
            <w:vAlign w:val="center"/>
          </w:tcPr>
          <w:p>
            <w:pPr>
              <w:adjustRightInd w:val="0"/>
              <w:snapToGrid w:val="0"/>
              <w:spacing w:line="280" w:lineRule="exact"/>
              <w:rPr>
                <w:kern w:val="0"/>
                <w:szCs w:val="21"/>
              </w:rPr>
            </w:pPr>
            <w:r>
              <w:rPr>
                <w:rFonts w:hint="eastAsia"/>
                <w:kern w:val="0"/>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Merge w:val="restart"/>
            <w:vAlign w:val="center"/>
          </w:tcPr>
          <w:p>
            <w:pPr>
              <w:pStyle w:val="73"/>
              <w:spacing w:line="400" w:lineRule="atLeast"/>
              <w:jc w:val="center"/>
              <w:rPr>
                <w:rFonts w:cs="Times New Roman"/>
                <w:color w:val="auto"/>
                <w:sz w:val="21"/>
                <w:szCs w:val="21"/>
              </w:rPr>
            </w:pPr>
            <w:r>
              <w:rPr>
                <w:rFonts w:cs="Times New Roman"/>
                <w:color w:val="auto"/>
                <w:sz w:val="21"/>
                <w:szCs w:val="21"/>
              </w:rPr>
              <w:t>1.10.</w:t>
            </w:r>
            <w:r>
              <w:rPr>
                <w:rFonts w:hint="eastAsia" w:cs="Times New Roman"/>
                <w:color w:val="auto"/>
                <w:sz w:val="21"/>
                <w:szCs w:val="21"/>
              </w:rPr>
              <w:t>2</w:t>
            </w:r>
          </w:p>
        </w:tc>
        <w:tc>
          <w:tcPr>
            <w:tcW w:w="2539" w:type="dxa"/>
            <w:vMerge w:val="restart"/>
          </w:tcPr>
          <w:p>
            <w:pPr>
              <w:pStyle w:val="72"/>
              <w:spacing w:before="112"/>
              <w:ind w:left="177"/>
              <w:jc w:val="center"/>
              <w:rPr>
                <w:szCs w:val="21"/>
              </w:rPr>
            </w:pPr>
            <w:r>
              <w:rPr>
                <w:szCs w:val="21"/>
              </w:rPr>
              <w:t>投标人在投标预备会前提出问题</w:t>
            </w:r>
          </w:p>
        </w:tc>
        <w:tc>
          <w:tcPr>
            <w:tcW w:w="5794" w:type="dxa"/>
            <w:tcBorders>
              <w:bottom w:val="single" w:color="auto" w:sz="4" w:space="0"/>
            </w:tcBorders>
            <w:vAlign w:val="center"/>
          </w:tcPr>
          <w:p>
            <w:pPr>
              <w:adjustRightInd w:val="0"/>
              <w:snapToGrid w:val="0"/>
              <w:spacing w:line="280" w:lineRule="exact"/>
              <w:ind w:leftChars="-18" w:hanging="37" w:hangingChars="18"/>
              <w:rPr>
                <w:szCs w:val="21"/>
              </w:rPr>
            </w:pPr>
            <w:r>
              <w:rPr>
                <w:rFonts w:hint="eastAsia"/>
                <w:kern w:val="0"/>
                <w:szCs w:val="21"/>
              </w:rPr>
              <w:t>时间：不组织</w:t>
            </w:r>
            <w:r>
              <w:rPr>
                <w:rFonts w:hint="eastAsia"/>
                <w:kern w:val="0"/>
              </w:rPr>
              <w:t>投标预备会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Merge w:val="continue"/>
            <w:vAlign w:val="center"/>
          </w:tcPr>
          <w:p>
            <w:pPr>
              <w:pStyle w:val="73"/>
              <w:spacing w:line="260" w:lineRule="exact"/>
              <w:jc w:val="center"/>
              <w:rPr>
                <w:color w:val="auto"/>
                <w:sz w:val="21"/>
                <w:szCs w:val="21"/>
              </w:rPr>
            </w:pPr>
          </w:p>
        </w:tc>
        <w:tc>
          <w:tcPr>
            <w:tcW w:w="2539" w:type="dxa"/>
            <w:vMerge w:val="continue"/>
            <w:vAlign w:val="center"/>
          </w:tcPr>
          <w:p>
            <w:pPr>
              <w:pStyle w:val="73"/>
              <w:jc w:val="center"/>
              <w:rPr>
                <w:color w:val="auto"/>
                <w:sz w:val="21"/>
                <w:szCs w:val="21"/>
              </w:rPr>
            </w:pPr>
          </w:p>
        </w:tc>
        <w:tc>
          <w:tcPr>
            <w:tcW w:w="5794" w:type="dxa"/>
            <w:tcBorders>
              <w:top w:val="single" w:color="auto" w:sz="4" w:space="0"/>
            </w:tcBorders>
            <w:vAlign w:val="center"/>
          </w:tcPr>
          <w:p>
            <w:pPr>
              <w:adjustRightInd w:val="0"/>
              <w:snapToGrid w:val="0"/>
              <w:spacing w:line="280" w:lineRule="exact"/>
              <w:ind w:leftChars="-18" w:hanging="37" w:hangingChars="18"/>
              <w:rPr>
                <w:kern w:val="0"/>
                <w:szCs w:val="21"/>
              </w:rPr>
            </w:pPr>
            <w:r>
              <w:rPr>
                <w:rFonts w:hint="eastAsia"/>
                <w:kern w:val="0"/>
                <w:szCs w:val="21"/>
              </w:rPr>
              <w:t>形式：不组织</w:t>
            </w:r>
            <w:r>
              <w:rPr>
                <w:rFonts w:hint="eastAsia"/>
                <w:kern w:val="0"/>
              </w:rPr>
              <w:t>投标预备会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260" w:lineRule="exact"/>
              <w:jc w:val="center"/>
              <w:rPr>
                <w:color w:val="auto"/>
                <w:sz w:val="21"/>
                <w:szCs w:val="21"/>
              </w:rPr>
            </w:pPr>
            <w:r>
              <w:rPr>
                <w:rFonts w:hint="eastAsia"/>
                <w:color w:val="auto"/>
                <w:sz w:val="21"/>
                <w:szCs w:val="21"/>
              </w:rPr>
              <w:t>2.1</w:t>
            </w:r>
          </w:p>
        </w:tc>
        <w:tc>
          <w:tcPr>
            <w:tcW w:w="2539" w:type="dxa"/>
            <w:vAlign w:val="center"/>
          </w:tcPr>
          <w:p>
            <w:pPr>
              <w:pStyle w:val="73"/>
              <w:jc w:val="center"/>
              <w:rPr>
                <w:b/>
                <w:color w:val="auto"/>
                <w:sz w:val="21"/>
                <w:szCs w:val="21"/>
              </w:rPr>
            </w:pPr>
            <w:r>
              <w:rPr>
                <w:color w:val="auto"/>
                <w:sz w:val="21"/>
                <w:szCs w:val="21"/>
              </w:rPr>
              <w:t>构成招标文件的其他资料</w:t>
            </w:r>
          </w:p>
        </w:tc>
        <w:tc>
          <w:tcPr>
            <w:tcW w:w="5794" w:type="dxa"/>
            <w:vAlign w:val="center"/>
          </w:tcPr>
          <w:p>
            <w:pPr>
              <w:pStyle w:val="73"/>
              <w:rPr>
                <w:b/>
                <w:color w:val="auto"/>
                <w:sz w:val="21"/>
                <w:szCs w:val="21"/>
              </w:rPr>
            </w:pPr>
            <w:r>
              <w:rPr>
                <w:rFonts w:hint="eastAsia"/>
                <w:color w:val="auto"/>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Merge w:val="restart"/>
            <w:vAlign w:val="center"/>
          </w:tcPr>
          <w:p>
            <w:pPr>
              <w:pStyle w:val="73"/>
              <w:spacing w:line="260" w:lineRule="exact"/>
              <w:jc w:val="center"/>
              <w:rPr>
                <w:color w:val="auto"/>
                <w:sz w:val="21"/>
                <w:szCs w:val="21"/>
              </w:rPr>
            </w:pPr>
            <w:r>
              <w:rPr>
                <w:rFonts w:hint="eastAsia"/>
                <w:color w:val="auto"/>
                <w:sz w:val="21"/>
                <w:szCs w:val="21"/>
              </w:rPr>
              <w:t>2.2.1</w:t>
            </w:r>
          </w:p>
        </w:tc>
        <w:tc>
          <w:tcPr>
            <w:tcW w:w="2539" w:type="dxa"/>
            <w:vMerge w:val="restart"/>
            <w:vAlign w:val="center"/>
          </w:tcPr>
          <w:p>
            <w:pPr>
              <w:pStyle w:val="73"/>
              <w:spacing w:line="260" w:lineRule="exact"/>
              <w:jc w:val="center"/>
              <w:rPr>
                <w:color w:val="auto"/>
                <w:sz w:val="21"/>
                <w:szCs w:val="21"/>
              </w:rPr>
            </w:pPr>
            <w:r>
              <w:rPr>
                <w:rFonts w:hint="eastAsia"/>
                <w:color w:val="auto"/>
                <w:sz w:val="21"/>
                <w:szCs w:val="21"/>
              </w:rPr>
              <w:t>投标人要求澄清招标文件</w:t>
            </w:r>
          </w:p>
        </w:tc>
        <w:tc>
          <w:tcPr>
            <w:tcW w:w="5794" w:type="dxa"/>
            <w:vAlign w:val="center"/>
          </w:tcPr>
          <w:p>
            <w:pPr>
              <w:pStyle w:val="73"/>
              <w:spacing w:line="260" w:lineRule="exact"/>
              <w:jc w:val="both"/>
              <w:rPr>
                <w:color w:val="auto"/>
                <w:sz w:val="21"/>
                <w:szCs w:val="21"/>
              </w:rPr>
            </w:pPr>
            <w:r>
              <w:rPr>
                <w:rFonts w:hint="eastAsia"/>
                <w:color w:val="auto"/>
                <w:sz w:val="21"/>
                <w:szCs w:val="21"/>
              </w:rPr>
              <w:t>时间：</w:t>
            </w:r>
            <w:r>
              <w:rPr>
                <w:rFonts w:hint="eastAsia"/>
                <w:color w:val="auto"/>
                <w:sz w:val="21"/>
                <w:szCs w:val="21"/>
                <w:u w:val="single"/>
              </w:rPr>
              <w:t>2023</w:t>
            </w:r>
            <w:r>
              <w:rPr>
                <w:rFonts w:hint="eastAsia"/>
                <w:color w:val="auto"/>
                <w:sz w:val="21"/>
                <w:szCs w:val="21"/>
              </w:rPr>
              <w:t>年</w:t>
            </w:r>
            <w:r>
              <w:rPr>
                <w:rFonts w:hint="eastAsia"/>
                <w:color w:val="auto"/>
                <w:sz w:val="21"/>
                <w:szCs w:val="21"/>
                <w:u w:val="single"/>
              </w:rPr>
              <w:t>8</w:t>
            </w:r>
            <w:r>
              <w:rPr>
                <w:rFonts w:hint="eastAsia"/>
                <w:color w:val="auto"/>
                <w:sz w:val="21"/>
                <w:szCs w:val="21"/>
              </w:rPr>
              <w:t>月</w:t>
            </w:r>
            <w:r>
              <w:rPr>
                <w:rFonts w:hint="eastAsia"/>
                <w:color w:val="auto"/>
                <w:sz w:val="21"/>
                <w:szCs w:val="21"/>
                <w:u w:val="single"/>
              </w:rPr>
              <w:t>11</w:t>
            </w:r>
            <w:r>
              <w:rPr>
                <w:rFonts w:hint="eastAsia"/>
                <w:color w:val="auto"/>
                <w:sz w:val="21"/>
                <w:szCs w:val="21"/>
              </w:rPr>
              <w:t>日</w:t>
            </w:r>
            <w:r>
              <w:rPr>
                <w:rFonts w:hint="eastAsia"/>
                <w:color w:val="auto"/>
                <w:sz w:val="21"/>
                <w:szCs w:val="21"/>
                <w:u w:val="single"/>
              </w:rPr>
              <w:t>17</w:t>
            </w:r>
            <w:r>
              <w:rPr>
                <w:rFonts w:hint="eastAsia"/>
                <w:color w:val="auto"/>
                <w:sz w:val="21"/>
                <w:szCs w:val="21"/>
              </w:rPr>
              <w:t>时</w:t>
            </w:r>
            <w:r>
              <w:rPr>
                <w:rFonts w:hint="eastAsia"/>
                <w:color w:val="auto"/>
                <w:sz w:val="21"/>
                <w:szCs w:val="21"/>
                <w:u w:val="single"/>
              </w:rPr>
              <w:t>00</w:t>
            </w:r>
            <w:r>
              <w:rPr>
                <w:rFonts w:hint="eastAsia"/>
                <w:color w:val="auto"/>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Merge w:val="continue"/>
            <w:vAlign w:val="center"/>
          </w:tcPr>
          <w:p>
            <w:pPr>
              <w:pStyle w:val="73"/>
              <w:spacing w:line="260" w:lineRule="exact"/>
              <w:jc w:val="center"/>
              <w:rPr>
                <w:color w:val="auto"/>
                <w:sz w:val="21"/>
                <w:szCs w:val="21"/>
              </w:rPr>
            </w:pPr>
          </w:p>
        </w:tc>
        <w:tc>
          <w:tcPr>
            <w:tcW w:w="2539" w:type="dxa"/>
            <w:vMerge w:val="continue"/>
            <w:vAlign w:val="center"/>
          </w:tcPr>
          <w:p>
            <w:pPr>
              <w:pStyle w:val="73"/>
              <w:spacing w:line="260" w:lineRule="exact"/>
              <w:jc w:val="center"/>
              <w:rPr>
                <w:color w:val="auto"/>
                <w:sz w:val="21"/>
                <w:szCs w:val="21"/>
              </w:rPr>
            </w:pPr>
          </w:p>
        </w:tc>
        <w:tc>
          <w:tcPr>
            <w:tcW w:w="5794" w:type="dxa"/>
            <w:vAlign w:val="center"/>
          </w:tcPr>
          <w:p>
            <w:pPr>
              <w:pStyle w:val="73"/>
              <w:spacing w:line="260" w:lineRule="exact"/>
              <w:jc w:val="both"/>
              <w:rPr>
                <w:color w:val="auto"/>
                <w:sz w:val="21"/>
                <w:szCs w:val="21"/>
              </w:rPr>
            </w:pPr>
            <w:r>
              <w:rPr>
                <w:rFonts w:hint="eastAsia"/>
                <w:color w:val="auto"/>
                <w:sz w:val="21"/>
                <w:szCs w:val="21"/>
              </w:rPr>
              <w:t>形式：书面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260" w:lineRule="exact"/>
              <w:jc w:val="center"/>
              <w:rPr>
                <w:color w:val="auto"/>
                <w:sz w:val="21"/>
                <w:szCs w:val="21"/>
              </w:rPr>
            </w:pPr>
            <w:r>
              <w:rPr>
                <w:rFonts w:hint="eastAsia"/>
                <w:color w:val="auto"/>
                <w:sz w:val="21"/>
                <w:szCs w:val="21"/>
              </w:rPr>
              <w:t>2.2.2</w:t>
            </w:r>
          </w:p>
        </w:tc>
        <w:tc>
          <w:tcPr>
            <w:tcW w:w="2539" w:type="dxa"/>
            <w:vAlign w:val="center"/>
          </w:tcPr>
          <w:p>
            <w:pPr>
              <w:pStyle w:val="73"/>
              <w:spacing w:line="260" w:lineRule="exact"/>
              <w:jc w:val="center"/>
              <w:rPr>
                <w:color w:val="auto"/>
                <w:sz w:val="21"/>
                <w:szCs w:val="21"/>
              </w:rPr>
            </w:pPr>
            <w:r>
              <w:rPr>
                <w:color w:val="auto"/>
                <w:sz w:val="21"/>
                <w:szCs w:val="21"/>
              </w:rPr>
              <w:t>招标文件澄清发出的形式</w:t>
            </w:r>
          </w:p>
        </w:tc>
        <w:tc>
          <w:tcPr>
            <w:tcW w:w="5794" w:type="dxa"/>
            <w:vAlign w:val="center"/>
          </w:tcPr>
          <w:p>
            <w:pPr>
              <w:pStyle w:val="73"/>
              <w:spacing w:line="260" w:lineRule="exact"/>
              <w:jc w:val="both"/>
              <w:rPr>
                <w:color w:val="auto"/>
                <w:sz w:val="21"/>
                <w:szCs w:val="21"/>
              </w:rPr>
            </w:pPr>
            <w:r>
              <w:rPr>
                <w:rFonts w:hint="eastAsia"/>
                <w:color w:val="auto"/>
                <w:sz w:val="21"/>
                <w:szCs w:val="21"/>
              </w:rPr>
              <w:t>在天津市公共资源交易网、天津市滨海新区交通运输局官网上发布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Merge w:val="restart"/>
            <w:vAlign w:val="center"/>
          </w:tcPr>
          <w:p>
            <w:pPr>
              <w:pStyle w:val="73"/>
              <w:spacing w:line="260" w:lineRule="exact"/>
              <w:jc w:val="center"/>
              <w:rPr>
                <w:rFonts w:cs="Times New Roman"/>
                <w:color w:val="auto"/>
                <w:sz w:val="21"/>
                <w:szCs w:val="21"/>
              </w:rPr>
            </w:pPr>
            <w:r>
              <w:rPr>
                <w:rFonts w:hint="eastAsia" w:cs="Times New Roman"/>
                <w:color w:val="auto"/>
                <w:sz w:val="21"/>
                <w:szCs w:val="21"/>
              </w:rPr>
              <w:t>2.2.3</w:t>
            </w:r>
          </w:p>
        </w:tc>
        <w:tc>
          <w:tcPr>
            <w:tcW w:w="2539" w:type="dxa"/>
            <w:vMerge w:val="restart"/>
            <w:vAlign w:val="center"/>
          </w:tcPr>
          <w:p>
            <w:pPr>
              <w:pStyle w:val="72"/>
              <w:spacing w:before="79"/>
              <w:ind w:left="1"/>
              <w:jc w:val="center"/>
              <w:rPr>
                <w:szCs w:val="21"/>
              </w:rPr>
            </w:pPr>
            <w:r>
              <w:rPr>
                <w:szCs w:val="21"/>
              </w:rPr>
              <w:t>投标人确认收到招标文件</w:t>
            </w:r>
          </w:p>
          <w:p>
            <w:pPr>
              <w:pStyle w:val="73"/>
              <w:spacing w:line="260" w:lineRule="exact"/>
              <w:ind w:left="-107" w:leftChars="-51" w:right="-107" w:rightChars="-51"/>
              <w:jc w:val="center"/>
              <w:rPr>
                <w:color w:val="auto"/>
                <w:sz w:val="21"/>
                <w:szCs w:val="21"/>
              </w:rPr>
            </w:pPr>
            <w:r>
              <w:rPr>
                <w:color w:val="auto"/>
                <w:sz w:val="21"/>
                <w:szCs w:val="21"/>
              </w:rPr>
              <w:t>澄清</w:t>
            </w:r>
          </w:p>
        </w:tc>
        <w:tc>
          <w:tcPr>
            <w:tcW w:w="5794" w:type="dxa"/>
            <w:tcBorders>
              <w:bottom w:val="single" w:color="auto" w:sz="4" w:space="0"/>
            </w:tcBorders>
            <w:vAlign w:val="center"/>
          </w:tcPr>
          <w:p>
            <w:pPr>
              <w:adjustRightInd w:val="0"/>
              <w:snapToGrid w:val="0"/>
              <w:spacing w:line="300" w:lineRule="atLeast"/>
              <w:rPr>
                <w:szCs w:val="21"/>
              </w:rPr>
            </w:pPr>
            <w:r>
              <w:rPr>
                <w:rFonts w:hint="eastAsia"/>
                <w:szCs w:val="21"/>
              </w:rPr>
              <w:t>时间：收到澄清后24小时内</w:t>
            </w:r>
            <w:r>
              <w:rPr>
                <w:szCs w:val="21"/>
              </w:rPr>
              <w:t>(</w:t>
            </w:r>
            <w:r>
              <w:rPr>
                <w:rFonts w:hint="eastAsia"/>
                <w:szCs w:val="21"/>
              </w:rPr>
              <w:t>以发出时间为准</w:t>
            </w: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Merge w:val="continue"/>
            <w:vAlign w:val="center"/>
          </w:tcPr>
          <w:p>
            <w:pPr>
              <w:pStyle w:val="73"/>
              <w:spacing w:line="260" w:lineRule="exact"/>
              <w:jc w:val="center"/>
              <w:rPr>
                <w:rFonts w:cs="Times New Roman"/>
                <w:color w:val="auto"/>
                <w:sz w:val="21"/>
                <w:szCs w:val="21"/>
              </w:rPr>
            </w:pPr>
          </w:p>
        </w:tc>
        <w:tc>
          <w:tcPr>
            <w:tcW w:w="2539" w:type="dxa"/>
            <w:vMerge w:val="continue"/>
            <w:vAlign w:val="center"/>
          </w:tcPr>
          <w:p>
            <w:pPr>
              <w:pStyle w:val="73"/>
              <w:spacing w:line="260" w:lineRule="exact"/>
              <w:ind w:left="-107" w:leftChars="-51" w:right="-107" w:rightChars="-51"/>
              <w:jc w:val="center"/>
              <w:rPr>
                <w:color w:val="auto"/>
                <w:sz w:val="21"/>
                <w:szCs w:val="21"/>
              </w:rPr>
            </w:pPr>
          </w:p>
        </w:tc>
        <w:tc>
          <w:tcPr>
            <w:tcW w:w="5794" w:type="dxa"/>
            <w:tcBorders>
              <w:top w:val="single" w:color="auto" w:sz="4" w:space="0"/>
            </w:tcBorders>
            <w:vAlign w:val="center"/>
          </w:tcPr>
          <w:p>
            <w:pPr>
              <w:adjustRightInd w:val="0"/>
              <w:snapToGrid w:val="0"/>
              <w:spacing w:line="300" w:lineRule="atLeast"/>
              <w:rPr>
                <w:kern w:val="0"/>
                <w:szCs w:val="21"/>
              </w:rPr>
            </w:pPr>
            <w:r>
              <w:rPr>
                <w:rFonts w:hint="eastAsia"/>
                <w:szCs w:val="21"/>
              </w:rPr>
              <w:t>形式：</w:t>
            </w:r>
            <w:r>
              <w:rPr>
                <w:rFonts w:hint="eastAsia" w:hAnsi="宋体"/>
                <w:szCs w:val="21"/>
              </w:rPr>
              <w:t>书面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260" w:lineRule="exact"/>
              <w:jc w:val="center"/>
              <w:rPr>
                <w:rFonts w:cs="Times New Roman"/>
                <w:color w:val="auto"/>
                <w:sz w:val="21"/>
                <w:szCs w:val="21"/>
              </w:rPr>
            </w:pPr>
            <w:r>
              <w:rPr>
                <w:rFonts w:hint="eastAsia" w:cs="Times New Roman"/>
                <w:color w:val="auto"/>
                <w:sz w:val="21"/>
                <w:szCs w:val="21"/>
              </w:rPr>
              <w:t>2.3.1</w:t>
            </w:r>
          </w:p>
        </w:tc>
        <w:tc>
          <w:tcPr>
            <w:tcW w:w="2539" w:type="dxa"/>
            <w:vAlign w:val="center"/>
          </w:tcPr>
          <w:p>
            <w:pPr>
              <w:pStyle w:val="73"/>
              <w:spacing w:line="260" w:lineRule="exact"/>
              <w:ind w:left="-107" w:leftChars="-51" w:right="-107" w:rightChars="-51"/>
              <w:jc w:val="center"/>
              <w:rPr>
                <w:color w:val="auto"/>
                <w:sz w:val="21"/>
                <w:szCs w:val="21"/>
              </w:rPr>
            </w:pPr>
            <w:r>
              <w:rPr>
                <w:rFonts w:hint="eastAsia"/>
                <w:color w:val="auto"/>
                <w:sz w:val="21"/>
                <w:szCs w:val="21"/>
              </w:rPr>
              <w:t>招标文件修改发出的形式</w:t>
            </w:r>
          </w:p>
        </w:tc>
        <w:tc>
          <w:tcPr>
            <w:tcW w:w="5794" w:type="dxa"/>
            <w:vAlign w:val="center"/>
          </w:tcPr>
          <w:p>
            <w:pPr>
              <w:pStyle w:val="73"/>
              <w:spacing w:line="260" w:lineRule="exact"/>
              <w:jc w:val="both"/>
              <w:rPr>
                <w:color w:val="auto"/>
                <w:sz w:val="21"/>
                <w:szCs w:val="21"/>
              </w:rPr>
            </w:pPr>
            <w:r>
              <w:rPr>
                <w:rFonts w:hint="eastAsia"/>
                <w:color w:val="auto"/>
                <w:sz w:val="21"/>
                <w:szCs w:val="21"/>
              </w:rPr>
              <w:t>在天津市公共资源交易网、天津市滨海新区交通运输局官网上发布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Merge w:val="restart"/>
            <w:vAlign w:val="center"/>
          </w:tcPr>
          <w:p>
            <w:pPr>
              <w:pStyle w:val="73"/>
              <w:spacing w:line="260" w:lineRule="exact"/>
              <w:jc w:val="center"/>
              <w:rPr>
                <w:rFonts w:cs="Times New Roman"/>
                <w:color w:val="auto"/>
                <w:sz w:val="21"/>
                <w:szCs w:val="21"/>
              </w:rPr>
            </w:pPr>
            <w:r>
              <w:rPr>
                <w:rFonts w:cs="Times New Roman"/>
                <w:color w:val="auto"/>
                <w:sz w:val="21"/>
                <w:szCs w:val="21"/>
              </w:rPr>
              <w:t>2.3.2</w:t>
            </w:r>
          </w:p>
        </w:tc>
        <w:tc>
          <w:tcPr>
            <w:tcW w:w="2539" w:type="dxa"/>
            <w:vMerge w:val="restart"/>
            <w:vAlign w:val="center"/>
          </w:tcPr>
          <w:p>
            <w:pPr>
              <w:pStyle w:val="73"/>
              <w:spacing w:line="260" w:lineRule="exact"/>
              <w:ind w:left="-107" w:leftChars="-51" w:right="-107" w:rightChars="-51"/>
              <w:jc w:val="center"/>
              <w:rPr>
                <w:color w:val="auto"/>
                <w:sz w:val="21"/>
                <w:szCs w:val="21"/>
              </w:rPr>
            </w:pPr>
            <w:r>
              <w:rPr>
                <w:rFonts w:hint="eastAsia"/>
                <w:color w:val="auto"/>
                <w:sz w:val="21"/>
                <w:szCs w:val="21"/>
              </w:rPr>
              <w:t>投标人确认收到招标文件修改</w:t>
            </w:r>
          </w:p>
        </w:tc>
        <w:tc>
          <w:tcPr>
            <w:tcW w:w="5794" w:type="dxa"/>
            <w:tcBorders>
              <w:bottom w:val="single" w:color="auto" w:sz="4" w:space="0"/>
            </w:tcBorders>
            <w:vAlign w:val="center"/>
          </w:tcPr>
          <w:p>
            <w:pPr>
              <w:adjustRightInd w:val="0"/>
              <w:snapToGrid w:val="0"/>
              <w:spacing w:line="300" w:lineRule="atLeast"/>
              <w:rPr>
                <w:szCs w:val="21"/>
              </w:rPr>
            </w:pPr>
            <w:r>
              <w:rPr>
                <w:rFonts w:hint="eastAsia"/>
                <w:szCs w:val="21"/>
              </w:rPr>
              <w:t>时间：收到澄清后24小时内</w:t>
            </w:r>
            <w:r>
              <w:rPr>
                <w:szCs w:val="21"/>
              </w:rPr>
              <w:t>(</w:t>
            </w:r>
            <w:r>
              <w:rPr>
                <w:rFonts w:hint="eastAsia"/>
                <w:szCs w:val="21"/>
              </w:rPr>
              <w:t>以发出时间为准</w:t>
            </w: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Merge w:val="continue"/>
            <w:vAlign w:val="center"/>
          </w:tcPr>
          <w:p>
            <w:pPr>
              <w:pStyle w:val="73"/>
              <w:spacing w:line="260" w:lineRule="exact"/>
              <w:jc w:val="center"/>
              <w:rPr>
                <w:rFonts w:cs="Times New Roman"/>
                <w:color w:val="auto"/>
                <w:sz w:val="21"/>
                <w:szCs w:val="21"/>
              </w:rPr>
            </w:pPr>
          </w:p>
        </w:tc>
        <w:tc>
          <w:tcPr>
            <w:tcW w:w="2539" w:type="dxa"/>
            <w:vMerge w:val="continue"/>
            <w:vAlign w:val="center"/>
          </w:tcPr>
          <w:p>
            <w:pPr>
              <w:pStyle w:val="73"/>
              <w:spacing w:line="260" w:lineRule="exact"/>
              <w:ind w:left="-107" w:leftChars="-51" w:right="-107" w:rightChars="-51"/>
              <w:jc w:val="center"/>
              <w:rPr>
                <w:color w:val="auto"/>
                <w:sz w:val="21"/>
                <w:szCs w:val="21"/>
              </w:rPr>
            </w:pPr>
          </w:p>
        </w:tc>
        <w:tc>
          <w:tcPr>
            <w:tcW w:w="5794" w:type="dxa"/>
            <w:tcBorders>
              <w:top w:val="single" w:color="auto" w:sz="4" w:space="0"/>
            </w:tcBorders>
            <w:vAlign w:val="center"/>
          </w:tcPr>
          <w:p>
            <w:pPr>
              <w:adjustRightInd w:val="0"/>
              <w:snapToGrid w:val="0"/>
              <w:spacing w:line="300" w:lineRule="atLeast"/>
              <w:rPr>
                <w:szCs w:val="21"/>
              </w:rPr>
            </w:pPr>
            <w:r>
              <w:rPr>
                <w:rFonts w:hint="eastAsia"/>
                <w:szCs w:val="21"/>
              </w:rPr>
              <w:t>形式：书面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trPr>
        <w:tc>
          <w:tcPr>
            <w:tcW w:w="1124" w:type="dxa"/>
            <w:vAlign w:val="center"/>
          </w:tcPr>
          <w:p>
            <w:pPr>
              <w:pStyle w:val="73"/>
              <w:spacing w:line="260" w:lineRule="exact"/>
              <w:jc w:val="center"/>
              <w:rPr>
                <w:color w:val="auto"/>
              </w:rPr>
            </w:pPr>
            <w:r>
              <w:rPr>
                <w:rFonts w:hint="eastAsia" w:cs="Times New Roman"/>
                <w:color w:val="auto"/>
                <w:sz w:val="21"/>
                <w:szCs w:val="21"/>
              </w:rPr>
              <w:t>3.1.1</w:t>
            </w:r>
          </w:p>
        </w:tc>
        <w:tc>
          <w:tcPr>
            <w:tcW w:w="2539" w:type="dxa"/>
            <w:vAlign w:val="center"/>
          </w:tcPr>
          <w:p>
            <w:pPr>
              <w:jc w:val="center"/>
            </w:pPr>
            <w:r>
              <w:rPr>
                <w:rFonts w:hint="eastAsia"/>
              </w:rPr>
              <w:t>构成投标文件的其他资料</w:t>
            </w:r>
          </w:p>
        </w:tc>
        <w:tc>
          <w:tcPr>
            <w:tcW w:w="5794" w:type="dxa"/>
            <w:vAlign w:val="center"/>
          </w:tcPr>
          <w:p>
            <w:pPr>
              <w:ind w:left="3" w:hanging="3"/>
            </w:pPr>
            <w:r>
              <w:rPr>
                <w:rFonts w:hint="eastAsia"/>
                <w:kern w:val="0"/>
              </w:rPr>
              <w:t>投标</w:t>
            </w:r>
            <w:r>
              <w:rPr>
                <w:rFonts w:hint="eastAsia"/>
                <w:szCs w:val="21"/>
              </w:rPr>
              <w:t>人须将招标文件的澄清、修改文件的复印件附在第一信封投标文件其他资料中。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260" w:lineRule="exact"/>
              <w:jc w:val="center"/>
              <w:rPr>
                <w:rFonts w:cs="Times New Roman"/>
                <w:color w:val="auto"/>
                <w:sz w:val="21"/>
                <w:szCs w:val="21"/>
              </w:rPr>
            </w:pPr>
            <w:r>
              <w:rPr>
                <w:rFonts w:hint="eastAsia" w:cs="Times New Roman"/>
                <w:color w:val="auto"/>
                <w:sz w:val="21"/>
                <w:szCs w:val="21"/>
              </w:rPr>
              <w:t>3.2.1</w:t>
            </w:r>
          </w:p>
        </w:tc>
        <w:tc>
          <w:tcPr>
            <w:tcW w:w="2539" w:type="dxa"/>
            <w:vAlign w:val="center"/>
          </w:tcPr>
          <w:p>
            <w:pPr>
              <w:jc w:val="center"/>
              <w:rPr>
                <w:szCs w:val="21"/>
              </w:rPr>
            </w:pPr>
            <w:r>
              <w:rPr>
                <w:szCs w:val="21"/>
              </w:rPr>
              <w:t>增值税税金的计算方法</w:t>
            </w:r>
          </w:p>
        </w:tc>
        <w:tc>
          <w:tcPr>
            <w:tcW w:w="5794" w:type="dxa"/>
            <w:vAlign w:val="center"/>
          </w:tcPr>
          <w:p>
            <w:pPr>
              <w:ind w:left="63" w:leftChars="30"/>
              <w:rPr>
                <w:kern w:val="0"/>
                <w:szCs w:val="21"/>
              </w:rPr>
            </w:pPr>
            <w:r>
              <w:rPr>
                <w:rFonts w:hint="eastAsia"/>
              </w:rPr>
              <w:t>按一般计税方法计算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8" w:hRule="atLeast"/>
        </w:trPr>
        <w:tc>
          <w:tcPr>
            <w:tcW w:w="1124" w:type="dxa"/>
            <w:vAlign w:val="center"/>
          </w:tcPr>
          <w:p>
            <w:pPr>
              <w:pStyle w:val="73"/>
              <w:spacing w:line="260" w:lineRule="exact"/>
              <w:jc w:val="center"/>
              <w:rPr>
                <w:rFonts w:cs="Times New Roman"/>
                <w:color w:val="auto"/>
                <w:sz w:val="21"/>
                <w:szCs w:val="21"/>
              </w:rPr>
            </w:pPr>
            <w:r>
              <w:rPr>
                <w:rFonts w:hint="eastAsia" w:cs="Times New Roman"/>
                <w:color w:val="auto"/>
                <w:sz w:val="21"/>
                <w:szCs w:val="21"/>
              </w:rPr>
              <w:t>3.2.3</w:t>
            </w:r>
          </w:p>
        </w:tc>
        <w:tc>
          <w:tcPr>
            <w:tcW w:w="2539" w:type="dxa"/>
            <w:vAlign w:val="center"/>
          </w:tcPr>
          <w:p>
            <w:pPr>
              <w:jc w:val="center"/>
              <w:rPr>
                <w:szCs w:val="21"/>
              </w:rPr>
            </w:pPr>
            <w:r>
              <w:rPr>
                <w:rFonts w:hint="eastAsia"/>
                <w:szCs w:val="21"/>
              </w:rPr>
              <w:t>报价方式</w:t>
            </w:r>
          </w:p>
        </w:tc>
        <w:tc>
          <w:tcPr>
            <w:tcW w:w="5794" w:type="dxa"/>
            <w:vAlign w:val="center"/>
          </w:tcPr>
          <w:p>
            <w:pPr>
              <w:adjustRightInd w:val="0"/>
              <w:snapToGrid w:val="0"/>
              <w:spacing w:line="280" w:lineRule="exact"/>
              <w:ind w:leftChars="-18" w:hanging="37" w:hangingChars="18"/>
              <w:rPr>
                <w:kern w:val="0"/>
                <w:szCs w:val="21"/>
              </w:rPr>
            </w:pPr>
            <w:r>
              <w:rPr>
                <w:rFonts w:hint="eastAsia"/>
                <w:kern w:val="0"/>
                <w:szCs w:val="21"/>
              </w:rPr>
              <w:sym w:font="Wingdings" w:char="00FE"/>
            </w:r>
            <w:r>
              <w:rPr>
                <w:rFonts w:hint="eastAsia"/>
                <w:kern w:val="0"/>
                <w:szCs w:val="21"/>
              </w:rPr>
              <w:t>总价</w:t>
            </w:r>
          </w:p>
          <w:p>
            <w:pPr>
              <w:adjustRightInd w:val="0"/>
              <w:snapToGrid w:val="0"/>
              <w:spacing w:line="280" w:lineRule="exact"/>
              <w:ind w:leftChars="-18" w:hanging="37" w:hangingChars="18"/>
              <w:rPr>
                <w:kern w:val="0"/>
                <w:szCs w:val="21"/>
              </w:rPr>
            </w:pPr>
            <w:r>
              <w:rPr>
                <w:rFonts w:hint="eastAsia"/>
                <w:kern w:val="0"/>
                <w:szCs w:val="21"/>
              </w:rPr>
              <w:t>□单价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trPr>
        <w:tc>
          <w:tcPr>
            <w:tcW w:w="1124" w:type="dxa"/>
            <w:vAlign w:val="center"/>
          </w:tcPr>
          <w:p>
            <w:pPr>
              <w:pStyle w:val="73"/>
              <w:spacing w:line="260" w:lineRule="exact"/>
              <w:jc w:val="center"/>
              <w:rPr>
                <w:rFonts w:cs="Times New Roman"/>
                <w:color w:val="auto"/>
                <w:sz w:val="21"/>
                <w:szCs w:val="21"/>
              </w:rPr>
            </w:pPr>
            <w:r>
              <w:rPr>
                <w:rFonts w:hint="eastAsia" w:cs="Times New Roman"/>
                <w:color w:val="auto"/>
                <w:sz w:val="21"/>
                <w:szCs w:val="21"/>
              </w:rPr>
              <w:t>3.2.4</w:t>
            </w:r>
          </w:p>
        </w:tc>
        <w:tc>
          <w:tcPr>
            <w:tcW w:w="2539" w:type="dxa"/>
            <w:vAlign w:val="center"/>
          </w:tcPr>
          <w:p>
            <w:pPr>
              <w:pStyle w:val="73"/>
              <w:spacing w:line="260" w:lineRule="exact"/>
              <w:ind w:left="-107" w:leftChars="-51" w:right="-107" w:rightChars="-51"/>
              <w:jc w:val="center"/>
              <w:rPr>
                <w:rFonts w:ascii="Times New Roman" w:cs="Times New Roman"/>
                <w:color w:val="auto"/>
                <w:sz w:val="21"/>
                <w:szCs w:val="21"/>
              </w:rPr>
            </w:pPr>
            <w:r>
              <w:rPr>
                <w:rFonts w:hint="eastAsia" w:ascii="Times New Roman"/>
                <w:color w:val="auto"/>
                <w:sz w:val="21"/>
                <w:szCs w:val="21"/>
              </w:rPr>
              <w:t>最高投标限价</w:t>
            </w:r>
          </w:p>
        </w:tc>
        <w:tc>
          <w:tcPr>
            <w:tcW w:w="5794" w:type="dxa"/>
            <w:vAlign w:val="center"/>
          </w:tcPr>
          <w:p>
            <w:pPr>
              <w:pStyle w:val="73"/>
              <w:spacing w:line="260" w:lineRule="exact"/>
              <w:jc w:val="both"/>
              <w:rPr>
                <w:color w:val="auto"/>
                <w:sz w:val="21"/>
                <w:szCs w:val="21"/>
              </w:rPr>
            </w:pPr>
            <w:r>
              <w:rPr>
                <w:rFonts w:hint="eastAsia"/>
                <w:color w:val="auto"/>
                <w:sz w:val="21"/>
                <w:szCs w:val="21"/>
              </w:rPr>
              <w:t>□无</w:t>
            </w:r>
          </w:p>
          <w:p>
            <w:pPr>
              <w:pStyle w:val="73"/>
              <w:spacing w:line="260" w:lineRule="exact"/>
              <w:ind w:left="525" w:hanging="525" w:hangingChars="250"/>
              <w:jc w:val="both"/>
              <w:rPr>
                <w:color w:val="auto"/>
                <w:sz w:val="21"/>
                <w:szCs w:val="21"/>
              </w:rPr>
            </w:pPr>
            <w:r>
              <w:rPr>
                <w:rFonts w:hint="eastAsia" w:ascii="Times New Roman" w:cs="Times New Roman"/>
                <w:color w:val="auto"/>
                <w:sz w:val="21"/>
                <w:szCs w:val="21"/>
              </w:rPr>
              <w:sym w:font="Wingdings" w:char="00FE"/>
            </w:r>
            <w:r>
              <w:rPr>
                <w:rFonts w:hint="eastAsia"/>
                <w:color w:val="auto"/>
                <w:sz w:val="21"/>
                <w:szCs w:val="21"/>
              </w:rPr>
              <w:t>有，</w:t>
            </w:r>
            <w:r>
              <w:rPr>
                <w:rFonts w:hint="eastAsia" w:ascii="Times New Roman"/>
                <w:color w:val="auto"/>
                <w:sz w:val="21"/>
                <w:szCs w:val="21"/>
              </w:rPr>
              <w:t>最高投标限价</w:t>
            </w:r>
            <w:r>
              <w:rPr>
                <w:rFonts w:hint="eastAsia" w:ascii="Times New Roman"/>
                <w:color w:val="auto"/>
                <w:sz w:val="21"/>
                <w:szCs w:val="21"/>
                <w:u w:val="single"/>
              </w:rPr>
              <w:t>（977.1万元）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atLeast"/>
        </w:trPr>
        <w:tc>
          <w:tcPr>
            <w:tcW w:w="1124" w:type="dxa"/>
            <w:vAlign w:val="center"/>
          </w:tcPr>
          <w:p>
            <w:pPr>
              <w:pStyle w:val="73"/>
              <w:spacing w:line="260" w:lineRule="exact"/>
              <w:jc w:val="center"/>
              <w:rPr>
                <w:rFonts w:cs="Times New Roman"/>
                <w:color w:val="auto"/>
                <w:sz w:val="21"/>
                <w:szCs w:val="21"/>
              </w:rPr>
            </w:pPr>
            <w:r>
              <w:rPr>
                <w:rFonts w:hint="eastAsia" w:cs="Times New Roman"/>
                <w:color w:val="auto"/>
                <w:sz w:val="21"/>
                <w:szCs w:val="21"/>
              </w:rPr>
              <w:t>3.2.5</w:t>
            </w:r>
          </w:p>
        </w:tc>
        <w:tc>
          <w:tcPr>
            <w:tcW w:w="2539" w:type="dxa"/>
            <w:vAlign w:val="center"/>
          </w:tcPr>
          <w:p>
            <w:pPr>
              <w:pStyle w:val="73"/>
              <w:spacing w:line="260" w:lineRule="exact"/>
              <w:ind w:left="-107" w:leftChars="-51" w:right="-107" w:rightChars="-51"/>
              <w:jc w:val="center"/>
              <w:rPr>
                <w:rFonts w:ascii="Times New Roman"/>
                <w:color w:val="auto"/>
                <w:sz w:val="21"/>
                <w:szCs w:val="21"/>
              </w:rPr>
            </w:pPr>
            <w:r>
              <w:rPr>
                <w:color w:val="auto"/>
                <w:sz w:val="21"/>
                <w:szCs w:val="21"/>
              </w:rPr>
              <w:t>投标报价的其他要求</w:t>
            </w:r>
          </w:p>
        </w:tc>
        <w:tc>
          <w:tcPr>
            <w:tcW w:w="5794" w:type="dxa"/>
            <w:vAlign w:val="center"/>
          </w:tcPr>
          <w:p>
            <w:pPr>
              <w:pStyle w:val="73"/>
              <w:spacing w:line="260" w:lineRule="exact"/>
              <w:jc w:val="both"/>
              <w:rPr>
                <w:color w:val="auto"/>
                <w:sz w:val="21"/>
                <w:szCs w:val="21"/>
              </w:rPr>
            </w:pPr>
            <w:r>
              <w:rPr>
                <w:rFonts w:hint="eastAsia"/>
                <w:color w:val="auto"/>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trPr>
        <w:tc>
          <w:tcPr>
            <w:tcW w:w="1124" w:type="dxa"/>
            <w:vAlign w:val="center"/>
          </w:tcPr>
          <w:p>
            <w:pPr>
              <w:pStyle w:val="73"/>
              <w:spacing w:line="260" w:lineRule="exact"/>
              <w:jc w:val="center"/>
              <w:rPr>
                <w:rFonts w:cs="Times New Roman"/>
                <w:color w:val="auto"/>
                <w:sz w:val="21"/>
                <w:szCs w:val="21"/>
              </w:rPr>
            </w:pPr>
            <w:r>
              <w:rPr>
                <w:rFonts w:cs="Times New Roman"/>
                <w:color w:val="auto"/>
                <w:sz w:val="21"/>
                <w:szCs w:val="21"/>
              </w:rPr>
              <w:t>3.3.1</w:t>
            </w:r>
          </w:p>
        </w:tc>
        <w:tc>
          <w:tcPr>
            <w:tcW w:w="2539" w:type="dxa"/>
            <w:vAlign w:val="center"/>
          </w:tcPr>
          <w:p>
            <w:pPr>
              <w:pStyle w:val="73"/>
              <w:spacing w:line="260" w:lineRule="exact"/>
              <w:ind w:left="-107" w:leftChars="-51" w:right="-107" w:rightChars="-51"/>
              <w:jc w:val="center"/>
              <w:rPr>
                <w:color w:val="auto"/>
                <w:sz w:val="21"/>
                <w:szCs w:val="21"/>
              </w:rPr>
            </w:pPr>
            <w:r>
              <w:rPr>
                <w:rFonts w:hint="eastAsia"/>
                <w:color w:val="auto"/>
                <w:sz w:val="21"/>
                <w:szCs w:val="21"/>
              </w:rPr>
              <w:t>投标有效期</w:t>
            </w:r>
          </w:p>
        </w:tc>
        <w:tc>
          <w:tcPr>
            <w:tcW w:w="5794" w:type="dxa"/>
            <w:vAlign w:val="center"/>
          </w:tcPr>
          <w:p>
            <w:pPr>
              <w:pStyle w:val="73"/>
              <w:spacing w:line="260" w:lineRule="exact"/>
              <w:jc w:val="both"/>
              <w:rPr>
                <w:rFonts w:ascii="黑体" w:eastAsia="黑体" w:cs="黑体"/>
                <w:color w:val="auto"/>
                <w:sz w:val="21"/>
                <w:szCs w:val="21"/>
              </w:rPr>
            </w:pPr>
            <w:r>
              <w:rPr>
                <w:rFonts w:hint="eastAsia"/>
                <w:color w:val="auto"/>
                <w:sz w:val="21"/>
                <w:szCs w:val="21"/>
              </w:rPr>
              <w:t>自投标人提交投标文件截止之日起计算</w:t>
            </w:r>
            <w:r>
              <w:rPr>
                <w:rFonts w:hint="eastAsia"/>
                <w:color w:val="auto"/>
                <w:sz w:val="21"/>
                <w:szCs w:val="21"/>
                <w:u w:val="single"/>
              </w:rPr>
              <w:t xml:space="preserve"> 90 </w:t>
            </w:r>
            <w:r>
              <w:rPr>
                <w:rFonts w:hint="eastAsia"/>
                <w:color w:val="auto"/>
                <w:sz w:val="21"/>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blHeader/>
        </w:trPr>
        <w:tc>
          <w:tcPr>
            <w:tcW w:w="1124" w:type="dxa"/>
            <w:vAlign w:val="center"/>
          </w:tcPr>
          <w:p>
            <w:pPr>
              <w:autoSpaceDE w:val="0"/>
              <w:autoSpaceDN w:val="0"/>
              <w:adjustRightInd w:val="0"/>
              <w:snapToGrid w:val="0"/>
              <w:ind w:left="-92" w:leftChars="-44" w:right="-107" w:rightChars="-51"/>
              <w:jc w:val="center"/>
              <w:rPr>
                <w:b/>
                <w:kern w:val="0"/>
                <w:sz w:val="24"/>
              </w:rPr>
            </w:pPr>
            <w:r>
              <w:rPr>
                <w:rFonts w:hint="eastAsia"/>
                <w:b/>
                <w:kern w:val="0"/>
                <w:sz w:val="24"/>
              </w:rPr>
              <w:t>条款号</w:t>
            </w:r>
          </w:p>
        </w:tc>
        <w:tc>
          <w:tcPr>
            <w:tcW w:w="2539" w:type="dxa"/>
            <w:vAlign w:val="center"/>
          </w:tcPr>
          <w:p>
            <w:pPr>
              <w:autoSpaceDE w:val="0"/>
              <w:autoSpaceDN w:val="0"/>
              <w:adjustRightInd w:val="0"/>
              <w:snapToGrid w:val="0"/>
              <w:ind w:left="-92" w:leftChars="-44" w:right="-107" w:rightChars="-51"/>
              <w:jc w:val="center"/>
              <w:rPr>
                <w:b/>
                <w:kern w:val="0"/>
                <w:sz w:val="24"/>
              </w:rPr>
            </w:pPr>
            <w:r>
              <w:rPr>
                <w:rFonts w:hint="eastAsia"/>
                <w:b/>
                <w:kern w:val="0"/>
                <w:sz w:val="24"/>
              </w:rPr>
              <w:t>条 款 名 称</w:t>
            </w:r>
          </w:p>
        </w:tc>
        <w:tc>
          <w:tcPr>
            <w:tcW w:w="5794" w:type="dxa"/>
            <w:vAlign w:val="center"/>
          </w:tcPr>
          <w:p>
            <w:pPr>
              <w:autoSpaceDE w:val="0"/>
              <w:autoSpaceDN w:val="0"/>
              <w:adjustRightInd w:val="0"/>
              <w:snapToGrid w:val="0"/>
              <w:ind w:left="-92" w:leftChars="-44" w:right="-107" w:rightChars="-51"/>
              <w:jc w:val="center"/>
              <w:rPr>
                <w:b/>
                <w:kern w:val="0"/>
                <w:sz w:val="24"/>
              </w:rPr>
            </w:pPr>
            <w:r>
              <w:rPr>
                <w:rFonts w:hint="eastAsia"/>
                <w:b/>
                <w:kern w:val="0"/>
                <w:sz w:val="24"/>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1" w:hRule="atLeast"/>
          <w:tblHeader/>
        </w:trPr>
        <w:tc>
          <w:tcPr>
            <w:tcW w:w="1124" w:type="dxa"/>
            <w:vAlign w:val="center"/>
          </w:tcPr>
          <w:p>
            <w:pPr>
              <w:pStyle w:val="73"/>
              <w:spacing w:line="260" w:lineRule="exact"/>
              <w:jc w:val="center"/>
              <w:rPr>
                <w:rFonts w:hAnsi="宋体"/>
                <w:color w:val="auto"/>
                <w:sz w:val="21"/>
                <w:szCs w:val="21"/>
              </w:rPr>
            </w:pPr>
            <w:r>
              <w:rPr>
                <w:rFonts w:hint="eastAsia" w:hAnsi="宋体"/>
                <w:color w:val="auto"/>
                <w:sz w:val="21"/>
                <w:szCs w:val="21"/>
              </w:rPr>
              <w:t>3.4.1</w:t>
            </w:r>
          </w:p>
        </w:tc>
        <w:tc>
          <w:tcPr>
            <w:tcW w:w="2539" w:type="dxa"/>
            <w:vAlign w:val="center"/>
          </w:tcPr>
          <w:p>
            <w:pPr>
              <w:pStyle w:val="73"/>
              <w:spacing w:line="420" w:lineRule="exact"/>
              <w:ind w:left="-1186" w:leftChars="-565" w:right="-913" w:rightChars="-435"/>
              <w:jc w:val="center"/>
              <w:rPr>
                <w:rFonts w:hAnsi="宋体"/>
                <w:color w:val="auto"/>
                <w:sz w:val="21"/>
                <w:szCs w:val="21"/>
              </w:rPr>
            </w:pPr>
            <w:r>
              <w:rPr>
                <w:rFonts w:hint="eastAsia" w:hAnsi="宋体"/>
                <w:color w:val="auto"/>
                <w:sz w:val="21"/>
                <w:szCs w:val="21"/>
              </w:rPr>
              <w:t xml:space="preserve">  投标保证金</w:t>
            </w:r>
          </w:p>
        </w:tc>
        <w:tc>
          <w:tcPr>
            <w:tcW w:w="5794" w:type="dxa"/>
            <w:vAlign w:val="center"/>
          </w:tcPr>
          <w:p>
            <w:pPr>
              <w:adjustRightInd w:val="0"/>
              <w:snapToGrid w:val="0"/>
              <w:ind w:firstLine="1"/>
              <w:rPr>
                <w:rFonts w:ascii="宋体" w:hAnsi="宋体" w:cs="宋体"/>
                <w:szCs w:val="21"/>
              </w:rPr>
            </w:pPr>
            <w:r>
              <w:rPr>
                <w:rFonts w:hint="eastAsia" w:ascii="宋体" w:hAnsi="宋体" w:cs="宋体"/>
                <w:szCs w:val="21"/>
              </w:rPr>
              <w:t>是否要求投标人递交投标保证金：</w:t>
            </w:r>
          </w:p>
          <w:p>
            <w:pPr>
              <w:adjustRightInd w:val="0"/>
              <w:snapToGrid w:val="0"/>
              <w:ind w:firstLine="1"/>
              <w:rPr>
                <w:rFonts w:ascii="宋体" w:hAnsi="宋体" w:cs="宋体"/>
                <w:szCs w:val="21"/>
              </w:rPr>
            </w:pPr>
            <w:r>
              <w:rPr>
                <w:rFonts w:hint="eastAsia" w:ascii="宋体" w:hAnsi="宋体" w:cs="宋体"/>
                <w:kern w:val="0"/>
                <w:szCs w:val="21"/>
              </w:rPr>
              <w:sym w:font="Wingdings" w:char="F0FE"/>
            </w:r>
            <w:r>
              <w:rPr>
                <w:rFonts w:hint="eastAsia" w:ascii="宋体" w:hAnsi="宋体" w:cs="宋体"/>
                <w:kern w:val="0"/>
                <w:szCs w:val="21"/>
              </w:rPr>
              <w:t>要求，</w:t>
            </w:r>
            <w:r>
              <w:rPr>
                <w:rFonts w:hint="eastAsia" w:ascii="宋体" w:hAnsi="宋体" w:cs="宋体"/>
                <w:szCs w:val="21"/>
              </w:rPr>
              <w:t>投标保证金的金额：</w:t>
            </w:r>
            <w:r>
              <w:rPr>
                <w:rFonts w:hint="eastAsia" w:ascii="宋体" w:hAnsi="宋体" w:cs="宋体"/>
                <w:szCs w:val="21"/>
                <w:u w:val="single"/>
              </w:rPr>
              <w:t xml:space="preserve"> 人民币 10000元_ </w:t>
            </w:r>
          </w:p>
          <w:p>
            <w:pPr>
              <w:adjustRightInd w:val="0"/>
              <w:snapToGrid w:val="0"/>
              <w:ind w:left="840" w:leftChars="400"/>
              <w:rPr>
                <w:rFonts w:ascii="宋体" w:hAnsi="宋体" w:cs="宋体"/>
                <w:szCs w:val="21"/>
              </w:rPr>
            </w:pPr>
            <w:r>
              <w:rPr>
                <w:rFonts w:hint="eastAsia" w:ascii="宋体" w:hAnsi="宋体" w:cs="宋体"/>
                <w:szCs w:val="21"/>
              </w:rPr>
              <w:t>投标保证金可采用的其他形式：</w:t>
            </w:r>
            <w:r>
              <w:rPr>
                <w:rFonts w:hint="eastAsia" w:ascii="宋体" w:hAnsi="宋体" w:cs="宋体"/>
                <w:szCs w:val="21"/>
                <w:u w:val="single"/>
              </w:rPr>
              <w:t xml:space="preserve"> 银行保函 </w:t>
            </w:r>
          </w:p>
          <w:p>
            <w:pPr>
              <w:autoSpaceDE w:val="0"/>
              <w:autoSpaceDN w:val="0"/>
              <w:adjustRightInd w:val="0"/>
              <w:snapToGrid w:val="0"/>
              <w:ind w:left="-92" w:leftChars="-44" w:right="-107" w:rightChars="-51"/>
              <w:rPr>
                <w:b/>
                <w:kern w:val="0"/>
                <w:sz w:val="24"/>
              </w:rPr>
            </w:pPr>
            <w:r>
              <w:rPr>
                <w:rFonts w:hint="eastAsia" w:ascii="宋体" w:hAnsi="宋体" w:cs="宋体"/>
                <w:kern w:val="0"/>
                <w:szCs w:val="21"/>
              </w:rPr>
              <w:t>□不要求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3.4.3</w:t>
            </w:r>
          </w:p>
        </w:tc>
        <w:tc>
          <w:tcPr>
            <w:tcW w:w="2539" w:type="dxa"/>
            <w:vAlign w:val="center"/>
          </w:tcPr>
          <w:p>
            <w:pPr>
              <w:jc w:val="center"/>
            </w:pPr>
            <w:r>
              <w:rPr>
                <w:rFonts w:hint="eastAsia"/>
              </w:rPr>
              <w:t>投标保证金的利息计算原则</w:t>
            </w:r>
          </w:p>
        </w:tc>
        <w:tc>
          <w:tcPr>
            <w:tcW w:w="5794" w:type="dxa"/>
            <w:vAlign w:val="center"/>
          </w:tcPr>
          <w:p>
            <w:pPr>
              <w:numPr>
                <w:ilvl w:val="0"/>
                <w:numId w:val="3"/>
              </w:numPr>
              <w:spacing w:line="300" w:lineRule="exact"/>
              <w:ind w:left="63" w:leftChars="30"/>
            </w:pPr>
            <w:r>
              <w:rPr>
                <w:rFonts w:hint="eastAsia"/>
              </w:rPr>
              <w:t>计算利息的起始日期为投标截止当日，终止日期为招标人退还投标保证金日期的前一日；</w:t>
            </w:r>
          </w:p>
          <w:p>
            <w:pPr>
              <w:numPr>
                <w:ilvl w:val="0"/>
                <w:numId w:val="3"/>
              </w:numPr>
              <w:spacing w:line="300" w:lineRule="exact"/>
              <w:ind w:left="63" w:leftChars="30"/>
            </w:pPr>
            <w:r>
              <w:rPr>
                <w:rFonts w:hint="eastAsia"/>
              </w:rPr>
              <w:t>投标保证金的利息按照第（1）款所述计息时间段内招标人指定汇入银行公告的活期存款利率计付，并扣除招标人汇款手续费；</w:t>
            </w:r>
          </w:p>
          <w:p>
            <w:pPr>
              <w:numPr>
                <w:ilvl w:val="0"/>
                <w:numId w:val="3"/>
              </w:numPr>
              <w:spacing w:line="300" w:lineRule="exact"/>
              <w:ind w:left="63" w:leftChars="30"/>
            </w:pPr>
            <w:r>
              <w:rPr>
                <w:rFonts w:hint="eastAsia"/>
              </w:rPr>
              <w:t>利息金额计算至分位，分以下尾数四舍五入。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3.4.4</w:t>
            </w:r>
          </w:p>
        </w:tc>
        <w:tc>
          <w:tcPr>
            <w:tcW w:w="2539" w:type="dxa"/>
            <w:vAlign w:val="center"/>
          </w:tcPr>
          <w:p>
            <w:pPr>
              <w:jc w:val="center"/>
            </w:pPr>
            <w:r>
              <w:rPr>
                <w:rFonts w:hint="eastAsia"/>
              </w:rPr>
              <w:t>其他可以不予退还投标保证金的情形</w:t>
            </w:r>
          </w:p>
        </w:tc>
        <w:tc>
          <w:tcPr>
            <w:tcW w:w="5794" w:type="dxa"/>
            <w:vAlign w:val="center"/>
          </w:tcPr>
          <w:p>
            <w:pPr>
              <w:spacing w:line="300" w:lineRule="exact"/>
              <w:ind w:left="62"/>
            </w:pPr>
            <w:r>
              <w:rPr>
                <w:rFonts w:hint="eastAsia"/>
              </w:rPr>
              <w:t>（1）投标人提供虚假资料；</w:t>
            </w:r>
          </w:p>
          <w:p>
            <w:pPr>
              <w:spacing w:line="300" w:lineRule="exact"/>
              <w:ind w:left="62"/>
            </w:pPr>
            <w:r>
              <w:rPr>
                <w:rFonts w:hint="eastAsia"/>
              </w:rPr>
              <w:t>（2）投标人不接受依据评标办法的规定对其投标文件中细微偏差进行澄清和补正。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3.5</w:t>
            </w:r>
          </w:p>
        </w:tc>
        <w:tc>
          <w:tcPr>
            <w:tcW w:w="2539" w:type="dxa"/>
            <w:vAlign w:val="center"/>
          </w:tcPr>
          <w:p>
            <w:pPr>
              <w:autoSpaceDE w:val="0"/>
              <w:autoSpaceDN w:val="0"/>
              <w:adjustRightInd w:val="0"/>
              <w:snapToGrid w:val="0"/>
              <w:jc w:val="center"/>
              <w:rPr>
                <w:kern w:val="0"/>
                <w:szCs w:val="21"/>
              </w:rPr>
            </w:pPr>
            <w:r>
              <w:rPr>
                <w:szCs w:val="21"/>
              </w:rPr>
              <w:t>资格审查资料的特殊要求</w:t>
            </w:r>
          </w:p>
        </w:tc>
        <w:tc>
          <w:tcPr>
            <w:tcW w:w="5794" w:type="dxa"/>
            <w:vAlign w:val="center"/>
          </w:tcPr>
          <w:p>
            <w:pPr>
              <w:pStyle w:val="72"/>
              <w:spacing w:before="57" w:line="300" w:lineRule="exact"/>
              <w:ind w:right="3033"/>
              <w:rPr>
                <w:szCs w:val="21"/>
              </w:rPr>
            </w:pPr>
            <w:r>
              <w:rPr>
                <w:rFonts w:hint="eastAsia"/>
                <w:kern w:val="0"/>
                <w:szCs w:val="21"/>
              </w:rPr>
              <w:sym w:font="Wingdings" w:char="00FE"/>
            </w:r>
            <w:r>
              <w:rPr>
                <w:szCs w:val="21"/>
              </w:rPr>
              <w:t>无</w:t>
            </w:r>
          </w:p>
          <w:p>
            <w:pPr>
              <w:autoSpaceDE w:val="0"/>
              <w:autoSpaceDN w:val="0"/>
              <w:adjustRightInd w:val="0"/>
              <w:snapToGrid w:val="0"/>
              <w:spacing w:line="300" w:lineRule="exact"/>
              <w:rPr>
                <w:kern w:val="0"/>
                <w:szCs w:val="21"/>
              </w:rPr>
            </w:pPr>
            <w:r>
              <w:rPr>
                <w:rFonts w:hint="eastAsia"/>
                <w:szCs w:val="21"/>
              </w:rPr>
              <w:t>□</w:t>
            </w:r>
            <w:r>
              <w:rPr>
                <w:szCs w:val="21"/>
              </w:rPr>
              <w:t>有，具体要求：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3.5.2</w:t>
            </w:r>
          </w:p>
        </w:tc>
        <w:tc>
          <w:tcPr>
            <w:tcW w:w="2539" w:type="dxa"/>
            <w:vAlign w:val="center"/>
          </w:tcPr>
          <w:p>
            <w:pPr>
              <w:autoSpaceDE w:val="0"/>
              <w:autoSpaceDN w:val="0"/>
              <w:adjustRightInd w:val="0"/>
              <w:snapToGrid w:val="0"/>
              <w:jc w:val="center"/>
              <w:rPr>
                <w:szCs w:val="21"/>
              </w:rPr>
            </w:pPr>
            <w:r>
              <w:rPr>
                <w:szCs w:val="21"/>
              </w:rPr>
              <w:t>近年完成的类似项目情况的时间要求</w:t>
            </w:r>
          </w:p>
        </w:tc>
        <w:tc>
          <w:tcPr>
            <w:tcW w:w="5794" w:type="dxa"/>
            <w:vAlign w:val="center"/>
          </w:tcPr>
          <w:p>
            <w:pPr>
              <w:pStyle w:val="72"/>
              <w:spacing w:before="57" w:line="300" w:lineRule="exact"/>
              <w:ind w:right="350"/>
              <w:rPr>
                <w:kern w:val="0"/>
                <w:szCs w:val="21"/>
              </w:rPr>
            </w:pPr>
            <w:r>
              <w:rPr>
                <w:rFonts w:hint="eastAsia"/>
                <w:sz w:val="20"/>
                <w:szCs w:val="20"/>
                <w:u w:val="single"/>
              </w:rPr>
              <w:t>2018</w:t>
            </w:r>
            <w:r>
              <w:rPr>
                <w:sz w:val="20"/>
                <w:szCs w:val="20"/>
              </w:rPr>
              <w:t>年</w:t>
            </w:r>
            <w:r>
              <w:rPr>
                <w:rFonts w:hint="eastAsia"/>
                <w:sz w:val="20"/>
                <w:szCs w:val="20"/>
              </w:rPr>
              <w:t>1</w:t>
            </w:r>
            <w:r>
              <w:rPr>
                <w:sz w:val="20"/>
                <w:szCs w:val="20"/>
              </w:rPr>
              <w:t>月</w:t>
            </w:r>
            <w:r>
              <w:rPr>
                <w:rFonts w:hint="eastAsia"/>
                <w:sz w:val="20"/>
                <w:szCs w:val="20"/>
              </w:rPr>
              <w:t xml:space="preserve"> 1</w:t>
            </w:r>
            <w:r>
              <w:rPr>
                <w:sz w:val="20"/>
                <w:szCs w:val="20"/>
              </w:rPr>
              <w:t>日至</w:t>
            </w:r>
            <w:r>
              <w:rPr>
                <w:rFonts w:hint="eastAsia" w:ascii="宋体" w:hAnsi="宋体" w:cs="宋体"/>
              </w:rPr>
              <w:t>投标截止之日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3.6.1</w:t>
            </w:r>
          </w:p>
        </w:tc>
        <w:tc>
          <w:tcPr>
            <w:tcW w:w="2539" w:type="dxa"/>
            <w:vAlign w:val="center"/>
          </w:tcPr>
          <w:p>
            <w:pPr>
              <w:spacing w:line="280" w:lineRule="exact"/>
              <w:jc w:val="center"/>
              <w:rPr>
                <w:szCs w:val="21"/>
              </w:rPr>
            </w:pPr>
            <w:r>
              <w:rPr>
                <w:rFonts w:hint="eastAsia"/>
                <w:szCs w:val="21"/>
              </w:rPr>
              <w:t>是否允许递交备选投标方案</w:t>
            </w:r>
          </w:p>
        </w:tc>
        <w:tc>
          <w:tcPr>
            <w:tcW w:w="5794" w:type="dxa"/>
            <w:vAlign w:val="center"/>
          </w:tcPr>
          <w:p>
            <w:pPr>
              <w:spacing w:line="280" w:lineRule="exact"/>
              <w:rPr>
                <w:kern w:val="0"/>
                <w:szCs w:val="21"/>
              </w:rPr>
            </w:pPr>
            <w:r>
              <w:rPr>
                <w:rFonts w:hint="eastAsia"/>
                <w:kern w:val="0"/>
                <w:szCs w:val="21"/>
              </w:rPr>
              <w:sym w:font="Wingdings" w:char="00FE"/>
            </w:r>
            <w:r>
              <w:rPr>
                <w:rFonts w:hint="eastAsia"/>
                <w:kern w:val="0"/>
                <w:szCs w:val="21"/>
              </w:rPr>
              <w:t>不允许</w:t>
            </w:r>
          </w:p>
          <w:p>
            <w:pPr>
              <w:spacing w:line="280" w:lineRule="exact"/>
              <w:rPr>
                <w:kern w:val="0"/>
                <w:szCs w:val="21"/>
              </w:rPr>
            </w:pPr>
            <w:r>
              <w:rPr>
                <w:rFonts w:hint="eastAsia"/>
                <w:kern w:val="0"/>
                <w:szCs w:val="21"/>
              </w:rPr>
              <w:t>□允许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2" w:hRule="atLeast"/>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3.7.4</w:t>
            </w:r>
          </w:p>
        </w:tc>
        <w:tc>
          <w:tcPr>
            <w:tcW w:w="2539" w:type="dxa"/>
            <w:vAlign w:val="center"/>
          </w:tcPr>
          <w:p>
            <w:pPr>
              <w:spacing w:line="280" w:lineRule="exact"/>
              <w:jc w:val="center"/>
              <w:rPr>
                <w:szCs w:val="21"/>
              </w:rPr>
            </w:pPr>
            <w:r>
              <w:rPr>
                <w:rFonts w:hint="eastAsia"/>
                <w:szCs w:val="21"/>
              </w:rPr>
              <w:t>投标文件副本份数及其他要求</w:t>
            </w:r>
          </w:p>
        </w:tc>
        <w:tc>
          <w:tcPr>
            <w:tcW w:w="5794" w:type="dxa"/>
            <w:vAlign w:val="center"/>
          </w:tcPr>
          <w:p>
            <w:pPr>
              <w:spacing w:line="260" w:lineRule="exact"/>
              <w:ind w:left="-31" w:leftChars="-15"/>
              <w:rPr>
                <w:rFonts w:ascii="宋体" w:hAnsi="宋体" w:cs="宋体"/>
                <w:kern w:val="0"/>
                <w:szCs w:val="21"/>
              </w:rPr>
            </w:pPr>
            <w:r>
              <w:rPr>
                <w:rFonts w:hint="eastAsia" w:ascii="宋体" w:hAnsi="宋体" w:cs="宋体"/>
              </w:rPr>
              <w:t>投标文件副本份数：4</w:t>
            </w:r>
            <w:r>
              <w:rPr>
                <w:rFonts w:hint="eastAsia" w:ascii="宋体" w:hAnsi="宋体" w:cs="宋体"/>
                <w:kern w:val="0"/>
                <w:szCs w:val="21"/>
              </w:rPr>
              <w:t>份</w:t>
            </w:r>
          </w:p>
          <w:p>
            <w:pPr>
              <w:spacing w:line="260" w:lineRule="exact"/>
              <w:ind w:left="-31" w:leftChars="-15"/>
              <w:rPr>
                <w:rFonts w:ascii="宋体" w:hAnsi="宋体" w:cs="宋体"/>
                <w:szCs w:val="21"/>
              </w:rPr>
            </w:pPr>
            <w:r>
              <w:rPr>
                <w:rFonts w:hint="eastAsia" w:ascii="宋体" w:hAnsi="宋体" w:cs="宋体"/>
              </w:rPr>
              <w:t>提交电子版文件：</w:t>
            </w:r>
            <w:r>
              <w:rPr>
                <w:rFonts w:hint="eastAsia" w:ascii="宋体" w:hAnsi="宋体" w:cs="宋体"/>
                <w:szCs w:val="21"/>
              </w:rPr>
              <w:t>2份（U盘）</w:t>
            </w:r>
          </w:p>
          <w:p>
            <w:pPr>
              <w:spacing w:line="280" w:lineRule="exact"/>
              <w:ind w:left="-31" w:leftChars="-15"/>
              <w:rPr>
                <w:kern w:val="0"/>
                <w:szCs w:val="21"/>
              </w:rPr>
            </w:pPr>
            <w:r>
              <w:rPr>
                <w:rFonts w:hint="eastAsia" w:ascii="宋体" w:hAnsi="宋体" w:cs="宋体"/>
              </w:rPr>
              <w:t>其他要求：无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3.7.5</w:t>
            </w:r>
          </w:p>
        </w:tc>
        <w:tc>
          <w:tcPr>
            <w:tcW w:w="2539" w:type="dxa"/>
            <w:vAlign w:val="center"/>
          </w:tcPr>
          <w:p>
            <w:pPr>
              <w:spacing w:line="280" w:lineRule="exact"/>
              <w:jc w:val="center"/>
              <w:rPr>
                <w:szCs w:val="21"/>
              </w:rPr>
            </w:pPr>
            <w:r>
              <w:rPr>
                <w:rFonts w:hint="eastAsia"/>
                <w:szCs w:val="21"/>
              </w:rPr>
              <w:t>装订的其他要求</w:t>
            </w:r>
          </w:p>
        </w:tc>
        <w:tc>
          <w:tcPr>
            <w:tcW w:w="5794" w:type="dxa"/>
            <w:vAlign w:val="center"/>
          </w:tcPr>
          <w:p>
            <w:pPr>
              <w:spacing w:line="280" w:lineRule="exact"/>
              <w:rPr>
                <w:kern w:val="0"/>
                <w:szCs w:val="21"/>
              </w:rPr>
            </w:pPr>
            <w:r>
              <w:rPr>
                <w:rFonts w:hint="eastAsia"/>
                <w:kern w:val="0"/>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8" w:hRule="atLeast"/>
        </w:trPr>
        <w:tc>
          <w:tcPr>
            <w:tcW w:w="1124" w:type="dxa"/>
            <w:vAlign w:val="center"/>
          </w:tcPr>
          <w:p>
            <w:pPr>
              <w:pStyle w:val="73"/>
              <w:spacing w:line="420" w:lineRule="exact"/>
              <w:jc w:val="center"/>
              <w:rPr>
                <w:rFonts w:cs="Times New Roman"/>
                <w:color w:val="auto"/>
                <w:sz w:val="21"/>
                <w:szCs w:val="21"/>
              </w:rPr>
            </w:pPr>
            <w:r>
              <w:rPr>
                <w:rFonts w:cs="Times New Roman"/>
                <w:color w:val="auto"/>
                <w:sz w:val="21"/>
                <w:szCs w:val="21"/>
              </w:rPr>
              <w:t>4.1.2</w:t>
            </w:r>
          </w:p>
        </w:tc>
        <w:tc>
          <w:tcPr>
            <w:tcW w:w="2539" w:type="dxa"/>
            <w:vAlign w:val="center"/>
          </w:tcPr>
          <w:p>
            <w:pPr>
              <w:pStyle w:val="73"/>
              <w:spacing w:line="420" w:lineRule="exact"/>
              <w:jc w:val="center"/>
              <w:rPr>
                <w:color w:val="auto"/>
                <w:sz w:val="21"/>
                <w:szCs w:val="21"/>
              </w:rPr>
            </w:pPr>
            <w:r>
              <w:rPr>
                <w:rFonts w:hint="eastAsia"/>
                <w:color w:val="auto"/>
                <w:sz w:val="21"/>
                <w:szCs w:val="21"/>
              </w:rPr>
              <w:t>封套上应载明的信息</w:t>
            </w:r>
          </w:p>
        </w:tc>
        <w:tc>
          <w:tcPr>
            <w:tcW w:w="5794" w:type="dxa"/>
            <w:vAlign w:val="center"/>
          </w:tcPr>
          <w:p>
            <w:pPr>
              <w:spacing w:line="260" w:lineRule="exact"/>
              <w:rPr>
                <w:rFonts w:ascii="宋体" w:hAnsi="宋体" w:cs="宋体"/>
                <w:b/>
                <w:kern w:val="0"/>
              </w:rPr>
            </w:pPr>
            <w:r>
              <w:rPr>
                <w:rFonts w:hint="eastAsia" w:ascii="宋体" w:hAnsi="宋体" w:cs="宋体"/>
                <w:b/>
                <w:kern w:val="0"/>
              </w:rPr>
              <w:t>投标文件第一个信封（商务及技术文件）封套：</w:t>
            </w:r>
          </w:p>
          <w:p>
            <w:pPr>
              <w:spacing w:line="260" w:lineRule="exact"/>
              <w:rPr>
                <w:rFonts w:ascii="宋体" w:hAnsi="宋体" w:cs="宋体"/>
                <w:kern w:val="0"/>
                <w:u w:val="single"/>
              </w:rPr>
            </w:pPr>
            <w:r>
              <w:rPr>
                <w:rFonts w:hint="eastAsia" w:ascii="宋体" w:hAnsi="宋体" w:cs="宋体"/>
                <w:kern w:val="0"/>
              </w:rPr>
              <w:t>招标人名称：</w:t>
            </w:r>
            <w:r>
              <w:rPr>
                <w:rFonts w:hint="eastAsia" w:ascii="宋体" w:hAnsi="宋体" w:cs="宋体"/>
                <w:kern w:val="0"/>
                <w:u w:val="single"/>
              </w:rPr>
              <w:t>_______________</w:t>
            </w:r>
          </w:p>
          <w:p>
            <w:pPr>
              <w:spacing w:line="260" w:lineRule="exact"/>
              <w:rPr>
                <w:rFonts w:ascii="宋体" w:hAnsi="宋体" w:cs="宋体"/>
                <w:kern w:val="0"/>
              </w:rPr>
            </w:pPr>
            <w:r>
              <w:rPr>
                <w:rFonts w:hint="eastAsia" w:ascii="宋体" w:hAnsi="宋体" w:cs="宋体"/>
                <w:kern w:val="0"/>
              </w:rPr>
              <w:t>招标人地址：</w:t>
            </w:r>
            <w:r>
              <w:rPr>
                <w:rFonts w:hint="eastAsia" w:ascii="宋体" w:hAnsi="宋体" w:cs="宋体"/>
                <w:kern w:val="0"/>
                <w:u w:val="single"/>
              </w:rPr>
              <w:t>_______________</w:t>
            </w:r>
          </w:p>
          <w:p>
            <w:pPr>
              <w:spacing w:line="260" w:lineRule="exact"/>
              <w:rPr>
                <w:rFonts w:ascii="宋体" w:hAnsi="宋体" w:cs="宋体"/>
                <w:kern w:val="0"/>
              </w:rPr>
            </w:pPr>
            <w:r>
              <w:rPr>
                <w:rFonts w:hint="eastAsia" w:ascii="宋体" w:hAnsi="宋体" w:cs="宋体"/>
                <w:kern w:val="0"/>
              </w:rPr>
              <w:t>____________（项目名称）施工监理招标第一个信封（商务及技术文件）投标文件</w:t>
            </w:r>
          </w:p>
          <w:p>
            <w:pPr>
              <w:spacing w:line="260" w:lineRule="exact"/>
              <w:rPr>
                <w:rFonts w:ascii="宋体" w:hAnsi="宋体" w:cs="宋体"/>
                <w:kern w:val="0"/>
                <w:u w:val="single"/>
              </w:rPr>
            </w:pPr>
            <w:r>
              <w:rPr>
                <w:rFonts w:hint="eastAsia" w:ascii="宋体" w:hAnsi="宋体" w:cs="宋体"/>
                <w:kern w:val="0"/>
              </w:rPr>
              <w:t>招标项目编号：</w:t>
            </w:r>
            <w:r>
              <w:rPr>
                <w:rFonts w:hint="eastAsia" w:ascii="宋体" w:hAnsi="宋体" w:cs="宋体"/>
                <w:kern w:val="0"/>
                <w:u w:val="single"/>
              </w:rPr>
              <w:t>_______________</w:t>
            </w:r>
          </w:p>
          <w:p>
            <w:pPr>
              <w:spacing w:line="260" w:lineRule="exact"/>
              <w:rPr>
                <w:rFonts w:ascii="宋体" w:hAnsi="宋体" w:cs="宋体"/>
                <w:kern w:val="0"/>
              </w:rPr>
            </w:pPr>
            <w:r>
              <w:rPr>
                <w:rFonts w:hint="eastAsia" w:ascii="宋体" w:hAnsi="宋体" w:cs="宋体"/>
                <w:kern w:val="0"/>
              </w:rPr>
              <w:t>在___年__月__日__时__分前不得开启</w:t>
            </w:r>
          </w:p>
          <w:p>
            <w:pPr>
              <w:spacing w:line="260" w:lineRule="exact"/>
              <w:rPr>
                <w:rFonts w:ascii="宋体" w:hAnsi="宋体" w:cs="宋体"/>
                <w:kern w:val="0"/>
                <w:u w:val="single"/>
              </w:rPr>
            </w:pPr>
            <w:r>
              <w:rPr>
                <w:rFonts w:hint="eastAsia" w:ascii="宋体" w:hAnsi="宋体" w:cs="宋体"/>
                <w:kern w:val="0"/>
              </w:rPr>
              <w:t>投标人名称：</w:t>
            </w:r>
            <w:r>
              <w:rPr>
                <w:rFonts w:hint="eastAsia" w:ascii="宋体" w:hAnsi="宋体" w:cs="宋体"/>
                <w:kern w:val="0"/>
                <w:u w:val="single"/>
              </w:rPr>
              <w:t>_______________</w:t>
            </w:r>
          </w:p>
          <w:p>
            <w:pPr>
              <w:spacing w:line="260" w:lineRule="exact"/>
              <w:rPr>
                <w:rFonts w:ascii="宋体" w:hAnsi="宋体" w:cs="宋体"/>
                <w:b/>
                <w:kern w:val="0"/>
              </w:rPr>
            </w:pPr>
            <w:r>
              <w:rPr>
                <w:rFonts w:hint="eastAsia" w:ascii="宋体" w:hAnsi="宋体" w:cs="宋体"/>
                <w:b/>
                <w:kern w:val="0"/>
              </w:rPr>
              <w:t>投标文件第二个信封（报价文件）封套：</w:t>
            </w:r>
          </w:p>
          <w:p>
            <w:pPr>
              <w:spacing w:line="260" w:lineRule="exact"/>
              <w:rPr>
                <w:rFonts w:ascii="宋体" w:hAnsi="宋体" w:cs="宋体"/>
                <w:kern w:val="0"/>
                <w:u w:val="single"/>
              </w:rPr>
            </w:pPr>
            <w:r>
              <w:rPr>
                <w:rFonts w:hint="eastAsia" w:ascii="宋体" w:hAnsi="宋体" w:cs="宋体"/>
                <w:kern w:val="0"/>
              </w:rPr>
              <w:t>招标人名称：</w:t>
            </w:r>
            <w:r>
              <w:rPr>
                <w:rFonts w:hint="eastAsia" w:ascii="宋体" w:hAnsi="宋体" w:cs="宋体"/>
                <w:kern w:val="0"/>
                <w:u w:val="single"/>
              </w:rPr>
              <w:t>_______________</w:t>
            </w:r>
          </w:p>
          <w:p>
            <w:pPr>
              <w:spacing w:line="260" w:lineRule="exact"/>
              <w:rPr>
                <w:rFonts w:ascii="宋体" w:hAnsi="宋体" w:cs="宋体"/>
                <w:kern w:val="0"/>
              </w:rPr>
            </w:pPr>
            <w:r>
              <w:rPr>
                <w:rFonts w:hint="eastAsia" w:ascii="宋体" w:hAnsi="宋体" w:cs="宋体"/>
                <w:kern w:val="0"/>
              </w:rPr>
              <w:t>招标人地址：</w:t>
            </w:r>
            <w:r>
              <w:rPr>
                <w:rFonts w:hint="eastAsia" w:ascii="宋体" w:hAnsi="宋体" w:cs="宋体"/>
                <w:kern w:val="0"/>
                <w:u w:val="single"/>
              </w:rPr>
              <w:t>_______________</w:t>
            </w:r>
          </w:p>
          <w:p>
            <w:pPr>
              <w:spacing w:line="260" w:lineRule="exact"/>
              <w:rPr>
                <w:rFonts w:ascii="宋体" w:hAnsi="宋体" w:cs="宋体"/>
                <w:kern w:val="0"/>
              </w:rPr>
            </w:pPr>
            <w:r>
              <w:rPr>
                <w:rFonts w:hint="eastAsia" w:ascii="宋体" w:hAnsi="宋体" w:cs="宋体"/>
                <w:kern w:val="0"/>
              </w:rPr>
              <w:t>____________（项目名称）施工监理招标第二个信封（报价文件）投标文件</w:t>
            </w:r>
          </w:p>
          <w:p>
            <w:pPr>
              <w:spacing w:line="260" w:lineRule="exact"/>
              <w:rPr>
                <w:rFonts w:ascii="宋体" w:hAnsi="宋体" w:cs="宋体"/>
                <w:kern w:val="0"/>
                <w:u w:val="single"/>
              </w:rPr>
            </w:pPr>
            <w:r>
              <w:rPr>
                <w:rFonts w:hint="eastAsia" w:ascii="宋体" w:hAnsi="宋体" w:cs="宋体"/>
                <w:kern w:val="0"/>
              </w:rPr>
              <w:t>招标项目编号：</w:t>
            </w:r>
            <w:r>
              <w:rPr>
                <w:rFonts w:hint="eastAsia" w:ascii="宋体" w:hAnsi="宋体" w:cs="宋体"/>
                <w:kern w:val="0"/>
                <w:u w:val="single"/>
              </w:rPr>
              <w:t>_______________</w:t>
            </w:r>
          </w:p>
          <w:p>
            <w:pPr>
              <w:spacing w:line="260" w:lineRule="exact"/>
              <w:rPr>
                <w:rFonts w:ascii="宋体" w:hAnsi="宋体" w:cs="宋体"/>
                <w:kern w:val="0"/>
              </w:rPr>
            </w:pPr>
            <w:r>
              <w:rPr>
                <w:rFonts w:hint="eastAsia" w:ascii="宋体" w:hAnsi="宋体" w:cs="宋体"/>
                <w:kern w:val="0"/>
              </w:rPr>
              <w:t>在投标文件第二个信封（报价文件）开标前不得开启</w:t>
            </w:r>
          </w:p>
          <w:p>
            <w:pPr>
              <w:spacing w:line="260" w:lineRule="exact"/>
              <w:rPr>
                <w:rFonts w:ascii="宋体" w:hAnsi="宋体" w:cs="宋体"/>
                <w:kern w:val="0"/>
                <w:u w:val="single"/>
              </w:rPr>
            </w:pPr>
            <w:r>
              <w:rPr>
                <w:rFonts w:hint="eastAsia" w:ascii="宋体" w:hAnsi="宋体" w:cs="宋体"/>
                <w:kern w:val="0"/>
              </w:rPr>
              <w:t>投标人名称：</w:t>
            </w:r>
            <w:r>
              <w:rPr>
                <w:rFonts w:hint="eastAsia" w:ascii="宋体" w:hAnsi="宋体" w:cs="宋体"/>
                <w:kern w:val="0"/>
                <w:u w:val="single"/>
              </w:rPr>
              <w:t>_______________</w:t>
            </w:r>
          </w:p>
          <w:p>
            <w:pPr>
              <w:spacing w:line="260" w:lineRule="exact"/>
              <w:rPr>
                <w:rFonts w:ascii="宋体" w:hAnsi="宋体" w:cs="宋体"/>
                <w:kern w:val="0"/>
              </w:rPr>
            </w:pPr>
            <w:r>
              <w:rPr>
                <w:rFonts w:hint="eastAsia" w:ascii="宋体" w:hAnsi="宋体" w:cs="宋体"/>
                <w:kern w:val="0"/>
              </w:rPr>
              <w:t>投标人地址：</w:t>
            </w:r>
            <w:r>
              <w:rPr>
                <w:rFonts w:hint="eastAsia" w:ascii="宋体" w:hAnsi="宋体" w:cs="宋体"/>
                <w:kern w:val="0"/>
                <w:u w:val="single"/>
              </w:rPr>
              <w:t>_______________</w:t>
            </w:r>
          </w:p>
          <w:p>
            <w:pPr>
              <w:spacing w:line="260" w:lineRule="exact"/>
              <w:rPr>
                <w:rFonts w:ascii="宋体" w:hAnsi="宋体" w:cs="宋体"/>
                <w:b/>
                <w:kern w:val="0"/>
              </w:rPr>
            </w:pPr>
            <w:r>
              <w:rPr>
                <w:rFonts w:hint="eastAsia" w:ascii="宋体" w:hAnsi="宋体" w:cs="宋体"/>
                <w:b/>
                <w:kern w:val="0"/>
              </w:rPr>
              <w:t>银行保函封套：</w:t>
            </w:r>
          </w:p>
          <w:p>
            <w:pPr>
              <w:spacing w:line="260" w:lineRule="exact"/>
              <w:rPr>
                <w:rFonts w:ascii="宋体" w:hAnsi="宋体" w:cs="宋体"/>
                <w:kern w:val="0"/>
                <w:u w:val="single"/>
              </w:rPr>
            </w:pPr>
            <w:r>
              <w:rPr>
                <w:rFonts w:hint="eastAsia" w:ascii="宋体" w:hAnsi="宋体" w:cs="宋体"/>
                <w:kern w:val="0"/>
              </w:rPr>
              <w:t>招标人名称：</w:t>
            </w:r>
            <w:r>
              <w:rPr>
                <w:rFonts w:hint="eastAsia" w:ascii="宋体" w:hAnsi="宋体" w:cs="宋体"/>
                <w:kern w:val="0"/>
                <w:u w:val="single"/>
              </w:rPr>
              <w:t>_______________</w:t>
            </w:r>
          </w:p>
          <w:p>
            <w:pPr>
              <w:spacing w:line="260" w:lineRule="exact"/>
              <w:rPr>
                <w:rFonts w:ascii="宋体" w:hAnsi="宋体" w:cs="宋体"/>
                <w:kern w:val="0"/>
              </w:rPr>
            </w:pPr>
            <w:r>
              <w:rPr>
                <w:rFonts w:hint="eastAsia" w:ascii="宋体" w:hAnsi="宋体" w:cs="宋体"/>
                <w:kern w:val="0"/>
              </w:rPr>
              <w:t>招标人地址：</w:t>
            </w:r>
            <w:r>
              <w:rPr>
                <w:rFonts w:hint="eastAsia" w:ascii="宋体" w:hAnsi="宋体" w:cs="宋体"/>
                <w:kern w:val="0"/>
                <w:u w:val="single"/>
              </w:rPr>
              <w:t>_______________</w:t>
            </w:r>
          </w:p>
          <w:p>
            <w:pPr>
              <w:spacing w:line="260" w:lineRule="exact"/>
              <w:rPr>
                <w:rFonts w:ascii="宋体" w:hAnsi="宋体" w:cs="宋体"/>
                <w:kern w:val="0"/>
              </w:rPr>
            </w:pPr>
            <w:r>
              <w:rPr>
                <w:rFonts w:hint="eastAsia" w:ascii="宋体" w:hAnsi="宋体" w:cs="宋体"/>
                <w:kern w:val="0"/>
              </w:rPr>
              <w:t>____________（项目名称）监理招标投标保证金（银行保函原件）</w:t>
            </w:r>
          </w:p>
          <w:p>
            <w:pPr>
              <w:spacing w:line="260" w:lineRule="exact"/>
              <w:rPr>
                <w:rFonts w:ascii="宋体" w:hAnsi="宋体" w:cs="宋体"/>
                <w:kern w:val="0"/>
                <w:u w:val="single"/>
              </w:rPr>
            </w:pPr>
            <w:r>
              <w:rPr>
                <w:rFonts w:hint="eastAsia" w:ascii="宋体" w:hAnsi="宋体" w:cs="宋体"/>
                <w:kern w:val="0"/>
              </w:rPr>
              <w:t>招标项目编号：</w:t>
            </w:r>
            <w:r>
              <w:rPr>
                <w:rFonts w:hint="eastAsia" w:ascii="宋体" w:hAnsi="宋体" w:cs="宋体"/>
                <w:kern w:val="0"/>
                <w:u w:val="single"/>
              </w:rPr>
              <w:t>_______________</w:t>
            </w:r>
          </w:p>
          <w:p>
            <w:pPr>
              <w:pStyle w:val="73"/>
              <w:spacing w:line="260" w:lineRule="exact"/>
              <w:jc w:val="both"/>
              <w:rPr>
                <w:color w:val="auto"/>
                <w:sz w:val="21"/>
                <w:szCs w:val="21"/>
              </w:rPr>
            </w:pPr>
            <w:r>
              <w:rPr>
                <w:rFonts w:hint="eastAsia" w:hAnsi="宋体"/>
                <w:color w:val="auto"/>
                <w:sz w:val="21"/>
                <w:szCs w:val="21"/>
              </w:rPr>
              <w:t>投标人名称：</w:t>
            </w:r>
            <w:r>
              <w:rPr>
                <w:rFonts w:hint="eastAsia" w:hAnsi="宋体"/>
                <w:color w:val="auto"/>
                <w:sz w:val="21"/>
                <w:szCs w:val="21"/>
                <w:u w:val="single"/>
              </w:rPr>
              <w:t>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blHeader/>
          <w:jc w:val="center"/>
        </w:trPr>
        <w:tc>
          <w:tcPr>
            <w:tcW w:w="1124" w:type="dxa"/>
            <w:vAlign w:val="center"/>
          </w:tcPr>
          <w:p>
            <w:pPr>
              <w:autoSpaceDE w:val="0"/>
              <w:autoSpaceDN w:val="0"/>
              <w:adjustRightInd w:val="0"/>
              <w:snapToGrid w:val="0"/>
              <w:ind w:left="-92" w:leftChars="-44" w:right="-107" w:rightChars="-51"/>
              <w:jc w:val="center"/>
              <w:rPr>
                <w:b/>
                <w:kern w:val="0"/>
                <w:sz w:val="24"/>
              </w:rPr>
            </w:pPr>
            <w:r>
              <w:rPr>
                <w:rFonts w:hint="eastAsia"/>
                <w:b/>
                <w:kern w:val="0"/>
                <w:sz w:val="24"/>
              </w:rPr>
              <w:br w:type="page"/>
            </w:r>
            <w:r>
              <w:rPr>
                <w:rFonts w:hint="eastAsia"/>
                <w:b/>
                <w:kern w:val="0"/>
                <w:sz w:val="24"/>
              </w:rPr>
              <w:t>条款号</w:t>
            </w:r>
          </w:p>
        </w:tc>
        <w:tc>
          <w:tcPr>
            <w:tcW w:w="2539" w:type="dxa"/>
            <w:vAlign w:val="center"/>
          </w:tcPr>
          <w:p>
            <w:pPr>
              <w:autoSpaceDE w:val="0"/>
              <w:autoSpaceDN w:val="0"/>
              <w:adjustRightInd w:val="0"/>
              <w:snapToGrid w:val="0"/>
              <w:ind w:left="-92" w:leftChars="-44" w:right="-107" w:rightChars="-51"/>
              <w:jc w:val="center"/>
              <w:rPr>
                <w:b/>
                <w:kern w:val="0"/>
                <w:sz w:val="24"/>
              </w:rPr>
            </w:pPr>
            <w:r>
              <w:rPr>
                <w:rFonts w:hint="eastAsia"/>
                <w:b/>
                <w:kern w:val="0"/>
                <w:sz w:val="24"/>
              </w:rPr>
              <w:t>条 款 名 称</w:t>
            </w:r>
          </w:p>
        </w:tc>
        <w:tc>
          <w:tcPr>
            <w:tcW w:w="5794" w:type="dxa"/>
            <w:vAlign w:val="center"/>
          </w:tcPr>
          <w:p>
            <w:pPr>
              <w:autoSpaceDE w:val="0"/>
              <w:autoSpaceDN w:val="0"/>
              <w:adjustRightInd w:val="0"/>
              <w:snapToGrid w:val="0"/>
              <w:ind w:left="-92" w:leftChars="-44" w:right="-107" w:rightChars="-51"/>
              <w:jc w:val="center"/>
              <w:rPr>
                <w:b/>
                <w:kern w:val="0"/>
                <w:sz w:val="24"/>
              </w:rPr>
            </w:pPr>
            <w:r>
              <w:rPr>
                <w:rFonts w:hint="eastAsia"/>
                <w:b/>
                <w:kern w:val="0"/>
                <w:sz w:val="24"/>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napToGrid w:val="0"/>
              <w:jc w:val="center"/>
              <w:rPr>
                <w:rFonts w:cs="Times New Roman"/>
                <w:color w:val="auto"/>
                <w:sz w:val="21"/>
                <w:szCs w:val="21"/>
              </w:rPr>
            </w:pPr>
            <w:r>
              <w:rPr>
                <w:rFonts w:cs="Times New Roman"/>
                <w:color w:val="auto"/>
                <w:sz w:val="21"/>
                <w:szCs w:val="21"/>
              </w:rPr>
              <w:t>4.2.</w:t>
            </w:r>
            <w:r>
              <w:rPr>
                <w:rFonts w:hint="eastAsia" w:cs="Times New Roman"/>
                <w:color w:val="auto"/>
                <w:sz w:val="21"/>
                <w:szCs w:val="21"/>
              </w:rPr>
              <w:t>3</w:t>
            </w:r>
          </w:p>
        </w:tc>
        <w:tc>
          <w:tcPr>
            <w:tcW w:w="2539" w:type="dxa"/>
            <w:vAlign w:val="center"/>
          </w:tcPr>
          <w:p>
            <w:pPr>
              <w:snapToGrid w:val="0"/>
              <w:spacing w:line="280" w:lineRule="exact"/>
              <w:jc w:val="center"/>
              <w:rPr>
                <w:szCs w:val="21"/>
              </w:rPr>
            </w:pPr>
            <w:r>
              <w:rPr>
                <w:rFonts w:hint="eastAsia"/>
                <w:szCs w:val="21"/>
              </w:rPr>
              <w:t>是否退还投标文件</w:t>
            </w:r>
          </w:p>
        </w:tc>
        <w:tc>
          <w:tcPr>
            <w:tcW w:w="5794" w:type="dxa"/>
            <w:vAlign w:val="center"/>
          </w:tcPr>
          <w:p>
            <w:pPr>
              <w:spacing w:line="280" w:lineRule="exact"/>
              <w:rPr>
                <w:kern w:val="0"/>
                <w:szCs w:val="21"/>
              </w:rPr>
            </w:pPr>
            <w:r>
              <w:rPr>
                <w:rFonts w:hint="eastAsia"/>
                <w:kern w:val="0"/>
                <w:szCs w:val="21"/>
              </w:rPr>
              <w:sym w:font="Wingdings" w:char="00FE"/>
            </w:r>
            <w:r>
              <w:rPr>
                <w:rFonts w:hint="eastAsia"/>
                <w:kern w:val="0"/>
                <w:szCs w:val="21"/>
              </w:rPr>
              <w:t>否</w:t>
            </w:r>
          </w:p>
          <w:p>
            <w:pPr>
              <w:spacing w:line="280" w:lineRule="exact"/>
              <w:rPr>
                <w:kern w:val="0"/>
                <w:szCs w:val="21"/>
              </w:rPr>
            </w:pPr>
            <w:r>
              <w:rPr>
                <w:rFonts w:hint="eastAsia"/>
                <w:kern w:val="0"/>
                <w:szCs w:val="21"/>
              </w:rPr>
              <w:t>□是，退还时间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napToGrid w:val="0"/>
              <w:jc w:val="center"/>
              <w:rPr>
                <w:rFonts w:cs="Times New Roman"/>
                <w:color w:val="auto"/>
                <w:sz w:val="21"/>
                <w:szCs w:val="21"/>
              </w:rPr>
            </w:pPr>
            <w:r>
              <w:rPr>
                <w:rFonts w:cs="Times New Roman"/>
                <w:color w:val="auto"/>
                <w:sz w:val="21"/>
                <w:szCs w:val="21"/>
              </w:rPr>
              <w:t>5.1</w:t>
            </w:r>
          </w:p>
        </w:tc>
        <w:tc>
          <w:tcPr>
            <w:tcW w:w="2539" w:type="dxa"/>
            <w:vAlign w:val="center"/>
          </w:tcPr>
          <w:p>
            <w:pPr>
              <w:pStyle w:val="73"/>
              <w:snapToGrid w:val="0"/>
              <w:jc w:val="center"/>
              <w:rPr>
                <w:color w:val="auto"/>
                <w:sz w:val="21"/>
                <w:szCs w:val="21"/>
              </w:rPr>
            </w:pPr>
            <w:r>
              <w:rPr>
                <w:rFonts w:hint="eastAsia"/>
                <w:color w:val="auto"/>
                <w:sz w:val="21"/>
                <w:szCs w:val="21"/>
              </w:rPr>
              <w:t>开标时间和地点</w:t>
            </w:r>
          </w:p>
        </w:tc>
        <w:tc>
          <w:tcPr>
            <w:tcW w:w="5794" w:type="dxa"/>
            <w:vAlign w:val="center"/>
          </w:tcPr>
          <w:p>
            <w:pPr>
              <w:ind w:left="1050" w:hanging="1050" w:hangingChars="500"/>
              <w:rPr>
                <w:kern w:val="0"/>
              </w:rPr>
            </w:pPr>
            <w:r>
              <w:rPr>
                <w:rFonts w:hint="eastAsia"/>
                <w:kern w:val="0"/>
              </w:rPr>
              <w:t>投标文件第一个信封（商务及技术文件）</w:t>
            </w:r>
          </w:p>
          <w:p>
            <w:pPr>
              <w:ind w:left="1050" w:hanging="1050" w:hangingChars="500"/>
              <w:rPr>
                <w:kern w:val="0"/>
              </w:rPr>
            </w:pPr>
            <w:r>
              <w:rPr>
                <w:rFonts w:hint="eastAsia"/>
                <w:kern w:val="0"/>
              </w:rPr>
              <w:t>开标时间：同投标截止时间</w:t>
            </w:r>
          </w:p>
          <w:p>
            <w:pPr>
              <w:ind w:left="1050" w:hanging="1050" w:hangingChars="500"/>
              <w:rPr>
                <w:kern w:val="0"/>
              </w:rPr>
            </w:pPr>
            <w:r>
              <w:rPr>
                <w:rFonts w:hint="eastAsia"/>
                <w:kern w:val="0"/>
              </w:rPr>
              <w:t>投标文件第一个信封（商务及技术文件）</w:t>
            </w:r>
          </w:p>
          <w:p>
            <w:pPr>
              <w:ind w:left="1050" w:hanging="1050" w:hangingChars="500"/>
              <w:rPr>
                <w:kern w:val="0"/>
              </w:rPr>
            </w:pPr>
            <w:r>
              <w:rPr>
                <w:rFonts w:hint="eastAsia"/>
                <w:kern w:val="0"/>
              </w:rPr>
              <w:t>开标地点：同递交投标文件地点</w:t>
            </w:r>
          </w:p>
          <w:p>
            <w:pPr>
              <w:ind w:left="1050" w:hanging="1050" w:hangingChars="500"/>
              <w:rPr>
                <w:kern w:val="0"/>
              </w:rPr>
            </w:pPr>
            <w:r>
              <w:rPr>
                <w:rFonts w:hint="eastAsia"/>
                <w:kern w:val="0"/>
              </w:rPr>
              <w:t>投标文件第二个信封（报价文件）</w:t>
            </w:r>
          </w:p>
          <w:p>
            <w:pPr>
              <w:ind w:left="1050" w:hanging="1050" w:hangingChars="500"/>
              <w:rPr>
                <w:kern w:val="0"/>
              </w:rPr>
            </w:pPr>
            <w:r>
              <w:rPr>
                <w:rFonts w:hint="eastAsia"/>
                <w:kern w:val="0"/>
              </w:rPr>
              <w:t>开标时间：</w:t>
            </w:r>
            <w:r>
              <w:rPr>
                <w:rFonts w:hint="eastAsia"/>
                <w:kern w:val="0"/>
                <w:u w:val="single"/>
              </w:rPr>
              <w:t>2023</w:t>
            </w:r>
            <w:r>
              <w:rPr>
                <w:rFonts w:hint="eastAsia"/>
                <w:kern w:val="0"/>
              </w:rPr>
              <w:t>年</w:t>
            </w:r>
            <w:r>
              <w:rPr>
                <w:rFonts w:hint="eastAsia"/>
                <w:kern w:val="0"/>
                <w:u w:val="single"/>
              </w:rPr>
              <w:t xml:space="preserve"> 8</w:t>
            </w:r>
            <w:r>
              <w:rPr>
                <w:rFonts w:hint="eastAsia"/>
                <w:kern w:val="0"/>
              </w:rPr>
              <w:t>月</w:t>
            </w:r>
            <w:r>
              <w:rPr>
                <w:rFonts w:hint="eastAsia"/>
                <w:kern w:val="0"/>
                <w:u w:val="single"/>
              </w:rPr>
              <w:t xml:space="preserve"> 2</w:t>
            </w:r>
            <w:r>
              <w:rPr>
                <w:rFonts w:hint="eastAsia"/>
                <w:kern w:val="0"/>
                <w:u w:val="single"/>
                <w:lang w:val="en-US" w:eastAsia="zh-CN"/>
              </w:rPr>
              <w:t>3</w:t>
            </w:r>
            <w:r>
              <w:rPr>
                <w:rFonts w:hint="eastAsia"/>
                <w:kern w:val="0"/>
                <w:u w:val="single"/>
              </w:rPr>
              <w:t xml:space="preserve"> </w:t>
            </w:r>
            <w:r>
              <w:rPr>
                <w:rFonts w:hint="eastAsia"/>
                <w:kern w:val="0"/>
              </w:rPr>
              <w:t>日</w:t>
            </w:r>
            <w:r>
              <w:rPr>
                <w:rFonts w:hint="eastAsia"/>
                <w:kern w:val="0"/>
                <w:u w:val="single"/>
              </w:rPr>
              <w:t>10</w:t>
            </w:r>
            <w:r>
              <w:rPr>
                <w:rFonts w:hint="eastAsia"/>
                <w:kern w:val="0"/>
              </w:rPr>
              <w:t>时</w:t>
            </w:r>
            <w:r>
              <w:rPr>
                <w:rFonts w:hint="eastAsia"/>
                <w:kern w:val="0"/>
                <w:u w:val="single"/>
              </w:rPr>
              <w:t>30</w:t>
            </w:r>
            <w:r>
              <w:rPr>
                <w:rFonts w:hint="eastAsia"/>
                <w:kern w:val="0"/>
              </w:rPr>
              <w:t>分</w:t>
            </w:r>
          </w:p>
          <w:p>
            <w:pPr>
              <w:ind w:left="1050" w:hanging="1050" w:hangingChars="500"/>
              <w:rPr>
                <w:kern w:val="0"/>
              </w:rPr>
            </w:pPr>
            <w:r>
              <w:rPr>
                <w:rFonts w:hint="eastAsia"/>
                <w:kern w:val="0"/>
              </w:rPr>
              <w:t>投标文件第二个信封（报价文件）</w:t>
            </w:r>
          </w:p>
          <w:p>
            <w:pPr>
              <w:pStyle w:val="73"/>
              <w:snapToGrid w:val="0"/>
              <w:jc w:val="both"/>
              <w:rPr>
                <w:color w:val="auto"/>
                <w:sz w:val="21"/>
                <w:szCs w:val="21"/>
                <w:u w:val="single"/>
              </w:rPr>
            </w:pPr>
            <w:r>
              <w:rPr>
                <w:rFonts w:hint="eastAsia"/>
                <w:color w:val="auto"/>
                <w:sz w:val="21"/>
                <w:szCs w:val="21"/>
              </w:rPr>
              <w:t>开标地点：同递交投标文件地点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napToGrid w:val="0"/>
              <w:jc w:val="center"/>
              <w:rPr>
                <w:rFonts w:cs="Times New Roman"/>
                <w:color w:val="auto"/>
                <w:sz w:val="21"/>
                <w:szCs w:val="21"/>
              </w:rPr>
            </w:pPr>
            <w:r>
              <w:rPr>
                <w:rFonts w:cs="Times New Roman"/>
                <w:color w:val="auto"/>
                <w:sz w:val="21"/>
                <w:szCs w:val="21"/>
              </w:rPr>
              <w:t>5.2.1</w:t>
            </w:r>
          </w:p>
        </w:tc>
        <w:tc>
          <w:tcPr>
            <w:tcW w:w="2539" w:type="dxa"/>
            <w:vAlign w:val="center"/>
          </w:tcPr>
          <w:p>
            <w:pPr>
              <w:pStyle w:val="73"/>
              <w:snapToGrid w:val="0"/>
              <w:jc w:val="center"/>
              <w:rPr>
                <w:color w:val="auto"/>
                <w:sz w:val="21"/>
                <w:szCs w:val="21"/>
              </w:rPr>
            </w:pPr>
            <w:r>
              <w:rPr>
                <w:rFonts w:hint="eastAsia"/>
                <w:color w:val="auto"/>
                <w:sz w:val="21"/>
                <w:szCs w:val="21"/>
              </w:rPr>
              <w:t>第一个信封（商务及技术文件）开标程序</w:t>
            </w:r>
          </w:p>
        </w:tc>
        <w:tc>
          <w:tcPr>
            <w:tcW w:w="5794" w:type="dxa"/>
            <w:vAlign w:val="center"/>
          </w:tcPr>
          <w:p>
            <w:pPr>
              <w:pStyle w:val="73"/>
              <w:snapToGrid w:val="0"/>
              <w:jc w:val="both"/>
              <w:rPr>
                <w:color w:val="auto"/>
                <w:sz w:val="21"/>
                <w:szCs w:val="21"/>
              </w:rPr>
            </w:pPr>
            <w:r>
              <w:rPr>
                <w:rFonts w:cs="Times New Roman"/>
                <w:color w:val="auto"/>
                <w:sz w:val="21"/>
                <w:szCs w:val="21"/>
              </w:rPr>
              <w:t>（4）</w:t>
            </w:r>
            <w:r>
              <w:rPr>
                <w:rFonts w:hint="eastAsia"/>
                <w:color w:val="auto"/>
                <w:sz w:val="21"/>
                <w:szCs w:val="21"/>
              </w:rPr>
              <w:t>密封情况检查：</w:t>
            </w:r>
            <w:r>
              <w:rPr>
                <w:rFonts w:hint="eastAsia"/>
                <w:color w:val="auto"/>
                <w:sz w:val="21"/>
                <w:szCs w:val="21"/>
                <w:u w:val="single"/>
              </w:rPr>
              <w:t>检查商务及技术文件是否存在提前开启情况</w:t>
            </w:r>
          </w:p>
          <w:p>
            <w:pPr>
              <w:pStyle w:val="73"/>
              <w:snapToGrid w:val="0"/>
              <w:jc w:val="both"/>
              <w:rPr>
                <w:color w:val="auto"/>
                <w:sz w:val="21"/>
                <w:szCs w:val="21"/>
                <w:u w:val="single"/>
              </w:rPr>
            </w:pPr>
            <w:r>
              <w:rPr>
                <w:rFonts w:cs="Times New Roman"/>
                <w:color w:val="auto"/>
                <w:sz w:val="21"/>
                <w:szCs w:val="21"/>
              </w:rPr>
              <w:t>（5）</w:t>
            </w:r>
            <w:r>
              <w:rPr>
                <w:rFonts w:hint="eastAsia"/>
                <w:color w:val="auto"/>
                <w:sz w:val="21"/>
                <w:szCs w:val="21"/>
              </w:rPr>
              <w:t>开标顺序：</w:t>
            </w:r>
            <w:r>
              <w:rPr>
                <w:rFonts w:hint="eastAsia"/>
                <w:color w:val="auto"/>
                <w:sz w:val="21"/>
                <w:szCs w:val="21"/>
                <w:u w:val="single"/>
              </w:rPr>
              <w:t>随机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napToGrid w:val="0"/>
              <w:jc w:val="center"/>
              <w:rPr>
                <w:rFonts w:cs="Times New Roman"/>
                <w:color w:val="auto"/>
                <w:sz w:val="21"/>
                <w:szCs w:val="21"/>
              </w:rPr>
            </w:pPr>
            <w:r>
              <w:rPr>
                <w:rFonts w:hint="eastAsia" w:cs="Times New Roman"/>
                <w:color w:val="auto"/>
                <w:sz w:val="21"/>
                <w:szCs w:val="21"/>
              </w:rPr>
              <w:t>5.2.3</w:t>
            </w:r>
          </w:p>
        </w:tc>
        <w:tc>
          <w:tcPr>
            <w:tcW w:w="2539" w:type="dxa"/>
            <w:vAlign w:val="center"/>
          </w:tcPr>
          <w:p>
            <w:pPr>
              <w:pStyle w:val="73"/>
              <w:snapToGrid w:val="0"/>
              <w:jc w:val="center"/>
              <w:rPr>
                <w:color w:val="auto"/>
                <w:sz w:val="21"/>
                <w:szCs w:val="21"/>
              </w:rPr>
            </w:pPr>
            <w:r>
              <w:rPr>
                <w:rFonts w:hint="eastAsia"/>
                <w:color w:val="auto"/>
                <w:sz w:val="21"/>
                <w:szCs w:val="21"/>
              </w:rPr>
              <w:t>第二个信封（报价文件）开标程序</w:t>
            </w:r>
          </w:p>
        </w:tc>
        <w:tc>
          <w:tcPr>
            <w:tcW w:w="5794" w:type="dxa"/>
            <w:vAlign w:val="center"/>
          </w:tcPr>
          <w:p>
            <w:pPr>
              <w:pStyle w:val="73"/>
              <w:snapToGrid w:val="0"/>
              <w:jc w:val="both"/>
              <w:rPr>
                <w:color w:val="auto"/>
                <w:sz w:val="21"/>
                <w:szCs w:val="21"/>
              </w:rPr>
            </w:pPr>
            <w:r>
              <w:rPr>
                <w:rFonts w:cs="Times New Roman"/>
                <w:color w:val="auto"/>
                <w:sz w:val="21"/>
                <w:szCs w:val="21"/>
              </w:rPr>
              <w:t>（4）</w:t>
            </w:r>
            <w:r>
              <w:rPr>
                <w:rFonts w:hint="eastAsia"/>
                <w:color w:val="auto"/>
                <w:sz w:val="21"/>
                <w:szCs w:val="21"/>
              </w:rPr>
              <w:t>密封情况检查：</w:t>
            </w:r>
            <w:r>
              <w:rPr>
                <w:rFonts w:hint="eastAsia"/>
                <w:color w:val="auto"/>
                <w:sz w:val="21"/>
                <w:szCs w:val="21"/>
                <w:u w:val="single"/>
              </w:rPr>
              <w:t xml:space="preserve">检查报价文件是否存在提前开启情况                     </w:t>
            </w:r>
          </w:p>
          <w:p>
            <w:pPr>
              <w:pStyle w:val="73"/>
              <w:snapToGrid w:val="0"/>
              <w:jc w:val="both"/>
              <w:rPr>
                <w:rFonts w:cs="Times New Roman"/>
                <w:color w:val="auto"/>
                <w:sz w:val="21"/>
                <w:szCs w:val="21"/>
              </w:rPr>
            </w:pPr>
            <w:r>
              <w:rPr>
                <w:rFonts w:cs="Times New Roman"/>
                <w:color w:val="auto"/>
                <w:sz w:val="21"/>
                <w:szCs w:val="21"/>
              </w:rPr>
              <w:t>（5）</w:t>
            </w:r>
            <w:r>
              <w:rPr>
                <w:rFonts w:hint="eastAsia"/>
                <w:color w:val="auto"/>
                <w:sz w:val="21"/>
                <w:szCs w:val="21"/>
              </w:rPr>
              <w:t>开标顺序：</w:t>
            </w:r>
            <w:r>
              <w:rPr>
                <w:rFonts w:hint="eastAsia"/>
                <w:color w:val="auto"/>
                <w:sz w:val="21"/>
                <w:szCs w:val="21"/>
                <w:u w:val="single"/>
              </w:rPr>
              <w:t>随机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6.1.1</w:t>
            </w:r>
          </w:p>
        </w:tc>
        <w:tc>
          <w:tcPr>
            <w:tcW w:w="2539" w:type="dxa"/>
            <w:vAlign w:val="center"/>
          </w:tcPr>
          <w:p>
            <w:pPr>
              <w:snapToGrid w:val="0"/>
              <w:jc w:val="center"/>
              <w:rPr>
                <w:szCs w:val="21"/>
              </w:rPr>
            </w:pPr>
            <w:r>
              <w:rPr>
                <w:rFonts w:hint="eastAsia"/>
                <w:szCs w:val="21"/>
              </w:rPr>
              <w:t>评标委员会的组建</w:t>
            </w:r>
          </w:p>
        </w:tc>
        <w:tc>
          <w:tcPr>
            <w:tcW w:w="5794" w:type="dxa"/>
            <w:vAlign w:val="center"/>
          </w:tcPr>
          <w:p>
            <w:pPr>
              <w:adjustRightInd w:val="0"/>
              <w:snapToGrid w:val="0"/>
              <w:ind w:left="-2"/>
              <w:rPr>
                <w:szCs w:val="21"/>
              </w:rPr>
            </w:pPr>
            <w:r>
              <w:rPr>
                <w:rFonts w:hint="eastAsia"/>
                <w:szCs w:val="21"/>
              </w:rPr>
              <w:t>评标委员会构成：</w:t>
            </w:r>
            <w:r>
              <w:rPr>
                <w:rFonts w:hint="eastAsia"/>
                <w:szCs w:val="21"/>
                <w:u w:val="single"/>
              </w:rPr>
              <w:t xml:space="preserve"> 7 </w:t>
            </w:r>
            <w:r>
              <w:rPr>
                <w:rFonts w:hint="eastAsia"/>
                <w:szCs w:val="21"/>
              </w:rPr>
              <w:t>人，其中招标人代表</w:t>
            </w:r>
            <w:r>
              <w:rPr>
                <w:rFonts w:hint="eastAsia"/>
                <w:szCs w:val="21"/>
                <w:u w:val="single"/>
              </w:rPr>
              <w:t xml:space="preserve"> 2</w:t>
            </w:r>
            <w:r>
              <w:rPr>
                <w:rFonts w:hint="eastAsia"/>
                <w:szCs w:val="21"/>
              </w:rPr>
              <w:t>人，专家</w:t>
            </w:r>
            <w:r>
              <w:rPr>
                <w:rFonts w:hint="eastAsia"/>
                <w:szCs w:val="21"/>
                <w:u w:val="single"/>
              </w:rPr>
              <w:t xml:space="preserve"> 5</w:t>
            </w:r>
            <w:r>
              <w:rPr>
                <w:rFonts w:hint="eastAsia"/>
                <w:szCs w:val="21"/>
              </w:rPr>
              <w:t>人；</w:t>
            </w:r>
          </w:p>
          <w:p>
            <w:pPr>
              <w:adjustRightInd w:val="0"/>
              <w:snapToGrid w:val="0"/>
              <w:ind w:left="-2"/>
              <w:rPr>
                <w:kern w:val="0"/>
                <w:szCs w:val="21"/>
              </w:rPr>
            </w:pPr>
            <w:r>
              <w:rPr>
                <w:rFonts w:hint="eastAsia"/>
                <w:szCs w:val="21"/>
              </w:rPr>
              <w:t>评标专家确定方式：</w:t>
            </w:r>
            <w:r>
              <w:rPr>
                <w:rFonts w:hint="eastAsia"/>
              </w:rPr>
              <w:t>依法从相应评标专家库中随机抽取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6.3.2</w:t>
            </w:r>
          </w:p>
        </w:tc>
        <w:tc>
          <w:tcPr>
            <w:tcW w:w="2539" w:type="dxa"/>
            <w:vAlign w:val="center"/>
          </w:tcPr>
          <w:p>
            <w:pPr>
              <w:snapToGrid w:val="0"/>
              <w:jc w:val="center"/>
            </w:pPr>
            <w:r>
              <w:rPr>
                <w:rFonts w:hint="eastAsia"/>
              </w:rPr>
              <w:t>评标委员会推荐中标候选人的人数</w:t>
            </w:r>
          </w:p>
        </w:tc>
        <w:tc>
          <w:tcPr>
            <w:tcW w:w="5794" w:type="dxa"/>
            <w:vAlign w:val="center"/>
          </w:tcPr>
          <w:p>
            <w:r>
              <w:rPr>
                <w:rFonts w:hint="eastAsia"/>
              </w:rPr>
              <w:t>1-3名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7.1</w:t>
            </w:r>
          </w:p>
        </w:tc>
        <w:tc>
          <w:tcPr>
            <w:tcW w:w="2539" w:type="dxa"/>
            <w:vAlign w:val="center"/>
          </w:tcPr>
          <w:p>
            <w:pPr>
              <w:snapToGrid w:val="0"/>
              <w:jc w:val="center"/>
            </w:pPr>
            <w:r>
              <w:rPr>
                <w:rFonts w:hint="eastAsia"/>
              </w:rPr>
              <w:t>中标候选人公示媒介及期限</w:t>
            </w:r>
          </w:p>
        </w:tc>
        <w:tc>
          <w:tcPr>
            <w:tcW w:w="5794" w:type="dxa"/>
            <w:vAlign w:val="center"/>
          </w:tcPr>
          <w:p>
            <w:pPr>
              <w:snapToGrid w:val="0"/>
              <w:spacing w:line="260" w:lineRule="exact"/>
              <w:jc w:val="left"/>
            </w:pPr>
            <w:r>
              <w:rPr>
                <w:rFonts w:hint="eastAsia"/>
                <w:bCs/>
                <w:kern w:val="0"/>
              </w:rPr>
              <w:t>公示媒介：</w:t>
            </w:r>
            <w:r>
              <w:rPr>
                <w:rFonts w:hint="eastAsia" w:ascii="宋体" w:hAnsi="宋体"/>
                <w:szCs w:val="21"/>
                <w:u w:val="single"/>
              </w:rPr>
              <w:t>天津市公共资源交易网（（http://60.28.163.169/）、天津市滨海新区交通运输局官网（http://jtysj.tjbh.gov.cn/）</w:t>
            </w:r>
            <w:r>
              <w:rPr>
                <w:rFonts w:hint="eastAsia" w:ascii="宋体" w:hAnsi="宋体"/>
                <w:szCs w:val="21"/>
              </w:rPr>
              <w:t>上</w:t>
            </w:r>
            <w:r>
              <w:rPr>
                <w:rFonts w:ascii="宋体" w:hAnsi="宋体"/>
                <w:szCs w:val="21"/>
              </w:rPr>
              <w:t>发布</w:t>
            </w:r>
          </w:p>
          <w:p>
            <w:pPr>
              <w:snapToGrid w:val="0"/>
              <w:spacing w:line="260" w:lineRule="exact"/>
              <w:jc w:val="left"/>
              <w:rPr>
                <w:bCs/>
                <w:kern w:val="0"/>
              </w:rPr>
            </w:pPr>
            <w:r>
              <w:rPr>
                <w:rFonts w:hint="eastAsia"/>
                <w:bCs/>
                <w:kern w:val="0"/>
              </w:rPr>
              <w:t>公示期限：</w:t>
            </w:r>
            <w:r>
              <w:rPr>
                <w:rFonts w:hint="eastAsia"/>
                <w:bCs/>
                <w:kern w:val="0"/>
                <w:u w:val="single"/>
              </w:rPr>
              <w:t xml:space="preserve">  3  </w:t>
            </w:r>
            <w:r>
              <w:rPr>
                <w:rFonts w:hint="eastAsia"/>
                <w:bCs/>
                <w:kern w:val="0"/>
              </w:rPr>
              <w:t>日</w:t>
            </w:r>
          </w:p>
          <w:p>
            <w:pPr>
              <w:snapToGrid w:val="0"/>
              <w:spacing w:line="260" w:lineRule="exact"/>
              <w:jc w:val="left"/>
              <w:rPr>
                <w:b/>
                <w:kern w:val="0"/>
              </w:rPr>
            </w:pPr>
            <w:r>
              <w:rPr>
                <w:rFonts w:hint="eastAsia"/>
                <w:bCs/>
                <w:kern w:val="0"/>
              </w:rPr>
              <w:t>公示的其他内容：</w:t>
            </w:r>
            <w:r>
              <w:rPr>
                <w:rFonts w:hint="eastAsia"/>
                <w:b/>
                <w:kern w:val="0"/>
                <w:u w:val="single"/>
              </w:rPr>
              <w:t xml:space="preserve"> </w:t>
            </w:r>
            <w:r>
              <w:rPr>
                <w:rFonts w:hint="eastAsia"/>
                <w:u w:val="single"/>
              </w:rPr>
              <w:t>无</w:t>
            </w:r>
            <w:r>
              <w:rPr>
                <w:rFonts w:hint="eastAsia"/>
                <w:b/>
                <w:kern w:val="0"/>
                <w:u w:val="single"/>
              </w:rPr>
              <w:t>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7.4</w:t>
            </w:r>
          </w:p>
        </w:tc>
        <w:tc>
          <w:tcPr>
            <w:tcW w:w="2539" w:type="dxa"/>
            <w:vAlign w:val="center"/>
          </w:tcPr>
          <w:p>
            <w:pPr>
              <w:snapToGrid w:val="0"/>
              <w:jc w:val="center"/>
              <w:rPr>
                <w:szCs w:val="21"/>
              </w:rPr>
            </w:pPr>
            <w:r>
              <w:rPr>
                <w:rFonts w:hint="eastAsia"/>
                <w:szCs w:val="21"/>
              </w:rPr>
              <w:t>是否授权评标委员会确定中标人</w:t>
            </w:r>
          </w:p>
        </w:tc>
        <w:tc>
          <w:tcPr>
            <w:tcW w:w="5794" w:type="dxa"/>
            <w:vAlign w:val="center"/>
          </w:tcPr>
          <w:p>
            <w:pPr>
              <w:snapToGrid w:val="0"/>
              <w:rPr>
                <w:szCs w:val="21"/>
              </w:rPr>
            </w:pPr>
            <w:r>
              <w:rPr>
                <w:rFonts w:hint="eastAsia"/>
                <w:kern w:val="0"/>
                <w:szCs w:val="21"/>
              </w:rPr>
              <w:sym w:font="Wingdings" w:char="00FE"/>
            </w:r>
            <w:r>
              <w:rPr>
                <w:rFonts w:hint="eastAsia"/>
                <w:szCs w:val="21"/>
              </w:rPr>
              <w:t>是</w:t>
            </w:r>
          </w:p>
          <w:p>
            <w:pPr>
              <w:rPr>
                <w:kern w:val="0"/>
                <w:szCs w:val="21"/>
              </w:rPr>
            </w:pPr>
            <w:r>
              <w:rPr>
                <w:rFonts w:hint="eastAsia"/>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7.5</w:t>
            </w:r>
          </w:p>
        </w:tc>
        <w:tc>
          <w:tcPr>
            <w:tcW w:w="2539" w:type="dxa"/>
            <w:vAlign w:val="center"/>
          </w:tcPr>
          <w:p>
            <w:pPr>
              <w:snapToGrid w:val="0"/>
              <w:jc w:val="center"/>
              <w:rPr>
                <w:szCs w:val="21"/>
              </w:rPr>
            </w:pPr>
            <w:r>
              <w:rPr>
                <w:rFonts w:hint="eastAsia"/>
                <w:szCs w:val="21"/>
              </w:rPr>
              <w:t>中标通知书和中标结果通知发出的形式</w:t>
            </w:r>
          </w:p>
        </w:tc>
        <w:tc>
          <w:tcPr>
            <w:tcW w:w="5794" w:type="dxa"/>
            <w:vAlign w:val="center"/>
          </w:tcPr>
          <w:p>
            <w:pPr>
              <w:snapToGrid w:val="0"/>
              <w:rPr>
                <w:szCs w:val="21"/>
              </w:rPr>
            </w:pPr>
            <w:r>
              <w:rPr>
                <w:rFonts w:hint="eastAsia"/>
                <w:szCs w:val="21"/>
              </w:rPr>
              <w:t>书面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7.6</w:t>
            </w:r>
          </w:p>
        </w:tc>
        <w:tc>
          <w:tcPr>
            <w:tcW w:w="2539" w:type="dxa"/>
            <w:vAlign w:val="center"/>
          </w:tcPr>
          <w:p>
            <w:pPr>
              <w:snapToGrid w:val="0"/>
              <w:jc w:val="center"/>
            </w:pPr>
            <w:r>
              <w:rPr>
                <w:rFonts w:hint="eastAsia"/>
              </w:rPr>
              <w:t>中标结果公告媒介及期限</w:t>
            </w:r>
          </w:p>
        </w:tc>
        <w:tc>
          <w:tcPr>
            <w:tcW w:w="5794" w:type="dxa"/>
            <w:vAlign w:val="center"/>
          </w:tcPr>
          <w:p>
            <w:pPr>
              <w:snapToGrid w:val="0"/>
              <w:spacing w:line="260" w:lineRule="exact"/>
              <w:jc w:val="left"/>
            </w:pPr>
            <w:r>
              <w:rPr>
                <w:rFonts w:hint="eastAsia"/>
              </w:rPr>
              <w:t>公告媒介：</w:t>
            </w:r>
            <w:r>
              <w:rPr>
                <w:rFonts w:hint="eastAsia" w:ascii="宋体" w:hAnsi="宋体"/>
                <w:szCs w:val="21"/>
                <w:u w:val="single"/>
              </w:rPr>
              <w:t>天津市公共资源交易网（（http://60.28.163.169/）、天津市滨海新区交通运输局官网（http://jtysj.tjbh.gov.cn/）</w:t>
            </w:r>
            <w:r>
              <w:rPr>
                <w:rFonts w:hint="eastAsia" w:ascii="宋体" w:hAnsi="宋体"/>
                <w:szCs w:val="21"/>
              </w:rPr>
              <w:t>上</w:t>
            </w:r>
            <w:r>
              <w:rPr>
                <w:rFonts w:ascii="宋体" w:hAnsi="宋体"/>
                <w:szCs w:val="21"/>
              </w:rPr>
              <w:t>发布</w:t>
            </w:r>
          </w:p>
          <w:p>
            <w:pPr>
              <w:snapToGrid w:val="0"/>
              <w:spacing w:line="260" w:lineRule="exact"/>
            </w:pPr>
            <w:r>
              <w:rPr>
                <w:rFonts w:hint="eastAsia"/>
              </w:rPr>
              <w:t>公告期限：</w:t>
            </w:r>
            <w:r>
              <w:rPr>
                <w:rFonts w:hint="eastAsia"/>
                <w:u w:val="single"/>
              </w:rPr>
              <w:t xml:space="preserve">  3  </w:t>
            </w:r>
            <w:r>
              <w:rPr>
                <w:rFonts w:hint="eastAsia"/>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7.7.1</w:t>
            </w:r>
          </w:p>
        </w:tc>
        <w:tc>
          <w:tcPr>
            <w:tcW w:w="2539" w:type="dxa"/>
            <w:vAlign w:val="center"/>
          </w:tcPr>
          <w:p>
            <w:pPr>
              <w:snapToGrid w:val="0"/>
              <w:spacing w:line="280" w:lineRule="exact"/>
              <w:jc w:val="center"/>
              <w:rPr>
                <w:szCs w:val="21"/>
              </w:rPr>
            </w:pPr>
            <w:r>
              <w:rPr>
                <w:rFonts w:hint="eastAsia"/>
              </w:rPr>
              <w:t>履约保证金</w:t>
            </w:r>
          </w:p>
        </w:tc>
        <w:tc>
          <w:tcPr>
            <w:tcW w:w="5794" w:type="dxa"/>
            <w:vAlign w:val="center"/>
          </w:tcPr>
          <w:p>
            <w:pPr>
              <w:snapToGrid w:val="0"/>
              <w:spacing w:line="280" w:lineRule="exact"/>
              <w:jc w:val="left"/>
            </w:pPr>
            <w:r>
              <w:rPr>
                <w:rFonts w:hint="eastAsia"/>
              </w:rPr>
              <w:t>是否要求中标人提交履约保证金：</w:t>
            </w:r>
          </w:p>
          <w:p>
            <w:pPr>
              <w:snapToGrid w:val="0"/>
              <w:spacing w:line="280" w:lineRule="exact"/>
            </w:pPr>
            <w:r>
              <w:rPr>
                <w:rFonts w:hint="eastAsia"/>
                <w:kern w:val="0"/>
                <w:szCs w:val="21"/>
              </w:rPr>
              <w:sym w:font="Wingdings" w:char="00FE"/>
            </w:r>
            <w:r>
              <w:rPr>
                <w:rFonts w:hint="eastAsia"/>
              </w:rPr>
              <w:t>要求，履约保证金的形式：</w:t>
            </w:r>
            <w:r>
              <w:rPr>
                <w:rFonts w:hint="eastAsia"/>
                <w:u w:val="single"/>
              </w:rPr>
              <w:t>银行保函或现金、支票形式</w:t>
            </w:r>
            <w:r>
              <w:rPr>
                <w:rFonts w:hint="eastAsia"/>
              </w:rPr>
              <w:t xml:space="preserve">      </w:t>
            </w:r>
          </w:p>
          <w:p>
            <w:pPr>
              <w:spacing w:line="280" w:lineRule="exact"/>
            </w:pPr>
            <w:r>
              <w:rPr>
                <w:rFonts w:hint="eastAsia"/>
              </w:rPr>
              <w:t>履约保证金的金额：</w:t>
            </w:r>
            <w:r>
              <w:rPr>
                <w:rFonts w:hint="eastAsia"/>
                <w:u w:val="single"/>
              </w:rPr>
              <w:t xml:space="preserve"> 5</w:t>
            </w:r>
            <w:r>
              <w:rPr>
                <w:rFonts w:hint="eastAsia"/>
              </w:rPr>
              <w:t>%签约合同价，被招标项目所在地省级交通主管部门评为/</w:t>
            </w:r>
            <w:r>
              <w:rPr>
                <w:rFonts w:hint="eastAsia"/>
                <w:u w:val="single"/>
              </w:rPr>
              <w:t xml:space="preserve"> </w:t>
            </w:r>
            <w:r>
              <w:rPr>
                <w:rFonts w:hint="eastAsia"/>
              </w:rPr>
              <w:t>信用等级的中标人，履约保证金金额为/</w:t>
            </w:r>
            <w:r>
              <w:rPr>
                <w:rFonts w:hint="eastAsia"/>
                <w:u w:val="single"/>
              </w:rPr>
              <w:t xml:space="preserve"> </w:t>
            </w:r>
            <w:r>
              <w:rPr>
                <w:rFonts w:hint="eastAsia"/>
              </w:rPr>
              <w:t>%签约合同价。</w:t>
            </w:r>
          </w:p>
          <w:p>
            <w:pPr>
              <w:spacing w:line="280" w:lineRule="exact"/>
            </w:pPr>
            <w:r>
              <w:rPr>
                <w:rFonts w:hint="eastAsia"/>
              </w:rPr>
              <w:t xml:space="preserve">  采用银行保函时，出具保函的的银行级别：</w:t>
            </w:r>
            <w:r>
              <w:rPr>
                <w:rFonts w:hint="eastAsia"/>
                <w:u w:val="single"/>
              </w:rPr>
              <w:t>支行及以上_</w:t>
            </w:r>
          </w:p>
          <w:p>
            <w:pPr>
              <w:snapToGrid w:val="0"/>
              <w:spacing w:line="280" w:lineRule="exact"/>
              <w:rPr>
                <w:u w:val="single"/>
              </w:rPr>
            </w:pPr>
            <w:r>
              <w:rPr>
                <w:rFonts w:hint="eastAsia"/>
                <w:szCs w:val="21"/>
              </w:rPr>
              <w:t>□</w:t>
            </w:r>
            <w:r>
              <w:rPr>
                <w:rFonts w:hint="eastAsia"/>
              </w:rPr>
              <w:t>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8.5.1</w:t>
            </w:r>
          </w:p>
        </w:tc>
        <w:tc>
          <w:tcPr>
            <w:tcW w:w="2539" w:type="dxa"/>
            <w:vAlign w:val="center"/>
          </w:tcPr>
          <w:p>
            <w:pPr>
              <w:adjustRightInd w:val="0"/>
              <w:snapToGrid w:val="0"/>
              <w:spacing w:line="280" w:lineRule="exact"/>
              <w:ind w:right="482"/>
              <w:jc w:val="center"/>
              <w:rPr>
                <w:szCs w:val="21"/>
              </w:rPr>
            </w:pPr>
            <w:r>
              <w:rPr>
                <w:rFonts w:hint="eastAsia"/>
                <w:szCs w:val="21"/>
              </w:rPr>
              <w:t>监督部门</w:t>
            </w:r>
          </w:p>
        </w:tc>
        <w:tc>
          <w:tcPr>
            <w:tcW w:w="5794" w:type="dxa"/>
            <w:vAlign w:val="center"/>
          </w:tcPr>
          <w:p>
            <w:pPr>
              <w:adjustRightInd w:val="0"/>
              <w:snapToGrid w:val="0"/>
              <w:spacing w:line="320" w:lineRule="exact"/>
              <w:rPr>
                <w:szCs w:val="21"/>
              </w:rPr>
            </w:pPr>
            <w:r>
              <w:rPr>
                <w:rFonts w:hint="eastAsia"/>
                <w:szCs w:val="21"/>
              </w:rPr>
              <w:t>监督部门：天津市滨海新区交通运输局；</w:t>
            </w:r>
          </w:p>
          <w:p>
            <w:pPr>
              <w:adjustRightInd w:val="0"/>
              <w:snapToGrid w:val="0"/>
              <w:spacing w:line="320" w:lineRule="exact"/>
              <w:rPr>
                <w:szCs w:val="21"/>
              </w:rPr>
            </w:pPr>
            <w:r>
              <w:rPr>
                <w:rFonts w:hint="eastAsia"/>
                <w:szCs w:val="21"/>
              </w:rPr>
              <w:t>地址：天津市滨海新区；</w:t>
            </w:r>
          </w:p>
          <w:p>
            <w:pPr>
              <w:adjustRightInd w:val="0"/>
              <w:snapToGrid w:val="0"/>
              <w:spacing w:line="320" w:lineRule="exact"/>
              <w:rPr>
                <w:szCs w:val="21"/>
              </w:rPr>
            </w:pPr>
            <w:r>
              <w:rPr>
                <w:rFonts w:hint="eastAsia"/>
                <w:szCs w:val="21"/>
              </w:rPr>
              <w:t>电话：022-65369591</w:t>
            </w:r>
          </w:p>
          <w:p>
            <w:pPr>
              <w:adjustRightInd w:val="0"/>
              <w:snapToGrid w:val="0"/>
              <w:spacing w:line="320" w:lineRule="exact"/>
              <w:rPr>
                <w:szCs w:val="21"/>
              </w:rPr>
            </w:pPr>
            <w:r>
              <w:rPr>
                <w:rFonts w:hint="eastAsia"/>
                <w:szCs w:val="21"/>
              </w:rPr>
              <w:t>传真：022-65369591</w:t>
            </w:r>
          </w:p>
          <w:p>
            <w:pPr>
              <w:spacing w:line="280" w:lineRule="exact"/>
              <w:rPr>
                <w:szCs w:val="21"/>
              </w:rPr>
            </w:pPr>
            <w:r>
              <w:rPr>
                <w:rFonts w:hint="eastAsia"/>
                <w:szCs w:val="21"/>
              </w:rPr>
              <w:t>邮政编码：300457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9</w:t>
            </w:r>
          </w:p>
        </w:tc>
        <w:tc>
          <w:tcPr>
            <w:tcW w:w="2539" w:type="dxa"/>
            <w:vAlign w:val="center"/>
          </w:tcPr>
          <w:p>
            <w:pPr>
              <w:snapToGrid w:val="0"/>
              <w:spacing w:line="240" w:lineRule="exact"/>
              <w:jc w:val="center"/>
            </w:pPr>
            <w:r>
              <w:rPr>
                <w:rFonts w:hint="eastAsia"/>
              </w:rPr>
              <w:t>是否采用电子招标投标</w:t>
            </w:r>
          </w:p>
        </w:tc>
        <w:tc>
          <w:tcPr>
            <w:tcW w:w="5794" w:type="dxa"/>
            <w:vAlign w:val="center"/>
          </w:tcPr>
          <w:p>
            <w:pPr>
              <w:snapToGrid w:val="0"/>
              <w:spacing w:line="240" w:lineRule="exact"/>
              <w:rPr>
                <w:kern w:val="0"/>
              </w:rPr>
            </w:pPr>
            <w:r>
              <w:rPr>
                <w:rFonts w:hint="eastAsia"/>
                <w:kern w:val="0"/>
                <w:szCs w:val="21"/>
              </w:rPr>
              <w:sym w:font="Wingdings" w:char="00FE"/>
            </w:r>
            <w:r>
              <w:rPr>
                <w:rFonts w:hint="eastAsia"/>
                <w:kern w:val="0"/>
              </w:rPr>
              <w:t>否</w:t>
            </w:r>
          </w:p>
          <w:p>
            <w:pPr>
              <w:snapToGrid w:val="0"/>
              <w:spacing w:line="240" w:lineRule="exact"/>
            </w:pPr>
            <w:r>
              <w:rPr>
                <w:rFonts w:hint="eastAsia"/>
                <w:kern w:val="0"/>
              </w:rPr>
              <w:t>□是,具体要求：-</w:t>
            </w:r>
          </w:p>
        </w:tc>
      </w:tr>
    </w:tbl>
    <w:p>
      <w:pPr>
        <w:adjustRightInd w:val="0"/>
        <w:snapToGrid w:val="0"/>
        <w:spacing w:line="300" w:lineRule="exact"/>
        <w:rPr>
          <w:b/>
          <w:szCs w:val="21"/>
        </w:rPr>
        <w:sectPr>
          <w:endnotePr>
            <w:numFmt w:val="decimal"/>
          </w:endnotePr>
          <w:pgSz w:w="11906" w:h="16838"/>
          <w:pgMar w:top="1247" w:right="1247" w:bottom="1247" w:left="1304" w:header="794" w:footer="794" w:gutter="0"/>
          <w:cols w:space="720" w:num="1"/>
          <w:docGrid w:linePitch="312" w:charSpace="0"/>
        </w:sectPr>
      </w:pP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4"/>
        <w:gridCol w:w="2539"/>
        <w:gridCol w:w="5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9457" w:type="dxa"/>
            <w:gridSpan w:val="3"/>
            <w:vAlign w:val="center"/>
          </w:tcPr>
          <w:p>
            <w:pPr>
              <w:adjustRightInd w:val="0"/>
              <w:snapToGrid w:val="0"/>
              <w:spacing w:line="300" w:lineRule="exact"/>
              <w:rPr>
                <w:kern w:val="0"/>
              </w:rPr>
            </w:pPr>
            <w:r>
              <w:rPr>
                <w:rFonts w:hint="eastAsia"/>
                <w:b/>
                <w:kern w:val="0"/>
                <w:sz w:val="24"/>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Merge w:val="restart"/>
            <w:vAlign w:val="center"/>
          </w:tcPr>
          <w:p>
            <w:pPr>
              <w:adjustRightInd w:val="0"/>
              <w:snapToGrid w:val="0"/>
              <w:spacing w:line="280" w:lineRule="exact"/>
              <w:jc w:val="center"/>
              <w:rPr>
                <w:szCs w:val="21"/>
              </w:rPr>
            </w:pPr>
            <w:r>
              <w:rPr>
                <w:rFonts w:ascii="宋体" w:hAnsi="宋体"/>
                <w:szCs w:val="21"/>
              </w:rPr>
              <w:t>1.4.4</w:t>
            </w:r>
          </w:p>
        </w:tc>
        <w:tc>
          <w:tcPr>
            <w:tcW w:w="2539" w:type="dxa"/>
            <w:vAlign w:val="center"/>
          </w:tcPr>
          <w:p>
            <w:pPr>
              <w:autoSpaceDE w:val="0"/>
              <w:autoSpaceDN w:val="0"/>
              <w:adjustRightInd w:val="0"/>
              <w:snapToGrid w:val="0"/>
              <w:jc w:val="center"/>
              <w:rPr>
                <w:kern w:val="0"/>
                <w:szCs w:val="21"/>
              </w:rPr>
            </w:pPr>
            <w:r>
              <w:rPr>
                <w:kern w:val="0"/>
                <w:szCs w:val="21"/>
              </w:rPr>
              <w:t>第1.4.4项（4）</w:t>
            </w:r>
            <w:r>
              <w:rPr>
                <w:rFonts w:hint="eastAsia"/>
                <w:kern w:val="0"/>
                <w:szCs w:val="21"/>
              </w:rPr>
              <w:t>目</w:t>
            </w:r>
            <w:r>
              <w:rPr>
                <w:kern w:val="0"/>
                <w:szCs w:val="21"/>
              </w:rPr>
              <w:t>修改</w:t>
            </w:r>
          </w:p>
        </w:tc>
        <w:tc>
          <w:tcPr>
            <w:tcW w:w="5794" w:type="dxa"/>
            <w:vAlign w:val="center"/>
          </w:tcPr>
          <w:p>
            <w:pPr>
              <w:adjustRightInd w:val="0"/>
              <w:snapToGrid w:val="0"/>
              <w:spacing w:line="280" w:lineRule="exact"/>
              <w:jc w:val="left"/>
              <w:rPr>
                <w:rFonts w:ascii="宋体" w:hAnsi="宋体" w:cs="宋体"/>
                <w:kern w:val="0"/>
              </w:rPr>
            </w:pPr>
            <w:r>
              <w:rPr>
                <w:rFonts w:hint="eastAsia" w:ascii="宋体" w:hAnsi="宋体" w:cs="宋体"/>
                <w:kern w:val="0"/>
              </w:rPr>
              <w:t>（4）在国家企业信用信息公示系统（http://www.gsxt.gov.cn/）中被列入严重违法失信企业名单及经营异常名录。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Merge w:val="continue"/>
            <w:vAlign w:val="center"/>
          </w:tcPr>
          <w:p>
            <w:pPr>
              <w:adjustRightInd w:val="0"/>
              <w:snapToGrid w:val="0"/>
              <w:spacing w:line="280" w:lineRule="exact"/>
              <w:jc w:val="center"/>
              <w:rPr>
                <w:kern w:val="0"/>
              </w:rPr>
            </w:pPr>
          </w:p>
        </w:tc>
        <w:tc>
          <w:tcPr>
            <w:tcW w:w="2539" w:type="dxa"/>
            <w:vAlign w:val="center"/>
          </w:tcPr>
          <w:p>
            <w:pPr>
              <w:adjustRightInd w:val="0"/>
              <w:snapToGrid w:val="0"/>
              <w:spacing w:line="300" w:lineRule="exact"/>
              <w:jc w:val="center"/>
              <w:rPr>
                <w:szCs w:val="21"/>
              </w:rPr>
            </w:pPr>
            <w:r>
              <w:rPr>
                <w:rFonts w:hint="eastAsia" w:cs="宋体"/>
                <w:kern w:val="0"/>
              </w:rPr>
              <w:t>第</w:t>
            </w:r>
            <w:r>
              <w:rPr>
                <w:kern w:val="0"/>
              </w:rPr>
              <w:t>1.4.4</w:t>
            </w:r>
            <w:r>
              <w:rPr>
                <w:rFonts w:hint="eastAsia" w:cs="宋体"/>
                <w:kern w:val="0"/>
              </w:rPr>
              <w:t>项</w:t>
            </w:r>
            <w:r>
              <w:rPr>
                <w:kern w:val="0"/>
                <w:szCs w:val="21"/>
              </w:rPr>
              <w:t>（</w:t>
            </w:r>
            <w:r>
              <w:rPr>
                <w:rFonts w:hint="eastAsia"/>
                <w:kern w:val="0"/>
                <w:szCs w:val="21"/>
              </w:rPr>
              <w:t>6</w:t>
            </w:r>
            <w:r>
              <w:rPr>
                <w:kern w:val="0"/>
                <w:szCs w:val="21"/>
              </w:rPr>
              <w:t>）</w:t>
            </w:r>
            <w:r>
              <w:rPr>
                <w:rFonts w:hint="eastAsia"/>
                <w:kern w:val="0"/>
                <w:szCs w:val="21"/>
              </w:rPr>
              <w:t>目</w:t>
            </w:r>
            <w:r>
              <w:rPr>
                <w:rFonts w:hint="eastAsia" w:cs="宋体"/>
                <w:kern w:val="0"/>
              </w:rPr>
              <w:t>修改</w:t>
            </w:r>
          </w:p>
        </w:tc>
        <w:tc>
          <w:tcPr>
            <w:tcW w:w="5794" w:type="dxa"/>
            <w:vAlign w:val="center"/>
          </w:tcPr>
          <w:p>
            <w:pPr>
              <w:adjustRightInd w:val="0"/>
              <w:snapToGrid w:val="0"/>
              <w:spacing w:line="280" w:lineRule="exact"/>
              <w:jc w:val="left"/>
              <w:rPr>
                <w:rFonts w:ascii="宋体" w:hAnsi="宋体" w:cs="宋体"/>
                <w:kern w:val="0"/>
              </w:rPr>
            </w:pPr>
            <w:r>
              <w:rPr>
                <w:rFonts w:hint="eastAsia" w:ascii="宋体" w:hAnsi="宋体" w:cs="宋体"/>
                <w:kern w:val="0"/>
              </w:rPr>
              <w:t>（6）</w:t>
            </w:r>
            <w:r>
              <w:rPr>
                <w:rFonts w:ascii="宋体" w:hAnsi="宋体"/>
              </w:rPr>
              <w:t>投标人或其法定代表人、拟委任的总监理工程师在近三年内有行贿犯罪行为的</w:t>
            </w:r>
            <w:r>
              <w:rPr>
                <w:rFonts w:hint="eastAsia" w:ascii="宋体" w:hAnsi="宋体" w:cs="宋体"/>
                <w:kern w:val="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autoSpaceDE w:val="0"/>
              <w:autoSpaceDN w:val="0"/>
              <w:adjustRightInd w:val="0"/>
              <w:snapToGrid w:val="0"/>
              <w:jc w:val="center"/>
              <w:rPr>
                <w:kern w:val="0"/>
                <w:szCs w:val="21"/>
              </w:rPr>
            </w:pPr>
            <w:r>
              <w:rPr>
                <w:kern w:val="0"/>
                <w:szCs w:val="21"/>
              </w:rPr>
              <w:t>2.1.2</w:t>
            </w:r>
          </w:p>
        </w:tc>
        <w:tc>
          <w:tcPr>
            <w:tcW w:w="2539" w:type="dxa"/>
            <w:vAlign w:val="center"/>
          </w:tcPr>
          <w:p>
            <w:pPr>
              <w:adjustRightInd w:val="0"/>
              <w:snapToGrid w:val="0"/>
              <w:jc w:val="center"/>
              <w:rPr>
                <w:rFonts w:ascii="宋体" w:hAnsi="宋体"/>
                <w:szCs w:val="21"/>
              </w:rPr>
            </w:pPr>
            <w:r>
              <w:rPr>
                <w:rFonts w:ascii="宋体" w:hAnsi="宋体"/>
                <w:szCs w:val="21"/>
              </w:rPr>
              <w:t>补充第2.1.2项</w:t>
            </w:r>
          </w:p>
        </w:tc>
        <w:tc>
          <w:tcPr>
            <w:tcW w:w="5794" w:type="dxa"/>
            <w:vAlign w:val="center"/>
          </w:tcPr>
          <w:p>
            <w:pPr>
              <w:adjustRightInd w:val="0"/>
              <w:snapToGrid w:val="0"/>
              <w:spacing w:line="280" w:lineRule="exact"/>
              <w:rPr>
                <w:kern w:val="0"/>
                <w:szCs w:val="21"/>
              </w:rPr>
            </w:pPr>
            <w:r>
              <w:rPr>
                <w:kern w:val="0"/>
                <w:szCs w:val="21"/>
              </w:rPr>
              <w:t>2.1.2招标文件中要求投标人提供的各类证照复印件均指彩色扫描件或彩色复印件，其他资料复印件可为黑白扫描件或黑白复印件。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49" w:hRule="atLeast"/>
          <w:jc w:val="center"/>
        </w:trPr>
        <w:tc>
          <w:tcPr>
            <w:tcW w:w="1124" w:type="dxa"/>
            <w:vAlign w:val="center"/>
          </w:tcPr>
          <w:p>
            <w:pPr>
              <w:pStyle w:val="73"/>
              <w:spacing w:line="420" w:lineRule="exact"/>
              <w:jc w:val="center"/>
              <w:rPr>
                <w:rFonts w:hAnsi="宋体" w:cs="Times New Roman"/>
                <w:color w:val="auto"/>
                <w:sz w:val="21"/>
                <w:szCs w:val="21"/>
              </w:rPr>
            </w:pPr>
            <w:r>
              <w:rPr>
                <w:rFonts w:hint="eastAsia" w:hAnsi="宋体" w:cs="Times New Roman"/>
                <w:color w:val="auto"/>
                <w:sz w:val="21"/>
                <w:szCs w:val="21"/>
              </w:rPr>
              <w:t>2.2.5</w:t>
            </w:r>
          </w:p>
          <w:p>
            <w:pPr>
              <w:pStyle w:val="73"/>
              <w:spacing w:line="420" w:lineRule="exact"/>
              <w:jc w:val="center"/>
              <w:rPr>
                <w:rFonts w:hAnsi="宋体" w:cs="Times New Roman"/>
                <w:color w:val="auto"/>
                <w:sz w:val="21"/>
                <w:szCs w:val="21"/>
              </w:rPr>
            </w:pPr>
            <w:r>
              <w:rPr>
                <w:rFonts w:hint="eastAsia" w:hAnsi="宋体" w:cs="Times New Roman"/>
                <w:color w:val="auto"/>
                <w:sz w:val="21"/>
                <w:szCs w:val="21"/>
              </w:rPr>
              <w:t>2.3.3</w:t>
            </w:r>
          </w:p>
        </w:tc>
        <w:tc>
          <w:tcPr>
            <w:tcW w:w="2539" w:type="dxa"/>
            <w:vAlign w:val="center"/>
          </w:tcPr>
          <w:p>
            <w:pPr>
              <w:adjustRightInd w:val="0"/>
              <w:snapToGrid w:val="0"/>
              <w:spacing w:line="300" w:lineRule="exact"/>
              <w:ind w:left="-50" w:leftChars="-24"/>
              <w:jc w:val="center"/>
              <w:rPr>
                <w:rFonts w:ascii="宋体" w:hAnsi="宋体"/>
                <w:b/>
                <w:szCs w:val="21"/>
              </w:rPr>
            </w:pPr>
            <w:r>
              <w:rPr>
                <w:rFonts w:hint="eastAsia" w:ascii="宋体" w:hAnsi="宋体" w:cs="宋体"/>
                <w:kern w:val="0"/>
              </w:rPr>
              <w:t>补充第</w:t>
            </w:r>
            <w:r>
              <w:rPr>
                <w:rFonts w:ascii="宋体" w:hAnsi="宋体"/>
                <w:szCs w:val="21"/>
              </w:rPr>
              <w:t>2.2.5、2.3.3</w:t>
            </w:r>
            <w:r>
              <w:rPr>
                <w:rFonts w:hint="eastAsia" w:ascii="宋体" w:hAnsi="宋体" w:cs="宋体"/>
                <w:kern w:val="0"/>
              </w:rPr>
              <w:t>项</w:t>
            </w:r>
          </w:p>
        </w:tc>
        <w:tc>
          <w:tcPr>
            <w:tcW w:w="5794" w:type="dxa"/>
            <w:vAlign w:val="center"/>
          </w:tcPr>
          <w:p>
            <w:pPr>
              <w:adjustRightInd w:val="0"/>
              <w:snapToGrid w:val="0"/>
              <w:spacing w:line="280" w:lineRule="exact"/>
              <w:ind w:left="57" w:leftChars="27" w:firstLine="220" w:firstLineChars="105"/>
              <w:rPr>
                <w:rFonts w:ascii="宋体" w:hAnsi="宋体" w:cs="宋体"/>
                <w:kern w:val="0"/>
              </w:rPr>
            </w:pPr>
            <w:r>
              <w:rPr>
                <w:rFonts w:ascii="宋体" w:hAnsi="宋体"/>
                <w:szCs w:val="21"/>
              </w:rPr>
              <w:t>2.2.5、2.3.3</w:t>
            </w:r>
            <w:r>
              <w:rPr>
                <w:rFonts w:hint="eastAsia" w:ascii="宋体" w:hAnsi="宋体" w:cs="宋体"/>
                <w:kern w:val="0"/>
              </w:rPr>
              <w:t>招标人将在天津市公共资源交易网（http://60.28.163.169/）、</w:t>
            </w:r>
            <w:r>
              <w:rPr>
                <w:rFonts w:hint="eastAsia" w:hAnsi="宋体"/>
                <w:szCs w:val="21"/>
              </w:rPr>
              <w:t>天津市滨海新区交通运输局官网</w:t>
            </w:r>
            <w:r>
              <w:rPr>
                <w:rFonts w:hint="eastAsia" w:ascii="宋体" w:hAnsi="宋体" w:cs="宋体"/>
                <w:kern w:val="0"/>
              </w:rPr>
              <w:t>（http://jtysj.tjbh.gov.cn/）上发布招标文件的澄清、修改文件，请各投标人下载并在规定的时间内回函确认。投标人应在投标截止时间前密切关注，以便掌握相关澄清及修改。</w:t>
            </w:r>
          </w:p>
          <w:p>
            <w:pPr>
              <w:adjustRightInd w:val="0"/>
              <w:snapToGrid w:val="0"/>
              <w:spacing w:line="280" w:lineRule="exact"/>
              <w:ind w:left="57" w:leftChars="27" w:firstLine="220" w:firstLineChars="105"/>
              <w:jc w:val="left"/>
              <w:rPr>
                <w:rFonts w:ascii="宋体" w:hAnsi="宋体" w:cs="宋体"/>
                <w:kern w:val="0"/>
              </w:rPr>
            </w:pPr>
            <w:r>
              <w:rPr>
                <w:rFonts w:hint="eastAsia" w:ascii="宋体" w:hAnsi="宋体" w:cs="宋体"/>
                <w:kern w:val="0"/>
              </w:rPr>
              <w:t>招标人、招标代理机构对投标人发出的澄清、修改及投标控制价上限或评标委员会对投标人发出的澄清，投标人应在规定的时间内按要求回函确认，否则招标人不承担由此引起的一切后果。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3" w:hRule="atLeast"/>
          <w:jc w:val="center"/>
        </w:trPr>
        <w:tc>
          <w:tcPr>
            <w:tcW w:w="1124" w:type="dxa"/>
            <w:vAlign w:val="center"/>
          </w:tcPr>
          <w:p>
            <w:pPr>
              <w:adjustRightInd w:val="0"/>
              <w:snapToGrid w:val="0"/>
              <w:spacing w:line="280" w:lineRule="exact"/>
              <w:jc w:val="center"/>
              <w:rPr>
                <w:rFonts w:ascii="宋体" w:hAnsi="宋体" w:cs="宋体"/>
                <w:kern w:val="0"/>
                <w:szCs w:val="21"/>
              </w:rPr>
            </w:pPr>
            <w:r>
              <w:rPr>
                <w:rFonts w:hint="eastAsia" w:ascii="宋体" w:hAnsi="宋体" w:cs="宋体"/>
                <w:szCs w:val="21"/>
              </w:rPr>
              <w:t>3.4.1</w:t>
            </w:r>
          </w:p>
        </w:tc>
        <w:tc>
          <w:tcPr>
            <w:tcW w:w="2539" w:type="dxa"/>
            <w:vAlign w:val="center"/>
          </w:tcPr>
          <w:p>
            <w:pPr>
              <w:adjustRightInd w:val="0"/>
              <w:snapToGrid w:val="0"/>
              <w:spacing w:line="300" w:lineRule="exact"/>
              <w:ind w:left="-84" w:leftChars="-40" w:right="-84" w:rightChars="-40"/>
              <w:jc w:val="center"/>
              <w:rPr>
                <w:rFonts w:ascii="宋体" w:hAnsi="宋体" w:cs="宋体"/>
                <w:szCs w:val="21"/>
              </w:rPr>
            </w:pPr>
            <w:r>
              <w:rPr>
                <w:rFonts w:hint="eastAsia" w:ascii="宋体" w:hAnsi="宋体" w:cs="宋体"/>
                <w:szCs w:val="21"/>
              </w:rPr>
              <w:t>细化第3.4.1项</w:t>
            </w:r>
          </w:p>
        </w:tc>
        <w:tc>
          <w:tcPr>
            <w:tcW w:w="5794" w:type="dxa"/>
            <w:vAlign w:val="center"/>
          </w:tcPr>
          <w:p>
            <w:pPr>
              <w:adjustRightInd w:val="0"/>
              <w:snapToGrid w:val="0"/>
              <w:spacing w:line="264" w:lineRule="auto"/>
              <w:ind w:left="57" w:leftChars="27" w:firstLine="221" w:firstLineChars="105"/>
              <w:rPr>
                <w:rFonts w:ascii="宋体" w:hAnsi="宋体" w:cs="宋体"/>
                <w:b/>
                <w:kern w:val="0"/>
                <w:szCs w:val="21"/>
              </w:rPr>
            </w:pPr>
            <w:r>
              <w:rPr>
                <w:rFonts w:hint="eastAsia" w:ascii="宋体" w:hAnsi="宋体" w:cs="宋体"/>
                <w:b/>
                <w:szCs w:val="21"/>
              </w:rPr>
              <w:t>投标保证金的递交截止时间为：</w:t>
            </w:r>
            <w:r>
              <w:rPr>
                <w:rFonts w:hint="eastAsia" w:ascii="宋体" w:hAnsi="宋体" w:cs="宋体"/>
                <w:b/>
                <w:szCs w:val="21"/>
                <w:u w:val="single"/>
              </w:rPr>
              <w:t>投标截止时间前一个工作日17 时00分。</w:t>
            </w:r>
          </w:p>
          <w:p>
            <w:pPr>
              <w:adjustRightInd w:val="0"/>
              <w:snapToGrid w:val="0"/>
              <w:spacing w:line="264" w:lineRule="auto"/>
              <w:ind w:left="57" w:leftChars="27" w:firstLine="220" w:firstLineChars="105"/>
            </w:pPr>
            <w:r>
              <w:rPr>
                <w:rFonts w:hint="eastAsia" w:ascii="宋体" w:hAnsi="宋体" w:cs="宋体"/>
                <w:kern w:val="0"/>
              </w:rPr>
              <w:t>若采用银行保函，投标人应在投标保证金递交截止时间前，将银行保函复印件(并加盖单位公章)送达至</w:t>
            </w:r>
            <w:r>
              <w:rPr>
                <w:rFonts w:hint="eastAsia" w:ascii="宋体" w:hAnsi="宋体" w:cs="宋体"/>
                <w:kern w:val="0"/>
                <w:szCs w:val="21"/>
                <w:u w:val="single"/>
              </w:rPr>
              <w:t>天津市滨海新区城投工程咨询有限公司</w:t>
            </w:r>
            <w:r>
              <w:rPr>
                <w:rFonts w:hint="eastAsia" w:ascii="宋体" w:hAnsi="宋体" w:cs="宋体"/>
                <w:kern w:val="0"/>
              </w:rPr>
              <w:t>（或扫描件发送至</w:t>
            </w:r>
            <w:r>
              <w:rPr>
                <w:rFonts w:hint="eastAsia" w:ascii="宋体" w:hAnsi="宋体" w:cs="宋体"/>
                <w:kern w:val="0"/>
                <w:u w:val="single"/>
              </w:rPr>
              <w:t xml:space="preserve"> </w:t>
            </w:r>
            <w:r>
              <w:rPr>
                <w:rFonts w:hint="eastAsia" w:ascii="宋体" w:hAnsi="宋体" w:cs="宋体"/>
                <w:kern w:val="0"/>
                <w:szCs w:val="21"/>
                <w:u w:val="single"/>
              </w:rPr>
              <w:t xml:space="preserve">chengtouzixun@163.com </w:t>
            </w:r>
            <w:r>
              <w:rPr>
                <w:rFonts w:hint="eastAsia" w:ascii="宋体" w:hAnsi="宋体" w:cs="宋体"/>
                <w:kern w:val="0"/>
              </w:rPr>
              <w:t>），地址为：</w:t>
            </w:r>
            <w:r>
              <w:rPr>
                <w:rFonts w:hint="eastAsia" w:ascii="宋体" w:hAnsi="宋体" w:cs="宋体"/>
                <w:kern w:val="0"/>
                <w:szCs w:val="21"/>
                <w:u w:val="single"/>
              </w:rPr>
              <w:t>天津市滨海新区津塘公路5982号副598号D104室</w:t>
            </w:r>
            <w:r>
              <w:rPr>
                <w:rFonts w:hint="eastAsia" w:ascii="宋体" w:hAnsi="宋体" w:cs="宋体"/>
                <w:kern w:val="0"/>
              </w:rPr>
              <w:t>。</w:t>
            </w:r>
            <w:r>
              <w:rPr>
                <w:rFonts w:hint="eastAsia" w:ascii="宋体" w:hAnsi="宋体" w:cs="宋体"/>
                <w:szCs w:val="21"/>
              </w:rPr>
              <w:t>原件应在递交投标文件截止时间之前单独密封递交给招标人，并将银行保函复印件附在投标文件中。</w:t>
            </w:r>
            <w:r>
              <w:rPr>
                <w:rFonts w:hint="eastAsia" w:ascii="宋体" w:hAnsi="宋体" w:cs="宋体"/>
                <w:kern w:val="0"/>
              </w:rPr>
              <w:t>不论中标与否，</w:t>
            </w:r>
            <w:r>
              <w:rPr>
                <w:rFonts w:hint="eastAsia"/>
                <w:kern w:val="0"/>
                <w:szCs w:val="21"/>
              </w:rPr>
              <w:t>不论中标与否，</w:t>
            </w:r>
            <w:r>
              <w:rPr>
                <w:rFonts w:hint="eastAsia" w:ascii="宋体" w:hAnsi="宋体" w:cs="宋体"/>
                <w:kern w:val="0"/>
              </w:rPr>
              <w:t>保函不予退回。</w:t>
            </w:r>
            <w:bookmarkStart w:id="496" w:name="_GoBack"/>
            <w:bookmarkEnd w:id="49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124" w:type="dxa"/>
            <w:vAlign w:val="center"/>
          </w:tcPr>
          <w:p>
            <w:pPr>
              <w:adjustRightInd w:val="0"/>
              <w:snapToGrid w:val="0"/>
              <w:spacing w:line="280" w:lineRule="exact"/>
              <w:jc w:val="center"/>
              <w:rPr>
                <w:kern w:val="0"/>
              </w:rPr>
            </w:pPr>
            <w:r>
              <w:rPr>
                <w:rFonts w:hint="eastAsia"/>
                <w:kern w:val="0"/>
              </w:rPr>
              <w:t>3.5.1</w:t>
            </w:r>
          </w:p>
        </w:tc>
        <w:tc>
          <w:tcPr>
            <w:tcW w:w="2539" w:type="dxa"/>
            <w:vAlign w:val="center"/>
          </w:tcPr>
          <w:p>
            <w:pPr>
              <w:adjustRightInd w:val="0"/>
              <w:snapToGrid w:val="0"/>
              <w:spacing w:line="280" w:lineRule="exact"/>
              <w:jc w:val="center"/>
              <w:rPr>
                <w:kern w:val="0"/>
              </w:rPr>
            </w:pPr>
            <w:r>
              <w:rPr>
                <w:rFonts w:hint="eastAsia" w:ascii="宋体" w:hAnsi="宋体" w:cs="宋体"/>
                <w:szCs w:val="21"/>
              </w:rPr>
              <w:t>第</w:t>
            </w:r>
            <w:r>
              <w:rPr>
                <w:rFonts w:ascii="宋体" w:hAnsi="宋体" w:cs="宋体"/>
                <w:szCs w:val="21"/>
              </w:rPr>
              <w:t>3.5.1</w:t>
            </w:r>
            <w:r>
              <w:rPr>
                <w:rFonts w:hint="eastAsia" w:ascii="宋体" w:hAnsi="宋体" w:cs="宋体"/>
                <w:szCs w:val="21"/>
              </w:rPr>
              <w:t>项补充</w:t>
            </w:r>
          </w:p>
        </w:tc>
        <w:tc>
          <w:tcPr>
            <w:tcW w:w="5794" w:type="dxa"/>
            <w:vAlign w:val="center"/>
          </w:tcPr>
          <w:p>
            <w:pPr>
              <w:adjustRightInd w:val="0"/>
              <w:snapToGrid w:val="0"/>
              <w:spacing w:line="260" w:lineRule="exact"/>
              <w:rPr>
                <w:kern w:val="0"/>
              </w:rPr>
            </w:pPr>
            <w:r>
              <w:rPr>
                <w:rFonts w:hint="eastAsia" w:ascii="宋体" w:hAnsi="宋体" w:cs="宋体"/>
                <w:szCs w:val="21"/>
              </w:rPr>
              <w:t>3.5.1“投标人基本情况表”后应附有效企业法人营业执照副本、监理资质证书副本、基本账户开户许可证（或基本户备案证明）的复印件应提供全本（证书封面、封底、空白页除外），应包括投标人名称、投标人其他相关信息、颁发机构名称、投标人信息变更情况等关键页在内，并逐页加盖投标人单位章。还应附投标人在国家企业信用信息公示系统（</w:t>
            </w:r>
            <w:r>
              <w:fldChar w:fldCharType="begin"/>
            </w:r>
            <w:r>
              <w:instrText xml:space="preserve"> HYPERLINK "http://www.gsxt.gov.cn/" </w:instrText>
            </w:r>
            <w:r>
              <w:fldChar w:fldCharType="separate"/>
            </w:r>
            <w:r>
              <w:rPr>
                <w:rFonts w:hint="eastAsia" w:ascii="宋体" w:hAnsi="宋体" w:cs="宋体"/>
                <w:szCs w:val="21"/>
              </w:rPr>
              <w:t>http://www.gsxt.gov.cn/</w:t>
            </w:r>
            <w:r>
              <w:rPr>
                <w:rFonts w:hint="eastAsia" w:ascii="宋体" w:hAnsi="宋体" w:cs="宋体"/>
                <w:szCs w:val="21"/>
              </w:rPr>
              <w:fldChar w:fldCharType="end"/>
            </w:r>
            <w:r>
              <w:rPr>
                <w:rFonts w:hint="eastAsia" w:ascii="宋体" w:hAnsi="宋体" w:cs="宋体"/>
                <w:szCs w:val="21"/>
              </w:rPr>
              <w:t>）打印的基础信息、股东(股份公司类型为发起人)及出资详细信息（并加盖单位章）。登记类型为全民所有制企业的，可只附主管部门信息，其主管部门视为其全资股东。登记类型为股份有限公司或其它股份有限公司的，国家企业信用信息公示系统中的发起人姓名不具体的应附书面说明具体姓名及出资信息，同时应书面补充发起人之外的股东姓名及出资信息（并加盖单位章），投标人为上市公司的，应书面补充说明持股比例超过20%的股东姓名及持股比例（并加盖单位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Merge w:val="restart"/>
            <w:vAlign w:val="center"/>
          </w:tcPr>
          <w:p>
            <w:pPr>
              <w:adjustRightInd w:val="0"/>
              <w:snapToGrid w:val="0"/>
              <w:spacing w:line="300" w:lineRule="exact"/>
              <w:jc w:val="center"/>
              <w:rPr>
                <w:kern w:val="0"/>
              </w:rPr>
            </w:pPr>
            <w:r>
              <w:rPr>
                <w:rFonts w:hint="eastAsia"/>
                <w:kern w:val="0"/>
              </w:rPr>
              <w:t>3.5.3</w:t>
            </w:r>
          </w:p>
        </w:tc>
        <w:tc>
          <w:tcPr>
            <w:tcW w:w="2539" w:type="dxa"/>
            <w:vAlign w:val="center"/>
          </w:tcPr>
          <w:p>
            <w:pPr>
              <w:adjustRightInd w:val="0"/>
              <w:snapToGrid w:val="0"/>
              <w:spacing w:line="300" w:lineRule="exact"/>
              <w:jc w:val="center"/>
              <w:rPr>
                <w:kern w:val="0"/>
              </w:rPr>
            </w:pPr>
            <w:r>
              <w:rPr>
                <w:rFonts w:hint="eastAsia" w:cs="宋体"/>
              </w:rPr>
              <w:t>第</w:t>
            </w:r>
            <w:r>
              <w:t>3.5.</w:t>
            </w:r>
            <w:r>
              <w:rPr>
                <w:rFonts w:hint="eastAsia"/>
              </w:rPr>
              <w:t>3</w:t>
            </w:r>
            <w:r>
              <w:rPr>
                <w:rFonts w:hint="eastAsia" w:cs="宋体"/>
              </w:rPr>
              <w:t>项修改</w:t>
            </w:r>
          </w:p>
        </w:tc>
        <w:tc>
          <w:tcPr>
            <w:tcW w:w="5794" w:type="dxa"/>
            <w:vAlign w:val="center"/>
          </w:tcPr>
          <w:p>
            <w:pPr>
              <w:adjustRightInd w:val="0"/>
              <w:snapToGrid w:val="0"/>
              <w:ind w:firstLine="105" w:firstLineChars="50"/>
              <w:jc w:val="left"/>
              <w:rPr>
                <w:rFonts w:ascii="宋体" w:hAnsi="宋体"/>
                <w:szCs w:val="21"/>
              </w:rPr>
            </w:pPr>
            <w:r>
              <w:rPr>
                <w:rFonts w:hint="eastAsia" w:ascii="宋体" w:hAnsi="宋体"/>
                <w:szCs w:val="21"/>
              </w:rPr>
              <w:t>3.5.3“投标人的信誉情况表”应附投标人在国家企业信用信息公示系统中未被列入严重违法失信企业名单、在“信用中国”网站中未列入失信被执行人名单的网页截图复印件。</w:t>
            </w:r>
          </w:p>
          <w:p>
            <w:pPr>
              <w:adjustRightInd w:val="0"/>
              <w:snapToGrid w:val="0"/>
              <w:ind w:firstLine="105" w:firstLineChars="50"/>
              <w:jc w:val="left"/>
              <w:rPr>
                <w:rFonts w:ascii="宋体" w:hAnsi="宋体"/>
                <w:szCs w:val="21"/>
              </w:rPr>
            </w:pPr>
            <w:r>
              <w:rPr>
                <w:rFonts w:hint="eastAsia" w:ascii="宋体" w:hAnsi="宋体"/>
                <w:szCs w:val="21"/>
              </w:rPr>
              <w:t>1、投标人还应附国家企业信用信息公示系统（http://gsxt. gov.cn/）打印的“列入经营异常名录信息”页。</w:t>
            </w:r>
          </w:p>
          <w:p>
            <w:pPr>
              <w:adjustRightInd w:val="0"/>
              <w:snapToGrid w:val="0"/>
              <w:ind w:firstLine="105" w:firstLineChars="50"/>
              <w:jc w:val="left"/>
              <w:rPr>
                <w:rFonts w:ascii="宋体" w:hAnsi="宋体"/>
                <w:szCs w:val="21"/>
              </w:rPr>
            </w:pPr>
            <w:r>
              <w:rPr>
                <w:rFonts w:hint="eastAsia" w:ascii="宋体" w:hAnsi="宋体"/>
                <w:szCs w:val="21"/>
              </w:rPr>
              <w:t>2、投标人须将近三年内投标人及其法定代表人、拟委任的总监理工程师无行贿犯罪行为的承诺填写在“第七章 投标文件格式 投标函 8.补充其他说明中”，并将投标人出具的近三年内投标人及其法定代表人、拟委任的总监理工程师人无行贿犯罪行为的名单（加盖单位公章）附在投标文件“第七章 投标文件格式 投标人的信誉情况表”后。</w:t>
            </w:r>
          </w:p>
          <w:p>
            <w:pPr>
              <w:adjustRightInd w:val="0"/>
              <w:snapToGrid w:val="0"/>
              <w:spacing w:line="300" w:lineRule="exact"/>
              <w:jc w:val="left"/>
              <w:rPr>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Merge w:val="continue"/>
            <w:vAlign w:val="center"/>
          </w:tcPr>
          <w:p>
            <w:pPr>
              <w:adjustRightInd w:val="0"/>
              <w:snapToGrid w:val="0"/>
              <w:spacing w:line="300" w:lineRule="exact"/>
              <w:jc w:val="center"/>
              <w:rPr>
                <w:kern w:val="0"/>
              </w:rPr>
            </w:pPr>
          </w:p>
        </w:tc>
        <w:tc>
          <w:tcPr>
            <w:tcW w:w="2539" w:type="dxa"/>
            <w:vAlign w:val="center"/>
          </w:tcPr>
          <w:p>
            <w:pPr>
              <w:adjustRightInd w:val="0"/>
              <w:snapToGrid w:val="0"/>
              <w:spacing w:line="300" w:lineRule="exact"/>
              <w:jc w:val="center"/>
              <w:rPr>
                <w:kern w:val="0"/>
              </w:rPr>
            </w:pPr>
            <w:r>
              <w:rPr>
                <w:rFonts w:hint="eastAsia"/>
              </w:rPr>
              <w:t>3.5.4项</w:t>
            </w:r>
            <w:r>
              <w:t>补充</w:t>
            </w:r>
          </w:p>
        </w:tc>
        <w:tc>
          <w:tcPr>
            <w:tcW w:w="5794" w:type="dxa"/>
            <w:vAlign w:val="center"/>
          </w:tcPr>
          <w:p>
            <w:pPr>
              <w:pStyle w:val="11"/>
              <w:rPr>
                <w:kern w:val="0"/>
              </w:rPr>
            </w:pPr>
            <w:r>
              <w:rPr>
                <w:rFonts w:hint="eastAsia" w:ascii="宋体" w:hAnsi="宋体" w:cs="宋体"/>
                <w:kern w:val="0"/>
                <w:szCs w:val="21"/>
              </w:rPr>
              <w:t>3.5.4</w:t>
            </w:r>
            <w:r>
              <w:rPr>
                <w:rFonts w:hint="eastAsia" w:ascii="宋体" w:hAnsi="宋体"/>
                <w:szCs w:val="21"/>
              </w:rPr>
              <w:t>相关人员社保缴费证明时间为2023年1月至2023年6月。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1124" w:type="dxa"/>
            <w:vMerge w:val="restart"/>
            <w:vAlign w:val="center"/>
          </w:tcPr>
          <w:p>
            <w:pPr>
              <w:adjustRightInd w:val="0"/>
              <w:snapToGrid w:val="0"/>
              <w:spacing w:line="300" w:lineRule="exact"/>
              <w:jc w:val="center"/>
              <w:rPr>
                <w:kern w:val="0"/>
              </w:rPr>
            </w:pPr>
            <w:r>
              <w:rPr>
                <w:rFonts w:hint="eastAsia"/>
                <w:kern w:val="0"/>
              </w:rPr>
              <w:t>3.7</w:t>
            </w:r>
          </w:p>
        </w:tc>
        <w:tc>
          <w:tcPr>
            <w:tcW w:w="2539" w:type="dxa"/>
            <w:tcBorders>
              <w:bottom w:val="single" w:color="auto" w:sz="4" w:space="0"/>
            </w:tcBorders>
            <w:vAlign w:val="center"/>
          </w:tcPr>
          <w:p>
            <w:pPr>
              <w:adjustRightInd w:val="0"/>
              <w:snapToGrid w:val="0"/>
              <w:spacing w:line="260" w:lineRule="exact"/>
              <w:jc w:val="center"/>
              <w:rPr>
                <w:rFonts w:ascii="宋体" w:hAnsi="宋体"/>
                <w:szCs w:val="21"/>
              </w:rPr>
            </w:pPr>
            <w:r>
              <w:rPr>
                <w:rFonts w:hint="eastAsia" w:ascii="宋体" w:hAnsi="宋体" w:cs="宋体"/>
                <w:szCs w:val="21"/>
              </w:rPr>
              <w:t>第3.7.2项补充</w:t>
            </w:r>
          </w:p>
        </w:tc>
        <w:tc>
          <w:tcPr>
            <w:tcW w:w="5794" w:type="dxa"/>
            <w:tcBorders>
              <w:bottom w:val="single" w:color="auto" w:sz="4" w:space="0"/>
            </w:tcBorders>
            <w:vAlign w:val="center"/>
          </w:tcPr>
          <w:p>
            <w:pPr>
              <w:adjustRightInd w:val="0"/>
              <w:snapToGrid w:val="0"/>
              <w:spacing w:line="260" w:lineRule="exact"/>
              <w:rPr>
                <w:rFonts w:ascii="宋体" w:hAnsi="宋体"/>
                <w:szCs w:val="21"/>
              </w:rPr>
            </w:pPr>
            <w:r>
              <w:rPr>
                <w:rFonts w:hint="eastAsia" w:ascii="宋体" w:hAnsi="宋体" w:cs="宋体"/>
                <w:szCs w:val="21"/>
              </w:rPr>
              <w:t>投标文件中填写的项目名称、标段号、招标人名称等关键信息应与招标文件一致。投标文件中填写的时间、投标人名称等关键信息应不得有明显严重错误。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 w:hRule="atLeast"/>
          <w:jc w:val="center"/>
        </w:trPr>
        <w:tc>
          <w:tcPr>
            <w:tcW w:w="1124" w:type="dxa"/>
            <w:vMerge w:val="continue"/>
            <w:vAlign w:val="center"/>
          </w:tcPr>
          <w:p>
            <w:pPr>
              <w:adjustRightInd w:val="0"/>
              <w:snapToGrid w:val="0"/>
              <w:spacing w:line="300" w:lineRule="exact"/>
              <w:jc w:val="center"/>
              <w:rPr>
                <w:kern w:val="0"/>
              </w:rPr>
            </w:pPr>
          </w:p>
        </w:tc>
        <w:tc>
          <w:tcPr>
            <w:tcW w:w="2539" w:type="dxa"/>
            <w:tcBorders>
              <w:top w:val="single" w:color="auto" w:sz="4" w:space="0"/>
            </w:tcBorders>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第3.7.4项补充</w:t>
            </w:r>
          </w:p>
        </w:tc>
        <w:tc>
          <w:tcPr>
            <w:tcW w:w="5794" w:type="dxa"/>
            <w:tcBorders>
              <w:top w:val="single" w:color="auto" w:sz="4" w:space="0"/>
            </w:tcBorders>
            <w:vAlign w:val="center"/>
          </w:tcPr>
          <w:p>
            <w:pPr>
              <w:adjustRightInd w:val="0"/>
              <w:snapToGrid w:val="0"/>
              <w:spacing w:line="260" w:lineRule="exact"/>
              <w:rPr>
                <w:rFonts w:ascii="宋体" w:hAnsi="宋体"/>
                <w:szCs w:val="21"/>
              </w:rPr>
            </w:pPr>
            <w:r>
              <w:rPr>
                <w:rFonts w:hint="eastAsia" w:ascii="宋体" w:hAnsi="宋体"/>
                <w:szCs w:val="21"/>
              </w:rPr>
              <w:t>投标文件副本应为正本的彩色或黑白复印件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7.8</w:t>
            </w:r>
          </w:p>
        </w:tc>
        <w:tc>
          <w:tcPr>
            <w:tcW w:w="2539" w:type="dxa"/>
            <w:vAlign w:val="center"/>
          </w:tcPr>
          <w:p>
            <w:pPr>
              <w:adjustRightInd w:val="0"/>
              <w:snapToGrid w:val="0"/>
              <w:spacing w:line="260" w:lineRule="exact"/>
              <w:ind w:right="-27"/>
              <w:jc w:val="center"/>
              <w:rPr>
                <w:rFonts w:ascii="宋体" w:hAnsi="宋体" w:cs="宋体"/>
                <w:b/>
                <w:szCs w:val="21"/>
              </w:rPr>
            </w:pPr>
            <w:r>
              <w:rPr>
                <w:rFonts w:hint="eastAsia" w:ascii="宋体" w:hAnsi="宋体" w:cs="宋体"/>
                <w:szCs w:val="21"/>
              </w:rPr>
              <w:t>补充第7.8.6款</w:t>
            </w:r>
          </w:p>
        </w:tc>
        <w:tc>
          <w:tcPr>
            <w:tcW w:w="5794" w:type="dxa"/>
            <w:vAlign w:val="center"/>
          </w:tcPr>
          <w:p>
            <w:pPr>
              <w:adjustRightInd w:val="0"/>
              <w:snapToGrid w:val="0"/>
              <w:rPr>
                <w:rFonts w:ascii="宋体" w:hAnsi="宋体" w:cs="宋体"/>
                <w:b/>
                <w:szCs w:val="21"/>
              </w:rPr>
            </w:pPr>
            <w:r>
              <w:rPr>
                <w:rFonts w:hint="eastAsia" w:ascii="宋体" w:hAnsi="宋体" w:cs="宋体"/>
                <w:szCs w:val="21"/>
              </w:rPr>
              <w:t>如果根据本章第3.5.9项、第7.7.2项及第7.8.1项规定，招标人取消了中标人的中标资格，在此情况下，招标人可将合同授予下一个中标候选人，或者按规定重新组织招标。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autoSpaceDE w:val="0"/>
              <w:autoSpaceDN w:val="0"/>
              <w:adjustRightInd w:val="0"/>
              <w:snapToGrid w:val="0"/>
              <w:jc w:val="center"/>
              <w:rPr>
                <w:kern w:val="0"/>
                <w:szCs w:val="21"/>
              </w:rPr>
            </w:pPr>
            <w:r>
              <w:rPr>
                <w:rFonts w:hint="eastAsia"/>
                <w:kern w:val="0"/>
                <w:szCs w:val="21"/>
              </w:rPr>
              <w:t>10</w:t>
            </w:r>
          </w:p>
        </w:tc>
        <w:tc>
          <w:tcPr>
            <w:tcW w:w="2539" w:type="dxa"/>
            <w:vAlign w:val="center"/>
          </w:tcPr>
          <w:p>
            <w:pPr>
              <w:adjustRightInd w:val="0"/>
              <w:snapToGrid w:val="0"/>
              <w:jc w:val="center"/>
              <w:rPr>
                <w:szCs w:val="21"/>
              </w:rPr>
            </w:pPr>
            <w:r>
              <w:rPr>
                <w:rFonts w:hint="eastAsia"/>
                <w:szCs w:val="21"/>
              </w:rPr>
              <w:t>补充第10.3款</w:t>
            </w:r>
          </w:p>
        </w:tc>
        <w:tc>
          <w:tcPr>
            <w:tcW w:w="5794" w:type="dxa"/>
            <w:vAlign w:val="center"/>
          </w:tcPr>
          <w:p>
            <w:pPr>
              <w:spacing w:line="260" w:lineRule="exact"/>
              <w:rPr>
                <w:szCs w:val="21"/>
              </w:rPr>
            </w:pPr>
            <w:r>
              <w:rPr>
                <w:rFonts w:ascii="宋体" w:hAnsi="宋体"/>
                <w:szCs w:val="21"/>
              </w:rPr>
              <w:t>10.3投标人应在国家企业信用信息公示系统（http://www.gsxt.gov.cn/）中自行公示除股东（股份公司为发起人）姓名以外的详细出资信息，并按照《企业信息公示暂行条例》（国务院令第654号）和国家工商总局关于贯彻落实《企业信息公示暂行条例》有关问题的通知（工商外企字[2014]166号）中的规定填写。</w:t>
            </w:r>
          </w:p>
        </w:tc>
      </w:tr>
    </w:tbl>
    <w:p>
      <w:pPr>
        <w:spacing w:line="360" w:lineRule="auto"/>
        <w:jc w:val="center"/>
      </w:pPr>
    </w:p>
    <w:p>
      <w:pPr>
        <w:spacing w:line="360" w:lineRule="auto"/>
      </w:pPr>
    </w:p>
    <w:p>
      <w:pPr>
        <w:spacing w:line="360" w:lineRule="auto"/>
        <w:jc w:val="center"/>
        <w:rPr>
          <w:rFonts w:ascii="黑体" w:eastAsia="黑体"/>
          <w:b/>
          <w:sz w:val="30"/>
          <w:szCs w:val="30"/>
        </w:rPr>
        <w:sectPr>
          <w:endnotePr>
            <w:numFmt w:val="decimal"/>
          </w:endnotePr>
          <w:pgSz w:w="11906" w:h="16838"/>
          <w:pgMar w:top="1247" w:right="1247" w:bottom="1247" w:left="1304" w:header="794" w:footer="794" w:gutter="0"/>
          <w:cols w:space="720" w:num="1"/>
          <w:docGrid w:linePitch="312" w:charSpace="0"/>
        </w:sectPr>
      </w:pPr>
    </w:p>
    <w:p>
      <w:pPr>
        <w:spacing w:line="360" w:lineRule="auto"/>
        <w:jc w:val="center"/>
        <w:rPr>
          <w:rFonts w:ascii="黑体" w:eastAsia="黑体"/>
          <w:b/>
          <w:sz w:val="30"/>
          <w:szCs w:val="30"/>
        </w:rPr>
      </w:pPr>
      <w:r>
        <w:rPr>
          <w:rFonts w:hint="eastAsia" w:ascii="黑体" w:eastAsia="黑体"/>
          <w:b/>
          <w:sz w:val="30"/>
          <w:szCs w:val="30"/>
        </w:rPr>
        <w:t>附录1资格审查条件（资质最低要求）</w:t>
      </w:r>
    </w:p>
    <w:tbl>
      <w:tblPr>
        <w:tblStyle w:val="30"/>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9381" w:type="dxa"/>
            <w:tcBorders>
              <w:top w:val="single" w:color="auto" w:sz="12" w:space="0"/>
              <w:left w:val="single" w:color="auto" w:sz="12" w:space="0"/>
              <w:right w:val="single" w:color="auto" w:sz="12" w:space="0"/>
            </w:tcBorders>
            <w:vAlign w:val="center"/>
          </w:tcPr>
          <w:p>
            <w:pPr>
              <w:spacing w:line="320" w:lineRule="exact"/>
              <w:jc w:val="center"/>
              <w:rPr>
                <w:sz w:val="24"/>
              </w:rPr>
            </w:pPr>
            <w:r>
              <w:rPr>
                <w:rFonts w:hint="eastAsia"/>
                <w:sz w:val="24"/>
              </w:rPr>
              <w:t>监理企业资质等级要求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9381" w:type="dxa"/>
            <w:tcBorders>
              <w:left w:val="single" w:color="auto" w:sz="12" w:space="0"/>
              <w:bottom w:val="single" w:color="auto" w:sz="12" w:space="0"/>
              <w:right w:val="single" w:color="auto" w:sz="12" w:space="0"/>
            </w:tcBorders>
            <w:vAlign w:val="center"/>
          </w:tcPr>
          <w:p>
            <w:pPr>
              <w:spacing w:line="320" w:lineRule="exact"/>
              <w:jc w:val="center"/>
              <w:rPr>
                <w:rFonts w:ascii="宋体" w:hAnsi="宋体"/>
                <w:sz w:val="24"/>
              </w:rPr>
            </w:pPr>
            <w:r>
              <w:rPr>
                <w:rFonts w:hint="eastAsia" w:ascii="宋体" w:hAnsi="宋体" w:cs="宋体"/>
                <w:kern w:val="0"/>
                <w:sz w:val="24"/>
              </w:rPr>
              <w:t>具备建设行政主管部门颁发的工程监理综合资质或同时具备铁路工程监理专业甲级资质、市政公用工程监理专业乙级（或以上）资质、电力工程监理专业乙级（或以上）资质﹑通信工程监理专业乙级（或以上）资质。</w:t>
            </w:r>
          </w:p>
        </w:tc>
      </w:tr>
    </w:tbl>
    <w:p>
      <w:pPr>
        <w:spacing w:line="360" w:lineRule="auto"/>
        <w:jc w:val="center"/>
        <w:rPr>
          <w:rFonts w:ascii="黑体" w:eastAsia="黑体" w:cs="黑体"/>
          <w:b/>
          <w:sz w:val="30"/>
          <w:szCs w:val="30"/>
        </w:rPr>
      </w:pPr>
    </w:p>
    <w:p>
      <w:pPr>
        <w:spacing w:line="360" w:lineRule="auto"/>
        <w:jc w:val="center"/>
        <w:rPr>
          <w:rFonts w:ascii="黑体" w:eastAsia="黑体"/>
          <w:b/>
          <w:sz w:val="30"/>
          <w:szCs w:val="30"/>
        </w:rPr>
      </w:pPr>
      <w:r>
        <w:rPr>
          <w:rFonts w:hint="eastAsia" w:ascii="黑体" w:eastAsia="黑体"/>
          <w:b/>
          <w:sz w:val="30"/>
          <w:szCs w:val="30"/>
        </w:rPr>
        <w:t>附录2资格审查条件（业绩最低要求）</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1" w:hRule="atLeast"/>
          <w:jc w:val="center"/>
        </w:trPr>
        <w:tc>
          <w:tcPr>
            <w:tcW w:w="9183" w:type="dxa"/>
            <w:vAlign w:val="center"/>
          </w:tcPr>
          <w:p>
            <w:pPr>
              <w:spacing w:line="320" w:lineRule="exact"/>
              <w:jc w:val="center"/>
              <w:rPr>
                <w:sz w:val="24"/>
              </w:rPr>
            </w:pPr>
            <w:r>
              <w:rPr>
                <w:rFonts w:hint="eastAsia"/>
                <w:sz w:val="24"/>
              </w:rPr>
              <w:t>业绩要求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22" w:hRule="atLeast"/>
          <w:jc w:val="center"/>
        </w:trPr>
        <w:tc>
          <w:tcPr>
            <w:tcW w:w="9183" w:type="dxa"/>
            <w:vAlign w:val="center"/>
          </w:tcPr>
          <w:p>
            <w:pPr>
              <w:wordWrap w:val="0"/>
              <w:spacing w:line="360" w:lineRule="auto"/>
              <w:ind w:firstLine="480" w:firstLineChars="200"/>
              <w:rPr>
                <w:rFonts w:ascii="宋体" w:cs="宋体"/>
                <w:bCs/>
                <w:color w:val="FF0000"/>
                <w:kern w:val="0"/>
                <w:sz w:val="24"/>
              </w:rPr>
            </w:pPr>
            <w:r>
              <w:rPr>
                <w:rFonts w:hint="eastAsia" w:ascii="宋体" w:cs="宋体"/>
                <w:bCs/>
                <w:color w:val="FF0000"/>
                <w:kern w:val="0"/>
                <w:sz w:val="24"/>
              </w:rPr>
              <w:t>近五年内（</w:t>
            </w:r>
            <w:r>
              <w:rPr>
                <w:rFonts w:hint="eastAsia" w:ascii="宋体" w:hAnsi="宋体"/>
                <w:color w:val="FF0000"/>
                <w:sz w:val="24"/>
              </w:rPr>
              <w:t>2018年1月1日至投标截止之日</w:t>
            </w:r>
            <w:r>
              <w:rPr>
                <w:rFonts w:hint="eastAsia" w:ascii="宋体" w:cs="宋体"/>
                <w:bCs/>
                <w:color w:val="FF0000"/>
                <w:kern w:val="0"/>
                <w:sz w:val="24"/>
              </w:rPr>
              <w:t>）至少完成过一项铁路建设涉及的“三电及管线迁改”内容的监理业绩。</w:t>
            </w:r>
          </w:p>
          <w:p>
            <w:pPr>
              <w:wordWrap w:val="0"/>
              <w:spacing w:line="360" w:lineRule="auto"/>
              <w:ind w:firstLine="480" w:firstLineChars="200"/>
            </w:pPr>
            <w:r>
              <w:rPr>
                <w:rFonts w:hint="eastAsia" w:ascii="宋体" w:hAnsi="宋体"/>
                <w:sz w:val="24"/>
              </w:rPr>
              <w:t>企业</w:t>
            </w:r>
            <w:r>
              <w:rPr>
                <w:rFonts w:hint="eastAsia"/>
                <w:sz w:val="24"/>
              </w:rPr>
              <w:t>业绩认定时间以交工验收为准；</w:t>
            </w:r>
            <w:r>
              <w:rPr>
                <w:sz w:val="24"/>
              </w:rPr>
              <w:t>投标人应提供</w:t>
            </w:r>
            <w:r>
              <w:rPr>
                <w:rFonts w:hint="eastAsia"/>
                <w:sz w:val="24"/>
              </w:rPr>
              <w:t>监理合同或中标通知书。</w:t>
            </w:r>
          </w:p>
        </w:tc>
      </w:tr>
    </w:tbl>
    <w:p>
      <w:pPr>
        <w:spacing w:line="360" w:lineRule="auto"/>
        <w:jc w:val="center"/>
        <w:rPr>
          <w:rFonts w:ascii="黑体" w:eastAsia="黑体" w:cs="黑体"/>
          <w:b/>
          <w:sz w:val="30"/>
          <w:szCs w:val="30"/>
        </w:rPr>
      </w:pPr>
      <w:r>
        <w:rPr>
          <w:rFonts w:hint="eastAsia" w:ascii="黑体" w:eastAsia="黑体" w:cs="黑体"/>
          <w:b/>
          <w:sz w:val="30"/>
          <w:szCs w:val="30"/>
        </w:rPr>
        <w:br w:type="page"/>
      </w:r>
    </w:p>
    <w:p>
      <w:pPr>
        <w:spacing w:line="360" w:lineRule="auto"/>
        <w:jc w:val="center"/>
        <w:rPr>
          <w:b/>
        </w:rPr>
      </w:pPr>
      <w:r>
        <w:rPr>
          <w:rFonts w:hint="eastAsia" w:ascii="黑体" w:eastAsia="黑体"/>
          <w:b/>
          <w:sz w:val="30"/>
          <w:szCs w:val="30"/>
        </w:rPr>
        <w:t>附录3资格审查条件（信誉最低要求）</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9" w:hRule="atLeast"/>
          <w:jc w:val="center"/>
        </w:trPr>
        <w:tc>
          <w:tcPr>
            <w:tcW w:w="9374" w:type="dxa"/>
            <w:vAlign w:val="center"/>
          </w:tcPr>
          <w:p>
            <w:pPr>
              <w:spacing w:line="320" w:lineRule="exact"/>
              <w:jc w:val="center"/>
              <w:rPr>
                <w:sz w:val="24"/>
              </w:rPr>
            </w:pPr>
            <w:r>
              <w:rPr>
                <w:rFonts w:hint="eastAsia"/>
                <w:sz w:val="24"/>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55" w:hRule="atLeast"/>
          <w:jc w:val="center"/>
        </w:trPr>
        <w:tc>
          <w:tcPr>
            <w:tcW w:w="9374" w:type="dxa"/>
            <w:vAlign w:val="center"/>
          </w:tcPr>
          <w:p>
            <w:pPr>
              <w:adjustRightInd w:val="0"/>
              <w:snapToGrid w:val="0"/>
              <w:spacing w:line="360" w:lineRule="auto"/>
              <w:ind w:firstLine="480" w:firstLineChars="200"/>
              <w:rPr>
                <w:sz w:val="24"/>
              </w:rPr>
            </w:pPr>
          </w:p>
          <w:p>
            <w:pPr>
              <w:spacing w:line="408" w:lineRule="auto"/>
              <w:ind w:firstLine="480" w:firstLineChars="200"/>
              <w:rPr>
                <w:rFonts w:ascii="宋体" w:hAnsi="宋体" w:cs="宋体"/>
                <w:sz w:val="24"/>
              </w:rPr>
            </w:pPr>
            <w:r>
              <w:rPr>
                <w:rFonts w:hint="eastAsia" w:ascii="宋体" w:hAnsi="宋体" w:cs="宋体"/>
                <w:sz w:val="24"/>
              </w:rPr>
              <w:t>1、企业单位在国家企业信用信息公示系统（http://www.gsxt.gov.cn/）中无经营异常情况。</w:t>
            </w:r>
          </w:p>
          <w:p>
            <w:pPr>
              <w:adjustRightInd w:val="0"/>
              <w:snapToGrid w:val="0"/>
              <w:spacing w:line="360" w:lineRule="auto"/>
              <w:ind w:firstLine="480" w:firstLineChars="200"/>
              <w:rPr>
                <w:sz w:val="24"/>
              </w:rPr>
            </w:pPr>
          </w:p>
        </w:tc>
      </w:tr>
    </w:tbl>
    <w:p>
      <w:pPr>
        <w:spacing w:line="360" w:lineRule="auto"/>
        <w:jc w:val="center"/>
        <w:rPr>
          <w:rFonts w:ascii="黑体" w:eastAsia="黑体" w:cs="黑体"/>
          <w:b/>
          <w:sz w:val="30"/>
          <w:szCs w:val="30"/>
        </w:rPr>
      </w:pPr>
      <w:r>
        <w:rPr>
          <w:rFonts w:hint="eastAsia" w:ascii="黑体" w:eastAsia="黑体" w:cs="黑体"/>
          <w:b/>
          <w:sz w:val="30"/>
          <w:szCs w:val="30"/>
        </w:rPr>
        <w:br w:type="page"/>
      </w:r>
    </w:p>
    <w:p>
      <w:pPr>
        <w:spacing w:line="360" w:lineRule="auto"/>
        <w:jc w:val="center"/>
        <w:rPr>
          <w:rFonts w:ascii="黑体" w:eastAsia="黑体"/>
          <w:b/>
          <w:sz w:val="30"/>
          <w:szCs w:val="30"/>
        </w:rPr>
      </w:pPr>
      <w:r>
        <w:rPr>
          <w:rFonts w:hint="eastAsia" w:ascii="黑体" w:eastAsia="黑体"/>
          <w:b/>
          <w:sz w:val="30"/>
          <w:szCs w:val="30"/>
        </w:rPr>
        <w:t>附录4资格审查条件（</w:t>
      </w:r>
      <w:r>
        <w:rPr>
          <w:rFonts w:ascii="黑体" w:eastAsia="黑体"/>
          <w:b/>
          <w:sz w:val="30"/>
          <w:szCs w:val="30"/>
        </w:rPr>
        <w:t>总监理工程师</w:t>
      </w:r>
      <w:r>
        <w:rPr>
          <w:rFonts w:hint="eastAsia" w:ascii="黑体" w:eastAsia="黑体"/>
          <w:b/>
          <w:sz w:val="30"/>
          <w:szCs w:val="30"/>
        </w:rPr>
        <w:t>最低要求）</w:t>
      </w:r>
    </w:p>
    <w:tbl>
      <w:tblPr>
        <w:tblStyle w:val="30"/>
        <w:tblW w:w="96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5"/>
        <w:gridCol w:w="747"/>
        <w:gridCol w:w="5647"/>
        <w:gridCol w:w="19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1335" w:type="dxa"/>
            <w:vAlign w:val="center"/>
          </w:tcPr>
          <w:p>
            <w:pPr>
              <w:spacing w:line="320" w:lineRule="exact"/>
              <w:jc w:val="center"/>
              <w:rPr>
                <w:sz w:val="24"/>
              </w:rPr>
            </w:pPr>
            <w:r>
              <w:rPr>
                <w:rFonts w:hint="eastAsia"/>
                <w:sz w:val="24"/>
              </w:rPr>
              <w:t>人员</w:t>
            </w:r>
          </w:p>
        </w:tc>
        <w:tc>
          <w:tcPr>
            <w:tcW w:w="747" w:type="dxa"/>
            <w:vAlign w:val="center"/>
          </w:tcPr>
          <w:p>
            <w:pPr>
              <w:spacing w:line="320" w:lineRule="exact"/>
              <w:jc w:val="center"/>
              <w:rPr>
                <w:sz w:val="24"/>
              </w:rPr>
            </w:pPr>
            <w:r>
              <w:rPr>
                <w:rFonts w:hint="eastAsia"/>
                <w:sz w:val="24"/>
              </w:rPr>
              <w:t>数量</w:t>
            </w:r>
          </w:p>
        </w:tc>
        <w:tc>
          <w:tcPr>
            <w:tcW w:w="5647" w:type="dxa"/>
            <w:vAlign w:val="center"/>
          </w:tcPr>
          <w:p>
            <w:pPr>
              <w:spacing w:line="320" w:lineRule="exact"/>
              <w:jc w:val="center"/>
              <w:rPr>
                <w:sz w:val="24"/>
              </w:rPr>
            </w:pPr>
            <w:r>
              <w:rPr>
                <w:rFonts w:hint="eastAsia"/>
                <w:sz w:val="24"/>
              </w:rPr>
              <w:t xml:space="preserve">资 格 </w:t>
            </w:r>
            <w:r>
              <w:rPr>
                <w:sz w:val="24"/>
              </w:rPr>
              <w:t>要</w:t>
            </w:r>
            <w:r>
              <w:rPr>
                <w:rFonts w:hint="eastAsia"/>
                <w:sz w:val="24"/>
              </w:rPr>
              <w:t xml:space="preserve"> </w:t>
            </w:r>
            <w:r>
              <w:rPr>
                <w:sz w:val="24"/>
              </w:rPr>
              <w:t>求</w:t>
            </w:r>
          </w:p>
        </w:tc>
        <w:tc>
          <w:tcPr>
            <w:tcW w:w="1914" w:type="dxa"/>
            <w:vAlign w:val="center"/>
          </w:tcPr>
          <w:p>
            <w:pPr>
              <w:spacing w:line="320" w:lineRule="exact"/>
              <w:jc w:val="center"/>
              <w:rPr>
                <w:sz w:val="24"/>
              </w:rPr>
            </w:pPr>
            <w:r>
              <w:rPr>
                <w:rFonts w:hint="eastAsia"/>
                <w:sz w:val="24"/>
              </w:rPr>
              <w:t>在岗要求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4" w:hRule="atLeast"/>
          <w:jc w:val="center"/>
        </w:trPr>
        <w:tc>
          <w:tcPr>
            <w:tcW w:w="1335" w:type="dxa"/>
            <w:vAlign w:val="center"/>
          </w:tcPr>
          <w:p>
            <w:pPr>
              <w:jc w:val="center"/>
              <w:rPr>
                <w:sz w:val="24"/>
              </w:rPr>
            </w:pPr>
            <w:r>
              <w:rPr>
                <w:sz w:val="24"/>
              </w:rPr>
              <w:t>总监理</w:t>
            </w:r>
          </w:p>
          <w:p>
            <w:pPr>
              <w:spacing w:line="360" w:lineRule="exact"/>
              <w:jc w:val="center"/>
              <w:rPr>
                <w:sz w:val="24"/>
              </w:rPr>
            </w:pPr>
            <w:r>
              <w:rPr>
                <w:sz w:val="24"/>
              </w:rPr>
              <w:t>工程师</w:t>
            </w:r>
          </w:p>
        </w:tc>
        <w:tc>
          <w:tcPr>
            <w:tcW w:w="747" w:type="dxa"/>
            <w:vAlign w:val="center"/>
          </w:tcPr>
          <w:p>
            <w:pPr>
              <w:jc w:val="center"/>
              <w:rPr>
                <w:sz w:val="24"/>
              </w:rPr>
            </w:pPr>
            <w:r>
              <w:rPr>
                <w:rFonts w:hint="eastAsia"/>
                <w:sz w:val="24"/>
              </w:rPr>
              <w:t>1</w:t>
            </w:r>
          </w:p>
        </w:tc>
        <w:tc>
          <w:tcPr>
            <w:tcW w:w="5647" w:type="dxa"/>
            <w:vAlign w:val="center"/>
          </w:tcPr>
          <w:p>
            <w:pPr>
              <w:spacing w:line="360" w:lineRule="auto"/>
              <w:ind w:firstLine="236" w:firstLineChars="100"/>
              <w:rPr>
                <w:spacing w:val="-2"/>
                <w:sz w:val="24"/>
              </w:rPr>
            </w:pPr>
            <w:r>
              <w:rPr>
                <w:rFonts w:hint="eastAsia" w:ascii="宋体" w:hAnsi="宋体"/>
                <w:spacing w:val="-2"/>
                <w:sz w:val="24"/>
              </w:rPr>
              <w:t>具有建设行政主管部门颁发的程监理工程师资格（专业包含铁路、通信、电力、市政公用工程中任意两项）</w:t>
            </w:r>
            <w:r>
              <w:rPr>
                <w:rFonts w:hint="eastAsia" w:ascii="宋体" w:cs="宋体"/>
                <w:kern w:val="0"/>
                <w:sz w:val="24"/>
              </w:rPr>
              <w:t>，且已在投标人处进行岗位登记，</w:t>
            </w:r>
            <w:r>
              <w:rPr>
                <w:rFonts w:hint="eastAsia"/>
                <w:spacing w:val="-2"/>
                <w:sz w:val="24"/>
              </w:rPr>
              <w:t>具有工程技术类中级或以上技术职称</w:t>
            </w:r>
            <w:r>
              <w:rPr>
                <w:rFonts w:hint="eastAsia" w:ascii="宋体" w:cs="宋体"/>
                <w:kern w:val="0"/>
                <w:sz w:val="24"/>
              </w:rPr>
              <w:t>，五年以上现场工程监理经历。</w:t>
            </w:r>
            <w:r>
              <w:rPr>
                <w:spacing w:val="-2"/>
                <w:sz w:val="24"/>
              </w:rPr>
              <w:t xml:space="preserve"> </w:t>
            </w:r>
          </w:p>
        </w:tc>
        <w:tc>
          <w:tcPr>
            <w:tcW w:w="1914" w:type="dxa"/>
            <w:vAlign w:val="center"/>
          </w:tcPr>
          <w:p>
            <w:pPr>
              <w:spacing w:line="360" w:lineRule="exact"/>
              <w:jc w:val="center"/>
              <w:rPr>
                <w:sz w:val="24"/>
              </w:rPr>
            </w:pPr>
            <w:r>
              <w:rPr>
                <w:rFonts w:hint="eastAsia" w:ascii="宋体" w:hAnsi="宋体"/>
                <w:sz w:val="24"/>
              </w:rPr>
              <w:t>无在岗项目（指目前未在其他项目上任职，或虽在其他项目上任职但本项目中标后能够从该项目撤离）</w:t>
            </w:r>
          </w:p>
        </w:tc>
      </w:tr>
    </w:tbl>
    <w:p>
      <w:pPr>
        <w:tabs>
          <w:tab w:val="center" w:pos="4734"/>
          <w:tab w:val="left" w:pos="6300"/>
        </w:tabs>
        <w:spacing w:line="360" w:lineRule="auto"/>
        <w:ind w:firstLine="403"/>
        <w:rPr>
          <w:sz w:val="24"/>
        </w:rPr>
      </w:pPr>
    </w:p>
    <w:p>
      <w:pPr>
        <w:tabs>
          <w:tab w:val="center" w:pos="4734"/>
          <w:tab w:val="left" w:pos="6300"/>
        </w:tabs>
        <w:spacing w:line="360" w:lineRule="auto"/>
        <w:ind w:firstLine="403"/>
        <w:rPr>
          <w:sz w:val="24"/>
        </w:rPr>
      </w:pPr>
      <w:r>
        <w:rPr>
          <w:rFonts w:hint="eastAsia"/>
          <w:sz w:val="24"/>
        </w:rPr>
        <w:t>注：1、总监理工程师必须为投标人自有人员，岗位登记聘用单位与投标人一致。</w:t>
      </w:r>
    </w:p>
    <w:p>
      <w:pPr>
        <w:pStyle w:val="4"/>
        <w:spacing w:before="0" w:after="0" w:line="240" w:lineRule="auto"/>
        <w:jc w:val="center"/>
      </w:pPr>
      <w:r>
        <w:br w:type="page"/>
      </w:r>
      <w:r>
        <w:t>投标</w:t>
      </w:r>
      <w:r>
        <w:rPr>
          <w:rFonts w:hint="eastAsia"/>
        </w:rPr>
        <w:t>人</w:t>
      </w:r>
      <w:r>
        <w:t>须知</w:t>
      </w:r>
    </w:p>
    <w:p>
      <w:pPr>
        <w:spacing w:before="13" w:line="420" w:lineRule="exact"/>
        <w:ind w:left="168" w:right="106"/>
        <w:rPr>
          <w:b/>
          <w:bCs/>
          <w:sz w:val="24"/>
        </w:rPr>
      </w:pPr>
      <w:bookmarkStart w:id="6" w:name="_Toc196474983"/>
      <w:r>
        <w:rPr>
          <w:rFonts w:ascii="Arial" w:hAnsi="Arial" w:eastAsia="Arial" w:cs="Arial"/>
          <w:b/>
          <w:bCs/>
          <w:sz w:val="24"/>
        </w:rPr>
        <w:t>1</w:t>
      </w:r>
      <w:r>
        <w:rPr>
          <w:b/>
          <w:bCs/>
          <w:sz w:val="24"/>
        </w:rPr>
        <w:t>.总则</w:t>
      </w:r>
    </w:p>
    <w:p>
      <w:pPr>
        <w:pStyle w:val="11"/>
        <w:spacing w:before="240" w:line="420" w:lineRule="exact"/>
        <w:ind w:left="168" w:right="106"/>
        <w:rPr>
          <w:sz w:val="24"/>
        </w:rPr>
      </w:pPr>
      <w:r>
        <w:rPr>
          <w:b/>
          <w:bCs/>
          <w:sz w:val="24"/>
        </w:rPr>
        <w:t>1.1项目概况</w:t>
      </w:r>
    </w:p>
    <w:p>
      <w:pPr>
        <w:pStyle w:val="11"/>
        <w:spacing w:before="80" w:line="420" w:lineRule="exact"/>
        <w:ind w:left="177" w:right="138" w:firstLine="480" w:firstLineChars="200"/>
        <w:rPr>
          <w:sz w:val="24"/>
        </w:rPr>
      </w:pPr>
      <w:r>
        <w:rPr>
          <w:sz w:val="24"/>
        </w:rPr>
        <w:t>1.1.1根据《中华人民共和国招标投标法》《中华人民共和国招标投标法实施条例》等有关法律、法规和规章的规定，本招项目己具备招标条件，</w:t>
      </w:r>
      <w:r>
        <w:rPr>
          <w:rFonts w:hint="eastAsia"/>
          <w:sz w:val="24"/>
        </w:rPr>
        <w:t>现对本标段施工监理进行招标。</w:t>
      </w:r>
    </w:p>
    <w:p>
      <w:pPr>
        <w:pStyle w:val="11"/>
        <w:spacing w:before="24" w:line="420" w:lineRule="exact"/>
        <w:ind w:left="657" w:right="106"/>
        <w:rPr>
          <w:sz w:val="24"/>
        </w:rPr>
      </w:pPr>
      <w:r>
        <w:rPr>
          <w:sz w:val="24"/>
        </w:rPr>
        <w:t>1.1.2本招标项目招标人：见投标人须知前附表。</w:t>
      </w:r>
    </w:p>
    <w:p>
      <w:pPr>
        <w:pStyle w:val="11"/>
        <w:spacing w:before="75" w:line="420" w:lineRule="exact"/>
        <w:ind w:left="652" w:right="106"/>
        <w:rPr>
          <w:sz w:val="24"/>
        </w:rPr>
      </w:pPr>
      <w:r>
        <w:rPr>
          <w:sz w:val="24"/>
        </w:rPr>
        <w:t>1.1.3本标段招标代理机构：见投标人须知前附表。</w:t>
      </w:r>
    </w:p>
    <w:p>
      <w:pPr>
        <w:pStyle w:val="11"/>
        <w:spacing w:before="85" w:line="420" w:lineRule="exact"/>
        <w:ind w:left="652" w:right="106"/>
        <w:rPr>
          <w:sz w:val="24"/>
        </w:rPr>
      </w:pPr>
      <w:r>
        <w:rPr>
          <w:sz w:val="24"/>
        </w:rPr>
        <w:t>1.1.4本招标项目名称：见投标人须知前附表。</w:t>
      </w:r>
    </w:p>
    <w:p>
      <w:pPr>
        <w:pStyle w:val="11"/>
        <w:spacing w:before="85" w:line="420" w:lineRule="exact"/>
        <w:ind w:left="652" w:right="106"/>
        <w:rPr>
          <w:sz w:val="24"/>
        </w:rPr>
      </w:pPr>
      <w:r>
        <w:rPr>
          <w:sz w:val="24"/>
        </w:rPr>
        <w:t>1.1.5本标段建设地点：见投标人须知前附表。</w:t>
      </w:r>
    </w:p>
    <w:p>
      <w:pPr>
        <w:pStyle w:val="11"/>
        <w:spacing w:before="75" w:line="420" w:lineRule="exact"/>
        <w:ind w:left="657" w:right="106"/>
        <w:rPr>
          <w:sz w:val="24"/>
        </w:rPr>
      </w:pPr>
      <w:r>
        <w:rPr>
          <w:sz w:val="24"/>
        </w:rPr>
        <w:t>1.1.6本标段建设规模：见投标人须知前附表。</w:t>
      </w:r>
    </w:p>
    <w:p>
      <w:pPr>
        <w:pStyle w:val="11"/>
        <w:spacing w:before="75" w:line="420" w:lineRule="exact"/>
        <w:ind w:left="657" w:right="106"/>
        <w:rPr>
          <w:sz w:val="24"/>
        </w:rPr>
      </w:pPr>
      <w:r>
        <w:rPr>
          <w:rFonts w:hint="eastAsia"/>
          <w:sz w:val="24"/>
        </w:rPr>
        <w:t>1.1.7招标项目施工预计开工日期和建设周期：见投标人须知前附表。</w:t>
      </w:r>
    </w:p>
    <w:p>
      <w:pPr>
        <w:pStyle w:val="11"/>
        <w:spacing w:before="75" w:line="420" w:lineRule="exact"/>
        <w:ind w:left="657" w:right="106"/>
        <w:rPr>
          <w:sz w:val="24"/>
        </w:rPr>
      </w:pPr>
      <w:r>
        <w:rPr>
          <w:rFonts w:hint="eastAsia"/>
          <w:sz w:val="24"/>
        </w:rPr>
        <w:t>1.1.8建筑安装工程费/工程概算：见投标人须知前附表。</w:t>
      </w:r>
    </w:p>
    <w:p>
      <w:pPr>
        <w:spacing w:line="420" w:lineRule="exact"/>
        <w:ind w:left="168" w:right="106"/>
        <w:rPr>
          <w:b/>
          <w:bCs/>
          <w:sz w:val="24"/>
        </w:rPr>
      </w:pPr>
      <w:r>
        <w:rPr>
          <w:rFonts w:cs="Arial"/>
          <w:b/>
          <w:bCs/>
          <w:sz w:val="24"/>
        </w:rPr>
        <w:t>1.2</w:t>
      </w:r>
      <w:r>
        <w:rPr>
          <w:b/>
          <w:bCs/>
          <w:sz w:val="24"/>
        </w:rPr>
        <w:t>招标项目的资金来源和落实情况</w:t>
      </w:r>
    </w:p>
    <w:p>
      <w:pPr>
        <w:pStyle w:val="11"/>
        <w:spacing w:line="420" w:lineRule="exact"/>
        <w:ind w:left="652" w:right="106"/>
        <w:rPr>
          <w:sz w:val="24"/>
        </w:rPr>
      </w:pPr>
      <w:r>
        <w:rPr>
          <w:sz w:val="24"/>
        </w:rPr>
        <w:t>1.2.1</w:t>
      </w:r>
      <w:r>
        <w:rPr>
          <w:rFonts w:hint="eastAsia"/>
          <w:sz w:val="24"/>
        </w:rPr>
        <w:t>资金来源及比例：见投标人须知前附。</w:t>
      </w:r>
    </w:p>
    <w:p>
      <w:pPr>
        <w:pStyle w:val="11"/>
        <w:spacing w:before="143" w:line="420" w:lineRule="exact"/>
        <w:ind w:left="657" w:right="106"/>
        <w:rPr>
          <w:sz w:val="24"/>
        </w:rPr>
      </w:pPr>
      <w:r>
        <w:rPr>
          <w:sz w:val="24"/>
        </w:rPr>
        <w:t>1.2.2</w:t>
      </w:r>
      <w:r>
        <w:rPr>
          <w:rFonts w:hint="eastAsia"/>
          <w:sz w:val="24"/>
        </w:rPr>
        <w:t>资金落实情况：见投标人须知前附表。</w:t>
      </w:r>
    </w:p>
    <w:p>
      <w:pPr>
        <w:spacing w:line="420" w:lineRule="exact"/>
        <w:ind w:left="168" w:right="106"/>
        <w:rPr>
          <w:b/>
          <w:bCs/>
          <w:sz w:val="24"/>
        </w:rPr>
      </w:pPr>
      <w:r>
        <w:rPr>
          <w:rFonts w:cs="Arial"/>
          <w:b/>
          <w:bCs/>
          <w:sz w:val="24"/>
        </w:rPr>
        <w:t>1.3</w:t>
      </w:r>
      <w:r>
        <w:rPr>
          <w:b/>
          <w:bCs/>
          <w:sz w:val="24"/>
        </w:rPr>
        <w:t>招标范围、</w:t>
      </w:r>
      <w:r>
        <w:rPr>
          <w:rFonts w:hint="eastAsia"/>
          <w:b/>
          <w:bCs/>
          <w:sz w:val="24"/>
        </w:rPr>
        <w:t>监理服务期限</w:t>
      </w:r>
      <w:r>
        <w:rPr>
          <w:b/>
          <w:bCs/>
          <w:sz w:val="24"/>
        </w:rPr>
        <w:t>、质量要求和安全目标</w:t>
      </w:r>
    </w:p>
    <w:p>
      <w:pPr>
        <w:pStyle w:val="11"/>
        <w:spacing w:line="420" w:lineRule="exact"/>
        <w:ind w:left="652" w:right="106"/>
        <w:rPr>
          <w:sz w:val="24"/>
        </w:rPr>
      </w:pPr>
      <w:r>
        <w:rPr>
          <w:sz w:val="24"/>
        </w:rPr>
        <w:t>1.3.1</w:t>
      </w:r>
      <w:r>
        <w:rPr>
          <w:rFonts w:hint="eastAsia"/>
          <w:sz w:val="24"/>
        </w:rPr>
        <w:t>招标范围：见投标人须知前附表。</w:t>
      </w:r>
    </w:p>
    <w:p>
      <w:pPr>
        <w:pStyle w:val="11"/>
        <w:spacing w:before="75" w:line="420" w:lineRule="exact"/>
        <w:ind w:left="657" w:right="106"/>
        <w:rPr>
          <w:sz w:val="24"/>
        </w:rPr>
      </w:pPr>
      <w:r>
        <w:rPr>
          <w:sz w:val="24"/>
        </w:rPr>
        <w:t>1.3.2本标段的</w:t>
      </w:r>
      <w:r>
        <w:rPr>
          <w:rFonts w:hint="eastAsia"/>
          <w:sz w:val="24"/>
        </w:rPr>
        <w:t>监理服务期限</w:t>
      </w:r>
      <w:r>
        <w:rPr>
          <w:sz w:val="24"/>
        </w:rPr>
        <w:t>：见投标人须知前附表。</w:t>
      </w:r>
    </w:p>
    <w:p>
      <w:pPr>
        <w:pStyle w:val="11"/>
        <w:spacing w:before="80" w:line="420" w:lineRule="exact"/>
        <w:ind w:left="657" w:right="106"/>
        <w:rPr>
          <w:sz w:val="24"/>
        </w:rPr>
      </w:pPr>
      <w:r>
        <w:rPr>
          <w:sz w:val="24"/>
        </w:rPr>
        <w:t>1.3.3本标段的质量要求：见投标人须知前附表。</w:t>
      </w:r>
    </w:p>
    <w:p>
      <w:pPr>
        <w:pStyle w:val="11"/>
        <w:spacing w:before="80" w:line="420" w:lineRule="exact"/>
        <w:ind w:left="657" w:right="106"/>
        <w:rPr>
          <w:sz w:val="24"/>
        </w:rPr>
      </w:pPr>
      <w:r>
        <w:rPr>
          <w:sz w:val="24"/>
        </w:rPr>
        <w:t>1.3.4本标段的安全目标：见投标人须知前附表。</w:t>
      </w:r>
    </w:p>
    <w:p>
      <w:pPr>
        <w:pStyle w:val="11"/>
        <w:spacing w:before="12" w:line="420" w:lineRule="exact"/>
        <w:ind w:left="168" w:right="106"/>
        <w:rPr>
          <w:b/>
          <w:bCs/>
          <w:sz w:val="24"/>
        </w:rPr>
      </w:pPr>
      <w:r>
        <w:rPr>
          <w:rFonts w:cs="Arial"/>
          <w:b/>
          <w:bCs/>
          <w:sz w:val="24"/>
        </w:rPr>
        <w:t>1.4</w:t>
      </w:r>
      <w:r>
        <w:rPr>
          <w:b/>
          <w:bCs/>
          <w:sz w:val="24"/>
        </w:rPr>
        <w:t>投标人资格要求</w:t>
      </w:r>
    </w:p>
    <w:p>
      <w:pPr>
        <w:pStyle w:val="11"/>
        <w:spacing w:line="420" w:lineRule="exact"/>
        <w:ind w:left="652" w:right="106"/>
        <w:rPr>
          <w:sz w:val="24"/>
        </w:rPr>
      </w:pPr>
      <w:r>
        <w:rPr>
          <w:sz w:val="24"/>
        </w:rPr>
        <w:t>1.4.1投标人应具备承担本标段</w:t>
      </w:r>
      <w:r>
        <w:rPr>
          <w:rFonts w:hint="eastAsia"/>
          <w:sz w:val="24"/>
        </w:rPr>
        <w:t>施工监理</w:t>
      </w:r>
      <w:r>
        <w:rPr>
          <w:sz w:val="24"/>
        </w:rPr>
        <w:t>的资质条件、能力和信誉。</w:t>
      </w:r>
    </w:p>
    <w:p>
      <w:pPr>
        <w:pStyle w:val="11"/>
        <w:spacing w:before="80" w:line="420" w:lineRule="exact"/>
        <w:ind w:left="657" w:right="106"/>
        <w:rPr>
          <w:sz w:val="24"/>
        </w:rPr>
      </w:pPr>
      <w:r>
        <w:rPr>
          <w:rFonts w:hint="eastAsia"/>
          <w:sz w:val="24"/>
        </w:rPr>
        <w:t>(1)</w:t>
      </w:r>
      <w:r>
        <w:rPr>
          <w:sz w:val="24"/>
        </w:rPr>
        <w:t>资质要求：见投标人须知前附表；</w:t>
      </w:r>
    </w:p>
    <w:p>
      <w:pPr>
        <w:pStyle w:val="11"/>
        <w:spacing w:before="80" w:line="420" w:lineRule="exact"/>
        <w:ind w:left="657" w:right="106"/>
        <w:rPr>
          <w:sz w:val="24"/>
        </w:rPr>
      </w:pPr>
      <w:r>
        <w:rPr>
          <w:rFonts w:hint="eastAsia"/>
          <w:sz w:val="24"/>
        </w:rPr>
        <w:t>(2)</w:t>
      </w:r>
      <w:r>
        <w:rPr>
          <w:sz w:val="24"/>
        </w:rPr>
        <w:t>业绩要求：见投标人须知前附表；</w:t>
      </w:r>
    </w:p>
    <w:p>
      <w:pPr>
        <w:pStyle w:val="11"/>
        <w:spacing w:before="80" w:line="420" w:lineRule="exact"/>
        <w:ind w:left="657" w:right="106"/>
        <w:rPr>
          <w:sz w:val="24"/>
        </w:rPr>
      </w:pPr>
      <w:r>
        <w:rPr>
          <w:rFonts w:hint="eastAsia"/>
          <w:sz w:val="24"/>
        </w:rPr>
        <w:t>(3)</w:t>
      </w:r>
      <w:r>
        <w:rPr>
          <w:sz w:val="24"/>
        </w:rPr>
        <w:t>信誉要求：见投标人须知前附表</w:t>
      </w:r>
      <w:r>
        <w:rPr>
          <w:rFonts w:hint="eastAsia"/>
          <w:sz w:val="24"/>
        </w:rPr>
        <w:t>；</w:t>
      </w:r>
    </w:p>
    <w:p>
      <w:pPr>
        <w:pStyle w:val="11"/>
        <w:spacing w:before="80" w:line="420" w:lineRule="exact"/>
        <w:ind w:left="657" w:right="106"/>
        <w:rPr>
          <w:sz w:val="24"/>
        </w:rPr>
      </w:pPr>
      <w:r>
        <w:rPr>
          <w:rFonts w:hint="eastAsia"/>
          <w:sz w:val="24"/>
        </w:rPr>
        <w:t>(4)</w:t>
      </w:r>
      <w:r>
        <w:rPr>
          <w:rFonts w:hint="eastAsia" w:ascii="宋体" w:hAnsi="宋体"/>
        </w:rPr>
        <w:t xml:space="preserve"> </w:t>
      </w:r>
      <w:r>
        <w:rPr>
          <w:rFonts w:hint="eastAsia"/>
          <w:sz w:val="24"/>
        </w:rPr>
        <w:t>总监理工程师资格</w:t>
      </w:r>
      <w:r>
        <w:rPr>
          <w:sz w:val="24"/>
        </w:rPr>
        <w:t>：见投标人须知前附表</w:t>
      </w:r>
      <w:r>
        <w:rPr>
          <w:rFonts w:hint="eastAsia"/>
          <w:sz w:val="24"/>
        </w:rPr>
        <w:t>；</w:t>
      </w:r>
    </w:p>
    <w:p>
      <w:pPr>
        <w:pStyle w:val="11"/>
        <w:spacing w:before="80" w:line="420" w:lineRule="exact"/>
        <w:ind w:left="657" w:right="106"/>
        <w:rPr>
          <w:sz w:val="24"/>
        </w:rPr>
      </w:pPr>
      <w:r>
        <w:rPr>
          <w:rFonts w:hint="eastAsia"/>
          <w:sz w:val="24"/>
        </w:rPr>
        <w:t>(5)</w:t>
      </w:r>
      <w:r>
        <w:rPr>
          <w:sz w:val="24"/>
        </w:rPr>
        <w:t>其他要求：见投标人须知前附表。</w:t>
      </w:r>
    </w:p>
    <w:p>
      <w:pPr>
        <w:pStyle w:val="11"/>
        <w:spacing w:before="29" w:line="420" w:lineRule="exact"/>
        <w:ind w:left="643" w:right="170"/>
        <w:rPr>
          <w:sz w:val="24"/>
        </w:rPr>
      </w:pPr>
      <w:r>
        <w:rPr>
          <w:sz w:val="24"/>
        </w:rPr>
        <w:t>需要提交的相关证明材料见本章第3.5款的规定。</w:t>
      </w:r>
    </w:p>
    <w:p>
      <w:pPr>
        <w:spacing w:before="87" w:line="420" w:lineRule="exact"/>
        <w:ind w:right="170" w:firstLine="650" w:firstLineChars="271"/>
        <w:rPr>
          <w:sz w:val="24"/>
        </w:rPr>
      </w:pPr>
      <w:r>
        <w:rPr>
          <w:sz w:val="24"/>
        </w:rPr>
        <w:t>1.4.2投标人须知前附表规定接受联合体</w:t>
      </w:r>
      <w:r>
        <w:rPr>
          <w:rFonts w:hint="eastAsia"/>
          <w:sz w:val="24"/>
        </w:rPr>
        <w:t>投标</w:t>
      </w:r>
      <w:r>
        <w:rPr>
          <w:sz w:val="24"/>
        </w:rPr>
        <w:t>的，联合体除应符合本章第1.4.1项和投标人须知前附表的要求外，还应遵守以下规定：</w:t>
      </w:r>
    </w:p>
    <w:p>
      <w:pPr>
        <w:pStyle w:val="11"/>
        <w:spacing w:before="92" w:line="420" w:lineRule="exact"/>
        <w:ind w:right="317" w:firstLine="720" w:firstLineChars="300"/>
        <w:rPr>
          <w:sz w:val="24"/>
        </w:rPr>
      </w:pPr>
      <w:r>
        <w:rPr>
          <w:rFonts w:hint="eastAsia" w:cs="Arial"/>
          <w:sz w:val="24"/>
        </w:rPr>
        <w:t>(1)</w:t>
      </w:r>
      <w:r>
        <w:rPr>
          <w:sz w:val="24"/>
        </w:rPr>
        <w:t>联合体各方应按招标文件提供的格式签订联合体协议书</w:t>
      </w:r>
      <w:r>
        <w:rPr>
          <w:rFonts w:hint="eastAsia"/>
          <w:sz w:val="24"/>
        </w:rPr>
        <w:t>，</w:t>
      </w:r>
      <w:r>
        <w:rPr>
          <w:sz w:val="24"/>
        </w:rPr>
        <w:t>明确联合体牵头人和各方权利义务，并承诺就中标项目向招标人承担连带责任</w:t>
      </w:r>
      <w:r>
        <w:rPr>
          <w:rFonts w:hint="eastAsia"/>
          <w:sz w:val="24"/>
        </w:rPr>
        <w:t>；</w:t>
      </w:r>
    </w:p>
    <w:p>
      <w:pPr>
        <w:pStyle w:val="11"/>
        <w:spacing w:before="26" w:line="420" w:lineRule="exact"/>
        <w:ind w:right="101" w:firstLine="720" w:firstLineChars="300"/>
        <w:rPr>
          <w:sz w:val="24"/>
        </w:rPr>
      </w:pPr>
      <w:r>
        <w:rPr>
          <w:rFonts w:hint="eastAsia" w:cs="Arial"/>
          <w:sz w:val="24"/>
        </w:rPr>
        <w:t>(2)</w:t>
      </w:r>
      <w:r>
        <w:rPr>
          <w:sz w:val="24"/>
        </w:rPr>
        <w:t>由同一专业的单位组成的联合体，按照资质等级较低的单位确定资质等级；</w:t>
      </w:r>
    </w:p>
    <w:p>
      <w:pPr>
        <w:pStyle w:val="11"/>
        <w:spacing w:before="26" w:line="420" w:lineRule="exact"/>
        <w:ind w:right="101" w:firstLine="720" w:firstLineChars="300"/>
        <w:rPr>
          <w:sz w:val="24"/>
        </w:rPr>
      </w:pPr>
      <w:r>
        <w:rPr>
          <w:rFonts w:hint="eastAsia" w:cs="Arial"/>
          <w:sz w:val="24"/>
        </w:rPr>
        <w:t>(3)</w:t>
      </w:r>
      <w:r>
        <w:rPr>
          <w:sz w:val="24"/>
        </w:rPr>
        <w:t>联合体各方不得再以自己名义单独或参加其他联合体在同一标段中投标；</w:t>
      </w:r>
    </w:p>
    <w:p>
      <w:pPr>
        <w:pStyle w:val="11"/>
        <w:spacing w:before="26" w:line="420" w:lineRule="exact"/>
        <w:ind w:right="101" w:firstLine="720" w:firstLineChars="300"/>
        <w:rPr>
          <w:sz w:val="24"/>
        </w:rPr>
      </w:pPr>
      <w:r>
        <w:rPr>
          <w:rFonts w:hint="eastAsia" w:cs="Arial"/>
          <w:sz w:val="24"/>
        </w:rPr>
        <w:t>(4)</w:t>
      </w:r>
      <w:r>
        <w:rPr>
          <w:sz w:val="24"/>
        </w:rPr>
        <w:t>联合体各方应分别按照本招标文件的要求，填写投标文件中的相应表格，并由联合体牵头人负责对联合体各成员的资料进行统一汇总后一并提交给招标人；联合体牵头人所提交的投标文件应认为己代表了联合体各成员的真实情况；</w:t>
      </w:r>
    </w:p>
    <w:p>
      <w:pPr>
        <w:pStyle w:val="11"/>
        <w:spacing w:before="14" w:line="420" w:lineRule="exact"/>
        <w:ind w:right="340" w:firstLine="720" w:firstLineChars="300"/>
        <w:rPr>
          <w:sz w:val="24"/>
        </w:rPr>
      </w:pPr>
      <w:r>
        <w:rPr>
          <w:rFonts w:hint="eastAsia" w:cs="Arial"/>
          <w:sz w:val="24"/>
        </w:rPr>
        <w:t>(5)</w:t>
      </w:r>
      <w:r>
        <w:rPr>
          <w:sz w:val="24"/>
        </w:rPr>
        <w:t>尽管委任了联合体牵头人，但联合体各成员在投标、签订合同与履行合同过程中，仍负有连带的和各自的法律责任。</w:t>
      </w:r>
    </w:p>
    <w:p>
      <w:pPr>
        <w:pStyle w:val="11"/>
        <w:spacing w:before="35" w:line="420" w:lineRule="exact"/>
        <w:ind w:left="652" w:right="170"/>
        <w:rPr>
          <w:sz w:val="24"/>
        </w:rPr>
      </w:pPr>
      <w:r>
        <w:rPr>
          <w:sz w:val="24"/>
        </w:rPr>
        <w:t>1.4.3投标人（包括联合体各成员）不得与本标段相关单位存在下列关联</w:t>
      </w:r>
      <w:r>
        <w:rPr>
          <w:rFonts w:hint="eastAsia"/>
          <w:sz w:val="24"/>
        </w:rPr>
        <w:t>情形</w:t>
      </w:r>
      <w:r>
        <w:rPr>
          <w:sz w:val="24"/>
        </w:rPr>
        <w:t>：</w:t>
      </w:r>
    </w:p>
    <w:p>
      <w:pPr>
        <w:pStyle w:val="11"/>
        <w:spacing w:before="82" w:line="420" w:lineRule="exact"/>
        <w:ind w:left="763" w:right="2506"/>
        <w:rPr>
          <w:sz w:val="24"/>
        </w:rPr>
      </w:pPr>
      <w:r>
        <w:rPr>
          <w:rFonts w:hint="eastAsia" w:cs="Arial"/>
          <w:sz w:val="24"/>
        </w:rPr>
        <w:t>(1)</w:t>
      </w:r>
      <w:r>
        <w:rPr>
          <w:sz w:val="24"/>
        </w:rPr>
        <w:t>为招标人不具有独立法人资格的附属机构（单位）</w:t>
      </w:r>
      <w:r>
        <w:rPr>
          <w:rFonts w:hint="eastAsia"/>
          <w:sz w:val="24"/>
        </w:rPr>
        <w:t>；</w:t>
      </w:r>
    </w:p>
    <w:p>
      <w:pPr>
        <w:pStyle w:val="11"/>
        <w:spacing w:before="82" w:line="420" w:lineRule="exact"/>
        <w:ind w:left="763" w:right="2506"/>
        <w:rPr>
          <w:sz w:val="24"/>
        </w:rPr>
      </w:pPr>
      <w:r>
        <w:rPr>
          <w:rFonts w:hint="eastAsia" w:cs="Arial"/>
          <w:sz w:val="24"/>
        </w:rPr>
        <w:t>(2)</w:t>
      </w:r>
      <w:r>
        <w:rPr>
          <w:sz w:val="24"/>
        </w:rPr>
        <w:t>与招标人存在利害关系且可能影响招标公正性</w:t>
      </w:r>
      <w:r>
        <w:rPr>
          <w:rFonts w:hint="eastAsia"/>
          <w:sz w:val="24"/>
        </w:rPr>
        <w:t>；</w:t>
      </w:r>
    </w:p>
    <w:p>
      <w:pPr>
        <w:pStyle w:val="11"/>
        <w:spacing w:before="82" w:line="420" w:lineRule="exact"/>
        <w:ind w:left="763" w:right="2506"/>
        <w:rPr>
          <w:sz w:val="24"/>
        </w:rPr>
      </w:pPr>
      <w:r>
        <w:rPr>
          <w:rFonts w:hint="eastAsia" w:cs="Arial"/>
          <w:sz w:val="24"/>
        </w:rPr>
        <w:t>(3)</w:t>
      </w:r>
      <w:r>
        <w:rPr>
          <w:sz w:val="24"/>
        </w:rPr>
        <w:t>与本标段的其他投标人同为一个单位负责人；</w:t>
      </w:r>
    </w:p>
    <w:p>
      <w:pPr>
        <w:pStyle w:val="11"/>
        <w:spacing w:before="21" w:line="420" w:lineRule="exact"/>
        <w:ind w:left="763" w:right="170"/>
        <w:rPr>
          <w:sz w:val="24"/>
        </w:rPr>
      </w:pPr>
      <w:r>
        <w:rPr>
          <w:rFonts w:hint="eastAsia" w:cs="Arial"/>
          <w:sz w:val="24"/>
        </w:rPr>
        <w:t>(4)</w:t>
      </w:r>
      <w:r>
        <w:rPr>
          <w:sz w:val="24"/>
        </w:rPr>
        <w:t>与本标段的其他投标人存在控股、管理关系</w:t>
      </w:r>
      <w:r>
        <w:rPr>
          <w:rFonts w:hint="eastAsia"/>
          <w:sz w:val="24"/>
        </w:rPr>
        <w:t>；</w:t>
      </w:r>
    </w:p>
    <w:p>
      <w:pPr>
        <w:spacing w:before="81" w:line="420" w:lineRule="exact"/>
        <w:ind w:left="763" w:right="170"/>
        <w:rPr>
          <w:sz w:val="24"/>
        </w:rPr>
      </w:pPr>
      <w:r>
        <w:rPr>
          <w:rFonts w:hint="eastAsia" w:cs="Arial"/>
          <w:sz w:val="24"/>
        </w:rPr>
        <w:t>(5)</w:t>
      </w:r>
      <w:r>
        <w:rPr>
          <w:sz w:val="24"/>
        </w:rPr>
        <w:t>为本标段的代建人；</w:t>
      </w:r>
    </w:p>
    <w:p>
      <w:pPr>
        <w:spacing w:before="86" w:line="420" w:lineRule="exact"/>
        <w:ind w:left="763" w:right="170"/>
        <w:rPr>
          <w:sz w:val="24"/>
        </w:rPr>
      </w:pPr>
      <w:r>
        <w:rPr>
          <w:rFonts w:hint="eastAsia" w:cs="Arial"/>
          <w:sz w:val="24"/>
        </w:rPr>
        <w:t>(6)</w:t>
      </w:r>
      <w:r>
        <w:rPr>
          <w:sz w:val="24"/>
        </w:rPr>
        <w:t>为本标段的招标代理机构</w:t>
      </w:r>
      <w:r>
        <w:rPr>
          <w:rFonts w:hint="eastAsia"/>
          <w:sz w:val="24"/>
        </w:rPr>
        <w:t>；</w:t>
      </w:r>
    </w:p>
    <w:p>
      <w:pPr>
        <w:pStyle w:val="11"/>
        <w:spacing w:before="91" w:line="420" w:lineRule="exact"/>
        <w:ind w:left="763" w:right="170"/>
        <w:rPr>
          <w:sz w:val="24"/>
        </w:rPr>
      </w:pPr>
      <w:r>
        <w:rPr>
          <w:rFonts w:hint="eastAsia" w:cs="Arial"/>
          <w:sz w:val="24"/>
        </w:rPr>
        <w:t>(7)</w:t>
      </w:r>
      <w:r>
        <w:rPr>
          <w:sz w:val="24"/>
        </w:rPr>
        <w:t>与本标段的代建人或招标代理机构同为一个法定代表人</w:t>
      </w:r>
      <w:r>
        <w:rPr>
          <w:rFonts w:hint="eastAsia"/>
          <w:sz w:val="24"/>
        </w:rPr>
        <w:t>；</w:t>
      </w:r>
    </w:p>
    <w:p>
      <w:pPr>
        <w:pStyle w:val="11"/>
        <w:spacing w:before="91" w:line="420" w:lineRule="exact"/>
        <w:ind w:left="763" w:right="170"/>
        <w:rPr>
          <w:sz w:val="24"/>
        </w:rPr>
      </w:pPr>
      <w:r>
        <w:rPr>
          <w:rFonts w:hint="eastAsia" w:cs="Arial"/>
          <w:sz w:val="24"/>
        </w:rPr>
        <w:t>(8)</w:t>
      </w:r>
      <w:r>
        <w:rPr>
          <w:sz w:val="24"/>
        </w:rPr>
        <w:t>与本标段的代建人或招标代理机构存在控股或参股关系</w:t>
      </w:r>
      <w:r>
        <w:rPr>
          <w:rFonts w:hint="eastAsia"/>
          <w:sz w:val="24"/>
        </w:rPr>
        <w:t>；</w:t>
      </w:r>
    </w:p>
    <w:p>
      <w:pPr>
        <w:pStyle w:val="11"/>
        <w:spacing w:before="91" w:line="420" w:lineRule="exact"/>
        <w:ind w:left="141" w:leftChars="67" w:right="170" w:firstLine="600" w:firstLineChars="250"/>
        <w:rPr>
          <w:sz w:val="24"/>
        </w:rPr>
      </w:pPr>
      <w:r>
        <w:rPr>
          <w:rFonts w:hint="eastAsia"/>
          <w:sz w:val="24"/>
        </w:rPr>
        <w:t>(9)与本标段对应工程的施工承包人以及建筑材料、建筑构配件和设备供应商有隶属关系或其他利害关系；</w:t>
      </w:r>
    </w:p>
    <w:p>
      <w:pPr>
        <w:pStyle w:val="11"/>
        <w:spacing w:before="33" w:line="420" w:lineRule="exact"/>
        <w:ind w:left="763" w:right="170"/>
        <w:rPr>
          <w:sz w:val="24"/>
        </w:rPr>
      </w:pPr>
      <w:r>
        <w:rPr>
          <w:rFonts w:hint="eastAsia" w:cs="Arial"/>
          <w:sz w:val="24"/>
        </w:rPr>
        <w:t>(10)</w:t>
      </w:r>
      <w:r>
        <w:rPr>
          <w:sz w:val="24"/>
        </w:rPr>
        <w:t>法律法规或投标人须知前附表规定的其他情形。</w:t>
      </w:r>
    </w:p>
    <w:p>
      <w:pPr>
        <w:pStyle w:val="11"/>
        <w:spacing w:before="91" w:line="420" w:lineRule="exact"/>
        <w:ind w:left="652" w:right="170"/>
        <w:rPr>
          <w:sz w:val="24"/>
        </w:rPr>
      </w:pPr>
      <w:r>
        <w:rPr>
          <w:sz w:val="24"/>
        </w:rPr>
        <w:t>1.4.4投标人</w:t>
      </w:r>
      <w:r>
        <w:rPr>
          <w:rFonts w:hint="eastAsia"/>
          <w:sz w:val="24"/>
        </w:rPr>
        <w:t>（</w:t>
      </w:r>
      <w:r>
        <w:rPr>
          <w:sz w:val="24"/>
        </w:rPr>
        <w:t>包括联合体各成员</w:t>
      </w:r>
      <w:r>
        <w:rPr>
          <w:rFonts w:hint="eastAsia"/>
          <w:sz w:val="24"/>
        </w:rPr>
        <w:t>）</w:t>
      </w:r>
      <w:r>
        <w:rPr>
          <w:sz w:val="24"/>
        </w:rPr>
        <w:t>不得存在下列不良状况或不良信用记录：</w:t>
      </w:r>
    </w:p>
    <w:p>
      <w:pPr>
        <w:pStyle w:val="11"/>
        <w:spacing w:before="82" w:line="420" w:lineRule="exact"/>
        <w:ind w:left="163" w:right="304" w:firstLine="600"/>
        <w:rPr>
          <w:sz w:val="24"/>
        </w:rPr>
      </w:pPr>
      <w:r>
        <w:rPr>
          <w:rFonts w:hint="eastAsia" w:cs="Arial"/>
          <w:sz w:val="24"/>
        </w:rPr>
        <w:t>(1)</w:t>
      </w:r>
      <w:r>
        <w:rPr>
          <w:sz w:val="24"/>
        </w:rPr>
        <w:t>被省级及以上</w:t>
      </w:r>
      <w:r>
        <w:rPr>
          <w:rFonts w:hint="eastAsia"/>
          <w:sz w:val="24"/>
        </w:rPr>
        <w:t>建设行政主管</w:t>
      </w:r>
      <w:r>
        <w:rPr>
          <w:sz w:val="24"/>
        </w:rPr>
        <w:t>部门取消招标项目所在地的投标资格且处于有效期内</w:t>
      </w:r>
      <w:r>
        <w:rPr>
          <w:rFonts w:hint="eastAsia"/>
          <w:sz w:val="24"/>
        </w:rPr>
        <w:t>；</w:t>
      </w:r>
    </w:p>
    <w:p>
      <w:pPr>
        <w:pStyle w:val="11"/>
        <w:spacing w:before="19" w:line="420" w:lineRule="exact"/>
        <w:ind w:right="94" w:firstLine="720" w:firstLineChars="300"/>
        <w:rPr>
          <w:sz w:val="24"/>
        </w:rPr>
      </w:pPr>
      <w:r>
        <w:rPr>
          <w:rFonts w:hint="eastAsia"/>
          <w:sz w:val="24"/>
        </w:rPr>
        <w:t>(2)被责令停业，暂扣或吊销执照，或吊销资质证书；</w:t>
      </w:r>
    </w:p>
    <w:p>
      <w:pPr>
        <w:pStyle w:val="11"/>
        <w:spacing w:before="19" w:line="420" w:lineRule="exact"/>
        <w:ind w:right="94" w:firstLine="720" w:firstLineChars="300"/>
        <w:rPr>
          <w:sz w:val="24"/>
        </w:rPr>
      </w:pPr>
      <w:r>
        <w:rPr>
          <w:rFonts w:hint="eastAsia"/>
          <w:sz w:val="24"/>
        </w:rPr>
        <w:t>(3)进入清算程序，或被宣告破产，或其他丧失履约能力的情形；</w:t>
      </w:r>
    </w:p>
    <w:p>
      <w:pPr>
        <w:pStyle w:val="11"/>
        <w:spacing w:before="19" w:line="420" w:lineRule="exact"/>
        <w:ind w:right="94" w:firstLine="720" w:firstLineChars="300"/>
        <w:rPr>
          <w:sz w:val="24"/>
        </w:rPr>
      </w:pPr>
      <w:r>
        <w:rPr>
          <w:rFonts w:hint="eastAsia"/>
          <w:sz w:val="24"/>
        </w:rPr>
        <w:t>(4)在国家企业信用信息公示系统（http：//</w:t>
      </w:r>
      <w:r>
        <w:fldChar w:fldCharType="begin"/>
      </w:r>
      <w:r>
        <w:instrText xml:space="preserve"> HYPERLINK "http://www.gsxt.gov.cn/" \h </w:instrText>
      </w:r>
      <w:r>
        <w:fldChar w:fldCharType="separate"/>
      </w:r>
      <w:r>
        <w:rPr>
          <w:rFonts w:hint="eastAsia"/>
          <w:sz w:val="24"/>
        </w:rPr>
        <w:t>www.gsxt.gov.cn/</w:t>
      </w:r>
      <w:r>
        <w:rPr>
          <w:rFonts w:hint="eastAsia"/>
          <w:sz w:val="24"/>
        </w:rPr>
        <w:fldChar w:fldCharType="end"/>
      </w:r>
      <w:r>
        <w:rPr>
          <w:rFonts w:hint="eastAsia"/>
          <w:sz w:val="24"/>
        </w:rPr>
        <w:t>）中被列入严重违法失信企业名单；</w:t>
      </w:r>
    </w:p>
    <w:p>
      <w:pPr>
        <w:pStyle w:val="11"/>
        <w:spacing w:before="19" w:line="420" w:lineRule="exact"/>
        <w:ind w:right="94" w:firstLine="720" w:firstLineChars="300"/>
        <w:rPr>
          <w:sz w:val="24"/>
        </w:rPr>
      </w:pPr>
      <w:r>
        <w:rPr>
          <w:rFonts w:hint="eastAsia"/>
          <w:sz w:val="24"/>
        </w:rPr>
        <w:t>(5)在“信用中国”网站（http://</w:t>
      </w:r>
      <w:r>
        <w:fldChar w:fldCharType="begin"/>
      </w:r>
      <w:r>
        <w:instrText xml:space="preserve"> HYPERLINK "http://www.creditchina.gov.cn/" \h </w:instrText>
      </w:r>
      <w:r>
        <w:fldChar w:fldCharType="separate"/>
      </w:r>
      <w:r>
        <w:rPr>
          <w:rFonts w:hint="eastAsia"/>
          <w:sz w:val="24"/>
        </w:rPr>
        <w:t>www.creditchina.gov.cn</w:t>
      </w:r>
      <w:r>
        <w:rPr>
          <w:rFonts w:hint="eastAsia"/>
          <w:sz w:val="24"/>
        </w:rPr>
        <w:fldChar w:fldCharType="end"/>
      </w:r>
      <w:r>
        <w:rPr>
          <w:rFonts w:hint="eastAsia"/>
          <w:sz w:val="24"/>
        </w:rPr>
        <w:t>／）中被列入失信被执行人名单；</w:t>
      </w:r>
    </w:p>
    <w:p>
      <w:pPr>
        <w:pStyle w:val="11"/>
        <w:spacing w:before="19" w:line="420" w:lineRule="exact"/>
        <w:ind w:right="94" w:firstLine="720" w:firstLineChars="300"/>
        <w:rPr>
          <w:sz w:val="24"/>
        </w:rPr>
      </w:pPr>
      <w:r>
        <w:rPr>
          <w:rFonts w:hint="eastAsia"/>
          <w:sz w:val="24"/>
        </w:rPr>
        <w:t>(6)投标人或其法定代表人、拟委任的总监理工程师在近三年内有行贿犯罪行为的（行贿犯罪行为的认定以检察机关职务犯罪预防部门出具的查询结果为准）；</w:t>
      </w:r>
    </w:p>
    <w:p>
      <w:pPr>
        <w:pStyle w:val="11"/>
        <w:spacing w:before="19" w:line="420" w:lineRule="exact"/>
        <w:ind w:right="94" w:firstLine="720" w:firstLineChars="300"/>
        <w:rPr>
          <w:sz w:val="24"/>
        </w:rPr>
      </w:pPr>
      <w:r>
        <w:rPr>
          <w:rFonts w:hint="eastAsia"/>
          <w:sz w:val="24"/>
        </w:rPr>
        <w:t>（7）法律法规或投标人须知前附表规定的其他情形。</w:t>
      </w:r>
    </w:p>
    <w:p>
      <w:pPr>
        <w:spacing w:before="193" w:line="420" w:lineRule="exact"/>
        <w:ind w:left="288" w:right="94"/>
        <w:rPr>
          <w:b/>
          <w:bCs/>
          <w:sz w:val="24"/>
        </w:rPr>
      </w:pPr>
      <w:r>
        <w:rPr>
          <w:rFonts w:cs="Arial"/>
          <w:b/>
          <w:bCs/>
          <w:sz w:val="24"/>
        </w:rPr>
        <w:t>1.5</w:t>
      </w:r>
      <w:r>
        <w:rPr>
          <w:b/>
          <w:bCs/>
          <w:sz w:val="24"/>
        </w:rPr>
        <w:t>费用承担</w:t>
      </w:r>
    </w:p>
    <w:p>
      <w:pPr>
        <w:pStyle w:val="11"/>
        <w:spacing w:line="420" w:lineRule="exact"/>
        <w:ind w:left="278" w:right="94" w:firstLine="499"/>
        <w:rPr>
          <w:sz w:val="24"/>
        </w:rPr>
      </w:pPr>
      <w:r>
        <w:rPr>
          <w:rFonts w:hint="eastAsia"/>
          <w:sz w:val="24"/>
        </w:rPr>
        <w:t>投标人准备和参加投标活动发生的费用自理。</w:t>
      </w:r>
    </w:p>
    <w:p>
      <w:pPr>
        <w:spacing w:line="420" w:lineRule="exact"/>
        <w:ind w:left="288" w:right="94"/>
        <w:rPr>
          <w:b/>
          <w:bCs/>
          <w:sz w:val="24"/>
        </w:rPr>
      </w:pPr>
      <w:r>
        <w:rPr>
          <w:rFonts w:cs="Arial"/>
          <w:b/>
          <w:bCs/>
          <w:sz w:val="24"/>
        </w:rPr>
        <w:t>1.6</w:t>
      </w:r>
      <w:r>
        <w:rPr>
          <w:b/>
          <w:bCs/>
          <w:sz w:val="24"/>
        </w:rPr>
        <w:t>保密</w:t>
      </w:r>
    </w:p>
    <w:p>
      <w:pPr>
        <w:pStyle w:val="11"/>
        <w:spacing w:line="420" w:lineRule="exact"/>
        <w:ind w:left="278" w:right="94" w:firstLine="499"/>
        <w:rPr>
          <w:sz w:val="24"/>
        </w:rPr>
      </w:pPr>
      <w:r>
        <w:rPr>
          <w:rFonts w:hint="eastAsia"/>
          <w:sz w:val="24"/>
        </w:rPr>
        <w:t>参与招标投标活动的各方应对招标文件和投标文件中的商业和技术等秘密保密，否则应承担相应的法律责任。</w:t>
      </w:r>
    </w:p>
    <w:p>
      <w:pPr>
        <w:spacing w:line="420" w:lineRule="exact"/>
        <w:ind w:left="288" w:right="94"/>
        <w:rPr>
          <w:b/>
          <w:bCs/>
          <w:sz w:val="24"/>
        </w:rPr>
      </w:pPr>
      <w:r>
        <w:rPr>
          <w:rFonts w:cs="Arial"/>
          <w:b/>
          <w:bCs/>
          <w:sz w:val="24"/>
        </w:rPr>
        <w:t>1.7</w:t>
      </w:r>
      <w:r>
        <w:rPr>
          <w:b/>
          <w:bCs/>
          <w:sz w:val="24"/>
        </w:rPr>
        <w:t>语言文字</w:t>
      </w:r>
    </w:p>
    <w:p>
      <w:pPr>
        <w:pStyle w:val="11"/>
        <w:spacing w:line="420" w:lineRule="exact"/>
        <w:ind w:left="278" w:right="94" w:firstLine="499"/>
        <w:rPr>
          <w:sz w:val="24"/>
        </w:rPr>
      </w:pPr>
      <w:r>
        <w:rPr>
          <w:rFonts w:hint="eastAsia"/>
          <w:sz w:val="24"/>
        </w:rPr>
        <w:t>招标投标文件使用的语言文字为中文。专用术语使用外文的，应附有中文注释。</w:t>
      </w:r>
    </w:p>
    <w:p>
      <w:pPr>
        <w:spacing w:line="420" w:lineRule="exact"/>
        <w:ind w:left="288" w:right="94"/>
        <w:rPr>
          <w:b/>
          <w:bCs/>
          <w:sz w:val="24"/>
        </w:rPr>
      </w:pPr>
      <w:r>
        <w:rPr>
          <w:rFonts w:cs="Arial"/>
          <w:b/>
          <w:bCs/>
          <w:sz w:val="24"/>
        </w:rPr>
        <w:t>1.8</w:t>
      </w:r>
      <w:r>
        <w:rPr>
          <w:b/>
          <w:bCs/>
          <w:sz w:val="24"/>
        </w:rPr>
        <w:t>计量单位</w:t>
      </w:r>
    </w:p>
    <w:p>
      <w:pPr>
        <w:pStyle w:val="11"/>
        <w:spacing w:line="420" w:lineRule="exact"/>
        <w:ind w:left="278" w:right="94" w:firstLine="499"/>
        <w:rPr>
          <w:sz w:val="24"/>
        </w:rPr>
      </w:pPr>
      <w:r>
        <w:rPr>
          <w:rFonts w:hint="eastAsia"/>
          <w:sz w:val="24"/>
        </w:rPr>
        <w:t>所有计量均采用中华人民共和国法定计量单位。</w:t>
      </w:r>
    </w:p>
    <w:p>
      <w:pPr>
        <w:spacing w:line="420" w:lineRule="exact"/>
        <w:ind w:left="288" w:right="94"/>
        <w:rPr>
          <w:b/>
          <w:bCs/>
          <w:sz w:val="24"/>
        </w:rPr>
      </w:pPr>
      <w:r>
        <w:rPr>
          <w:rFonts w:cs="Arial"/>
          <w:b/>
          <w:bCs/>
          <w:sz w:val="24"/>
        </w:rPr>
        <w:t>1.9</w:t>
      </w:r>
      <w:r>
        <w:rPr>
          <w:b/>
          <w:bCs/>
          <w:sz w:val="24"/>
        </w:rPr>
        <w:t>踏勘现场</w:t>
      </w:r>
    </w:p>
    <w:p>
      <w:pPr>
        <w:pStyle w:val="11"/>
        <w:spacing w:line="420" w:lineRule="exact"/>
        <w:ind w:right="94" w:firstLine="777"/>
        <w:rPr>
          <w:sz w:val="24"/>
        </w:rPr>
      </w:pPr>
      <w:r>
        <w:rPr>
          <w:sz w:val="24"/>
        </w:rPr>
        <w:t>1.9.1第一章“招标公告”或“投标邀请书”规定组织踏勘现场的，招标人按规定的时间、地点组织投标人踏勘项目现场。部分投标人未按时参加踏勘现场的，不影响踏勘现场的正常进行</w:t>
      </w:r>
      <w:r>
        <w:rPr>
          <w:rFonts w:hint="eastAsia"/>
          <w:sz w:val="24"/>
        </w:rPr>
        <w:t>。</w:t>
      </w:r>
      <w:r>
        <w:rPr>
          <w:sz w:val="24"/>
        </w:rPr>
        <w:t>招标人不得组织单个或部分投标人踏勘项目现场。</w:t>
      </w:r>
    </w:p>
    <w:p>
      <w:pPr>
        <w:pStyle w:val="11"/>
        <w:spacing w:before="92" w:line="420" w:lineRule="exact"/>
        <w:ind w:left="777" w:right="94"/>
        <w:rPr>
          <w:sz w:val="24"/>
        </w:rPr>
      </w:pPr>
      <w:r>
        <w:rPr>
          <w:sz w:val="24"/>
        </w:rPr>
        <w:t>1.9.2</w:t>
      </w:r>
      <w:r>
        <w:rPr>
          <w:rFonts w:hint="eastAsia"/>
          <w:sz w:val="24"/>
        </w:rPr>
        <w:t>投标人踏勘现场发生的费用自理。</w:t>
      </w:r>
    </w:p>
    <w:p>
      <w:pPr>
        <w:pStyle w:val="11"/>
        <w:spacing w:before="134" w:line="420" w:lineRule="exact"/>
        <w:ind w:right="94" w:firstLine="775" w:firstLineChars="323"/>
        <w:rPr>
          <w:sz w:val="24"/>
        </w:rPr>
      </w:pPr>
      <w:r>
        <w:rPr>
          <w:sz w:val="24"/>
        </w:rPr>
        <w:t>1.9.3</w:t>
      </w:r>
      <w:r>
        <w:rPr>
          <w:rFonts w:hint="eastAsia"/>
          <w:sz w:val="24"/>
        </w:rPr>
        <w:t>除招标人的原因外，投标人自行负责在踏勘现场中所发生的人员伤亡和财产损失。</w:t>
      </w:r>
    </w:p>
    <w:p>
      <w:pPr>
        <w:pStyle w:val="11"/>
        <w:spacing w:before="138" w:line="420" w:lineRule="exact"/>
        <w:ind w:right="94" w:firstLine="775" w:firstLineChars="323"/>
        <w:rPr>
          <w:sz w:val="24"/>
        </w:rPr>
      </w:pPr>
      <w:r>
        <w:rPr>
          <w:sz w:val="24"/>
        </w:rPr>
        <w:t>1.9.4</w:t>
      </w:r>
      <w:r>
        <w:rPr>
          <w:rFonts w:hint="eastAsia"/>
          <w:sz w:val="24"/>
        </w:rPr>
        <w:t>招标人在踏勘现场中介绍的工程场地和相关的周边环境情况，供投标人在编投标文件时参考，招标人不对投标人据此作出的判断和决策负责。</w:t>
      </w:r>
    </w:p>
    <w:p>
      <w:pPr>
        <w:pStyle w:val="11"/>
        <w:numPr>
          <w:ilvl w:val="0"/>
          <w:numId w:val="4"/>
        </w:numPr>
        <w:spacing w:line="420" w:lineRule="exact"/>
        <w:ind w:left="288" w:right="94"/>
        <w:jc w:val="left"/>
        <w:rPr>
          <w:b/>
          <w:bCs/>
          <w:sz w:val="24"/>
        </w:rPr>
      </w:pPr>
      <w:r>
        <w:rPr>
          <w:b/>
          <w:bCs/>
          <w:sz w:val="24"/>
        </w:rPr>
        <w:t>10投标预备会</w:t>
      </w:r>
    </w:p>
    <w:p>
      <w:pPr>
        <w:pStyle w:val="11"/>
        <w:spacing w:line="420" w:lineRule="exact"/>
        <w:ind w:right="301" w:firstLine="777"/>
        <w:rPr>
          <w:sz w:val="24"/>
        </w:rPr>
      </w:pPr>
      <w:r>
        <w:rPr>
          <w:sz w:val="24"/>
        </w:rPr>
        <w:t>1.10.1第一章“招标公告”或“投标邀请书”规定召开投标预备会的，招标人按规定的时间和地点召开投标预备会，澄清投标人提出的问题。</w:t>
      </w:r>
    </w:p>
    <w:p>
      <w:pPr>
        <w:pStyle w:val="11"/>
        <w:spacing w:before="103" w:line="420" w:lineRule="exact"/>
        <w:ind w:right="94" w:firstLine="775" w:firstLineChars="323"/>
        <w:rPr>
          <w:sz w:val="24"/>
        </w:rPr>
      </w:pPr>
      <w:r>
        <w:rPr>
          <w:sz w:val="24"/>
        </w:rPr>
        <w:t>1.10.2</w:t>
      </w:r>
      <w:r>
        <w:rPr>
          <w:rFonts w:hint="eastAsia"/>
          <w:sz w:val="24"/>
        </w:rPr>
        <w:t>投标人应按投标人须知前附表规定的时间和形式将提出的问题送达招标人，以便招标人在会议期间澄清。</w:t>
      </w:r>
    </w:p>
    <w:p>
      <w:pPr>
        <w:pStyle w:val="11"/>
        <w:spacing w:before="129" w:line="420" w:lineRule="exact"/>
        <w:ind w:right="94" w:firstLine="720" w:firstLineChars="300"/>
        <w:rPr>
          <w:sz w:val="24"/>
        </w:rPr>
      </w:pPr>
      <w:r>
        <w:rPr>
          <w:sz w:val="24"/>
        </w:rPr>
        <w:t>1.10.3</w:t>
      </w:r>
      <w:r>
        <w:rPr>
          <w:rFonts w:hint="eastAsia"/>
          <w:sz w:val="24"/>
        </w:rPr>
        <w:t>投标预备会后，招标人将对投标人所提问题的澄清，以投标人须知前附表规定的形式通知所有购买招标文件的投标人。该澄清内容为招标文件的组成部分。</w:t>
      </w:r>
    </w:p>
    <w:p>
      <w:pPr>
        <w:pStyle w:val="11"/>
        <w:spacing w:line="420" w:lineRule="exact"/>
        <w:ind w:left="288" w:right="94"/>
        <w:rPr>
          <w:b/>
          <w:bCs/>
          <w:sz w:val="24"/>
        </w:rPr>
      </w:pPr>
      <w:r>
        <w:rPr>
          <w:b/>
          <w:bCs/>
          <w:sz w:val="24"/>
        </w:rPr>
        <w:t>1.11分包</w:t>
      </w:r>
    </w:p>
    <w:p>
      <w:pPr>
        <w:pStyle w:val="11"/>
        <w:spacing w:line="420" w:lineRule="exact"/>
        <w:ind w:left="273" w:right="278" w:firstLine="499"/>
        <w:rPr>
          <w:sz w:val="24"/>
        </w:rPr>
      </w:pPr>
      <w:r>
        <w:rPr>
          <w:rFonts w:hint="eastAsia"/>
          <w:sz w:val="24"/>
        </w:rPr>
        <w:t>本项目严禁分包。</w:t>
      </w:r>
    </w:p>
    <w:p>
      <w:pPr>
        <w:pStyle w:val="11"/>
        <w:spacing w:line="420" w:lineRule="exact"/>
        <w:ind w:left="288" w:right="94"/>
        <w:rPr>
          <w:b/>
          <w:bCs/>
          <w:sz w:val="24"/>
        </w:rPr>
      </w:pPr>
      <w:r>
        <w:rPr>
          <w:b/>
          <w:bCs/>
          <w:sz w:val="24"/>
        </w:rPr>
        <w:t>1.12响应和偏差</w:t>
      </w:r>
    </w:p>
    <w:p>
      <w:pPr>
        <w:pStyle w:val="11"/>
        <w:spacing w:before="85" w:line="420" w:lineRule="exact"/>
        <w:ind w:right="135" w:firstLine="609"/>
        <w:rPr>
          <w:sz w:val="24"/>
        </w:rPr>
      </w:pPr>
      <w:r>
        <w:rPr>
          <w:sz w:val="24"/>
        </w:rPr>
        <w:t>1.12.1投标文件偏离招标文件某些要求，视为投标文件存在偏差。偏差包括重</w:t>
      </w:r>
      <w:r>
        <w:rPr>
          <w:rFonts w:hint="eastAsia"/>
          <w:sz w:val="24"/>
        </w:rPr>
        <w:t>大</w:t>
      </w:r>
      <w:r>
        <w:rPr>
          <w:sz w:val="24"/>
        </w:rPr>
        <w:t>偏差和细微偏差。</w:t>
      </w:r>
    </w:p>
    <w:p>
      <w:pPr>
        <w:pStyle w:val="11"/>
        <w:spacing w:before="85" w:line="420" w:lineRule="exact"/>
        <w:ind w:right="135" w:firstLine="609"/>
        <w:rPr>
          <w:sz w:val="24"/>
        </w:rPr>
      </w:pPr>
      <w:r>
        <w:rPr>
          <w:sz w:val="24"/>
        </w:rPr>
        <w:t>1.12.2投标文件应对招标文件的实质性要求和条件作出满足性或更有利于招标人的响应，否则，视为投标文件存在重大偏差，投标人的投标将被否决。</w:t>
      </w:r>
    </w:p>
    <w:p>
      <w:pPr>
        <w:pStyle w:val="11"/>
        <w:spacing w:before="85" w:line="420" w:lineRule="exact"/>
        <w:ind w:right="135" w:firstLine="609"/>
        <w:rPr>
          <w:sz w:val="24"/>
        </w:rPr>
      </w:pPr>
      <w:r>
        <w:rPr>
          <w:sz w:val="24"/>
        </w:rPr>
        <w:t>投标文件存在第三章“评标办法”中所列任一否决投标情形的，均属于存在重大偏差。</w:t>
      </w:r>
    </w:p>
    <w:p>
      <w:pPr>
        <w:pStyle w:val="11"/>
        <w:spacing w:before="24" w:line="420" w:lineRule="exact"/>
        <w:ind w:left="657" w:right="106"/>
        <w:rPr>
          <w:sz w:val="24"/>
        </w:rPr>
      </w:pPr>
      <w:r>
        <w:rPr>
          <w:sz w:val="24"/>
        </w:rPr>
        <w:t>1.12.3投标文件中的下列偏差为细微偏差：</w:t>
      </w:r>
    </w:p>
    <w:p>
      <w:pPr>
        <w:pStyle w:val="11"/>
        <w:spacing w:before="85" w:line="420" w:lineRule="exact"/>
        <w:ind w:right="135" w:firstLine="609"/>
        <w:rPr>
          <w:sz w:val="24"/>
        </w:rPr>
      </w:pPr>
      <w:r>
        <w:rPr>
          <w:sz w:val="24"/>
        </w:rPr>
        <w:t>(1）在按照第三章“评标办法”的规定对投标价进行算术性错误修正后，最终投标报价未超过最高投标限价（如有）的情况下，出现第三章“评标办法”规定的算术性错误；</w:t>
      </w:r>
    </w:p>
    <w:p>
      <w:pPr>
        <w:spacing w:before="33" w:line="420" w:lineRule="exact"/>
        <w:ind w:right="106" w:firstLine="566" w:firstLineChars="236"/>
        <w:rPr>
          <w:sz w:val="24"/>
        </w:rPr>
      </w:pPr>
      <w:r>
        <w:rPr>
          <w:sz w:val="24"/>
        </w:rPr>
        <w:t>(</w:t>
      </w:r>
      <w:r>
        <w:rPr>
          <w:rFonts w:hint="eastAsia"/>
          <w:sz w:val="24"/>
        </w:rPr>
        <w:t>2</w:t>
      </w:r>
      <w:r>
        <w:rPr>
          <w:sz w:val="24"/>
        </w:rPr>
        <w:t>）技术建议书不够完善</w:t>
      </w:r>
      <w:r>
        <w:rPr>
          <w:rFonts w:hint="eastAsia"/>
          <w:sz w:val="24"/>
        </w:rPr>
        <w:t>；</w:t>
      </w:r>
    </w:p>
    <w:p>
      <w:pPr>
        <w:pStyle w:val="11"/>
        <w:spacing w:before="91" w:line="420" w:lineRule="exact"/>
        <w:ind w:right="124" w:firstLine="609"/>
        <w:rPr>
          <w:sz w:val="24"/>
        </w:rPr>
      </w:pPr>
      <w:r>
        <w:rPr>
          <w:sz w:val="24"/>
        </w:rPr>
        <w:t>(3）投标文件页码不连续、采用活页夹装订、个别文字有遗漏错误等不影响投标文件实质性内容的偏差。</w:t>
      </w:r>
    </w:p>
    <w:p>
      <w:pPr>
        <w:pStyle w:val="11"/>
        <w:spacing w:before="33" w:line="420" w:lineRule="exact"/>
        <w:ind w:left="652" w:right="106"/>
        <w:rPr>
          <w:sz w:val="24"/>
        </w:rPr>
      </w:pPr>
      <w:r>
        <w:rPr>
          <w:sz w:val="24"/>
        </w:rPr>
        <w:t>1.12.4评标委员会对投标文件中的细微偏差按如下规定处理：</w:t>
      </w:r>
    </w:p>
    <w:p>
      <w:pPr>
        <w:pStyle w:val="11"/>
        <w:spacing w:before="80" w:line="420" w:lineRule="exact"/>
        <w:ind w:right="106" w:firstLine="609"/>
        <w:rPr>
          <w:sz w:val="24"/>
        </w:rPr>
      </w:pPr>
      <w:r>
        <w:rPr>
          <w:sz w:val="24"/>
        </w:rPr>
        <w:t>(1）对于本章第1.12.3项(1</w:t>
      </w:r>
      <w:r>
        <w:rPr>
          <w:rFonts w:hint="eastAsia"/>
          <w:sz w:val="24"/>
        </w:rPr>
        <w:t>)</w:t>
      </w:r>
      <w:r>
        <w:rPr>
          <w:sz w:val="24"/>
        </w:rPr>
        <w:t>目所述的细微偏差，按照第三章“评标办法”</w:t>
      </w:r>
      <w:r>
        <w:rPr>
          <w:rFonts w:hint="eastAsia"/>
          <w:sz w:val="24"/>
        </w:rPr>
        <w:t>的</w:t>
      </w:r>
      <w:r>
        <w:rPr>
          <w:sz w:val="24"/>
        </w:rPr>
        <w:t>规定予以修正并要求投标人进行澄清；</w:t>
      </w:r>
    </w:p>
    <w:p>
      <w:pPr>
        <w:pStyle w:val="11"/>
        <w:spacing w:before="35" w:line="420" w:lineRule="exact"/>
        <w:ind w:right="106" w:firstLine="609"/>
        <w:rPr>
          <w:sz w:val="24"/>
        </w:rPr>
      </w:pPr>
      <w:r>
        <w:rPr>
          <w:sz w:val="24"/>
        </w:rPr>
        <w:t>(</w:t>
      </w:r>
      <w:r>
        <w:rPr>
          <w:rFonts w:hint="eastAsia"/>
          <w:sz w:val="24"/>
        </w:rPr>
        <w:t>2</w:t>
      </w:r>
      <w:r>
        <w:rPr>
          <w:sz w:val="24"/>
        </w:rPr>
        <w:t>）对于本章第1.12.3项(</w:t>
      </w:r>
      <w:r>
        <w:rPr>
          <w:rFonts w:hint="eastAsia"/>
          <w:sz w:val="24"/>
        </w:rPr>
        <w:t>2)</w:t>
      </w:r>
      <w:r>
        <w:rPr>
          <w:sz w:val="24"/>
        </w:rPr>
        <w:t>、(</w:t>
      </w:r>
      <w:r>
        <w:rPr>
          <w:rFonts w:hint="eastAsia"/>
          <w:sz w:val="24"/>
        </w:rPr>
        <w:t>3)</w:t>
      </w:r>
      <w:r>
        <w:rPr>
          <w:sz w:val="24"/>
        </w:rPr>
        <w:t>目所述的细微偏差，可在相关评分因素的</w:t>
      </w:r>
      <w:r>
        <w:rPr>
          <w:rFonts w:hint="eastAsia"/>
          <w:sz w:val="24"/>
        </w:rPr>
        <w:t>评</w:t>
      </w:r>
      <w:r>
        <w:rPr>
          <w:sz w:val="24"/>
        </w:rPr>
        <w:t>分中酌情扣分。</w:t>
      </w:r>
    </w:p>
    <w:p>
      <w:pPr>
        <w:pStyle w:val="11"/>
        <w:spacing w:before="40" w:line="420" w:lineRule="exact"/>
        <w:ind w:right="106" w:firstLine="652"/>
        <w:rPr>
          <w:sz w:val="24"/>
        </w:rPr>
      </w:pPr>
      <w:r>
        <w:rPr>
          <w:sz w:val="24"/>
        </w:rPr>
        <w:t>1.12.5投标人应根据招标文件的要求提供技术建议书等内容以对招标文件作出响应。</w:t>
      </w:r>
    </w:p>
    <w:p>
      <w:pPr>
        <w:tabs>
          <w:tab w:val="left" w:pos="571"/>
        </w:tabs>
        <w:spacing w:line="420" w:lineRule="exact"/>
        <w:ind w:left="153" w:right="106"/>
        <w:rPr>
          <w:b/>
          <w:bCs/>
          <w:sz w:val="24"/>
        </w:rPr>
      </w:pPr>
      <w:r>
        <w:rPr>
          <w:rFonts w:cs="Arial"/>
          <w:b/>
          <w:bCs/>
          <w:sz w:val="24"/>
        </w:rPr>
        <w:t>2.</w:t>
      </w:r>
      <w:r>
        <w:rPr>
          <w:rFonts w:cs="Arial"/>
          <w:b/>
          <w:bCs/>
          <w:sz w:val="24"/>
        </w:rPr>
        <w:tab/>
      </w:r>
      <w:r>
        <w:rPr>
          <w:b/>
          <w:bCs/>
          <w:sz w:val="24"/>
        </w:rPr>
        <w:t>招标文件</w:t>
      </w:r>
    </w:p>
    <w:p>
      <w:pPr>
        <w:pStyle w:val="11"/>
        <w:spacing w:before="8" w:line="420" w:lineRule="exact"/>
        <w:ind w:left="633" w:right="4929" w:hanging="480"/>
        <w:rPr>
          <w:b/>
          <w:bCs/>
          <w:sz w:val="24"/>
        </w:rPr>
      </w:pPr>
      <w:r>
        <w:rPr>
          <w:b/>
          <w:bCs/>
          <w:sz w:val="24"/>
        </w:rPr>
        <w:t>2.1招标文件的组成</w:t>
      </w:r>
    </w:p>
    <w:p>
      <w:pPr>
        <w:pStyle w:val="11"/>
        <w:spacing w:before="8" w:line="420" w:lineRule="exact"/>
        <w:ind w:left="633" w:right="4929" w:hanging="480"/>
        <w:rPr>
          <w:sz w:val="24"/>
        </w:rPr>
      </w:pPr>
      <w:r>
        <w:rPr>
          <w:rFonts w:hint="eastAsia"/>
          <w:sz w:val="24"/>
        </w:rPr>
        <w:t>2.1.1</w:t>
      </w:r>
      <w:r>
        <w:rPr>
          <w:sz w:val="24"/>
        </w:rPr>
        <w:t>本招标文件包括：</w:t>
      </w:r>
    </w:p>
    <w:p>
      <w:pPr>
        <w:pStyle w:val="11"/>
        <w:spacing w:line="420" w:lineRule="exact"/>
        <w:ind w:left="763" w:right="106"/>
        <w:rPr>
          <w:sz w:val="24"/>
        </w:rPr>
      </w:pPr>
      <w:r>
        <w:rPr>
          <w:rFonts w:hint="eastAsia"/>
          <w:sz w:val="24"/>
        </w:rPr>
        <w:t>（1）</w:t>
      </w:r>
      <w:r>
        <w:rPr>
          <w:sz w:val="24"/>
        </w:rPr>
        <w:t>招标公告（或投标邀请书）；</w:t>
      </w:r>
    </w:p>
    <w:p>
      <w:pPr>
        <w:spacing w:before="91" w:line="420" w:lineRule="exact"/>
        <w:ind w:left="763" w:right="106"/>
        <w:rPr>
          <w:sz w:val="24"/>
        </w:rPr>
      </w:pPr>
      <w:r>
        <w:rPr>
          <w:rFonts w:hint="eastAsia"/>
          <w:sz w:val="24"/>
        </w:rPr>
        <w:t>（2）</w:t>
      </w:r>
      <w:r>
        <w:rPr>
          <w:sz w:val="24"/>
        </w:rPr>
        <w:t>投标人须知；</w:t>
      </w:r>
    </w:p>
    <w:p>
      <w:pPr>
        <w:spacing w:before="86" w:line="420" w:lineRule="exact"/>
        <w:ind w:left="763" w:right="106"/>
        <w:rPr>
          <w:sz w:val="24"/>
        </w:rPr>
      </w:pPr>
      <w:r>
        <w:rPr>
          <w:rFonts w:hint="eastAsia"/>
          <w:sz w:val="24"/>
        </w:rPr>
        <w:t>（3）</w:t>
      </w:r>
      <w:r>
        <w:rPr>
          <w:sz w:val="24"/>
        </w:rPr>
        <w:t>评标办法</w:t>
      </w:r>
      <w:r>
        <w:rPr>
          <w:rFonts w:hint="eastAsia"/>
          <w:sz w:val="24"/>
        </w:rPr>
        <w:t>；</w:t>
      </w:r>
    </w:p>
    <w:p>
      <w:pPr>
        <w:spacing w:before="91" w:line="420" w:lineRule="exact"/>
        <w:ind w:left="763" w:right="106"/>
        <w:rPr>
          <w:sz w:val="24"/>
        </w:rPr>
      </w:pPr>
      <w:r>
        <w:rPr>
          <w:rFonts w:hint="eastAsia"/>
          <w:sz w:val="24"/>
        </w:rPr>
        <w:t>（4）</w:t>
      </w:r>
      <w:r>
        <w:rPr>
          <w:sz w:val="24"/>
        </w:rPr>
        <w:t>合同条款及格式</w:t>
      </w:r>
      <w:r>
        <w:rPr>
          <w:rFonts w:hint="eastAsia"/>
          <w:sz w:val="24"/>
        </w:rPr>
        <w:t>；</w:t>
      </w:r>
    </w:p>
    <w:p>
      <w:pPr>
        <w:spacing w:before="91" w:line="420" w:lineRule="exact"/>
        <w:ind w:left="763" w:right="106"/>
        <w:rPr>
          <w:sz w:val="24"/>
        </w:rPr>
      </w:pPr>
      <w:r>
        <w:rPr>
          <w:rFonts w:hint="eastAsia"/>
          <w:sz w:val="24"/>
        </w:rPr>
        <w:t>（5）委托人要求；</w:t>
      </w:r>
    </w:p>
    <w:p>
      <w:pPr>
        <w:spacing w:before="91" w:line="420" w:lineRule="exact"/>
        <w:ind w:left="763" w:right="106"/>
        <w:rPr>
          <w:sz w:val="24"/>
        </w:rPr>
      </w:pPr>
      <w:r>
        <w:rPr>
          <w:rFonts w:hint="eastAsia"/>
          <w:sz w:val="24"/>
        </w:rPr>
        <w:t>（6）图纸和资料；</w:t>
      </w:r>
    </w:p>
    <w:p>
      <w:pPr>
        <w:spacing w:before="91" w:line="420" w:lineRule="exact"/>
        <w:ind w:left="763" w:right="6124"/>
        <w:rPr>
          <w:sz w:val="24"/>
        </w:rPr>
      </w:pPr>
      <w:r>
        <w:rPr>
          <w:rFonts w:hint="eastAsia"/>
          <w:sz w:val="24"/>
        </w:rPr>
        <w:t>（7）</w:t>
      </w:r>
      <w:r>
        <w:rPr>
          <w:sz w:val="24"/>
        </w:rPr>
        <w:t>投标文件格式</w:t>
      </w:r>
      <w:r>
        <w:rPr>
          <w:rFonts w:hint="eastAsia"/>
          <w:sz w:val="24"/>
        </w:rPr>
        <w:t>；</w:t>
      </w:r>
    </w:p>
    <w:p>
      <w:pPr>
        <w:pStyle w:val="11"/>
        <w:spacing w:before="26" w:line="420" w:lineRule="exact"/>
        <w:ind w:left="763" w:right="106"/>
        <w:rPr>
          <w:sz w:val="24"/>
        </w:rPr>
      </w:pPr>
      <w:r>
        <w:rPr>
          <w:rFonts w:hint="eastAsia"/>
          <w:sz w:val="24"/>
        </w:rPr>
        <w:t>（8）</w:t>
      </w:r>
      <w:r>
        <w:rPr>
          <w:sz w:val="24"/>
        </w:rPr>
        <w:t>投标人须知前附表规定的其他资料。</w:t>
      </w:r>
    </w:p>
    <w:p>
      <w:pPr>
        <w:pStyle w:val="11"/>
        <w:spacing w:before="91" w:line="420" w:lineRule="exact"/>
        <w:ind w:right="119" w:firstLine="480"/>
        <w:rPr>
          <w:sz w:val="24"/>
        </w:rPr>
      </w:pPr>
      <w:r>
        <w:rPr>
          <w:sz w:val="24"/>
        </w:rPr>
        <w:t>根据本章第1.10款、第2.2款和第2.3款对招标文件所作的澄清、修改，构成招标文件的组成部分。</w:t>
      </w:r>
    </w:p>
    <w:p>
      <w:pPr>
        <w:pStyle w:val="11"/>
        <w:spacing w:before="91" w:line="420" w:lineRule="exact"/>
        <w:ind w:right="119" w:firstLine="480"/>
        <w:rPr>
          <w:sz w:val="24"/>
        </w:rPr>
      </w:pPr>
      <w:r>
        <w:rPr>
          <w:sz w:val="24"/>
        </w:rPr>
        <w:t>当招标文件、招标文件的澄清或修改等在同一内容的表述上不一致时，以最后发</w:t>
      </w:r>
    </w:p>
    <w:p>
      <w:pPr>
        <w:pStyle w:val="11"/>
        <w:spacing w:before="29" w:line="420" w:lineRule="exact"/>
        <w:ind w:right="105"/>
        <w:rPr>
          <w:sz w:val="24"/>
        </w:rPr>
      </w:pPr>
      <w:r>
        <w:rPr>
          <w:sz w:val="24"/>
        </w:rPr>
        <w:t>出的书面文件为准。</w:t>
      </w:r>
    </w:p>
    <w:p>
      <w:pPr>
        <w:pStyle w:val="11"/>
        <w:spacing w:line="420" w:lineRule="exact"/>
        <w:ind w:right="105"/>
        <w:rPr>
          <w:b/>
          <w:sz w:val="24"/>
        </w:rPr>
      </w:pPr>
      <w:r>
        <w:rPr>
          <w:b/>
          <w:sz w:val="24"/>
        </w:rPr>
        <w:t>2.2招标文件的澄清</w:t>
      </w:r>
    </w:p>
    <w:p>
      <w:pPr>
        <w:pStyle w:val="11"/>
        <w:spacing w:after="0" w:line="420" w:lineRule="exact"/>
        <w:ind w:right="119" w:firstLine="482"/>
        <w:rPr>
          <w:sz w:val="24"/>
        </w:rPr>
      </w:pPr>
      <w:r>
        <w:rPr>
          <w:sz w:val="24"/>
        </w:rPr>
        <w:t>2.2.1</w:t>
      </w:r>
      <w:r>
        <w:rPr>
          <w:rFonts w:hint="eastAsia"/>
          <w:sz w:val="24"/>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Style w:val="11"/>
        <w:spacing w:after="0" w:line="420" w:lineRule="exact"/>
        <w:ind w:right="119" w:firstLine="482"/>
        <w:rPr>
          <w:sz w:val="24"/>
        </w:rPr>
      </w:pPr>
      <w:r>
        <w:rPr>
          <w:sz w:val="24"/>
        </w:rPr>
        <w:t>2.2.2</w:t>
      </w:r>
      <w:r>
        <w:rPr>
          <w:rFonts w:hint="eastAsia"/>
          <w:sz w:val="24"/>
        </w:rPr>
        <w:t>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pStyle w:val="11"/>
        <w:spacing w:after="0" w:line="420" w:lineRule="exact"/>
        <w:ind w:right="119" w:firstLine="482"/>
        <w:rPr>
          <w:sz w:val="24"/>
        </w:rPr>
      </w:pPr>
      <w:r>
        <w:rPr>
          <w:sz w:val="24"/>
        </w:rPr>
        <w:t>2.2.3</w:t>
      </w:r>
      <w:r>
        <w:rPr>
          <w:rFonts w:hint="eastAsia"/>
          <w:sz w:val="24"/>
        </w:rPr>
        <w:t>投标人在收到澄清后，应按投标人须知前附表规定的时间和形式通知招标人，确认已收到该澄清。</w:t>
      </w:r>
    </w:p>
    <w:p>
      <w:pPr>
        <w:pStyle w:val="11"/>
        <w:spacing w:after="0" w:line="420" w:lineRule="exact"/>
        <w:ind w:right="119" w:firstLine="482"/>
        <w:rPr>
          <w:sz w:val="24"/>
        </w:rPr>
      </w:pPr>
      <w:r>
        <w:rPr>
          <w:sz w:val="24"/>
        </w:rPr>
        <w:t>2.2.4</w:t>
      </w:r>
      <w:r>
        <w:rPr>
          <w:rFonts w:hint="eastAsia"/>
          <w:sz w:val="24"/>
        </w:rPr>
        <w:t>除非招标人认为确有必要答复，否则，招标人有权拒绝回复投标人在本章第2.2.1项规定的时间后的任何澄清要求。</w:t>
      </w:r>
    </w:p>
    <w:p>
      <w:pPr>
        <w:pStyle w:val="11"/>
        <w:spacing w:line="420" w:lineRule="exact"/>
        <w:ind w:right="105"/>
        <w:rPr>
          <w:b/>
          <w:bCs/>
          <w:sz w:val="24"/>
        </w:rPr>
      </w:pPr>
      <w:r>
        <w:rPr>
          <w:b/>
          <w:bCs/>
          <w:sz w:val="24"/>
        </w:rPr>
        <w:t>2.3招标文件的修改</w:t>
      </w:r>
    </w:p>
    <w:p>
      <w:pPr>
        <w:pStyle w:val="11"/>
        <w:spacing w:before="91" w:line="420" w:lineRule="exact"/>
        <w:ind w:right="119" w:firstLine="480"/>
        <w:rPr>
          <w:sz w:val="24"/>
        </w:rPr>
      </w:pPr>
      <w:r>
        <w:rPr>
          <w:sz w:val="24"/>
        </w:rPr>
        <w:t>2.3.1</w:t>
      </w:r>
      <w:r>
        <w:rPr>
          <w:rFonts w:hint="eastAsia"/>
          <w:sz w:val="24"/>
        </w:rPr>
        <w:t>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pPr>
        <w:pStyle w:val="11"/>
        <w:spacing w:before="91" w:line="420" w:lineRule="exact"/>
        <w:ind w:right="119" w:firstLine="480"/>
        <w:rPr>
          <w:sz w:val="24"/>
        </w:rPr>
      </w:pPr>
      <w:r>
        <w:rPr>
          <w:sz w:val="24"/>
        </w:rPr>
        <w:t>2.3.2</w:t>
      </w:r>
      <w:r>
        <w:rPr>
          <w:rFonts w:hint="eastAsia"/>
          <w:sz w:val="24"/>
        </w:rPr>
        <w:t>投标人收到修改内容后，应按投标人须知前附表规定的时间和形式通知招标人，确认已收到该修改。</w:t>
      </w:r>
    </w:p>
    <w:p>
      <w:pPr>
        <w:spacing w:line="420" w:lineRule="exact"/>
        <w:ind w:right="105"/>
        <w:rPr>
          <w:b/>
          <w:bCs/>
          <w:sz w:val="24"/>
        </w:rPr>
      </w:pPr>
      <w:r>
        <w:rPr>
          <w:rFonts w:cs="Arial"/>
          <w:b/>
          <w:bCs/>
          <w:sz w:val="24"/>
        </w:rPr>
        <w:t>2.4</w:t>
      </w:r>
      <w:r>
        <w:rPr>
          <w:b/>
          <w:bCs/>
          <w:sz w:val="24"/>
        </w:rPr>
        <w:t>招标文件的异议</w:t>
      </w:r>
    </w:p>
    <w:p>
      <w:pPr>
        <w:spacing w:line="420" w:lineRule="exact"/>
        <w:ind w:firstLine="480" w:firstLineChars="200"/>
        <w:rPr>
          <w:sz w:val="24"/>
        </w:rPr>
      </w:pPr>
      <w:bookmarkStart w:id="7" w:name="_TOC_250000"/>
      <w:r>
        <w:rPr>
          <w:rFonts w:hint="eastAsia"/>
          <w:sz w:val="24"/>
        </w:rPr>
        <w:t>投标人或者其他利害关系人对招标文件有异议的，应当在投标截止时间10日前以书面形式提出。招标人将在收到异议之日起3日内作出答复；作出答复前，应当暂停招标投标活动。</w:t>
      </w:r>
    </w:p>
    <w:p>
      <w:pPr>
        <w:spacing w:line="420" w:lineRule="exact"/>
        <w:ind w:right="108"/>
        <w:rPr>
          <w:b/>
          <w:sz w:val="24"/>
        </w:rPr>
      </w:pPr>
      <w:r>
        <w:rPr>
          <w:b/>
          <w:sz w:val="24"/>
        </w:rPr>
        <w:t>3.</w:t>
      </w:r>
      <w:r>
        <w:rPr>
          <w:b/>
          <w:sz w:val="24"/>
        </w:rPr>
        <w:tab/>
      </w:r>
      <w:r>
        <w:rPr>
          <w:b/>
          <w:sz w:val="24"/>
        </w:rPr>
        <w:t>投标文件</w:t>
      </w:r>
      <w:bookmarkEnd w:id="7"/>
    </w:p>
    <w:p>
      <w:pPr>
        <w:spacing w:line="420" w:lineRule="exact"/>
        <w:ind w:right="108"/>
        <w:rPr>
          <w:b/>
          <w:sz w:val="24"/>
        </w:rPr>
      </w:pPr>
      <w:r>
        <w:rPr>
          <w:b/>
          <w:sz w:val="24"/>
        </w:rPr>
        <w:t>3.1投标文件的组成</w:t>
      </w:r>
    </w:p>
    <w:p>
      <w:pPr>
        <w:pStyle w:val="11"/>
        <w:spacing w:after="0" w:line="420" w:lineRule="exact"/>
        <w:ind w:right="2160" w:firstLine="480" w:firstLineChars="200"/>
        <w:rPr>
          <w:sz w:val="24"/>
        </w:rPr>
      </w:pPr>
      <w:r>
        <w:rPr>
          <w:sz w:val="24"/>
        </w:rPr>
        <w:t>3.1.1</w:t>
      </w:r>
      <w:r>
        <w:rPr>
          <w:rFonts w:hint="eastAsia"/>
          <w:sz w:val="24"/>
        </w:rPr>
        <w:t>投标文件应采用双信封形式，包括下列内容：</w:t>
      </w:r>
    </w:p>
    <w:p>
      <w:pPr>
        <w:pStyle w:val="11"/>
        <w:spacing w:after="0" w:line="420" w:lineRule="exact"/>
        <w:ind w:right="2160" w:firstLine="480" w:firstLineChars="200"/>
        <w:rPr>
          <w:sz w:val="24"/>
        </w:rPr>
      </w:pPr>
      <w:r>
        <w:rPr>
          <w:rFonts w:hint="eastAsia"/>
          <w:sz w:val="24"/>
        </w:rPr>
        <w:t>第一个信封（商务及技术文件）：</w:t>
      </w:r>
    </w:p>
    <w:p>
      <w:pPr>
        <w:pStyle w:val="11"/>
        <w:spacing w:after="0" w:line="420" w:lineRule="exact"/>
        <w:ind w:right="2160" w:firstLine="480" w:firstLineChars="200"/>
        <w:rPr>
          <w:sz w:val="24"/>
        </w:rPr>
      </w:pPr>
      <w:r>
        <w:rPr>
          <w:rFonts w:hint="eastAsia"/>
          <w:sz w:val="24"/>
        </w:rPr>
        <w:t>(1）投标函；</w:t>
      </w:r>
    </w:p>
    <w:p>
      <w:pPr>
        <w:pStyle w:val="11"/>
        <w:spacing w:after="0" w:line="420" w:lineRule="exact"/>
        <w:ind w:right="2160" w:firstLine="480" w:firstLineChars="200"/>
        <w:rPr>
          <w:sz w:val="24"/>
        </w:rPr>
      </w:pPr>
      <w:r>
        <w:rPr>
          <w:rFonts w:hint="eastAsia"/>
          <w:sz w:val="24"/>
        </w:rPr>
        <w:t>(2）授权委托书或法定代表人身份证明；</w:t>
      </w:r>
    </w:p>
    <w:p>
      <w:pPr>
        <w:pStyle w:val="11"/>
        <w:spacing w:after="0" w:line="420" w:lineRule="exact"/>
        <w:ind w:right="2160" w:firstLine="480" w:firstLineChars="200"/>
        <w:rPr>
          <w:sz w:val="24"/>
        </w:rPr>
      </w:pPr>
      <w:r>
        <w:rPr>
          <w:rFonts w:hint="eastAsia"/>
          <w:sz w:val="24"/>
        </w:rPr>
        <w:t>(3）联合体协议书（若有时）；</w:t>
      </w:r>
    </w:p>
    <w:p>
      <w:pPr>
        <w:pStyle w:val="11"/>
        <w:spacing w:after="0" w:line="420" w:lineRule="exact"/>
        <w:ind w:right="2160" w:firstLine="480" w:firstLineChars="200"/>
        <w:rPr>
          <w:sz w:val="24"/>
        </w:rPr>
      </w:pPr>
      <w:r>
        <w:rPr>
          <w:rFonts w:hint="eastAsia"/>
          <w:sz w:val="24"/>
        </w:rPr>
        <w:t>(4）投标保证金；</w:t>
      </w:r>
    </w:p>
    <w:p>
      <w:pPr>
        <w:pStyle w:val="11"/>
        <w:spacing w:after="0" w:line="420" w:lineRule="exact"/>
        <w:ind w:right="2160" w:firstLine="480" w:firstLineChars="200"/>
        <w:rPr>
          <w:sz w:val="24"/>
        </w:rPr>
      </w:pPr>
      <w:r>
        <w:rPr>
          <w:rFonts w:hint="eastAsia"/>
          <w:sz w:val="24"/>
        </w:rPr>
        <w:t>(5）资格审查资料；</w:t>
      </w:r>
    </w:p>
    <w:p>
      <w:pPr>
        <w:pStyle w:val="11"/>
        <w:spacing w:after="0" w:line="420" w:lineRule="exact"/>
        <w:ind w:right="2160" w:firstLine="480" w:firstLineChars="200"/>
        <w:rPr>
          <w:sz w:val="24"/>
        </w:rPr>
      </w:pPr>
      <w:r>
        <w:rPr>
          <w:rFonts w:hint="eastAsia"/>
          <w:sz w:val="24"/>
        </w:rPr>
        <w:t>(6）技术建议书；</w:t>
      </w:r>
    </w:p>
    <w:p>
      <w:pPr>
        <w:pStyle w:val="11"/>
        <w:spacing w:after="0" w:line="420" w:lineRule="exact"/>
        <w:ind w:right="2160" w:firstLine="480" w:firstLineChars="200"/>
        <w:rPr>
          <w:sz w:val="24"/>
        </w:rPr>
      </w:pPr>
      <w:r>
        <w:rPr>
          <w:rFonts w:hint="eastAsia"/>
          <w:sz w:val="24"/>
        </w:rPr>
        <w:t>(7）投标人须知前附表规定的其他资料。</w:t>
      </w:r>
    </w:p>
    <w:p>
      <w:pPr>
        <w:pStyle w:val="11"/>
        <w:spacing w:after="0" w:line="420" w:lineRule="exact"/>
        <w:ind w:right="2160" w:firstLine="480" w:firstLineChars="200"/>
        <w:rPr>
          <w:sz w:val="24"/>
        </w:rPr>
      </w:pPr>
      <w:r>
        <w:rPr>
          <w:rFonts w:hint="eastAsia"/>
          <w:sz w:val="24"/>
        </w:rPr>
        <w:t>第二个信封（报价文件）：</w:t>
      </w:r>
    </w:p>
    <w:p>
      <w:pPr>
        <w:pStyle w:val="11"/>
        <w:spacing w:after="0" w:line="420" w:lineRule="exact"/>
        <w:ind w:right="2160" w:firstLine="480" w:firstLineChars="200"/>
        <w:rPr>
          <w:sz w:val="24"/>
        </w:rPr>
      </w:pPr>
      <w:r>
        <w:rPr>
          <w:rFonts w:hint="eastAsia"/>
          <w:sz w:val="24"/>
        </w:rPr>
        <w:t>(1）投标函；</w:t>
      </w:r>
    </w:p>
    <w:p>
      <w:pPr>
        <w:pStyle w:val="11"/>
        <w:spacing w:after="0" w:line="420" w:lineRule="exact"/>
        <w:ind w:right="2160" w:firstLine="480" w:firstLineChars="200"/>
        <w:rPr>
          <w:sz w:val="24"/>
        </w:rPr>
      </w:pPr>
      <w:r>
        <w:rPr>
          <w:rFonts w:hint="eastAsia"/>
          <w:sz w:val="24"/>
        </w:rPr>
        <w:t>(2）监理服务费用清单。</w:t>
      </w:r>
    </w:p>
    <w:p>
      <w:pPr>
        <w:pStyle w:val="11"/>
        <w:spacing w:after="0" w:line="420" w:lineRule="exact"/>
        <w:ind w:right="57" w:firstLine="480" w:firstLineChars="200"/>
        <w:rPr>
          <w:sz w:val="24"/>
        </w:rPr>
      </w:pPr>
      <w:r>
        <w:rPr>
          <w:sz w:val="24"/>
        </w:rPr>
        <w:t>投标人在评标过程中作出的符合法律法规和招标文件规定的澄清确认，构成投标文件的组成部分。</w:t>
      </w:r>
    </w:p>
    <w:p>
      <w:pPr>
        <w:pStyle w:val="11"/>
        <w:spacing w:before="91" w:after="0" w:line="420" w:lineRule="exact"/>
        <w:ind w:right="119" w:firstLine="480"/>
        <w:rPr>
          <w:sz w:val="24"/>
        </w:rPr>
      </w:pPr>
      <w:r>
        <w:rPr>
          <w:sz w:val="24"/>
        </w:rPr>
        <w:t>3.1.2</w:t>
      </w:r>
      <w:r>
        <w:rPr>
          <w:rFonts w:hint="eastAsia"/>
          <w:sz w:val="24"/>
        </w:rPr>
        <w:t>投标人须知前附表规定不接受联合体投标的，或投标人没有组成联合体的，投标文件不包括本章第3.1.1（3）目所指的联合体协议书。</w:t>
      </w:r>
    </w:p>
    <w:p>
      <w:pPr>
        <w:pStyle w:val="11"/>
        <w:spacing w:before="91" w:after="0" w:line="420" w:lineRule="exact"/>
        <w:ind w:right="119" w:firstLine="480"/>
        <w:rPr>
          <w:sz w:val="24"/>
        </w:rPr>
      </w:pPr>
      <w:r>
        <w:rPr>
          <w:rFonts w:hint="eastAsia"/>
          <w:sz w:val="24"/>
        </w:rPr>
        <w:t>3.1.3投标人须知前附表未要求提交的，投标文件不包括本章第3.1.1（4）目所指的投标保证金。</w:t>
      </w:r>
    </w:p>
    <w:p>
      <w:pPr>
        <w:pStyle w:val="11"/>
        <w:spacing w:before="91" w:line="420" w:lineRule="exact"/>
        <w:ind w:right="119"/>
        <w:rPr>
          <w:b/>
          <w:bCs/>
          <w:sz w:val="24"/>
        </w:rPr>
      </w:pPr>
      <w:r>
        <w:rPr>
          <w:b/>
          <w:bCs/>
          <w:sz w:val="24"/>
        </w:rPr>
        <w:t>3.2投标报价</w:t>
      </w:r>
    </w:p>
    <w:p>
      <w:pPr>
        <w:pStyle w:val="11"/>
        <w:spacing w:after="0" w:line="420" w:lineRule="exact"/>
        <w:ind w:right="119" w:firstLine="484"/>
        <w:rPr>
          <w:sz w:val="24"/>
        </w:rPr>
      </w:pPr>
      <w:r>
        <w:rPr>
          <w:sz w:val="24"/>
        </w:rPr>
        <w:t>3.2.1投标报价应包括国家规定的增值税税金，除投标人须知前附表另有规定外，增值税税金按一般计税方法计算。投标人应按第</w:t>
      </w:r>
      <w:r>
        <w:rPr>
          <w:rFonts w:hint="eastAsia"/>
          <w:sz w:val="24"/>
        </w:rPr>
        <w:t>七</w:t>
      </w:r>
      <w:r>
        <w:rPr>
          <w:sz w:val="24"/>
        </w:rPr>
        <w:t>章“投标文件格式”的要求在投标函中进行报价并填写监理服务费用清单相应表格。</w:t>
      </w:r>
    </w:p>
    <w:p>
      <w:pPr>
        <w:pStyle w:val="11"/>
        <w:spacing w:after="0" w:line="420" w:lineRule="exact"/>
        <w:ind w:right="119" w:firstLine="484"/>
        <w:rPr>
          <w:sz w:val="24"/>
        </w:rPr>
      </w:pPr>
      <w:r>
        <w:rPr>
          <w:sz w:val="24"/>
        </w:rPr>
        <w:t>3.2.2投标人应充分了解本项目的总体情况以及影响投标报价的其他要素，按照招标文件规定的施工监理工作内容和计划工作量，自行测算监理服务费用。投标报价应涵盖投标人完成施工准备阶段、施工阶段、验收与缺陷责任期阶段监理工作所需的全部费用。</w:t>
      </w:r>
    </w:p>
    <w:p>
      <w:pPr>
        <w:pStyle w:val="11"/>
        <w:spacing w:after="0" w:line="420" w:lineRule="exact"/>
        <w:ind w:right="119" w:firstLine="484"/>
        <w:rPr>
          <w:sz w:val="24"/>
        </w:rPr>
      </w:pPr>
      <w:r>
        <w:rPr>
          <w:sz w:val="24"/>
        </w:rPr>
        <w:t>投标人应按照</w:t>
      </w:r>
      <w:r>
        <w:rPr>
          <w:rFonts w:hint="eastAsia"/>
          <w:sz w:val="24"/>
        </w:rPr>
        <w:t>“</w:t>
      </w:r>
      <w:r>
        <w:rPr>
          <w:sz w:val="24"/>
        </w:rPr>
        <w:t>投标文件格式</w:t>
      </w:r>
      <w:r>
        <w:rPr>
          <w:rFonts w:hint="eastAsia"/>
          <w:sz w:val="24"/>
        </w:rPr>
        <w:t>”</w:t>
      </w:r>
      <w:r>
        <w:rPr>
          <w:sz w:val="24"/>
        </w:rPr>
        <w:t>中</w:t>
      </w:r>
      <w:r>
        <w:rPr>
          <w:rFonts w:hint="eastAsia"/>
          <w:sz w:val="24"/>
        </w:rPr>
        <w:t>“</w:t>
      </w:r>
      <w:r>
        <w:rPr>
          <w:sz w:val="24"/>
        </w:rPr>
        <w:t>监理服务费用清单</w:t>
      </w:r>
      <w:r>
        <w:rPr>
          <w:rFonts w:hint="eastAsia"/>
          <w:sz w:val="24"/>
        </w:rPr>
        <w:t>”</w:t>
      </w:r>
      <w:r>
        <w:rPr>
          <w:sz w:val="24"/>
        </w:rPr>
        <w:t>的要求填报监理服务费。投标人未填报的部分，在工程实施时委托人将不予支付，并认为该部分费用己包含在报价中。</w:t>
      </w:r>
    </w:p>
    <w:p>
      <w:pPr>
        <w:pStyle w:val="11"/>
        <w:spacing w:after="0" w:line="420" w:lineRule="exact"/>
        <w:ind w:right="119" w:firstLine="484"/>
        <w:rPr>
          <w:sz w:val="24"/>
        </w:rPr>
      </w:pPr>
      <w:r>
        <w:rPr>
          <w:sz w:val="24"/>
        </w:rPr>
        <w:t>3.2.3本项目的报价方式见投标人须知前附表。投标人在投标截止时间前修改投标函中的投标报价总额，应同时修改投标文件</w:t>
      </w:r>
      <w:r>
        <w:rPr>
          <w:rFonts w:hint="eastAsia"/>
          <w:sz w:val="24"/>
        </w:rPr>
        <w:t>“</w:t>
      </w:r>
      <w:r>
        <w:rPr>
          <w:sz w:val="24"/>
        </w:rPr>
        <w:t>监理服务费用清单</w:t>
      </w:r>
      <w:r>
        <w:rPr>
          <w:rFonts w:hint="eastAsia"/>
          <w:sz w:val="24"/>
        </w:rPr>
        <w:t>”</w:t>
      </w:r>
      <w:r>
        <w:rPr>
          <w:sz w:val="24"/>
        </w:rPr>
        <w:t>中的相应报价。此修改须符合本章第4.3款的有关要求。</w:t>
      </w:r>
    </w:p>
    <w:p>
      <w:pPr>
        <w:pStyle w:val="11"/>
        <w:spacing w:after="0" w:line="420" w:lineRule="exact"/>
        <w:ind w:right="119" w:firstLine="484"/>
        <w:rPr>
          <w:sz w:val="24"/>
        </w:rPr>
      </w:pPr>
      <w:r>
        <w:rPr>
          <w:sz w:val="24"/>
        </w:rPr>
        <w:t>3.2.4</w:t>
      </w:r>
      <w:r>
        <w:rPr>
          <w:rFonts w:hint="eastAsia"/>
          <w:sz w:val="24"/>
        </w:rPr>
        <w:t>招标人设有最高投标限价的，投标人的投标报价不得超过最高投标限价，最高投标限价在投标人须知前附表中载明。</w:t>
      </w:r>
    </w:p>
    <w:p>
      <w:pPr>
        <w:pStyle w:val="11"/>
        <w:spacing w:before="134" w:after="0" w:line="420" w:lineRule="exact"/>
        <w:ind w:left="426" w:leftChars="203" w:right="170" w:firstLine="120" w:firstLineChars="50"/>
        <w:rPr>
          <w:sz w:val="24"/>
        </w:rPr>
      </w:pPr>
      <w:r>
        <w:rPr>
          <w:sz w:val="24"/>
        </w:rPr>
        <w:t>3.2.5</w:t>
      </w:r>
      <w:r>
        <w:rPr>
          <w:rFonts w:hint="eastAsia"/>
          <w:sz w:val="24"/>
        </w:rPr>
        <w:t xml:space="preserve"> 投标报价的其他要求见投标人须知前附表。</w:t>
      </w:r>
    </w:p>
    <w:p>
      <w:pPr>
        <w:pStyle w:val="11"/>
        <w:spacing w:line="420" w:lineRule="exact"/>
        <w:ind w:right="170"/>
        <w:rPr>
          <w:b/>
          <w:bCs/>
          <w:sz w:val="24"/>
        </w:rPr>
      </w:pPr>
      <w:r>
        <w:rPr>
          <w:b/>
          <w:bCs/>
          <w:sz w:val="24"/>
        </w:rPr>
        <w:t>3.3投标有效期</w:t>
      </w:r>
    </w:p>
    <w:p>
      <w:pPr>
        <w:pStyle w:val="11"/>
        <w:spacing w:after="0" w:line="420" w:lineRule="exact"/>
        <w:ind w:left="638" w:right="170"/>
        <w:rPr>
          <w:sz w:val="24"/>
        </w:rPr>
      </w:pPr>
      <w:r>
        <w:rPr>
          <w:sz w:val="24"/>
        </w:rPr>
        <w:t>3.3.1</w:t>
      </w:r>
      <w:r>
        <w:rPr>
          <w:rFonts w:hint="eastAsia"/>
          <w:sz w:val="24"/>
        </w:rPr>
        <w:t>除投标人须知前附表另有规定外，投标有效期为90天。</w:t>
      </w:r>
    </w:p>
    <w:p>
      <w:pPr>
        <w:pStyle w:val="11"/>
        <w:spacing w:before="138" w:after="0" w:line="420" w:lineRule="exact"/>
        <w:ind w:right="170" w:firstLine="636" w:firstLineChars="265"/>
        <w:rPr>
          <w:sz w:val="24"/>
        </w:rPr>
      </w:pPr>
      <w:r>
        <w:rPr>
          <w:sz w:val="24"/>
        </w:rPr>
        <w:t>3.3.2</w:t>
      </w:r>
      <w:r>
        <w:rPr>
          <w:rFonts w:hint="eastAsia"/>
          <w:sz w:val="24"/>
        </w:rPr>
        <w:t>在投标有效期内，投标人撤销投标文件的，应承担招标文件和法律规定的责任。</w:t>
      </w:r>
    </w:p>
    <w:p>
      <w:pPr>
        <w:pStyle w:val="11"/>
        <w:spacing w:before="65" w:after="0" w:line="420" w:lineRule="exact"/>
        <w:ind w:right="312" w:firstLine="484"/>
        <w:rPr>
          <w:sz w:val="24"/>
        </w:rPr>
      </w:pPr>
      <w:r>
        <w:rPr>
          <w:sz w:val="24"/>
        </w:rPr>
        <w:t>3.3.3出现特殊情况需要延长投标有效期的，招标人以书面形式通知所有投标人延长投标有效期。投标人应予以书面答复，同意延长的，应相应延长其投标保证金的有效期，但不得要求或被允许修改其投标文件</w:t>
      </w:r>
      <w:r>
        <w:rPr>
          <w:rFonts w:hint="eastAsia"/>
          <w:sz w:val="24"/>
        </w:rPr>
        <w:t>；</w:t>
      </w:r>
      <w:r>
        <w:rPr>
          <w:sz w:val="24"/>
        </w:rPr>
        <w:t>投标人拒绝延长的，其投标失效，但投标人有权收回其投标保证金及以现金或支票形式递交的投标保证金的银行同期活期存款利息。</w:t>
      </w:r>
    </w:p>
    <w:p>
      <w:pPr>
        <w:pStyle w:val="11"/>
        <w:spacing w:before="184" w:line="420" w:lineRule="exact"/>
        <w:ind w:right="170"/>
        <w:rPr>
          <w:b/>
          <w:bCs/>
          <w:sz w:val="24"/>
        </w:rPr>
      </w:pPr>
      <w:r>
        <w:rPr>
          <w:b/>
          <w:bCs/>
          <w:sz w:val="24"/>
        </w:rPr>
        <w:t>3.4投标保证金</w:t>
      </w:r>
    </w:p>
    <w:p>
      <w:pPr>
        <w:pStyle w:val="11"/>
        <w:spacing w:after="0" w:line="420" w:lineRule="exact"/>
        <w:ind w:right="170" w:firstLine="480" w:firstLineChars="200"/>
        <w:rPr>
          <w:sz w:val="24"/>
        </w:rPr>
      </w:pPr>
      <w:r>
        <w:rPr>
          <w:sz w:val="24"/>
        </w:rPr>
        <w:t>3.4.1投标人在递交投标文件的同时，应按投标人须知前附表规定的金额和第</w:t>
      </w:r>
      <w:r>
        <w:rPr>
          <w:rFonts w:hint="eastAsia"/>
          <w:sz w:val="24"/>
        </w:rPr>
        <w:t>七</w:t>
      </w:r>
      <w:r>
        <w:rPr>
          <w:sz w:val="24"/>
        </w:rPr>
        <w:t>章“投标文件格式”规定的投标保证金格式递交投标保证金，并作为其投标文件的组成部分。联合体投标的，其投标保证金由牵头人递交，并应符合投标人须知前附表的规定。</w:t>
      </w:r>
    </w:p>
    <w:p>
      <w:pPr>
        <w:pStyle w:val="11"/>
        <w:spacing w:after="0" w:line="420" w:lineRule="exact"/>
        <w:ind w:right="170" w:firstLine="480" w:firstLineChars="200"/>
        <w:rPr>
          <w:sz w:val="24"/>
        </w:rPr>
      </w:pPr>
      <w:r>
        <w:rPr>
          <w:sz w:val="24"/>
        </w:rPr>
        <w:t>投标保证金应采用现金、支票、银行保函或招标人在投标人须知前附表规定的其他形式。</w:t>
      </w:r>
    </w:p>
    <w:p>
      <w:pPr>
        <w:pStyle w:val="11"/>
        <w:spacing w:after="0" w:line="420" w:lineRule="exact"/>
        <w:ind w:right="170" w:firstLine="600" w:firstLineChars="250"/>
        <w:rPr>
          <w:sz w:val="24"/>
        </w:rPr>
      </w:pPr>
      <w:r>
        <w:rPr>
          <w:rFonts w:hint="eastAsia"/>
          <w:sz w:val="24"/>
        </w:rPr>
        <w:t>(1)</w:t>
      </w:r>
      <w:r>
        <w:rPr>
          <w:sz w:val="24"/>
        </w:rPr>
        <w:t>若采用现金或支票，投标人应在递交投标文件截止时间之前，将投标保证金由投标人的基本账户转入招标人指定账户，否则视为投标保证金无效。招标人指定的开户银行及账号见投标人须知前附表。</w:t>
      </w:r>
    </w:p>
    <w:p>
      <w:pPr>
        <w:pStyle w:val="11"/>
        <w:spacing w:after="0" w:line="420" w:lineRule="exact"/>
        <w:ind w:right="170" w:firstLine="636" w:firstLineChars="265"/>
        <w:rPr>
          <w:sz w:val="24"/>
        </w:rPr>
      </w:pPr>
      <w:r>
        <w:rPr>
          <w:sz w:val="24"/>
        </w:rPr>
        <w:t>(2）若采用银行保函，则应由符合投标人须知前附表规定级别的银行开具，并采用招标文件提供的格式。银行保函复印件装订在投标文件内，原件应在递交投标文件截止时间之前单独密封递交给招标人。</w:t>
      </w:r>
    </w:p>
    <w:p>
      <w:pPr>
        <w:pStyle w:val="11"/>
        <w:spacing w:after="0" w:line="420" w:lineRule="exact"/>
        <w:ind w:right="170" w:firstLine="636" w:firstLineChars="265"/>
        <w:rPr>
          <w:sz w:val="24"/>
        </w:rPr>
      </w:pPr>
      <w:r>
        <w:rPr>
          <w:sz w:val="24"/>
        </w:rPr>
        <w:t>无论采取何种形式的投标保证金，投标保证金有效期均应与投标有效期一致。招标人如果按本章第3.3.3项的规定延长了投标有效期，则投标保证金的有效期也相应延长。</w:t>
      </w:r>
    </w:p>
    <w:p>
      <w:pPr>
        <w:pStyle w:val="11"/>
        <w:spacing w:after="0" w:line="420" w:lineRule="exact"/>
        <w:ind w:right="170" w:firstLine="636" w:firstLineChars="265"/>
        <w:rPr>
          <w:sz w:val="24"/>
        </w:rPr>
      </w:pPr>
      <w:r>
        <w:rPr>
          <w:sz w:val="24"/>
        </w:rPr>
        <w:t>3.4.2</w:t>
      </w:r>
      <w:r>
        <w:rPr>
          <w:rFonts w:hint="eastAsia"/>
          <w:sz w:val="24"/>
        </w:rPr>
        <w:t>投标人不按本章第3.4.1项要求提交投标保证金的，评标委员会将否决其投标。</w:t>
      </w:r>
    </w:p>
    <w:p>
      <w:pPr>
        <w:pStyle w:val="11"/>
        <w:spacing w:after="0" w:line="420" w:lineRule="exact"/>
        <w:ind w:right="170" w:firstLine="636" w:firstLineChars="265"/>
        <w:rPr>
          <w:sz w:val="24"/>
        </w:rPr>
      </w:pPr>
      <w:r>
        <w:rPr>
          <w:sz w:val="24"/>
        </w:rPr>
        <w:t>3.4.3招标人最迟将在中标通知书发出后5日内向中标候选人以外的其他投标人退还投标保证金，与中标人签订合同后5日内向中标人和其他中标候选人退还投标保证金。投标保证金以现金或支票形式递交的，招标人应同时退还投标保证金的银行同期活期存款利息，且退还至投标人的基本账户。</w:t>
      </w:r>
    </w:p>
    <w:p>
      <w:pPr>
        <w:pStyle w:val="11"/>
        <w:spacing w:after="0" w:line="420" w:lineRule="exact"/>
        <w:ind w:left="638" w:right="170"/>
        <w:rPr>
          <w:sz w:val="24"/>
        </w:rPr>
      </w:pPr>
      <w:r>
        <w:rPr>
          <w:sz w:val="24"/>
        </w:rPr>
        <w:t>利息计算原则见投标人须知前附表。</w:t>
      </w:r>
    </w:p>
    <w:p>
      <w:pPr>
        <w:pStyle w:val="11"/>
        <w:spacing w:after="0" w:line="420" w:lineRule="exact"/>
        <w:ind w:left="638" w:right="170"/>
        <w:rPr>
          <w:sz w:val="24"/>
        </w:rPr>
      </w:pPr>
      <w:r>
        <w:rPr>
          <w:sz w:val="24"/>
        </w:rPr>
        <w:t>3.4.4</w:t>
      </w:r>
      <w:r>
        <w:rPr>
          <w:rFonts w:hint="eastAsia"/>
          <w:sz w:val="24"/>
        </w:rPr>
        <w:t>有下列情形之一的，投标保证金将不予退还：</w:t>
      </w:r>
    </w:p>
    <w:p>
      <w:pPr>
        <w:pStyle w:val="11"/>
        <w:spacing w:after="0" w:line="420" w:lineRule="exact"/>
        <w:ind w:left="638" w:right="170"/>
        <w:rPr>
          <w:sz w:val="24"/>
        </w:rPr>
      </w:pPr>
      <w:r>
        <w:rPr>
          <w:rFonts w:hint="eastAsia"/>
          <w:sz w:val="24"/>
        </w:rPr>
        <w:t>（1）投标人在投标有效期内撤销投标文件；</w:t>
      </w:r>
    </w:p>
    <w:p>
      <w:pPr>
        <w:pStyle w:val="11"/>
        <w:spacing w:after="0" w:line="420" w:lineRule="exact"/>
        <w:ind w:right="170" w:firstLine="636" w:firstLineChars="265"/>
        <w:rPr>
          <w:sz w:val="24"/>
        </w:rPr>
      </w:pPr>
      <w:r>
        <w:rPr>
          <w:rFonts w:hint="eastAsia"/>
          <w:sz w:val="24"/>
        </w:rPr>
        <w:t>（2）中标人在收到中标通知书后，无正当理由不与招标人订立合同，在签订合同时向招标人提出附加条件，或者不按照招标文件要求提交履约保证金；</w:t>
      </w:r>
    </w:p>
    <w:p>
      <w:pPr>
        <w:pStyle w:val="11"/>
        <w:spacing w:after="0" w:line="420" w:lineRule="exact"/>
        <w:ind w:left="638" w:right="170"/>
        <w:rPr>
          <w:sz w:val="24"/>
        </w:rPr>
      </w:pPr>
      <w:r>
        <w:rPr>
          <w:rFonts w:hint="eastAsia"/>
          <w:sz w:val="24"/>
        </w:rPr>
        <w:t>（3）发生投标人须知前附表规定的其他可以不予退还投标保证金的情形。</w:t>
      </w:r>
    </w:p>
    <w:p>
      <w:pPr>
        <w:pStyle w:val="11"/>
        <w:spacing w:before="29" w:line="420" w:lineRule="exact"/>
        <w:ind w:right="140" w:firstLine="241" w:firstLineChars="100"/>
        <w:rPr>
          <w:b/>
          <w:bCs/>
          <w:sz w:val="24"/>
        </w:rPr>
      </w:pPr>
      <w:r>
        <w:rPr>
          <w:b/>
          <w:bCs/>
          <w:sz w:val="24"/>
        </w:rPr>
        <w:t>3.5资格审查资料</w:t>
      </w:r>
    </w:p>
    <w:p>
      <w:pPr>
        <w:pStyle w:val="11"/>
        <w:spacing w:after="0" w:line="420" w:lineRule="exact"/>
        <w:ind w:left="172" w:right="140" w:firstLine="470"/>
        <w:rPr>
          <w:sz w:val="24"/>
        </w:rPr>
      </w:pPr>
      <w:r>
        <w:rPr>
          <w:sz w:val="24"/>
        </w:rPr>
        <w:t>除投标人须知前附表另有规定外，投标人应按下列规定提供资格审查资料，以证</w:t>
      </w:r>
      <w:r>
        <w:rPr>
          <w:rFonts w:hint="eastAsia"/>
          <w:sz w:val="24"/>
        </w:rPr>
        <w:t>明</w:t>
      </w:r>
      <w:r>
        <w:rPr>
          <w:sz w:val="24"/>
        </w:rPr>
        <w:t>其满足本章第1.4款规定的资质、业绩、信誉等要求。</w:t>
      </w:r>
    </w:p>
    <w:p>
      <w:pPr>
        <w:pStyle w:val="11"/>
        <w:spacing w:after="0" w:line="420" w:lineRule="exact"/>
        <w:ind w:left="172" w:right="140" w:firstLine="470"/>
        <w:rPr>
          <w:sz w:val="24"/>
        </w:rPr>
      </w:pPr>
      <w:r>
        <w:rPr>
          <w:sz w:val="24"/>
        </w:rPr>
        <w:t>3.5.1“投标人基本情况表” 应附企业法人营业执照副本和组织机构代码证副本（按照“三证合一”或“五证合一”登记制度进行登记的，可仅提供营业执照副本，下同）、监理资质证书副本、基本账户开户许可证的复印件</w:t>
      </w:r>
      <w:r>
        <w:rPr>
          <w:rFonts w:hint="eastAsia"/>
          <w:sz w:val="24"/>
        </w:rPr>
        <w:t>（或基本户备案证明复印件）</w:t>
      </w:r>
      <w:r>
        <w:rPr>
          <w:sz w:val="24"/>
        </w:rPr>
        <w:t>，投标人在国家企业信用信息公示系统中基础信息（体现股东及出资详细信息）的网页截图或由法定的社会验资机构出具的验资报告或注册地工商部门出具的股东出资情况证明复印件。</w:t>
      </w:r>
    </w:p>
    <w:p>
      <w:pPr>
        <w:pStyle w:val="11"/>
        <w:spacing w:after="0" w:line="420" w:lineRule="exact"/>
        <w:ind w:left="170" w:right="142" w:firstLine="471"/>
        <w:rPr>
          <w:sz w:val="24"/>
        </w:rPr>
      </w:pPr>
      <w:r>
        <w:rPr>
          <w:sz w:val="24"/>
        </w:rPr>
        <w:t>企业法人营业执照副本和组织机构代码证副本、监理资质证书副本、基本账户开户许可证的复印件</w:t>
      </w:r>
      <w:r>
        <w:rPr>
          <w:rFonts w:hint="eastAsia"/>
          <w:sz w:val="24"/>
        </w:rPr>
        <w:t>（或基本户备案证明复印件）</w:t>
      </w:r>
      <w:r>
        <w:rPr>
          <w:sz w:val="24"/>
        </w:rPr>
        <w:t>应提供</w:t>
      </w:r>
      <w:r>
        <w:rPr>
          <w:rFonts w:hint="eastAsia"/>
          <w:sz w:val="24"/>
          <w:highlight w:val="yellow"/>
        </w:rPr>
        <w:t>关键页</w:t>
      </w:r>
      <w:r>
        <w:rPr>
          <w:sz w:val="24"/>
        </w:rPr>
        <w:t>，包括投标人名称、投标人其他相关信息、颁发机构名称、投标人信息变更情况等关键页在内，并逐页加盖投标人单位章。</w:t>
      </w:r>
    </w:p>
    <w:p>
      <w:pPr>
        <w:pStyle w:val="11"/>
        <w:spacing w:before="31" w:after="0" w:line="420" w:lineRule="exact"/>
        <w:ind w:left="158" w:right="319" w:firstLine="480"/>
        <w:rPr>
          <w:sz w:val="24"/>
        </w:rPr>
      </w:pPr>
      <w:r>
        <w:rPr>
          <w:sz w:val="24"/>
        </w:rPr>
        <w:t>3.5.2</w:t>
      </w:r>
      <w:r>
        <w:rPr>
          <w:rFonts w:hint="eastAsia"/>
          <w:sz w:val="24"/>
        </w:rPr>
        <w:t xml:space="preserve"> </w:t>
      </w:r>
      <w:r>
        <w:rPr>
          <w:sz w:val="24"/>
        </w:rPr>
        <w:t>“投标人的信誉情况表”应附投标人在国家企业信用信息公示系统中未被列入严重违法失信企业名单、在“信用中国”网站中未被列入失信被执行人名单的网页截图复印件，以及近三年内投标人及其法定代表人、拟委任的</w:t>
      </w:r>
      <w:r>
        <w:rPr>
          <w:rFonts w:hint="eastAsia"/>
          <w:sz w:val="24"/>
        </w:rPr>
        <w:t>项目负责人</w:t>
      </w:r>
      <w:r>
        <w:rPr>
          <w:sz w:val="24"/>
        </w:rPr>
        <w:t>均无行贿犯罪行为</w:t>
      </w:r>
      <w:r>
        <w:rPr>
          <w:sz w:val="24"/>
          <w:highlight w:val="yellow"/>
        </w:rPr>
        <w:t>记录的网站（中国裁判文书网）查询</w:t>
      </w:r>
      <w:r>
        <w:rPr>
          <w:rFonts w:hint="eastAsia"/>
          <w:sz w:val="24"/>
          <w:highlight w:val="yellow"/>
        </w:rPr>
        <w:t>截图</w:t>
      </w:r>
      <w:r>
        <w:rPr>
          <w:sz w:val="24"/>
        </w:rPr>
        <w:t>。</w:t>
      </w:r>
    </w:p>
    <w:p>
      <w:pPr>
        <w:pStyle w:val="11"/>
        <w:spacing w:before="97" w:after="0" w:line="420" w:lineRule="exact"/>
        <w:ind w:right="18" w:firstLine="484"/>
        <w:rPr>
          <w:sz w:val="24"/>
        </w:rPr>
      </w:pPr>
      <w:r>
        <w:rPr>
          <w:sz w:val="24"/>
        </w:rPr>
        <w:t>3.5.</w:t>
      </w:r>
      <w:r>
        <w:rPr>
          <w:rFonts w:hint="eastAsia"/>
          <w:sz w:val="24"/>
        </w:rPr>
        <w:t>3“拟委任的总监理工程师资历表”应附总监理工程师的身份证、职称资格证书和资格审查条件所要求的其他相关证书（如监理工程师证书等）的复印件，以及投标人所属社保机构系统打印的拟委任的总监理工程师的社保缴费证明或其他能够证明拟委任的总监理工程师参加社保的有效证明材料复印件。</w:t>
      </w:r>
    </w:p>
    <w:p>
      <w:pPr>
        <w:pStyle w:val="11"/>
        <w:spacing w:before="19" w:after="0" w:line="420" w:lineRule="exact"/>
        <w:ind w:right="18" w:firstLine="484"/>
        <w:rPr>
          <w:sz w:val="24"/>
        </w:rPr>
      </w:pPr>
      <w:r>
        <w:rPr>
          <w:sz w:val="24"/>
        </w:rPr>
        <w:t>3.5.</w:t>
      </w:r>
      <w:r>
        <w:rPr>
          <w:rFonts w:hint="eastAsia"/>
          <w:sz w:val="24"/>
        </w:rPr>
        <w:t>4“拟委任的其他主要监理人员汇总表”（如有）应填报满足投标人须知前附表附录5规定的其他主要监理人员的相关信息。“拟委任的其他主要监理人员资历表”（如有）中相关人员应附身份证、职称资格证书和资格审查条件所要求的其他相关证书（如监理工程师证书等）的复印件</w:t>
      </w:r>
    </w:p>
    <w:p>
      <w:pPr>
        <w:pStyle w:val="11"/>
        <w:spacing w:before="33" w:after="0" w:line="420" w:lineRule="exact"/>
        <w:ind w:left="158" w:right="18" w:firstLine="480"/>
        <w:rPr>
          <w:sz w:val="24"/>
        </w:rPr>
      </w:pPr>
      <w:r>
        <w:rPr>
          <w:sz w:val="24"/>
        </w:rPr>
        <w:t>3.5.</w:t>
      </w:r>
      <w:r>
        <w:rPr>
          <w:rFonts w:hint="eastAsia"/>
          <w:sz w:val="24"/>
        </w:rPr>
        <w:t>5</w:t>
      </w:r>
      <w:r>
        <w:rPr>
          <w:sz w:val="24"/>
        </w:rPr>
        <w:t>投标人须知前附表规定接受联合体投标的，本章第3.5.1项至第3.5.5项规定的表格和资料应包括联合体各方相关情况。</w:t>
      </w:r>
    </w:p>
    <w:p>
      <w:pPr>
        <w:pStyle w:val="11"/>
        <w:spacing w:before="40" w:after="0" w:line="420" w:lineRule="exact"/>
        <w:ind w:right="18" w:firstLine="602" w:firstLineChars="251"/>
        <w:rPr>
          <w:sz w:val="24"/>
        </w:rPr>
      </w:pPr>
      <w:r>
        <w:rPr>
          <w:sz w:val="24"/>
        </w:rPr>
        <w:t>3.5.</w:t>
      </w:r>
      <w:r>
        <w:rPr>
          <w:rFonts w:hint="eastAsia"/>
          <w:sz w:val="24"/>
        </w:rPr>
        <w:t>6</w:t>
      </w:r>
      <w:r>
        <w:rPr>
          <w:sz w:val="24"/>
        </w:rPr>
        <w:t>除合同条款约定的特殊情形外，投标人在投标文件中填报的总监理工程师不允许更换。</w:t>
      </w:r>
    </w:p>
    <w:p>
      <w:pPr>
        <w:pStyle w:val="11"/>
        <w:spacing w:before="40" w:after="0" w:line="420" w:lineRule="exact"/>
        <w:ind w:left="148" w:right="18" w:firstLine="489"/>
        <w:rPr>
          <w:sz w:val="24"/>
        </w:rPr>
      </w:pPr>
      <w:r>
        <w:rPr>
          <w:sz w:val="24"/>
        </w:rPr>
        <w:t>3.5.</w:t>
      </w:r>
      <w:r>
        <w:rPr>
          <w:rFonts w:hint="eastAsia"/>
          <w:sz w:val="24"/>
        </w:rPr>
        <w:t>7</w:t>
      </w:r>
      <w:r>
        <w:rPr>
          <w:sz w:val="24"/>
        </w:rPr>
        <w:t>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w:t>
      </w:r>
      <w:r>
        <w:rPr>
          <w:rFonts w:hint="eastAsia"/>
          <w:sz w:val="24"/>
        </w:rPr>
        <w:t>；</w:t>
      </w:r>
      <w:r>
        <w:rPr>
          <w:sz w:val="24"/>
        </w:rPr>
        <w:t>若在合同实施期间发现投标人提供了虚假资料，招标人有权从合同价款或履约保证金中扣除不超过5%签约合同价的金额作为违约金。</w:t>
      </w:r>
    </w:p>
    <w:p>
      <w:pPr>
        <w:pStyle w:val="11"/>
        <w:spacing w:before="182" w:line="420" w:lineRule="exact"/>
        <w:rPr>
          <w:b/>
          <w:bCs/>
          <w:sz w:val="24"/>
        </w:rPr>
      </w:pPr>
      <w:r>
        <w:rPr>
          <w:b/>
          <w:bCs/>
          <w:sz w:val="24"/>
        </w:rPr>
        <w:t>3.6备选投标方案</w:t>
      </w:r>
    </w:p>
    <w:p>
      <w:pPr>
        <w:pStyle w:val="11"/>
        <w:spacing w:before="40" w:line="420" w:lineRule="exact"/>
        <w:ind w:left="148" w:right="18" w:firstLine="489"/>
        <w:rPr>
          <w:sz w:val="24"/>
        </w:rPr>
      </w:pPr>
      <w:r>
        <w:rPr>
          <w:sz w:val="24"/>
        </w:rPr>
        <w:t>3.6.1</w:t>
      </w:r>
      <w:r>
        <w:rPr>
          <w:rFonts w:hint="eastAsia"/>
          <w:sz w:val="24"/>
        </w:rPr>
        <w:t>除投标人须知前附表规定允许外，投标人不得递交备选投标方案，否则其投标将被否决。</w:t>
      </w:r>
    </w:p>
    <w:p>
      <w:pPr>
        <w:pStyle w:val="11"/>
        <w:spacing w:before="40" w:line="420" w:lineRule="exact"/>
        <w:ind w:left="148" w:right="18" w:firstLine="489"/>
        <w:rPr>
          <w:sz w:val="24"/>
        </w:rPr>
      </w:pPr>
      <w:r>
        <w:rPr>
          <w:sz w:val="24"/>
        </w:rPr>
        <w:t>3.6.2</w:t>
      </w:r>
      <w:r>
        <w:rPr>
          <w:rFonts w:hint="eastAsia"/>
          <w:sz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11"/>
        <w:spacing w:before="40" w:line="420" w:lineRule="exact"/>
        <w:ind w:left="148" w:right="18" w:firstLine="489"/>
        <w:rPr>
          <w:sz w:val="24"/>
        </w:rPr>
      </w:pPr>
      <w:r>
        <w:rPr>
          <w:sz w:val="24"/>
        </w:rPr>
        <w:t>3.6.3</w:t>
      </w:r>
      <w:r>
        <w:rPr>
          <w:rFonts w:hint="eastAsia"/>
          <w:sz w:val="24"/>
        </w:rPr>
        <w:t>投标人提供两个或两个以上投标报价，或者在投标文件中提供一个报价，但同时提供两个或两个以上技术建议书的，视为提供备选方案。</w:t>
      </w:r>
    </w:p>
    <w:p>
      <w:pPr>
        <w:spacing w:line="420" w:lineRule="exact"/>
        <w:ind w:left="153"/>
        <w:rPr>
          <w:b/>
          <w:bCs/>
          <w:sz w:val="24"/>
        </w:rPr>
      </w:pPr>
      <w:r>
        <w:rPr>
          <w:rFonts w:cs="Arial"/>
          <w:b/>
          <w:bCs/>
          <w:sz w:val="24"/>
        </w:rPr>
        <w:t>3.7</w:t>
      </w:r>
      <w:r>
        <w:rPr>
          <w:b/>
          <w:bCs/>
          <w:sz w:val="24"/>
        </w:rPr>
        <w:t>投标文件的编制</w:t>
      </w:r>
    </w:p>
    <w:p>
      <w:pPr>
        <w:pStyle w:val="11"/>
        <w:spacing w:line="420" w:lineRule="exact"/>
        <w:ind w:right="103" w:firstLine="484"/>
        <w:rPr>
          <w:sz w:val="24"/>
        </w:rPr>
      </w:pPr>
      <w:r>
        <w:rPr>
          <w:sz w:val="24"/>
        </w:rPr>
        <w:t>3.7.1投标文件应按第</w:t>
      </w:r>
      <w:r>
        <w:rPr>
          <w:rFonts w:hint="eastAsia"/>
          <w:sz w:val="24"/>
        </w:rPr>
        <w:t>七</w:t>
      </w:r>
      <w:r>
        <w:rPr>
          <w:sz w:val="24"/>
        </w:rPr>
        <w:t>章“投标文件格式”进行编写，如有必要，可以增加附页，作为投标文件的组成部分。</w:t>
      </w:r>
    </w:p>
    <w:p>
      <w:pPr>
        <w:pStyle w:val="11"/>
        <w:spacing w:before="44" w:line="420" w:lineRule="exact"/>
        <w:ind w:left="196" w:right="298" w:firstLine="441"/>
        <w:rPr>
          <w:sz w:val="24"/>
        </w:rPr>
      </w:pPr>
      <w:r>
        <w:rPr>
          <w:sz w:val="24"/>
        </w:rPr>
        <w:t>3.7.2</w:t>
      </w:r>
      <w:r>
        <w:rPr>
          <w:rFonts w:hint="eastAsia"/>
          <w:sz w:val="24"/>
        </w:rPr>
        <w:t>投标文件应对招标文件有关监理服务期限、投标有效期、质量要求、安全目标、委托人要求、招标范围等实质性内容作出响应。</w:t>
      </w:r>
    </w:p>
    <w:p>
      <w:pPr>
        <w:pStyle w:val="11"/>
        <w:spacing w:before="35" w:line="420" w:lineRule="exact"/>
        <w:ind w:right="110" w:firstLine="484"/>
        <w:rPr>
          <w:sz w:val="24"/>
        </w:rPr>
      </w:pPr>
      <w:r>
        <w:rPr>
          <w:sz w:val="24"/>
        </w:rPr>
        <w:t>3.7.3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及对投标文件的澄清和说明应加盖投标人单位章，或由投标人的法定代表人或其委托代理人签字。</w:t>
      </w:r>
    </w:p>
    <w:p>
      <w:pPr>
        <w:pStyle w:val="11"/>
        <w:spacing w:before="31" w:line="420" w:lineRule="exact"/>
        <w:ind w:left="148" w:right="303" w:firstLine="489"/>
        <w:rPr>
          <w:sz w:val="24"/>
        </w:rPr>
      </w:pPr>
      <w:r>
        <w:rPr>
          <w:sz w:val="24"/>
        </w:rPr>
        <w:t>如果投标文件由委托代理人签署，则投标人须提交授权委托书，授权委托书应按第</w:t>
      </w:r>
      <w:r>
        <w:rPr>
          <w:rFonts w:hint="eastAsia"/>
          <w:sz w:val="24"/>
        </w:rPr>
        <w:t>七</w:t>
      </w:r>
      <w:r>
        <w:rPr>
          <w:sz w:val="24"/>
        </w:rPr>
        <w:t>章“投标文件格式”的要求出具，并由法定代表人和委托代理人亲笔签名，不得使用印章、签名章或其他电子制版签名代替。</w:t>
      </w:r>
    </w:p>
    <w:p>
      <w:pPr>
        <w:pStyle w:val="11"/>
        <w:spacing w:before="24" w:line="420" w:lineRule="exact"/>
        <w:ind w:right="314" w:firstLine="484"/>
        <w:rPr>
          <w:sz w:val="24"/>
        </w:rPr>
      </w:pPr>
      <w:r>
        <w:rPr>
          <w:sz w:val="24"/>
        </w:rPr>
        <w:t>如果由投标人的法定代表人亲自签署投标文件，则投标人须提交法定代表人身份证明，身份证明应符合第</w:t>
      </w:r>
      <w:r>
        <w:rPr>
          <w:rFonts w:hint="eastAsia"/>
          <w:sz w:val="24"/>
        </w:rPr>
        <w:t>七</w:t>
      </w:r>
      <w:r>
        <w:rPr>
          <w:sz w:val="24"/>
        </w:rPr>
        <w:t>章“投标文件格式”的要求。</w:t>
      </w:r>
    </w:p>
    <w:p>
      <w:pPr>
        <w:pStyle w:val="11"/>
        <w:spacing w:before="19" w:line="420" w:lineRule="exact"/>
        <w:ind w:right="293" w:firstLine="508"/>
        <w:rPr>
          <w:sz w:val="24"/>
        </w:rPr>
      </w:pPr>
      <w:r>
        <w:rPr>
          <w:sz w:val="24"/>
        </w:rPr>
        <w:t>以联合体形式参与投标的，投标文件由联合体牵头人的法定代表人或其委托代理人按上述规定签署并加盖联合体牵头人单位章。法定代表人授权委托书或法定代表人身份证明须由联合体牵头人按上述规定出具。</w:t>
      </w:r>
    </w:p>
    <w:p>
      <w:pPr>
        <w:pStyle w:val="11"/>
        <w:spacing w:before="19" w:line="420" w:lineRule="exact"/>
        <w:ind w:right="57" w:firstLine="484"/>
        <w:rPr>
          <w:sz w:val="24"/>
        </w:rPr>
      </w:pPr>
      <w:r>
        <w:rPr>
          <w:sz w:val="24"/>
        </w:rPr>
        <w:t>投标文件应尽量避免涂改、行间插字或删除。如果出现上述情况，改动之处应由投标人的法定代表人或其授权的代理人签字或盖单位章。</w:t>
      </w:r>
    </w:p>
    <w:p>
      <w:pPr>
        <w:pStyle w:val="11"/>
        <w:tabs>
          <w:tab w:val="left" w:pos="9072"/>
        </w:tabs>
        <w:spacing w:before="24" w:line="420" w:lineRule="exact"/>
        <w:ind w:right="57" w:firstLine="489"/>
        <w:rPr>
          <w:sz w:val="24"/>
        </w:rPr>
      </w:pPr>
      <w:r>
        <w:rPr>
          <w:sz w:val="24"/>
        </w:rPr>
        <w:t>3.7.4投标文件正本一份</w:t>
      </w:r>
      <w:r>
        <w:rPr>
          <w:rFonts w:hint="eastAsia"/>
          <w:sz w:val="24"/>
        </w:rPr>
        <w:t>，</w:t>
      </w:r>
      <w:r>
        <w:rPr>
          <w:sz w:val="24"/>
        </w:rPr>
        <w:t>副本份数见投标人须知前附表。正本和副本的封面右上角上应清楚地标记“正本”或“副本”字样。投标人应根据投标人须知前附表要求提供电子版文件。当副本和正本不一致或电子版文件和纸质正本文件不一致时，以纸质正本文件为准。</w:t>
      </w:r>
    </w:p>
    <w:p>
      <w:pPr>
        <w:pStyle w:val="11"/>
        <w:spacing w:before="19" w:line="420" w:lineRule="exact"/>
        <w:ind w:right="57" w:firstLine="484"/>
        <w:rPr>
          <w:sz w:val="24"/>
        </w:rPr>
      </w:pPr>
      <w:r>
        <w:rPr>
          <w:sz w:val="24"/>
        </w:rPr>
        <w:t>3.7.5投标文件的正本与副本应分别装订成册（A4纸幅），编制目录并逐页标注连续页码。投标文件不得采用活页夹装订，否则，招标人对由于投标文件装订松散而造成的丢失或其他后果不承担任何责任。装订的其他要求见投标人须知前附表。</w:t>
      </w:r>
    </w:p>
    <w:p>
      <w:pPr>
        <w:tabs>
          <w:tab w:val="left" w:pos="571"/>
        </w:tabs>
        <w:spacing w:line="420" w:lineRule="exact"/>
        <w:ind w:left="147" w:right="17"/>
        <w:rPr>
          <w:b/>
          <w:bCs/>
          <w:sz w:val="24"/>
        </w:rPr>
      </w:pPr>
      <w:r>
        <w:rPr>
          <w:rFonts w:cs="Arial"/>
          <w:b/>
          <w:bCs/>
          <w:sz w:val="24"/>
        </w:rPr>
        <w:t>4.</w:t>
      </w:r>
      <w:r>
        <w:rPr>
          <w:rFonts w:cs="Arial"/>
          <w:b/>
          <w:bCs/>
          <w:sz w:val="24"/>
        </w:rPr>
        <w:tab/>
      </w:r>
      <w:r>
        <w:rPr>
          <w:b/>
          <w:bCs/>
          <w:sz w:val="24"/>
        </w:rPr>
        <w:t>投标</w:t>
      </w:r>
    </w:p>
    <w:p>
      <w:pPr>
        <w:spacing w:before="240" w:line="420" w:lineRule="exact"/>
        <w:ind w:left="147" w:right="17"/>
        <w:rPr>
          <w:b/>
          <w:bCs/>
          <w:sz w:val="24"/>
        </w:rPr>
      </w:pPr>
      <w:r>
        <w:rPr>
          <w:rFonts w:cs="Arial"/>
          <w:b/>
          <w:bCs/>
          <w:sz w:val="24"/>
        </w:rPr>
        <w:t>4.1</w:t>
      </w:r>
      <w:r>
        <w:rPr>
          <w:b/>
          <w:bCs/>
          <w:sz w:val="24"/>
        </w:rPr>
        <w:t>投标文件的密封和标识</w:t>
      </w:r>
    </w:p>
    <w:p>
      <w:pPr>
        <w:pStyle w:val="11"/>
        <w:spacing w:line="420" w:lineRule="exact"/>
        <w:ind w:right="18" w:firstLine="475"/>
        <w:rPr>
          <w:sz w:val="24"/>
        </w:rPr>
      </w:pPr>
      <w:r>
        <w:rPr>
          <w:sz w:val="24"/>
        </w:rPr>
        <w:t>4.1.1投标文件应采用双信封形式密封。投标文件第一个信封（商务及技术文件）以及第二个信封（报价文件）应单独密封包装。商务及技术文件的正本与副本应统一密封在一个封套中。报价文件的正本与副本以及投标文件电子版文件（如需要）应统一密封在另一个封套中。封套应加贴封条，并在封套的封口处加盖投标人单位章或由投标人的法定代表人或其委托代理人签字</w:t>
      </w:r>
      <w:r>
        <w:rPr>
          <w:rFonts w:hint="eastAsia"/>
          <w:sz w:val="24"/>
        </w:rPr>
        <w:t>。</w:t>
      </w:r>
    </w:p>
    <w:p>
      <w:pPr>
        <w:pStyle w:val="11"/>
        <w:spacing w:before="26" w:line="420" w:lineRule="exact"/>
        <w:ind w:left="633" w:right="18"/>
        <w:rPr>
          <w:sz w:val="24"/>
        </w:rPr>
      </w:pPr>
      <w:r>
        <w:rPr>
          <w:sz w:val="24"/>
        </w:rPr>
        <w:t>采用银行保函形式提交投标保证金的，银行保函原件应密封在单独的封套中。</w:t>
      </w:r>
    </w:p>
    <w:p>
      <w:pPr>
        <w:pStyle w:val="11"/>
        <w:spacing w:before="102" w:line="420" w:lineRule="exact"/>
        <w:ind w:right="18" w:firstLine="475"/>
        <w:rPr>
          <w:sz w:val="24"/>
        </w:rPr>
      </w:pPr>
      <w:r>
        <w:rPr>
          <w:sz w:val="24"/>
        </w:rPr>
        <w:t>4.1.2投标文件第一个信封（商务及技术文件）、第二个信封（报价文件）以及银行保函封套上应写明的内容见投标人须知前附表。</w:t>
      </w:r>
    </w:p>
    <w:p>
      <w:pPr>
        <w:pStyle w:val="11"/>
        <w:spacing w:before="94" w:line="420" w:lineRule="exact"/>
        <w:ind w:right="18" w:firstLine="480" w:firstLineChars="200"/>
        <w:rPr>
          <w:sz w:val="24"/>
        </w:rPr>
      </w:pPr>
      <w:r>
        <w:rPr>
          <w:sz w:val="24"/>
        </w:rPr>
        <w:t>4.1.3</w:t>
      </w:r>
      <w:r>
        <w:rPr>
          <w:rFonts w:hint="eastAsia"/>
          <w:sz w:val="24"/>
        </w:rPr>
        <w:t>未按本章第4.1.1项要求密封的投标文件，招标人将予以拒收。</w:t>
      </w:r>
    </w:p>
    <w:p>
      <w:pPr>
        <w:pStyle w:val="11"/>
        <w:spacing w:line="420" w:lineRule="exact"/>
        <w:ind w:left="148" w:right="18"/>
        <w:rPr>
          <w:b/>
          <w:bCs/>
          <w:sz w:val="24"/>
        </w:rPr>
      </w:pPr>
      <w:r>
        <w:rPr>
          <w:b/>
          <w:bCs/>
          <w:sz w:val="24"/>
        </w:rPr>
        <w:t>4.2投标文件的递交</w:t>
      </w:r>
    </w:p>
    <w:p>
      <w:pPr>
        <w:pStyle w:val="11"/>
        <w:spacing w:line="420" w:lineRule="exact"/>
        <w:ind w:right="18" w:firstLine="475"/>
        <w:rPr>
          <w:sz w:val="24"/>
        </w:rPr>
      </w:pPr>
      <w:r>
        <w:rPr>
          <w:sz w:val="24"/>
        </w:rPr>
        <w:t>4.2.1投标人应在第一章“招标公告”或“投标邀请书”规定的投标截止时间前递交投标文件。</w:t>
      </w:r>
    </w:p>
    <w:p>
      <w:pPr>
        <w:pStyle w:val="11"/>
        <w:spacing w:before="40" w:line="420" w:lineRule="exact"/>
        <w:ind w:right="18" w:firstLine="480" w:firstLineChars="200"/>
        <w:rPr>
          <w:sz w:val="24"/>
        </w:rPr>
      </w:pPr>
      <w:r>
        <w:rPr>
          <w:sz w:val="24"/>
        </w:rPr>
        <w:t>4.2.2投标人递交投标文件的地点：见第一章“招标公告”或“投标邀请书”。</w:t>
      </w:r>
    </w:p>
    <w:p>
      <w:pPr>
        <w:pStyle w:val="11"/>
        <w:spacing w:before="89" w:line="420" w:lineRule="exact"/>
        <w:ind w:right="18" w:firstLine="475"/>
        <w:rPr>
          <w:sz w:val="24"/>
        </w:rPr>
      </w:pPr>
      <w:r>
        <w:rPr>
          <w:sz w:val="24"/>
        </w:rPr>
        <w:t>4.2.3除投标人须知前附表另有规定外，投标人所递交的投标文件不予退还。投标人少于3个的，投标文件当场退还给投标人。</w:t>
      </w:r>
    </w:p>
    <w:p>
      <w:pPr>
        <w:pStyle w:val="11"/>
        <w:spacing w:line="420" w:lineRule="exact"/>
        <w:ind w:right="18" w:firstLine="475"/>
        <w:rPr>
          <w:sz w:val="24"/>
        </w:rPr>
      </w:pPr>
      <w:r>
        <w:rPr>
          <w:rFonts w:hint="eastAsia"/>
          <w:sz w:val="24"/>
        </w:rPr>
        <w:t>4.2.4招标人收到投标文件后，向投标人出具签收凭证。</w:t>
      </w:r>
    </w:p>
    <w:p>
      <w:pPr>
        <w:pStyle w:val="11"/>
        <w:spacing w:line="420" w:lineRule="exact"/>
        <w:ind w:right="18" w:firstLine="475"/>
        <w:rPr>
          <w:sz w:val="24"/>
        </w:rPr>
      </w:pPr>
      <w:r>
        <w:rPr>
          <w:rFonts w:hint="eastAsia"/>
          <w:sz w:val="24"/>
        </w:rPr>
        <w:t>4.2.5逾期送达的或未送达指定地点的投标文件，招标人将予以拒收。</w:t>
      </w:r>
    </w:p>
    <w:p>
      <w:pPr>
        <w:pStyle w:val="11"/>
        <w:spacing w:line="420" w:lineRule="exact"/>
        <w:ind w:right="18"/>
        <w:rPr>
          <w:b/>
          <w:bCs/>
          <w:sz w:val="24"/>
        </w:rPr>
      </w:pPr>
      <w:r>
        <w:rPr>
          <w:b/>
          <w:bCs/>
          <w:sz w:val="24"/>
        </w:rPr>
        <w:t>4.3投标文件的修改与撤回</w:t>
      </w:r>
    </w:p>
    <w:p>
      <w:pPr>
        <w:pStyle w:val="11"/>
        <w:spacing w:line="420" w:lineRule="exact"/>
        <w:ind w:right="18" w:firstLine="475"/>
        <w:rPr>
          <w:sz w:val="24"/>
        </w:rPr>
      </w:pPr>
      <w:r>
        <w:rPr>
          <w:rFonts w:hint="eastAsia"/>
          <w:sz w:val="24"/>
        </w:rPr>
        <w:t>4.3.1在本章第4.2.1项规定的投标截止时间前，投标人可以修改或撤回已递交的投标文件，但应以书面形式通知招标人。</w:t>
      </w:r>
    </w:p>
    <w:p>
      <w:pPr>
        <w:pStyle w:val="11"/>
        <w:spacing w:line="420" w:lineRule="exact"/>
        <w:ind w:right="18" w:firstLine="475"/>
        <w:rPr>
          <w:sz w:val="24"/>
        </w:rPr>
      </w:pPr>
      <w:r>
        <w:rPr>
          <w:rFonts w:hint="eastAsia"/>
          <w:sz w:val="24"/>
        </w:rPr>
        <w:t>4.3.2投标人修改或撤回已递交投标文件的书面通知应按照本章第3.7.3项的要求签字或盖章。招标人收到书面通知后，向投标人出具签收凭证。</w:t>
      </w:r>
    </w:p>
    <w:p>
      <w:pPr>
        <w:pStyle w:val="11"/>
        <w:spacing w:line="420" w:lineRule="exact"/>
        <w:ind w:right="18" w:firstLine="475"/>
        <w:rPr>
          <w:sz w:val="24"/>
        </w:rPr>
      </w:pPr>
      <w:r>
        <w:rPr>
          <w:rFonts w:hint="eastAsia"/>
          <w:sz w:val="24"/>
        </w:rPr>
        <w:t>4.3.3投标人撤回投标文件的，招标人自收到投标人书面撤回通知之日起5日内退还已收取的投标保证金。</w:t>
      </w:r>
    </w:p>
    <w:p>
      <w:pPr>
        <w:pStyle w:val="11"/>
        <w:spacing w:line="420" w:lineRule="exact"/>
        <w:ind w:right="18" w:firstLine="475"/>
        <w:rPr>
          <w:sz w:val="24"/>
        </w:rPr>
      </w:pPr>
      <w:r>
        <w:rPr>
          <w:rFonts w:hint="eastAsia"/>
          <w:sz w:val="24"/>
        </w:rPr>
        <w:t>4.3.4修改的内容为投标文件的组成部分。修改的投标文件应按照本章第3条、第4条的规定进行编制、密封、标记和递交，并标明“修改”字样。</w:t>
      </w:r>
    </w:p>
    <w:p>
      <w:pPr>
        <w:tabs>
          <w:tab w:val="left" w:pos="571"/>
        </w:tabs>
        <w:spacing w:line="420" w:lineRule="exact"/>
        <w:ind w:left="148" w:right="18"/>
        <w:rPr>
          <w:rFonts w:cs="Arial"/>
          <w:b/>
          <w:bCs/>
          <w:sz w:val="24"/>
        </w:rPr>
      </w:pPr>
      <w:r>
        <w:rPr>
          <w:rFonts w:cs="Arial"/>
          <w:b/>
          <w:bCs/>
          <w:sz w:val="24"/>
        </w:rPr>
        <w:t>5.</w:t>
      </w:r>
      <w:r>
        <w:rPr>
          <w:rFonts w:cs="Arial"/>
          <w:b/>
          <w:bCs/>
          <w:sz w:val="24"/>
        </w:rPr>
        <w:tab/>
      </w:r>
      <w:r>
        <w:rPr>
          <w:rFonts w:cs="Arial"/>
          <w:b/>
          <w:bCs/>
          <w:sz w:val="24"/>
        </w:rPr>
        <w:t>开标</w:t>
      </w:r>
    </w:p>
    <w:p>
      <w:pPr>
        <w:spacing w:before="249" w:line="420" w:lineRule="exact"/>
        <w:ind w:left="148" w:right="194"/>
        <w:rPr>
          <w:b/>
          <w:bCs/>
          <w:sz w:val="24"/>
        </w:rPr>
      </w:pPr>
      <w:r>
        <w:rPr>
          <w:rFonts w:cs="Arial"/>
          <w:b/>
          <w:bCs/>
          <w:sz w:val="24"/>
        </w:rPr>
        <w:t>5.1</w:t>
      </w:r>
      <w:r>
        <w:rPr>
          <w:b/>
          <w:bCs/>
          <w:sz w:val="24"/>
        </w:rPr>
        <w:t>开标时间和地点</w:t>
      </w:r>
    </w:p>
    <w:p>
      <w:pPr>
        <w:pStyle w:val="11"/>
        <w:spacing w:before="31" w:line="420" w:lineRule="exact"/>
        <w:ind w:right="331" w:firstLine="480" w:firstLineChars="200"/>
        <w:rPr>
          <w:sz w:val="24"/>
        </w:rPr>
      </w:pPr>
      <w:r>
        <w:rPr>
          <w:rFonts w:hint="eastAsia"/>
          <w:sz w:val="24"/>
        </w:rPr>
        <w:t>招标人在本章第4.2.1项规定的投标截止时间（开标时间）和投标人须知前附表规定的地点对收到的投标文件第一个信封（商务及技术文件）公开开标，并邀请所有投标人的法定代表人或其委托代理人准时参加。</w:t>
      </w:r>
    </w:p>
    <w:p>
      <w:pPr>
        <w:pStyle w:val="11"/>
        <w:spacing w:before="31" w:line="420" w:lineRule="exact"/>
        <w:ind w:right="331" w:firstLine="484"/>
        <w:rPr>
          <w:sz w:val="24"/>
        </w:rPr>
      </w:pPr>
      <w:r>
        <w:rPr>
          <w:rFonts w:hint="eastAsia"/>
          <w:sz w:val="24"/>
        </w:rPr>
        <w:t>招标人在投标人须知前附表规定的时间和地点对投标文件第二个信封（报价文件）公开开标，并邀请所有投标人的法定代表人或其委托代理人准时参加。</w:t>
      </w:r>
    </w:p>
    <w:p>
      <w:pPr>
        <w:pStyle w:val="11"/>
        <w:spacing w:before="31" w:line="420" w:lineRule="exact"/>
        <w:ind w:right="331" w:firstLine="484"/>
        <w:rPr>
          <w:sz w:val="24"/>
        </w:rPr>
      </w:pPr>
      <w:r>
        <w:rPr>
          <w:rFonts w:hint="eastAsia"/>
          <w:sz w:val="24"/>
        </w:rPr>
        <w:t>投标人若未派法定代表人或委托代理人出席开标活动，视为该投标人默认开标结果。</w:t>
      </w:r>
    </w:p>
    <w:p>
      <w:pPr>
        <w:spacing w:before="154" w:line="420" w:lineRule="exact"/>
        <w:ind w:left="148" w:right="194"/>
        <w:rPr>
          <w:b/>
          <w:bCs/>
          <w:sz w:val="24"/>
        </w:rPr>
      </w:pPr>
      <w:r>
        <w:rPr>
          <w:rFonts w:cs="Arial"/>
          <w:b/>
          <w:bCs/>
          <w:sz w:val="24"/>
        </w:rPr>
        <w:t>5.2</w:t>
      </w:r>
      <w:r>
        <w:rPr>
          <w:b/>
          <w:bCs/>
          <w:sz w:val="24"/>
        </w:rPr>
        <w:t>开标程序</w:t>
      </w:r>
    </w:p>
    <w:p>
      <w:pPr>
        <w:pStyle w:val="11"/>
        <w:spacing w:after="0" w:line="420" w:lineRule="exact"/>
        <w:ind w:left="638" w:right="194"/>
        <w:rPr>
          <w:sz w:val="24"/>
        </w:rPr>
      </w:pPr>
      <w:r>
        <w:rPr>
          <w:sz w:val="24"/>
        </w:rPr>
        <w:t>5.2.1主持人按下列程序对投标文件第一个信封（商务及技术文件）进行开标：</w:t>
      </w:r>
    </w:p>
    <w:p>
      <w:pPr>
        <w:pStyle w:val="11"/>
        <w:spacing w:before="33" w:after="0" w:line="420" w:lineRule="exact"/>
        <w:ind w:left="148" w:right="347" w:firstLine="484"/>
        <w:rPr>
          <w:sz w:val="24"/>
        </w:rPr>
      </w:pPr>
      <w:r>
        <w:rPr>
          <w:sz w:val="24"/>
        </w:rPr>
        <w:t>(</w:t>
      </w:r>
      <w:r>
        <w:rPr>
          <w:rFonts w:hint="eastAsia"/>
          <w:sz w:val="24"/>
        </w:rPr>
        <w:t>1</w:t>
      </w:r>
      <w:r>
        <w:rPr>
          <w:sz w:val="24"/>
        </w:rPr>
        <w:t>）宣布开标纪律</w:t>
      </w:r>
      <w:r>
        <w:rPr>
          <w:rFonts w:hint="eastAsia"/>
          <w:sz w:val="24"/>
        </w:rPr>
        <w:t>；</w:t>
      </w:r>
    </w:p>
    <w:p>
      <w:pPr>
        <w:pStyle w:val="11"/>
        <w:spacing w:before="33" w:after="0" w:line="420" w:lineRule="exact"/>
        <w:ind w:left="148" w:right="347" w:firstLine="484"/>
        <w:rPr>
          <w:sz w:val="24"/>
        </w:rPr>
      </w:pPr>
      <w:r>
        <w:rPr>
          <w:sz w:val="24"/>
        </w:rPr>
        <w:t>(2）公布在投标截止时间前递交投标文件的投标人数量</w:t>
      </w:r>
      <w:r>
        <w:rPr>
          <w:rFonts w:hint="eastAsia"/>
          <w:sz w:val="24"/>
        </w:rPr>
        <w:t>；</w:t>
      </w:r>
    </w:p>
    <w:p>
      <w:pPr>
        <w:pStyle w:val="11"/>
        <w:spacing w:before="33" w:after="0" w:line="420" w:lineRule="exact"/>
        <w:ind w:left="148" w:right="347" w:firstLine="484"/>
        <w:rPr>
          <w:sz w:val="24"/>
        </w:rPr>
      </w:pPr>
      <w:r>
        <w:rPr>
          <w:sz w:val="24"/>
        </w:rPr>
        <w:t>(3）宣布开标人、唱标人、记录人等有关人员姓名</w:t>
      </w:r>
      <w:r>
        <w:rPr>
          <w:rFonts w:hint="eastAsia"/>
          <w:sz w:val="24"/>
        </w:rPr>
        <w:t>；</w:t>
      </w:r>
    </w:p>
    <w:p>
      <w:pPr>
        <w:pStyle w:val="11"/>
        <w:spacing w:before="33" w:after="0" w:line="420" w:lineRule="exact"/>
        <w:ind w:left="148" w:right="347" w:firstLine="484"/>
        <w:rPr>
          <w:sz w:val="24"/>
        </w:rPr>
      </w:pPr>
      <w:r>
        <w:rPr>
          <w:sz w:val="24"/>
        </w:rPr>
        <w:t>(4）按照投标人须知前附表规定由投标人推选的代表检查投标文件的密封情况</w:t>
      </w:r>
      <w:r>
        <w:rPr>
          <w:rFonts w:hint="eastAsia"/>
          <w:sz w:val="24"/>
        </w:rPr>
        <w:t>；</w:t>
      </w:r>
    </w:p>
    <w:p>
      <w:pPr>
        <w:pStyle w:val="11"/>
        <w:spacing w:before="33" w:after="0" w:line="420" w:lineRule="exact"/>
        <w:ind w:left="148" w:right="347" w:firstLine="484"/>
        <w:rPr>
          <w:sz w:val="24"/>
        </w:rPr>
      </w:pPr>
      <w:r>
        <w:rPr>
          <w:sz w:val="24"/>
        </w:rPr>
        <w:t>(5）按照投标人须知前附表规定的开标顺序当众开标，公布标段名称、投标人名称、投标保证金的递交情况、</w:t>
      </w:r>
      <w:r>
        <w:rPr>
          <w:rFonts w:hint="eastAsia"/>
          <w:sz w:val="24"/>
        </w:rPr>
        <w:t>监理服务期限</w:t>
      </w:r>
      <w:r>
        <w:rPr>
          <w:sz w:val="24"/>
        </w:rPr>
        <w:t>及其他内容，并记录在案；</w:t>
      </w:r>
    </w:p>
    <w:p>
      <w:pPr>
        <w:pStyle w:val="11"/>
        <w:spacing w:before="33" w:after="0" w:line="420" w:lineRule="exact"/>
        <w:ind w:left="148" w:right="347" w:firstLine="484"/>
        <w:rPr>
          <w:sz w:val="24"/>
        </w:rPr>
      </w:pPr>
      <w:r>
        <w:rPr>
          <w:sz w:val="24"/>
        </w:rPr>
        <w:t>(</w:t>
      </w:r>
      <w:r>
        <w:rPr>
          <w:rFonts w:hint="eastAsia"/>
          <w:sz w:val="24"/>
        </w:rPr>
        <w:t>6</w:t>
      </w:r>
      <w:r>
        <w:rPr>
          <w:sz w:val="24"/>
        </w:rPr>
        <w:t>）投标人代表、招标人代表、记录人等有关人员在开标记录上签字确认</w:t>
      </w:r>
      <w:r>
        <w:rPr>
          <w:rFonts w:hint="eastAsia"/>
          <w:sz w:val="24"/>
        </w:rPr>
        <w:t>；</w:t>
      </w:r>
    </w:p>
    <w:p>
      <w:pPr>
        <w:pStyle w:val="11"/>
        <w:spacing w:before="33" w:after="0" w:line="420" w:lineRule="exact"/>
        <w:ind w:left="148" w:right="347" w:firstLine="484"/>
        <w:rPr>
          <w:sz w:val="24"/>
        </w:rPr>
      </w:pPr>
      <w:r>
        <w:rPr>
          <w:sz w:val="24"/>
        </w:rPr>
        <w:t>(</w:t>
      </w:r>
      <w:r>
        <w:rPr>
          <w:rFonts w:hint="eastAsia"/>
          <w:sz w:val="24"/>
        </w:rPr>
        <w:t>7</w:t>
      </w:r>
      <w:r>
        <w:rPr>
          <w:sz w:val="24"/>
        </w:rPr>
        <w:t>）开标结束。</w:t>
      </w:r>
    </w:p>
    <w:p>
      <w:pPr>
        <w:pStyle w:val="11"/>
        <w:spacing w:before="91" w:after="0" w:line="420" w:lineRule="exact"/>
        <w:ind w:right="147" w:firstLine="484"/>
        <w:rPr>
          <w:sz w:val="24"/>
        </w:rPr>
      </w:pPr>
      <w:r>
        <w:rPr>
          <w:sz w:val="24"/>
        </w:rPr>
        <w:t>5.2.</w:t>
      </w:r>
      <w:r>
        <w:rPr>
          <w:rFonts w:hint="eastAsia"/>
          <w:sz w:val="24"/>
        </w:rPr>
        <w:t>2</w:t>
      </w:r>
      <w:r>
        <w:rPr>
          <w:sz w:val="24"/>
        </w:rPr>
        <w:t>在投标文件第一个信封（商务及技术文件）开标现场，投标文件第二个信封（报价文件）不予开封，由招标人密封保存。</w:t>
      </w:r>
    </w:p>
    <w:p>
      <w:pPr>
        <w:pStyle w:val="11"/>
        <w:spacing w:before="91" w:after="0" w:line="420" w:lineRule="exact"/>
        <w:ind w:right="147" w:firstLine="484"/>
        <w:rPr>
          <w:sz w:val="24"/>
        </w:rPr>
      </w:pPr>
      <w:r>
        <w:rPr>
          <w:rFonts w:hint="eastAsia"/>
          <w:sz w:val="24"/>
        </w:rPr>
        <w:t>5.2.3招标人将按照本章第5.1款规定的时间和地点对投标文件第二个信封（报价文件）进行开标。主持人按下列程序进行开标：</w:t>
      </w:r>
    </w:p>
    <w:p>
      <w:pPr>
        <w:pStyle w:val="11"/>
        <w:spacing w:before="91" w:after="0" w:line="420" w:lineRule="exact"/>
        <w:ind w:right="147" w:firstLine="484"/>
        <w:rPr>
          <w:sz w:val="24"/>
        </w:rPr>
      </w:pPr>
      <w:r>
        <w:rPr>
          <w:rFonts w:hint="eastAsia"/>
          <w:sz w:val="24"/>
        </w:rPr>
        <w:t>(1）宣布开标纪律；</w:t>
      </w:r>
    </w:p>
    <w:p>
      <w:pPr>
        <w:pStyle w:val="11"/>
        <w:spacing w:before="91" w:after="0" w:line="420" w:lineRule="exact"/>
        <w:ind w:right="147" w:firstLine="484"/>
        <w:rPr>
          <w:sz w:val="24"/>
        </w:rPr>
      </w:pPr>
      <w:r>
        <w:rPr>
          <w:rFonts w:hint="eastAsia"/>
          <w:sz w:val="24"/>
        </w:rPr>
        <w:t>(2）当众拆开投标文件第一个信封（商务及技术文件）评审结果的密封袋，宣布通过投标文件第一个信封（商务及技术文件）评审的投标人名单；</w:t>
      </w:r>
    </w:p>
    <w:p>
      <w:pPr>
        <w:pStyle w:val="11"/>
        <w:spacing w:before="91" w:after="0" w:line="420" w:lineRule="exact"/>
        <w:ind w:right="147" w:firstLine="484"/>
        <w:rPr>
          <w:sz w:val="24"/>
        </w:rPr>
      </w:pPr>
      <w:r>
        <w:rPr>
          <w:rFonts w:hint="eastAsia"/>
          <w:sz w:val="24"/>
        </w:rPr>
        <w:t>(3）宣布开标人、唱标人、记录人等有关人员姓名；</w:t>
      </w:r>
    </w:p>
    <w:p>
      <w:pPr>
        <w:pStyle w:val="11"/>
        <w:spacing w:before="91" w:after="0" w:line="420" w:lineRule="exact"/>
        <w:ind w:right="147" w:firstLine="484"/>
        <w:rPr>
          <w:sz w:val="24"/>
        </w:rPr>
      </w:pPr>
      <w:r>
        <w:rPr>
          <w:rFonts w:hint="eastAsia"/>
          <w:sz w:val="24"/>
        </w:rPr>
        <w:t>(4）按照投标人须知前附表规定由投标人推选的代表检查投标文件的密封情况；</w:t>
      </w:r>
    </w:p>
    <w:p>
      <w:pPr>
        <w:pStyle w:val="11"/>
        <w:spacing w:before="91" w:after="0" w:line="420" w:lineRule="exact"/>
        <w:ind w:right="147" w:firstLine="484"/>
        <w:rPr>
          <w:sz w:val="24"/>
        </w:rPr>
      </w:pPr>
      <w:r>
        <w:rPr>
          <w:rFonts w:hint="eastAsia"/>
          <w:sz w:val="24"/>
        </w:rPr>
        <w:t>(5）按照投标人须知前附表规定的开标顺序当众开标，开标人只拆封通过投标文件第一个信封（商务及技术文件）评审的投标文件第二个信封（报价文件），公布标段名称、投标人名称、投标报价及其他内容，并记录在案；</w:t>
      </w:r>
    </w:p>
    <w:p>
      <w:pPr>
        <w:pStyle w:val="11"/>
        <w:spacing w:before="91" w:after="0" w:line="420" w:lineRule="exact"/>
        <w:ind w:right="147" w:firstLine="484"/>
        <w:rPr>
          <w:sz w:val="24"/>
        </w:rPr>
      </w:pPr>
      <w:r>
        <w:rPr>
          <w:rFonts w:hint="eastAsia"/>
          <w:sz w:val="24"/>
        </w:rPr>
        <w:t>(6）计算并宣布评标基准价；</w:t>
      </w:r>
    </w:p>
    <w:p>
      <w:pPr>
        <w:pStyle w:val="11"/>
        <w:spacing w:before="91" w:after="0" w:line="420" w:lineRule="exact"/>
        <w:ind w:right="147" w:firstLine="484"/>
        <w:rPr>
          <w:sz w:val="24"/>
        </w:rPr>
      </w:pPr>
      <w:r>
        <w:rPr>
          <w:rFonts w:hint="eastAsia"/>
          <w:sz w:val="24"/>
        </w:rPr>
        <w:t>(7）将未通过投标文件第一个信封（商务及技术文件）评审的投标文件第二个信封（报价文件）退还给投标人；</w:t>
      </w:r>
    </w:p>
    <w:p>
      <w:pPr>
        <w:pStyle w:val="11"/>
        <w:spacing w:before="91" w:after="0" w:line="420" w:lineRule="exact"/>
        <w:ind w:right="147" w:firstLine="484"/>
        <w:rPr>
          <w:sz w:val="24"/>
        </w:rPr>
      </w:pPr>
      <w:r>
        <w:rPr>
          <w:rFonts w:hint="eastAsia"/>
          <w:sz w:val="24"/>
        </w:rPr>
        <w:t>(8）投标人代表、招标人代表、记录人等有关人员在开标记录上签字确认；</w:t>
      </w:r>
    </w:p>
    <w:p>
      <w:pPr>
        <w:pStyle w:val="11"/>
        <w:spacing w:before="91" w:after="0" w:line="420" w:lineRule="exact"/>
        <w:ind w:right="147" w:firstLine="484"/>
        <w:rPr>
          <w:sz w:val="24"/>
        </w:rPr>
      </w:pPr>
      <w:r>
        <w:rPr>
          <w:rFonts w:hint="eastAsia"/>
          <w:sz w:val="24"/>
        </w:rPr>
        <w:t>(9）开标结束。</w:t>
      </w:r>
    </w:p>
    <w:p>
      <w:pPr>
        <w:pStyle w:val="11"/>
        <w:spacing w:before="28" w:after="0" w:line="420" w:lineRule="exact"/>
        <w:ind w:firstLine="484"/>
        <w:rPr>
          <w:sz w:val="24"/>
        </w:rPr>
      </w:pPr>
      <w:r>
        <w:rPr>
          <w:sz w:val="24"/>
        </w:rPr>
        <w:t>5.2.</w:t>
      </w:r>
      <w:r>
        <w:rPr>
          <w:rFonts w:hint="eastAsia"/>
          <w:sz w:val="24"/>
        </w:rPr>
        <w:t>4在投标文件第二个信封（报价文件）开标现场，招标人将按第三章“评标办法”规定的原则计算并宣布评标基准价。若招标人发现投标文件出现以下任一情况，其投标报价将不再参加评标基准价的计算：</w:t>
      </w:r>
    </w:p>
    <w:p>
      <w:pPr>
        <w:pStyle w:val="11"/>
        <w:numPr>
          <w:ilvl w:val="0"/>
          <w:numId w:val="5"/>
        </w:numPr>
        <w:spacing w:before="28" w:after="0" w:line="420" w:lineRule="exact"/>
        <w:ind w:firstLine="484"/>
        <w:rPr>
          <w:sz w:val="24"/>
        </w:rPr>
      </w:pPr>
      <w:r>
        <w:rPr>
          <w:rFonts w:hint="eastAsia"/>
          <w:sz w:val="24"/>
        </w:rPr>
        <w:t>未在投标函上填写投标总价；</w:t>
      </w:r>
    </w:p>
    <w:p>
      <w:pPr>
        <w:pStyle w:val="11"/>
        <w:spacing w:before="28" w:after="0" w:line="420" w:lineRule="exact"/>
        <w:ind w:firstLine="484"/>
        <w:rPr>
          <w:sz w:val="24"/>
        </w:rPr>
      </w:pPr>
      <w:r>
        <w:rPr>
          <w:rFonts w:hint="eastAsia"/>
          <w:sz w:val="24"/>
        </w:rPr>
        <w:t>(2）投标报价超出招标人公布的最高投标限价（如有）；</w:t>
      </w:r>
    </w:p>
    <w:p>
      <w:pPr>
        <w:pStyle w:val="11"/>
        <w:spacing w:before="28" w:after="0" w:line="420" w:lineRule="exact"/>
        <w:ind w:firstLine="484"/>
        <w:rPr>
          <w:sz w:val="24"/>
        </w:rPr>
      </w:pPr>
      <w:r>
        <w:rPr>
          <w:rFonts w:hint="eastAsia"/>
          <w:sz w:val="24"/>
        </w:rPr>
        <w:t>(3）投标报价的大写金额无法确定具体数值；</w:t>
      </w:r>
    </w:p>
    <w:p>
      <w:pPr>
        <w:pStyle w:val="11"/>
        <w:spacing w:before="28" w:after="0" w:line="420" w:lineRule="exact"/>
        <w:ind w:firstLine="484"/>
        <w:rPr>
          <w:sz w:val="24"/>
        </w:rPr>
      </w:pPr>
      <w:r>
        <w:rPr>
          <w:rFonts w:hint="eastAsia"/>
          <w:sz w:val="24"/>
        </w:rPr>
        <w:t>(4）投标函上填写的标段号与投标文件封套上标记的标段号不一致。</w:t>
      </w:r>
    </w:p>
    <w:p>
      <w:pPr>
        <w:pStyle w:val="11"/>
        <w:spacing w:before="28" w:after="0" w:line="420" w:lineRule="exact"/>
        <w:ind w:firstLine="484"/>
        <w:rPr>
          <w:sz w:val="24"/>
        </w:rPr>
      </w:pPr>
      <w:r>
        <w:rPr>
          <w:rFonts w:hint="eastAsia"/>
          <w:sz w:val="24"/>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pStyle w:val="11"/>
        <w:spacing w:before="28" w:after="0" w:line="420" w:lineRule="exact"/>
        <w:ind w:firstLine="484"/>
        <w:rPr>
          <w:sz w:val="24"/>
        </w:rPr>
      </w:pPr>
      <w:r>
        <w:rPr>
          <w:rFonts w:hint="eastAsia"/>
          <w:sz w:val="24"/>
        </w:rPr>
        <w:t>5.2.5在投标文件第一个信封（商务及技术文件）或第二个信封（报价文件）开标过程中，若招标人宣读的内容与投标文件不符，投标人有权在开标现场提出疑问，经招标人当场核查确认之后，可重新宣读其投标文件。若投标人现场未提出疑问，则认为投标人己确认招标人宣读的内容。</w:t>
      </w:r>
    </w:p>
    <w:p>
      <w:pPr>
        <w:spacing w:before="179" w:line="420" w:lineRule="exact"/>
        <w:ind w:left="148" w:right="194"/>
        <w:rPr>
          <w:b/>
          <w:bCs/>
          <w:sz w:val="24"/>
        </w:rPr>
      </w:pPr>
      <w:r>
        <w:rPr>
          <w:b/>
          <w:bCs/>
          <w:sz w:val="24"/>
        </w:rPr>
        <w:t>5.3开标异议</w:t>
      </w:r>
    </w:p>
    <w:p>
      <w:pPr>
        <w:pStyle w:val="11"/>
        <w:spacing w:before="28" w:line="420" w:lineRule="exact"/>
        <w:ind w:firstLine="484"/>
        <w:rPr>
          <w:sz w:val="24"/>
        </w:rPr>
      </w:pPr>
      <w:r>
        <w:rPr>
          <w:sz w:val="24"/>
        </w:rPr>
        <w:t>投标人对开标有异议的，应在开标现场提出，招标人当场作出答复，并制作记录，有异议的投标人代表、招标人代表、记录人等有关人员在记录上签字确认。</w:t>
      </w:r>
    </w:p>
    <w:p>
      <w:pPr>
        <w:tabs>
          <w:tab w:val="left" w:pos="571"/>
        </w:tabs>
        <w:spacing w:line="420" w:lineRule="exact"/>
        <w:ind w:left="153" w:right="194"/>
        <w:rPr>
          <w:b/>
          <w:bCs/>
          <w:sz w:val="24"/>
        </w:rPr>
      </w:pPr>
      <w:r>
        <w:rPr>
          <w:b/>
          <w:bCs/>
          <w:sz w:val="24"/>
        </w:rPr>
        <w:t>6.</w:t>
      </w:r>
      <w:r>
        <w:rPr>
          <w:b/>
          <w:bCs/>
          <w:sz w:val="24"/>
        </w:rPr>
        <w:tab/>
      </w:r>
      <w:r>
        <w:rPr>
          <w:b/>
          <w:bCs/>
          <w:sz w:val="24"/>
        </w:rPr>
        <w:t>评标</w:t>
      </w:r>
    </w:p>
    <w:p>
      <w:pPr>
        <w:spacing w:before="239" w:line="420" w:lineRule="exact"/>
        <w:ind w:left="153" w:right="194"/>
        <w:rPr>
          <w:b/>
          <w:bCs/>
          <w:sz w:val="24"/>
        </w:rPr>
      </w:pPr>
      <w:r>
        <w:rPr>
          <w:b/>
          <w:bCs/>
          <w:sz w:val="24"/>
        </w:rPr>
        <w:t>6.1评标委员会</w:t>
      </w:r>
    </w:p>
    <w:p>
      <w:pPr>
        <w:pStyle w:val="11"/>
        <w:spacing w:before="28" w:line="420" w:lineRule="exact"/>
        <w:ind w:firstLine="484"/>
        <w:rPr>
          <w:sz w:val="24"/>
        </w:rPr>
      </w:pPr>
      <w:r>
        <w:rPr>
          <w:sz w:val="24"/>
        </w:rPr>
        <w:t>6.1.1</w:t>
      </w:r>
      <w:r>
        <w:rPr>
          <w:rFonts w:hint="eastAsia"/>
          <w:sz w:val="24"/>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Style w:val="11"/>
        <w:spacing w:before="28" w:line="420" w:lineRule="exact"/>
        <w:ind w:firstLine="484"/>
        <w:rPr>
          <w:sz w:val="24"/>
        </w:rPr>
      </w:pPr>
      <w:r>
        <w:rPr>
          <w:sz w:val="24"/>
        </w:rPr>
        <w:t>6.1.2评标委员会成员有下列情形之一的，应主动提出回避：</w:t>
      </w:r>
    </w:p>
    <w:p>
      <w:pPr>
        <w:spacing w:line="420" w:lineRule="exact"/>
        <w:ind w:firstLine="480" w:firstLineChars="200"/>
        <w:rPr>
          <w:sz w:val="24"/>
        </w:rPr>
      </w:pPr>
      <w:r>
        <w:rPr>
          <w:sz w:val="24"/>
        </w:rPr>
        <w:t>(1）为负责招标项目监督管理的交通运输主管部门的工作人员；</w:t>
      </w:r>
    </w:p>
    <w:p>
      <w:pPr>
        <w:pStyle w:val="11"/>
        <w:spacing w:before="91" w:line="420" w:lineRule="exact"/>
        <w:ind w:right="147" w:firstLine="484"/>
        <w:rPr>
          <w:sz w:val="24"/>
        </w:rPr>
      </w:pPr>
      <w:r>
        <w:rPr>
          <w:sz w:val="24"/>
        </w:rPr>
        <w:t>(2）与投标人法定代表人或其委托代理人有近亲属关系</w:t>
      </w:r>
      <w:r>
        <w:rPr>
          <w:rFonts w:hint="eastAsia"/>
          <w:sz w:val="24"/>
        </w:rPr>
        <w:t>；</w:t>
      </w:r>
    </w:p>
    <w:p>
      <w:pPr>
        <w:pStyle w:val="11"/>
        <w:spacing w:before="91" w:line="420" w:lineRule="exact"/>
        <w:ind w:right="-124" w:firstLine="484"/>
        <w:rPr>
          <w:sz w:val="24"/>
        </w:rPr>
      </w:pPr>
      <w:r>
        <w:rPr>
          <w:sz w:val="24"/>
        </w:rPr>
        <w:t>(3）为投标人的工作人员或退休人员；</w:t>
      </w:r>
    </w:p>
    <w:p>
      <w:pPr>
        <w:pStyle w:val="11"/>
        <w:spacing w:before="91" w:line="420" w:lineRule="exact"/>
        <w:ind w:right="147" w:firstLine="484"/>
        <w:rPr>
          <w:sz w:val="24"/>
        </w:rPr>
      </w:pPr>
      <w:r>
        <w:rPr>
          <w:sz w:val="24"/>
        </w:rPr>
        <w:t>(4）与投标人有其他利害关系，可能影响评标活动公正性；</w:t>
      </w:r>
    </w:p>
    <w:p>
      <w:pPr>
        <w:pStyle w:val="11"/>
        <w:spacing w:before="91" w:line="420" w:lineRule="exact"/>
        <w:ind w:right="18" w:firstLine="484"/>
        <w:rPr>
          <w:sz w:val="24"/>
        </w:rPr>
      </w:pPr>
      <w:r>
        <w:rPr>
          <w:sz w:val="24"/>
        </w:rPr>
        <w:t>(5）在与招标投标有关的活动中有过违法违规行为、曾受过行政处罚或刑事处罚。</w:t>
      </w:r>
    </w:p>
    <w:p>
      <w:pPr>
        <w:pStyle w:val="11"/>
        <w:spacing w:before="91" w:line="420" w:lineRule="exact"/>
        <w:ind w:right="147" w:firstLine="484"/>
        <w:rPr>
          <w:sz w:val="24"/>
        </w:rPr>
      </w:pPr>
      <w:r>
        <w:rPr>
          <w:sz w:val="24"/>
        </w:rPr>
        <w:t>6.1.3</w:t>
      </w:r>
      <w:r>
        <w:rPr>
          <w:rFonts w:hint="eastAsia"/>
          <w:sz w:val="24"/>
        </w:rPr>
        <w:t>评标过程中，评标委员会成员有回避事由、擅离职守或者因健康等原因不能继续评标的，招标人有权更换。被更换的评标委员会成员作出的评审结论无效，由更换后的评标委员会成员重新进行评审。</w:t>
      </w:r>
    </w:p>
    <w:p>
      <w:pPr>
        <w:pStyle w:val="11"/>
        <w:spacing w:line="420" w:lineRule="exact"/>
        <w:ind w:right="106"/>
        <w:rPr>
          <w:b/>
          <w:bCs/>
          <w:sz w:val="24"/>
        </w:rPr>
      </w:pPr>
      <w:r>
        <w:rPr>
          <w:b/>
          <w:bCs/>
          <w:sz w:val="24"/>
        </w:rPr>
        <w:t>6.2评标原则</w:t>
      </w:r>
    </w:p>
    <w:p>
      <w:pPr>
        <w:pStyle w:val="11"/>
        <w:spacing w:before="91" w:line="420" w:lineRule="exact"/>
        <w:ind w:right="147" w:firstLine="484"/>
        <w:rPr>
          <w:sz w:val="24"/>
        </w:rPr>
      </w:pPr>
      <w:r>
        <w:rPr>
          <w:rFonts w:hint="eastAsia"/>
          <w:sz w:val="24"/>
        </w:rPr>
        <w:t>评标活动遵循公平、公正、科学和择优的原则。</w:t>
      </w:r>
    </w:p>
    <w:p>
      <w:pPr>
        <w:pStyle w:val="11"/>
        <w:spacing w:line="420" w:lineRule="exact"/>
        <w:ind w:right="106"/>
        <w:rPr>
          <w:b/>
          <w:bCs/>
          <w:sz w:val="24"/>
        </w:rPr>
      </w:pPr>
      <w:r>
        <w:rPr>
          <w:b/>
          <w:bCs/>
          <w:sz w:val="24"/>
        </w:rPr>
        <w:t>6.3评标</w:t>
      </w:r>
    </w:p>
    <w:p>
      <w:pPr>
        <w:pStyle w:val="11"/>
        <w:spacing w:before="91" w:line="420" w:lineRule="exact"/>
        <w:ind w:right="147" w:firstLine="484"/>
        <w:rPr>
          <w:sz w:val="24"/>
        </w:rPr>
      </w:pPr>
      <w:r>
        <w:rPr>
          <w:rFonts w:hint="eastAsia"/>
          <w:sz w:val="24"/>
        </w:rPr>
        <w:t>6.3.1 评标委员会按照第三章“评标办法”规定的方法、评审因素、标准和程序对投标文件进行评审。第三章“评标办法”没有规定的方法、评审因素和标准，不作为评标依据。</w:t>
      </w:r>
    </w:p>
    <w:p>
      <w:pPr>
        <w:pStyle w:val="11"/>
        <w:spacing w:before="91" w:line="420" w:lineRule="exact"/>
        <w:ind w:right="147" w:firstLine="484"/>
        <w:rPr>
          <w:sz w:val="24"/>
        </w:rPr>
      </w:pPr>
      <w:r>
        <w:rPr>
          <w:rFonts w:hint="eastAsia"/>
          <w:sz w:val="24"/>
        </w:rPr>
        <w:t>6.3.2 评标完成后，评标委员会应当向招标人提交书面评标报告和中标候选人名单。评标委员会推荐中标候选人的人数见投标人须知前附表。</w:t>
      </w:r>
    </w:p>
    <w:p>
      <w:pPr>
        <w:tabs>
          <w:tab w:val="left" w:pos="575"/>
        </w:tabs>
        <w:spacing w:line="420" w:lineRule="exact"/>
        <w:ind w:left="158" w:right="106"/>
        <w:rPr>
          <w:b/>
          <w:bCs/>
          <w:sz w:val="24"/>
        </w:rPr>
      </w:pPr>
      <w:r>
        <w:rPr>
          <w:b/>
          <w:bCs/>
          <w:sz w:val="24"/>
        </w:rPr>
        <w:t>7.</w:t>
      </w:r>
      <w:r>
        <w:rPr>
          <w:b/>
          <w:bCs/>
          <w:sz w:val="24"/>
        </w:rPr>
        <w:tab/>
      </w:r>
      <w:r>
        <w:rPr>
          <w:b/>
          <w:bCs/>
          <w:sz w:val="24"/>
        </w:rPr>
        <w:t>合同授予</w:t>
      </w:r>
    </w:p>
    <w:p>
      <w:pPr>
        <w:spacing w:before="247" w:line="420" w:lineRule="exact"/>
        <w:ind w:left="153" w:right="106"/>
        <w:rPr>
          <w:b/>
          <w:bCs/>
          <w:sz w:val="24"/>
        </w:rPr>
      </w:pPr>
      <w:r>
        <w:rPr>
          <w:b/>
          <w:bCs/>
          <w:sz w:val="24"/>
        </w:rPr>
        <w:t>7.1中标候选人公示</w:t>
      </w:r>
    </w:p>
    <w:p>
      <w:pPr>
        <w:pStyle w:val="11"/>
        <w:spacing w:after="0" w:line="420" w:lineRule="exact"/>
        <w:ind w:right="-125" w:firstLine="482"/>
        <w:rPr>
          <w:sz w:val="24"/>
        </w:rPr>
      </w:pPr>
      <w:r>
        <w:rPr>
          <w:sz w:val="24"/>
        </w:rPr>
        <w:t>招标人在收到评标报告之日起3日内，按照投标人须知前附表规定的公示媒介和期限公示中标候选人，公示期不得少于3日，公示内容包括：</w:t>
      </w:r>
    </w:p>
    <w:p>
      <w:pPr>
        <w:pStyle w:val="11"/>
        <w:spacing w:after="0" w:line="420" w:lineRule="exact"/>
        <w:ind w:right="-125" w:firstLine="482"/>
        <w:rPr>
          <w:sz w:val="24"/>
        </w:rPr>
      </w:pPr>
      <w:r>
        <w:rPr>
          <w:sz w:val="24"/>
        </w:rPr>
        <w:t>(1）中标候选人排序、名称、投标报价，对</w:t>
      </w:r>
      <w:r>
        <w:rPr>
          <w:rFonts w:hint="eastAsia"/>
          <w:sz w:val="24"/>
        </w:rPr>
        <w:t>监理</w:t>
      </w:r>
      <w:r>
        <w:rPr>
          <w:sz w:val="24"/>
        </w:rPr>
        <w:t>质量要求、安全目标和</w:t>
      </w:r>
      <w:r>
        <w:rPr>
          <w:rFonts w:hint="eastAsia"/>
          <w:sz w:val="24"/>
        </w:rPr>
        <w:t>监理服务期限</w:t>
      </w:r>
      <w:r>
        <w:rPr>
          <w:sz w:val="24"/>
        </w:rPr>
        <w:t>的响应情况；</w:t>
      </w:r>
    </w:p>
    <w:p>
      <w:pPr>
        <w:pStyle w:val="11"/>
        <w:spacing w:after="0" w:line="420" w:lineRule="exact"/>
        <w:ind w:right="-125" w:firstLine="482"/>
        <w:rPr>
          <w:sz w:val="24"/>
        </w:rPr>
      </w:pPr>
      <w:r>
        <w:rPr>
          <w:sz w:val="24"/>
        </w:rPr>
        <w:t>(2）中标候选人在投标文件中承诺的总监理工程师姓名、个人业绩、相关证书名称和编号；</w:t>
      </w:r>
    </w:p>
    <w:p>
      <w:pPr>
        <w:pStyle w:val="11"/>
        <w:spacing w:after="0" w:line="420" w:lineRule="exact"/>
        <w:ind w:right="-125" w:firstLine="482"/>
        <w:rPr>
          <w:sz w:val="24"/>
        </w:rPr>
      </w:pPr>
      <w:r>
        <w:rPr>
          <w:sz w:val="24"/>
        </w:rPr>
        <w:t>(3）中标候选人在投标文件中填报的项目业绩；</w:t>
      </w:r>
    </w:p>
    <w:p>
      <w:pPr>
        <w:pStyle w:val="11"/>
        <w:spacing w:after="0" w:line="420" w:lineRule="exact"/>
        <w:ind w:right="-125" w:firstLine="482"/>
        <w:rPr>
          <w:sz w:val="24"/>
        </w:rPr>
      </w:pPr>
      <w:r>
        <w:rPr>
          <w:sz w:val="24"/>
        </w:rPr>
        <w:t>(4）被否决投标的投标人名称、否决依据和原因</w:t>
      </w:r>
      <w:r>
        <w:rPr>
          <w:rFonts w:hint="eastAsia"/>
          <w:sz w:val="24"/>
        </w:rPr>
        <w:t>；</w:t>
      </w:r>
    </w:p>
    <w:p>
      <w:pPr>
        <w:pStyle w:val="11"/>
        <w:spacing w:after="0" w:line="420" w:lineRule="exact"/>
        <w:ind w:right="-125" w:firstLine="482"/>
        <w:rPr>
          <w:sz w:val="24"/>
        </w:rPr>
      </w:pPr>
      <w:r>
        <w:rPr>
          <w:sz w:val="24"/>
        </w:rPr>
        <w:t>(5）提出异议的渠道和方式</w:t>
      </w:r>
      <w:r>
        <w:rPr>
          <w:rFonts w:hint="eastAsia"/>
          <w:sz w:val="24"/>
        </w:rPr>
        <w:t>；</w:t>
      </w:r>
    </w:p>
    <w:p>
      <w:pPr>
        <w:pStyle w:val="11"/>
        <w:spacing w:after="0" w:line="420" w:lineRule="exact"/>
        <w:ind w:right="-125" w:firstLine="482"/>
        <w:rPr>
          <w:sz w:val="24"/>
        </w:rPr>
      </w:pPr>
      <w:r>
        <w:rPr>
          <w:sz w:val="24"/>
        </w:rPr>
        <w:t>(6）投标人须知前附表规定公示的其他内容。</w:t>
      </w:r>
    </w:p>
    <w:p>
      <w:pPr>
        <w:spacing w:line="420" w:lineRule="exact"/>
        <w:ind w:left="153" w:right="106"/>
        <w:rPr>
          <w:b/>
          <w:bCs/>
          <w:sz w:val="24"/>
        </w:rPr>
      </w:pPr>
      <w:r>
        <w:rPr>
          <w:b/>
          <w:bCs/>
          <w:sz w:val="24"/>
        </w:rPr>
        <w:t>7.2评标结果异议</w:t>
      </w:r>
    </w:p>
    <w:p>
      <w:pPr>
        <w:pStyle w:val="11"/>
        <w:spacing w:before="91" w:line="420" w:lineRule="exact"/>
        <w:ind w:right="-124" w:firstLine="484"/>
        <w:rPr>
          <w:b/>
          <w:bCs/>
          <w:sz w:val="24"/>
        </w:rPr>
      </w:pPr>
      <w:r>
        <w:rPr>
          <w:rFonts w:hint="eastAsia"/>
          <w:sz w:val="24"/>
        </w:rPr>
        <w:t>投标人或者其他利害关系人对评标结果有异议的，应当在中标候选人公示期间提出。招标人将在收到异议之日起3日内作出答复；作出答复前，将暂停招标投标活动。</w:t>
      </w:r>
    </w:p>
    <w:p>
      <w:pPr>
        <w:spacing w:line="420" w:lineRule="exact"/>
        <w:ind w:left="153" w:right="106"/>
        <w:rPr>
          <w:b/>
          <w:bCs/>
          <w:sz w:val="24"/>
        </w:rPr>
      </w:pPr>
      <w:r>
        <w:rPr>
          <w:b/>
          <w:bCs/>
          <w:sz w:val="24"/>
        </w:rPr>
        <w:t>7.3中标候选人履约能力审查</w:t>
      </w:r>
    </w:p>
    <w:p>
      <w:pPr>
        <w:pStyle w:val="11"/>
        <w:spacing w:line="420" w:lineRule="exact"/>
        <w:ind w:left="172" w:right="181" w:firstLine="456"/>
        <w:rPr>
          <w:sz w:val="24"/>
        </w:rPr>
      </w:pPr>
      <w:r>
        <w:rPr>
          <w:rFonts w:hint="eastAsia"/>
          <w:sz w:val="24"/>
        </w:rPr>
        <w:t>中标候选人的经营、财务状况发生较大变化或存在违法行为，招标人认为可能影响其履约能力的，将在发出中标通知书前提请原评标委员会按照招标文件规定的标准和方法进行审查确认。</w:t>
      </w:r>
    </w:p>
    <w:p>
      <w:pPr>
        <w:spacing w:line="420" w:lineRule="exact"/>
        <w:ind w:left="153" w:right="106"/>
        <w:rPr>
          <w:b/>
          <w:bCs/>
          <w:sz w:val="24"/>
        </w:rPr>
      </w:pPr>
      <w:r>
        <w:rPr>
          <w:b/>
          <w:bCs/>
          <w:sz w:val="24"/>
        </w:rPr>
        <w:t>7.4定标</w:t>
      </w:r>
    </w:p>
    <w:p>
      <w:pPr>
        <w:pStyle w:val="11"/>
        <w:spacing w:line="420" w:lineRule="exact"/>
        <w:ind w:left="172" w:right="181" w:firstLine="456"/>
        <w:rPr>
          <w:sz w:val="24"/>
        </w:rPr>
      </w:pPr>
      <w:r>
        <w:rPr>
          <w:rFonts w:hint="eastAsia"/>
          <w:sz w:val="24"/>
        </w:rPr>
        <w:t>按照投标人须知前附表的规定，招标人或招标人授权的评标委员会依法确定中标。</w:t>
      </w:r>
    </w:p>
    <w:p>
      <w:pPr>
        <w:spacing w:line="420" w:lineRule="exact"/>
        <w:ind w:left="153" w:right="106"/>
        <w:rPr>
          <w:b/>
          <w:bCs/>
          <w:sz w:val="24"/>
        </w:rPr>
      </w:pPr>
      <w:r>
        <w:rPr>
          <w:b/>
          <w:bCs/>
          <w:sz w:val="24"/>
        </w:rPr>
        <w:t>7.5中标通知</w:t>
      </w:r>
    </w:p>
    <w:p>
      <w:pPr>
        <w:pStyle w:val="11"/>
        <w:spacing w:line="420" w:lineRule="exact"/>
        <w:ind w:left="172" w:right="181" w:firstLine="456"/>
        <w:rPr>
          <w:sz w:val="24"/>
        </w:rPr>
      </w:pPr>
      <w:r>
        <w:rPr>
          <w:sz w:val="24"/>
        </w:rPr>
        <w:t>在本章第3.3款规定的投标有效期内，招标人以投标人须知前附表规定的形式向中标人发出中标通知书，同时将中标结果通知未中标的投标人。</w:t>
      </w:r>
    </w:p>
    <w:p>
      <w:pPr>
        <w:pStyle w:val="11"/>
        <w:spacing w:before="29" w:line="420" w:lineRule="exact"/>
        <w:ind w:right="275"/>
        <w:rPr>
          <w:b/>
          <w:bCs/>
          <w:sz w:val="24"/>
        </w:rPr>
      </w:pPr>
      <w:r>
        <w:rPr>
          <w:b/>
          <w:bCs/>
          <w:sz w:val="24"/>
        </w:rPr>
        <w:t>7.6中标结果公告</w:t>
      </w:r>
    </w:p>
    <w:p>
      <w:pPr>
        <w:pStyle w:val="11"/>
        <w:spacing w:line="420" w:lineRule="exact"/>
        <w:ind w:left="168" w:right="275" w:firstLine="465"/>
        <w:rPr>
          <w:sz w:val="24"/>
        </w:rPr>
      </w:pPr>
      <w:r>
        <w:rPr>
          <w:sz w:val="24"/>
        </w:rPr>
        <w:t>招标人在确定中标人之日起3日内，按照投标人须知前附表规定的公告媒介和期限公告中标结果，公告期不得少于3日。公告内容包括中标人名称、中标价。</w:t>
      </w:r>
    </w:p>
    <w:p>
      <w:pPr>
        <w:pStyle w:val="11"/>
        <w:spacing w:before="170" w:line="420" w:lineRule="exact"/>
        <w:ind w:right="275"/>
        <w:rPr>
          <w:b/>
          <w:bCs/>
          <w:sz w:val="24"/>
        </w:rPr>
      </w:pPr>
      <w:r>
        <w:rPr>
          <w:b/>
          <w:bCs/>
          <w:sz w:val="24"/>
        </w:rPr>
        <w:t>7.7履约保证金</w:t>
      </w:r>
    </w:p>
    <w:p>
      <w:pPr>
        <w:pStyle w:val="11"/>
        <w:spacing w:line="420" w:lineRule="exact"/>
        <w:ind w:left="148" w:right="105" w:firstLine="489"/>
        <w:rPr>
          <w:sz w:val="24"/>
        </w:rPr>
      </w:pPr>
      <w:r>
        <w:rPr>
          <w:sz w:val="24"/>
        </w:rPr>
        <w:t>7.7.1在签订合同前，中标人应按投标人须知前附表规定的形式、金额和招标文件第四章“合同条款及格式”规定的或事先经过招标人书面认可的履约保证金格式向招标人提交履约保证金</w:t>
      </w:r>
      <w:r>
        <w:rPr>
          <w:rFonts w:hint="eastAsia"/>
          <w:sz w:val="24"/>
        </w:rPr>
        <w:t>。</w:t>
      </w:r>
      <w:r>
        <w:rPr>
          <w:sz w:val="24"/>
        </w:rPr>
        <w:t>除投标人须知前附表另有规定外，履约保证金为签约合同价的</w:t>
      </w:r>
      <w:r>
        <w:rPr>
          <w:rFonts w:hint="eastAsia"/>
          <w:sz w:val="24"/>
        </w:rPr>
        <w:t>5</w:t>
      </w:r>
      <w:r>
        <w:rPr>
          <w:sz w:val="24"/>
        </w:rPr>
        <w:t>%。联合体中标的</w:t>
      </w:r>
      <w:r>
        <w:rPr>
          <w:rFonts w:hint="eastAsia"/>
          <w:sz w:val="24"/>
        </w:rPr>
        <w:t>，</w:t>
      </w:r>
      <w:r>
        <w:rPr>
          <w:sz w:val="24"/>
        </w:rPr>
        <w:t>其履约保证金以联合体各方或联合体中牵头人的名义提交。</w:t>
      </w:r>
    </w:p>
    <w:p>
      <w:pPr>
        <w:pStyle w:val="11"/>
        <w:spacing w:line="420" w:lineRule="exact"/>
        <w:ind w:left="148" w:right="105" w:firstLine="489"/>
        <w:rPr>
          <w:sz w:val="24"/>
        </w:rPr>
      </w:pPr>
      <w:r>
        <w:rPr>
          <w:sz w:val="24"/>
        </w:rPr>
        <w:t>采用银行保函时，应由符合投标人须知前附表规定级别的银行开具，所需的费用由中标人承担，中标人应保证银行保函有效。</w:t>
      </w:r>
    </w:p>
    <w:p>
      <w:pPr>
        <w:pStyle w:val="11"/>
        <w:spacing w:line="420" w:lineRule="exact"/>
        <w:ind w:left="148" w:right="105" w:firstLine="489"/>
        <w:rPr>
          <w:sz w:val="24"/>
        </w:rPr>
      </w:pPr>
      <w:r>
        <w:rPr>
          <w:rFonts w:hint="eastAsia"/>
          <w:sz w:val="24"/>
        </w:rPr>
        <w:t>7.7.2中标人不能按本章第7.7.1项要求提交履约保证金的，视为放弃中标，其投标保证金不予退还，给招标人造成的损失超过投标保证金数额的，中标人还应当对超过部分予以赔偿。</w:t>
      </w:r>
    </w:p>
    <w:p>
      <w:pPr>
        <w:pStyle w:val="11"/>
        <w:spacing w:line="420" w:lineRule="exact"/>
        <w:ind w:right="105"/>
        <w:rPr>
          <w:b/>
          <w:bCs/>
          <w:sz w:val="24"/>
        </w:rPr>
      </w:pPr>
      <w:r>
        <w:rPr>
          <w:b/>
          <w:bCs/>
          <w:sz w:val="24"/>
        </w:rPr>
        <w:t>7.8签订合同</w:t>
      </w:r>
    </w:p>
    <w:p>
      <w:pPr>
        <w:pStyle w:val="11"/>
        <w:spacing w:after="0" w:line="420" w:lineRule="exact"/>
        <w:ind w:left="148" w:right="105" w:firstLine="489"/>
        <w:rPr>
          <w:sz w:val="24"/>
        </w:rPr>
      </w:pPr>
      <w:r>
        <w:rPr>
          <w:rFonts w:hint="eastAsia"/>
          <w:sz w:val="24"/>
        </w:rPr>
        <w:t>7.8.1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1"/>
        <w:spacing w:after="0" w:line="420" w:lineRule="exact"/>
        <w:ind w:left="148" w:right="105" w:firstLine="489"/>
        <w:rPr>
          <w:sz w:val="24"/>
        </w:rPr>
      </w:pPr>
      <w:r>
        <w:rPr>
          <w:rFonts w:hint="eastAsia"/>
          <w:sz w:val="24"/>
        </w:rPr>
        <w:t>7.8.2发出中标通知书后，招标人无正当理由拒签合同，或者在签订合同时向中标人提出附加条件的，招标人向中标人退还投标保证金；给中标人造成损失的，还应当赔偿损失。</w:t>
      </w:r>
    </w:p>
    <w:p>
      <w:pPr>
        <w:pStyle w:val="11"/>
        <w:spacing w:after="0" w:line="420" w:lineRule="exact"/>
        <w:ind w:left="148" w:right="105" w:firstLine="489"/>
        <w:rPr>
          <w:sz w:val="24"/>
        </w:rPr>
      </w:pPr>
      <w:r>
        <w:rPr>
          <w:sz w:val="24"/>
        </w:rPr>
        <w:t>7.8.3签约合同价的确定原则如下：</w:t>
      </w:r>
    </w:p>
    <w:p>
      <w:pPr>
        <w:pStyle w:val="11"/>
        <w:spacing w:before="75" w:after="0" w:line="420" w:lineRule="exact"/>
        <w:ind w:right="289" w:firstLine="609"/>
        <w:rPr>
          <w:sz w:val="24"/>
        </w:rPr>
      </w:pPr>
      <w:r>
        <w:rPr>
          <w:sz w:val="24"/>
        </w:rPr>
        <w:t>(1）按照评标办法规定对投标报价进行修正后，若修正后的最终投标报价小于开标时的投标函大写金额报价，则签订合同时以修正后的最终投标报价为准；</w:t>
      </w:r>
    </w:p>
    <w:p>
      <w:pPr>
        <w:pStyle w:val="11"/>
        <w:spacing w:before="38" w:after="0" w:line="420" w:lineRule="exact"/>
        <w:ind w:right="138" w:firstLine="609"/>
        <w:rPr>
          <w:sz w:val="24"/>
        </w:rPr>
      </w:pPr>
      <w:r>
        <w:rPr>
          <w:sz w:val="24"/>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11"/>
        <w:spacing w:before="33" w:after="0" w:line="420" w:lineRule="exact"/>
        <w:ind w:right="275" w:firstLine="600" w:firstLineChars="250"/>
        <w:rPr>
          <w:sz w:val="24"/>
        </w:rPr>
      </w:pPr>
      <w:r>
        <w:rPr>
          <w:sz w:val="24"/>
        </w:rPr>
        <w:t>7.8.4联合体中标的，联合体各方应共同与招标人签订合同，就中标项目向招标人承担连带责任。</w:t>
      </w:r>
    </w:p>
    <w:p>
      <w:pPr>
        <w:pStyle w:val="11"/>
        <w:spacing w:before="30" w:after="0" w:line="420" w:lineRule="exact"/>
        <w:ind w:left="148" w:right="271" w:firstLine="484"/>
        <w:rPr>
          <w:sz w:val="24"/>
        </w:rPr>
      </w:pPr>
      <w:r>
        <w:rPr>
          <w:sz w:val="24"/>
        </w:rPr>
        <w:t>7.8.5招标人和中标人在签订合同协议书的同时，须按照本招标文件规定的格式和要求签订廉政合同，明确双方在廉政建设方面的权利和义务以及应承担的违约责任。</w:t>
      </w:r>
    </w:p>
    <w:p>
      <w:pPr>
        <w:tabs>
          <w:tab w:val="left" w:pos="580"/>
        </w:tabs>
        <w:spacing w:before="19" w:line="420" w:lineRule="exact"/>
        <w:ind w:left="153" w:right="170"/>
        <w:rPr>
          <w:b/>
          <w:bCs/>
          <w:sz w:val="24"/>
        </w:rPr>
      </w:pPr>
      <w:r>
        <w:rPr>
          <w:rFonts w:cs="Arial"/>
          <w:b/>
          <w:bCs/>
          <w:sz w:val="24"/>
        </w:rPr>
        <w:t>8.</w:t>
      </w:r>
      <w:r>
        <w:rPr>
          <w:rFonts w:cs="Arial"/>
          <w:b/>
          <w:bCs/>
          <w:sz w:val="24"/>
        </w:rPr>
        <w:tab/>
      </w:r>
      <w:r>
        <w:rPr>
          <w:b/>
          <w:bCs/>
          <w:sz w:val="24"/>
        </w:rPr>
        <w:t>纪律和监督</w:t>
      </w:r>
    </w:p>
    <w:p>
      <w:pPr>
        <w:spacing w:line="420" w:lineRule="exact"/>
        <w:ind w:left="153" w:right="170"/>
        <w:rPr>
          <w:b/>
          <w:bCs/>
          <w:sz w:val="24"/>
        </w:rPr>
      </w:pPr>
      <w:r>
        <w:rPr>
          <w:rFonts w:cs="Arial"/>
          <w:b/>
          <w:bCs/>
          <w:sz w:val="24"/>
        </w:rPr>
        <w:t>8.1</w:t>
      </w:r>
      <w:r>
        <w:rPr>
          <w:b/>
          <w:bCs/>
          <w:sz w:val="24"/>
        </w:rPr>
        <w:t>对招标人的纪律要求</w:t>
      </w:r>
    </w:p>
    <w:p>
      <w:pPr>
        <w:pStyle w:val="11"/>
        <w:spacing w:before="30" w:line="420" w:lineRule="exact"/>
        <w:ind w:left="148" w:right="271" w:firstLine="484"/>
        <w:rPr>
          <w:sz w:val="24"/>
        </w:rPr>
      </w:pPr>
      <w:r>
        <w:rPr>
          <w:rFonts w:hint="eastAsia"/>
          <w:sz w:val="24"/>
        </w:rPr>
        <w:t>招标人不得泄露招标投标活动中应当保密的情况和资料，不得与投标人串通损害国家利益、社会公共利益或者他人合法权益。</w:t>
      </w:r>
    </w:p>
    <w:p>
      <w:pPr>
        <w:spacing w:line="420" w:lineRule="exact"/>
        <w:ind w:left="153" w:right="170"/>
        <w:rPr>
          <w:b/>
          <w:bCs/>
          <w:sz w:val="24"/>
        </w:rPr>
      </w:pPr>
      <w:r>
        <w:rPr>
          <w:rFonts w:cs="Arial"/>
          <w:b/>
          <w:bCs/>
          <w:sz w:val="24"/>
        </w:rPr>
        <w:t>8.2</w:t>
      </w:r>
      <w:r>
        <w:rPr>
          <w:b/>
          <w:bCs/>
          <w:sz w:val="24"/>
        </w:rPr>
        <w:t>对投标人的纪律要求</w:t>
      </w:r>
    </w:p>
    <w:p>
      <w:pPr>
        <w:pStyle w:val="11"/>
        <w:spacing w:before="30" w:line="420" w:lineRule="exact"/>
        <w:ind w:left="148" w:right="271" w:firstLine="484"/>
        <w:rPr>
          <w:b/>
          <w:bCs/>
          <w:sz w:val="24"/>
        </w:rPr>
      </w:pPr>
      <w:r>
        <w:rPr>
          <w:rFonts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20" w:lineRule="exact"/>
        <w:ind w:left="153" w:right="170"/>
        <w:rPr>
          <w:b/>
          <w:bCs/>
          <w:sz w:val="24"/>
        </w:rPr>
      </w:pPr>
      <w:r>
        <w:rPr>
          <w:b/>
          <w:bCs/>
          <w:sz w:val="24"/>
        </w:rPr>
        <w:t>8.3对评标委员会成员的纪律要求</w:t>
      </w:r>
    </w:p>
    <w:p>
      <w:pPr>
        <w:pStyle w:val="11"/>
        <w:spacing w:before="30" w:line="420" w:lineRule="exact"/>
        <w:ind w:left="148" w:right="271" w:firstLine="484"/>
        <w:rPr>
          <w:sz w:val="24"/>
        </w:rPr>
      </w:pPr>
      <w:r>
        <w:rPr>
          <w:rFonts w:hint="eastAsia"/>
          <w:sz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420" w:lineRule="exact"/>
        <w:ind w:left="153" w:right="170"/>
        <w:rPr>
          <w:b/>
          <w:bCs/>
          <w:sz w:val="24"/>
        </w:rPr>
      </w:pPr>
      <w:r>
        <w:rPr>
          <w:rFonts w:cs="Arial"/>
          <w:b/>
          <w:bCs/>
          <w:sz w:val="24"/>
        </w:rPr>
        <w:t>8.4</w:t>
      </w:r>
      <w:r>
        <w:rPr>
          <w:b/>
          <w:bCs/>
          <w:sz w:val="24"/>
        </w:rPr>
        <w:t>对与评标活动有关的工作人员的纪律要求</w:t>
      </w:r>
    </w:p>
    <w:p>
      <w:pPr>
        <w:pStyle w:val="11"/>
        <w:spacing w:before="30" w:line="420" w:lineRule="exact"/>
        <w:ind w:left="148" w:right="271" w:firstLine="484"/>
        <w:rPr>
          <w:sz w:val="24"/>
        </w:rPr>
      </w:pPr>
      <w:r>
        <w:rPr>
          <w:rFonts w:hint="eastAsia"/>
          <w:sz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420" w:lineRule="exact"/>
        <w:ind w:left="153" w:right="170"/>
        <w:rPr>
          <w:b/>
          <w:bCs/>
          <w:sz w:val="24"/>
        </w:rPr>
      </w:pPr>
      <w:r>
        <w:rPr>
          <w:b/>
          <w:bCs/>
          <w:sz w:val="24"/>
        </w:rPr>
        <w:t>8.5投诉</w:t>
      </w:r>
    </w:p>
    <w:p>
      <w:pPr>
        <w:pStyle w:val="11"/>
        <w:spacing w:line="420" w:lineRule="exact"/>
        <w:ind w:right="97" w:firstLine="484"/>
        <w:rPr>
          <w:sz w:val="24"/>
        </w:rPr>
      </w:pPr>
      <w:r>
        <w:rPr>
          <w:sz w:val="24"/>
        </w:rPr>
        <w:t>8.5.1投标人或其他利害关系人认为招标投标活动不符合法律、行政法规规定的，可以自知道或应当知道之日起10日内向有关行政监督部门投诉。投诉应有明确的请求和必要的证明材料。</w:t>
      </w:r>
    </w:p>
    <w:p>
      <w:pPr>
        <w:pStyle w:val="11"/>
        <w:spacing w:before="40" w:line="420" w:lineRule="exact"/>
        <w:ind w:left="633" w:right="170"/>
        <w:rPr>
          <w:sz w:val="24"/>
        </w:rPr>
      </w:pPr>
      <w:r>
        <w:rPr>
          <w:sz w:val="24"/>
        </w:rPr>
        <w:t>监督部门的联系方式见投标人须知前附表。</w:t>
      </w:r>
    </w:p>
    <w:p>
      <w:pPr>
        <w:pStyle w:val="11"/>
        <w:spacing w:line="420" w:lineRule="exact"/>
        <w:ind w:right="97" w:firstLine="484"/>
        <w:rPr>
          <w:b/>
          <w:bCs/>
          <w:sz w:val="24"/>
        </w:rPr>
      </w:pPr>
      <w:r>
        <w:rPr>
          <w:sz w:val="24"/>
        </w:rPr>
        <w:t>8.5.2</w:t>
      </w:r>
      <w:r>
        <w:rPr>
          <w:rFonts w:hint="eastAsia"/>
          <w:sz w:val="24"/>
        </w:rPr>
        <w:t>投标人或者其他利害关系人对招标文件、开标和评标结果提出投诉的，应当按照投标人须知第2.4款、第5.3款和第7.2款的规定先向招标人提出异议。异议答复期间不计算在第8.5.1项规定的期限内。</w:t>
      </w:r>
    </w:p>
    <w:p>
      <w:pPr>
        <w:tabs>
          <w:tab w:val="left" w:pos="580"/>
        </w:tabs>
        <w:spacing w:line="420" w:lineRule="exact"/>
        <w:ind w:left="148" w:right="170"/>
        <w:rPr>
          <w:b/>
          <w:bCs/>
          <w:sz w:val="24"/>
        </w:rPr>
      </w:pPr>
      <w:r>
        <w:rPr>
          <w:b/>
          <w:bCs/>
          <w:sz w:val="24"/>
        </w:rPr>
        <w:t>9.</w:t>
      </w:r>
      <w:r>
        <w:rPr>
          <w:b/>
          <w:bCs/>
          <w:sz w:val="24"/>
        </w:rPr>
        <w:tab/>
      </w:r>
      <w:r>
        <w:rPr>
          <w:b/>
          <w:bCs/>
          <w:sz w:val="24"/>
        </w:rPr>
        <w:t>是否采用电子招标投标</w:t>
      </w:r>
    </w:p>
    <w:p>
      <w:pPr>
        <w:pStyle w:val="11"/>
        <w:spacing w:before="40" w:line="420" w:lineRule="exact"/>
        <w:ind w:left="633" w:right="170"/>
        <w:rPr>
          <w:sz w:val="24"/>
        </w:rPr>
      </w:pPr>
      <w:r>
        <w:rPr>
          <w:rFonts w:hint="eastAsia"/>
          <w:sz w:val="24"/>
        </w:rPr>
        <w:t>本招标项目是否采用电子招标投标方式，见投标人须知前附表。</w:t>
      </w:r>
    </w:p>
    <w:p>
      <w:pPr>
        <w:tabs>
          <w:tab w:val="left" w:pos="719"/>
        </w:tabs>
        <w:spacing w:line="420" w:lineRule="exact"/>
        <w:ind w:left="172" w:right="170"/>
        <w:rPr>
          <w:b/>
          <w:bCs/>
          <w:sz w:val="24"/>
        </w:rPr>
      </w:pPr>
      <w:r>
        <w:rPr>
          <w:b/>
          <w:bCs/>
          <w:sz w:val="24"/>
        </w:rPr>
        <w:t>10.</w:t>
      </w:r>
      <w:r>
        <w:rPr>
          <w:b/>
          <w:bCs/>
          <w:sz w:val="24"/>
        </w:rPr>
        <w:tab/>
      </w:r>
      <w:r>
        <w:rPr>
          <w:b/>
          <w:bCs/>
          <w:sz w:val="24"/>
        </w:rPr>
        <w:t>需要补充的其他内容</w:t>
      </w:r>
    </w:p>
    <w:p>
      <w:pPr>
        <w:pStyle w:val="11"/>
        <w:spacing w:line="420" w:lineRule="exact"/>
        <w:ind w:right="101" w:firstLine="480" w:firstLineChars="200"/>
        <w:rPr>
          <w:sz w:val="24"/>
        </w:rPr>
      </w:pPr>
      <w:r>
        <w:rPr>
          <w:rFonts w:cs="Arial"/>
          <w:sz w:val="24"/>
        </w:rPr>
        <w:t>10.1</w:t>
      </w:r>
      <w:r>
        <w:rPr>
          <w:sz w:val="24"/>
        </w:rPr>
        <w:t>自购买招标文件之日起，投标人应保证其提供的联系方式（电话、传真、电子邮件）一直有效，以便及时收到招标人发出的函件（招标文件的澄清、修改等），并应及时向招标人反馈信息，否则招标人不承担由此引起的一切后果。</w:t>
      </w:r>
    </w:p>
    <w:p>
      <w:pPr>
        <w:pStyle w:val="11"/>
        <w:spacing w:line="420" w:lineRule="exact"/>
        <w:ind w:right="101" w:firstLine="480" w:firstLineChars="200"/>
        <w:rPr>
          <w:sz w:val="24"/>
        </w:rPr>
      </w:pPr>
      <w:r>
        <w:rPr>
          <w:sz w:val="24"/>
        </w:rPr>
        <w:t>需要补充的其他内容：见投标人须知前附表</w:t>
      </w:r>
      <w:r>
        <w:rPr>
          <w:rFonts w:hint="eastAsia"/>
          <w:sz w:val="24"/>
        </w:rPr>
        <w:t>。</w:t>
      </w:r>
      <w:bookmarkEnd w:id="6"/>
      <w:bookmarkStart w:id="8" w:name="_Toc55808598"/>
      <w:bookmarkStart w:id="9" w:name="_Toc55808559"/>
      <w:bookmarkStart w:id="10" w:name="_Toc55786875"/>
      <w:bookmarkStart w:id="11" w:name="_Toc125518257"/>
      <w:bookmarkStart w:id="12" w:name="_Toc194231046"/>
      <w:bookmarkStart w:id="13" w:name="_Toc125518259"/>
      <w:bookmarkStart w:id="14" w:name="_Toc54603812"/>
      <w:bookmarkStart w:id="15" w:name="_Toc54603657"/>
      <w:bookmarkStart w:id="16" w:name="_Toc54603981"/>
      <w:r>
        <w:rPr>
          <w:rFonts w:hint="eastAsia"/>
          <w:sz w:val="24"/>
        </w:rPr>
        <w:br w:type="page"/>
      </w:r>
    </w:p>
    <w:bookmarkEnd w:id="8"/>
    <w:bookmarkEnd w:id="9"/>
    <w:bookmarkEnd w:id="10"/>
    <w:bookmarkEnd w:id="11"/>
    <w:bookmarkEnd w:id="12"/>
    <w:bookmarkEnd w:id="13"/>
    <w:bookmarkEnd w:id="14"/>
    <w:bookmarkEnd w:id="15"/>
    <w:bookmarkEnd w:id="16"/>
    <w:p>
      <w:pPr>
        <w:pStyle w:val="2"/>
        <w:spacing w:line="240" w:lineRule="auto"/>
        <w:jc w:val="center"/>
        <w:rPr>
          <w:rFonts w:ascii="宋体" w:hAnsi="宋体"/>
          <w:szCs w:val="21"/>
        </w:rPr>
      </w:pPr>
      <w:bookmarkStart w:id="17" w:name="_Toc3674"/>
      <w:bookmarkStart w:id="18" w:name="_Toc356546258"/>
      <w:r>
        <w:rPr>
          <w:rFonts w:hint="eastAsia" w:ascii="宋体" w:hAnsi="宋体"/>
          <w:szCs w:val="21"/>
        </w:rPr>
        <w:t>第三章</w:t>
      </w:r>
      <w:r>
        <w:rPr>
          <w:rFonts w:ascii="宋体" w:hAnsi="宋体"/>
          <w:szCs w:val="21"/>
        </w:rPr>
        <w:t xml:space="preserve"> </w:t>
      </w:r>
      <w:r>
        <w:rPr>
          <w:rFonts w:hint="eastAsia" w:ascii="宋体" w:hAnsi="宋体"/>
          <w:szCs w:val="21"/>
        </w:rPr>
        <w:t>评标办法（综合评估法）</w:t>
      </w:r>
      <w:bookmarkEnd w:id="17"/>
      <w:bookmarkEnd w:id="18"/>
    </w:p>
    <w:p>
      <w:pPr>
        <w:autoSpaceDE w:val="0"/>
        <w:autoSpaceDN w:val="0"/>
        <w:adjustRightInd w:val="0"/>
        <w:jc w:val="left"/>
        <w:rPr>
          <w:b/>
          <w:kern w:val="0"/>
          <w:sz w:val="24"/>
        </w:rPr>
      </w:pPr>
      <w:r>
        <w:rPr>
          <w:rFonts w:hint="eastAsia" w:cs="黑体"/>
          <w:b/>
          <w:kern w:val="0"/>
          <w:sz w:val="24"/>
        </w:rPr>
        <w:t>评标办法前附表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0"/>
        <w:gridCol w:w="1155"/>
        <w:gridCol w:w="65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2305" w:type="dxa"/>
            <w:gridSpan w:val="2"/>
            <w:vAlign w:val="center"/>
          </w:tcPr>
          <w:p>
            <w:pPr>
              <w:pStyle w:val="73"/>
              <w:jc w:val="center"/>
              <w:rPr>
                <w:rFonts w:cs="黑体"/>
                <w:b/>
                <w:color w:val="auto"/>
              </w:rPr>
            </w:pPr>
            <w:r>
              <w:rPr>
                <w:rFonts w:hint="eastAsia" w:cs="黑体"/>
                <w:b/>
                <w:color w:val="auto"/>
              </w:rPr>
              <w:t>条款号</w:t>
            </w:r>
          </w:p>
        </w:tc>
        <w:tc>
          <w:tcPr>
            <w:tcW w:w="6599" w:type="dxa"/>
            <w:vAlign w:val="center"/>
          </w:tcPr>
          <w:p>
            <w:pPr>
              <w:pStyle w:val="73"/>
              <w:jc w:val="center"/>
              <w:rPr>
                <w:rFonts w:cs="黑体"/>
                <w:b/>
                <w:color w:val="auto"/>
              </w:rPr>
            </w:pPr>
            <w:r>
              <w:rPr>
                <w:rFonts w:hint="eastAsia" w:cs="黑体"/>
                <w:b/>
                <w:color w:val="auto"/>
              </w:rPr>
              <w:t>评审因素与评审标准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5" w:hRule="atLeast"/>
          <w:jc w:val="center"/>
        </w:trPr>
        <w:tc>
          <w:tcPr>
            <w:tcW w:w="1150" w:type="dxa"/>
            <w:vAlign w:val="center"/>
          </w:tcPr>
          <w:p>
            <w:pPr>
              <w:pStyle w:val="73"/>
              <w:jc w:val="center"/>
              <w:rPr>
                <w:rFonts w:cs="黑体"/>
                <w:color w:val="auto"/>
                <w:sz w:val="21"/>
                <w:szCs w:val="21"/>
              </w:rPr>
            </w:pPr>
            <w:r>
              <w:rPr>
                <w:rFonts w:hint="eastAsia" w:cs="黑体"/>
                <w:color w:val="auto"/>
                <w:sz w:val="21"/>
                <w:szCs w:val="21"/>
              </w:rPr>
              <w:t>1</w:t>
            </w:r>
          </w:p>
        </w:tc>
        <w:tc>
          <w:tcPr>
            <w:tcW w:w="1155" w:type="dxa"/>
            <w:vAlign w:val="center"/>
          </w:tcPr>
          <w:p>
            <w:pPr>
              <w:pStyle w:val="73"/>
              <w:jc w:val="center"/>
              <w:rPr>
                <w:rFonts w:cs="黑体"/>
                <w:color w:val="auto"/>
                <w:sz w:val="21"/>
                <w:szCs w:val="21"/>
              </w:rPr>
            </w:pPr>
            <w:r>
              <w:rPr>
                <w:rFonts w:hint="eastAsia" w:cs="黑体"/>
                <w:color w:val="auto"/>
                <w:sz w:val="21"/>
                <w:szCs w:val="21"/>
              </w:rPr>
              <w:t>评标办法</w:t>
            </w:r>
          </w:p>
        </w:tc>
        <w:tc>
          <w:tcPr>
            <w:tcW w:w="6599" w:type="dxa"/>
            <w:vAlign w:val="center"/>
          </w:tcPr>
          <w:p>
            <w:pPr>
              <w:pStyle w:val="73"/>
              <w:spacing w:line="276" w:lineRule="auto"/>
              <w:ind w:firstLine="210" w:firstLineChars="100"/>
              <w:rPr>
                <w:rFonts w:cs="黑体"/>
                <w:color w:val="auto"/>
                <w:sz w:val="21"/>
                <w:szCs w:val="21"/>
              </w:rPr>
            </w:pPr>
            <w:r>
              <w:rPr>
                <w:rFonts w:hint="eastAsia" w:cs="黑体"/>
                <w:color w:val="auto"/>
                <w:sz w:val="21"/>
                <w:szCs w:val="21"/>
              </w:rPr>
              <w:t>综合评分相等时，评标委员会依次按照以下优先顺序推荐中标候选人或确定中标人：</w:t>
            </w:r>
          </w:p>
          <w:p>
            <w:pPr>
              <w:pStyle w:val="73"/>
              <w:spacing w:line="276" w:lineRule="auto"/>
              <w:ind w:firstLine="210" w:firstLineChars="100"/>
              <w:rPr>
                <w:rFonts w:cs="黑体"/>
                <w:color w:val="auto"/>
                <w:sz w:val="21"/>
                <w:szCs w:val="21"/>
              </w:rPr>
            </w:pPr>
            <w:r>
              <w:rPr>
                <w:rFonts w:hint="eastAsia" w:cs="黑体"/>
                <w:color w:val="auto"/>
                <w:sz w:val="21"/>
                <w:szCs w:val="21"/>
              </w:rPr>
              <w:t>（1）评标价低的投标人优先；</w:t>
            </w:r>
          </w:p>
          <w:p>
            <w:pPr>
              <w:pStyle w:val="73"/>
              <w:spacing w:line="276" w:lineRule="auto"/>
              <w:ind w:firstLine="210" w:firstLineChars="100"/>
              <w:rPr>
                <w:rFonts w:cs="黑体"/>
                <w:color w:val="auto"/>
                <w:sz w:val="21"/>
                <w:szCs w:val="21"/>
              </w:rPr>
            </w:pPr>
            <w:r>
              <w:rPr>
                <w:rFonts w:hint="eastAsia" w:cs="黑体"/>
                <w:color w:val="auto"/>
                <w:sz w:val="21"/>
                <w:szCs w:val="21"/>
              </w:rPr>
              <w:t>（2）商务和技术得分较高的投标人优先；</w:t>
            </w:r>
          </w:p>
          <w:p>
            <w:pPr>
              <w:pStyle w:val="73"/>
              <w:spacing w:line="276" w:lineRule="auto"/>
              <w:ind w:firstLine="210" w:firstLineChars="100"/>
              <w:rPr>
                <w:rFonts w:cs="黑体"/>
                <w:color w:val="auto"/>
                <w:sz w:val="21"/>
                <w:szCs w:val="21"/>
              </w:rPr>
            </w:pPr>
            <w:r>
              <w:rPr>
                <w:rFonts w:hint="eastAsia" w:cs="黑体"/>
                <w:color w:val="auto"/>
                <w:sz w:val="21"/>
                <w:szCs w:val="21"/>
              </w:rPr>
              <w:t>（3）</w:t>
            </w:r>
            <w:r>
              <w:rPr>
                <w:rFonts w:hint="eastAsia"/>
                <w:bCs/>
                <w:color w:val="auto"/>
                <w:sz w:val="21"/>
                <w:szCs w:val="21"/>
              </w:rPr>
              <w:t>以评标委员会推荐的投标人优先。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1150" w:type="dxa"/>
            <w:vAlign w:val="center"/>
          </w:tcPr>
          <w:p>
            <w:pPr>
              <w:pStyle w:val="73"/>
              <w:jc w:val="center"/>
              <w:rPr>
                <w:rFonts w:cs="黑体"/>
                <w:color w:val="auto"/>
                <w:sz w:val="21"/>
                <w:szCs w:val="21"/>
              </w:rPr>
            </w:pPr>
            <w:r>
              <w:rPr>
                <w:rFonts w:hint="eastAsia" w:cs="黑体"/>
                <w:color w:val="auto"/>
                <w:sz w:val="21"/>
                <w:szCs w:val="21"/>
              </w:rPr>
              <w:t>2.1.1</w:t>
            </w:r>
          </w:p>
          <w:p>
            <w:pPr>
              <w:pStyle w:val="73"/>
              <w:jc w:val="center"/>
              <w:rPr>
                <w:rFonts w:cs="黑体"/>
                <w:color w:val="auto"/>
                <w:sz w:val="21"/>
                <w:szCs w:val="21"/>
              </w:rPr>
            </w:pPr>
            <w:r>
              <w:rPr>
                <w:rFonts w:hint="eastAsia" w:cs="黑体"/>
                <w:color w:val="auto"/>
                <w:sz w:val="21"/>
                <w:szCs w:val="21"/>
              </w:rPr>
              <w:t>2.1.3</w:t>
            </w:r>
          </w:p>
        </w:tc>
        <w:tc>
          <w:tcPr>
            <w:tcW w:w="1155" w:type="dxa"/>
            <w:vAlign w:val="center"/>
          </w:tcPr>
          <w:p>
            <w:pPr>
              <w:pStyle w:val="73"/>
              <w:jc w:val="center"/>
              <w:rPr>
                <w:rFonts w:cs="黑体"/>
                <w:color w:val="auto"/>
                <w:sz w:val="21"/>
                <w:szCs w:val="21"/>
              </w:rPr>
            </w:pPr>
            <w:r>
              <w:rPr>
                <w:rFonts w:hint="eastAsia" w:cs="黑体"/>
                <w:color w:val="auto"/>
                <w:sz w:val="21"/>
                <w:szCs w:val="21"/>
              </w:rPr>
              <w:t>形式评审与响应性评审标准</w:t>
            </w:r>
          </w:p>
        </w:tc>
        <w:tc>
          <w:tcPr>
            <w:tcW w:w="6599" w:type="dxa"/>
            <w:vAlign w:val="center"/>
          </w:tcPr>
          <w:p>
            <w:pPr>
              <w:pStyle w:val="73"/>
              <w:spacing w:line="260" w:lineRule="exact"/>
              <w:ind w:firstLine="207" w:firstLineChars="98"/>
              <w:rPr>
                <w:rFonts w:cs="黑体"/>
                <w:b/>
                <w:color w:val="auto"/>
                <w:sz w:val="21"/>
                <w:szCs w:val="21"/>
              </w:rPr>
            </w:pPr>
            <w:r>
              <w:rPr>
                <w:rFonts w:hint="eastAsia" w:cs="黑体"/>
                <w:b/>
                <w:color w:val="auto"/>
                <w:sz w:val="21"/>
                <w:szCs w:val="21"/>
              </w:rPr>
              <w:t>第一个信封（商务及技术文件）评审标准：</w:t>
            </w:r>
          </w:p>
          <w:p>
            <w:pPr>
              <w:pStyle w:val="73"/>
              <w:spacing w:line="260" w:lineRule="exact"/>
              <w:ind w:firstLine="210" w:firstLineChars="100"/>
              <w:rPr>
                <w:rFonts w:cs="黑体"/>
                <w:color w:val="auto"/>
                <w:sz w:val="21"/>
                <w:szCs w:val="21"/>
              </w:rPr>
            </w:pPr>
            <w:r>
              <w:rPr>
                <w:rFonts w:hint="eastAsia" w:cs="黑体"/>
                <w:color w:val="auto"/>
                <w:sz w:val="21"/>
                <w:szCs w:val="21"/>
              </w:rPr>
              <w:t>（1）投标文件按照招标文件规定的格式、内容填写，字迹清晰可辨：</w:t>
            </w:r>
          </w:p>
          <w:p>
            <w:pPr>
              <w:pStyle w:val="73"/>
              <w:spacing w:line="260" w:lineRule="exact"/>
              <w:ind w:firstLine="210" w:firstLineChars="100"/>
              <w:rPr>
                <w:rFonts w:cs="黑体"/>
                <w:color w:val="auto"/>
                <w:sz w:val="21"/>
                <w:szCs w:val="21"/>
              </w:rPr>
            </w:pPr>
            <w:r>
              <w:rPr>
                <w:rFonts w:hint="eastAsia" w:cs="黑体"/>
                <w:color w:val="auto"/>
                <w:sz w:val="21"/>
                <w:szCs w:val="21"/>
              </w:rPr>
              <w:t>a.投标函按招标文件规定填报了项目名称、标段号、补遗书编号（如有）、监理服务期限、工程质量要求及安全目标；</w:t>
            </w:r>
          </w:p>
          <w:p>
            <w:pPr>
              <w:pStyle w:val="73"/>
              <w:spacing w:line="260" w:lineRule="exact"/>
              <w:ind w:firstLine="210" w:firstLineChars="100"/>
              <w:rPr>
                <w:rFonts w:cs="黑体"/>
                <w:color w:val="auto"/>
                <w:sz w:val="21"/>
                <w:szCs w:val="21"/>
              </w:rPr>
            </w:pPr>
            <w:r>
              <w:rPr>
                <w:rFonts w:hint="eastAsia" w:cs="黑体"/>
                <w:color w:val="auto"/>
                <w:sz w:val="21"/>
                <w:szCs w:val="21"/>
              </w:rPr>
              <w:t>b.投标文件组成齐全完整，内容均按规定填写。</w:t>
            </w:r>
          </w:p>
          <w:p>
            <w:pPr>
              <w:pStyle w:val="73"/>
              <w:tabs>
                <w:tab w:val="left" w:pos="592"/>
              </w:tabs>
              <w:spacing w:line="260" w:lineRule="exact"/>
              <w:ind w:firstLine="210" w:firstLineChars="100"/>
              <w:jc w:val="both"/>
              <w:rPr>
                <w:rFonts w:cs="黑体"/>
                <w:color w:val="auto"/>
                <w:sz w:val="21"/>
                <w:szCs w:val="21"/>
              </w:rPr>
            </w:pPr>
            <w:r>
              <w:rPr>
                <w:rFonts w:hint="eastAsia" w:cs="黑体"/>
                <w:color w:val="auto"/>
                <w:sz w:val="21"/>
                <w:szCs w:val="21"/>
              </w:rPr>
              <w:t>（2）投标文件上法定代表人或其授权代理人的签字、投标人的单位章盖章齐全，符合招标文件规定。</w:t>
            </w:r>
          </w:p>
          <w:p>
            <w:pPr>
              <w:pStyle w:val="73"/>
              <w:spacing w:line="260" w:lineRule="exact"/>
              <w:ind w:firstLine="210" w:firstLineChars="100"/>
              <w:rPr>
                <w:rFonts w:cs="黑体"/>
                <w:color w:val="auto"/>
                <w:sz w:val="21"/>
                <w:szCs w:val="21"/>
              </w:rPr>
            </w:pPr>
            <w:r>
              <w:rPr>
                <w:rFonts w:hint="eastAsia" w:cs="黑体"/>
                <w:color w:val="auto"/>
                <w:sz w:val="21"/>
                <w:szCs w:val="21"/>
              </w:rPr>
              <w:t>（3）投标人按照招标文件的规定提供了投标保证金：</w:t>
            </w:r>
          </w:p>
          <w:p>
            <w:pPr>
              <w:pStyle w:val="73"/>
              <w:spacing w:line="260" w:lineRule="exact"/>
              <w:ind w:firstLine="210" w:firstLineChars="100"/>
              <w:rPr>
                <w:rFonts w:cs="黑体"/>
                <w:color w:val="auto"/>
                <w:sz w:val="21"/>
                <w:szCs w:val="21"/>
              </w:rPr>
            </w:pPr>
            <w:r>
              <w:rPr>
                <w:rFonts w:hint="eastAsia" w:cs="黑体"/>
                <w:color w:val="auto"/>
                <w:sz w:val="21"/>
                <w:szCs w:val="21"/>
              </w:rPr>
              <w:t>a. 投标保证金金额符合招标文件规定的金额，且投标保证金有效期不少于投标有效期；</w:t>
            </w:r>
          </w:p>
          <w:p>
            <w:pPr>
              <w:pStyle w:val="73"/>
              <w:spacing w:line="260" w:lineRule="exact"/>
              <w:ind w:firstLine="210" w:firstLineChars="100"/>
              <w:rPr>
                <w:rFonts w:cs="黑体"/>
                <w:color w:val="auto"/>
                <w:sz w:val="21"/>
                <w:szCs w:val="21"/>
              </w:rPr>
            </w:pPr>
            <w:r>
              <w:rPr>
                <w:rFonts w:hint="eastAsia" w:cs="黑体"/>
                <w:color w:val="auto"/>
                <w:sz w:val="21"/>
                <w:szCs w:val="21"/>
              </w:rPr>
              <w:t>b.若投标保证金采用支票或电汇形式提交，投标人应在递交投标文件截止时间之前，将投标保证金由投标人的基本账户转入招标人指定账户；</w:t>
            </w:r>
          </w:p>
          <w:p>
            <w:pPr>
              <w:pStyle w:val="73"/>
              <w:spacing w:line="260" w:lineRule="exact"/>
              <w:ind w:firstLine="210" w:firstLineChars="100"/>
              <w:rPr>
                <w:rFonts w:cs="黑体"/>
                <w:color w:val="auto"/>
                <w:sz w:val="21"/>
                <w:szCs w:val="21"/>
              </w:rPr>
            </w:pPr>
            <w:r>
              <w:rPr>
                <w:rFonts w:hint="eastAsia" w:cs="黑体"/>
                <w:color w:val="auto"/>
                <w:sz w:val="21"/>
                <w:szCs w:val="21"/>
              </w:rPr>
              <w:t>c.若投标保证金采用银行保函形式提交，银行保函的格式、开具保函的银行均满足招标文件要求，且在递交投标文件截止时间之前向招标人提交了银行保函原件。</w:t>
            </w:r>
          </w:p>
          <w:p>
            <w:pPr>
              <w:pStyle w:val="73"/>
              <w:spacing w:line="260" w:lineRule="exact"/>
              <w:ind w:firstLine="210" w:firstLineChars="100"/>
              <w:rPr>
                <w:rFonts w:cs="黑体"/>
                <w:color w:val="auto"/>
                <w:sz w:val="21"/>
                <w:szCs w:val="21"/>
              </w:rPr>
            </w:pPr>
            <w:r>
              <w:rPr>
                <w:rFonts w:hint="eastAsia" w:cs="黑体"/>
                <w:color w:val="auto"/>
                <w:sz w:val="21"/>
                <w:szCs w:val="21"/>
              </w:rPr>
              <w:t>（4）投标人法定代表人授权委托代理人签署投标文件的，须提交授权委托书，且授权人和被授权人均在授权委托书上签名，未使用印章、签名章或其他电子制版签名代替。</w:t>
            </w:r>
          </w:p>
          <w:p>
            <w:pPr>
              <w:pStyle w:val="73"/>
              <w:spacing w:line="260" w:lineRule="exact"/>
              <w:ind w:firstLine="210" w:firstLineChars="100"/>
              <w:rPr>
                <w:rFonts w:cs="黑体"/>
                <w:color w:val="auto"/>
                <w:sz w:val="21"/>
                <w:szCs w:val="21"/>
              </w:rPr>
            </w:pPr>
            <w:r>
              <w:rPr>
                <w:rFonts w:hint="eastAsia" w:cs="黑体"/>
                <w:color w:val="auto"/>
                <w:sz w:val="21"/>
                <w:szCs w:val="21"/>
              </w:rPr>
              <w:t>（5）投标人法定代表人亲自签署投标文件的，提供了法定代表人身份证明，且法定代表人在法定代表人身份证明上签名未使用印章、签名章或其他电子制版签名代替。</w:t>
            </w:r>
          </w:p>
          <w:p>
            <w:pPr>
              <w:pStyle w:val="73"/>
              <w:spacing w:line="260" w:lineRule="exact"/>
              <w:ind w:firstLine="210" w:firstLineChars="100"/>
              <w:rPr>
                <w:rFonts w:cs="黑体"/>
                <w:color w:val="auto"/>
                <w:sz w:val="21"/>
                <w:szCs w:val="21"/>
              </w:rPr>
            </w:pPr>
            <w:r>
              <w:rPr>
                <w:rFonts w:hint="eastAsia" w:cs="黑体"/>
                <w:color w:val="auto"/>
                <w:sz w:val="21"/>
                <w:szCs w:val="21"/>
              </w:rPr>
              <w:t>（6）同一投标人未提交两个以上不同的投标文件，但招标文件要求提交备选投标的除外。</w:t>
            </w:r>
          </w:p>
          <w:p>
            <w:pPr>
              <w:pStyle w:val="73"/>
              <w:spacing w:line="260" w:lineRule="exact"/>
              <w:ind w:firstLine="210" w:firstLineChars="100"/>
              <w:rPr>
                <w:rFonts w:cs="黑体"/>
                <w:color w:val="auto"/>
                <w:sz w:val="21"/>
                <w:szCs w:val="21"/>
              </w:rPr>
            </w:pPr>
            <w:r>
              <w:rPr>
                <w:rFonts w:hint="eastAsia" w:cs="黑体"/>
                <w:color w:val="auto"/>
                <w:sz w:val="21"/>
                <w:szCs w:val="21"/>
              </w:rPr>
              <w:t>（7）投标文件中未出现有关投标报价的内容。</w:t>
            </w:r>
          </w:p>
          <w:p>
            <w:pPr>
              <w:pStyle w:val="73"/>
              <w:spacing w:line="260" w:lineRule="exact"/>
              <w:ind w:firstLine="210" w:firstLineChars="100"/>
              <w:rPr>
                <w:rFonts w:cs="黑体"/>
                <w:color w:val="auto"/>
                <w:sz w:val="21"/>
                <w:szCs w:val="21"/>
              </w:rPr>
            </w:pPr>
            <w:r>
              <w:rPr>
                <w:rFonts w:hint="eastAsia" w:cs="黑体"/>
                <w:color w:val="auto"/>
                <w:sz w:val="21"/>
                <w:szCs w:val="21"/>
              </w:rPr>
              <w:t>（8）投标文件载明的招标项目完成期限符合招标文件规定。</w:t>
            </w:r>
          </w:p>
          <w:p>
            <w:pPr>
              <w:pStyle w:val="73"/>
              <w:spacing w:line="260" w:lineRule="exact"/>
              <w:ind w:firstLine="210" w:firstLineChars="100"/>
              <w:rPr>
                <w:rFonts w:cs="黑体"/>
                <w:color w:val="auto"/>
                <w:sz w:val="21"/>
                <w:szCs w:val="21"/>
              </w:rPr>
            </w:pPr>
            <w:r>
              <w:rPr>
                <w:rFonts w:hint="eastAsia" w:cs="黑体"/>
                <w:color w:val="auto"/>
                <w:sz w:val="21"/>
                <w:szCs w:val="21"/>
              </w:rPr>
              <w:t>（9）投标文件对招标文件的实质性要求和条件作出响应。</w:t>
            </w:r>
          </w:p>
          <w:p>
            <w:pPr>
              <w:pStyle w:val="73"/>
              <w:spacing w:line="260" w:lineRule="exact"/>
              <w:ind w:firstLine="210" w:firstLineChars="100"/>
              <w:rPr>
                <w:rFonts w:cs="黑体"/>
                <w:color w:val="auto"/>
                <w:sz w:val="21"/>
                <w:szCs w:val="21"/>
              </w:rPr>
            </w:pPr>
            <w:r>
              <w:rPr>
                <w:rFonts w:hint="eastAsia" w:cs="黑体"/>
                <w:color w:val="auto"/>
                <w:sz w:val="21"/>
                <w:szCs w:val="21"/>
              </w:rPr>
              <w:t>（10）权利义务符合招标文件规定：</w:t>
            </w:r>
          </w:p>
          <w:p>
            <w:pPr>
              <w:pStyle w:val="73"/>
              <w:spacing w:line="260" w:lineRule="exact"/>
              <w:ind w:firstLine="210" w:firstLineChars="100"/>
              <w:rPr>
                <w:rFonts w:cs="黑体"/>
                <w:color w:val="auto"/>
                <w:sz w:val="21"/>
                <w:szCs w:val="21"/>
              </w:rPr>
            </w:pPr>
            <w:r>
              <w:rPr>
                <w:rFonts w:hint="eastAsia" w:cs="黑体"/>
                <w:color w:val="auto"/>
                <w:sz w:val="21"/>
                <w:szCs w:val="21"/>
              </w:rPr>
              <w:t>a.投标人应接受招标文件规定的风险划分原则，未提出新的风险划分办法；</w:t>
            </w:r>
          </w:p>
          <w:p>
            <w:pPr>
              <w:pStyle w:val="73"/>
              <w:spacing w:line="260" w:lineRule="exact"/>
              <w:ind w:firstLine="210" w:firstLineChars="100"/>
              <w:rPr>
                <w:rFonts w:cs="黑体"/>
                <w:color w:val="auto"/>
                <w:sz w:val="21"/>
                <w:szCs w:val="21"/>
              </w:rPr>
            </w:pPr>
            <w:r>
              <w:rPr>
                <w:rFonts w:hint="eastAsia" w:cs="黑体"/>
                <w:color w:val="auto"/>
                <w:sz w:val="21"/>
                <w:szCs w:val="21"/>
              </w:rPr>
              <w:t>b.投标人未增加发包人的责任范围，或减少投标人义务；</w:t>
            </w:r>
          </w:p>
          <w:p>
            <w:pPr>
              <w:pStyle w:val="73"/>
              <w:spacing w:line="260" w:lineRule="exact"/>
              <w:ind w:firstLine="210" w:firstLineChars="100"/>
              <w:rPr>
                <w:rFonts w:cs="黑体"/>
                <w:color w:val="auto"/>
                <w:sz w:val="21"/>
                <w:szCs w:val="21"/>
              </w:rPr>
            </w:pPr>
            <w:r>
              <w:rPr>
                <w:rFonts w:hint="eastAsia" w:cs="黑体"/>
                <w:color w:val="auto"/>
                <w:sz w:val="21"/>
                <w:szCs w:val="21"/>
              </w:rPr>
              <w:t>c.投标人未提出不同的支付办法；</w:t>
            </w:r>
          </w:p>
          <w:p>
            <w:pPr>
              <w:pStyle w:val="73"/>
              <w:spacing w:line="260" w:lineRule="exact"/>
              <w:ind w:firstLine="210" w:firstLineChars="100"/>
              <w:rPr>
                <w:rFonts w:cs="黑体"/>
                <w:color w:val="auto"/>
                <w:sz w:val="21"/>
                <w:szCs w:val="21"/>
              </w:rPr>
            </w:pPr>
            <w:r>
              <w:rPr>
                <w:rFonts w:hint="eastAsia" w:cs="黑体"/>
                <w:color w:val="auto"/>
                <w:sz w:val="21"/>
                <w:szCs w:val="21"/>
              </w:rPr>
              <w:t>d.投标人对合同纠纷、事故处理办法未提出异议；</w:t>
            </w:r>
          </w:p>
          <w:p>
            <w:pPr>
              <w:pStyle w:val="73"/>
              <w:spacing w:line="260" w:lineRule="exact"/>
              <w:ind w:firstLine="210" w:firstLineChars="100"/>
              <w:rPr>
                <w:rFonts w:cs="黑体"/>
                <w:color w:val="auto"/>
                <w:sz w:val="21"/>
                <w:szCs w:val="21"/>
              </w:rPr>
            </w:pPr>
            <w:r>
              <w:rPr>
                <w:rFonts w:hint="eastAsia" w:cs="黑体"/>
                <w:color w:val="auto"/>
                <w:sz w:val="21"/>
                <w:szCs w:val="21"/>
              </w:rPr>
              <w:t>e.投标人在投标活动中无欺诈行为；</w:t>
            </w:r>
          </w:p>
          <w:p>
            <w:pPr>
              <w:pStyle w:val="73"/>
              <w:spacing w:line="260" w:lineRule="exact"/>
              <w:ind w:firstLine="210" w:firstLineChars="100"/>
              <w:rPr>
                <w:rFonts w:cs="黑体"/>
                <w:color w:val="auto"/>
                <w:sz w:val="21"/>
                <w:szCs w:val="21"/>
              </w:rPr>
            </w:pPr>
            <w:r>
              <w:rPr>
                <w:rFonts w:hint="eastAsia" w:cs="黑体"/>
                <w:color w:val="auto"/>
                <w:sz w:val="21"/>
                <w:szCs w:val="21"/>
              </w:rPr>
              <w:t>f.投标人未对合同条款有重要保留。</w:t>
            </w:r>
          </w:p>
          <w:p>
            <w:pPr>
              <w:pStyle w:val="73"/>
              <w:spacing w:line="260" w:lineRule="exact"/>
              <w:ind w:firstLine="210" w:firstLineChars="100"/>
              <w:rPr>
                <w:rFonts w:cs="黑体"/>
                <w:color w:val="auto"/>
                <w:sz w:val="21"/>
                <w:szCs w:val="21"/>
              </w:rPr>
            </w:pPr>
            <w:r>
              <w:rPr>
                <w:rFonts w:hint="eastAsia" w:cs="黑体"/>
                <w:color w:val="auto"/>
                <w:sz w:val="21"/>
                <w:szCs w:val="21"/>
              </w:rPr>
              <w:t>（11）投标文件正、副本份数符合招标文件第二章“投标人须知”第3.7.4项规定。</w:t>
            </w:r>
          </w:p>
          <w:p>
            <w:pPr>
              <w:pStyle w:val="73"/>
              <w:spacing w:line="260" w:lineRule="exact"/>
              <w:ind w:firstLine="210" w:firstLineChars="100"/>
              <w:rPr>
                <w:rFonts w:hAnsi="宋体" w:cs="黑体"/>
                <w:color w:val="auto"/>
                <w:sz w:val="21"/>
                <w:szCs w:val="21"/>
              </w:rPr>
            </w:pPr>
            <w:r>
              <w:rPr>
                <w:rFonts w:hint="eastAsia" w:hAnsi="宋体" w:cs="黑体"/>
                <w:color w:val="auto"/>
                <w:sz w:val="21"/>
                <w:szCs w:val="21"/>
              </w:rPr>
              <w:t>（12）投标文件未附有招标人不能接受的条件。</w:t>
            </w:r>
          </w:p>
          <w:p>
            <w:pPr>
              <w:pStyle w:val="73"/>
              <w:spacing w:line="260" w:lineRule="exact"/>
              <w:ind w:firstLine="210" w:firstLineChars="100"/>
              <w:rPr>
                <w:rFonts w:cs="黑体"/>
                <w:color w:val="auto"/>
                <w:sz w:val="21"/>
                <w:szCs w:val="21"/>
              </w:rPr>
            </w:pPr>
            <w:r>
              <w:rPr>
                <w:rFonts w:hint="eastAsia" w:hAnsi="宋体" w:cs="黑体"/>
                <w:color w:val="auto"/>
                <w:sz w:val="21"/>
                <w:szCs w:val="21"/>
              </w:rPr>
              <w:t>（13）单位负责人为同一人或者存在控股、管理关系的不同单位，未参加同一标段投标或者未划分标段的同一招标项目投标。</w:t>
            </w:r>
          </w:p>
        </w:tc>
      </w:tr>
    </w:tbl>
    <w:p>
      <w:pPr>
        <w:autoSpaceDE w:val="0"/>
        <w:autoSpaceDN w:val="0"/>
        <w:adjustRightInd w:val="0"/>
        <w:spacing w:line="400" w:lineRule="atLeast"/>
        <w:jc w:val="right"/>
        <w:rPr>
          <w:kern w:val="0"/>
          <w:szCs w:val="21"/>
        </w:rPr>
      </w:pPr>
      <w:r>
        <w:rPr>
          <w:rFonts w:cs="黑体"/>
          <w:szCs w:val="21"/>
        </w:rPr>
        <w:br w:type="page"/>
      </w:r>
      <w:r>
        <w:rPr>
          <w:rFonts w:hint="eastAsia"/>
          <w:kern w:val="0"/>
          <w:szCs w:val="21"/>
        </w:rPr>
        <w:t>续上表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0"/>
        <w:gridCol w:w="1155"/>
        <w:gridCol w:w="65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2305" w:type="dxa"/>
            <w:gridSpan w:val="2"/>
            <w:vAlign w:val="center"/>
          </w:tcPr>
          <w:p>
            <w:pPr>
              <w:pStyle w:val="73"/>
              <w:jc w:val="center"/>
              <w:rPr>
                <w:rFonts w:cs="黑体"/>
                <w:b/>
                <w:color w:val="auto"/>
              </w:rPr>
            </w:pPr>
            <w:r>
              <w:rPr>
                <w:rFonts w:hint="eastAsia" w:cs="黑体"/>
                <w:b/>
                <w:color w:val="auto"/>
              </w:rPr>
              <w:t>条款号</w:t>
            </w:r>
          </w:p>
        </w:tc>
        <w:tc>
          <w:tcPr>
            <w:tcW w:w="6599" w:type="dxa"/>
            <w:vAlign w:val="center"/>
          </w:tcPr>
          <w:p>
            <w:pPr>
              <w:pStyle w:val="73"/>
              <w:jc w:val="center"/>
              <w:rPr>
                <w:rFonts w:cs="黑体"/>
                <w:b/>
                <w:color w:val="auto"/>
              </w:rPr>
            </w:pPr>
            <w:r>
              <w:rPr>
                <w:rFonts w:hint="eastAsia" w:cs="黑体"/>
                <w:b/>
                <w:color w:val="auto"/>
              </w:rPr>
              <w:t>评审因素与评审标准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3" w:hRule="atLeast"/>
          <w:jc w:val="center"/>
        </w:trPr>
        <w:tc>
          <w:tcPr>
            <w:tcW w:w="1150" w:type="dxa"/>
            <w:vAlign w:val="center"/>
          </w:tcPr>
          <w:p>
            <w:pPr>
              <w:pStyle w:val="73"/>
              <w:jc w:val="center"/>
              <w:rPr>
                <w:rFonts w:cs="黑体"/>
                <w:color w:val="auto"/>
                <w:sz w:val="21"/>
                <w:szCs w:val="21"/>
              </w:rPr>
            </w:pPr>
            <w:r>
              <w:rPr>
                <w:rFonts w:hint="eastAsia" w:cs="黑体"/>
                <w:color w:val="auto"/>
                <w:sz w:val="21"/>
                <w:szCs w:val="21"/>
              </w:rPr>
              <w:t>2.1.1</w:t>
            </w:r>
          </w:p>
          <w:p>
            <w:pPr>
              <w:pStyle w:val="73"/>
              <w:jc w:val="center"/>
              <w:rPr>
                <w:rFonts w:cs="黑体"/>
                <w:color w:val="auto"/>
                <w:sz w:val="21"/>
                <w:szCs w:val="21"/>
              </w:rPr>
            </w:pPr>
            <w:r>
              <w:rPr>
                <w:rFonts w:hint="eastAsia" w:cs="黑体"/>
                <w:color w:val="auto"/>
                <w:sz w:val="21"/>
                <w:szCs w:val="21"/>
              </w:rPr>
              <w:t>2.1.3</w:t>
            </w:r>
          </w:p>
        </w:tc>
        <w:tc>
          <w:tcPr>
            <w:tcW w:w="1155" w:type="dxa"/>
            <w:vAlign w:val="center"/>
          </w:tcPr>
          <w:p>
            <w:pPr>
              <w:pStyle w:val="73"/>
              <w:jc w:val="center"/>
              <w:rPr>
                <w:rFonts w:cs="黑体"/>
                <w:color w:val="auto"/>
                <w:sz w:val="21"/>
                <w:szCs w:val="21"/>
              </w:rPr>
            </w:pPr>
            <w:r>
              <w:rPr>
                <w:rFonts w:hint="eastAsia" w:cs="黑体"/>
                <w:color w:val="auto"/>
                <w:sz w:val="21"/>
                <w:szCs w:val="21"/>
              </w:rPr>
              <w:t>形式评审与响应性评审标准</w:t>
            </w:r>
          </w:p>
        </w:tc>
        <w:tc>
          <w:tcPr>
            <w:tcW w:w="6599" w:type="dxa"/>
            <w:vAlign w:val="center"/>
          </w:tcPr>
          <w:p>
            <w:pPr>
              <w:pStyle w:val="73"/>
              <w:ind w:firstLine="211" w:firstLineChars="100"/>
              <w:rPr>
                <w:rFonts w:cs="黑体"/>
                <w:b/>
                <w:color w:val="auto"/>
                <w:sz w:val="21"/>
                <w:szCs w:val="21"/>
              </w:rPr>
            </w:pPr>
            <w:r>
              <w:rPr>
                <w:rFonts w:hint="eastAsia" w:cs="黑体"/>
                <w:b/>
                <w:color w:val="auto"/>
                <w:sz w:val="21"/>
                <w:szCs w:val="21"/>
              </w:rPr>
              <w:t>第二个信封（报价文件）评审标准：</w:t>
            </w:r>
          </w:p>
          <w:p>
            <w:pPr>
              <w:pStyle w:val="73"/>
              <w:ind w:firstLine="210" w:firstLineChars="100"/>
              <w:rPr>
                <w:rFonts w:cs="黑体"/>
                <w:color w:val="auto"/>
                <w:sz w:val="21"/>
                <w:szCs w:val="21"/>
              </w:rPr>
            </w:pPr>
            <w:r>
              <w:rPr>
                <w:rFonts w:hint="eastAsia" w:cs="黑体"/>
                <w:color w:val="auto"/>
                <w:sz w:val="21"/>
                <w:szCs w:val="21"/>
              </w:rPr>
              <w:t>（1）投标文件按照招标文件规定的格式、内容填写，字迹清晰可辨，内容齐全完整：</w:t>
            </w:r>
          </w:p>
          <w:p>
            <w:pPr>
              <w:pStyle w:val="73"/>
              <w:ind w:firstLine="210" w:firstLineChars="100"/>
              <w:rPr>
                <w:rFonts w:cs="黑体"/>
                <w:color w:val="auto"/>
                <w:sz w:val="21"/>
                <w:szCs w:val="21"/>
              </w:rPr>
            </w:pPr>
            <w:r>
              <w:rPr>
                <w:rFonts w:hint="eastAsia" w:cs="黑体"/>
                <w:color w:val="auto"/>
                <w:sz w:val="21"/>
                <w:szCs w:val="21"/>
              </w:rPr>
              <w:t>a.</w:t>
            </w:r>
            <w:r>
              <w:rPr>
                <w:rFonts w:hint="eastAsia" w:ascii="Times New Roman" w:cs="黑体"/>
                <w:color w:val="auto"/>
                <w:kern w:val="2"/>
                <w:sz w:val="21"/>
                <w:szCs w:val="21"/>
              </w:rPr>
              <w:t xml:space="preserve"> </w:t>
            </w:r>
            <w:r>
              <w:rPr>
                <w:rFonts w:hint="eastAsia" w:cs="黑体"/>
                <w:color w:val="auto"/>
                <w:sz w:val="21"/>
                <w:szCs w:val="21"/>
              </w:rPr>
              <w:t>投标函按招标文件规定填报了项目名称、标段号、补遗书编号（如有）、投标价（包括大写金额和小写金额）；</w:t>
            </w:r>
          </w:p>
          <w:p>
            <w:pPr>
              <w:pStyle w:val="73"/>
              <w:ind w:firstLine="210" w:firstLineChars="100"/>
              <w:rPr>
                <w:rFonts w:cs="黑体"/>
                <w:color w:val="auto"/>
                <w:sz w:val="21"/>
                <w:szCs w:val="21"/>
              </w:rPr>
            </w:pPr>
            <w:r>
              <w:rPr>
                <w:rFonts w:hint="eastAsia" w:cs="黑体"/>
                <w:color w:val="auto"/>
                <w:sz w:val="21"/>
                <w:szCs w:val="21"/>
              </w:rPr>
              <w:t>b.投标价报价清单说明文字与招标文件规定一致，未进行实质性修改和删减；</w:t>
            </w:r>
          </w:p>
          <w:p>
            <w:pPr>
              <w:pStyle w:val="73"/>
              <w:ind w:firstLine="210" w:firstLineChars="100"/>
              <w:rPr>
                <w:rFonts w:cs="黑体"/>
                <w:color w:val="auto"/>
                <w:sz w:val="21"/>
                <w:szCs w:val="21"/>
              </w:rPr>
            </w:pPr>
            <w:r>
              <w:rPr>
                <w:rFonts w:hint="eastAsia" w:cs="黑体"/>
                <w:color w:val="auto"/>
                <w:sz w:val="21"/>
                <w:szCs w:val="21"/>
              </w:rPr>
              <w:t>c.投标文件组成齐全完整，内容均按规定填写。</w:t>
            </w:r>
          </w:p>
          <w:p>
            <w:pPr>
              <w:pStyle w:val="73"/>
              <w:ind w:firstLine="210" w:firstLineChars="100"/>
              <w:rPr>
                <w:rFonts w:cs="黑体"/>
                <w:color w:val="auto"/>
                <w:sz w:val="21"/>
                <w:szCs w:val="21"/>
              </w:rPr>
            </w:pPr>
            <w:r>
              <w:rPr>
                <w:rFonts w:hint="eastAsia" w:cs="黑体"/>
                <w:color w:val="auto"/>
                <w:sz w:val="21"/>
                <w:szCs w:val="21"/>
              </w:rPr>
              <w:t>（2）投标文件上法定代表人或其授权代理人的签字、投标人的单位章齐全，符合招标文件规定。</w:t>
            </w:r>
          </w:p>
          <w:p>
            <w:pPr>
              <w:pStyle w:val="73"/>
              <w:ind w:firstLine="210" w:firstLineChars="100"/>
              <w:rPr>
                <w:rFonts w:cs="黑体"/>
                <w:color w:val="auto"/>
                <w:sz w:val="21"/>
                <w:szCs w:val="21"/>
              </w:rPr>
            </w:pPr>
            <w:r>
              <w:rPr>
                <w:rFonts w:hint="eastAsia" w:cs="黑体"/>
                <w:color w:val="auto"/>
                <w:sz w:val="21"/>
                <w:szCs w:val="21"/>
              </w:rPr>
              <w:t>（3）投标报价未超过招标文件设定的最高投标限价（如有）。</w:t>
            </w:r>
          </w:p>
          <w:p>
            <w:pPr>
              <w:pStyle w:val="73"/>
              <w:ind w:firstLine="210" w:firstLineChars="100"/>
              <w:rPr>
                <w:rFonts w:cs="黑体"/>
                <w:color w:val="auto"/>
                <w:sz w:val="21"/>
                <w:szCs w:val="21"/>
              </w:rPr>
            </w:pPr>
            <w:r>
              <w:rPr>
                <w:rFonts w:hint="eastAsia" w:cs="黑体"/>
                <w:color w:val="auto"/>
                <w:sz w:val="21"/>
                <w:szCs w:val="21"/>
              </w:rPr>
              <w:t>（4）投标报价的大写金额能够确定具体数值。</w:t>
            </w:r>
          </w:p>
          <w:p>
            <w:pPr>
              <w:pStyle w:val="73"/>
              <w:ind w:firstLine="210" w:firstLineChars="100"/>
              <w:rPr>
                <w:rFonts w:cs="黑体"/>
                <w:color w:val="auto"/>
                <w:sz w:val="21"/>
                <w:szCs w:val="21"/>
              </w:rPr>
            </w:pPr>
            <w:r>
              <w:rPr>
                <w:rFonts w:hint="eastAsia" w:cs="黑体"/>
                <w:color w:val="auto"/>
                <w:sz w:val="21"/>
                <w:szCs w:val="21"/>
              </w:rPr>
              <w:t>（5）同一投标人未提交两个以上不同的投标报价，但招标文件要求提交备选投标的除外。</w:t>
            </w:r>
          </w:p>
          <w:p>
            <w:pPr>
              <w:pStyle w:val="73"/>
              <w:ind w:firstLine="210" w:firstLineChars="100"/>
              <w:rPr>
                <w:rFonts w:cs="黑体"/>
                <w:color w:val="auto"/>
                <w:sz w:val="21"/>
                <w:szCs w:val="21"/>
              </w:rPr>
            </w:pPr>
            <w:r>
              <w:rPr>
                <w:rFonts w:hint="eastAsia" w:cs="黑体"/>
                <w:color w:val="auto"/>
                <w:sz w:val="21"/>
                <w:szCs w:val="21"/>
              </w:rPr>
              <w:t>（6）投标文件正、副本份数符合招标文件第二章“投标人须知”第3.7.4项规定。</w:t>
            </w:r>
          </w:p>
          <w:p>
            <w:pPr>
              <w:pStyle w:val="73"/>
              <w:ind w:firstLine="210" w:firstLineChars="100"/>
              <w:rPr>
                <w:rFonts w:cs="黑体"/>
                <w:color w:val="auto"/>
                <w:sz w:val="21"/>
                <w:szCs w:val="21"/>
              </w:rPr>
            </w:pPr>
            <w:r>
              <w:rPr>
                <w:rFonts w:hint="eastAsia" w:hAnsi="宋体" w:cs="黑体"/>
                <w:color w:val="auto"/>
                <w:sz w:val="21"/>
                <w:szCs w:val="21"/>
              </w:rPr>
              <w:t>（7）投标文件未附有招标人不能接受的条件。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150" w:type="dxa"/>
            <w:vAlign w:val="center"/>
          </w:tcPr>
          <w:p>
            <w:pPr>
              <w:pStyle w:val="73"/>
              <w:jc w:val="center"/>
              <w:rPr>
                <w:rFonts w:cs="黑体"/>
                <w:color w:val="auto"/>
                <w:sz w:val="21"/>
                <w:szCs w:val="21"/>
              </w:rPr>
            </w:pPr>
            <w:r>
              <w:rPr>
                <w:rFonts w:hint="eastAsia" w:cs="黑体"/>
                <w:color w:val="auto"/>
                <w:sz w:val="21"/>
                <w:szCs w:val="21"/>
              </w:rPr>
              <w:t>2.1.2</w:t>
            </w:r>
          </w:p>
        </w:tc>
        <w:tc>
          <w:tcPr>
            <w:tcW w:w="1155" w:type="dxa"/>
            <w:vAlign w:val="center"/>
          </w:tcPr>
          <w:p>
            <w:pPr>
              <w:pStyle w:val="73"/>
              <w:jc w:val="center"/>
              <w:rPr>
                <w:rFonts w:cs="黑体"/>
                <w:color w:val="auto"/>
                <w:sz w:val="21"/>
                <w:szCs w:val="21"/>
              </w:rPr>
            </w:pPr>
            <w:r>
              <w:rPr>
                <w:rFonts w:hint="eastAsia" w:cs="黑体"/>
                <w:color w:val="auto"/>
                <w:sz w:val="21"/>
                <w:szCs w:val="21"/>
              </w:rPr>
              <w:t>资格评审标准</w:t>
            </w:r>
          </w:p>
        </w:tc>
        <w:tc>
          <w:tcPr>
            <w:tcW w:w="6599" w:type="dxa"/>
            <w:vAlign w:val="center"/>
          </w:tcPr>
          <w:p>
            <w:pPr>
              <w:pStyle w:val="73"/>
              <w:ind w:firstLine="210" w:firstLineChars="100"/>
              <w:jc w:val="both"/>
              <w:rPr>
                <w:rFonts w:cs="黑体"/>
                <w:color w:val="auto"/>
                <w:sz w:val="21"/>
                <w:szCs w:val="21"/>
              </w:rPr>
            </w:pPr>
            <w:r>
              <w:rPr>
                <w:rFonts w:hint="eastAsia" w:cs="黑体"/>
                <w:color w:val="auto"/>
                <w:sz w:val="21"/>
                <w:szCs w:val="21"/>
              </w:rPr>
              <w:t>（1）投标人具备有效的营业执照、组织机构代码证、监理资质证书和基本账户开户许可证或备案证明材料。</w:t>
            </w:r>
          </w:p>
          <w:p>
            <w:pPr>
              <w:pStyle w:val="73"/>
              <w:ind w:firstLine="210" w:firstLineChars="100"/>
              <w:jc w:val="both"/>
              <w:rPr>
                <w:rFonts w:cs="黑体"/>
                <w:color w:val="auto"/>
                <w:sz w:val="21"/>
                <w:szCs w:val="21"/>
              </w:rPr>
            </w:pPr>
            <w:r>
              <w:rPr>
                <w:rFonts w:hint="eastAsia" w:cs="黑体"/>
                <w:color w:val="auto"/>
                <w:sz w:val="21"/>
                <w:szCs w:val="21"/>
              </w:rPr>
              <w:t>（2）投标人的资质等级符合招标文件规定。</w:t>
            </w:r>
          </w:p>
          <w:p>
            <w:pPr>
              <w:pStyle w:val="73"/>
              <w:ind w:firstLine="210" w:firstLineChars="100"/>
              <w:jc w:val="both"/>
              <w:rPr>
                <w:rFonts w:cs="黑体"/>
                <w:color w:val="auto"/>
                <w:sz w:val="21"/>
                <w:szCs w:val="21"/>
              </w:rPr>
            </w:pPr>
            <w:r>
              <w:rPr>
                <w:rFonts w:hint="eastAsia" w:cs="黑体"/>
                <w:color w:val="auto"/>
                <w:sz w:val="21"/>
                <w:szCs w:val="21"/>
              </w:rPr>
              <w:t>（3）投标人的类似项目业绩符合招标文件规定。</w:t>
            </w:r>
          </w:p>
          <w:p>
            <w:pPr>
              <w:pStyle w:val="73"/>
              <w:ind w:firstLine="210" w:firstLineChars="100"/>
              <w:jc w:val="both"/>
              <w:rPr>
                <w:rFonts w:cs="黑体"/>
                <w:color w:val="auto"/>
                <w:sz w:val="21"/>
                <w:szCs w:val="21"/>
              </w:rPr>
            </w:pPr>
            <w:r>
              <w:rPr>
                <w:rFonts w:hint="eastAsia" w:cs="黑体"/>
                <w:color w:val="auto"/>
                <w:sz w:val="21"/>
                <w:szCs w:val="21"/>
              </w:rPr>
              <w:t>（4）投标人的信誉符合招标文件规定。</w:t>
            </w:r>
          </w:p>
          <w:p>
            <w:pPr>
              <w:pStyle w:val="73"/>
              <w:ind w:firstLine="210" w:firstLineChars="100"/>
              <w:jc w:val="both"/>
              <w:rPr>
                <w:rFonts w:cs="黑体"/>
                <w:color w:val="auto"/>
                <w:sz w:val="21"/>
                <w:szCs w:val="21"/>
              </w:rPr>
            </w:pPr>
            <w:r>
              <w:rPr>
                <w:rFonts w:hint="eastAsia" w:cs="黑体"/>
                <w:color w:val="auto"/>
                <w:sz w:val="21"/>
                <w:szCs w:val="21"/>
              </w:rPr>
              <w:t>（5）投标人的总监理工程师资格、在岗情况符合招标文件规定。</w:t>
            </w:r>
          </w:p>
          <w:p>
            <w:pPr>
              <w:pStyle w:val="73"/>
              <w:ind w:firstLine="210" w:firstLineChars="100"/>
              <w:jc w:val="both"/>
              <w:rPr>
                <w:rFonts w:hAnsi="宋体" w:cs="黑体"/>
                <w:color w:val="auto"/>
                <w:sz w:val="21"/>
                <w:szCs w:val="21"/>
              </w:rPr>
            </w:pPr>
            <w:r>
              <w:rPr>
                <w:rFonts w:hint="eastAsia" w:hAnsi="宋体" w:cs="黑体"/>
                <w:color w:val="auto"/>
                <w:sz w:val="21"/>
                <w:szCs w:val="21"/>
              </w:rPr>
              <w:t>（6）投标人的其他要求符合招标文件规定。</w:t>
            </w:r>
          </w:p>
          <w:p>
            <w:pPr>
              <w:pStyle w:val="73"/>
              <w:tabs>
                <w:tab w:val="left" w:pos="704"/>
              </w:tabs>
              <w:adjustRightInd/>
              <w:ind w:firstLine="210" w:firstLineChars="100"/>
              <w:jc w:val="both"/>
              <w:rPr>
                <w:rFonts w:hAnsi="宋体" w:cs="黑体"/>
                <w:color w:val="auto"/>
                <w:sz w:val="21"/>
                <w:szCs w:val="21"/>
              </w:rPr>
            </w:pPr>
            <w:r>
              <w:rPr>
                <w:rFonts w:hint="eastAsia" w:hAnsi="宋体" w:cs="黑体"/>
                <w:color w:val="auto"/>
                <w:sz w:val="21"/>
                <w:szCs w:val="21"/>
              </w:rPr>
              <w:t>（7）投标人不存在第二章“投标人须知”第1.4.3项或第1.4.4项规定的任何一种情形。</w:t>
            </w:r>
          </w:p>
          <w:p>
            <w:pPr>
              <w:pStyle w:val="73"/>
              <w:tabs>
                <w:tab w:val="left" w:pos="704"/>
              </w:tabs>
              <w:adjustRightInd/>
              <w:ind w:firstLine="210" w:firstLineChars="100"/>
              <w:jc w:val="both"/>
              <w:rPr>
                <w:color w:val="auto"/>
                <w:sz w:val="21"/>
                <w:szCs w:val="21"/>
              </w:rPr>
            </w:pPr>
            <w:r>
              <w:rPr>
                <w:rFonts w:hint="eastAsia" w:hAnsi="宋体"/>
                <w:color w:val="auto"/>
                <w:sz w:val="21"/>
                <w:szCs w:val="21"/>
              </w:rPr>
              <w:t>（8）投标人符合第二章“投标人须知”第1.4.5项规定。</w:t>
            </w:r>
          </w:p>
        </w:tc>
      </w:tr>
    </w:tbl>
    <w:p>
      <w:pPr>
        <w:autoSpaceDE w:val="0"/>
        <w:autoSpaceDN w:val="0"/>
        <w:adjustRightInd w:val="0"/>
        <w:spacing w:line="400" w:lineRule="atLeast"/>
        <w:jc w:val="right"/>
        <w:rPr>
          <w:kern w:val="0"/>
          <w:sz w:val="24"/>
        </w:rPr>
      </w:pPr>
      <w:r>
        <w:rPr>
          <w:kern w:val="0"/>
          <w:szCs w:val="21"/>
        </w:rPr>
        <w:br w:type="page"/>
      </w:r>
      <w:r>
        <w:rPr>
          <w:rFonts w:hint="eastAsia"/>
          <w:kern w:val="0"/>
          <w:szCs w:val="21"/>
        </w:rPr>
        <w:t>续上表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0"/>
        <w:gridCol w:w="1155"/>
        <w:gridCol w:w="65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150" w:type="dxa"/>
            <w:vAlign w:val="center"/>
          </w:tcPr>
          <w:p>
            <w:pPr>
              <w:pStyle w:val="73"/>
              <w:jc w:val="center"/>
              <w:rPr>
                <w:rFonts w:cs="黑体"/>
                <w:color w:val="auto"/>
              </w:rPr>
            </w:pPr>
            <w:r>
              <w:rPr>
                <w:rFonts w:hint="eastAsia" w:cs="黑体"/>
                <w:b/>
                <w:color w:val="auto"/>
              </w:rPr>
              <w:t>条款号</w:t>
            </w:r>
          </w:p>
        </w:tc>
        <w:tc>
          <w:tcPr>
            <w:tcW w:w="1155" w:type="dxa"/>
            <w:vAlign w:val="center"/>
          </w:tcPr>
          <w:p>
            <w:pPr>
              <w:pStyle w:val="73"/>
              <w:jc w:val="center"/>
              <w:rPr>
                <w:rFonts w:cs="黑体"/>
                <w:b/>
                <w:color w:val="auto"/>
              </w:rPr>
            </w:pPr>
            <w:r>
              <w:rPr>
                <w:rFonts w:hint="eastAsia" w:cs="黑体"/>
                <w:b/>
                <w:color w:val="auto"/>
              </w:rPr>
              <w:t>条款内容</w:t>
            </w:r>
          </w:p>
        </w:tc>
        <w:tc>
          <w:tcPr>
            <w:tcW w:w="6599" w:type="dxa"/>
            <w:vAlign w:val="center"/>
          </w:tcPr>
          <w:p>
            <w:pPr>
              <w:pStyle w:val="73"/>
              <w:spacing w:line="260" w:lineRule="exact"/>
              <w:jc w:val="center"/>
              <w:rPr>
                <w:rFonts w:cs="黑体"/>
                <w:b/>
                <w:color w:val="auto"/>
              </w:rPr>
            </w:pPr>
            <w:r>
              <w:rPr>
                <w:rFonts w:hint="eastAsia" w:cs="黑体"/>
                <w:b/>
                <w:color w:val="auto"/>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2" w:hRule="atLeast"/>
          <w:jc w:val="center"/>
        </w:trPr>
        <w:tc>
          <w:tcPr>
            <w:tcW w:w="1150" w:type="dxa"/>
            <w:vAlign w:val="center"/>
          </w:tcPr>
          <w:p>
            <w:pPr>
              <w:pStyle w:val="73"/>
              <w:jc w:val="center"/>
              <w:rPr>
                <w:rFonts w:cs="黑体"/>
                <w:color w:val="auto"/>
                <w:sz w:val="21"/>
                <w:szCs w:val="21"/>
              </w:rPr>
            </w:pPr>
            <w:r>
              <w:rPr>
                <w:rFonts w:hint="eastAsia" w:cs="黑体"/>
                <w:color w:val="auto"/>
                <w:sz w:val="21"/>
                <w:szCs w:val="21"/>
              </w:rPr>
              <w:t>2.2.1</w:t>
            </w:r>
          </w:p>
        </w:tc>
        <w:tc>
          <w:tcPr>
            <w:tcW w:w="1155" w:type="dxa"/>
            <w:vAlign w:val="center"/>
          </w:tcPr>
          <w:p>
            <w:pPr>
              <w:pStyle w:val="73"/>
              <w:jc w:val="center"/>
              <w:rPr>
                <w:rFonts w:cs="黑体"/>
                <w:color w:val="auto"/>
                <w:sz w:val="21"/>
                <w:szCs w:val="21"/>
              </w:rPr>
            </w:pPr>
            <w:r>
              <w:rPr>
                <w:rFonts w:hint="eastAsia" w:cs="黑体"/>
                <w:color w:val="auto"/>
                <w:sz w:val="21"/>
                <w:szCs w:val="21"/>
              </w:rPr>
              <w:t>分值构成（总分100分）</w:t>
            </w:r>
          </w:p>
        </w:tc>
        <w:tc>
          <w:tcPr>
            <w:tcW w:w="6599" w:type="dxa"/>
            <w:vAlign w:val="center"/>
          </w:tcPr>
          <w:p>
            <w:pPr>
              <w:pStyle w:val="73"/>
              <w:spacing w:line="260" w:lineRule="exact"/>
              <w:ind w:firstLine="422" w:firstLineChars="200"/>
              <w:jc w:val="both"/>
              <w:rPr>
                <w:rFonts w:cs="黑体"/>
                <w:b/>
                <w:color w:val="auto"/>
                <w:sz w:val="21"/>
                <w:szCs w:val="21"/>
              </w:rPr>
            </w:pPr>
            <w:r>
              <w:rPr>
                <w:rFonts w:hint="eastAsia" w:cs="黑体"/>
                <w:b/>
                <w:color w:val="auto"/>
                <w:sz w:val="21"/>
                <w:szCs w:val="21"/>
              </w:rPr>
              <w:t>第一个信封（商务及技术文件）评分分值构成：</w:t>
            </w:r>
          </w:p>
          <w:p>
            <w:pPr>
              <w:pStyle w:val="73"/>
              <w:spacing w:line="276" w:lineRule="auto"/>
              <w:ind w:firstLine="420" w:firstLineChars="200"/>
              <w:jc w:val="both"/>
              <w:rPr>
                <w:rFonts w:cs="黑体"/>
                <w:color w:val="auto"/>
                <w:sz w:val="21"/>
                <w:szCs w:val="21"/>
              </w:rPr>
            </w:pPr>
            <w:r>
              <w:rPr>
                <w:rFonts w:hint="eastAsia" w:cs="黑体"/>
                <w:color w:val="auto"/>
                <w:sz w:val="21"/>
                <w:szCs w:val="21"/>
              </w:rPr>
              <w:t>技术建议书：</w:t>
            </w:r>
            <w:r>
              <w:rPr>
                <w:rFonts w:hint="eastAsia" w:cs="黑体"/>
                <w:color w:val="auto"/>
                <w:sz w:val="21"/>
                <w:szCs w:val="21"/>
                <w:u w:val="single"/>
              </w:rPr>
              <w:t xml:space="preserve"> 35 </w:t>
            </w:r>
            <w:r>
              <w:rPr>
                <w:rFonts w:hint="eastAsia" w:cs="黑体"/>
                <w:color w:val="auto"/>
                <w:sz w:val="21"/>
                <w:szCs w:val="21"/>
              </w:rPr>
              <w:t>分</w:t>
            </w:r>
          </w:p>
          <w:p>
            <w:pPr>
              <w:pStyle w:val="73"/>
              <w:spacing w:line="276" w:lineRule="auto"/>
              <w:ind w:firstLine="420" w:firstLineChars="200"/>
              <w:jc w:val="both"/>
              <w:rPr>
                <w:rFonts w:cs="黑体"/>
                <w:color w:val="auto"/>
                <w:sz w:val="21"/>
                <w:szCs w:val="21"/>
              </w:rPr>
            </w:pPr>
            <w:r>
              <w:rPr>
                <w:rFonts w:hint="eastAsia" w:cs="黑体"/>
                <w:color w:val="auto"/>
                <w:sz w:val="21"/>
                <w:szCs w:val="21"/>
              </w:rPr>
              <w:t>主要人员：</w:t>
            </w:r>
            <w:r>
              <w:rPr>
                <w:rFonts w:hint="eastAsia" w:cs="黑体"/>
                <w:color w:val="auto"/>
                <w:sz w:val="21"/>
                <w:szCs w:val="21"/>
                <w:u w:val="single"/>
              </w:rPr>
              <w:t xml:space="preserve"> 25 </w:t>
            </w:r>
            <w:r>
              <w:rPr>
                <w:rFonts w:hint="eastAsia" w:cs="黑体"/>
                <w:color w:val="auto"/>
                <w:sz w:val="21"/>
                <w:szCs w:val="21"/>
              </w:rPr>
              <w:t>分</w:t>
            </w:r>
          </w:p>
          <w:p>
            <w:pPr>
              <w:pStyle w:val="73"/>
              <w:spacing w:line="276" w:lineRule="auto"/>
              <w:ind w:firstLine="420" w:firstLineChars="200"/>
              <w:jc w:val="both"/>
              <w:rPr>
                <w:rFonts w:cs="黑体"/>
                <w:color w:val="auto"/>
                <w:sz w:val="21"/>
                <w:szCs w:val="21"/>
              </w:rPr>
            </w:pPr>
            <w:r>
              <w:rPr>
                <w:rFonts w:hint="eastAsia" w:cs="黑体"/>
                <w:color w:val="auto"/>
                <w:sz w:val="21"/>
                <w:szCs w:val="21"/>
              </w:rPr>
              <w:t>业绩：</w:t>
            </w:r>
            <w:r>
              <w:rPr>
                <w:rFonts w:hint="eastAsia" w:cs="黑体"/>
                <w:color w:val="auto"/>
                <w:sz w:val="21"/>
                <w:szCs w:val="21"/>
                <w:u w:val="single"/>
              </w:rPr>
              <w:t xml:space="preserve"> 20 </w:t>
            </w:r>
            <w:r>
              <w:rPr>
                <w:rFonts w:hint="eastAsia" w:cs="黑体"/>
                <w:color w:val="auto"/>
                <w:sz w:val="21"/>
                <w:szCs w:val="21"/>
              </w:rPr>
              <w:t>分</w:t>
            </w:r>
          </w:p>
          <w:p>
            <w:pPr>
              <w:pStyle w:val="73"/>
              <w:spacing w:line="276" w:lineRule="auto"/>
              <w:ind w:firstLine="420" w:firstLineChars="200"/>
              <w:jc w:val="both"/>
              <w:rPr>
                <w:rFonts w:cs="黑体"/>
                <w:color w:val="auto"/>
                <w:sz w:val="21"/>
                <w:szCs w:val="21"/>
              </w:rPr>
            </w:pPr>
            <w:r>
              <w:rPr>
                <w:rFonts w:hint="eastAsia" w:cs="黑体"/>
                <w:color w:val="auto"/>
                <w:sz w:val="21"/>
                <w:szCs w:val="21"/>
              </w:rPr>
              <w:t>履约信誉：</w:t>
            </w:r>
            <w:r>
              <w:rPr>
                <w:rFonts w:hint="eastAsia" w:cs="黑体"/>
                <w:color w:val="auto"/>
                <w:sz w:val="21"/>
                <w:szCs w:val="21"/>
                <w:u w:val="single"/>
              </w:rPr>
              <w:t xml:space="preserve"> 10 </w:t>
            </w:r>
            <w:r>
              <w:rPr>
                <w:rFonts w:hint="eastAsia" w:cs="黑体"/>
                <w:color w:val="auto"/>
                <w:sz w:val="21"/>
                <w:szCs w:val="21"/>
              </w:rPr>
              <w:t>分</w:t>
            </w:r>
          </w:p>
          <w:p>
            <w:pPr>
              <w:pStyle w:val="73"/>
              <w:spacing w:line="276" w:lineRule="auto"/>
              <w:ind w:firstLine="422" w:firstLineChars="200"/>
              <w:jc w:val="both"/>
              <w:rPr>
                <w:rFonts w:cs="黑体"/>
                <w:b/>
                <w:color w:val="auto"/>
                <w:sz w:val="21"/>
                <w:szCs w:val="21"/>
              </w:rPr>
            </w:pPr>
            <w:r>
              <w:rPr>
                <w:rFonts w:hint="eastAsia" w:cs="黑体"/>
                <w:b/>
                <w:color w:val="auto"/>
                <w:sz w:val="21"/>
                <w:szCs w:val="21"/>
              </w:rPr>
              <w:t>第二个信封（报价文件）评分分值构成：</w:t>
            </w:r>
          </w:p>
          <w:p>
            <w:pPr>
              <w:pStyle w:val="73"/>
              <w:spacing w:line="276" w:lineRule="auto"/>
              <w:ind w:firstLine="420" w:firstLineChars="200"/>
              <w:jc w:val="both"/>
              <w:rPr>
                <w:rFonts w:cs="黑体"/>
                <w:color w:val="auto"/>
                <w:sz w:val="21"/>
                <w:szCs w:val="21"/>
              </w:rPr>
            </w:pPr>
            <w:r>
              <w:rPr>
                <w:rFonts w:hint="eastAsia" w:cs="黑体"/>
                <w:color w:val="auto"/>
                <w:sz w:val="21"/>
                <w:szCs w:val="21"/>
              </w:rPr>
              <w:t>评标价：</w:t>
            </w:r>
            <w:r>
              <w:rPr>
                <w:rFonts w:hint="eastAsia" w:cs="黑体"/>
                <w:color w:val="auto"/>
                <w:sz w:val="21"/>
                <w:szCs w:val="21"/>
                <w:u w:val="single"/>
              </w:rPr>
              <w:t xml:space="preserve"> 10 </w:t>
            </w:r>
            <w:r>
              <w:rPr>
                <w:rFonts w:hint="eastAsia" w:cs="黑体"/>
                <w:color w:val="auto"/>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2" w:hRule="atLeast"/>
          <w:jc w:val="center"/>
        </w:trPr>
        <w:tc>
          <w:tcPr>
            <w:tcW w:w="1150" w:type="dxa"/>
            <w:vAlign w:val="center"/>
          </w:tcPr>
          <w:p>
            <w:pPr>
              <w:pStyle w:val="73"/>
              <w:jc w:val="center"/>
              <w:rPr>
                <w:rFonts w:cs="黑体"/>
                <w:color w:val="auto"/>
                <w:sz w:val="21"/>
                <w:szCs w:val="21"/>
              </w:rPr>
            </w:pPr>
            <w:r>
              <w:rPr>
                <w:rFonts w:hint="eastAsia" w:cs="黑体"/>
                <w:color w:val="auto"/>
                <w:sz w:val="21"/>
                <w:szCs w:val="21"/>
              </w:rPr>
              <w:t>2.2.2</w:t>
            </w:r>
          </w:p>
        </w:tc>
        <w:tc>
          <w:tcPr>
            <w:tcW w:w="1155" w:type="dxa"/>
            <w:vAlign w:val="center"/>
          </w:tcPr>
          <w:p>
            <w:pPr>
              <w:pStyle w:val="73"/>
              <w:jc w:val="center"/>
              <w:rPr>
                <w:rFonts w:cs="黑体"/>
                <w:color w:val="auto"/>
                <w:sz w:val="21"/>
                <w:szCs w:val="21"/>
              </w:rPr>
            </w:pPr>
            <w:r>
              <w:rPr>
                <w:rFonts w:hint="eastAsia"/>
                <w:color w:val="auto"/>
                <w:sz w:val="21"/>
                <w:szCs w:val="21"/>
              </w:rPr>
              <w:t>评标基准价计算方法</w:t>
            </w:r>
          </w:p>
        </w:tc>
        <w:tc>
          <w:tcPr>
            <w:tcW w:w="6599" w:type="dxa"/>
            <w:vAlign w:val="center"/>
          </w:tcPr>
          <w:p>
            <w:pPr>
              <w:pStyle w:val="73"/>
              <w:spacing w:line="270" w:lineRule="exact"/>
              <w:ind w:firstLine="210" w:firstLineChars="100"/>
              <w:jc w:val="both"/>
              <w:rPr>
                <w:color w:val="auto"/>
                <w:sz w:val="21"/>
                <w:szCs w:val="21"/>
              </w:rPr>
            </w:pPr>
            <w:r>
              <w:rPr>
                <w:rFonts w:hint="eastAsia"/>
                <w:color w:val="auto"/>
                <w:sz w:val="21"/>
                <w:szCs w:val="21"/>
              </w:rPr>
              <w:t>评标基准价的计算：</w:t>
            </w:r>
          </w:p>
          <w:p>
            <w:pPr>
              <w:pStyle w:val="73"/>
              <w:spacing w:line="270" w:lineRule="exact"/>
              <w:ind w:firstLine="210" w:firstLineChars="100"/>
              <w:jc w:val="both"/>
              <w:rPr>
                <w:color w:val="auto"/>
                <w:sz w:val="21"/>
                <w:szCs w:val="21"/>
              </w:rPr>
            </w:pPr>
            <w:r>
              <w:rPr>
                <w:rFonts w:hint="eastAsia"/>
                <w:color w:val="auto"/>
                <w:sz w:val="21"/>
                <w:szCs w:val="21"/>
              </w:rPr>
              <w:t>在开标现场，招标人将当场计算并宣布评标基准价。</w:t>
            </w:r>
          </w:p>
          <w:p>
            <w:pPr>
              <w:pStyle w:val="73"/>
              <w:spacing w:line="270" w:lineRule="exact"/>
              <w:ind w:firstLine="210" w:firstLineChars="100"/>
              <w:jc w:val="both"/>
              <w:rPr>
                <w:rFonts w:ascii="Times New Roman" w:cs="Times New Roman"/>
                <w:color w:val="auto"/>
                <w:sz w:val="21"/>
                <w:szCs w:val="21"/>
              </w:rPr>
            </w:pPr>
            <w:r>
              <w:rPr>
                <w:rFonts w:hint="eastAsia"/>
                <w:color w:val="auto"/>
                <w:sz w:val="21"/>
                <w:szCs w:val="21"/>
              </w:rPr>
              <w:t>（1</w:t>
            </w:r>
            <w:r>
              <w:rPr>
                <w:rFonts w:hint="eastAsia" w:cs="黑体"/>
                <w:color w:val="auto"/>
                <w:sz w:val="21"/>
                <w:szCs w:val="21"/>
              </w:rPr>
              <w:t>）评标价的</w:t>
            </w:r>
            <w:r>
              <w:rPr>
                <w:rFonts w:hint="eastAsia" w:ascii="Times New Roman" w:cs="Times New Roman"/>
                <w:color w:val="auto"/>
                <w:sz w:val="21"/>
                <w:szCs w:val="21"/>
              </w:rPr>
              <w:t>确定：</w:t>
            </w:r>
          </w:p>
          <w:p>
            <w:pPr>
              <w:pStyle w:val="73"/>
              <w:spacing w:line="270" w:lineRule="exact"/>
              <w:ind w:firstLine="210" w:firstLineChars="100"/>
              <w:jc w:val="both"/>
              <w:rPr>
                <w:rFonts w:ascii="Times New Roman" w:cs="Times New Roman"/>
                <w:color w:val="auto"/>
                <w:sz w:val="21"/>
                <w:szCs w:val="21"/>
              </w:rPr>
            </w:pPr>
            <w:r>
              <w:rPr>
                <w:rFonts w:hint="eastAsia" w:ascii="Times New Roman" w:cs="Times New Roman"/>
                <w:color w:val="auto"/>
                <w:sz w:val="21"/>
                <w:szCs w:val="21"/>
              </w:rPr>
              <w:t>评标价=投标函文字报价</w:t>
            </w:r>
          </w:p>
          <w:p>
            <w:pPr>
              <w:pStyle w:val="73"/>
              <w:spacing w:line="270" w:lineRule="exact"/>
              <w:ind w:firstLine="210" w:firstLineChars="100"/>
              <w:jc w:val="both"/>
              <w:rPr>
                <w:rFonts w:ascii="Times New Roman" w:cs="Times New Roman"/>
                <w:color w:val="auto"/>
                <w:sz w:val="21"/>
                <w:szCs w:val="21"/>
              </w:rPr>
            </w:pPr>
            <w:r>
              <w:rPr>
                <w:rFonts w:hint="eastAsia" w:ascii="Times New Roman" w:cs="Times New Roman"/>
                <w:color w:val="auto"/>
                <w:sz w:val="21"/>
                <w:szCs w:val="21"/>
              </w:rPr>
              <w:t>（</w:t>
            </w:r>
            <w:r>
              <w:rPr>
                <w:rFonts w:hint="eastAsia" w:cs="Times New Roman"/>
                <w:color w:val="auto"/>
                <w:sz w:val="21"/>
                <w:szCs w:val="21"/>
              </w:rPr>
              <w:t>2</w:t>
            </w:r>
            <w:r>
              <w:rPr>
                <w:rFonts w:hint="eastAsia" w:ascii="Times New Roman" w:cs="Times New Roman"/>
                <w:color w:val="auto"/>
                <w:sz w:val="21"/>
                <w:szCs w:val="21"/>
              </w:rPr>
              <w:t>）评标价平均值的计算：</w:t>
            </w:r>
          </w:p>
          <w:p>
            <w:pPr>
              <w:pStyle w:val="73"/>
              <w:spacing w:line="270" w:lineRule="exact"/>
              <w:ind w:firstLine="210" w:firstLineChars="100"/>
              <w:jc w:val="both"/>
              <w:rPr>
                <w:rFonts w:cs="黑体"/>
                <w:color w:val="auto"/>
                <w:sz w:val="21"/>
                <w:szCs w:val="21"/>
              </w:rPr>
            </w:pPr>
            <w:r>
              <w:rPr>
                <w:rFonts w:hint="eastAsia" w:cs="黑体"/>
                <w:color w:val="auto"/>
                <w:sz w:val="21"/>
                <w:szCs w:val="21"/>
              </w:rPr>
              <w:t>除第二章“投标人须知”第5.2.4项规定在开标现场被宣布为不进入评标基准价计算的投标报价之外，所有投标人的评标价去掉一个最高值和一个最低值后的算数平均值即为评标价平均值（如果参与评标价平均值计算的投标人少于5家时，则计算评标价平均值时不去掉最高值和最低值）。</w:t>
            </w:r>
          </w:p>
          <w:p>
            <w:pPr>
              <w:pStyle w:val="73"/>
              <w:spacing w:line="270" w:lineRule="exact"/>
              <w:ind w:firstLine="210" w:firstLineChars="100"/>
              <w:jc w:val="both"/>
              <w:rPr>
                <w:color w:val="auto"/>
                <w:sz w:val="21"/>
                <w:szCs w:val="21"/>
              </w:rPr>
            </w:pPr>
            <w:r>
              <w:rPr>
                <w:rFonts w:hint="eastAsia" w:cs="黑体"/>
                <w:color w:val="auto"/>
                <w:sz w:val="21"/>
                <w:szCs w:val="21"/>
              </w:rPr>
              <w:t>（3）</w:t>
            </w:r>
            <w:r>
              <w:rPr>
                <w:rFonts w:hint="eastAsia"/>
                <w:color w:val="auto"/>
                <w:sz w:val="21"/>
                <w:szCs w:val="21"/>
              </w:rPr>
              <w:t>评标基准价的确定：</w:t>
            </w:r>
          </w:p>
          <w:p>
            <w:pPr>
              <w:pStyle w:val="73"/>
              <w:spacing w:line="270" w:lineRule="exact"/>
              <w:ind w:firstLine="210" w:firstLineChars="100"/>
              <w:jc w:val="both"/>
              <w:rPr>
                <w:color w:val="auto"/>
                <w:sz w:val="21"/>
                <w:szCs w:val="21"/>
              </w:rPr>
            </w:pPr>
            <w:r>
              <w:rPr>
                <w:rFonts w:hint="eastAsia" w:ascii="Times New Roman" w:cs="Times New Roman"/>
                <w:color w:val="auto"/>
                <w:sz w:val="21"/>
                <w:szCs w:val="21"/>
              </w:rPr>
              <w:t>将评标价平均值直接作为评标基准价。</w:t>
            </w:r>
          </w:p>
          <w:p>
            <w:pPr>
              <w:pStyle w:val="73"/>
              <w:spacing w:line="270" w:lineRule="exact"/>
              <w:ind w:firstLine="210" w:firstLineChars="100"/>
              <w:jc w:val="both"/>
              <w:rPr>
                <w:color w:val="auto"/>
                <w:sz w:val="21"/>
                <w:szCs w:val="21"/>
              </w:rPr>
            </w:pPr>
            <w:r>
              <w:rPr>
                <w:rFonts w:hint="eastAsia"/>
                <w:color w:val="auto"/>
                <w:sz w:val="21"/>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8" w:hRule="atLeast"/>
          <w:jc w:val="center"/>
        </w:trPr>
        <w:tc>
          <w:tcPr>
            <w:tcW w:w="1150" w:type="dxa"/>
            <w:vAlign w:val="center"/>
          </w:tcPr>
          <w:p>
            <w:pPr>
              <w:pStyle w:val="73"/>
              <w:jc w:val="center"/>
              <w:rPr>
                <w:rFonts w:cs="黑体"/>
                <w:color w:val="auto"/>
                <w:sz w:val="21"/>
                <w:szCs w:val="21"/>
              </w:rPr>
            </w:pPr>
            <w:r>
              <w:rPr>
                <w:rFonts w:hint="eastAsia" w:cs="黑体"/>
                <w:color w:val="auto"/>
                <w:sz w:val="21"/>
                <w:szCs w:val="21"/>
              </w:rPr>
              <w:t>2.2.3</w:t>
            </w:r>
          </w:p>
        </w:tc>
        <w:tc>
          <w:tcPr>
            <w:tcW w:w="1155" w:type="dxa"/>
            <w:vAlign w:val="center"/>
          </w:tcPr>
          <w:p>
            <w:pPr>
              <w:pStyle w:val="73"/>
              <w:jc w:val="center"/>
              <w:rPr>
                <w:color w:val="auto"/>
                <w:sz w:val="21"/>
                <w:szCs w:val="21"/>
              </w:rPr>
            </w:pPr>
            <w:r>
              <w:rPr>
                <w:rFonts w:hint="eastAsia" w:ascii="Times New Roman" w:cs="Times New Roman"/>
                <w:color w:val="auto"/>
                <w:sz w:val="21"/>
                <w:szCs w:val="21"/>
              </w:rPr>
              <w:t>评标价的偏差率计算公式</w:t>
            </w:r>
          </w:p>
        </w:tc>
        <w:tc>
          <w:tcPr>
            <w:tcW w:w="6599" w:type="dxa"/>
            <w:vAlign w:val="center"/>
          </w:tcPr>
          <w:p>
            <w:pPr>
              <w:pStyle w:val="73"/>
              <w:spacing w:line="270" w:lineRule="exact"/>
              <w:ind w:firstLine="210" w:firstLineChars="100"/>
              <w:jc w:val="both"/>
              <w:rPr>
                <w:color w:val="auto"/>
                <w:sz w:val="21"/>
                <w:szCs w:val="21"/>
              </w:rPr>
            </w:pPr>
            <w:r>
              <w:rPr>
                <w:rFonts w:hint="eastAsia"/>
                <w:color w:val="auto"/>
                <w:sz w:val="21"/>
                <w:szCs w:val="21"/>
              </w:rPr>
              <w:t>偏差率</w:t>
            </w:r>
            <w:r>
              <w:rPr>
                <w:color w:val="auto"/>
                <w:sz w:val="21"/>
                <w:szCs w:val="21"/>
              </w:rPr>
              <w:t>=100</w:t>
            </w:r>
            <w:r>
              <w:rPr>
                <w:rFonts w:hint="eastAsia"/>
                <w:color w:val="auto"/>
                <w:sz w:val="21"/>
                <w:szCs w:val="21"/>
              </w:rPr>
              <w:t>％×</w:t>
            </w:r>
            <w:r>
              <w:rPr>
                <w:color w:val="auto"/>
                <w:sz w:val="21"/>
                <w:szCs w:val="21"/>
              </w:rPr>
              <w:t>(</w:t>
            </w:r>
            <w:r>
              <w:rPr>
                <w:rFonts w:hint="eastAsia"/>
                <w:color w:val="auto"/>
                <w:sz w:val="21"/>
                <w:szCs w:val="21"/>
              </w:rPr>
              <w:t>投标人评标价－评标基准价</w:t>
            </w:r>
            <w:r>
              <w:rPr>
                <w:color w:val="auto"/>
                <w:sz w:val="21"/>
                <w:szCs w:val="21"/>
              </w:rPr>
              <w:t>)</w:t>
            </w:r>
            <w:r>
              <w:rPr>
                <w:rFonts w:hint="eastAsia"/>
                <w:color w:val="auto"/>
                <w:sz w:val="21"/>
                <w:szCs w:val="21"/>
              </w:rPr>
              <w:t>／评标基准价</w:t>
            </w:r>
          </w:p>
          <w:p>
            <w:pPr>
              <w:pStyle w:val="73"/>
              <w:spacing w:line="270" w:lineRule="exact"/>
              <w:ind w:firstLine="210" w:firstLineChars="100"/>
              <w:jc w:val="both"/>
              <w:rPr>
                <w:color w:val="auto"/>
                <w:sz w:val="21"/>
                <w:szCs w:val="21"/>
              </w:rPr>
            </w:pPr>
            <w:r>
              <w:rPr>
                <w:rFonts w:hint="eastAsia"/>
                <w:color w:val="auto"/>
                <w:sz w:val="21"/>
                <w:szCs w:val="21"/>
              </w:rPr>
              <w:t>偏差率保留</w:t>
            </w:r>
            <w:r>
              <w:rPr>
                <w:rFonts w:hint="eastAsia"/>
                <w:color w:val="auto"/>
                <w:sz w:val="21"/>
                <w:szCs w:val="21"/>
                <w:u w:val="single"/>
              </w:rPr>
              <w:t xml:space="preserve"> 2 </w:t>
            </w:r>
            <w:r>
              <w:rPr>
                <w:rFonts w:hint="eastAsia"/>
                <w:color w:val="auto"/>
                <w:sz w:val="21"/>
                <w:szCs w:val="21"/>
              </w:rPr>
              <w:t>位小数</w:t>
            </w:r>
          </w:p>
        </w:tc>
      </w:tr>
    </w:tbl>
    <w:p>
      <w:pPr>
        <w:spacing w:line="360" w:lineRule="auto"/>
        <w:ind w:firstLine="378" w:firstLineChars="210"/>
        <w:jc w:val="right"/>
        <w:rPr>
          <w:sz w:val="18"/>
          <w:szCs w:val="18"/>
        </w:rPr>
      </w:pPr>
      <w:r>
        <w:rPr>
          <w:sz w:val="18"/>
          <w:szCs w:val="18"/>
        </w:rPr>
        <w:t xml:space="preserve"> </w:t>
      </w:r>
      <w:r>
        <w:rPr>
          <w:sz w:val="18"/>
          <w:szCs w:val="18"/>
        </w:rPr>
        <w:br w:type="page"/>
      </w:r>
    </w:p>
    <w:p>
      <w:pPr>
        <w:spacing w:line="360" w:lineRule="auto"/>
        <w:ind w:firstLine="441" w:firstLineChars="210"/>
        <w:jc w:val="right"/>
        <w:rPr>
          <w:szCs w:val="21"/>
        </w:rPr>
      </w:pPr>
      <w:r>
        <w:rPr>
          <w:szCs w:val="21"/>
        </w:rPr>
        <w:t>续上表</w:t>
      </w:r>
    </w:p>
    <w:tbl>
      <w:tblPr>
        <w:tblStyle w:val="30"/>
        <w:tblW w:w="9637" w:type="dxa"/>
        <w:jc w:val="center"/>
        <w:tblLayout w:type="fixed"/>
        <w:tblCellMar>
          <w:top w:w="0" w:type="dxa"/>
          <w:left w:w="0" w:type="dxa"/>
          <w:bottom w:w="0" w:type="dxa"/>
          <w:right w:w="0" w:type="dxa"/>
        </w:tblCellMar>
      </w:tblPr>
      <w:tblGrid>
        <w:gridCol w:w="1130"/>
        <w:gridCol w:w="751"/>
        <w:gridCol w:w="751"/>
        <w:gridCol w:w="1063"/>
        <w:gridCol w:w="2413"/>
        <w:gridCol w:w="709"/>
        <w:gridCol w:w="2820"/>
      </w:tblGrid>
      <w:tr>
        <w:tblPrEx>
          <w:tblCellMar>
            <w:top w:w="0" w:type="dxa"/>
            <w:left w:w="0" w:type="dxa"/>
            <w:bottom w:w="0" w:type="dxa"/>
            <w:right w:w="0" w:type="dxa"/>
          </w:tblCellMar>
        </w:tblPrEx>
        <w:trPr>
          <w:trHeight w:val="551" w:hRule="atLeast"/>
          <w:jc w:val="center"/>
        </w:trPr>
        <w:tc>
          <w:tcPr>
            <w:tcW w:w="6817" w:type="dxa"/>
            <w:gridSpan w:val="6"/>
            <w:tcBorders>
              <w:top w:val="single" w:color="000000" w:sz="4" w:space="0"/>
              <w:left w:val="single" w:color="000000" w:sz="4" w:space="0"/>
              <w:bottom w:val="single" w:color="000000" w:sz="4" w:space="0"/>
              <w:right w:val="single" w:color="000000" w:sz="4" w:space="0"/>
            </w:tcBorders>
            <w:vAlign w:val="center"/>
          </w:tcPr>
          <w:p>
            <w:pPr>
              <w:pStyle w:val="72"/>
              <w:spacing w:before="78"/>
              <w:jc w:val="center"/>
              <w:rPr>
                <w:szCs w:val="21"/>
              </w:rPr>
            </w:pPr>
            <w:r>
              <w:rPr>
                <w:szCs w:val="21"/>
              </w:rPr>
              <w:t>评分因素与权重分值</w:t>
            </w:r>
          </w:p>
        </w:tc>
        <w:tc>
          <w:tcPr>
            <w:tcW w:w="2820" w:type="dxa"/>
            <w:vMerge w:val="restart"/>
            <w:tcBorders>
              <w:top w:val="single" w:color="000000" w:sz="4" w:space="0"/>
              <w:left w:val="single" w:color="000000" w:sz="4" w:space="0"/>
              <w:right w:val="single" w:color="000000" w:sz="4" w:space="0"/>
            </w:tcBorders>
            <w:vAlign w:val="center"/>
          </w:tcPr>
          <w:p>
            <w:pPr>
              <w:pStyle w:val="72"/>
              <w:tabs>
                <w:tab w:val="left" w:pos="1346"/>
              </w:tabs>
              <w:ind w:left="69" w:leftChars="33" w:right="141" w:rightChars="67" w:firstLine="222" w:firstLineChars="106"/>
              <w:jc w:val="center"/>
              <w:rPr>
                <w:b/>
                <w:bCs/>
                <w:sz w:val="44"/>
                <w:szCs w:val="21"/>
              </w:rPr>
            </w:pPr>
            <w:r>
              <w:rPr>
                <w:szCs w:val="21"/>
              </w:rPr>
              <w:t>评分标准</w:t>
            </w:r>
          </w:p>
        </w:tc>
      </w:tr>
      <w:tr>
        <w:tblPrEx>
          <w:tblCellMar>
            <w:top w:w="0" w:type="dxa"/>
            <w:left w:w="0" w:type="dxa"/>
            <w:bottom w:w="0" w:type="dxa"/>
            <w:right w:w="0" w:type="dxa"/>
          </w:tblCellMar>
        </w:tblPrEx>
        <w:trPr>
          <w:trHeight w:val="551"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Style w:val="72"/>
              <w:jc w:val="center"/>
              <w:rPr>
                <w:szCs w:val="21"/>
              </w:rPr>
            </w:pPr>
            <w:r>
              <w:rPr>
                <w:szCs w:val="21"/>
              </w:rPr>
              <w:t>条款号</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pStyle w:val="72"/>
              <w:ind w:left="15" w:hanging="14" w:hangingChars="7"/>
              <w:jc w:val="center"/>
              <w:rPr>
                <w:b/>
                <w:bCs/>
                <w:sz w:val="44"/>
                <w:szCs w:val="21"/>
              </w:rPr>
            </w:pPr>
            <w:r>
              <w:rPr>
                <w:szCs w:val="21"/>
              </w:rPr>
              <w:t>评分因素</w:t>
            </w:r>
          </w:p>
        </w:tc>
        <w:tc>
          <w:tcPr>
            <w:tcW w:w="1063" w:type="dxa"/>
            <w:tcBorders>
              <w:top w:val="single" w:color="000000" w:sz="4" w:space="0"/>
              <w:left w:val="single" w:color="000000" w:sz="4" w:space="0"/>
              <w:bottom w:val="single" w:color="000000" w:sz="4" w:space="0"/>
              <w:right w:val="single" w:color="000000" w:sz="4" w:space="0"/>
            </w:tcBorders>
            <w:vAlign w:val="center"/>
          </w:tcPr>
          <w:p>
            <w:pPr>
              <w:pStyle w:val="72"/>
              <w:spacing w:before="27"/>
              <w:ind w:left="57" w:right="48"/>
              <w:jc w:val="center"/>
              <w:rPr>
                <w:szCs w:val="21"/>
              </w:rPr>
            </w:pPr>
            <w:r>
              <w:rPr>
                <w:szCs w:val="21"/>
              </w:rPr>
              <w:t>评分因素 权重分值</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72"/>
              <w:ind w:left="2"/>
              <w:jc w:val="center"/>
              <w:rPr>
                <w:szCs w:val="21"/>
              </w:rPr>
            </w:pPr>
            <w:r>
              <w:rPr>
                <w:szCs w:val="21"/>
              </w:rPr>
              <w:t>各评分因素细分项</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2"/>
              <w:ind w:right="84"/>
              <w:jc w:val="center"/>
              <w:rPr>
                <w:szCs w:val="21"/>
              </w:rPr>
            </w:pPr>
            <w:r>
              <w:rPr>
                <w:szCs w:val="21"/>
              </w:rPr>
              <w:t>分值</w:t>
            </w:r>
          </w:p>
        </w:tc>
        <w:tc>
          <w:tcPr>
            <w:tcW w:w="2820" w:type="dxa"/>
            <w:vMerge w:val="continue"/>
            <w:tcBorders>
              <w:left w:val="single" w:color="000000" w:sz="4" w:space="0"/>
              <w:bottom w:val="single" w:color="000000" w:sz="4" w:space="0"/>
              <w:right w:val="single" w:color="000000" w:sz="4" w:space="0"/>
            </w:tcBorders>
          </w:tcPr>
          <w:p>
            <w:pPr>
              <w:rPr>
                <w:szCs w:val="21"/>
              </w:rPr>
            </w:pPr>
          </w:p>
        </w:tc>
      </w:tr>
      <w:tr>
        <w:tblPrEx>
          <w:tblCellMar>
            <w:top w:w="0" w:type="dxa"/>
            <w:left w:w="0" w:type="dxa"/>
            <w:bottom w:w="0" w:type="dxa"/>
            <w:right w:w="0" w:type="dxa"/>
          </w:tblCellMar>
        </w:tblPrEx>
        <w:trPr>
          <w:trHeight w:val="551" w:hRule="atLeast"/>
          <w:jc w:val="center"/>
        </w:trPr>
        <w:tc>
          <w:tcPr>
            <w:tcW w:w="1130" w:type="dxa"/>
            <w:vMerge w:val="restart"/>
            <w:tcBorders>
              <w:left w:val="single" w:color="000000" w:sz="4" w:space="0"/>
              <w:right w:val="single" w:color="000000" w:sz="4" w:space="0"/>
            </w:tcBorders>
            <w:vAlign w:val="center"/>
          </w:tcPr>
          <w:p>
            <w:pPr>
              <w:pStyle w:val="72"/>
              <w:jc w:val="center"/>
              <w:rPr>
                <w:szCs w:val="21"/>
              </w:rPr>
            </w:pPr>
            <w:r>
              <w:rPr>
                <w:rFonts w:eastAsia="Times New Roman"/>
                <w:szCs w:val="21"/>
              </w:rPr>
              <w:t>2.2</w:t>
            </w:r>
            <w:r>
              <w:rPr>
                <w:szCs w:val="21"/>
              </w:rPr>
              <w:t>.4(1)</w:t>
            </w:r>
          </w:p>
        </w:tc>
        <w:tc>
          <w:tcPr>
            <w:tcW w:w="1502" w:type="dxa"/>
            <w:gridSpan w:val="2"/>
            <w:vMerge w:val="restart"/>
            <w:tcBorders>
              <w:left w:val="single" w:color="000000" w:sz="4" w:space="0"/>
              <w:right w:val="single" w:color="000000" w:sz="4" w:space="0"/>
            </w:tcBorders>
            <w:vAlign w:val="center"/>
          </w:tcPr>
          <w:p>
            <w:pPr>
              <w:pStyle w:val="72"/>
              <w:ind w:left="139"/>
              <w:jc w:val="center"/>
              <w:rPr>
                <w:szCs w:val="21"/>
              </w:rPr>
            </w:pPr>
            <w:r>
              <w:rPr>
                <w:szCs w:val="21"/>
              </w:rPr>
              <w:t>技术建议书</w:t>
            </w:r>
          </w:p>
        </w:tc>
        <w:tc>
          <w:tcPr>
            <w:tcW w:w="1063" w:type="dxa"/>
            <w:vMerge w:val="restart"/>
            <w:tcBorders>
              <w:left w:val="single" w:color="000000" w:sz="4" w:space="0"/>
              <w:right w:val="single" w:color="000000" w:sz="4" w:space="0"/>
            </w:tcBorders>
            <w:vAlign w:val="center"/>
          </w:tcPr>
          <w:p>
            <w:pPr>
              <w:pStyle w:val="72"/>
              <w:wordWrap w:val="0"/>
              <w:jc w:val="center"/>
              <w:rPr>
                <w:szCs w:val="21"/>
              </w:rPr>
            </w:pPr>
            <w:r>
              <w:rPr>
                <w:szCs w:val="21"/>
                <w:u w:val="single"/>
              </w:rPr>
              <w:t>35</w:t>
            </w:r>
            <w:r>
              <w:rPr>
                <w:szCs w:val="21"/>
              </w:rPr>
              <w:t>分</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72"/>
              <w:adjustRightInd w:val="0"/>
              <w:snapToGrid w:val="0"/>
              <w:ind w:left="130" w:leftChars="62" w:right="147" w:rightChars="70"/>
              <w:rPr>
                <w:szCs w:val="21"/>
              </w:rPr>
            </w:pPr>
            <w:r>
              <w:rPr>
                <w:rFonts w:hint="eastAsia"/>
                <w:szCs w:val="21"/>
              </w:rPr>
              <w:t>监理范围、监理内容</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2"/>
              <w:adjustRightInd w:val="0"/>
              <w:snapToGrid w:val="0"/>
              <w:jc w:val="center"/>
              <w:rPr>
                <w:szCs w:val="21"/>
                <w:u w:val="single"/>
              </w:rPr>
            </w:pPr>
            <w:r>
              <w:rPr>
                <w:rFonts w:hint="eastAsia"/>
                <w:szCs w:val="21"/>
              </w:rPr>
              <w:t>2</w:t>
            </w:r>
            <w:r>
              <w:rPr>
                <w:szCs w:val="21"/>
              </w:rPr>
              <w:t>分</w:t>
            </w:r>
          </w:p>
        </w:tc>
        <w:tc>
          <w:tcPr>
            <w:tcW w:w="2820" w:type="dxa"/>
            <w:tcBorders>
              <w:left w:val="single" w:color="000000" w:sz="4" w:space="0"/>
              <w:bottom w:val="single" w:color="000000" w:sz="4" w:space="0"/>
              <w:right w:val="single" w:color="000000" w:sz="4" w:space="0"/>
            </w:tcBorders>
          </w:tcPr>
          <w:p>
            <w:pPr>
              <w:pStyle w:val="72"/>
              <w:tabs>
                <w:tab w:val="left" w:pos="1346"/>
              </w:tabs>
              <w:adjustRightInd w:val="0"/>
              <w:snapToGrid w:val="0"/>
              <w:ind w:left="118" w:leftChars="56" w:right="136" w:rightChars="65"/>
              <w:rPr>
                <w:b/>
                <w:bCs/>
                <w:sz w:val="44"/>
                <w:szCs w:val="21"/>
              </w:rPr>
            </w:pPr>
            <w:r>
              <w:rPr>
                <w:rFonts w:ascii="Calibri" w:hAnsi="Calibri"/>
                <w:szCs w:val="21"/>
              </w:rPr>
              <w:t>监理范围、内容数据</w:t>
            </w:r>
            <w:r>
              <w:rPr>
                <w:rFonts w:hint="eastAsia" w:ascii="Calibri" w:hAnsi="Calibri"/>
                <w:szCs w:val="21"/>
              </w:rPr>
              <w:t>比较</w:t>
            </w:r>
            <w:r>
              <w:rPr>
                <w:rFonts w:ascii="Calibri" w:hAnsi="Calibri"/>
                <w:szCs w:val="21"/>
              </w:rPr>
              <w:t>准确，满足招标文件要求</w:t>
            </w:r>
            <w:r>
              <w:rPr>
                <w:rFonts w:hint="eastAsia" w:ascii="Calibri" w:hAnsi="Calibri"/>
                <w:szCs w:val="21"/>
              </w:rPr>
              <w:t>得基本分1分,</w:t>
            </w:r>
            <w:r>
              <w:rPr>
                <w:rFonts w:hint="eastAsia"/>
                <w:szCs w:val="21"/>
                <w:lang w:val="zh-CN"/>
              </w:rPr>
              <w:t>根据优劣详尽程度酌情加0-</w:t>
            </w:r>
            <w:r>
              <w:rPr>
                <w:rFonts w:hint="eastAsia"/>
                <w:szCs w:val="21"/>
              </w:rPr>
              <w:t>1</w:t>
            </w:r>
            <w:r>
              <w:rPr>
                <w:rFonts w:hint="eastAsia"/>
                <w:szCs w:val="21"/>
                <w:lang w:val="zh-CN"/>
              </w:rPr>
              <w:t>分</w:t>
            </w:r>
          </w:p>
        </w:tc>
      </w:tr>
      <w:tr>
        <w:tblPrEx>
          <w:tblCellMar>
            <w:top w:w="0" w:type="dxa"/>
            <w:left w:w="0" w:type="dxa"/>
            <w:bottom w:w="0" w:type="dxa"/>
            <w:right w:w="0" w:type="dxa"/>
          </w:tblCellMar>
        </w:tblPrEx>
        <w:trPr>
          <w:trHeight w:val="551" w:hRule="atLeast"/>
          <w:jc w:val="center"/>
        </w:trPr>
        <w:tc>
          <w:tcPr>
            <w:tcW w:w="1130" w:type="dxa"/>
            <w:vMerge w:val="continue"/>
            <w:tcBorders>
              <w:left w:val="single" w:color="000000" w:sz="4" w:space="0"/>
              <w:right w:val="single" w:color="000000" w:sz="4" w:space="0"/>
            </w:tcBorders>
            <w:vAlign w:val="center"/>
          </w:tcPr>
          <w:p>
            <w:pPr>
              <w:jc w:val="center"/>
              <w:rPr>
                <w:szCs w:val="21"/>
              </w:rPr>
            </w:pPr>
          </w:p>
        </w:tc>
        <w:tc>
          <w:tcPr>
            <w:tcW w:w="1502" w:type="dxa"/>
            <w:gridSpan w:val="2"/>
            <w:vMerge w:val="continue"/>
            <w:tcBorders>
              <w:left w:val="single" w:color="000000" w:sz="4" w:space="0"/>
              <w:right w:val="single" w:color="000000" w:sz="4" w:space="0"/>
            </w:tcBorders>
            <w:vAlign w:val="center"/>
          </w:tcPr>
          <w:p>
            <w:pPr>
              <w:jc w:val="center"/>
              <w:rPr>
                <w:szCs w:val="21"/>
              </w:rPr>
            </w:pPr>
          </w:p>
        </w:tc>
        <w:tc>
          <w:tcPr>
            <w:tcW w:w="1063" w:type="dxa"/>
            <w:vMerge w:val="continue"/>
            <w:tcBorders>
              <w:left w:val="single" w:color="000000" w:sz="4" w:space="0"/>
              <w:right w:val="single" w:color="000000" w:sz="4" w:space="0"/>
            </w:tcBorders>
            <w:vAlign w:val="center"/>
          </w:tcPr>
          <w:p>
            <w:pPr>
              <w:jc w:val="center"/>
              <w:rPr>
                <w:szCs w:val="21"/>
              </w:rPr>
            </w:pP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72"/>
              <w:adjustRightInd w:val="0"/>
              <w:snapToGrid w:val="0"/>
              <w:ind w:left="130" w:leftChars="62" w:right="147" w:rightChars="70"/>
              <w:rPr>
                <w:szCs w:val="21"/>
              </w:rPr>
            </w:pPr>
            <w:r>
              <w:rPr>
                <w:rFonts w:hint="eastAsia"/>
                <w:szCs w:val="21"/>
              </w:rPr>
              <w:t>现场监理机构设置与人员安排</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2"/>
              <w:adjustRightInd w:val="0"/>
              <w:snapToGrid w:val="0"/>
              <w:jc w:val="center"/>
              <w:rPr>
                <w:szCs w:val="21"/>
                <w:u w:val="single"/>
              </w:rPr>
            </w:pPr>
            <w:r>
              <w:rPr>
                <w:szCs w:val="21"/>
                <w:u w:val="single"/>
              </w:rPr>
              <w:t>6分</w:t>
            </w:r>
          </w:p>
        </w:tc>
        <w:tc>
          <w:tcPr>
            <w:tcW w:w="2820" w:type="dxa"/>
            <w:tcBorders>
              <w:left w:val="single" w:color="000000" w:sz="4" w:space="0"/>
              <w:bottom w:val="single" w:color="000000" w:sz="4" w:space="0"/>
              <w:right w:val="single" w:color="000000" w:sz="4" w:space="0"/>
            </w:tcBorders>
          </w:tcPr>
          <w:p>
            <w:pPr>
              <w:adjustRightInd w:val="0"/>
              <w:snapToGrid w:val="0"/>
              <w:ind w:left="118" w:leftChars="56" w:right="136" w:rightChars="65"/>
              <w:rPr>
                <w:rFonts w:ascii="Calibri" w:hAnsi="Calibri"/>
                <w:szCs w:val="21"/>
              </w:rPr>
            </w:pPr>
            <w:r>
              <w:rPr>
                <w:rFonts w:ascii="Calibri" w:hAnsi="Calibri"/>
                <w:szCs w:val="21"/>
              </w:rPr>
              <w:t>机构设置满足招标文件要求，满足现场监理工作需要，监理</w:t>
            </w:r>
            <w:r>
              <w:rPr>
                <w:rFonts w:hint="eastAsia" w:ascii="Calibri" w:hAnsi="Calibri"/>
                <w:szCs w:val="21"/>
              </w:rPr>
              <w:t>部</w:t>
            </w:r>
            <w:r>
              <w:rPr>
                <w:rFonts w:ascii="Calibri" w:hAnsi="Calibri"/>
                <w:szCs w:val="21"/>
              </w:rPr>
              <w:t>、监理组、</w:t>
            </w:r>
            <w:r>
              <w:rPr>
                <w:rFonts w:hint="eastAsia" w:ascii="Calibri" w:hAnsi="Calibri"/>
                <w:szCs w:val="21"/>
              </w:rPr>
              <w:t>工地</w:t>
            </w:r>
            <w:r>
              <w:rPr>
                <w:rFonts w:ascii="Calibri" w:hAnsi="Calibri"/>
                <w:szCs w:val="21"/>
              </w:rPr>
              <w:t>试验室等设置合理，</w:t>
            </w:r>
            <w:r>
              <w:rPr>
                <w:rFonts w:hint="eastAsia" w:ascii="Calibri" w:hAnsi="Calibri"/>
                <w:szCs w:val="21"/>
              </w:rPr>
              <w:t>得基本分3</w:t>
            </w:r>
            <w:r>
              <w:rPr>
                <w:rFonts w:ascii="Calibri" w:hAnsi="Calibri"/>
                <w:szCs w:val="21"/>
              </w:rPr>
              <w:t>分；</w:t>
            </w:r>
            <w:r>
              <w:rPr>
                <w:rFonts w:hint="eastAsia"/>
                <w:szCs w:val="21"/>
                <w:lang w:val="zh-CN"/>
              </w:rPr>
              <w:t>根据方案优劣酌情加0-</w:t>
            </w:r>
            <w:r>
              <w:rPr>
                <w:rFonts w:hint="eastAsia"/>
                <w:szCs w:val="21"/>
              </w:rPr>
              <w:t>3</w:t>
            </w:r>
            <w:r>
              <w:rPr>
                <w:rFonts w:hint="eastAsia"/>
                <w:szCs w:val="21"/>
                <w:lang w:val="zh-CN"/>
              </w:rPr>
              <w:t>分</w:t>
            </w:r>
          </w:p>
        </w:tc>
      </w:tr>
      <w:tr>
        <w:tblPrEx>
          <w:tblCellMar>
            <w:top w:w="0" w:type="dxa"/>
            <w:left w:w="0" w:type="dxa"/>
            <w:bottom w:w="0" w:type="dxa"/>
            <w:right w:w="0" w:type="dxa"/>
          </w:tblCellMar>
        </w:tblPrEx>
        <w:trPr>
          <w:trHeight w:val="551" w:hRule="atLeast"/>
          <w:jc w:val="center"/>
        </w:trPr>
        <w:tc>
          <w:tcPr>
            <w:tcW w:w="1130" w:type="dxa"/>
            <w:vMerge w:val="continue"/>
            <w:tcBorders>
              <w:left w:val="single" w:color="000000" w:sz="4" w:space="0"/>
              <w:right w:val="single" w:color="000000" w:sz="4" w:space="0"/>
            </w:tcBorders>
            <w:vAlign w:val="center"/>
          </w:tcPr>
          <w:p>
            <w:pPr>
              <w:jc w:val="center"/>
              <w:rPr>
                <w:szCs w:val="21"/>
              </w:rPr>
            </w:pPr>
          </w:p>
        </w:tc>
        <w:tc>
          <w:tcPr>
            <w:tcW w:w="1502" w:type="dxa"/>
            <w:gridSpan w:val="2"/>
            <w:vMerge w:val="continue"/>
            <w:tcBorders>
              <w:left w:val="single" w:color="000000" w:sz="4" w:space="0"/>
              <w:right w:val="single" w:color="000000" w:sz="4" w:space="0"/>
            </w:tcBorders>
            <w:vAlign w:val="center"/>
          </w:tcPr>
          <w:p>
            <w:pPr>
              <w:jc w:val="center"/>
              <w:rPr>
                <w:szCs w:val="21"/>
              </w:rPr>
            </w:pPr>
          </w:p>
        </w:tc>
        <w:tc>
          <w:tcPr>
            <w:tcW w:w="1063" w:type="dxa"/>
            <w:vMerge w:val="continue"/>
            <w:tcBorders>
              <w:left w:val="single" w:color="000000" w:sz="4" w:space="0"/>
              <w:right w:val="single" w:color="000000" w:sz="4" w:space="0"/>
            </w:tcBorders>
            <w:vAlign w:val="center"/>
          </w:tcPr>
          <w:p>
            <w:pPr>
              <w:jc w:val="center"/>
              <w:rPr>
                <w:szCs w:val="21"/>
              </w:rPr>
            </w:pP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72"/>
              <w:adjustRightInd w:val="0"/>
              <w:snapToGrid w:val="0"/>
              <w:ind w:left="130" w:leftChars="62" w:right="147" w:rightChars="70"/>
              <w:rPr>
                <w:szCs w:val="21"/>
              </w:rPr>
            </w:pPr>
            <w:r>
              <w:rPr>
                <w:rFonts w:hint="eastAsia"/>
                <w:szCs w:val="21"/>
              </w:rPr>
              <w:t>监理工作程序和管理制度</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2"/>
              <w:adjustRightInd w:val="0"/>
              <w:snapToGrid w:val="0"/>
              <w:jc w:val="center"/>
              <w:rPr>
                <w:szCs w:val="21"/>
                <w:u w:val="single"/>
              </w:rPr>
            </w:pPr>
            <w:r>
              <w:rPr>
                <w:szCs w:val="21"/>
                <w:u w:val="single"/>
              </w:rPr>
              <w:t>3分</w:t>
            </w:r>
          </w:p>
        </w:tc>
        <w:tc>
          <w:tcPr>
            <w:tcW w:w="2820" w:type="dxa"/>
            <w:tcBorders>
              <w:left w:val="single" w:color="000000" w:sz="4" w:space="0"/>
              <w:bottom w:val="single" w:color="000000" w:sz="4" w:space="0"/>
              <w:right w:val="single" w:color="000000" w:sz="4" w:space="0"/>
            </w:tcBorders>
          </w:tcPr>
          <w:p>
            <w:pPr>
              <w:adjustRightInd w:val="0"/>
              <w:snapToGrid w:val="0"/>
              <w:ind w:left="118" w:leftChars="56" w:right="136" w:rightChars="65"/>
              <w:rPr>
                <w:rFonts w:ascii="Calibri" w:hAnsi="Calibri"/>
                <w:szCs w:val="21"/>
              </w:rPr>
            </w:pPr>
            <w:r>
              <w:rPr>
                <w:rFonts w:ascii="Calibri" w:hAnsi="Calibri"/>
                <w:szCs w:val="21"/>
              </w:rPr>
              <w:t>有完整的监理工作程序文件，流程科学合理，分工明确，职责清楚，监理工作管理制度，制度合理全面</w:t>
            </w:r>
            <w:r>
              <w:rPr>
                <w:rFonts w:hint="eastAsia" w:ascii="Calibri" w:hAnsi="Calibri"/>
                <w:szCs w:val="21"/>
              </w:rPr>
              <w:t>得基本分</w:t>
            </w:r>
            <w:r>
              <w:rPr>
                <w:rFonts w:ascii="Calibri" w:hAnsi="Calibri"/>
                <w:szCs w:val="21"/>
              </w:rPr>
              <w:t>1分</w:t>
            </w:r>
            <w:r>
              <w:rPr>
                <w:rFonts w:hint="eastAsia" w:ascii="Calibri" w:hAnsi="Calibri"/>
                <w:szCs w:val="21"/>
              </w:rPr>
              <w:t>；</w:t>
            </w:r>
            <w:r>
              <w:rPr>
                <w:rFonts w:hint="eastAsia"/>
                <w:szCs w:val="21"/>
                <w:lang w:val="zh-CN"/>
              </w:rPr>
              <w:t>根据方案优劣酌情加0-</w:t>
            </w:r>
            <w:r>
              <w:rPr>
                <w:rFonts w:hint="eastAsia"/>
                <w:szCs w:val="21"/>
              </w:rPr>
              <w:t>2</w:t>
            </w:r>
            <w:r>
              <w:rPr>
                <w:rFonts w:hint="eastAsia"/>
                <w:szCs w:val="21"/>
                <w:lang w:val="zh-CN"/>
              </w:rPr>
              <w:t>分</w:t>
            </w:r>
          </w:p>
        </w:tc>
      </w:tr>
      <w:tr>
        <w:tblPrEx>
          <w:tblCellMar>
            <w:top w:w="0" w:type="dxa"/>
            <w:left w:w="0" w:type="dxa"/>
            <w:bottom w:w="0" w:type="dxa"/>
            <w:right w:w="0" w:type="dxa"/>
          </w:tblCellMar>
        </w:tblPrEx>
        <w:trPr>
          <w:trHeight w:val="551" w:hRule="atLeast"/>
          <w:jc w:val="center"/>
        </w:trPr>
        <w:tc>
          <w:tcPr>
            <w:tcW w:w="1130" w:type="dxa"/>
            <w:vMerge w:val="continue"/>
            <w:tcBorders>
              <w:left w:val="single" w:color="000000" w:sz="4" w:space="0"/>
              <w:right w:val="single" w:color="000000" w:sz="4" w:space="0"/>
            </w:tcBorders>
            <w:vAlign w:val="center"/>
          </w:tcPr>
          <w:p>
            <w:pPr>
              <w:jc w:val="center"/>
              <w:rPr>
                <w:szCs w:val="21"/>
              </w:rPr>
            </w:pPr>
          </w:p>
        </w:tc>
        <w:tc>
          <w:tcPr>
            <w:tcW w:w="1502" w:type="dxa"/>
            <w:gridSpan w:val="2"/>
            <w:vMerge w:val="continue"/>
            <w:tcBorders>
              <w:left w:val="single" w:color="000000" w:sz="4" w:space="0"/>
              <w:right w:val="single" w:color="000000" w:sz="4" w:space="0"/>
            </w:tcBorders>
            <w:vAlign w:val="center"/>
          </w:tcPr>
          <w:p>
            <w:pPr>
              <w:jc w:val="center"/>
              <w:rPr>
                <w:szCs w:val="21"/>
              </w:rPr>
            </w:pPr>
          </w:p>
        </w:tc>
        <w:tc>
          <w:tcPr>
            <w:tcW w:w="1063" w:type="dxa"/>
            <w:vMerge w:val="continue"/>
            <w:tcBorders>
              <w:left w:val="single" w:color="000000" w:sz="4" w:space="0"/>
              <w:right w:val="single" w:color="000000" w:sz="4" w:space="0"/>
            </w:tcBorders>
            <w:vAlign w:val="center"/>
          </w:tcPr>
          <w:p>
            <w:pPr>
              <w:jc w:val="center"/>
              <w:rPr>
                <w:szCs w:val="21"/>
              </w:rPr>
            </w:pP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72"/>
              <w:adjustRightInd w:val="0"/>
              <w:snapToGrid w:val="0"/>
              <w:ind w:left="130" w:leftChars="62" w:right="147" w:rightChars="70"/>
              <w:rPr>
                <w:szCs w:val="21"/>
              </w:rPr>
            </w:pPr>
            <w:r>
              <w:rPr>
                <w:rFonts w:hint="eastAsia"/>
                <w:szCs w:val="21"/>
              </w:rPr>
              <w:t>质量、安全、进度、费用、环保监理方法及措施</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2"/>
              <w:adjustRightInd w:val="0"/>
              <w:snapToGrid w:val="0"/>
              <w:jc w:val="center"/>
              <w:rPr>
                <w:szCs w:val="21"/>
                <w:u w:val="single"/>
              </w:rPr>
            </w:pPr>
            <w:r>
              <w:rPr>
                <w:rFonts w:hint="eastAsia"/>
                <w:szCs w:val="21"/>
                <w:u w:val="single"/>
              </w:rPr>
              <w:t>10</w:t>
            </w:r>
            <w:r>
              <w:rPr>
                <w:szCs w:val="21"/>
                <w:u w:val="single"/>
              </w:rPr>
              <w:t>分</w:t>
            </w:r>
          </w:p>
        </w:tc>
        <w:tc>
          <w:tcPr>
            <w:tcW w:w="2820" w:type="dxa"/>
            <w:tcBorders>
              <w:left w:val="single" w:color="000000" w:sz="4" w:space="0"/>
              <w:bottom w:val="single" w:color="000000" w:sz="4" w:space="0"/>
              <w:right w:val="single" w:color="000000" w:sz="4" w:space="0"/>
            </w:tcBorders>
          </w:tcPr>
          <w:p>
            <w:pPr>
              <w:pStyle w:val="72"/>
              <w:tabs>
                <w:tab w:val="left" w:pos="1346"/>
              </w:tabs>
              <w:adjustRightInd w:val="0"/>
              <w:snapToGrid w:val="0"/>
              <w:ind w:left="118" w:leftChars="56" w:right="136" w:rightChars="65"/>
              <w:rPr>
                <w:szCs w:val="21"/>
              </w:rPr>
            </w:pPr>
            <w:r>
              <w:rPr>
                <w:szCs w:val="21"/>
              </w:rPr>
              <w:t>对本项目</w:t>
            </w:r>
            <w:r>
              <w:rPr>
                <w:rFonts w:hAnsi="宋体"/>
                <w:szCs w:val="21"/>
              </w:rPr>
              <w:t>质量、进度</w:t>
            </w:r>
            <w:r>
              <w:rPr>
                <w:rFonts w:hint="eastAsia" w:hAnsi="宋体"/>
                <w:szCs w:val="21"/>
              </w:rPr>
              <w:t>、造价控制、安全、环保管理</w:t>
            </w:r>
            <w:r>
              <w:rPr>
                <w:szCs w:val="21"/>
              </w:rPr>
              <w:t>基本切合实际、基本可行</w:t>
            </w:r>
            <w:r>
              <w:rPr>
                <w:rFonts w:hint="eastAsia"/>
                <w:szCs w:val="21"/>
              </w:rPr>
              <w:t>得基本分5分</w:t>
            </w:r>
            <w:r>
              <w:rPr>
                <w:rFonts w:hint="eastAsia"/>
                <w:szCs w:val="21"/>
                <w:lang w:val="zh-CN"/>
              </w:rPr>
              <w:t>，根据方案优劣酌情加0-</w:t>
            </w:r>
            <w:r>
              <w:rPr>
                <w:rFonts w:hint="eastAsia"/>
                <w:szCs w:val="21"/>
              </w:rPr>
              <w:t>5</w:t>
            </w:r>
            <w:r>
              <w:rPr>
                <w:rFonts w:hint="eastAsia"/>
                <w:szCs w:val="21"/>
                <w:lang w:val="zh-CN"/>
              </w:rPr>
              <w:t>分</w:t>
            </w:r>
          </w:p>
        </w:tc>
      </w:tr>
      <w:tr>
        <w:tblPrEx>
          <w:tblCellMar>
            <w:top w:w="0" w:type="dxa"/>
            <w:left w:w="0" w:type="dxa"/>
            <w:bottom w:w="0" w:type="dxa"/>
            <w:right w:w="0" w:type="dxa"/>
          </w:tblCellMar>
        </w:tblPrEx>
        <w:trPr>
          <w:trHeight w:val="551" w:hRule="atLeast"/>
          <w:jc w:val="center"/>
        </w:trPr>
        <w:tc>
          <w:tcPr>
            <w:tcW w:w="1130" w:type="dxa"/>
            <w:vMerge w:val="continue"/>
            <w:tcBorders>
              <w:left w:val="single" w:color="000000" w:sz="4" w:space="0"/>
              <w:right w:val="single" w:color="000000" w:sz="4" w:space="0"/>
            </w:tcBorders>
            <w:vAlign w:val="center"/>
          </w:tcPr>
          <w:p>
            <w:pPr>
              <w:jc w:val="center"/>
              <w:rPr>
                <w:szCs w:val="21"/>
              </w:rPr>
            </w:pPr>
          </w:p>
        </w:tc>
        <w:tc>
          <w:tcPr>
            <w:tcW w:w="1502" w:type="dxa"/>
            <w:gridSpan w:val="2"/>
            <w:vMerge w:val="continue"/>
            <w:tcBorders>
              <w:left w:val="single" w:color="000000" w:sz="4" w:space="0"/>
              <w:right w:val="single" w:color="000000" w:sz="4" w:space="0"/>
            </w:tcBorders>
            <w:vAlign w:val="center"/>
          </w:tcPr>
          <w:p>
            <w:pPr>
              <w:jc w:val="center"/>
              <w:rPr>
                <w:szCs w:val="21"/>
              </w:rPr>
            </w:pPr>
          </w:p>
        </w:tc>
        <w:tc>
          <w:tcPr>
            <w:tcW w:w="1063" w:type="dxa"/>
            <w:vMerge w:val="continue"/>
            <w:tcBorders>
              <w:left w:val="single" w:color="000000" w:sz="4" w:space="0"/>
              <w:right w:val="single" w:color="000000" w:sz="4" w:space="0"/>
            </w:tcBorders>
            <w:vAlign w:val="center"/>
          </w:tcPr>
          <w:p>
            <w:pPr>
              <w:jc w:val="center"/>
              <w:rPr>
                <w:szCs w:val="21"/>
              </w:rPr>
            </w:pP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72"/>
              <w:adjustRightInd w:val="0"/>
              <w:snapToGrid w:val="0"/>
              <w:ind w:left="130" w:leftChars="62" w:right="147" w:rightChars="70"/>
              <w:rPr>
                <w:szCs w:val="21"/>
              </w:rPr>
            </w:pPr>
            <w:r>
              <w:rPr>
                <w:rFonts w:hint="eastAsia"/>
                <w:szCs w:val="21"/>
              </w:rPr>
              <w:t>合同及信息管理方法及措施</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2"/>
              <w:adjustRightInd w:val="0"/>
              <w:snapToGrid w:val="0"/>
              <w:jc w:val="center"/>
              <w:rPr>
                <w:szCs w:val="21"/>
                <w:u w:val="single"/>
              </w:rPr>
            </w:pPr>
            <w:r>
              <w:rPr>
                <w:rFonts w:hint="eastAsia"/>
                <w:szCs w:val="21"/>
                <w:u w:val="single"/>
              </w:rPr>
              <w:t>3</w:t>
            </w:r>
            <w:r>
              <w:rPr>
                <w:szCs w:val="21"/>
                <w:u w:val="single"/>
              </w:rPr>
              <w:t>分</w:t>
            </w:r>
          </w:p>
        </w:tc>
        <w:tc>
          <w:tcPr>
            <w:tcW w:w="2820" w:type="dxa"/>
            <w:tcBorders>
              <w:left w:val="single" w:color="000000" w:sz="4" w:space="0"/>
              <w:bottom w:val="single" w:color="000000" w:sz="4" w:space="0"/>
              <w:right w:val="single" w:color="000000" w:sz="4" w:space="0"/>
            </w:tcBorders>
          </w:tcPr>
          <w:p>
            <w:pPr>
              <w:pStyle w:val="72"/>
              <w:tabs>
                <w:tab w:val="left" w:pos="1346"/>
              </w:tabs>
              <w:adjustRightInd w:val="0"/>
              <w:snapToGrid w:val="0"/>
              <w:ind w:left="118" w:leftChars="56" w:right="136" w:rightChars="65"/>
              <w:rPr>
                <w:szCs w:val="21"/>
              </w:rPr>
            </w:pPr>
            <w:r>
              <w:rPr>
                <w:rFonts w:hAnsi="宋体"/>
                <w:szCs w:val="21"/>
              </w:rPr>
              <w:t>对本项目</w:t>
            </w:r>
            <w:r>
              <w:rPr>
                <w:rFonts w:hint="eastAsia" w:hAnsi="宋体"/>
                <w:szCs w:val="21"/>
              </w:rPr>
              <w:t>合同管理、信息管理措施</w:t>
            </w:r>
            <w:r>
              <w:rPr>
                <w:szCs w:val="21"/>
              </w:rPr>
              <w:t>基本合理</w:t>
            </w:r>
            <w:r>
              <w:rPr>
                <w:rFonts w:hint="eastAsia"/>
                <w:szCs w:val="21"/>
              </w:rPr>
              <w:t>得基本分2分</w:t>
            </w:r>
            <w:r>
              <w:rPr>
                <w:rFonts w:hint="eastAsia"/>
                <w:szCs w:val="21"/>
                <w:lang w:val="zh-CN"/>
              </w:rPr>
              <w:t>，根据方案优劣酌情加0-</w:t>
            </w:r>
            <w:r>
              <w:rPr>
                <w:rFonts w:hint="eastAsia"/>
                <w:szCs w:val="21"/>
              </w:rPr>
              <w:t>1</w:t>
            </w:r>
            <w:r>
              <w:rPr>
                <w:rFonts w:hint="eastAsia"/>
                <w:szCs w:val="21"/>
                <w:lang w:val="zh-CN"/>
              </w:rPr>
              <w:t>分</w:t>
            </w:r>
          </w:p>
        </w:tc>
      </w:tr>
      <w:tr>
        <w:tblPrEx>
          <w:tblCellMar>
            <w:top w:w="0" w:type="dxa"/>
            <w:left w:w="0" w:type="dxa"/>
            <w:bottom w:w="0" w:type="dxa"/>
            <w:right w:w="0" w:type="dxa"/>
          </w:tblCellMar>
        </w:tblPrEx>
        <w:trPr>
          <w:trHeight w:val="551" w:hRule="atLeast"/>
          <w:jc w:val="center"/>
        </w:trPr>
        <w:tc>
          <w:tcPr>
            <w:tcW w:w="1130" w:type="dxa"/>
            <w:vMerge w:val="continue"/>
            <w:tcBorders>
              <w:left w:val="single" w:color="000000" w:sz="4" w:space="0"/>
              <w:right w:val="single" w:color="000000" w:sz="4" w:space="0"/>
            </w:tcBorders>
            <w:vAlign w:val="center"/>
          </w:tcPr>
          <w:p>
            <w:pPr>
              <w:jc w:val="center"/>
              <w:rPr>
                <w:szCs w:val="21"/>
              </w:rPr>
            </w:pPr>
          </w:p>
        </w:tc>
        <w:tc>
          <w:tcPr>
            <w:tcW w:w="1502" w:type="dxa"/>
            <w:gridSpan w:val="2"/>
            <w:vMerge w:val="continue"/>
            <w:tcBorders>
              <w:left w:val="single" w:color="000000" w:sz="4" w:space="0"/>
              <w:right w:val="single" w:color="000000" w:sz="4" w:space="0"/>
            </w:tcBorders>
            <w:vAlign w:val="center"/>
          </w:tcPr>
          <w:p>
            <w:pPr>
              <w:jc w:val="center"/>
              <w:rPr>
                <w:szCs w:val="21"/>
              </w:rPr>
            </w:pPr>
          </w:p>
        </w:tc>
        <w:tc>
          <w:tcPr>
            <w:tcW w:w="1063" w:type="dxa"/>
            <w:vMerge w:val="continue"/>
            <w:tcBorders>
              <w:left w:val="single" w:color="000000" w:sz="4" w:space="0"/>
              <w:right w:val="single" w:color="000000" w:sz="4" w:space="0"/>
            </w:tcBorders>
            <w:vAlign w:val="center"/>
          </w:tcPr>
          <w:p>
            <w:pPr>
              <w:jc w:val="center"/>
              <w:rPr>
                <w:szCs w:val="21"/>
              </w:rPr>
            </w:pP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72"/>
              <w:adjustRightInd w:val="0"/>
              <w:snapToGrid w:val="0"/>
              <w:ind w:left="130" w:leftChars="62" w:right="147" w:rightChars="70"/>
              <w:rPr>
                <w:szCs w:val="21"/>
              </w:rPr>
            </w:pPr>
            <w:r>
              <w:rPr>
                <w:rFonts w:hint="eastAsia"/>
                <w:szCs w:val="21"/>
              </w:rPr>
              <w:t>组织协调方法及措施</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2"/>
              <w:adjustRightInd w:val="0"/>
              <w:snapToGrid w:val="0"/>
              <w:jc w:val="center"/>
              <w:rPr>
                <w:szCs w:val="21"/>
                <w:u w:val="single"/>
              </w:rPr>
            </w:pPr>
            <w:r>
              <w:rPr>
                <w:rFonts w:hint="eastAsia"/>
                <w:szCs w:val="21"/>
                <w:u w:val="single"/>
              </w:rPr>
              <w:t>3</w:t>
            </w:r>
            <w:r>
              <w:rPr>
                <w:szCs w:val="21"/>
                <w:u w:val="single"/>
              </w:rPr>
              <w:t>分</w:t>
            </w:r>
          </w:p>
        </w:tc>
        <w:tc>
          <w:tcPr>
            <w:tcW w:w="2820" w:type="dxa"/>
            <w:tcBorders>
              <w:left w:val="single" w:color="000000" w:sz="4" w:space="0"/>
              <w:bottom w:val="single" w:color="000000" w:sz="4" w:space="0"/>
              <w:right w:val="single" w:color="000000" w:sz="4" w:space="0"/>
            </w:tcBorders>
          </w:tcPr>
          <w:p>
            <w:pPr>
              <w:pStyle w:val="72"/>
              <w:tabs>
                <w:tab w:val="left" w:pos="1346"/>
              </w:tabs>
              <w:adjustRightInd w:val="0"/>
              <w:snapToGrid w:val="0"/>
              <w:ind w:left="118" w:leftChars="56" w:right="136" w:rightChars="65"/>
              <w:rPr>
                <w:szCs w:val="21"/>
              </w:rPr>
            </w:pPr>
            <w:r>
              <w:rPr>
                <w:rFonts w:ascii="Calibri" w:hAnsi="Calibri"/>
                <w:szCs w:val="21"/>
              </w:rPr>
              <w:t>监理组织协调内容及措施合理、可行</w:t>
            </w:r>
            <w:r>
              <w:rPr>
                <w:rFonts w:hint="eastAsia" w:ascii="Calibri" w:hAnsi="Calibri"/>
                <w:szCs w:val="21"/>
              </w:rPr>
              <w:t>得基本分2</w:t>
            </w:r>
            <w:r>
              <w:rPr>
                <w:rFonts w:ascii="Calibri" w:hAnsi="Calibri"/>
                <w:szCs w:val="21"/>
              </w:rPr>
              <w:t>分；</w:t>
            </w:r>
            <w:r>
              <w:rPr>
                <w:rFonts w:hint="eastAsia"/>
                <w:szCs w:val="21"/>
                <w:lang w:val="zh-CN"/>
              </w:rPr>
              <w:t>，根据方案优劣酌情加0-</w:t>
            </w:r>
            <w:r>
              <w:rPr>
                <w:rFonts w:hint="eastAsia"/>
                <w:szCs w:val="21"/>
              </w:rPr>
              <w:t>1</w:t>
            </w:r>
            <w:r>
              <w:rPr>
                <w:rFonts w:hint="eastAsia"/>
                <w:szCs w:val="21"/>
                <w:lang w:val="zh-CN"/>
              </w:rPr>
              <w:t>分</w:t>
            </w:r>
          </w:p>
        </w:tc>
      </w:tr>
      <w:tr>
        <w:tblPrEx>
          <w:tblCellMar>
            <w:top w:w="0" w:type="dxa"/>
            <w:left w:w="0" w:type="dxa"/>
            <w:bottom w:w="0" w:type="dxa"/>
            <w:right w:w="0" w:type="dxa"/>
          </w:tblCellMar>
        </w:tblPrEx>
        <w:trPr>
          <w:trHeight w:val="551" w:hRule="atLeast"/>
          <w:jc w:val="center"/>
        </w:trPr>
        <w:tc>
          <w:tcPr>
            <w:tcW w:w="1130" w:type="dxa"/>
            <w:vMerge w:val="continue"/>
            <w:tcBorders>
              <w:left w:val="single" w:color="000000" w:sz="4" w:space="0"/>
              <w:right w:val="single" w:color="000000" w:sz="4" w:space="0"/>
            </w:tcBorders>
            <w:vAlign w:val="center"/>
          </w:tcPr>
          <w:p>
            <w:pPr>
              <w:jc w:val="center"/>
              <w:rPr>
                <w:szCs w:val="21"/>
              </w:rPr>
            </w:pPr>
          </w:p>
        </w:tc>
        <w:tc>
          <w:tcPr>
            <w:tcW w:w="1502" w:type="dxa"/>
            <w:gridSpan w:val="2"/>
            <w:vMerge w:val="continue"/>
            <w:tcBorders>
              <w:left w:val="single" w:color="000000" w:sz="4" w:space="0"/>
              <w:right w:val="single" w:color="000000" w:sz="4" w:space="0"/>
            </w:tcBorders>
            <w:vAlign w:val="center"/>
          </w:tcPr>
          <w:p>
            <w:pPr>
              <w:jc w:val="center"/>
              <w:rPr>
                <w:szCs w:val="21"/>
              </w:rPr>
            </w:pPr>
          </w:p>
        </w:tc>
        <w:tc>
          <w:tcPr>
            <w:tcW w:w="1063" w:type="dxa"/>
            <w:vMerge w:val="continue"/>
            <w:tcBorders>
              <w:left w:val="single" w:color="000000" w:sz="4" w:space="0"/>
              <w:right w:val="single" w:color="000000" w:sz="4" w:space="0"/>
            </w:tcBorders>
            <w:vAlign w:val="center"/>
          </w:tcPr>
          <w:p>
            <w:pPr>
              <w:jc w:val="center"/>
              <w:rPr>
                <w:szCs w:val="21"/>
              </w:rPr>
            </w:pP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72"/>
              <w:adjustRightInd w:val="0"/>
              <w:snapToGrid w:val="0"/>
              <w:ind w:left="130" w:leftChars="62" w:right="147" w:rightChars="70" w:firstLine="4"/>
              <w:rPr>
                <w:szCs w:val="21"/>
              </w:rPr>
            </w:pPr>
            <w:r>
              <w:rPr>
                <w:rFonts w:hint="eastAsia"/>
                <w:szCs w:val="21"/>
              </w:rPr>
              <w:t>本工程监理工作的重点与难点分析</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2"/>
              <w:adjustRightInd w:val="0"/>
              <w:snapToGrid w:val="0"/>
              <w:jc w:val="center"/>
              <w:rPr>
                <w:szCs w:val="21"/>
                <w:u w:val="single"/>
              </w:rPr>
            </w:pPr>
            <w:r>
              <w:rPr>
                <w:rFonts w:hint="eastAsia"/>
                <w:szCs w:val="21"/>
                <w:u w:val="single"/>
              </w:rPr>
              <w:t>8</w:t>
            </w:r>
            <w:r>
              <w:rPr>
                <w:szCs w:val="21"/>
                <w:u w:val="single"/>
              </w:rPr>
              <w:t>分</w:t>
            </w:r>
          </w:p>
        </w:tc>
        <w:tc>
          <w:tcPr>
            <w:tcW w:w="2820" w:type="dxa"/>
            <w:tcBorders>
              <w:left w:val="single" w:color="000000" w:sz="4" w:space="0"/>
              <w:bottom w:val="single" w:color="000000" w:sz="4" w:space="0"/>
              <w:right w:val="single" w:color="000000" w:sz="4" w:space="0"/>
            </w:tcBorders>
          </w:tcPr>
          <w:p>
            <w:pPr>
              <w:pStyle w:val="72"/>
              <w:adjustRightInd w:val="0"/>
              <w:snapToGrid w:val="0"/>
              <w:ind w:left="118" w:leftChars="56" w:right="136" w:rightChars="65"/>
              <w:rPr>
                <w:szCs w:val="21"/>
              </w:rPr>
            </w:pPr>
            <w:r>
              <w:rPr>
                <w:szCs w:val="21"/>
              </w:rPr>
              <w:t>对本项目</w:t>
            </w:r>
            <w:r>
              <w:rPr>
                <w:rFonts w:hint="eastAsia"/>
                <w:szCs w:val="21"/>
              </w:rPr>
              <w:t>的</w:t>
            </w:r>
            <w:r>
              <w:rPr>
                <w:szCs w:val="21"/>
              </w:rPr>
              <w:t>重点与难点分析</w:t>
            </w:r>
            <w:r>
              <w:rPr>
                <w:szCs w:val="21"/>
                <w:lang w:val="zh-CN"/>
              </w:rPr>
              <w:t>描述准确</w:t>
            </w:r>
            <w:r>
              <w:rPr>
                <w:rFonts w:hint="eastAsia"/>
                <w:szCs w:val="21"/>
                <w:lang w:val="zh-CN"/>
              </w:rPr>
              <w:t>、</w:t>
            </w:r>
            <w:r>
              <w:rPr>
                <w:szCs w:val="21"/>
                <w:lang w:val="zh-CN"/>
              </w:rPr>
              <w:t>具体</w:t>
            </w:r>
            <w:r>
              <w:rPr>
                <w:rFonts w:hint="eastAsia"/>
                <w:szCs w:val="21"/>
              </w:rPr>
              <w:t>得基本</w:t>
            </w:r>
            <w:r>
              <w:rPr>
                <w:rFonts w:hint="eastAsia"/>
                <w:szCs w:val="21"/>
                <w:lang w:val="zh-CN"/>
              </w:rPr>
              <w:t>分</w:t>
            </w:r>
            <w:r>
              <w:rPr>
                <w:rFonts w:hint="eastAsia"/>
                <w:szCs w:val="21"/>
              </w:rPr>
              <w:t>4分</w:t>
            </w:r>
            <w:r>
              <w:rPr>
                <w:rFonts w:hint="eastAsia"/>
                <w:szCs w:val="21"/>
                <w:lang w:val="zh-CN"/>
              </w:rPr>
              <w:t>，根据方案优劣酌情加0-</w:t>
            </w:r>
            <w:r>
              <w:rPr>
                <w:rFonts w:hint="eastAsia"/>
                <w:szCs w:val="21"/>
              </w:rPr>
              <w:t>4</w:t>
            </w:r>
            <w:r>
              <w:rPr>
                <w:rFonts w:hint="eastAsia"/>
                <w:szCs w:val="21"/>
                <w:lang w:val="zh-CN"/>
              </w:rPr>
              <w:t>分</w:t>
            </w:r>
          </w:p>
        </w:tc>
      </w:tr>
      <w:tr>
        <w:tblPrEx>
          <w:tblCellMar>
            <w:top w:w="0" w:type="dxa"/>
            <w:left w:w="0" w:type="dxa"/>
            <w:bottom w:w="0" w:type="dxa"/>
            <w:right w:w="0" w:type="dxa"/>
          </w:tblCellMar>
        </w:tblPrEx>
        <w:trPr>
          <w:trHeight w:val="1701" w:hRule="atLeast"/>
          <w:jc w:val="center"/>
        </w:trPr>
        <w:tc>
          <w:tcPr>
            <w:tcW w:w="1130" w:type="dxa"/>
            <w:tcBorders>
              <w:top w:val="single" w:color="000000" w:sz="4" w:space="0"/>
              <w:left w:val="single" w:color="000000" w:sz="4" w:space="0"/>
              <w:right w:val="single" w:color="000000" w:sz="4" w:space="0"/>
            </w:tcBorders>
            <w:vAlign w:val="center"/>
          </w:tcPr>
          <w:p>
            <w:pPr>
              <w:pStyle w:val="72"/>
              <w:ind w:left="5"/>
              <w:jc w:val="center"/>
              <w:rPr>
                <w:rFonts w:eastAsia="Times New Roman"/>
                <w:szCs w:val="21"/>
              </w:rPr>
            </w:pPr>
            <w:r>
              <w:rPr>
                <w:szCs w:val="21"/>
              </w:rPr>
              <w:t>2.2.4(2)</w:t>
            </w:r>
          </w:p>
        </w:tc>
        <w:tc>
          <w:tcPr>
            <w:tcW w:w="1502" w:type="dxa"/>
            <w:gridSpan w:val="2"/>
            <w:tcBorders>
              <w:top w:val="single" w:color="000000" w:sz="4" w:space="0"/>
              <w:left w:val="single" w:color="000000" w:sz="4" w:space="0"/>
              <w:right w:val="single" w:color="000000" w:sz="4" w:space="0"/>
            </w:tcBorders>
            <w:vAlign w:val="center"/>
          </w:tcPr>
          <w:p>
            <w:pPr>
              <w:pStyle w:val="72"/>
              <w:jc w:val="center"/>
              <w:rPr>
                <w:szCs w:val="21"/>
              </w:rPr>
            </w:pPr>
            <w:r>
              <w:rPr>
                <w:szCs w:val="21"/>
              </w:rPr>
              <w:t>主要人员</w:t>
            </w:r>
          </w:p>
        </w:tc>
        <w:tc>
          <w:tcPr>
            <w:tcW w:w="1063" w:type="dxa"/>
            <w:tcBorders>
              <w:top w:val="single" w:color="000000" w:sz="4" w:space="0"/>
              <w:left w:val="single" w:color="000000" w:sz="4" w:space="0"/>
              <w:right w:val="single" w:color="000000" w:sz="4" w:space="0"/>
            </w:tcBorders>
            <w:vAlign w:val="center"/>
          </w:tcPr>
          <w:p>
            <w:pPr>
              <w:pStyle w:val="72"/>
              <w:ind w:left="94"/>
              <w:jc w:val="center"/>
              <w:rPr>
                <w:szCs w:val="21"/>
              </w:rPr>
            </w:pPr>
            <w:r>
              <w:rPr>
                <w:szCs w:val="21"/>
                <w:u w:val="single"/>
              </w:rPr>
              <w:t>25</w:t>
            </w:r>
            <w:r>
              <w:rPr>
                <w:szCs w:val="21"/>
              </w:rPr>
              <w:t>分</w:t>
            </w:r>
          </w:p>
        </w:tc>
        <w:tc>
          <w:tcPr>
            <w:tcW w:w="2413" w:type="dxa"/>
            <w:tcBorders>
              <w:top w:val="single" w:color="000000" w:sz="4" w:space="0"/>
              <w:left w:val="single" w:color="000000" w:sz="4" w:space="0"/>
              <w:right w:val="single" w:color="000000" w:sz="4" w:space="0"/>
            </w:tcBorders>
            <w:vAlign w:val="center"/>
          </w:tcPr>
          <w:p>
            <w:pPr>
              <w:pStyle w:val="72"/>
              <w:ind w:right="80" w:rightChars="38"/>
              <w:jc w:val="center"/>
              <w:rPr>
                <w:szCs w:val="21"/>
              </w:rPr>
            </w:pPr>
            <w:r>
              <w:rPr>
                <w:szCs w:val="21"/>
              </w:rPr>
              <w:t>总监理工程师资格与业绩</w:t>
            </w:r>
          </w:p>
        </w:tc>
        <w:tc>
          <w:tcPr>
            <w:tcW w:w="709" w:type="dxa"/>
            <w:tcBorders>
              <w:top w:val="single" w:color="000000" w:sz="4" w:space="0"/>
              <w:left w:val="single" w:color="000000" w:sz="4" w:space="0"/>
              <w:right w:val="single" w:color="000000" w:sz="4" w:space="0"/>
            </w:tcBorders>
            <w:vAlign w:val="center"/>
          </w:tcPr>
          <w:p>
            <w:pPr>
              <w:pStyle w:val="72"/>
              <w:ind w:right="86"/>
              <w:jc w:val="center"/>
              <w:rPr>
                <w:szCs w:val="21"/>
              </w:rPr>
            </w:pPr>
            <w:r>
              <w:rPr>
                <w:szCs w:val="21"/>
                <w:u w:val="single"/>
              </w:rPr>
              <w:t>25</w:t>
            </w:r>
            <w:r>
              <w:rPr>
                <w:szCs w:val="21"/>
              </w:rPr>
              <w:t>分</w:t>
            </w:r>
          </w:p>
          <w:p>
            <w:pPr>
              <w:pStyle w:val="72"/>
              <w:ind w:right="91"/>
              <w:jc w:val="center"/>
              <w:rPr>
                <w:szCs w:val="21"/>
              </w:rPr>
            </w:pPr>
          </w:p>
        </w:tc>
        <w:tc>
          <w:tcPr>
            <w:tcW w:w="2820" w:type="dxa"/>
            <w:tcBorders>
              <w:top w:val="single" w:color="000000" w:sz="4" w:space="0"/>
              <w:left w:val="single" w:color="000000" w:sz="4" w:space="0"/>
              <w:right w:val="single" w:color="000000" w:sz="4" w:space="0"/>
            </w:tcBorders>
            <w:vAlign w:val="center"/>
          </w:tcPr>
          <w:p>
            <w:pPr>
              <w:numPr>
                <w:ilvl w:val="0"/>
                <w:numId w:val="6"/>
              </w:numPr>
              <w:autoSpaceDE w:val="0"/>
              <w:autoSpaceDN w:val="0"/>
              <w:snapToGrid w:val="0"/>
              <w:spacing w:line="240" w:lineRule="atLeast"/>
              <w:jc w:val="left"/>
              <w:rPr>
                <w:bCs/>
                <w:spacing w:val="-6"/>
                <w:szCs w:val="21"/>
              </w:rPr>
            </w:pPr>
            <w:r>
              <w:rPr>
                <w:szCs w:val="21"/>
              </w:rPr>
              <w:t>总监理工程师符合资格审查</w:t>
            </w:r>
            <w:r>
              <w:rPr>
                <w:bCs/>
                <w:spacing w:val="-6"/>
                <w:szCs w:val="21"/>
              </w:rPr>
              <w:t>条件得</w:t>
            </w:r>
            <w:r>
              <w:rPr>
                <w:rFonts w:hint="eastAsia"/>
                <w:bCs/>
                <w:spacing w:val="-6"/>
                <w:szCs w:val="21"/>
              </w:rPr>
              <w:t>15</w:t>
            </w:r>
            <w:r>
              <w:rPr>
                <w:bCs/>
                <w:spacing w:val="-6"/>
                <w:szCs w:val="21"/>
              </w:rPr>
              <w:t>分</w:t>
            </w:r>
            <w:r>
              <w:rPr>
                <w:rFonts w:hint="eastAsia"/>
                <w:bCs/>
                <w:spacing w:val="-6"/>
                <w:szCs w:val="21"/>
              </w:rPr>
              <w:t xml:space="preserve"> </w:t>
            </w:r>
          </w:p>
          <w:p>
            <w:pPr>
              <w:pStyle w:val="72"/>
              <w:ind w:right="166" w:rightChars="79"/>
              <w:rPr>
                <w:szCs w:val="21"/>
              </w:rPr>
            </w:pPr>
            <w:r>
              <w:rPr>
                <w:rFonts w:hint="eastAsia"/>
                <w:szCs w:val="21"/>
              </w:rPr>
              <w:t>（2）总监理工程师职称为高级工程师加5分；</w:t>
            </w:r>
          </w:p>
          <w:p>
            <w:pPr>
              <w:pStyle w:val="72"/>
              <w:ind w:right="166" w:rightChars="79"/>
              <w:rPr>
                <w:szCs w:val="21"/>
              </w:rPr>
            </w:pPr>
            <w:r>
              <w:rPr>
                <w:rFonts w:hint="eastAsia"/>
                <w:szCs w:val="21"/>
              </w:rPr>
              <w:t>（3）总监理工程师近5年内（2018年1月1日年至今）每承担过一项铁路建设涉及的“三电及管线迁改”内容的监理业绩的加5分，最高加5分。</w:t>
            </w:r>
          </w:p>
          <w:p>
            <w:pPr>
              <w:pStyle w:val="72"/>
              <w:ind w:right="166" w:rightChars="79"/>
              <w:rPr>
                <w:szCs w:val="21"/>
              </w:rPr>
            </w:pPr>
            <w:r>
              <w:rPr>
                <w:rFonts w:hint="eastAsia"/>
                <w:szCs w:val="21"/>
              </w:rPr>
              <w:t>人员业绩提供监理合同或中标通知书或业主证明为准。</w:t>
            </w:r>
          </w:p>
        </w:tc>
      </w:tr>
      <w:tr>
        <w:tblPrEx>
          <w:tblCellMar>
            <w:top w:w="0" w:type="dxa"/>
            <w:left w:w="0" w:type="dxa"/>
            <w:bottom w:w="0" w:type="dxa"/>
            <w:right w:w="0" w:type="dxa"/>
          </w:tblCellMar>
        </w:tblPrEx>
        <w:trPr>
          <w:trHeight w:val="1735" w:hRule="atLeast"/>
          <w:jc w:val="center"/>
        </w:trPr>
        <w:tc>
          <w:tcPr>
            <w:tcW w:w="1130" w:type="dxa"/>
            <w:tcBorders>
              <w:top w:val="single" w:color="000000" w:sz="4" w:space="0"/>
              <w:left w:val="single" w:color="000000" w:sz="4" w:space="0"/>
              <w:bottom w:val="single" w:color="auto" w:sz="4" w:space="0"/>
              <w:right w:val="single" w:color="000000" w:sz="4" w:space="0"/>
            </w:tcBorders>
            <w:vAlign w:val="center"/>
          </w:tcPr>
          <w:p>
            <w:pPr>
              <w:pStyle w:val="72"/>
              <w:ind w:left="2"/>
              <w:jc w:val="center"/>
              <w:rPr>
                <w:rFonts w:eastAsia="Times New Roman"/>
                <w:szCs w:val="21"/>
              </w:rPr>
            </w:pPr>
            <w:r>
              <w:rPr>
                <w:szCs w:val="21"/>
              </w:rPr>
              <w:t>2.2.4(3)</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pStyle w:val="72"/>
              <w:ind w:left="24"/>
              <w:jc w:val="center"/>
              <w:rPr>
                <w:szCs w:val="21"/>
              </w:rPr>
            </w:pPr>
            <w:r>
              <w:rPr>
                <w:szCs w:val="21"/>
              </w:rPr>
              <w:t>评标价</w:t>
            </w:r>
          </w:p>
        </w:tc>
        <w:tc>
          <w:tcPr>
            <w:tcW w:w="1063" w:type="dxa"/>
            <w:tcBorders>
              <w:top w:val="single" w:color="000000" w:sz="4" w:space="0"/>
              <w:left w:val="single" w:color="000000" w:sz="4" w:space="0"/>
              <w:bottom w:val="single" w:color="auto" w:sz="4" w:space="0"/>
              <w:right w:val="single" w:color="000000" w:sz="4" w:space="0"/>
            </w:tcBorders>
            <w:vAlign w:val="center"/>
          </w:tcPr>
          <w:p>
            <w:pPr>
              <w:pStyle w:val="72"/>
              <w:ind w:right="-8"/>
              <w:jc w:val="center"/>
              <w:rPr>
                <w:szCs w:val="21"/>
              </w:rPr>
            </w:pPr>
            <w:r>
              <w:rPr>
                <w:szCs w:val="21"/>
                <w:u w:val="single"/>
              </w:rPr>
              <w:t>10</w:t>
            </w:r>
            <w:r>
              <w:rPr>
                <w:szCs w:val="21"/>
              </w:rPr>
              <w:t>分</w:t>
            </w:r>
          </w:p>
        </w:tc>
        <w:tc>
          <w:tcPr>
            <w:tcW w:w="5942" w:type="dxa"/>
            <w:gridSpan w:val="3"/>
            <w:tcBorders>
              <w:top w:val="single" w:color="000000" w:sz="4" w:space="0"/>
              <w:left w:val="single" w:color="000000" w:sz="4" w:space="0"/>
              <w:bottom w:val="single" w:color="auto" w:sz="4" w:space="0"/>
              <w:right w:val="single" w:color="000000" w:sz="4" w:space="0"/>
            </w:tcBorders>
            <w:vAlign w:val="center"/>
          </w:tcPr>
          <w:p>
            <w:pPr>
              <w:pStyle w:val="72"/>
              <w:ind w:left="100"/>
              <w:rPr>
                <w:szCs w:val="21"/>
              </w:rPr>
            </w:pPr>
            <w:r>
              <w:rPr>
                <w:szCs w:val="21"/>
              </w:rPr>
              <w:t>评标价得分计算公式示例 ：</w:t>
            </w:r>
          </w:p>
          <w:p>
            <w:pPr>
              <w:pStyle w:val="72"/>
              <w:ind w:left="95" w:right="301" w:firstLine="9"/>
              <w:rPr>
                <w:szCs w:val="21"/>
              </w:rPr>
            </w:pPr>
            <w:r>
              <w:rPr>
                <w:szCs w:val="21"/>
              </w:rPr>
              <w:t>（1）如果投标人的评标价&gt;评标基准价，则评标价得分=F-偏差率×</w:t>
            </w:r>
            <w:r>
              <w:rPr>
                <w:rFonts w:eastAsia="Times New Roman"/>
                <w:szCs w:val="21"/>
              </w:rPr>
              <w:t>100</w:t>
            </w:r>
            <w:r>
              <w:rPr>
                <w:szCs w:val="21"/>
              </w:rPr>
              <w:t>×</w:t>
            </w:r>
            <w:r>
              <w:rPr>
                <w:rFonts w:eastAsia="Times New Roman"/>
                <w:szCs w:val="21"/>
              </w:rPr>
              <w:t>E1</w:t>
            </w:r>
            <w:r>
              <w:rPr>
                <w:szCs w:val="21"/>
              </w:rPr>
              <w:t>；</w:t>
            </w:r>
          </w:p>
          <w:p>
            <w:pPr>
              <w:pStyle w:val="72"/>
              <w:ind w:left="95" w:right="301" w:firstLine="9"/>
              <w:rPr>
                <w:szCs w:val="21"/>
              </w:rPr>
            </w:pPr>
            <w:r>
              <w:rPr>
                <w:szCs w:val="21"/>
              </w:rPr>
              <w:t>（2）如果投标人的评标价≤评标基准价，则评标价得分=F+偏差率×</w:t>
            </w:r>
            <w:r>
              <w:rPr>
                <w:rFonts w:eastAsia="Times New Roman"/>
                <w:szCs w:val="21"/>
              </w:rPr>
              <w:t>100</w:t>
            </w:r>
            <w:r>
              <w:rPr>
                <w:szCs w:val="21"/>
              </w:rPr>
              <w:t>×</w:t>
            </w:r>
            <w:r>
              <w:rPr>
                <w:rFonts w:eastAsia="Times New Roman"/>
                <w:szCs w:val="21"/>
              </w:rPr>
              <w:t xml:space="preserve">E2 </w:t>
            </w:r>
            <w:r>
              <w:rPr>
                <w:szCs w:val="21"/>
              </w:rPr>
              <w:t>。</w:t>
            </w:r>
          </w:p>
          <w:p>
            <w:pPr>
              <w:pStyle w:val="72"/>
              <w:ind w:left="105" w:right="94"/>
              <w:rPr>
                <w:rFonts w:eastAsia="Times New Roman"/>
                <w:szCs w:val="21"/>
              </w:rPr>
            </w:pPr>
            <w:r>
              <w:rPr>
                <w:szCs w:val="21"/>
              </w:rPr>
              <w:t>其中：F=10，E1=</w:t>
            </w:r>
            <w:r>
              <w:rPr>
                <w:rFonts w:hint="eastAsia"/>
                <w:szCs w:val="21"/>
              </w:rPr>
              <w:t>0.1</w:t>
            </w:r>
            <w:r>
              <w:rPr>
                <w:szCs w:val="21"/>
              </w:rPr>
              <w:t>，E2=</w:t>
            </w:r>
            <w:r>
              <w:rPr>
                <w:rFonts w:hint="eastAsia"/>
                <w:szCs w:val="21"/>
              </w:rPr>
              <w:t>0.1</w:t>
            </w:r>
            <w:r>
              <w:rPr>
                <w:szCs w:val="21"/>
              </w:rPr>
              <w:t>；</w:t>
            </w:r>
          </w:p>
        </w:tc>
      </w:tr>
      <w:tr>
        <w:tblPrEx>
          <w:tblCellMar>
            <w:top w:w="0" w:type="dxa"/>
            <w:left w:w="0" w:type="dxa"/>
            <w:bottom w:w="0" w:type="dxa"/>
            <w:right w:w="0" w:type="dxa"/>
          </w:tblCellMar>
        </w:tblPrEx>
        <w:trPr>
          <w:trHeight w:val="342" w:hRule="atLeast"/>
          <w:jc w:val="center"/>
        </w:trPr>
        <w:tc>
          <w:tcPr>
            <w:tcW w:w="1130" w:type="dxa"/>
            <w:vMerge w:val="restart"/>
            <w:tcBorders>
              <w:top w:val="single" w:color="auto" w:sz="4" w:space="0"/>
              <w:left w:val="single" w:color="auto" w:sz="4" w:space="0"/>
              <w:right w:val="single" w:color="auto" w:sz="4" w:space="0"/>
            </w:tcBorders>
            <w:vAlign w:val="center"/>
          </w:tcPr>
          <w:p>
            <w:pPr>
              <w:pStyle w:val="72"/>
              <w:ind w:left="5"/>
              <w:jc w:val="center"/>
              <w:rPr>
                <w:rFonts w:eastAsia="Times New Roman"/>
                <w:szCs w:val="21"/>
              </w:rPr>
            </w:pPr>
            <w:r>
              <w:rPr>
                <w:szCs w:val="21"/>
              </w:rPr>
              <w:t>2.2.4(4)</w:t>
            </w:r>
          </w:p>
        </w:tc>
        <w:tc>
          <w:tcPr>
            <w:tcW w:w="751" w:type="dxa"/>
            <w:vMerge w:val="restart"/>
            <w:tcBorders>
              <w:top w:val="single" w:color="auto" w:sz="4" w:space="0"/>
              <w:left w:val="single" w:color="auto" w:sz="4" w:space="0"/>
              <w:right w:val="single" w:color="auto" w:sz="4" w:space="0"/>
            </w:tcBorders>
            <w:vAlign w:val="center"/>
          </w:tcPr>
          <w:p>
            <w:pPr>
              <w:pStyle w:val="72"/>
              <w:spacing w:line="240" w:lineRule="exact"/>
              <w:ind w:right="-17" w:firstLine="25" w:firstLineChars="12"/>
              <w:jc w:val="center"/>
              <w:rPr>
                <w:szCs w:val="21"/>
              </w:rPr>
            </w:pPr>
            <w:r>
              <w:rPr>
                <w:szCs w:val="21"/>
              </w:rPr>
              <w:t xml:space="preserve">其 </w:t>
            </w:r>
          </w:p>
          <w:p>
            <w:pPr>
              <w:pStyle w:val="72"/>
              <w:spacing w:line="240" w:lineRule="exact"/>
              <w:ind w:right="-17" w:firstLine="25" w:firstLineChars="12"/>
              <w:jc w:val="center"/>
              <w:rPr>
                <w:szCs w:val="21"/>
              </w:rPr>
            </w:pPr>
            <w:r>
              <w:rPr>
                <w:szCs w:val="21"/>
              </w:rPr>
              <w:t xml:space="preserve">他 </w:t>
            </w:r>
          </w:p>
          <w:p>
            <w:pPr>
              <w:pStyle w:val="72"/>
              <w:spacing w:line="240" w:lineRule="exact"/>
              <w:ind w:right="-17" w:firstLine="25" w:firstLineChars="12"/>
              <w:jc w:val="center"/>
              <w:rPr>
                <w:szCs w:val="21"/>
              </w:rPr>
            </w:pPr>
            <w:r>
              <w:rPr>
                <w:szCs w:val="21"/>
              </w:rPr>
              <w:t>因</w:t>
            </w:r>
          </w:p>
          <w:p>
            <w:pPr>
              <w:pStyle w:val="72"/>
              <w:spacing w:line="240" w:lineRule="exact"/>
              <w:ind w:right="-17" w:firstLine="25" w:firstLineChars="12"/>
              <w:jc w:val="center"/>
              <w:rPr>
                <w:szCs w:val="21"/>
              </w:rPr>
            </w:pPr>
            <w:r>
              <w:rPr>
                <w:szCs w:val="21"/>
              </w:rPr>
              <w:t>素</w:t>
            </w:r>
          </w:p>
        </w:tc>
        <w:tc>
          <w:tcPr>
            <w:tcW w:w="751" w:type="dxa"/>
            <w:tcBorders>
              <w:top w:val="single" w:color="auto" w:sz="4" w:space="0"/>
              <w:left w:val="single" w:color="auto" w:sz="4" w:space="0"/>
              <w:bottom w:val="single" w:color="auto" w:sz="4" w:space="0"/>
              <w:right w:val="single" w:color="auto" w:sz="4" w:space="0"/>
            </w:tcBorders>
            <w:vAlign w:val="center"/>
          </w:tcPr>
          <w:p>
            <w:pPr>
              <w:pStyle w:val="72"/>
              <w:ind w:left="31"/>
              <w:jc w:val="center"/>
              <w:rPr>
                <w:szCs w:val="21"/>
              </w:rPr>
            </w:pPr>
            <w:r>
              <w:rPr>
                <w:rFonts w:hint="eastAsia"/>
                <w:szCs w:val="21"/>
              </w:rPr>
              <w:t>企业</w:t>
            </w:r>
            <w:r>
              <w:rPr>
                <w:szCs w:val="21"/>
              </w:rPr>
              <w:t>业绩</w:t>
            </w:r>
          </w:p>
        </w:tc>
        <w:tc>
          <w:tcPr>
            <w:tcW w:w="1063" w:type="dxa"/>
            <w:tcBorders>
              <w:top w:val="single" w:color="auto" w:sz="4" w:space="0"/>
              <w:left w:val="single" w:color="auto" w:sz="4" w:space="0"/>
              <w:bottom w:val="single" w:color="auto" w:sz="4" w:space="0"/>
              <w:right w:val="single" w:color="auto" w:sz="4" w:space="0"/>
            </w:tcBorders>
            <w:vAlign w:val="center"/>
          </w:tcPr>
          <w:p>
            <w:pPr>
              <w:pStyle w:val="72"/>
              <w:ind w:right="-8"/>
              <w:jc w:val="center"/>
              <w:rPr>
                <w:szCs w:val="21"/>
              </w:rPr>
            </w:pPr>
            <w:r>
              <w:rPr>
                <w:szCs w:val="21"/>
                <w:u w:val="single"/>
              </w:rPr>
              <w:t>20</w:t>
            </w:r>
            <w:r>
              <w:rPr>
                <w:szCs w:val="21"/>
              </w:rPr>
              <w:t>分</w:t>
            </w:r>
          </w:p>
        </w:tc>
        <w:tc>
          <w:tcPr>
            <w:tcW w:w="5942" w:type="dxa"/>
            <w:gridSpan w:val="3"/>
            <w:tcBorders>
              <w:top w:val="single" w:color="auto" w:sz="4" w:space="0"/>
              <w:left w:val="single" w:color="auto" w:sz="4" w:space="0"/>
              <w:bottom w:val="single" w:color="auto" w:sz="4" w:space="0"/>
              <w:right w:val="single" w:color="auto" w:sz="4" w:space="0"/>
            </w:tcBorders>
            <w:vAlign w:val="center"/>
          </w:tcPr>
          <w:p>
            <w:pPr>
              <w:pStyle w:val="72"/>
              <w:numPr>
                <w:ilvl w:val="0"/>
                <w:numId w:val="7"/>
              </w:numPr>
              <w:rPr>
                <w:szCs w:val="21"/>
              </w:rPr>
            </w:pPr>
            <w:r>
              <w:rPr>
                <w:rFonts w:hint="eastAsia"/>
                <w:szCs w:val="21"/>
              </w:rPr>
              <w:t>满足资审最低标准得10分；</w:t>
            </w:r>
          </w:p>
          <w:p>
            <w:pPr>
              <w:pStyle w:val="72"/>
              <w:rPr>
                <w:szCs w:val="21"/>
              </w:rPr>
            </w:pPr>
            <w:r>
              <w:rPr>
                <w:rFonts w:hint="eastAsia" w:hAnsi="宋体"/>
                <w:szCs w:val="21"/>
              </w:rPr>
              <w:t>（2）</w:t>
            </w:r>
            <w:r>
              <w:rPr>
                <w:rFonts w:hint="eastAsia"/>
                <w:szCs w:val="21"/>
              </w:rPr>
              <w:t>近五年内（2018年1月1日至投标截止之日）至少完成过一项铁路建设涉及的“三电及管线迁改”内容的监理业绩，</w:t>
            </w:r>
            <w:r>
              <w:rPr>
                <w:rFonts w:hint="eastAsia" w:hAnsi="宋体"/>
                <w:szCs w:val="21"/>
              </w:rPr>
              <w:t>加10分，最多加10分。</w:t>
            </w:r>
          </w:p>
        </w:tc>
      </w:tr>
      <w:tr>
        <w:tblPrEx>
          <w:tblCellMar>
            <w:top w:w="0" w:type="dxa"/>
            <w:left w:w="0" w:type="dxa"/>
            <w:bottom w:w="0" w:type="dxa"/>
            <w:right w:w="0" w:type="dxa"/>
          </w:tblCellMar>
        </w:tblPrEx>
        <w:trPr>
          <w:trHeight w:val="986" w:hRule="atLeast"/>
          <w:jc w:val="center"/>
        </w:trPr>
        <w:tc>
          <w:tcPr>
            <w:tcW w:w="1130" w:type="dxa"/>
            <w:vMerge w:val="continue"/>
            <w:tcBorders>
              <w:left w:val="single" w:color="auto" w:sz="4" w:space="0"/>
              <w:bottom w:val="single" w:color="auto" w:sz="4" w:space="0"/>
              <w:right w:val="single" w:color="auto" w:sz="4" w:space="0"/>
            </w:tcBorders>
          </w:tcPr>
          <w:p>
            <w:pPr>
              <w:pStyle w:val="72"/>
              <w:rPr>
                <w:szCs w:val="21"/>
              </w:rPr>
            </w:pPr>
          </w:p>
        </w:tc>
        <w:tc>
          <w:tcPr>
            <w:tcW w:w="751" w:type="dxa"/>
            <w:vMerge w:val="continue"/>
            <w:tcBorders>
              <w:left w:val="single" w:color="auto" w:sz="4" w:space="0"/>
              <w:bottom w:val="single" w:color="auto" w:sz="4" w:space="0"/>
              <w:right w:val="single" w:color="auto" w:sz="4" w:space="0"/>
            </w:tcBorders>
            <w:vAlign w:val="center"/>
          </w:tcPr>
          <w:p>
            <w:pPr>
              <w:pStyle w:val="72"/>
              <w:spacing w:line="240" w:lineRule="exact"/>
              <w:ind w:right="-17" w:firstLine="25" w:firstLineChars="12"/>
              <w:jc w:val="center"/>
              <w:rPr>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pStyle w:val="72"/>
              <w:spacing w:before="5"/>
              <w:jc w:val="center"/>
              <w:rPr>
                <w:szCs w:val="21"/>
              </w:rPr>
            </w:pPr>
            <w:r>
              <w:rPr>
                <w:szCs w:val="21"/>
              </w:rPr>
              <w:t>履约</w:t>
            </w:r>
          </w:p>
          <w:p>
            <w:pPr>
              <w:pStyle w:val="72"/>
              <w:spacing w:before="5"/>
              <w:jc w:val="center"/>
              <w:rPr>
                <w:szCs w:val="21"/>
              </w:rPr>
            </w:pPr>
            <w:r>
              <w:rPr>
                <w:szCs w:val="21"/>
              </w:rPr>
              <w:t>信誉</w:t>
            </w:r>
          </w:p>
        </w:tc>
        <w:tc>
          <w:tcPr>
            <w:tcW w:w="1063" w:type="dxa"/>
            <w:tcBorders>
              <w:top w:val="single" w:color="auto" w:sz="4" w:space="0"/>
              <w:left w:val="single" w:color="auto" w:sz="4" w:space="0"/>
              <w:bottom w:val="single" w:color="auto" w:sz="4" w:space="0"/>
              <w:right w:val="single" w:color="auto" w:sz="4" w:space="0"/>
            </w:tcBorders>
            <w:vAlign w:val="center"/>
          </w:tcPr>
          <w:p>
            <w:pPr>
              <w:pStyle w:val="72"/>
              <w:spacing w:before="5"/>
              <w:jc w:val="center"/>
              <w:rPr>
                <w:szCs w:val="21"/>
              </w:rPr>
            </w:pPr>
            <w:r>
              <w:rPr>
                <w:szCs w:val="21"/>
                <w:u w:val="single"/>
              </w:rPr>
              <w:t>10</w:t>
            </w:r>
            <w:r>
              <w:rPr>
                <w:szCs w:val="21"/>
              </w:rPr>
              <w:t>分</w:t>
            </w:r>
          </w:p>
        </w:tc>
        <w:tc>
          <w:tcPr>
            <w:tcW w:w="594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left"/>
              <w:rPr>
                <w:szCs w:val="21"/>
              </w:rPr>
            </w:pPr>
            <w:r>
              <w:rPr>
                <w:rFonts w:hint="eastAsia"/>
                <w:szCs w:val="21"/>
              </w:rPr>
              <w:t>（1）投标人具备《ISO9001 质量管理体系认证》证书，且证书在有效期内，得4分；</w:t>
            </w:r>
          </w:p>
          <w:p>
            <w:pPr>
              <w:autoSpaceDE w:val="0"/>
              <w:autoSpaceDN w:val="0"/>
              <w:jc w:val="left"/>
              <w:rPr>
                <w:szCs w:val="21"/>
              </w:rPr>
            </w:pPr>
            <w:r>
              <w:rPr>
                <w:rFonts w:hint="eastAsia"/>
                <w:szCs w:val="21"/>
              </w:rPr>
              <w:t>（2）投标人具备《ISO14001 环境管理体系认证》证书，且证书在有效期内，得3分；</w:t>
            </w:r>
          </w:p>
          <w:p>
            <w:pPr>
              <w:rPr>
                <w:szCs w:val="21"/>
              </w:rPr>
            </w:pPr>
            <w:r>
              <w:rPr>
                <w:rFonts w:hint="eastAsia"/>
                <w:szCs w:val="21"/>
              </w:rPr>
              <w:t>（3）投标人具备《ISO45001 职业健康安全管理体系认证》证书，且证书在有效期内，得3分。以投标人提供的体系认证证书复印件为准。</w:t>
            </w:r>
          </w:p>
        </w:tc>
      </w:tr>
      <w:tr>
        <w:tblPrEx>
          <w:tblCellMar>
            <w:top w:w="0" w:type="dxa"/>
            <w:left w:w="0" w:type="dxa"/>
            <w:bottom w:w="0" w:type="dxa"/>
            <w:right w:w="0" w:type="dxa"/>
          </w:tblCellMar>
        </w:tblPrEx>
        <w:trPr>
          <w:trHeight w:val="1136" w:hRule="atLeast"/>
          <w:jc w:val="center"/>
        </w:trPr>
        <w:tc>
          <w:tcPr>
            <w:tcW w:w="9637" w:type="dxa"/>
            <w:gridSpan w:val="7"/>
            <w:tcBorders>
              <w:top w:val="single" w:color="auto" w:sz="4" w:space="0"/>
              <w:left w:val="single" w:color="auto" w:sz="4" w:space="0"/>
              <w:bottom w:val="single" w:color="auto" w:sz="4" w:space="0"/>
              <w:right w:val="single" w:color="auto" w:sz="4" w:space="0"/>
            </w:tcBorders>
            <w:vAlign w:val="center"/>
          </w:tcPr>
          <w:p>
            <w:pPr>
              <w:pStyle w:val="73"/>
              <w:ind w:firstLine="315" w:firstLineChars="150"/>
              <w:rPr>
                <w:bCs/>
                <w:color w:val="auto"/>
                <w:sz w:val="21"/>
                <w:szCs w:val="21"/>
              </w:rPr>
            </w:pPr>
            <w:r>
              <w:rPr>
                <w:rFonts w:hint="eastAsia" w:hAnsi="宋体"/>
                <w:color w:val="auto"/>
                <w:sz w:val="21"/>
                <w:szCs w:val="21"/>
              </w:rPr>
              <w:t>需要补充的其他内容：</w:t>
            </w:r>
            <w:r>
              <w:rPr>
                <w:bCs/>
                <w:color w:val="auto"/>
                <w:sz w:val="21"/>
                <w:szCs w:val="21"/>
              </w:rPr>
              <w:t>评标委员会对投标文件进行评审后，因有效投标不足3个使得投标明显缺乏竞争的，可以否决全部投标。未否决全部投标的，评标委员会应当在评标报告中阐明理由。</w:t>
            </w:r>
            <w:r>
              <w:rPr>
                <w:rFonts w:hint="eastAsia"/>
                <w:bCs/>
                <w:color w:val="auto"/>
                <w:sz w:val="21"/>
                <w:szCs w:val="21"/>
              </w:rPr>
              <w:t>评标委员会成员应当按照评标办法的规定，独立评分并署名。</w:t>
            </w:r>
          </w:p>
        </w:tc>
      </w:tr>
    </w:tbl>
    <w:p>
      <w:pPr>
        <w:pStyle w:val="73"/>
        <w:jc w:val="both"/>
        <w:rPr>
          <w:color w:val="auto"/>
          <w:sz w:val="20"/>
          <w:szCs w:val="20"/>
        </w:rPr>
        <w:sectPr>
          <w:footnotePr>
            <w:numFmt w:val="decimalEnclosedCircle"/>
            <w:numRestart w:val="eachPage"/>
          </w:footnotePr>
          <w:pgSz w:w="11907" w:h="16840"/>
          <w:pgMar w:top="1451" w:right="1361" w:bottom="1468" w:left="1417" w:header="720" w:footer="720" w:gutter="0"/>
          <w:cols w:space="720" w:num="1"/>
          <w:titlePg/>
        </w:sectPr>
      </w:pPr>
      <w:r>
        <w:rPr>
          <w:rFonts w:hint="eastAsia"/>
          <w:color w:val="auto"/>
          <w:sz w:val="20"/>
          <w:szCs w:val="20"/>
        </w:rPr>
        <w:t>注：各评分因素（评标价除外）得分一般不得低于其权重分值的60%，且各评分因素得分应以评标委员会各成员的打分平均值确定，评标委员会成员总数为7（含7人）人以上时，该平均值以去掉一个最高分和一个最低分后计算，保留2位小数。评标委员会成员对某一项评分因素的评分低于权重分值60%的，应在评标报告中作出说明。</w:t>
      </w:r>
    </w:p>
    <w:p>
      <w:pPr>
        <w:pStyle w:val="73"/>
        <w:spacing w:before="120" w:after="120" w:line="420" w:lineRule="exact"/>
        <w:rPr>
          <w:rFonts w:ascii="黑体" w:eastAsia="黑体"/>
          <w:b/>
          <w:color w:val="auto"/>
        </w:rPr>
      </w:pPr>
      <w:r>
        <w:rPr>
          <w:rFonts w:hint="eastAsia" w:ascii="黑体" w:eastAsia="黑体"/>
          <w:b/>
          <w:color w:val="auto"/>
        </w:rPr>
        <w:t>1.评标方法</w:t>
      </w:r>
    </w:p>
    <w:p>
      <w:pPr>
        <w:pStyle w:val="73"/>
        <w:spacing w:before="120" w:after="120" w:line="420" w:lineRule="exact"/>
        <w:ind w:firstLine="480" w:firstLineChars="200"/>
        <w:jc w:val="both"/>
        <w:rPr>
          <w:color w:val="auto"/>
        </w:rPr>
      </w:pPr>
      <w:r>
        <w:rPr>
          <w:rFonts w:hint="eastAsia"/>
          <w:color w:val="auto"/>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pStyle w:val="73"/>
        <w:spacing w:before="120" w:after="120" w:line="420" w:lineRule="exact"/>
        <w:rPr>
          <w:rFonts w:ascii="黑体" w:eastAsia="黑体"/>
          <w:color w:val="auto"/>
        </w:rPr>
      </w:pPr>
      <w:r>
        <w:rPr>
          <w:rFonts w:hint="eastAsia" w:ascii="黑体" w:eastAsia="黑体"/>
          <w:b/>
          <w:color w:val="auto"/>
        </w:rPr>
        <w:t>2.评审标准</w:t>
      </w:r>
    </w:p>
    <w:p>
      <w:pPr>
        <w:pStyle w:val="73"/>
        <w:spacing w:before="120" w:after="120" w:line="420" w:lineRule="exact"/>
        <w:jc w:val="both"/>
        <w:rPr>
          <w:b/>
          <w:color w:val="auto"/>
        </w:rPr>
      </w:pPr>
      <w:r>
        <w:rPr>
          <w:rFonts w:hint="eastAsia"/>
          <w:b/>
          <w:color w:val="auto"/>
        </w:rPr>
        <w:t>2.1 初步评审标准</w:t>
      </w:r>
    </w:p>
    <w:p>
      <w:pPr>
        <w:pStyle w:val="73"/>
        <w:spacing w:line="420" w:lineRule="exact"/>
        <w:ind w:firstLine="480" w:firstLineChars="200"/>
        <w:rPr>
          <w:color w:val="auto"/>
        </w:rPr>
      </w:pPr>
      <w:r>
        <w:rPr>
          <w:rFonts w:hint="eastAsia"/>
          <w:color w:val="auto"/>
        </w:rPr>
        <w:t>2.1.1 形式评审标准：见评标办法前附表。</w:t>
      </w:r>
    </w:p>
    <w:p>
      <w:pPr>
        <w:pStyle w:val="73"/>
        <w:spacing w:line="420" w:lineRule="exact"/>
        <w:ind w:firstLine="480" w:firstLineChars="200"/>
        <w:rPr>
          <w:color w:val="auto"/>
        </w:rPr>
      </w:pPr>
      <w:r>
        <w:rPr>
          <w:rFonts w:hint="eastAsia"/>
          <w:color w:val="auto"/>
        </w:rPr>
        <w:t>2.1.2 资格评审标准：见评标办法前附表。</w:t>
      </w:r>
    </w:p>
    <w:p>
      <w:pPr>
        <w:pStyle w:val="73"/>
        <w:spacing w:line="420" w:lineRule="exact"/>
        <w:ind w:firstLine="480" w:firstLineChars="200"/>
        <w:jc w:val="both"/>
        <w:rPr>
          <w:color w:val="auto"/>
        </w:rPr>
      </w:pPr>
      <w:r>
        <w:rPr>
          <w:rFonts w:hint="eastAsia"/>
          <w:color w:val="auto"/>
        </w:rPr>
        <w:t>2.1.3 响应性评审标准：见评标办法前附表。</w:t>
      </w:r>
    </w:p>
    <w:p>
      <w:pPr>
        <w:pStyle w:val="73"/>
        <w:spacing w:line="420" w:lineRule="exact"/>
        <w:jc w:val="both"/>
        <w:rPr>
          <w:rFonts w:cs="黑体"/>
          <w:b/>
          <w:color w:val="auto"/>
        </w:rPr>
      </w:pPr>
      <w:r>
        <w:rPr>
          <w:rFonts w:hint="eastAsia" w:cs="黑体"/>
          <w:b/>
          <w:color w:val="auto"/>
        </w:rPr>
        <w:t>2.2</w:t>
      </w:r>
      <w:r>
        <w:rPr>
          <w:b/>
          <w:color w:val="auto"/>
        </w:rPr>
        <w:t xml:space="preserve"> </w:t>
      </w:r>
      <w:r>
        <w:rPr>
          <w:rFonts w:hint="eastAsia" w:cs="黑体"/>
          <w:b/>
          <w:color w:val="auto"/>
        </w:rPr>
        <w:t>分值构成与评分标准</w:t>
      </w:r>
    </w:p>
    <w:p>
      <w:pPr>
        <w:pStyle w:val="73"/>
        <w:spacing w:line="420" w:lineRule="exact"/>
        <w:ind w:firstLine="480" w:firstLineChars="200"/>
        <w:jc w:val="both"/>
        <w:rPr>
          <w:color w:val="auto"/>
        </w:rPr>
      </w:pPr>
      <w:r>
        <w:rPr>
          <w:rFonts w:hint="eastAsia"/>
          <w:color w:val="auto"/>
        </w:rPr>
        <w:t>2.2.1</w:t>
      </w:r>
      <w:r>
        <w:rPr>
          <w:color w:val="auto"/>
        </w:rPr>
        <w:t xml:space="preserve"> </w:t>
      </w:r>
      <w:r>
        <w:rPr>
          <w:rFonts w:hint="eastAsia"/>
          <w:color w:val="auto"/>
        </w:rPr>
        <w:t>分值构成</w:t>
      </w:r>
    </w:p>
    <w:p>
      <w:pPr>
        <w:pStyle w:val="73"/>
        <w:spacing w:line="420" w:lineRule="exact"/>
        <w:ind w:firstLine="480" w:firstLineChars="200"/>
        <w:jc w:val="both"/>
        <w:rPr>
          <w:color w:val="auto"/>
        </w:rPr>
      </w:pPr>
      <w:r>
        <w:rPr>
          <w:rFonts w:hint="eastAsia"/>
          <w:color w:val="auto"/>
        </w:rPr>
        <w:t>（1）</w:t>
      </w:r>
      <w:r>
        <w:rPr>
          <w:color w:val="auto"/>
        </w:rPr>
        <w:t>技术建议书</w:t>
      </w:r>
      <w:r>
        <w:rPr>
          <w:rFonts w:hint="eastAsia"/>
          <w:color w:val="auto"/>
        </w:rPr>
        <w:t>：</w:t>
      </w:r>
      <w:r>
        <w:rPr>
          <w:color w:val="auto"/>
        </w:rPr>
        <w:t>见评标办法前附表</w:t>
      </w:r>
      <w:r>
        <w:rPr>
          <w:rFonts w:hint="eastAsia"/>
          <w:color w:val="auto"/>
        </w:rPr>
        <w:t>；</w:t>
      </w:r>
    </w:p>
    <w:p>
      <w:pPr>
        <w:pStyle w:val="73"/>
        <w:spacing w:line="420" w:lineRule="exact"/>
        <w:ind w:firstLine="480" w:firstLineChars="200"/>
        <w:jc w:val="both"/>
        <w:rPr>
          <w:color w:val="auto"/>
        </w:rPr>
      </w:pPr>
      <w:r>
        <w:rPr>
          <w:rFonts w:hint="eastAsia"/>
          <w:color w:val="auto"/>
        </w:rPr>
        <w:t>（2）</w:t>
      </w:r>
      <w:r>
        <w:rPr>
          <w:color w:val="auto"/>
        </w:rPr>
        <w:t>主要人员</w:t>
      </w:r>
      <w:r>
        <w:rPr>
          <w:rFonts w:hint="eastAsia"/>
          <w:color w:val="auto"/>
        </w:rPr>
        <w:t>：</w:t>
      </w:r>
      <w:r>
        <w:rPr>
          <w:color w:val="auto"/>
        </w:rPr>
        <w:t>见评标办法前附表</w:t>
      </w:r>
      <w:r>
        <w:rPr>
          <w:rFonts w:hint="eastAsia"/>
          <w:color w:val="auto"/>
        </w:rPr>
        <w:t>；</w:t>
      </w:r>
    </w:p>
    <w:p>
      <w:pPr>
        <w:pStyle w:val="73"/>
        <w:spacing w:line="420" w:lineRule="exact"/>
        <w:ind w:firstLine="480" w:firstLineChars="200"/>
        <w:jc w:val="both"/>
        <w:rPr>
          <w:color w:val="auto"/>
        </w:rPr>
      </w:pPr>
      <w:r>
        <w:rPr>
          <w:rFonts w:hint="eastAsia"/>
          <w:color w:val="auto"/>
        </w:rPr>
        <w:t>（3）</w:t>
      </w:r>
      <w:r>
        <w:rPr>
          <w:color w:val="auto"/>
        </w:rPr>
        <w:t>评标价</w:t>
      </w:r>
      <w:r>
        <w:rPr>
          <w:rFonts w:hint="eastAsia"/>
          <w:color w:val="auto"/>
        </w:rPr>
        <w:t>：</w:t>
      </w:r>
      <w:r>
        <w:rPr>
          <w:color w:val="auto"/>
        </w:rPr>
        <w:t>见评标办法前附表</w:t>
      </w:r>
      <w:r>
        <w:rPr>
          <w:rFonts w:hint="eastAsia"/>
          <w:color w:val="auto"/>
        </w:rPr>
        <w:t>；</w:t>
      </w:r>
    </w:p>
    <w:p>
      <w:pPr>
        <w:pStyle w:val="73"/>
        <w:spacing w:line="420" w:lineRule="exact"/>
        <w:ind w:firstLine="480" w:firstLineChars="200"/>
        <w:jc w:val="both"/>
        <w:rPr>
          <w:color w:val="auto"/>
        </w:rPr>
      </w:pPr>
      <w:r>
        <w:rPr>
          <w:rFonts w:hint="eastAsia"/>
          <w:color w:val="auto"/>
        </w:rPr>
        <w:t>（4）</w:t>
      </w:r>
      <w:r>
        <w:rPr>
          <w:color w:val="auto"/>
        </w:rPr>
        <w:t>其他评分因素</w:t>
      </w:r>
      <w:r>
        <w:rPr>
          <w:rFonts w:hint="eastAsia"/>
          <w:color w:val="auto"/>
        </w:rPr>
        <w:t>：</w:t>
      </w:r>
      <w:r>
        <w:rPr>
          <w:color w:val="auto"/>
        </w:rPr>
        <w:t>见评标办法前附表。</w:t>
      </w:r>
    </w:p>
    <w:p>
      <w:pPr>
        <w:pStyle w:val="73"/>
        <w:spacing w:line="420" w:lineRule="exact"/>
        <w:ind w:firstLine="480" w:firstLineChars="200"/>
        <w:jc w:val="both"/>
        <w:rPr>
          <w:color w:val="auto"/>
        </w:rPr>
      </w:pPr>
      <w:r>
        <w:rPr>
          <w:rFonts w:hint="eastAsia"/>
          <w:color w:val="auto"/>
        </w:rPr>
        <w:t>2.2.2 评标基准价计算</w:t>
      </w:r>
    </w:p>
    <w:p>
      <w:pPr>
        <w:pStyle w:val="73"/>
        <w:spacing w:line="420" w:lineRule="exact"/>
        <w:ind w:firstLine="480" w:firstLineChars="200"/>
        <w:jc w:val="both"/>
        <w:rPr>
          <w:color w:val="auto"/>
        </w:rPr>
      </w:pPr>
      <w:r>
        <w:rPr>
          <w:rFonts w:hint="eastAsia"/>
          <w:color w:val="auto"/>
        </w:rPr>
        <w:t>评标基准价计算方法：</w:t>
      </w:r>
      <w:r>
        <w:rPr>
          <w:color w:val="auto"/>
        </w:rPr>
        <w:t>见评标办法前附表。</w:t>
      </w:r>
    </w:p>
    <w:p>
      <w:pPr>
        <w:pStyle w:val="73"/>
        <w:spacing w:line="420" w:lineRule="exact"/>
        <w:ind w:firstLine="480" w:firstLineChars="200"/>
        <w:jc w:val="both"/>
        <w:rPr>
          <w:color w:val="auto"/>
        </w:rPr>
      </w:pPr>
      <w:r>
        <w:rPr>
          <w:rFonts w:hint="eastAsia"/>
          <w:color w:val="auto"/>
        </w:rPr>
        <w:t>2.2.3 评标价的偏差率计算</w:t>
      </w:r>
    </w:p>
    <w:p>
      <w:pPr>
        <w:pStyle w:val="73"/>
        <w:spacing w:line="420" w:lineRule="exact"/>
        <w:ind w:firstLine="480" w:firstLineChars="200"/>
        <w:jc w:val="both"/>
        <w:rPr>
          <w:color w:val="auto"/>
        </w:rPr>
      </w:pPr>
      <w:r>
        <w:rPr>
          <w:rFonts w:hint="eastAsia"/>
          <w:color w:val="auto"/>
        </w:rPr>
        <w:t>评标价的偏差率计算公式：</w:t>
      </w:r>
      <w:r>
        <w:rPr>
          <w:color w:val="auto"/>
        </w:rPr>
        <w:t>见评标办法前附表。</w:t>
      </w:r>
    </w:p>
    <w:p>
      <w:pPr>
        <w:pStyle w:val="73"/>
        <w:spacing w:line="420" w:lineRule="exact"/>
        <w:ind w:firstLine="480" w:firstLineChars="200"/>
        <w:jc w:val="both"/>
        <w:rPr>
          <w:rFonts w:cs="黑体"/>
          <w:color w:val="auto"/>
        </w:rPr>
      </w:pPr>
      <w:r>
        <w:rPr>
          <w:rFonts w:hint="eastAsia" w:cs="黑体"/>
          <w:color w:val="auto"/>
        </w:rPr>
        <w:t>2.2.4 评分标准</w:t>
      </w:r>
    </w:p>
    <w:p>
      <w:pPr>
        <w:pStyle w:val="73"/>
        <w:spacing w:line="420" w:lineRule="exact"/>
        <w:ind w:firstLine="480" w:firstLineChars="200"/>
        <w:rPr>
          <w:rFonts w:cs="黑体"/>
          <w:color w:val="auto"/>
        </w:rPr>
      </w:pPr>
      <w:r>
        <w:rPr>
          <w:rFonts w:hint="eastAsia" w:cs="黑体"/>
          <w:color w:val="auto"/>
        </w:rPr>
        <w:t>（1）技术建议书评分标准：见评标办法前附表；</w:t>
      </w:r>
    </w:p>
    <w:p>
      <w:pPr>
        <w:pStyle w:val="73"/>
        <w:spacing w:line="420" w:lineRule="exact"/>
        <w:ind w:firstLine="480" w:firstLineChars="200"/>
        <w:rPr>
          <w:rFonts w:cs="黑体"/>
          <w:color w:val="auto"/>
        </w:rPr>
      </w:pPr>
      <w:r>
        <w:rPr>
          <w:rFonts w:hint="eastAsia" w:cs="黑体"/>
          <w:color w:val="auto"/>
        </w:rPr>
        <w:t>（2）主要人员评分标准：见评标办法前附表；</w:t>
      </w:r>
    </w:p>
    <w:p>
      <w:pPr>
        <w:pStyle w:val="73"/>
        <w:spacing w:line="420" w:lineRule="exact"/>
        <w:ind w:firstLine="480" w:firstLineChars="200"/>
        <w:rPr>
          <w:rFonts w:cs="黑体"/>
          <w:color w:val="auto"/>
        </w:rPr>
      </w:pPr>
      <w:r>
        <w:rPr>
          <w:rFonts w:hint="eastAsia" w:cs="黑体"/>
          <w:color w:val="auto"/>
        </w:rPr>
        <w:t>（3）评标价评分标准：见评标办法前附表；</w:t>
      </w:r>
    </w:p>
    <w:p>
      <w:pPr>
        <w:pStyle w:val="73"/>
        <w:spacing w:line="420" w:lineRule="exact"/>
        <w:ind w:firstLine="480" w:firstLineChars="200"/>
        <w:jc w:val="both"/>
        <w:rPr>
          <w:rFonts w:cs="黑体"/>
          <w:color w:val="auto"/>
        </w:rPr>
      </w:pPr>
      <w:r>
        <w:rPr>
          <w:rFonts w:hint="eastAsia" w:cs="黑体"/>
          <w:color w:val="auto"/>
        </w:rPr>
        <w:t>（4）其他因素评分标准：见评标办法前附表。</w:t>
      </w:r>
    </w:p>
    <w:p>
      <w:pPr>
        <w:pStyle w:val="73"/>
        <w:spacing w:line="420" w:lineRule="exact"/>
        <w:jc w:val="both"/>
        <w:rPr>
          <w:rFonts w:cs="黑体"/>
          <w:b/>
          <w:color w:val="auto"/>
        </w:rPr>
      </w:pPr>
      <w:r>
        <w:rPr>
          <w:rFonts w:hint="eastAsia" w:ascii="黑体" w:eastAsia="黑体"/>
          <w:b/>
          <w:color w:val="auto"/>
        </w:rPr>
        <w:t>3.评标程序</w:t>
      </w:r>
    </w:p>
    <w:p>
      <w:pPr>
        <w:pStyle w:val="73"/>
        <w:spacing w:line="420" w:lineRule="exact"/>
        <w:jc w:val="both"/>
        <w:rPr>
          <w:rFonts w:cs="黑体"/>
          <w:b/>
          <w:color w:val="auto"/>
        </w:rPr>
      </w:pPr>
      <w:r>
        <w:rPr>
          <w:rFonts w:hint="eastAsia" w:cs="黑体"/>
          <w:b/>
          <w:color w:val="auto"/>
        </w:rPr>
        <w:t>3.1 第一个信封初步评审</w:t>
      </w:r>
    </w:p>
    <w:p>
      <w:pPr>
        <w:pStyle w:val="73"/>
        <w:spacing w:line="420" w:lineRule="exact"/>
        <w:ind w:firstLine="480" w:firstLineChars="200"/>
        <w:rPr>
          <w:color w:val="auto"/>
        </w:rPr>
      </w:pPr>
      <w:r>
        <w:rPr>
          <w:rFonts w:hint="eastAsia"/>
          <w:color w:val="auto"/>
        </w:rPr>
        <w:t>3.1.1 评标委员会可以要求投标人提交第二章“投标人须知”第 3.5.1 项至第 3.5.5项规定的有关证明和证件的原件，以便核验。评标委员会依据本章第2.1 款规定的标准对投标文件第一个信封（商务及技术文件）进行初步评审。有一项不符合评审标准的，评标委员会应否决其投标。</w:t>
      </w:r>
    </w:p>
    <w:p>
      <w:pPr>
        <w:spacing w:before="120" w:after="120" w:line="420" w:lineRule="exact"/>
        <w:jc w:val="left"/>
        <w:rPr>
          <w:rFonts w:cs="黑体"/>
          <w:b/>
          <w:sz w:val="24"/>
        </w:rPr>
      </w:pPr>
      <w:r>
        <w:rPr>
          <w:rFonts w:hint="eastAsia" w:cs="黑体"/>
          <w:b/>
          <w:sz w:val="24"/>
        </w:rPr>
        <w:t>3.2</w:t>
      </w:r>
      <w:r>
        <w:rPr>
          <w:rFonts w:hint="eastAsia"/>
          <w:b/>
          <w:sz w:val="24"/>
        </w:rPr>
        <w:t xml:space="preserve"> 第一个信封详细评审</w:t>
      </w:r>
    </w:p>
    <w:p>
      <w:pPr>
        <w:pStyle w:val="73"/>
        <w:spacing w:line="420" w:lineRule="exact"/>
        <w:ind w:firstLine="480" w:firstLineChars="200"/>
        <w:rPr>
          <w:color w:val="auto"/>
          <w:kern w:val="2"/>
        </w:rPr>
      </w:pPr>
      <w:r>
        <w:rPr>
          <w:rFonts w:hint="eastAsia"/>
          <w:color w:val="auto"/>
          <w:kern w:val="2"/>
        </w:rPr>
        <w:t>3.2.1 评标委员会按本章第2.2款规定的量化因素和分值进行打分，并计算出各投标人的</w:t>
      </w:r>
      <w:r>
        <w:rPr>
          <w:color w:val="auto"/>
        </w:rPr>
        <w:t>商务和技术得分</w:t>
      </w:r>
      <w:r>
        <w:rPr>
          <w:rFonts w:hint="eastAsia"/>
          <w:color w:val="auto"/>
          <w:kern w:val="2"/>
        </w:rPr>
        <w:t xml:space="preserve"> 。</w:t>
      </w:r>
    </w:p>
    <w:p>
      <w:pPr>
        <w:pStyle w:val="73"/>
        <w:spacing w:line="420" w:lineRule="exact"/>
        <w:ind w:firstLine="480" w:firstLineChars="200"/>
        <w:rPr>
          <w:color w:val="auto"/>
          <w:kern w:val="2"/>
        </w:rPr>
      </w:pPr>
      <w:r>
        <w:rPr>
          <w:rFonts w:hint="eastAsia"/>
          <w:color w:val="auto"/>
          <w:kern w:val="2"/>
        </w:rPr>
        <w:t>（1）按本章第2.2.4项（1）目规定的评审因素和分值对技术建议书部分计算出得分A；</w:t>
      </w:r>
    </w:p>
    <w:p>
      <w:pPr>
        <w:pStyle w:val="73"/>
        <w:spacing w:line="420" w:lineRule="exact"/>
        <w:ind w:firstLine="480" w:firstLineChars="200"/>
        <w:rPr>
          <w:color w:val="auto"/>
          <w:kern w:val="2"/>
        </w:rPr>
      </w:pPr>
      <w:r>
        <w:rPr>
          <w:rFonts w:hint="eastAsia"/>
          <w:color w:val="auto"/>
          <w:kern w:val="2"/>
        </w:rPr>
        <w:t>（2）按本章第2.2.4项（2）目规定的评审因素和分值对主要人员部分计算出得分B；</w:t>
      </w:r>
    </w:p>
    <w:p>
      <w:pPr>
        <w:pStyle w:val="73"/>
        <w:spacing w:line="420" w:lineRule="exact"/>
        <w:ind w:firstLine="480" w:firstLineChars="200"/>
        <w:rPr>
          <w:color w:val="auto"/>
          <w:kern w:val="2"/>
        </w:rPr>
      </w:pPr>
      <w:r>
        <w:rPr>
          <w:rFonts w:hint="eastAsia"/>
          <w:color w:val="auto"/>
          <w:kern w:val="2"/>
        </w:rPr>
        <w:t>（3）按本章第2.2.4项（4）目规定的评审因素和分值对其他部分计算出得分D。</w:t>
      </w:r>
    </w:p>
    <w:p>
      <w:pPr>
        <w:pStyle w:val="73"/>
        <w:spacing w:line="420" w:lineRule="exact"/>
        <w:ind w:firstLine="480" w:firstLineChars="200"/>
        <w:rPr>
          <w:color w:val="auto"/>
          <w:kern w:val="2"/>
        </w:rPr>
      </w:pPr>
      <w:r>
        <w:rPr>
          <w:rFonts w:hint="eastAsia"/>
          <w:color w:val="auto"/>
          <w:kern w:val="2"/>
        </w:rPr>
        <w:t>3.2.2 投标人的</w:t>
      </w:r>
      <w:r>
        <w:rPr>
          <w:color w:val="auto"/>
        </w:rPr>
        <w:t>商务和技术得分</w:t>
      </w:r>
      <w:r>
        <w:rPr>
          <w:rFonts w:hint="eastAsia"/>
          <w:color w:val="auto"/>
          <w:kern w:val="2"/>
        </w:rPr>
        <w:t>分值计算保留小数点后两位，小数点后第三位“四舍五入”。</w:t>
      </w:r>
    </w:p>
    <w:p>
      <w:pPr>
        <w:pStyle w:val="73"/>
        <w:spacing w:line="420" w:lineRule="exact"/>
        <w:ind w:firstLine="480" w:firstLineChars="200"/>
        <w:jc w:val="both"/>
        <w:rPr>
          <w:color w:val="auto"/>
          <w:kern w:val="2"/>
        </w:rPr>
      </w:pPr>
      <w:r>
        <w:rPr>
          <w:rFonts w:hint="eastAsia"/>
          <w:color w:val="auto"/>
          <w:kern w:val="2"/>
        </w:rPr>
        <w:t>3.2.3 投标人</w:t>
      </w:r>
      <w:r>
        <w:rPr>
          <w:color w:val="auto"/>
        </w:rPr>
        <w:t>商务和技术得分</w:t>
      </w:r>
      <w:r>
        <w:rPr>
          <w:rFonts w:hint="eastAsia"/>
          <w:color w:val="auto"/>
          <w:kern w:val="2"/>
        </w:rPr>
        <w:t>得分=A+B+D。</w:t>
      </w:r>
    </w:p>
    <w:p>
      <w:pPr>
        <w:pStyle w:val="73"/>
        <w:spacing w:line="420" w:lineRule="exact"/>
        <w:jc w:val="both"/>
        <w:rPr>
          <w:color w:val="auto"/>
        </w:rPr>
      </w:pPr>
      <w:r>
        <w:rPr>
          <w:rFonts w:hint="eastAsia" w:cs="黑体"/>
          <w:b/>
          <w:color w:val="auto"/>
        </w:rPr>
        <w:t xml:space="preserve">3.3 </w:t>
      </w:r>
      <w:r>
        <w:rPr>
          <w:rFonts w:hint="eastAsia"/>
          <w:b/>
          <w:color w:val="auto"/>
        </w:rPr>
        <w:t>第二个信封开标</w:t>
      </w:r>
    </w:p>
    <w:p>
      <w:pPr>
        <w:pStyle w:val="73"/>
        <w:spacing w:line="420" w:lineRule="exact"/>
        <w:ind w:firstLine="480" w:firstLineChars="200"/>
        <w:jc w:val="both"/>
        <w:rPr>
          <w:color w:val="auto"/>
        </w:rPr>
      </w:pPr>
      <w:r>
        <w:rPr>
          <w:rFonts w:hint="eastAsia"/>
          <w:color w:val="auto"/>
        </w:rPr>
        <w:t>第一个信封（商务及技术文件）评审结束后，招标人将按照第二章 “投标人须知”第5.1款规定的时间和地点对通过投标文件第一个信封（商务及技术文件）评审的投标文件第二个信封（报价文件）进行开标。</w:t>
      </w:r>
    </w:p>
    <w:p>
      <w:pPr>
        <w:pStyle w:val="73"/>
        <w:spacing w:line="420" w:lineRule="exact"/>
        <w:jc w:val="both"/>
        <w:rPr>
          <w:b/>
          <w:color w:val="auto"/>
        </w:rPr>
      </w:pPr>
      <w:r>
        <w:rPr>
          <w:rFonts w:hint="eastAsia"/>
          <w:b/>
          <w:color w:val="auto"/>
        </w:rPr>
        <w:t>3.4 第二个信封初步评审</w:t>
      </w:r>
    </w:p>
    <w:p>
      <w:pPr>
        <w:pStyle w:val="73"/>
        <w:spacing w:line="420" w:lineRule="exact"/>
        <w:ind w:firstLine="480" w:firstLineChars="200"/>
        <w:jc w:val="both"/>
        <w:rPr>
          <w:color w:val="auto"/>
        </w:rPr>
      </w:pPr>
      <w:r>
        <w:rPr>
          <w:rFonts w:hint="eastAsia"/>
          <w:color w:val="auto"/>
        </w:rPr>
        <w:t>3.4.1 评标委员会依据本章第2.1.1项、第2.1.3项规定的评审标准对投标文件第二个信封（报价文件）进行初步评审。有一项不符合评审标准的，评标委员会应否决其投标。</w:t>
      </w:r>
    </w:p>
    <w:p>
      <w:pPr>
        <w:pStyle w:val="73"/>
        <w:spacing w:line="420" w:lineRule="exact"/>
        <w:ind w:firstLine="480" w:firstLineChars="200"/>
        <w:jc w:val="both"/>
        <w:rPr>
          <w:color w:val="auto"/>
        </w:rPr>
      </w:pPr>
      <w:r>
        <w:rPr>
          <w:rFonts w:hint="eastAsia"/>
          <w:color w:val="auto"/>
        </w:rPr>
        <w:t>3.4.2 投标报价有算数错误的，评标委员会按以下原则对投标报价进行修正，修正的价格经投标人书面确认后具有约束力。投标人不接受修正价格的，评标委员会应否决其投标。</w:t>
      </w:r>
    </w:p>
    <w:p>
      <w:pPr>
        <w:pStyle w:val="73"/>
        <w:spacing w:line="420" w:lineRule="exact"/>
        <w:ind w:firstLine="480" w:firstLineChars="200"/>
        <w:jc w:val="both"/>
        <w:rPr>
          <w:color w:val="auto"/>
        </w:rPr>
      </w:pPr>
      <w:r>
        <w:rPr>
          <w:rFonts w:hint="eastAsia"/>
          <w:color w:val="auto"/>
        </w:rPr>
        <w:t>（1）投标文件中的大写金额与小写金额不一致的，以大写金额为准；</w:t>
      </w:r>
    </w:p>
    <w:p>
      <w:pPr>
        <w:pStyle w:val="73"/>
        <w:spacing w:line="420" w:lineRule="exact"/>
        <w:ind w:firstLine="480" w:firstLineChars="200"/>
        <w:jc w:val="both"/>
        <w:rPr>
          <w:color w:val="auto"/>
        </w:rPr>
      </w:pPr>
      <w:r>
        <w:rPr>
          <w:rFonts w:hint="eastAsia"/>
          <w:color w:val="auto"/>
        </w:rPr>
        <w:t>（2）总价金额与依据单价计算出的结果不一致的，以单价金额为准修正总价，但单价金额小数点有明显的错误的除外；</w:t>
      </w:r>
    </w:p>
    <w:p>
      <w:pPr>
        <w:pStyle w:val="73"/>
        <w:spacing w:line="420" w:lineRule="exact"/>
        <w:ind w:firstLine="480" w:firstLineChars="200"/>
        <w:jc w:val="both"/>
        <w:rPr>
          <w:color w:val="auto"/>
        </w:rPr>
      </w:pPr>
      <w:r>
        <w:rPr>
          <w:rFonts w:hint="eastAsia"/>
          <w:color w:val="auto"/>
        </w:rPr>
        <w:t>（3）当单价与数量相乘不等于合价时，以单价计算为准，如果单价有明显的小数点位置差错，应以标出的合价为准，同时对单价予以修正；</w:t>
      </w:r>
    </w:p>
    <w:p>
      <w:pPr>
        <w:pStyle w:val="73"/>
        <w:spacing w:line="420" w:lineRule="exact"/>
        <w:ind w:firstLine="480" w:firstLineChars="200"/>
        <w:jc w:val="both"/>
        <w:rPr>
          <w:color w:val="auto"/>
        </w:rPr>
      </w:pPr>
      <w:r>
        <w:rPr>
          <w:rFonts w:hint="eastAsia"/>
          <w:color w:val="auto"/>
        </w:rPr>
        <w:t>（4）当各子目的合价累计不等于总价时，应以各子目合价累计数为准，修正总价。</w:t>
      </w:r>
    </w:p>
    <w:p>
      <w:pPr>
        <w:pStyle w:val="73"/>
        <w:spacing w:line="420" w:lineRule="exact"/>
        <w:ind w:firstLine="480" w:firstLineChars="200"/>
        <w:jc w:val="both"/>
        <w:rPr>
          <w:color w:val="auto"/>
        </w:rPr>
      </w:pPr>
      <w:r>
        <w:rPr>
          <w:rFonts w:hint="eastAsia"/>
          <w:color w:val="auto"/>
        </w:rPr>
        <w:t>3.4.3 修正后的最终投标报价若超过最高投标限价（如有），评标委员会应否决其投标。</w:t>
      </w:r>
    </w:p>
    <w:p>
      <w:pPr>
        <w:pStyle w:val="73"/>
        <w:spacing w:line="420" w:lineRule="exact"/>
        <w:ind w:firstLine="480" w:firstLineChars="200"/>
        <w:jc w:val="both"/>
        <w:rPr>
          <w:color w:val="auto"/>
        </w:rPr>
      </w:pPr>
      <w:r>
        <w:rPr>
          <w:rFonts w:hint="eastAsia"/>
          <w:color w:val="auto"/>
        </w:rPr>
        <w:t>3.4.4 修正后的最终投标报价仅作为签订合同的一个依据，不参与评标价得分的计算。</w:t>
      </w:r>
    </w:p>
    <w:p>
      <w:pPr>
        <w:pStyle w:val="73"/>
        <w:spacing w:before="120" w:after="120" w:line="420" w:lineRule="exact"/>
        <w:jc w:val="both"/>
        <w:rPr>
          <w:b/>
          <w:color w:val="auto"/>
        </w:rPr>
      </w:pPr>
      <w:r>
        <w:rPr>
          <w:rFonts w:hint="eastAsia"/>
          <w:b/>
          <w:color w:val="auto"/>
        </w:rPr>
        <w:t>3.5 第二个信封详细评审</w:t>
      </w:r>
    </w:p>
    <w:p>
      <w:pPr>
        <w:pStyle w:val="73"/>
        <w:spacing w:before="120" w:after="120" w:line="420" w:lineRule="exact"/>
        <w:ind w:firstLine="480" w:firstLineChars="200"/>
        <w:jc w:val="both"/>
        <w:rPr>
          <w:color w:val="auto"/>
        </w:rPr>
      </w:pPr>
      <w:r>
        <w:rPr>
          <w:rFonts w:hint="eastAsia"/>
          <w:color w:val="auto"/>
        </w:rPr>
        <w:t>3.5.1 评标委员会按本章第2.2.4项（3）目规定的评审因素和分值对评标价计算出得分C。评标价得分分值计算保留小数点后两位，小数点后第三位“四舍五入”。</w:t>
      </w:r>
    </w:p>
    <w:p>
      <w:pPr>
        <w:pStyle w:val="73"/>
        <w:spacing w:before="120" w:after="120" w:line="420" w:lineRule="exact"/>
        <w:ind w:firstLine="480" w:firstLineChars="200"/>
        <w:jc w:val="both"/>
        <w:rPr>
          <w:color w:val="auto"/>
        </w:rPr>
      </w:pPr>
      <w:r>
        <w:rPr>
          <w:rFonts w:hint="eastAsia"/>
          <w:color w:val="auto"/>
        </w:rPr>
        <w:t>3.5.2 投标人综合得分=投标人的商务和技术得分+C。</w:t>
      </w:r>
    </w:p>
    <w:p>
      <w:pPr>
        <w:pStyle w:val="73"/>
        <w:spacing w:before="120" w:after="120" w:line="420" w:lineRule="exact"/>
        <w:ind w:firstLine="480" w:firstLineChars="200"/>
        <w:jc w:val="both"/>
        <w:rPr>
          <w:color w:val="auto"/>
        </w:rPr>
      </w:pPr>
      <w:r>
        <w:rPr>
          <w:rFonts w:hint="eastAsia"/>
          <w:color w:val="auto"/>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73"/>
        <w:spacing w:before="120" w:after="120" w:line="420" w:lineRule="exact"/>
        <w:jc w:val="both"/>
        <w:rPr>
          <w:b/>
          <w:color w:val="auto"/>
        </w:rPr>
      </w:pPr>
      <w:r>
        <w:rPr>
          <w:rFonts w:hint="eastAsia"/>
          <w:b/>
          <w:color w:val="auto"/>
        </w:rPr>
        <w:t>3.6 投标文件相关信息的核查</w:t>
      </w:r>
    </w:p>
    <w:p>
      <w:pPr>
        <w:pStyle w:val="73"/>
        <w:spacing w:line="420" w:lineRule="exact"/>
        <w:ind w:firstLine="480" w:firstLineChars="200"/>
        <w:jc w:val="both"/>
        <w:rPr>
          <w:color w:val="auto"/>
        </w:rPr>
      </w:pPr>
      <w:r>
        <w:rPr>
          <w:rFonts w:hint="eastAsia"/>
          <w:color w:val="auto"/>
        </w:rPr>
        <w:t>3.6.1 在评标过程中，评标委员会应对投标人的资质、业绩、主要人员资历和目前在岗情况、信用等级等信息进行核实。</w:t>
      </w:r>
    </w:p>
    <w:p>
      <w:pPr>
        <w:pStyle w:val="73"/>
        <w:spacing w:line="420" w:lineRule="exact"/>
        <w:ind w:firstLine="480" w:firstLineChars="200"/>
        <w:jc w:val="both"/>
        <w:rPr>
          <w:color w:val="auto"/>
        </w:rPr>
      </w:pPr>
      <w:r>
        <w:rPr>
          <w:rFonts w:hint="eastAsia"/>
          <w:color w:val="auto"/>
        </w:rPr>
        <w:t>3.6.2 评标委员会应对在评标过程中发现的投标人与投标人之间、投标人与招标人之间存在的串通投标的情形进行评审和认定。投标人存在串通投标、弄虚作假、行贿等违法行为的，评标委员会应否决其投标。</w:t>
      </w:r>
    </w:p>
    <w:p>
      <w:pPr>
        <w:pStyle w:val="73"/>
        <w:spacing w:line="420" w:lineRule="exact"/>
        <w:ind w:firstLine="480" w:firstLineChars="200"/>
        <w:jc w:val="both"/>
        <w:rPr>
          <w:color w:val="auto"/>
        </w:rPr>
      </w:pPr>
      <w:r>
        <w:rPr>
          <w:rFonts w:hint="eastAsia"/>
          <w:color w:val="auto"/>
        </w:rPr>
        <w:t>（1）有下列情形之一的，属于投标人相互串通投标：</w:t>
      </w:r>
    </w:p>
    <w:p>
      <w:pPr>
        <w:pStyle w:val="73"/>
        <w:spacing w:line="420" w:lineRule="exact"/>
        <w:ind w:firstLine="480" w:firstLineChars="200"/>
        <w:jc w:val="both"/>
        <w:rPr>
          <w:color w:val="auto"/>
        </w:rPr>
      </w:pPr>
      <w:r>
        <w:rPr>
          <w:rFonts w:hint="eastAsia"/>
          <w:color w:val="auto"/>
        </w:rPr>
        <w:t>a.投标人之间协商投标报价等投标文件的实质性内容；</w:t>
      </w:r>
    </w:p>
    <w:p>
      <w:pPr>
        <w:pStyle w:val="73"/>
        <w:spacing w:line="420" w:lineRule="exact"/>
        <w:ind w:firstLine="480" w:firstLineChars="200"/>
        <w:jc w:val="both"/>
        <w:rPr>
          <w:color w:val="auto"/>
        </w:rPr>
      </w:pPr>
      <w:r>
        <w:rPr>
          <w:rFonts w:hint="eastAsia"/>
          <w:color w:val="auto"/>
        </w:rPr>
        <w:t>b.投标人之间约定中标人；</w:t>
      </w:r>
    </w:p>
    <w:p>
      <w:pPr>
        <w:pStyle w:val="73"/>
        <w:spacing w:line="420" w:lineRule="exact"/>
        <w:ind w:firstLine="480" w:firstLineChars="200"/>
        <w:jc w:val="both"/>
        <w:rPr>
          <w:color w:val="auto"/>
        </w:rPr>
      </w:pPr>
      <w:r>
        <w:rPr>
          <w:rFonts w:hint="eastAsia"/>
          <w:color w:val="auto"/>
        </w:rPr>
        <w:t>c.投标人之间约定部分投标人放弃投标或中标；</w:t>
      </w:r>
    </w:p>
    <w:p>
      <w:pPr>
        <w:pStyle w:val="73"/>
        <w:spacing w:line="420" w:lineRule="exact"/>
        <w:ind w:firstLine="480" w:firstLineChars="200"/>
        <w:jc w:val="both"/>
        <w:rPr>
          <w:color w:val="auto"/>
        </w:rPr>
      </w:pPr>
      <w:r>
        <w:rPr>
          <w:rFonts w:hint="eastAsia"/>
          <w:color w:val="auto"/>
        </w:rPr>
        <w:t>d.属于同一集团、协会、商会等组织成员的投标人按照该组织要求协同投标；</w:t>
      </w:r>
    </w:p>
    <w:p>
      <w:pPr>
        <w:pStyle w:val="73"/>
        <w:spacing w:line="420" w:lineRule="exact"/>
        <w:ind w:firstLine="480" w:firstLineChars="200"/>
        <w:jc w:val="both"/>
        <w:rPr>
          <w:color w:val="auto"/>
        </w:rPr>
      </w:pPr>
      <w:r>
        <w:rPr>
          <w:rFonts w:hint="eastAsia"/>
          <w:color w:val="auto"/>
        </w:rPr>
        <w:t>e.投标人之间为谋取中标或排斥特定投标人而采取的其他联合行动。</w:t>
      </w:r>
    </w:p>
    <w:p>
      <w:pPr>
        <w:pStyle w:val="73"/>
        <w:spacing w:line="420" w:lineRule="exact"/>
        <w:ind w:firstLine="480" w:firstLineChars="200"/>
        <w:jc w:val="both"/>
        <w:rPr>
          <w:color w:val="auto"/>
        </w:rPr>
      </w:pPr>
      <w:r>
        <w:rPr>
          <w:rFonts w:hint="eastAsia"/>
          <w:color w:val="auto"/>
        </w:rPr>
        <w:t>（2）有下列情形之一的，视为投标人相互串通投标：</w:t>
      </w:r>
    </w:p>
    <w:p>
      <w:pPr>
        <w:pStyle w:val="73"/>
        <w:spacing w:line="420" w:lineRule="exact"/>
        <w:ind w:firstLine="480" w:firstLineChars="200"/>
        <w:jc w:val="both"/>
        <w:rPr>
          <w:color w:val="auto"/>
        </w:rPr>
      </w:pPr>
      <w:r>
        <w:rPr>
          <w:rFonts w:hint="eastAsia"/>
          <w:color w:val="auto"/>
        </w:rPr>
        <w:t>a.不同投标人的投标文件由同一单位或个人编制；</w:t>
      </w:r>
    </w:p>
    <w:p>
      <w:pPr>
        <w:pStyle w:val="73"/>
        <w:spacing w:line="420" w:lineRule="exact"/>
        <w:ind w:firstLine="480" w:firstLineChars="200"/>
        <w:jc w:val="both"/>
        <w:rPr>
          <w:color w:val="auto"/>
        </w:rPr>
      </w:pPr>
      <w:r>
        <w:rPr>
          <w:rFonts w:hint="eastAsia"/>
          <w:color w:val="auto"/>
        </w:rPr>
        <w:t>b.不同投标人委托同一单位或个人办理投标事宜；</w:t>
      </w:r>
    </w:p>
    <w:p>
      <w:pPr>
        <w:pStyle w:val="73"/>
        <w:spacing w:line="420" w:lineRule="exact"/>
        <w:ind w:firstLine="480" w:firstLineChars="200"/>
        <w:jc w:val="both"/>
        <w:rPr>
          <w:color w:val="auto"/>
        </w:rPr>
      </w:pPr>
      <w:r>
        <w:rPr>
          <w:rFonts w:hint="eastAsia"/>
          <w:color w:val="auto"/>
        </w:rPr>
        <w:t>c.不同投标人的投标文件载明的项目管理成员为同一人；</w:t>
      </w:r>
    </w:p>
    <w:p>
      <w:pPr>
        <w:pStyle w:val="73"/>
        <w:spacing w:line="420" w:lineRule="exact"/>
        <w:ind w:firstLine="480" w:firstLineChars="200"/>
        <w:jc w:val="both"/>
        <w:rPr>
          <w:color w:val="auto"/>
        </w:rPr>
      </w:pPr>
      <w:r>
        <w:rPr>
          <w:rFonts w:hint="eastAsia"/>
          <w:color w:val="auto"/>
        </w:rPr>
        <w:t>d.不同投标人的投标文件异常一致或投标报价呈规律性差异；</w:t>
      </w:r>
    </w:p>
    <w:p>
      <w:pPr>
        <w:pStyle w:val="73"/>
        <w:spacing w:line="420" w:lineRule="exact"/>
        <w:ind w:firstLine="480" w:firstLineChars="200"/>
        <w:jc w:val="both"/>
        <w:rPr>
          <w:color w:val="auto"/>
        </w:rPr>
      </w:pPr>
      <w:r>
        <w:rPr>
          <w:rFonts w:hint="eastAsia"/>
          <w:color w:val="auto"/>
        </w:rPr>
        <w:t>e.不同投标人的投标文件相互混装；</w:t>
      </w:r>
    </w:p>
    <w:p>
      <w:pPr>
        <w:pStyle w:val="73"/>
        <w:spacing w:line="420" w:lineRule="exact"/>
        <w:ind w:firstLine="480" w:firstLineChars="200"/>
        <w:jc w:val="both"/>
        <w:rPr>
          <w:color w:val="auto"/>
        </w:rPr>
      </w:pPr>
      <w:r>
        <w:rPr>
          <w:rFonts w:hint="eastAsia"/>
          <w:color w:val="auto"/>
        </w:rPr>
        <w:t>f. 不同投标人的投标保证金从同一单位或个人的账户转出。</w:t>
      </w:r>
    </w:p>
    <w:p>
      <w:pPr>
        <w:pStyle w:val="73"/>
        <w:spacing w:line="420" w:lineRule="exact"/>
        <w:ind w:firstLine="480" w:firstLineChars="200"/>
        <w:jc w:val="both"/>
        <w:rPr>
          <w:color w:val="auto"/>
        </w:rPr>
      </w:pPr>
      <w:r>
        <w:rPr>
          <w:rFonts w:hint="eastAsia"/>
          <w:color w:val="auto"/>
        </w:rPr>
        <w:t>（3）有下列情形之一的，属于招标人与投标人串通投标：</w:t>
      </w:r>
    </w:p>
    <w:p>
      <w:pPr>
        <w:pStyle w:val="73"/>
        <w:spacing w:line="420" w:lineRule="exact"/>
        <w:ind w:firstLine="480" w:firstLineChars="200"/>
        <w:jc w:val="both"/>
        <w:rPr>
          <w:color w:val="auto"/>
        </w:rPr>
      </w:pPr>
      <w:r>
        <w:rPr>
          <w:rFonts w:hint="eastAsia"/>
          <w:color w:val="auto"/>
        </w:rPr>
        <w:t>a.招标人在开标前开启投标文件并将有关信息泄露给其他投标人；</w:t>
      </w:r>
    </w:p>
    <w:p>
      <w:pPr>
        <w:pStyle w:val="73"/>
        <w:spacing w:line="420" w:lineRule="exact"/>
        <w:ind w:firstLine="480" w:firstLineChars="200"/>
        <w:jc w:val="both"/>
        <w:rPr>
          <w:color w:val="auto"/>
        </w:rPr>
      </w:pPr>
      <w:r>
        <w:rPr>
          <w:rFonts w:hint="eastAsia"/>
          <w:color w:val="auto"/>
        </w:rPr>
        <w:t>b.招标人直接或间接向投标人泄露标底、评标委员会成员信息；</w:t>
      </w:r>
    </w:p>
    <w:p>
      <w:pPr>
        <w:pStyle w:val="73"/>
        <w:spacing w:line="420" w:lineRule="exact"/>
        <w:ind w:firstLine="480" w:firstLineChars="200"/>
        <w:jc w:val="both"/>
        <w:rPr>
          <w:color w:val="auto"/>
        </w:rPr>
      </w:pPr>
      <w:r>
        <w:rPr>
          <w:rFonts w:hint="eastAsia"/>
          <w:color w:val="auto"/>
        </w:rPr>
        <w:t>c.招标人明示或暗示投标人压低或抬高投标报价；</w:t>
      </w:r>
    </w:p>
    <w:p>
      <w:pPr>
        <w:pStyle w:val="73"/>
        <w:spacing w:line="420" w:lineRule="exact"/>
        <w:ind w:firstLine="480" w:firstLineChars="200"/>
        <w:jc w:val="both"/>
        <w:rPr>
          <w:color w:val="auto"/>
        </w:rPr>
      </w:pPr>
      <w:r>
        <w:rPr>
          <w:rFonts w:hint="eastAsia"/>
          <w:color w:val="auto"/>
        </w:rPr>
        <w:t>d.招标人授意投标人撤换、修改投标文件；</w:t>
      </w:r>
    </w:p>
    <w:p>
      <w:pPr>
        <w:pStyle w:val="73"/>
        <w:spacing w:line="420" w:lineRule="exact"/>
        <w:ind w:firstLine="480" w:firstLineChars="200"/>
        <w:jc w:val="both"/>
        <w:rPr>
          <w:color w:val="auto"/>
        </w:rPr>
      </w:pPr>
      <w:r>
        <w:rPr>
          <w:rFonts w:hint="eastAsia"/>
          <w:color w:val="auto"/>
        </w:rPr>
        <w:t>e.招标人明示或暗示投标人为特定投标人中标提供方便；</w:t>
      </w:r>
    </w:p>
    <w:p>
      <w:pPr>
        <w:pStyle w:val="73"/>
        <w:spacing w:line="420" w:lineRule="exact"/>
        <w:ind w:firstLine="480" w:firstLineChars="200"/>
        <w:jc w:val="both"/>
        <w:rPr>
          <w:color w:val="auto"/>
        </w:rPr>
      </w:pPr>
      <w:r>
        <w:rPr>
          <w:rFonts w:hint="eastAsia"/>
          <w:color w:val="auto"/>
        </w:rPr>
        <w:t>f.招标人与投标人为谋求特定投标人中标而采取的其他串通行为。</w:t>
      </w:r>
    </w:p>
    <w:p>
      <w:pPr>
        <w:pStyle w:val="73"/>
        <w:spacing w:line="420" w:lineRule="exact"/>
        <w:ind w:firstLine="480" w:firstLineChars="200"/>
        <w:jc w:val="both"/>
        <w:rPr>
          <w:color w:val="auto"/>
        </w:rPr>
      </w:pPr>
      <w:r>
        <w:rPr>
          <w:rFonts w:hint="eastAsia"/>
          <w:color w:val="auto"/>
        </w:rPr>
        <w:t>（4）投标人有下列情形之一的，属于弄虚作假的行为：</w:t>
      </w:r>
    </w:p>
    <w:p>
      <w:pPr>
        <w:pStyle w:val="73"/>
        <w:spacing w:line="420" w:lineRule="exact"/>
        <w:ind w:firstLine="480" w:firstLineChars="200"/>
        <w:jc w:val="both"/>
        <w:rPr>
          <w:color w:val="auto"/>
        </w:rPr>
      </w:pPr>
      <w:r>
        <w:rPr>
          <w:rFonts w:hint="eastAsia"/>
          <w:color w:val="auto"/>
        </w:rPr>
        <w:t>a.使用通过受让或租借等方式获取的资格、资质证书投标；</w:t>
      </w:r>
    </w:p>
    <w:p>
      <w:pPr>
        <w:pStyle w:val="73"/>
        <w:spacing w:line="420" w:lineRule="exact"/>
        <w:ind w:firstLine="480" w:firstLineChars="200"/>
        <w:jc w:val="both"/>
        <w:rPr>
          <w:color w:val="auto"/>
        </w:rPr>
      </w:pPr>
      <w:r>
        <w:rPr>
          <w:rFonts w:hint="eastAsia"/>
          <w:color w:val="auto"/>
        </w:rPr>
        <w:t>b.使用伪造、变造的许可证件；</w:t>
      </w:r>
    </w:p>
    <w:p>
      <w:pPr>
        <w:pStyle w:val="73"/>
        <w:spacing w:line="420" w:lineRule="exact"/>
        <w:ind w:firstLine="480" w:firstLineChars="200"/>
        <w:jc w:val="both"/>
        <w:rPr>
          <w:color w:val="auto"/>
        </w:rPr>
      </w:pPr>
      <w:r>
        <w:rPr>
          <w:rFonts w:hint="eastAsia"/>
          <w:color w:val="auto"/>
        </w:rPr>
        <w:t>c.提供虚假的的业绩；</w:t>
      </w:r>
    </w:p>
    <w:p>
      <w:pPr>
        <w:pStyle w:val="73"/>
        <w:spacing w:line="420" w:lineRule="exact"/>
        <w:ind w:firstLine="480" w:firstLineChars="200"/>
        <w:jc w:val="both"/>
        <w:rPr>
          <w:color w:val="auto"/>
        </w:rPr>
      </w:pPr>
      <w:r>
        <w:rPr>
          <w:rFonts w:hint="eastAsia"/>
          <w:color w:val="auto"/>
        </w:rPr>
        <w:t>d.提供虚假的项目负责人或主要技术人员简历、劳动关系证明；</w:t>
      </w:r>
    </w:p>
    <w:p>
      <w:pPr>
        <w:pStyle w:val="73"/>
        <w:spacing w:line="420" w:lineRule="exact"/>
        <w:ind w:firstLine="480" w:firstLineChars="200"/>
        <w:jc w:val="both"/>
        <w:rPr>
          <w:color w:val="auto"/>
        </w:rPr>
      </w:pPr>
      <w:r>
        <w:rPr>
          <w:rFonts w:hint="eastAsia"/>
          <w:color w:val="auto"/>
        </w:rPr>
        <w:t>e.提供虚假的信用状况；</w:t>
      </w:r>
    </w:p>
    <w:p>
      <w:pPr>
        <w:pStyle w:val="73"/>
        <w:spacing w:line="420" w:lineRule="exact"/>
        <w:ind w:firstLine="480" w:firstLineChars="200"/>
        <w:jc w:val="both"/>
        <w:rPr>
          <w:color w:val="auto"/>
        </w:rPr>
      </w:pPr>
      <w:r>
        <w:rPr>
          <w:rFonts w:hint="eastAsia"/>
          <w:color w:val="auto"/>
        </w:rPr>
        <w:t>f.其他弄虚作假的行为。</w:t>
      </w:r>
    </w:p>
    <w:p>
      <w:pPr>
        <w:pStyle w:val="73"/>
        <w:spacing w:before="120" w:after="120" w:line="420" w:lineRule="exact"/>
        <w:jc w:val="both"/>
        <w:rPr>
          <w:b/>
          <w:color w:val="auto"/>
        </w:rPr>
      </w:pPr>
      <w:r>
        <w:rPr>
          <w:rFonts w:hint="eastAsia"/>
          <w:b/>
          <w:color w:val="auto"/>
        </w:rPr>
        <w:t>3.7 投标文件的澄清和说明</w:t>
      </w:r>
    </w:p>
    <w:p>
      <w:pPr>
        <w:pStyle w:val="73"/>
        <w:spacing w:line="420" w:lineRule="exact"/>
        <w:ind w:firstLine="480"/>
        <w:jc w:val="both"/>
        <w:rPr>
          <w:color w:val="auto"/>
        </w:rPr>
      </w:pPr>
      <w:r>
        <w:rPr>
          <w:rFonts w:hint="eastAsia"/>
          <w:color w:val="auto"/>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Style w:val="73"/>
        <w:spacing w:line="420" w:lineRule="exact"/>
        <w:ind w:firstLine="480" w:firstLineChars="200"/>
        <w:jc w:val="both"/>
        <w:rPr>
          <w:color w:val="auto"/>
        </w:rPr>
      </w:pPr>
      <w:r>
        <w:rPr>
          <w:rFonts w:hint="eastAsia"/>
          <w:color w:val="auto"/>
        </w:rPr>
        <w:t>3.7.2 澄清和说明不得超出投标文件的范围或者改变投标文件的实质性内容（算术性错误的修正除外）。投标人的书面澄清、说明属于投标文件的组成部分。</w:t>
      </w:r>
    </w:p>
    <w:p>
      <w:pPr>
        <w:pStyle w:val="73"/>
        <w:spacing w:before="120" w:after="120" w:line="420" w:lineRule="exact"/>
        <w:ind w:firstLine="480" w:firstLineChars="200"/>
        <w:jc w:val="both"/>
        <w:rPr>
          <w:color w:val="auto"/>
        </w:rPr>
      </w:pPr>
      <w:r>
        <w:rPr>
          <w:rFonts w:hint="eastAsia"/>
          <w:color w:val="auto"/>
        </w:rPr>
        <w:t>3.7.3 评标委员会不得暗示或诱导投标人作出澄清、说明，对投标人提交的澄清、说明有疑问的，可以要求投标人进一步澄清或说明，直至满足评标委员会的要求。</w:t>
      </w:r>
    </w:p>
    <w:p>
      <w:pPr>
        <w:pStyle w:val="73"/>
        <w:spacing w:line="420" w:lineRule="exact"/>
        <w:ind w:firstLine="480"/>
        <w:jc w:val="both"/>
        <w:rPr>
          <w:color w:val="auto"/>
        </w:rPr>
      </w:pPr>
      <w:r>
        <w:rPr>
          <w:rFonts w:hint="eastAsia"/>
          <w:color w:val="auto"/>
        </w:rPr>
        <w:t>3.7.4  凡超出招标文件规定的或给发包人带来未曾要求的利益的变化、偏差或其他因素在评标时不予考虑。</w:t>
      </w:r>
    </w:p>
    <w:p>
      <w:pPr>
        <w:pStyle w:val="73"/>
        <w:spacing w:before="120" w:after="120" w:line="420" w:lineRule="exact"/>
        <w:jc w:val="both"/>
        <w:rPr>
          <w:b/>
          <w:color w:val="auto"/>
        </w:rPr>
      </w:pPr>
      <w:r>
        <w:rPr>
          <w:rFonts w:hint="eastAsia"/>
          <w:b/>
          <w:color w:val="auto"/>
        </w:rPr>
        <w:t>3.8 不得否决投标的情形</w:t>
      </w:r>
    </w:p>
    <w:p>
      <w:pPr>
        <w:pStyle w:val="73"/>
        <w:spacing w:before="120" w:after="120" w:line="420" w:lineRule="exact"/>
        <w:ind w:firstLine="480" w:firstLineChars="200"/>
        <w:jc w:val="both"/>
        <w:rPr>
          <w:color w:val="auto"/>
        </w:rPr>
      </w:pPr>
      <w:r>
        <w:rPr>
          <w:rFonts w:hint="eastAsia"/>
          <w:color w:val="auto"/>
        </w:rPr>
        <w:t>投标文件存在第二章“投标人须知”第1.12.3项所列情形的，均视为细微偏差，评标委员会不得否决投标人的投标，应按照第二章“投标人须知”第1.12.4项规定的原则处理。</w:t>
      </w:r>
    </w:p>
    <w:p>
      <w:pPr>
        <w:pStyle w:val="73"/>
        <w:spacing w:before="120" w:after="120" w:line="420" w:lineRule="exact"/>
        <w:jc w:val="both"/>
        <w:rPr>
          <w:b/>
          <w:color w:val="auto"/>
        </w:rPr>
      </w:pPr>
      <w:r>
        <w:rPr>
          <w:rFonts w:hint="eastAsia"/>
          <w:b/>
          <w:color w:val="auto"/>
        </w:rPr>
        <w:t>3.9 评标结果</w:t>
      </w:r>
    </w:p>
    <w:p>
      <w:pPr>
        <w:pStyle w:val="73"/>
        <w:spacing w:line="420" w:lineRule="exact"/>
        <w:ind w:firstLine="480" w:firstLineChars="200"/>
        <w:jc w:val="both"/>
        <w:rPr>
          <w:color w:val="auto"/>
        </w:rPr>
      </w:pPr>
      <w:r>
        <w:rPr>
          <w:rFonts w:hint="eastAsia"/>
          <w:color w:val="auto"/>
        </w:rPr>
        <w:t>3.9.1 除第二章“投标人须知”前附表授权直接确定中标人外，评标委员会按照得分由高到低的顺序推荐中标人候选人，并标明排序。</w:t>
      </w:r>
    </w:p>
    <w:p>
      <w:pPr>
        <w:pStyle w:val="73"/>
        <w:spacing w:line="420" w:lineRule="exact"/>
        <w:ind w:firstLine="480" w:firstLineChars="200"/>
        <w:rPr>
          <w:szCs w:val="21"/>
        </w:rPr>
        <w:sectPr>
          <w:endnotePr>
            <w:numFmt w:val="decimal"/>
          </w:endnotePr>
          <w:pgSz w:w="11906" w:h="16838"/>
          <w:pgMar w:top="1247" w:right="1247" w:bottom="1247" w:left="1304" w:header="794" w:footer="794" w:gutter="0"/>
          <w:cols w:space="720" w:num="1"/>
          <w:docGrid w:linePitch="312" w:charSpace="0"/>
        </w:sectPr>
      </w:pPr>
      <w:r>
        <w:rPr>
          <w:rFonts w:hint="eastAsia"/>
          <w:color w:val="auto"/>
        </w:rPr>
        <w:t>3.9.2 评标委员会完成评标后，应向招标人提交书面评标报告。</w:t>
      </w:r>
    </w:p>
    <w:p>
      <w:pPr>
        <w:pStyle w:val="2"/>
        <w:pageBreakBefore/>
        <w:spacing w:line="240" w:lineRule="auto"/>
        <w:ind w:firstLine="1807" w:firstLineChars="500"/>
        <w:rPr>
          <w:b w:val="0"/>
          <w:sz w:val="21"/>
          <w:szCs w:val="21"/>
        </w:rPr>
      </w:pPr>
      <w:bookmarkStart w:id="19" w:name="_Toc62572769"/>
      <w:r>
        <w:rPr>
          <w:sz w:val="36"/>
          <w:szCs w:val="36"/>
        </w:rPr>
        <w:t>第四章  合同条款及格式</w:t>
      </w:r>
      <w:bookmarkEnd w:id="19"/>
    </w:p>
    <w:p>
      <w:pPr>
        <w:pStyle w:val="3"/>
        <w:spacing w:line="240" w:lineRule="auto"/>
        <w:rPr>
          <w:rFonts w:ascii="Times New Roman" w:hAnsi="Times New Roman"/>
          <w:sz w:val="28"/>
          <w:szCs w:val="28"/>
        </w:rPr>
      </w:pPr>
      <w:bookmarkStart w:id="20" w:name="_Toc62572770"/>
      <w:r>
        <w:rPr>
          <w:rFonts w:ascii="Times New Roman" w:hAnsi="Times New Roman"/>
          <w:sz w:val="28"/>
          <w:szCs w:val="28"/>
        </w:rPr>
        <w:t>第一节  通用合同条款</w:t>
      </w:r>
      <w:bookmarkEnd w:id="20"/>
    </w:p>
    <w:p>
      <w:pPr>
        <w:pStyle w:val="3"/>
        <w:spacing w:before="120" w:beforeLines="50" w:after="120" w:afterLines="50" w:line="440" w:lineRule="exact"/>
        <w:jc w:val="left"/>
        <w:rPr>
          <w:rFonts w:ascii="Times New Roman" w:hAnsi="Times New Roman"/>
          <w:sz w:val="28"/>
          <w:szCs w:val="28"/>
        </w:rPr>
      </w:pPr>
      <w:bookmarkStart w:id="21" w:name="_Toc62572771"/>
      <w:bookmarkStart w:id="22" w:name="_Toc482188546"/>
      <w:r>
        <w:rPr>
          <w:rFonts w:ascii="Times New Roman" w:hAnsi="Times New Roman"/>
          <w:sz w:val="28"/>
          <w:szCs w:val="28"/>
        </w:rPr>
        <w:t>1. 一般约定</w:t>
      </w:r>
      <w:bookmarkEnd w:id="21"/>
      <w:bookmarkEnd w:id="22"/>
    </w:p>
    <w:p>
      <w:pPr>
        <w:pStyle w:val="4"/>
        <w:spacing w:before="0" w:after="0" w:line="440" w:lineRule="exact"/>
        <w:rPr>
          <w:rFonts w:eastAsia="黑体"/>
          <w:b w:val="0"/>
          <w:sz w:val="28"/>
          <w:szCs w:val="28"/>
        </w:rPr>
      </w:pPr>
      <w:bookmarkStart w:id="23" w:name="_Toc482188547"/>
      <w:bookmarkStart w:id="24" w:name="_Toc62572772"/>
      <w:r>
        <w:rPr>
          <w:rFonts w:eastAsia="黑体"/>
          <w:b w:val="0"/>
          <w:sz w:val="28"/>
          <w:szCs w:val="28"/>
        </w:rPr>
        <w:t>1.1 词语定义</w:t>
      </w:r>
      <w:bookmarkEnd w:id="23"/>
      <w:bookmarkEnd w:id="24"/>
    </w:p>
    <w:p>
      <w:pPr>
        <w:spacing w:line="440" w:lineRule="exact"/>
        <w:ind w:firstLine="420" w:firstLineChars="200"/>
        <w:rPr>
          <w:szCs w:val="21"/>
        </w:rPr>
      </w:pPr>
      <w:r>
        <w:rPr>
          <w:szCs w:val="21"/>
        </w:rPr>
        <w:t>通用合同条款、专用合同条款中的下列词语应具有本款所赋予的含义。</w:t>
      </w:r>
    </w:p>
    <w:p>
      <w:pPr>
        <w:spacing w:line="440" w:lineRule="exact"/>
        <w:ind w:firstLine="411" w:firstLineChars="196"/>
        <w:rPr>
          <w:szCs w:val="21"/>
        </w:rPr>
      </w:pPr>
      <w:r>
        <w:rPr>
          <w:szCs w:val="21"/>
        </w:rPr>
        <w:t>1.1.1 合同</w:t>
      </w:r>
    </w:p>
    <w:p>
      <w:pPr>
        <w:spacing w:line="440" w:lineRule="exact"/>
        <w:ind w:firstLine="420" w:firstLineChars="200"/>
        <w:rPr>
          <w:szCs w:val="21"/>
        </w:rPr>
      </w:pPr>
      <w:r>
        <w:rPr>
          <w:szCs w:val="21"/>
        </w:rPr>
        <w:t>1.1.1.1 合同文件（或称合同）：指合同协议书、中标通知书、投标函和投标函附录、专用合同条款、通用合同条款、委托人要求、监理报酬清单、监理大纲，以及其他构成合同组成部分的文件。</w:t>
      </w:r>
    </w:p>
    <w:p>
      <w:pPr>
        <w:spacing w:line="440" w:lineRule="exact"/>
        <w:ind w:firstLine="420" w:firstLineChars="200"/>
        <w:rPr>
          <w:szCs w:val="21"/>
        </w:rPr>
      </w:pPr>
      <w:r>
        <w:rPr>
          <w:szCs w:val="21"/>
        </w:rPr>
        <w:t>1.1.1.2 合同协议书：指委托人和监理人共同签署的合同协议书。</w:t>
      </w:r>
    </w:p>
    <w:p>
      <w:pPr>
        <w:spacing w:line="440" w:lineRule="exact"/>
        <w:ind w:firstLine="420" w:firstLineChars="200"/>
        <w:rPr>
          <w:szCs w:val="21"/>
        </w:rPr>
      </w:pPr>
      <w:r>
        <w:rPr>
          <w:szCs w:val="21"/>
        </w:rPr>
        <w:t>1.1.1.3 中标通知书：指委托人通知监理人中标的函件。</w:t>
      </w:r>
    </w:p>
    <w:p>
      <w:pPr>
        <w:spacing w:line="440" w:lineRule="exact"/>
        <w:ind w:firstLine="420" w:firstLineChars="200"/>
        <w:rPr>
          <w:szCs w:val="21"/>
        </w:rPr>
      </w:pPr>
      <w:r>
        <w:rPr>
          <w:szCs w:val="21"/>
        </w:rPr>
        <w:t>1.1.1.4 投标函：指由监理人填写并签署的，名为“投标函”的函件。</w:t>
      </w:r>
    </w:p>
    <w:p>
      <w:pPr>
        <w:spacing w:line="440" w:lineRule="exact"/>
        <w:ind w:firstLine="420" w:firstLineChars="200"/>
        <w:rPr>
          <w:szCs w:val="21"/>
        </w:rPr>
      </w:pPr>
      <w:r>
        <w:rPr>
          <w:szCs w:val="21"/>
        </w:rPr>
        <w:t>1.1.1.5 投标函附录：指由监理人填写并签署的、附在投标函后，名为“投标函附录”的函件。</w:t>
      </w:r>
    </w:p>
    <w:p>
      <w:pPr>
        <w:spacing w:line="440" w:lineRule="exact"/>
        <w:ind w:firstLine="420" w:firstLineChars="200"/>
        <w:rPr>
          <w:szCs w:val="21"/>
        </w:rPr>
      </w:pPr>
      <w:r>
        <w:rPr>
          <w:szCs w:val="21"/>
        </w:rPr>
        <w:t>1.1.1.6 委托人要求：指合同文件中名为“委托人要求”的文件。</w:t>
      </w:r>
    </w:p>
    <w:p>
      <w:pPr>
        <w:spacing w:line="440" w:lineRule="exact"/>
        <w:ind w:firstLine="420" w:firstLineChars="200"/>
        <w:rPr>
          <w:szCs w:val="21"/>
        </w:rPr>
      </w:pPr>
      <w:r>
        <w:rPr>
          <w:szCs w:val="21"/>
        </w:rPr>
        <w:t>1.1.1.7 监理大纲：指监理人在投标文件中的监理大纲。</w:t>
      </w:r>
    </w:p>
    <w:p>
      <w:pPr>
        <w:spacing w:line="440" w:lineRule="exact"/>
        <w:ind w:firstLine="420" w:firstLineChars="200"/>
        <w:rPr>
          <w:szCs w:val="21"/>
        </w:rPr>
      </w:pPr>
      <w:r>
        <w:rPr>
          <w:szCs w:val="21"/>
        </w:rPr>
        <w:t>1.1.1.8 监理报酬清单：指监理人投标文件中的监理报酬清单。</w:t>
      </w:r>
    </w:p>
    <w:p>
      <w:pPr>
        <w:spacing w:line="440" w:lineRule="exact"/>
        <w:ind w:firstLine="420" w:firstLineChars="200"/>
        <w:rPr>
          <w:szCs w:val="21"/>
        </w:rPr>
      </w:pPr>
      <w:r>
        <w:rPr>
          <w:szCs w:val="21"/>
        </w:rPr>
        <w:t>1.1.1.9 其他合同文件：指经合同双方当事人确认构成合同文件的其他文件。</w:t>
      </w:r>
    </w:p>
    <w:p>
      <w:pPr>
        <w:spacing w:line="440" w:lineRule="exact"/>
        <w:ind w:firstLine="411" w:firstLineChars="196"/>
        <w:rPr>
          <w:szCs w:val="21"/>
        </w:rPr>
      </w:pPr>
      <w:r>
        <w:rPr>
          <w:szCs w:val="21"/>
        </w:rPr>
        <w:t>1.1.2 合同当事人和人员</w:t>
      </w:r>
    </w:p>
    <w:p>
      <w:pPr>
        <w:spacing w:line="440" w:lineRule="exact"/>
        <w:ind w:firstLine="420" w:firstLineChars="200"/>
        <w:rPr>
          <w:szCs w:val="21"/>
        </w:rPr>
      </w:pPr>
      <w:r>
        <w:rPr>
          <w:szCs w:val="21"/>
        </w:rPr>
        <w:t>1.1.2.1 合同当事人：指委托人和（或）监理人。</w:t>
      </w:r>
    </w:p>
    <w:p>
      <w:pPr>
        <w:spacing w:line="440" w:lineRule="exact"/>
        <w:ind w:firstLine="420" w:firstLineChars="200"/>
        <w:rPr>
          <w:szCs w:val="21"/>
        </w:rPr>
      </w:pPr>
      <w:r>
        <w:rPr>
          <w:szCs w:val="21"/>
        </w:rPr>
        <w:t>1.1.2.2 委托人：指与监理人签订合同协议书的当事人</w:t>
      </w:r>
      <w:r>
        <w:rPr>
          <w:kern w:val="0"/>
          <w:szCs w:val="21"/>
        </w:rPr>
        <w:t>，及其合法继承人</w:t>
      </w:r>
      <w:r>
        <w:rPr>
          <w:szCs w:val="21"/>
        </w:rPr>
        <w:t>。</w:t>
      </w:r>
    </w:p>
    <w:p>
      <w:pPr>
        <w:spacing w:line="440" w:lineRule="exact"/>
        <w:ind w:firstLine="420" w:firstLineChars="200"/>
        <w:rPr>
          <w:szCs w:val="21"/>
        </w:rPr>
      </w:pPr>
      <w:r>
        <w:rPr>
          <w:szCs w:val="21"/>
        </w:rPr>
        <w:t>1.1.2.3 监理人：指与委托人签订合同协议书的当事人</w:t>
      </w:r>
      <w:r>
        <w:rPr>
          <w:kern w:val="0"/>
          <w:szCs w:val="21"/>
        </w:rPr>
        <w:t>，及其合法继承人</w:t>
      </w:r>
      <w:r>
        <w:rPr>
          <w:szCs w:val="21"/>
        </w:rPr>
        <w:t>。</w:t>
      </w:r>
    </w:p>
    <w:p>
      <w:pPr>
        <w:spacing w:line="440" w:lineRule="exact"/>
        <w:ind w:firstLine="420" w:firstLineChars="200"/>
        <w:rPr>
          <w:szCs w:val="21"/>
        </w:rPr>
      </w:pPr>
      <w:r>
        <w:rPr>
          <w:szCs w:val="21"/>
        </w:rPr>
        <w:t>1.1.2.4 委托人代表：指由委托人任命，并在授权范围和期限内代表委托人行使权利和履行义务的全权负责人。</w:t>
      </w:r>
    </w:p>
    <w:p>
      <w:pPr>
        <w:spacing w:line="440" w:lineRule="exact"/>
        <w:ind w:firstLine="420" w:firstLineChars="200"/>
        <w:rPr>
          <w:szCs w:val="21"/>
        </w:rPr>
      </w:pPr>
      <w:r>
        <w:rPr>
          <w:szCs w:val="21"/>
        </w:rPr>
        <w:t>1.1.2.5 总监理工程师：指由监理人任命，代表监理人行使权利和履行义务的全权负责人。</w:t>
      </w:r>
    </w:p>
    <w:p>
      <w:pPr>
        <w:spacing w:line="440" w:lineRule="exact"/>
        <w:ind w:firstLine="420" w:firstLineChars="200"/>
        <w:rPr>
          <w:szCs w:val="21"/>
        </w:rPr>
      </w:pPr>
      <w:r>
        <w:rPr>
          <w:szCs w:val="21"/>
        </w:rPr>
        <w:t>1.1.2.6 承包人：指在本工程监理范围内，与委托人签订勘察、设计、施工承包合同的当事人。</w:t>
      </w:r>
    </w:p>
    <w:p>
      <w:pPr>
        <w:spacing w:line="440" w:lineRule="exact"/>
        <w:ind w:firstLine="420" w:firstLineChars="200"/>
        <w:rPr>
          <w:szCs w:val="21"/>
        </w:rPr>
      </w:pPr>
      <w:r>
        <w:rPr>
          <w:szCs w:val="21"/>
        </w:rPr>
        <w:t>1.1.3 工程和监理</w:t>
      </w:r>
    </w:p>
    <w:p>
      <w:pPr>
        <w:spacing w:line="440" w:lineRule="exact"/>
        <w:ind w:firstLine="420" w:firstLineChars="200"/>
        <w:rPr>
          <w:szCs w:val="21"/>
        </w:rPr>
      </w:pPr>
      <w:r>
        <w:rPr>
          <w:szCs w:val="21"/>
        </w:rPr>
        <w:t>1.1.3.1 工程：指永久工程和（或）临时工程。</w:t>
      </w:r>
    </w:p>
    <w:p>
      <w:pPr>
        <w:spacing w:line="440" w:lineRule="exact"/>
        <w:ind w:firstLine="420" w:firstLineChars="200"/>
        <w:rPr>
          <w:szCs w:val="21"/>
        </w:rPr>
      </w:pPr>
      <w:r>
        <w:rPr>
          <w:szCs w:val="21"/>
        </w:rPr>
        <w:t>1.1.3.2 监理服务：指监理人接受委托人的委托，依照法律、规范标准和监理合同等，对建设工程勘察、设计或施工等阶段进行质量控制、进度控制、投资控制、合同管理、信息管理、组织协调和安全监理、环保监理的服务活动。</w:t>
      </w:r>
    </w:p>
    <w:p>
      <w:pPr>
        <w:spacing w:line="440" w:lineRule="exact"/>
        <w:ind w:firstLine="420" w:firstLineChars="200"/>
        <w:rPr>
          <w:szCs w:val="21"/>
        </w:rPr>
      </w:pPr>
      <w:r>
        <w:rPr>
          <w:szCs w:val="21"/>
        </w:rPr>
        <w:t>1.1.3.3 监理资料：是委托人按合同约定向监理人提供的，用于完成监理范围与内容所需要的资料。</w:t>
      </w:r>
    </w:p>
    <w:p>
      <w:pPr>
        <w:spacing w:line="440" w:lineRule="exact"/>
        <w:ind w:firstLine="420" w:firstLineChars="200"/>
        <w:rPr>
          <w:szCs w:val="21"/>
        </w:rPr>
      </w:pPr>
      <w:r>
        <w:rPr>
          <w:szCs w:val="21"/>
        </w:rPr>
        <w:t>1.1.3.4 监理文件：指监理人按合同约定向委托人提交的监理大纲、监理规划、监理实施细则、监理日志、监理报告、工程质量评估报告、事故处理文件、监理工作总结和其他文件等，包括阶段性文件和最终文件，且应当采用合同中双方约定的格式和载体。</w:t>
      </w:r>
    </w:p>
    <w:p>
      <w:pPr>
        <w:spacing w:line="440" w:lineRule="exact"/>
        <w:ind w:firstLine="411" w:firstLineChars="196"/>
        <w:rPr>
          <w:szCs w:val="21"/>
        </w:rPr>
      </w:pPr>
      <w:r>
        <w:rPr>
          <w:szCs w:val="21"/>
        </w:rPr>
        <w:t>1.1.4 日期</w:t>
      </w:r>
    </w:p>
    <w:p>
      <w:pPr>
        <w:spacing w:line="440" w:lineRule="exact"/>
        <w:ind w:firstLine="420" w:firstLineChars="200"/>
        <w:rPr>
          <w:szCs w:val="21"/>
        </w:rPr>
      </w:pPr>
      <w:r>
        <w:rPr>
          <w:szCs w:val="21"/>
        </w:rPr>
        <w:t>1.1.4.1 开始监理通知：指委托人按第6.1款通知监理人开始监理的函件。</w:t>
      </w:r>
    </w:p>
    <w:p>
      <w:pPr>
        <w:spacing w:line="440" w:lineRule="exact"/>
        <w:ind w:firstLine="420" w:firstLineChars="200"/>
        <w:rPr>
          <w:szCs w:val="21"/>
        </w:rPr>
      </w:pPr>
      <w:r>
        <w:rPr>
          <w:szCs w:val="21"/>
        </w:rPr>
        <w:t>1.1.4.2 开始监理日期：指委托人按第6.1款发出的开始监理通知中写明的开始监理日期。</w:t>
      </w:r>
    </w:p>
    <w:p>
      <w:pPr>
        <w:spacing w:line="440" w:lineRule="exact"/>
        <w:ind w:firstLine="420" w:firstLineChars="200"/>
        <w:rPr>
          <w:szCs w:val="21"/>
        </w:rPr>
      </w:pPr>
      <w:r>
        <w:rPr>
          <w:szCs w:val="21"/>
        </w:rPr>
        <w:t>1.1.4.3 监理服务期限：指监理人在投标函中承诺的完成合同监理服务所需的期限，包括按第6.2款和第6.3.2项约定所作的调整。</w:t>
      </w:r>
    </w:p>
    <w:p>
      <w:pPr>
        <w:spacing w:line="440" w:lineRule="exact"/>
        <w:ind w:firstLine="420" w:firstLineChars="200"/>
        <w:rPr>
          <w:szCs w:val="21"/>
        </w:rPr>
      </w:pPr>
      <w:r>
        <w:rPr>
          <w:szCs w:val="21"/>
        </w:rPr>
        <w:t>1.1.4.4 完成监理日期：指第1.1.4.3目约定监理服务期限届满时的日期。</w:t>
      </w:r>
    </w:p>
    <w:p>
      <w:pPr>
        <w:spacing w:line="440" w:lineRule="exact"/>
        <w:ind w:firstLine="420" w:firstLineChars="200"/>
        <w:rPr>
          <w:szCs w:val="21"/>
        </w:rPr>
      </w:pPr>
      <w:r>
        <w:rPr>
          <w:szCs w:val="21"/>
        </w:rPr>
        <w:t>1.1.4.5 基准日：指投标截止时间前28天的日期。</w:t>
      </w:r>
    </w:p>
    <w:p>
      <w:pPr>
        <w:spacing w:line="440" w:lineRule="exact"/>
        <w:ind w:firstLine="420" w:firstLineChars="200"/>
        <w:rPr>
          <w:szCs w:val="21"/>
        </w:rPr>
      </w:pPr>
      <w:r>
        <w:rPr>
          <w:szCs w:val="21"/>
        </w:rPr>
        <w:t>1.1.4.6 天：除特别指明外，指日历天。合同中按天计算时间的，开始当天不计入，从次日开始计算。期限最后一天的截止时间为当天24:00。</w:t>
      </w:r>
    </w:p>
    <w:p>
      <w:pPr>
        <w:spacing w:line="440" w:lineRule="exact"/>
        <w:ind w:firstLine="411" w:firstLineChars="196"/>
        <w:rPr>
          <w:szCs w:val="21"/>
        </w:rPr>
      </w:pPr>
      <w:r>
        <w:rPr>
          <w:szCs w:val="21"/>
        </w:rPr>
        <w:t>1.1.5 合同价格和费用</w:t>
      </w:r>
    </w:p>
    <w:p>
      <w:pPr>
        <w:spacing w:line="440" w:lineRule="exact"/>
        <w:ind w:firstLine="420" w:firstLineChars="200"/>
        <w:rPr>
          <w:szCs w:val="21"/>
        </w:rPr>
      </w:pPr>
      <w:r>
        <w:rPr>
          <w:szCs w:val="21"/>
        </w:rPr>
        <w:t>1.1.5.1 签约合同价：指签订合同时合同协议书中写明的监理报酬总金额。</w:t>
      </w:r>
    </w:p>
    <w:p>
      <w:pPr>
        <w:spacing w:line="440" w:lineRule="exact"/>
        <w:ind w:firstLine="420" w:firstLineChars="200"/>
        <w:rPr>
          <w:szCs w:val="21"/>
        </w:rPr>
      </w:pPr>
      <w:r>
        <w:rPr>
          <w:szCs w:val="21"/>
        </w:rPr>
        <w:t>1.1.5.2 合同价格：指监理人按合同约定完成了全部监理工作后，委托人应付给监理人的金额，包括在履行合同过程中按合同约定进行的变更和调整。</w:t>
      </w:r>
    </w:p>
    <w:p>
      <w:pPr>
        <w:spacing w:line="440" w:lineRule="exact"/>
        <w:ind w:firstLine="420" w:firstLineChars="200"/>
        <w:rPr>
          <w:szCs w:val="21"/>
        </w:rPr>
      </w:pPr>
      <w:r>
        <w:rPr>
          <w:szCs w:val="21"/>
        </w:rPr>
        <w:t>1.1.5.3 费用：指为履行合同所发生的或将要发生的所有合理开支，包括管理费和应分摊的其他费用，但不包括利润。</w:t>
      </w:r>
    </w:p>
    <w:p>
      <w:pPr>
        <w:spacing w:line="440" w:lineRule="exact"/>
        <w:ind w:firstLine="411" w:firstLineChars="196"/>
        <w:rPr>
          <w:szCs w:val="21"/>
        </w:rPr>
      </w:pPr>
      <w:r>
        <w:rPr>
          <w:szCs w:val="21"/>
        </w:rPr>
        <w:t>1.1.6 其他</w:t>
      </w:r>
    </w:p>
    <w:p>
      <w:pPr>
        <w:spacing w:line="440" w:lineRule="exact"/>
        <w:ind w:firstLine="420" w:firstLineChars="200"/>
        <w:rPr>
          <w:szCs w:val="21"/>
        </w:rPr>
      </w:pPr>
      <w:r>
        <w:rPr>
          <w:szCs w:val="21"/>
        </w:rPr>
        <w:t>1.1.6.1 书面形式：指合同文件、信件和数据电文（包括电报、电传、传真、电子数据交换和电子邮件）等可以有形地表现所载内容的形式。</w:t>
      </w:r>
    </w:p>
    <w:p>
      <w:pPr>
        <w:pStyle w:val="4"/>
        <w:spacing w:before="0" w:after="0" w:line="440" w:lineRule="exact"/>
        <w:rPr>
          <w:rFonts w:eastAsia="黑体"/>
          <w:b w:val="0"/>
          <w:sz w:val="28"/>
          <w:szCs w:val="28"/>
        </w:rPr>
      </w:pPr>
      <w:bookmarkStart w:id="25" w:name="_Toc482188548"/>
      <w:bookmarkStart w:id="26" w:name="_Toc62572773"/>
      <w:r>
        <w:rPr>
          <w:rFonts w:eastAsia="黑体"/>
          <w:b w:val="0"/>
          <w:sz w:val="28"/>
          <w:szCs w:val="28"/>
        </w:rPr>
        <w:t>1.2 语言文字</w:t>
      </w:r>
      <w:bookmarkEnd w:id="25"/>
      <w:bookmarkEnd w:id="26"/>
    </w:p>
    <w:p>
      <w:pPr>
        <w:spacing w:line="440" w:lineRule="exact"/>
        <w:ind w:firstLine="420" w:firstLineChars="200"/>
        <w:rPr>
          <w:szCs w:val="21"/>
        </w:rPr>
      </w:pPr>
      <w:r>
        <w:rPr>
          <w:szCs w:val="21"/>
        </w:rPr>
        <w:t>合同使用的语言文字为中文。专用术语使用外文的，应附有中文注释。</w:t>
      </w:r>
    </w:p>
    <w:p>
      <w:pPr>
        <w:pStyle w:val="4"/>
        <w:spacing w:before="0" w:after="0" w:line="440" w:lineRule="exact"/>
        <w:rPr>
          <w:rFonts w:eastAsia="黑体"/>
          <w:b w:val="0"/>
          <w:sz w:val="28"/>
          <w:szCs w:val="28"/>
        </w:rPr>
      </w:pPr>
      <w:bookmarkStart w:id="27" w:name="_Toc482188549"/>
      <w:bookmarkStart w:id="28" w:name="_Toc62572774"/>
      <w:r>
        <w:rPr>
          <w:rFonts w:eastAsia="黑体"/>
          <w:b w:val="0"/>
          <w:sz w:val="28"/>
          <w:szCs w:val="28"/>
        </w:rPr>
        <w:t>1.3 适用法律</w:t>
      </w:r>
      <w:bookmarkEnd w:id="27"/>
      <w:bookmarkEnd w:id="28"/>
    </w:p>
    <w:p>
      <w:pPr>
        <w:spacing w:line="440" w:lineRule="exact"/>
        <w:ind w:firstLine="420" w:firstLineChars="200"/>
        <w:rPr>
          <w:szCs w:val="21"/>
        </w:rPr>
      </w:pPr>
      <w:r>
        <w:rPr>
          <w:szCs w:val="21"/>
        </w:rPr>
        <w:t>适用于合同的法律包括中华人民共和国法律、行政法规、部门规章，以及工程所在地的地方法规、自治条例、单行条例和地方政府规章。</w:t>
      </w:r>
    </w:p>
    <w:p>
      <w:pPr>
        <w:spacing w:line="440" w:lineRule="exact"/>
        <w:ind w:firstLine="420" w:firstLineChars="200"/>
        <w:rPr>
          <w:szCs w:val="21"/>
        </w:rPr>
      </w:pPr>
      <w:r>
        <w:rPr>
          <w:szCs w:val="21"/>
        </w:rPr>
        <w:t>本合同适用的其他规范性文件，可在专用合同条款中约定。</w:t>
      </w:r>
    </w:p>
    <w:p>
      <w:pPr>
        <w:pStyle w:val="4"/>
        <w:spacing w:before="0" w:after="0" w:line="440" w:lineRule="exact"/>
        <w:rPr>
          <w:rFonts w:eastAsia="黑体"/>
          <w:b w:val="0"/>
          <w:sz w:val="28"/>
          <w:szCs w:val="28"/>
        </w:rPr>
      </w:pPr>
      <w:bookmarkStart w:id="29" w:name="_Toc62572775"/>
      <w:bookmarkStart w:id="30" w:name="_Toc482188550"/>
      <w:r>
        <w:rPr>
          <w:rFonts w:eastAsia="黑体"/>
          <w:b w:val="0"/>
          <w:sz w:val="28"/>
          <w:szCs w:val="28"/>
        </w:rPr>
        <w:t>1.4 合同文件的优先顺序</w:t>
      </w:r>
      <w:bookmarkEnd w:id="29"/>
      <w:bookmarkEnd w:id="30"/>
    </w:p>
    <w:p>
      <w:pPr>
        <w:spacing w:line="440" w:lineRule="exact"/>
        <w:ind w:firstLine="420" w:firstLineChars="200"/>
        <w:rPr>
          <w:szCs w:val="21"/>
        </w:rPr>
      </w:pPr>
      <w:r>
        <w:rPr>
          <w:szCs w:val="21"/>
        </w:rPr>
        <w:t>组成合同的各项文件应互相解释，互为说明。除专用合同条款另有约定外，解释合同文件的优先顺序如下：</w:t>
      </w:r>
    </w:p>
    <w:p>
      <w:pPr>
        <w:spacing w:line="440" w:lineRule="exact"/>
        <w:ind w:firstLine="420"/>
        <w:rPr>
          <w:szCs w:val="21"/>
        </w:rPr>
      </w:pPr>
      <w:r>
        <w:rPr>
          <w:szCs w:val="21"/>
        </w:rPr>
        <w:t>（1）合同协议书；</w:t>
      </w:r>
    </w:p>
    <w:p>
      <w:pPr>
        <w:spacing w:line="440" w:lineRule="exact"/>
        <w:ind w:firstLine="420"/>
        <w:rPr>
          <w:szCs w:val="21"/>
        </w:rPr>
      </w:pPr>
      <w:r>
        <w:rPr>
          <w:szCs w:val="21"/>
        </w:rPr>
        <w:t>（2）中标通知书；</w:t>
      </w:r>
    </w:p>
    <w:p>
      <w:pPr>
        <w:spacing w:line="440" w:lineRule="exact"/>
        <w:ind w:firstLine="420"/>
        <w:rPr>
          <w:szCs w:val="21"/>
        </w:rPr>
      </w:pPr>
      <w:r>
        <w:rPr>
          <w:szCs w:val="21"/>
        </w:rPr>
        <w:t>（3）投标函及投标函附录；</w:t>
      </w:r>
    </w:p>
    <w:p>
      <w:pPr>
        <w:spacing w:line="440" w:lineRule="exact"/>
        <w:ind w:firstLine="420"/>
        <w:rPr>
          <w:szCs w:val="21"/>
        </w:rPr>
      </w:pPr>
      <w:r>
        <w:rPr>
          <w:szCs w:val="21"/>
        </w:rPr>
        <w:t>（4）专用合同条款；</w:t>
      </w:r>
    </w:p>
    <w:p>
      <w:pPr>
        <w:spacing w:line="440" w:lineRule="exact"/>
        <w:ind w:firstLine="420"/>
        <w:rPr>
          <w:szCs w:val="21"/>
        </w:rPr>
      </w:pPr>
      <w:r>
        <w:rPr>
          <w:szCs w:val="21"/>
        </w:rPr>
        <w:t>（5）通用合同条款；</w:t>
      </w:r>
    </w:p>
    <w:p>
      <w:pPr>
        <w:spacing w:line="440" w:lineRule="exact"/>
        <w:ind w:firstLine="420"/>
        <w:rPr>
          <w:szCs w:val="21"/>
        </w:rPr>
      </w:pPr>
      <w:r>
        <w:rPr>
          <w:szCs w:val="21"/>
        </w:rPr>
        <w:t>（6）委托人要求；</w:t>
      </w:r>
    </w:p>
    <w:p>
      <w:pPr>
        <w:spacing w:line="440" w:lineRule="exact"/>
        <w:ind w:firstLine="420"/>
        <w:rPr>
          <w:szCs w:val="21"/>
        </w:rPr>
      </w:pPr>
      <w:r>
        <w:rPr>
          <w:szCs w:val="21"/>
        </w:rPr>
        <w:t>（7）监理报酬清单；</w:t>
      </w:r>
    </w:p>
    <w:p>
      <w:pPr>
        <w:spacing w:line="440" w:lineRule="exact"/>
        <w:ind w:firstLine="420"/>
        <w:rPr>
          <w:szCs w:val="21"/>
        </w:rPr>
      </w:pPr>
      <w:r>
        <w:rPr>
          <w:szCs w:val="21"/>
        </w:rPr>
        <w:t>（8）监理大纲；</w:t>
      </w:r>
    </w:p>
    <w:p>
      <w:pPr>
        <w:spacing w:line="440" w:lineRule="exact"/>
        <w:ind w:firstLine="420"/>
        <w:rPr>
          <w:szCs w:val="21"/>
        </w:rPr>
      </w:pPr>
      <w:r>
        <w:rPr>
          <w:szCs w:val="21"/>
        </w:rPr>
        <w:t>（9）其他合同文件。</w:t>
      </w:r>
    </w:p>
    <w:p>
      <w:pPr>
        <w:pStyle w:val="4"/>
        <w:spacing w:before="0" w:after="0" w:line="440" w:lineRule="exact"/>
        <w:rPr>
          <w:rFonts w:eastAsia="黑体"/>
          <w:b w:val="0"/>
          <w:sz w:val="28"/>
          <w:szCs w:val="28"/>
        </w:rPr>
      </w:pPr>
      <w:bookmarkStart w:id="31" w:name="_Toc62572776"/>
      <w:bookmarkStart w:id="32" w:name="_Toc482188551"/>
      <w:r>
        <w:rPr>
          <w:rFonts w:eastAsia="黑体"/>
          <w:b w:val="0"/>
          <w:sz w:val="28"/>
          <w:szCs w:val="28"/>
        </w:rPr>
        <w:t>1.5 合同协议书</w:t>
      </w:r>
      <w:bookmarkEnd w:id="31"/>
      <w:bookmarkEnd w:id="32"/>
    </w:p>
    <w:p>
      <w:pPr>
        <w:spacing w:line="440" w:lineRule="exact"/>
        <w:ind w:firstLine="420" w:firstLineChars="200"/>
        <w:rPr>
          <w:szCs w:val="21"/>
        </w:rPr>
      </w:pPr>
      <w:r>
        <w:rPr>
          <w:szCs w:val="21"/>
        </w:rPr>
        <w:t>监理人按中标通知书规定的时间与委托人签订合同协议书。除法律另有规定或合同另有约定外，委托人和监理人的法定代表人或其委托代理人在合同协议书上签字并盖单位章后，合同生效。</w:t>
      </w:r>
    </w:p>
    <w:p>
      <w:pPr>
        <w:pStyle w:val="4"/>
        <w:spacing w:before="0" w:after="0" w:line="440" w:lineRule="exact"/>
        <w:rPr>
          <w:rFonts w:eastAsia="黑体"/>
          <w:b w:val="0"/>
          <w:sz w:val="28"/>
          <w:szCs w:val="28"/>
        </w:rPr>
      </w:pPr>
      <w:bookmarkStart w:id="33" w:name="_Toc482188552"/>
      <w:bookmarkStart w:id="34" w:name="_Toc62572777"/>
      <w:r>
        <w:rPr>
          <w:rFonts w:eastAsia="黑体"/>
          <w:b w:val="0"/>
          <w:sz w:val="28"/>
          <w:szCs w:val="28"/>
        </w:rPr>
        <w:t>1.6 文件的提供和照管</w:t>
      </w:r>
      <w:bookmarkEnd w:id="33"/>
      <w:bookmarkEnd w:id="34"/>
    </w:p>
    <w:p>
      <w:pPr>
        <w:spacing w:line="440" w:lineRule="exact"/>
        <w:ind w:firstLine="420" w:firstLineChars="200"/>
        <w:rPr>
          <w:szCs w:val="21"/>
        </w:rPr>
      </w:pPr>
      <w:r>
        <w:rPr>
          <w:szCs w:val="21"/>
        </w:rPr>
        <w:t>1.6.1 监理文件的提供</w:t>
      </w:r>
    </w:p>
    <w:p>
      <w:pPr>
        <w:spacing w:line="440" w:lineRule="exact"/>
        <w:ind w:firstLine="420" w:firstLineChars="200"/>
        <w:rPr>
          <w:szCs w:val="21"/>
        </w:rPr>
      </w:pPr>
      <w:r>
        <w:rPr>
          <w:szCs w:val="21"/>
        </w:rPr>
        <w:t>除专用合同条款另有约定外，监理人应在合理的期限内按照合同约定的数量向委托人提供监理文件。合同约定监理文件应经委托人批复的，委托人应当在合同约定的期限内批复或提出修改意见。</w:t>
      </w:r>
    </w:p>
    <w:p>
      <w:pPr>
        <w:spacing w:line="440" w:lineRule="exact"/>
        <w:ind w:firstLine="420" w:firstLineChars="200"/>
        <w:rPr>
          <w:szCs w:val="21"/>
        </w:rPr>
      </w:pPr>
      <w:r>
        <w:rPr>
          <w:szCs w:val="21"/>
        </w:rPr>
        <w:t>1.6.2 委托人提供的文件</w:t>
      </w:r>
    </w:p>
    <w:p>
      <w:pPr>
        <w:spacing w:line="440" w:lineRule="exact"/>
        <w:ind w:firstLine="420" w:firstLineChars="200"/>
        <w:rPr>
          <w:szCs w:val="21"/>
        </w:rPr>
      </w:pPr>
      <w:r>
        <w:rPr>
          <w:szCs w:val="21"/>
        </w:rPr>
        <w:t>按专用合同条款约定由委托人提供的文件，包括规范标准、承包合同、勘察文件、设计文件等，委托人应按约定的数量和期限交给监理人。由于委托人未按时提供文件造成监理服务期限延误的，按第6.2款约定执行。</w:t>
      </w:r>
    </w:p>
    <w:p>
      <w:pPr>
        <w:spacing w:line="440" w:lineRule="exact"/>
        <w:ind w:firstLine="420" w:firstLineChars="200"/>
        <w:rPr>
          <w:szCs w:val="21"/>
        </w:rPr>
      </w:pPr>
      <w:r>
        <w:rPr>
          <w:szCs w:val="21"/>
        </w:rPr>
        <w:t>1.6.3 文件错误的通知</w:t>
      </w:r>
    </w:p>
    <w:p>
      <w:pPr>
        <w:spacing w:line="440" w:lineRule="exact"/>
        <w:ind w:firstLine="420" w:firstLineChars="200"/>
        <w:rPr>
          <w:szCs w:val="21"/>
        </w:rPr>
      </w:pPr>
      <w:r>
        <w:rPr>
          <w:szCs w:val="21"/>
        </w:rPr>
        <w:t>任何一方当事人发现文件中存在的明显错误或疏忽，均应及时通知对方当事人，并应立即采取适当的措施防止损失扩大。</w:t>
      </w:r>
    </w:p>
    <w:p>
      <w:pPr>
        <w:spacing w:line="440" w:lineRule="exact"/>
        <w:ind w:firstLine="420" w:firstLineChars="200"/>
        <w:rPr>
          <w:szCs w:val="21"/>
        </w:rPr>
      </w:pPr>
      <w:r>
        <w:rPr>
          <w:szCs w:val="21"/>
        </w:rPr>
        <w:t>1.6.4 文件的照管</w:t>
      </w:r>
    </w:p>
    <w:p>
      <w:pPr>
        <w:spacing w:line="440" w:lineRule="exact"/>
        <w:ind w:firstLine="420" w:firstLineChars="200"/>
        <w:rPr>
          <w:szCs w:val="21"/>
        </w:rPr>
      </w:pPr>
      <w:r>
        <w:rPr>
          <w:szCs w:val="21"/>
        </w:rPr>
        <w:t>监理人应在现场保留一份合同文件、监理文件、委托人要求中的所列文件、以及其他根据合同收发的往来信函，以备委托人和行政管理部门查阅使用。</w:t>
      </w:r>
    </w:p>
    <w:p>
      <w:pPr>
        <w:pStyle w:val="4"/>
        <w:spacing w:before="0" w:after="0" w:line="440" w:lineRule="exact"/>
        <w:rPr>
          <w:rFonts w:eastAsia="黑体"/>
          <w:b w:val="0"/>
          <w:sz w:val="28"/>
          <w:szCs w:val="28"/>
        </w:rPr>
      </w:pPr>
      <w:bookmarkStart w:id="35" w:name="_Toc62572778"/>
      <w:bookmarkStart w:id="36" w:name="_Toc482188553"/>
      <w:r>
        <w:rPr>
          <w:rFonts w:eastAsia="黑体"/>
          <w:b w:val="0"/>
          <w:sz w:val="28"/>
          <w:szCs w:val="28"/>
        </w:rPr>
        <w:t>1.7 联络</w:t>
      </w:r>
      <w:bookmarkEnd w:id="35"/>
      <w:bookmarkEnd w:id="36"/>
    </w:p>
    <w:p>
      <w:pPr>
        <w:spacing w:line="440" w:lineRule="exact"/>
        <w:ind w:firstLine="420" w:firstLineChars="200"/>
        <w:rPr>
          <w:szCs w:val="21"/>
        </w:rPr>
      </w:pPr>
      <w:r>
        <w:rPr>
          <w:szCs w:val="21"/>
        </w:rPr>
        <w:t>1.7.1 与合同有关的通知、批准、证明、证书、指示、要求、请求、同意、意见、确定和决定等，均应采用书面形式。</w:t>
      </w:r>
    </w:p>
    <w:p>
      <w:pPr>
        <w:spacing w:line="440" w:lineRule="exact"/>
        <w:ind w:firstLine="420" w:firstLineChars="200"/>
        <w:rPr>
          <w:szCs w:val="21"/>
        </w:rPr>
      </w:pPr>
      <w:r>
        <w:rPr>
          <w:szCs w:val="21"/>
        </w:rPr>
        <w:t>1.7.2 上述通知、批准、证明、证书、指示、要求、请求、同意、意见、确定和决定等来往函件，均应在合同约定的期限内送达指定的地点和指定的接收人，并办理签收手续。</w:t>
      </w:r>
    </w:p>
    <w:p>
      <w:pPr>
        <w:pStyle w:val="4"/>
        <w:spacing w:before="0" w:after="0" w:line="440" w:lineRule="exact"/>
        <w:rPr>
          <w:rFonts w:eastAsia="黑体"/>
          <w:b w:val="0"/>
          <w:sz w:val="28"/>
          <w:szCs w:val="28"/>
        </w:rPr>
      </w:pPr>
      <w:bookmarkStart w:id="37" w:name="_Toc482188554"/>
      <w:bookmarkStart w:id="38" w:name="_Toc62572779"/>
      <w:r>
        <w:rPr>
          <w:rFonts w:eastAsia="黑体"/>
          <w:b w:val="0"/>
          <w:sz w:val="28"/>
          <w:szCs w:val="28"/>
        </w:rPr>
        <w:t>1.8 转让</w:t>
      </w:r>
      <w:bookmarkEnd w:id="37"/>
      <w:bookmarkEnd w:id="38"/>
    </w:p>
    <w:p>
      <w:pPr>
        <w:spacing w:line="440" w:lineRule="exact"/>
        <w:ind w:firstLine="420" w:firstLineChars="200"/>
        <w:rPr>
          <w:szCs w:val="21"/>
        </w:rPr>
      </w:pPr>
      <w:r>
        <w:rPr>
          <w:szCs w:val="21"/>
        </w:rPr>
        <w:t>除专用合同条款另有约定外，未经对方当事人同意，一方当事人不得将合同权利全部或部分转让给第三人，也不得全部或部分转移合同义务。</w:t>
      </w:r>
    </w:p>
    <w:p>
      <w:pPr>
        <w:pStyle w:val="4"/>
        <w:spacing w:before="0" w:after="0" w:line="440" w:lineRule="exact"/>
        <w:rPr>
          <w:rFonts w:eastAsia="黑体"/>
          <w:b w:val="0"/>
          <w:sz w:val="28"/>
          <w:szCs w:val="28"/>
        </w:rPr>
      </w:pPr>
      <w:bookmarkStart w:id="39" w:name="_Toc482188555"/>
      <w:bookmarkStart w:id="40" w:name="_Toc62572780"/>
      <w:r>
        <w:rPr>
          <w:rFonts w:eastAsia="黑体"/>
          <w:b w:val="0"/>
          <w:sz w:val="28"/>
          <w:szCs w:val="28"/>
        </w:rPr>
        <w:t>1.9 严禁贿赂</w:t>
      </w:r>
      <w:bookmarkEnd w:id="39"/>
      <w:bookmarkEnd w:id="40"/>
    </w:p>
    <w:p>
      <w:pPr>
        <w:spacing w:line="440" w:lineRule="exact"/>
        <w:ind w:firstLine="420" w:firstLineChars="200"/>
        <w:rPr>
          <w:szCs w:val="21"/>
        </w:rPr>
      </w:pPr>
      <w:r>
        <w:rPr>
          <w:szCs w:val="21"/>
        </w:rPr>
        <w:t>合同双方当事人不得以贿赂或变相贿赂的方式，谋取不当利益或损害对方权益。因贿赂造成对方当事人损失的，行为人应当赔偿损失，并承担相应的法律责任。</w:t>
      </w:r>
    </w:p>
    <w:p>
      <w:pPr>
        <w:pStyle w:val="4"/>
        <w:spacing w:before="0" w:after="0" w:line="440" w:lineRule="exact"/>
        <w:rPr>
          <w:rFonts w:eastAsia="黑体"/>
          <w:b w:val="0"/>
          <w:sz w:val="28"/>
          <w:szCs w:val="28"/>
        </w:rPr>
      </w:pPr>
      <w:bookmarkStart w:id="41" w:name="_Toc62572781"/>
      <w:bookmarkStart w:id="42" w:name="_Toc482188556"/>
      <w:r>
        <w:rPr>
          <w:rFonts w:eastAsia="黑体"/>
          <w:b w:val="0"/>
          <w:sz w:val="28"/>
          <w:szCs w:val="28"/>
        </w:rPr>
        <w:t>1.10 知识产权</w:t>
      </w:r>
      <w:bookmarkEnd w:id="41"/>
      <w:bookmarkEnd w:id="42"/>
    </w:p>
    <w:p>
      <w:pPr>
        <w:spacing w:line="440" w:lineRule="exact"/>
        <w:ind w:firstLine="420" w:firstLineChars="200"/>
        <w:rPr>
          <w:szCs w:val="21"/>
        </w:rPr>
      </w:pPr>
      <w:r>
        <w:rPr>
          <w:szCs w:val="21"/>
        </w:rPr>
        <w:t>1.10.1除专用合同条款另有约定外，监理人完成的监理工作成果，除署名权以外的著作权和其他知识产权均归委托人享有。</w:t>
      </w:r>
    </w:p>
    <w:p>
      <w:pPr>
        <w:spacing w:line="440" w:lineRule="exact"/>
        <w:ind w:firstLine="420" w:firstLineChars="200"/>
        <w:rPr>
          <w:szCs w:val="21"/>
        </w:rPr>
      </w:pPr>
      <w:r>
        <w:rPr>
          <w:szCs w:val="21"/>
        </w:rPr>
        <w:t>1.10.2 监理人从事监理活动时不得侵犯他人的知识产权。因侵犯专利权或其他知识产权所引起的责任，由监理人自行承担。因委托人提供的监理资料导致侵权的，由委托人承担责任。</w:t>
      </w:r>
    </w:p>
    <w:p>
      <w:pPr>
        <w:spacing w:line="440" w:lineRule="exact"/>
        <w:ind w:firstLine="420" w:firstLineChars="200"/>
        <w:rPr>
          <w:szCs w:val="21"/>
        </w:rPr>
      </w:pPr>
      <w:r>
        <w:rPr>
          <w:szCs w:val="21"/>
        </w:rPr>
        <w:t>1.10.3 监理人在投标文件中采用专利技术、专有技术的，相应的使用费视为已包含在投标报价之中。</w:t>
      </w:r>
    </w:p>
    <w:p>
      <w:pPr>
        <w:pStyle w:val="4"/>
        <w:spacing w:before="0" w:after="0" w:line="440" w:lineRule="exact"/>
        <w:rPr>
          <w:rFonts w:eastAsia="黑体"/>
          <w:b w:val="0"/>
          <w:sz w:val="28"/>
          <w:szCs w:val="28"/>
        </w:rPr>
      </w:pPr>
      <w:bookmarkStart w:id="43" w:name="_Toc62572782"/>
      <w:bookmarkStart w:id="44" w:name="_Toc482188557"/>
      <w:r>
        <w:rPr>
          <w:rFonts w:eastAsia="黑体"/>
          <w:b w:val="0"/>
          <w:sz w:val="28"/>
          <w:szCs w:val="28"/>
        </w:rPr>
        <w:t>1.11 文件及信息的保密</w:t>
      </w:r>
      <w:bookmarkEnd w:id="43"/>
      <w:bookmarkEnd w:id="44"/>
    </w:p>
    <w:p>
      <w:pPr>
        <w:spacing w:line="440" w:lineRule="exact"/>
        <w:ind w:firstLine="420" w:firstLineChars="200"/>
        <w:rPr>
          <w:szCs w:val="21"/>
        </w:rPr>
      </w:pPr>
      <w:r>
        <w:rPr>
          <w:szCs w:val="21"/>
        </w:rPr>
        <w:t>未经对方同意，任何一方当事人不得将有关文件、技术秘密、需要保密的资料和信息泄露给他人或公开发表与引用。</w:t>
      </w:r>
    </w:p>
    <w:p>
      <w:pPr>
        <w:pStyle w:val="4"/>
        <w:spacing w:before="0" w:after="0" w:line="440" w:lineRule="exact"/>
        <w:rPr>
          <w:rFonts w:eastAsia="黑体"/>
          <w:b w:val="0"/>
          <w:sz w:val="28"/>
          <w:szCs w:val="28"/>
        </w:rPr>
      </w:pPr>
      <w:bookmarkStart w:id="45" w:name="_Toc482188558"/>
      <w:bookmarkStart w:id="46" w:name="_Toc62572783"/>
      <w:r>
        <w:rPr>
          <w:rFonts w:eastAsia="黑体"/>
          <w:b w:val="0"/>
          <w:sz w:val="28"/>
          <w:szCs w:val="28"/>
        </w:rPr>
        <w:t xml:space="preserve">1.12 </w:t>
      </w:r>
      <w:bookmarkEnd w:id="45"/>
      <w:r>
        <w:rPr>
          <w:rFonts w:eastAsia="黑体"/>
          <w:b w:val="0"/>
          <w:sz w:val="28"/>
          <w:szCs w:val="28"/>
        </w:rPr>
        <w:t>委托人要求</w:t>
      </w:r>
      <w:bookmarkEnd w:id="46"/>
    </w:p>
    <w:p>
      <w:pPr>
        <w:spacing w:line="440" w:lineRule="exact"/>
        <w:ind w:firstLine="420"/>
        <w:rPr>
          <w:szCs w:val="21"/>
        </w:rPr>
      </w:pPr>
      <w:r>
        <w:rPr>
          <w:szCs w:val="21"/>
        </w:rPr>
        <w:t>1.12.1 监理人应认真阅读、复核委托人要求，发现错误的，应及时书面通知委托人。无论是否存在错误，委托人均有权修改委托人要求，并在修改后3日内通知监理人。除专用合同</w:t>
      </w:r>
      <w:bookmarkStart w:id="47" w:name="_Toc247527649"/>
      <w:bookmarkStart w:id="48" w:name="_Toc265955390"/>
      <w:bookmarkStart w:id="49" w:name="_Toc300835045"/>
      <w:bookmarkStart w:id="50" w:name="_Toc247514048"/>
      <w:r>
        <w:rPr>
          <w:szCs w:val="21"/>
        </w:rPr>
        <w:t>条款另有约定外，由此</w:t>
      </w:r>
      <w:bookmarkEnd w:id="47"/>
      <w:bookmarkEnd w:id="48"/>
      <w:bookmarkEnd w:id="49"/>
      <w:bookmarkEnd w:id="50"/>
      <w:r>
        <w:rPr>
          <w:szCs w:val="21"/>
        </w:rPr>
        <w:t>导致监理人费用增加和(或)周期延误的，委托人应当相应地增加费用和(或)延长周期。</w:t>
      </w:r>
    </w:p>
    <w:p>
      <w:pPr>
        <w:spacing w:line="440" w:lineRule="exact"/>
        <w:ind w:firstLine="420"/>
        <w:rPr>
          <w:szCs w:val="21"/>
        </w:rPr>
      </w:pPr>
      <w:r>
        <w:rPr>
          <w:szCs w:val="21"/>
        </w:rPr>
        <w:t>1.12.2 如果委托人要求违反法律规定，监理人应在发现后及时书面通知委托人，要求其改正。委托人收到通知书后不予改正或不予答复的，监理人有权拒绝履行合同义务，直至解除合同；由此引起的监理人的全部损失由委托人承担。</w:t>
      </w:r>
    </w:p>
    <w:p>
      <w:pPr>
        <w:spacing w:line="440" w:lineRule="exact"/>
        <w:ind w:firstLine="435"/>
        <w:rPr>
          <w:szCs w:val="21"/>
        </w:rPr>
      </w:pPr>
      <w:r>
        <w:rPr>
          <w:szCs w:val="21"/>
        </w:rPr>
        <w:t>1.12.3 委托人要求采用国外规范和标准进行监理时，应由委托人负责提供该规范和标准的外国文本和中文译本，提供的时间、份数和其他要求在专用合同条款中约定。</w:t>
      </w:r>
    </w:p>
    <w:p>
      <w:pPr>
        <w:pStyle w:val="3"/>
        <w:spacing w:before="120" w:beforeLines="50" w:after="120" w:afterLines="50" w:line="440" w:lineRule="exact"/>
        <w:jc w:val="left"/>
        <w:rPr>
          <w:rFonts w:ascii="Times New Roman" w:hAnsi="Times New Roman"/>
          <w:sz w:val="28"/>
          <w:szCs w:val="28"/>
        </w:rPr>
      </w:pPr>
      <w:bookmarkStart w:id="51" w:name="_Toc62572784"/>
      <w:bookmarkStart w:id="52" w:name="_Toc482188559"/>
      <w:r>
        <w:rPr>
          <w:rFonts w:ascii="Times New Roman" w:hAnsi="Times New Roman"/>
          <w:sz w:val="28"/>
          <w:szCs w:val="28"/>
        </w:rPr>
        <w:t>2. 委托人义务</w:t>
      </w:r>
      <w:bookmarkEnd w:id="51"/>
      <w:bookmarkEnd w:id="52"/>
    </w:p>
    <w:p>
      <w:pPr>
        <w:pStyle w:val="4"/>
        <w:spacing w:before="0" w:after="0" w:line="440" w:lineRule="exact"/>
        <w:rPr>
          <w:rFonts w:eastAsia="黑体"/>
          <w:b w:val="0"/>
          <w:sz w:val="28"/>
          <w:szCs w:val="28"/>
        </w:rPr>
      </w:pPr>
      <w:bookmarkStart w:id="53" w:name="_Toc62572785"/>
      <w:bookmarkStart w:id="54" w:name="_Toc482188560"/>
      <w:r>
        <w:rPr>
          <w:rFonts w:eastAsia="黑体"/>
          <w:b w:val="0"/>
          <w:sz w:val="28"/>
          <w:szCs w:val="28"/>
        </w:rPr>
        <w:t>2.1 遵守法律</w:t>
      </w:r>
      <w:bookmarkEnd w:id="53"/>
      <w:bookmarkEnd w:id="54"/>
    </w:p>
    <w:p>
      <w:pPr>
        <w:spacing w:line="440" w:lineRule="exact"/>
        <w:ind w:firstLine="420" w:firstLineChars="200"/>
        <w:rPr>
          <w:szCs w:val="21"/>
        </w:rPr>
      </w:pPr>
      <w:r>
        <w:rPr>
          <w:szCs w:val="21"/>
        </w:rPr>
        <w:t>委托人在履行合同过程中应遵守法律，并保证监理人免于承担因委托人违反法律而引起的</w:t>
      </w:r>
      <w:bookmarkStart w:id="55" w:name="_Toc247514049"/>
      <w:bookmarkStart w:id="56" w:name="_Toc247527650"/>
      <w:bookmarkStart w:id="57" w:name="_Toc385942918"/>
      <w:bookmarkStart w:id="58" w:name="_Toc184635099"/>
      <w:bookmarkStart w:id="59" w:name="_Toc300835048"/>
      <w:bookmarkStart w:id="60" w:name="_Toc370281722"/>
      <w:bookmarkStart w:id="61" w:name="_Toc385592087"/>
      <w:r>
        <w:rPr>
          <w:szCs w:val="21"/>
        </w:rPr>
        <w:t>任何责任。</w:t>
      </w:r>
    </w:p>
    <w:p>
      <w:pPr>
        <w:pStyle w:val="4"/>
        <w:spacing w:before="0" w:after="0" w:line="440" w:lineRule="exact"/>
        <w:rPr>
          <w:rFonts w:eastAsia="黑体"/>
          <w:b w:val="0"/>
          <w:sz w:val="28"/>
          <w:szCs w:val="28"/>
        </w:rPr>
      </w:pPr>
      <w:bookmarkStart w:id="62" w:name="_Toc62572786"/>
      <w:bookmarkStart w:id="63" w:name="_Toc482188561"/>
      <w:r>
        <w:rPr>
          <w:rFonts w:eastAsia="黑体"/>
          <w:b w:val="0"/>
          <w:sz w:val="28"/>
          <w:szCs w:val="28"/>
        </w:rPr>
        <w:t>2</w:t>
      </w:r>
      <w:bookmarkEnd w:id="55"/>
      <w:bookmarkEnd w:id="56"/>
      <w:bookmarkEnd w:id="57"/>
      <w:bookmarkEnd w:id="58"/>
      <w:bookmarkEnd w:id="59"/>
      <w:bookmarkEnd w:id="60"/>
      <w:bookmarkEnd w:id="61"/>
      <w:r>
        <w:rPr>
          <w:rFonts w:eastAsia="黑体"/>
          <w:b w:val="0"/>
          <w:sz w:val="28"/>
          <w:szCs w:val="28"/>
        </w:rPr>
        <w:t>.2</w:t>
      </w:r>
      <w:bookmarkStart w:id="64" w:name="_Toc247527651"/>
      <w:bookmarkStart w:id="65" w:name="_Toc247514050"/>
      <w:bookmarkStart w:id="66" w:name="_Toc300835049"/>
      <w:bookmarkStart w:id="67" w:name="_Toc370281723"/>
      <w:bookmarkStart w:id="68" w:name="_Toc385942919"/>
      <w:bookmarkStart w:id="69" w:name="_Toc300835052"/>
      <w:bookmarkStart w:id="70" w:name="_Toc247514053"/>
      <w:bookmarkStart w:id="71" w:name="_Toc247527654"/>
      <w:r>
        <w:rPr>
          <w:rFonts w:eastAsia="黑体"/>
          <w:b w:val="0"/>
          <w:sz w:val="28"/>
          <w:szCs w:val="28"/>
        </w:rPr>
        <w:t xml:space="preserve"> 发出开始监理通</w:t>
      </w:r>
      <w:bookmarkEnd w:id="64"/>
      <w:bookmarkEnd w:id="65"/>
      <w:bookmarkEnd w:id="66"/>
      <w:r>
        <w:rPr>
          <w:rFonts w:eastAsia="黑体"/>
          <w:b w:val="0"/>
          <w:sz w:val="28"/>
          <w:szCs w:val="28"/>
        </w:rPr>
        <w:t>知</w:t>
      </w:r>
      <w:bookmarkEnd w:id="62"/>
      <w:bookmarkEnd w:id="63"/>
    </w:p>
    <w:p>
      <w:pPr>
        <w:spacing w:line="440" w:lineRule="exact"/>
        <w:ind w:firstLine="420" w:firstLineChars="200"/>
        <w:rPr>
          <w:szCs w:val="21"/>
        </w:rPr>
      </w:pPr>
      <w:r>
        <w:rPr>
          <w:szCs w:val="21"/>
        </w:rPr>
        <w:t>委托人应按第6.1款的约定向监理人发出开始监理通知。</w:t>
      </w:r>
    </w:p>
    <w:p>
      <w:pPr>
        <w:spacing w:line="440" w:lineRule="exact"/>
        <w:ind w:firstLine="420" w:firstLineChars="200"/>
        <w:rPr>
          <w:szCs w:val="21"/>
        </w:rPr>
      </w:pPr>
      <w:r>
        <w:rPr>
          <w:szCs w:val="21"/>
        </w:rPr>
        <w:t>除专用合同条款另有约定外，委托人应为监理人的现场人员，在施工期间提供办公房间、办公桌椅、互联网接口、冷暖设施、生活设施、进出现场交通服务和其他便利条件。</w:t>
      </w:r>
    </w:p>
    <w:p>
      <w:pPr>
        <w:pStyle w:val="4"/>
        <w:spacing w:before="0" w:after="0" w:line="440" w:lineRule="exact"/>
        <w:rPr>
          <w:rFonts w:eastAsia="黑体"/>
          <w:b w:val="0"/>
          <w:sz w:val="28"/>
          <w:szCs w:val="28"/>
        </w:rPr>
      </w:pPr>
      <w:bookmarkStart w:id="72" w:name="_Toc482188562"/>
      <w:bookmarkStart w:id="73" w:name="_Toc62572787"/>
      <w:r>
        <w:rPr>
          <w:rFonts w:eastAsia="黑体"/>
          <w:b w:val="0"/>
          <w:sz w:val="28"/>
          <w:szCs w:val="28"/>
        </w:rPr>
        <w:t>2.</w:t>
      </w:r>
      <w:bookmarkStart w:id="74" w:name="_Toc247527653"/>
      <w:bookmarkStart w:id="75" w:name="_Toc247514052"/>
      <w:bookmarkStart w:id="76" w:name="_Toc300835051"/>
      <w:r>
        <w:rPr>
          <w:rFonts w:eastAsia="黑体"/>
          <w:b w:val="0"/>
          <w:sz w:val="28"/>
          <w:szCs w:val="28"/>
        </w:rPr>
        <w:t>3 办理证件</w:t>
      </w:r>
      <w:bookmarkEnd w:id="74"/>
      <w:bookmarkEnd w:id="75"/>
      <w:bookmarkEnd w:id="76"/>
      <w:r>
        <w:rPr>
          <w:rFonts w:eastAsia="黑体"/>
          <w:b w:val="0"/>
          <w:sz w:val="28"/>
          <w:szCs w:val="28"/>
        </w:rPr>
        <w:t>和批件</w:t>
      </w:r>
      <w:bookmarkEnd w:id="72"/>
      <w:bookmarkEnd w:id="73"/>
    </w:p>
    <w:p>
      <w:pPr>
        <w:spacing w:line="440" w:lineRule="exact"/>
        <w:ind w:firstLine="420" w:firstLineChars="200"/>
        <w:rPr>
          <w:szCs w:val="21"/>
        </w:rPr>
      </w:pPr>
      <w:r>
        <w:rPr>
          <w:szCs w:val="21"/>
        </w:rPr>
        <w:t>法律规定和（或）合同约定由委托人负责办理的工程建设项目必须履行的各类审批、核准或备案手续，委托人应当按时办理，监理人应给予必要的协助。</w:t>
      </w:r>
    </w:p>
    <w:p>
      <w:pPr>
        <w:spacing w:line="440" w:lineRule="exact"/>
        <w:ind w:firstLine="420" w:firstLineChars="200"/>
        <w:rPr>
          <w:szCs w:val="21"/>
        </w:rPr>
      </w:pPr>
      <w:r>
        <w:rPr>
          <w:szCs w:val="21"/>
        </w:rPr>
        <w:t>法律规定和（或）合同约定由监理人负责办理的监理所需的证件和批件，委托人应给予必要的协助。</w:t>
      </w:r>
    </w:p>
    <w:p>
      <w:pPr>
        <w:pStyle w:val="4"/>
        <w:spacing w:before="0" w:after="0" w:line="440" w:lineRule="exact"/>
        <w:rPr>
          <w:rFonts w:eastAsia="黑体"/>
          <w:b w:val="0"/>
          <w:sz w:val="28"/>
          <w:szCs w:val="28"/>
        </w:rPr>
      </w:pPr>
      <w:bookmarkStart w:id="77" w:name="_Toc62572788"/>
      <w:bookmarkStart w:id="78" w:name="_Toc482188563"/>
      <w:r>
        <w:rPr>
          <w:rFonts w:eastAsia="黑体"/>
          <w:b w:val="0"/>
          <w:sz w:val="28"/>
          <w:szCs w:val="28"/>
        </w:rPr>
        <w:t>2.4 支付合同价款</w:t>
      </w:r>
      <w:bookmarkEnd w:id="77"/>
      <w:bookmarkEnd w:id="78"/>
    </w:p>
    <w:p>
      <w:pPr>
        <w:spacing w:line="440" w:lineRule="exact"/>
        <w:ind w:firstLine="420" w:firstLineChars="200"/>
        <w:rPr>
          <w:szCs w:val="21"/>
        </w:rPr>
      </w:pPr>
      <w:r>
        <w:rPr>
          <w:szCs w:val="21"/>
        </w:rPr>
        <w:t>委托人应按合同约定向监理人及时支付合同价款。</w:t>
      </w:r>
    </w:p>
    <w:p>
      <w:pPr>
        <w:pStyle w:val="4"/>
        <w:spacing w:before="0" w:after="0" w:line="440" w:lineRule="exact"/>
        <w:rPr>
          <w:rFonts w:eastAsia="黑体"/>
          <w:b w:val="0"/>
          <w:sz w:val="28"/>
          <w:szCs w:val="28"/>
        </w:rPr>
      </w:pPr>
      <w:bookmarkStart w:id="79" w:name="_Toc62572789"/>
      <w:bookmarkStart w:id="80" w:name="_Toc482188564"/>
      <w:bookmarkStart w:id="81" w:name="_Toc474833987"/>
      <w:r>
        <w:rPr>
          <w:rFonts w:eastAsia="黑体"/>
          <w:b w:val="0"/>
          <w:sz w:val="28"/>
          <w:szCs w:val="28"/>
        </w:rPr>
        <w:t>2.5 提供监理资料</w:t>
      </w:r>
      <w:bookmarkEnd w:id="79"/>
      <w:bookmarkEnd w:id="80"/>
      <w:bookmarkEnd w:id="81"/>
    </w:p>
    <w:p>
      <w:pPr>
        <w:spacing w:line="440" w:lineRule="exact"/>
        <w:ind w:firstLine="420" w:firstLineChars="200"/>
        <w:rPr>
          <w:szCs w:val="21"/>
        </w:rPr>
      </w:pPr>
      <w:r>
        <w:rPr>
          <w:szCs w:val="21"/>
        </w:rPr>
        <w:t>委托人应按第1.6.2项的约定向监理人提供监理资料。</w:t>
      </w:r>
    </w:p>
    <w:bookmarkEnd w:id="67"/>
    <w:bookmarkEnd w:id="68"/>
    <w:bookmarkEnd w:id="69"/>
    <w:bookmarkEnd w:id="70"/>
    <w:bookmarkEnd w:id="71"/>
    <w:p>
      <w:pPr>
        <w:pStyle w:val="4"/>
        <w:spacing w:before="0" w:after="0" w:line="440" w:lineRule="exact"/>
        <w:rPr>
          <w:rFonts w:eastAsia="黑体"/>
          <w:b w:val="0"/>
          <w:sz w:val="28"/>
          <w:szCs w:val="28"/>
        </w:rPr>
      </w:pPr>
      <w:bookmarkStart w:id="82" w:name="_Toc482188565"/>
      <w:bookmarkStart w:id="83" w:name="_Toc62572790"/>
      <w:r>
        <w:rPr>
          <w:rFonts w:eastAsia="黑体"/>
          <w:b w:val="0"/>
          <w:sz w:val="28"/>
          <w:szCs w:val="28"/>
        </w:rPr>
        <w:t>2.6 其他义务</w:t>
      </w:r>
      <w:bookmarkEnd w:id="82"/>
      <w:bookmarkEnd w:id="83"/>
    </w:p>
    <w:p>
      <w:pPr>
        <w:spacing w:line="440" w:lineRule="exact"/>
        <w:ind w:firstLine="420" w:firstLineChars="200"/>
        <w:rPr>
          <w:szCs w:val="21"/>
        </w:rPr>
      </w:pPr>
      <w:r>
        <w:rPr>
          <w:szCs w:val="21"/>
        </w:rPr>
        <w:t>委托人应履行合同约定的其他义务</w:t>
      </w:r>
      <w:bookmarkStart w:id="84" w:name="_Toc385942924"/>
      <w:bookmarkStart w:id="85" w:name="_Toc370281728"/>
      <w:r>
        <w:rPr>
          <w:szCs w:val="21"/>
        </w:rPr>
        <w:t>。</w:t>
      </w:r>
    </w:p>
    <w:p>
      <w:pPr>
        <w:pStyle w:val="3"/>
        <w:spacing w:before="120" w:beforeLines="50" w:after="120" w:afterLines="50" w:line="440" w:lineRule="exact"/>
        <w:jc w:val="left"/>
        <w:rPr>
          <w:rFonts w:ascii="Times New Roman" w:hAnsi="Times New Roman"/>
          <w:sz w:val="28"/>
          <w:szCs w:val="28"/>
        </w:rPr>
      </w:pPr>
      <w:bookmarkStart w:id="86" w:name="_Toc482188566"/>
      <w:bookmarkStart w:id="87" w:name="_Toc62572791"/>
      <w:r>
        <w:rPr>
          <w:rFonts w:ascii="Times New Roman" w:hAnsi="Times New Roman"/>
          <w:sz w:val="28"/>
          <w:szCs w:val="28"/>
        </w:rPr>
        <w:t>3. 委托人管</w:t>
      </w:r>
      <w:bookmarkEnd w:id="84"/>
      <w:bookmarkEnd w:id="85"/>
      <w:r>
        <w:rPr>
          <w:rFonts w:ascii="Times New Roman" w:hAnsi="Times New Roman"/>
          <w:sz w:val="28"/>
          <w:szCs w:val="28"/>
        </w:rPr>
        <w:t>理</w:t>
      </w:r>
      <w:bookmarkEnd w:id="86"/>
      <w:bookmarkEnd w:id="87"/>
    </w:p>
    <w:p>
      <w:pPr>
        <w:pStyle w:val="4"/>
        <w:spacing w:before="0" w:after="0" w:line="440" w:lineRule="exact"/>
        <w:rPr>
          <w:rFonts w:eastAsia="黑体"/>
          <w:b w:val="0"/>
          <w:sz w:val="28"/>
          <w:szCs w:val="28"/>
        </w:rPr>
      </w:pPr>
      <w:bookmarkStart w:id="88" w:name="_Toc482188567"/>
      <w:bookmarkStart w:id="89" w:name="_Toc62572792"/>
      <w:r>
        <w:rPr>
          <w:rFonts w:eastAsia="黑体"/>
          <w:b w:val="0"/>
          <w:sz w:val="28"/>
          <w:szCs w:val="28"/>
        </w:rPr>
        <w:t>3.1 委托人代表</w:t>
      </w:r>
      <w:bookmarkEnd w:id="88"/>
      <w:bookmarkEnd w:id="89"/>
    </w:p>
    <w:p>
      <w:pPr>
        <w:spacing w:line="440" w:lineRule="exact"/>
        <w:ind w:firstLine="420" w:firstLineChars="200"/>
        <w:rPr>
          <w:szCs w:val="21"/>
        </w:rPr>
      </w:pPr>
      <w:r>
        <w:rPr>
          <w:szCs w:val="21"/>
        </w:rPr>
        <w:t>3.1.1除专用合同条款</w:t>
      </w:r>
      <w:bookmarkStart w:id="90" w:name="_Toc300835055"/>
      <w:bookmarkStart w:id="91" w:name="_Toc370281729"/>
      <w:bookmarkStart w:id="92" w:name="_Toc385942925"/>
      <w:bookmarkStart w:id="93" w:name="_Toc247514057"/>
      <w:bookmarkStart w:id="94" w:name="_Toc247527658"/>
      <w:r>
        <w:rPr>
          <w:szCs w:val="21"/>
        </w:rPr>
        <w:t>另有约定外，</w:t>
      </w:r>
      <w:bookmarkEnd w:id="90"/>
      <w:bookmarkEnd w:id="91"/>
      <w:bookmarkEnd w:id="92"/>
      <w:bookmarkEnd w:id="93"/>
      <w:bookmarkEnd w:id="94"/>
      <w:r>
        <w:rPr>
          <w:szCs w:val="21"/>
        </w:rPr>
        <w:t>委托人应在合同签订后14天内，将委托人代</w:t>
      </w:r>
      <w:bookmarkStart w:id="95" w:name="_Toc184635100"/>
      <w:bookmarkStart w:id="96" w:name="_Toc247514058"/>
      <w:bookmarkStart w:id="97" w:name="_Toc300835056"/>
      <w:bookmarkStart w:id="98" w:name="_Toc247527659"/>
      <w:r>
        <w:rPr>
          <w:szCs w:val="21"/>
        </w:rPr>
        <w:t>表的姓名、职</w:t>
      </w:r>
      <w:bookmarkEnd w:id="95"/>
      <w:bookmarkEnd w:id="96"/>
      <w:bookmarkEnd w:id="97"/>
      <w:bookmarkEnd w:id="98"/>
      <w:r>
        <w:rPr>
          <w:szCs w:val="21"/>
        </w:rPr>
        <w:t>务、联</w:t>
      </w:r>
      <w:bookmarkStart w:id="99" w:name="_Toc351203511"/>
      <w:r>
        <w:rPr>
          <w:szCs w:val="21"/>
        </w:rPr>
        <w:t>系方式、授权范围和</w:t>
      </w:r>
      <w:bookmarkEnd w:id="99"/>
      <w:r>
        <w:rPr>
          <w:szCs w:val="21"/>
        </w:rPr>
        <w:t>授权期限书面通知监理人，由委托人代表在其授权范围和授权期限内，代表委托人行使权利、履行义务和处理合同履行中的具体事宜。委托人代表在授权范围内的行为由委托人承担法律责任。</w:t>
      </w:r>
    </w:p>
    <w:p>
      <w:pPr>
        <w:spacing w:line="440" w:lineRule="exact"/>
        <w:ind w:firstLine="420" w:firstLineChars="200"/>
        <w:rPr>
          <w:szCs w:val="21"/>
        </w:rPr>
      </w:pPr>
      <w:r>
        <w:rPr>
          <w:szCs w:val="21"/>
        </w:rPr>
        <w:t>3.1.2委托人代表违反法律法规、违背职业道德守则或者不按合同约定履行职责及义务，导致合同无法继续正常履行的，监理人有权通知委托人更换委托人代表。委托人收到通知后7天内，应当核实完毕并将处理结果通知监理人。</w:t>
      </w:r>
    </w:p>
    <w:p>
      <w:pPr>
        <w:spacing w:line="440" w:lineRule="exact"/>
        <w:ind w:firstLine="420" w:firstLineChars="200"/>
        <w:rPr>
          <w:szCs w:val="21"/>
        </w:rPr>
      </w:pPr>
      <w:r>
        <w:rPr>
          <w:szCs w:val="21"/>
        </w:rPr>
        <w:t>3.1.3 委托人更换委托人代表的，应提前14天将更换人员的姓名、职务、联系方式、授权范围和授权期限书面通知监理人。委托人代表超过2天不能履行职责的，应委派代表代行其职责，并通知监理人。</w:t>
      </w:r>
    </w:p>
    <w:p>
      <w:pPr>
        <w:pStyle w:val="4"/>
        <w:spacing w:before="0" w:after="0" w:line="440" w:lineRule="exact"/>
        <w:rPr>
          <w:rFonts w:eastAsia="黑体"/>
          <w:b w:val="0"/>
          <w:sz w:val="28"/>
          <w:szCs w:val="28"/>
        </w:rPr>
      </w:pPr>
      <w:bookmarkStart w:id="100" w:name="_Toc62572793"/>
      <w:bookmarkStart w:id="101" w:name="_Toc482188569"/>
      <w:r>
        <w:rPr>
          <w:rFonts w:eastAsia="黑体"/>
          <w:b w:val="0"/>
          <w:sz w:val="28"/>
          <w:szCs w:val="28"/>
        </w:rPr>
        <w:t>3.2 委托人的指示</w:t>
      </w:r>
      <w:bookmarkEnd w:id="100"/>
      <w:bookmarkEnd w:id="101"/>
    </w:p>
    <w:p>
      <w:pPr>
        <w:spacing w:line="440" w:lineRule="exact"/>
        <w:ind w:firstLine="420" w:firstLineChars="200"/>
        <w:rPr>
          <w:szCs w:val="21"/>
        </w:rPr>
      </w:pPr>
      <w:r>
        <w:rPr>
          <w:szCs w:val="21"/>
        </w:rPr>
        <w:t>3.2.1 委托人应按合同约定向监理人发出指示，委托人的指示应盖有委托人单位章</w:t>
      </w:r>
      <w:bookmarkStart w:id="102" w:name="_Toc247514062"/>
      <w:bookmarkStart w:id="103" w:name="_Toc300835060"/>
      <w:bookmarkStart w:id="104" w:name="_Toc247527663"/>
      <w:r>
        <w:rPr>
          <w:szCs w:val="21"/>
        </w:rPr>
        <w:t>，并由</w:t>
      </w:r>
      <w:bookmarkEnd w:id="102"/>
      <w:bookmarkEnd w:id="103"/>
      <w:bookmarkEnd w:id="104"/>
      <w:r>
        <w:rPr>
          <w:szCs w:val="21"/>
        </w:rPr>
        <w:t>委托人代表签字确认。</w:t>
      </w:r>
    </w:p>
    <w:p>
      <w:pPr>
        <w:spacing w:line="440" w:lineRule="exact"/>
        <w:ind w:firstLine="420" w:firstLineChars="200"/>
        <w:rPr>
          <w:szCs w:val="21"/>
        </w:rPr>
      </w:pPr>
      <w:r>
        <w:rPr>
          <w:szCs w:val="21"/>
        </w:rPr>
        <w:t>3.2.2 监理人收到委托人作出的指示后应遵照执行。指示构成变更的，应按第8条执行。</w:t>
      </w:r>
    </w:p>
    <w:p>
      <w:pPr>
        <w:spacing w:line="440" w:lineRule="exact"/>
        <w:ind w:firstLine="420" w:firstLineChars="200"/>
        <w:rPr>
          <w:szCs w:val="21"/>
        </w:rPr>
      </w:pPr>
      <w:r>
        <w:rPr>
          <w:szCs w:val="21"/>
        </w:rPr>
        <w:t>3.2.3 在紧急情况下，委托人代表或其授权人员可以当场签发临时书面指示，监理人应遵照执行。委托人代表应在临时书面指示发出后24小时内发出书面确认函，逾期未发出书面确认函的，该临时书面指示应被视为委托人的正式指示。</w:t>
      </w:r>
    </w:p>
    <w:p>
      <w:pPr>
        <w:spacing w:line="440" w:lineRule="exact"/>
        <w:ind w:firstLine="420" w:firstLineChars="200"/>
        <w:rPr>
          <w:szCs w:val="21"/>
        </w:rPr>
      </w:pPr>
      <w:r>
        <w:rPr>
          <w:szCs w:val="21"/>
        </w:rPr>
        <w:t>3.2.4 由于委托人未能按合同约定发出指示、指示延误或指示错误而导致监理人费用增加和（或）周期延误的，委托人应承担由此增加的费用和（或）周期延误。</w:t>
      </w:r>
    </w:p>
    <w:p>
      <w:pPr>
        <w:pStyle w:val="4"/>
        <w:spacing w:before="0" w:after="0" w:line="440" w:lineRule="exact"/>
        <w:rPr>
          <w:rFonts w:eastAsia="黑体"/>
          <w:b w:val="0"/>
          <w:sz w:val="28"/>
          <w:szCs w:val="28"/>
        </w:rPr>
      </w:pPr>
      <w:bookmarkStart w:id="105" w:name="_Toc482188570"/>
      <w:bookmarkStart w:id="106" w:name="_Toc62572794"/>
      <w:r>
        <w:rPr>
          <w:rFonts w:eastAsia="黑体"/>
          <w:b w:val="0"/>
          <w:sz w:val="28"/>
          <w:szCs w:val="28"/>
        </w:rPr>
        <w:t>3.3 决定或答复</w:t>
      </w:r>
      <w:bookmarkEnd w:id="105"/>
      <w:bookmarkEnd w:id="106"/>
    </w:p>
    <w:p>
      <w:pPr>
        <w:spacing w:line="440" w:lineRule="exact"/>
        <w:ind w:firstLine="420" w:firstLineChars="200"/>
        <w:rPr>
          <w:szCs w:val="21"/>
        </w:rPr>
      </w:pPr>
      <w:r>
        <w:rPr>
          <w:szCs w:val="21"/>
        </w:rPr>
        <w:t>3.3.1 委托人在法律允许的范围内有权对监理人的监理工作和/或监理文件作出处理决定</w:t>
      </w:r>
      <w:bookmarkStart w:id="107" w:name="_Toc184635101"/>
      <w:bookmarkStart w:id="108" w:name="_Toc385592088"/>
      <w:bookmarkStart w:id="109" w:name="_Toc300835062"/>
      <w:bookmarkStart w:id="110" w:name="_Toc385942926"/>
      <w:bookmarkStart w:id="111" w:name="_Toc247514064"/>
      <w:bookmarkStart w:id="112" w:name="_Toc370281730"/>
      <w:bookmarkStart w:id="113" w:name="_Toc247527665"/>
      <w:r>
        <w:rPr>
          <w:szCs w:val="21"/>
        </w:rPr>
        <w:t>，监理人应按照委托人的决定执行，涉及监理服务期限或监理报酬等问题按第8条的约定处理。</w:t>
      </w:r>
    </w:p>
    <w:p>
      <w:pPr>
        <w:spacing w:line="440" w:lineRule="exact"/>
        <w:ind w:firstLine="420" w:firstLineChars="200"/>
        <w:rPr>
          <w:szCs w:val="21"/>
        </w:rPr>
      </w:pPr>
      <w:r>
        <w:rPr>
          <w:szCs w:val="21"/>
        </w:rPr>
        <w:t>3.3.2 委托人应在专用合同条款约定的时间之内，对监理人书面提出的事项作出书面答复；逾期没有做出答复的，视为已获得委托人的批准。</w:t>
      </w:r>
    </w:p>
    <w:p>
      <w:pPr>
        <w:pStyle w:val="3"/>
        <w:spacing w:before="120" w:beforeLines="50" w:after="120" w:afterLines="50" w:line="440" w:lineRule="exact"/>
        <w:jc w:val="left"/>
        <w:rPr>
          <w:rFonts w:ascii="Times New Roman" w:hAnsi="Times New Roman"/>
          <w:sz w:val="28"/>
          <w:szCs w:val="28"/>
        </w:rPr>
      </w:pPr>
      <w:bookmarkStart w:id="114" w:name="_Toc482188571"/>
      <w:bookmarkStart w:id="115" w:name="_Toc62572795"/>
      <w:r>
        <w:rPr>
          <w:rFonts w:ascii="Times New Roman" w:hAnsi="Times New Roman"/>
          <w:sz w:val="28"/>
          <w:szCs w:val="28"/>
        </w:rPr>
        <w:t>4. 监理人义务</w:t>
      </w:r>
      <w:bookmarkEnd w:id="114"/>
      <w:bookmarkEnd w:id="115"/>
    </w:p>
    <w:p>
      <w:pPr>
        <w:pStyle w:val="4"/>
        <w:spacing w:before="0" w:after="0" w:line="440" w:lineRule="exact"/>
        <w:rPr>
          <w:rFonts w:eastAsia="黑体"/>
          <w:b w:val="0"/>
          <w:sz w:val="28"/>
          <w:szCs w:val="28"/>
        </w:rPr>
      </w:pPr>
      <w:bookmarkStart w:id="116" w:name="_Toc62572796"/>
      <w:bookmarkStart w:id="117" w:name="_Toc482188572"/>
      <w:r>
        <w:rPr>
          <w:rFonts w:eastAsia="黑体"/>
          <w:b w:val="0"/>
          <w:sz w:val="28"/>
          <w:szCs w:val="28"/>
        </w:rPr>
        <w:t>4.1 监理人的一般义务</w:t>
      </w:r>
      <w:bookmarkEnd w:id="116"/>
      <w:bookmarkEnd w:id="117"/>
    </w:p>
    <w:p>
      <w:pPr>
        <w:spacing w:line="440" w:lineRule="exact"/>
        <w:ind w:firstLine="420" w:firstLineChars="200"/>
        <w:rPr>
          <w:szCs w:val="21"/>
        </w:rPr>
      </w:pPr>
      <w:r>
        <w:rPr>
          <w:szCs w:val="21"/>
        </w:rPr>
        <w:t>4.1.1 遵守法律</w:t>
      </w:r>
    </w:p>
    <w:p>
      <w:pPr>
        <w:spacing w:line="440" w:lineRule="exact"/>
        <w:ind w:firstLine="420" w:firstLineChars="200"/>
        <w:rPr>
          <w:szCs w:val="21"/>
        </w:rPr>
      </w:pPr>
      <w:r>
        <w:rPr>
          <w:szCs w:val="21"/>
        </w:rPr>
        <w:t>监理人在履行合同过程中应遵守法律，并保证委托人免于承担因</w:t>
      </w:r>
      <w:bookmarkEnd w:id="107"/>
      <w:bookmarkEnd w:id="108"/>
      <w:bookmarkEnd w:id="109"/>
      <w:bookmarkEnd w:id="110"/>
      <w:bookmarkEnd w:id="111"/>
      <w:bookmarkEnd w:id="112"/>
      <w:bookmarkEnd w:id="113"/>
      <w:r>
        <w:rPr>
          <w:szCs w:val="21"/>
        </w:rPr>
        <w:t>监理人</w:t>
      </w:r>
      <w:bookmarkStart w:id="118" w:name="_Toc247514065"/>
      <w:bookmarkStart w:id="119" w:name="_Toc385942927"/>
      <w:bookmarkStart w:id="120" w:name="_Toc300835063"/>
      <w:bookmarkStart w:id="121" w:name="_Toc247527666"/>
      <w:bookmarkStart w:id="122" w:name="_Toc370281731"/>
      <w:r>
        <w:rPr>
          <w:szCs w:val="21"/>
        </w:rPr>
        <w:t>违反法律而引起的任何责任。</w:t>
      </w:r>
    </w:p>
    <w:bookmarkEnd w:id="118"/>
    <w:bookmarkEnd w:id="119"/>
    <w:bookmarkEnd w:id="120"/>
    <w:bookmarkEnd w:id="121"/>
    <w:bookmarkEnd w:id="122"/>
    <w:p>
      <w:pPr>
        <w:spacing w:line="440" w:lineRule="exact"/>
        <w:ind w:firstLine="420" w:firstLineChars="200"/>
        <w:rPr>
          <w:szCs w:val="21"/>
        </w:rPr>
      </w:pPr>
      <w:r>
        <w:rPr>
          <w:szCs w:val="21"/>
        </w:rPr>
        <w:t>4.1.2 依法纳税</w:t>
      </w:r>
    </w:p>
    <w:p>
      <w:pPr>
        <w:spacing w:line="440" w:lineRule="exact"/>
        <w:ind w:firstLine="420" w:firstLineChars="200"/>
        <w:rPr>
          <w:szCs w:val="21"/>
        </w:rPr>
      </w:pPr>
      <w:r>
        <w:rPr>
          <w:szCs w:val="21"/>
        </w:rPr>
        <w:t>监理人应按有关法律规定纳税，应缴纳的税金（含增值税）包括在合同价格之中。</w:t>
      </w:r>
    </w:p>
    <w:p>
      <w:pPr>
        <w:spacing w:line="440" w:lineRule="exact"/>
        <w:ind w:firstLine="420" w:firstLineChars="200"/>
        <w:rPr>
          <w:szCs w:val="21"/>
        </w:rPr>
      </w:pPr>
      <w:r>
        <w:rPr>
          <w:szCs w:val="21"/>
        </w:rPr>
        <w:t>4.1.3 完成全部监理工作</w:t>
      </w:r>
    </w:p>
    <w:p>
      <w:pPr>
        <w:spacing w:line="440" w:lineRule="exact"/>
        <w:ind w:firstLine="420" w:firstLineChars="200"/>
        <w:rPr>
          <w:szCs w:val="21"/>
        </w:rPr>
      </w:pPr>
      <w:r>
        <w:rPr>
          <w:szCs w:val="21"/>
        </w:rPr>
        <w:t>监理人应按合同约定以及委托人要求，完成合同约定的全部工作，并对工作中的任何缺陷进行整改，使其满足合同约定的目的。</w:t>
      </w:r>
    </w:p>
    <w:p>
      <w:pPr>
        <w:spacing w:line="440" w:lineRule="exact"/>
        <w:ind w:firstLine="420" w:firstLineChars="200"/>
        <w:rPr>
          <w:szCs w:val="21"/>
        </w:rPr>
      </w:pPr>
      <w:r>
        <w:rPr>
          <w:szCs w:val="21"/>
        </w:rPr>
        <w:t>4.1.4 其他义务</w:t>
      </w:r>
    </w:p>
    <w:p>
      <w:pPr>
        <w:spacing w:line="440" w:lineRule="exact"/>
        <w:ind w:firstLine="420" w:firstLineChars="200"/>
        <w:rPr>
          <w:szCs w:val="21"/>
        </w:rPr>
      </w:pPr>
      <w:r>
        <w:rPr>
          <w:szCs w:val="21"/>
        </w:rPr>
        <w:t>监理人应履行合同约定的其他义务。</w:t>
      </w:r>
    </w:p>
    <w:p>
      <w:pPr>
        <w:pStyle w:val="4"/>
        <w:spacing w:before="0" w:after="0" w:line="440" w:lineRule="exact"/>
        <w:rPr>
          <w:rFonts w:eastAsia="黑体"/>
          <w:b w:val="0"/>
          <w:sz w:val="28"/>
          <w:szCs w:val="28"/>
        </w:rPr>
      </w:pPr>
      <w:bookmarkStart w:id="123" w:name="_Toc382920065"/>
      <w:bookmarkStart w:id="124" w:name="_Toc485303383"/>
      <w:bookmarkStart w:id="125" w:name="_Toc62572797"/>
      <w:bookmarkStart w:id="126" w:name="_Toc13239"/>
      <w:bookmarkStart w:id="127" w:name="_Toc482188573"/>
      <w:bookmarkStart w:id="128" w:name="_Toc300835075"/>
      <w:bookmarkStart w:id="129" w:name="_Toc247514076"/>
      <w:bookmarkStart w:id="130" w:name="_Toc247527677"/>
      <w:bookmarkStart w:id="131" w:name="_Toc300835076"/>
      <w:r>
        <w:rPr>
          <w:rFonts w:eastAsia="黑体"/>
          <w:b w:val="0"/>
          <w:sz w:val="28"/>
          <w:szCs w:val="28"/>
        </w:rPr>
        <w:t>4.2 履约保证金</w:t>
      </w:r>
      <w:bookmarkEnd w:id="123"/>
      <w:bookmarkEnd w:id="124"/>
      <w:bookmarkEnd w:id="125"/>
      <w:bookmarkEnd w:id="126"/>
    </w:p>
    <w:p>
      <w:pPr>
        <w:spacing w:line="440" w:lineRule="exact"/>
        <w:ind w:firstLine="420" w:firstLineChars="200"/>
        <w:rPr>
          <w:szCs w:val="21"/>
        </w:rPr>
      </w:pPr>
      <w:r>
        <w:rPr>
          <w:szCs w:val="21"/>
        </w:rPr>
        <w:t>除专用合同条款另有约定外，履约保证金自合同生效之日起生效，在委托人签发竣工验收证书之日起28日后失效。如果监理人不履行合同约定的义务或其履行不符合合同的约定，委托人有权扣划相应金额的履约保证金。</w:t>
      </w:r>
    </w:p>
    <w:bookmarkEnd w:id="127"/>
    <w:p>
      <w:pPr>
        <w:pStyle w:val="4"/>
        <w:spacing w:before="0" w:after="0" w:line="440" w:lineRule="exact"/>
        <w:rPr>
          <w:rFonts w:eastAsia="黑体"/>
          <w:b w:val="0"/>
          <w:sz w:val="28"/>
          <w:szCs w:val="28"/>
        </w:rPr>
      </w:pPr>
      <w:bookmarkStart w:id="132" w:name="_Toc482188574"/>
      <w:bookmarkStart w:id="133" w:name="_Toc62572798"/>
      <w:r>
        <w:rPr>
          <w:rFonts w:eastAsia="黑体"/>
          <w:b w:val="0"/>
          <w:sz w:val="28"/>
          <w:szCs w:val="28"/>
        </w:rPr>
        <w:t>4.3 联合体</w:t>
      </w:r>
      <w:bookmarkEnd w:id="132"/>
      <w:bookmarkEnd w:id="133"/>
    </w:p>
    <w:p>
      <w:pPr>
        <w:spacing w:line="440" w:lineRule="exact"/>
        <w:ind w:firstLine="420" w:firstLineChars="200"/>
        <w:rPr>
          <w:szCs w:val="21"/>
        </w:rPr>
      </w:pPr>
      <w:r>
        <w:rPr>
          <w:szCs w:val="21"/>
        </w:rPr>
        <w:t>4.3.1 联合体各方应共同与委托人签订合同。联合体各方应为履行合同承担连带责任。</w:t>
      </w:r>
    </w:p>
    <w:p>
      <w:pPr>
        <w:spacing w:line="440" w:lineRule="exact"/>
        <w:ind w:firstLine="420" w:firstLineChars="200"/>
        <w:rPr>
          <w:szCs w:val="21"/>
        </w:rPr>
      </w:pPr>
      <w:r>
        <w:rPr>
          <w:szCs w:val="21"/>
        </w:rPr>
        <w:t>4.3.2 联合体协议经委托人确认后作为合同附件。在履行合同过程中，未经委托人同意，不得修改联合体协议。</w:t>
      </w:r>
    </w:p>
    <w:p>
      <w:pPr>
        <w:spacing w:line="440" w:lineRule="exact"/>
        <w:ind w:firstLine="420" w:firstLineChars="200"/>
        <w:rPr>
          <w:szCs w:val="21"/>
        </w:rPr>
      </w:pPr>
      <w:r>
        <w:rPr>
          <w:szCs w:val="21"/>
        </w:rPr>
        <w:t>4.3.3 联合体牵头人或联合体授权的代表负责与委托人联系，并接受指示，负责组织联合体各成员全面履行合同。</w:t>
      </w:r>
    </w:p>
    <w:p>
      <w:pPr>
        <w:pStyle w:val="4"/>
        <w:spacing w:before="0" w:after="0" w:line="440" w:lineRule="exact"/>
        <w:rPr>
          <w:rFonts w:eastAsia="黑体"/>
          <w:b w:val="0"/>
          <w:sz w:val="28"/>
          <w:szCs w:val="28"/>
        </w:rPr>
      </w:pPr>
      <w:bookmarkStart w:id="134" w:name="_Toc482188575"/>
      <w:bookmarkStart w:id="135" w:name="_Toc62572799"/>
      <w:r>
        <w:rPr>
          <w:rFonts w:eastAsia="黑体"/>
          <w:b w:val="0"/>
          <w:sz w:val="28"/>
          <w:szCs w:val="28"/>
        </w:rPr>
        <w:t xml:space="preserve">4.4 </w:t>
      </w:r>
      <w:bookmarkEnd w:id="134"/>
      <w:r>
        <w:rPr>
          <w:rFonts w:eastAsia="黑体"/>
          <w:b w:val="0"/>
          <w:sz w:val="28"/>
          <w:szCs w:val="28"/>
        </w:rPr>
        <w:t>总监理工程师</w:t>
      </w:r>
      <w:bookmarkEnd w:id="135"/>
    </w:p>
    <w:p>
      <w:pPr>
        <w:spacing w:line="440" w:lineRule="exact"/>
        <w:ind w:firstLine="420" w:firstLineChars="200"/>
        <w:rPr>
          <w:szCs w:val="21"/>
        </w:rPr>
      </w:pPr>
      <w:r>
        <w:rPr>
          <w:szCs w:val="21"/>
        </w:rPr>
        <w:t>4.4.1 监理人应按合同协议书的约定指派总监理工程师，并在约定的期限内到职。监理人更换</w:t>
      </w:r>
      <w:bookmarkStart w:id="136" w:name="_Toc247527670"/>
      <w:bookmarkStart w:id="137" w:name="_Toc247514069"/>
      <w:bookmarkStart w:id="138" w:name="_Toc300835067"/>
      <w:r>
        <w:rPr>
          <w:szCs w:val="21"/>
        </w:rPr>
        <w:t>总监理工程师应事先征得</w:t>
      </w:r>
      <w:bookmarkEnd w:id="136"/>
      <w:bookmarkEnd w:id="137"/>
      <w:bookmarkEnd w:id="138"/>
      <w:r>
        <w:rPr>
          <w:szCs w:val="21"/>
        </w:rPr>
        <w:t>委托人同意，并应在更换14天前将拟更换的总监理工程师的姓名和详细资料提交委托人。总监理工程师2天内不能履行职责的，应事先征得委托人同意，并委派代表代行其职责。</w:t>
      </w:r>
    </w:p>
    <w:p>
      <w:pPr>
        <w:spacing w:line="440" w:lineRule="exact"/>
        <w:ind w:firstLine="420" w:firstLineChars="200"/>
        <w:rPr>
          <w:szCs w:val="21"/>
        </w:rPr>
      </w:pPr>
      <w:r>
        <w:rPr>
          <w:szCs w:val="21"/>
        </w:rPr>
        <w:t>4.4.2总监理工程师应按合同约定以及委托人要求，负责组织合同工作的实施。在情况紧急且无法与委托人取得联系时，可采取保证工程和人员生命财产安全的紧急措施，并在采取措施后24小时内向委托人提交书面报告。</w:t>
      </w:r>
    </w:p>
    <w:p>
      <w:pPr>
        <w:spacing w:line="440" w:lineRule="exact"/>
        <w:ind w:firstLine="420" w:firstLineChars="200"/>
        <w:rPr>
          <w:szCs w:val="21"/>
        </w:rPr>
      </w:pPr>
      <w:r>
        <w:rPr>
          <w:szCs w:val="21"/>
        </w:rPr>
        <w:t>4.4.3 监理人为履行合同发出的一切函件均应盖有监理人单位章或由监理人授权的项目机构章，并由监理人的总监理工程师签字确认。</w:t>
      </w:r>
    </w:p>
    <w:p>
      <w:pPr>
        <w:spacing w:line="440" w:lineRule="exact"/>
        <w:ind w:firstLine="420" w:firstLineChars="200"/>
        <w:rPr>
          <w:szCs w:val="21"/>
        </w:rPr>
      </w:pPr>
      <w:r>
        <w:rPr>
          <w:szCs w:val="21"/>
        </w:rPr>
        <w:t>4.4.4 按照专用合同条款约定，总监理工程师可以授权其下属人员履行其某项职责，但事先应将这些人员的姓名和授权范围书面通知委托人和承包人。</w:t>
      </w:r>
    </w:p>
    <w:p>
      <w:pPr>
        <w:pStyle w:val="4"/>
        <w:spacing w:before="0" w:after="0" w:line="440" w:lineRule="exact"/>
        <w:rPr>
          <w:rFonts w:eastAsia="黑体"/>
          <w:b w:val="0"/>
          <w:sz w:val="28"/>
          <w:szCs w:val="28"/>
        </w:rPr>
      </w:pPr>
      <w:bookmarkStart w:id="139" w:name="_Toc482188576"/>
      <w:bookmarkStart w:id="140" w:name="_Toc62572800"/>
      <w:r>
        <w:rPr>
          <w:rFonts w:eastAsia="黑体"/>
          <w:b w:val="0"/>
          <w:sz w:val="28"/>
          <w:szCs w:val="28"/>
        </w:rPr>
        <w:t>4.5 监理人员的管理</w:t>
      </w:r>
      <w:bookmarkEnd w:id="139"/>
      <w:bookmarkEnd w:id="140"/>
    </w:p>
    <w:p>
      <w:pPr>
        <w:spacing w:line="440" w:lineRule="exact"/>
        <w:ind w:firstLine="420" w:firstLineChars="200"/>
        <w:rPr>
          <w:szCs w:val="21"/>
        </w:rPr>
      </w:pPr>
      <w:r>
        <w:rPr>
          <w:szCs w:val="21"/>
        </w:rPr>
        <w:t>4.5.1 监理人应在接到开始监理通知之日起7天内，向委托人提交监理项目机构以及</w:t>
      </w:r>
      <w:bookmarkStart w:id="141" w:name="_Toc247527671"/>
      <w:bookmarkStart w:id="142" w:name="_Toc247514070"/>
      <w:bookmarkStart w:id="143" w:name="_Toc300835068"/>
      <w:r>
        <w:rPr>
          <w:szCs w:val="21"/>
        </w:rPr>
        <w:t>人员安排的报告，其内容应</w:t>
      </w:r>
      <w:bookmarkEnd w:id="141"/>
      <w:bookmarkEnd w:id="142"/>
      <w:bookmarkEnd w:id="143"/>
      <w:r>
        <w:rPr>
          <w:szCs w:val="21"/>
        </w:rPr>
        <w:t>包括项目机构设置、主要监理人员和作业人员的名单及资格条件。主要监理人员应相对稳定，更换主要监理人员的，应取得委托人的同意,并向委托人提交继任人员的资格、管理经验等资料。总监理工程师的更换，应按照本章第4.4.1项规定执行。</w:t>
      </w:r>
    </w:p>
    <w:p>
      <w:pPr>
        <w:spacing w:line="440" w:lineRule="exact"/>
        <w:ind w:firstLine="420" w:firstLineChars="200"/>
        <w:rPr>
          <w:szCs w:val="21"/>
        </w:rPr>
      </w:pPr>
      <w:r>
        <w:rPr>
          <w:szCs w:val="21"/>
        </w:rPr>
        <w:t>4.5.2除专用合同条款另有约定外，主要监理人员包括总监理工程师、副总监理工程师、监理组长（分站长）、专业监理工程师、质量安全负责人、试验工程师、测量工程师等；其他人员包括各专业的监理员、资料员等。</w:t>
      </w:r>
    </w:p>
    <w:p>
      <w:pPr>
        <w:spacing w:line="440" w:lineRule="exact"/>
        <w:ind w:firstLine="420" w:firstLineChars="200"/>
        <w:rPr>
          <w:szCs w:val="21"/>
        </w:rPr>
      </w:pPr>
      <w:r>
        <w:rPr>
          <w:szCs w:val="21"/>
        </w:rPr>
        <w:t>4.5.3监理人应保证其主要监理人员在合同期限内的任何时候，都能按时参加委托人组织的工作会议。</w:t>
      </w:r>
    </w:p>
    <w:p>
      <w:pPr>
        <w:spacing w:line="440" w:lineRule="exact"/>
        <w:ind w:firstLine="420" w:firstLineChars="200"/>
        <w:rPr>
          <w:szCs w:val="21"/>
        </w:rPr>
      </w:pPr>
      <w:r>
        <w:rPr>
          <w:szCs w:val="21"/>
        </w:rPr>
        <w:t>4.5.4 国家规定应当持证上岗的工作人员均应持有相应的资格证明，委托人有权随时检查。委托人认为有必要时，可以进行现场考核。</w:t>
      </w:r>
    </w:p>
    <w:p>
      <w:pPr>
        <w:pStyle w:val="4"/>
        <w:spacing w:before="0" w:after="0" w:line="440" w:lineRule="exact"/>
        <w:rPr>
          <w:rFonts w:eastAsia="黑体"/>
          <w:b w:val="0"/>
          <w:sz w:val="28"/>
          <w:szCs w:val="28"/>
        </w:rPr>
      </w:pPr>
      <w:bookmarkStart w:id="144" w:name="_Toc482188577"/>
      <w:bookmarkStart w:id="145" w:name="_Toc62572801"/>
      <w:r>
        <w:rPr>
          <w:rFonts w:eastAsia="黑体"/>
          <w:b w:val="0"/>
          <w:sz w:val="28"/>
          <w:szCs w:val="28"/>
        </w:rPr>
        <w:t>4.6 撤换总监理工程师和其他人员</w:t>
      </w:r>
      <w:bookmarkEnd w:id="144"/>
      <w:bookmarkEnd w:id="145"/>
    </w:p>
    <w:p>
      <w:pPr>
        <w:spacing w:line="440" w:lineRule="exact"/>
        <w:ind w:firstLine="420" w:firstLineChars="200"/>
        <w:rPr>
          <w:szCs w:val="21"/>
        </w:rPr>
      </w:pPr>
      <w:r>
        <w:rPr>
          <w:szCs w:val="21"/>
        </w:rPr>
        <w:t>监理人应对其总监理工程师和其他人员进行有效管理。委托人要求撤换不能胜任本职工作、行</w:t>
      </w:r>
      <w:bookmarkStart w:id="146" w:name="_Toc247527672"/>
      <w:bookmarkStart w:id="147" w:name="_Toc247514071"/>
      <w:bookmarkStart w:id="148" w:name="_Toc300835069"/>
      <w:r>
        <w:rPr>
          <w:szCs w:val="21"/>
        </w:rPr>
        <w:t>为不端或玩忽职守的总监理工程师和其</w:t>
      </w:r>
      <w:bookmarkEnd w:id="146"/>
      <w:bookmarkEnd w:id="147"/>
      <w:bookmarkEnd w:id="148"/>
      <w:r>
        <w:rPr>
          <w:szCs w:val="21"/>
        </w:rPr>
        <w:t>他人员的，监理人应予以撤换。</w:t>
      </w:r>
    </w:p>
    <w:p>
      <w:pPr>
        <w:pStyle w:val="4"/>
        <w:spacing w:before="0" w:after="0" w:line="440" w:lineRule="exact"/>
        <w:rPr>
          <w:rFonts w:eastAsia="黑体"/>
          <w:b w:val="0"/>
          <w:sz w:val="28"/>
          <w:szCs w:val="28"/>
        </w:rPr>
      </w:pPr>
      <w:bookmarkStart w:id="149" w:name="_Toc482188578"/>
      <w:bookmarkStart w:id="150" w:name="_Toc62572802"/>
      <w:r>
        <w:rPr>
          <w:rFonts w:eastAsia="黑体"/>
          <w:b w:val="0"/>
          <w:sz w:val="28"/>
          <w:szCs w:val="28"/>
        </w:rPr>
        <w:t>4.7 保障人员的合法权益</w:t>
      </w:r>
      <w:bookmarkEnd w:id="149"/>
      <w:bookmarkEnd w:id="150"/>
    </w:p>
    <w:p>
      <w:pPr>
        <w:spacing w:line="440" w:lineRule="exact"/>
        <w:ind w:firstLine="420" w:firstLineChars="200"/>
        <w:rPr>
          <w:szCs w:val="21"/>
        </w:rPr>
      </w:pPr>
      <w:r>
        <w:rPr>
          <w:szCs w:val="21"/>
        </w:rPr>
        <w:t>4.7.1 监理人应与其雇佣的人员签订劳动合同，并按时发放工资。</w:t>
      </w:r>
    </w:p>
    <w:p>
      <w:pPr>
        <w:spacing w:line="440" w:lineRule="exact"/>
        <w:ind w:firstLine="420" w:firstLineChars="200"/>
        <w:rPr>
          <w:szCs w:val="21"/>
        </w:rPr>
      </w:pPr>
      <w:r>
        <w:rPr>
          <w:szCs w:val="21"/>
        </w:rPr>
        <w:t>4.7.2 监理人应</w:t>
      </w:r>
      <w:bookmarkStart w:id="151" w:name="_Toc247514072"/>
      <w:bookmarkStart w:id="152" w:name="_Toc247527673"/>
      <w:bookmarkStart w:id="153" w:name="_Toc300835070"/>
      <w:r>
        <w:rPr>
          <w:szCs w:val="21"/>
        </w:rPr>
        <w:t>按劳动法的规定安排工作时间</w:t>
      </w:r>
      <w:bookmarkEnd w:id="151"/>
      <w:bookmarkEnd w:id="152"/>
      <w:bookmarkEnd w:id="153"/>
      <w:r>
        <w:rPr>
          <w:szCs w:val="21"/>
        </w:rPr>
        <w:t>，保证其雇佣人员享有休息和休假的权利。因监理需要占用休假日或延长工作时间的，应不超过法律规定的限度，并按法律规定给予补休或付酬。</w:t>
      </w:r>
    </w:p>
    <w:p>
      <w:pPr>
        <w:spacing w:line="440" w:lineRule="exact"/>
        <w:ind w:firstLine="420" w:firstLineChars="200"/>
        <w:rPr>
          <w:szCs w:val="21"/>
        </w:rPr>
      </w:pPr>
      <w:r>
        <w:rPr>
          <w:szCs w:val="21"/>
        </w:rPr>
        <w:t>4.7.3 监理人应按有关法律规定和合同约定，为其雇佣人员办理保险。</w:t>
      </w:r>
    </w:p>
    <w:p>
      <w:pPr>
        <w:pStyle w:val="4"/>
        <w:spacing w:before="0" w:after="0" w:line="440" w:lineRule="exact"/>
        <w:rPr>
          <w:rFonts w:eastAsia="黑体"/>
          <w:b w:val="0"/>
          <w:sz w:val="28"/>
          <w:szCs w:val="28"/>
        </w:rPr>
      </w:pPr>
      <w:bookmarkStart w:id="154" w:name="_Toc62572803"/>
      <w:bookmarkStart w:id="155" w:name="_Toc482188579"/>
      <w:r>
        <w:rPr>
          <w:rFonts w:eastAsia="黑体"/>
          <w:b w:val="0"/>
          <w:sz w:val="28"/>
          <w:szCs w:val="28"/>
        </w:rPr>
        <w:t>4.8 合同价款应专款专用</w:t>
      </w:r>
      <w:bookmarkEnd w:id="154"/>
      <w:bookmarkEnd w:id="155"/>
    </w:p>
    <w:p>
      <w:pPr>
        <w:spacing w:line="440" w:lineRule="exact"/>
        <w:ind w:firstLine="420" w:firstLineChars="200"/>
        <w:rPr>
          <w:szCs w:val="21"/>
        </w:rPr>
      </w:pPr>
      <w:r>
        <w:rPr>
          <w:szCs w:val="21"/>
        </w:rPr>
        <w:t>委托人按合同约定支付给监理人的各项价款，应专用于合同监理工作。</w:t>
      </w:r>
    </w:p>
    <w:bookmarkEnd w:id="128"/>
    <w:bookmarkEnd w:id="129"/>
    <w:bookmarkEnd w:id="130"/>
    <w:p>
      <w:pPr>
        <w:pStyle w:val="3"/>
        <w:spacing w:before="120" w:beforeLines="50" w:after="120" w:afterLines="50" w:line="440" w:lineRule="exact"/>
        <w:jc w:val="left"/>
        <w:rPr>
          <w:rFonts w:ascii="Times New Roman" w:hAnsi="Times New Roman"/>
          <w:sz w:val="28"/>
          <w:szCs w:val="28"/>
        </w:rPr>
      </w:pPr>
      <w:bookmarkStart w:id="156" w:name="_Toc482188580"/>
      <w:bookmarkStart w:id="157" w:name="_Toc62572804"/>
      <w:r>
        <w:rPr>
          <w:rFonts w:ascii="Times New Roman" w:hAnsi="Times New Roman"/>
          <w:sz w:val="28"/>
          <w:szCs w:val="28"/>
        </w:rPr>
        <w:t>5. 监理要求</w:t>
      </w:r>
      <w:bookmarkEnd w:id="156"/>
      <w:bookmarkEnd w:id="157"/>
    </w:p>
    <w:p>
      <w:pPr>
        <w:pStyle w:val="4"/>
        <w:spacing w:before="0" w:after="0" w:line="440" w:lineRule="exact"/>
        <w:rPr>
          <w:rFonts w:eastAsia="黑体"/>
          <w:b w:val="0"/>
          <w:sz w:val="28"/>
          <w:szCs w:val="28"/>
        </w:rPr>
      </w:pPr>
      <w:bookmarkStart w:id="158" w:name="_Toc62572805"/>
      <w:bookmarkStart w:id="159" w:name="_Toc482188581"/>
      <w:r>
        <w:rPr>
          <w:rFonts w:eastAsia="黑体"/>
          <w:b w:val="0"/>
          <w:sz w:val="28"/>
          <w:szCs w:val="28"/>
        </w:rPr>
        <w:t>5.1 监理范围</w:t>
      </w:r>
      <w:bookmarkEnd w:id="158"/>
    </w:p>
    <w:p>
      <w:pPr>
        <w:spacing w:line="440" w:lineRule="exact"/>
        <w:ind w:firstLine="420" w:firstLineChars="200"/>
        <w:rPr>
          <w:szCs w:val="21"/>
        </w:rPr>
      </w:pPr>
      <w:r>
        <w:rPr>
          <w:szCs w:val="21"/>
        </w:rPr>
        <w:t>5.1.1 本合同的监理范围包括工程范围、阶段范围和工作范围，具体监理范围应当根据三者之间的关联内容进行确定。</w:t>
      </w:r>
    </w:p>
    <w:p>
      <w:pPr>
        <w:spacing w:line="440" w:lineRule="exact"/>
        <w:ind w:firstLine="420" w:firstLineChars="200"/>
        <w:rPr>
          <w:szCs w:val="21"/>
        </w:rPr>
      </w:pPr>
      <w:r>
        <w:rPr>
          <w:szCs w:val="21"/>
        </w:rPr>
        <w:t>5.1.2 工程范围指所监理工程的建设内容，具体范围在专用合同条款中约定。</w:t>
      </w:r>
    </w:p>
    <w:p>
      <w:pPr>
        <w:spacing w:line="440" w:lineRule="exact"/>
        <w:ind w:firstLine="420" w:firstLineChars="200"/>
        <w:rPr>
          <w:szCs w:val="21"/>
        </w:rPr>
      </w:pPr>
      <w:r>
        <w:rPr>
          <w:szCs w:val="21"/>
        </w:rPr>
        <w:t>5.1.3 阶段范围指工程建设程序中的勘察阶段、设计阶段、施工阶段、缺陷责任期及保修阶段中的一个或者多个阶段，具体范围在专用合同条款中约定。</w:t>
      </w:r>
    </w:p>
    <w:p>
      <w:pPr>
        <w:spacing w:line="440" w:lineRule="exact"/>
        <w:ind w:firstLine="420" w:firstLineChars="200"/>
        <w:rPr>
          <w:szCs w:val="21"/>
        </w:rPr>
      </w:pPr>
      <w:r>
        <w:rPr>
          <w:szCs w:val="21"/>
        </w:rPr>
        <w:t>5.1.4 工作范围指监理工作中的质量控制、进度控制、投资控制、合同管理、信息管理、组织协调和安全监理、环保监理中的一项或者多项工作，具体范围在专用合同条款中约定。</w:t>
      </w:r>
    </w:p>
    <w:bookmarkEnd w:id="159"/>
    <w:p>
      <w:pPr>
        <w:pStyle w:val="4"/>
        <w:spacing w:before="0" w:after="0" w:line="440" w:lineRule="exact"/>
        <w:rPr>
          <w:rFonts w:eastAsia="黑体"/>
          <w:b w:val="0"/>
          <w:sz w:val="28"/>
          <w:szCs w:val="28"/>
        </w:rPr>
      </w:pPr>
      <w:bookmarkStart w:id="160" w:name="_Toc62572806"/>
      <w:bookmarkStart w:id="161" w:name="_Toc482188582"/>
      <w:r>
        <w:rPr>
          <w:rFonts w:eastAsia="黑体"/>
          <w:b w:val="0"/>
          <w:sz w:val="28"/>
          <w:szCs w:val="28"/>
        </w:rPr>
        <w:t>5.2 监理依据</w:t>
      </w:r>
      <w:bookmarkEnd w:id="160"/>
      <w:bookmarkEnd w:id="161"/>
    </w:p>
    <w:p>
      <w:pPr>
        <w:spacing w:line="440" w:lineRule="exact"/>
        <w:ind w:firstLine="420" w:firstLineChars="200"/>
        <w:rPr>
          <w:szCs w:val="21"/>
        </w:rPr>
      </w:pPr>
      <w:r>
        <w:rPr>
          <w:szCs w:val="21"/>
        </w:rPr>
        <w:t>除专用合同条款另有约定外，本工程的监理依据如下：</w:t>
      </w:r>
    </w:p>
    <w:p>
      <w:pPr>
        <w:spacing w:line="440" w:lineRule="exact"/>
        <w:ind w:firstLine="420" w:firstLineChars="200"/>
        <w:rPr>
          <w:szCs w:val="21"/>
        </w:rPr>
      </w:pPr>
      <w:r>
        <w:rPr>
          <w:szCs w:val="21"/>
        </w:rPr>
        <w:t>（1）适用的法律、行政法规及部门规章；</w:t>
      </w:r>
    </w:p>
    <w:p>
      <w:pPr>
        <w:spacing w:line="440" w:lineRule="exact"/>
        <w:ind w:firstLine="420" w:firstLineChars="200"/>
        <w:rPr>
          <w:szCs w:val="21"/>
        </w:rPr>
      </w:pPr>
      <w:r>
        <w:rPr>
          <w:szCs w:val="21"/>
        </w:rPr>
        <w:t>（2）与工程有关的规范、标准、规程；</w:t>
      </w:r>
    </w:p>
    <w:p>
      <w:pPr>
        <w:spacing w:line="440" w:lineRule="exact"/>
        <w:ind w:firstLine="420" w:firstLineChars="200"/>
        <w:rPr>
          <w:szCs w:val="21"/>
        </w:rPr>
      </w:pPr>
      <w:r>
        <w:rPr>
          <w:szCs w:val="21"/>
        </w:rPr>
        <w:t>（3）工程勘察文件、设计文件及其他文件；</w:t>
      </w:r>
    </w:p>
    <w:p>
      <w:pPr>
        <w:spacing w:line="440" w:lineRule="exact"/>
        <w:ind w:firstLine="420" w:firstLineChars="200"/>
        <w:rPr>
          <w:szCs w:val="21"/>
        </w:rPr>
      </w:pPr>
      <w:r>
        <w:rPr>
          <w:szCs w:val="21"/>
        </w:rPr>
        <w:t>（4）本工程监理的委托合同及补充合同；</w:t>
      </w:r>
    </w:p>
    <w:p>
      <w:pPr>
        <w:spacing w:line="440" w:lineRule="exact"/>
        <w:ind w:firstLine="420" w:firstLineChars="200"/>
        <w:rPr>
          <w:szCs w:val="21"/>
        </w:rPr>
      </w:pPr>
      <w:r>
        <w:rPr>
          <w:szCs w:val="21"/>
        </w:rPr>
        <w:t>（5）委托人签订的勘察、设计和施工承包合同；</w:t>
      </w:r>
    </w:p>
    <w:p>
      <w:pPr>
        <w:spacing w:line="440" w:lineRule="exact"/>
        <w:ind w:firstLine="420" w:firstLineChars="200"/>
        <w:rPr>
          <w:szCs w:val="21"/>
        </w:rPr>
      </w:pPr>
      <w:r>
        <w:rPr>
          <w:szCs w:val="21"/>
        </w:rPr>
        <w:t>（6）合同履行中与监理服务有关的来往函件；</w:t>
      </w:r>
    </w:p>
    <w:p>
      <w:pPr>
        <w:spacing w:line="440" w:lineRule="exact"/>
        <w:ind w:firstLine="420" w:firstLineChars="200"/>
        <w:rPr>
          <w:szCs w:val="21"/>
        </w:rPr>
      </w:pPr>
      <w:r>
        <w:rPr>
          <w:szCs w:val="21"/>
        </w:rPr>
        <w:t>（7）其他监理依据。</w:t>
      </w:r>
    </w:p>
    <w:p>
      <w:pPr>
        <w:pStyle w:val="4"/>
        <w:spacing w:before="0" w:after="0" w:line="440" w:lineRule="exact"/>
        <w:rPr>
          <w:rFonts w:eastAsia="黑体"/>
          <w:b w:val="0"/>
          <w:sz w:val="28"/>
          <w:szCs w:val="28"/>
        </w:rPr>
      </w:pPr>
      <w:bookmarkStart w:id="162" w:name="_Toc62572807"/>
      <w:bookmarkStart w:id="163" w:name="_Toc482188583"/>
      <w:r>
        <w:rPr>
          <w:rFonts w:eastAsia="黑体"/>
          <w:b w:val="0"/>
          <w:sz w:val="28"/>
          <w:szCs w:val="28"/>
        </w:rPr>
        <w:t>5.3 监理内容</w:t>
      </w:r>
      <w:bookmarkEnd w:id="162"/>
      <w:bookmarkEnd w:id="163"/>
    </w:p>
    <w:p>
      <w:pPr>
        <w:spacing w:line="440" w:lineRule="exact"/>
        <w:ind w:firstLine="420" w:firstLineChars="200"/>
        <w:rPr>
          <w:szCs w:val="21"/>
        </w:rPr>
      </w:pPr>
      <w:r>
        <w:rPr>
          <w:szCs w:val="21"/>
        </w:rPr>
        <w:t>除专用条件另有约定外，监理工作内容包括：</w:t>
      </w:r>
    </w:p>
    <w:p>
      <w:pPr>
        <w:spacing w:line="440" w:lineRule="exact"/>
        <w:ind w:firstLine="420" w:firstLineChars="200"/>
        <w:rPr>
          <w:szCs w:val="21"/>
        </w:rPr>
      </w:pPr>
      <w:r>
        <w:rPr>
          <w:szCs w:val="21"/>
        </w:rPr>
        <w:t>（1）收到工程设计文件后编制监理规划，并在第一次工地会议7天前报委托人。根据有关规定和监理工作需要，编制监理实施细则；</w:t>
      </w:r>
    </w:p>
    <w:p>
      <w:pPr>
        <w:spacing w:line="440" w:lineRule="exact"/>
        <w:ind w:firstLine="420" w:firstLineChars="200"/>
        <w:rPr>
          <w:szCs w:val="21"/>
        </w:rPr>
      </w:pPr>
      <w:r>
        <w:rPr>
          <w:szCs w:val="21"/>
        </w:rPr>
        <w:t>（2）熟悉工程设计文件，并参加由委托人主持的图纸会审和设计交底会议；</w:t>
      </w:r>
    </w:p>
    <w:p>
      <w:pPr>
        <w:spacing w:line="440" w:lineRule="exact"/>
        <w:ind w:firstLine="420" w:firstLineChars="200"/>
        <w:rPr>
          <w:szCs w:val="21"/>
        </w:rPr>
      </w:pPr>
      <w:r>
        <w:rPr>
          <w:szCs w:val="21"/>
        </w:rPr>
        <w:t>（3）参加由委托人主持的第一次工地会议；主持监理例会并根据工程需要主持或参加专题会议；</w:t>
      </w:r>
    </w:p>
    <w:p>
      <w:pPr>
        <w:spacing w:line="440" w:lineRule="exact"/>
        <w:ind w:firstLine="420" w:firstLineChars="200"/>
        <w:rPr>
          <w:szCs w:val="21"/>
        </w:rPr>
      </w:pPr>
      <w:r>
        <w:rPr>
          <w:szCs w:val="21"/>
        </w:rPr>
        <w:t>（4）审查施工承包人提交的施工组织设计，重点审查其中的质量安全技术措施、专项施工方案与工程建设强制性标准的符合性；</w:t>
      </w:r>
    </w:p>
    <w:p>
      <w:pPr>
        <w:spacing w:line="440" w:lineRule="exact"/>
        <w:ind w:firstLine="420" w:firstLineChars="200"/>
        <w:rPr>
          <w:szCs w:val="21"/>
        </w:rPr>
      </w:pPr>
      <w:r>
        <w:rPr>
          <w:szCs w:val="21"/>
        </w:rPr>
        <w:t>（5）检查施工承包人工程质量、安全生产管理制度及组织机构和人员资格；</w:t>
      </w:r>
    </w:p>
    <w:p>
      <w:pPr>
        <w:spacing w:line="440" w:lineRule="exact"/>
        <w:ind w:firstLine="420" w:firstLineChars="200"/>
        <w:rPr>
          <w:szCs w:val="21"/>
        </w:rPr>
      </w:pPr>
      <w:r>
        <w:rPr>
          <w:szCs w:val="21"/>
        </w:rPr>
        <w:t>（6）检查施工承包人专职安全生产管理人员的配备情况；</w:t>
      </w:r>
    </w:p>
    <w:p>
      <w:pPr>
        <w:spacing w:line="440" w:lineRule="exact"/>
        <w:ind w:firstLine="420" w:firstLineChars="200"/>
        <w:rPr>
          <w:szCs w:val="21"/>
        </w:rPr>
      </w:pPr>
      <w:r>
        <w:rPr>
          <w:szCs w:val="21"/>
        </w:rPr>
        <w:t>（7）审查施工承包人提交的施工进度计划，核查承包人对施工进度计划的调整；</w:t>
      </w:r>
    </w:p>
    <w:p>
      <w:pPr>
        <w:spacing w:line="440" w:lineRule="exact"/>
        <w:ind w:firstLine="420" w:firstLineChars="200"/>
        <w:rPr>
          <w:szCs w:val="21"/>
        </w:rPr>
      </w:pPr>
      <w:r>
        <w:rPr>
          <w:szCs w:val="21"/>
        </w:rPr>
        <w:t>（8）检查施工承包人的试验室；</w:t>
      </w:r>
    </w:p>
    <w:p>
      <w:pPr>
        <w:spacing w:line="440" w:lineRule="exact"/>
        <w:ind w:firstLine="420" w:firstLineChars="200"/>
        <w:rPr>
          <w:szCs w:val="21"/>
        </w:rPr>
      </w:pPr>
      <w:r>
        <w:rPr>
          <w:szCs w:val="21"/>
        </w:rPr>
        <w:t>（9）审核施工分包人资质条件；</w:t>
      </w:r>
    </w:p>
    <w:p>
      <w:pPr>
        <w:spacing w:line="440" w:lineRule="exact"/>
        <w:ind w:firstLine="420" w:firstLineChars="200"/>
        <w:rPr>
          <w:szCs w:val="21"/>
        </w:rPr>
      </w:pPr>
      <w:r>
        <w:rPr>
          <w:szCs w:val="21"/>
        </w:rPr>
        <w:t>（10）查验施工承包人的施工测量放线成果；</w:t>
      </w:r>
    </w:p>
    <w:p>
      <w:pPr>
        <w:spacing w:line="440" w:lineRule="exact"/>
        <w:ind w:firstLine="420" w:firstLineChars="200"/>
        <w:rPr>
          <w:szCs w:val="21"/>
        </w:rPr>
      </w:pPr>
      <w:r>
        <w:rPr>
          <w:szCs w:val="21"/>
        </w:rPr>
        <w:t>（11）审查工程开工条件，对条件具备的签发开工令；</w:t>
      </w:r>
    </w:p>
    <w:p>
      <w:pPr>
        <w:spacing w:line="440" w:lineRule="exact"/>
        <w:ind w:firstLine="420" w:firstLineChars="200"/>
        <w:rPr>
          <w:szCs w:val="21"/>
        </w:rPr>
      </w:pPr>
      <w:r>
        <w:rPr>
          <w:szCs w:val="21"/>
        </w:rPr>
        <w:t>（12）审查施工承包人报送的工程材料、构配件、设备质量证明文件的有效性和符合性，并按规定对用于工程的材料采取平行检验或见证取样方式进行抽检；</w:t>
      </w:r>
    </w:p>
    <w:p>
      <w:pPr>
        <w:spacing w:line="440" w:lineRule="exact"/>
        <w:ind w:firstLine="420" w:firstLineChars="200"/>
        <w:rPr>
          <w:szCs w:val="21"/>
        </w:rPr>
      </w:pPr>
      <w:r>
        <w:rPr>
          <w:szCs w:val="21"/>
        </w:rPr>
        <w:t>（13）审核施工承包人提交的工程款支付申请，签发或出具工程款支付证书，并报委托人审核、批准；</w:t>
      </w:r>
    </w:p>
    <w:p>
      <w:pPr>
        <w:spacing w:line="440" w:lineRule="exact"/>
        <w:ind w:firstLine="420" w:firstLineChars="200"/>
        <w:rPr>
          <w:szCs w:val="21"/>
        </w:rPr>
      </w:pPr>
      <w:r>
        <w:rPr>
          <w:szCs w:val="21"/>
        </w:rPr>
        <w:t>（14）在巡视、旁站和检验过程中，发现工程质量、施工安全存在事故隐患的，要求施工承包人整改并报委托人；</w:t>
      </w:r>
    </w:p>
    <w:p>
      <w:pPr>
        <w:spacing w:line="440" w:lineRule="exact"/>
        <w:ind w:firstLine="420" w:firstLineChars="200"/>
        <w:rPr>
          <w:szCs w:val="21"/>
        </w:rPr>
      </w:pPr>
      <w:r>
        <w:rPr>
          <w:szCs w:val="21"/>
        </w:rPr>
        <w:t>（15）经委托人同意，签发工程暂停令和复工令；</w:t>
      </w:r>
    </w:p>
    <w:p>
      <w:pPr>
        <w:spacing w:line="440" w:lineRule="exact"/>
        <w:ind w:firstLine="420" w:firstLineChars="200"/>
        <w:rPr>
          <w:szCs w:val="21"/>
        </w:rPr>
      </w:pPr>
      <w:r>
        <w:rPr>
          <w:szCs w:val="21"/>
        </w:rPr>
        <w:t>（16）审查施工承包人提交的采用新材料、新工艺、新技术、新设备的论证材料及相关验收标准；</w:t>
      </w:r>
    </w:p>
    <w:p>
      <w:pPr>
        <w:spacing w:line="440" w:lineRule="exact"/>
        <w:ind w:firstLine="420" w:firstLineChars="200"/>
        <w:rPr>
          <w:szCs w:val="21"/>
        </w:rPr>
      </w:pPr>
      <w:r>
        <w:rPr>
          <w:szCs w:val="21"/>
        </w:rPr>
        <w:t>（17）验收隐蔽工程、分部分项工程；</w:t>
      </w:r>
    </w:p>
    <w:p>
      <w:pPr>
        <w:spacing w:line="440" w:lineRule="exact"/>
        <w:ind w:firstLine="420" w:firstLineChars="200"/>
        <w:rPr>
          <w:szCs w:val="21"/>
        </w:rPr>
      </w:pPr>
      <w:r>
        <w:rPr>
          <w:szCs w:val="21"/>
        </w:rPr>
        <w:t>（18）审查施工承包人提交的工程变更申请，协调处理施工进度调整、费用索赔、合同争议等事项；</w:t>
      </w:r>
    </w:p>
    <w:p>
      <w:pPr>
        <w:spacing w:line="440" w:lineRule="exact"/>
        <w:ind w:firstLine="420" w:firstLineChars="200"/>
        <w:rPr>
          <w:szCs w:val="21"/>
        </w:rPr>
      </w:pPr>
      <w:r>
        <w:rPr>
          <w:szCs w:val="21"/>
        </w:rPr>
        <w:t>（19）审查施工承包人提交的竣工验收申请，编写工程质量评估报告；</w:t>
      </w:r>
    </w:p>
    <w:p>
      <w:pPr>
        <w:spacing w:line="440" w:lineRule="exact"/>
        <w:ind w:firstLine="420" w:firstLineChars="200"/>
        <w:rPr>
          <w:szCs w:val="21"/>
        </w:rPr>
      </w:pPr>
      <w:r>
        <w:rPr>
          <w:szCs w:val="21"/>
        </w:rPr>
        <w:t>（20）参加工程竣工验收，签署竣工验收意见；</w:t>
      </w:r>
    </w:p>
    <w:p>
      <w:pPr>
        <w:spacing w:line="440" w:lineRule="exact"/>
        <w:ind w:firstLine="420" w:firstLineChars="200"/>
        <w:rPr>
          <w:szCs w:val="21"/>
        </w:rPr>
      </w:pPr>
      <w:r>
        <w:rPr>
          <w:szCs w:val="21"/>
        </w:rPr>
        <w:t>（21）审查施工承包人提交的竣工结算申请并报委托人；</w:t>
      </w:r>
    </w:p>
    <w:p>
      <w:pPr>
        <w:spacing w:line="440" w:lineRule="exact"/>
        <w:ind w:firstLine="420" w:firstLineChars="200"/>
        <w:rPr>
          <w:szCs w:val="21"/>
        </w:rPr>
      </w:pPr>
      <w:r>
        <w:rPr>
          <w:szCs w:val="21"/>
        </w:rPr>
        <w:t>（22）编制、整理工程监理归档文件并报委托人。</w:t>
      </w:r>
    </w:p>
    <w:p>
      <w:pPr>
        <w:pStyle w:val="4"/>
        <w:spacing w:before="0" w:after="0" w:line="440" w:lineRule="exact"/>
        <w:rPr>
          <w:rFonts w:eastAsia="黑体"/>
          <w:b w:val="0"/>
          <w:sz w:val="28"/>
          <w:szCs w:val="28"/>
        </w:rPr>
      </w:pPr>
      <w:bookmarkStart w:id="164" w:name="_Toc62572808"/>
      <w:r>
        <w:rPr>
          <w:rFonts w:eastAsia="黑体"/>
          <w:b w:val="0"/>
          <w:sz w:val="28"/>
          <w:szCs w:val="28"/>
        </w:rPr>
        <w:t>5.4 监理文件要求</w:t>
      </w:r>
      <w:bookmarkEnd w:id="164"/>
    </w:p>
    <w:p>
      <w:pPr>
        <w:spacing w:line="440" w:lineRule="exact"/>
        <w:ind w:firstLine="420" w:firstLineChars="200"/>
        <w:rPr>
          <w:szCs w:val="21"/>
        </w:rPr>
      </w:pPr>
      <w:r>
        <w:rPr>
          <w:szCs w:val="21"/>
        </w:rPr>
        <w:t>5.4.1 监理文件的编制应符合法律、规范标准的强制性规定和委托人要求，相关的监理依据应当完整准确，文件内容和相应数据应当真实可靠。</w:t>
      </w:r>
    </w:p>
    <w:p>
      <w:pPr>
        <w:spacing w:line="440" w:lineRule="exact"/>
        <w:ind w:firstLine="420" w:firstLineChars="200"/>
        <w:rPr>
          <w:szCs w:val="21"/>
        </w:rPr>
      </w:pPr>
      <w:r>
        <w:rPr>
          <w:szCs w:val="21"/>
        </w:rPr>
        <w:t>5.4.2 监理文件的深度应满足本阶段相应监理工作的规定要求，满足委托人的下步工作需要，并应符合国家和行业现行规定。</w:t>
      </w:r>
    </w:p>
    <w:p>
      <w:pPr>
        <w:spacing w:line="440" w:lineRule="exact"/>
        <w:ind w:firstLine="420" w:firstLineChars="200"/>
        <w:rPr>
          <w:szCs w:val="21"/>
        </w:rPr>
      </w:pPr>
      <w:r>
        <w:rPr>
          <w:szCs w:val="21"/>
        </w:rPr>
        <w:t>5.4.3本工程监理文件的具体类别、编制要求、编制内容、提交时间和份数等，在专用合同条款中约定。</w:t>
      </w:r>
    </w:p>
    <w:bookmarkEnd w:id="131"/>
    <w:p>
      <w:pPr>
        <w:pStyle w:val="3"/>
        <w:spacing w:before="120" w:beforeLines="50" w:after="120" w:afterLines="50" w:line="440" w:lineRule="exact"/>
        <w:jc w:val="left"/>
        <w:rPr>
          <w:rFonts w:ascii="Times New Roman" w:hAnsi="Times New Roman"/>
          <w:sz w:val="28"/>
          <w:szCs w:val="28"/>
        </w:rPr>
      </w:pPr>
      <w:bookmarkStart w:id="165" w:name="_Toc482188591"/>
      <w:bookmarkStart w:id="166" w:name="_Toc62572809"/>
      <w:r>
        <w:rPr>
          <w:rFonts w:ascii="Times New Roman" w:hAnsi="Times New Roman"/>
          <w:sz w:val="28"/>
          <w:szCs w:val="28"/>
        </w:rPr>
        <w:t>6. 开始监理和完成</w:t>
      </w:r>
      <w:bookmarkEnd w:id="165"/>
      <w:r>
        <w:rPr>
          <w:rFonts w:ascii="Times New Roman" w:hAnsi="Times New Roman"/>
          <w:sz w:val="28"/>
          <w:szCs w:val="28"/>
        </w:rPr>
        <w:t>监理</w:t>
      </w:r>
      <w:bookmarkEnd w:id="166"/>
    </w:p>
    <w:p>
      <w:pPr>
        <w:pStyle w:val="4"/>
        <w:spacing w:before="0" w:after="0" w:line="440" w:lineRule="exact"/>
        <w:rPr>
          <w:rFonts w:eastAsia="黑体"/>
          <w:b w:val="0"/>
          <w:sz w:val="28"/>
          <w:szCs w:val="28"/>
        </w:rPr>
      </w:pPr>
      <w:bookmarkStart w:id="167" w:name="_Toc482188592"/>
      <w:bookmarkStart w:id="168" w:name="_Toc62572810"/>
      <w:r>
        <w:rPr>
          <w:rFonts w:eastAsia="黑体"/>
          <w:b w:val="0"/>
          <w:sz w:val="28"/>
          <w:szCs w:val="28"/>
        </w:rPr>
        <w:t>6.1 开始</w:t>
      </w:r>
      <w:bookmarkEnd w:id="167"/>
      <w:r>
        <w:rPr>
          <w:rFonts w:eastAsia="黑体"/>
          <w:b w:val="0"/>
          <w:sz w:val="28"/>
          <w:szCs w:val="28"/>
        </w:rPr>
        <w:t>监理</w:t>
      </w:r>
      <w:bookmarkEnd w:id="168"/>
    </w:p>
    <w:p>
      <w:pPr>
        <w:spacing w:line="440" w:lineRule="exact"/>
        <w:ind w:firstLine="420" w:firstLineChars="200"/>
        <w:rPr>
          <w:szCs w:val="21"/>
        </w:rPr>
      </w:pPr>
      <w:r>
        <w:rPr>
          <w:szCs w:val="21"/>
        </w:rPr>
        <w:t>6.1.1符合专用合同条款约定的开始监理条件的，委托人应提前7</w:t>
      </w:r>
      <w:bookmarkStart w:id="169" w:name="_Toc184635108"/>
      <w:bookmarkStart w:id="170" w:name="_Toc247527715"/>
      <w:bookmarkStart w:id="171" w:name="_Toc300835117"/>
      <w:bookmarkStart w:id="172" w:name="_Toc247514114"/>
      <w:r>
        <w:rPr>
          <w:szCs w:val="21"/>
        </w:rPr>
        <w:t>天向监理人发出开始</w:t>
      </w:r>
      <w:bookmarkEnd w:id="169"/>
      <w:bookmarkEnd w:id="170"/>
      <w:bookmarkEnd w:id="171"/>
      <w:bookmarkEnd w:id="172"/>
      <w:r>
        <w:rPr>
          <w:szCs w:val="21"/>
        </w:rPr>
        <w:t>监理通知。</w:t>
      </w:r>
      <w:bookmarkStart w:id="173" w:name="_Toc247527716"/>
      <w:bookmarkStart w:id="174" w:name="_Toc300835118"/>
      <w:bookmarkStart w:id="175" w:name="_Toc247514115"/>
      <w:bookmarkStart w:id="176" w:name="_Toc300835120"/>
      <w:bookmarkStart w:id="177" w:name="_Toc247514117"/>
      <w:bookmarkStart w:id="178" w:name="_Toc247527718"/>
      <w:r>
        <w:rPr>
          <w:szCs w:val="21"/>
        </w:rPr>
        <w:t>监理服务期限自开始</w:t>
      </w:r>
      <w:bookmarkEnd w:id="173"/>
      <w:bookmarkEnd w:id="174"/>
      <w:bookmarkEnd w:id="175"/>
      <w:r>
        <w:rPr>
          <w:szCs w:val="21"/>
        </w:rPr>
        <w:t>监理通知中载明的开始监理日期起计算。</w:t>
      </w:r>
    </w:p>
    <w:p>
      <w:pPr>
        <w:spacing w:line="440" w:lineRule="exact"/>
        <w:ind w:firstLine="420" w:firstLineChars="200"/>
        <w:rPr>
          <w:szCs w:val="21"/>
        </w:rPr>
      </w:pPr>
      <w:r>
        <w:rPr>
          <w:szCs w:val="21"/>
        </w:rPr>
        <w:t>6.1.2除专用合同条款另有约定外，因委托人原因造成合同签订之日起90天内未能发出开始监理通知的，监理人有权提出价格调整要求，或者解除合同。委托人应当承担由此增加的费用和（或）周期延误。</w:t>
      </w:r>
    </w:p>
    <w:p>
      <w:pPr>
        <w:pStyle w:val="4"/>
        <w:spacing w:before="0" w:after="0" w:line="440" w:lineRule="exact"/>
        <w:rPr>
          <w:rFonts w:eastAsia="黑体"/>
          <w:b w:val="0"/>
          <w:sz w:val="28"/>
          <w:szCs w:val="28"/>
        </w:rPr>
      </w:pPr>
      <w:bookmarkStart w:id="179" w:name="_Toc62572811"/>
      <w:bookmarkStart w:id="180" w:name="_Toc482188593"/>
      <w:r>
        <w:rPr>
          <w:rFonts w:eastAsia="黑体"/>
          <w:b w:val="0"/>
          <w:sz w:val="28"/>
          <w:szCs w:val="28"/>
        </w:rPr>
        <w:t>6.2 监理周期延误</w:t>
      </w:r>
      <w:bookmarkEnd w:id="179"/>
      <w:bookmarkEnd w:id="180"/>
    </w:p>
    <w:p>
      <w:pPr>
        <w:spacing w:line="440" w:lineRule="exact"/>
        <w:ind w:firstLine="420" w:firstLineChars="200"/>
        <w:rPr>
          <w:szCs w:val="21"/>
        </w:rPr>
      </w:pPr>
      <w:r>
        <w:rPr>
          <w:szCs w:val="21"/>
        </w:rPr>
        <w:t>在履行合同过程中，由于下列原因造成监理服务期限延误的，委托人应当延长监理服务期限并增加监理报酬，具体方法</w:t>
      </w:r>
      <w:r>
        <w:rPr>
          <w:kern w:val="0"/>
          <w:szCs w:val="21"/>
        </w:rPr>
        <w:t>在专用合同条款中约定</w:t>
      </w:r>
      <w:r>
        <w:rPr>
          <w:szCs w:val="21"/>
        </w:rPr>
        <w:t>。</w:t>
      </w:r>
      <w:bookmarkEnd w:id="176"/>
      <w:bookmarkEnd w:id="177"/>
      <w:bookmarkEnd w:id="178"/>
    </w:p>
    <w:p>
      <w:pPr>
        <w:spacing w:line="440" w:lineRule="exact"/>
        <w:ind w:firstLine="420" w:firstLineChars="200"/>
        <w:rPr>
          <w:szCs w:val="21"/>
        </w:rPr>
      </w:pPr>
      <w:r>
        <w:rPr>
          <w:szCs w:val="21"/>
        </w:rPr>
        <w:t>（1）合同变更；</w:t>
      </w:r>
    </w:p>
    <w:p>
      <w:pPr>
        <w:spacing w:line="440" w:lineRule="exact"/>
        <w:ind w:firstLine="420" w:firstLineChars="200"/>
        <w:rPr>
          <w:szCs w:val="21"/>
        </w:rPr>
      </w:pPr>
      <w:r>
        <w:rPr>
          <w:szCs w:val="21"/>
        </w:rPr>
        <w:t xml:space="preserve">（2）因委托人原因导致的监理工作暂停； </w:t>
      </w:r>
    </w:p>
    <w:p>
      <w:pPr>
        <w:spacing w:line="440" w:lineRule="exact"/>
        <w:ind w:firstLine="420" w:firstLineChars="200"/>
        <w:rPr>
          <w:szCs w:val="21"/>
        </w:rPr>
      </w:pPr>
      <w:r>
        <w:rPr>
          <w:szCs w:val="21"/>
        </w:rPr>
        <w:t>（3）未按合同约定及时支付监理报酬；</w:t>
      </w:r>
    </w:p>
    <w:p>
      <w:pPr>
        <w:spacing w:line="440" w:lineRule="exact"/>
        <w:ind w:firstLine="420" w:firstLineChars="200"/>
        <w:rPr>
          <w:szCs w:val="21"/>
        </w:rPr>
      </w:pPr>
      <w:r>
        <w:rPr>
          <w:szCs w:val="21"/>
        </w:rPr>
        <w:t>（4）未及时履行合同约定的相关义务；</w:t>
      </w:r>
    </w:p>
    <w:p>
      <w:pPr>
        <w:spacing w:line="440" w:lineRule="exact"/>
        <w:ind w:firstLine="420" w:firstLineChars="200"/>
        <w:rPr>
          <w:szCs w:val="21"/>
        </w:rPr>
      </w:pPr>
      <w:r>
        <w:rPr>
          <w:szCs w:val="21"/>
        </w:rPr>
        <w:t>（5）由于承包人延误、行政管理造成的监理服务期延误；</w:t>
      </w:r>
    </w:p>
    <w:p>
      <w:pPr>
        <w:spacing w:line="440" w:lineRule="exact"/>
        <w:ind w:firstLine="420" w:firstLineChars="200"/>
        <w:rPr>
          <w:szCs w:val="21"/>
        </w:rPr>
      </w:pPr>
      <w:r>
        <w:rPr>
          <w:szCs w:val="21"/>
        </w:rPr>
        <w:t>（6）造成监理服务期限延误的其他原因。</w:t>
      </w:r>
    </w:p>
    <w:p>
      <w:pPr>
        <w:pStyle w:val="4"/>
        <w:spacing w:before="0" w:after="0" w:line="440" w:lineRule="exact"/>
        <w:rPr>
          <w:rFonts w:eastAsia="黑体"/>
          <w:b w:val="0"/>
          <w:sz w:val="28"/>
          <w:szCs w:val="28"/>
        </w:rPr>
      </w:pPr>
      <w:bookmarkStart w:id="181" w:name="_Toc62572812"/>
      <w:bookmarkStart w:id="182" w:name="_Toc467651004"/>
      <w:bookmarkStart w:id="183" w:name="_Toc482188601"/>
      <w:r>
        <w:rPr>
          <w:rFonts w:eastAsia="黑体"/>
          <w:b w:val="0"/>
          <w:sz w:val="28"/>
          <w:szCs w:val="28"/>
        </w:rPr>
        <w:t>6.3 完成监理</w:t>
      </w:r>
      <w:bookmarkEnd w:id="181"/>
      <w:r>
        <w:rPr>
          <w:rFonts w:eastAsia="黑体"/>
          <w:b w:val="0"/>
          <w:sz w:val="28"/>
          <w:szCs w:val="28"/>
        </w:rPr>
        <w:t xml:space="preserve"> </w:t>
      </w:r>
    </w:p>
    <w:p>
      <w:pPr>
        <w:spacing w:line="440" w:lineRule="exact"/>
        <w:ind w:firstLine="420" w:firstLineChars="200"/>
        <w:rPr>
          <w:szCs w:val="21"/>
        </w:rPr>
      </w:pPr>
      <w:r>
        <w:rPr>
          <w:szCs w:val="21"/>
        </w:rPr>
        <w:t>6.3.1 监理人应当根据法律、规范标准、合同约定和委托人要求实施和完成监理，并编制和移交监理文件。</w:t>
      </w:r>
    </w:p>
    <w:p>
      <w:pPr>
        <w:spacing w:line="440" w:lineRule="exact"/>
        <w:ind w:firstLine="420" w:firstLineChars="200"/>
        <w:rPr>
          <w:szCs w:val="21"/>
        </w:rPr>
      </w:pPr>
      <w:r>
        <w:rPr>
          <w:szCs w:val="21"/>
        </w:rPr>
        <w:t>6.3.2 根据委托人要求或者基于专业能力判断，监理人认为能够提前完成监理的，可向委托人递交一份提前完成监理建议书，包括实施方案、提前时间、监理报酬变动等内容。除专用合同条款另有约定之外，委托人接受建议书的，不因提前完成监理而减少监理报酬；增加监理报酬的，所增费用由委托人承担。</w:t>
      </w:r>
    </w:p>
    <w:p>
      <w:pPr>
        <w:spacing w:line="440" w:lineRule="exact"/>
        <w:ind w:firstLine="420" w:firstLineChars="200"/>
        <w:rPr>
          <w:szCs w:val="21"/>
        </w:rPr>
      </w:pPr>
      <w:r>
        <w:rPr>
          <w:szCs w:val="21"/>
        </w:rPr>
        <w:t>6.3.3 缺陷修复监理指缺陷责任期间，监理人对承包人修复质量缺陷进行的监理。缺陷修复监理的责任由监理人负责。</w:t>
      </w:r>
    </w:p>
    <w:p>
      <w:pPr>
        <w:spacing w:line="440" w:lineRule="exact"/>
        <w:ind w:firstLine="420" w:firstLineChars="200"/>
        <w:rPr>
          <w:szCs w:val="21"/>
        </w:rPr>
      </w:pPr>
      <w:r>
        <w:rPr>
          <w:szCs w:val="21"/>
        </w:rPr>
        <w:t>6.3.4 委托人应当及时接收监理人提交的监理文件。如无正当理由拒收的，视为委托人已经接收监理文件。接收监理文件时，委托人应向监理人出具文件签收凭证，凭证内容包括文件名称、文件内容、文件形式、份数、提交和接收日期、提交人与接收人的亲笔签名等。</w:t>
      </w:r>
    </w:p>
    <w:p>
      <w:pPr>
        <w:spacing w:line="440" w:lineRule="exact"/>
        <w:ind w:firstLine="420" w:firstLineChars="200"/>
        <w:rPr>
          <w:szCs w:val="21"/>
        </w:rPr>
      </w:pPr>
      <w:r>
        <w:rPr>
          <w:szCs w:val="21"/>
        </w:rPr>
        <w:t>6.3.5 除专用合同条款另有约定外，监理文件包括纸质文件和电子文件两种形式，两者若有不一致时，应以纸质文件为准。纸质文件应当加盖单位章和总监理工程师的注册执业印章，具体份数、纸幅、装订格式等要求，应在专用合同条款中约定；电子文件应使用光盘和U盘分别贮存。</w:t>
      </w:r>
    </w:p>
    <w:bookmarkEnd w:id="182"/>
    <w:bookmarkEnd w:id="183"/>
    <w:p>
      <w:pPr>
        <w:pStyle w:val="3"/>
        <w:spacing w:before="120" w:beforeLines="50" w:after="120" w:afterLines="50" w:line="440" w:lineRule="exact"/>
        <w:jc w:val="left"/>
        <w:rPr>
          <w:rFonts w:ascii="Times New Roman" w:hAnsi="Times New Roman"/>
          <w:sz w:val="28"/>
          <w:szCs w:val="28"/>
        </w:rPr>
      </w:pPr>
      <w:bookmarkStart w:id="184" w:name="_Toc482188607"/>
      <w:bookmarkStart w:id="185" w:name="_Toc62572813"/>
      <w:bookmarkStart w:id="186" w:name="_Toc184635110"/>
      <w:bookmarkStart w:id="187" w:name="_Toc247514127"/>
      <w:bookmarkStart w:id="188" w:name="_Toc247527728"/>
      <w:r>
        <w:rPr>
          <w:rFonts w:ascii="Times New Roman" w:hAnsi="Times New Roman"/>
          <w:sz w:val="28"/>
          <w:szCs w:val="28"/>
        </w:rPr>
        <w:t>7. 监理责任与保险</w:t>
      </w:r>
      <w:bookmarkEnd w:id="184"/>
      <w:bookmarkEnd w:id="185"/>
    </w:p>
    <w:bookmarkEnd w:id="186"/>
    <w:bookmarkEnd w:id="187"/>
    <w:bookmarkEnd w:id="188"/>
    <w:p>
      <w:pPr>
        <w:pStyle w:val="4"/>
        <w:spacing w:before="0" w:after="0" w:line="440" w:lineRule="exact"/>
        <w:rPr>
          <w:rFonts w:eastAsia="黑体"/>
          <w:b w:val="0"/>
          <w:sz w:val="28"/>
          <w:szCs w:val="28"/>
        </w:rPr>
      </w:pPr>
      <w:bookmarkStart w:id="189" w:name="_Toc482188610"/>
      <w:bookmarkStart w:id="190" w:name="_Toc62572814"/>
      <w:r>
        <w:rPr>
          <w:rFonts w:eastAsia="黑体"/>
          <w:b w:val="0"/>
          <w:sz w:val="28"/>
          <w:szCs w:val="28"/>
        </w:rPr>
        <w:t>7.1 监理责任主体</w:t>
      </w:r>
      <w:bookmarkEnd w:id="189"/>
      <w:bookmarkEnd w:id="190"/>
    </w:p>
    <w:p>
      <w:pPr>
        <w:spacing w:line="440" w:lineRule="exact"/>
        <w:ind w:firstLine="420" w:firstLineChars="200"/>
        <w:rPr>
          <w:szCs w:val="21"/>
        </w:rPr>
      </w:pPr>
      <w:r>
        <w:rPr>
          <w:szCs w:val="21"/>
        </w:rPr>
        <w:t>7.1.1 监理人应运用一切合理的专业技术、知识技能和项目经验，按照职业道德准则和行业公认标准尽其全部职责，勤勉、谨慎、公正地履行其在本合同项下的责任和义务。</w:t>
      </w:r>
    </w:p>
    <w:p>
      <w:pPr>
        <w:spacing w:line="440" w:lineRule="exact"/>
        <w:ind w:firstLine="420" w:firstLineChars="200"/>
        <w:rPr>
          <w:szCs w:val="21"/>
        </w:rPr>
      </w:pPr>
      <w:r>
        <w:rPr>
          <w:szCs w:val="21"/>
        </w:rPr>
        <w:t>7.1.2 监理责任为监理单位项目负责人终身责任制。</w:t>
      </w:r>
      <w:r>
        <w:rPr>
          <w:szCs w:val="21"/>
          <w:shd w:val="clear" w:color="auto" w:fill="FFFFFF"/>
        </w:rPr>
        <w:t>总监理工程师应当按照法律法规、有关技术标准、设计文件和工程承包合同进行监理，对施工质量承担监理责任。</w:t>
      </w:r>
    </w:p>
    <w:p>
      <w:pPr>
        <w:spacing w:line="440" w:lineRule="exact"/>
        <w:ind w:firstLine="420" w:firstLineChars="200"/>
        <w:rPr>
          <w:szCs w:val="21"/>
        </w:rPr>
      </w:pPr>
      <w:r>
        <w:rPr>
          <w:szCs w:val="21"/>
        </w:rPr>
        <w:t>7.1.3 总监理工程师应当在办理工程质量监督手续前签署工程质量终身责任承诺书，连同法定代表人出具的授权书，报工程质量监督机构备案。</w:t>
      </w:r>
    </w:p>
    <w:p>
      <w:pPr>
        <w:pStyle w:val="4"/>
        <w:spacing w:before="0" w:after="0" w:line="440" w:lineRule="exact"/>
        <w:rPr>
          <w:rFonts w:eastAsia="黑体"/>
          <w:b w:val="0"/>
          <w:sz w:val="28"/>
          <w:szCs w:val="28"/>
        </w:rPr>
      </w:pPr>
      <w:bookmarkStart w:id="191" w:name="_Toc482188611"/>
      <w:bookmarkStart w:id="192" w:name="_Toc62572815"/>
      <w:r>
        <w:rPr>
          <w:rFonts w:eastAsia="黑体"/>
          <w:b w:val="0"/>
          <w:sz w:val="28"/>
          <w:szCs w:val="28"/>
        </w:rPr>
        <w:t>7.2 监理责任保险</w:t>
      </w:r>
      <w:bookmarkEnd w:id="191"/>
      <w:bookmarkEnd w:id="192"/>
    </w:p>
    <w:p>
      <w:pPr>
        <w:spacing w:line="440" w:lineRule="exact"/>
        <w:ind w:firstLine="420" w:firstLineChars="200"/>
        <w:rPr>
          <w:szCs w:val="21"/>
        </w:rPr>
      </w:pPr>
      <w:r>
        <w:rPr>
          <w:szCs w:val="21"/>
        </w:rPr>
        <w:t>除专用合同条款另有约定外，建议监理人根据工程情况对监理责任进行保险，并在合同履行期间保持足额、有效。</w:t>
      </w:r>
    </w:p>
    <w:p>
      <w:pPr>
        <w:pStyle w:val="3"/>
        <w:spacing w:before="120" w:beforeLines="50" w:after="120" w:afterLines="50" w:line="440" w:lineRule="exact"/>
        <w:jc w:val="left"/>
        <w:rPr>
          <w:rFonts w:ascii="Times New Roman" w:hAnsi="Times New Roman"/>
          <w:sz w:val="28"/>
          <w:szCs w:val="28"/>
        </w:rPr>
      </w:pPr>
      <w:bookmarkStart w:id="193" w:name="_Toc482188615"/>
      <w:bookmarkStart w:id="194" w:name="_Toc62572816"/>
      <w:r>
        <w:rPr>
          <w:rFonts w:ascii="Times New Roman" w:hAnsi="Times New Roman"/>
          <w:sz w:val="28"/>
          <w:szCs w:val="28"/>
        </w:rPr>
        <w:t>8. 合同变更</w:t>
      </w:r>
      <w:bookmarkEnd w:id="193"/>
      <w:bookmarkEnd w:id="194"/>
    </w:p>
    <w:p>
      <w:pPr>
        <w:pStyle w:val="4"/>
        <w:spacing w:before="0" w:after="0" w:line="440" w:lineRule="exact"/>
        <w:rPr>
          <w:rFonts w:eastAsia="黑体"/>
          <w:b w:val="0"/>
          <w:sz w:val="28"/>
          <w:szCs w:val="28"/>
        </w:rPr>
      </w:pPr>
      <w:bookmarkStart w:id="195" w:name="_Toc482188616"/>
      <w:bookmarkStart w:id="196" w:name="_Toc62572817"/>
      <w:bookmarkStart w:id="197" w:name="_Toc467651025"/>
      <w:r>
        <w:rPr>
          <w:rFonts w:eastAsia="黑体"/>
          <w:b w:val="0"/>
          <w:sz w:val="28"/>
          <w:szCs w:val="28"/>
        </w:rPr>
        <w:t>8.1 变更情形</w:t>
      </w:r>
      <w:bookmarkEnd w:id="195"/>
      <w:bookmarkEnd w:id="196"/>
      <w:bookmarkEnd w:id="197"/>
    </w:p>
    <w:p>
      <w:pPr>
        <w:spacing w:line="440" w:lineRule="exact"/>
        <w:ind w:firstLine="420" w:firstLineChars="200"/>
        <w:rPr>
          <w:szCs w:val="21"/>
        </w:rPr>
      </w:pPr>
      <w:r>
        <w:rPr>
          <w:szCs w:val="21"/>
        </w:rPr>
        <w:t>8.1.1 合同履行中发生下述情形时，合同一方均可向对方提出变更请求，经双方协商一致后进行变更，监理服务期限和监理报酬的调整方法</w:t>
      </w:r>
      <w:r>
        <w:rPr>
          <w:kern w:val="0"/>
          <w:szCs w:val="21"/>
        </w:rPr>
        <w:t>在专用合同条款中约定</w:t>
      </w:r>
      <w:r>
        <w:rPr>
          <w:szCs w:val="21"/>
        </w:rPr>
        <w:t>。</w:t>
      </w:r>
    </w:p>
    <w:p>
      <w:pPr>
        <w:spacing w:line="440" w:lineRule="exact"/>
        <w:ind w:firstLine="420" w:firstLineChars="200"/>
        <w:rPr>
          <w:szCs w:val="21"/>
        </w:rPr>
      </w:pPr>
      <w:r>
        <w:rPr>
          <w:szCs w:val="21"/>
        </w:rPr>
        <w:t>（1）监理范围发生变化；</w:t>
      </w:r>
    </w:p>
    <w:p>
      <w:pPr>
        <w:spacing w:line="440" w:lineRule="exact"/>
        <w:ind w:firstLine="420" w:firstLineChars="200"/>
        <w:rPr>
          <w:szCs w:val="21"/>
        </w:rPr>
      </w:pPr>
      <w:r>
        <w:rPr>
          <w:szCs w:val="21"/>
        </w:rPr>
        <w:t>（2）除不可抗力外，非监理人的原因引起的周期延误；</w:t>
      </w:r>
    </w:p>
    <w:p>
      <w:pPr>
        <w:spacing w:line="440" w:lineRule="exact"/>
        <w:ind w:firstLine="420" w:firstLineChars="200"/>
        <w:rPr>
          <w:szCs w:val="21"/>
        </w:rPr>
      </w:pPr>
      <w:r>
        <w:rPr>
          <w:szCs w:val="21"/>
        </w:rPr>
        <w:t>（3）非监理人的原因，对工程同一部分重复进行监理；</w:t>
      </w:r>
    </w:p>
    <w:p>
      <w:pPr>
        <w:spacing w:line="440" w:lineRule="exact"/>
        <w:ind w:firstLine="420" w:firstLineChars="200"/>
        <w:rPr>
          <w:szCs w:val="21"/>
        </w:rPr>
      </w:pPr>
      <w:r>
        <w:rPr>
          <w:szCs w:val="21"/>
        </w:rPr>
        <w:t>（4）非监理人的原因，对工程暂停监理及恢复监理。</w:t>
      </w:r>
    </w:p>
    <w:p>
      <w:pPr>
        <w:spacing w:line="440" w:lineRule="exact"/>
        <w:ind w:firstLine="420" w:firstLineChars="200"/>
        <w:rPr>
          <w:szCs w:val="21"/>
        </w:rPr>
      </w:pPr>
      <w:r>
        <w:rPr>
          <w:szCs w:val="21"/>
        </w:rPr>
        <w:t>8.1.2 基准日后，因颁布新的或修订原有法律、法规、规范和标准等引发合同变更情形的，按照上述约定进行调整。</w:t>
      </w:r>
    </w:p>
    <w:p>
      <w:pPr>
        <w:pStyle w:val="4"/>
        <w:spacing w:before="0" w:after="0" w:line="440" w:lineRule="exact"/>
        <w:rPr>
          <w:rFonts w:eastAsia="黑体"/>
          <w:b w:val="0"/>
          <w:sz w:val="28"/>
          <w:szCs w:val="28"/>
        </w:rPr>
      </w:pPr>
      <w:bookmarkStart w:id="198" w:name="_Toc62572818"/>
      <w:bookmarkStart w:id="199" w:name="_Toc482188617"/>
      <w:bookmarkStart w:id="200" w:name="_Toc467651026"/>
      <w:r>
        <w:rPr>
          <w:rFonts w:eastAsia="黑体"/>
          <w:b w:val="0"/>
          <w:sz w:val="28"/>
          <w:szCs w:val="28"/>
        </w:rPr>
        <w:t>8.2 合理化建议</w:t>
      </w:r>
      <w:bookmarkEnd w:id="198"/>
      <w:bookmarkEnd w:id="199"/>
      <w:bookmarkEnd w:id="200"/>
    </w:p>
    <w:p>
      <w:pPr>
        <w:spacing w:line="440" w:lineRule="exact"/>
        <w:ind w:firstLine="420" w:firstLineChars="200"/>
        <w:rPr>
          <w:szCs w:val="21"/>
        </w:rPr>
      </w:pPr>
      <w:r>
        <w:rPr>
          <w:szCs w:val="21"/>
        </w:rPr>
        <w:t>8.2.1 合同履行中，监理人可对委托人要求提出合理化建议。合理化建议应以书面形式提交委托人，被委托人采纳并构成变更的，执行第8.1款约定。</w:t>
      </w:r>
    </w:p>
    <w:p>
      <w:pPr>
        <w:spacing w:line="440" w:lineRule="exact"/>
        <w:ind w:firstLine="420" w:firstLineChars="200"/>
        <w:rPr>
          <w:szCs w:val="21"/>
        </w:rPr>
      </w:pPr>
      <w:r>
        <w:rPr>
          <w:szCs w:val="21"/>
        </w:rPr>
        <w:t>8.2.2 监理人提出的合理化建议降低了工程投资、缩短了施工期限或者提高了工程经济效益的，委托人应按专用合同条款中的约定给予奖励。</w:t>
      </w:r>
    </w:p>
    <w:p>
      <w:pPr>
        <w:pStyle w:val="3"/>
        <w:spacing w:before="120" w:beforeLines="50" w:after="120" w:afterLines="50" w:line="440" w:lineRule="exact"/>
        <w:jc w:val="left"/>
        <w:rPr>
          <w:rFonts w:ascii="Times New Roman" w:hAnsi="Times New Roman"/>
          <w:sz w:val="28"/>
          <w:szCs w:val="28"/>
        </w:rPr>
      </w:pPr>
      <w:bookmarkStart w:id="201" w:name="_Toc482188618"/>
      <w:bookmarkStart w:id="202" w:name="_Toc62572819"/>
      <w:r>
        <w:rPr>
          <w:rFonts w:ascii="Times New Roman" w:hAnsi="Times New Roman"/>
          <w:sz w:val="28"/>
          <w:szCs w:val="28"/>
        </w:rPr>
        <w:t>9. 合同价格与支付</w:t>
      </w:r>
      <w:bookmarkEnd w:id="201"/>
      <w:bookmarkEnd w:id="202"/>
    </w:p>
    <w:p>
      <w:pPr>
        <w:pStyle w:val="4"/>
        <w:spacing w:before="0" w:after="0" w:line="440" w:lineRule="exact"/>
        <w:rPr>
          <w:rFonts w:eastAsia="黑体"/>
          <w:b w:val="0"/>
          <w:sz w:val="28"/>
          <w:szCs w:val="28"/>
        </w:rPr>
      </w:pPr>
      <w:bookmarkStart w:id="203" w:name="_Toc62572820"/>
      <w:bookmarkStart w:id="204" w:name="_Toc482188619"/>
      <w:r>
        <w:rPr>
          <w:rFonts w:eastAsia="黑体"/>
          <w:b w:val="0"/>
          <w:sz w:val="28"/>
          <w:szCs w:val="28"/>
        </w:rPr>
        <w:t>9.1 合同价格</w:t>
      </w:r>
      <w:bookmarkEnd w:id="203"/>
      <w:bookmarkEnd w:id="204"/>
    </w:p>
    <w:p>
      <w:pPr>
        <w:spacing w:line="440" w:lineRule="exact"/>
        <w:ind w:firstLine="420" w:firstLineChars="200"/>
        <w:rPr>
          <w:szCs w:val="21"/>
        </w:rPr>
      </w:pPr>
      <w:r>
        <w:rPr>
          <w:szCs w:val="21"/>
        </w:rPr>
        <w:t>9.1.1 本合同的价款确定方式、调整方式和风险范围划分，</w:t>
      </w:r>
      <w:r>
        <w:rPr>
          <w:kern w:val="0"/>
          <w:szCs w:val="21"/>
        </w:rPr>
        <w:t>在专用合同条款中约定</w:t>
      </w:r>
      <w:r>
        <w:rPr>
          <w:szCs w:val="21"/>
        </w:rPr>
        <w:t>。</w:t>
      </w:r>
    </w:p>
    <w:p>
      <w:pPr>
        <w:spacing w:line="440" w:lineRule="exact"/>
        <w:ind w:firstLine="420" w:firstLineChars="200"/>
        <w:rPr>
          <w:szCs w:val="21"/>
        </w:rPr>
      </w:pPr>
      <w:r>
        <w:rPr>
          <w:szCs w:val="21"/>
        </w:rPr>
        <w:t>9.1.2 除专用合同条款另有约定外，合同价格应当包括收集资料、踏勘现场、制订纲要、实施监理、编制监理文件等全部费用和国家规定的增值税税金。</w:t>
      </w:r>
    </w:p>
    <w:p>
      <w:pPr>
        <w:spacing w:line="440" w:lineRule="exact"/>
        <w:ind w:firstLine="420" w:firstLineChars="200"/>
        <w:rPr>
          <w:szCs w:val="21"/>
        </w:rPr>
      </w:pPr>
      <w:r>
        <w:rPr>
          <w:szCs w:val="21"/>
        </w:rPr>
        <w:t>9.1.3 委托人要求监理人进行外出考察、试验检测、专项咨询或专家评审时，相应费用不含在合同价格之中，由委托人另行支付。</w:t>
      </w:r>
    </w:p>
    <w:p>
      <w:pPr>
        <w:pStyle w:val="4"/>
        <w:spacing w:before="0" w:after="0" w:line="440" w:lineRule="exact"/>
        <w:rPr>
          <w:rFonts w:eastAsia="黑体"/>
          <w:b w:val="0"/>
          <w:sz w:val="28"/>
          <w:szCs w:val="28"/>
        </w:rPr>
      </w:pPr>
      <w:bookmarkStart w:id="205" w:name="_Toc482188620"/>
      <w:bookmarkStart w:id="206" w:name="_Toc62572821"/>
      <w:r>
        <w:rPr>
          <w:rFonts w:eastAsia="黑体"/>
          <w:b w:val="0"/>
          <w:sz w:val="28"/>
          <w:szCs w:val="28"/>
        </w:rPr>
        <w:t xml:space="preserve">9.2 </w:t>
      </w:r>
      <w:bookmarkEnd w:id="205"/>
      <w:r>
        <w:rPr>
          <w:rFonts w:eastAsia="黑体"/>
          <w:b w:val="0"/>
          <w:sz w:val="28"/>
          <w:szCs w:val="28"/>
        </w:rPr>
        <w:t>预付款</w:t>
      </w:r>
      <w:bookmarkEnd w:id="206"/>
    </w:p>
    <w:p>
      <w:pPr>
        <w:spacing w:line="440" w:lineRule="exact"/>
        <w:ind w:firstLine="420" w:firstLineChars="200"/>
        <w:rPr>
          <w:szCs w:val="21"/>
        </w:rPr>
      </w:pPr>
      <w:r>
        <w:rPr>
          <w:szCs w:val="21"/>
        </w:rPr>
        <w:t>9.2.1预付款应专用于本工程的监理。预付款的额度、支付方式及抵扣方式</w:t>
      </w:r>
      <w:r>
        <w:rPr>
          <w:kern w:val="0"/>
          <w:szCs w:val="21"/>
        </w:rPr>
        <w:t>在专用合同条款中约定</w:t>
      </w:r>
      <w:r>
        <w:rPr>
          <w:szCs w:val="21"/>
        </w:rPr>
        <w:t>。</w:t>
      </w:r>
    </w:p>
    <w:p>
      <w:pPr>
        <w:spacing w:line="440" w:lineRule="exact"/>
        <w:ind w:firstLine="420" w:firstLineChars="200"/>
        <w:rPr>
          <w:szCs w:val="21"/>
        </w:rPr>
      </w:pPr>
      <w:r>
        <w:rPr>
          <w:szCs w:val="21"/>
        </w:rPr>
        <w:t>9.2.2 委托人应在收到预付款支付申请后28天内，将预付款支付给监理人；监理人应当提供等额的增值税发票。</w:t>
      </w:r>
    </w:p>
    <w:p>
      <w:pPr>
        <w:pStyle w:val="4"/>
        <w:spacing w:before="0" w:after="0" w:line="440" w:lineRule="exact"/>
        <w:rPr>
          <w:rFonts w:eastAsia="黑体"/>
          <w:b w:val="0"/>
          <w:sz w:val="28"/>
          <w:szCs w:val="28"/>
        </w:rPr>
      </w:pPr>
      <w:bookmarkStart w:id="207" w:name="_Toc467651035"/>
      <w:bookmarkStart w:id="208" w:name="_Toc62572822"/>
      <w:bookmarkStart w:id="209" w:name="_Toc482188621"/>
      <w:r>
        <w:rPr>
          <w:rFonts w:eastAsia="黑体"/>
          <w:b w:val="0"/>
          <w:sz w:val="28"/>
          <w:szCs w:val="28"/>
        </w:rPr>
        <w:t>9.3 中期支付</w:t>
      </w:r>
      <w:bookmarkEnd w:id="207"/>
      <w:bookmarkEnd w:id="208"/>
      <w:bookmarkEnd w:id="209"/>
    </w:p>
    <w:p>
      <w:pPr>
        <w:spacing w:line="440" w:lineRule="exact"/>
        <w:ind w:firstLine="420" w:firstLineChars="200"/>
        <w:rPr>
          <w:szCs w:val="21"/>
        </w:rPr>
      </w:pPr>
      <w:r>
        <w:rPr>
          <w:szCs w:val="21"/>
        </w:rPr>
        <w:t>9.3.1 监理人应按委托人批准或专用合同条款约定的格式及份数，向委托人提交中期支付申请，并附相应的支持性证明文件。</w:t>
      </w:r>
    </w:p>
    <w:p>
      <w:pPr>
        <w:spacing w:line="440" w:lineRule="exact"/>
        <w:ind w:firstLine="420" w:firstLineChars="200"/>
        <w:rPr>
          <w:szCs w:val="21"/>
        </w:rPr>
      </w:pPr>
      <w:r>
        <w:rPr>
          <w:szCs w:val="21"/>
        </w:rPr>
        <w:t>9.3.2 委托人应在收到中期支付申请后的28天内，将应付款项支付给监理人；监理人应当提供等额的增值税发票。委托人未能在前述时间内完成审批或不予答复的，视为委托人同意中期支付申请。委托人不按期支付的，按专用合同条款的约定支付逾期付款违约金。</w:t>
      </w:r>
    </w:p>
    <w:p>
      <w:pPr>
        <w:spacing w:line="440" w:lineRule="exact"/>
        <w:ind w:firstLine="420" w:firstLineChars="200"/>
        <w:rPr>
          <w:szCs w:val="21"/>
        </w:rPr>
      </w:pPr>
      <w:r>
        <w:rPr>
          <w:szCs w:val="21"/>
        </w:rPr>
        <w:t>9.3.3 中期支付涉及政府投资资金的，按照国库集中支付等国家相关规定和专用合同条款的约定执行。</w:t>
      </w:r>
    </w:p>
    <w:p>
      <w:pPr>
        <w:pStyle w:val="4"/>
        <w:spacing w:before="0" w:after="0" w:line="440" w:lineRule="exact"/>
        <w:rPr>
          <w:rFonts w:eastAsia="黑体"/>
          <w:b w:val="0"/>
          <w:sz w:val="28"/>
          <w:szCs w:val="28"/>
        </w:rPr>
      </w:pPr>
      <w:bookmarkStart w:id="210" w:name="_Toc482188622"/>
      <w:bookmarkStart w:id="211" w:name="_Toc62572823"/>
      <w:bookmarkStart w:id="212" w:name="_Toc467651036"/>
      <w:r>
        <w:rPr>
          <w:rFonts w:eastAsia="黑体"/>
          <w:b w:val="0"/>
          <w:sz w:val="28"/>
          <w:szCs w:val="28"/>
        </w:rPr>
        <w:t>9.4 费用结算</w:t>
      </w:r>
      <w:bookmarkEnd w:id="210"/>
      <w:bookmarkEnd w:id="211"/>
      <w:bookmarkEnd w:id="212"/>
    </w:p>
    <w:p>
      <w:pPr>
        <w:spacing w:line="440" w:lineRule="exact"/>
        <w:ind w:firstLine="420" w:firstLineChars="200"/>
        <w:rPr>
          <w:szCs w:val="21"/>
        </w:rPr>
      </w:pPr>
      <w:r>
        <w:rPr>
          <w:szCs w:val="21"/>
        </w:rPr>
        <w:t>9.4.1 合同工作完成后，监理人可按专用合同条款约定的份数和期限，向委托人提交监理费用结算申请，并提供相关证明材料。</w:t>
      </w:r>
    </w:p>
    <w:p>
      <w:pPr>
        <w:spacing w:line="440" w:lineRule="exact"/>
        <w:ind w:firstLine="420" w:firstLineChars="200"/>
        <w:rPr>
          <w:szCs w:val="21"/>
        </w:rPr>
      </w:pPr>
      <w:r>
        <w:rPr>
          <w:szCs w:val="21"/>
        </w:rPr>
        <w:t>9.4.2 委托人应在收到费用结算申请后的28天内，将应付款项支付给监理人；监理人应当提供等额的增值税发票。委托人未能在前述时间内完成审批或不予答复的，视为委托人同意费用结算申请。委托人不按期支付的，按专用合同条款的约定支付逾期付款违约金。</w:t>
      </w:r>
    </w:p>
    <w:p>
      <w:pPr>
        <w:spacing w:line="440" w:lineRule="exact"/>
        <w:ind w:firstLine="420" w:firstLineChars="200"/>
        <w:rPr>
          <w:szCs w:val="21"/>
        </w:rPr>
      </w:pPr>
      <w:r>
        <w:rPr>
          <w:szCs w:val="21"/>
        </w:rPr>
        <w:t>9.4.3 委托人对费用结算申请内容有异议的，有权要求监理人进行修正和提供补充资料，由监理人重新提交。监理人对此有异议的，按第12条的约定执行。</w:t>
      </w:r>
    </w:p>
    <w:p>
      <w:pPr>
        <w:spacing w:line="440" w:lineRule="exact"/>
        <w:ind w:firstLine="420" w:firstLineChars="200"/>
        <w:rPr>
          <w:szCs w:val="21"/>
        </w:rPr>
      </w:pPr>
      <w:r>
        <w:rPr>
          <w:szCs w:val="21"/>
        </w:rPr>
        <w:t>9.4.4 最终结清付款涉及政府投资资金的，按第9.3.3项的约定执行。</w:t>
      </w:r>
    </w:p>
    <w:p>
      <w:pPr>
        <w:pStyle w:val="3"/>
        <w:spacing w:before="120" w:beforeLines="50" w:after="120" w:afterLines="50" w:line="440" w:lineRule="exact"/>
        <w:jc w:val="left"/>
        <w:rPr>
          <w:rFonts w:ascii="Times New Roman" w:hAnsi="Times New Roman"/>
          <w:sz w:val="28"/>
          <w:szCs w:val="28"/>
        </w:rPr>
      </w:pPr>
      <w:bookmarkStart w:id="213" w:name="_Toc482188623"/>
      <w:bookmarkStart w:id="214" w:name="_Toc62572824"/>
      <w:r>
        <w:rPr>
          <w:rFonts w:ascii="Times New Roman" w:hAnsi="Times New Roman"/>
          <w:sz w:val="28"/>
          <w:szCs w:val="28"/>
        </w:rPr>
        <w:t>10. 不可抗力</w:t>
      </w:r>
      <w:bookmarkEnd w:id="213"/>
      <w:bookmarkEnd w:id="214"/>
    </w:p>
    <w:p>
      <w:pPr>
        <w:pStyle w:val="4"/>
        <w:spacing w:before="0" w:after="0" w:line="440" w:lineRule="exact"/>
        <w:rPr>
          <w:rFonts w:eastAsia="黑体"/>
          <w:b w:val="0"/>
          <w:sz w:val="28"/>
          <w:szCs w:val="28"/>
        </w:rPr>
      </w:pPr>
      <w:bookmarkStart w:id="215" w:name="_Toc482188624"/>
      <w:bookmarkStart w:id="216" w:name="_Toc62572825"/>
      <w:r>
        <w:rPr>
          <w:rFonts w:eastAsia="黑体"/>
          <w:b w:val="0"/>
          <w:sz w:val="28"/>
          <w:szCs w:val="28"/>
        </w:rPr>
        <w:t>10.1 不可抗力的确认</w:t>
      </w:r>
      <w:bookmarkEnd w:id="215"/>
      <w:bookmarkEnd w:id="216"/>
    </w:p>
    <w:p>
      <w:pPr>
        <w:spacing w:line="440" w:lineRule="exact"/>
        <w:ind w:firstLine="420" w:firstLineChars="200"/>
        <w:rPr>
          <w:szCs w:val="21"/>
        </w:rPr>
      </w:pPr>
      <w:r>
        <w:rPr>
          <w:szCs w:val="21"/>
        </w:rPr>
        <w:t>10.1.1 不可抗力是指监理人和委托人在订立合同时不可预见，在履行合</w:t>
      </w:r>
      <w:bookmarkStart w:id="217" w:name="_Toc184635118"/>
      <w:bookmarkStart w:id="218" w:name="_Toc247514180"/>
      <w:bookmarkStart w:id="219" w:name="_Toc247527781"/>
      <w:bookmarkStart w:id="220" w:name="_Toc300835182"/>
      <w:r>
        <w:rPr>
          <w:szCs w:val="21"/>
        </w:rPr>
        <w:t>同过程中不可避免</w:t>
      </w:r>
      <w:bookmarkEnd w:id="217"/>
      <w:bookmarkEnd w:id="218"/>
      <w:bookmarkEnd w:id="219"/>
      <w:bookmarkEnd w:id="220"/>
      <w:r>
        <w:rPr>
          <w:szCs w:val="21"/>
        </w:rPr>
        <w:t>发</w:t>
      </w:r>
      <w:bookmarkStart w:id="221" w:name="_Toc300835183"/>
      <w:bookmarkStart w:id="222" w:name="_Toc247514181"/>
      <w:bookmarkStart w:id="223" w:name="_Toc247527782"/>
      <w:r>
        <w:rPr>
          <w:szCs w:val="21"/>
        </w:rPr>
        <w:t>生并不能克服的自然灾害和</w:t>
      </w:r>
      <w:bookmarkEnd w:id="221"/>
      <w:bookmarkEnd w:id="222"/>
      <w:bookmarkEnd w:id="223"/>
      <w:r>
        <w:rPr>
          <w:szCs w:val="21"/>
        </w:rPr>
        <w:t>社会性突发事件，如地震、海啸、瘟疫、水灾、骚乱、暴动、战争和专用合同条款约定的其他情形。</w:t>
      </w:r>
    </w:p>
    <w:p>
      <w:pPr>
        <w:spacing w:line="440" w:lineRule="exact"/>
        <w:ind w:firstLine="420" w:firstLineChars="200"/>
        <w:rPr>
          <w:szCs w:val="21"/>
        </w:rPr>
      </w:pPr>
      <w:r>
        <w:rPr>
          <w:szCs w:val="21"/>
        </w:rPr>
        <w:t>10.1.2 不可抗力发生后，委托人和监理人应及时认真统计所造成的损失，收集不可抗力造成损失的证据。合同双方对是否属于不可抗力或其损失的意见不一致的，由合同双方协商确定。</w:t>
      </w:r>
    </w:p>
    <w:p>
      <w:pPr>
        <w:pStyle w:val="4"/>
        <w:spacing w:before="0" w:after="0" w:line="440" w:lineRule="exact"/>
        <w:rPr>
          <w:rFonts w:eastAsia="黑体"/>
          <w:b w:val="0"/>
          <w:sz w:val="28"/>
          <w:szCs w:val="28"/>
        </w:rPr>
      </w:pPr>
      <w:bookmarkStart w:id="224" w:name="_Toc62572826"/>
      <w:bookmarkStart w:id="225" w:name="_Toc482188625"/>
      <w:r>
        <w:rPr>
          <w:rFonts w:eastAsia="黑体"/>
          <w:b w:val="0"/>
          <w:sz w:val="28"/>
          <w:szCs w:val="28"/>
        </w:rPr>
        <w:t>10.2 不可抗力的通知</w:t>
      </w:r>
      <w:bookmarkEnd w:id="224"/>
      <w:bookmarkEnd w:id="225"/>
    </w:p>
    <w:p>
      <w:pPr>
        <w:spacing w:line="440" w:lineRule="exact"/>
        <w:ind w:firstLine="420" w:firstLineChars="200"/>
        <w:rPr>
          <w:szCs w:val="21"/>
        </w:rPr>
      </w:pPr>
      <w:r>
        <w:rPr>
          <w:szCs w:val="21"/>
        </w:rPr>
        <w:t>10.2.1 合同一方当事人遇到不可抗力事件，使其履行合同义务受到阻碍时，应立即通知合同</w:t>
      </w:r>
      <w:bookmarkStart w:id="226" w:name="_Toc247514182"/>
      <w:bookmarkStart w:id="227" w:name="_Toc300835184"/>
      <w:bookmarkStart w:id="228" w:name="_Toc247527783"/>
      <w:r>
        <w:rPr>
          <w:szCs w:val="21"/>
        </w:rPr>
        <w:t>另一方当事人，书面说明不</w:t>
      </w:r>
      <w:bookmarkEnd w:id="226"/>
      <w:bookmarkEnd w:id="227"/>
      <w:bookmarkEnd w:id="228"/>
      <w:r>
        <w:rPr>
          <w:szCs w:val="21"/>
        </w:rPr>
        <w:t>可抗力和受阻碍的详细情况，并提供必要的证明。</w:t>
      </w:r>
    </w:p>
    <w:p>
      <w:pPr>
        <w:spacing w:line="440" w:lineRule="exact"/>
        <w:ind w:firstLine="420" w:firstLineChars="200"/>
        <w:rPr>
          <w:szCs w:val="21"/>
        </w:rPr>
      </w:pPr>
      <w:r>
        <w:rPr>
          <w:szCs w:val="21"/>
        </w:rPr>
        <w:t>10.2.2 如不可抗力持续发生，合同一方当事人应及时向合同另一方当事人提交中间报告，说明不可抗力和履行合同受阻的情况，并于不可抗力事件结束后28天内提交最终报告及有关资料。</w:t>
      </w:r>
    </w:p>
    <w:p>
      <w:pPr>
        <w:pStyle w:val="4"/>
        <w:spacing w:before="0" w:after="0" w:line="440" w:lineRule="exact"/>
        <w:rPr>
          <w:rFonts w:eastAsia="黑体"/>
          <w:b w:val="0"/>
          <w:sz w:val="28"/>
          <w:szCs w:val="28"/>
        </w:rPr>
      </w:pPr>
      <w:bookmarkStart w:id="229" w:name="_Toc482188626"/>
      <w:bookmarkStart w:id="230" w:name="_Toc62572827"/>
      <w:r>
        <w:rPr>
          <w:rFonts w:eastAsia="黑体"/>
          <w:b w:val="0"/>
          <w:sz w:val="28"/>
          <w:szCs w:val="28"/>
        </w:rPr>
        <w:t>10.3 不可抗力后果及其处理</w:t>
      </w:r>
      <w:bookmarkEnd w:id="229"/>
      <w:bookmarkEnd w:id="230"/>
    </w:p>
    <w:p>
      <w:pPr>
        <w:spacing w:line="440" w:lineRule="exact"/>
        <w:ind w:firstLine="420" w:firstLineChars="200"/>
        <w:rPr>
          <w:szCs w:val="21"/>
        </w:rPr>
      </w:pPr>
      <w:r>
        <w:rPr>
          <w:szCs w:val="21"/>
        </w:rPr>
        <w:t>10.3.1 不可抗力引起的后果及其损失，应由合同当事人依据法律规定各自承担。不可抗力发生前已完成的监理工作，应当按照合同约定进行支付。</w:t>
      </w:r>
    </w:p>
    <w:p>
      <w:pPr>
        <w:spacing w:line="440" w:lineRule="exact"/>
        <w:ind w:firstLine="420" w:firstLineChars="200"/>
        <w:rPr>
          <w:szCs w:val="21"/>
        </w:rPr>
      </w:pPr>
      <w:r>
        <w:rPr>
          <w:szCs w:val="21"/>
        </w:rPr>
        <w:t>10.3.2 不可抗力发生后，合同当事人应当采取有效措施避免损失进一步扩大，如未采取有效措施致使损失扩大的，应当自行承担扩大部分的损失。</w:t>
      </w:r>
    </w:p>
    <w:p>
      <w:pPr>
        <w:spacing w:line="440" w:lineRule="exact"/>
        <w:ind w:firstLine="420" w:firstLineChars="200"/>
        <w:rPr>
          <w:szCs w:val="21"/>
        </w:rPr>
      </w:pPr>
      <w:r>
        <w:rPr>
          <w:szCs w:val="21"/>
        </w:rPr>
        <w:t>10.3.3 因一方当事人迟延履行合同义务，致使迟延履行期间遭遇不可抗力的，应由该当事人承担全部损失。</w:t>
      </w:r>
    </w:p>
    <w:p>
      <w:pPr>
        <w:pStyle w:val="3"/>
        <w:spacing w:before="120" w:beforeLines="50" w:after="120" w:afterLines="50" w:line="440" w:lineRule="exact"/>
        <w:jc w:val="left"/>
        <w:rPr>
          <w:rFonts w:ascii="Times New Roman" w:hAnsi="Times New Roman"/>
          <w:sz w:val="28"/>
          <w:szCs w:val="28"/>
        </w:rPr>
      </w:pPr>
      <w:bookmarkStart w:id="231" w:name="_Toc62572828"/>
      <w:bookmarkStart w:id="232" w:name="_Toc482188627"/>
      <w:r>
        <w:rPr>
          <w:rFonts w:ascii="Times New Roman" w:hAnsi="Times New Roman"/>
          <w:sz w:val="28"/>
          <w:szCs w:val="28"/>
        </w:rPr>
        <w:t>11. 违约</w:t>
      </w:r>
      <w:bookmarkEnd w:id="231"/>
      <w:bookmarkEnd w:id="232"/>
    </w:p>
    <w:p>
      <w:pPr>
        <w:pStyle w:val="4"/>
        <w:spacing w:before="0" w:after="0" w:line="440" w:lineRule="exact"/>
        <w:rPr>
          <w:rFonts w:eastAsia="黑体"/>
          <w:b w:val="0"/>
          <w:sz w:val="28"/>
          <w:szCs w:val="28"/>
        </w:rPr>
      </w:pPr>
      <w:bookmarkStart w:id="233" w:name="_Toc62572829"/>
      <w:bookmarkStart w:id="234" w:name="_Toc482188628"/>
      <w:r>
        <w:rPr>
          <w:rFonts w:eastAsia="黑体"/>
          <w:b w:val="0"/>
          <w:sz w:val="28"/>
          <w:szCs w:val="28"/>
        </w:rPr>
        <w:t>11.1 监理人违约</w:t>
      </w:r>
      <w:bookmarkEnd w:id="233"/>
      <w:bookmarkEnd w:id="234"/>
    </w:p>
    <w:p>
      <w:pPr>
        <w:spacing w:line="440" w:lineRule="exact"/>
        <w:ind w:firstLine="420" w:firstLineChars="200"/>
        <w:rPr>
          <w:szCs w:val="21"/>
        </w:rPr>
      </w:pPr>
      <w:r>
        <w:rPr>
          <w:szCs w:val="21"/>
        </w:rPr>
        <w:t>11.1.1合同履行中发生下列情况之一的，属监理人违约：</w:t>
      </w:r>
    </w:p>
    <w:p>
      <w:pPr>
        <w:spacing w:line="440" w:lineRule="exact"/>
        <w:ind w:firstLine="420" w:firstLineChars="200"/>
        <w:rPr>
          <w:szCs w:val="21"/>
        </w:rPr>
      </w:pPr>
      <w:r>
        <w:rPr>
          <w:szCs w:val="21"/>
        </w:rPr>
        <w:t>（1）监理文件不符合规范标准以及合同约定；</w:t>
      </w:r>
    </w:p>
    <w:p>
      <w:pPr>
        <w:spacing w:line="440" w:lineRule="exact"/>
        <w:ind w:firstLine="420" w:firstLineChars="200"/>
        <w:rPr>
          <w:szCs w:val="21"/>
        </w:rPr>
      </w:pPr>
      <w:r>
        <w:rPr>
          <w:szCs w:val="21"/>
        </w:rPr>
        <w:t>（2）监理人转让监理工作；</w:t>
      </w:r>
    </w:p>
    <w:p>
      <w:pPr>
        <w:spacing w:line="440" w:lineRule="exact"/>
        <w:ind w:firstLine="420" w:firstLineChars="200"/>
        <w:rPr>
          <w:szCs w:val="21"/>
        </w:rPr>
      </w:pPr>
      <w:r>
        <w:rPr>
          <w:szCs w:val="21"/>
        </w:rPr>
        <w:t>（3）监理人未按合同约定实施监理并造成工程损失；</w:t>
      </w:r>
    </w:p>
    <w:p>
      <w:pPr>
        <w:spacing w:line="440" w:lineRule="exact"/>
        <w:ind w:firstLine="420" w:firstLineChars="200"/>
        <w:rPr>
          <w:szCs w:val="21"/>
        </w:rPr>
      </w:pPr>
      <w:r>
        <w:rPr>
          <w:szCs w:val="21"/>
        </w:rPr>
        <w:t>（4）监理人无法履行或停止履行合同；</w:t>
      </w:r>
    </w:p>
    <w:p>
      <w:pPr>
        <w:spacing w:line="440" w:lineRule="exact"/>
        <w:ind w:firstLine="420" w:firstLineChars="200"/>
        <w:rPr>
          <w:szCs w:val="21"/>
        </w:rPr>
      </w:pPr>
      <w:r>
        <w:rPr>
          <w:szCs w:val="21"/>
        </w:rPr>
        <w:t>（5）监理人不履行合同约定的其他义务。</w:t>
      </w:r>
    </w:p>
    <w:p>
      <w:pPr>
        <w:spacing w:line="440" w:lineRule="exact"/>
        <w:ind w:firstLine="420" w:firstLineChars="200"/>
        <w:rPr>
          <w:szCs w:val="21"/>
        </w:rPr>
      </w:pPr>
      <w:r>
        <w:rPr>
          <w:szCs w:val="21"/>
        </w:rPr>
        <w:t>11.1.2 监理人发生违约情况时，委托人可向监理人发出整改通知，要求其在限定期限内纠正；逾期仍不纠正的，委托人有权解除合同并向监理人发出解除合同通知。监理人应当承担由于违约所造成的费用增加、周期延误和委托人损失等。</w:t>
      </w:r>
    </w:p>
    <w:p>
      <w:pPr>
        <w:pStyle w:val="4"/>
        <w:spacing w:before="0" w:after="0" w:line="440" w:lineRule="exact"/>
        <w:rPr>
          <w:rFonts w:eastAsia="黑体"/>
          <w:b w:val="0"/>
          <w:sz w:val="28"/>
          <w:szCs w:val="28"/>
        </w:rPr>
      </w:pPr>
      <w:bookmarkStart w:id="235" w:name="_Toc482188629"/>
      <w:bookmarkStart w:id="236" w:name="_Toc62572830"/>
      <w:r>
        <w:rPr>
          <w:rFonts w:eastAsia="黑体"/>
          <w:b w:val="0"/>
          <w:sz w:val="28"/>
          <w:szCs w:val="28"/>
        </w:rPr>
        <w:t>11.2 委托人违约</w:t>
      </w:r>
      <w:bookmarkEnd w:id="235"/>
      <w:bookmarkEnd w:id="236"/>
    </w:p>
    <w:p>
      <w:pPr>
        <w:spacing w:line="440" w:lineRule="exact"/>
        <w:ind w:firstLine="420" w:firstLineChars="200"/>
        <w:rPr>
          <w:szCs w:val="21"/>
        </w:rPr>
      </w:pPr>
      <w:r>
        <w:rPr>
          <w:szCs w:val="21"/>
        </w:rPr>
        <w:t>11.2.1合同履行中发生下列情况之一的，属委托人违约：</w:t>
      </w:r>
    </w:p>
    <w:p>
      <w:pPr>
        <w:spacing w:line="440" w:lineRule="exact"/>
        <w:ind w:firstLine="420" w:firstLineChars="200"/>
        <w:rPr>
          <w:szCs w:val="21"/>
        </w:rPr>
      </w:pPr>
      <w:r>
        <w:rPr>
          <w:szCs w:val="21"/>
        </w:rPr>
        <w:t>（1）</w:t>
      </w:r>
      <w:bookmarkStart w:id="237" w:name="_Toc300835188"/>
      <w:bookmarkStart w:id="238" w:name="_Toc247514186"/>
      <w:bookmarkStart w:id="239" w:name="_Toc247527787"/>
      <w:r>
        <w:rPr>
          <w:szCs w:val="21"/>
        </w:rPr>
        <w:t>委托人未按合同约定支</w:t>
      </w:r>
      <w:bookmarkEnd w:id="237"/>
      <w:bookmarkEnd w:id="238"/>
      <w:bookmarkEnd w:id="239"/>
      <w:r>
        <w:rPr>
          <w:szCs w:val="21"/>
        </w:rPr>
        <w:t>付监理报酬；</w:t>
      </w:r>
    </w:p>
    <w:p>
      <w:pPr>
        <w:spacing w:line="440" w:lineRule="exact"/>
        <w:ind w:firstLine="420" w:firstLineChars="200"/>
        <w:rPr>
          <w:szCs w:val="21"/>
        </w:rPr>
      </w:pPr>
      <w:r>
        <w:rPr>
          <w:szCs w:val="21"/>
        </w:rPr>
        <w:t>（2）委托人原因造成监理停止；</w:t>
      </w:r>
    </w:p>
    <w:p>
      <w:pPr>
        <w:spacing w:line="440" w:lineRule="exact"/>
        <w:ind w:firstLine="420" w:firstLineChars="200"/>
        <w:rPr>
          <w:szCs w:val="21"/>
        </w:rPr>
      </w:pPr>
      <w:r>
        <w:rPr>
          <w:szCs w:val="21"/>
        </w:rPr>
        <w:t>（3）委托人无法履行或停止履行合同；</w:t>
      </w:r>
    </w:p>
    <w:p>
      <w:pPr>
        <w:spacing w:line="440" w:lineRule="exact"/>
        <w:ind w:firstLine="420" w:firstLineChars="200"/>
        <w:rPr>
          <w:szCs w:val="21"/>
        </w:rPr>
      </w:pPr>
      <w:r>
        <w:rPr>
          <w:szCs w:val="21"/>
        </w:rPr>
        <w:t>（4）委托人不履行合同约定的其他义务。</w:t>
      </w:r>
    </w:p>
    <w:p>
      <w:pPr>
        <w:spacing w:line="440" w:lineRule="exact"/>
        <w:ind w:firstLine="420" w:firstLineChars="200"/>
        <w:rPr>
          <w:szCs w:val="21"/>
        </w:rPr>
      </w:pPr>
      <w:r>
        <w:rPr>
          <w:szCs w:val="21"/>
        </w:rPr>
        <w:t>11.2.2委托人发生违约情况时，监理人可向委托人发出暂停监理通知，要求其在限定期限内纠正；逾期仍不纠正的，监理人有权解除合同并向委托人发出解除合同通知。委托人应当承担由于违约所造成的费用增加、周期延误和监理人损失等。</w:t>
      </w:r>
    </w:p>
    <w:p>
      <w:pPr>
        <w:pStyle w:val="4"/>
        <w:spacing w:before="0" w:after="0" w:line="440" w:lineRule="exact"/>
        <w:rPr>
          <w:rFonts w:eastAsia="黑体"/>
          <w:b w:val="0"/>
          <w:sz w:val="28"/>
          <w:szCs w:val="28"/>
        </w:rPr>
      </w:pPr>
      <w:bookmarkStart w:id="240" w:name="_Toc482188630"/>
      <w:bookmarkStart w:id="241" w:name="_Toc62572831"/>
      <w:r>
        <w:rPr>
          <w:rFonts w:eastAsia="黑体"/>
          <w:b w:val="0"/>
          <w:sz w:val="28"/>
          <w:szCs w:val="28"/>
        </w:rPr>
        <w:t>11.3 第三人造成的违约</w:t>
      </w:r>
      <w:bookmarkEnd w:id="240"/>
      <w:bookmarkEnd w:id="241"/>
    </w:p>
    <w:p>
      <w:pPr>
        <w:spacing w:line="440" w:lineRule="exact"/>
        <w:ind w:firstLine="420" w:firstLineChars="200"/>
        <w:rPr>
          <w:szCs w:val="21"/>
        </w:rPr>
      </w:pPr>
      <w:r>
        <w:rPr>
          <w:szCs w:val="21"/>
        </w:rPr>
        <w:t>在履行合同过程中，一方当事人因第三人的原因造成违约的，应当向对方当事人承担违约责任。一</w:t>
      </w:r>
      <w:bookmarkStart w:id="242" w:name="_Toc247514187"/>
      <w:bookmarkStart w:id="243" w:name="_Toc300835189"/>
      <w:bookmarkStart w:id="244" w:name="_Toc247527788"/>
      <w:r>
        <w:rPr>
          <w:szCs w:val="21"/>
        </w:rPr>
        <w:t>方当事人和第三人之间的纠纷</w:t>
      </w:r>
      <w:bookmarkEnd w:id="242"/>
      <w:bookmarkEnd w:id="243"/>
      <w:bookmarkEnd w:id="244"/>
      <w:r>
        <w:rPr>
          <w:szCs w:val="21"/>
        </w:rPr>
        <w:t>，依照法律规定或者按照约定解决。</w:t>
      </w:r>
    </w:p>
    <w:p>
      <w:pPr>
        <w:pStyle w:val="3"/>
        <w:spacing w:before="120" w:beforeLines="50" w:after="120" w:afterLines="50" w:line="440" w:lineRule="exact"/>
        <w:jc w:val="left"/>
        <w:rPr>
          <w:rFonts w:ascii="Times New Roman" w:hAnsi="Times New Roman"/>
          <w:sz w:val="28"/>
          <w:szCs w:val="28"/>
        </w:rPr>
      </w:pPr>
      <w:bookmarkStart w:id="245" w:name="_Toc482188631"/>
      <w:bookmarkStart w:id="246" w:name="_Toc62572832"/>
      <w:r>
        <w:rPr>
          <w:rFonts w:ascii="Times New Roman" w:hAnsi="Times New Roman"/>
          <w:sz w:val="28"/>
          <w:szCs w:val="28"/>
        </w:rPr>
        <w:t>12. 争议的解决</w:t>
      </w:r>
      <w:bookmarkEnd w:id="245"/>
      <w:bookmarkEnd w:id="246"/>
    </w:p>
    <w:p>
      <w:pPr>
        <w:spacing w:line="440" w:lineRule="exact"/>
        <w:ind w:firstLine="420" w:firstLineChars="200"/>
        <w:rPr>
          <w:szCs w:val="21"/>
        </w:rPr>
      </w:pPr>
      <w:r>
        <w:rPr>
          <w:szCs w:val="21"/>
        </w:rPr>
        <w:t>委托人和监理人在履行合同中发生争议的，可以友好协商解决</w:t>
      </w:r>
      <w:bookmarkStart w:id="247" w:name="_Toc184635121"/>
      <w:bookmarkStart w:id="248" w:name="_Toc247527794"/>
      <w:bookmarkStart w:id="249" w:name="_Toc247514193"/>
      <w:bookmarkStart w:id="250" w:name="_Toc300835195"/>
      <w:r>
        <w:rPr>
          <w:szCs w:val="21"/>
        </w:rPr>
        <w:t>。合同当事</w:t>
      </w:r>
      <w:bookmarkEnd w:id="247"/>
      <w:bookmarkEnd w:id="248"/>
      <w:bookmarkEnd w:id="249"/>
      <w:bookmarkEnd w:id="250"/>
      <w:r>
        <w:rPr>
          <w:szCs w:val="21"/>
        </w:rPr>
        <w:t>人</w:t>
      </w:r>
      <w:bookmarkStart w:id="251" w:name="_Toc300835196"/>
      <w:bookmarkStart w:id="252" w:name="_Toc247527795"/>
      <w:bookmarkStart w:id="253" w:name="_Toc247514194"/>
      <w:r>
        <w:rPr>
          <w:szCs w:val="21"/>
        </w:rPr>
        <w:t>友好协商解决不成</w:t>
      </w:r>
      <w:bookmarkEnd w:id="251"/>
      <w:bookmarkEnd w:id="252"/>
      <w:bookmarkEnd w:id="253"/>
      <w:r>
        <w:rPr>
          <w:szCs w:val="21"/>
        </w:rPr>
        <w:t>的，可在专用合同条款中约定下列一种方式解决：</w:t>
      </w:r>
    </w:p>
    <w:p>
      <w:pPr>
        <w:spacing w:line="440" w:lineRule="exact"/>
        <w:ind w:firstLine="420" w:firstLineChars="200"/>
        <w:rPr>
          <w:szCs w:val="21"/>
        </w:rPr>
      </w:pPr>
      <w:r>
        <w:rPr>
          <w:szCs w:val="21"/>
        </w:rPr>
        <w:t>（1）向约定的仲裁委员会申请仲裁；</w:t>
      </w:r>
    </w:p>
    <w:p>
      <w:pPr>
        <w:spacing w:line="440" w:lineRule="exact"/>
        <w:ind w:firstLine="420" w:firstLineChars="200"/>
        <w:rPr>
          <w:szCs w:val="21"/>
        </w:rPr>
      </w:pPr>
      <w:r>
        <w:rPr>
          <w:szCs w:val="21"/>
        </w:rPr>
        <w:t>（2）向有管辖权的人民法院提起诉讼。</w:t>
      </w:r>
    </w:p>
    <w:p>
      <w:pPr>
        <w:widowControl/>
        <w:jc w:val="left"/>
        <w:rPr>
          <w:bCs/>
          <w:szCs w:val="21"/>
        </w:rPr>
      </w:pPr>
      <w:r>
        <w:rPr>
          <w:szCs w:val="21"/>
        </w:rPr>
        <w:br w:type="page"/>
      </w:r>
    </w:p>
    <w:p>
      <w:pPr>
        <w:pStyle w:val="3"/>
        <w:ind w:firstLine="562" w:firstLineChars="200"/>
        <w:rPr>
          <w:rFonts w:ascii="Times New Roman" w:hAnsi="Times New Roman"/>
          <w:sz w:val="28"/>
          <w:szCs w:val="28"/>
        </w:rPr>
      </w:pPr>
      <w:bookmarkStart w:id="254" w:name="_Toc62572833"/>
      <w:bookmarkStart w:id="255" w:name="_Toc152042546"/>
      <w:bookmarkStart w:id="256" w:name="_Toc144974826"/>
      <w:bookmarkStart w:id="257" w:name="_Toc179632785"/>
      <w:bookmarkStart w:id="258" w:name="_Toc152045767"/>
      <w:r>
        <w:rPr>
          <w:rFonts w:ascii="Times New Roman" w:hAnsi="Times New Roman"/>
          <w:sz w:val="28"/>
          <w:szCs w:val="28"/>
        </w:rPr>
        <w:t>第二节 专用合同条款</w:t>
      </w:r>
      <w:bookmarkEnd w:id="254"/>
    </w:p>
    <w:p>
      <w:pPr>
        <w:pStyle w:val="3"/>
        <w:spacing w:before="120" w:beforeLines="50" w:after="120" w:afterLines="50" w:line="440" w:lineRule="exact"/>
        <w:jc w:val="left"/>
        <w:rPr>
          <w:rFonts w:ascii="Times New Roman" w:hAnsi="Times New Roman"/>
          <w:sz w:val="28"/>
          <w:szCs w:val="28"/>
        </w:rPr>
      </w:pPr>
      <w:bookmarkStart w:id="259" w:name="_Toc244342982"/>
      <w:bookmarkStart w:id="260" w:name="_Toc225411553"/>
      <w:bookmarkStart w:id="261" w:name="_Toc225566647"/>
      <w:bookmarkStart w:id="262" w:name="_Toc225412305"/>
      <w:bookmarkStart w:id="263" w:name="_Toc62572834"/>
      <w:bookmarkStart w:id="264" w:name="_Toc225410739"/>
      <w:bookmarkStart w:id="265" w:name="_Toc225409897"/>
      <w:bookmarkStart w:id="266" w:name="_Toc225411475"/>
      <w:bookmarkStart w:id="267" w:name="_Toc225415791"/>
      <w:bookmarkStart w:id="268" w:name="_Toc225415992"/>
      <w:bookmarkStart w:id="269" w:name="_Toc225409739"/>
      <w:bookmarkStart w:id="270" w:name="_Toc225415590"/>
      <w:bookmarkStart w:id="271" w:name="_Toc225567427"/>
      <w:bookmarkStart w:id="272" w:name="_Toc225409590"/>
      <w:bookmarkStart w:id="273" w:name="_Toc225566829"/>
      <w:bookmarkStart w:id="274" w:name="_Toc225412103"/>
      <w:bookmarkStart w:id="275" w:name="_Toc225410113"/>
      <w:r>
        <w:rPr>
          <w:rFonts w:ascii="Times New Roman" w:hAnsi="Times New Roman"/>
          <w:sz w:val="28"/>
          <w:szCs w:val="28"/>
        </w:rPr>
        <w:t>1. 一般规定</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pPr>
        <w:pStyle w:val="4"/>
        <w:spacing w:before="0" w:after="0" w:line="440" w:lineRule="exact"/>
        <w:rPr>
          <w:rFonts w:eastAsia="黑体"/>
          <w:b w:val="0"/>
          <w:sz w:val="28"/>
          <w:szCs w:val="28"/>
        </w:rPr>
      </w:pPr>
      <w:bookmarkStart w:id="276" w:name="_Toc225410740"/>
      <w:bookmarkStart w:id="277" w:name="_Toc225412104"/>
      <w:bookmarkStart w:id="278" w:name="_Toc225412306"/>
      <w:bookmarkStart w:id="279" w:name="_Toc225415993"/>
      <w:bookmarkStart w:id="280" w:name="_Toc225415591"/>
      <w:bookmarkStart w:id="281" w:name="_Toc225415792"/>
      <w:bookmarkStart w:id="282" w:name="_Toc225410114"/>
      <w:bookmarkStart w:id="283" w:name="_Toc225567428"/>
      <w:bookmarkStart w:id="284" w:name="_Toc225566648"/>
      <w:bookmarkStart w:id="285" w:name="_Toc225566830"/>
      <w:bookmarkStart w:id="286" w:name="_Toc225409898"/>
      <w:bookmarkStart w:id="287" w:name="_Toc225396636"/>
      <w:bookmarkStart w:id="288" w:name="_Toc62572835"/>
      <w:r>
        <w:rPr>
          <w:rFonts w:eastAsia="黑体"/>
          <w:b w:val="0"/>
          <w:sz w:val="28"/>
          <w:szCs w:val="28"/>
        </w:rPr>
        <w:t>1.1定义</w:t>
      </w:r>
      <w:bookmarkEnd w:id="276"/>
      <w:bookmarkEnd w:id="277"/>
      <w:bookmarkEnd w:id="278"/>
      <w:bookmarkEnd w:id="279"/>
      <w:bookmarkEnd w:id="280"/>
      <w:bookmarkEnd w:id="281"/>
      <w:bookmarkEnd w:id="282"/>
      <w:bookmarkEnd w:id="283"/>
      <w:bookmarkEnd w:id="284"/>
      <w:bookmarkEnd w:id="285"/>
      <w:bookmarkEnd w:id="286"/>
      <w:bookmarkEnd w:id="287"/>
      <w:bookmarkEnd w:id="288"/>
    </w:p>
    <w:p>
      <w:pPr>
        <w:autoSpaceDE w:val="0"/>
        <w:autoSpaceDN w:val="0"/>
        <w:spacing w:line="440" w:lineRule="exact"/>
        <w:ind w:left="420" w:leftChars="200"/>
        <w:textAlignment w:val="bottom"/>
        <w:rPr>
          <w:spacing w:val="6"/>
          <w:szCs w:val="21"/>
        </w:rPr>
      </w:pPr>
      <w:r>
        <w:rPr>
          <w:spacing w:val="6"/>
          <w:szCs w:val="21"/>
        </w:rPr>
        <w:t>1.1.2.2项补充：</w:t>
      </w:r>
    </w:p>
    <w:p>
      <w:pPr>
        <w:autoSpaceDE w:val="0"/>
        <w:autoSpaceDN w:val="0"/>
        <w:spacing w:line="440" w:lineRule="exact"/>
        <w:ind w:firstLine="420" w:firstLineChars="200"/>
        <w:textAlignment w:val="bottom"/>
        <w:rPr>
          <w:szCs w:val="21"/>
        </w:rPr>
      </w:pPr>
      <w:r>
        <w:rPr>
          <w:szCs w:val="21"/>
        </w:rPr>
        <w:t>委托人名称：</w:t>
      </w:r>
      <w:r>
        <w:rPr>
          <w:szCs w:val="21"/>
          <w:u w:val="single"/>
        </w:rPr>
        <w:t xml:space="preserve">                                                               </w:t>
      </w:r>
      <w:r>
        <w:rPr>
          <w:szCs w:val="21"/>
        </w:rPr>
        <w:t>；</w:t>
      </w:r>
    </w:p>
    <w:p>
      <w:pPr>
        <w:autoSpaceDE w:val="0"/>
        <w:autoSpaceDN w:val="0"/>
        <w:spacing w:line="440" w:lineRule="exact"/>
        <w:ind w:firstLine="420" w:firstLineChars="200"/>
        <w:textAlignment w:val="bottom"/>
        <w:rPr>
          <w:szCs w:val="21"/>
          <w:u w:val="single"/>
        </w:rPr>
      </w:pPr>
      <w:r>
        <w:rPr>
          <w:szCs w:val="21"/>
        </w:rPr>
        <w:t>单位地址：</w:t>
      </w:r>
      <w:r>
        <w:rPr>
          <w:szCs w:val="21"/>
          <w:u w:val="single"/>
        </w:rPr>
        <w:t xml:space="preserve">                                                                </w:t>
      </w:r>
      <w:r>
        <w:rPr>
          <w:szCs w:val="21"/>
        </w:rPr>
        <w:t xml:space="preserve"> ；</w:t>
      </w:r>
    </w:p>
    <w:p>
      <w:pPr>
        <w:autoSpaceDE w:val="0"/>
        <w:autoSpaceDN w:val="0"/>
        <w:spacing w:line="440" w:lineRule="exact"/>
        <w:ind w:firstLine="420" w:firstLineChars="200"/>
        <w:textAlignment w:val="bottom"/>
        <w:rPr>
          <w:szCs w:val="21"/>
          <w:u w:val="single"/>
        </w:rPr>
      </w:pPr>
      <w:r>
        <w:rPr>
          <w:szCs w:val="21"/>
        </w:rPr>
        <w:t>联系人：</w:t>
      </w:r>
      <w:r>
        <w:rPr>
          <w:szCs w:val="21"/>
          <w:u w:val="single"/>
        </w:rPr>
        <w:t xml:space="preserve">                                                                   </w:t>
      </w:r>
      <w:r>
        <w:rPr>
          <w:szCs w:val="21"/>
        </w:rPr>
        <w:t>；</w:t>
      </w:r>
    </w:p>
    <w:p>
      <w:pPr>
        <w:autoSpaceDE w:val="0"/>
        <w:autoSpaceDN w:val="0"/>
        <w:spacing w:line="440" w:lineRule="exact"/>
        <w:ind w:firstLine="420" w:firstLineChars="200"/>
        <w:textAlignment w:val="bottom"/>
        <w:rPr>
          <w:szCs w:val="21"/>
          <w:u w:val="single"/>
        </w:rPr>
      </w:pPr>
      <w:r>
        <w:rPr>
          <w:szCs w:val="21"/>
        </w:rPr>
        <w:t>电子邮箱：</w:t>
      </w:r>
      <w:r>
        <w:rPr>
          <w:szCs w:val="21"/>
          <w:u w:val="single"/>
        </w:rPr>
        <w:t xml:space="preserve">                                                                 </w:t>
      </w:r>
      <w:r>
        <w:rPr>
          <w:szCs w:val="21"/>
        </w:rPr>
        <w:t>；</w:t>
      </w:r>
    </w:p>
    <w:p>
      <w:pPr>
        <w:autoSpaceDE w:val="0"/>
        <w:autoSpaceDN w:val="0"/>
        <w:spacing w:line="440" w:lineRule="exact"/>
        <w:ind w:firstLine="420" w:firstLineChars="200"/>
        <w:textAlignment w:val="bottom"/>
        <w:rPr>
          <w:szCs w:val="21"/>
          <w:u w:val="single"/>
        </w:rPr>
      </w:pPr>
      <w:r>
        <w:rPr>
          <w:szCs w:val="21"/>
        </w:rPr>
        <w:t>电话号码：</w:t>
      </w:r>
      <w:r>
        <w:rPr>
          <w:szCs w:val="21"/>
          <w:u w:val="single"/>
        </w:rPr>
        <w:t xml:space="preserve">                                                                 </w:t>
      </w:r>
      <w:r>
        <w:rPr>
          <w:szCs w:val="21"/>
        </w:rPr>
        <w:t>。</w:t>
      </w:r>
    </w:p>
    <w:p>
      <w:pPr>
        <w:adjustRightInd w:val="0"/>
        <w:snapToGrid w:val="0"/>
        <w:spacing w:line="440" w:lineRule="exact"/>
        <w:ind w:firstLine="444" w:firstLineChars="200"/>
        <w:rPr>
          <w:spacing w:val="6"/>
          <w:szCs w:val="21"/>
        </w:rPr>
      </w:pPr>
      <w:r>
        <w:rPr>
          <w:spacing w:val="6"/>
          <w:szCs w:val="21"/>
        </w:rPr>
        <w:t>1.1.2.3项补充：</w:t>
      </w:r>
    </w:p>
    <w:p>
      <w:pPr>
        <w:autoSpaceDE w:val="0"/>
        <w:autoSpaceDN w:val="0"/>
        <w:spacing w:line="440" w:lineRule="exact"/>
        <w:ind w:firstLine="420" w:firstLineChars="200"/>
        <w:textAlignment w:val="bottom"/>
        <w:rPr>
          <w:szCs w:val="21"/>
          <w:u w:val="single"/>
        </w:rPr>
      </w:pPr>
      <w:r>
        <w:rPr>
          <w:szCs w:val="21"/>
        </w:rPr>
        <w:t>监理人（或联合体牵头人）名称：</w:t>
      </w:r>
      <w:r>
        <w:rPr>
          <w:szCs w:val="21"/>
          <w:u w:val="single"/>
        </w:rPr>
        <w:t xml:space="preserve">                                             </w:t>
      </w:r>
      <w:r>
        <w:rPr>
          <w:szCs w:val="21"/>
        </w:rPr>
        <w:t>；</w:t>
      </w:r>
    </w:p>
    <w:p>
      <w:pPr>
        <w:autoSpaceDE w:val="0"/>
        <w:autoSpaceDN w:val="0"/>
        <w:spacing w:line="440" w:lineRule="exact"/>
        <w:ind w:firstLine="420" w:firstLineChars="200"/>
        <w:textAlignment w:val="bottom"/>
        <w:rPr>
          <w:szCs w:val="21"/>
          <w:u w:val="single"/>
        </w:rPr>
      </w:pPr>
      <w:r>
        <w:rPr>
          <w:szCs w:val="21"/>
        </w:rPr>
        <w:t>单位地址：</w:t>
      </w:r>
      <w:r>
        <w:rPr>
          <w:szCs w:val="21"/>
          <w:u w:val="single"/>
        </w:rPr>
        <w:t xml:space="preserve">                                                                 </w:t>
      </w:r>
      <w:r>
        <w:rPr>
          <w:szCs w:val="21"/>
        </w:rPr>
        <w:t>；</w:t>
      </w:r>
    </w:p>
    <w:p>
      <w:pPr>
        <w:autoSpaceDE w:val="0"/>
        <w:autoSpaceDN w:val="0"/>
        <w:spacing w:line="440" w:lineRule="exact"/>
        <w:ind w:firstLine="420" w:firstLineChars="200"/>
        <w:textAlignment w:val="bottom"/>
        <w:rPr>
          <w:szCs w:val="21"/>
          <w:u w:val="single"/>
        </w:rPr>
      </w:pPr>
      <w:r>
        <w:rPr>
          <w:szCs w:val="21"/>
        </w:rPr>
        <w:t>联系人：</w:t>
      </w:r>
      <w:r>
        <w:rPr>
          <w:szCs w:val="21"/>
          <w:u w:val="single"/>
        </w:rPr>
        <w:t xml:space="preserve">                                                                   </w:t>
      </w:r>
      <w:r>
        <w:rPr>
          <w:szCs w:val="21"/>
        </w:rPr>
        <w:t>；</w:t>
      </w:r>
    </w:p>
    <w:p>
      <w:pPr>
        <w:autoSpaceDE w:val="0"/>
        <w:autoSpaceDN w:val="0"/>
        <w:spacing w:line="440" w:lineRule="exact"/>
        <w:ind w:left="420" w:leftChars="200"/>
        <w:textAlignment w:val="bottom"/>
        <w:rPr>
          <w:szCs w:val="21"/>
        </w:rPr>
      </w:pPr>
      <w:r>
        <w:rPr>
          <w:szCs w:val="21"/>
        </w:rPr>
        <w:t>电子邮箱：</w:t>
      </w:r>
      <w:r>
        <w:rPr>
          <w:szCs w:val="21"/>
          <w:u w:val="single"/>
        </w:rPr>
        <w:t xml:space="preserve">                                                                 </w:t>
      </w:r>
      <w:r>
        <w:rPr>
          <w:szCs w:val="21"/>
        </w:rPr>
        <w:t>；</w:t>
      </w:r>
    </w:p>
    <w:p>
      <w:pPr>
        <w:autoSpaceDE w:val="0"/>
        <w:autoSpaceDN w:val="0"/>
        <w:spacing w:line="440" w:lineRule="exact"/>
        <w:ind w:left="420" w:leftChars="200"/>
        <w:textAlignment w:val="bottom"/>
        <w:rPr>
          <w:szCs w:val="21"/>
        </w:rPr>
      </w:pPr>
      <w:r>
        <w:rPr>
          <w:szCs w:val="21"/>
        </w:rPr>
        <w:t>电话号码：</w:t>
      </w:r>
      <w:r>
        <w:rPr>
          <w:szCs w:val="21"/>
          <w:u w:val="single"/>
        </w:rPr>
        <w:t xml:space="preserve">                                                                </w:t>
      </w:r>
      <w:r>
        <w:rPr>
          <w:szCs w:val="21"/>
        </w:rPr>
        <w:t>。</w:t>
      </w:r>
    </w:p>
    <w:p>
      <w:pPr>
        <w:autoSpaceDE w:val="0"/>
        <w:autoSpaceDN w:val="0"/>
        <w:spacing w:line="440" w:lineRule="exact"/>
        <w:ind w:left="420" w:leftChars="200"/>
        <w:textAlignment w:val="bottom"/>
        <w:rPr>
          <w:spacing w:val="6"/>
          <w:szCs w:val="21"/>
        </w:rPr>
      </w:pPr>
      <w:r>
        <w:rPr>
          <w:spacing w:val="6"/>
          <w:szCs w:val="21"/>
        </w:rPr>
        <w:t>1.1.2.5项补充：</w:t>
      </w:r>
    </w:p>
    <w:p>
      <w:pPr>
        <w:spacing w:line="440" w:lineRule="exact"/>
        <w:ind w:firstLine="444" w:firstLineChars="200"/>
        <w:rPr>
          <w:spacing w:val="6"/>
          <w:szCs w:val="21"/>
          <w:u w:val="single"/>
        </w:rPr>
      </w:pPr>
      <w:r>
        <w:rPr>
          <w:spacing w:val="6"/>
          <w:szCs w:val="21"/>
        </w:rPr>
        <w:t>总监理工程师姓名：</w:t>
      </w:r>
      <w:r>
        <w:rPr>
          <w:spacing w:val="6"/>
          <w:szCs w:val="21"/>
          <w:u w:val="single"/>
        </w:rPr>
        <w:t xml:space="preserve">                                                 </w:t>
      </w:r>
      <w:r>
        <w:rPr>
          <w:spacing w:val="6"/>
          <w:szCs w:val="21"/>
        </w:rPr>
        <w:t>；</w:t>
      </w:r>
    </w:p>
    <w:p>
      <w:pPr>
        <w:spacing w:line="440" w:lineRule="exact"/>
        <w:ind w:firstLine="444" w:firstLineChars="200"/>
        <w:rPr>
          <w:spacing w:val="6"/>
          <w:szCs w:val="21"/>
        </w:rPr>
      </w:pPr>
      <w:r>
        <w:rPr>
          <w:spacing w:val="6"/>
          <w:szCs w:val="21"/>
        </w:rPr>
        <w:t>总监理工程师联系方式：</w:t>
      </w:r>
      <w:r>
        <w:rPr>
          <w:spacing w:val="6"/>
          <w:szCs w:val="21"/>
          <w:u w:val="single"/>
        </w:rPr>
        <w:t xml:space="preserve">                                             </w:t>
      </w:r>
      <w:r>
        <w:rPr>
          <w:spacing w:val="6"/>
          <w:szCs w:val="21"/>
        </w:rPr>
        <w:t>。</w:t>
      </w:r>
    </w:p>
    <w:p>
      <w:pPr>
        <w:spacing w:line="440" w:lineRule="exact"/>
        <w:ind w:firstLine="420" w:firstLineChars="200"/>
        <w:rPr>
          <w:szCs w:val="21"/>
        </w:rPr>
      </w:pPr>
      <w:r>
        <w:rPr>
          <w:szCs w:val="21"/>
        </w:rPr>
        <w:t>补充1.1.7增值税发票：指增值税专用发票。</w:t>
      </w:r>
    </w:p>
    <w:p>
      <w:pPr>
        <w:pStyle w:val="4"/>
        <w:spacing w:before="0" w:after="0" w:line="440" w:lineRule="exact"/>
        <w:rPr>
          <w:rFonts w:eastAsia="黑体"/>
          <w:b w:val="0"/>
          <w:sz w:val="28"/>
          <w:szCs w:val="28"/>
        </w:rPr>
      </w:pPr>
      <w:bookmarkStart w:id="289" w:name="_Toc62572836"/>
      <w:r>
        <w:rPr>
          <w:rFonts w:eastAsia="黑体"/>
          <w:b w:val="0"/>
          <w:sz w:val="28"/>
          <w:szCs w:val="28"/>
        </w:rPr>
        <w:t>1.6文件的提供和照管</w:t>
      </w:r>
      <w:bookmarkEnd w:id="289"/>
    </w:p>
    <w:p>
      <w:pPr>
        <w:adjustRightInd w:val="0"/>
        <w:snapToGrid w:val="0"/>
        <w:spacing w:line="440" w:lineRule="exact"/>
        <w:ind w:firstLine="420" w:firstLineChars="200"/>
        <w:rPr>
          <w:szCs w:val="21"/>
        </w:rPr>
      </w:pPr>
      <w:r>
        <w:rPr>
          <w:szCs w:val="21"/>
        </w:rPr>
        <w:t>1.6.2委托人提供的文件补充：</w:t>
      </w:r>
    </w:p>
    <w:p>
      <w:pPr>
        <w:adjustRightInd w:val="0"/>
        <w:snapToGrid w:val="0"/>
        <w:spacing w:line="440" w:lineRule="exact"/>
        <w:ind w:firstLine="444" w:firstLineChars="200"/>
        <w:rPr>
          <w:spacing w:val="6"/>
          <w:szCs w:val="21"/>
        </w:rPr>
      </w:pPr>
      <w:r>
        <w:rPr>
          <w:spacing w:val="6"/>
          <w:szCs w:val="21"/>
        </w:rPr>
        <w:t>委托人提供的工程资料、设计图纸、承包人投标资料、承包合同、指导性施工组织设计和其他文件，具体为：</w:t>
      </w:r>
      <w:r>
        <w:rPr>
          <w:spacing w:val="6"/>
          <w:szCs w:val="21"/>
          <w:u w:val="single"/>
        </w:rPr>
        <w:t xml:space="preserve">                            </w:t>
      </w:r>
      <w:r>
        <w:rPr>
          <w:rFonts w:hint="eastAsia"/>
          <w:spacing w:val="6"/>
          <w:szCs w:val="21"/>
          <w:u w:val="single"/>
        </w:rPr>
        <w:t xml:space="preserve">   </w:t>
      </w:r>
      <w:r>
        <w:rPr>
          <w:spacing w:val="6"/>
          <w:szCs w:val="21"/>
          <w:u w:val="single"/>
        </w:rPr>
        <w:t xml:space="preserve">    </w:t>
      </w:r>
      <w:r>
        <w:rPr>
          <w:spacing w:val="6"/>
          <w:szCs w:val="21"/>
        </w:rPr>
        <w:t>；提供的时间具体为</w:t>
      </w:r>
      <w:r>
        <w:rPr>
          <w:spacing w:val="6"/>
          <w:szCs w:val="21"/>
          <w:u w:val="single"/>
        </w:rPr>
        <w:t xml:space="preserve">                   </w:t>
      </w:r>
      <w:r>
        <w:rPr>
          <w:spacing w:val="6"/>
          <w:szCs w:val="21"/>
        </w:rPr>
        <w:t>；份数分别为：</w:t>
      </w:r>
      <w:r>
        <w:rPr>
          <w:spacing w:val="6"/>
          <w:szCs w:val="21"/>
          <w:u w:val="single"/>
        </w:rPr>
        <w:t xml:space="preserve">                       </w:t>
      </w:r>
      <w:r>
        <w:rPr>
          <w:spacing w:val="6"/>
          <w:szCs w:val="21"/>
        </w:rPr>
        <w:t>。</w:t>
      </w:r>
    </w:p>
    <w:p>
      <w:pPr>
        <w:adjustRightInd w:val="0"/>
        <w:snapToGrid w:val="0"/>
        <w:spacing w:line="440" w:lineRule="exact"/>
        <w:ind w:firstLine="525" w:firstLineChars="250"/>
        <w:rPr>
          <w:szCs w:val="21"/>
        </w:rPr>
      </w:pPr>
      <w:r>
        <w:rPr>
          <w:szCs w:val="21"/>
        </w:rPr>
        <w:t>由于委托人未按时提供文件造成监理服务期限延误的，按第6.2款约定执行。</w:t>
      </w:r>
    </w:p>
    <w:p>
      <w:pPr>
        <w:spacing w:before="120" w:beforeLines="50" w:line="440" w:lineRule="exact"/>
        <w:rPr>
          <w:spacing w:val="6"/>
          <w:szCs w:val="21"/>
          <w:u w:val="single"/>
        </w:rPr>
      </w:pPr>
      <w:bookmarkStart w:id="290" w:name="_Toc225566833"/>
      <w:bookmarkStart w:id="291" w:name="_Toc225410744"/>
      <w:bookmarkStart w:id="292" w:name="_Toc225415595"/>
      <w:bookmarkStart w:id="293" w:name="_Toc225412310"/>
      <w:bookmarkStart w:id="294" w:name="_Toc225412108"/>
      <w:bookmarkStart w:id="295" w:name="_Toc225396639"/>
      <w:bookmarkStart w:id="296" w:name="_Toc225410118"/>
      <w:bookmarkStart w:id="297" w:name="_Toc225567431"/>
      <w:bookmarkStart w:id="298" w:name="_Toc225415997"/>
      <w:bookmarkStart w:id="299" w:name="_Toc225409902"/>
      <w:bookmarkStart w:id="300" w:name="_Toc225566651"/>
      <w:bookmarkStart w:id="301" w:name="_Toc225415796"/>
      <w:r>
        <w:rPr>
          <w:spacing w:val="6"/>
          <w:szCs w:val="21"/>
        </w:rPr>
        <w:t xml:space="preserve">本节补充：                             </w:t>
      </w:r>
    </w:p>
    <w:bookmarkEnd w:id="290"/>
    <w:bookmarkEnd w:id="291"/>
    <w:bookmarkEnd w:id="292"/>
    <w:bookmarkEnd w:id="293"/>
    <w:bookmarkEnd w:id="294"/>
    <w:bookmarkEnd w:id="295"/>
    <w:bookmarkEnd w:id="296"/>
    <w:bookmarkEnd w:id="297"/>
    <w:bookmarkEnd w:id="298"/>
    <w:bookmarkEnd w:id="299"/>
    <w:bookmarkEnd w:id="300"/>
    <w:bookmarkEnd w:id="301"/>
    <w:p>
      <w:pPr>
        <w:pStyle w:val="4"/>
        <w:spacing w:before="0" w:after="0" w:line="440" w:lineRule="exact"/>
        <w:rPr>
          <w:rFonts w:eastAsia="黑体"/>
          <w:b w:val="0"/>
          <w:sz w:val="28"/>
          <w:szCs w:val="28"/>
        </w:rPr>
      </w:pPr>
      <w:bookmarkStart w:id="302" w:name="_Toc225567432"/>
      <w:bookmarkStart w:id="303" w:name="_Toc225412311"/>
      <w:bookmarkStart w:id="304" w:name="_Toc225415998"/>
      <w:bookmarkStart w:id="305" w:name="_Toc225396640"/>
      <w:bookmarkStart w:id="306" w:name="_Toc225415797"/>
      <w:bookmarkStart w:id="307" w:name="_Toc62572837"/>
      <w:bookmarkStart w:id="308" w:name="_Toc225410119"/>
      <w:bookmarkStart w:id="309" w:name="_Toc225566834"/>
      <w:bookmarkStart w:id="310" w:name="_Toc225412109"/>
      <w:bookmarkStart w:id="311" w:name="_Toc225410745"/>
      <w:bookmarkStart w:id="312" w:name="_Toc225566652"/>
      <w:bookmarkStart w:id="313" w:name="_Toc225409903"/>
      <w:bookmarkStart w:id="314" w:name="_Toc225415596"/>
      <w:r>
        <w:rPr>
          <w:rFonts w:eastAsia="黑体"/>
          <w:b w:val="0"/>
          <w:sz w:val="28"/>
          <w:szCs w:val="28"/>
        </w:rPr>
        <w:t>1.13联合体各方共同的和各自的责任</w:t>
      </w:r>
      <w:bookmarkEnd w:id="302"/>
      <w:bookmarkEnd w:id="303"/>
      <w:bookmarkEnd w:id="304"/>
      <w:bookmarkEnd w:id="305"/>
      <w:bookmarkEnd w:id="306"/>
      <w:bookmarkEnd w:id="307"/>
      <w:bookmarkEnd w:id="308"/>
      <w:bookmarkEnd w:id="309"/>
      <w:bookmarkEnd w:id="310"/>
      <w:bookmarkEnd w:id="311"/>
      <w:bookmarkEnd w:id="312"/>
      <w:bookmarkEnd w:id="313"/>
      <w:bookmarkEnd w:id="314"/>
    </w:p>
    <w:p>
      <w:pPr>
        <w:autoSpaceDE w:val="0"/>
        <w:autoSpaceDN w:val="0"/>
        <w:spacing w:line="440" w:lineRule="exact"/>
        <w:ind w:firstLine="444" w:firstLineChars="200"/>
        <w:textAlignment w:val="bottom"/>
        <w:rPr>
          <w:spacing w:val="6"/>
          <w:szCs w:val="21"/>
        </w:rPr>
      </w:pPr>
      <w:r>
        <w:rPr>
          <w:spacing w:val="6"/>
          <w:szCs w:val="21"/>
        </w:rPr>
        <w:t>（1）联合体各方应共同与委托人签订合同协议书。联合体各方均应被认为在履行合同上对委托人负有共同的和连带的责任；</w:t>
      </w:r>
    </w:p>
    <w:p>
      <w:pPr>
        <w:autoSpaceDE w:val="0"/>
        <w:autoSpaceDN w:val="0"/>
        <w:spacing w:line="440" w:lineRule="exact"/>
        <w:ind w:firstLine="444" w:firstLineChars="200"/>
        <w:textAlignment w:val="bottom"/>
        <w:rPr>
          <w:spacing w:val="6"/>
          <w:szCs w:val="21"/>
        </w:rPr>
      </w:pPr>
      <w:r>
        <w:rPr>
          <w:spacing w:val="6"/>
          <w:szCs w:val="21"/>
        </w:rPr>
        <w:t>（2）联合体应向委托人提交由联合体各方共同签署的联合体协议书，明确联合体牵头人，联合体牵头人负责与委托人或其委托人代表联系，并接受指示。联合体牵头人应指定总监理工程师并通知委托人，负责组织联合体各成员全面履行合同；</w:t>
      </w:r>
    </w:p>
    <w:p>
      <w:pPr>
        <w:autoSpaceDE w:val="0"/>
        <w:autoSpaceDN w:val="0"/>
        <w:spacing w:line="440" w:lineRule="exact"/>
        <w:ind w:firstLine="444" w:firstLineChars="200"/>
        <w:textAlignment w:val="bottom"/>
        <w:rPr>
          <w:spacing w:val="6"/>
          <w:szCs w:val="21"/>
        </w:rPr>
      </w:pPr>
      <w:r>
        <w:rPr>
          <w:spacing w:val="6"/>
          <w:szCs w:val="21"/>
        </w:rPr>
        <w:t>（3）联合体应以联合体牵头人为主组建现场监理机构负责具体实施监理工作，联合体各方不得按组成单位分标实施监理。</w:t>
      </w:r>
    </w:p>
    <w:p>
      <w:pPr>
        <w:autoSpaceDE w:val="0"/>
        <w:autoSpaceDN w:val="0"/>
        <w:spacing w:line="440" w:lineRule="exact"/>
        <w:ind w:firstLine="444" w:firstLineChars="200"/>
        <w:textAlignment w:val="bottom"/>
        <w:rPr>
          <w:szCs w:val="21"/>
        </w:rPr>
      </w:pPr>
      <w:r>
        <w:rPr>
          <w:spacing w:val="6"/>
          <w:szCs w:val="21"/>
        </w:rPr>
        <w:t>（4）联合体协议经委托人确认后作为合同附件，在履行合同过程中，未经委托人同意，不得修改联合体协议，不得改变其内部组成或法律地位。</w:t>
      </w:r>
    </w:p>
    <w:p>
      <w:pPr>
        <w:adjustRightInd w:val="0"/>
        <w:snapToGrid w:val="0"/>
        <w:spacing w:line="400" w:lineRule="exact"/>
        <w:jc w:val="center"/>
        <w:rPr>
          <w:szCs w:val="21"/>
        </w:rPr>
      </w:pPr>
      <w:r>
        <w:rPr>
          <w:szCs w:val="21"/>
        </w:rPr>
        <w:t>联合体成员名单表</w:t>
      </w:r>
    </w:p>
    <w:tbl>
      <w:tblPr>
        <w:tblStyle w:val="30"/>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82"/>
        <w:gridCol w:w="1024"/>
        <w:gridCol w:w="1025"/>
        <w:gridCol w:w="927"/>
        <w:gridCol w:w="1065"/>
        <w:gridCol w:w="1141"/>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400" w:lineRule="exact"/>
              <w:jc w:val="center"/>
              <w:rPr>
                <w:szCs w:val="21"/>
              </w:rPr>
            </w:pPr>
            <w:r>
              <w:rPr>
                <w:szCs w:val="21"/>
              </w:rPr>
              <w:t>序号</w:t>
            </w:r>
          </w:p>
        </w:tc>
        <w:tc>
          <w:tcPr>
            <w:tcW w:w="1182" w:type="dxa"/>
            <w:vAlign w:val="center"/>
          </w:tcPr>
          <w:p>
            <w:pPr>
              <w:spacing w:line="400" w:lineRule="exact"/>
              <w:jc w:val="center"/>
              <w:rPr>
                <w:szCs w:val="21"/>
              </w:rPr>
            </w:pPr>
            <w:r>
              <w:rPr>
                <w:szCs w:val="21"/>
              </w:rPr>
              <w:t>成员名称</w:t>
            </w:r>
          </w:p>
        </w:tc>
        <w:tc>
          <w:tcPr>
            <w:tcW w:w="1024" w:type="dxa"/>
            <w:vAlign w:val="center"/>
          </w:tcPr>
          <w:p>
            <w:pPr>
              <w:spacing w:line="400" w:lineRule="exact"/>
              <w:jc w:val="center"/>
              <w:rPr>
                <w:szCs w:val="21"/>
              </w:rPr>
            </w:pPr>
            <w:r>
              <w:rPr>
                <w:szCs w:val="21"/>
              </w:rPr>
              <w:t>法定</w:t>
            </w:r>
          </w:p>
          <w:p>
            <w:pPr>
              <w:spacing w:line="400" w:lineRule="exact"/>
              <w:jc w:val="center"/>
              <w:rPr>
                <w:szCs w:val="21"/>
              </w:rPr>
            </w:pPr>
            <w:r>
              <w:rPr>
                <w:szCs w:val="21"/>
              </w:rPr>
              <w:t>代表人</w:t>
            </w:r>
          </w:p>
        </w:tc>
        <w:tc>
          <w:tcPr>
            <w:tcW w:w="1025" w:type="dxa"/>
            <w:vAlign w:val="center"/>
          </w:tcPr>
          <w:p>
            <w:pPr>
              <w:spacing w:line="400" w:lineRule="exact"/>
              <w:jc w:val="center"/>
              <w:rPr>
                <w:szCs w:val="21"/>
              </w:rPr>
            </w:pPr>
            <w:r>
              <w:rPr>
                <w:szCs w:val="21"/>
              </w:rPr>
              <w:t>委托</w:t>
            </w:r>
          </w:p>
          <w:p>
            <w:pPr>
              <w:spacing w:line="400" w:lineRule="exact"/>
              <w:jc w:val="center"/>
              <w:rPr>
                <w:szCs w:val="21"/>
              </w:rPr>
            </w:pPr>
            <w:r>
              <w:rPr>
                <w:szCs w:val="21"/>
              </w:rPr>
              <w:t>代理人</w:t>
            </w:r>
          </w:p>
        </w:tc>
        <w:tc>
          <w:tcPr>
            <w:tcW w:w="927" w:type="dxa"/>
            <w:vAlign w:val="center"/>
          </w:tcPr>
          <w:p>
            <w:pPr>
              <w:spacing w:line="400" w:lineRule="exact"/>
              <w:jc w:val="center"/>
              <w:rPr>
                <w:szCs w:val="21"/>
              </w:rPr>
            </w:pPr>
            <w:r>
              <w:rPr>
                <w:szCs w:val="21"/>
              </w:rPr>
              <w:t>联系人</w:t>
            </w:r>
          </w:p>
        </w:tc>
        <w:tc>
          <w:tcPr>
            <w:tcW w:w="1065" w:type="dxa"/>
            <w:vAlign w:val="center"/>
          </w:tcPr>
          <w:p>
            <w:pPr>
              <w:spacing w:line="400" w:lineRule="exact"/>
              <w:jc w:val="center"/>
              <w:rPr>
                <w:szCs w:val="21"/>
              </w:rPr>
            </w:pPr>
            <w:r>
              <w:rPr>
                <w:szCs w:val="21"/>
              </w:rPr>
              <w:t>联系电话</w:t>
            </w:r>
          </w:p>
        </w:tc>
        <w:tc>
          <w:tcPr>
            <w:tcW w:w="1141" w:type="dxa"/>
            <w:vAlign w:val="center"/>
          </w:tcPr>
          <w:p>
            <w:pPr>
              <w:spacing w:line="400" w:lineRule="exact"/>
              <w:jc w:val="center"/>
              <w:rPr>
                <w:szCs w:val="21"/>
              </w:rPr>
            </w:pPr>
            <w:r>
              <w:rPr>
                <w:szCs w:val="21"/>
              </w:rPr>
              <w:t>单位地址</w:t>
            </w:r>
          </w:p>
        </w:tc>
        <w:tc>
          <w:tcPr>
            <w:tcW w:w="1235" w:type="dxa"/>
            <w:vAlign w:val="center"/>
          </w:tcPr>
          <w:p>
            <w:pPr>
              <w:spacing w:line="400" w:lineRule="exact"/>
              <w:jc w:val="center"/>
              <w:rPr>
                <w:szCs w:val="21"/>
              </w:rPr>
            </w:pPr>
            <w:r>
              <w:rPr>
                <w:szCs w:val="21"/>
              </w:rPr>
              <w:t>电子邮箱</w:t>
            </w:r>
          </w:p>
          <w:p>
            <w:pPr>
              <w:spacing w:line="400" w:lineRule="exact"/>
              <w:jc w:val="center"/>
              <w:rPr>
                <w:szCs w:val="21"/>
              </w:rPr>
            </w:pPr>
            <w:r>
              <w:rPr>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400" w:lineRule="exact"/>
              <w:jc w:val="center"/>
              <w:rPr>
                <w:szCs w:val="21"/>
              </w:rPr>
            </w:pPr>
            <w:r>
              <w:rPr>
                <w:szCs w:val="21"/>
              </w:rPr>
              <w:t>1</w:t>
            </w:r>
          </w:p>
        </w:tc>
        <w:tc>
          <w:tcPr>
            <w:tcW w:w="1182" w:type="dxa"/>
            <w:vAlign w:val="center"/>
          </w:tcPr>
          <w:p>
            <w:pPr>
              <w:spacing w:line="400" w:lineRule="exact"/>
              <w:ind w:firstLine="420" w:firstLineChars="200"/>
              <w:rPr>
                <w:szCs w:val="21"/>
              </w:rPr>
            </w:pPr>
          </w:p>
        </w:tc>
        <w:tc>
          <w:tcPr>
            <w:tcW w:w="1024" w:type="dxa"/>
            <w:vAlign w:val="center"/>
          </w:tcPr>
          <w:p>
            <w:pPr>
              <w:spacing w:line="400" w:lineRule="exact"/>
              <w:ind w:firstLine="420" w:firstLineChars="200"/>
              <w:rPr>
                <w:szCs w:val="21"/>
              </w:rPr>
            </w:pPr>
          </w:p>
        </w:tc>
        <w:tc>
          <w:tcPr>
            <w:tcW w:w="1025" w:type="dxa"/>
            <w:vAlign w:val="center"/>
          </w:tcPr>
          <w:p>
            <w:pPr>
              <w:spacing w:line="400" w:lineRule="exact"/>
              <w:ind w:firstLine="420" w:firstLineChars="200"/>
              <w:rPr>
                <w:szCs w:val="21"/>
              </w:rPr>
            </w:pPr>
          </w:p>
        </w:tc>
        <w:tc>
          <w:tcPr>
            <w:tcW w:w="927" w:type="dxa"/>
            <w:vAlign w:val="center"/>
          </w:tcPr>
          <w:p>
            <w:pPr>
              <w:spacing w:line="400" w:lineRule="exact"/>
              <w:ind w:firstLine="420" w:firstLineChars="200"/>
              <w:rPr>
                <w:szCs w:val="21"/>
              </w:rPr>
            </w:pPr>
          </w:p>
        </w:tc>
        <w:tc>
          <w:tcPr>
            <w:tcW w:w="1065" w:type="dxa"/>
            <w:vAlign w:val="center"/>
          </w:tcPr>
          <w:p>
            <w:pPr>
              <w:spacing w:line="400" w:lineRule="exact"/>
              <w:ind w:firstLine="420" w:firstLineChars="200"/>
              <w:rPr>
                <w:szCs w:val="21"/>
              </w:rPr>
            </w:pPr>
          </w:p>
        </w:tc>
        <w:tc>
          <w:tcPr>
            <w:tcW w:w="1141" w:type="dxa"/>
            <w:vAlign w:val="center"/>
          </w:tcPr>
          <w:p>
            <w:pPr>
              <w:spacing w:line="400" w:lineRule="exact"/>
              <w:ind w:firstLine="420" w:firstLineChars="200"/>
              <w:rPr>
                <w:szCs w:val="21"/>
              </w:rPr>
            </w:pPr>
          </w:p>
        </w:tc>
        <w:tc>
          <w:tcPr>
            <w:tcW w:w="1235" w:type="dxa"/>
            <w:vAlign w:val="center"/>
          </w:tcPr>
          <w:p>
            <w:pPr>
              <w:spacing w:line="400" w:lineRule="exact"/>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400" w:lineRule="exact"/>
              <w:jc w:val="center"/>
              <w:rPr>
                <w:szCs w:val="21"/>
              </w:rPr>
            </w:pPr>
            <w:r>
              <w:rPr>
                <w:szCs w:val="21"/>
              </w:rPr>
              <w:t>2</w:t>
            </w:r>
          </w:p>
        </w:tc>
        <w:tc>
          <w:tcPr>
            <w:tcW w:w="1182" w:type="dxa"/>
            <w:vAlign w:val="center"/>
          </w:tcPr>
          <w:p>
            <w:pPr>
              <w:spacing w:line="400" w:lineRule="exact"/>
              <w:ind w:firstLine="420" w:firstLineChars="200"/>
              <w:rPr>
                <w:szCs w:val="21"/>
              </w:rPr>
            </w:pPr>
          </w:p>
        </w:tc>
        <w:tc>
          <w:tcPr>
            <w:tcW w:w="1024" w:type="dxa"/>
            <w:vAlign w:val="center"/>
          </w:tcPr>
          <w:p>
            <w:pPr>
              <w:spacing w:line="400" w:lineRule="exact"/>
              <w:ind w:firstLine="420" w:firstLineChars="200"/>
              <w:rPr>
                <w:szCs w:val="21"/>
              </w:rPr>
            </w:pPr>
          </w:p>
        </w:tc>
        <w:tc>
          <w:tcPr>
            <w:tcW w:w="1025" w:type="dxa"/>
            <w:vAlign w:val="center"/>
          </w:tcPr>
          <w:p>
            <w:pPr>
              <w:spacing w:line="400" w:lineRule="exact"/>
              <w:ind w:firstLine="420" w:firstLineChars="200"/>
              <w:rPr>
                <w:szCs w:val="21"/>
              </w:rPr>
            </w:pPr>
          </w:p>
        </w:tc>
        <w:tc>
          <w:tcPr>
            <w:tcW w:w="927" w:type="dxa"/>
            <w:vAlign w:val="center"/>
          </w:tcPr>
          <w:p>
            <w:pPr>
              <w:spacing w:line="400" w:lineRule="exact"/>
              <w:ind w:firstLine="420" w:firstLineChars="200"/>
              <w:rPr>
                <w:szCs w:val="21"/>
              </w:rPr>
            </w:pPr>
          </w:p>
        </w:tc>
        <w:tc>
          <w:tcPr>
            <w:tcW w:w="1065" w:type="dxa"/>
            <w:vAlign w:val="center"/>
          </w:tcPr>
          <w:p>
            <w:pPr>
              <w:spacing w:line="400" w:lineRule="exact"/>
              <w:ind w:firstLine="420" w:firstLineChars="200"/>
              <w:rPr>
                <w:szCs w:val="21"/>
              </w:rPr>
            </w:pPr>
          </w:p>
        </w:tc>
        <w:tc>
          <w:tcPr>
            <w:tcW w:w="1141" w:type="dxa"/>
            <w:vAlign w:val="center"/>
          </w:tcPr>
          <w:p>
            <w:pPr>
              <w:spacing w:line="400" w:lineRule="exact"/>
              <w:ind w:firstLine="420" w:firstLineChars="200"/>
              <w:rPr>
                <w:szCs w:val="21"/>
              </w:rPr>
            </w:pPr>
          </w:p>
        </w:tc>
        <w:tc>
          <w:tcPr>
            <w:tcW w:w="1235" w:type="dxa"/>
            <w:vAlign w:val="center"/>
          </w:tcPr>
          <w:p>
            <w:pPr>
              <w:spacing w:line="400" w:lineRule="exact"/>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400" w:lineRule="exact"/>
              <w:jc w:val="center"/>
              <w:rPr>
                <w:szCs w:val="21"/>
              </w:rPr>
            </w:pPr>
            <w:r>
              <w:rPr>
                <w:szCs w:val="21"/>
              </w:rPr>
              <w:t>3</w:t>
            </w:r>
          </w:p>
        </w:tc>
        <w:tc>
          <w:tcPr>
            <w:tcW w:w="1182" w:type="dxa"/>
            <w:vAlign w:val="center"/>
          </w:tcPr>
          <w:p>
            <w:pPr>
              <w:spacing w:line="400" w:lineRule="exact"/>
              <w:ind w:firstLine="420" w:firstLineChars="200"/>
              <w:rPr>
                <w:szCs w:val="21"/>
              </w:rPr>
            </w:pPr>
          </w:p>
        </w:tc>
        <w:tc>
          <w:tcPr>
            <w:tcW w:w="1024" w:type="dxa"/>
            <w:vAlign w:val="center"/>
          </w:tcPr>
          <w:p>
            <w:pPr>
              <w:spacing w:line="400" w:lineRule="exact"/>
              <w:ind w:firstLine="420" w:firstLineChars="200"/>
              <w:rPr>
                <w:szCs w:val="21"/>
              </w:rPr>
            </w:pPr>
          </w:p>
        </w:tc>
        <w:tc>
          <w:tcPr>
            <w:tcW w:w="1025" w:type="dxa"/>
            <w:vAlign w:val="center"/>
          </w:tcPr>
          <w:p>
            <w:pPr>
              <w:spacing w:line="400" w:lineRule="exact"/>
              <w:ind w:firstLine="420" w:firstLineChars="200"/>
              <w:rPr>
                <w:szCs w:val="21"/>
              </w:rPr>
            </w:pPr>
          </w:p>
        </w:tc>
        <w:tc>
          <w:tcPr>
            <w:tcW w:w="927" w:type="dxa"/>
            <w:vAlign w:val="center"/>
          </w:tcPr>
          <w:p>
            <w:pPr>
              <w:spacing w:line="400" w:lineRule="exact"/>
              <w:ind w:firstLine="420" w:firstLineChars="200"/>
              <w:rPr>
                <w:szCs w:val="21"/>
              </w:rPr>
            </w:pPr>
          </w:p>
        </w:tc>
        <w:tc>
          <w:tcPr>
            <w:tcW w:w="1065" w:type="dxa"/>
            <w:vAlign w:val="center"/>
          </w:tcPr>
          <w:p>
            <w:pPr>
              <w:spacing w:line="400" w:lineRule="exact"/>
              <w:ind w:firstLine="420" w:firstLineChars="200"/>
              <w:rPr>
                <w:szCs w:val="21"/>
              </w:rPr>
            </w:pPr>
          </w:p>
        </w:tc>
        <w:tc>
          <w:tcPr>
            <w:tcW w:w="1141" w:type="dxa"/>
            <w:vAlign w:val="center"/>
          </w:tcPr>
          <w:p>
            <w:pPr>
              <w:spacing w:line="400" w:lineRule="exact"/>
              <w:ind w:firstLine="420" w:firstLineChars="200"/>
              <w:rPr>
                <w:szCs w:val="21"/>
              </w:rPr>
            </w:pPr>
          </w:p>
        </w:tc>
        <w:tc>
          <w:tcPr>
            <w:tcW w:w="1235" w:type="dxa"/>
            <w:vAlign w:val="center"/>
          </w:tcPr>
          <w:p>
            <w:pPr>
              <w:spacing w:line="400" w:lineRule="exact"/>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400" w:lineRule="exact"/>
              <w:jc w:val="center"/>
              <w:rPr>
                <w:szCs w:val="21"/>
              </w:rPr>
            </w:pPr>
            <w:r>
              <w:rPr>
                <w:szCs w:val="21"/>
              </w:rPr>
              <w:t>…</w:t>
            </w:r>
          </w:p>
        </w:tc>
        <w:tc>
          <w:tcPr>
            <w:tcW w:w="1182" w:type="dxa"/>
            <w:vAlign w:val="center"/>
          </w:tcPr>
          <w:p>
            <w:pPr>
              <w:spacing w:line="400" w:lineRule="exact"/>
              <w:ind w:firstLine="420" w:firstLineChars="200"/>
              <w:rPr>
                <w:szCs w:val="21"/>
              </w:rPr>
            </w:pPr>
          </w:p>
        </w:tc>
        <w:tc>
          <w:tcPr>
            <w:tcW w:w="1024" w:type="dxa"/>
            <w:vAlign w:val="center"/>
          </w:tcPr>
          <w:p>
            <w:pPr>
              <w:spacing w:line="400" w:lineRule="exact"/>
              <w:ind w:firstLine="420" w:firstLineChars="200"/>
              <w:rPr>
                <w:szCs w:val="21"/>
              </w:rPr>
            </w:pPr>
          </w:p>
        </w:tc>
        <w:tc>
          <w:tcPr>
            <w:tcW w:w="1025" w:type="dxa"/>
            <w:vAlign w:val="center"/>
          </w:tcPr>
          <w:p>
            <w:pPr>
              <w:spacing w:line="400" w:lineRule="exact"/>
              <w:ind w:firstLine="420" w:firstLineChars="200"/>
              <w:rPr>
                <w:szCs w:val="21"/>
              </w:rPr>
            </w:pPr>
          </w:p>
        </w:tc>
        <w:tc>
          <w:tcPr>
            <w:tcW w:w="927" w:type="dxa"/>
            <w:vAlign w:val="center"/>
          </w:tcPr>
          <w:p>
            <w:pPr>
              <w:spacing w:line="400" w:lineRule="exact"/>
              <w:ind w:firstLine="420" w:firstLineChars="200"/>
              <w:rPr>
                <w:szCs w:val="21"/>
              </w:rPr>
            </w:pPr>
          </w:p>
        </w:tc>
        <w:tc>
          <w:tcPr>
            <w:tcW w:w="1065" w:type="dxa"/>
            <w:vAlign w:val="center"/>
          </w:tcPr>
          <w:p>
            <w:pPr>
              <w:spacing w:line="400" w:lineRule="exact"/>
              <w:ind w:firstLine="420" w:firstLineChars="200"/>
              <w:rPr>
                <w:szCs w:val="21"/>
              </w:rPr>
            </w:pPr>
          </w:p>
        </w:tc>
        <w:tc>
          <w:tcPr>
            <w:tcW w:w="1141" w:type="dxa"/>
            <w:vAlign w:val="center"/>
          </w:tcPr>
          <w:p>
            <w:pPr>
              <w:spacing w:line="400" w:lineRule="exact"/>
              <w:ind w:firstLine="420" w:firstLineChars="200"/>
              <w:rPr>
                <w:szCs w:val="21"/>
              </w:rPr>
            </w:pPr>
          </w:p>
        </w:tc>
        <w:tc>
          <w:tcPr>
            <w:tcW w:w="1235" w:type="dxa"/>
            <w:vAlign w:val="center"/>
          </w:tcPr>
          <w:p>
            <w:pPr>
              <w:spacing w:line="400" w:lineRule="exact"/>
              <w:ind w:firstLine="420" w:firstLineChars="200"/>
              <w:rPr>
                <w:szCs w:val="21"/>
              </w:rPr>
            </w:pPr>
          </w:p>
        </w:tc>
      </w:tr>
    </w:tbl>
    <w:p>
      <w:pPr>
        <w:pStyle w:val="3"/>
        <w:spacing w:before="120" w:beforeLines="50" w:after="120" w:afterLines="50" w:line="440" w:lineRule="exact"/>
        <w:jc w:val="left"/>
        <w:rPr>
          <w:rFonts w:ascii="Times New Roman" w:hAnsi="Times New Roman"/>
          <w:sz w:val="28"/>
          <w:szCs w:val="28"/>
        </w:rPr>
      </w:pPr>
      <w:bookmarkStart w:id="315" w:name="_Toc62572838"/>
      <w:bookmarkStart w:id="316" w:name="_Toc225409908"/>
      <w:bookmarkStart w:id="317" w:name="_Toc225412316"/>
      <w:bookmarkStart w:id="318" w:name="_Toc225415601"/>
      <w:bookmarkStart w:id="319" w:name="_Toc225416003"/>
      <w:bookmarkStart w:id="320" w:name="_Toc225410750"/>
      <w:bookmarkStart w:id="321" w:name="_Toc225410124"/>
      <w:bookmarkStart w:id="322" w:name="_Toc225415802"/>
      <w:bookmarkStart w:id="323" w:name="_Toc225412114"/>
      <w:r>
        <w:rPr>
          <w:rFonts w:ascii="Times New Roman" w:hAnsi="Times New Roman"/>
          <w:sz w:val="28"/>
          <w:szCs w:val="28"/>
        </w:rPr>
        <w:t>2. 委托人义务</w:t>
      </w:r>
      <w:bookmarkEnd w:id="315"/>
    </w:p>
    <w:p>
      <w:pPr>
        <w:pStyle w:val="4"/>
        <w:spacing w:before="0" w:after="0" w:line="440" w:lineRule="exact"/>
        <w:rPr>
          <w:rFonts w:eastAsia="黑体"/>
          <w:b w:val="0"/>
          <w:sz w:val="28"/>
          <w:szCs w:val="28"/>
        </w:rPr>
      </w:pPr>
      <w:bookmarkStart w:id="324" w:name="_Toc62572839"/>
      <w:r>
        <w:rPr>
          <w:rFonts w:eastAsia="黑体"/>
          <w:b w:val="0"/>
          <w:sz w:val="28"/>
          <w:szCs w:val="28"/>
        </w:rPr>
        <w:t>2.6其他义务</w:t>
      </w:r>
      <w:bookmarkEnd w:id="324"/>
    </w:p>
    <w:p>
      <w:pPr>
        <w:adjustRightInd w:val="0"/>
        <w:snapToGrid w:val="0"/>
        <w:spacing w:line="440" w:lineRule="exact"/>
        <w:ind w:firstLine="420" w:firstLineChars="200"/>
        <w:rPr>
          <w:szCs w:val="21"/>
        </w:rPr>
      </w:pPr>
      <w:r>
        <w:rPr>
          <w:szCs w:val="21"/>
          <w:u w:val="single"/>
        </w:rPr>
        <w:t xml:space="preserve">                                                                        </w:t>
      </w:r>
      <w:r>
        <w:rPr>
          <w:szCs w:val="21"/>
        </w:rPr>
        <w:t>。</w:t>
      </w:r>
    </w:p>
    <w:p>
      <w:pPr>
        <w:pStyle w:val="3"/>
        <w:spacing w:before="120" w:beforeLines="50" w:after="120" w:afterLines="50" w:line="440" w:lineRule="exact"/>
        <w:jc w:val="left"/>
        <w:rPr>
          <w:rFonts w:ascii="Times New Roman" w:hAnsi="Times New Roman"/>
          <w:sz w:val="28"/>
          <w:szCs w:val="28"/>
        </w:rPr>
      </w:pPr>
      <w:bookmarkStart w:id="325" w:name="_Toc62572840"/>
      <w:r>
        <w:rPr>
          <w:rFonts w:ascii="Times New Roman" w:hAnsi="Times New Roman"/>
          <w:sz w:val="28"/>
          <w:szCs w:val="28"/>
        </w:rPr>
        <w:t>3. 委托人管理</w:t>
      </w:r>
      <w:bookmarkEnd w:id="325"/>
    </w:p>
    <w:p>
      <w:pPr>
        <w:adjustRightInd w:val="0"/>
        <w:snapToGrid w:val="0"/>
        <w:spacing w:line="440" w:lineRule="exact"/>
        <w:ind w:firstLine="444" w:firstLineChars="200"/>
        <w:rPr>
          <w:spacing w:val="6"/>
          <w:szCs w:val="21"/>
        </w:rPr>
      </w:pPr>
      <w:r>
        <w:rPr>
          <w:spacing w:val="6"/>
          <w:szCs w:val="21"/>
        </w:rPr>
        <w:t xml:space="preserve">3.1.4款增加 </w:t>
      </w:r>
    </w:p>
    <w:p>
      <w:pPr>
        <w:adjustRightInd w:val="0"/>
        <w:snapToGrid w:val="0"/>
        <w:spacing w:line="440" w:lineRule="exact"/>
        <w:ind w:firstLine="444" w:firstLineChars="200"/>
        <w:rPr>
          <w:spacing w:val="6"/>
          <w:szCs w:val="21"/>
        </w:rPr>
      </w:pPr>
      <w:r>
        <w:rPr>
          <w:spacing w:val="6"/>
          <w:szCs w:val="21"/>
        </w:rPr>
        <w:t>委托人代表为：</w:t>
      </w:r>
      <w:r>
        <w:rPr>
          <w:spacing w:val="6"/>
          <w:szCs w:val="21"/>
          <w:u w:val="single"/>
        </w:rPr>
        <w:t xml:space="preserve">               </w:t>
      </w:r>
      <w:r>
        <w:rPr>
          <w:spacing w:val="6"/>
          <w:szCs w:val="21"/>
        </w:rPr>
        <w:t>；委托人代表电话为：</w:t>
      </w:r>
      <w:r>
        <w:rPr>
          <w:spacing w:val="6"/>
          <w:szCs w:val="21"/>
          <w:u w:val="single"/>
        </w:rPr>
        <w:t xml:space="preserve">                  </w:t>
      </w:r>
      <w:r>
        <w:rPr>
          <w:spacing w:val="6"/>
          <w:szCs w:val="21"/>
        </w:rPr>
        <w:t>。</w:t>
      </w:r>
    </w:p>
    <w:p>
      <w:pPr>
        <w:adjustRightInd w:val="0"/>
        <w:snapToGrid w:val="0"/>
        <w:spacing w:line="440" w:lineRule="exact"/>
        <w:ind w:firstLine="444" w:firstLineChars="200"/>
        <w:rPr>
          <w:spacing w:val="6"/>
          <w:szCs w:val="21"/>
        </w:rPr>
      </w:pPr>
      <w:r>
        <w:rPr>
          <w:spacing w:val="6"/>
          <w:szCs w:val="21"/>
        </w:rPr>
        <w:t>3.3.2款补充</w:t>
      </w:r>
    </w:p>
    <w:p>
      <w:pPr>
        <w:adjustRightInd w:val="0"/>
        <w:snapToGrid w:val="0"/>
        <w:spacing w:line="440" w:lineRule="exact"/>
        <w:ind w:firstLine="444" w:firstLineChars="200"/>
        <w:rPr>
          <w:spacing w:val="6"/>
          <w:szCs w:val="21"/>
        </w:rPr>
      </w:pPr>
      <w:r>
        <w:rPr>
          <w:spacing w:val="6"/>
          <w:szCs w:val="21"/>
        </w:rPr>
        <w:t>书面答复监理人的时间为：</w:t>
      </w:r>
      <w:r>
        <w:rPr>
          <w:spacing w:val="6"/>
          <w:szCs w:val="21"/>
          <w:u w:val="single"/>
        </w:rPr>
        <w:t xml:space="preserve">         </w:t>
      </w:r>
      <w:r>
        <w:rPr>
          <w:spacing w:val="6"/>
          <w:szCs w:val="21"/>
        </w:rPr>
        <w:t>日。</w:t>
      </w:r>
    </w:p>
    <w:bookmarkEnd w:id="316"/>
    <w:bookmarkEnd w:id="317"/>
    <w:bookmarkEnd w:id="318"/>
    <w:bookmarkEnd w:id="319"/>
    <w:bookmarkEnd w:id="320"/>
    <w:bookmarkEnd w:id="321"/>
    <w:bookmarkEnd w:id="322"/>
    <w:bookmarkEnd w:id="323"/>
    <w:p>
      <w:pPr>
        <w:pStyle w:val="3"/>
        <w:spacing w:before="120" w:beforeLines="50" w:after="120" w:afterLines="50" w:line="440" w:lineRule="exact"/>
        <w:jc w:val="left"/>
        <w:rPr>
          <w:rFonts w:ascii="Times New Roman" w:hAnsi="Times New Roman"/>
          <w:sz w:val="28"/>
          <w:szCs w:val="28"/>
        </w:rPr>
      </w:pPr>
      <w:bookmarkStart w:id="326" w:name="_Toc225409741"/>
      <w:bookmarkStart w:id="327" w:name="_Toc225410752"/>
      <w:bookmarkStart w:id="328" w:name="_Toc225566654"/>
      <w:bookmarkStart w:id="329" w:name="_Toc225409910"/>
      <w:bookmarkStart w:id="330" w:name="_Toc225409592"/>
      <w:bookmarkStart w:id="331" w:name="_Toc225396642"/>
      <w:bookmarkStart w:id="332" w:name="_Toc225410126"/>
      <w:bookmarkStart w:id="333" w:name="_Toc225415603"/>
      <w:bookmarkStart w:id="334" w:name="_Toc225411477"/>
      <w:bookmarkStart w:id="335" w:name="_Toc225566836"/>
      <w:bookmarkStart w:id="336" w:name="_Toc225415804"/>
      <w:bookmarkStart w:id="337" w:name="_Toc244342984"/>
      <w:bookmarkStart w:id="338" w:name="_Toc225412116"/>
      <w:bookmarkStart w:id="339" w:name="_Toc225567434"/>
      <w:bookmarkStart w:id="340" w:name="_Toc225416005"/>
      <w:bookmarkStart w:id="341" w:name="_Toc225411555"/>
      <w:bookmarkStart w:id="342" w:name="_Toc62572841"/>
      <w:bookmarkStart w:id="343" w:name="_Toc225412318"/>
      <w:r>
        <w:rPr>
          <w:rFonts w:ascii="Times New Roman" w:hAnsi="Times New Roman"/>
          <w:sz w:val="28"/>
          <w:szCs w:val="28"/>
        </w:rPr>
        <w:t>4. 监理人义务</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pStyle w:val="4"/>
        <w:spacing w:before="0" w:after="0" w:line="440" w:lineRule="exact"/>
        <w:rPr>
          <w:rFonts w:eastAsia="黑体"/>
          <w:b w:val="0"/>
          <w:sz w:val="28"/>
          <w:szCs w:val="28"/>
        </w:rPr>
      </w:pPr>
      <w:bookmarkStart w:id="344" w:name="_Toc225416006"/>
      <w:bookmarkStart w:id="345" w:name="_Toc225396643"/>
      <w:bookmarkStart w:id="346" w:name="_Toc225410127"/>
      <w:bookmarkStart w:id="347" w:name="_Toc225415604"/>
      <w:bookmarkStart w:id="348" w:name="_Toc62572842"/>
      <w:bookmarkStart w:id="349" w:name="_Toc225412117"/>
      <w:bookmarkStart w:id="350" w:name="_Toc225566837"/>
      <w:bookmarkStart w:id="351" w:name="_Toc225409911"/>
      <w:bookmarkStart w:id="352" w:name="_Toc225566655"/>
      <w:bookmarkStart w:id="353" w:name="_Toc225410753"/>
      <w:bookmarkStart w:id="354" w:name="_Toc225412319"/>
      <w:bookmarkStart w:id="355" w:name="_Toc225567435"/>
      <w:bookmarkStart w:id="356" w:name="_Toc225415805"/>
      <w:r>
        <w:rPr>
          <w:rFonts w:eastAsia="黑体"/>
          <w:b w:val="0"/>
          <w:sz w:val="28"/>
          <w:szCs w:val="28"/>
        </w:rPr>
        <w:t>4.1监理人的一般义务</w:t>
      </w:r>
      <w:bookmarkEnd w:id="344"/>
      <w:bookmarkEnd w:id="345"/>
      <w:bookmarkEnd w:id="346"/>
      <w:bookmarkEnd w:id="347"/>
      <w:bookmarkEnd w:id="348"/>
      <w:bookmarkEnd w:id="349"/>
      <w:bookmarkEnd w:id="350"/>
      <w:bookmarkEnd w:id="351"/>
      <w:bookmarkEnd w:id="352"/>
      <w:bookmarkEnd w:id="353"/>
      <w:bookmarkEnd w:id="354"/>
      <w:bookmarkEnd w:id="355"/>
      <w:bookmarkEnd w:id="356"/>
    </w:p>
    <w:p>
      <w:pPr>
        <w:spacing w:line="440" w:lineRule="exact"/>
        <w:ind w:firstLine="444" w:firstLineChars="200"/>
        <w:rPr>
          <w:spacing w:val="6"/>
          <w:szCs w:val="21"/>
        </w:rPr>
      </w:pPr>
      <w:r>
        <w:rPr>
          <w:spacing w:val="6"/>
          <w:szCs w:val="21"/>
        </w:rPr>
        <w:t>4.1.3款补充：</w:t>
      </w:r>
    </w:p>
    <w:p>
      <w:pPr>
        <w:spacing w:line="440" w:lineRule="exact"/>
        <w:ind w:firstLine="444" w:firstLineChars="200"/>
        <w:rPr>
          <w:spacing w:val="6"/>
          <w:szCs w:val="21"/>
        </w:rPr>
      </w:pPr>
      <w:r>
        <w:rPr>
          <w:spacing w:val="6"/>
          <w:szCs w:val="21"/>
        </w:rPr>
        <w:t>对委托人发出的违反国家法律法规或工程建设强制性标准的指令，有权拒绝执行，同时向委托人提出意见和建议，必要时可直接向有关监管部门报告。</w:t>
      </w:r>
    </w:p>
    <w:p>
      <w:pPr>
        <w:spacing w:line="440" w:lineRule="exact"/>
        <w:ind w:firstLine="444" w:firstLineChars="200"/>
        <w:rPr>
          <w:spacing w:val="6"/>
          <w:szCs w:val="21"/>
        </w:rPr>
      </w:pPr>
      <w:r>
        <w:rPr>
          <w:spacing w:val="6"/>
          <w:szCs w:val="21"/>
        </w:rPr>
        <w:t>4.1.4款补充</w:t>
      </w:r>
    </w:p>
    <w:p>
      <w:pPr>
        <w:spacing w:line="440" w:lineRule="exact"/>
        <w:ind w:firstLine="444" w:firstLineChars="200"/>
        <w:rPr>
          <w:spacing w:val="6"/>
          <w:szCs w:val="21"/>
        </w:rPr>
      </w:pPr>
      <w:r>
        <w:rPr>
          <w:spacing w:val="6"/>
          <w:szCs w:val="21"/>
        </w:rPr>
        <w:t>（1）监理人在履行本合同义务期间，应遵守监理职业道德准则和行为规范，严格按技术标准、设计文件和铁路建设标准化管理要求，实施监理。</w:t>
      </w:r>
    </w:p>
    <w:p>
      <w:pPr>
        <w:spacing w:line="440" w:lineRule="exact"/>
        <w:ind w:firstLine="444" w:firstLineChars="200"/>
        <w:rPr>
          <w:spacing w:val="6"/>
          <w:szCs w:val="21"/>
        </w:rPr>
      </w:pPr>
      <w:r>
        <w:rPr>
          <w:spacing w:val="6"/>
          <w:szCs w:val="21"/>
        </w:rPr>
        <w:t>（2）监理人应按合同约定和标准化管理要求组建满足工程监理及相关服务工作需要的项目监理机构，在施工现场建立以总监理工程师、监理工程师、监理员各负其责的工程监理体系，配足测量、试验人员及检测仪器、设备，交通、通讯工具及办公、生活设施，并设立现场试验室，确保工作、生活独立。</w:t>
      </w:r>
    </w:p>
    <w:p>
      <w:pPr>
        <w:spacing w:line="440" w:lineRule="exact"/>
        <w:ind w:firstLine="444" w:firstLineChars="200"/>
        <w:rPr>
          <w:spacing w:val="6"/>
          <w:szCs w:val="21"/>
        </w:rPr>
      </w:pPr>
      <w:r>
        <w:rPr>
          <w:spacing w:val="6"/>
          <w:szCs w:val="21"/>
        </w:rPr>
        <w:t>监理人应按照标准化管理的要求，制定现场监理机构的工作制度，明确工作内容、工作标准和岗位职责，实现监理人员配置标准化、现场监理标准化和过程控制标准化，提高监理工作质量，促进工程质量的提高。</w:t>
      </w:r>
    </w:p>
    <w:p>
      <w:pPr>
        <w:spacing w:line="440" w:lineRule="exact"/>
        <w:ind w:firstLine="444" w:firstLineChars="200"/>
        <w:rPr>
          <w:spacing w:val="6"/>
          <w:szCs w:val="21"/>
        </w:rPr>
      </w:pPr>
      <w:r>
        <w:rPr>
          <w:spacing w:val="6"/>
          <w:szCs w:val="21"/>
        </w:rPr>
        <w:t>（3）监理人在决定重大问题时，应事先征得委托人同意。事先征得委托人的重大问题：</w:t>
      </w:r>
      <w:r>
        <w:rPr>
          <w:spacing w:val="6"/>
          <w:szCs w:val="21"/>
          <w:u w:val="single"/>
        </w:rPr>
        <w:t xml:space="preserve">                 </w:t>
      </w:r>
      <w:r>
        <w:rPr>
          <w:spacing w:val="6"/>
          <w:szCs w:val="21"/>
        </w:rPr>
        <w:t>。</w:t>
      </w:r>
    </w:p>
    <w:p>
      <w:pPr>
        <w:spacing w:line="440" w:lineRule="exact"/>
        <w:ind w:firstLine="444" w:firstLineChars="200"/>
        <w:rPr>
          <w:spacing w:val="6"/>
          <w:szCs w:val="21"/>
        </w:rPr>
      </w:pPr>
      <w:r>
        <w:rPr>
          <w:spacing w:val="6"/>
          <w:szCs w:val="21"/>
        </w:rPr>
        <w:t>（4）在委托服务范围内，委托人和承包人提出的意见和要求，监理人应及时拟定处置意见，再与委托人、承包人协商确定。</w:t>
      </w:r>
    </w:p>
    <w:p>
      <w:pPr>
        <w:spacing w:line="440" w:lineRule="exact"/>
        <w:ind w:firstLine="444" w:firstLineChars="200"/>
        <w:rPr>
          <w:spacing w:val="6"/>
          <w:szCs w:val="21"/>
        </w:rPr>
      </w:pPr>
      <w:r>
        <w:rPr>
          <w:spacing w:val="6"/>
          <w:szCs w:val="21"/>
        </w:rPr>
        <w:t>（5）当委托人与承包人的争议由行业建设主管部门或仲裁机关进行调解和仲裁时，监理人应当提供事实材料。</w:t>
      </w:r>
    </w:p>
    <w:p>
      <w:pPr>
        <w:spacing w:line="440" w:lineRule="exact"/>
        <w:ind w:firstLine="444" w:firstLineChars="200"/>
        <w:rPr>
          <w:spacing w:val="6"/>
          <w:szCs w:val="21"/>
        </w:rPr>
      </w:pPr>
      <w:r>
        <w:rPr>
          <w:spacing w:val="6"/>
          <w:szCs w:val="21"/>
        </w:rPr>
        <w:t>（6）在合同服务期内，监理人应在现场保留工作所用的图纸、技术规范、报告及记录监理服务工作的相关文件。工程竣工后，应按照档案管理规定将监理服务有关文件归档。</w:t>
      </w:r>
    </w:p>
    <w:p>
      <w:pPr>
        <w:spacing w:line="440" w:lineRule="exact"/>
        <w:ind w:firstLine="444" w:firstLineChars="200"/>
        <w:rPr>
          <w:spacing w:val="6"/>
          <w:szCs w:val="21"/>
        </w:rPr>
      </w:pPr>
      <w:r>
        <w:rPr>
          <w:spacing w:val="6"/>
          <w:szCs w:val="21"/>
        </w:rPr>
        <w:t>（7）监理人应接受委托人组织的信用评价、激励约束考核等工作。</w:t>
      </w:r>
    </w:p>
    <w:p>
      <w:pPr>
        <w:spacing w:line="440" w:lineRule="exact"/>
        <w:ind w:firstLine="444" w:firstLineChars="200"/>
        <w:rPr>
          <w:spacing w:val="6"/>
          <w:szCs w:val="21"/>
        </w:rPr>
      </w:pPr>
      <w:r>
        <w:rPr>
          <w:spacing w:val="6"/>
          <w:szCs w:val="21"/>
        </w:rPr>
        <w:t>（8）监理人所监理建设项目如发生工程质量安全事故、因工程建设引起铁路交通事故、严重质量问题、重大稳定事件或监理人发生重大违约行为的，除按国家有关规定处理外，需接受按国铁集团规定作出的限制参加铁路大中型建设项目投标的处理。</w:t>
      </w:r>
    </w:p>
    <w:p>
      <w:pPr>
        <w:spacing w:line="440" w:lineRule="exact"/>
        <w:ind w:firstLine="444" w:firstLineChars="200"/>
        <w:rPr>
          <w:spacing w:val="6"/>
          <w:szCs w:val="21"/>
        </w:rPr>
      </w:pPr>
      <w:r>
        <w:rPr>
          <w:spacing w:val="6"/>
          <w:szCs w:val="21"/>
        </w:rPr>
        <w:t>（9）监理人不按投标承诺要求配备上场人员，或上场后随意更换监理人员，或监理人员不能胜任岗位要求、严重违反职业道德的，委托人将按照11.1款进行违约处理。</w:t>
      </w:r>
    </w:p>
    <w:p>
      <w:pPr>
        <w:spacing w:line="440" w:lineRule="exact"/>
        <w:ind w:firstLine="444" w:firstLineChars="200"/>
        <w:rPr>
          <w:spacing w:val="6"/>
          <w:szCs w:val="21"/>
        </w:rPr>
      </w:pPr>
      <w:r>
        <w:rPr>
          <w:spacing w:val="6"/>
          <w:szCs w:val="21"/>
        </w:rPr>
        <w:t>（10）监理规划应按照铁路建设标准化管理的要求，针对工程项目的实际情况编制，明确项目监理机构的工作目标、工作要求，确定具体的工作制度、程序、方法和措施。监理规划的内容应符合监理规范的有关要求。监理人应在第一次工地例会7日前将监理规划报委托人。</w:t>
      </w:r>
    </w:p>
    <w:p>
      <w:pPr>
        <w:spacing w:line="440" w:lineRule="exact"/>
        <w:ind w:firstLine="444" w:firstLineChars="200"/>
        <w:rPr>
          <w:spacing w:val="6"/>
          <w:szCs w:val="21"/>
        </w:rPr>
      </w:pPr>
      <w:r>
        <w:rPr>
          <w:spacing w:val="6"/>
          <w:szCs w:val="21"/>
        </w:rPr>
        <w:t>（11）监理人应承担的其他义务：</w:t>
      </w:r>
      <w:r>
        <w:rPr>
          <w:spacing w:val="6"/>
          <w:szCs w:val="21"/>
          <w:u w:val="single"/>
        </w:rPr>
        <w:t xml:space="preserve">                                    </w:t>
      </w:r>
      <w:r>
        <w:rPr>
          <w:spacing w:val="6"/>
          <w:szCs w:val="21"/>
        </w:rPr>
        <w:t>。</w:t>
      </w:r>
    </w:p>
    <w:p>
      <w:pPr>
        <w:pStyle w:val="4"/>
        <w:spacing w:before="0" w:after="0" w:line="440" w:lineRule="exact"/>
        <w:rPr>
          <w:rFonts w:eastAsia="黑体"/>
          <w:b w:val="0"/>
          <w:sz w:val="28"/>
          <w:szCs w:val="28"/>
        </w:rPr>
      </w:pPr>
      <w:bookmarkStart w:id="357" w:name="_Toc62572843"/>
      <w:r>
        <w:rPr>
          <w:rFonts w:eastAsia="黑体"/>
          <w:b w:val="0"/>
          <w:sz w:val="28"/>
          <w:szCs w:val="28"/>
        </w:rPr>
        <w:t>4.2 履约保证金补充</w:t>
      </w:r>
      <w:bookmarkEnd w:id="357"/>
    </w:p>
    <w:p>
      <w:pPr>
        <w:autoSpaceDE w:val="0"/>
        <w:autoSpaceDN w:val="0"/>
        <w:adjustRightInd w:val="0"/>
        <w:snapToGrid w:val="0"/>
        <w:spacing w:line="440" w:lineRule="exact"/>
        <w:ind w:firstLine="420" w:firstLineChars="200"/>
        <w:rPr>
          <w:bCs/>
          <w:kern w:val="20"/>
          <w:szCs w:val="21"/>
        </w:rPr>
      </w:pPr>
      <w:r>
        <w:rPr>
          <w:bCs/>
          <w:kern w:val="20"/>
          <w:szCs w:val="21"/>
        </w:rPr>
        <w:t>履约保证金担保的形式：</w:t>
      </w:r>
      <w:r>
        <w:rPr>
          <w:bCs/>
          <w:kern w:val="20"/>
          <w:szCs w:val="21"/>
          <w:u w:val="single"/>
        </w:rPr>
        <w:t xml:space="preserve">                </w:t>
      </w:r>
      <w:r>
        <w:rPr>
          <w:bCs/>
          <w:kern w:val="20"/>
          <w:szCs w:val="21"/>
        </w:rPr>
        <w:t>；</w:t>
      </w:r>
    </w:p>
    <w:p>
      <w:pPr>
        <w:autoSpaceDE w:val="0"/>
        <w:autoSpaceDN w:val="0"/>
        <w:adjustRightInd w:val="0"/>
        <w:snapToGrid w:val="0"/>
        <w:spacing w:line="440" w:lineRule="exact"/>
        <w:ind w:firstLine="420" w:firstLineChars="200"/>
        <w:rPr>
          <w:bCs/>
          <w:kern w:val="20"/>
          <w:szCs w:val="21"/>
        </w:rPr>
      </w:pPr>
      <w:r>
        <w:rPr>
          <w:bCs/>
          <w:kern w:val="20"/>
          <w:szCs w:val="21"/>
        </w:rPr>
        <w:t>履约保证金担保的币种：</w:t>
      </w:r>
      <w:r>
        <w:rPr>
          <w:bCs/>
          <w:kern w:val="20"/>
          <w:szCs w:val="21"/>
          <w:u w:val="single"/>
        </w:rPr>
        <w:t xml:space="preserve">                </w:t>
      </w:r>
      <w:r>
        <w:rPr>
          <w:bCs/>
          <w:kern w:val="20"/>
          <w:szCs w:val="21"/>
        </w:rPr>
        <w:t>；</w:t>
      </w:r>
    </w:p>
    <w:p>
      <w:pPr>
        <w:autoSpaceDE w:val="0"/>
        <w:autoSpaceDN w:val="0"/>
        <w:adjustRightInd w:val="0"/>
        <w:snapToGrid w:val="0"/>
        <w:spacing w:line="440" w:lineRule="exact"/>
        <w:ind w:firstLine="420" w:firstLineChars="200"/>
        <w:rPr>
          <w:bCs/>
          <w:kern w:val="20"/>
          <w:szCs w:val="21"/>
        </w:rPr>
      </w:pPr>
      <w:r>
        <w:rPr>
          <w:bCs/>
          <w:kern w:val="20"/>
          <w:szCs w:val="21"/>
        </w:rPr>
        <w:t>履约保证金担保额度：中标金额的10%；</w:t>
      </w:r>
    </w:p>
    <w:p>
      <w:pPr>
        <w:autoSpaceDE w:val="0"/>
        <w:autoSpaceDN w:val="0"/>
        <w:adjustRightInd w:val="0"/>
        <w:snapToGrid w:val="0"/>
        <w:spacing w:line="440" w:lineRule="exact"/>
        <w:ind w:firstLine="420" w:firstLineChars="200"/>
        <w:rPr>
          <w:bCs/>
          <w:kern w:val="20"/>
          <w:szCs w:val="21"/>
        </w:rPr>
      </w:pPr>
      <w:r>
        <w:rPr>
          <w:bCs/>
          <w:kern w:val="20"/>
          <w:szCs w:val="21"/>
        </w:rPr>
        <w:t>履约保证金或开具履约保函的银行要求：</w:t>
      </w:r>
      <w:r>
        <w:rPr>
          <w:bCs/>
          <w:kern w:val="20"/>
          <w:szCs w:val="21"/>
          <w:u w:val="single"/>
        </w:rPr>
        <w:t xml:space="preserve">                                 </w:t>
      </w:r>
      <w:r>
        <w:rPr>
          <w:bCs/>
          <w:kern w:val="20"/>
          <w:szCs w:val="21"/>
        </w:rPr>
        <w:t>。</w:t>
      </w:r>
    </w:p>
    <w:p>
      <w:pPr>
        <w:spacing w:line="440" w:lineRule="exact"/>
        <w:ind w:firstLine="420" w:firstLineChars="200"/>
        <w:rPr>
          <w:bCs/>
          <w:kern w:val="20"/>
          <w:szCs w:val="21"/>
        </w:rPr>
      </w:pPr>
      <w:r>
        <w:rPr>
          <w:bCs/>
          <w:kern w:val="20"/>
          <w:szCs w:val="21"/>
        </w:rPr>
        <w:t>监理人应保证其履约担保在委托人初步验收前一直有效。委托人应在通过初步验收后28日内把履约担保退还给监理人。</w:t>
      </w:r>
    </w:p>
    <w:p>
      <w:pPr>
        <w:pStyle w:val="4"/>
        <w:spacing w:before="0" w:after="0" w:line="440" w:lineRule="exact"/>
        <w:rPr>
          <w:rFonts w:eastAsia="黑体"/>
          <w:b w:val="0"/>
          <w:sz w:val="28"/>
          <w:szCs w:val="28"/>
        </w:rPr>
      </w:pPr>
      <w:bookmarkStart w:id="358" w:name="_Toc62572844"/>
      <w:r>
        <w:rPr>
          <w:rFonts w:eastAsia="黑体"/>
          <w:b w:val="0"/>
          <w:sz w:val="28"/>
          <w:szCs w:val="28"/>
        </w:rPr>
        <w:t>4.4 总监理工程师</w:t>
      </w:r>
      <w:bookmarkEnd w:id="358"/>
    </w:p>
    <w:p>
      <w:pPr>
        <w:spacing w:line="440" w:lineRule="exact"/>
        <w:ind w:firstLine="420" w:firstLineChars="200"/>
        <w:rPr>
          <w:bCs/>
          <w:kern w:val="20"/>
          <w:szCs w:val="21"/>
        </w:rPr>
      </w:pPr>
      <w:r>
        <w:rPr>
          <w:bCs/>
          <w:kern w:val="20"/>
          <w:szCs w:val="21"/>
        </w:rPr>
        <w:t>4.4.5总监理工程师不应将下列工作委托副总监理工程师或其他人员：</w:t>
      </w:r>
    </w:p>
    <w:p>
      <w:pPr>
        <w:spacing w:line="440" w:lineRule="exact"/>
        <w:ind w:firstLine="444" w:firstLineChars="200"/>
        <w:rPr>
          <w:spacing w:val="6"/>
          <w:szCs w:val="21"/>
        </w:rPr>
      </w:pPr>
      <w:r>
        <w:rPr>
          <w:spacing w:val="6"/>
          <w:szCs w:val="21"/>
        </w:rPr>
        <w:t>（1）组织编制项目监理规划，审批项目监理实施细则。</w:t>
      </w:r>
    </w:p>
    <w:p>
      <w:pPr>
        <w:spacing w:line="440" w:lineRule="exact"/>
        <w:ind w:left="420" w:leftChars="200"/>
        <w:rPr>
          <w:spacing w:val="6"/>
          <w:szCs w:val="21"/>
        </w:rPr>
      </w:pPr>
      <w:r>
        <w:rPr>
          <w:spacing w:val="6"/>
          <w:szCs w:val="21"/>
        </w:rPr>
        <w:t>（2）根据工程进展情况调配专业监理工程师和监理员。</w:t>
      </w:r>
    </w:p>
    <w:p>
      <w:pPr>
        <w:spacing w:line="440" w:lineRule="exact"/>
        <w:ind w:left="420" w:leftChars="200"/>
        <w:rPr>
          <w:spacing w:val="6"/>
          <w:szCs w:val="21"/>
        </w:rPr>
      </w:pPr>
      <w:r>
        <w:rPr>
          <w:spacing w:val="6"/>
          <w:szCs w:val="21"/>
        </w:rPr>
        <w:t>（3）组织审核施工组织设计、开工报告、关键工程施工技术方案、总进度计划。</w:t>
      </w:r>
    </w:p>
    <w:p>
      <w:pPr>
        <w:spacing w:line="440" w:lineRule="exact"/>
        <w:ind w:left="420" w:leftChars="200"/>
        <w:rPr>
          <w:spacing w:val="6"/>
          <w:szCs w:val="21"/>
        </w:rPr>
      </w:pPr>
      <w:r>
        <w:rPr>
          <w:spacing w:val="6"/>
          <w:szCs w:val="21"/>
        </w:rPr>
        <w:t>（4）签发工程暂停/复工令、签署验工计价表、工程付款凭证、工程竣工报验单，审核签署竣工结算凭证。</w:t>
      </w:r>
    </w:p>
    <w:p>
      <w:pPr>
        <w:spacing w:line="440" w:lineRule="exact"/>
        <w:ind w:left="420" w:leftChars="200"/>
        <w:rPr>
          <w:spacing w:val="6"/>
          <w:szCs w:val="21"/>
        </w:rPr>
      </w:pPr>
      <w:r>
        <w:rPr>
          <w:spacing w:val="6"/>
          <w:szCs w:val="21"/>
        </w:rPr>
        <w:t>（5）对索赔、工程延期提出处理意见。</w:t>
      </w:r>
    </w:p>
    <w:p>
      <w:pPr>
        <w:spacing w:line="440" w:lineRule="exact"/>
        <w:ind w:left="420" w:leftChars="200"/>
        <w:rPr>
          <w:spacing w:val="6"/>
          <w:szCs w:val="21"/>
        </w:rPr>
      </w:pPr>
      <w:r>
        <w:rPr>
          <w:spacing w:val="6"/>
          <w:szCs w:val="21"/>
        </w:rPr>
        <w:t>（6）签发监理月报、工程质量评估报告和项目监理工作总结。；</w:t>
      </w:r>
    </w:p>
    <w:p>
      <w:pPr>
        <w:spacing w:line="440" w:lineRule="exact"/>
        <w:ind w:left="420" w:leftChars="200"/>
        <w:rPr>
          <w:spacing w:val="6"/>
          <w:szCs w:val="21"/>
        </w:rPr>
      </w:pPr>
      <w:r>
        <w:rPr>
          <w:spacing w:val="6"/>
          <w:szCs w:val="21"/>
        </w:rPr>
        <w:t>（7）审查承包单位的竣工申请，组织单位工程竣工预验收，组织编写工程质量评估报告，参与工程竣工验收；</w:t>
      </w:r>
    </w:p>
    <w:p>
      <w:pPr>
        <w:spacing w:line="440" w:lineRule="exact"/>
        <w:ind w:left="420" w:leftChars="200"/>
        <w:rPr>
          <w:bCs/>
          <w:kern w:val="20"/>
          <w:szCs w:val="21"/>
        </w:rPr>
      </w:pPr>
      <w:r>
        <w:rPr>
          <w:spacing w:val="6"/>
          <w:szCs w:val="21"/>
        </w:rPr>
        <w:t>（8）参与或配合工程质量事故或安全事故的调查和处理。</w:t>
      </w:r>
    </w:p>
    <w:p>
      <w:pPr>
        <w:pStyle w:val="4"/>
        <w:spacing w:before="0" w:after="0" w:line="440" w:lineRule="exact"/>
        <w:rPr>
          <w:rFonts w:eastAsia="黑体"/>
          <w:b w:val="0"/>
          <w:sz w:val="28"/>
          <w:szCs w:val="28"/>
        </w:rPr>
      </w:pPr>
      <w:bookmarkStart w:id="359" w:name="_Toc62572845"/>
      <w:r>
        <w:rPr>
          <w:rFonts w:eastAsia="黑体"/>
          <w:b w:val="0"/>
          <w:sz w:val="28"/>
          <w:szCs w:val="28"/>
        </w:rPr>
        <w:t>4.5监理人员的管理</w:t>
      </w:r>
      <w:bookmarkEnd w:id="359"/>
    </w:p>
    <w:p>
      <w:pPr>
        <w:spacing w:line="440" w:lineRule="exact"/>
        <w:ind w:firstLine="420" w:firstLineChars="200"/>
        <w:rPr>
          <w:szCs w:val="21"/>
        </w:rPr>
      </w:pPr>
      <w:r>
        <w:rPr>
          <w:szCs w:val="21"/>
        </w:rPr>
        <w:t>4.5.2主要监理人员包括总监理工程师、副总监理工程师、质量安全负责人、监理组长（分站长）、专业监理工程师、试验工程师、测量工程师；其他人员包括各专业监理员、资料员等。</w:t>
      </w:r>
    </w:p>
    <w:p>
      <w:pPr>
        <w:spacing w:line="440" w:lineRule="exact"/>
        <w:ind w:firstLine="420" w:firstLineChars="200"/>
        <w:rPr>
          <w:bCs/>
          <w:szCs w:val="21"/>
        </w:rPr>
      </w:pPr>
      <w:r>
        <w:rPr>
          <w:szCs w:val="21"/>
        </w:rPr>
        <w:t>4.5.5总监理工程师和监理人员一个评价期内个人扣分记分累计达到12分，建设单位予以清退，同时一年之内不得在国铁集团管理的铁路建设项目从事建设活动；一年之后方可参加铁路监理业务培训，取得培训合格证后才能上岗。一个评价期内个人扣分累计未达到12分的，记分分值予以消除，不转入下一评价期。</w:t>
      </w:r>
    </w:p>
    <w:p>
      <w:pPr>
        <w:spacing w:line="440" w:lineRule="exact"/>
        <w:ind w:firstLine="420" w:firstLineChars="200"/>
        <w:rPr>
          <w:kern w:val="20"/>
          <w:szCs w:val="21"/>
        </w:rPr>
      </w:pPr>
      <w:r>
        <w:rPr>
          <w:szCs w:val="21"/>
        </w:rPr>
        <w:t>4.5.6被纳入国铁集团“黑名单”的监理从业人员，自公布之日起停止工作，并立即清退出场。</w:t>
      </w:r>
    </w:p>
    <w:p>
      <w:pPr>
        <w:pStyle w:val="4"/>
        <w:spacing w:before="0" w:after="0" w:line="440" w:lineRule="exact"/>
        <w:rPr>
          <w:rFonts w:eastAsia="黑体"/>
          <w:b w:val="0"/>
          <w:sz w:val="28"/>
          <w:szCs w:val="28"/>
        </w:rPr>
      </w:pPr>
      <w:bookmarkStart w:id="360" w:name="_Toc62572846"/>
      <w:bookmarkStart w:id="361" w:name="_Toc225566839"/>
      <w:bookmarkStart w:id="362" w:name="_Toc225410755"/>
      <w:bookmarkStart w:id="363" w:name="_Toc225410129"/>
      <w:bookmarkStart w:id="364" w:name="_Toc225567438"/>
      <w:bookmarkStart w:id="365" w:name="_Toc225415606"/>
      <w:bookmarkStart w:id="366" w:name="_Toc225412321"/>
      <w:bookmarkStart w:id="367" w:name="_Toc225566657"/>
      <w:bookmarkStart w:id="368" w:name="_Toc225416008"/>
      <w:bookmarkStart w:id="369" w:name="_Toc225415807"/>
      <w:bookmarkStart w:id="370" w:name="_Toc225412119"/>
      <w:bookmarkStart w:id="371" w:name="_Toc225409913"/>
      <w:r>
        <w:rPr>
          <w:rFonts w:eastAsia="黑体"/>
          <w:b w:val="0"/>
          <w:sz w:val="28"/>
          <w:szCs w:val="28"/>
        </w:rPr>
        <w:t>4.6撤换总监理工程师和其他人员</w:t>
      </w:r>
      <w:bookmarkEnd w:id="360"/>
    </w:p>
    <w:p>
      <w:pPr>
        <w:spacing w:line="440" w:lineRule="exact"/>
        <w:ind w:firstLine="444" w:firstLineChars="200"/>
        <w:rPr>
          <w:spacing w:val="6"/>
          <w:szCs w:val="21"/>
        </w:rPr>
      </w:pPr>
      <w:r>
        <w:rPr>
          <w:spacing w:val="6"/>
          <w:szCs w:val="21"/>
        </w:rPr>
        <w:t>本条增加：</w:t>
      </w:r>
    </w:p>
    <w:p>
      <w:pPr>
        <w:spacing w:line="440" w:lineRule="exact"/>
        <w:ind w:firstLine="444" w:firstLineChars="200"/>
        <w:rPr>
          <w:spacing w:val="6"/>
          <w:szCs w:val="21"/>
        </w:rPr>
      </w:pPr>
      <w:r>
        <w:rPr>
          <w:spacing w:val="6"/>
          <w:szCs w:val="21"/>
        </w:rPr>
        <w:t>4.6.1监理人员存在以下情况之一，监理人应及时更换：</w:t>
      </w:r>
    </w:p>
    <w:p>
      <w:pPr>
        <w:spacing w:line="440" w:lineRule="exact"/>
        <w:ind w:firstLine="444" w:firstLineChars="200"/>
        <w:rPr>
          <w:spacing w:val="6"/>
          <w:szCs w:val="21"/>
        </w:rPr>
      </w:pPr>
      <w:r>
        <w:rPr>
          <w:spacing w:val="6"/>
          <w:szCs w:val="21"/>
        </w:rPr>
        <w:t>（1）严重过失行为；</w:t>
      </w:r>
    </w:p>
    <w:p>
      <w:pPr>
        <w:spacing w:line="440" w:lineRule="exact"/>
        <w:ind w:firstLine="444" w:firstLineChars="200"/>
        <w:rPr>
          <w:spacing w:val="6"/>
          <w:szCs w:val="21"/>
        </w:rPr>
      </w:pPr>
      <w:r>
        <w:rPr>
          <w:spacing w:val="6"/>
          <w:szCs w:val="21"/>
        </w:rPr>
        <w:t>（2）违法或涉嫌犯罪；</w:t>
      </w:r>
    </w:p>
    <w:p>
      <w:pPr>
        <w:spacing w:line="440" w:lineRule="exact"/>
        <w:ind w:firstLine="444" w:firstLineChars="200"/>
        <w:rPr>
          <w:spacing w:val="6"/>
          <w:szCs w:val="21"/>
        </w:rPr>
      </w:pPr>
      <w:r>
        <w:rPr>
          <w:spacing w:val="6"/>
          <w:szCs w:val="21"/>
        </w:rPr>
        <w:t>（3）不能胜任所担任的岗位要求；</w:t>
      </w:r>
    </w:p>
    <w:p>
      <w:pPr>
        <w:spacing w:line="440" w:lineRule="exact"/>
        <w:ind w:firstLine="444" w:firstLineChars="200"/>
        <w:rPr>
          <w:spacing w:val="6"/>
          <w:szCs w:val="21"/>
        </w:rPr>
      </w:pPr>
      <w:r>
        <w:rPr>
          <w:spacing w:val="6"/>
          <w:szCs w:val="21"/>
        </w:rPr>
        <w:t>（4）严重违反职业道德。</w:t>
      </w:r>
    </w:p>
    <w:p>
      <w:pPr>
        <w:spacing w:line="440" w:lineRule="exact"/>
        <w:ind w:firstLine="444" w:firstLineChars="200"/>
        <w:rPr>
          <w:spacing w:val="6"/>
          <w:szCs w:val="21"/>
        </w:rPr>
      </w:pPr>
      <w:r>
        <w:rPr>
          <w:spacing w:val="6"/>
          <w:szCs w:val="21"/>
        </w:rPr>
        <w:t>（5）更换监理人员的其他情形：</w:t>
      </w:r>
      <w:r>
        <w:rPr>
          <w:spacing w:val="6"/>
          <w:szCs w:val="21"/>
          <w:u w:val="single"/>
        </w:rPr>
        <w:t xml:space="preserve">                 </w:t>
      </w:r>
      <w:r>
        <w:rPr>
          <w:spacing w:val="6"/>
          <w:szCs w:val="21"/>
        </w:rPr>
        <w:t>。</w:t>
      </w:r>
    </w:p>
    <w:p>
      <w:pPr>
        <w:spacing w:line="440" w:lineRule="exact"/>
        <w:ind w:firstLine="444" w:firstLineChars="200"/>
        <w:rPr>
          <w:spacing w:val="6"/>
          <w:szCs w:val="21"/>
        </w:rPr>
      </w:pPr>
      <w:r>
        <w:rPr>
          <w:spacing w:val="6"/>
          <w:szCs w:val="21"/>
        </w:rPr>
        <w:t>4.6.2监理人员配备违约时，视严重程度给予信用评价扣分考核，并按委托人招标要求及监理人投标承诺的人员配备，在支付监理服务费时将人员配备违约部分的费用予以扣除。</w:t>
      </w:r>
    </w:p>
    <w:p>
      <w:pPr>
        <w:pStyle w:val="4"/>
        <w:spacing w:before="0" w:after="0" w:line="440" w:lineRule="exact"/>
        <w:rPr>
          <w:rFonts w:eastAsia="黑体"/>
          <w:b w:val="0"/>
          <w:sz w:val="28"/>
          <w:szCs w:val="28"/>
        </w:rPr>
      </w:pPr>
      <w:bookmarkStart w:id="372" w:name="_Hlk55161155"/>
      <w:bookmarkStart w:id="373" w:name="_Toc62572847"/>
      <w:r>
        <w:rPr>
          <w:rFonts w:eastAsia="黑体"/>
          <w:b w:val="0"/>
          <w:sz w:val="28"/>
          <w:szCs w:val="28"/>
        </w:rPr>
        <w:t>4.9</w:t>
      </w:r>
      <w:bookmarkEnd w:id="372"/>
      <w:r>
        <w:rPr>
          <w:rFonts w:eastAsia="黑体"/>
          <w:b w:val="0"/>
          <w:sz w:val="28"/>
          <w:szCs w:val="28"/>
        </w:rPr>
        <w:t>质量控制</w:t>
      </w:r>
      <w:bookmarkEnd w:id="373"/>
    </w:p>
    <w:p>
      <w:pPr>
        <w:adjustRightInd w:val="0"/>
        <w:snapToGrid w:val="0"/>
        <w:spacing w:line="440" w:lineRule="exact"/>
        <w:ind w:firstLine="420" w:firstLineChars="200"/>
        <w:rPr>
          <w:szCs w:val="21"/>
        </w:rPr>
      </w:pPr>
      <w:r>
        <w:rPr>
          <w:szCs w:val="21"/>
        </w:rPr>
        <w:t>4.9.1审查承包人有关质量文件，主要核查施工组织设计、项目质量管理体系、质量措施、关键工艺方案等，按规定对分包单位资质，承包人进场机械数量及性能、投标承诺的主要管理人员及资格等进行审查，提出意见和要求，并检查整改落实情况。</w:t>
      </w:r>
    </w:p>
    <w:p>
      <w:pPr>
        <w:adjustRightInd w:val="0"/>
        <w:snapToGrid w:val="0"/>
        <w:spacing w:line="440" w:lineRule="exact"/>
        <w:ind w:firstLine="420" w:firstLineChars="200"/>
        <w:rPr>
          <w:szCs w:val="21"/>
        </w:rPr>
      </w:pPr>
      <w:r>
        <w:rPr>
          <w:szCs w:val="21"/>
        </w:rPr>
        <w:t>4.9.2参加工程设计现场技术交底、现场交桩和现场交接。</w:t>
      </w:r>
    </w:p>
    <w:p>
      <w:pPr>
        <w:adjustRightInd w:val="0"/>
        <w:snapToGrid w:val="0"/>
        <w:spacing w:line="440" w:lineRule="exact"/>
        <w:ind w:firstLine="420" w:firstLineChars="200"/>
        <w:rPr>
          <w:szCs w:val="21"/>
        </w:rPr>
      </w:pPr>
      <w:r>
        <w:rPr>
          <w:szCs w:val="21"/>
        </w:rPr>
        <w:t>4.9.3对承包人的施工放样进行审核或复测，对重点或控制性工程进行独立平行测量。</w:t>
      </w:r>
    </w:p>
    <w:p>
      <w:pPr>
        <w:adjustRightInd w:val="0"/>
        <w:snapToGrid w:val="0"/>
        <w:spacing w:line="440" w:lineRule="exact"/>
        <w:ind w:firstLine="420" w:firstLineChars="200"/>
        <w:rPr>
          <w:szCs w:val="21"/>
        </w:rPr>
      </w:pPr>
      <w:r>
        <w:rPr>
          <w:szCs w:val="21"/>
        </w:rPr>
        <w:t>4.9.4在开工前，总监理工程师、专业监理工程师应审阅、核对施工图纸，组织承包人对施工图纸和设计文件进行现场核对（主要核对地形、位置、几何尺寸、工程数量等），对发现的勘察设计问题，必须及时以书面形式通知设计和建设单位；按规定对单位工程（单体工程）开工条件进行检查，严格遵循未进行现场核对的工点不准予开工的要求。</w:t>
      </w:r>
    </w:p>
    <w:p>
      <w:pPr>
        <w:adjustRightInd w:val="0"/>
        <w:snapToGrid w:val="0"/>
        <w:spacing w:line="440" w:lineRule="exact"/>
        <w:ind w:firstLine="420" w:firstLineChars="200"/>
        <w:rPr>
          <w:szCs w:val="21"/>
        </w:rPr>
      </w:pPr>
      <w:r>
        <w:rPr>
          <w:szCs w:val="21"/>
        </w:rPr>
        <w:t>4.9.5核查承包人的工地试验室，对试验室资质、试验范围、试验人员资格证书、试验设备和试验条件等内容进行核查确认。</w:t>
      </w:r>
    </w:p>
    <w:p>
      <w:pPr>
        <w:adjustRightInd w:val="0"/>
        <w:snapToGrid w:val="0"/>
        <w:spacing w:line="440" w:lineRule="exact"/>
        <w:ind w:firstLine="420" w:firstLineChars="200"/>
        <w:rPr>
          <w:szCs w:val="21"/>
        </w:rPr>
      </w:pPr>
      <w:r>
        <w:rPr>
          <w:szCs w:val="21"/>
        </w:rPr>
        <w:t>4.9.6 按照物资采购合同和工程质量验收标准，参与对进场的承包人用于工程的各种材料、构配件和设备进行检查验收，并按要求进行见证或平行检验。未经查验或者查验不合格的物资不得批准承包人投入使用。</w:t>
      </w:r>
    </w:p>
    <w:p>
      <w:pPr>
        <w:adjustRightInd w:val="0"/>
        <w:snapToGrid w:val="0"/>
        <w:spacing w:line="440" w:lineRule="exact"/>
        <w:ind w:firstLine="420" w:firstLineChars="200"/>
        <w:rPr>
          <w:szCs w:val="21"/>
        </w:rPr>
      </w:pPr>
      <w:r>
        <w:rPr>
          <w:szCs w:val="21"/>
        </w:rPr>
        <w:t>4.9.7严格按规范要求对每道工序、各个部位进行规定的质量抽检和现场检查，对关键工序、重点部位进行全过程旁站，做好隐蔽工程质量检查及影像留存工作，并对相应质量记录进行签认。对承包人的检验、检测、试验等工作进行监督检查。对不符合质量要求的工程，有权要求承包人返工或采取其他补救措施。未经签认合格的工序不得转入下道工序施工。</w:t>
      </w:r>
    </w:p>
    <w:p>
      <w:pPr>
        <w:adjustRightInd w:val="0"/>
        <w:snapToGrid w:val="0"/>
        <w:spacing w:line="440" w:lineRule="exact"/>
        <w:ind w:firstLine="420" w:firstLineChars="200"/>
        <w:rPr>
          <w:szCs w:val="21"/>
        </w:rPr>
      </w:pPr>
      <w:r>
        <w:rPr>
          <w:szCs w:val="21"/>
        </w:rPr>
        <w:t>4.9.8按验收标准规定组织检验批、分项和分部工程质量验收，参加单位工程验收，验收合格的工程方可签认。</w:t>
      </w:r>
    </w:p>
    <w:p>
      <w:pPr>
        <w:adjustRightInd w:val="0"/>
        <w:snapToGrid w:val="0"/>
        <w:spacing w:line="440" w:lineRule="exact"/>
        <w:ind w:firstLine="420" w:firstLineChars="200"/>
        <w:rPr>
          <w:szCs w:val="21"/>
        </w:rPr>
      </w:pPr>
      <w:r>
        <w:rPr>
          <w:szCs w:val="21"/>
        </w:rPr>
        <w:t>4.9.9参与施工技术方案研究和设计变更管理工作。协助委托人审查《变更设计提议单》，参与方案研究、现场核对和责任分析，并按照批准的变更设计文件监督承包单位实施。</w:t>
      </w:r>
    </w:p>
    <w:p>
      <w:pPr>
        <w:adjustRightInd w:val="0"/>
        <w:snapToGrid w:val="0"/>
        <w:spacing w:line="440" w:lineRule="exact"/>
        <w:ind w:firstLine="420" w:firstLineChars="200"/>
        <w:rPr>
          <w:szCs w:val="21"/>
        </w:rPr>
      </w:pPr>
      <w:r>
        <w:rPr>
          <w:szCs w:val="21"/>
        </w:rPr>
        <w:t>4.9.10检查和记录工程质量缺陷，参与缺陷原因调查分析，审核修复方案，监督修复过程并验收签认。</w:t>
      </w:r>
    </w:p>
    <w:p>
      <w:pPr>
        <w:adjustRightInd w:val="0"/>
        <w:snapToGrid w:val="0"/>
        <w:spacing w:line="440" w:lineRule="exact"/>
        <w:ind w:firstLine="420" w:firstLineChars="200"/>
        <w:rPr>
          <w:szCs w:val="21"/>
        </w:rPr>
      </w:pPr>
      <w:r>
        <w:rPr>
          <w:szCs w:val="21"/>
        </w:rPr>
        <w:t>4.9.11对沉降变形观测、平行观测进行监理检查，对精密测量资料进行确认检查。</w:t>
      </w:r>
    </w:p>
    <w:p>
      <w:pPr>
        <w:adjustRightInd w:val="0"/>
        <w:snapToGrid w:val="0"/>
        <w:spacing w:line="440" w:lineRule="exact"/>
        <w:ind w:firstLine="420" w:firstLineChars="200"/>
        <w:rPr>
          <w:szCs w:val="21"/>
        </w:rPr>
      </w:pPr>
      <w:r>
        <w:rPr>
          <w:szCs w:val="21"/>
        </w:rPr>
        <w:t>4.9.12对承包人已完工程自检情况进行现场检查，确认达到验收要求。静态验收完成后，出具监理工作报告，对单位工程及总体质量作出评价。按规定参加竣工验收，对验收发现的质量问题，督促施工单位及时完成整改。</w:t>
      </w:r>
    </w:p>
    <w:p>
      <w:pPr>
        <w:adjustRightInd w:val="0"/>
        <w:snapToGrid w:val="0"/>
        <w:spacing w:line="440" w:lineRule="exact"/>
        <w:ind w:firstLine="420" w:firstLineChars="200"/>
        <w:rPr>
          <w:szCs w:val="21"/>
        </w:rPr>
      </w:pPr>
      <w:r>
        <w:rPr>
          <w:szCs w:val="21"/>
        </w:rPr>
        <w:t>4.9.13按规定参加质量回访工作，配合解决运营中发现的质量问题。</w:t>
      </w:r>
    </w:p>
    <w:p>
      <w:pPr>
        <w:adjustRightInd w:val="0"/>
        <w:snapToGrid w:val="0"/>
        <w:spacing w:line="440" w:lineRule="exact"/>
        <w:ind w:firstLine="420" w:firstLineChars="200"/>
        <w:rPr>
          <w:szCs w:val="21"/>
          <w:u w:val="single"/>
        </w:rPr>
      </w:pPr>
      <w:r>
        <w:rPr>
          <w:szCs w:val="21"/>
        </w:rPr>
        <w:t>4.9.14其他工作：</w:t>
      </w:r>
      <w:r>
        <w:rPr>
          <w:szCs w:val="21"/>
          <w:u w:val="single"/>
        </w:rPr>
        <w:t xml:space="preserve">                 </w:t>
      </w:r>
    </w:p>
    <w:p>
      <w:pPr>
        <w:pStyle w:val="4"/>
        <w:spacing w:before="0" w:after="0" w:line="440" w:lineRule="exact"/>
        <w:rPr>
          <w:rFonts w:eastAsia="黑体"/>
          <w:b w:val="0"/>
          <w:sz w:val="28"/>
          <w:szCs w:val="28"/>
        </w:rPr>
      </w:pPr>
      <w:bookmarkStart w:id="374" w:name="_Toc62572848"/>
      <w:r>
        <w:rPr>
          <w:rFonts w:eastAsia="黑体"/>
          <w:b w:val="0"/>
          <w:sz w:val="28"/>
          <w:szCs w:val="28"/>
        </w:rPr>
        <w:t>4.10安全生产监理管理</w:t>
      </w:r>
      <w:bookmarkEnd w:id="374"/>
    </w:p>
    <w:p>
      <w:pPr>
        <w:adjustRightInd w:val="0"/>
        <w:snapToGrid w:val="0"/>
        <w:spacing w:line="440" w:lineRule="exact"/>
        <w:ind w:firstLine="420" w:firstLineChars="200"/>
        <w:rPr>
          <w:szCs w:val="21"/>
        </w:rPr>
      </w:pPr>
      <w:r>
        <w:rPr>
          <w:szCs w:val="21"/>
        </w:rPr>
        <w:t>4.10.1建立本项目的安全生产监理管理工作制度，指定专人负责安全生产监理管理并明确其职责。</w:t>
      </w:r>
    </w:p>
    <w:p>
      <w:pPr>
        <w:adjustRightInd w:val="0"/>
        <w:snapToGrid w:val="0"/>
        <w:spacing w:line="440" w:lineRule="exact"/>
        <w:ind w:firstLine="420" w:firstLineChars="200"/>
        <w:rPr>
          <w:szCs w:val="21"/>
        </w:rPr>
      </w:pPr>
      <w:r>
        <w:rPr>
          <w:szCs w:val="21"/>
        </w:rPr>
        <w:t>4.10.2审查承包人的安全组织机构、规章制度、保障措施、危险源识别及预防措施、关键工序安全保证方案和专项施工方案，并签署审查意见。</w:t>
      </w:r>
    </w:p>
    <w:p>
      <w:pPr>
        <w:adjustRightInd w:val="0"/>
        <w:snapToGrid w:val="0"/>
        <w:spacing w:line="440" w:lineRule="exact"/>
        <w:ind w:firstLine="420" w:firstLineChars="200"/>
        <w:rPr>
          <w:szCs w:val="21"/>
        </w:rPr>
      </w:pPr>
      <w:r>
        <w:rPr>
          <w:szCs w:val="21"/>
        </w:rPr>
        <w:t>4.10.3在施工过程中，检查施工现场安全人员到岗、安全设施配置、施工人员行为及现场安全状况等情况，发现隐患及时发出整改指令，督促整改。</w:t>
      </w:r>
    </w:p>
    <w:p>
      <w:pPr>
        <w:adjustRightInd w:val="0"/>
        <w:snapToGrid w:val="0"/>
        <w:spacing w:line="440" w:lineRule="exact"/>
        <w:ind w:firstLine="420" w:firstLineChars="200"/>
        <w:rPr>
          <w:szCs w:val="21"/>
        </w:rPr>
      </w:pPr>
      <w:r>
        <w:rPr>
          <w:szCs w:val="21"/>
        </w:rPr>
        <w:t>4.10.4审查突发事件的预警机制和应急预案。</w:t>
      </w:r>
    </w:p>
    <w:p>
      <w:pPr>
        <w:adjustRightInd w:val="0"/>
        <w:snapToGrid w:val="0"/>
        <w:spacing w:line="440" w:lineRule="exact"/>
        <w:ind w:firstLine="420" w:firstLineChars="200"/>
        <w:rPr>
          <w:szCs w:val="21"/>
        </w:rPr>
      </w:pPr>
      <w:r>
        <w:rPr>
          <w:szCs w:val="21"/>
        </w:rPr>
        <w:t>4.10.5检查施工过程中的安全生产标识、标牌、持证上岗以及安全措施落实情况。</w:t>
      </w:r>
    </w:p>
    <w:p>
      <w:pPr>
        <w:adjustRightInd w:val="0"/>
        <w:snapToGrid w:val="0"/>
        <w:spacing w:line="440" w:lineRule="exact"/>
        <w:ind w:firstLine="420" w:firstLineChars="200"/>
        <w:rPr>
          <w:szCs w:val="21"/>
        </w:rPr>
      </w:pPr>
      <w:r>
        <w:rPr>
          <w:szCs w:val="21"/>
        </w:rPr>
        <w:t>4.10.6检查超前地质预报实施单位进场人员、设备情况是否满足需要，超前地质预报的实施、数据采集行为是否规范，并督促施工单位将实际开挖的地质情况与预报结果进行对比，及时制定或修改施工方案、调整支护参数。</w:t>
      </w:r>
    </w:p>
    <w:p>
      <w:pPr>
        <w:adjustRightInd w:val="0"/>
        <w:snapToGrid w:val="0"/>
        <w:spacing w:line="440" w:lineRule="exact"/>
        <w:ind w:firstLine="420" w:firstLineChars="200"/>
        <w:rPr>
          <w:szCs w:val="21"/>
        </w:rPr>
      </w:pPr>
      <w:r>
        <w:rPr>
          <w:szCs w:val="21"/>
        </w:rPr>
        <w:t>4.10.7建立危险性较大分项、分部工程清单，通过风险计划管理、风险识别、风险评估、风险控制、风险后期评估等手段加强所监理项目安全风险管理，包括复杂地质隧道、深水基础、深基坑、高陡边坡、技术复杂或特殊结构桥梁、地下工程、大跨度钢结构工程，高大模板、大跨度支架和满堂支架、移动模架、爆破作业、高空作业、有限空间作业，以及工程线、营业线及邻近营业线施工等，对施工单位风险防范及控制进行检查和督促。</w:t>
      </w:r>
    </w:p>
    <w:p>
      <w:pPr>
        <w:adjustRightInd w:val="0"/>
        <w:snapToGrid w:val="0"/>
        <w:spacing w:line="440" w:lineRule="exact"/>
        <w:ind w:firstLine="420" w:firstLineChars="200"/>
        <w:rPr>
          <w:szCs w:val="21"/>
          <w:u w:val="single"/>
        </w:rPr>
      </w:pPr>
      <w:r>
        <w:rPr>
          <w:szCs w:val="21"/>
        </w:rPr>
        <w:t>4.10.8其他工作：</w:t>
      </w:r>
      <w:r>
        <w:rPr>
          <w:szCs w:val="21"/>
          <w:u w:val="single"/>
        </w:rPr>
        <w:t xml:space="preserve">              </w:t>
      </w:r>
      <w:r>
        <w:rPr>
          <w:szCs w:val="21"/>
        </w:rPr>
        <w:t xml:space="preserve">   </w:t>
      </w:r>
    </w:p>
    <w:p>
      <w:pPr>
        <w:pStyle w:val="4"/>
        <w:spacing w:before="0" w:after="0" w:line="440" w:lineRule="exact"/>
        <w:rPr>
          <w:rFonts w:eastAsia="黑体"/>
          <w:b w:val="0"/>
          <w:sz w:val="28"/>
          <w:szCs w:val="28"/>
        </w:rPr>
      </w:pPr>
      <w:bookmarkStart w:id="375" w:name="_Toc62572849"/>
      <w:r>
        <w:rPr>
          <w:rFonts w:eastAsia="黑体"/>
          <w:b w:val="0"/>
          <w:sz w:val="28"/>
          <w:szCs w:val="28"/>
        </w:rPr>
        <w:t>4.11投资控制</w:t>
      </w:r>
      <w:bookmarkEnd w:id="375"/>
    </w:p>
    <w:p>
      <w:pPr>
        <w:adjustRightInd w:val="0"/>
        <w:snapToGrid w:val="0"/>
        <w:spacing w:line="440" w:lineRule="exact"/>
        <w:ind w:firstLine="420" w:firstLineChars="200"/>
        <w:rPr>
          <w:szCs w:val="21"/>
        </w:rPr>
      </w:pPr>
      <w:r>
        <w:rPr>
          <w:szCs w:val="21"/>
        </w:rPr>
        <w:t>4.11.1会同建设单位、设计单位、施工单位、地方政府和被征地拆迁人确认征地拆迁数量、类别。</w:t>
      </w:r>
    </w:p>
    <w:p>
      <w:pPr>
        <w:adjustRightInd w:val="0"/>
        <w:snapToGrid w:val="0"/>
        <w:spacing w:line="440" w:lineRule="exact"/>
        <w:ind w:firstLine="420" w:firstLineChars="200"/>
        <w:rPr>
          <w:szCs w:val="21"/>
        </w:rPr>
      </w:pPr>
      <w:r>
        <w:rPr>
          <w:szCs w:val="21"/>
        </w:rPr>
        <w:t>4.11.2按照审核合格的施工图、合同工程量清单和质量验收结果，开展现场工程计量工作，做到客观、准确、及时，计量项目数量不漏、不超、不重。</w:t>
      </w:r>
    </w:p>
    <w:p>
      <w:pPr>
        <w:adjustRightInd w:val="0"/>
        <w:snapToGrid w:val="0"/>
        <w:spacing w:line="440" w:lineRule="exact"/>
        <w:ind w:firstLine="420" w:firstLineChars="200"/>
        <w:rPr>
          <w:szCs w:val="21"/>
        </w:rPr>
      </w:pPr>
      <w:r>
        <w:rPr>
          <w:szCs w:val="21"/>
        </w:rPr>
        <w:t>4.11.3审核承包人报送的验工计价表，对照质量验收结果准确核对工程数量，签认验工计价凭证。验工计价文件需经总监理工程师签认。</w:t>
      </w:r>
    </w:p>
    <w:p>
      <w:pPr>
        <w:adjustRightInd w:val="0"/>
        <w:snapToGrid w:val="0"/>
        <w:spacing w:line="440" w:lineRule="exact"/>
        <w:ind w:firstLine="420" w:firstLineChars="200"/>
        <w:rPr>
          <w:szCs w:val="21"/>
        </w:rPr>
      </w:pPr>
      <w:r>
        <w:rPr>
          <w:szCs w:val="21"/>
        </w:rPr>
        <w:t>4.11.4严格按变更设计规定办理变更设计工程量计价工作。</w:t>
      </w:r>
    </w:p>
    <w:p>
      <w:pPr>
        <w:spacing w:line="440" w:lineRule="exact"/>
        <w:rPr>
          <w:szCs w:val="21"/>
        </w:rPr>
      </w:pPr>
      <w:r>
        <w:rPr>
          <w:szCs w:val="21"/>
        </w:rPr>
        <w:t>4.12其他工作</w:t>
      </w:r>
    </w:p>
    <w:p>
      <w:pPr>
        <w:adjustRightInd w:val="0"/>
        <w:snapToGrid w:val="0"/>
        <w:spacing w:line="440" w:lineRule="exact"/>
        <w:ind w:firstLine="420" w:firstLineChars="200"/>
        <w:rPr>
          <w:szCs w:val="21"/>
          <w:u w:val="single"/>
        </w:rPr>
      </w:pPr>
      <w:r>
        <w:rPr>
          <w:szCs w:val="21"/>
        </w:rPr>
        <w:t>承担委托人委托的建设项目环保、进度、文明施工等其他监理工作。具体：</w:t>
      </w:r>
      <w:r>
        <w:rPr>
          <w:szCs w:val="21"/>
          <w:u w:val="single"/>
        </w:rPr>
        <w:t xml:space="preserve">         </w:t>
      </w:r>
    </w:p>
    <w:p>
      <w:pPr>
        <w:pStyle w:val="4"/>
        <w:spacing w:before="0" w:after="0" w:line="440" w:lineRule="exact"/>
        <w:rPr>
          <w:rFonts w:eastAsia="黑体"/>
          <w:b w:val="0"/>
          <w:sz w:val="28"/>
          <w:szCs w:val="28"/>
        </w:rPr>
      </w:pPr>
      <w:bookmarkStart w:id="376" w:name="_Toc62572850"/>
      <w:r>
        <w:rPr>
          <w:rFonts w:eastAsia="黑体"/>
          <w:b w:val="0"/>
          <w:sz w:val="28"/>
          <w:szCs w:val="28"/>
        </w:rPr>
        <w:t>4.13信息</w:t>
      </w:r>
      <w:bookmarkEnd w:id="376"/>
    </w:p>
    <w:p>
      <w:pPr>
        <w:adjustRightInd w:val="0"/>
        <w:snapToGrid w:val="0"/>
        <w:spacing w:line="440" w:lineRule="exact"/>
        <w:ind w:firstLine="420" w:firstLineChars="200"/>
        <w:rPr>
          <w:szCs w:val="21"/>
        </w:rPr>
      </w:pPr>
      <w:r>
        <w:rPr>
          <w:szCs w:val="21"/>
        </w:rPr>
        <w:t>4.13.1根据委托人统一部署，配置信息化管理设备，建立信息化管理网络。</w:t>
      </w:r>
    </w:p>
    <w:p>
      <w:pPr>
        <w:adjustRightInd w:val="0"/>
        <w:snapToGrid w:val="0"/>
        <w:spacing w:line="440" w:lineRule="exact"/>
        <w:ind w:firstLine="420" w:firstLineChars="200"/>
        <w:rPr>
          <w:szCs w:val="21"/>
        </w:rPr>
      </w:pPr>
      <w:r>
        <w:rPr>
          <w:szCs w:val="21"/>
        </w:rPr>
        <w:t>4.13.2提供的信息和资料均应以文字、数字为依据，并对各类报表的数据真实性负责。</w:t>
      </w:r>
    </w:p>
    <w:p>
      <w:pPr>
        <w:pStyle w:val="4"/>
        <w:spacing w:before="0" w:after="0" w:line="440" w:lineRule="exact"/>
        <w:rPr>
          <w:rFonts w:eastAsia="黑体"/>
          <w:b w:val="0"/>
          <w:sz w:val="28"/>
          <w:szCs w:val="28"/>
        </w:rPr>
      </w:pPr>
      <w:bookmarkStart w:id="377" w:name="_Toc62572851"/>
      <w:r>
        <w:rPr>
          <w:rFonts w:eastAsia="黑体"/>
          <w:b w:val="0"/>
          <w:sz w:val="28"/>
          <w:szCs w:val="28"/>
        </w:rPr>
        <w:t>4.14相关报告要求</w:t>
      </w:r>
      <w:bookmarkEnd w:id="377"/>
    </w:p>
    <w:p>
      <w:pPr>
        <w:adjustRightInd w:val="0"/>
        <w:snapToGrid w:val="0"/>
        <w:spacing w:line="440" w:lineRule="exact"/>
        <w:ind w:firstLine="420" w:firstLineChars="200"/>
        <w:rPr>
          <w:szCs w:val="21"/>
        </w:rPr>
      </w:pPr>
      <w:r>
        <w:rPr>
          <w:szCs w:val="21"/>
        </w:rPr>
        <w:t>4.14.1工程监理月报。监理人每月3日前将上个月的月报报送委托人。</w:t>
      </w:r>
    </w:p>
    <w:p>
      <w:pPr>
        <w:adjustRightInd w:val="0"/>
        <w:snapToGrid w:val="0"/>
        <w:spacing w:line="440" w:lineRule="exact"/>
        <w:ind w:firstLine="420" w:firstLineChars="200"/>
        <w:rPr>
          <w:szCs w:val="21"/>
        </w:rPr>
      </w:pPr>
      <w:r>
        <w:rPr>
          <w:szCs w:val="21"/>
        </w:rPr>
        <w:t>4.14.2 紧急事件报告。发生工程质量事故、安全事故或其他突发事件，监理人应立即向委托人报告。</w:t>
      </w:r>
    </w:p>
    <w:p>
      <w:pPr>
        <w:adjustRightInd w:val="0"/>
        <w:snapToGrid w:val="0"/>
        <w:spacing w:line="440" w:lineRule="exact"/>
        <w:ind w:firstLine="420" w:firstLineChars="200"/>
        <w:rPr>
          <w:szCs w:val="21"/>
        </w:rPr>
      </w:pPr>
      <w:r>
        <w:rPr>
          <w:szCs w:val="21"/>
        </w:rPr>
        <w:t>4.14.3工程竣工后，向委托人提交工程质量评估报告和监理工作总结报告。</w:t>
      </w:r>
    </w:p>
    <w:p>
      <w:pPr>
        <w:adjustRightInd w:val="0"/>
        <w:snapToGrid w:val="0"/>
        <w:spacing w:line="440" w:lineRule="exact"/>
        <w:ind w:firstLine="420" w:firstLineChars="200"/>
        <w:rPr>
          <w:szCs w:val="21"/>
        </w:rPr>
      </w:pPr>
      <w:r>
        <w:rPr>
          <w:szCs w:val="21"/>
        </w:rPr>
        <w:t>4.14.4委托人要求提交的监理业务范围内的其他报告。</w:t>
      </w:r>
    </w:p>
    <w:p>
      <w:pPr>
        <w:pStyle w:val="3"/>
        <w:spacing w:before="120" w:beforeLines="50" w:after="120" w:afterLines="50" w:line="440" w:lineRule="exact"/>
        <w:jc w:val="left"/>
        <w:rPr>
          <w:rFonts w:ascii="Times New Roman" w:hAnsi="Times New Roman"/>
          <w:sz w:val="28"/>
          <w:szCs w:val="28"/>
        </w:rPr>
      </w:pPr>
      <w:bookmarkStart w:id="378" w:name="_Toc62572852"/>
      <w:r>
        <w:rPr>
          <w:rFonts w:ascii="Times New Roman" w:hAnsi="Times New Roman"/>
          <w:sz w:val="28"/>
          <w:szCs w:val="28"/>
        </w:rPr>
        <w:t>5. 监理要求</w:t>
      </w:r>
      <w:bookmarkEnd w:id="378"/>
    </w:p>
    <w:p>
      <w:pPr>
        <w:pStyle w:val="4"/>
        <w:spacing w:before="0" w:after="0" w:line="440" w:lineRule="exact"/>
        <w:rPr>
          <w:rFonts w:eastAsia="黑体"/>
          <w:b w:val="0"/>
          <w:sz w:val="28"/>
          <w:szCs w:val="28"/>
        </w:rPr>
      </w:pPr>
      <w:bookmarkStart w:id="379" w:name="_Toc62572853"/>
      <w:r>
        <w:rPr>
          <w:rFonts w:eastAsia="黑体"/>
          <w:b w:val="0"/>
          <w:sz w:val="28"/>
          <w:szCs w:val="28"/>
        </w:rPr>
        <w:t>5.1监理范围</w:t>
      </w:r>
      <w:bookmarkEnd w:id="379"/>
    </w:p>
    <w:p>
      <w:pPr>
        <w:spacing w:line="400" w:lineRule="exact"/>
        <w:ind w:firstLine="444" w:firstLineChars="200"/>
        <w:rPr>
          <w:spacing w:val="6"/>
          <w:szCs w:val="21"/>
        </w:rPr>
      </w:pPr>
      <w:r>
        <w:rPr>
          <w:spacing w:val="6"/>
          <w:szCs w:val="21"/>
        </w:rPr>
        <w:t>5.1.2款补充</w:t>
      </w:r>
    </w:p>
    <w:p>
      <w:pPr>
        <w:spacing w:line="400" w:lineRule="exact"/>
        <w:ind w:firstLine="444" w:firstLineChars="200"/>
        <w:rPr>
          <w:spacing w:val="6"/>
          <w:szCs w:val="21"/>
          <w:u w:val="single"/>
        </w:rPr>
      </w:pPr>
      <w:r>
        <w:rPr>
          <w:spacing w:val="6"/>
          <w:szCs w:val="21"/>
        </w:rPr>
        <w:t>本合同监理的工程范围为：</w:t>
      </w:r>
      <w:r>
        <w:rPr>
          <w:spacing w:val="6"/>
          <w:szCs w:val="21"/>
          <w:u w:val="single"/>
        </w:rPr>
        <w:t xml:space="preserve">                                       </w:t>
      </w:r>
    </w:p>
    <w:p>
      <w:pPr>
        <w:spacing w:line="400" w:lineRule="exact"/>
        <w:ind w:firstLine="444" w:firstLineChars="200"/>
        <w:rPr>
          <w:spacing w:val="6"/>
          <w:szCs w:val="21"/>
        </w:rPr>
      </w:pPr>
      <w:r>
        <w:rPr>
          <w:spacing w:val="6"/>
          <w:szCs w:val="21"/>
        </w:rPr>
        <w:t>5.1.3款补充</w:t>
      </w:r>
    </w:p>
    <w:p>
      <w:pPr>
        <w:spacing w:line="400" w:lineRule="exact"/>
        <w:ind w:firstLine="444" w:firstLineChars="200"/>
        <w:rPr>
          <w:spacing w:val="6"/>
          <w:szCs w:val="21"/>
        </w:rPr>
      </w:pPr>
      <w:r>
        <w:rPr>
          <w:spacing w:val="6"/>
          <w:szCs w:val="21"/>
        </w:rPr>
        <w:t>本合同监理的阶段范围为：</w:t>
      </w:r>
      <w:r>
        <w:rPr>
          <w:spacing w:val="6"/>
          <w:szCs w:val="21"/>
          <w:u w:val="single"/>
        </w:rPr>
        <w:t xml:space="preserve">                                          </w:t>
      </w:r>
    </w:p>
    <w:p>
      <w:pPr>
        <w:spacing w:line="400" w:lineRule="exact"/>
        <w:ind w:firstLine="444" w:firstLineChars="200"/>
        <w:rPr>
          <w:spacing w:val="6"/>
          <w:szCs w:val="21"/>
        </w:rPr>
      </w:pPr>
      <w:r>
        <w:rPr>
          <w:spacing w:val="6"/>
          <w:szCs w:val="21"/>
        </w:rPr>
        <w:t>5.1.4款补充</w:t>
      </w:r>
    </w:p>
    <w:p>
      <w:pPr>
        <w:spacing w:line="400" w:lineRule="exact"/>
        <w:ind w:firstLine="444" w:firstLineChars="200"/>
        <w:rPr>
          <w:spacing w:val="6"/>
          <w:szCs w:val="21"/>
        </w:rPr>
      </w:pPr>
      <w:r>
        <w:rPr>
          <w:spacing w:val="6"/>
          <w:szCs w:val="21"/>
        </w:rPr>
        <w:t>本合同监理的工作范围为：</w:t>
      </w:r>
      <w:r>
        <w:rPr>
          <w:spacing w:val="6"/>
          <w:szCs w:val="21"/>
          <w:u w:val="single"/>
        </w:rPr>
        <w:t xml:space="preserve">                                          </w:t>
      </w:r>
    </w:p>
    <w:p>
      <w:pPr>
        <w:pStyle w:val="4"/>
        <w:spacing w:before="0" w:after="0" w:line="440" w:lineRule="exact"/>
        <w:rPr>
          <w:rFonts w:eastAsia="黑体"/>
          <w:b w:val="0"/>
          <w:sz w:val="28"/>
          <w:szCs w:val="28"/>
        </w:rPr>
      </w:pPr>
      <w:bookmarkStart w:id="380" w:name="_Toc62572854"/>
      <w:r>
        <w:rPr>
          <w:rFonts w:eastAsia="黑体"/>
          <w:b w:val="0"/>
          <w:sz w:val="28"/>
          <w:szCs w:val="28"/>
        </w:rPr>
        <w:t>5.4监理文件要求</w:t>
      </w:r>
      <w:bookmarkEnd w:id="380"/>
    </w:p>
    <w:p>
      <w:pPr>
        <w:spacing w:line="440" w:lineRule="exact"/>
        <w:ind w:firstLine="444" w:firstLineChars="200"/>
        <w:rPr>
          <w:spacing w:val="6"/>
          <w:szCs w:val="21"/>
        </w:rPr>
      </w:pPr>
      <w:r>
        <w:rPr>
          <w:spacing w:val="6"/>
          <w:szCs w:val="21"/>
        </w:rPr>
        <w:t>5.4.3款补充：</w:t>
      </w:r>
    </w:p>
    <w:p>
      <w:pPr>
        <w:spacing w:line="440" w:lineRule="exact"/>
        <w:ind w:firstLine="444" w:firstLineChars="200"/>
        <w:rPr>
          <w:spacing w:val="6"/>
          <w:szCs w:val="21"/>
          <w:u w:val="single"/>
        </w:rPr>
      </w:pPr>
      <w:r>
        <w:rPr>
          <w:spacing w:val="6"/>
          <w:szCs w:val="21"/>
        </w:rPr>
        <w:t>本工程监理文件的具体类别为：</w:t>
      </w:r>
      <w:r>
        <w:rPr>
          <w:spacing w:val="6"/>
          <w:szCs w:val="21"/>
          <w:u w:val="single"/>
        </w:rPr>
        <w:t xml:space="preserve">                                      </w:t>
      </w:r>
    </w:p>
    <w:p>
      <w:pPr>
        <w:spacing w:line="440" w:lineRule="exact"/>
        <w:ind w:firstLine="444" w:firstLineChars="200"/>
        <w:rPr>
          <w:spacing w:val="6"/>
          <w:szCs w:val="21"/>
        </w:rPr>
      </w:pPr>
      <w:r>
        <w:rPr>
          <w:spacing w:val="6"/>
          <w:szCs w:val="21"/>
        </w:rPr>
        <w:t>监理文件的编制要求：</w:t>
      </w:r>
      <w:r>
        <w:rPr>
          <w:spacing w:val="6"/>
          <w:szCs w:val="21"/>
          <w:u w:val="single"/>
        </w:rPr>
        <w:t xml:space="preserve">                                              </w:t>
      </w:r>
    </w:p>
    <w:p>
      <w:pPr>
        <w:spacing w:line="440" w:lineRule="exact"/>
        <w:ind w:firstLine="444" w:firstLineChars="200"/>
        <w:rPr>
          <w:spacing w:val="6"/>
          <w:szCs w:val="21"/>
          <w:u w:val="single"/>
        </w:rPr>
      </w:pPr>
      <w:r>
        <w:rPr>
          <w:spacing w:val="6"/>
          <w:szCs w:val="21"/>
        </w:rPr>
        <w:t>监理文件的编制内容：</w:t>
      </w:r>
      <w:r>
        <w:rPr>
          <w:spacing w:val="6"/>
          <w:szCs w:val="21"/>
          <w:u w:val="single"/>
        </w:rPr>
        <w:t xml:space="preserve">                                              </w:t>
      </w:r>
    </w:p>
    <w:p>
      <w:pPr>
        <w:spacing w:line="440" w:lineRule="exact"/>
        <w:ind w:firstLine="444" w:firstLineChars="200"/>
        <w:rPr>
          <w:spacing w:val="6"/>
          <w:szCs w:val="21"/>
          <w:u w:val="single"/>
        </w:rPr>
      </w:pPr>
      <w:r>
        <w:rPr>
          <w:spacing w:val="6"/>
          <w:szCs w:val="21"/>
        </w:rPr>
        <w:t>监理文件的提交时间：</w:t>
      </w:r>
      <w:r>
        <w:rPr>
          <w:spacing w:val="6"/>
          <w:szCs w:val="21"/>
          <w:u w:val="single"/>
        </w:rPr>
        <w:t xml:space="preserve">                                              </w:t>
      </w:r>
    </w:p>
    <w:p>
      <w:pPr>
        <w:spacing w:line="440" w:lineRule="exact"/>
        <w:ind w:firstLine="444" w:firstLineChars="200"/>
        <w:rPr>
          <w:spacing w:val="6"/>
          <w:szCs w:val="21"/>
        </w:rPr>
      </w:pPr>
      <w:r>
        <w:rPr>
          <w:spacing w:val="6"/>
          <w:szCs w:val="21"/>
        </w:rPr>
        <w:t>监理文件的提交份数：</w:t>
      </w:r>
      <w:r>
        <w:rPr>
          <w:spacing w:val="6"/>
          <w:szCs w:val="21"/>
          <w:u w:val="single"/>
        </w:rPr>
        <w:t xml:space="preserve">                                              </w:t>
      </w:r>
    </w:p>
    <w:p>
      <w:pPr>
        <w:pStyle w:val="3"/>
        <w:spacing w:before="120" w:beforeLines="50" w:after="120" w:afterLines="50" w:line="440" w:lineRule="exact"/>
        <w:jc w:val="left"/>
        <w:rPr>
          <w:rFonts w:ascii="Times New Roman" w:hAnsi="Times New Roman"/>
          <w:sz w:val="28"/>
          <w:szCs w:val="28"/>
        </w:rPr>
      </w:pPr>
      <w:bookmarkStart w:id="381" w:name="_Toc62572855"/>
      <w:r>
        <w:rPr>
          <w:rFonts w:ascii="Times New Roman" w:hAnsi="Times New Roman"/>
          <w:sz w:val="28"/>
          <w:szCs w:val="28"/>
        </w:rPr>
        <w:t>6. 开始监理和完成监理</w:t>
      </w:r>
      <w:bookmarkEnd w:id="381"/>
    </w:p>
    <w:p>
      <w:pPr>
        <w:pStyle w:val="4"/>
        <w:spacing w:before="0" w:after="0" w:line="440" w:lineRule="exact"/>
        <w:rPr>
          <w:rFonts w:eastAsia="黑体"/>
          <w:b w:val="0"/>
          <w:sz w:val="28"/>
          <w:szCs w:val="28"/>
        </w:rPr>
      </w:pPr>
      <w:bookmarkStart w:id="382" w:name="_Toc62572856"/>
      <w:r>
        <w:rPr>
          <w:rFonts w:eastAsia="黑体"/>
          <w:b w:val="0"/>
          <w:sz w:val="28"/>
          <w:szCs w:val="28"/>
        </w:rPr>
        <w:t>6.1开始监理</w:t>
      </w:r>
      <w:bookmarkEnd w:id="382"/>
    </w:p>
    <w:p>
      <w:pPr>
        <w:autoSpaceDE w:val="0"/>
        <w:autoSpaceDN w:val="0"/>
        <w:adjustRightInd w:val="0"/>
        <w:snapToGrid w:val="0"/>
        <w:spacing w:line="440" w:lineRule="exact"/>
        <w:ind w:firstLine="435"/>
        <w:textAlignment w:val="baseline"/>
        <w:rPr>
          <w:szCs w:val="21"/>
          <w:u w:val="single"/>
        </w:rPr>
      </w:pPr>
      <w:r>
        <w:rPr>
          <w:szCs w:val="21"/>
        </w:rPr>
        <w:t>6.1.1开始监理条件如下：</w:t>
      </w:r>
      <w:r>
        <w:rPr>
          <w:szCs w:val="21"/>
          <w:u w:val="single"/>
        </w:rPr>
        <w:t xml:space="preserve">                                            </w:t>
      </w:r>
    </w:p>
    <w:p>
      <w:pPr>
        <w:pStyle w:val="4"/>
        <w:spacing w:before="0" w:after="0" w:line="440" w:lineRule="exact"/>
        <w:rPr>
          <w:rFonts w:eastAsia="黑体"/>
          <w:b w:val="0"/>
          <w:sz w:val="28"/>
          <w:szCs w:val="28"/>
        </w:rPr>
      </w:pPr>
      <w:bookmarkStart w:id="383" w:name="_Toc62572857"/>
      <w:r>
        <w:rPr>
          <w:rFonts w:eastAsia="黑体"/>
          <w:b w:val="0"/>
          <w:sz w:val="28"/>
          <w:szCs w:val="28"/>
        </w:rPr>
        <w:t>6.2监理周期延误</w:t>
      </w:r>
      <w:bookmarkEnd w:id="383"/>
    </w:p>
    <w:p>
      <w:pPr>
        <w:autoSpaceDE w:val="0"/>
        <w:autoSpaceDN w:val="0"/>
        <w:adjustRightInd w:val="0"/>
        <w:snapToGrid w:val="0"/>
        <w:spacing w:line="440" w:lineRule="exact"/>
        <w:ind w:firstLine="435"/>
        <w:textAlignment w:val="baseline"/>
        <w:rPr>
          <w:szCs w:val="21"/>
        </w:rPr>
      </w:pPr>
      <w:r>
        <w:rPr>
          <w:szCs w:val="21"/>
        </w:rPr>
        <w:t>6.2款补充</w:t>
      </w:r>
    </w:p>
    <w:p>
      <w:pPr>
        <w:autoSpaceDE w:val="0"/>
        <w:autoSpaceDN w:val="0"/>
        <w:adjustRightInd w:val="0"/>
        <w:snapToGrid w:val="0"/>
        <w:spacing w:line="440" w:lineRule="exact"/>
        <w:ind w:firstLine="435"/>
        <w:textAlignment w:val="baseline"/>
        <w:rPr>
          <w:szCs w:val="21"/>
          <w:u w:val="single"/>
        </w:rPr>
      </w:pPr>
      <w:r>
        <w:rPr>
          <w:szCs w:val="21"/>
        </w:rPr>
        <w:t>合同变更情况监理服务期限的调整方法：</w:t>
      </w:r>
      <w:r>
        <w:rPr>
          <w:szCs w:val="21"/>
          <w:u w:val="single"/>
        </w:rPr>
        <w:t xml:space="preserve">                                       </w:t>
      </w:r>
    </w:p>
    <w:p>
      <w:pPr>
        <w:autoSpaceDE w:val="0"/>
        <w:autoSpaceDN w:val="0"/>
        <w:adjustRightInd w:val="0"/>
        <w:snapToGrid w:val="0"/>
        <w:spacing w:line="440" w:lineRule="exact"/>
        <w:ind w:firstLine="435"/>
        <w:textAlignment w:val="baseline"/>
        <w:rPr>
          <w:szCs w:val="21"/>
          <w:u w:val="single"/>
        </w:rPr>
      </w:pPr>
      <w:r>
        <w:rPr>
          <w:szCs w:val="21"/>
        </w:rPr>
        <w:t>合同变更情况监理报酬的调整方法：</w:t>
      </w:r>
      <w:r>
        <w:rPr>
          <w:szCs w:val="21"/>
          <w:u w:val="single"/>
        </w:rPr>
        <w:t xml:space="preserve">                                           </w:t>
      </w:r>
    </w:p>
    <w:p>
      <w:pPr>
        <w:autoSpaceDE w:val="0"/>
        <w:autoSpaceDN w:val="0"/>
        <w:adjustRightInd w:val="0"/>
        <w:snapToGrid w:val="0"/>
        <w:spacing w:line="440" w:lineRule="exact"/>
        <w:ind w:firstLine="435"/>
        <w:textAlignment w:val="baseline"/>
        <w:rPr>
          <w:szCs w:val="21"/>
          <w:u w:val="single"/>
        </w:rPr>
      </w:pPr>
      <w:r>
        <w:rPr>
          <w:szCs w:val="21"/>
        </w:rPr>
        <w:t>因委托人原因导致的监理工作暂停情况监理服务期限的调整方法：</w:t>
      </w:r>
      <w:r>
        <w:rPr>
          <w:szCs w:val="21"/>
          <w:u w:val="single"/>
        </w:rPr>
        <w:t xml:space="preserve">                     </w:t>
      </w:r>
    </w:p>
    <w:p>
      <w:pPr>
        <w:autoSpaceDE w:val="0"/>
        <w:autoSpaceDN w:val="0"/>
        <w:adjustRightInd w:val="0"/>
        <w:snapToGrid w:val="0"/>
        <w:spacing w:line="440" w:lineRule="exact"/>
        <w:ind w:firstLine="435"/>
        <w:textAlignment w:val="baseline"/>
        <w:rPr>
          <w:szCs w:val="21"/>
          <w:u w:val="single"/>
        </w:rPr>
      </w:pPr>
      <w:r>
        <w:rPr>
          <w:szCs w:val="21"/>
        </w:rPr>
        <w:t>因委托人原因导致的监理工作暂停情况监理报酬的调整方法：</w:t>
      </w:r>
      <w:r>
        <w:rPr>
          <w:szCs w:val="21"/>
          <w:u w:val="single"/>
        </w:rPr>
        <w:t xml:space="preserve">                         </w:t>
      </w:r>
    </w:p>
    <w:p>
      <w:pPr>
        <w:autoSpaceDE w:val="0"/>
        <w:autoSpaceDN w:val="0"/>
        <w:adjustRightInd w:val="0"/>
        <w:snapToGrid w:val="0"/>
        <w:spacing w:line="440" w:lineRule="exact"/>
        <w:ind w:firstLine="435"/>
        <w:textAlignment w:val="baseline"/>
        <w:rPr>
          <w:szCs w:val="21"/>
          <w:u w:val="single"/>
        </w:rPr>
      </w:pPr>
      <w:r>
        <w:rPr>
          <w:szCs w:val="21"/>
        </w:rPr>
        <w:t>未按合同约定及时支付监理报酬情况监理服务期限的调整方法：</w:t>
      </w:r>
      <w:r>
        <w:rPr>
          <w:szCs w:val="21"/>
          <w:u w:val="single"/>
        </w:rPr>
        <w:t xml:space="preserve">                       </w:t>
      </w:r>
    </w:p>
    <w:p>
      <w:pPr>
        <w:autoSpaceDE w:val="0"/>
        <w:autoSpaceDN w:val="0"/>
        <w:adjustRightInd w:val="0"/>
        <w:snapToGrid w:val="0"/>
        <w:spacing w:line="440" w:lineRule="exact"/>
        <w:ind w:firstLine="435"/>
        <w:textAlignment w:val="baseline"/>
        <w:rPr>
          <w:szCs w:val="21"/>
          <w:u w:val="single"/>
        </w:rPr>
      </w:pPr>
      <w:r>
        <w:rPr>
          <w:szCs w:val="21"/>
        </w:rPr>
        <w:t>未按合同约定及时支付监理报酬情况监理报酬的调整方法：</w:t>
      </w:r>
      <w:r>
        <w:rPr>
          <w:szCs w:val="21"/>
          <w:u w:val="single"/>
        </w:rPr>
        <w:t xml:space="preserve">                           </w:t>
      </w:r>
    </w:p>
    <w:p>
      <w:pPr>
        <w:autoSpaceDE w:val="0"/>
        <w:autoSpaceDN w:val="0"/>
        <w:adjustRightInd w:val="0"/>
        <w:snapToGrid w:val="0"/>
        <w:spacing w:line="440" w:lineRule="exact"/>
        <w:ind w:firstLine="435"/>
        <w:textAlignment w:val="baseline"/>
        <w:rPr>
          <w:szCs w:val="21"/>
          <w:u w:val="single"/>
        </w:rPr>
      </w:pPr>
      <w:r>
        <w:rPr>
          <w:szCs w:val="21"/>
        </w:rPr>
        <w:t>未及时履行合同约定的相关义务情况监理服务期限的调整方法：</w:t>
      </w:r>
      <w:r>
        <w:rPr>
          <w:szCs w:val="21"/>
          <w:u w:val="single"/>
        </w:rPr>
        <w:t xml:space="preserve">                       </w:t>
      </w:r>
    </w:p>
    <w:p>
      <w:pPr>
        <w:autoSpaceDE w:val="0"/>
        <w:autoSpaceDN w:val="0"/>
        <w:adjustRightInd w:val="0"/>
        <w:snapToGrid w:val="0"/>
        <w:spacing w:line="440" w:lineRule="exact"/>
        <w:ind w:firstLine="435"/>
        <w:textAlignment w:val="baseline"/>
        <w:rPr>
          <w:szCs w:val="21"/>
          <w:u w:val="single"/>
        </w:rPr>
      </w:pPr>
      <w:r>
        <w:rPr>
          <w:szCs w:val="21"/>
        </w:rPr>
        <w:t>未及时履行合同约定的相关义务情况监理报酬的调整方法：</w:t>
      </w:r>
      <w:r>
        <w:rPr>
          <w:szCs w:val="21"/>
          <w:u w:val="single"/>
        </w:rPr>
        <w:t xml:space="preserve">                           </w:t>
      </w:r>
    </w:p>
    <w:p>
      <w:pPr>
        <w:autoSpaceDE w:val="0"/>
        <w:autoSpaceDN w:val="0"/>
        <w:adjustRightInd w:val="0"/>
        <w:snapToGrid w:val="0"/>
        <w:spacing w:line="440" w:lineRule="exact"/>
        <w:ind w:firstLine="435"/>
        <w:textAlignment w:val="baseline"/>
        <w:rPr>
          <w:szCs w:val="21"/>
          <w:u w:val="single"/>
        </w:rPr>
      </w:pPr>
      <w:r>
        <w:rPr>
          <w:szCs w:val="21"/>
        </w:rPr>
        <w:t>由于承包人延误、行政管理造成的监理服务期延误情况监理服务期限的调整方法：</w:t>
      </w:r>
      <w:r>
        <w:rPr>
          <w:szCs w:val="21"/>
          <w:u w:val="single"/>
        </w:rPr>
        <w:t xml:space="preserve">       </w:t>
      </w:r>
    </w:p>
    <w:p>
      <w:pPr>
        <w:autoSpaceDE w:val="0"/>
        <w:autoSpaceDN w:val="0"/>
        <w:adjustRightInd w:val="0"/>
        <w:snapToGrid w:val="0"/>
        <w:spacing w:line="440" w:lineRule="exact"/>
        <w:ind w:firstLine="435"/>
        <w:textAlignment w:val="baseline"/>
        <w:rPr>
          <w:szCs w:val="21"/>
          <w:u w:val="single"/>
        </w:rPr>
      </w:pPr>
      <w:r>
        <w:rPr>
          <w:szCs w:val="21"/>
        </w:rPr>
        <w:t>由于承包人延误、行政管理造成的监理服务期延误情况监理报酬的调整方法：</w:t>
      </w:r>
      <w:r>
        <w:rPr>
          <w:szCs w:val="21"/>
          <w:u w:val="single"/>
        </w:rPr>
        <w:t xml:space="preserve">           </w:t>
      </w:r>
    </w:p>
    <w:p>
      <w:pPr>
        <w:autoSpaceDE w:val="0"/>
        <w:autoSpaceDN w:val="0"/>
        <w:adjustRightInd w:val="0"/>
        <w:snapToGrid w:val="0"/>
        <w:spacing w:line="440" w:lineRule="exact"/>
        <w:ind w:firstLine="435"/>
        <w:textAlignment w:val="baseline"/>
        <w:rPr>
          <w:szCs w:val="21"/>
          <w:u w:val="single"/>
        </w:rPr>
      </w:pPr>
      <w:r>
        <w:rPr>
          <w:szCs w:val="21"/>
        </w:rPr>
        <w:t>造成监理服务期限延误的其他原因监理服务期限的调整方法：</w:t>
      </w:r>
      <w:r>
        <w:rPr>
          <w:szCs w:val="21"/>
          <w:u w:val="single"/>
        </w:rPr>
        <w:t xml:space="preserve">                         </w:t>
      </w:r>
    </w:p>
    <w:p>
      <w:pPr>
        <w:autoSpaceDE w:val="0"/>
        <w:autoSpaceDN w:val="0"/>
        <w:adjustRightInd w:val="0"/>
        <w:snapToGrid w:val="0"/>
        <w:spacing w:line="440" w:lineRule="exact"/>
        <w:ind w:firstLine="435"/>
        <w:textAlignment w:val="baseline"/>
        <w:rPr>
          <w:szCs w:val="21"/>
          <w:u w:val="single"/>
        </w:rPr>
      </w:pPr>
      <w:r>
        <w:rPr>
          <w:szCs w:val="21"/>
        </w:rPr>
        <w:t>造成监理服务期限延误的其他原因监理报酬的调整方法：</w:t>
      </w:r>
      <w:r>
        <w:rPr>
          <w:szCs w:val="21"/>
          <w:u w:val="single"/>
        </w:rPr>
        <w:t xml:space="preserve">                             </w:t>
      </w:r>
    </w:p>
    <w:p>
      <w:pPr>
        <w:pStyle w:val="3"/>
        <w:spacing w:before="120" w:beforeLines="50" w:after="120" w:afterLines="50" w:line="440" w:lineRule="exact"/>
        <w:jc w:val="left"/>
        <w:rPr>
          <w:rFonts w:ascii="Times New Roman" w:hAnsi="Times New Roman"/>
          <w:sz w:val="28"/>
          <w:szCs w:val="28"/>
        </w:rPr>
      </w:pPr>
      <w:bookmarkStart w:id="384" w:name="_Toc62572858"/>
      <w:r>
        <w:rPr>
          <w:rFonts w:ascii="Times New Roman" w:hAnsi="Times New Roman"/>
          <w:sz w:val="28"/>
          <w:szCs w:val="28"/>
        </w:rPr>
        <w:t>8. 合同管理</w:t>
      </w:r>
      <w:bookmarkEnd w:id="384"/>
    </w:p>
    <w:p>
      <w:pPr>
        <w:pStyle w:val="4"/>
        <w:spacing w:before="0" w:after="0" w:line="440" w:lineRule="exact"/>
        <w:rPr>
          <w:rFonts w:eastAsia="黑体"/>
          <w:b w:val="0"/>
          <w:sz w:val="28"/>
          <w:szCs w:val="28"/>
        </w:rPr>
      </w:pPr>
      <w:bookmarkStart w:id="385" w:name="_Toc62572859"/>
      <w:r>
        <w:rPr>
          <w:rFonts w:eastAsia="黑体"/>
          <w:b w:val="0"/>
          <w:sz w:val="28"/>
          <w:szCs w:val="28"/>
        </w:rPr>
        <w:t>8.1变更情形</w:t>
      </w:r>
      <w:bookmarkEnd w:id="385"/>
    </w:p>
    <w:p>
      <w:pPr>
        <w:autoSpaceDE w:val="0"/>
        <w:autoSpaceDN w:val="0"/>
        <w:adjustRightInd w:val="0"/>
        <w:snapToGrid w:val="0"/>
        <w:spacing w:line="440" w:lineRule="exact"/>
        <w:ind w:firstLine="435"/>
        <w:textAlignment w:val="baseline"/>
        <w:rPr>
          <w:szCs w:val="21"/>
        </w:rPr>
      </w:pPr>
      <w:r>
        <w:rPr>
          <w:szCs w:val="21"/>
        </w:rPr>
        <w:t>8.1.1补充：</w:t>
      </w:r>
    </w:p>
    <w:p>
      <w:pPr>
        <w:autoSpaceDE w:val="0"/>
        <w:autoSpaceDN w:val="0"/>
        <w:adjustRightInd w:val="0"/>
        <w:snapToGrid w:val="0"/>
        <w:spacing w:line="440" w:lineRule="exact"/>
        <w:ind w:firstLine="435"/>
        <w:textAlignment w:val="baseline"/>
        <w:rPr>
          <w:szCs w:val="21"/>
          <w:u w:val="single"/>
        </w:rPr>
      </w:pPr>
      <w:r>
        <w:rPr>
          <w:szCs w:val="21"/>
        </w:rPr>
        <w:t>监理范围发生变化监理服务期限的调整方法：</w:t>
      </w:r>
      <w:r>
        <w:rPr>
          <w:szCs w:val="21"/>
          <w:u w:val="single"/>
        </w:rPr>
        <w:t xml:space="preserve">                                       </w:t>
      </w:r>
    </w:p>
    <w:p>
      <w:pPr>
        <w:autoSpaceDE w:val="0"/>
        <w:autoSpaceDN w:val="0"/>
        <w:adjustRightInd w:val="0"/>
        <w:snapToGrid w:val="0"/>
        <w:spacing w:line="440" w:lineRule="exact"/>
        <w:ind w:firstLine="435"/>
        <w:textAlignment w:val="baseline"/>
        <w:rPr>
          <w:szCs w:val="21"/>
          <w:u w:val="single"/>
        </w:rPr>
      </w:pPr>
      <w:r>
        <w:rPr>
          <w:szCs w:val="21"/>
        </w:rPr>
        <w:t>监理范围发生变化监理报酬的调整方法：</w:t>
      </w:r>
      <w:r>
        <w:rPr>
          <w:szCs w:val="21"/>
          <w:u w:val="single"/>
        </w:rPr>
        <w:t xml:space="preserve">                                           </w:t>
      </w:r>
    </w:p>
    <w:p>
      <w:pPr>
        <w:autoSpaceDE w:val="0"/>
        <w:autoSpaceDN w:val="0"/>
        <w:adjustRightInd w:val="0"/>
        <w:snapToGrid w:val="0"/>
        <w:spacing w:line="440" w:lineRule="exact"/>
        <w:ind w:firstLine="435"/>
        <w:textAlignment w:val="baseline"/>
        <w:rPr>
          <w:szCs w:val="21"/>
          <w:u w:val="single"/>
        </w:rPr>
      </w:pPr>
      <w:r>
        <w:rPr>
          <w:szCs w:val="21"/>
        </w:rPr>
        <w:t>除不可抗力外，非监理人的原因引起的周期延误情况监理服务期限的调整方法：</w:t>
      </w:r>
      <w:r>
        <w:rPr>
          <w:szCs w:val="21"/>
          <w:u w:val="single"/>
        </w:rPr>
        <w:t xml:space="preserve">         </w:t>
      </w:r>
    </w:p>
    <w:p>
      <w:pPr>
        <w:autoSpaceDE w:val="0"/>
        <w:autoSpaceDN w:val="0"/>
        <w:adjustRightInd w:val="0"/>
        <w:snapToGrid w:val="0"/>
        <w:spacing w:line="440" w:lineRule="exact"/>
        <w:ind w:firstLine="435"/>
        <w:textAlignment w:val="baseline"/>
        <w:rPr>
          <w:szCs w:val="21"/>
          <w:u w:val="single"/>
        </w:rPr>
      </w:pPr>
      <w:r>
        <w:rPr>
          <w:szCs w:val="21"/>
        </w:rPr>
        <w:t>除不可抗力外，非监理人的原因引起的周期延误情况监理报酬的调整方法：</w:t>
      </w:r>
      <w:r>
        <w:rPr>
          <w:szCs w:val="21"/>
          <w:u w:val="single"/>
        </w:rPr>
        <w:t xml:space="preserve">             </w:t>
      </w:r>
    </w:p>
    <w:p>
      <w:pPr>
        <w:autoSpaceDE w:val="0"/>
        <w:autoSpaceDN w:val="0"/>
        <w:adjustRightInd w:val="0"/>
        <w:snapToGrid w:val="0"/>
        <w:spacing w:line="440" w:lineRule="exact"/>
        <w:ind w:firstLine="435"/>
        <w:textAlignment w:val="baseline"/>
        <w:rPr>
          <w:szCs w:val="21"/>
          <w:u w:val="single"/>
        </w:rPr>
      </w:pPr>
      <w:r>
        <w:rPr>
          <w:szCs w:val="21"/>
        </w:rPr>
        <w:t>非监理人的原因，对工程同一部分重复进行监理情况监理服务期限的调整方法：</w:t>
      </w:r>
      <w:r>
        <w:rPr>
          <w:szCs w:val="21"/>
          <w:u w:val="single"/>
        </w:rPr>
        <w:t xml:space="preserve">         </w:t>
      </w:r>
    </w:p>
    <w:p>
      <w:pPr>
        <w:autoSpaceDE w:val="0"/>
        <w:autoSpaceDN w:val="0"/>
        <w:adjustRightInd w:val="0"/>
        <w:snapToGrid w:val="0"/>
        <w:spacing w:line="440" w:lineRule="exact"/>
        <w:ind w:firstLine="435"/>
        <w:textAlignment w:val="baseline"/>
        <w:rPr>
          <w:szCs w:val="21"/>
          <w:u w:val="single"/>
        </w:rPr>
      </w:pPr>
      <w:r>
        <w:rPr>
          <w:szCs w:val="21"/>
        </w:rPr>
        <w:t>非监理人的原因，对工程同一部分重复进行监理情况监理报酬的调整方法：</w:t>
      </w:r>
      <w:r>
        <w:rPr>
          <w:szCs w:val="21"/>
          <w:u w:val="single"/>
        </w:rPr>
        <w:t xml:space="preserve">             </w:t>
      </w:r>
    </w:p>
    <w:p>
      <w:pPr>
        <w:autoSpaceDE w:val="0"/>
        <w:autoSpaceDN w:val="0"/>
        <w:adjustRightInd w:val="0"/>
        <w:snapToGrid w:val="0"/>
        <w:spacing w:line="440" w:lineRule="exact"/>
        <w:ind w:firstLine="435"/>
        <w:textAlignment w:val="baseline"/>
        <w:rPr>
          <w:szCs w:val="21"/>
          <w:u w:val="single"/>
        </w:rPr>
      </w:pPr>
      <w:r>
        <w:rPr>
          <w:szCs w:val="21"/>
        </w:rPr>
        <w:t>非监理人的原因，对工程暂停监理及恢复监理情况监理服务期限的调整方法：</w:t>
      </w:r>
      <w:r>
        <w:rPr>
          <w:szCs w:val="21"/>
          <w:u w:val="single"/>
        </w:rPr>
        <w:t xml:space="preserve">           </w:t>
      </w:r>
    </w:p>
    <w:p>
      <w:pPr>
        <w:autoSpaceDE w:val="0"/>
        <w:autoSpaceDN w:val="0"/>
        <w:adjustRightInd w:val="0"/>
        <w:snapToGrid w:val="0"/>
        <w:spacing w:line="440" w:lineRule="exact"/>
        <w:ind w:firstLine="435"/>
        <w:textAlignment w:val="baseline"/>
        <w:rPr>
          <w:szCs w:val="21"/>
          <w:u w:val="single"/>
        </w:rPr>
      </w:pPr>
      <w:r>
        <w:rPr>
          <w:szCs w:val="21"/>
        </w:rPr>
        <w:t>非监理人的原因，对工程暂停监理及恢复监理情况监理报酬的调整方法：</w:t>
      </w:r>
      <w:r>
        <w:rPr>
          <w:szCs w:val="21"/>
          <w:u w:val="single"/>
        </w:rPr>
        <w:t xml:space="preserve">              </w:t>
      </w:r>
    </w:p>
    <w:p>
      <w:pPr>
        <w:autoSpaceDE w:val="0"/>
        <w:autoSpaceDN w:val="0"/>
        <w:adjustRightInd w:val="0"/>
        <w:snapToGrid w:val="0"/>
        <w:spacing w:line="440" w:lineRule="exact"/>
        <w:ind w:firstLine="435"/>
        <w:textAlignment w:val="baseline"/>
        <w:rPr>
          <w:szCs w:val="21"/>
          <w:u w:val="single"/>
        </w:rPr>
      </w:pPr>
      <w:r>
        <w:rPr>
          <w:szCs w:val="21"/>
        </w:rPr>
        <w:t>设计变更导致工程造价变化时，监理报酬的调整方法</w:t>
      </w:r>
      <w:r>
        <w:rPr>
          <w:szCs w:val="21"/>
          <w:u w:val="single"/>
        </w:rPr>
        <w:t xml:space="preserve">                                </w:t>
      </w:r>
    </w:p>
    <w:p>
      <w:pPr>
        <w:pStyle w:val="4"/>
        <w:spacing w:before="0" w:after="0" w:line="440" w:lineRule="exact"/>
        <w:rPr>
          <w:rFonts w:eastAsia="黑体"/>
          <w:b w:val="0"/>
          <w:sz w:val="28"/>
          <w:szCs w:val="28"/>
        </w:rPr>
      </w:pPr>
      <w:bookmarkStart w:id="386" w:name="_Toc62572860"/>
      <w:r>
        <w:rPr>
          <w:rFonts w:eastAsia="黑体"/>
          <w:b w:val="0"/>
          <w:sz w:val="28"/>
          <w:szCs w:val="28"/>
        </w:rPr>
        <w:t>8.2 合理化建议</w:t>
      </w:r>
      <w:bookmarkEnd w:id="386"/>
    </w:p>
    <w:p>
      <w:pPr>
        <w:autoSpaceDE w:val="0"/>
        <w:autoSpaceDN w:val="0"/>
        <w:adjustRightInd w:val="0"/>
        <w:snapToGrid w:val="0"/>
        <w:spacing w:line="440" w:lineRule="exact"/>
        <w:ind w:firstLine="435"/>
        <w:textAlignment w:val="baseline"/>
        <w:rPr>
          <w:szCs w:val="21"/>
          <w:u w:val="single"/>
        </w:rPr>
      </w:pPr>
      <w:r>
        <w:rPr>
          <w:szCs w:val="21"/>
        </w:rPr>
        <w:t>8.2.2委托人对监理人提出的合理化建议给予奖励约定：</w:t>
      </w:r>
      <w:r>
        <w:rPr>
          <w:szCs w:val="21"/>
          <w:u w:val="single"/>
        </w:rPr>
        <w:t xml:space="preserve">                         </w:t>
      </w:r>
    </w:p>
    <w:p>
      <w:pPr>
        <w:autoSpaceDE w:val="0"/>
        <w:autoSpaceDN w:val="0"/>
        <w:adjustRightInd w:val="0"/>
        <w:snapToGrid w:val="0"/>
        <w:spacing w:line="440" w:lineRule="exact"/>
        <w:textAlignment w:val="baseline"/>
        <w:rPr>
          <w:color w:val="333333"/>
          <w:szCs w:val="21"/>
        </w:rPr>
      </w:pPr>
      <w:r>
        <w:rPr>
          <w:szCs w:val="21"/>
          <w:u w:val="single"/>
        </w:rPr>
        <w:t xml:space="preserve">8.3 </w:t>
      </w:r>
      <w:r>
        <w:rPr>
          <w:color w:val="333333"/>
          <w:szCs w:val="21"/>
        </w:rPr>
        <w:t>因国家法律、法规及政策调整导致合同价款中税费发生变化的，相应税费双方应按国家法律法规、政策调整执行。</w:t>
      </w:r>
    </w:p>
    <w:p>
      <w:pPr>
        <w:pStyle w:val="4"/>
        <w:spacing w:before="0" w:after="0" w:line="440" w:lineRule="exact"/>
        <w:rPr>
          <w:rFonts w:eastAsia="黑体"/>
          <w:b w:val="0"/>
          <w:sz w:val="28"/>
          <w:szCs w:val="28"/>
        </w:rPr>
      </w:pPr>
      <w:bookmarkStart w:id="387" w:name="_Toc62572861"/>
      <w:bookmarkStart w:id="388" w:name="_Toc62483706"/>
      <w:bookmarkStart w:id="389" w:name="_Toc62485045"/>
      <w:r>
        <w:rPr>
          <w:rFonts w:eastAsia="黑体"/>
          <w:b w:val="0"/>
          <w:sz w:val="28"/>
          <w:szCs w:val="28"/>
        </w:rPr>
        <w:t xml:space="preserve">8.3 </w:t>
      </w:r>
      <w:r>
        <w:rPr>
          <w:rFonts w:hint="eastAsia" w:eastAsia="黑体"/>
          <w:b w:val="0"/>
          <w:sz w:val="28"/>
          <w:szCs w:val="28"/>
        </w:rPr>
        <w:t>税费调整规定</w:t>
      </w:r>
      <w:bookmarkEnd w:id="387"/>
      <w:bookmarkEnd w:id="388"/>
      <w:bookmarkEnd w:id="389"/>
    </w:p>
    <w:p>
      <w:pPr>
        <w:autoSpaceDE w:val="0"/>
        <w:autoSpaceDN w:val="0"/>
        <w:adjustRightInd w:val="0"/>
        <w:snapToGrid w:val="0"/>
        <w:spacing w:line="440" w:lineRule="exact"/>
        <w:ind w:firstLine="435"/>
        <w:textAlignment w:val="baseline"/>
        <w:rPr>
          <w:szCs w:val="21"/>
          <w:u w:val="single"/>
        </w:rPr>
      </w:pPr>
      <w:r>
        <w:rPr>
          <w:color w:val="333333"/>
          <w:szCs w:val="21"/>
        </w:rPr>
        <w:t>因国家法律、法规及政策调整导致合同价款中税费发生变化的，相应税费双方应按国家法律法规、政策调整执行。</w:t>
      </w:r>
    </w:p>
    <w:bookmarkEnd w:id="361"/>
    <w:bookmarkEnd w:id="362"/>
    <w:bookmarkEnd w:id="363"/>
    <w:bookmarkEnd w:id="364"/>
    <w:bookmarkEnd w:id="365"/>
    <w:bookmarkEnd w:id="366"/>
    <w:bookmarkEnd w:id="367"/>
    <w:bookmarkEnd w:id="368"/>
    <w:bookmarkEnd w:id="369"/>
    <w:bookmarkEnd w:id="370"/>
    <w:bookmarkEnd w:id="371"/>
    <w:p>
      <w:pPr>
        <w:pStyle w:val="3"/>
        <w:spacing w:before="120" w:beforeLines="50" w:after="120" w:afterLines="50" w:line="440" w:lineRule="exact"/>
        <w:jc w:val="left"/>
        <w:rPr>
          <w:rFonts w:ascii="Times New Roman" w:hAnsi="Times New Roman"/>
          <w:sz w:val="28"/>
          <w:szCs w:val="28"/>
        </w:rPr>
      </w:pPr>
      <w:bookmarkStart w:id="390" w:name="_Toc225412329"/>
      <w:bookmarkStart w:id="391" w:name="_Toc225416016"/>
      <w:bookmarkStart w:id="392" w:name="_Toc225567446"/>
      <w:bookmarkStart w:id="393" w:name="_Toc225411479"/>
      <w:bookmarkStart w:id="394" w:name="_Toc225566665"/>
      <w:bookmarkStart w:id="395" w:name="_Toc225396659"/>
      <w:bookmarkStart w:id="396" w:name="_Toc62572862"/>
      <w:bookmarkStart w:id="397" w:name="_Toc225410763"/>
      <w:bookmarkStart w:id="398" w:name="_Toc225411557"/>
      <w:bookmarkStart w:id="399" w:name="_Toc225409921"/>
      <w:bookmarkStart w:id="400" w:name="_Toc225566847"/>
      <w:bookmarkStart w:id="401" w:name="_Toc225415815"/>
      <w:bookmarkStart w:id="402" w:name="_Toc225412127"/>
      <w:bookmarkStart w:id="403" w:name="_Toc244342985"/>
      <w:bookmarkStart w:id="404" w:name="_Toc225415614"/>
      <w:bookmarkStart w:id="405" w:name="_Toc225410137"/>
      <w:bookmarkStart w:id="406" w:name="_Toc225409594"/>
      <w:bookmarkStart w:id="407" w:name="_Toc225409743"/>
      <w:r>
        <w:rPr>
          <w:rFonts w:ascii="Times New Roman" w:hAnsi="Times New Roman"/>
          <w:sz w:val="28"/>
          <w:szCs w:val="28"/>
        </w:rPr>
        <w:t>9. 合同价格与支付</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pStyle w:val="4"/>
        <w:spacing w:before="0" w:after="0" w:line="440" w:lineRule="exact"/>
        <w:rPr>
          <w:rFonts w:eastAsia="黑体"/>
          <w:b w:val="0"/>
          <w:sz w:val="28"/>
          <w:szCs w:val="28"/>
        </w:rPr>
      </w:pPr>
      <w:bookmarkStart w:id="408" w:name="_Toc62572863"/>
      <w:r>
        <w:rPr>
          <w:rFonts w:eastAsia="黑体"/>
          <w:b w:val="0"/>
          <w:sz w:val="28"/>
          <w:szCs w:val="28"/>
        </w:rPr>
        <w:t>9.1合同价格</w:t>
      </w:r>
      <w:bookmarkEnd w:id="408"/>
    </w:p>
    <w:p>
      <w:pPr>
        <w:autoSpaceDE w:val="0"/>
        <w:autoSpaceDN w:val="0"/>
        <w:adjustRightInd w:val="0"/>
        <w:snapToGrid w:val="0"/>
        <w:spacing w:line="440" w:lineRule="exact"/>
        <w:ind w:firstLine="435"/>
        <w:textAlignment w:val="baseline"/>
        <w:rPr>
          <w:szCs w:val="21"/>
        </w:rPr>
      </w:pPr>
      <w:r>
        <w:rPr>
          <w:szCs w:val="21"/>
        </w:rPr>
        <w:t>9.1.1款补充</w:t>
      </w:r>
    </w:p>
    <w:p>
      <w:pPr>
        <w:autoSpaceDE w:val="0"/>
        <w:autoSpaceDN w:val="0"/>
        <w:adjustRightInd w:val="0"/>
        <w:snapToGrid w:val="0"/>
        <w:spacing w:line="440" w:lineRule="exact"/>
        <w:ind w:firstLine="435"/>
        <w:textAlignment w:val="baseline"/>
        <w:rPr>
          <w:szCs w:val="21"/>
        </w:rPr>
      </w:pPr>
      <w:r>
        <w:rPr>
          <w:szCs w:val="21"/>
        </w:rPr>
        <w:t>委托人自行选择监理合同款计价方法：</w:t>
      </w:r>
    </w:p>
    <w:p>
      <w:pPr>
        <w:autoSpaceDE w:val="0"/>
        <w:autoSpaceDN w:val="0"/>
        <w:adjustRightInd w:val="0"/>
        <w:snapToGrid w:val="0"/>
        <w:spacing w:line="440" w:lineRule="exact"/>
        <w:ind w:firstLine="435"/>
        <w:textAlignment w:val="baseline"/>
        <w:rPr>
          <w:szCs w:val="21"/>
        </w:rPr>
      </w:pPr>
      <w:r>
        <w:rPr>
          <w:szCs w:val="21"/>
        </w:rPr>
        <w:t>（1）按监理人员服务费和其他费两部分计。监理人员服务费，委托人对监理人出勤人数进行考核，按人月数和投标单价进行计费；其他费按月折算进行计取。监理验工计价费=当期监理人员服务费+当期其他费。</w:t>
      </w:r>
    </w:p>
    <w:p>
      <w:pPr>
        <w:autoSpaceDE w:val="0"/>
        <w:autoSpaceDN w:val="0"/>
        <w:adjustRightInd w:val="0"/>
        <w:snapToGrid w:val="0"/>
        <w:spacing w:line="440" w:lineRule="exact"/>
        <w:ind w:firstLine="435"/>
        <w:textAlignment w:val="baseline"/>
        <w:rPr>
          <w:szCs w:val="21"/>
        </w:rPr>
      </w:pPr>
      <w:r>
        <w:rPr>
          <w:szCs w:val="21"/>
        </w:rPr>
        <w:t>（2）其他方式：</w:t>
      </w:r>
      <w:r>
        <w:rPr>
          <w:szCs w:val="21"/>
          <w:u w:val="single"/>
        </w:rPr>
        <w:t xml:space="preserve">                                          </w:t>
      </w:r>
      <w:r>
        <w:rPr>
          <w:szCs w:val="21"/>
        </w:rPr>
        <w:t>。</w:t>
      </w:r>
    </w:p>
    <w:p>
      <w:pPr>
        <w:autoSpaceDE w:val="0"/>
        <w:autoSpaceDN w:val="0"/>
        <w:adjustRightInd w:val="0"/>
        <w:snapToGrid w:val="0"/>
        <w:spacing w:line="440" w:lineRule="exact"/>
        <w:ind w:firstLine="435"/>
        <w:textAlignment w:val="baseline"/>
        <w:rPr>
          <w:szCs w:val="21"/>
        </w:rPr>
      </w:pPr>
      <w:r>
        <w:rPr>
          <w:szCs w:val="21"/>
        </w:rPr>
        <w:t>9.1.2款补充</w:t>
      </w:r>
    </w:p>
    <w:p>
      <w:pPr>
        <w:autoSpaceDE w:val="0"/>
        <w:autoSpaceDN w:val="0"/>
        <w:adjustRightInd w:val="0"/>
        <w:snapToGrid w:val="0"/>
        <w:spacing w:line="440" w:lineRule="exact"/>
        <w:ind w:firstLine="435"/>
        <w:textAlignment w:val="baseline"/>
        <w:rPr>
          <w:szCs w:val="21"/>
        </w:rPr>
      </w:pPr>
      <w:r>
        <w:rPr>
          <w:szCs w:val="21"/>
        </w:rPr>
        <w:t>1.由于非监理人原因造成建设工程监理工作量（或监理服务人月数）增加或减少的，委托人应按监理工程量（或监理服务人月数）增减内容与监理人协商另行支付或扣减监理费</w:t>
      </w:r>
      <w:r>
        <w:rPr>
          <w:szCs w:val="21"/>
          <w:u w:val="single"/>
        </w:rPr>
        <w:t xml:space="preserve">                                </w:t>
      </w:r>
      <w:r>
        <w:rPr>
          <w:szCs w:val="21"/>
        </w:rPr>
        <w:t>。</w:t>
      </w:r>
    </w:p>
    <w:p>
      <w:pPr>
        <w:adjustRightInd w:val="0"/>
        <w:snapToGrid w:val="0"/>
        <w:spacing w:line="440" w:lineRule="exact"/>
        <w:ind w:firstLine="420"/>
        <w:rPr>
          <w:szCs w:val="21"/>
        </w:rPr>
      </w:pPr>
      <w:r>
        <w:rPr>
          <w:szCs w:val="21"/>
        </w:rPr>
        <w:t>2.如果委托人在规定的支付时间未支付监理酬金，自规定之日起，还应向监理人支付滞纳金。滞纳金从规定支付期限最后一日起、按当期中国人民银行公布的人民币短期贷款利率计算。</w:t>
      </w:r>
    </w:p>
    <w:p>
      <w:pPr>
        <w:adjustRightInd w:val="0"/>
        <w:snapToGrid w:val="0"/>
        <w:spacing w:line="440" w:lineRule="exact"/>
        <w:ind w:firstLine="420"/>
        <w:rPr>
          <w:kern w:val="0"/>
          <w:szCs w:val="21"/>
        </w:rPr>
      </w:pPr>
      <w:r>
        <w:rPr>
          <w:szCs w:val="21"/>
        </w:rPr>
        <w:t>3.</w:t>
      </w:r>
      <w:r>
        <w:rPr>
          <w:kern w:val="0"/>
          <w:szCs w:val="21"/>
        </w:rPr>
        <w:t>超出监理服务范围，委托人要求监理人进行的材料和设备检测所发生的费用，由委托人支付。</w:t>
      </w:r>
    </w:p>
    <w:p>
      <w:pPr>
        <w:adjustRightInd w:val="0"/>
        <w:snapToGrid w:val="0"/>
        <w:spacing w:line="440" w:lineRule="exact"/>
        <w:ind w:firstLine="420"/>
        <w:rPr>
          <w:szCs w:val="21"/>
        </w:rPr>
      </w:pPr>
      <w:r>
        <w:rPr>
          <w:kern w:val="0"/>
          <w:szCs w:val="21"/>
        </w:rPr>
        <w:t>4.经委托人同意，根据工程需要由监理人组织的相关咨询论证会以及聘请相关专家等发生的费用由委托人承担。</w:t>
      </w:r>
    </w:p>
    <w:p>
      <w:pPr>
        <w:pStyle w:val="4"/>
        <w:spacing w:before="0" w:after="0" w:line="440" w:lineRule="exact"/>
        <w:rPr>
          <w:rFonts w:eastAsia="黑体"/>
          <w:b w:val="0"/>
          <w:sz w:val="28"/>
          <w:szCs w:val="28"/>
        </w:rPr>
      </w:pPr>
      <w:bookmarkStart w:id="409" w:name="_Toc62572864"/>
      <w:r>
        <w:rPr>
          <w:rFonts w:eastAsia="黑体"/>
          <w:b w:val="0"/>
          <w:sz w:val="28"/>
          <w:szCs w:val="28"/>
        </w:rPr>
        <w:t>9.2预付款</w:t>
      </w:r>
      <w:bookmarkEnd w:id="409"/>
    </w:p>
    <w:p>
      <w:pPr>
        <w:autoSpaceDE w:val="0"/>
        <w:autoSpaceDN w:val="0"/>
        <w:adjustRightInd w:val="0"/>
        <w:snapToGrid w:val="0"/>
        <w:spacing w:line="440" w:lineRule="exact"/>
        <w:ind w:firstLine="435"/>
        <w:textAlignment w:val="baseline"/>
        <w:rPr>
          <w:szCs w:val="21"/>
        </w:rPr>
      </w:pPr>
      <w:r>
        <w:rPr>
          <w:szCs w:val="21"/>
        </w:rPr>
        <w:t>9.2.1款补充</w:t>
      </w:r>
    </w:p>
    <w:p>
      <w:pPr>
        <w:autoSpaceDE w:val="0"/>
        <w:autoSpaceDN w:val="0"/>
        <w:adjustRightInd w:val="0"/>
        <w:snapToGrid w:val="0"/>
        <w:spacing w:line="440" w:lineRule="exact"/>
        <w:ind w:firstLine="435"/>
        <w:textAlignment w:val="baseline"/>
        <w:rPr>
          <w:kern w:val="0"/>
          <w:szCs w:val="21"/>
        </w:rPr>
      </w:pPr>
      <w:r>
        <w:rPr>
          <w:kern w:val="0"/>
          <w:szCs w:val="21"/>
        </w:rPr>
        <w:t>合同签订后30日内</w:t>
      </w:r>
      <w:r>
        <w:rPr>
          <w:rFonts w:hint="eastAsia"/>
          <w:kern w:val="0"/>
          <w:szCs w:val="21"/>
        </w:rPr>
        <w:t>委托人</w:t>
      </w:r>
      <w:r>
        <w:rPr>
          <w:kern w:val="0"/>
          <w:szCs w:val="21"/>
        </w:rPr>
        <w:t>将合同额的10%作为预付款支付给监理人，验工计价累计额度达到监理</w:t>
      </w:r>
      <w:r>
        <w:rPr>
          <w:rFonts w:hint="eastAsia"/>
          <w:kern w:val="0"/>
          <w:szCs w:val="21"/>
        </w:rPr>
        <w:t>合同</w:t>
      </w:r>
      <w:r>
        <w:rPr>
          <w:kern w:val="0"/>
          <w:szCs w:val="21"/>
        </w:rPr>
        <w:t>额的50%时，委托人在次季度开始按</w:t>
      </w:r>
      <w:r>
        <w:rPr>
          <w:rFonts w:hint="eastAsia"/>
          <w:kern w:val="0"/>
          <w:szCs w:val="21"/>
        </w:rPr>
        <w:t>当期</w:t>
      </w:r>
      <w:r>
        <w:rPr>
          <w:kern w:val="0"/>
          <w:szCs w:val="21"/>
        </w:rPr>
        <w:t>验工计价额的50%抵扣预付款，直至完成抵扣。</w:t>
      </w:r>
    </w:p>
    <w:p>
      <w:pPr>
        <w:autoSpaceDE w:val="0"/>
        <w:autoSpaceDN w:val="0"/>
        <w:adjustRightInd w:val="0"/>
        <w:snapToGrid w:val="0"/>
        <w:spacing w:line="440" w:lineRule="exact"/>
        <w:ind w:firstLine="435"/>
        <w:textAlignment w:val="baseline"/>
        <w:rPr>
          <w:szCs w:val="21"/>
        </w:rPr>
      </w:pPr>
      <w:r>
        <w:rPr>
          <w:szCs w:val="21"/>
        </w:rPr>
        <w:t>9.2.2款补充</w:t>
      </w:r>
    </w:p>
    <w:p>
      <w:pPr>
        <w:autoSpaceDE w:val="0"/>
        <w:autoSpaceDN w:val="0"/>
        <w:adjustRightInd w:val="0"/>
        <w:snapToGrid w:val="0"/>
        <w:spacing w:line="440" w:lineRule="exact"/>
        <w:ind w:firstLine="435"/>
        <w:textAlignment w:val="baseline"/>
        <w:rPr>
          <w:szCs w:val="21"/>
        </w:rPr>
      </w:pPr>
      <w:r>
        <w:rPr>
          <w:szCs w:val="21"/>
        </w:rPr>
        <w:t>关于预付款发票的约定：监理人应当提供等额的增值税专用发票。</w:t>
      </w:r>
      <w:r>
        <w:rPr>
          <w:szCs w:val="21"/>
          <w:u w:val="single"/>
        </w:rPr>
        <w:t xml:space="preserve">       </w:t>
      </w:r>
    </w:p>
    <w:p>
      <w:pPr>
        <w:pStyle w:val="4"/>
        <w:spacing w:before="0" w:after="0" w:line="440" w:lineRule="exact"/>
        <w:rPr>
          <w:rFonts w:eastAsia="黑体"/>
          <w:b w:val="0"/>
          <w:sz w:val="28"/>
          <w:szCs w:val="28"/>
        </w:rPr>
      </w:pPr>
      <w:bookmarkStart w:id="410" w:name="_Toc62572865"/>
      <w:r>
        <w:rPr>
          <w:rFonts w:eastAsia="黑体"/>
          <w:b w:val="0"/>
          <w:sz w:val="28"/>
          <w:szCs w:val="28"/>
        </w:rPr>
        <w:t>9.3中期支付</w:t>
      </w:r>
      <w:bookmarkEnd w:id="410"/>
    </w:p>
    <w:p>
      <w:pPr>
        <w:autoSpaceDE w:val="0"/>
        <w:autoSpaceDN w:val="0"/>
        <w:adjustRightInd w:val="0"/>
        <w:snapToGrid w:val="0"/>
        <w:spacing w:line="440" w:lineRule="exact"/>
        <w:ind w:firstLine="435"/>
        <w:textAlignment w:val="baseline"/>
        <w:rPr>
          <w:szCs w:val="21"/>
        </w:rPr>
      </w:pPr>
      <w:r>
        <w:rPr>
          <w:szCs w:val="21"/>
        </w:rPr>
        <w:t>9.3.1补充</w:t>
      </w:r>
    </w:p>
    <w:p>
      <w:pPr>
        <w:autoSpaceDE w:val="0"/>
        <w:autoSpaceDN w:val="0"/>
        <w:adjustRightInd w:val="0"/>
        <w:snapToGrid w:val="0"/>
        <w:spacing w:line="440" w:lineRule="exact"/>
        <w:ind w:firstLine="435"/>
        <w:textAlignment w:val="baseline"/>
        <w:rPr>
          <w:szCs w:val="21"/>
        </w:rPr>
      </w:pPr>
      <w:r>
        <w:rPr>
          <w:szCs w:val="21"/>
        </w:rPr>
        <w:t>监理人应按委托人要求的格式文件进行监理报酬计价申请，申请文件一式</w:t>
      </w:r>
      <w:r>
        <w:rPr>
          <w:szCs w:val="21"/>
          <w:u w:val="single"/>
        </w:rPr>
        <w:t xml:space="preserve">    </w:t>
      </w:r>
      <w:r>
        <w:rPr>
          <w:szCs w:val="21"/>
        </w:rPr>
        <w:t>份。</w:t>
      </w:r>
    </w:p>
    <w:p>
      <w:pPr>
        <w:autoSpaceDE w:val="0"/>
        <w:autoSpaceDN w:val="0"/>
        <w:adjustRightInd w:val="0"/>
        <w:snapToGrid w:val="0"/>
        <w:spacing w:line="440" w:lineRule="exact"/>
        <w:ind w:firstLine="435"/>
        <w:textAlignment w:val="baseline"/>
        <w:rPr>
          <w:szCs w:val="21"/>
        </w:rPr>
      </w:pPr>
      <w:r>
        <w:rPr>
          <w:szCs w:val="21"/>
        </w:rPr>
        <w:t>本条补充</w:t>
      </w:r>
    </w:p>
    <w:p>
      <w:pPr>
        <w:autoSpaceDE w:val="0"/>
        <w:autoSpaceDN w:val="0"/>
        <w:adjustRightInd w:val="0"/>
        <w:snapToGrid w:val="0"/>
        <w:spacing w:line="440" w:lineRule="exact"/>
        <w:ind w:firstLine="435"/>
        <w:textAlignment w:val="baseline"/>
        <w:rPr>
          <w:szCs w:val="21"/>
        </w:rPr>
      </w:pPr>
      <w:r>
        <w:rPr>
          <w:szCs w:val="21"/>
        </w:rPr>
        <w:t>9.3.2款补充：</w:t>
      </w:r>
    </w:p>
    <w:p>
      <w:pPr>
        <w:autoSpaceDE w:val="0"/>
        <w:autoSpaceDN w:val="0"/>
        <w:adjustRightInd w:val="0"/>
        <w:snapToGrid w:val="0"/>
        <w:spacing w:line="440" w:lineRule="exact"/>
        <w:ind w:firstLine="435"/>
        <w:textAlignment w:val="baseline"/>
        <w:rPr>
          <w:szCs w:val="21"/>
        </w:rPr>
      </w:pPr>
      <w:r>
        <w:rPr>
          <w:szCs w:val="21"/>
        </w:rPr>
        <w:t>关于中期支付发票的约定：监理人应当提供等额的增值税专用发票。</w:t>
      </w:r>
    </w:p>
    <w:p>
      <w:pPr>
        <w:autoSpaceDE w:val="0"/>
        <w:autoSpaceDN w:val="0"/>
        <w:adjustRightInd w:val="0"/>
        <w:snapToGrid w:val="0"/>
        <w:spacing w:line="440" w:lineRule="exact"/>
        <w:ind w:firstLine="435"/>
        <w:textAlignment w:val="baseline"/>
        <w:rPr>
          <w:szCs w:val="21"/>
        </w:rPr>
      </w:pPr>
      <w:r>
        <w:rPr>
          <w:szCs w:val="21"/>
        </w:rPr>
        <w:t>9.3.4项目开工后，按不高于批复监理验工计价的97%结算付款（含履约考核费用），付款时限为委托人签字后的28日内。</w:t>
      </w:r>
    </w:p>
    <w:p>
      <w:pPr>
        <w:adjustRightInd w:val="0"/>
        <w:snapToGrid w:val="0"/>
        <w:spacing w:line="440" w:lineRule="exact"/>
        <w:ind w:firstLine="420"/>
        <w:rPr>
          <w:szCs w:val="21"/>
        </w:rPr>
      </w:pPr>
      <w:r>
        <w:rPr>
          <w:szCs w:val="21"/>
        </w:rPr>
        <w:t>9.3.5委托人预留监理费总额的1%作为履约考核费用，根据建设项目监理企业信用评价结果，按以下原则支付或扣减。</w:t>
      </w:r>
    </w:p>
    <w:p>
      <w:pPr>
        <w:adjustRightInd w:val="0"/>
        <w:snapToGrid w:val="0"/>
        <w:spacing w:line="440" w:lineRule="exact"/>
        <w:ind w:firstLine="420"/>
        <w:rPr>
          <w:szCs w:val="21"/>
        </w:rPr>
      </w:pPr>
      <w:r>
        <w:rPr>
          <w:szCs w:val="21"/>
        </w:rPr>
        <w:t>9.3.5.1监理考核费用包含在投标报价及合同总价中。</w:t>
      </w:r>
    </w:p>
    <w:p>
      <w:pPr>
        <w:adjustRightInd w:val="0"/>
        <w:snapToGrid w:val="0"/>
        <w:spacing w:line="440" w:lineRule="exact"/>
        <w:ind w:firstLine="420"/>
        <w:rPr>
          <w:szCs w:val="21"/>
        </w:rPr>
      </w:pPr>
      <w:r>
        <w:rPr>
          <w:szCs w:val="21"/>
        </w:rPr>
        <w:t>9.3.5.2委托人应分考核期对监理企业实施考核。考核期费用为监理考核总费用除以监理项目信用评价次数，其中监理项目信用评价次数=初步设计批复的总工期（月）/6。</w:t>
      </w:r>
    </w:p>
    <w:p>
      <w:pPr>
        <w:adjustRightInd w:val="0"/>
        <w:snapToGrid w:val="0"/>
        <w:spacing w:line="440" w:lineRule="exact"/>
        <w:ind w:firstLine="420"/>
        <w:rPr>
          <w:szCs w:val="21"/>
        </w:rPr>
      </w:pPr>
      <w:r>
        <w:rPr>
          <w:szCs w:val="21"/>
        </w:rPr>
        <w:t>9.3.5.3监理项目在评价期内发生重大不良行为或3起以上较大不良行为，按考核费用额度的100%予以扣减监理人合同价款，其余情况可按委托人在实施细则中明确的考核条款考核。</w:t>
      </w:r>
    </w:p>
    <w:p>
      <w:pPr>
        <w:pStyle w:val="4"/>
        <w:spacing w:before="0" w:after="0" w:line="440" w:lineRule="exact"/>
        <w:rPr>
          <w:rFonts w:eastAsia="黑体"/>
          <w:b w:val="0"/>
          <w:sz w:val="28"/>
          <w:szCs w:val="28"/>
        </w:rPr>
      </w:pPr>
      <w:bookmarkStart w:id="411" w:name="_Toc62572866"/>
      <w:r>
        <w:rPr>
          <w:rFonts w:eastAsia="黑体"/>
          <w:b w:val="0"/>
          <w:sz w:val="28"/>
          <w:szCs w:val="28"/>
        </w:rPr>
        <w:t>9.4费用结算</w:t>
      </w:r>
      <w:bookmarkEnd w:id="411"/>
    </w:p>
    <w:p>
      <w:pPr>
        <w:autoSpaceDE w:val="0"/>
        <w:autoSpaceDN w:val="0"/>
        <w:adjustRightInd w:val="0"/>
        <w:snapToGrid w:val="0"/>
        <w:spacing w:line="440" w:lineRule="exact"/>
        <w:ind w:firstLine="435"/>
        <w:textAlignment w:val="baseline"/>
        <w:rPr>
          <w:szCs w:val="21"/>
        </w:rPr>
      </w:pPr>
      <w:r>
        <w:rPr>
          <w:szCs w:val="21"/>
        </w:rPr>
        <w:t>9.4.2款补充：</w:t>
      </w:r>
    </w:p>
    <w:p>
      <w:pPr>
        <w:adjustRightInd w:val="0"/>
        <w:snapToGrid w:val="0"/>
        <w:spacing w:line="440" w:lineRule="exact"/>
        <w:ind w:firstLine="420" w:firstLineChars="200"/>
        <w:rPr>
          <w:szCs w:val="21"/>
        </w:rPr>
      </w:pPr>
      <w:r>
        <w:rPr>
          <w:szCs w:val="21"/>
        </w:rPr>
        <w:t>工程初步验收合格前累计付款不超过监理合同额的97%；工程通过初步验收且监理合同全部义务履行完毕后，监理人在28日内按照全部监理费用的3%提供工程质量保证金银行保函，保函期限为工程通过初步验收后2年。委托人收到保函后，在10个工作日支付剩余监理费用。监理人应当提供等额的增值税专用发票。</w:t>
      </w:r>
    </w:p>
    <w:p>
      <w:pPr>
        <w:pStyle w:val="3"/>
        <w:spacing w:before="120" w:beforeLines="50" w:after="120" w:afterLines="50" w:line="440" w:lineRule="exact"/>
        <w:jc w:val="left"/>
        <w:rPr>
          <w:rFonts w:ascii="Times New Roman" w:hAnsi="Times New Roman"/>
          <w:sz w:val="28"/>
          <w:szCs w:val="28"/>
        </w:rPr>
      </w:pPr>
      <w:bookmarkStart w:id="412" w:name="_Toc62572867"/>
      <w:bookmarkStart w:id="413" w:name="_Toc225411558"/>
      <w:bookmarkStart w:id="414" w:name="_Toc225396660"/>
      <w:bookmarkStart w:id="415" w:name="_Toc225411480"/>
      <w:bookmarkStart w:id="416" w:name="_Toc244342986"/>
      <w:bookmarkStart w:id="417" w:name="_Toc225566666"/>
      <w:bookmarkStart w:id="418" w:name="_Toc225409744"/>
      <w:bookmarkStart w:id="419" w:name="_Toc225409595"/>
      <w:bookmarkStart w:id="420" w:name="_Toc225567447"/>
      <w:bookmarkStart w:id="421" w:name="_Toc225410771"/>
      <w:bookmarkStart w:id="422" w:name="_Toc225409929"/>
      <w:bookmarkStart w:id="423" w:name="_Toc225412337"/>
      <w:bookmarkStart w:id="424" w:name="_Toc225566848"/>
      <w:bookmarkStart w:id="425" w:name="_Toc225410145"/>
      <w:bookmarkStart w:id="426" w:name="_Toc225415823"/>
      <w:bookmarkStart w:id="427" w:name="_Toc225415622"/>
      <w:bookmarkStart w:id="428" w:name="_Toc225412135"/>
      <w:bookmarkStart w:id="429" w:name="_Toc225416024"/>
      <w:r>
        <w:rPr>
          <w:rFonts w:ascii="Times New Roman" w:hAnsi="Times New Roman"/>
          <w:sz w:val="28"/>
          <w:szCs w:val="28"/>
        </w:rPr>
        <w:t>11. 违约</w:t>
      </w:r>
      <w:bookmarkEnd w:id="412"/>
    </w:p>
    <w:p>
      <w:pPr>
        <w:pStyle w:val="4"/>
        <w:spacing w:before="0" w:after="0" w:line="440" w:lineRule="exact"/>
        <w:rPr>
          <w:rFonts w:eastAsia="黑体"/>
          <w:b w:val="0"/>
          <w:sz w:val="28"/>
          <w:szCs w:val="28"/>
        </w:rPr>
      </w:pPr>
      <w:bookmarkStart w:id="430" w:name="_Toc62572868"/>
      <w:r>
        <w:rPr>
          <w:rFonts w:eastAsia="黑体"/>
          <w:b w:val="0"/>
          <w:sz w:val="28"/>
          <w:szCs w:val="28"/>
        </w:rPr>
        <w:t>11.1 监理人违约</w:t>
      </w:r>
      <w:bookmarkEnd w:id="430"/>
    </w:p>
    <w:p>
      <w:pPr>
        <w:spacing w:line="440" w:lineRule="exact"/>
        <w:ind w:firstLine="444" w:firstLineChars="200"/>
        <w:rPr>
          <w:spacing w:val="6"/>
          <w:szCs w:val="21"/>
        </w:rPr>
      </w:pPr>
      <w:r>
        <w:rPr>
          <w:spacing w:val="6"/>
          <w:szCs w:val="21"/>
        </w:rPr>
        <w:t>违约的处罚：</w:t>
      </w:r>
      <w:r>
        <w:rPr>
          <w:spacing w:val="6"/>
          <w:szCs w:val="21"/>
          <w:u w:val="single"/>
        </w:rPr>
        <w:t xml:space="preserve">                             </w:t>
      </w:r>
      <w:r>
        <w:rPr>
          <w:spacing w:val="6"/>
          <w:szCs w:val="21"/>
        </w:rPr>
        <w:t>。</w:t>
      </w:r>
    </w:p>
    <w:p>
      <w:pPr>
        <w:pStyle w:val="4"/>
        <w:spacing w:before="0" w:after="0" w:line="440" w:lineRule="exact"/>
        <w:rPr>
          <w:rFonts w:eastAsia="黑体"/>
          <w:b w:val="0"/>
          <w:sz w:val="28"/>
          <w:szCs w:val="28"/>
        </w:rPr>
      </w:pPr>
      <w:bookmarkStart w:id="431" w:name="_Toc62572869"/>
      <w:r>
        <w:rPr>
          <w:rFonts w:eastAsia="黑体"/>
          <w:b w:val="0"/>
          <w:sz w:val="28"/>
          <w:szCs w:val="28"/>
        </w:rPr>
        <w:t>11.2 委托人违约</w:t>
      </w:r>
      <w:bookmarkEnd w:id="431"/>
    </w:p>
    <w:p>
      <w:pPr>
        <w:spacing w:line="440" w:lineRule="exact"/>
        <w:ind w:firstLine="444" w:firstLineChars="200"/>
        <w:rPr>
          <w:spacing w:val="6"/>
          <w:szCs w:val="21"/>
        </w:rPr>
      </w:pPr>
      <w:r>
        <w:rPr>
          <w:spacing w:val="6"/>
          <w:szCs w:val="21"/>
        </w:rPr>
        <w:t>违约的赔偿：</w:t>
      </w:r>
      <w:r>
        <w:rPr>
          <w:spacing w:val="6"/>
          <w:szCs w:val="21"/>
          <w:u w:val="single"/>
        </w:rPr>
        <w:t xml:space="preserve">                             </w:t>
      </w:r>
      <w:r>
        <w:rPr>
          <w:spacing w:val="6"/>
          <w:szCs w:val="21"/>
        </w:rPr>
        <w:t>。</w:t>
      </w:r>
    </w:p>
    <w:p>
      <w:pPr>
        <w:pStyle w:val="3"/>
        <w:spacing w:before="120" w:beforeLines="50" w:after="120" w:afterLines="50" w:line="440" w:lineRule="exact"/>
        <w:jc w:val="left"/>
        <w:rPr>
          <w:rFonts w:ascii="Times New Roman" w:hAnsi="Times New Roman"/>
          <w:sz w:val="28"/>
          <w:szCs w:val="28"/>
        </w:rPr>
      </w:pPr>
      <w:bookmarkStart w:id="432" w:name="_Toc62572870"/>
      <w:r>
        <w:rPr>
          <w:rFonts w:ascii="Times New Roman" w:hAnsi="Times New Roman"/>
          <w:sz w:val="28"/>
          <w:szCs w:val="28"/>
        </w:rPr>
        <w:t>12. 争议的解决</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2"/>
    </w:p>
    <w:p>
      <w:pPr>
        <w:spacing w:line="440" w:lineRule="exact"/>
        <w:ind w:firstLine="444" w:firstLineChars="200"/>
        <w:rPr>
          <w:spacing w:val="6"/>
          <w:szCs w:val="21"/>
        </w:rPr>
      </w:pPr>
      <w:r>
        <w:rPr>
          <w:spacing w:val="6"/>
          <w:szCs w:val="21"/>
        </w:rPr>
        <w:t>合同履行发生争议，不能通过协商解决的，双方约定采用以下第</w:t>
      </w:r>
      <w:r>
        <w:rPr>
          <w:spacing w:val="6"/>
          <w:szCs w:val="21"/>
          <w:u w:val="single"/>
        </w:rPr>
        <w:t xml:space="preserve">     </w:t>
      </w:r>
      <w:r>
        <w:rPr>
          <w:spacing w:val="6"/>
          <w:szCs w:val="21"/>
        </w:rPr>
        <w:t>方式解决：</w:t>
      </w:r>
    </w:p>
    <w:p>
      <w:pPr>
        <w:spacing w:line="440" w:lineRule="exact"/>
        <w:ind w:firstLine="444" w:firstLineChars="200"/>
        <w:rPr>
          <w:spacing w:val="6"/>
          <w:szCs w:val="21"/>
        </w:rPr>
      </w:pPr>
      <w:r>
        <w:rPr>
          <w:spacing w:val="6"/>
          <w:szCs w:val="21"/>
        </w:rPr>
        <w:t>（1）向有管辖权人民法院提起诉讼。</w:t>
      </w:r>
    </w:p>
    <w:p>
      <w:pPr>
        <w:spacing w:line="440" w:lineRule="exact"/>
        <w:ind w:firstLine="444" w:firstLineChars="200"/>
        <w:rPr>
          <w:szCs w:val="21"/>
          <w:u w:val="single"/>
        </w:rPr>
      </w:pPr>
      <w:r>
        <w:rPr>
          <w:spacing w:val="6"/>
          <w:szCs w:val="21"/>
        </w:rPr>
        <w:t>（2）向</w:t>
      </w:r>
      <w:r>
        <w:rPr>
          <w:spacing w:val="6"/>
          <w:szCs w:val="21"/>
          <w:u w:val="single"/>
        </w:rPr>
        <w:t xml:space="preserve">      </w:t>
      </w:r>
      <w:r>
        <w:rPr>
          <w:spacing w:val="6"/>
          <w:szCs w:val="21"/>
        </w:rPr>
        <w:t>仲裁委员会申请仲裁。仲裁适用中华人民共和国法律，按仲裁委员会届时有效的仲裁规则进行。</w:t>
      </w:r>
    </w:p>
    <w:p>
      <w:pPr>
        <w:spacing w:line="400" w:lineRule="exact"/>
        <w:ind w:firstLine="200"/>
        <w:rPr>
          <w:spacing w:val="6"/>
          <w:szCs w:val="21"/>
        </w:rPr>
      </w:pPr>
      <w:r>
        <w:rPr>
          <w:szCs w:val="21"/>
        </w:rPr>
        <w:br w:type="page"/>
      </w:r>
    </w:p>
    <w:p>
      <w:pPr>
        <w:pStyle w:val="4"/>
        <w:ind w:firstLine="103"/>
        <w:rPr>
          <w:szCs w:val="28"/>
        </w:rPr>
      </w:pPr>
      <w:bookmarkStart w:id="433" w:name="_Toc62572872"/>
      <w:r>
        <w:rPr>
          <w:szCs w:val="28"/>
        </w:rPr>
        <w:t>附件</w:t>
      </w:r>
      <w:bookmarkStart w:id="434" w:name="_Hlk54343886"/>
      <w:r>
        <w:rPr>
          <w:rFonts w:hint="eastAsia"/>
          <w:szCs w:val="28"/>
        </w:rPr>
        <w:t>1</w:t>
      </w:r>
      <w:r>
        <w:rPr>
          <w:szCs w:val="28"/>
        </w:rPr>
        <w:t>：</w:t>
      </w:r>
      <w:bookmarkEnd w:id="434"/>
      <w:r>
        <w:rPr>
          <w:szCs w:val="28"/>
        </w:rPr>
        <w:t>合同协议书</w:t>
      </w:r>
      <w:bookmarkEnd w:id="433"/>
    </w:p>
    <w:p>
      <w:pPr>
        <w:pStyle w:val="13"/>
        <w:spacing w:line="520" w:lineRule="exact"/>
        <w:jc w:val="center"/>
        <w:rPr>
          <w:rFonts w:ascii="Times New Roman" w:hAnsi="Times New Roman" w:eastAsia="黑体"/>
          <w:spacing w:val="6"/>
          <w:sz w:val="28"/>
          <w:szCs w:val="28"/>
        </w:rPr>
      </w:pPr>
      <w:r>
        <w:rPr>
          <w:rFonts w:ascii="Times New Roman" w:hAnsi="Times New Roman" w:eastAsia="黑体"/>
          <w:spacing w:val="6"/>
          <w:sz w:val="28"/>
          <w:szCs w:val="28"/>
        </w:rPr>
        <w:t>铁路建设工程监理合同协议书</w:t>
      </w:r>
    </w:p>
    <w:p>
      <w:pPr>
        <w:spacing w:line="360" w:lineRule="exact"/>
        <w:rPr>
          <w:szCs w:val="21"/>
        </w:rPr>
      </w:pPr>
      <w:r>
        <w:rPr>
          <w:szCs w:val="21"/>
        </w:rPr>
        <w:t>委托人（全称）：</w:t>
      </w:r>
      <w:r>
        <w:rPr>
          <w:szCs w:val="21"/>
          <w:u w:val="single"/>
        </w:rPr>
        <w:t xml:space="preserve">                                                                  </w:t>
      </w:r>
      <w:r>
        <w:rPr>
          <w:szCs w:val="21"/>
        </w:rPr>
        <w:t xml:space="preserve">                                                                           </w:t>
      </w:r>
    </w:p>
    <w:p>
      <w:pPr>
        <w:spacing w:line="360" w:lineRule="exact"/>
        <w:rPr>
          <w:szCs w:val="21"/>
        </w:rPr>
      </w:pPr>
      <w:r>
        <w:rPr>
          <w:szCs w:val="21"/>
        </w:rPr>
        <w:t>监理人（全称）：</w:t>
      </w:r>
      <w:r>
        <w:rPr>
          <w:szCs w:val="21"/>
          <w:u w:val="single"/>
        </w:rPr>
        <w:t xml:space="preserve">                                                                </w:t>
      </w:r>
      <w:r>
        <w:rPr>
          <w:szCs w:val="21"/>
        </w:rPr>
        <w:t xml:space="preserve"> </w:t>
      </w:r>
    </w:p>
    <w:p>
      <w:pPr>
        <w:spacing w:before="120" w:beforeLines="50" w:after="120" w:afterLines="50" w:line="240" w:lineRule="exact"/>
        <w:jc w:val="left"/>
        <w:rPr>
          <w:szCs w:val="21"/>
        </w:rPr>
      </w:pPr>
      <w:r>
        <w:rPr>
          <w:szCs w:val="21"/>
        </w:rPr>
        <w:t>注：联合体应填写各成员全称</w:t>
      </w:r>
    </w:p>
    <w:p>
      <w:pPr>
        <w:spacing w:line="400" w:lineRule="exact"/>
        <w:ind w:firstLine="420" w:firstLineChars="200"/>
        <w:rPr>
          <w:szCs w:val="21"/>
        </w:rPr>
      </w:pPr>
      <w:r>
        <w:rPr>
          <w:szCs w:val="21"/>
        </w:rPr>
        <w:t>依据《中华人民共和国合同法》、《中华人民共和国建筑法》及其他有关法律、行政法规，遵循平等、自愿、公平和诚实信用的原则，双方就本工程委托的监理服务和相关服务事项协商一致，订立本合同。</w:t>
      </w:r>
    </w:p>
    <w:p>
      <w:pPr>
        <w:pStyle w:val="13"/>
        <w:adjustRightInd w:val="0"/>
        <w:spacing w:line="400" w:lineRule="exact"/>
        <w:ind w:firstLine="424" w:firstLineChars="200"/>
        <w:rPr>
          <w:rFonts w:ascii="Times New Roman" w:hAnsi="Times New Roman"/>
          <w:spacing w:val="6"/>
          <w:szCs w:val="21"/>
        </w:rPr>
      </w:pPr>
      <w:r>
        <w:rPr>
          <w:rFonts w:ascii="Times New Roman" w:hAnsi="Times New Roman"/>
          <w:spacing w:val="6"/>
          <w:szCs w:val="21"/>
        </w:rPr>
        <w:t>一、工程概况</w:t>
      </w:r>
    </w:p>
    <w:p>
      <w:pPr>
        <w:pStyle w:val="13"/>
        <w:spacing w:line="400" w:lineRule="exact"/>
        <w:ind w:firstLine="424" w:firstLineChars="200"/>
        <w:rPr>
          <w:rFonts w:ascii="Times New Roman" w:hAnsi="Times New Roman"/>
          <w:spacing w:val="6"/>
          <w:szCs w:val="21"/>
        </w:rPr>
      </w:pPr>
      <w:r>
        <w:rPr>
          <w:rFonts w:ascii="Times New Roman" w:hAnsi="Times New Roman"/>
          <w:spacing w:val="6"/>
          <w:szCs w:val="21"/>
        </w:rPr>
        <w:t>1.工程名称：</w:t>
      </w:r>
      <w:r>
        <w:rPr>
          <w:rFonts w:ascii="Times New Roman" w:hAnsi="Times New Roman"/>
          <w:spacing w:val="6"/>
          <w:szCs w:val="21"/>
          <w:u w:val="single"/>
        </w:rPr>
        <w:t xml:space="preserve">                    </w:t>
      </w:r>
      <w:r>
        <w:rPr>
          <w:rFonts w:hint="eastAsia" w:ascii="Times New Roman" w:hAnsi="Times New Roman"/>
          <w:spacing w:val="6"/>
          <w:szCs w:val="21"/>
          <w:u w:val="single"/>
        </w:rPr>
        <w:t xml:space="preserve"> </w:t>
      </w:r>
      <w:r>
        <w:rPr>
          <w:rFonts w:ascii="Times New Roman" w:hAnsi="Times New Roman"/>
          <w:spacing w:val="6"/>
          <w:szCs w:val="21"/>
          <w:u w:val="single"/>
        </w:rPr>
        <w:t xml:space="preserve">    </w:t>
      </w:r>
      <w:r>
        <w:rPr>
          <w:rFonts w:hint="eastAsia" w:ascii="Times New Roman" w:hAnsi="Times New Roman"/>
          <w:spacing w:val="6"/>
          <w:szCs w:val="21"/>
          <w:u w:val="single"/>
        </w:rPr>
        <w:t xml:space="preserve"> </w:t>
      </w:r>
      <w:r>
        <w:rPr>
          <w:rFonts w:ascii="Times New Roman" w:hAnsi="Times New Roman"/>
          <w:spacing w:val="6"/>
          <w:szCs w:val="21"/>
          <w:u w:val="single"/>
        </w:rPr>
        <w:t xml:space="preserve">                   </w:t>
      </w:r>
      <w:r>
        <w:rPr>
          <w:rFonts w:hint="eastAsia" w:ascii="Times New Roman" w:hAnsi="Times New Roman"/>
          <w:spacing w:val="6"/>
          <w:szCs w:val="21"/>
          <w:u w:val="single"/>
        </w:rPr>
        <w:t xml:space="preserve"> </w:t>
      </w:r>
      <w:r>
        <w:rPr>
          <w:rFonts w:ascii="Times New Roman" w:hAnsi="Times New Roman"/>
          <w:spacing w:val="6"/>
          <w:szCs w:val="21"/>
          <w:u w:val="single"/>
        </w:rPr>
        <w:t xml:space="preserve">          </w:t>
      </w:r>
      <w:r>
        <w:rPr>
          <w:rFonts w:ascii="Times New Roman" w:hAnsi="Times New Roman"/>
          <w:spacing w:val="6"/>
          <w:szCs w:val="21"/>
        </w:rPr>
        <w:t>。</w:t>
      </w:r>
    </w:p>
    <w:p>
      <w:pPr>
        <w:pStyle w:val="13"/>
        <w:spacing w:line="400" w:lineRule="exact"/>
        <w:ind w:firstLine="424" w:firstLineChars="200"/>
        <w:rPr>
          <w:rFonts w:ascii="Times New Roman" w:hAnsi="Times New Roman"/>
          <w:spacing w:val="6"/>
          <w:szCs w:val="21"/>
        </w:rPr>
      </w:pPr>
      <w:r>
        <w:rPr>
          <w:rFonts w:ascii="Times New Roman" w:hAnsi="Times New Roman"/>
          <w:spacing w:val="6"/>
          <w:szCs w:val="21"/>
        </w:rPr>
        <w:t>2.工程地点：</w:t>
      </w:r>
      <w:r>
        <w:rPr>
          <w:rFonts w:ascii="Times New Roman" w:hAnsi="Times New Roman"/>
          <w:spacing w:val="6"/>
          <w:szCs w:val="21"/>
          <w:u w:val="single"/>
        </w:rPr>
        <w:t xml:space="preserve">           </w:t>
      </w:r>
      <w:r>
        <w:rPr>
          <w:rFonts w:hint="eastAsia" w:ascii="Times New Roman" w:hAnsi="Times New Roman"/>
          <w:spacing w:val="6"/>
          <w:szCs w:val="21"/>
          <w:u w:val="single"/>
        </w:rPr>
        <w:t xml:space="preserve"> </w:t>
      </w:r>
      <w:r>
        <w:rPr>
          <w:rFonts w:ascii="Times New Roman" w:hAnsi="Times New Roman"/>
          <w:spacing w:val="6"/>
          <w:szCs w:val="21"/>
          <w:u w:val="single"/>
        </w:rPr>
        <w:t xml:space="preserve">                       </w:t>
      </w:r>
      <w:r>
        <w:rPr>
          <w:rFonts w:hint="eastAsia" w:ascii="Times New Roman" w:hAnsi="Times New Roman"/>
          <w:spacing w:val="6"/>
          <w:szCs w:val="21"/>
          <w:u w:val="single"/>
        </w:rPr>
        <w:t xml:space="preserve"> </w:t>
      </w:r>
      <w:r>
        <w:rPr>
          <w:rFonts w:ascii="Times New Roman" w:hAnsi="Times New Roman"/>
          <w:spacing w:val="6"/>
          <w:szCs w:val="21"/>
          <w:u w:val="single"/>
        </w:rPr>
        <w:t xml:space="preserve">         </w:t>
      </w:r>
      <w:r>
        <w:rPr>
          <w:rFonts w:hint="eastAsia" w:ascii="Times New Roman" w:hAnsi="Times New Roman"/>
          <w:spacing w:val="6"/>
          <w:szCs w:val="21"/>
          <w:u w:val="single"/>
        </w:rPr>
        <w:t xml:space="preserve"> </w:t>
      </w:r>
      <w:r>
        <w:rPr>
          <w:rFonts w:ascii="Times New Roman" w:hAnsi="Times New Roman"/>
          <w:spacing w:val="6"/>
          <w:szCs w:val="21"/>
          <w:u w:val="single"/>
        </w:rPr>
        <w:t xml:space="preserve">          </w:t>
      </w:r>
      <w:r>
        <w:rPr>
          <w:rFonts w:ascii="Times New Roman" w:hAnsi="Times New Roman"/>
          <w:spacing w:val="6"/>
          <w:szCs w:val="21"/>
        </w:rPr>
        <w:t>。</w:t>
      </w:r>
    </w:p>
    <w:p>
      <w:pPr>
        <w:pStyle w:val="13"/>
        <w:spacing w:line="400" w:lineRule="exact"/>
        <w:ind w:firstLine="424" w:firstLineChars="200"/>
        <w:rPr>
          <w:rFonts w:ascii="Times New Roman" w:hAnsi="Times New Roman"/>
          <w:spacing w:val="6"/>
          <w:szCs w:val="21"/>
        </w:rPr>
      </w:pPr>
      <w:r>
        <w:rPr>
          <w:rFonts w:ascii="Times New Roman" w:hAnsi="Times New Roman"/>
          <w:spacing w:val="6"/>
          <w:szCs w:val="21"/>
        </w:rPr>
        <w:t>3.工程规模：</w:t>
      </w:r>
      <w:r>
        <w:rPr>
          <w:rFonts w:ascii="Times New Roman" w:hAnsi="Times New Roman"/>
          <w:spacing w:val="6"/>
          <w:szCs w:val="21"/>
          <w:u w:val="single"/>
        </w:rPr>
        <w:t xml:space="preserve">                    </w:t>
      </w:r>
      <w:r>
        <w:rPr>
          <w:rFonts w:hint="eastAsia" w:ascii="Times New Roman" w:hAnsi="Times New Roman"/>
          <w:spacing w:val="6"/>
          <w:szCs w:val="21"/>
          <w:u w:val="single"/>
        </w:rPr>
        <w:t xml:space="preserve"> </w:t>
      </w:r>
      <w:r>
        <w:rPr>
          <w:rFonts w:ascii="Times New Roman" w:hAnsi="Times New Roman"/>
          <w:spacing w:val="6"/>
          <w:szCs w:val="21"/>
          <w:u w:val="single"/>
        </w:rPr>
        <w:t xml:space="preserve">                        </w:t>
      </w:r>
      <w:r>
        <w:rPr>
          <w:rFonts w:hint="eastAsia" w:ascii="Times New Roman" w:hAnsi="Times New Roman"/>
          <w:spacing w:val="6"/>
          <w:szCs w:val="21"/>
          <w:u w:val="single"/>
        </w:rPr>
        <w:t xml:space="preserve"> </w:t>
      </w:r>
      <w:r>
        <w:rPr>
          <w:rFonts w:ascii="Times New Roman" w:hAnsi="Times New Roman"/>
          <w:spacing w:val="6"/>
          <w:szCs w:val="21"/>
          <w:u w:val="single"/>
        </w:rPr>
        <w:t xml:space="preserve">          </w:t>
      </w:r>
      <w:r>
        <w:rPr>
          <w:rFonts w:ascii="Times New Roman" w:hAnsi="Times New Roman"/>
          <w:spacing w:val="6"/>
          <w:szCs w:val="21"/>
        </w:rPr>
        <w:t>。</w:t>
      </w:r>
    </w:p>
    <w:p>
      <w:pPr>
        <w:pStyle w:val="13"/>
        <w:spacing w:line="400" w:lineRule="exact"/>
        <w:ind w:firstLine="424" w:firstLineChars="200"/>
        <w:rPr>
          <w:rFonts w:ascii="Times New Roman" w:hAnsi="Times New Roman"/>
          <w:spacing w:val="6"/>
          <w:szCs w:val="21"/>
        </w:rPr>
      </w:pPr>
      <w:r>
        <w:rPr>
          <w:rFonts w:ascii="Times New Roman" w:hAnsi="Times New Roman"/>
          <w:spacing w:val="6"/>
          <w:szCs w:val="21"/>
        </w:rPr>
        <w:t>4.工程投资总额：</w:t>
      </w:r>
      <w:r>
        <w:rPr>
          <w:rFonts w:ascii="Times New Roman" w:hAnsi="Times New Roman"/>
          <w:spacing w:val="6"/>
          <w:szCs w:val="21"/>
          <w:u w:val="single"/>
        </w:rPr>
        <w:t xml:space="preserve">                                    </w:t>
      </w:r>
      <w:r>
        <w:rPr>
          <w:rFonts w:hint="eastAsia" w:ascii="Times New Roman" w:hAnsi="Times New Roman"/>
          <w:spacing w:val="6"/>
          <w:szCs w:val="21"/>
          <w:u w:val="single"/>
        </w:rPr>
        <w:t xml:space="preserve">   </w:t>
      </w:r>
      <w:r>
        <w:rPr>
          <w:rFonts w:ascii="Times New Roman" w:hAnsi="Times New Roman"/>
          <w:spacing w:val="6"/>
          <w:szCs w:val="21"/>
          <w:u w:val="single"/>
        </w:rPr>
        <w:t xml:space="preserve">       </w:t>
      </w:r>
      <w:r>
        <w:rPr>
          <w:rFonts w:hint="eastAsia" w:ascii="Times New Roman" w:hAnsi="Times New Roman"/>
          <w:spacing w:val="6"/>
          <w:szCs w:val="21"/>
          <w:u w:val="single"/>
        </w:rPr>
        <w:t xml:space="preserve"> </w:t>
      </w:r>
      <w:r>
        <w:rPr>
          <w:rFonts w:ascii="Times New Roman" w:hAnsi="Times New Roman"/>
          <w:spacing w:val="6"/>
          <w:szCs w:val="21"/>
          <w:u w:val="single"/>
        </w:rPr>
        <w:t xml:space="preserve">     </w:t>
      </w:r>
      <w:r>
        <w:rPr>
          <w:rFonts w:ascii="Times New Roman" w:hAnsi="Times New Roman"/>
          <w:spacing w:val="6"/>
          <w:szCs w:val="21"/>
        </w:rPr>
        <w:t>。</w:t>
      </w:r>
    </w:p>
    <w:p>
      <w:pPr>
        <w:pStyle w:val="13"/>
        <w:spacing w:line="400" w:lineRule="exact"/>
        <w:ind w:firstLine="424" w:firstLineChars="200"/>
        <w:rPr>
          <w:rFonts w:ascii="Times New Roman" w:hAnsi="Times New Roman"/>
          <w:spacing w:val="6"/>
          <w:szCs w:val="21"/>
        </w:rPr>
      </w:pPr>
      <w:r>
        <w:rPr>
          <w:rFonts w:ascii="Times New Roman" w:hAnsi="Times New Roman"/>
          <w:spacing w:val="6"/>
          <w:szCs w:val="21"/>
        </w:rPr>
        <w:t>5.建设工期：</w:t>
      </w:r>
      <w:r>
        <w:rPr>
          <w:rFonts w:ascii="Times New Roman" w:hAnsi="Times New Roman"/>
          <w:spacing w:val="6"/>
          <w:szCs w:val="21"/>
          <w:u w:val="single"/>
        </w:rPr>
        <w:t xml:space="preserve">                                           </w:t>
      </w:r>
      <w:r>
        <w:rPr>
          <w:rFonts w:hint="eastAsia" w:ascii="Times New Roman" w:hAnsi="Times New Roman"/>
          <w:spacing w:val="6"/>
          <w:szCs w:val="21"/>
          <w:u w:val="single"/>
        </w:rPr>
        <w:t xml:space="preserve"> </w:t>
      </w:r>
      <w:r>
        <w:rPr>
          <w:rFonts w:ascii="Times New Roman" w:hAnsi="Times New Roman"/>
          <w:spacing w:val="6"/>
          <w:szCs w:val="21"/>
          <w:u w:val="single"/>
        </w:rPr>
        <w:t xml:space="preserve">            </w:t>
      </w:r>
      <w:r>
        <w:rPr>
          <w:rFonts w:ascii="Times New Roman" w:hAnsi="Times New Roman"/>
          <w:spacing w:val="6"/>
          <w:szCs w:val="21"/>
        </w:rPr>
        <w:t>。</w:t>
      </w:r>
    </w:p>
    <w:p>
      <w:pPr>
        <w:pStyle w:val="13"/>
        <w:spacing w:line="400" w:lineRule="exact"/>
        <w:ind w:firstLine="424" w:firstLineChars="200"/>
        <w:rPr>
          <w:rFonts w:ascii="Times New Roman" w:hAnsi="Times New Roman"/>
          <w:spacing w:val="6"/>
          <w:szCs w:val="21"/>
        </w:rPr>
      </w:pPr>
      <w:r>
        <w:rPr>
          <w:rFonts w:ascii="Times New Roman" w:hAnsi="Times New Roman"/>
          <w:spacing w:val="6"/>
          <w:szCs w:val="21"/>
        </w:rPr>
        <w:t>二、监理服务范围与服务费</w:t>
      </w:r>
    </w:p>
    <w:p>
      <w:pPr>
        <w:pStyle w:val="13"/>
        <w:spacing w:line="400" w:lineRule="exact"/>
        <w:ind w:firstLine="424" w:firstLineChars="200"/>
        <w:rPr>
          <w:rFonts w:ascii="Times New Roman" w:hAnsi="Times New Roman"/>
          <w:spacing w:val="6"/>
          <w:szCs w:val="21"/>
        </w:rPr>
      </w:pPr>
      <w:r>
        <w:rPr>
          <w:rFonts w:ascii="Times New Roman" w:hAnsi="Times New Roman"/>
          <w:spacing w:val="6"/>
          <w:szCs w:val="21"/>
        </w:rPr>
        <w:t>1.服务范围及内容：</w:t>
      </w:r>
      <w:r>
        <w:rPr>
          <w:rFonts w:ascii="Times New Roman" w:hAnsi="Times New Roman"/>
          <w:spacing w:val="6"/>
          <w:szCs w:val="21"/>
          <w:u w:val="single"/>
        </w:rPr>
        <w:t xml:space="preserve">                          </w:t>
      </w:r>
      <w:r>
        <w:rPr>
          <w:rFonts w:hint="eastAsia" w:ascii="Times New Roman" w:hAnsi="Times New Roman"/>
          <w:spacing w:val="6"/>
          <w:szCs w:val="21"/>
          <w:u w:val="single"/>
        </w:rPr>
        <w:t xml:space="preserve">    </w:t>
      </w:r>
      <w:r>
        <w:rPr>
          <w:rFonts w:ascii="Times New Roman" w:hAnsi="Times New Roman"/>
          <w:spacing w:val="6"/>
          <w:szCs w:val="21"/>
          <w:u w:val="single"/>
        </w:rPr>
        <w:t xml:space="preserve">                     </w:t>
      </w:r>
      <w:r>
        <w:rPr>
          <w:rFonts w:ascii="Times New Roman" w:hAnsi="Times New Roman"/>
          <w:spacing w:val="6"/>
          <w:szCs w:val="21"/>
        </w:rPr>
        <w:t>。</w:t>
      </w:r>
    </w:p>
    <w:p>
      <w:pPr>
        <w:pStyle w:val="13"/>
        <w:spacing w:line="400" w:lineRule="exact"/>
        <w:ind w:firstLine="424" w:firstLineChars="200"/>
        <w:rPr>
          <w:rFonts w:ascii="Times New Roman" w:hAnsi="Times New Roman"/>
          <w:spacing w:val="6"/>
          <w:szCs w:val="21"/>
        </w:rPr>
      </w:pPr>
      <w:r>
        <w:rPr>
          <w:rFonts w:ascii="Times New Roman" w:hAnsi="Times New Roman"/>
          <w:spacing w:val="6"/>
          <w:szCs w:val="21"/>
        </w:rPr>
        <w:t>2.总监理工程师：</w:t>
      </w:r>
      <w:r>
        <w:rPr>
          <w:rFonts w:ascii="Times New Roman" w:hAnsi="Times New Roman"/>
          <w:spacing w:val="6"/>
          <w:szCs w:val="21"/>
          <w:u w:val="single"/>
        </w:rPr>
        <w:t xml:space="preserve">                 </w:t>
      </w:r>
      <w:r>
        <w:rPr>
          <w:rFonts w:ascii="Times New Roman" w:hAnsi="Times New Roman"/>
          <w:spacing w:val="6"/>
          <w:szCs w:val="21"/>
        </w:rPr>
        <w:t>。</w:t>
      </w:r>
    </w:p>
    <w:p>
      <w:pPr>
        <w:pStyle w:val="13"/>
        <w:spacing w:line="400" w:lineRule="exact"/>
        <w:ind w:firstLine="424" w:firstLineChars="200"/>
        <w:rPr>
          <w:rFonts w:ascii="Times New Roman" w:hAnsi="Times New Roman"/>
          <w:spacing w:val="6"/>
          <w:szCs w:val="21"/>
        </w:rPr>
      </w:pPr>
      <w:r>
        <w:rPr>
          <w:rFonts w:ascii="Times New Roman" w:hAnsi="Times New Roman"/>
          <w:spacing w:val="6"/>
          <w:szCs w:val="21"/>
        </w:rPr>
        <w:t>3.监理工作质量符合的标准和要求：</w:t>
      </w:r>
      <w:r>
        <w:rPr>
          <w:rFonts w:ascii="Times New Roman" w:hAnsi="Times New Roman"/>
          <w:spacing w:val="6"/>
          <w:szCs w:val="21"/>
          <w:u w:val="single"/>
        </w:rPr>
        <w:t xml:space="preserve">                   </w:t>
      </w:r>
      <w:r>
        <w:rPr>
          <w:rFonts w:hint="eastAsia" w:ascii="Times New Roman" w:hAnsi="Times New Roman"/>
          <w:spacing w:val="6"/>
          <w:szCs w:val="21"/>
          <w:u w:val="single"/>
        </w:rPr>
        <w:t xml:space="preserve">  </w:t>
      </w:r>
      <w:r>
        <w:rPr>
          <w:rFonts w:ascii="Times New Roman" w:hAnsi="Times New Roman"/>
          <w:spacing w:val="6"/>
          <w:szCs w:val="21"/>
          <w:u w:val="single"/>
        </w:rPr>
        <w:t xml:space="preserve">                 </w:t>
      </w:r>
      <w:r>
        <w:rPr>
          <w:rFonts w:ascii="Times New Roman" w:hAnsi="Times New Roman"/>
          <w:spacing w:val="6"/>
          <w:szCs w:val="21"/>
        </w:rPr>
        <w:t>。</w:t>
      </w:r>
    </w:p>
    <w:p>
      <w:pPr>
        <w:pStyle w:val="13"/>
        <w:spacing w:line="400" w:lineRule="exact"/>
        <w:ind w:firstLine="424" w:firstLineChars="200"/>
        <w:rPr>
          <w:rFonts w:ascii="Times New Roman" w:hAnsi="Times New Roman"/>
          <w:spacing w:val="6"/>
          <w:szCs w:val="21"/>
        </w:rPr>
      </w:pPr>
      <w:r>
        <w:rPr>
          <w:rFonts w:ascii="Times New Roman" w:hAnsi="Times New Roman"/>
          <w:spacing w:val="6"/>
          <w:szCs w:val="21"/>
        </w:rPr>
        <w:t>4.监理人计划开始监理日期：</w:t>
      </w:r>
      <w:r>
        <w:rPr>
          <w:rFonts w:ascii="Times New Roman" w:hAnsi="Times New Roman"/>
          <w:spacing w:val="6"/>
          <w:szCs w:val="21"/>
          <w:u w:val="single"/>
        </w:rPr>
        <w:t xml:space="preserve">              </w:t>
      </w:r>
      <w:r>
        <w:rPr>
          <w:rFonts w:ascii="Times New Roman" w:hAnsi="Times New Roman"/>
          <w:spacing w:val="6"/>
          <w:szCs w:val="21"/>
        </w:rPr>
        <w:t>，实现日期按照委托人在开始监理通知单中载明的开始监理日期为准。监理服务期限为</w:t>
      </w:r>
      <w:r>
        <w:rPr>
          <w:rFonts w:ascii="Times New Roman" w:hAnsi="Times New Roman"/>
          <w:spacing w:val="6"/>
          <w:szCs w:val="21"/>
          <w:u w:val="single"/>
        </w:rPr>
        <w:t xml:space="preserve">                    </w:t>
      </w:r>
      <w:r>
        <w:rPr>
          <w:rFonts w:ascii="Times New Roman" w:hAnsi="Times New Roman"/>
          <w:spacing w:val="6"/>
          <w:szCs w:val="21"/>
        </w:rPr>
        <w:t xml:space="preserve"> 。</w:t>
      </w:r>
    </w:p>
    <w:p>
      <w:pPr>
        <w:pStyle w:val="13"/>
        <w:spacing w:line="400" w:lineRule="exact"/>
        <w:ind w:firstLine="424" w:firstLineChars="200"/>
        <w:rPr>
          <w:rFonts w:ascii="Times New Roman" w:hAnsi="Times New Roman"/>
          <w:spacing w:val="6"/>
          <w:szCs w:val="21"/>
        </w:rPr>
      </w:pPr>
      <w:r>
        <w:rPr>
          <w:rFonts w:ascii="Times New Roman" w:hAnsi="Times New Roman"/>
          <w:spacing w:val="6"/>
          <w:szCs w:val="21"/>
        </w:rPr>
        <w:t>5.监理报酬：人民币</w:t>
      </w:r>
      <w:r>
        <w:rPr>
          <w:rFonts w:ascii="Times New Roman" w:hAnsi="Times New Roman"/>
          <w:szCs w:val="21"/>
        </w:rPr>
        <w:t>（大写）</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w:t>
      </w:r>
      <w:r>
        <w:rPr>
          <w:rFonts w:ascii="Times New Roman" w:hAnsi="Times New Roman"/>
          <w:spacing w:val="6"/>
          <w:szCs w:val="21"/>
        </w:rPr>
        <w:t>。</w:t>
      </w:r>
    </w:p>
    <w:p>
      <w:pPr>
        <w:pStyle w:val="13"/>
        <w:spacing w:line="400" w:lineRule="exact"/>
        <w:ind w:firstLine="424" w:firstLineChars="200"/>
        <w:rPr>
          <w:rFonts w:ascii="Times New Roman" w:hAnsi="Times New Roman"/>
          <w:spacing w:val="6"/>
          <w:szCs w:val="21"/>
        </w:rPr>
      </w:pPr>
      <w:r>
        <w:rPr>
          <w:rFonts w:ascii="Times New Roman" w:hAnsi="Times New Roman"/>
          <w:spacing w:val="6"/>
          <w:szCs w:val="21"/>
        </w:rPr>
        <w:t>三、合同中的有关词语含义与《通用条件》中赋予它们的定义相同。</w:t>
      </w:r>
    </w:p>
    <w:p>
      <w:pPr>
        <w:pStyle w:val="13"/>
        <w:spacing w:line="400" w:lineRule="exact"/>
        <w:ind w:firstLine="424" w:firstLineChars="200"/>
        <w:rPr>
          <w:rFonts w:ascii="Times New Roman" w:hAnsi="Times New Roman"/>
          <w:spacing w:val="6"/>
          <w:szCs w:val="21"/>
        </w:rPr>
      </w:pPr>
      <w:r>
        <w:rPr>
          <w:rFonts w:ascii="Times New Roman" w:hAnsi="Times New Roman"/>
          <w:spacing w:val="6"/>
          <w:szCs w:val="21"/>
        </w:rPr>
        <w:t>四、下列文件均为本合同的组成部分：</w:t>
      </w:r>
    </w:p>
    <w:p>
      <w:pPr>
        <w:pStyle w:val="13"/>
        <w:spacing w:line="400" w:lineRule="exact"/>
        <w:ind w:firstLine="424" w:firstLineChars="200"/>
        <w:rPr>
          <w:rFonts w:ascii="Times New Roman" w:hAnsi="Times New Roman"/>
          <w:spacing w:val="6"/>
          <w:szCs w:val="21"/>
        </w:rPr>
      </w:pPr>
      <w:r>
        <w:rPr>
          <w:rFonts w:ascii="Times New Roman" w:hAnsi="Times New Roman"/>
          <w:spacing w:val="6"/>
          <w:szCs w:val="21"/>
        </w:rPr>
        <w:t>1.中标通知书；</w:t>
      </w:r>
    </w:p>
    <w:p>
      <w:pPr>
        <w:pStyle w:val="13"/>
        <w:spacing w:line="400" w:lineRule="exact"/>
        <w:ind w:firstLine="424" w:firstLineChars="200"/>
        <w:rPr>
          <w:rFonts w:ascii="Times New Roman" w:hAnsi="Times New Roman"/>
          <w:spacing w:val="6"/>
          <w:szCs w:val="21"/>
        </w:rPr>
      </w:pPr>
      <w:r>
        <w:rPr>
          <w:rFonts w:ascii="Times New Roman" w:hAnsi="Times New Roman"/>
          <w:spacing w:val="6"/>
          <w:szCs w:val="21"/>
        </w:rPr>
        <w:t>2.投标函及投标函附录；</w:t>
      </w:r>
    </w:p>
    <w:p>
      <w:pPr>
        <w:pStyle w:val="13"/>
        <w:spacing w:line="400" w:lineRule="exact"/>
        <w:ind w:firstLine="424" w:firstLineChars="200"/>
        <w:rPr>
          <w:rFonts w:ascii="Times New Roman" w:hAnsi="Times New Roman"/>
          <w:spacing w:val="6"/>
          <w:szCs w:val="21"/>
        </w:rPr>
      </w:pPr>
      <w:r>
        <w:rPr>
          <w:rFonts w:ascii="Times New Roman" w:hAnsi="Times New Roman"/>
          <w:spacing w:val="6"/>
          <w:szCs w:val="21"/>
        </w:rPr>
        <w:t>3.专用合同条款；</w:t>
      </w:r>
    </w:p>
    <w:p>
      <w:pPr>
        <w:pStyle w:val="13"/>
        <w:spacing w:line="400" w:lineRule="exact"/>
        <w:ind w:firstLine="424" w:firstLineChars="200"/>
        <w:rPr>
          <w:rFonts w:ascii="Times New Roman" w:hAnsi="Times New Roman"/>
          <w:spacing w:val="6"/>
          <w:szCs w:val="21"/>
        </w:rPr>
      </w:pPr>
      <w:r>
        <w:rPr>
          <w:rFonts w:ascii="Times New Roman" w:hAnsi="Times New Roman"/>
          <w:spacing w:val="6"/>
          <w:szCs w:val="21"/>
        </w:rPr>
        <w:t>4.通用合同条款；</w:t>
      </w:r>
    </w:p>
    <w:p>
      <w:pPr>
        <w:pStyle w:val="13"/>
        <w:spacing w:line="400" w:lineRule="exact"/>
        <w:ind w:firstLine="424" w:firstLineChars="200"/>
        <w:rPr>
          <w:rFonts w:ascii="Times New Roman" w:hAnsi="Times New Roman"/>
          <w:spacing w:val="6"/>
          <w:szCs w:val="21"/>
        </w:rPr>
      </w:pPr>
      <w:r>
        <w:rPr>
          <w:rFonts w:ascii="Times New Roman" w:hAnsi="Times New Roman"/>
          <w:spacing w:val="6"/>
          <w:szCs w:val="21"/>
        </w:rPr>
        <w:t>5.委托人要求；</w:t>
      </w:r>
    </w:p>
    <w:p>
      <w:pPr>
        <w:pStyle w:val="13"/>
        <w:spacing w:line="400" w:lineRule="exact"/>
        <w:ind w:firstLine="424" w:firstLineChars="200"/>
        <w:rPr>
          <w:rFonts w:ascii="Times New Roman" w:hAnsi="Times New Roman"/>
          <w:spacing w:val="6"/>
          <w:szCs w:val="21"/>
        </w:rPr>
      </w:pPr>
      <w:r>
        <w:rPr>
          <w:rFonts w:ascii="Times New Roman" w:hAnsi="Times New Roman"/>
          <w:spacing w:val="6"/>
          <w:szCs w:val="21"/>
        </w:rPr>
        <w:t>6.监理报酬清单；</w:t>
      </w:r>
    </w:p>
    <w:p>
      <w:pPr>
        <w:pStyle w:val="13"/>
        <w:spacing w:line="400" w:lineRule="exact"/>
        <w:ind w:firstLine="424" w:firstLineChars="200"/>
        <w:rPr>
          <w:rFonts w:ascii="Times New Roman" w:hAnsi="Times New Roman"/>
          <w:spacing w:val="6"/>
          <w:szCs w:val="21"/>
        </w:rPr>
      </w:pPr>
      <w:r>
        <w:rPr>
          <w:rFonts w:ascii="Times New Roman" w:hAnsi="Times New Roman"/>
          <w:spacing w:val="6"/>
          <w:szCs w:val="21"/>
        </w:rPr>
        <w:t>7.监理大纲；</w:t>
      </w:r>
    </w:p>
    <w:p>
      <w:pPr>
        <w:pStyle w:val="13"/>
        <w:spacing w:line="400" w:lineRule="exact"/>
        <w:ind w:firstLine="424" w:firstLineChars="200"/>
        <w:rPr>
          <w:rFonts w:ascii="Times New Roman" w:hAnsi="Times New Roman"/>
          <w:spacing w:val="6"/>
          <w:szCs w:val="21"/>
        </w:rPr>
      </w:pPr>
      <w:r>
        <w:rPr>
          <w:rFonts w:ascii="Times New Roman" w:hAnsi="Times New Roman"/>
          <w:spacing w:val="6"/>
          <w:szCs w:val="21"/>
        </w:rPr>
        <w:t>8.招标文件；</w:t>
      </w:r>
    </w:p>
    <w:p>
      <w:pPr>
        <w:pStyle w:val="13"/>
        <w:spacing w:line="400" w:lineRule="exact"/>
        <w:ind w:firstLine="424" w:firstLineChars="200"/>
        <w:rPr>
          <w:rFonts w:ascii="Times New Roman" w:hAnsi="Times New Roman"/>
          <w:spacing w:val="6"/>
          <w:szCs w:val="21"/>
        </w:rPr>
      </w:pPr>
      <w:r>
        <w:rPr>
          <w:rFonts w:ascii="Times New Roman" w:hAnsi="Times New Roman"/>
          <w:spacing w:val="6"/>
          <w:szCs w:val="21"/>
        </w:rPr>
        <w:t>9.其他合同文件。</w:t>
      </w:r>
    </w:p>
    <w:p>
      <w:pPr>
        <w:pStyle w:val="13"/>
        <w:spacing w:line="400" w:lineRule="exact"/>
        <w:ind w:firstLine="424" w:firstLineChars="200"/>
        <w:rPr>
          <w:rFonts w:ascii="Times New Roman" w:hAnsi="Times New Roman"/>
          <w:spacing w:val="6"/>
          <w:szCs w:val="21"/>
        </w:rPr>
      </w:pPr>
      <w:r>
        <w:rPr>
          <w:rFonts w:ascii="Times New Roman" w:hAnsi="Times New Roman"/>
          <w:spacing w:val="6"/>
          <w:szCs w:val="21"/>
        </w:rPr>
        <w:t>五、监理人向委托人承诺，按照本合同的规定，承担本合同约定范围内的监理业务。</w:t>
      </w:r>
    </w:p>
    <w:p>
      <w:pPr>
        <w:pStyle w:val="13"/>
        <w:spacing w:line="400" w:lineRule="exact"/>
        <w:ind w:firstLine="424" w:firstLineChars="200"/>
        <w:rPr>
          <w:rFonts w:ascii="Times New Roman" w:hAnsi="Times New Roman"/>
          <w:spacing w:val="6"/>
          <w:szCs w:val="21"/>
        </w:rPr>
      </w:pPr>
      <w:r>
        <w:rPr>
          <w:rFonts w:ascii="Times New Roman" w:hAnsi="Times New Roman"/>
          <w:spacing w:val="6"/>
          <w:szCs w:val="21"/>
        </w:rPr>
        <w:t>六、委托人向监理人承诺，按照本合同约定的期限、方式、酬金总额，向监理人支付报酬。</w:t>
      </w:r>
    </w:p>
    <w:p>
      <w:pPr>
        <w:pStyle w:val="13"/>
        <w:spacing w:line="400" w:lineRule="exact"/>
        <w:ind w:firstLine="424" w:firstLineChars="200"/>
        <w:rPr>
          <w:rFonts w:ascii="Times New Roman" w:hAnsi="Times New Roman"/>
          <w:spacing w:val="6"/>
          <w:szCs w:val="21"/>
        </w:rPr>
      </w:pPr>
      <w:r>
        <w:rPr>
          <w:rFonts w:ascii="Times New Roman" w:hAnsi="Times New Roman"/>
          <w:spacing w:val="6"/>
          <w:szCs w:val="21"/>
        </w:rPr>
        <w:t>七、本合同自双方签字盖章之日始生效。</w:t>
      </w:r>
    </w:p>
    <w:p>
      <w:pPr>
        <w:pStyle w:val="13"/>
        <w:spacing w:line="400" w:lineRule="exact"/>
        <w:ind w:firstLine="424" w:firstLineChars="200"/>
        <w:rPr>
          <w:rFonts w:ascii="Times New Roman" w:hAnsi="Times New Roman"/>
          <w:spacing w:val="6"/>
          <w:szCs w:val="21"/>
        </w:rPr>
      </w:pPr>
      <w:r>
        <w:rPr>
          <w:rFonts w:ascii="Times New Roman" w:hAnsi="Times New Roman"/>
          <w:spacing w:val="6"/>
          <w:szCs w:val="21"/>
        </w:rPr>
        <w:t>八、本合同协议书正本</w:t>
      </w:r>
      <w:r>
        <w:rPr>
          <w:rFonts w:ascii="Times New Roman" w:hAnsi="Times New Roman"/>
          <w:spacing w:val="6"/>
          <w:szCs w:val="21"/>
          <w:u w:val="single"/>
        </w:rPr>
        <w:t xml:space="preserve">  </w:t>
      </w:r>
      <w:r>
        <w:rPr>
          <w:rFonts w:ascii="Times New Roman" w:hAnsi="Times New Roman"/>
          <w:spacing w:val="6"/>
          <w:szCs w:val="21"/>
        </w:rPr>
        <w:t>份，副本</w:t>
      </w:r>
      <w:r>
        <w:rPr>
          <w:rFonts w:ascii="Times New Roman" w:hAnsi="Times New Roman"/>
          <w:spacing w:val="6"/>
          <w:szCs w:val="21"/>
          <w:u w:val="single"/>
        </w:rPr>
        <w:t xml:space="preserve">  </w:t>
      </w:r>
      <w:r>
        <w:rPr>
          <w:rFonts w:ascii="Times New Roman" w:hAnsi="Times New Roman"/>
          <w:spacing w:val="6"/>
          <w:szCs w:val="21"/>
        </w:rPr>
        <w:t>份，具有同等法律效力。双方各执正本</w:t>
      </w:r>
      <w:r>
        <w:rPr>
          <w:rFonts w:ascii="Times New Roman" w:hAnsi="Times New Roman"/>
          <w:spacing w:val="6"/>
          <w:szCs w:val="21"/>
          <w:u w:val="single"/>
        </w:rPr>
        <w:t xml:space="preserve">  </w:t>
      </w:r>
      <w:r>
        <w:rPr>
          <w:rFonts w:ascii="Times New Roman" w:hAnsi="Times New Roman"/>
          <w:spacing w:val="6"/>
          <w:szCs w:val="21"/>
        </w:rPr>
        <w:t>份，副本</w:t>
      </w:r>
      <w:r>
        <w:rPr>
          <w:rFonts w:ascii="Times New Roman" w:hAnsi="Times New Roman"/>
          <w:spacing w:val="6"/>
          <w:szCs w:val="21"/>
          <w:u w:val="single"/>
        </w:rPr>
        <w:t xml:space="preserve">  </w:t>
      </w:r>
      <w:r>
        <w:rPr>
          <w:rFonts w:ascii="Times New Roman" w:hAnsi="Times New Roman"/>
          <w:spacing w:val="6"/>
          <w:szCs w:val="21"/>
        </w:rPr>
        <w:t>份。</w:t>
      </w:r>
    </w:p>
    <w:p>
      <w:pPr>
        <w:pStyle w:val="13"/>
        <w:spacing w:line="400" w:lineRule="exact"/>
        <w:ind w:firstLine="424" w:firstLineChars="200"/>
        <w:rPr>
          <w:rFonts w:ascii="Times New Roman" w:hAnsi="Times New Roman"/>
          <w:spacing w:val="6"/>
          <w:szCs w:val="21"/>
        </w:rPr>
      </w:pPr>
      <w:r>
        <w:rPr>
          <w:rFonts w:ascii="Times New Roman" w:hAnsi="Times New Roman"/>
          <w:spacing w:val="6"/>
          <w:szCs w:val="21"/>
        </w:rPr>
        <w:t>九、合同未尽事宜，双方另行签订补充协议。补充协议是合同的组成部分。</w:t>
      </w:r>
    </w:p>
    <w:p>
      <w:pPr>
        <w:pStyle w:val="13"/>
        <w:spacing w:line="400" w:lineRule="exact"/>
        <w:ind w:firstLine="424" w:firstLineChars="200"/>
        <w:rPr>
          <w:rFonts w:ascii="Times New Roman" w:hAnsi="Times New Roman"/>
          <w:spacing w:val="6"/>
          <w:szCs w:val="21"/>
        </w:rPr>
      </w:pPr>
    </w:p>
    <w:p>
      <w:pPr>
        <w:spacing w:line="400" w:lineRule="exact"/>
        <w:ind w:firstLine="420" w:firstLineChars="200"/>
        <w:rPr>
          <w:kern w:val="0"/>
          <w:szCs w:val="21"/>
        </w:rPr>
      </w:pPr>
      <w:r>
        <w:rPr>
          <w:kern w:val="0"/>
          <w:szCs w:val="21"/>
        </w:rPr>
        <w:t>委托人：</w:t>
      </w:r>
      <w:r>
        <w:rPr>
          <w:kern w:val="0"/>
          <w:szCs w:val="21"/>
          <w:u w:val="single"/>
        </w:rPr>
        <w:t xml:space="preserve">（单位公章）        </w:t>
      </w:r>
      <w:r>
        <w:rPr>
          <w:kern w:val="0"/>
          <w:szCs w:val="21"/>
        </w:rPr>
        <w:t xml:space="preserve">        监理人：</w:t>
      </w:r>
      <w:r>
        <w:rPr>
          <w:kern w:val="0"/>
          <w:szCs w:val="21"/>
          <w:u w:val="single"/>
        </w:rPr>
        <w:t xml:space="preserve">（单位公章）            </w:t>
      </w:r>
    </w:p>
    <w:p>
      <w:pPr>
        <w:spacing w:line="400" w:lineRule="exact"/>
        <w:ind w:firstLine="420" w:firstLineChars="200"/>
        <w:rPr>
          <w:kern w:val="0"/>
          <w:szCs w:val="21"/>
        </w:rPr>
      </w:pPr>
      <w:r>
        <w:rPr>
          <w:kern w:val="0"/>
          <w:szCs w:val="21"/>
        </w:rPr>
        <w:t>地址：</w:t>
      </w:r>
      <w:r>
        <w:rPr>
          <w:kern w:val="0"/>
          <w:szCs w:val="21"/>
          <w:u w:val="single"/>
        </w:rPr>
        <w:t xml:space="preserve">                      </w:t>
      </w:r>
      <w:r>
        <w:rPr>
          <w:kern w:val="0"/>
          <w:szCs w:val="21"/>
        </w:rPr>
        <w:t xml:space="preserve">        地址：</w:t>
      </w:r>
      <w:r>
        <w:rPr>
          <w:kern w:val="0"/>
          <w:szCs w:val="21"/>
          <w:u w:val="single"/>
        </w:rPr>
        <w:t xml:space="preserve">                          </w:t>
      </w:r>
    </w:p>
    <w:p>
      <w:pPr>
        <w:spacing w:line="400" w:lineRule="exact"/>
        <w:ind w:firstLine="420" w:firstLineChars="200"/>
        <w:rPr>
          <w:kern w:val="0"/>
          <w:szCs w:val="21"/>
        </w:rPr>
      </w:pPr>
      <w:r>
        <w:rPr>
          <w:kern w:val="0"/>
          <w:szCs w:val="21"/>
        </w:rPr>
        <w:t>法定代表人：</w:t>
      </w:r>
      <w:r>
        <w:rPr>
          <w:kern w:val="0"/>
          <w:szCs w:val="21"/>
          <w:u w:val="single"/>
        </w:rPr>
        <w:t xml:space="preserve">     （签章）   </w:t>
      </w:r>
      <w:r>
        <w:rPr>
          <w:kern w:val="0"/>
          <w:szCs w:val="21"/>
        </w:rPr>
        <w:t xml:space="preserve">        法定代表人：</w:t>
      </w:r>
      <w:r>
        <w:rPr>
          <w:kern w:val="0"/>
          <w:szCs w:val="21"/>
          <w:u w:val="single"/>
        </w:rPr>
        <w:t xml:space="preserve">     （签章）       </w:t>
      </w:r>
    </w:p>
    <w:p>
      <w:pPr>
        <w:spacing w:line="400" w:lineRule="exact"/>
        <w:ind w:firstLine="420" w:firstLineChars="200"/>
        <w:rPr>
          <w:kern w:val="0"/>
          <w:szCs w:val="21"/>
        </w:rPr>
      </w:pPr>
      <w:r>
        <w:rPr>
          <w:kern w:val="0"/>
          <w:szCs w:val="21"/>
        </w:rPr>
        <w:t>委托代理人：</w:t>
      </w:r>
      <w:r>
        <w:rPr>
          <w:kern w:val="0"/>
          <w:szCs w:val="21"/>
          <w:u w:val="single"/>
        </w:rPr>
        <w:t xml:space="preserve">     （签章）   </w:t>
      </w:r>
      <w:r>
        <w:rPr>
          <w:kern w:val="0"/>
          <w:szCs w:val="21"/>
        </w:rPr>
        <w:t xml:space="preserve">        委托代理人：</w:t>
      </w:r>
      <w:r>
        <w:rPr>
          <w:kern w:val="0"/>
          <w:szCs w:val="21"/>
          <w:u w:val="single"/>
        </w:rPr>
        <w:t xml:space="preserve">     （签章）       </w:t>
      </w:r>
    </w:p>
    <w:p>
      <w:pPr>
        <w:spacing w:line="400" w:lineRule="exact"/>
        <w:ind w:firstLine="420" w:firstLineChars="200"/>
        <w:rPr>
          <w:kern w:val="0"/>
          <w:szCs w:val="21"/>
        </w:rPr>
      </w:pPr>
      <w:r>
        <w:rPr>
          <w:kern w:val="0"/>
          <w:szCs w:val="21"/>
        </w:rPr>
        <w:t>开户银行：</w:t>
      </w:r>
      <w:r>
        <w:rPr>
          <w:kern w:val="0"/>
          <w:szCs w:val="21"/>
          <w:u w:val="single"/>
        </w:rPr>
        <w:t xml:space="preserve">                  </w:t>
      </w:r>
      <w:r>
        <w:rPr>
          <w:kern w:val="0"/>
          <w:szCs w:val="21"/>
        </w:rPr>
        <w:t xml:space="preserve">        开户银行：</w:t>
      </w:r>
      <w:r>
        <w:rPr>
          <w:kern w:val="0"/>
          <w:szCs w:val="21"/>
          <w:u w:val="single"/>
        </w:rPr>
        <w:t xml:space="preserve">                      </w:t>
      </w:r>
    </w:p>
    <w:p>
      <w:pPr>
        <w:spacing w:line="400" w:lineRule="exact"/>
        <w:ind w:firstLine="420" w:firstLineChars="200"/>
        <w:rPr>
          <w:kern w:val="0"/>
          <w:szCs w:val="21"/>
        </w:rPr>
      </w:pPr>
      <w:r>
        <w:rPr>
          <w:kern w:val="0"/>
          <w:szCs w:val="21"/>
        </w:rPr>
        <w:t>帐号：</w:t>
      </w:r>
      <w:r>
        <w:rPr>
          <w:kern w:val="0"/>
          <w:szCs w:val="21"/>
          <w:u w:val="single"/>
        </w:rPr>
        <w:t xml:space="preserve">                      </w:t>
      </w:r>
      <w:r>
        <w:rPr>
          <w:kern w:val="0"/>
          <w:szCs w:val="21"/>
        </w:rPr>
        <w:t xml:space="preserve">        帐号：</w:t>
      </w:r>
      <w:r>
        <w:rPr>
          <w:kern w:val="0"/>
          <w:szCs w:val="21"/>
          <w:u w:val="single"/>
        </w:rPr>
        <w:t xml:space="preserve">                          </w:t>
      </w:r>
    </w:p>
    <w:p>
      <w:pPr>
        <w:spacing w:line="400" w:lineRule="exact"/>
        <w:ind w:firstLine="420" w:firstLineChars="200"/>
        <w:rPr>
          <w:kern w:val="0"/>
          <w:szCs w:val="21"/>
        </w:rPr>
      </w:pPr>
      <w:r>
        <w:rPr>
          <w:kern w:val="0"/>
          <w:szCs w:val="21"/>
        </w:rPr>
        <w:t>邮政编码：</w:t>
      </w:r>
      <w:r>
        <w:rPr>
          <w:kern w:val="0"/>
          <w:szCs w:val="21"/>
          <w:u w:val="single"/>
        </w:rPr>
        <w:t xml:space="preserve">                  </w:t>
      </w:r>
      <w:r>
        <w:rPr>
          <w:kern w:val="0"/>
          <w:szCs w:val="21"/>
        </w:rPr>
        <w:t xml:space="preserve">        邮政编码：</w:t>
      </w:r>
      <w:r>
        <w:rPr>
          <w:kern w:val="0"/>
          <w:szCs w:val="21"/>
          <w:u w:val="single"/>
        </w:rPr>
        <w:t xml:space="preserve">                      </w:t>
      </w:r>
    </w:p>
    <w:p>
      <w:pPr>
        <w:spacing w:line="400" w:lineRule="exact"/>
        <w:ind w:firstLine="420" w:firstLineChars="200"/>
        <w:rPr>
          <w:kern w:val="0"/>
          <w:szCs w:val="21"/>
        </w:rPr>
      </w:pPr>
      <w:r>
        <w:rPr>
          <w:kern w:val="0"/>
          <w:szCs w:val="21"/>
        </w:rPr>
        <w:t>电话：</w:t>
      </w:r>
      <w:r>
        <w:rPr>
          <w:kern w:val="0"/>
          <w:szCs w:val="21"/>
          <w:u w:val="single"/>
        </w:rPr>
        <w:t xml:space="preserve">                      </w:t>
      </w:r>
      <w:r>
        <w:rPr>
          <w:kern w:val="0"/>
          <w:szCs w:val="21"/>
        </w:rPr>
        <w:t xml:space="preserve">        电话：</w:t>
      </w:r>
      <w:r>
        <w:rPr>
          <w:kern w:val="0"/>
          <w:szCs w:val="21"/>
          <w:u w:val="single"/>
        </w:rPr>
        <w:t xml:space="preserve">                          </w:t>
      </w:r>
    </w:p>
    <w:p>
      <w:pPr>
        <w:pStyle w:val="13"/>
        <w:spacing w:line="400" w:lineRule="exact"/>
        <w:ind w:firstLine="424" w:firstLineChars="200"/>
        <w:rPr>
          <w:rFonts w:ascii="Times New Roman" w:hAnsi="Times New Roman"/>
          <w:spacing w:val="6"/>
          <w:szCs w:val="21"/>
        </w:rPr>
      </w:pPr>
    </w:p>
    <w:p>
      <w:pPr>
        <w:pStyle w:val="13"/>
        <w:spacing w:line="400" w:lineRule="exact"/>
        <w:ind w:firstLine="2650" w:firstLineChars="1250"/>
        <w:rPr>
          <w:rFonts w:ascii="Times New Roman" w:hAnsi="Times New Roman"/>
          <w:spacing w:val="6"/>
          <w:szCs w:val="21"/>
        </w:rPr>
      </w:pPr>
      <w:r>
        <w:rPr>
          <w:rFonts w:ascii="Times New Roman" w:hAnsi="Times New Roman"/>
          <w:spacing w:val="6"/>
          <w:szCs w:val="21"/>
        </w:rPr>
        <w:t xml:space="preserve">签订日期： </w:t>
      </w:r>
      <w:r>
        <w:rPr>
          <w:rFonts w:ascii="Times New Roman" w:hAnsi="Times New Roman"/>
          <w:spacing w:val="6"/>
          <w:szCs w:val="21"/>
          <w:u w:val="single"/>
        </w:rPr>
        <w:t xml:space="preserve">       </w:t>
      </w:r>
      <w:r>
        <w:rPr>
          <w:rFonts w:ascii="Times New Roman" w:hAnsi="Times New Roman"/>
          <w:spacing w:val="6"/>
          <w:szCs w:val="21"/>
        </w:rPr>
        <w:t>年</w:t>
      </w:r>
      <w:r>
        <w:rPr>
          <w:rFonts w:ascii="Times New Roman" w:hAnsi="Times New Roman"/>
          <w:spacing w:val="6"/>
          <w:szCs w:val="21"/>
          <w:u w:val="single"/>
        </w:rPr>
        <w:t xml:space="preserve">       </w:t>
      </w:r>
      <w:r>
        <w:rPr>
          <w:rFonts w:ascii="Times New Roman" w:hAnsi="Times New Roman"/>
          <w:spacing w:val="6"/>
          <w:szCs w:val="21"/>
        </w:rPr>
        <w:t>月</w:t>
      </w:r>
      <w:r>
        <w:rPr>
          <w:rFonts w:ascii="Times New Roman" w:hAnsi="Times New Roman"/>
          <w:spacing w:val="6"/>
          <w:szCs w:val="21"/>
          <w:u w:val="single"/>
        </w:rPr>
        <w:t xml:space="preserve">       </w:t>
      </w:r>
      <w:r>
        <w:rPr>
          <w:rFonts w:ascii="Times New Roman" w:hAnsi="Times New Roman"/>
          <w:spacing w:val="6"/>
          <w:szCs w:val="21"/>
        </w:rPr>
        <w:t>日</w:t>
      </w:r>
    </w:p>
    <w:p>
      <w:pPr>
        <w:pStyle w:val="13"/>
        <w:spacing w:line="400" w:lineRule="exact"/>
        <w:ind w:firstLine="2650" w:firstLineChars="1250"/>
        <w:rPr>
          <w:rFonts w:ascii="Times New Roman" w:hAnsi="Times New Roman"/>
          <w:spacing w:val="6"/>
          <w:szCs w:val="21"/>
        </w:rPr>
        <w:sectPr>
          <w:pgSz w:w="11907" w:h="16840"/>
          <w:pgMar w:top="1985" w:right="1588" w:bottom="1985" w:left="1588" w:header="851" w:footer="992" w:gutter="0"/>
          <w:cols w:space="425" w:num="1"/>
          <w:docGrid w:linePitch="312" w:charSpace="0"/>
        </w:sectPr>
      </w:pPr>
    </w:p>
    <w:p>
      <w:pPr>
        <w:pStyle w:val="4"/>
        <w:ind w:firstLine="137"/>
        <w:rPr>
          <w:szCs w:val="28"/>
        </w:rPr>
      </w:pPr>
      <w:bookmarkStart w:id="435" w:name="_Toc62572873"/>
      <w:r>
        <w:rPr>
          <w:szCs w:val="28"/>
        </w:rPr>
        <w:t>附件</w:t>
      </w:r>
      <w:r>
        <w:rPr>
          <w:rFonts w:hint="eastAsia"/>
          <w:szCs w:val="28"/>
        </w:rPr>
        <w:t>2</w:t>
      </w:r>
      <w:r>
        <w:rPr>
          <w:szCs w:val="28"/>
        </w:rPr>
        <w:t>：履约担保格式</w:t>
      </w:r>
      <w:bookmarkEnd w:id="435"/>
    </w:p>
    <w:p>
      <w:pPr>
        <w:spacing w:line="520" w:lineRule="exact"/>
        <w:jc w:val="center"/>
        <w:rPr>
          <w:rFonts w:eastAsia="黑体"/>
          <w:sz w:val="28"/>
          <w:szCs w:val="28"/>
        </w:rPr>
      </w:pPr>
      <w:r>
        <w:rPr>
          <w:rFonts w:eastAsia="黑体"/>
          <w:sz w:val="28"/>
          <w:szCs w:val="28"/>
        </w:rPr>
        <w:t>履约担保</w:t>
      </w:r>
    </w:p>
    <w:p>
      <w:pPr>
        <w:spacing w:line="440" w:lineRule="exact"/>
        <w:rPr>
          <w:szCs w:val="21"/>
        </w:rPr>
      </w:pPr>
      <w:r>
        <w:rPr>
          <w:szCs w:val="21"/>
        </w:rPr>
        <w:t>致</w:t>
      </w:r>
      <w:r>
        <w:rPr>
          <w:szCs w:val="21"/>
          <w:u w:val="single"/>
        </w:rPr>
        <w:t xml:space="preserve"> （招标人全称） </w:t>
      </w:r>
      <w:r>
        <w:rPr>
          <w:szCs w:val="21"/>
        </w:rPr>
        <w:t>：</w:t>
      </w:r>
    </w:p>
    <w:p>
      <w:pPr>
        <w:spacing w:line="440" w:lineRule="exact"/>
        <w:ind w:firstLine="420" w:firstLineChars="200"/>
        <w:rPr>
          <w:szCs w:val="21"/>
        </w:rPr>
      </w:pPr>
      <w:r>
        <w:rPr>
          <w:szCs w:val="21"/>
        </w:rPr>
        <w:t>鉴于</w:t>
      </w:r>
      <w:r>
        <w:rPr>
          <w:szCs w:val="21"/>
          <w:u w:val="single"/>
        </w:rPr>
        <w:t>（招标人全称）</w:t>
      </w:r>
      <w:r>
        <w:rPr>
          <w:szCs w:val="21"/>
        </w:rPr>
        <w:t>与</w:t>
      </w:r>
      <w:r>
        <w:rPr>
          <w:szCs w:val="21"/>
          <w:u w:val="single"/>
        </w:rPr>
        <w:t>（投标人全称）</w:t>
      </w:r>
      <w:r>
        <w:rPr>
          <w:szCs w:val="21"/>
        </w:rPr>
        <w:t>签订</w:t>
      </w:r>
      <w:r>
        <w:rPr>
          <w:szCs w:val="21"/>
          <w:u w:val="single"/>
        </w:rPr>
        <w:t xml:space="preserve">          </w:t>
      </w:r>
      <w:r>
        <w:rPr>
          <w:szCs w:val="21"/>
        </w:rPr>
        <w:t>工程</w:t>
      </w:r>
      <w:r>
        <w:rPr>
          <w:szCs w:val="21"/>
          <w:u w:val="single"/>
        </w:rPr>
        <w:t xml:space="preserve">          </w:t>
      </w:r>
      <w:r>
        <w:rPr>
          <w:szCs w:val="21"/>
        </w:rPr>
        <w:t>标段监理合同，按合同规定承担该合同段工程的监理服务。</w:t>
      </w:r>
    </w:p>
    <w:p>
      <w:pPr>
        <w:spacing w:line="440" w:lineRule="exact"/>
        <w:ind w:firstLine="420" w:firstLineChars="200"/>
        <w:rPr>
          <w:szCs w:val="21"/>
        </w:rPr>
      </w:pPr>
      <w:r>
        <w:rPr>
          <w:szCs w:val="21"/>
        </w:rPr>
        <w:t>现向贵方提交下述金额的银行保函，作为监理人履行本合同责任的保证金。</w:t>
      </w:r>
    </w:p>
    <w:p>
      <w:pPr>
        <w:spacing w:line="440" w:lineRule="exact"/>
        <w:ind w:firstLine="420" w:firstLineChars="200"/>
        <w:rPr>
          <w:szCs w:val="21"/>
        </w:rPr>
      </w:pPr>
      <w:r>
        <w:rPr>
          <w:szCs w:val="21"/>
        </w:rPr>
        <w:t>我行愿意为</w:t>
      </w:r>
      <w:r>
        <w:rPr>
          <w:szCs w:val="21"/>
          <w:u w:val="single"/>
        </w:rPr>
        <w:t>（投标人全称）</w:t>
      </w:r>
      <w:r>
        <w:rPr>
          <w:szCs w:val="21"/>
        </w:rPr>
        <w:t>出具本保函。</w:t>
      </w:r>
    </w:p>
    <w:p>
      <w:pPr>
        <w:spacing w:line="440" w:lineRule="exact"/>
        <w:ind w:firstLine="420" w:firstLineChars="200"/>
        <w:rPr>
          <w:szCs w:val="21"/>
        </w:rPr>
      </w:pPr>
      <w:r>
        <w:rPr>
          <w:szCs w:val="21"/>
        </w:rPr>
        <w:t>我行在此代表</w:t>
      </w:r>
      <w:r>
        <w:rPr>
          <w:szCs w:val="21"/>
          <w:u w:val="single"/>
        </w:rPr>
        <w:t>（投标人全称）</w:t>
      </w:r>
      <w:r>
        <w:rPr>
          <w:szCs w:val="21"/>
        </w:rPr>
        <w:t>向贵方负责，担保额总计为</w:t>
      </w:r>
      <w:r>
        <w:rPr>
          <w:szCs w:val="21"/>
          <w:u w:val="single"/>
        </w:rPr>
        <w:t xml:space="preserve"> （大写） </w:t>
      </w:r>
      <w:r>
        <w:rPr>
          <w:szCs w:val="21"/>
        </w:rPr>
        <w:t>元（￥</w:t>
      </w:r>
      <w:r>
        <w:rPr>
          <w:szCs w:val="21"/>
          <w:u w:val="single"/>
        </w:rPr>
        <w:t xml:space="preserve">     </w:t>
      </w:r>
      <w:r>
        <w:rPr>
          <w:szCs w:val="21"/>
        </w:rPr>
        <w:t>）。</w:t>
      </w:r>
      <w:r>
        <w:rPr>
          <w:szCs w:val="21"/>
          <w:u w:val="single"/>
        </w:rPr>
        <w:t>（投标人全称）</w:t>
      </w:r>
      <w:r>
        <w:rPr>
          <w:szCs w:val="21"/>
        </w:rPr>
        <w:t>在履行合同过程中未能履行或违背合同规定的责任和义务时，在贵方以书面形式提出要求得到上述金额内的任何付款时，本行即予支付，无须贵方出具证明或陈述理由。</w:t>
      </w:r>
    </w:p>
    <w:p>
      <w:pPr>
        <w:spacing w:line="440" w:lineRule="exact"/>
        <w:ind w:firstLine="420" w:firstLineChars="200"/>
        <w:rPr>
          <w:szCs w:val="21"/>
        </w:rPr>
      </w:pPr>
      <w:r>
        <w:rPr>
          <w:szCs w:val="21"/>
        </w:rPr>
        <w:t>我行还同意任何对合同条款所作的修改或补充都不能免除我行按本保函所应承担的义务。</w:t>
      </w:r>
    </w:p>
    <w:p>
      <w:pPr>
        <w:spacing w:line="440" w:lineRule="exact"/>
        <w:ind w:firstLine="420" w:firstLineChars="200"/>
        <w:rPr>
          <w:szCs w:val="21"/>
        </w:rPr>
      </w:pPr>
      <w:r>
        <w:rPr>
          <w:szCs w:val="21"/>
        </w:rPr>
        <w:t>本保函在担保金额支付完毕，或</w:t>
      </w:r>
      <w:r>
        <w:rPr>
          <w:szCs w:val="21"/>
          <w:u w:val="single"/>
        </w:rPr>
        <w:t>（投标人全称）</w:t>
      </w:r>
      <w:r>
        <w:rPr>
          <w:szCs w:val="21"/>
        </w:rPr>
        <w:t>监理合同已终止并得到贵方确认之日起失效。</w:t>
      </w:r>
    </w:p>
    <w:p>
      <w:pPr>
        <w:spacing w:line="400" w:lineRule="exact"/>
        <w:ind w:firstLine="420" w:firstLineChars="200"/>
        <w:rPr>
          <w:szCs w:val="21"/>
        </w:rPr>
      </w:pPr>
    </w:p>
    <w:p>
      <w:pPr>
        <w:spacing w:line="400" w:lineRule="exact"/>
        <w:ind w:left="4620" w:leftChars="2200"/>
        <w:rPr>
          <w:szCs w:val="21"/>
        </w:rPr>
      </w:pPr>
      <w:r>
        <w:rPr>
          <w:szCs w:val="21"/>
        </w:rPr>
        <w:t>担保银行：</w:t>
      </w:r>
      <w:r>
        <w:rPr>
          <w:szCs w:val="21"/>
          <w:u w:val="single"/>
        </w:rPr>
        <w:t xml:space="preserve">     </w:t>
      </w:r>
      <w:r>
        <w:rPr>
          <w:rFonts w:hint="eastAsia"/>
          <w:szCs w:val="21"/>
          <w:u w:val="single"/>
        </w:rPr>
        <w:t xml:space="preserve">  </w:t>
      </w:r>
      <w:r>
        <w:rPr>
          <w:szCs w:val="21"/>
          <w:u w:val="single"/>
        </w:rPr>
        <w:t xml:space="preserve"> （盖章）  </w:t>
      </w:r>
      <w:r>
        <w:rPr>
          <w:rFonts w:hint="eastAsia"/>
          <w:szCs w:val="21"/>
          <w:u w:val="single"/>
        </w:rPr>
        <w:t xml:space="preserve">   </w:t>
      </w:r>
      <w:r>
        <w:rPr>
          <w:szCs w:val="21"/>
          <w:u w:val="single"/>
        </w:rPr>
        <w:t xml:space="preserve">   </w:t>
      </w:r>
    </w:p>
    <w:p>
      <w:pPr>
        <w:spacing w:line="400" w:lineRule="exact"/>
        <w:ind w:left="4620" w:leftChars="2200"/>
        <w:rPr>
          <w:szCs w:val="21"/>
          <w:u w:val="single"/>
        </w:rPr>
      </w:pPr>
      <w:r>
        <w:rPr>
          <w:szCs w:val="21"/>
        </w:rPr>
        <w:t>法定代表人：</w:t>
      </w:r>
      <w:r>
        <w:rPr>
          <w:szCs w:val="21"/>
          <w:u w:val="single"/>
        </w:rPr>
        <w:t xml:space="preserve">      （签字）   </w:t>
      </w:r>
      <w:r>
        <w:rPr>
          <w:rFonts w:hint="eastAsia"/>
          <w:szCs w:val="21"/>
          <w:u w:val="single"/>
        </w:rPr>
        <w:t xml:space="preserve">  </w:t>
      </w:r>
      <w:r>
        <w:rPr>
          <w:szCs w:val="21"/>
          <w:u w:val="single"/>
        </w:rPr>
        <w:t xml:space="preserve">   </w:t>
      </w:r>
    </w:p>
    <w:p>
      <w:pPr>
        <w:spacing w:line="400" w:lineRule="exact"/>
        <w:ind w:left="4620" w:leftChars="2200"/>
        <w:rPr>
          <w:szCs w:val="21"/>
          <w:u w:val="single"/>
        </w:rPr>
      </w:pPr>
      <w:r>
        <w:rPr>
          <w:szCs w:val="21"/>
        </w:rPr>
        <w:t>委托代理人：</w:t>
      </w:r>
      <w:r>
        <w:rPr>
          <w:szCs w:val="21"/>
          <w:u w:val="single"/>
        </w:rPr>
        <w:t xml:space="preserve">      （签字）  </w:t>
      </w:r>
      <w:r>
        <w:rPr>
          <w:rFonts w:hint="eastAsia"/>
          <w:szCs w:val="21"/>
          <w:u w:val="single"/>
        </w:rPr>
        <w:t xml:space="preserve">  </w:t>
      </w:r>
      <w:r>
        <w:rPr>
          <w:szCs w:val="21"/>
          <w:u w:val="single"/>
        </w:rPr>
        <w:t xml:space="preserve">    </w:t>
      </w:r>
    </w:p>
    <w:p>
      <w:pPr>
        <w:spacing w:line="400" w:lineRule="exact"/>
        <w:ind w:left="4620" w:leftChars="2200"/>
        <w:rPr>
          <w:szCs w:val="21"/>
        </w:rPr>
      </w:pPr>
      <w:r>
        <w:rPr>
          <w:szCs w:val="21"/>
        </w:rPr>
        <w:t>地    址：</w:t>
      </w:r>
      <w:r>
        <w:rPr>
          <w:szCs w:val="21"/>
          <w:u w:val="single"/>
        </w:rPr>
        <w:t xml:space="preserve">                 </w:t>
      </w:r>
      <w:r>
        <w:rPr>
          <w:rFonts w:hint="eastAsia"/>
          <w:szCs w:val="21"/>
          <w:u w:val="single"/>
        </w:rPr>
        <w:t xml:space="preserve">  </w:t>
      </w:r>
      <w:r>
        <w:rPr>
          <w:szCs w:val="21"/>
          <w:u w:val="single"/>
        </w:rPr>
        <w:t xml:space="preserve">     </w:t>
      </w:r>
    </w:p>
    <w:p>
      <w:pPr>
        <w:spacing w:line="400" w:lineRule="exact"/>
        <w:ind w:left="4620" w:leftChars="2200"/>
        <w:rPr>
          <w:szCs w:val="21"/>
        </w:rPr>
      </w:pPr>
      <w:r>
        <w:rPr>
          <w:szCs w:val="21"/>
        </w:rPr>
        <w:t>邮政编码：</w:t>
      </w:r>
      <w:r>
        <w:rPr>
          <w:szCs w:val="21"/>
          <w:u w:val="single"/>
        </w:rPr>
        <w:t xml:space="preserve">                 </w:t>
      </w:r>
      <w:r>
        <w:rPr>
          <w:rFonts w:hint="eastAsia"/>
          <w:szCs w:val="21"/>
          <w:u w:val="single"/>
        </w:rPr>
        <w:t xml:space="preserve">  </w:t>
      </w:r>
      <w:r>
        <w:rPr>
          <w:szCs w:val="21"/>
          <w:u w:val="single"/>
        </w:rPr>
        <w:t xml:space="preserve">     </w:t>
      </w:r>
    </w:p>
    <w:p>
      <w:pPr>
        <w:spacing w:line="400" w:lineRule="exact"/>
        <w:ind w:left="4620" w:leftChars="2200"/>
        <w:rPr>
          <w:szCs w:val="21"/>
        </w:rPr>
      </w:pPr>
      <w:r>
        <w:rPr>
          <w:szCs w:val="21"/>
        </w:rPr>
        <w:t>电    话：</w:t>
      </w:r>
      <w:r>
        <w:rPr>
          <w:szCs w:val="21"/>
          <w:u w:val="single"/>
        </w:rPr>
        <w:t xml:space="preserve">                 </w:t>
      </w:r>
      <w:r>
        <w:rPr>
          <w:rFonts w:hint="eastAsia"/>
          <w:szCs w:val="21"/>
          <w:u w:val="single"/>
        </w:rPr>
        <w:t xml:space="preserve">  </w:t>
      </w:r>
      <w:r>
        <w:rPr>
          <w:szCs w:val="21"/>
          <w:u w:val="single"/>
        </w:rPr>
        <w:t xml:space="preserve">     </w:t>
      </w:r>
    </w:p>
    <w:p>
      <w:pPr>
        <w:spacing w:line="400" w:lineRule="exact"/>
        <w:ind w:left="4620" w:leftChars="2200"/>
        <w:rPr>
          <w:szCs w:val="21"/>
        </w:rPr>
      </w:pPr>
      <w:r>
        <w:rPr>
          <w:szCs w:val="21"/>
        </w:rPr>
        <w:t>传    真：</w:t>
      </w:r>
      <w:r>
        <w:rPr>
          <w:szCs w:val="21"/>
          <w:u w:val="single"/>
        </w:rPr>
        <w:t xml:space="preserve">                 </w:t>
      </w:r>
      <w:r>
        <w:rPr>
          <w:rFonts w:hint="eastAsia"/>
          <w:szCs w:val="21"/>
          <w:u w:val="single"/>
        </w:rPr>
        <w:t xml:space="preserve">  </w:t>
      </w:r>
      <w:r>
        <w:rPr>
          <w:szCs w:val="21"/>
          <w:u w:val="single"/>
        </w:rPr>
        <w:t xml:space="preserve">     </w:t>
      </w:r>
    </w:p>
    <w:p>
      <w:pPr>
        <w:spacing w:line="400" w:lineRule="exact"/>
        <w:ind w:left="4620" w:leftChars="2200"/>
        <w:rPr>
          <w:szCs w:val="21"/>
        </w:rPr>
      </w:pPr>
      <w:r>
        <w:rPr>
          <w:szCs w:val="21"/>
        </w:rPr>
        <w:t>日    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r>
        <w:rPr>
          <w:szCs w:val="21"/>
        </w:rPr>
        <w:t>备注：具体格式可由银行自定，但不得改变实质内容。</w:t>
      </w:r>
    </w:p>
    <w:bookmarkEnd w:id="255"/>
    <w:bookmarkEnd w:id="256"/>
    <w:bookmarkEnd w:id="257"/>
    <w:bookmarkEnd w:id="258"/>
    <w:p>
      <w:pPr>
        <w:spacing w:line="400" w:lineRule="exact"/>
        <w:ind w:firstLine="420" w:firstLineChars="200"/>
        <w:rPr>
          <w:szCs w:val="21"/>
        </w:rPr>
        <w:sectPr>
          <w:pgSz w:w="11907" w:h="16840"/>
          <w:pgMar w:top="1985" w:right="1588" w:bottom="1985" w:left="1588" w:header="720" w:footer="720" w:gutter="0"/>
          <w:cols w:space="720" w:num="1"/>
          <w:docGrid w:linePitch="285" w:charSpace="0"/>
        </w:sectPr>
      </w:pPr>
      <w:bookmarkStart w:id="436" w:name="_Toc246996338"/>
      <w:bookmarkStart w:id="437" w:name="_Toc246997081"/>
      <w:bookmarkStart w:id="438" w:name="_Toc179632787"/>
      <w:bookmarkStart w:id="439" w:name="_Toc247085853"/>
    </w:p>
    <w:p>
      <w:pPr>
        <w:pStyle w:val="4"/>
        <w:ind w:firstLine="137"/>
        <w:rPr>
          <w:szCs w:val="28"/>
        </w:rPr>
      </w:pPr>
      <w:bookmarkStart w:id="440" w:name="_Toc62572874"/>
      <w:bookmarkStart w:id="441" w:name="_Toc244342989"/>
      <w:bookmarkStart w:id="442" w:name="_Toc53388216"/>
      <w:r>
        <w:rPr>
          <w:szCs w:val="28"/>
        </w:rPr>
        <w:t>附件</w:t>
      </w:r>
      <w:r>
        <w:rPr>
          <w:rFonts w:hint="eastAsia"/>
          <w:szCs w:val="28"/>
        </w:rPr>
        <w:t>3</w:t>
      </w:r>
      <w:r>
        <w:rPr>
          <w:szCs w:val="28"/>
        </w:rPr>
        <w:t>：廉政协议书</w:t>
      </w:r>
      <w:bookmarkEnd w:id="440"/>
      <w:bookmarkEnd w:id="441"/>
      <w:bookmarkEnd w:id="442"/>
    </w:p>
    <w:p>
      <w:pPr>
        <w:spacing w:line="520" w:lineRule="exact"/>
        <w:jc w:val="center"/>
        <w:rPr>
          <w:rFonts w:eastAsia="黑体"/>
          <w:sz w:val="28"/>
          <w:szCs w:val="28"/>
        </w:rPr>
      </w:pPr>
      <w:r>
        <w:rPr>
          <w:rFonts w:eastAsia="黑体"/>
          <w:sz w:val="28"/>
          <w:szCs w:val="28"/>
        </w:rPr>
        <w:t>廉 政 协 议 书</w:t>
      </w:r>
    </w:p>
    <w:p>
      <w:pPr>
        <w:spacing w:before="100" w:after="100" w:line="380" w:lineRule="atLeast"/>
        <w:ind w:firstLine="420" w:firstLineChars="200"/>
        <w:rPr>
          <w:szCs w:val="21"/>
          <w:u w:val="single"/>
        </w:rPr>
      </w:pPr>
      <w:r>
        <w:rPr>
          <w:szCs w:val="21"/>
        </w:rPr>
        <w:t>委托人（甲方）：</w:t>
      </w:r>
      <w:r>
        <w:rPr>
          <w:szCs w:val="21"/>
          <w:u w:val="single"/>
        </w:rPr>
        <w:t xml:space="preserve">                           </w:t>
      </w:r>
    </w:p>
    <w:p>
      <w:pPr>
        <w:spacing w:before="100" w:after="100" w:line="380" w:lineRule="atLeast"/>
        <w:ind w:firstLine="420" w:firstLineChars="200"/>
        <w:rPr>
          <w:szCs w:val="21"/>
          <w:u w:val="single"/>
        </w:rPr>
      </w:pPr>
      <w:r>
        <w:rPr>
          <w:szCs w:val="21"/>
        </w:rPr>
        <w:t>监理人（乙方）：</w:t>
      </w:r>
      <w:r>
        <w:rPr>
          <w:szCs w:val="21"/>
          <w:u w:val="single"/>
        </w:rPr>
        <w:t xml:space="preserve">                           </w:t>
      </w:r>
    </w:p>
    <w:p>
      <w:pPr>
        <w:spacing w:before="100" w:after="100" w:line="380" w:lineRule="atLeast"/>
        <w:ind w:firstLine="420" w:firstLineChars="200"/>
        <w:rPr>
          <w:szCs w:val="21"/>
          <w:u w:val="single"/>
        </w:rPr>
      </w:pPr>
      <w:r>
        <w:rPr>
          <w:szCs w:val="21"/>
        </w:rPr>
        <w:t>工程项目名称：</w:t>
      </w:r>
      <w:r>
        <w:rPr>
          <w:szCs w:val="21"/>
          <w:u w:val="single"/>
        </w:rPr>
        <w:t xml:space="preserve">                            </w:t>
      </w:r>
    </w:p>
    <w:p>
      <w:pPr>
        <w:spacing w:before="100" w:after="100" w:line="380" w:lineRule="atLeast"/>
        <w:ind w:firstLine="420" w:firstLineChars="200"/>
        <w:rPr>
          <w:szCs w:val="21"/>
          <w:u w:val="single"/>
        </w:rPr>
      </w:pPr>
      <w:r>
        <w:rPr>
          <w:szCs w:val="21"/>
        </w:rPr>
        <w:t>工程项目地点：</w:t>
      </w:r>
      <w:r>
        <w:rPr>
          <w:szCs w:val="21"/>
          <w:u w:val="single"/>
        </w:rPr>
        <w:t xml:space="preserve">                            </w:t>
      </w:r>
    </w:p>
    <w:p>
      <w:pPr>
        <w:spacing w:before="100" w:after="100" w:line="380" w:lineRule="atLeast"/>
        <w:ind w:firstLine="420" w:firstLineChars="200"/>
        <w:rPr>
          <w:szCs w:val="21"/>
        </w:rPr>
      </w:pPr>
      <w:r>
        <w:rPr>
          <w:szCs w:val="21"/>
        </w:rPr>
        <w:t>为加强铁路工程建设中的廉政建设，规范、约束甲乙双方的行为，防止违法、违纪和不廉洁问题的发生，保护双方合法权益，特订立本协议书。</w:t>
      </w:r>
    </w:p>
    <w:p>
      <w:pPr>
        <w:snapToGrid w:val="0"/>
        <w:spacing w:line="380" w:lineRule="atLeast"/>
        <w:ind w:firstLine="434" w:firstLineChars="207"/>
        <w:rPr>
          <w:bCs/>
          <w:szCs w:val="21"/>
        </w:rPr>
      </w:pPr>
      <w:r>
        <w:rPr>
          <w:bCs/>
          <w:szCs w:val="21"/>
        </w:rPr>
        <w:t>一、甲方（含甲方人员）义务</w:t>
      </w:r>
    </w:p>
    <w:p>
      <w:pPr>
        <w:snapToGrid w:val="0"/>
        <w:spacing w:line="380" w:lineRule="atLeast"/>
        <w:ind w:firstLine="420" w:firstLineChars="200"/>
        <w:rPr>
          <w:szCs w:val="21"/>
        </w:rPr>
      </w:pPr>
      <w:r>
        <w:rPr>
          <w:szCs w:val="21"/>
        </w:rPr>
        <w:t>1.不得接受乙方或向乙方索取或以借用为名占用乙方的任何财物；不得接受乙方的礼金、礼品和各种有价证券、支付凭证；不得接受乙方的任何奖金或其他经济利益。</w:t>
      </w:r>
    </w:p>
    <w:p>
      <w:pPr>
        <w:snapToGrid w:val="0"/>
        <w:spacing w:line="380" w:lineRule="atLeast"/>
        <w:ind w:firstLine="420" w:firstLineChars="200"/>
        <w:rPr>
          <w:szCs w:val="21"/>
        </w:rPr>
      </w:pPr>
      <w:r>
        <w:rPr>
          <w:szCs w:val="21"/>
        </w:rPr>
        <w:t>2.不从乙方报销或支付应由本单位或个人承担的费用；不得接受乙方提供的宴请、旅游、健身、娱乐等活动安排；在婚丧喜庆等活动中不邀请乙方人员参加、不接受乙方的财物。</w:t>
      </w:r>
    </w:p>
    <w:p>
      <w:pPr>
        <w:widowControl/>
        <w:adjustRightInd w:val="0"/>
        <w:snapToGrid w:val="0"/>
        <w:spacing w:line="380" w:lineRule="atLeast"/>
        <w:ind w:firstLine="464" w:firstLineChars="221"/>
        <w:rPr>
          <w:kern w:val="0"/>
          <w:szCs w:val="21"/>
        </w:rPr>
      </w:pPr>
      <w:r>
        <w:rPr>
          <w:kern w:val="0"/>
          <w:szCs w:val="21"/>
        </w:rPr>
        <w:t>3.不得利用职务便利向乙方推销或指定使用物资设备等；不得借用、占用乙方车辆。</w:t>
      </w:r>
    </w:p>
    <w:p>
      <w:pPr>
        <w:snapToGrid w:val="0"/>
        <w:spacing w:line="380" w:lineRule="atLeast"/>
        <w:ind w:firstLine="424" w:firstLineChars="202"/>
        <w:rPr>
          <w:szCs w:val="21"/>
        </w:rPr>
      </w:pPr>
      <w:r>
        <w:rPr>
          <w:szCs w:val="21"/>
        </w:rPr>
        <w:t>4.对无法拒绝的乙方及其个人所送的钱物，应在一个月内报告上级纪检监察组织，并及时退还乙方或上缴纪检监察组织。</w:t>
      </w:r>
    </w:p>
    <w:p>
      <w:pPr>
        <w:widowControl/>
        <w:adjustRightInd w:val="0"/>
        <w:snapToGrid w:val="0"/>
        <w:spacing w:line="380" w:lineRule="atLeast"/>
        <w:ind w:firstLine="464" w:firstLineChars="221"/>
        <w:rPr>
          <w:kern w:val="0"/>
          <w:szCs w:val="21"/>
        </w:rPr>
      </w:pPr>
      <w:r>
        <w:rPr>
          <w:kern w:val="0"/>
          <w:szCs w:val="21"/>
        </w:rPr>
        <w:t>5.对乙方提供的有关信息，应及时调查处理并反馈结果。</w:t>
      </w:r>
    </w:p>
    <w:p>
      <w:pPr>
        <w:snapToGrid w:val="0"/>
        <w:spacing w:line="380" w:lineRule="atLeast"/>
        <w:ind w:firstLine="434" w:firstLineChars="207"/>
        <w:rPr>
          <w:bCs/>
          <w:szCs w:val="21"/>
        </w:rPr>
      </w:pPr>
      <w:r>
        <w:rPr>
          <w:bCs/>
          <w:szCs w:val="21"/>
        </w:rPr>
        <w:t>二、乙方（含乙方人员）义务</w:t>
      </w:r>
    </w:p>
    <w:p>
      <w:pPr>
        <w:snapToGrid w:val="0"/>
        <w:spacing w:line="380" w:lineRule="atLeast"/>
        <w:ind w:firstLine="434" w:firstLineChars="207"/>
        <w:rPr>
          <w:szCs w:val="21"/>
        </w:rPr>
      </w:pPr>
      <w:r>
        <w:rPr>
          <w:szCs w:val="21"/>
        </w:rPr>
        <w:t xml:space="preserve">1.不得以任何形式向甲方行贿；不得向甲方送礼金、礼品和各种有价证券、支付凭证；不得向甲方赠送任何奖金或其他经济利益。 </w:t>
      </w:r>
    </w:p>
    <w:p>
      <w:pPr>
        <w:snapToGrid w:val="0"/>
        <w:spacing w:line="380" w:lineRule="atLeast"/>
        <w:ind w:firstLine="434" w:firstLineChars="207"/>
        <w:rPr>
          <w:szCs w:val="21"/>
        </w:rPr>
      </w:pPr>
      <w:r>
        <w:rPr>
          <w:szCs w:val="21"/>
        </w:rPr>
        <w:t xml:space="preserve">2.不得为甲方报销或支付应由其单位或个人承担的费用；不向甲方提供宴请、旅游、健身、娱乐等活动；不参加甲方人员的婚丧喜庆等活动，不向甲方家庭成员及亲属赠送任何礼金、礼品。 </w:t>
      </w:r>
    </w:p>
    <w:p>
      <w:pPr>
        <w:snapToGrid w:val="0"/>
        <w:spacing w:line="380" w:lineRule="atLeast"/>
        <w:ind w:firstLine="434" w:firstLineChars="207"/>
        <w:rPr>
          <w:szCs w:val="21"/>
        </w:rPr>
      </w:pPr>
      <w:r>
        <w:rPr>
          <w:szCs w:val="21"/>
        </w:rPr>
        <w:t>3.不接受甲方推销或指定使用的物资设备，不向甲方无偿提供车辆等。</w:t>
      </w:r>
    </w:p>
    <w:p>
      <w:pPr>
        <w:snapToGrid w:val="0"/>
        <w:spacing w:line="380" w:lineRule="atLeast"/>
        <w:ind w:firstLine="434" w:firstLineChars="207"/>
        <w:rPr>
          <w:szCs w:val="21"/>
        </w:rPr>
      </w:pPr>
      <w:r>
        <w:rPr>
          <w:szCs w:val="21"/>
        </w:rPr>
        <w:t>4.对甲方及其个人索要钱物、推销或指定使用物资设备、借用占用车辆等行为予以拒绝，并及时主动向本单位（本系统）上级纪检监察组织报告。</w:t>
      </w:r>
    </w:p>
    <w:p>
      <w:pPr>
        <w:snapToGrid w:val="0"/>
        <w:spacing w:line="380" w:lineRule="atLeast"/>
        <w:ind w:firstLine="434" w:firstLineChars="207"/>
        <w:rPr>
          <w:szCs w:val="21"/>
        </w:rPr>
      </w:pPr>
      <w:r>
        <w:rPr>
          <w:szCs w:val="21"/>
        </w:rPr>
        <w:t>5.对甲方提供的有关信息，应及时调查处理并反馈结果。</w:t>
      </w:r>
    </w:p>
    <w:p>
      <w:pPr>
        <w:snapToGrid w:val="0"/>
        <w:spacing w:line="380" w:lineRule="atLeast"/>
        <w:ind w:firstLine="434" w:firstLineChars="207"/>
        <w:rPr>
          <w:bCs/>
          <w:szCs w:val="21"/>
        </w:rPr>
      </w:pPr>
      <w:r>
        <w:rPr>
          <w:bCs/>
          <w:szCs w:val="21"/>
        </w:rPr>
        <w:t>三、违约责任</w:t>
      </w:r>
    </w:p>
    <w:p>
      <w:pPr>
        <w:snapToGrid w:val="0"/>
        <w:spacing w:line="380" w:lineRule="atLeast"/>
        <w:ind w:firstLine="434" w:firstLineChars="207"/>
        <w:rPr>
          <w:szCs w:val="21"/>
        </w:rPr>
      </w:pPr>
      <w:r>
        <w:rPr>
          <w:szCs w:val="21"/>
        </w:rPr>
        <w:t>甲乙双方不履行各自义务，构成犯罪和违纪的，由司法机关和有关纪检监察部门按管辖依法依纪处理，所认定的事实和处理结果作为承担下列约定违约责任的依据。</w:t>
      </w:r>
    </w:p>
    <w:p>
      <w:pPr>
        <w:snapToGrid w:val="0"/>
        <w:spacing w:line="380" w:lineRule="atLeast"/>
        <w:ind w:firstLine="434" w:firstLineChars="207"/>
        <w:rPr>
          <w:szCs w:val="21"/>
        </w:rPr>
      </w:pPr>
      <w:r>
        <w:rPr>
          <w:szCs w:val="21"/>
        </w:rPr>
        <w:t>1. 乙方不履行其第1项义务，乙方在</w:t>
      </w:r>
      <w:r>
        <w:rPr>
          <w:szCs w:val="21"/>
          <w:u w:val="single"/>
        </w:rPr>
        <w:t xml:space="preserve">    </w:t>
      </w:r>
      <w:r>
        <w:rPr>
          <w:szCs w:val="21"/>
        </w:rPr>
        <w:t>月内不得进入铁路建设市场甲方管理范围投标，当期信用评价定为C级，同时取消乙方2个月参与铁路建设项目投标资格，数额较大的加重处理，若一年内再次发生，取消乙方6个月投标资格，取消投标资格具体事项按中国铁路国铁集团相关通报执行。</w:t>
      </w:r>
    </w:p>
    <w:p>
      <w:pPr>
        <w:snapToGrid w:val="0"/>
        <w:spacing w:line="380" w:lineRule="atLeast"/>
        <w:ind w:firstLine="434" w:firstLineChars="207"/>
        <w:rPr>
          <w:szCs w:val="21"/>
        </w:rPr>
      </w:pPr>
      <w:r>
        <w:rPr>
          <w:szCs w:val="21"/>
        </w:rPr>
        <w:t>甲方向乙方索贿，甲方向乙方支付违约金</w:t>
      </w:r>
      <w:r>
        <w:rPr>
          <w:szCs w:val="21"/>
          <w:u w:val="single"/>
        </w:rPr>
        <w:t xml:space="preserve">         </w:t>
      </w:r>
      <w:r>
        <w:rPr>
          <w:szCs w:val="21"/>
        </w:rPr>
        <w:t>元（数额由双方约定，以下同），乙方主动向甲方行贿，乙方向甲方支付违约金</w:t>
      </w:r>
      <w:r>
        <w:rPr>
          <w:szCs w:val="21"/>
          <w:u w:val="single"/>
        </w:rPr>
        <w:t xml:space="preserve">        </w:t>
      </w:r>
      <w:r>
        <w:rPr>
          <w:szCs w:val="21"/>
        </w:rPr>
        <w:t>元。造成的直接经济损失，由采取主动行为先行违反义务一方承担。</w:t>
      </w:r>
    </w:p>
    <w:p>
      <w:pPr>
        <w:snapToGrid w:val="0"/>
        <w:spacing w:line="380" w:lineRule="atLeast"/>
        <w:ind w:firstLine="434" w:firstLineChars="207"/>
        <w:rPr>
          <w:szCs w:val="21"/>
        </w:rPr>
      </w:pPr>
      <w:r>
        <w:rPr>
          <w:szCs w:val="21"/>
        </w:rPr>
        <w:t>2. 甲方向乙方索要或主动要求乙方提供甲方第2项义务所列钱物和活动，向乙方支付违约金</w:t>
      </w:r>
      <w:r>
        <w:rPr>
          <w:szCs w:val="21"/>
          <w:u w:val="single"/>
        </w:rPr>
        <w:t xml:space="preserve">         </w:t>
      </w:r>
      <w:r>
        <w:rPr>
          <w:szCs w:val="21"/>
        </w:rPr>
        <w:t>元；乙方主动向甲方赠送、提供乙方第2项义务所列钱物和活动，向甲方支付违约金</w:t>
      </w:r>
      <w:r>
        <w:rPr>
          <w:szCs w:val="21"/>
          <w:u w:val="single"/>
        </w:rPr>
        <w:t xml:space="preserve">        </w:t>
      </w:r>
      <w:r>
        <w:rPr>
          <w:szCs w:val="21"/>
        </w:rPr>
        <w:t>元。</w:t>
      </w:r>
    </w:p>
    <w:p>
      <w:pPr>
        <w:snapToGrid w:val="0"/>
        <w:spacing w:line="380" w:lineRule="atLeast"/>
        <w:ind w:firstLine="434" w:firstLineChars="207"/>
        <w:rPr>
          <w:szCs w:val="21"/>
        </w:rPr>
      </w:pPr>
      <w:r>
        <w:rPr>
          <w:szCs w:val="21"/>
        </w:rPr>
        <w:t>3. 双方违反协议约定的各自第3项义务，经查证属实的，采取主动行为先行违反义务一方向对方支付违约金</w:t>
      </w:r>
      <w:r>
        <w:rPr>
          <w:szCs w:val="21"/>
          <w:u w:val="single"/>
        </w:rPr>
        <w:t xml:space="preserve">       </w:t>
      </w:r>
      <w:r>
        <w:rPr>
          <w:szCs w:val="21"/>
        </w:rPr>
        <w:t>元。</w:t>
      </w:r>
    </w:p>
    <w:p>
      <w:pPr>
        <w:snapToGrid w:val="0"/>
        <w:spacing w:line="380" w:lineRule="atLeast"/>
        <w:ind w:firstLine="434" w:firstLineChars="207"/>
        <w:rPr>
          <w:szCs w:val="21"/>
        </w:rPr>
      </w:pPr>
      <w:r>
        <w:rPr>
          <w:szCs w:val="21"/>
        </w:rPr>
        <w:t>4. 双方不履行协议约定1-3项义务的，应将责任人调离本项目并按规定予以处理。</w:t>
      </w:r>
    </w:p>
    <w:p>
      <w:pPr>
        <w:snapToGrid w:val="0"/>
        <w:spacing w:line="380" w:lineRule="atLeast"/>
        <w:ind w:firstLine="434" w:firstLineChars="207"/>
        <w:rPr>
          <w:bCs/>
          <w:szCs w:val="21"/>
        </w:rPr>
      </w:pPr>
      <w:r>
        <w:rPr>
          <w:bCs/>
          <w:szCs w:val="21"/>
        </w:rPr>
        <w:t>四、违约责任追究</w:t>
      </w:r>
    </w:p>
    <w:p>
      <w:pPr>
        <w:snapToGrid w:val="0"/>
        <w:spacing w:line="380" w:lineRule="atLeast"/>
        <w:ind w:firstLine="434" w:firstLineChars="207"/>
        <w:rPr>
          <w:szCs w:val="21"/>
        </w:rPr>
      </w:pPr>
      <w:r>
        <w:rPr>
          <w:szCs w:val="21"/>
        </w:rPr>
        <w:t>1. 甲乙双方自觉履行本协议并互相监督，一方不履行协议的，另一方有权利举报。</w:t>
      </w:r>
    </w:p>
    <w:p>
      <w:pPr>
        <w:snapToGrid w:val="0"/>
        <w:spacing w:line="380" w:lineRule="atLeast"/>
        <w:ind w:firstLine="434" w:firstLineChars="207"/>
        <w:rPr>
          <w:szCs w:val="21"/>
        </w:rPr>
      </w:pPr>
      <w:r>
        <w:rPr>
          <w:szCs w:val="21"/>
        </w:rPr>
        <w:t>一方主动举报另一方，举报方不承担上述约定的违约责任，全部由被举报方承担，但不免除各自应负的法纪责任。</w:t>
      </w:r>
    </w:p>
    <w:p>
      <w:pPr>
        <w:snapToGrid w:val="0"/>
        <w:spacing w:line="380" w:lineRule="atLeast"/>
        <w:ind w:firstLine="434" w:firstLineChars="207"/>
        <w:rPr>
          <w:szCs w:val="21"/>
        </w:rPr>
      </w:pPr>
      <w:r>
        <w:rPr>
          <w:szCs w:val="21"/>
        </w:rPr>
        <w:t>2. 由于双方单位或工作人员个人行为造成违约的，双方单位承担上述约定的违约责任。</w:t>
      </w:r>
    </w:p>
    <w:p>
      <w:pPr>
        <w:snapToGrid w:val="0"/>
        <w:spacing w:line="380" w:lineRule="atLeast"/>
        <w:ind w:firstLine="434" w:firstLineChars="207"/>
        <w:rPr>
          <w:szCs w:val="21"/>
        </w:rPr>
      </w:pPr>
      <w:r>
        <w:rPr>
          <w:szCs w:val="21"/>
        </w:rPr>
        <w:t>3. 双方在履行协议中发生争议，一方有权向对方上级单位主管部门和纪检监察部门反映情况并要求帮助解决争议。</w:t>
      </w:r>
    </w:p>
    <w:p>
      <w:pPr>
        <w:snapToGrid w:val="0"/>
        <w:spacing w:line="380" w:lineRule="atLeast"/>
        <w:ind w:firstLine="434" w:firstLineChars="207"/>
        <w:rPr>
          <w:szCs w:val="21"/>
        </w:rPr>
      </w:pPr>
      <w:r>
        <w:rPr>
          <w:szCs w:val="21"/>
        </w:rPr>
        <w:t>4. 违约方应在有关部门对不履行协议的行为做出处理或结论后（</w:t>
      </w:r>
      <w:r>
        <w:rPr>
          <w:szCs w:val="21"/>
          <w:u w:val="single"/>
        </w:rPr>
        <w:t>约定时间</w:t>
      </w:r>
      <w:r>
        <w:rPr>
          <w:szCs w:val="21"/>
        </w:rPr>
        <w:t>）天内向对方支付违约金。</w:t>
      </w:r>
    </w:p>
    <w:p>
      <w:pPr>
        <w:snapToGrid w:val="0"/>
        <w:spacing w:line="380" w:lineRule="atLeast"/>
        <w:ind w:firstLine="434" w:firstLineChars="207"/>
        <w:rPr>
          <w:szCs w:val="21"/>
        </w:rPr>
      </w:pPr>
      <w:r>
        <w:rPr>
          <w:szCs w:val="21"/>
        </w:rPr>
        <w:t>双方有义务将有关责任人的责任追究情况通报对方。</w:t>
      </w:r>
    </w:p>
    <w:p>
      <w:pPr>
        <w:snapToGrid w:val="0"/>
        <w:spacing w:line="380" w:lineRule="atLeast"/>
        <w:ind w:firstLine="434" w:firstLineChars="207"/>
        <w:rPr>
          <w:szCs w:val="21"/>
        </w:rPr>
      </w:pPr>
      <w:r>
        <w:rPr>
          <w:szCs w:val="21"/>
        </w:rPr>
        <w:t>五、本协议有效期为双方签署之日起至本工程项目竣工日期止。有效期内发生的违约事实，有效期后发现的适用本协议。</w:t>
      </w:r>
    </w:p>
    <w:p>
      <w:pPr>
        <w:snapToGrid w:val="0"/>
        <w:spacing w:line="380" w:lineRule="atLeast"/>
        <w:ind w:firstLine="434" w:firstLineChars="207"/>
        <w:rPr>
          <w:szCs w:val="21"/>
        </w:rPr>
      </w:pPr>
      <w:r>
        <w:rPr>
          <w:szCs w:val="21"/>
        </w:rPr>
        <w:t>六、本协议是铁路建设项目合同的组成部分，与合同具有同等法律效力。</w:t>
      </w:r>
    </w:p>
    <w:p>
      <w:pPr>
        <w:snapToGrid w:val="0"/>
        <w:spacing w:line="380" w:lineRule="atLeast"/>
        <w:rPr>
          <w:szCs w:val="21"/>
        </w:rPr>
      </w:pPr>
    </w:p>
    <w:p>
      <w:pPr>
        <w:spacing w:line="400" w:lineRule="exact"/>
        <w:ind w:firstLine="420" w:firstLineChars="200"/>
        <w:rPr>
          <w:kern w:val="0"/>
          <w:szCs w:val="21"/>
        </w:rPr>
      </w:pPr>
      <w:r>
        <w:rPr>
          <w:kern w:val="0"/>
          <w:szCs w:val="21"/>
        </w:rPr>
        <w:t>甲方：</w:t>
      </w:r>
      <w:r>
        <w:rPr>
          <w:kern w:val="0"/>
          <w:szCs w:val="21"/>
          <w:u w:val="single"/>
        </w:rPr>
        <w:t xml:space="preserve">       </w:t>
      </w:r>
      <w:r>
        <w:rPr>
          <w:rFonts w:hint="eastAsia"/>
          <w:kern w:val="0"/>
          <w:szCs w:val="21"/>
          <w:u w:val="single"/>
        </w:rPr>
        <w:t xml:space="preserve">   </w:t>
      </w:r>
      <w:r>
        <w:rPr>
          <w:kern w:val="0"/>
          <w:szCs w:val="21"/>
          <w:u w:val="single"/>
        </w:rPr>
        <w:t xml:space="preserve">（单位公章）     </w:t>
      </w:r>
      <w:r>
        <w:rPr>
          <w:kern w:val="0"/>
          <w:szCs w:val="21"/>
        </w:rPr>
        <w:t xml:space="preserve">        乙方：</w:t>
      </w:r>
      <w:r>
        <w:rPr>
          <w:kern w:val="0"/>
          <w:szCs w:val="21"/>
          <w:u w:val="single"/>
        </w:rPr>
        <w:t xml:space="preserve">         （单位公章）        </w:t>
      </w:r>
    </w:p>
    <w:p>
      <w:pPr>
        <w:spacing w:line="400" w:lineRule="exact"/>
        <w:ind w:firstLine="420" w:firstLineChars="200"/>
        <w:rPr>
          <w:kern w:val="0"/>
          <w:szCs w:val="21"/>
        </w:rPr>
      </w:pPr>
      <w:r>
        <w:rPr>
          <w:kern w:val="0"/>
          <w:szCs w:val="21"/>
        </w:rPr>
        <w:t>法定代表人：</w:t>
      </w:r>
      <w:r>
        <w:rPr>
          <w:kern w:val="0"/>
          <w:szCs w:val="21"/>
          <w:u w:val="single"/>
        </w:rPr>
        <w:t xml:space="preserve">       （签章）      </w:t>
      </w:r>
      <w:r>
        <w:rPr>
          <w:kern w:val="0"/>
          <w:szCs w:val="21"/>
        </w:rPr>
        <w:t xml:space="preserve">        法定代表人：</w:t>
      </w:r>
      <w:r>
        <w:rPr>
          <w:kern w:val="0"/>
          <w:szCs w:val="21"/>
          <w:u w:val="single"/>
        </w:rPr>
        <w:t xml:space="preserve">      （签章）         </w:t>
      </w:r>
    </w:p>
    <w:p>
      <w:pPr>
        <w:spacing w:line="400" w:lineRule="exact"/>
        <w:ind w:firstLine="420" w:firstLineChars="200"/>
        <w:rPr>
          <w:kern w:val="0"/>
          <w:szCs w:val="21"/>
        </w:rPr>
      </w:pPr>
      <w:r>
        <w:rPr>
          <w:kern w:val="0"/>
          <w:szCs w:val="21"/>
        </w:rPr>
        <w:t>委托代理人：</w:t>
      </w:r>
      <w:r>
        <w:rPr>
          <w:kern w:val="0"/>
          <w:szCs w:val="21"/>
          <w:u w:val="single"/>
        </w:rPr>
        <w:t xml:space="preserve">       （签章）      </w:t>
      </w:r>
      <w:r>
        <w:rPr>
          <w:kern w:val="0"/>
          <w:szCs w:val="21"/>
        </w:rPr>
        <w:t xml:space="preserve">        委托代理人：</w:t>
      </w:r>
      <w:r>
        <w:rPr>
          <w:kern w:val="0"/>
          <w:szCs w:val="21"/>
          <w:u w:val="single"/>
        </w:rPr>
        <w:t xml:space="preserve">      （签章）         </w:t>
      </w:r>
    </w:p>
    <w:p>
      <w:pPr>
        <w:snapToGrid w:val="0"/>
        <w:spacing w:line="380" w:lineRule="atLeast"/>
        <w:ind w:firstLine="420" w:firstLineChars="200"/>
        <w:rPr>
          <w:szCs w:val="21"/>
          <w:u w:val="single"/>
        </w:rPr>
      </w:pPr>
      <w:r>
        <w:rPr>
          <w:szCs w:val="21"/>
        </w:rPr>
        <w:t>电    话：</w:t>
      </w:r>
      <w:r>
        <w:rPr>
          <w:szCs w:val="21"/>
          <w:u w:val="single"/>
        </w:rPr>
        <w:t xml:space="preserve">                       </w:t>
      </w:r>
      <w:r>
        <w:rPr>
          <w:szCs w:val="21"/>
        </w:rPr>
        <w:t xml:space="preserve">        电    话：</w:t>
      </w:r>
      <w:r>
        <w:rPr>
          <w:szCs w:val="21"/>
          <w:u w:val="single"/>
        </w:rPr>
        <w:t xml:space="preserve">                         </w:t>
      </w:r>
    </w:p>
    <w:p>
      <w:pPr>
        <w:snapToGrid w:val="0"/>
        <w:spacing w:line="380" w:lineRule="atLeast"/>
        <w:ind w:firstLine="420" w:firstLineChars="200"/>
        <w:rPr>
          <w:szCs w:val="21"/>
          <w:u w:val="single"/>
        </w:rPr>
      </w:pPr>
      <w:r>
        <w:rPr>
          <w:bCs/>
          <w:szCs w:val="21"/>
        </w:rPr>
        <w:t>电子邮箱：</w:t>
      </w:r>
      <w:r>
        <w:rPr>
          <w:bCs/>
          <w:szCs w:val="21"/>
          <w:u w:val="single"/>
        </w:rPr>
        <w:t xml:space="preserve">                       </w:t>
      </w:r>
      <w:r>
        <w:rPr>
          <w:bCs/>
          <w:szCs w:val="21"/>
        </w:rPr>
        <w:t xml:space="preserve">        电子邮箱：</w:t>
      </w:r>
      <w:r>
        <w:rPr>
          <w:bCs/>
          <w:szCs w:val="21"/>
          <w:u w:val="single"/>
        </w:rPr>
        <w:t xml:space="preserve">                         </w:t>
      </w:r>
    </w:p>
    <w:p>
      <w:pPr>
        <w:spacing w:line="380" w:lineRule="atLeast"/>
        <w:ind w:firstLine="420" w:firstLineChars="200"/>
        <w:rPr>
          <w:szCs w:val="21"/>
        </w:rPr>
      </w:pPr>
      <w:r>
        <w:rPr>
          <w:szCs w:val="21"/>
        </w:rPr>
        <w:t>日    期：</w:t>
      </w:r>
      <w:r>
        <w:rPr>
          <w:szCs w:val="21"/>
          <w:u w:val="single"/>
        </w:rPr>
        <w:t xml:space="preserve">                       </w:t>
      </w:r>
      <w:r>
        <w:rPr>
          <w:szCs w:val="21"/>
        </w:rPr>
        <w:t xml:space="preserve">        日    期：</w:t>
      </w:r>
      <w:r>
        <w:rPr>
          <w:szCs w:val="21"/>
          <w:u w:val="single"/>
        </w:rPr>
        <w:t xml:space="preserve">                         </w:t>
      </w:r>
    </w:p>
    <w:p>
      <w:pPr>
        <w:pStyle w:val="4"/>
        <w:ind w:firstLine="137"/>
        <w:rPr>
          <w:szCs w:val="28"/>
        </w:rPr>
      </w:pPr>
      <w:bookmarkStart w:id="443" w:name="_Toc62572875"/>
      <w:r>
        <w:rPr>
          <w:szCs w:val="28"/>
        </w:rPr>
        <w:t>附件</w:t>
      </w:r>
      <w:r>
        <w:rPr>
          <w:rFonts w:hint="eastAsia"/>
          <w:szCs w:val="28"/>
        </w:rPr>
        <w:t>4</w:t>
      </w:r>
      <w:r>
        <w:rPr>
          <w:szCs w:val="28"/>
        </w:rPr>
        <w:t>：监理人办公、食宿承诺书</w:t>
      </w:r>
      <w:bookmarkEnd w:id="443"/>
    </w:p>
    <w:p>
      <w:pPr>
        <w:spacing w:line="400" w:lineRule="exact"/>
        <w:ind w:firstLine="420" w:firstLineChars="200"/>
        <w:rPr>
          <w:szCs w:val="21"/>
        </w:rPr>
      </w:pPr>
    </w:p>
    <w:p>
      <w:pPr>
        <w:spacing w:line="520" w:lineRule="exact"/>
        <w:jc w:val="center"/>
        <w:rPr>
          <w:rFonts w:eastAsia="黑体"/>
          <w:sz w:val="28"/>
          <w:szCs w:val="28"/>
        </w:rPr>
      </w:pPr>
      <w:r>
        <w:rPr>
          <w:rFonts w:eastAsia="黑体"/>
          <w:sz w:val="28"/>
          <w:szCs w:val="28"/>
        </w:rPr>
        <w:t>监理人办公、食宿承诺书</w:t>
      </w:r>
    </w:p>
    <w:p>
      <w:pPr>
        <w:spacing w:before="100" w:after="100" w:line="360" w:lineRule="exact"/>
        <w:jc w:val="center"/>
        <w:rPr>
          <w:szCs w:val="21"/>
        </w:rPr>
      </w:pPr>
    </w:p>
    <w:p>
      <w:pPr>
        <w:spacing w:line="400" w:lineRule="exact"/>
        <w:ind w:firstLine="420" w:firstLineChars="200"/>
        <w:rPr>
          <w:szCs w:val="21"/>
        </w:rPr>
      </w:pPr>
      <w:r>
        <w:rPr>
          <w:szCs w:val="21"/>
          <w:u w:val="single"/>
        </w:rPr>
        <w:t xml:space="preserve">（招标人全称）                                     </w:t>
      </w:r>
      <w:r>
        <w:rPr>
          <w:szCs w:val="21"/>
        </w:rPr>
        <w:t>：</w:t>
      </w:r>
    </w:p>
    <w:p>
      <w:pPr>
        <w:spacing w:line="400" w:lineRule="exact"/>
        <w:ind w:firstLine="420" w:firstLineChars="200"/>
        <w:rPr>
          <w:szCs w:val="21"/>
        </w:rPr>
      </w:pPr>
    </w:p>
    <w:p>
      <w:pPr>
        <w:spacing w:line="400" w:lineRule="exact"/>
        <w:ind w:firstLine="420" w:firstLineChars="200"/>
        <w:rPr>
          <w:szCs w:val="21"/>
        </w:rPr>
      </w:pPr>
      <w:r>
        <w:rPr>
          <w:szCs w:val="21"/>
        </w:rPr>
        <w:t>我方</w:t>
      </w:r>
      <w:r>
        <w:rPr>
          <w:szCs w:val="21"/>
          <w:u w:val="single"/>
        </w:rPr>
        <w:t xml:space="preserve">   （投标人全称）                  </w:t>
      </w:r>
      <w:r>
        <w:rPr>
          <w:szCs w:val="21"/>
        </w:rPr>
        <w:t>受贵方委托履行</w:t>
      </w:r>
      <w:r>
        <w:rPr>
          <w:szCs w:val="21"/>
          <w:u w:val="single"/>
        </w:rPr>
        <w:t xml:space="preserve">                     </w:t>
      </w:r>
      <w:r>
        <w:rPr>
          <w:szCs w:val="21"/>
        </w:rPr>
        <w:t>监理工作。现就办公、食宿、交通自给承诺如下：</w:t>
      </w:r>
    </w:p>
    <w:p>
      <w:pPr>
        <w:spacing w:line="400" w:lineRule="exact"/>
        <w:ind w:firstLine="420" w:firstLineChars="200"/>
        <w:rPr>
          <w:szCs w:val="21"/>
        </w:rPr>
      </w:pPr>
    </w:p>
    <w:p>
      <w:pPr>
        <w:spacing w:line="440" w:lineRule="exact"/>
        <w:ind w:firstLine="420" w:firstLineChars="200"/>
        <w:rPr>
          <w:szCs w:val="21"/>
        </w:rPr>
      </w:pPr>
      <w:r>
        <w:rPr>
          <w:szCs w:val="21"/>
        </w:rPr>
        <w:t>我方承诺，严格执行《铁路建设工程监理规范》（TB10402-2019）和《国铁集团关于进一步加强铁路建设项目监理管理工作的通知》（铁建设[2020] 77号）要求，自行解决监理人员办公、食宿、交通等事项。交通不便或项目沿线确有困难的，经贵方同意后，监理办公、食宿等事项可由施工企业协助解决，收费标准由我方与施工单位协商确定，不低于成本价。办公、食宿等费用由我方定期支付给施工单位。收费标准、缴费凭证复印件报贵方备案。</w:t>
      </w: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80" w:lineRule="auto"/>
        <w:rPr>
          <w:szCs w:val="21"/>
        </w:rPr>
      </w:pPr>
      <w:r>
        <w:rPr>
          <w:szCs w:val="21"/>
        </w:rPr>
        <w:t xml:space="preserve">                 承诺人：</w:t>
      </w:r>
      <w:r>
        <w:rPr>
          <w:szCs w:val="21"/>
          <w:u w:val="single"/>
        </w:rPr>
        <w:t xml:space="preserve">                                    </w:t>
      </w:r>
      <w:r>
        <w:rPr>
          <w:szCs w:val="21"/>
        </w:rPr>
        <w:t>（盖单位章）</w:t>
      </w:r>
    </w:p>
    <w:p>
      <w:pPr>
        <w:spacing w:line="480" w:lineRule="auto"/>
        <w:rPr>
          <w:szCs w:val="21"/>
        </w:rPr>
      </w:pPr>
      <w:r>
        <w:rPr>
          <w:szCs w:val="21"/>
        </w:rPr>
        <w:t xml:space="preserve">                 法定代表人或授权签字人</w:t>
      </w:r>
      <w:r>
        <w:rPr>
          <w:szCs w:val="21"/>
          <w:u w:val="single"/>
        </w:rPr>
        <w:t xml:space="preserve">                      </w:t>
      </w:r>
      <w:r>
        <w:rPr>
          <w:szCs w:val="21"/>
        </w:rPr>
        <w:t>（签字）</w:t>
      </w:r>
    </w:p>
    <w:p>
      <w:pPr>
        <w:rPr>
          <w:szCs w:val="21"/>
        </w:rPr>
      </w:pPr>
    </w:p>
    <w:p>
      <w:pPr>
        <w:rPr>
          <w:szCs w:val="21"/>
        </w:rPr>
      </w:pPr>
    </w:p>
    <w:p>
      <w:pPr>
        <w:rPr>
          <w:szCs w:val="21"/>
        </w:rPr>
      </w:pPr>
    </w:p>
    <w:p>
      <w:pPr>
        <w:rPr>
          <w:szCs w:val="21"/>
        </w:rPr>
      </w:pPr>
    </w:p>
    <w:p>
      <w:pPr>
        <w:pStyle w:val="4"/>
        <w:ind w:firstLine="103"/>
        <w:rPr>
          <w:sz w:val="21"/>
          <w:szCs w:val="21"/>
        </w:rPr>
        <w:sectPr>
          <w:pgSz w:w="11907" w:h="16840"/>
          <w:pgMar w:top="1985" w:right="1588" w:bottom="1985" w:left="1588" w:header="851" w:footer="992" w:gutter="0"/>
          <w:cols w:space="425" w:num="1"/>
          <w:docGrid w:linePitch="312" w:charSpace="0"/>
        </w:sectPr>
      </w:pPr>
    </w:p>
    <w:p>
      <w:pPr>
        <w:pStyle w:val="4"/>
        <w:ind w:firstLine="137"/>
        <w:rPr>
          <w:szCs w:val="28"/>
        </w:rPr>
      </w:pPr>
      <w:bookmarkStart w:id="444" w:name="_Toc62572876"/>
      <w:r>
        <w:rPr>
          <w:szCs w:val="28"/>
        </w:rPr>
        <w:t>附件</w:t>
      </w:r>
      <w:r>
        <w:rPr>
          <w:rFonts w:hint="eastAsia"/>
          <w:szCs w:val="28"/>
        </w:rPr>
        <w:t>5</w:t>
      </w:r>
      <w:r>
        <w:rPr>
          <w:szCs w:val="28"/>
        </w:rPr>
        <w:t>：监理人拟上场人员承诺书</w:t>
      </w:r>
      <w:bookmarkEnd w:id="444"/>
    </w:p>
    <w:p>
      <w:pPr>
        <w:rPr>
          <w:szCs w:val="21"/>
        </w:rPr>
      </w:pPr>
    </w:p>
    <w:p>
      <w:pPr>
        <w:spacing w:line="520" w:lineRule="exact"/>
        <w:jc w:val="center"/>
        <w:rPr>
          <w:rFonts w:eastAsia="黑体"/>
          <w:sz w:val="28"/>
          <w:szCs w:val="28"/>
        </w:rPr>
      </w:pPr>
      <w:r>
        <w:rPr>
          <w:rFonts w:eastAsia="黑体"/>
          <w:sz w:val="28"/>
          <w:szCs w:val="28"/>
        </w:rPr>
        <w:t>监理人拟上场人员承诺书</w:t>
      </w:r>
    </w:p>
    <w:p>
      <w:pPr>
        <w:spacing w:before="100" w:after="100" w:line="360" w:lineRule="exact"/>
        <w:jc w:val="center"/>
        <w:rPr>
          <w:szCs w:val="21"/>
        </w:rPr>
      </w:pPr>
    </w:p>
    <w:p>
      <w:pPr>
        <w:spacing w:before="100" w:after="100" w:line="360" w:lineRule="exact"/>
        <w:jc w:val="center"/>
        <w:rPr>
          <w:szCs w:val="21"/>
        </w:rPr>
      </w:pPr>
    </w:p>
    <w:p>
      <w:pPr>
        <w:spacing w:line="400" w:lineRule="exact"/>
        <w:ind w:firstLine="420" w:firstLineChars="200"/>
        <w:rPr>
          <w:szCs w:val="21"/>
        </w:rPr>
      </w:pPr>
      <w:r>
        <w:rPr>
          <w:szCs w:val="21"/>
          <w:u w:val="single"/>
        </w:rPr>
        <w:t xml:space="preserve">（招标人全称）                   </w:t>
      </w:r>
      <w:r>
        <w:rPr>
          <w:szCs w:val="21"/>
        </w:rPr>
        <w:t>：</w:t>
      </w:r>
    </w:p>
    <w:p>
      <w:pPr>
        <w:spacing w:line="400" w:lineRule="exact"/>
        <w:rPr>
          <w:szCs w:val="21"/>
        </w:rPr>
      </w:pPr>
    </w:p>
    <w:p>
      <w:pPr>
        <w:spacing w:line="400" w:lineRule="exact"/>
        <w:ind w:firstLine="420" w:firstLineChars="200"/>
        <w:rPr>
          <w:szCs w:val="21"/>
        </w:rPr>
      </w:pPr>
      <w:r>
        <w:rPr>
          <w:szCs w:val="21"/>
        </w:rPr>
        <w:t>我方</w:t>
      </w:r>
      <w:r>
        <w:rPr>
          <w:szCs w:val="21"/>
          <w:u w:val="single"/>
        </w:rPr>
        <w:t xml:space="preserve">    （投标人全称）             </w:t>
      </w:r>
      <w:r>
        <w:rPr>
          <w:szCs w:val="21"/>
        </w:rPr>
        <w:t>受贵方委托履行</w:t>
      </w:r>
      <w:r>
        <w:rPr>
          <w:szCs w:val="21"/>
          <w:u w:val="single"/>
        </w:rPr>
        <w:t xml:space="preserve">                     </w:t>
      </w:r>
      <w:r>
        <w:rPr>
          <w:szCs w:val="21"/>
        </w:rPr>
        <w:t>监理工作。现就拟上场人员承诺如下：</w:t>
      </w:r>
    </w:p>
    <w:p>
      <w:pPr>
        <w:spacing w:line="400" w:lineRule="exact"/>
        <w:ind w:firstLine="420" w:firstLineChars="200"/>
        <w:rPr>
          <w:szCs w:val="21"/>
        </w:rPr>
      </w:pPr>
    </w:p>
    <w:p>
      <w:pPr>
        <w:spacing w:line="400" w:lineRule="exact"/>
        <w:ind w:firstLine="420" w:firstLineChars="200"/>
        <w:rPr>
          <w:szCs w:val="21"/>
        </w:rPr>
      </w:pPr>
      <w:r>
        <w:rPr>
          <w:szCs w:val="21"/>
        </w:rPr>
        <w:t>我方承诺，严格执行《国铁集团关于进一步加强铁路建设项目监理管理工作的通知》（铁建设[2020] 77号）要求，安排的拟上场监理人员均未在国铁集团“黑名单”公布期内、不良行为公布期内、个人扣分清退人员名单内。</w:t>
      </w: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80" w:lineRule="auto"/>
        <w:rPr>
          <w:szCs w:val="21"/>
        </w:rPr>
      </w:pPr>
      <w:r>
        <w:rPr>
          <w:szCs w:val="21"/>
        </w:rPr>
        <w:t xml:space="preserve">                 承诺人：</w:t>
      </w:r>
      <w:r>
        <w:rPr>
          <w:szCs w:val="21"/>
          <w:u w:val="single"/>
        </w:rPr>
        <w:t xml:space="preserve">                                 </w:t>
      </w:r>
      <w:r>
        <w:rPr>
          <w:szCs w:val="21"/>
        </w:rPr>
        <w:t xml:space="preserve">   （盖单位章）</w:t>
      </w:r>
    </w:p>
    <w:p>
      <w:pPr>
        <w:spacing w:line="480" w:lineRule="auto"/>
        <w:rPr>
          <w:szCs w:val="21"/>
        </w:rPr>
      </w:pPr>
      <w:r>
        <w:rPr>
          <w:szCs w:val="21"/>
        </w:rPr>
        <w:t xml:space="preserve">                 法定代表人或授权签字人</w:t>
      </w:r>
      <w:r>
        <w:rPr>
          <w:szCs w:val="21"/>
          <w:u w:val="single"/>
        </w:rPr>
        <w:t xml:space="preserve">                   </w:t>
      </w:r>
      <w:r>
        <w:rPr>
          <w:szCs w:val="21"/>
        </w:rPr>
        <w:t xml:space="preserve">   （签字）</w:t>
      </w:r>
    </w:p>
    <w:p>
      <w:pPr>
        <w:rPr>
          <w:szCs w:val="21"/>
        </w:rPr>
        <w:sectPr>
          <w:pgSz w:w="11907" w:h="16840"/>
          <w:pgMar w:top="1985" w:right="1588" w:bottom="1985" w:left="1588" w:header="851" w:footer="992" w:gutter="0"/>
          <w:cols w:space="425" w:num="1"/>
          <w:docGrid w:linePitch="312" w:charSpace="0"/>
        </w:sectPr>
      </w:pPr>
    </w:p>
    <w:p>
      <w:pPr>
        <w:pStyle w:val="4"/>
        <w:ind w:firstLine="137"/>
        <w:rPr>
          <w:szCs w:val="28"/>
        </w:rPr>
      </w:pPr>
      <w:bookmarkStart w:id="445" w:name="_Toc62572877"/>
      <w:r>
        <w:rPr>
          <w:szCs w:val="28"/>
        </w:rPr>
        <w:t>附件</w:t>
      </w:r>
      <w:r>
        <w:rPr>
          <w:rFonts w:hint="eastAsia"/>
          <w:szCs w:val="28"/>
        </w:rPr>
        <w:t>6</w:t>
      </w:r>
      <w:r>
        <w:rPr>
          <w:szCs w:val="28"/>
        </w:rPr>
        <w:t>：质量安全红线管理承诺书</w:t>
      </w:r>
      <w:bookmarkEnd w:id="445"/>
    </w:p>
    <w:p>
      <w:pPr>
        <w:adjustRightInd w:val="0"/>
        <w:snapToGrid w:val="0"/>
        <w:spacing w:line="360" w:lineRule="auto"/>
        <w:jc w:val="center"/>
        <w:rPr>
          <w:szCs w:val="21"/>
        </w:rPr>
      </w:pPr>
    </w:p>
    <w:p>
      <w:pPr>
        <w:spacing w:line="520" w:lineRule="exact"/>
        <w:jc w:val="center"/>
        <w:rPr>
          <w:rFonts w:eastAsia="黑体"/>
          <w:sz w:val="28"/>
          <w:szCs w:val="28"/>
        </w:rPr>
      </w:pPr>
      <w:r>
        <w:rPr>
          <w:rFonts w:eastAsia="黑体"/>
          <w:sz w:val="28"/>
          <w:szCs w:val="28"/>
        </w:rPr>
        <w:t>质量安全红线管理承诺书</w:t>
      </w:r>
    </w:p>
    <w:p>
      <w:pPr>
        <w:spacing w:line="400" w:lineRule="atLeast"/>
        <w:rPr>
          <w:szCs w:val="21"/>
          <w:u w:val="single"/>
        </w:rPr>
      </w:pPr>
    </w:p>
    <w:p>
      <w:pPr>
        <w:spacing w:line="400" w:lineRule="atLeast"/>
        <w:rPr>
          <w:szCs w:val="21"/>
        </w:rPr>
      </w:pPr>
      <w:r>
        <w:rPr>
          <w:szCs w:val="21"/>
          <w:u w:val="single"/>
        </w:rPr>
        <w:t>（招标人全称）</w:t>
      </w:r>
      <w:r>
        <w:rPr>
          <w:szCs w:val="21"/>
        </w:rPr>
        <w:t>:</w:t>
      </w:r>
    </w:p>
    <w:p>
      <w:pPr>
        <w:spacing w:line="400" w:lineRule="atLeast"/>
        <w:ind w:firstLine="630" w:firstLineChars="300"/>
        <w:rPr>
          <w:szCs w:val="21"/>
        </w:rPr>
      </w:pPr>
      <w:r>
        <w:rPr>
          <w:szCs w:val="21"/>
        </w:rPr>
        <w:t>我方</w:t>
      </w:r>
      <w:r>
        <w:rPr>
          <w:szCs w:val="21"/>
          <w:u w:val="single"/>
        </w:rPr>
        <w:t xml:space="preserve">                      </w:t>
      </w:r>
      <w:r>
        <w:rPr>
          <w:szCs w:val="21"/>
        </w:rPr>
        <w:t>（投标人名称或联合体全称）将在</w:t>
      </w:r>
      <w:r>
        <w:rPr>
          <w:szCs w:val="21"/>
          <w:u w:val="single"/>
        </w:rPr>
        <w:t xml:space="preserve">            </w:t>
      </w:r>
      <w:r>
        <w:rPr>
          <w:szCs w:val="21"/>
        </w:rPr>
        <w:t>项目建设中严格执行铁路建设项目质量安全红线管理规定，现就有关事宜承诺如下：</w:t>
      </w:r>
    </w:p>
    <w:p>
      <w:pPr>
        <w:spacing w:line="400" w:lineRule="atLeast"/>
        <w:ind w:firstLine="630" w:firstLineChars="300"/>
        <w:rPr>
          <w:szCs w:val="21"/>
        </w:rPr>
      </w:pPr>
      <w:r>
        <w:rPr>
          <w:szCs w:val="21"/>
        </w:rPr>
        <w:t>我方承诺，在工程建设中严格执行中国国家铁路集团有限公司（原</w:t>
      </w:r>
      <w:r>
        <w:rPr>
          <w:snapToGrid w:val="0"/>
          <w:kern w:val="0"/>
          <w:szCs w:val="21"/>
        </w:rPr>
        <w:t>中国铁路总公司</w:t>
      </w:r>
      <w:r>
        <w:rPr>
          <w:szCs w:val="21"/>
        </w:rPr>
        <w:t>）印发的《铁路建设项目质量安全红线管理规定》，确保铁路建设质量安全。出现下列行为之一的，接受中国国家铁路集团有限公司（原</w:t>
      </w:r>
      <w:r>
        <w:rPr>
          <w:snapToGrid w:val="0"/>
          <w:kern w:val="0"/>
          <w:szCs w:val="21"/>
        </w:rPr>
        <w:t>中国铁路总公司</w:t>
      </w:r>
      <w:r>
        <w:rPr>
          <w:szCs w:val="21"/>
        </w:rPr>
        <w:t>）及建设单位作出的处理。</w:t>
      </w:r>
    </w:p>
    <w:p>
      <w:pPr>
        <w:spacing w:line="400" w:lineRule="atLeast"/>
        <w:ind w:firstLine="560"/>
        <w:rPr>
          <w:szCs w:val="21"/>
        </w:rPr>
      </w:pPr>
      <w:r>
        <w:rPr>
          <w:szCs w:val="21"/>
        </w:rPr>
        <w:t>1．隧道初支、衬砌厚度和混凝土强度不足。</w:t>
      </w:r>
    </w:p>
    <w:p>
      <w:pPr>
        <w:spacing w:line="400" w:lineRule="atLeast"/>
        <w:ind w:firstLine="560"/>
        <w:rPr>
          <w:szCs w:val="21"/>
        </w:rPr>
      </w:pPr>
      <w:r>
        <w:rPr>
          <w:szCs w:val="21"/>
        </w:rPr>
        <w:t>2．隧道不按规定的方法和安全步距开挖。</w:t>
      </w:r>
    </w:p>
    <w:p>
      <w:pPr>
        <w:spacing w:line="400" w:lineRule="atLeast"/>
        <w:ind w:firstLine="560"/>
        <w:rPr>
          <w:szCs w:val="21"/>
        </w:rPr>
      </w:pPr>
      <w:r>
        <w:rPr>
          <w:szCs w:val="21"/>
        </w:rPr>
        <w:t>3．隧道施工不按规定开展围岩监控量测和超前地质预报，有毒有害气体逸出的隧道不按专项方案开展监测。</w:t>
      </w:r>
    </w:p>
    <w:p>
      <w:pPr>
        <w:spacing w:line="400" w:lineRule="atLeast"/>
        <w:ind w:firstLine="560"/>
        <w:rPr>
          <w:szCs w:val="21"/>
        </w:rPr>
      </w:pPr>
      <w:r>
        <w:rPr>
          <w:szCs w:val="21"/>
        </w:rPr>
        <w:t>4．路基填料不符合设计要求，CFG桩等地基处理检测不合格，边坡防护预应力锚索不按设计要求施工。</w:t>
      </w:r>
    </w:p>
    <w:p>
      <w:pPr>
        <w:spacing w:line="400" w:lineRule="atLeast"/>
        <w:ind w:firstLine="560"/>
        <w:rPr>
          <w:szCs w:val="21"/>
        </w:rPr>
      </w:pPr>
      <w:r>
        <w:rPr>
          <w:szCs w:val="21"/>
        </w:rPr>
        <w:t>5．桥梁桩基出现</w:t>
      </w:r>
      <w:r>
        <w:rPr>
          <w:rFonts w:hint="eastAsia" w:ascii="宋体" w:hAnsi="宋体" w:cs="宋体"/>
          <w:szCs w:val="21"/>
        </w:rPr>
        <w:t>Ⅲ</w:t>
      </w:r>
      <w:r>
        <w:rPr>
          <w:szCs w:val="21"/>
        </w:rPr>
        <w:t>、</w:t>
      </w:r>
      <w:r>
        <w:rPr>
          <w:rFonts w:hint="eastAsia" w:ascii="宋体" w:hAnsi="宋体" w:cs="宋体"/>
          <w:szCs w:val="21"/>
        </w:rPr>
        <w:t>Ⅳ</w:t>
      </w:r>
      <w:r>
        <w:rPr>
          <w:szCs w:val="21"/>
        </w:rPr>
        <w:t>类桩和钢筋笼长度不足；站房钢结构构配件不合格；使用不合格电缆。</w:t>
      </w:r>
    </w:p>
    <w:p>
      <w:pPr>
        <w:spacing w:line="400" w:lineRule="atLeast"/>
        <w:ind w:firstLine="560"/>
        <w:rPr>
          <w:szCs w:val="21"/>
        </w:rPr>
      </w:pPr>
      <w:r>
        <w:rPr>
          <w:szCs w:val="21"/>
        </w:rPr>
        <w:t>6．现浇梁满堂支架、连续梁挂篮施工不进行专项设计，不按设计要求施工。</w:t>
      </w:r>
    </w:p>
    <w:p>
      <w:pPr>
        <w:spacing w:line="400" w:lineRule="atLeast"/>
        <w:ind w:firstLine="560"/>
        <w:rPr>
          <w:szCs w:val="21"/>
        </w:rPr>
      </w:pPr>
      <w:r>
        <w:rPr>
          <w:szCs w:val="21"/>
        </w:rPr>
        <w:t>7．监理人员旁站不到位或现场随意签认，第三方检测数据虚假不实。</w:t>
      </w:r>
    </w:p>
    <w:p>
      <w:pPr>
        <w:spacing w:line="400" w:lineRule="atLeast"/>
        <w:ind w:firstLine="560"/>
        <w:rPr>
          <w:szCs w:val="21"/>
        </w:rPr>
      </w:pPr>
      <w:r>
        <w:rPr>
          <w:szCs w:val="21"/>
        </w:rPr>
        <w:t>8．偷工减料、以次充好。</w:t>
      </w:r>
    </w:p>
    <w:p>
      <w:pPr>
        <w:spacing w:line="400" w:lineRule="atLeast"/>
        <w:ind w:firstLine="560"/>
        <w:rPr>
          <w:szCs w:val="21"/>
        </w:rPr>
      </w:pPr>
      <w:r>
        <w:rPr>
          <w:szCs w:val="21"/>
        </w:rPr>
        <w:t>9．转包和违法分包。</w:t>
      </w:r>
    </w:p>
    <w:p>
      <w:pPr>
        <w:spacing w:line="400" w:lineRule="atLeast"/>
        <w:ind w:firstLine="560"/>
        <w:rPr>
          <w:szCs w:val="21"/>
        </w:rPr>
      </w:pPr>
      <w:r>
        <w:rPr>
          <w:szCs w:val="21"/>
        </w:rPr>
        <w:t>10．内业资料弄虚作假。</w:t>
      </w:r>
    </w:p>
    <w:p>
      <w:pPr>
        <w:spacing w:line="400" w:lineRule="atLeast"/>
        <w:ind w:firstLine="560"/>
        <w:rPr>
          <w:szCs w:val="21"/>
        </w:rPr>
      </w:pPr>
    </w:p>
    <w:p>
      <w:pPr>
        <w:spacing w:line="400" w:lineRule="atLeast"/>
        <w:ind w:firstLine="560"/>
        <w:rPr>
          <w:szCs w:val="21"/>
        </w:rPr>
      </w:pPr>
    </w:p>
    <w:p>
      <w:pPr>
        <w:spacing w:line="360" w:lineRule="auto"/>
        <w:ind w:firstLine="3570" w:firstLineChars="1700"/>
        <w:rPr>
          <w:szCs w:val="21"/>
          <w:u w:val="single"/>
        </w:rPr>
      </w:pPr>
      <w:r>
        <w:rPr>
          <w:szCs w:val="21"/>
        </w:rPr>
        <w:t>承诺人：</w:t>
      </w:r>
      <w:r>
        <w:rPr>
          <w:szCs w:val="21"/>
          <w:u w:val="single"/>
        </w:rPr>
        <w:t xml:space="preserve">                         </w:t>
      </w:r>
      <w:r>
        <w:rPr>
          <w:szCs w:val="21"/>
        </w:rPr>
        <w:t>（盖单位章）</w:t>
      </w:r>
    </w:p>
    <w:p>
      <w:pPr>
        <w:spacing w:line="360" w:lineRule="auto"/>
        <w:ind w:firstLine="3570" w:firstLineChars="1700"/>
        <w:rPr>
          <w:szCs w:val="21"/>
        </w:rPr>
      </w:pPr>
      <w:r>
        <w:rPr>
          <w:szCs w:val="21"/>
        </w:rPr>
        <w:t>法定代表人或授权代理人：</w:t>
      </w:r>
      <w:r>
        <w:rPr>
          <w:szCs w:val="21"/>
          <w:u w:val="single"/>
        </w:rPr>
        <w:t xml:space="preserve">             </w:t>
      </w:r>
      <w:r>
        <w:rPr>
          <w:szCs w:val="21"/>
        </w:rPr>
        <w:t>（签字）</w:t>
      </w:r>
    </w:p>
    <w:p>
      <w:pPr>
        <w:spacing w:line="360" w:lineRule="auto"/>
        <w:ind w:firstLine="3570" w:firstLineChars="1700"/>
        <w:rPr>
          <w:bCs/>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pStyle w:val="11"/>
        <w:spacing w:before="29"/>
        <w:ind w:left="235"/>
        <w:rPr>
          <w:sz w:val="24"/>
        </w:rPr>
      </w:pPr>
      <w:bookmarkStart w:id="446" w:name="_Toc62572878"/>
    </w:p>
    <w:p>
      <w:pPr>
        <w:pStyle w:val="11"/>
        <w:spacing w:before="29"/>
        <w:ind w:left="235"/>
        <w:rPr>
          <w:sz w:val="24"/>
        </w:rPr>
      </w:pPr>
    </w:p>
    <w:p>
      <w:pPr>
        <w:pStyle w:val="11"/>
        <w:spacing w:before="29"/>
        <w:ind w:left="235"/>
        <w:rPr>
          <w:sz w:val="24"/>
        </w:rPr>
      </w:pPr>
    </w:p>
    <w:p>
      <w:pPr>
        <w:pStyle w:val="11"/>
        <w:spacing w:before="29"/>
        <w:ind w:left="235"/>
        <w:rPr>
          <w:sz w:val="24"/>
        </w:rPr>
      </w:pPr>
    </w:p>
    <w:p>
      <w:pPr>
        <w:pStyle w:val="11"/>
        <w:spacing w:before="29"/>
        <w:ind w:left="235"/>
        <w:rPr>
          <w:sz w:val="24"/>
        </w:rPr>
      </w:pPr>
    </w:p>
    <w:p>
      <w:pPr>
        <w:pStyle w:val="11"/>
        <w:spacing w:before="29"/>
        <w:ind w:left="235"/>
        <w:rPr>
          <w:sz w:val="24"/>
        </w:rPr>
      </w:pPr>
    </w:p>
    <w:p>
      <w:pPr>
        <w:pStyle w:val="11"/>
        <w:spacing w:before="29"/>
        <w:ind w:left="235"/>
        <w:rPr>
          <w:spacing w:val="-3"/>
          <w:sz w:val="24"/>
        </w:rPr>
      </w:pPr>
      <w:r>
        <w:rPr>
          <w:sz w:val="24"/>
        </w:rPr>
        <w:t>附件</w:t>
      </w:r>
      <w:r>
        <w:rPr>
          <w:rFonts w:hint="eastAsia"/>
          <w:sz w:val="24"/>
        </w:rPr>
        <w:t xml:space="preserve">七  </w:t>
      </w:r>
      <w:r>
        <w:rPr>
          <w:spacing w:val="-3"/>
          <w:sz w:val="24"/>
        </w:rPr>
        <w:t>其他主要监理人员最低要求</w:t>
      </w:r>
    </w:p>
    <w:p>
      <w:pPr>
        <w:pStyle w:val="11"/>
        <w:spacing w:before="29"/>
        <w:ind w:left="235" w:firstLine="720" w:firstLineChars="300"/>
        <w:rPr>
          <w:sz w:val="24"/>
        </w:rPr>
      </w:pPr>
      <w:r>
        <w:rPr>
          <w:sz w:val="24"/>
        </w:rPr>
        <w:t>（本格式编排在招标文件中，供投标人参考，投标时不需附此表）</w:t>
      </w:r>
    </w:p>
    <w:tbl>
      <w:tblPr>
        <w:tblStyle w:val="30"/>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477"/>
        <w:gridCol w:w="4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jc w:val="center"/>
              <w:rPr>
                <w:sz w:val="24"/>
              </w:rPr>
            </w:pPr>
            <w:r>
              <w:rPr>
                <w:sz w:val="24"/>
              </w:rPr>
              <w:t>人   员</w:t>
            </w:r>
          </w:p>
        </w:tc>
        <w:tc>
          <w:tcPr>
            <w:tcW w:w="1477" w:type="dxa"/>
            <w:vAlign w:val="center"/>
          </w:tcPr>
          <w:p>
            <w:pPr>
              <w:jc w:val="center"/>
              <w:rPr>
                <w:sz w:val="24"/>
              </w:rPr>
            </w:pPr>
            <w:r>
              <w:rPr>
                <w:sz w:val="24"/>
              </w:rPr>
              <w:t>数   量</w:t>
            </w:r>
          </w:p>
        </w:tc>
        <w:tc>
          <w:tcPr>
            <w:tcW w:w="4902" w:type="dxa"/>
            <w:vAlign w:val="center"/>
          </w:tcPr>
          <w:p>
            <w:pPr>
              <w:jc w:val="center"/>
              <w:rPr>
                <w:sz w:val="24"/>
                <w:highlight w:val="yellow"/>
              </w:rPr>
            </w:pPr>
            <w:r>
              <w:rPr>
                <w:sz w:val="24"/>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spacing w:line="300" w:lineRule="auto"/>
              <w:jc w:val="center"/>
              <w:rPr>
                <w:sz w:val="24"/>
              </w:rPr>
            </w:pPr>
            <w:r>
              <w:rPr>
                <w:rFonts w:hint="eastAsia" w:ascii="宋体" w:hAnsi="宋体"/>
                <w:sz w:val="24"/>
              </w:rPr>
              <w:t>试验工程师</w:t>
            </w:r>
          </w:p>
        </w:tc>
        <w:tc>
          <w:tcPr>
            <w:tcW w:w="1477" w:type="dxa"/>
            <w:vAlign w:val="center"/>
          </w:tcPr>
          <w:p>
            <w:pPr>
              <w:spacing w:line="300" w:lineRule="auto"/>
              <w:jc w:val="center"/>
              <w:rPr>
                <w:sz w:val="24"/>
              </w:rPr>
            </w:pPr>
            <w:r>
              <w:rPr>
                <w:rFonts w:hint="eastAsia" w:ascii="宋体" w:hAnsi="宋体"/>
                <w:sz w:val="24"/>
              </w:rPr>
              <w:t>1</w:t>
            </w:r>
          </w:p>
        </w:tc>
        <w:tc>
          <w:tcPr>
            <w:tcW w:w="4902" w:type="dxa"/>
            <w:vAlign w:val="center"/>
          </w:tcPr>
          <w:p>
            <w:pPr>
              <w:spacing w:line="300" w:lineRule="auto"/>
              <w:jc w:val="left"/>
              <w:rPr>
                <w:rFonts w:ascii="宋体" w:hAnsi="宋体"/>
                <w:sz w:val="24"/>
                <w:highlight w:val="yellow"/>
              </w:rPr>
            </w:pPr>
            <w:r>
              <w:rPr>
                <w:rFonts w:hint="eastAsia" w:ascii="宋体" w:hAnsi="宋体"/>
                <w:sz w:val="24"/>
                <w:highlight w:val="yellow"/>
              </w:rPr>
              <w:t>本单位注册铁路监理工程师或以上资格，中级或以上技术职称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spacing w:line="300" w:lineRule="auto"/>
              <w:jc w:val="center"/>
              <w:rPr>
                <w:rFonts w:ascii="宋体" w:hAnsi="宋体"/>
                <w:sz w:val="24"/>
              </w:rPr>
            </w:pPr>
            <w:r>
              <w:rPr>
                <w:rFonts w:hint="eastAsia" w:ascii="宋体" w:hAnsi="宋体"/>
                <w:sz w:val="24"/>
              </w:rPr>
              <w:t>专业监理工程师</w:t>
            </w:r>
          </w:p>
          <w:p>
            <w:pPr>
              <w:spacing w:line="300" w:lineRule="auto"/>
              <w:jc w:val="center"/>
              <w:rPr>
                <w:sz w:val="24"/>
              </w:rPr>
            </w:pPr>
            <w:r>
              <w:rPr>
                <w:rFonts w:hint="eastAsia" w:ascii="宋体" w:hAnsi="宋体"/>
                <w:sz w:val="24"/>
              </w:rPr>
              <w:t>（铁路工程）</w:t>
            </w:r>
          </w:p>
        </w:tc>
        <w:tc>
          <w:tcPr>
            <w:tcW w:w="1477" w:type="dxa"/>
            <w:vAlign w:val="center"/>
          </w:tcPr>
          <w:p>
            <w:pPr>
              <w:spacing w:line="300" w:lineRule="auto"/>
              <w:jc w:val="center"/>
              <w:rPr>
                <w:sz w:val="24"/>
              </w:rPr>
            </w:pPr>
            <w:r>
              <w:rPr>
                <w:rFonts w:hint="eastAsia"/>
                <w:sz w:val="24"/>
              </w:rPr>
              <w:t>1</w:t>
            </w:r>
          </w:p>
        </w:tc>
        <w:tc>
          <w:tcPr>
            <w:tcW w:w="4902" w:type="dxa"/>
            <w:vAlign w:val="center"/>
          </w:tcPr>
          <w:p>
            <w:pPr>
              <w:spacing w:line="300" w:lineRule="auto"/>
              <w:jc w:val="left"/>
              <w:rPr>
                <w:rFonts w:ascii="宋体" w:hAnsi="宋体"/>
                <w:sz w:val="24"/>
                <w:highlight w:val="yellow"/>
              </w:rPr>
            </w:pPr>
            <w:r>
              <w:rPr>
                <w:rFonts w:hint="eastAsia" w:ascii="宋体" w:hAnsi="宋体"/>
                <w:sz w:val="24"/>
                <w:highlight w:val="yellow"/>
              </w:rPr>
              <w:t>本单位注册铁路监理工程师或以上资格，中级或以上技术职称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spacing w:line="300" w:lineRule="auto"/>
              <w:jc w:val="center"/>
              <w:rPr>
                <w:rFonts w:ascii="宋体" w:hAnsi="宋体"/>
                <w:sz w:val="24"/>
              </w:rPr>
            </w:pPr>
            <w:r>
              <w:rPr>
                <w:rFonts w:hint="eastAsia" w:ascii="宋体" w:hAnsi="宋体"/>
                <w:sz w:val="24"/>
              </w:rPr>
              <w:t>专业监理工程师</w:t>
            </w:r>
          </w:p>
          <w:p>
            <w:pPr>
              <w:spacing w:line="300" w:lineRule="auto"/>
              <w:jc w:val="center"/>
              <w:rPr>
                <w:sz w:val="24"/>
              </w:rPr>
            </w:pPr>
            <w:r>
              <w:rPr>
                <w:rFonts w:hint="eastAsia" w:ascii="宋体" w:hAnsi="宋体"/>
                <w:sz w:val="24"/>
              </w:rPr>
              <w:t>（通信工程）</w:t>
            </w:r>
          </w:p>
        </w:tc>
        <w:tc>
          <w:tcPr>
            <w:tcW w:w="1477" w:type="dxa"/>
            <w:vAlign w:val="center"/>
          </w:tcPr>
          <w:p>
            <w:pPr>
              <w:spacing w:line="300" w:lineRule="auto"/>
              <w:jc w:val="center"/>
              <w:rPr>
                <w:sz w:val="24"/>
              </w:rPr>
            </w:pPr>
            <w:r>
              <w:rPr>
                <w:rFonts w:hint="eastAsia" w:ascii="宋体" w:hAnsi="宋体" w:cs="宋体"/>
                <w:sz w:val="24"/>
              </w:rPr>
              <w:t>1</w:t>
            </w:r>
          </w:p>
        </w:tc>
        <w:tc>
          <w:tcPr>
            <w:tcW w:w="4902" w:type="dxa"/>
            <w:vAlign w:val="center"/>
          </w:tcPr>
          <w:p>
            <w:pPr>
              <w:spacing w:line="300" w:lineRule="auto"/>
              <w:jc w:val="left"/>
              <w:rPr>
                <w:rFonts w:ascii="宋体" w:hAnsi="宋体"/>
                <w:sz w:val="24"/>
                <w:highlight w:val="yellow"/>
              </w:rPr>
            </w:pPr>
            <w:r>
              <w:rPr>
                <w:rFonts w:hint="eastAsia" w:ascii="宋体" w:hAnsi="宋体"/>
                <w:sz w:val="24"/>
                <w:highlight w:val="yellow"/>
              </w:rPr>
              <w:t>本单位注册铁路监理工程师或以上资格，中级或以上技术职称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spacing w:line="300" w:lineRule="auto"/>
              <w:jc w:val="center"/>
              <w:rPr>
                <w:rFonts w:ascii="宋体" w:hAnsi="宋体"/>
                <w:sz w:val="24"/>
              </w:rPr>
            </w:pPr>
            <w:r>
              <w:rPr>
                <w:rFonts w:hint="eastAsia" w:ascii="宋体" w:hAnsi="宋体"/>
                <w:sz w:val="24"/>
              </w:rPr>
              <w:t>专业监理工程师</w:t>
            </w:r>
          </w:p>
          <w:p>
            <w:pPr>
              <w:spacing w:line="300" w:lineRule="auto"/>
              <w:jc w:val="center"/>
              <w:rPr>
                <w:sz w:val="24"/>
              </w:rPr>
            </w:pPr>
            <w:r>
              <w:rPr>
                <w:rFonts w:hint="eastAsia" w:ascii="宋体" w:hAnsi="宋体"/>
                <w:sz w:val="24"/>
              </w:rPr>
              <w:t>（电力工程）</w:t>
            </w:r>
          </w:p>
        </w:tc>
        <w:tc>
          <w:tcPr>
            <w:tcW w:w="1477" w:type="dxa"/>
            <w:vAlign w:val="center"/>
          </w:tcPr>
          <w:p>
            <w:pPr>
              <w:spacing w:line="300" w:lineRule="auto"/>
              <w:jc w:val="center"/>
              <w:rPr>
                <w:sz w:val="24"/>
              </w:rPr>
            </w:pPr>
            <w:r>
              <w:rPr>
                <w:rFonts w:hint="eastAsia"/>
                <w:sz w:val="24"/>
              </w:rPr>
              <w:t>1</w:t>
            </w:r>
          </w:p>
        </w:tc>
        <w:tc>
          <w:tcPr>
            <w:tcW w:w="4902" w:type="dxa"/>
            <w:vAlign w:val="center"/>
          </w:tcPr>
          <w:p>
            <w:pPr>
              <w:spacing w:line="300" w:lineRule="auto"/>
              <w:jc w:val="left"/>
              <w:rPr>
                <w:rFonts w:ascii="宋体" w:hAnsi="宋体"/>
                <w:sz w:val="24"/>
                <w:highlight w:val="yellow"/>
              </w:rPr>
            </w:pPr>
            <w:r>
              <w:rPr>
                <w:rFonts w:hint="eastAsia" w:ascii="宋体" w:hAnsi="宋体"/>
                <w:sz w:val="24"/>
                <w:highlight w:val="yellow"/>
              </w:rPr>
              <w:t>本单位注册铁路监理工程师或以上资格，中级或以上技术职称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spacing w:line="300" w:lineRule="auto"/>
              <w:jc w:val="center"/>
              <w:rPr>
                <w:rFonts w:ascii="宋体" w:hAnsi="宋体"/>
                <w:sz w:val="24"/>
              </w:rPr>
            </w:pPr>
            <w:r>
              <w:rPr>
                <w:rFonts w:hint="eastAsia" w:ascii="宋体" w:hAnsi="宋体"/>
                <w:sz w:val="24"/>
              </w:rPr>
              <w:t>专业监理工程师</w:t>
            </w:r>
          </w:p>
          <w:p>
            <w:pPr>
              <w:spacing w:line="300" w:lineRule="auto"/>
              <w:jc w:val="center"/>
              <w:rPr>
                <w:sz w:val="24"/>
              </w:rPr>
            </w:pPr>
            <w:r>
              <w:rPr>
                <w:rFonts w:hint="eastAsia" w:ascii="宋体" w:hAnsi="宋体"/>
                <w:sz w:val="24"/>
              </w:rPr>
              <w:t>（市政公用工程）</w:t>
            </w:r>
          </w:p>
        </w:tc>
        <w:tc>
          <w:tcPr>
            <w:tcW w:w="1477" w:type="dxa"/>
            <w:vAlign w:val="center"/>
          </w:tcPr>
          <w:p>
            <w:pPr>
              <w:spacing w:line="300" w:lineRule="auto"/>
              <w:jc w:val="center"/>
              <w:rPr>
                <w:sz w:val="24"/>
              </w:rPr>
            </w:pPr>
            <w:r>
              <w:rPr>
                <w:rFonts w:hint="eastAsia" w:ascii="宋体" w:hAnsi="宋体" w:cs="宋体"/>
                <w:sz w:val="24"/>
              </w:rPr>
              <w:t>1</w:t>
            </w:r>
          </w:p>
        </w:tc>
        <w:tc>
          <w:tcPr>
            <w:tcW w:w="4902" w:type="dxa"/>
            <w:vAlign w:val="center"/>
          </w:tcPr>
          <w:p>
            <w:pPr>
              <w:spacing w:line="300" w:lineRule="auto"/>
              <w:jc w:val="left"/>
              <w:rPr>
                <w:rFonts w:ascii="宋体" w:hAnsi="宋体"/>
                <w:sz w:val="24"/>
                <w:highlight w:val="yellow"/>
              </w:rPr>
            </w:pPr>
            <w:r>
              <w:rPr>
                <w:rFonts w:hint="eastAsia" w:ascii="宋体" w:hAnsi="宋体"/>
                <w:sz w:val="24"/>
                <w:highlight w:val="yellow"/>
              </w:rPr>
              <w:t>本单位注册铁路监理工程师或以上资格，中级或以上技术职称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spacing w:line="300" w:lineRule="auto"/>
              <w:jc w:val="center"/>
              <w:rPr>
                <w:sz w:val="24"/>
              </w:rPr>
            </w:pPr>
            <w:r>
              <w:rPr>
                <w:rFonts w:hint="eastAsia" w:ascii="宋体" w:hAnsi="宋体"/>
                <w:sz w:val="24"/>
              </w:rPr>
              <w:t>监理员</w:t>
            </w:r>
          </w:p>
        </w:tc>
        <w:tc>
          <w:tcPr>
            <w:tcW w:w="1477" w:type="dxa"/>
            <w:vAlign w:val="center"/>
          </w:tcPr>
          <w:p>
            <w:pPr>
              <w:spacing w:line="300" w:lineRule="auto"/>
              <w:jc w:val="center"/>
              <w:rPr>
                <w:sz w:val="24"/>
              </w:rPr>
            </w:pPr>
            <w:r>
              <w:rPr>
                <w:rFonts w:hint="eastAsia"/>
                <w:sz w:val="24"/>
              </w:rPr>
              <w:t>5</w:t>
            </w:r>
          </w:p>
        </w:tc>
        <w:tc>
          <w:tcPr>
            <w:tcW w:w="4902" w:type="dxa"/>
            <w:vAlign w:val="center"/>
          </w:tcPr>
          <w:p>
            <w:pPr>
              <w:spacing w:line="300" w:lineRule="auto"/>
              <w:rPr>
                <w:rFonts w:ascii="宋体" w:hAnsi="宋体"/>
                <w:sz w:val="24"/>
              </w:rPr>
            </w:pPr>
            <w:r>
              <w:rPr>
                <w:rFonts w:hint="eastAsia" w:ascii="宋体" w:hAnsi="宋体"/>
                <w:sz w:val="24"/>
                <w:highlight w:val="yellow"/>
              </w:rPr>
              <w:t>具备相关工程监理经验</w:t>
            </w:r>
          </w:p>
        </w:tc>
      </w:tr>
    </w:tbl>
    <w:p>
      <w:pPr>
        <w:rPr>
          <w:sz w:val="24"/>
        </w:rPr>
      </w:pPr>
    </w:p>
    <w:p>
      <w:pPr>
        <w:spacing w:line="20" w:lineRule="exact"/>
        <w:ind w:left="105"/>
        <w:rPr>
          <w:sz w:val="24"/>
        </w:rPr>
      </w:pPr>
    </w:p>
    <w:p>
      <w:pPr>
        <w:spacing w:before="127" w:line="309" w:lineRule="auto"/>
        <w:ind w:left="586" w:hanging="370"/>
        <w:rPr>
          <w:sz w:val="24"/>
        </w:rPr>
      </w:pPr>
    </w:p>
    <w:p>
      <w:pPr>
        <w:spacing w:before="127" w:line="309" w:lineRule="auto"/>
        <w:ind w:left="586" w:hanging="370"/>
        <w:rPr>
          <w:rFonts w:hint="eastAsia"/>
          <w:sz w:val="24"/>
        </w:rPr>
      </w:pPr>
      <w:r>
        <w:rPr>
          <w:sz w:val="24"/>
          <w:highlight w:val="yellow"/>
        </w:rPr>
        <w:t>注：</w:t>
      </w:r>
      <w:r>
        <w:rPr>
          <w:rFonts w:hint="eastAsia"/>
          <w:sz w:val="24"/>
          <w:highlight w:val="yellow"/>
        </w:rPr>
        <w:t>上述人员的具体人选由招标人和中标人在合同谈判阶段确定，且经招标人审批后作为派驻本标段的主要监理人员。如中标人拟派驻的人员数量和资格条件不满足本表要求，招标人应取消其中标资格。</w:t>
      </w: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z w:val="24"/>
        </w:rPr>
      </w:pPr>
      <w:r>
        <w:rPr>
          <w:spacing w:val="-4"/>
          <w:sz w:val="24"/>
        </w:rPr>
        <w:t>附件</w:t>
      </w:r>
      <w:r>
        <w:rPr>
          <w:rFonts w:hint="eastAsia"/>
          <w:spacing w:val="-4"/>
          <w:sz w:val="24"/>
        </w:rPr>
        <w:t>八</w:t>
      </w:r>
      <w:r>
        <w:rPr>
          <w:spacing w:val="56"/>
          <w:sz w:val="24"/>
        </w:rPr>
        <w:t xml:space="preserve"> </w:t>
      </w:r>
      <w:r>
        <w:rPr>
          <w:sz w:val="24"/>
        </w:rPr>
        <w:t>主要试验检测设备最低要求</w:t>
      </w:r>
    </w:p>
    <w:p>
      <w:pPr>
        <w:pStyle w:val="11"/>
        <w:spacing w:before="29"/>
        <w:ind w:left="155" w:right="109"/>
        <w:rPr>
          <w:sz w:val="24"/>
        </w:rPr>
      </w:pPr>
    </w:p>
    <w:p>
      <w:pPr>
        <w:spacing w:before="12"/>
        <w:ind w:firstLine="1440" w:firstLineChars="600"/>
        <w:rPr>
          <w:sz w:val="24"/>
        </w:rPr>
      </w:pPr>
      <w:r>
        <w:rPr>
          <w:sz w:val="24"/>
        </w:rPr>
        <w:t>（本格式编排在招标文件中，供投标人参考，投标时不需附此表）</w:t>
      </w:r>
    </w:p>
    <w:p>
      <w:pPr>
        <w:spacing w:line="380" w:lineRule="exact"/>
        <w:rPr>
          <w:sz w:val="24"/>
        </w:rPr>
      </w:pPr>
    </w:p>
    <w:tbl>
      <w:tblPr>
        <w:tblStyle w:val="3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6"/>
        <w:gridCol w:w="2036"/>
        <w:gridCol w:w="857"/>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6" w:type="dxa"/>
            <w:vAlign w:val="center"/>
          </w:tcPr>
          <w:p>
            <w:pPr>
              <w:jc w:val="center"/>
              <w:rPr>
                <w:sz w:val="24"/>
              </w:rPr>
            </w:pPr>
            <w:r>
              <w:rPr>
                <w:sz w:val="24"/>
              </w:rPr>
              <w:t>设备名称</w:t>
            </w:r>
          </w:p>
        </w:tc>
        <w:tc>
          <w:tcPr>
            <w:tcW w:w="2036" w:type="dxa"/>
            <w:vAlign w:val="center"/>
          </w:tcPr>
          <w:p>
            <w:pPr>
              <w:jc w:val="center"/>
              <w:rPr>
                <w:sz w:val="24"/>
              </w:rPr>
            </w:pPr>
            <w:r>
              <w:rPr>
                <w:sz w:val="24"/>
              </w:rPr>
              <w:t>规格、功率及容量</w:t>
            </w:r>
          </w:p>
        </w:tc>
        <w:tc>
          <w:tcPr>
            <w:tcW w:w="857" w:type="dxa"/>
            <w:vAlign w:val="center"/>
          </w:tcPr>
          <w:p>
            <w:pPr>
              <w:jc w:val="center"/>
              <w:rPr>
                <w:sz w:val="24"/>
              </w:rPr>
            </w:pPr>
            <w:r>
              <w:rPr>
                <w:sz w:val="24"/>
              </w:rPr>
              <w:t>单 位</w:t>
            </w:r>
          </w:p>
        </w:tc>
        <w:tc>
          <w:tcPr>
            <w:tcW w:w="1737" w:type="dxa"/>
            <w:vAlign w:val="center"/>
          </w:tcPr>
          <w:p>
            <w:pPr>
              <w:jc w:val="center"/>
              <w:rPr>
                <w:sz w:val="24"/>
              </w:rPr>
            </w:pPr>
            <w:r>
              <w:rPr>
                <w:sz w:val="24"/>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896" w:type="dxa"/>
            <w:gridSpan w:val="4"/>
            <w:vAlign w:val="center"/>
          </w:tcPr>
          <w:p>
            <w:pPr>
              <w:spacing w:line="0" w:lineRule="atLeas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sz w:val="24"/>
              </w:rPr>
            </w:pPr>
          </w:p>
        </w:tc>
        <w:tc>
          <w:tcPr>
            <w:tcW w:w="2036" w:type="dxa"/>
            <w:vAlign w:val="center"/>
          </w:tcPr>
          <w:p>
            <w:pPr>
              <w:ind w:firstLine="90"/>
              <w:rPr>
                <w:sz w:val="24"/>
              </w:rPr>
            </w:pPr>
          </w:p>
        </w:tc>
        <w:tc>
          <w:tcPr>
            <w:tcW w:w="857" w:type="dxa"/>
            <w:vAlign w:val="center"/>
          </w:tcPr>
          <w:p>
            <w:pPr>
              <w:jc w:val="center"/>
              <w:rPr>
                <w:sz w:val="24"/>
              </w:rPr>
            </w:pPr>
          </w:p>
        </w:tc>
        <w:tc>
          <w:tcPr>
            <w:tcW w:w="173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sz w:val="24"/>
              </w:rPr>
            </w:pPr>
          </w:p>
        </w:tc>
        <w:tc>
          <w:tcPr>
            <w:tcW w:w="2036" w:type="dxa"/>
            <w:vAlign w:val="center"/>
          </w:tcPr>
          <w:p>
            <w:pPr>
              <w:ind w:firstLine="90"/>
              <w:rPr>
                <w:sz w:val="24"/>
              </w:rPr>
            </w:pPr>
          </w:p>
        </w:tc>
        <w:tc>
          <w:tcPr>
            <w:tcW w:w="857" w:type="dxa"/>
            <w:vAlign w:val="center"/>
          </w:tcPr>
          <w:p>
            <w:pPr>
              <w:jc w:val="center"/>
              <w:rPr>
                <w:sz w:val="24"/>
              </w:rPr>
            </w:pPr>
          </w:p>
        </w:tc>
        <w:tc>
          <w:tcPr>
            <w:tcW w:w="173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sz w:val="24"/>
              </w:rPr>
            </w:pPr>
          </w:p>
        </w:tc>
        <w:tc>
          <w:tcPr>
            <w:tcW w:w="2036" w:type="dxa"/>
            <w:vAlign w:val="center"/>
          </w:tcPr>
          <w:p>
            <w:pPr>
              <w:ind w:firstLine="90"/>
              <w:rPr>
                <w:sz w:val="24"/>
              </w:rPr>
            </w:pPr>
          </w:p>
        </w:tc>
        <w:tc>
          <w:tcPr>
            <w:tcW w:w="857" w:type="dxa"/>
            <w:vAlign w:val="center"/>
          </w:tcPr>
          <w:p>
            <w:pPr>
              <w:jc w:val="center"/>
              <w:rPr>
                <w:sz w:val="24"/>
              </w:rPr>
            </w:pPr>
          </w:p>
        </w:tc>
        <w:tc>
          <w:tcPr>
            <w:tcW w:w="173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4266" w:type="dxa"/>
            <w:vAlign w:val="center"/>
          </w:tcPr>
          <w:p>
            <w:pPr>
              <w:ind w:firstLine="90"/>
              <w:rPr>
                <w:sz w:val="24"/>
              </w:rPr>
            </w:pPr>
          </w:p>
        </w:tc>
        <w:tc>
          <w:tcPr>
            <w:tcW w:w="2036" w:type="dxa"/>
            <w:vAlign w:val="center"/>
          </w:tcPr>
          <w:p>
            <w:pPr>
              <w:ind w:firstLine="90"/>
              <w:rPr>
                <w:sz w:val="24"/>
              </w:rPr>
            </w:pPr>
          </w:p>
        </w:tc>
        <w:tc>
          <w:tcPr>
            <w:tcW w:w="857" w:type="dxa"/>
            <w:vAlign w:val="center"/>
          </w:tcPr>
          <w:p>
            <w:pPr>
              <w:jc w:val="center"/>
              <w:rPr>
                <w:sz w:val="24"/>
              </w:rPr>
            </w:pPr>
          </w:p>
        </w:tc>
        <w:tc>
          <w:tcPr>
            <w:tcW w:w="173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kern w:val="0"/>
                <w:sz w:val="24"/>
              </w:rPr>
            </w:pPr>
          </w:p>
        </w:tc>
        <w:tc>
          <w:tcPr>
            <w:tcW w:w="2036" w:type="dxa"/>
            <w:vAlign w:val="center"/>
          </w:tcPr>
          <w:p>
            <w:pPr>
              <w:ind w:firstLine="90"/>
              <w:rPr>
                <w:kern w:val="0"/>
                <w:sz w:val="24"/>
              </w:rPr>
            </w:pPr>
          </w:p>
        </w:tc>
        <w:tc>
          <w:tcPr>
            <w:tcW w:w="857" w:type="dxa"/>
            <w:vAlign w:val="center"/>
          </w:tcPr>
          <w:p>
            <w:pPr>
              <w:jc w:val="center"/>
              <w:rPr>
                <w:sz w:val="24"/>
              </w:rPr>
            </w:pPr>
          </w:p>
        </w:tc>
        <w:tc>
          <w:tcPr>
            <w:tcW w:w="1737" w:type="dxa"/>
            <w:vAlign w:val="center"/>
          </w:tcPr>
          <w:p>
            <w:pPr>
              <w:jc w:val="center"/>
              <w:rPr>
                <w:sz w:val="24"/>
              </w:rPr>
            </w:pPr>
          </w:p>
        </w:tc>
      </w:tr>
      <w:tr>
        <w:tblPrEx>
          <w:tblCellMar>
            <w:top w:w="0" w:type="dxa"/>
            <w:left w:w="108" w:type="dxa"/>
            <w:bottom w:w="0" w:type="dxa"/>
            <w:right w:w="108" w:type="dxa"/>
          </w:tblCellMar>
        </w:tblPrEx>
        <w:trPr>
          <w:trHeight w:val="567" w:hRule="exact"/>
        </w:trPr>
        <w:tc>
          <w:tcPr>
            <w:tcW w:w="4266" w:type="dxa"/>
            <w:vAlign w:val="center"/>
          </w:tcPr>
          <w:p>
            <w:pPr>
              <w:ind w:firstLine="90"/>
              <w:rPr>
                <w:sz w:val="24"/>
              </w:rPr>
            </w:pPr>
          </w:p>
        </w:tc>
        <w:tc>
          <w:tcPr>
            <w:tcW w:w="2036" w:type="dxa"/>
            <w:vAlign w:val="center"/>
          </w:tcPr>
          <w:p>
            <w:pPr>
              <w:ind w:firstLine="90"/>
              <w:rPr>
                <w:sz w:val="24"/>
              </w:rPr>
            </w:pPr>
          </w:p>
        </w:tc>
        <w:tc>
          <w:tcPr>
            <w:tcW w:w="857" w:type="dxa"/>
            <w:vAlign w:val="center"/>
          </w:tcPr>
          <w:p>
            <w:pPr>
              <w:jc w:val="center"/>
              <w:rPr>
                <w:sz w:val="24"/>
              </w:rPr>
            </w:pPr>
          </w:p>
        </w:tc>
        <w:tc>
          <w:tcPr>
            <w:tcW w:w="173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96" w:type="dxa"/>
            <w:gridSpan w:val="4"/>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sz w:val="24"/>
              </w:rPr>
            </w:pPr>
          </w:p>
        </w:tc>
        <w:tc>
          <w:tcPr>
            <w:tcW w:w="2036" w:type="dxa"/>
            <w:vAlign w:val="center"/>
          </w:tcPr>
          <w:p>
            <w:pPr>
              <w:ind w:firstLine="90"/>
              <w:rPr>
                <w:sz w:val="24"/>
              </w:rPr>
            </w:pPr>
          </w:p>
        </w:tc>
        <w:tc>
          <w:tcPr>
            <w:tcW w:w="857" w:type="dxa"/>
            <w:vAlign w:val="center"/>
          </w:tcPr>
          <w:p>
            <w:pPr>
              <w:jc w:val="center"/>
              <w:rPr>
                <w:sz w:val="24"/>
              </w:rPr>
            </w:pPr>
          </w:p>
        </w:tc>
        <w:tc>
          <w:tcPr>
            <w:tcW w:w="1737" w:type="dxa"/>
            <w:vAlign w:val="center"/>
          </w:tcPr>
          <w:p>
            <w:pPr>
              <w:jc w:val="center"/>
              <w:rPr>
                <w:sz w:val="24"/>
              </w:rPr>
            </w:pPr>
          </w:p>
        </w:tc>
      </w:tr>
      <w:tr>
        <w:tblPrEx>
          <w:tblCellMar>
            <w:top w:w="0" w:type="dxa"/>
            <w:left w:w="108" w:type="dxa"/>
            <w:bottom w:w="0" w:type="dxa"/>
            <w:right w:w="108" w:type="dxa"/>
          </w:tblCellMar>
        </w:tblPrEx>
        <w:trPr>
          <w:trHeight w:val="567" w:hRule="exact"/>
        </w:trPr>
        <w:tc>
          <w:tcPr>
            <w:tcW w:w="4266" w:type="dxa"/>
            <w:vAlign w:val="center"/>
          </w:tcPr>
          <w:p>
            <w:pPr>
              <w:ind w:firstLine="90"/>
              <w:rPr>
                <w:kern w:val="0"/>
                <w:sz w:val="24"/>
              </w:rPr>
            </w:pPr>
          </w:p>
        </w:tc>
        <w:tc>
          <w:tcPr>
            <w:tcW w:w="2036" w:type="dxa"/>
            <w:vAlign w:val="center"/>
          </w:tcPr>
          <w:p>
            <w:pPr>
              <w:ind w:firstLine="90"/>
              <w:rPr>
                <w:kern w:val="0"/>
                <w:sz w:val="24"/>
              </w:rPr>
            </w:pPr>
          </w:p>
        </w:tc>
        <w:tc>
          <w:tcPr>
            <w:tcW w:w="857" w:type="dxa"/>
            <w:vAlign w:val="center"/>
          </w:tcPr>
          <w:p>
            <w:pPr>
              <w:jc w:val="center"/>
              <w:rPr>
                <w:sz w:val="24"/>
              </w:rPr>
            </w:pPr>
          </w:p>
        </w:tc>
        <w:tc>
          <w:tcPr>
            <w:tcW w:w="173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4266" w:type="dxa"/>
            <w:vAlign w:val="center"/>
          </w:tcPr>
          <w:p>
            <w:pPr>
              <w:ind w:firstLine="90"/>
              <w:rPr>
                <w:sz w:val="24"/>
              </w:rPr>
            </w:pPr>
          </w:p>
        </w:tc>
        <w:tc>
          <w:tcPr>
            <w:tcW w:w="2036" w:type="dxa"/>
            <w:vAlign w:val="center"/>
          </w:tcPr>
          <w:p>
            <w:pPr>
              <w:ind w:firstLine="90"/>
              <w:rPr>
                <w:sz w:val="24"/>
              </w:rPr>
            </w:pPr>
          </w:p>
        </w:tc>
        <w:tc>
          <w:tcPr>
            <w:tcW w:w="857" w:type="dxa"/>
            <w:vAlign w:val="center"/>
          </w:tcPr>
          <w:p>
            <w:pPr>
              <w:jc w:val="center"/>
              <w:rPr>
                <w:sz w:val="24"/>
              </w:rPr>
            </w:pPr>
          </w:p>
        </w:tc>
        <w:tc>
          <w:tcPr>
            <w:tcW w:w="173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sz w:val="24"/>
              </w:rPr>
            </w:pPr>
          </w:p>
        </w:tc>
        <w:tc>
          <w:tcPr>
            <w:tcW w:w="2036" w:type="dxa"/>
            <w:vAlign w:val="center"/>
          </w:tcPr>
          <w:p>
            <w:pPr>
              <w:ind w:firstLine="90"/>
              <w:rPr>
                <w:sz w:val="24"/>
              </w:rPr>
            </w:pPr>
          </w:p>
        </w:tc>
        <w:tc>
          <w:tcPr>
            <w:tcW w:w="857" w:type="dxa"/>
            <w:vAlign w:val="center"/>
          </w:tcPr>
          <w:p>
            <w:pPr>
              <w:jc w:val="center"/>
              <w:rPr>
                <w:sz w:val="24"/>
              </w:rPr>
            </w:pPr>
          </w:p>
        </w:tc>
        <w:tc>
          <w:tcPr>
            <w:tcW w:w="173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kern w:val="0"/>
                <w:sz w:val="24"/>
              </w:rPr>
            </w:pPr>
          </w:p>
        </w:tc>
        <w:tc>
          <w:tcPr>
            <w:tcW w:w="2036" w:type="dxa"/>
            <w:vAlign w:val="center"/>
          </w:tcPr>
          <w:p>
            <w:pPr>
              <w:ind w:firstLine="90"/>
              <w:rPr>
                <w:kern w:val="0"/>
                <w:sz w:val="24"/>
              </w:rPr>
            </w:pPr>
          </w:p>
        </w:tc>
        <w:tc>
          <w:tcPr>
            <w:tcW w:w="857" w:type="dxa"/>
            <w:vAlign w:val="center"/>
          </w:tcPr>
          <w:p>
            <w:pPr>
              <w:jc w:val="center"/>
              <w:rPr>
                <w:kern w:val="0"/>
                <w:sz w:val="24"/>
              </w:rPr>
            </w:pPr>
          </w:p>
        </w:tc>
        <w:tc>
          <w:tcPr>
            <w:tcW w:w="173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kern w:val="0"/>
                <w:sz w:val="24"/>
              </w:rPr>
            </w:pPr>
          </w:p>
        </w:tc>
        <w:tc>
          <w:tcPr>
            <w:tcW w:w="2036" w:type="dxa"/>
            <w:vAlign w:val="center"/>
          </w:tcPr>
          <w:p>
            <w:pPr>
              <w:ind w:firstLine="90"/>
              <w:rPr>
                <w:kern w:val="0"/>
                <w:sz w:val="24"/>
              </w:rPr>
            </w:pPr>
          </w:p>
        </w:tc>
        <w:tc>
          <w:tcPr>
            <w:tcW w:w="857" w:type="dxa"/>
            <w:vAlign w:val="center"/>
          </w:tcPr>
          <w:p>
            <w:pPr>
              <w:jc w:val="center"/>
              <w:rPr>
                <w:kern w:val="0"/>
                <w:sz w:val="24"/>
              </w:rPr>
            </w:pPr>
          </w:p>
        </w:tc>
        <w:tc>
          <w:tcPr>
            <w:tcW w:w="173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kern w:val="0"/>
                <w:sz w:val="24"/>
              </w:rPr>
            </w:pPr>
          </w:p>
        </w:tc>
        <w:tc>
          <w:tcPr>
            <w:tcW w:w="2036" w:type="dxa"/>
            <w:vAlign w:val="center"/>
          </w:tcPr>
          <w:p>
            <w:pPr>
              <w:ind w:firstLine="90"/>
              <w:rPr>
                <w:kern w:val="0"/>
                <w:sz w:val="24"/>
              </w:rPr>
            </w:pPr>
          </w:p>
        </w:tc>
        <w:tc>
          <w:tcPr>
            <w:tcW w:w="857" w:type="dxa"/>
            <w:vAlign w:val="center"/>
          </w:tcPr>
          <w:p>
            <w:pPr>
              <w:jc w:val="center"/>
              <w:rPr>
                <w:kern w:val="0"/>
                <w:sz w:val="24"/>
              </w:rPr>
            </w:pPr>
          </w:p>
        </w:tc>
        <w:tc>
          <w:tcPr>
            <w:tcW w:w="173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96" w:type="dxa"/>
            <w:gridSpan w:val="4"/>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rPr>
                <w:sz w:val="24"/>
              </w:rPr>
            </w:pPr>
          </w:p>
        </w:tc>
        <w:tc>
          <w:tcPr>
            <w:tcW w:w="2036" w:type="dxa"/>
            <w:vAlign w:val="center"/>
          </w:tcPr>
          <w:p>
            <w:pPr>
              <w:rPr>
                <w:sz w:val="24"/>
              </w:rPr>
            </w:pPr>
          </w:p>
        </w:tc>
        <w:tc>
          <w:tcPr>
            <w:tcW w:w="857" w:type="dxa"/>
            <w:vAlign w:val="center"/>
          </w:tcPr>
          <w:p>
            <w:pPr>
              <w:jc w:val="center"/>
              <w:rPr>
                <w:sz w:val="24"/>
              </w:rPr>
            </w:pPr>
          </w:p>
        </w:tc>
        <w:tc>
          <w:tcPr>
            <w:tcW w:w="173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rPr>
                <w:sz w:val="24"/>
              </w:rPr>
            </w:pPr>
          </w:p>
        </w:tc>
        <w:tc>
          <w:tcPr>
            <w:tcW w:w="2036" w:type="dxa"/>
            <w:vAlign w:val="center"/>
          </w:tcPr>
          <w:p>
            <w:pPr>
              <w:rPr>
                <w:sz w:val="24"/>
              </w:rPr>
            </w:pPr>
          </w:p>
        </w:tc>
        <w:tc>
          <w:tcPr>
            <w:tcW w:w="857" w:type="dxa"/>
            <w:vAlign w:val="center"/>
          </w:tcPr>
          <w:p>
            <w:pPr>
              <w:jc w:val="center"/>
              <w:rPr>
                <w:sz w:val="24"/>
              </w:rPr>
            </w:pPr>
          </w:p>
        </w:tc>
        <w:tc>
          <w:tcPr>
            <w:tcW w:w="1737" w:type="dxa"/>
            <w:vAlign w:val="center"/>
          </w:tcPr>
          <w:p>
            <w:pPr>
              <w:jc w:val="center"/>
              <w:rPr>
                <w:sz w:val="24"/>
              </w:rPr>
            </w:pPr>
          </w:p>
        </w:tc>
      </w:tr>
    </w:tbl>
    <w:p>
      <w:pPr>
        <w:spacing w:before="12"/>
        <w:ind w:firstLine="240" w:firstLineChars="100"/>
        <w:rPr>
          <w:sz w:val="24"/>
        </w:rPr>
      </w:pPr>
    </w:p>
    <w:p>
      <w:pPr>
        <w:spacing w:line="360" w:lineRule="auto"/>
        <w:rPr>
          <w:sz w:val="24"/>
        </w:rPr>
      </w:pPr>
      <w:r>
        <w:rPr>
          <w:sz w:val="24"/>
          <w:highlight w:val="yellow"/>
        </w:rPr>
        <w:t>注 ：</w:t>
      </w:r>
      <w:r>
        <w:rPr>
          <w:rFonts w:hint="eastAsia"/>
          <w:sz w:val="24"/>
          <w:highlight w:val="yellow"/>
        </w:rPr>
        <w:t>招标人将在合同谈判阶段要求中标人按照本表的最低要求填报为本标段配备的主要设备，在经招标人审批后作为投入本标段的主要设备。如招标人拟提供的设备数量和规格指标等不满足本表要求，招标人应取消其中标资格</w:t>
      </w:r>
      <w:r>
        <w:rPr>
          <w:sz w:val="24"/>
          <w:highlight w:val="yellow"/>
        </w:rPr>
        <w:t>。</w:t>
      </w:r>
      <w:bookmarkStart w:id="447" w:name="_Toc234346105"/>
      <w:bookmarkStart w:id="448" w:name="_Toc234349545"/>
      <w:bookmarkStart w:id="449" w:name="_Toc234345890"/>
      <w:bookmarkStart w:id="450" w:name="_Toc234348971"/>
    </w:p>
    <w:p>
      <w:pPr>
        <w:spacing w:line="360" w:lineRule="auto"/>
        <w:rPr>
          <w:sz w:val="24"/>
        </w:rPr>
      </w:pPr>
      <w:r>
        <w:rPr>
          <w:sz w:val="24"/>
        </w:rPr>
        <w:br w:type="page"/>
      </w:r>
      <w:r>
        <w:rPr>
          <w:sz w:val="24"/>
        </w:rPr>
        <w:t>附件</w:t>
      </w:r>
      <w:r>
        <w:rPr>
          <w:rFonts w:hint="eastAsia"/>
          <w:sz w:val="24"/>
        </w:rPr>
        <w:t>九</w:t>
      </w:r>
      <w:r>
        <w:rPr>
          <w:sz w:val="24"/>
        </w:rPr>
        <w:t xml:space="preserve">  履约</w:t>
      </w:r>
      <w:r>
        <w:rPr>
          <w:rFonts w:hint="eastAsia"/>
          <w:sz w:val="24"/>
        </w:rPr>
        <w:t>保证金</w:t>
      </w:r>
      <w:r>
        <w:rPr>
          <w:sz w:val="24"/>
        </w:rPr>
        <w:t>格式</w:t>
      </w:r>
      <w:bookmarkEnd w:id="447"/>
      <w:bookmarkEnd w:id="448"/>
      <w:bookmarkEnd w:id="449"/>
      <w:bookmarkEnd w:id="450"/>
    </w:p>
    <w:p>
      <w:pPr>
        <w:spacing w:line="380" w:lineRule="exact"/>
        <w:rPr>
          <w:sz w:val="24"/>
        </w:rPr>
      </w:pPr>
      <w:r>
        <w:rPr>
          <w:sz w:val="24"/>
        </w:rPr>
        <w:t>如采用银行保函，格式如下。</w:t>
      </w:r>
    </w:p>
    <w:p>
      <w:pPr>
        <w:spacing w:line="380" w:lineRule="exact"/>
        <w:jc w:val="center"/>
        <w:rPr>
          <w:b/>
          <w:sz w:val="24"/>
        </w:rPr>
      </w:pPr>
      <w:r>
        <w:rPr>
          <w:b/>
          <w:sz w:val="24"/>
        </w:rPr>
        <w:t>履 约 保 证 金</w:t>
      </w:r>
    </w:p>
    <w:p>
      <w:pPr>
        <w:spacing w:line="360" w:lineRule="auto"/>
        <w:rPr>
          <w:sz w:val="24"/>
          <w:u w:val="single"/>
        </w:rPr>
      </w:pPr>
    </w:p>
    <w:p>
      <w:pPr>
        <w:spacing w:line="360" w:lineRule="auto"/>
        <w:rPr>
          <w:sz w:val="24"/>
        </w:rPr>
      </w:pPr>
      <w:r>
        <w:rPr>
          <w:sz w:val="24"/>
          <w:u w:val="single"/>
        </w:rPr>
        <w:t xml:space="preserve">                </w:t>
      </w:r>
      <w:r>
        <w:rPr>
          <w:sz w:val="24"/>
        </w:rPr>
        <w:t>(</w:t>
      </w:r>
      <w:r>
        <w:rPr>
          <w:rFonts w:hint="eastAsia"/>
          <w:sz w:val="24"/>
        </w:rPr>
        <w:t>委托人</w:t>
      </w:r>
      <w:r>
        <w:rPr>
          <w:sz w:val="24"/>
        </w:rPr>
        <w:t>名称)：</w:t>
      </w:r>
    </w:p>
    <w:p>
      <w:pPr>
        <w:spacing w:line="360" w:lineRule="auto"/>
        <w:ind w:firstLine="480" w:firstLineChars="200"/>
        <w:rPr>
          <w:sz w:val="24"/>
        </w:rPr>
      </w:pPr>
      <w:r>
        <w:rPr>
          <w:sz w:val="24"/>
        </w:rPr>
        <w:t>鉴于</w:t>
      </w:r>
      <w:r>
        <w:rPr>
          <w:sz w:val="24"/>
          <w:u w:val="single"/>
        </w:rPr>
        <w:t xml:space="preserve">                 </w:t>
      </w:r>
      <w:r>
        <w:rPr>
          <w:sz w:val="24"/>
        </w:rPr>
        <w:t xml:space="preserve">  (</w:t>
      </w:r>
      <w:r>
        <w:rPr>
          <w:rFonts w:hint="eastAsia"/>
          <w:sz w:val="24"/>
        </w:rPr>
        <w:t>委托人</w:t>
      </w:r>
      <w:r>
        <w:rPr>
          <w:sz w:val="24"/>
        </w:rPr>
        <w:t>名称，以下简称“</w:t>
      </w:r>
      <w:r>
        <w:rPr>
          <w:rFonts w:hint="eastAsia"/>
          <w:sz w:val="24"/>
        </w:rPr>
        <w:t>委托人</w:t>
      </w:r>
      <w:r>
        <w:rPr>
          <w:sz w:val="24"/>
        </w:rPr>
        <w:t xml:space="preserve">”)接受 </w:t>
      </w:r>
      <w:r>
        <w:rPr>
          <w:sz w:val="24"/>
          <w:u w:val="single"/>
        </w:rPr>
        <w:t xml:space="preserve">       </w:t>
      </w:r>
      <w:r>
        <w:rPr>
          <w:sz w:val="24"/>
        </w:rPr>
        <w:t>(</w:t>
      </w:r>
      <w:r>
        <w:rPr>
          <w:rFonts w:hint="eastAsia"/>
          <w:sz w:val="24"/>
        </w:rPr>
        <w:t>监理人名称</w:t>
      </w:r>
      <w:r>
        <w:rPr>
          <w:sz w:val="24"/>
        </w:rPr>
        <w:t>)(以下称“</w:t>
      </w:r>
      <w:r>
        <w:rPr>
          <w:rFonts w:hint="eastAsia"/>
          <w:sz w:val="24"/>
        </w:rPr>
        <w:t>监理</w:t>
      </w:r>
      <w:r>
        <w:rPr>
          <w:sz w:val="24"/>
        </w:rPr>
        <w:t>人”)于</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日参加</w:t>
      </w:r>
      <w:r>
        <w:rPr>
          <w:sz w:val="24"/>
          <w:u w:val="single"/>
        </w:rPr>
        <w:t xml:space="preserve">       </w:t>
      </w:r>
      <w:r>
        <w:rPr>
          <w:sz w:val="24"/>
        </w:rPr>
        <w:t>（项目名称）施工</w:t>
      </w:r>
      <w:r>
        <w:rPr>
          <w:rFonts w:hint="eastAsia"/>
          <w:sz w:val="24"/>
        </w:rPr>
        <w:t>监理</w:t>
      </w:r>
      <w:r>
        <w:rPr>
          <w:sz w:val="24"/>
        </w:rPr>
        <w:t>的投标。我方愿意无条件地、不可撤销地就</w:t>
      </w:r>
      <w:r>
        <w:rPr>
          <w:rFonts w:hint="eastAsia"/>
          <w:sz w:val="24"/>
        </w:rPr>
        <w:t>监理</w:t>
      </w:r>
      <w:r>
        <w:rPr>
          <w:sz w:val="24"/>
        </w:rPr>
        <w:t>人履行与你方订立的合同，向你方提供担保。</w:t>
      </w:r>
    </w:p>
    <w:p>
      <w:pPr>
        <w:spacing w:line="360" w:lineRule="auto"/>
        <w:ind w:firstLine="480" w:firstLineChars="200"/>
        <w:rPr>
          <w:sz w:val="24"/>
        </w:rPr>
      </w:pPr>
      <w:r>
        <w:rPr>
          <w:sz w:val="24"/>
        </w:rPr>
        <w:t>1.担保金额人民币(大写)</w:t>
      </w:r>
      <w:r>
        <w:rPr>
          <w:sz w:val="24"/>
          <w:u w:val="single"/>
        </w:rPr>
        <w:t xml:space="preserve">                </w:t>
      </w:r>
      <w:r>
        <w:rPr>
          <w:sz w:val="24"/>
        </w:rPr>
        <w:t>元(￥</w:t>
      </w:r>
      <w:r>
        <w:rPr>
          <w:sz w:val="24"/>
          <w:u w:val="single"/>
        </w:rPr>
        <w:t xml:space="preserve">               </w:t>
      </w:r>
      <w:r>
        <w:rPr>
          <w:sz w:val="24"/>
        </w:rPr>
        <w:t>)。</w:t>
      </w:r>
    </w:p>
    <w:p>
      <w:pPr>
        <w:spacing w:line="360" w:lineRule="auto"/>
        <w:ind w:firstLine="480" w:firstLineChars="200"/>
        <w:rPr>
          <w:sz w:val="24"/>
        </w:rPr>
      </w:pPr>
      <w:r>
        <w:rPr>
          <w:sz w:val="24"/>
        </w:rPr>
        <w:t>2.担保有效期自</w:t>
      </w:r>
      <w:r>
        <w:rPr>
          <w:rFonts w:hint="eastAsia"/>
          <w:sz w:val="24"/>
        </w:rPr>
        <w:t>委托</w:t>
      </w:r>
      <w:r>
        <w:rPr>
          <w:sz w:val="24"/>
        </w:rPr>
        <w:t>人与</w:t>
      </w:r>
      <w:r>
        <w:rPr>
          <w:rFonts w:hint="eastAsia"/>
          <w:sz w:val="24"/>
        </w:rPr>
        <w:t>监理</w:t>
      </w:r>
      <w:r>
        <w:rPr>
          <w:sz w:val="24"/>
        </w:rPr>
        <w:t>人签订的合同生效之日起至</w:t>
      </w:r>
      <w:r>
        <w:rPr>
          <w:rFonts w:hint="eastAsia"/>
          <w:sz w:val="24"/>
        </w:rPr>
        <w:t>委托</w:t>
      </w:r>
      <w:r>
        <w:rPr>
          <w:sz w:val="24"/>
        </w:rPr>
        <w:t>人签发交工验收证书且</w:t>
      </w:r>
      <w:r>
        <w:rPr>
          <w:rFonts w:hint="eastAsia"/>
          <w:sz w:val="24"/>
        </w:rPr>
        <w:t>监理</w:t>
      </w:r>
      <w:r>
        <w:rPr>
          <w:sz w:val="24"/>
        </w:rPr>
        <w:t>人按照合同约定</w:t>
      </w:r>
      <w:r>
        <w:rPr>
          <w:rFonts w:hint="eastAsia"/>
          <w:sz w:val="24"/>
        </w:rPr>
        <w:t>提交缺陷责任期保函</w:t>
      </w:r>
      <w:r>
        <w:rPr>
          <w:sz w:val="24"/>
        </w:rPr>
        <w:t>之日止。</w:t>
      </w:r>
    </w:p>
    <w:p>
      <w:pPr>
        <w:spacing w:line="360" w:lineRule="auto"/>
        <w:ind w:firstLine="480" w:firstLineChars="200"/>
        <w:rPr>
          <w:sz w:val="24"/>
        </w:rPr>
      </w:pPr>
      <w:r>
        <w:rPr>
          <w:sz w:val="24"/>
        </w:rPr>
        <w:t>3.在本担保有效期内，因</w:t>
      </w:r>
      <w:r>
        <w:rPr>
          <w:rFonts w:hint="eastAsia"/>
          <w:sz w:val="24"/>
        </w:rPr>
        <w:t>监理</w:t>
      </w:r>
      <w:r>
        <w:rPr>
          <w:sz w:val="24"/>
        </w:rPr>
        <w:t>人违反合同约定的义务给你方造成经济损失时，我方在收到你方以书面形式提出的在担保金额内的赔偿要求后，在7天内无条件支付，无须你方出具证明或陈述理由。</w:t>
      </w:r>
    </w:p>
    <w:p>
      <w:pPr>
        <w:spacing w:line="360" w:lineRule="auto"/>
        <w:ind w:firstLine="480"/>
        <w:rPr>
          <w:sz w:val="24"/>
        </w:rPr>
      </w:pPr>
      <w:r>
        <w:rPr>
          <w:sz w:val="24"/>
        </w:rPr>
        <w:t>4.</w:t>
      </w:r>
      <w:r>
        <w:rPr>
          <w:rFonts w:hint="eastAsia"/>
          <w:sz w:val="24"/>
        </w:rPr>
        <w:t>委托</w:t>
      </w:r>
      <w:r>
        <w:rPr>
          <w:sz w:val="24"/>
        </w:rPr>
        <w:t>人和</w:t>
      </w:r>
      <w:r>
        <w:rPr>
          <w:rFonts w:hint="eastAsia"/>
          <w:sz w:val="24"/>
        </w:rPr>
        <w:t>监理</w:t>
      </w:r>
      <w:r>
        <w:rPr>
          <w:sz w:val="24"/>
        </w:rPr>
        <w:t>人按合同条款变更合同时，我方承担本担保规定的义务不变。</w:t>
      </w:r>
    </w:p>
    <w:p>
      <w:pPr>
        <w:spacing w:line="460" w:lineRule="exact"/>
        <w:ind w:firstLine="480"/>
        <w:rPr>
          <w:sz w:val="24"/>
        </w:rPr>
      </w:pPr>
    </w:p>
    <w:p>
      <w:pPr>
        <w:spacing w:line="460" w:lineRule="exact"/>
        <w:ind w:firstLine="3600" w:firstLineChars="1500"/>
        <w:rPr>
          <w:sz w:val="24"/>
        </w:rPr>
      </w:pPr>
      <w:r>
        <w:rPr>
          <w:sz w:val="24"/>
        </w:rPr>
        <w:t>担 保 人：</w:t>
      </w:r>
      <w:r>
        <w:rPr>
          <w:sz w:val="24"/>
          <w:u w:val="single"/>
        </w:rPr>
        <w:t xml:space="preserve">                    </w:t>
      </w:r>
      <w:r>
        <w:rPr>
          <w:sz w:val="24"/>
        </w:rPr>
        <w:t xml:space="preserve"> (盖单位章)</w:t>
      </w:r>
    </w:p>
    <w:p>
      <w:pPr>
        <w:spacing w:line="460" w:lineRule="exact"/>
        <w:ind w:firstLine="3600" w:firstLineChars="1500"/>
        <w:rPr>
          <w:sz w:val="24"/>
        </w:rPr>
      </w:pPr>
      <w:r>
        <w:rPr>
          <w:sz w:val="24"/>
        </w:rPr>
        <w:t>法定代表人或其委托代理人：</w:t>
      </w:r>
      <w:r>
        <w:rPr>
          <w:sz w:val="24"/>
          <w:u w:val="single"/>
        </w:rPr>
        <w:t xml:space="preserve">        </w:t>
      </w:r>
      <w:r>
        <w:rPr>
          <w:sz w:val="24"/>
        </w:rPr>
        <w:t xml:space="preserve"> (签字)</w:t>
      </w:r>
    </w:p>
    <w:p>
      <w:pPr>
        <w:tabs>
          <w:tab w:val="left" w:pos="8640"/>
        </w:tabs>
        <w:spacing w:line="460" w:lineRule="exact"/>
        <w:ind w:firstLine="3600" w:firstLineChars="1500"/>
        <w:rPr>
          <w:sz w:val="24"/>
        </w:rPr>
      </w:pPr>
      <w:r>
        <w:rPr>
          <w:sz w:val="24"/>
        </w:rPr>
        <w:t>地    址：_______________________________</w:t>
      </w:r>
    </w:p>
    <w:p>
      <w:pPr>
        <w:tabs>
          <w:tab w:val="left" w:pos="8640"/>
        </w:tabs>
        <w:spacing w:line="460" w:lineRule="exact"/>
        <w:ind w:firstLine="3600" w:firstLineChars="1500"/>
        <w:rPr>
          <w:sz w:val="24"/>
          <w:u w:val="single"/>
        </w:rPr>
      </w:pPr>
      <w:r>
        <w:rPr>
          <w:sz w:val="24"/>
        </w:rPr>
        <w:t>邮政编码：_______________________________</w:t>
      </w:r>
    </w:p>
    <w:p>
      <w:pPr>
        <w:tabs>
          <w:tab w:val="left" w:pos="8640"/>
        </w:tabs>
        <w:spacing w:line="460" w:lineRule="exact"/>
        <w:ind w:firstLine="3600" w:firstLineChars="1500"/>
        <w:rPr>
          <w:sz w:val="24"/>
        </w:rPr>
      </w:pPr>
      <w:r>
        <w:rPr>
          <w:sz w:val="24"/>
        </w:rPr>
        <w:t>电    话：_______________________________</w:t>
      </w:r>
    </w:p>
    <w:p>
      <w:pPr>
        <w:tabs>
          <w:tab w:val="left" w:pos="8640"/>
        </w:tabs>
        <w:spacing w:line="460" w:lineRule="exact"/>
        <w:ind w:firstLine="3600" w:firstLineChars="1500"/>
        <w:rPr>
          <w:sz w:val="24"/>
          <w:u w:val="single"/>
        </w:rPr>
      </w:pPr>
      <w:r>
        <w:rPr>
          <w:sz w:val="24"/>
        </w:rPr>
        <w:t>传    真：_______________________________</w:t>
      </w:r>
    </w:p>
    <w:p>
      <w:pPr>
        <w:spacing w:line="360" w:lineRule="auto"/>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360" w:lineRule="auto"/>
        <w:ind w:firstLine="435"/>
        <w:rPr>
          <w:szCs w:val="32"/>
        </w:rPr>
      </w:pPr>
      <w:r>
        <w:rPr>
          <w:sz w:val="24"/>
        </w:rPr>
        <w:br w:type="page"/>
      </w:r>
    </w:p>
    <w:p>
      <w:pPr>
        <w:pStyle w:val="2"/>
        <w:pageBreakBefore/>
        <w:spacing w:line="240" w:lineRule="auto"/>
        <w:jc w:val="center"/>
        <w:rPr>
          <w:rFonts w:eastAsia="黑体"/>
          <w:b w:val="0"/>
          <w:sz w:val="36"/>
          <w:szCs w:val="36"/>
        </w:rPr>
      </w:pPr>
      <w:r>
        <w:rPr>
          <w:rFonts w:eastAsia="黑体"/>
          <w:b w:val="0"/>
          <w:sz w:val="36"/>
          <w:szCs w:val="36"/>
        </w:rPr>
        <w:t>第五章 委托人要求</w:t>
      </w:r>
      <w:bookmarkEnd w:id="446"/>
    </w:p>
    <w:bookmarkEnd w:id="436"/>
    <w:bookmarkEnd w:id="437"/>
    <w:bookmarkEnd w:id="438"/>
    <w:bookmarkEnd w:id="439"/>
    <w:p>
      <w:pPr>
        <w:spacing w:line="440" w:lineRule="exact"/>
        <w:ind w:firstLine="420" w:firstLineChars="200"/>
        <w:rPr>
          <w:szCs w:val="21"/>
        </w:rPr>
      </w:pPr>
      <w:r>
        <w:rPr>
          <w:szCs w:val="21"/>
        </w:rPr>
        <w:t>委托人要求应尽可能清晰准确，对于可以进行定量评估的工作，委托人要求不仅应明确规定其功能、用途、质量、环境、安全，并且要规定偏差的范围和计算方法，以及检验、试验、试运行的具体要求。对于监理人负责提供的有关服务，在委托人要求中应一并明确规定。</w:t>
      </w:r>
    </w:p>
    <w:p>
      <w:pPr>
        <w:spacing w:line="440" w:lineRule="exact"/>
        <w:ind w:firstLine="420" w:firstLineChars="200"/>
        <w:rPr>
          <w:szCs w:val="21"/>
        </w:rPr>
      </w:pPr>
      <w:r>
        <w:rPr>
          <w:szCs w:val="21"/>
        </w:rPr>
        <w:t>委托人要求通常包括但不限于以下内容：</w:t>
      </w:r>
    </w:p>
    <w:p>
      <w:pPr>
        <w:pStyle w:val="3"/>
        <w:spacing w:before="120" w:beforeLines="50" w:after="120" w:afterLines="50" w:line="440" w:lineRule="exact"/>
        <w:rPr>
          <w:rFonts w:ascii="Times New Roman" w:hAnsi="Times New Roman"/>
          <w:sz w:val="28"/>
          <w:szCs w:val="28"/>
        </w:rPr>
      </w:pPr>
      <w:bookmarkStart w:id="451" w:name="_Toc62572879"/>
      <w:bookmarkStart w:id="452" w:name="_Toc482188637"/>
      <w:r>
        <w:rPr>
          <w:rFonts w:hint="eastAsia" w:ascii="Times New Roman" w:hAnsi="Times New Roman"/>
          <w:sz w:val="28"/>
          <w:szCs w:val="28"/>
        </w:rPr>
        <w:t>1.</w:t>
      </w:r>
      <w:r>
        <w:rPr>
          <w:rFonts w:ascii="Times New Roman" w:hAnsi="Times New Roman"/>
          <w:sz w:val="28"/>
          <w:szCs w:val="28"/>
        </w:rPr>
        <w:t>监理要求</w:t>
      </w:r>
      <w:bookmarkEnd w:id="451"/>
      <w:bookmarkEnd w:id="452"/>
    </w:p>
    <w:p>
      <w:pPr>
        <w:pStyle w:val="11"/>
        <w:spacing w:after="0" w:line="360" w:lineRule="auto"/>
        <w:ind w:right="232" w:firstLine="480" w:firstLineChars="200"/>
        <w:rPr>
          <w:rFonts w:ascii="宋体" w:hAnsi="宋体" w:cs="宋体"/>
          <w:sz w:val="24"/>
        </w:rPr>
      </w:pPr>
      <w:r>
        <w:rPr>
          <w:rFonts w:hint="eastAsia" w:ascii="宋体" w:hAnsi="宋体" w:cs="宋体"/>
          <w:sz w:val="24"/>
        </w:rPr>
        <w:t>（一）项目概况</w:t>
      </w:r>
    </w:p>
    <w:p>
      <w:pPr>
        <w:pStyle w:val="11"/>
        <w:spacing w:after="0" w:line="360" w:lineRule="auto"/>
        <w:ind w:right="232" w:firstLine="480" w:firstLineChars="200"/>
        <w:rPr>
          <w:rFonts w:ascii="宋体" w:hAnsi="宋体" w:cs="宋体"/>
          <w:sz w:val="24"/>
        </w:rPr>
      </w:pPr>
      <w:r>
        <w:rPr>
          <w:rFonts w:hint="eastAsia" w:ascii="宋体" w:hAnsi="宋体" w:cs="宋体"/>
          <w:sz w:val="24"/>
        </w:rPr>
        <w:t>1.（1）项目名称：新建天津至潍坊高速铁路滨海段“三电”及地下管线迁改工程监理</w:t>
      </w:r>
    </w:p>
    <w:p>
      <w:pPr>
        <w:pStyle w:val="11"/>
        <w:spacing w:after="0" w:line="360" w:lineRule="auto"/>
        <w:ind w:right="232" w:firstLine="480" w:firstLineChars="200"/>
        <w:rPr>
          <w:rFonts w:ascii="宋体" w:hAnsi="宋体" w:cs="宋体"/>
          <w:sz w:val="24"/>
        </w:rPr>
      </w:pPr>
      <w:r>
        <w:rPr>
          <w:rFonts w:hint="eastAsia" w:ascii="宋体" w:hAnsi="宋体" w:cs="宋体"/>
          <w:sz w:val="24"/>
        </w:rPr>
        <w:t>（2）建设单位：天津市滨海新区城投建设发展有限公司；</w:t>
      </w:r>
    </w:p>
    <w:p>
      <w:pPr>
        <w:pStyle w:val="11"/>
        <w:spacing w:after="0" w:line="360" w:lineRule="auto"/>
        <w:ind w:right="232" w:firstLine="480" w:firstLineChars="200"/>
        <w:rPr>
          <w:rFonts w:ascii="宋体" w:hAnsi="宋体" w:cs="宋体"/>
          <w:sz w:val="24"/>
        </w:rPr>
      </w:pPr>
      <w:r>
        <w:rPr>
          <w:rFonts w:hint="eastAsia" w:ascii="宋体" w:hAnsi="宋体" w:cs="宋体"/>
          <w:sz w:val="24"/>
        </w:rPr>
        <w:t>（3）建设规模：</w:t>
      </w:r>
      <w:r>
        <w:rPr>
          <w:rFonts w:hint="eastAsia" w:cs="宋体"/>
          <w:sz w:val="24"/>
        </w:rPr>
        <w:t>电力线路299处，其中0.38kV及以下电力线路33处，路灯72处，6kV电力线路2处，10kV电力线路137处，35kV电力线路27处，110kV电力线路21处，220kV电力线路6处，500kV电力线路1处；通信线迁改225处，其中路内通信迁改74处，路外通信迁改151处（含国防光缆4处）；信号电缆迁改7处；给排水管线迁改162处，其中非饮用水39处，饮用水65处，雨污水58处；热力管线迁改39处，其中地埋热力管线20处，架空热力管线19处；油气管线迁改125处，其中石油管线73处（含管径350mm及以上管线1处），天然气管线43处（含管径350mm及以上管线8处），燃气管线3处，输油管线3处，氮气1处，氢气1处（含管径350mm及以上管线1处），氧气1处。（以现场实际核量情况为准）。监理范围：</w:t>
      </w:r>
      <w:r>
        <w:rPr>
          <w:rFonts w:hint="eastAsia" w:ascii="宋体" w:hAnsi="宋体"/>
          <w:sz w:val="24"/>
        </w:rPr>
        <w:t>施工阶段、验收和缺陷责任期阶段的“五控、两管、一协调”施工监理。</w:t>
      </w:r>
    </w:p>
    <w:p>
      <w:pPr>
        <w:pStyle w:val="11"/>
        <w:widowControl/>
        <w:spacing w:after="0" w:line="360" w:lineRule="auto"/>
        <w:ind w:firstLine="480" w:firstLineChars="200"/>
        <w:rPr>
          <w:rFonts w:ascii="宋体" w:hAnsi="宋体" w:cs="宋体"/>
          <w:sz w:val="24"/>
        </w:rPr>
      </w:pPr>
      <w:r>
        <w:rPr>
          <w:rFonts w:hint="eastAsia" w:ascii="宋体" w:hAnsi="宋体" w:cs="宋体"/>
          <w:sz w:val="24"/>
        </w:rPr>
        <w:t>（4）技术标准：</w:t>
      </w:r>
    </w:p>
    <w:p>
      <w:pPr>
        <w:pStyle w:val="11"/>
        <w:widowControl/>
        <w:spacing w:after="0" w:line="360" w:lineRule="auto"/>
        <w:ind w:firstLine="480" w:firstLineChars="200"/>
        <w:rPr>
          <w:rFonts w:ascii="宋体" w:hAnsi="宋体" w:cs="宋体"/>
          <w:sz w:val="24"/>
        </w:rPr>
      </w:pPr>
      <w:r>
        <w:rPr>
          <w:rFonts w:hint="eastAsia" w:ascii="宋体" w:hAnsi="宋体" w:cs="宋体"/>
          <w:sz w:val="24"/>
        </w:rPr>
        <w:t>（5）项目地理位置：位于天津市滨海新区境内；</w:t>
      </w:r>
    </w:p>
    <w:p>
      <w:pPr>
        <w:pStyle w:val="11"/>
        <w:widowControl/>
        <w:spacing w:after="0" w:line="360" w:lineRule="auto"/>
        <w:ind w:firstLine="480" w:firstLineChars="200"/>
        <w:rPr>
          <w:rFonts w:ascii="宋体" w:hAnsi="宋体" w:cs="宋体"/>
          <w:sz w:val="24"/>
        </w:rPr>
      </w:pPr>
      <w:r>
        <w:rPr>
          <w:rFonts w:hint="eastAsia" w:ascii="宋体" w:hAnsi="宋体" w:cs="宋体"/>
          <w:sz w:val="24"/>
        </w:rPr>
        <w:t>（6）招标范围：</w:t>
      </w:r>
      <w:r>
        <w:rPr>
          <w:rFonts w:hint="eastAsia" w:ascii="宋体" w:hAnsi="宋体"/>
          <w:sz w:val="24"/>
        </w:rPr>
        <w:t>施工阶段、验收和缺陷责任期阶段的“五控、两管、一协调”施工监理</w:t>
      </w:r>
      <w:r>
        <w:rPr>
          <w:rFonts w:hint="eastAsia" w:ascii="宋体" w:hAnsi="宋体" w:cs="宋体"/>
          <w:sz w:val="24"/>
        </w:rPr>
        <w:t xml:space="preserve">。 </w:t>
      </w:r>
    </w:p>
    <w:p>
      <w:pPr>
        <w:pStyle w:val="11"/>
        <w:widowControl/>
        <w:spacing w:after="0" w:line="360" w:lineRule="auto"/>
        <w:ind w:firstLine="480" w:firstLineChars="200"/>
        <w:outlineLvl w:val="2"/>
        <w:rPr>
          <w:rFonts w:ascii="宋体" w:hAnsi="宋体" w:cs="宋体"/>
          <w:sz w:val="24"/>
        </w:rPr>
      </w:pPr>
      <w:r>
        <w:rPr>
          <w:rFonts w:hint="eastAsia" w:ascii="宋体" w:hAnsi="宋体" w:cs="宋体"/>
          <w:sz w:val="24"/>
        </w:rPr>
        <w:t>2. 项目周边环境、文物情况：项目周边无特殊敏感环境区域及文物遗址，施工期间按照</w:t>
      </w:r>
    </w:p>
    <w:p>
      <w:pPr>
        <w:pStyle w:val="11"/>
        <w:widowControl/>
        <w:spacing w:after="0" w:line="360" w:lineRule="auto"/>
        <w:ind w:firstLine="480" w:firstLineChars="200"/>
        <w:rPr>
          <w:rFonts w:ascii="宋体" w:hAnsi="宋体" w:cs="宋体"/>
          <w:sz w:val="24"/>
        </w:rPr>
      </w:pPr>
      <w:r>
        <w:rPr>
          <w:rFonts w:hint="eastAsia" w:ascii="宋体" w:hAnsi="宋体" w:cs="宋体"/>
          <w:sz w:val="24"/>
        </w:rPr>
        <w:t>以下要求做好大气污染环境保护措施。</w:t>
      </w:r>
    </w:p>
    <w:p>
      <w:pPr>
        <w:pStyle w:val="11"/>
        <w:widowControl/>
        <w:spacing w:after="0" w:line="360" w:lineRule="auto"/>
        <w:ind w:firstLine="480" w:firstLineChars="200"/>
        <w:outlineLvl w:val="2"/>
        <w:rPr>
          <w:rFonts w:ascii="宋体" w:hAnsi="宋体" w:cs="宋体"/>
          <w:sz w:val="24"/>
        </w:rPr>
      </w:pPr>
      <w:r>
        <w:rPr>
          <w:rFonts w:hint="eastAsia" w:ascii="宋体" w:hAnsi="宋体" w:cs="宋体"/>
          <w:sz w:val="24"/>
        </w:rPr>
        <w:t>3. 水文、气候、气象及地质简况；</w:t>
      </w:r>
    </w:p>
    <w:p>
      <w:pPr>
        <w:spacing w:line="360" w:lineRule="auto"/>
        <w:ind w:firstLine="480" w:firstLineChars="200"/>
        <w:rPr>
          <w:rFonts w:ascii="宋体" w:hAnsi="宋体" w:cs="宋体"/>
          <w:sz w:val="24"/>
        </w:rPr>
      </w:pPr>
      <w:r>
        <w:rPr>
          <w:rFonts w:hint="eastAsia" w:ascii="宋体" w:hAnsi="宋体" w:cs="宋体"/>
          <w:sz w:val="24"/>
        </w:rPr>
        <w:t>本工程地势以松散沉积物不断加厚的典型堆积平原为特征，主要以粘土，亚粘土为主，地表以下7～15米以下，有粉细砂及粉砂质粘土，粉砂等细粒物质为主，局部地段也有古代海滨沉积的贝壳等物质为主。</w:t>
      </w:r>
    </w:p>
    <w:p>
      <w:pPr>
        <w:spacing w:line="360" w:lineRule="auto"/>
        <w:ind w:firstLine="480" w:firstLineChars="200"/>
        <w:rPr>
          <w:rFonts w:ascii="宋体" w:hAnsi="宋体" w:cs="宋体"/>
          <w:sz w:val="24"/>
        </w:rPr>
      </w:pPr>
      <w:r>
        <w:rPr>
          <w:rFonts w:hint="eastAsia" w:ascii="宋体" w:hAnsi="宋体" w:cs="宋体"/>
          <w:sz w:val="24"/>
        </w:rPr>
        <w:t>拟建工程位于华北准地台北缘，属华北断裂北端，基底构造主要为沧县隆起、黄骅拗陷。基底构造复杂，活动断裂发育。</w:t>
      </w:r>
    </w:p>
    <w:p>
      <w:pPr>
        <w:spacing w:line="360" w:lineRule="auto"/>
        <w:ind w:firstLine="480" w:firstLineChars="200"/>
        <w:outlineLvl w:val="2"/>
        <w:rPr>
          <w:rFonts w:ascii="宋体" w:hAnsi="宋体" w:cs="宋体"/>
          <w:sz w:val="24"/>
        </w:rPr>
      </w:pPr>
      <w:r>
        <w:rPr>
          <w:rFonts w:hint="eastAsia" w:ascii="宋体" w:hAnsi="宋体" w:cs="宋体"/>
          <w:sz w:val="24"/>
        </w:rPr>
        <w:t>4. 交通、电力、通讯及其他条件等：</w:t>
      </w:r>
    </w:p>
    <w:p>
      <w:pPr>
        <w:spacing w:line="360" w:lineRule="auto"/>
        <w:ind w:firstLine="480" w:firstLineChars="200"/>
        <w:rPr>
          <w:rFonts w:ascii="宋体" w:hAnsi="宋体" w:cs="宋体"/>
          <w:sz w:val="24"/>
        </w:rPr>
      </w:pPr>
      <w:r>
        <w:rPr>
          <w:rFonts w:hint="eastAsia" w:ascii="宋体" w:hAnsi="宋体" w:cs="宋体"/>
          <w:sz w:val="24"/>
        </w:rPr>
        <w:t>本工程项目区域交通路网发达，施工期间严格按照交通管理部门批准的交通组织方案进行交通组织。</w:t>
      </w:r>
    </w:p>
    <w:p>
      <w:pPr>
        <w:pStyle w:val="11"/>
        <w:widowControl/>
        <w:spacing w:after="0" w:line="360" w:lineRule="auto"/>
        <w:ind w:firstLine="480" w:firstLineChars="200"/>
        <w:rPr>
          <w:rFonts w:ascii="宋体" w:hAnsi="宋体" w:cs="宋体"/>
          <w:sz w:val="24"/>
        </w:rPr>
      </w:pPr>
      <w:r>
        <w:rPr>
          <w:rFonts w:hint="eastAsia" w:ascii="宋体" w:hAnsi="宋体" w:cs="宋体"/>
          <w:sz w:val="24"/>
        </w:rPr>
        <w:t>（二）监理范围及内容等：</w:t>
      </w:r>
    </w:p>
    <w:p>
      <w:pPr>
        <w:pStyle w:val="11"/>
        <w:widowControl/>
        <w:spacing w:after="0" w:line="360" w:lineRule="auto"/>
        <w:ind w:firstLine="480" w:firstLineChars="200"/>
        <w:rPr>
          <w:rFonts w:ascii="宋体" w:hAnsi="宋体" w:cs="宋体"/>
          <w:sz w:val="24"/>
        </w:rPr>
      </w:pPr>
      <w:r>
        <w:rPr>
          <w:rFonts w:hint="eastAsia" w:ascii="宋体" w:hAnsi="宋体" w:cs="宋体"/>
          <w:sz w:val="24"/>
        </w:rPr>
        <w:t>本工程项目监理范围、主要监理及施工标段划分内容详见：B项目专用合同条款，主要工程数量表见施工合同工程量清单。</w:t>
      </w:r>
    </w:p>
    <w:p>
      <w:pPr>
        <w:pStyle w:val="11"/>
        <w:widowControl/>
        <w:spacing w:after="0" w:line="360" w:lineRule="auto"/>
        <w:ind w:firstLine="480" w:firstLineChars="200"/>
        <w:rPr>
          <w:rFonts w:ascii="宋体" w:hAnsi="宋体" w:cs="宋体"/>
          <w:sz w:val="24"/>
        </w:rPr>
      </w:pPr>
      <w:r>
        <w:rPr>
          <w:rFonts w:hint="eastAsia" w:ascii="宋体" w:hAnsi="宋体" w:cs="宋体"/>
          <w:sz w:val="24"/>
        </w:rPr>
        <w:t>（三）监理依据：国家和行业有关标准、规范、规程及合同条款规定的招标文件和其他文件；</w:t>
      </w:r>
    </w:p>
    <w:p>
      <w:pPr>
        <w:pStyle w:val="11"/>
        <w:widowControl/>
        <w:spacing w:after="0" w:line="360" w:lineRule="auto"/>
        <w:ind w:firstLine="480" w:firstLineChars="200"/>
        <w:rPr>
          <w:rFonts w:ascii="宋体" w:hAnsi="宋体" w:cs="宋体"/>
          <w:sz w:val="24"/>
        </w:rPr>
      </w:pPr>
      <w:r>
        <w:rPr>
          <w:rFonts w:hint="eastAsia" w:ascii="宋体" w:hAnsi="宋体" w:cs="宋体"/>
          <w:sz w:val="24"/>
        </w:rPr>
        <w:t>（四）监理人员和试验检测仪器设备要求：详见招标文件合同附件要求；</w:t>
      </w:r>
    </w:p>
    <w:p>
      <w:pPr>
        <w:pStyle w:val="11"/>
        <w:widowControl/>
        <w:spacing w:after="0" w:line="360" w:lineRule="auto"/>
        <w:ind w:firstLine="480" w:firstLineChars="200"/>
        <w:rPr>
          <w:rFonts w:ascii="宋体" w:hAnsi="宋体" w:cs="宋体"/>
          <w:sz w:val="24"/>
        </w:rPr>
      </w:pPr>
      <w:r>
        <w:rPr>
          <w:rFonts w:hint="eastAsia" w:ascii="宋体" w:hAnsi="宋体" w:cs="宋体"/>
          <w:sz w:val="24"/>
        </w:rPr>
        <w:t>（五）其他要求：无。</w:t>
      </w:r>
    </w:p>
    <w:p>
      <w:pPr>
        <w:spacing w:line="440" w:lineRule="exact"/>
        <w:ind w:firstLine="359" w:firstLineChars="171"/>
        <w:rPr>
          <w:szCs w:val="21"/>
        </w:rPr>
      </w:pPr>
      <w:r>
        <w:rPr>
          <w:szCs w:val="21"/>
        </w:rPr>
        <w:t>招标人应当根据项目情况在本章中明确相应的监理要求，一般应包括以下内容：</w:t>
      </w:r>
    </w:p>
    <w:p>
      <w:pPr>
        <w:spacing w:line="440" w:lineRule="exact"/>
        <w:ind w:firstLine="359" w:firstLineChars="171"/>
        <w:rPr>
          <w:szCs w:val="21"/>
        </w:rPr>
      </w:pPr>
      <w:r>
        <w:rPr>
          <w:rFonts w:hint="eastAsia"/>
          <w:szCs w:val="21"/>
        </w:rPr>
        <w:t>1.1</w:t>
      </w:r>
      <w:r>
        <w:rPr>
          <w:szCs w:val="21"/>
        </w:rPr>
        <w:t xml:space="preserve"> 项目概况</w:t>
      </w:r>
    </w:p>
    <w:p>
      <w:pPr>
        <w:spacing w:line="440" w:lineRule="exact"/>
        <w:ind w:firstLine="359" w:firstLineChars="171"/>
        <w:rPr>
          <w:szCs w:val="21"/>
        </w:rPr>
      </w:pPr>
      <w:r>
        <w:rPr>
          <w:szCs w:val="21"/>
        </w:rPr>
        <w:t>包括项目名称、建设单位、建设规模、项目地理位置、周边环境、树木情况、文物情况、地址地貌、气候及气象条件、道路交通状况、市政情况等。</w:t>
      </w:r>
    </w:p>
    <w:p>
      <w:pPr>
        <w:spacing w:line="440" w:lineRule="exact"/>
        <w:ind w:firstLine="359" w:firstLineChars="171"/>
        <w:rPr>
          <w:szCs w:val="21"/>
        </w:rPr>
      </w:pPr>
      <w:r>
        <w:rPr>
          <w:rFonts w:hint="eastAsia"/>
          <w:szCs w:val="21"/>
        </w:rPr>
        <w:t>1.2</w:t>
      </w:r>
      <w:r>
        <w:rPr>
          <w:szCs w:val="21"/>
        </w:rPr>
        <w:t xml:space="preserve"> 监理范围及内容</w:t>
      </w:r>
    </w:p>
    <w:p>
      <w:pPr>
        <w:spacing w:line="440" w:lineRule="exact"/>
        <w:ind w:firstLine="359" w:firstLineChars="171"/>
        <w:rPr>
          <w:szCs w:val="21"/>
        </w:rPr>
      </w:pPr>
      <w:r>
        <w:rPr>
          <w:rFonts w:hint="eastAsia"/>
          <w:szCs w:val="21"/>
        </w:rPr>
        <w:t>1.3</w:t>
      </w:r>
      <w:r>
        <w:rPr>
          <w:szCs w:val="21"/>
        </w:rPr>
        <w:t xml:space="preserve"> 监理依据</w:t>
      </w:r>
    </w:p>
    <w:p>
      <w:pPr>
        <w:spacing w:line="440" w:lineRule="exact"/>
        <w:ind w:firstLine="359" w:firstLineChars="171"/>
        <w:rPr>
          <w:szCs w:val="21"/>
        </w:rPr>
      </w:pPr>
      <w:r>
        <w:rPr>
          <w:rFonts w:hint="eastAsia"/>
          <w:szCs w:val="21"/>
        </w:rPr>
        <w:t>1.4</w:t>
      </w:r>
      <w:r>
        <w:rPr>
          <w:szCs w:val="21"/>
        </w:rPr>
        <w:t xml:space="preserve"> 监理人员和设施设备要求</w:t>
      </w:r>
    </w:p>
    <w:p>
      <w:pPr>
        <w:spacing w:line="440" w:lineRule="exact"/>
        <w:ind w:firstLine="359" w:firstLineChars="171"/>
        <w:rPr>
          <w:szCs w:val="21"/>
        </w:rPr>
      </w:pPr>
      <w:r>
        <w:rPr>
          <w:rFonts w:hint="eastAsia"/>
          <w:szCs w:val="21"/>
        </w:rPr>
        <w:t xml:space="preserve">1.5 </w:t>
      </w:r>
      <w:r>
        <w:rPr>
          <w:szCs w:val="21"/>
        </w:rPr>
        <w:t>其他要求</w:t>
      </w:r>
    </w:p>
    <w:p>
      <w:pPr>
        <w:pStyle w:val="3"/>
        <w:spacing w:before="120" w:beforeLines="50" w:after="120" w:afterLines="50" w:line="440" w:lineRule="exact"/>
        <w:rPr>
          <w:rFonts w:ascii="Times New Roman" w:hAnsi="Times New Roman"/>
          <w:sz w:val="28"/>
          <w:szCs w:val="28"/>
        </w:rPr>
      </w:pPr>
      <w:bookmarkStart w:id="453" w:name="_Toc62572880"/>
      <w:bookmarkStart w:id="454" w:name="_Toc482188638"/>
      <w:r>
        <w:rPr>
          <w:rFonts w:hint="eastAsia" w:ascii="Times New Roman" w:hAnsi="Times New Roman"/>
          <w:sz w:val="28"/>
          <w:szCs w:val="28"/>
        </w:rPr>
        <w:t>2.</w:t>
      </w:r>
      <w:r>
        <w:rPr>
          <w:rFonts w:ascii="Times New Roman" w:hAnsi="Times New Roman"/>
          <w:sz w:val="28"/>
          <w:szCs w:val="28"/>
        </w:rPr>
        <w:t>适用规范标准</w:t>
      </w:r>
      <w:bookmarkEnd w:id="453"/>
      <w:bookmarkEnd w:id="454"/>
    </w:p>
    <w:p>
      <w:pPr>
        <w:spacing w:line="440" w:lineRule="exact"/>
        <w:ind w:firstLine="420" w:firstLineChars="200"/>
        <w:rPr>
          <w:szCs w:val="21"/>
        </w:rPr>
      </w:pPr>
      <w:r>
        <w:rPr>
          <w:rFonts w:hint="eastAsia"/>
          <w:szCs w:val="21"/>
        </w:rPr>
        <w:t>2.1</w:t>
      </w:r>
      <w:r>
        <w:rPr>
          <w:szCs w:val="21"/>
        </w:rPr>
        <w:t xml:space="preserve"> 监理人在工程监理过程中，应执行中华人民共和国强制性标准及现行的行业标准、规范及中国国家铁路集团有限</w:t>
      </w:r>
      <w:r>
        <w:rPr>
          <w:snapToGrid w:val="0"/>
          <w:kern w:val="0"/>
          <w:szCs w:val="21"/>
        </w:rPr>
        <w:t>公司企业标准</w:t>
      </w:r>
      <w:r>
        <w:rPr>
          <w:szCs w:val="21"/>
        </w:rPr>
        <w:t>。</w:t>
      </w:r>
    </w:p>
    <w:p>
      <w:pPr>
        <w:spacing w:line="440" w:lineRule="exact"/>
        <w:ind w:firstLine="420" w:firstLineChars="200"/>
        <w:rPr>
          <w:strike/>
          <w:snapToGrid w:val="0"/>
          <w:kern w:val="0"/>
          <w:szCs w:val="21"/>
        </w:rPr>
      </w:pPr>
      <w:r>
        <w:rPr>
          <w:szCs w:val="21"/>
        </w:rPr>
        <w:t>2.</w:t>
      </w:r>
      <w:r>
        <w:rPr>
          <w:rFonts w:hint="eastAsia"/>
          <w:szCs w:val="21"/>
        </w:rPr>
        <w:t>2</w:t>
      </w:r>
      <w:r>
        <w:rPr>
          <w:szCs w:val="21"/>
        </w:rPr>
        <w:t xml:space="preserve"> 在合同履行过程中，工程实施所引用的规范、标准或规程如有修改或新颁，按国家、行业和中国国家铁路集团有限</w:t>
      </w:r>
      <w:r>
        <w:rPr>
          <w:snapToGrid w:val="0"/>
          <w:kern w:val="0"/>
          <w:szCs w:val="21"/>
        </w:rPr>
        <w:t>公司</w:t>
      </w:r>
      <w:r>
        <w:rPr>
          <w:szCs w:val="21"/>
        </w:rPr>
        <w:t>有关规定执行。</w:t>
      </w:r>
    </w:p>
    <w:p>
      <w:pPr>
        <w:spacing w:line="440" w:lineRule="exact"/>
        <w:ind w:firstLine="420" w:firstLineChars="200"/>
        <w:rPr>
          <w:szCs w:val="21"/>
        </w:rPr>
      </w:pPr>
      <w:r>
        <w:rPr>
          <w:rFonts w:hint="eastAsia"/>
          <w:szCs w:val="21"/>
        </w:rPr>
        <w:t>2.</w:t>
      </w:r>
      <w:r>
        <w:rPr>
          <w:szCs w:val="21"/>
        </w:rPr>
        <w:t>3 本项目执行的标准规范见下表：</w:t>
      </w:r>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500"/>
        <w:gridCol w:w="13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360" w:lineRule="exact"/>
              <w:jc w:val="center"/>
              <w:rPr>
                <w:szCs w:val="21"/>
              </w:rPr>
            </w:pPr>
            <w:r>
              <w:rPr>
                <w:szCs w:val="21"/>
              </w:rPr>
              <w:t>序号</w:t>
            </w:r>
          </w:p>
        </w:tc>
        <w:tc>
          <w:tcPr>
            <w:tcW w:w="4500" w:type="dxa"/>
          </w:tcPr>
          <w:p>
            <w:pPr>
              <w:spacing w:line="360" w:lineRule="exact"/>
              <w:jc w:val="center"/>
              <w:rPr>
                <w:szCs w:val="21"/>
              </w:rPr>
            </w:pPr>
            <w:r>
              <w:rPr>
                <w:szCs w:val="21"/>
              </w:rPr>
              <w:t>规范、标准、规程名称</w:t>
            </w:r>
          </w:p>
        </w:tc>
        <w:tc>
          <w:tcPr>
            <w:tcW w:w="1301" w:type="dxa"/>
          </w:tcPr>
          <w:p>
            <w:pPr>
              <w:spacing w:line="360" w:lineRule="exact"/>
              <w:jc w:val="center"/>
              <w:rPr>
                <w:szCs w:val="21"/>
              </w:rPr>
            </w:pPr>
            <w:r>
              <w:rPr>
                <w:szCs w:val="21"/>
              </w:rPr>
              <w:t>标准号</w:t>
            </w:r>
          </w:p>
        </w:tc>
        <w:tc>
          <w:tcPr>
            <w:tcW w:w="1559" w:type="dxa"/>
          </w:tcPr>
          <w:p>
            <w:pPr>
              <w:spacing w:line="360" w:lineRule="exact"/>
              <w:jc w:val="center"/>
              <w:rPr>
                <w:szCs w:val="21"/>
              </w:rPr>
            </w:pPr>
            <w:r>
              <w:rPr>
                <w:szCs w:val="21"/>
              </w:rPr>
              <w:t>发布文号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360" w:lineRule="exact"/>
              <w:jc w:val="center"/>
              <w:rPr>
                <w:szCs w:val="21"/>
              </w:rPr>
            </w:pPr>
            <w:r>
              <w:rPr>
                <w:szCs w:val="21"/>
              </w:rPr>
              <w:t>1</w:t>
            </w:r>
          </w:p>
        </w:tc>
        <w:tc>
          <w:tcPr>
            <w:tcW w:w="4500" w:type="dxa"/>
          </w:tcPr>
          <w:p>
            <w:pPr>
              <w:spacing w:line="360" w:lineRule="exact"/>
              <w:rPr>
                <w:szCs w:val="21"/>
              </w:rPr>
            </w:pPr>
          </w:p>
        </w:tc>
        <w:tc>
          <w:tcPr>
            <w:tcW w:w="1301" w:type="dxa"/>
          </w:tcPr>
          <w:p>
            <w:pPr>
              <w:spacing w:line="360" w:lineRule="exact"/>
              <w:rPr>
                <w:szCs w:val="21"/>
              </w:rPr>
            </w:pPr>
          </w:p>
        </w:tc>
        <w:tc>
          <w:tcPr>
            <w:tcW w:w="1559" w:type="dxa"/>
          </w:tcPr>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360" w:lineRule="exact"/>
              <w:jc w:val="center"/>
              <w:rPr>
                <w:szCs w:val="21"/>
              </w:rPr>
            </w:pPr>
            <w:r>
              <w:rPr>
                <w:szCs w:val="21"/>
              </w:rPr>
              <w:t>2</w:t>
            </w:r>
          </w:p>
        </w:tc>
        <w:tc>
          <w:tcPr>
            <w:tcW w:w="4500" w:type="dxa"/>
          </w:tcPr>
          <w:p>
            <w:pPr>
              <w:spacing w:line="360" w:lineRule="exact"/>
              <w:rPr>
                <w:szCs w:val="21"/>
              </w:rPr>
            </w:pPr>
          </w:p>
        </w:tc>
        <w:tc>
          <w:tcPr>
            <w:tcW w:w="1301" w:type="dxa"/>
          </w:tcPr>
          <w:p>
            <w:pPr>
              <w:spacing w:line="360" w:lineRule="exact"/>
              <w:rPr>
                <w:szCs w:val="21"/>
              </w:rPr>
            </w:pPr>
          </w:p>
        </w:tc>
        <w:tc>
          <w:tcPr>
            <w:tcW w:w="1559" w:type="dxa"/>
          </w:tcPr>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360" w:lineRule="exact"/>
              <w:jc w:val="center"/>
              <w:rPr>
                <w:szCs w:val="21"/>
              </w:rPr>
            </w:pPr>
            <w:r>
              <w:rPr>
                <w:szCs w:val="21"/>
              </w:rPr>
              <w:t>3</w:t>
            </w:r>
          </w:p>
        </w:tc>
        <w:tc>
          <w:tcPr>
            <w:tcW w:w="4500" w:type="dxa"/>
          </w:tcPr>
          <w:p>
            <w:pPr>
              <w:spacing w:line="360" w:lineRule="exact"/>
              <w:rPr>
                <w:szCs w:val="21"/>
              </w:rPr>
            </w:pPr>
          </w:p>
        </w:tc>
        <w:tc>
          <w:tcPr>
            <w:tcW w:w="1301" w:type="dxa"/>
          </w:tcPr>
          <w:p>
            <w:pPr>
              <w:spacing w:line="360" w:lineRule="exact"/>
              <w:rPr>
                <w:szCs w:val="21"/>
              </w:rPr>
            </w:pPr>
          </w:p>
        </w:tc>
        <w:tc>
          <w:tcPr>
            <w:tcW w:w="1559" w:type="dxa"/>
          </w:tcPr>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360" w:lineRule="exact"/>
              <w:jc w:val="center"/>
              <w:rPr>
                <w:szCs w:val="21"/>
              </w:rPr>
            </w:pPr>
            <w:r>
              <w:rPr>
                <w:szCs w:val="21"/>
              </w:rPr>
              <w:t>……</w:t>
            </w:r>
          </w:p>
        </w:tc>
        <w:tc>
          <w:tcPr>
            <w:tcW w:w="4500" w:type="dxa"/>
          </w:tcPr>
          <w:p>
            <w:pPr>
              <w:spacing w:line="360" w:lineRule="exact"/>
              <w:rPr>
                <w:szCs w:val="21"/>
              </w:rPr>
            </w:pPr>
          </w:p>
        </w:tc>
        <w:tc>
          <w:tcPr>
            <w:tcW w:w="1301" w:type="dxa"/>
          </w:tcPr>
          <w:p>
            <w:pPr>
              <w:spacing w:line="360" w:lineRule="exact"/>
              <w:rPr>
                <w:szCs w:val="21"/>
              </w:rPr>
            </w:pPr>
          </w:p>
        </w:tc>
        <w:tc>
          <w:tcPr>
            <w:tcW w:w="1559" w:type="dxa"/>
          </w:tcPr>
          <w:p>
            <w:pPr>
              <w:spacing w:line="360" w:lineRule="exact"/>
              <w:rPr>
                <w:szCs w:val="21"/>
              </w:rPr>
            </w:pPr>
          </w:p>
        </w:tc>
      </w:tr>
    </w:tbl>
    <w:p>
      <w:pPr>
        <w:rPr>
          <w:szCs w:val="21"/>
        </w:rPr>
      </w:pPr>
      <w:r>
        <w:rPr>
          <w:szCs w:val="21"/>
        </w:rPr>
        <w:t>注：招标人应根据项目特点填写本项目适用的具体规范、标准和规程。</w:t>
      </w:r>
    </w:p>
    <w:p>
      <w:pPr>
        <w:pStyle w:val="3"/>
        <w:spacing w:before="120" w:beforeLines="50" w:after="120" w:afterLines="50" w:line="440" w:lineRule="exact"/>
        <w:rPr>
          <w:rFonts w:ascii="Times New Roman" w:hAnsi="Times New Roman"/>
          <w:sz w:val="28"/>
          <w:szCs w:val="28"/>
        </w:rPr>
      </w:pPr>
      <w:bookmarkStart w:id="455" w:name="_Toc62572881"/>
      <w:bookmarkStart w:id="456" w:name="_Toc482188639"/>
      <w:r>
        <w:rPr>
          <w:rFonts w:hint="eastAsia" w:ascii="Times New Roman" w:hAnsi="Times New Roman"/>
          <w:sz w:val="28"/>
          <w:szCs w:val="28"/>
        </w:rPr>
        <w:t>3.</w:t>
      </w:r>
      <w:r>
        <w:rPr>
          <w:rFonts w:ascii="Times New Roman" w:hAnsi="Times New Roman"/>
          <w:sz w:val="28"/>
          <w:szCs w:val="28"/>
        </w:rPr>
        <w:t>成果文件要求</w:t>
      </w:r>
      <w:bookmarkEnd w:id="455"/>
      <w:bookmarkEnd w:id="456"/>
    </w:p>
    <w:p>
      <w:pPr>
        <w:spacing w:line="440" w:lineRule="exact"/>
        <w:ind w:firstLine="420" w:firstLineChars="200"/>
        <w:rPr>
          <w:szCs w:val="21"/>
        </w:rPr>
      </w:pPr>
      <w:r>
        <w:rPr>
          <w:rFonts w:hint="eastAsia"/>
          <w:szCs w:val="21"/>
        </w:rPr>
        <w:t>3.1</w:t>
      </w:r>
      <w:r>
        <w:rPr>
          <w:szCs w:val="21"/>
        </w:rPr>
        <w:t xml:space="preserve"> 成果文件的组成</w:t>
      </w:r>
    </w:p>
    <w:p>
      <w:pPr>
        <w:spacing w:line="440" w:lineRule="exact"/>
        <w:ind w:firstLine="420" w:firstLineChars="200"/>
        <w:rPr>
          <w:szCs w:val="21"/>
        </w:rPr>
      </w:pPr>
      <w:r>
        <w:rPr>
          <w:rFonts w:hint="eastAsia"/>
          <w:szCs w:val="21"/>
        </w:rPr>
        <w:t>3.2</w:t>
      </w:r>
      <w:r>
        <w:rPr>
          <w:szCs w:val="21"/>
        </w:rPr>
        <w:t xml:space="preserve"> 成果文件的深度</w:t>
      </w:r>
    </w:p>
    <w:p>
      <w:pPr>
        <w:spacing w:line="440" w:lineRule="exact"/>
        <w:ind w:firstLine="420" w:firstLineChars="200"/>
        <w:rPr>
          <w:szCs w:val="21"/>
        </w:rPr>
      </w:pPr>
      <w:r>
        <w:rPr>
          <w:szCs w:val="21"/>
        </w:rPr>
        <w:t>3.</w:t>
      </w:r>
      <w:r>
        <w:rPr>
          <w:rFonts w:hint="eastAsia"/>
          <w:szCs w:val="21"/>
        </w:rPr>
        <w:t>3</w:t>
      </w:r>
      <w:r>
        <w:rPr>
          <w:szCs w:val="21"/>
        </w:rPr>
        <w:t xml:space="preserve"> 成果文件的格式要求</w:t>
      </w:r>
    </w:p>
    <w:p>
      <w:pPr>
        <w:spacing w:line="440" w:lineRule="exact"/>
        <w:ind w:firstLine="420" w:firstLineChars="200"/>
        <w:rPr>
          <w:szCs w:val="21"/>
        </w:rPr>
      </w:pPr>
      <w:r>
        <w:rPr>
          <w:rFonts w:hint="eastAsia"/>
          <w:szCs w:val="21"/>
        </w:rPr>
        <w:t>3.4</w:t>
      </w:r>
      <w:r>
        <w:rPr>
          <w:szCs w:val="21"/>
        </w:rPr>
        <w:t xml:space="preserve"> 成果文件的份数要求</w:t>
      </w:r>
    </w:p>
    <w:p>
      <w:pPr>
        <w:spacing w:line="440" w:lineRule="exact"/>
        <w:ind w:firstLine="420" w:firstLineChars="200"/>
        <w:rPr>
          <w:szCs w:val="21"/>
        </w:rPr>
      </w:pPr>
      <w:r>
        <w:rPr>
          <w:rFonts w:hint="eastAsia"/>
          <w:szCs w:val="21"/>
        </w:rPr>
        <w:t>3.5</w:t>
      </w:r>
      <w:r>
        <w:rPr>
          <w:szCs w:val="21"/>
        </w:rPr>
        <w:t xml:space="preserve"> 成果文件的载体要求</w:t>
      </w:r>
    </w:p>
    <w:p>
      <w:pPr>
        <w:spacing w:line="440" w:lineRule="exact"/>
        <w:ind w:firstLine="420" w:firstLineChars="200"/>
        <w:rPr>
          <w:szCs w:val="21"/>
        </w:rPr>
      </w:pPr>
      <w:r>
        <w:rPr>
          <w:szCs w:val="21"/>
        </w:rPr>
        <w:t>（1）纸质版的要求；</w:t>
      </w:r>
    </w:p>
    <w:p>
      <w:pPr>
        <w:spacing w:line="440" w:lineRule="exact"/>
        <w:ind w:firstLine="420" w:firstLineChars="200"/>
        <w:rPr>
          <w:szCs w:val="21"/>
        </w:rPr>
      </w:pPr>
      <w:r>
        <w:rPr>
          <w:szCs w:val="21"/>
        </w:rPr>
        <w:t>（2）电子版的要求；</w:t>
      </w:r>
    </w:p>
    <w:p>
      <w:pPr>
        <w:spacing w:line="440" w:lineRule="exact"/>
        <w:ind w:firstLine="420" w:firstLineChars="200"/>
        <w:rPr>
          <w:szCs w:val="21"/>
        </w:rPr>
      </w:pPr>
      <w:r>
        <w:rPr>
          <w:szCs w:val="21"/>
        </w:rPr>
        <w:t>（3）其他要求。</w:t>
      </w:r>
    </w:p>
    <w:p>
      <w:pPr>
        <w:spacing w:line="440" w:lineRule="exact"/>
        <w:ind w:firstLine="420" w:firstLineChars="200"/>
        <w:rPr>
          <w:szCs w:val="21"/>
        </w:rPr>
      </w:pPr>
      <w:r>
        <w:rPr>
          <w:rFonts w:hint="eastAsia"/>
          <w:szCs w:val="21"/>
        </w:rPr>
        <w:t>3.6</w:t>
      </w:r>
      <w:r>
        <w:rPr>
          <w:szCs w:val="21"/>
        </w:rPr>
        <w:t xml:space="preserve"> 成果文件的其他要求</w:t>
      </w:r>
    </w:p>
    <w:p>
      <w:pPr>
        <w:pStyle w:val="3"/>
        <w:spacing w:before="120" w:beforeLines="50" w:after="120" w:afterLines="50" w:line="440" w:lineRule="exact"/>
        <w:rPr>
          <w:rFonts w:ascii="Times New Roman" w:hAnsi="Times New Roman"/>
          <w:sz w:val="28"/>
          <w:szCs w:val="28"/>
        </w:rPr>
      </w:pPr>
      <w:bookmarkStart w:id="457" w:name="_Toc62572882"/>
      <w:bookmarkStart w:id="458" w:name="_Toc482188640"/>
      <w:r>
        <w:rPr>
          <w:rFonts w:hint="eastAsia" w:ascii="Times New Roman" w:hAnsi="Times New Roman"/>
          <w:sz w:val="28"/>
          <w:szCs w:val="28"/>
        </w:rPr>
        <w:t>4.</w:t>
      </w:r>
      <w:r>
        <w:rPr>
          <w:rFonts w:ascii="Times New Roman" w:hAnsi="Times New Roman"/>
          <w:sz w:val="28"/>
          <w:szCs w:val="28"/>
        </w:rPr>
        <w:t>委托人财产清单</w:t>
      </w:r>
      <w:bookmarkEnd w:id="457"/>
      <w:bookmarkEnd w:id="458"/>
    </w:p>
    <w:p>
      <w:pPr>
        <w:spacing w:line="440" w:lineRule="exact"/>
        <w:ind w:firstLine="420" w:firstLineChars="200"/>
        <w:rPr>
          <w:szCs w:val="21"/>
        </w:rPr>
      </w:pPr>
      <w:bookmarkStart w:id="459" w:name="_Toc482188641"/>
      <w:r>
        <w:rPr>
          <w:rFonts w:hint="eastAsia"/>
          <w:szCs w:val="21"/>
        </w:rPr>
        <w:t>4.1</w:t>
      </w:r>
      <w:r>
        <w:rPr>
          <w:szCs w:val="21"/>
        </w:rPr>
        <w:t>委托人提供的设备、设施</w:t>
      </w:r>
      <w:bookmarkEnd w:id="459"/>
    </w:p>
    <w:p>
      <w:pPr>
        <w:spacing w:line="440" w:lineRule="exact"/>
        <w:ind w:firstLine="420" w:firstLineChars="200"/>
        <w:rPr>
          <w:szCs w:val="21"/>
        </w:rPr>
      </w:pPr>
      <w:r>
        <w:rPr>
          <w:rFonts w:hint="eastAsia"/>
          <w:szCs w:val="21"/>
        </w:rPr>
        <w:t>4.1.1</w:t>
      </w:r>
      <w:r>
        <w:rPr>
          <w:szCs w:val="21"/>
        </w:rPr>
        <w:t>委托人提供的办公房屋及冷暖设施：如办公室数量及面积、空调等</w:t>
      </w:r>
    </w:p>
    <w:p>
      <w:pPr>
        <w:spacing w:line="440" w:lineRule="exact"/>
        <w:ind w:firstLine="420" w:firstLineChars="200"/>
        <w:rPr>
          <w:szCs w:val="21"/>
        </w:rPr>
      </w:pPr>
      <w:r>
        <w:rPr>
          <w:rFonts w:hint="eastAsia"/>
          <w:szCs w:val="21"/>
        </w:rPr>
        <w:t>4.1.2</w:t>
      </w:r>
      <w:r>
        <w:rPr>
          <w:szCs w:val="21"/>
        </w:rPr>
        <w:t xml:space="preserve"> 委托人提供的设备清单：如电脑、投影、打印机、复印机等</w:t>
      </w:r>
    </w:p>
    <w:p>
      <w:pPr>
        <w:spacing w:line="440" w:lineRule="exact"/>
        <w:ind w:firstLine="420" w:firstLineChars="200"/>
        <w:rPr>
          <w:szCs w:val="21"/>
        </w:rPr>
      </w:pPr>
      <w:r>
        <w:rPr>
          <w:rFonts w:hint="eastAsia"/>
          <w:szCs w:val="21"/>
        </w:rPr>
        <w:t>4.1.3</w:t>
      </w:r>
      <w:r>
        <w:rPr>
          <w:szCs w:val="21"/>
        </w:rPr>
        <w:t>委托人提供的设施清单：如办公桌椅、文件柜等</w:t>
      </w:r>
    </w:p>
    <w:p>
      <w:pPr>
        <w:spacing w:line="440" w:lineRule="exact"/>
        <w:ind w:firstLine="420" w:firstLineChars="200"/>
        <w:rPr>
          <w:szCs w:val="21"/>
        </w:rPr>
      </w:pPr>
      <w:bookmarkStart w:id="460" w:name="_Toc482188642"/>
      <w:r>
        <w:rPr>
          <w:szCs w:val="21"/>
        </w:rPr>
        <w:t>……</w:t>
      </w:r>
    </w:p>
    <w:p>
      <w:pPr>
        <w:spacing w:line="440" w:lineRule="exact"/>
        <w:ind w:firstLine="420" w:firstLineChars="200"/>
        <w:rPr>
          <w:szCs w:val="21"/>
        </w:rPr>
      </w:pPr>
      <w:r>
        <w:rPr>
          <w:rFonts w:hint="eastAsia"/>
          <w:szCs w:val="21"/>
        </w:rPr>
        <w:t>4.2</w:t>
      </w:r>
      <w:r>
        <w:rPr>
          <w:szCs w:val="21"/>
        </w:rPr>
        <w:t>委托人提供的资料</w:t>
      </w:r>
      <w:bookmarkEnd w:id="460"/>
    </w:p>
    <w:p>
      <w:pPr>
        <w:spacing w:line="440" w:lineRule="exact"/>
        <w:ind w:firstLine="420" w:firstLineChars="200"/>
        <w:rPr>
          <w:szCs w:val="21"/>
        </w:rPr>
      </w:pPr>
      <w:r>
        <w:rPr>
          <w:rFonts w:hint="eastAsia"/>
          <w:szCs w:val="21"/>
        </w:rPr>
        <w:t>4.2.1</w:t>
      </w:r>
      <w:r>
        <w:rPr>
          <w:szCs w:val="21"/>
        </w:rPr>
        <w:t>施工场地及毗邻区域内的供水、排水、供电、供气、供热、通信、广播电视等地下管线资料、气象和水文观测资料，相邻建筑物和构筑物、地下工程的有关资料，以及其他与建设工程有关的原始资料</w:t>
      </w:r>
    </w:p>
    <w:p>
      <w:pPr>
        <w:spacing w:line="440" w:lineRule="exact"/>
        <w:ind w:firstLine="420" w:firstLineChars="200"/>
        <w:rPr>
          <w:szCs w:val="21"/>
        </w:rPr>
      </w:pPr>
      <w:r>
        <w:rPr>
          <w:rFonts w:hint="eastAsia"/>
          <w:szCs w:val="21"/>
        </w:rPr>
        <w:t>4.2.2</w:t>
      </w:r>
      <w:r>
        <w:rPr>
          <w:szCs w:val="21"/>
        </w:rPr>
        <w:t>定位放线的基准点、基准线和基准标高</w:t>
      </w:r>
    </w:p>
    <w:p>
      <w:pPr>
        <w:spacing w:line="440" w:lineRule="exact"/>
        <w:ind w:firstLine="420" w:firstLineChars="200"/>
        <w:rPr>
          <w:szCs w:val="21"/>
        </w:rPr>
      </w:pPr>
      <w:r>
        <w:rPr>
          <w:rFonts w:hint="eastAsia"/>
          <w:szCs w:val="21"/>
        </w:rPr>
        <w:t>4.2.3</w:t>
      </w:r>
      <w:r>
        <w:rPr>
          <w:szCs w:val="21"/>
        </w:rPr>
        <w:t>委托人取得的有关审批、核准和备案材料</w:t>
      </w:r>
    </w:p>
    <w:p>
      <w:pPr>
        <w:spacing w:line="440" w:lineRule="exact"/>
        <w:ind w:firstLine="420" w:firstLineChars="200"/>
        <w:rPr>
          <w:szCs w:val="21"/>
        </w:rPr>
      </w:pPr>
      <w:r>
        <w:rPr>
          <w:rFonts w:hint="eastAsia"/>
          <w:szCs w:val="21"/>
        </w:rPr>
        <w:t>4.2.4</w:t>
      </w:r>
      <w:r>
        <w:rPr>
          <w:szCs w:val="21"/>
        </w:rPr>
        <w:t>设计总说明书、各专业设计内容说明、重点工程图纸等设计文件资料</w:t>
      </w:r>
    </w:p>
    <w:p>
      <w:pPr>
        <w:spacing w:line="440" w:lineRule="exact"/>
        <w:ind w:firstLine="420" w:firstLineChars="200"/>
        <w:rPr>
          <w:szCs w:val="21"/>
        </w:rPr>
      </w:pPr>
      <w:r>
        <w:rPr>
          <w:rFonts w:hint="eastAsia"/>
          <w:szCs w:val="21"/>
        </w:rPr>
        <w:t>4.2.5</w:t>
      </w:r>
      <w:r>
        <w:rPr>
          <w:szCs w:val="21"/>
        </w:rPr>
        <w:t>技术标准、规范</w:t>
      </w:r>
    </w:p>
    <w:p>
      <w:pPr>
        <w:spacing w:line="440" w:lineRule="exact"/>
        <w:ind w:firstLine="420" w:firstLineChars="200"/>
        <w:rPr>
          <w:szCs w:val="21"/>
        </w:rPr>
      </w:pPr>
      <w:r>
        <w:rPr>
          <w:rFonts w:hint="eastAsia"/>
          <w:szCs w:val="21"/>
        </w:rPr>
        <w:t>4.2.6</w:t>
      </w:r>
      <w:r>
        <w:rPr>
          <w:szCs w:val="21"/>
        </w:rPr>
        <w:t>工程承包合同及其他相关合同</w:t>
      </w:r>
    </w:p>
    <w:p>
      <w:pPr>
        <w:spacing w:line="440" w:lineRule="exact"/>
        <w:ind w:firstLine="420" w:firstLineChars="200"/>
        <w:rPr>
          <w:szCs w:val="21"/>
        </w:rPr>
      </w:pPr>
      <w:r>
        <w:rPr>
          <w:rFonts w:hint="eastAsia"/>
          <w:szCs w:val="21"/>
        </w:rPr>
        <w:t>4.2.7</w:t>
      </w:r>
      <w:r>
        <w:rPr>
          <w:szCs w:val="21"/>
        </w:rPr>
        <w:t>其他资料</w:t>
      </w:r>
    </w:p>
    <w:p>
      <w:pPr>
        <w:spacing w:line="440" w:lineRule="exact"/>
        <w:ind w:firstLine="420" w:firstLineChars="200"/>
        <w:rPr>
          <w:szCs w:val="21"/>
        </w:rPr>
      </w:pPr>
      <w:bookmarkStart w:id="461" w:name="_Toc482188643"/>
      <w:r>
        <w:rPr>
          <w:szCs w:val="21"/>
        </w:rPr>
        <w:t>……</w:t>
      </w:r>
    </w:p>
    <w:p>
      <w:pPr>
        <w:spacing w:line="440" w:lineRule="exact"/>
        <w:ind w:firstLine="420" w:firstLineChars="200"/>
        <w:rPr>
          <w:szCs w:val="21"/>
        </w:rPr>
      </w:pPr>
      <w:r>
        <w:rPr>
          <w:rFonts w:hint="eastAsia"/>
          <w:szCs w:val="21"/>
        </w:rPr>
        <w:t>4.3</w:t>
      </w:r>
      <w:r>
        <w:rPr>
          <w:szCs w:val="21"/>
        </w:rPr>
        <w:t>委托人财产使用要求及退还要求</w:t>
      </w:r>
      <w:bookmarkEnd w:id="461"/>
    </w:p>
    <w:p>
      <w:pPr>
        <w:spacing w:line="440" w:lineRule="exact"/>
        <w:ind w:firstLine="420" w:firstLineChars="200"/>
        <w:rPr>
          <w:szCs w:val="21"/>
        </w:rPr>
      </w:pPr>
      <w:r>
        <w:rPr>
          <w:rFonts w:hint="eastAsia"/>
          <w:szCs w:val="21"/>
        </w:rPr>
        <w:t>4.3.1</w:t>
      </w:r>
      <w:r>
        <w:rPr>
          <w:szCs w:val="21"/>
        </w:rPr>
        <w:t>委托人财产使用要求</w:t>
      </w:r>
    </w:p>
    <w:p>
      <w:pPr>
        <w:spacing w:line="440" w:lineRule="exact"/>
        <w:ind w:firstLine="420" w:firstLineChars="200"/>
        <w:rPr>
          <w:szCs w:val="21"/>
        </w:rPr>
      </w:pPr>
      <w:r>
        <w:rPr>
          <w:rFonts w:hint="eastAsia"/>
          <w:szCs w:val="21"/>
        </w:rPr>
        <w:t>4.3.2</w:t>
      </w:r>
      <w:r>
        <w:rPr>
          <w:szCs w:val="21"/>
        </w:rPr>
        <w:t>委托人财产退还要求</w:t>
      </w:r>
    </w:p>
    <w:p>
      <w:pPr>
        <w:spacing w:line="440" w:lineRule="exact"/>
        <w:ind w:firstLine="420" w:firstLineChars="200"/>
        <w:rPr>
          <w:szCs w:val="21"/>
        </w:rPr>
      </w:pPr>
      <w:bookmarkStart w:id="462" w:name="_Toc482188644"/>
      <w:r>
        <w:rPr>
          <w:szCs w:val="21"/>
        </w:rPr>
        <w:t>……</w:t>
      </w:r>
    </w:p>
    <w:p>
      <w:pPr>
        <w:pStyle w:val="3"/>
        <w:spacing w:before="120" w:beforeLines="50" w:after="120" w:afterLines="50" w:line="440" w:lineRule="exact"/>
        <w:rPr>
          <w:rFonts w:ascii="Times New Roman" w:hAnsi="Times New Roman"/>
          <w:sz w:val="28"/>
          <w:szCs w:val="28"/>
        </w:rPr>
      </w:pPr>
      <w:bookmarkStart w:id="463" w:name="_Toc62572883"/>
      <w:r>
        <w:rPr>
          <w:rFonts w:hint="eastAsia" w:ascii="Times New Roman" w:hAnsi="Times New Roman"/>
          <w:sz w:val="28"/>
          <w:szCs w:val="28"/>
        </w:rPr>
        <w:t>5.</w:t>
      </w:r>
      <w:r>
        <w:rPr>
          <w:rFonts w:ascii="Times New Roman" w:hAnsi="Times New Roman"/>
          <w:sz w:val="28"/>
          <w:szCs w:val="28"/>
        </w:rPr>
        <w:t>委托人提供的便利条件</w:t>
      </w:r>
      <w:bookmarkEnd w:id="462"/>
      <w:bookmarkEnd w:id="463"/>
    </w:p>
    <w:p>
      <w:pPr>
        <w:spacing w:line="440" w:lineRule="exact"/>
        <w:ind w:firstLine="420" w:firstLineChars="200"/>
        <w:rPr>
          <w:szCs w:val="21"/>
        </w:rPr>
      </w:pPr>
      <w:r>
        <w:rPr>
          <w:rFonts w:hint="eastAsia"/>
          <w:szCs w:val="21"/>
        </w:rPr>
        <w:t>5.1</w:t>
      </w:r>
      <w:r>
        <w:rPr>
          <w:szCs w:val="21"/>
        </w:rPr>
        <w:t xml:space="preserve"> 委托人提供的生活条件</w:t>
      </w:r>
    </w:p>
    <w:p>
      <w:pPr>
        <w:spacing w:line="440" w:lineRule="exact"/>
        <w:ind w:firstLine="420" w:firstLineChars="200"/>
        <w:rPr>
          <w:szCs w:val="21"/>
        </w:rPr>
      </w:pPr>
      <w:r>
        <w:rPr>
          <w:rFonts w:hint="eastAsia"/>
          <w:szCs w:val="21"/>
        </w:rPr>
        <w:t>5.2</w:t>
      </w:r>
      <w:r>
        <w:rPr>
          <w:szCs w:val="21"/>
        </w:rPr>
        <w:t xml:space="preserve"> 委托人提供的交通条件</w:t>
      </w:r>
    </w:p>
    <w:p>
      <w:pPr>
        <w:spacing w:line="440" w:lineRule="exact"/>
        <w:ind w:firstLine="420" w:firstLineChars="200"/>
        <w:rPr>
          <w:szCs w:val="21"/>
        </w:rPr>
      </w:pPr>
      <w:r>
        <w:rPr>
          <w:rFonts w:hint="eastAsia"/>
          <w:szCs w:val="21"/>
        </w:rPr>
        <w:t>5.3</w:t>
      </w:r>
      <w:r>
        <w:rPr>
          <w:szCs w:val="21"/>
        </w:rPr>
        <w:t xml:space="preserve"> 委托人提供的网络、通讯条件</w:t>
      </w:r>
    </w:p>
    <w:p>
      <w:pPr>
        <w:spacing w:line="440" w:lineRule="exact"/>
        <w:ind w:firstLine="420" w:firstLineChars="200"/>
        <w:rPr>
          <w:szCs w:val="21"/>
        </w:rPr>
      </w:pPr>
      <w:r>
        <w:rPr>
          <w:rFonts w:hint="eastAsia"/>
          <w:szCs w:val="21"/>
        </w:rPr>
        <w:t>5.4</w:t>
      </w:r>
      <w:r>
        <w:rPr>
          <w:szCs w:val="21"/>
        </w:rPr>
        <w:t xml:space="preserve"> 委托人提供的协助人员</w:t>
      </w:r>
    </w:p>
    <w:p>
      <w:pPr>
        <w:spacing w:line="440" w:lineRule="exact"/>
        <w:ind w:firstLine="420" w:firstLineChars="200"/>
        <w:rPr>
          <w:szCs w:val="21"/>
        </w:rPr>
      </w:pPr>
      <w:bookmarkStart w:id="464" w:name="_Toc482188645"/>
      <w:r>
        <w:rPr>
          <w:szCs w:val="21"/>
        </w:rPr>
        <w:t>……</w:t>
      </w:r>
    </w:p>
    <w:p>
      <w:pPr>
        <w:pStyle w:val="3"/>
        <w:spacing w:before="120" w:beforeLines="50" w:after="120" w:afterLines="50" w:line="440" w:lineRule="exact"/>
        <w:rPr>
          <w:rFonts w:ascii="Times New Roman" w:hAnsi="Times New Roman"/>
          <w:sz w:val="28"/>
          <w:szCs w:val="28"/>
        </w:rPr>
      </w:pPr>
      <w:bookmarkStart w:id="465" w:name="_Toc62572884"/>
      <w:r>
        <w:rPr>
          <w:rFonts w:hint="eastAsia" w:ascii="Times New Roman" w:hAnsi="Times New Roman"/>
          <w:sz w:val="28"/>
          <w:szCs w:val="28"/>
        </w:rPr>
        <w:t>6.</w:t>
      </w:r>
      <w:r>
        <w:rPr>
          <w:rFonts w:ascii="Times New Roman" w:hAnsi="Times New Roman"/>
          <w:sz w:val="28"/>
          <w:szCs w:val="28"/>
        </w:rPr>
        <w:t>理人需要自备的工作条件</w:t>
      </w:r>
      <w:bookmarkEnd w:id="464"/>
      <w:bookmarkEnd w:id="465"/>
    </w:p>
    <w:p>
      <w:pPr>
        <w:spacing w:line="440" w:lineRule="exact"/>
        <w:ind w:firstLine="420" w:firstLineChars="200"/>
        <w:rPr>
          <w:szCs w:val="21"/>
        </w:rPr>
      </w:pPr>
      <w:r>
        <w:rPr>
          <w:rFonts w:hint="eastAsia"/>
          <w:szCs w:val="21"/>
        </w:rPr>
        <w:t>6.1</w:t>
      </w:r>
      <w:r>
        <w:rPr>
          <w:szCs w:val="21"/>
        </w:rPr>
        <w:t xml:space="preserve"> 监理人自备的工作手册：如本项目必备的规范标准、图集等</w:t>
      </w:r>
    </w:p>
    <w:p>
      <w:pPr>
        <w:spacing w:line="440" w:lineRule="exact"/>
        <w:ind w:firstLine="420" w:firstLineChars="200"/>
        <w:rPr>
          <w:szCs w:val="21"/>
        </w:rPr>
      </w:pPr>
      <w:r>
        <w:rPr>
          <w:rFonts w:hint="eastAsia"/>
          <w:szCs w:val="21"/>
        </w:rPr>
        <w:t>6.2</w:t>
      </w:r>
      <w:r>
        <w:rPr>
          <w:szCs w:val="21"/>
        </w:rPr>
        <w:t xml:space="preserve"> 监理人自备的办公设备：见监理设施设备要求</w:t>
      </w:r>
    </w:p>
    <w:p>
      <w:pPr>
        <w:spacing w:line="440" w:lineRule="exact"/>
        <w:ind w:firstLine="420" w:firstLineChars="200"/>
        <w:rPr>
          <w:szCs w:val="21"/>
        </w:rPr>
      </w:pPr>
      <w:r>
        <w:rPr>
          <w:rFonts w:hint="eastAsia"/>
          <w:szCs w:val="21"/>
        </w:rPr>
        <w:t>6.3</w:t>
      </w:r>
      <w:r>
        <w:rPr>
          <w:szCs w:val="21"/>
        </w:rPr>
        <w:t xml:space="preserve"> 监理人自备的交通工具：见监理设施设备要求</w:t>
      </w:r>
    </w:p>
    <w:p>
      <w:pPr>
        <w:spacing w:line="440" w:lineRule="exact"/>
        <w:ind w:firstLine="420" w:firstLineChars="200"/>
        <w:rPr>
          <w:szCs w:val="21"/>
        </w:rPr>
      </w:pPr>
      <w:r>
        <w:rPr>
          <w:rFonts w:hint="eastAsia"/>
          <w:szCs w:val="21"/>
        </w:rPr>
        <w:t>6.4</w:t>
      </w:r>
      <w:r>
        <w:rPr>
          <w:szCs w:val="21"/>
        </w:rPr>
        <w:t xml:space="preserve"> 监理人自备的现场办公设施：见监理设施设备要求</w:t>
      </w:r>
    </w:p>
    <w:p>
      <w:pPr>
        <w:spacing w:line="440" w:lineRule="exact"/>
        <w:ind w:firstLine="420" w:firstLineChars="200"/>
        <w:rPr>
          <w:szCs w:val="21"/>
        </w:rPr>
      </w:pPr>
      <w:r>
        <w:rPr>
          <w:rFonts w:hint="eastAsia"/>
          <w:szCs w:val="21"/>
        </w:rPr>
        <w:t>6.5</w:t>
      </w:r>
      <w:r>
        <w:rPr>
          <w:szCs w:val="21"/>
        </w:rPr>
        <w:t xml:space="preserve"> 监理人自备的安全设施：如安全帽、安全鞋、手电筒等</w:t>
      </w:r>
    </w:p>
    <w:p>
      <w:pPr>
        <w:spacing w:line="440" w:lineRule="exact"/>
        <w:ind w:firstLine="420" w:firstLineChars="200"/>
        <w:rPr>
          <w:szCs w:val="21"/>
        </w:rPr>
      </w:pPr>
      <w:r>
        <w:rPr>
          <w:szCs w:val="21"/>
        </w:rPr>
        <w:t>6.</w:t>
      </w:r>
      <w:r>
        <w:rPr>
          <w:rFonts w:hint="eastAsia"/>
          <w:szCs w:val="21"/>
        </w:rPr>
        <w:t>6</w:t>
      </w:r>
      <w:r>
        <w:rPr>
          <w:szCs w:val="21"/>
        </w:rPr>
        <w:t xml:space="preserve"> 监理人自备的设施、设备、工具：见监理设施设备要求</w:t>
      </w:r>
    </w:p>
    <w:p>
      <w:pPr>
        <w:spacing w:line="440" w:lineRule="exact"/>
        <w:ind w:firstLine="420" w:firstLineChars="200"/>
        <w:rPr>
          <w:szCs w:val="21"/>
        </w:rPr>
      </w:pPr>
      <w:r>
        <w:rPr>
          <w:rFonts w:hint="eastAsia"/>
          <w:szCs w:val="21"/>
        </w:rPr>
        <w:t>6.7</w:t>
      </w:r>
      <w:r>
        <w:rPr>
          <w:szCs w:val="21"/>
        </w:rPr>
        <w:t xml:space="preserve"> 监理人自备的试验用房、样品用房</w:t>
      </w:r>
    </w:p>
    <w:p>
      <w:pPr>
        <w:spacing w:line="440" w:lineRule="exact"/>
        <w:rPr>
          <w:b/>
          <w:sz w:val="28"/>
          <w:szCs w:val="28"/>
        </w:rPr>
      </w:pPr>
      <w:bookmarkStart w:id="466" w:name="_Toc62572885"/>
      <w:bookmarkStart w:id="467" w:name="_Toc482188646"/>
      <w:r>
        <w:rPr>
          <w:rFonts w:hint="eastAsia"/>
          <w:sz w:val="28"/>
          <w:szCs w:val="28"/>
        </w:rPr>
        <w:t>7.</w:t>
      </w:r>
      <w:r>
        <w:rPr>
          <w:sz w:val="28"/>
          <w:szCs w:val="28"/>
        </w:rPr>
        <w:t>委托人的其他要求</w:t>
      </w:r>
      <w:bookmarkEnd w:id="466"/>
      <w:bookmarkEnd w:id="467"/>
    </w:p>
    <w:p>
      <w:pPr>
        <w:keepNext/>
        <w:keepLines/>
        <w:spacing w:line="579" w:lineRule="auto"/>
        <w:rPr>
          <w:rFonts w:ascii="黑体" w:eastAsia="黑体"/>
          <w:sz w:val="36"/>
          <w:szCs w:val="28"/>
        </w:rPr>
      </w:pPr>
      <w:bookmarkStart w:id="468" w:name="_Toc139433269"/>
      <w:bookmarkStart w:id="469" w:name="_Toc139237033"/>
      <w:bookmarkStart w:id="470" w:name="_Toc139451012"/>
      <w:bookmarkStart w:id="471" w:name="_Toc139431626"/>
      <w:bookmarkStart w:id="472" w:name="_Toc139435630"/>
      <w:bookmarkStart w:id="473" w:name="_Toc196474991"/>
      <w:bookmarkStart w:id="474" w:name="_Toc139453227"/>
    </w:p>
    <w:p>
      <w:pPr>
        <w:keepNext/>
        <w:keepLines/>
        <w:spacing w:line="579" w:lineRule="auto"/>
        <w:rPr>
          <w:rFonts w:ascii="黑体" w:eastAsia="黑体"/>
          <w:sz w:val="36"/>
          <w:szCs w:val="28"/>
        </w:rPr>
      </w:pPr>
    </w:p>
    <w:p>
      <w:pPr>
        <w:keepNext/>
        <w:keepLines/>
        <w:spacing w:line="579" w:lineRule="auto"/>
        <w:rPr>
          <w:rFonts w:ascii="黑体" w:eastAsia="黑体"/>
          <w:sz w:val="36"/>
          <w:szCs w:val="28"/>
        </w:rPr>
      </w:pPr>
    </w:p>
    <w:p>
      <w:pPr>
        <w:pStyle w:val="2"/>
        <w:numPr>
          <w:ilvl w:val="0"/>
          <w:numId w:val="8"/>
        </w:numPr>
        <w:jc w:val="center"/>
      </w:pPr>
      <w:bookmarkStart w:id="475" w:name="_Toc15980"/>
      <w:r>
        <w:rPr>
          <w:rFonts w:hint="eastAsia"/>
        </w:rPr>
        <w:t>图纸和资料</w:t>
      </w:r>
      <w:bookmarkEnd w:id="475"/>
    </w:p>
    <w:p>
      <w:pPr>
        <w:spacing w:line="360" w:lineRule="auto"/>
        <w:jc w:val="center"/>
        <w:rPr>
          <w:rFonts w:ascii="黑体" w:eastAsia="黑体"/>
          <w:b/>
          <w:bCs/>
          <w:kern w:val="44"/>
          <w:sz w:val="36"/>
          <w:szCs w:val="28"/>
        </w:rPr>
      </w:pPr>
    </w:p>
    <w:p>
      <w:pPr>
        <w:keepNext/>
        <w:keepLines/>
        <w:spacing w:before="120" w:after="120"/>
        <w:rPr>
          <w:rFonts w:ascii="宋体" w:hAnsi="宋体"/>
          <w:szCs w:val="32"/>
        </w:rPr>
      </w:pPr>
      <w:r>
        <w:rPr>
          <w:rFonts w:ascii="宋体" w:hAnsi="宋体"/>
          <w:szCs w:val="32"/>
        </w:rPr>
        <w:br w:type="page"/>
      </w:r>
    </w:p>
    <w:p>
      <w:pPr>
        <w:keepNext/>
        <w:keepLines/>
        <w:spacing w:before="120" w:after="120"/>
        <w:rPr>
          <w:rFonts w:ascii="宋体" w:hAnsi="宋体"/>
          <w:szCs w:val="32"/>
        </w:rPr>
      </w:pPr>
    </w:p>
    <w:p>
      <w:pPr>
        <w:keepNext/>
        <w:keepLines/>
        <w:spacing w:before="120" w:after="120"/>
        <w:rPr>
          <w:rFonts w:ascii="宋体" w:hAnsi="宋体"/>
          <w:szCs w:val="32"/>
        </w:rPr>
      </w:pPr>
    </w:p>
    <w:p>
      <w:pPr>
        <w:keepNext/>
        <w:keepLines/>
        <w:spacing w:before="120" w:after="120"/>
        <w:rPr>
          <w:rFonts w:ascii="宋体" w:hAnsi="宋体"/>
          <w:szCs w:val="32"/>
        </w:rPr>
      </w:pPr>
    </w:p>
    <w:p>
      <w:pPr>
        <w:keepNext/>
        <w:keepLines/>
        <w:spacing w:before="120" w:after="120"/>
        <w:rPr>
          <w:rFonts w:ascii="宋体" w:hAnsi="宋体"/>
          <w:szCs w:val="32"/>
        </w:rPr>
      </w:pPr>
    </w:p>
    <w:p>
      <w:pPr>
        <w:keepNext/>
        <w:keepLines/>
        <w:spacing w:before="120" w:after="120"/>
        <w:rPr>
          <w:rFonts w:ascii="宋体" w:hAnsi="宋体"/>
          <w:szCs w:val="32"/>
        </w:rPr>
      </w:pPr>
    </w:p>
    <w:p>
      <w:pPr>
        <w:keepNext/>
        <w:keepLines/>
        <w:jc w:val="center"/>
        <w:rPr>
          <w:rFonts w:ascii="宋体" w:hAnsi="宋体"/>
          <w:szCs w:val="32"/>
        </w:rPr>
      </w:pPr>
      <w:r>
        <w:rPr>
          <w:rFonts w:hint="eastAsia" w:ascii="宋体" w:hAnsi="宋体"/>
          <w:sz w:val="72"/>
          <w:szCs w:val="72"/>
        </w:rPr>
        <w:t>第三卷</w:t>
      </w:r>
      <w:r>
        <w:rPr>
          <w:rFonts w:hint="eastAsia" w:ascii="宋体" w:hAnsi="宋体"/>
          <w:szCs w:val="32"/>
        </w:rPr>
        <w:br w:type="page"/>
      </w:r>
      <w:bookmarkStart w:id="476" w:name="_Toc459295794"/>
    </w:p>
    <w:p>
      <w:pPr>
        <w:keepNext/>
        <w:keepLines/>
        <w:spacing w:before="120" w:after="120"/>
        <w:rPr>
          <w:rFonts w:ascii="宋体" w:hAnsi="宋体"/>
          <w:szCs w:val="32"/>
        </w:rPr>
      </w:pPr>
    </w:p>
    <w:p>
      <w:pPr>
        <w:keepNext/>
        <w:keepLines/>
        <w:spacing w:before="120" w:after="120"/>
        <w:rPr>
          <w:rFonts w:ascii="宋体" w:hAnsi="宋体"/>
          <w:szCs w:val="32"/>
        </w:rPr>
      </w:pPr>
    </w:p>
    <w:p>
      <w:pPr>
        <w:keepNext/>
        <w:keepLines/>
        <w:spacing w:before="120" w:after="120"/>
        <w:rPr>
          <w:rFonts w:ascii="宋体" w:hAnsi="宋体"/>
          <w:szCs w:val="32"/>
        </w:rPr>
      </w:pPr>
    </w:p>
    <w:p>
      <w:pPr>
        <w:keepNext/>
        <w:keepLines/>
        <w:spacing w:before="120" w:after="120"/>
        <w:rPr>
          <w:rFonts w:ascii="宋体" w:hAnsi="宋体"/>
          <w:szCs w:val="32"/>
        </w:rPr>
      </w:pPr>
    </w:p>
    <w:p>
      <w:pPr>
        <w:keepNext/>
        <w:keepLines/>
        <w:spacing w:before="120" w:after="120"/>
        <w:rPr>
          <w:rFonts w:ascii="宋体" w:hAnsi="宋体"/>
          <w:szCs w:val="32"/>
        </w:rPr>
      </w:pPr>
    </w:p>
    <w:p>
      <w:pPr>
        <w:keepNext/>
        <w:keepLines/>
        <w:spacing w:before="120" w:after="120"/>
        <w:rPr>
          <w:rFonts w:ascii="宋体" w:hAnsi="宋体"/>
          <w:szCs w:val="32"/>
        </w:rPr>
      </w:pPr>
    </w:p>
    <w:p>
      <w:pPr>
        <w:pStyle w:val="2"/>
        <w:jc w:val="center"/>
        <w:rPr>
          <w:rFonts w:ascii="宋体" w:hAnsi="宋体"/>
          <w:szCs w:val="32"/>
        </w:rPr>
      </w:pPr>
      <w:bookmarkStart w:id="477" w:name="_Toc16740"/>
      <w:r>
        <w:rPr>
          <w:rFonts w:hint="eastAsia" w:ascii="宋体" w:hAnsi="宋体"/>
          <w:szCs w:val="32"/>
        </w:rPr>
        <w:t>第七章  投标文件格式</w:t>
      </w:r>
      <w:bookmarkEnd w:id="468"/>
      <w:bookmarkEnd w:id="469"/>
      <w:bookmarkEnd w:id="470"/>
      <w:bookmarkEnd w:id="471"/>
      <w:bookmarkEnd w:id="472"/>
      <w:bookmarkEnd w:id="473"/>
      <w:bookmarkEnd w:id="474"/>
      <w:bookmarkEnd w:id="476"/>
      <w:bookmarkEnd w:id="477"/>
    </w:p>
    <w:p>
      <w:pPr>
        <w:spacing w:line="360" w:lineRule="auto"/>
        <w:ind w:firstLine="1284" w:firstLineChars="428"/>
        <w:rPr>
          <w:sz w:val="30"/>
          <w:szCs w:val="30"/>
        </w:rPr>
      </w:pPr>
    </w:p>
    <w:p>
      <w:pPr>
        <w:spacing w:line="360" w:lineRule="auto"/>
        <w:jc w:val="center"/>
      </w:pPr>
      <w:bookmarkStart w:id="478" w:name="_Toc139237038"/>
      <w:bookmarkStart w:id="479" w:name="_Toc139453232"/>
      <w:bookmarkStart w:id="480" w:name="_Toc139431631"/>
      <w:bookmarkStart w:id="481" w:name="_Toc139433274"/>
      <w:bookmarkStart w:id="482" w:name="_Toc139435635"/>
      <w:bookmarkStart w:id="483" w:name="_Toc196474996"/>
      <w:bookmarkStart w:id="484" w:name="_Toc139451017"/>
      <w:r>
        <w:br w:type="page"/>
      </w:r>
    </w:p>
    <w:bookmarkEnd w:id="478"/>
    <w:bookmarkEnd w:id="479"/>
    <w:bookmarkEnd w:id="480"/>
    <w:bookmarkEnd w:id="481"/>
    <w:bookmarkEnd w:id="482"/>
    <w:bookmarkEnd w:id="483"/>
    <w:bookmarkEnd w:id="484"/>
    <w:p>
      <w:pPr>
        <w:pStyle w:val="73"/>
        <w:ind w:firstLine="2040" w:firstLineChars="850"/>
        <w:rPr>
          <w:color w:val="auto"/>
          <w:u w:val="single"/>
        </w:rPr>
      </w:pPr>
    </w:p>
    <w:p>
      <w:pPr>
        <w:pStyle w:val="73"/>
        <w:ind w:firstLine="2040" w:firstLineChars="850"/>
        <w:rPr>
          <w:color w:val="auto"/>
          <w:u w:val="single"/>
        </w:rPr>
      </w:pPr>
    </w:p>
    <w:p>
      <w:pPr>
        <w:pStyle w:val="73"/>
        <w:ind w:firstLine="2040" w:firstLineChars="850"/>
        <w:rPr>
          <w:color w:val="auto"/>
          <w:u w:val="single"/>
        </w:rPr>
      </w:pPr>
    </w:p>
    <w:p>
      <w:pPr>
        <w:pStyle w:val="73"/>
        <w:ind w:firstLine="2040" w:firstLineChars="850"/>
        <w:rPr>
          <w:rFonts w:ascii="Times New Roman" w:cs="Times New Roman"/>
          <w:color w:val="auto"/>
          <w:sz w:val="31"/>
          <w:szCs w:val="31"/>
        </w:rPr>
      </w:pPr>
      <w:r>
        <w:rPr>
          <w:rFonts w:hint="eastAsia"/>
          <w:color w:val="auto"/>
          <w:u w:val="single"/>
        </w:rPr>
        <w:t xml:space="preserve">                 </w:t>
      </w:r>
      <w:r>
        <w:rPr>
          <w:rFonts w:hint="eastAsia"/>
          <w:color w:val="auto"/>
          <w:sz w:val="31"/>
          <w:szCs w:val="31"/>
        </w:rPr>
        <w:t>省</w:t>
      </w:r>
      <w:r>
        <w:rPr>
          <w:rFonts w:ascii="Times New Roman" w:cs="Times New Roman"/>
          <w:color w:val="auto"/>
          <w:sz w:val="31"/>
          <w:szCs w:val="31"/>
        </w:rPr>
        <w:t>（</w:t>
      </w:r>
      <w:r>
        <w:rPr>
          <w:rFonts w:hint="eastAsia"/>
          <w:color w:val="auto"/>
          <w:sz w:val="31"/>
          <w:szCs w:val="31"/>
        </w:rPr>
        <w:t>自治区、直辖市</w:t>
      </w:r>
      <w:r>
        <w:rPr>
          <w:rFonts w:ascii="Times New Roman" w:cs="Times New Roman"/>
          <w:color w:val="auto"/>
          <w:sz w:val="31"/>
          <w:szCs w:val="31"/>
        </w:rPr>
        <w:t>）</w:t>
      </w:r>
    </w:p>
    <w:p>
      <w:pPr>
        <w:pStyle w:val="73"/>
        <w:ind w:firstLine="2635" w:firstLineChars="850"/>
        <w:rPr>
          <w:rFonts w:ascii="Times New Roman" w:cs="Times New Roman"/>
          <w:color w:val="auto"/>
          <w:sz w:val="31"/>
          <w:szCs w:val="31"/>
        </w:rPr>
      </w:pPr>
    </w:p>
    <w:p>
      <w:pPr>
        <w:pStyle w:val="73"/>
        <w:jc w:val="center"/>
        <w:rPr>
          <w:color w:val="auto"/>
        </w:rPr>
      </w:pPr>
      <w:r>
        <w:rPr>
          <w:rFonts w:hint="eastAsia" w:ascii="Times New Roman" w:cs="Times New Roman"/>
          <w:color w:val="auto"/>
          <w:sz w:val="28"/>
          <w:szCs w:val="28"/>
          <w:u w:val="single"/>
        </w:rPr>
        <w:t xml:space="preserve">                           </w:t>
      </w:r>
      <w:r>
        <w:rPr>
          <w:color w:val="auto"/>
          <w:sz w:val="31"/>
          <w:szCs w:val="31"/>
        </w:rPr>
        <w:t>（</w:t>
      </w:r>
      <w:r>
        <w:rPr>
          <w:rFonts w:hint="eastAsia"/>
          <w:color w:val="auto"/>
          <w:sz w:val="31"/>
          <w:szCs w:val="31"/>
        </w:rPr>
        <w:t>项目名称</w:t>
      </w:r>
      <w:r>
        <w:rPr>
          <w:color w:val="auto"/>
          <w:sz w:val="31"/>
          <w:szCs w:val="31"/>
        </w:rPr>
        <w:t>）</w:t>
      </w:r>
      <w:r>
        <w:rPr>
          <w:rFonts w:hint="eastAsia"/>
          <w:color w:val="auto"/>
          <w:sz w:val="31"/>
          <w:szCs w:val="31"/>
        </w:rPr>
        <w:t>施工监理招标</w:t>
      </w:r>
    </w:p>
    <w:p>
      <w:pPr>
        <w:pStyle w:val="73"/>
        <w:jc w:val="center"/>
        <w:rPr>
          <w:color w:val="auto"/>
        </w:rPr>
      </w:pPr>
    </w:p>
    <w:p>
      <w:pPr>
        <w:pStyle w:val="73"/>
        <w:rPr>
          <w:color w:val="auto"/>
        </w:rPr>
      </w:pPr>
    </w:p>
    <w:p>
      <w:pPr>
        <w:pStyle w:val="73"/>
        <w:rPr>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autoSpaceDE w:val="0"/>
        <w:autoSpaceDN w:val="0"/>
        <w:adjustRightInd w:val="0"/>
        <w:jc w:val="center"/>
        <w:rPr>
          <w:rFonts w:ascii="宋体" w:hAnsi="宋体" w:cs="宋体"/>
          <w:kern w:val="0"/>
          <w:sz w:val="72"/>
          <w:szCs w:val="72"/>
        </w:rPr>
      </w:pPr>
      <w:r>
        <w:rPr>
          <w:rFonts w:hint="eastAsia" w:ascii="宋体" w:hAnsi="宋体" w:cs="宋体"/>
          <w:kern w:val="0"/>
          <w:sz w:val="72"/>
          <w:szCs w:val="72"/>
        </w:rPr>
        <w:t>投 标 文 件</w:t>
      </w:r>
    </w:p>
    <w:p>
      <w:pPr>
        <w:autoSpaceDE w:val="0"/>
        <w:autoSpaceDN w:val="0"/>
        <w:adjustRightInd w:val="0"/>
        <w:jc w:val="center"/>
        <w:rPr>
          <w:rFonts w:ascii="宋体" w:hAnsi="宋体" w:cs="宋体"/>
          <w:kern w:val="0"/>
          <w:sz w:val="48"/>
          <w:szCs w:val="48"/>
        </w:rPr>
      </w:pPr>
      <w:r>
        <w:rPr>
          <w:rFonts w:hint="eastAsia" w:ascii="宋体" w:hAnsi="宋体" w:cs="宋体"/>
          <w:kern w:val="0"/>
          <w:sz w:val="48"/>
          <w:szCs w:val="48"/>
        </w:rPr>
        <w:t>（商务及技术文件）</w:t>
      </w:r>
    </w:p>
    <w:p>
      <w:pPr>
        <w:autoSpaceDE w:val="0"/>
        <w:autoSpaceDN w:val="0"/>
        <w:adjustRightInd w:val="0"/>
        <w:jc w:val="center"/>
        <w:rPr>
          <w:rFonts w:ascii="宋体" w:hAnsi="宋体" w:cs="宋体"/>
          <w:kern w:val="0"/>
          <w:sz w:val="44"/>
          <w:szCs w:val="44"/>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autoSpaceDE w:val="0"/>
        <w:autoSpaceDN w:val="0"/>
        <w:adjustRightInd w:val="0"/>
        <w:jc w:val="center"/>
        <w:rPr>
          <w:rFonts w:ascii="宋体" w:hAnsi="宋体" w:cs="宋体"/>
          <w:kern w:val="0"/>
          <w:sz w:val="28"/>
          <w:szCs w:val="28"/>
          <w:u w:val="single"/>
        </w:rPr>
      </w:pPr>
      <w:r>
        <w:rPr>
          <w:rFonts w:hint="eastAsia" w:ascii="宋体" w:hAnsi="宋体" w:cs="宋体"/>
          <w:kern w:val="0"/>
          <w:sz w:val="28"/>
          <w:szCs w:val="28"/>
        </w:rPr>
        <w:t xml:space="preserve">投标人： </w:t>
      </w:r>
      <w:r>
        <w:rPr>
          <w:rFonts w:hint="eastAsia" w:ascii="宋体" w:hAnsi="宋体" w:cs="宋体"/>
          <w:kern w:val="0"/>
          <w:sz w:val="28"/>
          <w:szCs w:val="28"/>
          <w:u w:val="single"/>
        </w:rPr>
        <w:t xml:space="preserve">                  </w:t>
      </w:r>
      <w:r>
        <w:rPr>
          <w:rFonts w:hint="eastAsia" w:ascii="宋体" w:hAnsi="宋体" w:cs="宋体"/>
          <w:kern w:val="0"/>
          <w:sz w:val="28"/>
          <w:szCs w:val="28"/>
        </w:rPr>
        <w:t>（盖单位章）</w:t>
      </w:r>
    </w:p>
    <w:p>
      <w:pPr>
        <w:autoSpaceDE w:val="0"/>
        <w:autoSpaceDN w:val="0"/>
        <w:adjustRightInd w:val="0"/>
        <w:jc w:val="center"/>
        <w:rPr>
          <w:rFonts w:ascii="宋体" w:hAnsi="宋体" w:cs="宋体"/>
          <w:kern w:val="0"/>
          <w:sz w:val="28"/>
          <w:szCs w:val="28"/>
          <w:u w:val="single"/>
        </w:rPr>
      </w:pPr>
    </w:p>
    <w:p>
      <w:pPr>
        <w:autoSpaceDE w:val="0"/>
        <w:autoSpaceDN w:val="0"/>
        <w:adjustRightInd w:val="0"/>
        <w:jc w:val="center"/>
        <w:rPr>
          <w:rFonts w:ascii="宋体" w:hAnsi="宋体" w:cs="宋体"/>
          <w:kern w:val="0"/>
          <w:sz w:val="28"/>
          <w:szCs w:val="28"/>
        </w:rPr>
      </w:pP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 xml:space="preserve">月 </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pStyle w:val="73"/>
        <w:jc w:val="center"/>
        <w:rPr>
          <w:rFonts w:ascii="黑体" w:eastAsia="黑体"/>
          <w:b/>
          <w:color w:val="auto"/>
          <w:sz w:val="32"/>
          <w:szCs w:val="32"/>
        </w:rPr>
      </w:pPr>
      <w:r>
        <w:rPr>
          <w:color w:val="auto"/>
        </w:rPr>
        <w:br w:type="page"/>
      </w:r>
      <w:r>
        <w:rPr>
          <w:rFonts w:hint="eastAsia"/>
          <w:color w:val="auto"/>
        </w:rPr>
        <w:t xml:space="preserve">    </w:t>
      </w:r>
      <w:r>
        <w:rPr>
          <w:rFonts w:hint="eastAsia" w:ascii="黑体" w:eastAsia="黑体"/>
          <w:b/>
          <w:color w:val="auto"/>
          <w:sz w:val="32"/>
          <w:szCs w:val="32"/>
        </w:rPr>
        <w:t>目  录</w:t>
      </w:r>
    </w:p>
    <w:p>
      <w:pPr>
        <w:pStyle w:val="73"/>
        <w:rPr>
          <w:color w:val="auto"/>
          <w:sz w:val="28"/>
          <w:szCs w:val="28"/>
        </w:rPr>
      </w:pPr>
      <w:r>
        <w:rPr>
          <w:rFonts w:hint="eastAsia"/>
          <w:color w:val="auto"/>
          <w:sz w:val="28"/>
          <w:szCs w:val="28"/>
        </w:rPr>
        <w:t xml:space="preserve"> </w:t>
      </w:r>
    </w:p>
    <w:p>
      <w:pPr>
        <w:pStyle w:val="73"/>
        <w:spacing w:line="360" w:lineRule="auto"/>
        <w:rPr>
          <w:color w:val="auto"/>
        </w:rPr>
      </w:pPr>
    </w:p>
    <w:p>
      <w:pPr>
        <w:pStyle w:val="73"/>
        <w:spacing w:line="360" w:lineRule="auto"/>
        <w:ind w:left="424" w:leftChars="202"/>
        <w:rPr>
          <w:color w:val="auto"/>
        </w:rPr>
      </w:pPr>
      <w:r>
        <w:rPr>
          <w:rFonts w:hint="eastAsia"/>
          <w:color w:val="auto"/>
        </w:rPr>
        <w:t>一、投标函</w:t>
      </w:r>
    </w:p>
    <w:p>
      <w:pPr>
        <w:pStyle w:val="73"/>
        <w:spacing w:line="360" w:lineRule="auto"/>
        <w:ind w:left="424" w:leftChars="202"/>
        <w:rPr>
          <w:color w:val="auto"/>
        </w:rPr>
      </w:pPr>
      <w:r>
        <w:rPr>
          <w:rFonts w:hint="eastAsia"/>
          <w:color w:val="auto"/>
        </w:rPr>
        <w:t>二、</w:t>
      </w:r>
      <w:r>
        <w:rPr>
          <w:color w:val="auto"/>
        </w:rPr>
        <w:t>授权委托书或法定代表人身份证明</w:t>
      </w:r>
    </w:p>
    <w:p>
      <w:pPr>
        <w:pStyle w:val="73"/>
        <w:spacing w:line="360" w:lineRule="auto"/>
        <w:ind w:left="424" w:leftChars="202"/>
        <w:rPr>
          <w:color w:val="auto"/>
        </w:rPr>
      </w:pPr>
      <w:r>
        <w:rPr>
          <w:rFonts w:hint="eastAsia"/>
          <w:color w:val="auto"/>
        </w:rPr>
        <w:t>三、投标保证金</w:t>
      </w:r>
    </w:p>
    <w:p>
      <w:pPr>
        <w:pStyle w:val="73"/>
        <w:spacing w:line="360" w:lineRule="auto"/>
        <w:ind w:left="424" w:leftChars="202"/>
        <w:rPr>
          <w:color w:val="auto"/>
        </w:rPr>
      </w:pPr>
      <w:r>
        <w:rPr>
          <w:rFonts w:hint="eastAsia"/>
          <w:color w:val="auto"/>
        </w:rPr>
        <w:t>四、资格审查资料</w:t>
      </w:r>
    </w:p>
    <w:p>
      <w:pPr>
        <w:pStyle w:val="73"/>
        <w:spacing w:line="360" w:lineRule="auto"/>
        <w:ind w:left="424" w:leftChars="202"/>
        <w:rPr>
          <w:color w:val="auto"/>
        </w:rPr>
      </w:pPr>
      <w:r>
        <w:rPr>
          <w:rFonts w:hint="eastAsia"/>
          <w:color w:val="auto"/>
        </w:rPr>
        <w:t>五、</w:t>
      </w:r>
      <w:r>
        <w:rPr>
          <w:color w:val="auto"/>
        </w:rPr>
        <w:t>技术建议书</w:t>
      </w:r>
    </w:p>
    <w:p>
      <w:pPr>
        <w:pStyle w:val="73"/>
        <w:spacing w:line="360" w:lineRule="auto"/>
        <w:ind w:left="424" w:leftChars="202"/>
        <w:rPr>
          <w:color w:val="auto"/>
        </w:rPr>
      </w:pPr>
      <w:r>
        <w:rPr>
          <w:rFonts w:hint="eastAsia"/>
          <w:color w:val="auto"/>
        </w:rPr>
        <w:t>六</w:t>
      </w:r>
      <w:r>
        <w:rPr>
          <w:color w:val="auto"/>
        </w:rPr>
        <w:t>、其他</w:t>
      </w:r>
      <w:r>
        <w:rPr>
          <w:rFonts w:hint="eastAsia"/>
          <w:color w:val="auto"/>
        </w:rPr>
        <w:t>资料</w:t>
      </w:r>
    </w:p>
    <w:p>
      <w:pPr>
        <w:pStyle w:val="73"/>
        <w:spacing w:line="360" w:lineRule="auto"/>
        <w:rPr>
          <w:rFonts w:ascii="黑体" w:eastAsia="黑体"/>
          <w:color w:val="auto"/>
        </w:rPr>
      </w:pPr>
    </w:p>
    <w:p>
      <w:pPr>
        <w:pStyle w:val="73"/>
        <w:jc w:val="center"/>
        <w:rPr>
          <w:rFonts w:ascii="Times New Roman" w:eastAsia="黑体" w:cs="Times New Roman"/>
          <w:b/>
          <w:color w:val="auto"/>
          <w:sz w:val="30"/>
          <w:szCs w:val="30"/>
        </w:rPr>
      </w:pPr>
      <w:r>
        <w:rPr>
          <w:color w:val="auto"/>
        </w:rPr>
        <w:br w:type="page"/>
      </w:r>
      <w:r>
        <w:rPr>
          <w:rFonts w:hint="eastAsia" w:ascii="Times New Roman" w:eastAsia="黑体" w:cs="Times New Roman"/>
          <w:b/>
          <w:color w:val="auto"/>
          <w:sz w:val="30"/>
          <w:szCs w:val="30"/>
        </w:rPr>
        <w:t xml:space="preserve">一、投标函  </w:t>
      </w:r>
    </w:p>
    <w:p>
      <w:pPr>
        <w:autoSpaceDE w:val="0"/>
        <w:autoSpaceDN w:val="0"/>
        <w:adjustRightInd w:val="0"/>
        <w:jc w:val="left"/>
        <w:rPr>
          <w:kern w:val="0"/>
          <w:szCs w:val="21"/>
          <w:u w:val="single"/>
        </w:rPr>
      </w:pPr>
    </w:p>
    <w:p>
      <w:pPr>
        <w:autoSpaceDE w:val="0"/>
        <w:autoSpaceDN w:val="0"/>
        <w:adjustRightInd w:val="0"/>
        <w:spacing w:line="360" w:lineRule="auto"/>
        <w:jc w:val="left"/>
        <w:rPr>
          <w:kern w:val="0"/>
          <w:sz w:val="24"/>
        </w:rPr>
      </w:pPr>
      <w:r>
        <w:rPr>
          <w:kern w:val="0"/>
          <w:sz w:val="24"/>
          <w:u w:val="single"/>
        </w:rPr>
        <w:t xml:space="preserve">              </w:t>
      </w:r>
      <w:r>
        <w:rPr>
          <w:rFonts w:hint="eastAsia"/>
          <w:kern w:val="0"/>
          <w:sz w:val="24"/>
        </w:rPr>
        <w:t>（招标人名称）：</w:t>
      </w:r>
      <w:r>
        <w:rPr>
          <w:kern w:val="0"/>
          <w:sz w:val="24"/>
        </w:rPr>
        <w:t xml:space="preserve"> </w:t>
      </w:r>
    </w:p>
    <w:p>
      <w:pPr>
        <w:autoSpaceDE w:val="0"/>
        <w:autoSpaceDN w:val="0"/>
        <w:adjustRightInd w:val="0"/>
        <w:spacing w:line="360" w:lineRule="exact"/>
        <w:ind w:firstLine="480" w:firstLineChars="200"/>
        <w:jc w:val="left"/>
        <w:rPr>
          <w:kern w:val="0"/>
          <w:sz w:val="24"/>
        </w:rPr>
      </w:pPr>
      <w:r>
        <w:rPr>
          <w:kern w:val="0"/>
          <w:sz w:val="24"/>
        </w:rPr>
        <w:t xml:space="preserve">1. </w:t>
      </w:r>
      <w:r>
        <w:rPr>
          <w:rFonts w:hint="eastAsia"/>
          <w:kern w:val="0"/>
          <w:sz w:val="24"/>
        </w:rPr>
        <w:t>我方已仔细研究</w:t>
      </w:r>
      <w:r>
        <w:rPr>
          <w:kern w:val="0"/>
          <w:sz w:val="24"/>
          <w:u w:val="single"/>
        </w:rPr>
        <w:t xml:space="preserve">             </w:t>
      </w:r>
      <w:r>
        <w:rPr>
          <w:rFonts w:hint="eastAsia"/>
          <w:kern w:val="0"/>
          <w:sz w:val="24"/>
        </w:rPr>
        <w:t>（项目名称）监理招标文件的全部内容（含补遗书第</w:t>
      </w:r>
      <w:r>
        <w:rPr>
          <w:kern w:val="0"/>
          <w:sz w:val="24"/>
          <w:u w:val="single"/>
        </w:rPr>
        <w:t xml:space="preserve">    </w:t>
      </w:r>
      <w:r>
        <w:rPr>
          <w:rFonts w:hint="eastAsia"/>
          <w:kern w:val="0"/>
          <w:sz w:val="24"/>
        </w:rPr>
        <w:t>号至第</w:t>
      </w:r>
      <w:r>
        <w:rPr>
          <w:kern w:val="0"/>
          <w:sz w:val="24"/>
          <w:u w:val="single"/>
        </w:rPr>
        <w:t xml:space="preserve">    </w:t>
      </w:r>
      <w:r>
        <w:rPr>
          <w:rFonts w:hint="eastAsia"/>
          <w:kern w:val="0"/>
          <w:sz w:val="24"/>
        </w:rPr>
        <w:t>号），在考察工程现场后，愿意以</w:t>
      </w:r>
      <w:r>
        <w:rPr>
          <w:rFonts w:hint="eastAsia"/>
          <w:sz w:val="24"/>
        </w:rPr>
        <w:t>第二个信封（报价文件）中的投标总报价（或根据招标文件规定修正核实后确定的另一金额），按合同约定完成施工监理工作</w:t>
      </w:r>
      <w:r>
        <w:rPr>
          <w:rFonts w:hint="eastAsia"/>
          <w:kern w:val="0"/>
          <w:sz w:val="24"/>
        </w:rPr>
        <w:t>。</w:t>
      </w:r>
    </w:p>
    <w:p>
      <w:pPr>
        <w:pStyle w:val="73"/>
        <w:spacing w:line="360" w:lineRule="exact"/>
        <w:ind w:firstLine="480" w:firstLineChars="200"/>
        <w:jc w:val="both"/>
        <w:rPr>
          <w:color w:val="auto"/>
        </w:rPr>
      </w:pPr>
      <w:r>
        <w:rPr>
          <w:rFonts w:ascii="Times New Roman" w:cs="Times New Roman"/>
          <w:color w:val="auto"/>
        </w:rPr>
        <w:t>2.</w:t>
      </w:r>
      <w:r>
        <w:rPr>
          <w:color w:val="auto"/>
        </w:rPr>
        <w:t xml:space="preserve"> </w:t>
      </w:r>
      <w:r>
        <w:rPr>
          <w:rFonts w:hint="eastAsia"/>
          <w:color w:val="auto"/>
          <w:szCs w:val="21"/>
        </w:rPr>
        <w:t>我方承诺在招标文件规定的投标有效期内不撤销投标文件。</w:t>
      </w:r>
    </w:p>
    <w:p>
      <w:pPr>
        <w:autoSpaceDE w:val="0"/>
        <w:autoSpaceDN w:val="0"/>
        <w:adjustRightInd w:val="0"/>
        <w:spacing w:line="360" w:lineRule="exact"/>
        <w:ind w:firstLine="480" w:firstLineChars="200"/>
        <w:jc w:val="left"/>
        <w:rPr>
          <w:kern w:val="0"/>
          <w:sz w:val="24"/>
          <w:u w:val="single"/>
        </w:rPr>
      </w:pPr>
      <w:r>
        <w:rPr>
          <w:kern w:val="0"/>
          <w:sz w:val="24"/>
        </w:rPr>
        <w:t xml:space="preserve">3. </w:t>
      </w:r>
      <w:r>
        <w:rPr>
          <w:rFonts w:hint="eastAsia"/>
          <w:kern w:val="0"/>
          <w:sz w:val="24"/>
        </w:rPr>
        <w:t>总监理工程师姓名：</w:t>
      </w:r>
      <w:r>
        <w:rPr>
          <w:kern w:val="0"/>
          <w:sz w:val="24"/>
          <w:u w:val="single"/>
        </w:rPr>
        <w:t xml:space="preserve">      </w:t>
      </w:r>
      <w:r>
        <w:rPr>
          <w:rFonts w:hint="eastAsia"/>
          <w:kern w:val="0"/>
          <w:sz w:val="24"/>
        </w:rPr>
        <w:t>，年龄：</w:t>
      </w:r>
      <w:r>
        <w:rPr>
          <w:kern w:val="0"/>
          <w:sz w:val="24"/>
          <w:u w:val="single"/>
        </w:rPr>
        <w:t xml:space="preserve">     </w:t>
      </w:r>
      <w:r>
        <w:rPr>
          <w:rFonts w:hint="eastAsia"/>
          <w:kern w:val="0"/>
          <w:sz w:val="24"/>
        </w:rPr>
        <w:t>，职称：</w:t>
      </w:r>
      <w:r>
        <w:rPr>
          <w:kern w:val="0"/>
          <w:sz w:val="24"/>
          <w:u w:val="single"/>
        </w:rPr>
        <w:t xml:space="preserve">      </w:t>
      </w:r>
      <w:r>
        <w:rPr>
          <w:rFonts w:hint="eastAsia"/>
          <w:kern w:val="0"/>
          <w:sz w:val="24"/>
        </w:rPr>
        <w:t>，监理工程师证书________。</w:t>
      </w:r>
      <w:r>
        <w:rPr>
          <w:kern w:val="0"/>
          <w:sz w:val="24"/>
        </w:rPr>
        <w:t xml:space="preserve"> </w:t>
      </w:r>
    </w:p>
    <w:p>
      <w:pPr>
        <w:autoSpaceDE w:val="0"/>
        <w:autoSpaceDN w:val="0"/>
        <w:adjustRightInd w:val="0"/>
        <w:spacing w:line="360" w:lineRule="exact"/>
        <w:ind w:firstLine="480" w:firstLineChars="200"/>
        <w:jc w:val="left"/>
        <w:rPr>
          <w:sz w:val="24"/>
        </w:rPr>
      </w:pPr>
      <w:r>
        <w:rPr>
          <w:rFonts w:hint="eastAsia"/>
          <w:kern w:val="0"/>
          <w:sz w:val="24"/>
        </w:rPr>
        <w:t xml:space="preserve">4. </w:t>
      </w:r>
      <w:r>
        <w:rPr>
          <w:rFonts w:hint="eastAsia"/>
          <w:sz w:val="24"/>
        </w:rPr>
        <w:t>质量要求：</w:t>
      </w:r>
      <w:r>
        <w:rPr>
          <w:rFonts w:hint="eastAsia"/>
          <w:sz w:val="24"/>
          <w:u w:val="single"/>
        </w:rPr>
        <w:t xml:space="preserve">         </w:t>
      </w:r>
      <w:r>
        <w:rPr>
          <w:rFonts w:hint="eastAsia"/>
          <w:sz w:val="24"/>
        </w:rPr>
        <w:t>，安全目标：</w:t>
      </w:r>
      <w:r>
        <w:rPr>
          <w:rFonts w:hint="eastAsia"/>
          <w:sz w:val="24"/>
          <w:u w:val="single"/>
        </w:rPr>
        <w:t xml:space="preserve">         </w:t>
      </w:r>
      <w:r>
        <w:rPr>
          <w:rFonts w:hint="eastAsia"/>
          <w:sz w:val="24"/>
        </w:rPr>
        <w:t>，监理服务期限：______日历天，其中施工工期</w:t>
      </w:r>
      <w:r>
        <w:rPr>
          <w:rFonts w:hint="eastAsia"/>
          <w:sz w:val="24"/>
          <w:u w:val="single"/>
        </w:rPr>
        <w:t xml:space="preserve">   </w:t>
      </w:r>
      <w:r>
        <w:rPr>
          <w:rFonts w:hint="eastAsia"/>
          <w:sz w:val="24"/>
        </w:rPr>
        <w:t>日历天，缺陷责任期</w:t>
      </w:r>
      <w:r>
        <w:rPr>
          <w:rFonts w:hint="eastAsia"/>
          <w:sz w:val="24"/>
          <w:u w:val="single"/>
        </w:rPr>
        <w:t xml:space="preserve">     </w:t>
      </w:r>
      <w:r>
        <w:rPr>
          <w:rFonts w:hint="eastAsia"/>
          <w:sz w:val="24"/>
        </w:rPr>
        <w:t>日历</w:t>
      </w:r>
      <w:r>
        <w:rPr>
          <w:sz w:val="24"/>
        </w:rPr>
        <w:t>天</w:t>
      </w:r>
      <w:r>
        <w:rPr>
          <w:rFonts w:hint="eastAsia"/>
          <w:sz w:val="24"/>
        </w:rPr>
        <w:t>。</w:t>
      </w:r>
    </w:p>
    <w:p>
      <w:pPr>
        <w:spacing w:line="360" w:lineRule="exact"/>
        <w:ind w:firstLine="480" w:firstLineChars="200"/>
        <w:rPr>
          <w:sz w:val="24"/>
        </w:rPr>
      </w:pPr>
      <w:r>
        <w:rPr>
          <w:rFonts w:hint="eastAsia"/>
          <w:kern w:val="0"/>
          <w:sz w:val="24"/>
        </w:rPr>
        <w:t xml:space="preserve">5. </w:t>
      </w:r>
      <w:r>
        <w:rPr>
          <w:rFonts w:hint="eastAsia"/>
          <w:sz w:val="24"/>
        </w:rPr>
        <w:t>如我方中标，我方承诺：</w:t>
      </w:r>
    </w:p>
    <w:p>
      <w:pPr>
        <w:spacing w:line="360" w:lineRule="exact"/>
        <w:ind w:firstLine="480" w:firstLineChars="200"/>
        <w:rPr>
          <w:sz w:val="24"/>
        </w:rPr>
      </w:pPr>
      <w:r>
        <w:rPr>
          <w:rFonts w:hint="eastAsia"/>
          <w:sz w:val="24"/>
        </w:rPr>
        <w:t>（1）在收到中标通知书后，在中标通知书规定的期限内与你方签订合同；</w:t>
      </w:r>
    </w:p>
    <w:p>
      <w:pPr>
        <w:spacing w:line="360" w:lineRule="exact"/>
        <w:ind w:firstLine="480" w:firstLineChars="200"/>
        <w:rPr>
          <w:sz w:val="24"/>
        </w:rPr>
      </w:pPr>
      <w:r>
        <w:rPr>
          <w:rFonts w:hint="eastAsia"/>
          <w:sz w:val="24"/>
        </w:rPr>
        <w:t>（2）在签订合同时不向你方提出附加条件；</w:t>
      </w:r>
    </w:p>
    <w:p>
      <w:pPr>
        <w:spacing w:line="360" w:lineRule="exact"/>
        <w:ind w:firstLine="480" w:firstLineChars="200"/>
        <w:rPr>
          <w:sz w:val="24"/>
        </w:rPr>
      </w:pPr>
      <w:r>
        <w:rPr>
          <w:rFonts w:hint="eastAsia"/>
          <w:sz w:val="24"/>
        </w:rPr>
        <w:t>（3）在合同约定的期限内完成合同规定的全部义务；</w:t>
      </w:r>
    </w:p>
    <w:p>
      <w:pPr>
        <w:spacing w:line="360" w:lineRule="exact"/>
        <w:ind w:firstLine="480" w:firstLineChars="200"/>
        <w:rPr>
          <w:sz w:val="24"/>
        </w:rPr>
      </w:pPr>
      <w:r>
        <w:rPr>
          <w:rFonts w:hint="eastAsia"/>
          <w:sz w:val="24"/>
        </w:rPr>
        <w:t>（4）在你方和我方进行合同谈判之前，我方将按照合同附件提出的最低要求填报派驻本标段的其他主要监理人员及主要试验检测设备，经你方审批后作为派驻本标段的主要监理人员和主要试验检测设备且不进行更换。如我方拟派驻的人员和设备不满足合同附件要求，你方有权取消我方中标资格。</w:t>
      </w:r>
    </w:p>
    <w:p>
      <w:pPr>
        <w:spacing w:line="360" w:lineRule="exact"/>
        <w:ind w:firstLine="480" w:firstLineChars="200"/>
        <w:rPr>
          <w:sz w:val="24"/>
        </w:rPr>
      </w:pPr>
      <w:r>
        <w:rPr>
          <w:rFonts w:hint="eastAsia"/>
          <w:kern w:val="0"/>
          <w:sz w:val="24"/>
        </w:rPr>
        <w:t xml:space="preserve">6. </w:t>
      </w:r>
      <w:r>
        <w:rPr>
          <w:rFonts w:hint="eastAsia"/>
          <w:sz w:val="24"/>
        </w:rPr>
        <w:t>我方在此声明，所递交的投标文件及有关资料内容完整、真实和准确，且不存在招标文件第二章“投标人须知”第1.4.3项和第1.4.4项规定的任何一种情形。</w:t>
      </w:r>
    </w:p>
    <w:p>
      <w:pPr>
        <w:spacing w:line="360" w:lineRule="exact"/>
        <w:ind w:firstLine="480" w:firstLineChars="200"/>
        <w:rPr>
          <w:szCs w:val="21"/>
        </w:rPr>
      </w:pPr>
      <w:r>
        <w:rPr>
          <w:rFonts w:hint="eastAsia"/>
          <w:kern w:val="0"/>
          <w:sz w:val="24"/>
        </w:rPr>
        <w:t xml:space="preserve">7. </w:t>
      </w:r>
      <w:r>
        <w:rPr>
          <w:rFonts w:hint="eastAsia"/>
          <w:sz w:val="24"/>
        </w:rPr>
        <w:t>在合同协议书正式签署生效之前，本投标函连同你方的中标通知书将构成我们双方之间共同遵守的文件，对双方具有约束力。</w:t>
      </w:r>
    </w:p>
    <w:p>
      <w:pPr>
        <w:autoSpaceDE w:val="0"/>
        <w:autoSpaceDN w:val="0"/>
        <w:adjustRightInd w:val="0"/>
        <w:spacing w:line="360" w:lineRule="exact"/>
        <w:ind w:firstLine="480" w:firstLineChars="200"/>
        <w:jc w:val="left"/>
        <w:rPr>
          <w:kern w:val="0"/>
          <w:sz w:val="24"/>
        </w:rPr>
      </w:pPr>
      <w:r>
        <w:rPr>
          <w:rFonts w:hint="eastAsia"/>
          <w:kern w:val="0"/>
          <w:sz w:val="24"/>
        </w:rPr>
        <w:t>8.</w:t>
      </w:r>
      <w:r>
        <w:rPr>
          <w:rFonts w:hint="eastAsia"/>
          <w:szCs w:val="21"/>
          <w:u w:val="single"/>
        </w:rPr>
        <w:t xml:space="preserve">  </w:t>
      </w:r>
      <w:r>
        <w:rPr>
          <w:rFonts w:hint="eastAsia"/>
          <w:sz w:val="24"/>
          <w:u w:val="single"/>
        </w:rPr>
        <w:t>近三年内我方及其法定代表人、拟委任的总监理工程师均无行贿犯罪行为</w:t>
      </w:r>
      <w:r>
        <w:rPr>
          <w:rFonts w:hint="eastAsia"/>
          <w:sz w:val="24"/>
        </w:rPr>
        <w:t xml:space="preserve"> (其他补充说明)</w:t>
      </w:r>
      <w:r>
        <w:rPr>
          <w:rFonts w:hint="eastAsia"/>
          <w:szCs w:val="21"/>
        </w:rPr>
        <w:t>。</w:t>
      </w:r>
    </w:p>
    <w:p>
      <w:pPr>
        <w:autoSpaceDE w:val="0"/>
        <w:autoSpaceDN w:val="0"/>
        <w:adjustRightInd w:val="0"/>
        <w:jc w:val="right"/>
        <w:rPr>
          <w:kern w:val="0"/>
          <w:szCs w:val="21"/>
        </w:rPr>
      </w:pPr>
    </w:p>
    <w:p>
      <w:pPr>
        <w:pStyle w:val="73"/>
        <w:spacing w:line="360" w:lineRule="auto"/>
        <w:ind w:right="-73" w:firstLine="3240" w:firstLineChars="1350"/>
        <w:jc w:val="both"/>
        <w:rPr>
          <w:color w:val="auto"/>
        </w:rPr>
      </w:pPr>
      <w:r>
        <w:rPr>
          <w:rFonts w:hint="eastAsia"/>
          <w:color w:val="auto"/>
        </w:rPr>
        <w:t>投</w:t>
      </w:r>
      <w:r>
        <w:rPr>
          <w:color w:val="auto"/>
        </w:rPr>
        <w:t xml:space="preserve"> </w:t>
      </w:r>
      <w:r>
        <w:rPr>
          <w:rFonts w:hint="eastAsia"/>
          <w:color w:val="auto"/>
        </w:rPr>
        <w:t>标</w:t>
      </w:r>
      <w:r>
        <w:rPr>
          <w:color w:val="auto"/>
        </w:rPr>
        <w:t xml:space="preserve"> </w:t>
      </w:r>
      <w:r>
        <w:rPr>
          <w:rFonts w:hint="eastAsia"/>
          <w:color w:val="auto"/>
        </w:rPr>
        <w:t>人：</w:t>
      </w:r>
      <w:r>
        <w:rPr>
          <w:color w:val="auto"/>
          <w:u w:val="single"/>
        </w:rPr>
        <w:t xml:space="preserve">                     </w:t>
      </w:r>
      <w:r>
        <w:rPr>
          <w:color w:val="auto"/>
        </w:rPr>
        <w:t xml:space="preserve"> (</w:t>
      </w:r>
      <w:r>
        <w:rPr>
          <w:rFonts w:hint="eastAsia"/>
          <w:color w:val="auto"/>
        </w:rPr>
        <w:t>盖单位章</w:t>
      </w:r>
      <w:r>
        <w:rPr>
          <w:color w:val="auto"/>
        </w:rPr>
        <w:t xml:space="preserve">) </w:t>
      </w:r>
    </w:p>
    <w:p>
      <w:pPr>
        <w:pStyle w:val="73"/>
        <w:spacing w:line="360" w:lineRule="auto"/>
        <w:ind w:firstLine="3240" w:firstLineChars="1350"/>
        <w:jc w:val="both"/>
        <w:rPr>
          <w:color w:val="auto"/>
        </w:rPr>
      </w:pPr>
      <w:r>
        <w:rPr>
          <w:rFonts w:hint="eastAsia"/>
          <w:color w:val="auto"/>
        </w:rPr>
        <w:t>法定代表人或其委托代理人：</w:t>
      </w:r>
      <w:r>
        <w:rPr>
          <w:color w:val="auto"/>
          <w:u w:val="single"/>
        </w:rPr>
        <w:t xml:space="preserve">           </w:t>
      </w:r>
      <w:r>
        <w:rPr>
          <w:color w:val="auto"/>
        </w:rPr>
        <w:t>(</w:t>
      </w:r>
      <w:r>
        <w:rPr>
          <w:rFonts w:hint="eastAsia"/>
          <w:color w:val="auto"/>
        </w:rPr>
        <w:t>签字</w:t>
      </w:r>
      <w:r>
        <w:rPr>
          <w:color w:val="auto"/>
        </w:rPr>
        <w:t>)</w:t>
      </w:r>
    </w:p>
    <w:p>
      <w:pPr>
        <w:pStyle w:val="73"/>
        <w:spacing w:line="360" w:lineRule="auto"/>
        <w:ind w:firstLine="3240" w:firstLineChars="1350"/>
        <w:jc w:val="both"/>
        <w:rPr>
          <w:color w:val="auto"/>
        </w:rPr>
      </w:pPr>
      <w:r>
        <w:rPr>
          <w:rFonts w:hint="eastAsia"/>
          <w:color w:val="auto"/>
        </w:rPr>
        <w:t>地址：</w:t>
      </w:r>
      <w:r>
        <w:rPr>
          <w:rFonts w:hint="eastAsia"/>
          <w:color w:val="auto"/>
          <w:u w:val="single"/>
        </w:rPr>
        <w:t xml:space="preserve">                                   .</w:t>
      </w:r>
      <w:r>
        <w:rPr>
          <w:color w:val="auto"/>
          <w:u w:val="single"/>
        </w:rPr>
        <w:t xml:space="preserve">                                     </w:t>
      </w:r>
    </w:p>
    <w:p>
      <w:pPr>
        <w:pStyle w:val="73"/>
        <w:spacing w:line="360" w:lineRule="auto"/>
        <w:ind w:firstLine="3240" w:firstLineChars="1350"/>
        <w:jc w:val="both"/>
        <w:rPr>
          <w:color w:val="auto"/>
        </w:rPr>
      </w:pPr>
      <w:r>
        <w:rPr>
          <w:rFonts w:hint="eastAsia"/>
          <w:color w:val="auto"/>
        </w:rPr>
        <w:t>网址：</w:t>
      </w:r>
      <w:r>
        <w:rPr>
          <w:rFonts w:hint="eastAsia"/>
          <w:color w:val="auto"/>
          <w:u w:val="single"/>
        </w:rPr>
        <w:t xml:space="preserve">                                   .</w:t>
      </w:r>
      <w:r>
        <w:rPr>
          <w:color w:val="auto"/>
          <w:u w:val="single"/>
        </w:rPr>
        <w:t xml:space="preserve">                                      </w:t>
      </w:r>
    </w:p>
    <w:p>
      <w:pPr>
        <w:pStyle w:val="73"/>
        <w:spacing w:line="360" w:lineRule="auto"/>
        <w:ind w:firstLine="3240" w:firstLineChars="1350"/>
        <w:jc w:val="both"/>
        <w:rPr>
          <w:color w:val="auto"/>
        </w:rPr>
      </w:pPr>
      <w:r>
        <w:rPr>
          <w:rFonts w:hint="eastAsia"/>
          <w:color w:val="auto"/>
        </w:rPr>
        <w:t>电话：</w:t>
      </w:r>
      <w:r>
        <w:rPr>
          <w:rFonts w:hint="eastAsia"/>
          <w:color w:val="auto"/>
          <w:u w:val="single"/>
        </w:rPr>
        <w:t xml:space="preserve">                                   .</w:t>
      </w:r>
      <w:r>
        <w:rPr>
          <w:color w:val="auto"/>
          <w:u w:val="single"/>
        </w:rPr>
        <w:t xml:space="preserve">                                     </w:t>
      </w:r>
      <w:r>
        <w:rPr>
          <w:color w:val="auto"/>
        </w:rPr>
        <w:t xml:space="preserve"> </w:t>
      </w:r>
    </w:p>
    <w:p>
      <w:pPr>
        <w:pStyle w:val="73"/>
        <w:spacing w:line="360" w:lineRule="auto"/>
        <w:ind w:firstLine="3240" w:firstLineChars="1350"/>
        <w:jc w:val="both"/>
        <w:rPr>
          <w:color w:val="auto"/>
        </w:rPr>
      </w:pPr>
      <w:r>
        <w:rPr>
          <w:rFonts w:hint="eastAsia"/>
          <w:color w:val="auto"/>
        </w:rPr>
        <w:t>传真：</w:t>
      </w:r>
      <w:r>
        <w:rPr>
          <w:rFonts w:hint="eastAsia"/>
          <w:color w:val="auto"/>
          <w:u w:val="single"/>
        </w:rPr>
        <w:t xml:space="preserve">                                   .</w:t>
      </w:r>
      <w:r>
        <w:rPr>
          <w:color w:val="auto"/>
          <w:u w:val="single"/>
        </w:rPr>
        <w:t xml:space="preserve">                                      </w:t>
      </w:r>
    </w:p>
    <w:p>
      <w:pPr>
        <w:pStyle w:val="73"/>
        <w:spacing w:line="360" w:lineRule="auto"/>
        <w:ind w:firstLine="3240" w:firstLineChars="1350"/>
        <w:jc w:val="both"/>
        <w:rPr>
          <w:color w:val="auto"/>
        </w:rPr>
      </w:pPr>
      <w:r>
        <w:rPr>
          <w:rFonts w:hint="eastAsia"/>
          <w:color w:val="auto"/>
        </w:rPr>
        <w:t>邮政编码：</w:t>
      </w:r>
      <w:r>
        <w:rPr>
          <w:rFonts w:hint="eastAsia"/>
          <w:color w:val="auto"/>
          <w:u w:val="single"/>
        </w:rPr>
        <w:t xml:space="preserve">                               .</w:t>
      </w:r>
      <w:r>
        <w:rPr>
          <w:color w:val="auto"/>
          <w:u w:val="single"/>
        </w:rPr>
        <w:t xml:space="preserve">                                  </w:t>
      </w:r>
    </w:p>
    <w:p>
      <w:pPr>
        <w:pStyle w:val="73"/>
        <w:spacing w:line="360" w:lineRule="auto"/>
        <w:ind w:firstLine="3240" w:firstLineChars="1350"/>
        <w:jc w:val="right"/>
        <w:rPr>
          <w:color w:val="auto"/>
        </w:rPr>
      </w:pPr>
      <w:r>
        <w:rPr>
          <w:color w:val="auto"/>
        </w:rPr>
        <w:t xml:space="preserve">      </w:t>
      </w:r>
      <w:r>
        <w:rPr>
          <w:color w:val="auto"/>
          <w:u w:val="single"/>
        </w:rPr>
        <w:t xml:space="preserve">      </w:t>
      </w:r>
      <w:r>
        <w:rPr>
          <w:rFonts w:hint="eastAsia"/>
          <w:color w:val="auto"/>
        </w:rPr>
        <w:t>年</w:t>
      </w:r>
      <w:r>
        <w:rPr>
          <w:color w:val="auto"/>
          <w:u w:val="single"/>
        </w:rPr>
        <w:t xml:space="preserve">      </w:t>
      </w:r>
      <w:r>
        <w:rPr>
          <w:rFonts w:hint="eastAsia"/>
          <w:color w:val="auto"/>
        </w:rPr>
        <w:t>月</w:t>
      </w:r>
      <w:r>
        <w:rPr>
          <w:color w:val="auto"/>
          <w:u w:val="single"/>
        </w:rPr>
        <w:t xml:space="preserve">      </w:t>
      </w:r>
      <w:r>
        <w:rPr>
          <w:rFonts w:hint="eastAsia"/>
          <w:color w:val="auto"/>
        </w:rPr>
        <w:t>日</w:t>
      </w:r>
    </w:p>
    <w:p>
      <w:pPr>
        <w:pStyle w:val="73"/>
        <w:spacing w:line="360" w:lineRule="auto"/>
        <w:rPr>
          <w:color w:val="auto"/>
        </w:rPr>
      </w:pPr>
      <w:r>
        <w:rPr>
          <w:rFonts w:hint="eastAsia"/>
          <w:color w:val="auto"/>
          <w:sz w:val="21"/>
          <w:szCs w:val="21"/>
        </w:rPr>
        <w:t>注：投标人仅须在投标函上加盖单位章，或由法定代表人或其委托代理人签字。</w:t>
      </w:r>
    </w:p>
    <w:p>
      <w:pPr>
        <w:pStyle w:val="73"/>
        <w:spacing w:line="360" w:lineRule="auto"/>
        <w:jc w:val="center"/>
        <w:rPr>
          <w:rFonts w:ascii="黑体" w:eastAsia="黑体"/>
          <w:b/>
          <w:color w:val="auto"/>
          <w:sz w:val="30"/>
          <w:szCs w:val="30"/>
        </w:rPr>
      </w:pPr>
      <w:r>
        <w:rPr>
          <w:color w:val="auto"/>
        </w:rPr>
        <w:br w:type="page"/>
      </w:r>
      <w:r>
        <w:rPr>
          <w:rFonts w:hint="eastAsia" w:ascii="Times New Roman" w:eastAsia="黑体" w:cs="Times New Roman"/>
          <w:b/>
          <w:color w:val="auto"/>
          <w:sz w:val="30"/>
          <w:szCs w:val="30"/>
        </w:rPr>
        <w:t>二、授权委托书或法定代表人身份证明</w:t>
      </w:r>
    </w:p>
    <w:p>
      <w:pPr>
        <w:autoSpaceDE w:val="0"/>
        <w:autoSpaceDN w:val="0"/>
        <w:adjustRightInd w:val="0"/>
        <w:jc w:val="center"/>
        <w:rPr>
          <w:rFonts w:ascii="黑体" w:eastAsia="黑体" w:cs="黑体"/>
          <w:b/>
          <w:kern w:val="0"/>
          <w:sz w:val="30"/>
          <w:szCs w:val="30"/>
        </w:rPr>
      </w:pPr>
    </w:p>
    <w:p>
      <w:pPr>
        <w:spacing w:line="360" w:lineRule="auto"/>
        <w:jc w:val="center"/>
        <w:rPr>
          <w:b/>
          <w:sz w:val="30"/>
          <w:szCs w:val="30"/>
        </w:rPr>
      </w:pPr>
      <w:bookmarkStart w:id="485" w:name="_Toc234346120"/>
      <w:bookmarkStart w:id="486" w:name="_Toc265483677"/>
      <w:bookmarkStart w:id="487" w:name="_Toc234348991"/>
      <w:bookmarkStart w:id="488" w:name="_Toc234345905"/>
      <w:bookmarkStart w:id="489" w:name="_Toc234349565"/>
      <w:r>
        <w:rPr>
          <w:rFonts w:hint="eastAsia"/>
          <w:b/>
          <w:sz w:val="30"/>
          <w:szCs w:val="30"/>
        </w:rPr>
        <w:t>（一）授权委托书</w:t>
      </w:r>
      <w:bookmarkEnd w:id="485"/>
      <w:bookmarkEnd w:id="486"/>
      <w:bookmarkEnd w:id="487"/>
      <w:bookmarkEnd w:id="488"/>
      <w:bookmarkEnd w:id="489"/>
    </w:p>
    <w:p>
      <w:pPr>
        <w:jc w:val="center"/>
        <w:rPr>
          <w:b/>
          <w:sz w:val="32"/>
          <w:szCs w:val="32"/>
        </w:rPr>
      </w:pPr>
    </w:p>
    <w:p>
      <w:pPr>
        <w:spacing w:line="360" w:lineRule="auto"/>
        <w:ind w:firstLine="480" w:firstLineChars="200"/>
        <w:rPr>
          <w:sz w:val="24"/>
        </w:rPr>
      </w:pPr>
      <w:r>
        <w:rPr>
          <w:rFonts w:hint="eastAsia"/>
          <w:sz w:val="24"/>
        </w:rPr>
        <w:t>本人</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rPr>
        <w:t>（投标人名称）的法定代表人，现委托</w:t>
      </w:r>
      <w:r>
        <w:rPr>
          <w:rFonts w:hint="eastAsia"/>
          <w:sz w:val="24"/>
          <w:u w:val="single"/>
        </w:rPr>
        <w:t xml:space="preserve">       </w:t>
      </w:r>
      <w:r>
        <w:rPr>
          <w:rFonts w:hint="eastAsia"/>
          <w:sz w:val="24"/>
        </w:rPr>
        <w:t>(姓名)为我方代理人。代理人根据授权，以我方名义签署、澄清确认、递交、撤回、修改</w:t>
      </w:r>
    </w:p>
    <w:p>
      <w:pPr>
        <w:spacing w:line="360" w:lineRule="auto"/>
        <w:rPr>
          <w:sz w:val="24"/>
        </w:rPr>
      </w:pPr>
      <w:r>
        <w:rPr>
          <w:rFonts w:hint="eastAsia"/>
          <w:sz w:val="24"/>
          <w:u w:val="single"/>
        </w:rPr>
        <w:t xml:space="preserve">               </w:t>
      </w:r>
      <w:r>
        <w:rPr>
          <w:rFonts w:hint="eastAsia"/>
          <w:sz w:val="24"/>
        </w:rPr>
        <w:t>（项目名称）施工监理投标文件、签订合同和处理有关事宜，其法律后果由我方承担。</w:t>
      </w:r>
    </w:p>
    <w:p>
      <w:pPr>
        <w:spacing w:line="360" w:lineRule="auto"/>
        <w:ind w:firstLine="480" w:firstLineChars="200"/>
        <w:rPr>
          <w:sz w:val="24"/>
        </w:rPr>
      </w:pPr>
      <w:r>
        <w:rPr>
          <w:rFonts w:hint="eastAsia"/>
          <w:sz w:val="24"/>
        </w:rPr>
        <w:t>委托期限：自本委托书签署之日起至投标有效期期满。</w:t>
      </w:r>
    </w:p>
    <w:p>
      <w:pPr>
        <w:spacing w:line="360" w:lineRule="auto"/>
        <w:ind w:firstLine="480" w:firstLineChars="200"/>
        <w:rPr>
          <w:sz w:val="24"/>
        </w:rPr>
      </w:pPr>
      <w:r>
        <w:rPr>
          <w:rFonts w:hint="eastAsia"/>
          <w:sz w:val="24"/>
        </w:rPr>
        <w:t>代理人无转委托权。</w:t>
      </w:r>
    </w:p>
    <w:p>
      <w:pPr>
        <w:spacing w:line="360" w:lineRule="auto"/>
        <w:ind w:firstLine="480" w:firstLineChars="200"/>
        <w:rPr>
          <w:sz w:val="24"/>
        </w:rPr>
      </w:pPr>
      <w:r>
        <w:rPr>
          <w:rFonts w:hint="eastAsia"/>
          <w:sz w:val="24"/>
        </w:rPr>
        <w:t>附：法定代表人身份证复印件及委托代理人身份证复印件</w:t>
      </w:r>
    </w:p>
    <w:p>
      <w:pPr>
        <w:tabs>
          <w:tab w:val="left" w:pos="3969"/>
        </w:tabs>
        <w:spacing w:line="460" w:lineRule="exact"/>
        <w:ind w:firstLine="3967" w:firstLineChars="1653"/>
        <w:rPr>
          <w:sz w:val="24"/>
        </w:rPr>
      </w:pPr>
      <w:r>
        <w:rPr>
          <w:rFonts w:hint="eastAsia"/>
          <w:sz w:val="24"/>
        </w:rPr>
        <w:t>投标人：</w:t>
      </w:r>
      <w:r>
        <w:rPr>
          <w:rFonts w:hint="eastAsia"/>
          <w:sz w:val="24"/>
          <w:u w:val="single"/>
        </w:rPr>
        <w:t xml:space="preserve">                 </w:t>
      </w:r>
      <w:r>
        <w:rPr>
          <w:rFonts w:hint="eastAsia"/>
          <w:sz w:val="24"/>
        </w:rPr>
        <w:t>(盖单位章)</w:t>
      </w:r>
    </w:p>
    <w:p>
      <w:pPr>
        <w:tabs>
          <w:tab w:val="left" w:pos="3969"/>
        </w:tabs>
        <w:spacing w:line="460" w:lineRule="exact"/>
        <w:ind w:firstLine="3967" w:firstLineChars="1653"/>
        <w:rPr>
          <w:sz w:val="24"/>
        </w:rPr>
      </w:pPr>
      <w:r>
        <w:rPr>
          <w:rFonts w:hint="eastAsia"/>
          <w:sz w:val="24"/>
        </w:rPr>
        <w:t>法定代表人：</w:t>
      </w:r>
      <w:r>
        <w:rPr>
          <w:rFonts w:hint="eastAsia"/>
          <w:sz w:val="24"/>
          <w:u w:val="single"/>
        </w:rPr>
        <w:t xml:space="preserve">                 </w:t>
      </w:r>
      <w:r>
        <w:rPr>
          <w:rFonts w:hint="eastAsia"/>
          <w:sz w:val="24"/>
        </w:rPr>
        <w:t>(签字)</w:t>
      </w:r>
    </w:p>
    <w:p>
      <w:pPr>
        <w:tabs>
          <w:tab w:val="left" w:pos="3969"/>
        </w:tabs>
        <w:spacing w:line="460" w:lineRule="exact"/>
        <w:ind w:firstLine="3967" w:firstLineChars="1653"/>
        <w:rPr>
          <w:sz w:val="24"/>
          <w:u w:val="single"/>
        </w:rPr>
      </w:pPr>
      <w:r>
        <w:rPr>
          <w:rFonts w:hint="eastAsia"/>
          <w:sz w:val="24"/>
        </w:rPr>
        <w:t>身份证号码：_______________________</w:t>
      </w:r>
    </w:p>
    <w:p>
      <w:pPr>
        <w:tabs>
          <w:tab w:val="left" w:pos="3969"/>
        </w:tabs>
        <w:spacing w:line="460" w:lineRule="exact"/>
        <w:ind w:firstLine="3967" w:firstLineChars="1653"/>
        <w:rPr>
          <w:sz w:val="24"/>
        </w:rPr>
      </w:pPr>
      <w:r>
        <w:rPr>
          <w:rFonts w:hint="eastAsia"/>
          <w:sz w:val="24"/>
        </w:rPr>
        <w:t>委托代理人：</w:t>
      </w:r>
      <w:r>
        <w:rPr>
          <w:rFonts w:hint="eastAsia"/>
          <w:sz w:val="24"/>
          <w:u w:val="single"/>
        </w:rPr>
        <w:t xml:space="preserve">                 </w:t>
      </w:r>
      <w:r>
        <w:rPr>
          <w:rFonts w:hint="eastAsia"/>
          <w:sz w:val="24"/>
        </w:rPr>
        <w:t>(签字)</w:t>
      </w:r>
    </w:p>
    <w:p>
      <w:pPr>
        <w:tabs>
          <w:tab w:val="left" w:pos="3969"/>
        </w:tabs>
        <w:spacing w:line="460" w:lineRule="exact"/>
        <w:ind w:firstLine="3967" w:firstLineChars="1653"/>
        <w:rPr>
          <w:sz w:val="24"/>
        </w:rPr>
      </w:pPr>
      <w:r>
        <w:rPr>
          <w:rFonts w:hint="eastAsia"/>
          <w:sz w:val="24"/>
        </w:rPr>
        <w:t>身份证号码：______________________</w:t>
      </w:r>
    </w:p>
    <w:p>
      <w:pPr>
        <w:tabs>
          <w:tab w:val="left" w:pos="3969"/>
        </w:tabs>
        <w:spacing w:line="460" w:lineRule="exact"/>
        <w:ind w:firstLine="3967" w:firstLineChars="1653"/>
        <w:rPr>
          <w:sz w:val="24"/>
        </w:rPr>
      </w:pPr>
    </w:p>
    <w:p>
      <w:pPr>
        <w:tabs>
          <w:tab w:val="left" w:pos="3969"/>
        </w:tabs>
        <w:spacing w:line="460" w:lineRule="exact"/>
        <w:ind w:firstLine="6098" w:firstLineChars="2541"/>
        <w:jc w:val="center"/>
        <w:rPr>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60" w:lineRule="exact"/>
        <w:ind w:firstLine="420" w:firstLineChars="200"/>
        <w:rPr>
          <w:szCs w:val="21"/>
        </w:rPr>
      </w:pPr>
      <w:r>
        <w:rPr>
          <w:rFonts w:hint="eastAsia"/>
          <w:szCs w:val="21"/>
        </w:rPr>
        <w:t>注：</w:t>
      </w:r>
    </w:p>
    <w:p>
      <w:pPr>
        <w:numPr>
          <w:ilvl w:val="0"/>
          <w:numId w:val="9"/>
        </w:numPr>
        <w:spacing w:line="460" w:lineRule="exact"/>
        <w:ind w:firstLine="420" w:firstLineChars="200"/>
        <w:rPr>
          <w:szCs w:val="21"/>
        </w:rPr>
      </w:pPr>
      <w:r>
        <w:rPr>
          <w:rFonts w:hint="eastAsia"/>
          <w:szCs w:val="21"/>
        </w:rPr>
        <w:t>法定代表人和委托代理人必须在授权书上亲笔签名，不得使用印章、签名章或其他电子制版签名代替；</w:t>
      </w:r>
    </w:p>
    <w:p>
      <w:pPr>
        <w:numPr>
          <w:ilvl w:val="0"/>
          <w:numId w:val="9"/>
        </w:numPr>
        <w:spacing w:line="460" w:lineRule="exact"/>
        <w:ind w:firstLine="420" w:firstLineChars="200"/>
        <w:rPr>
          <w:szCs w:val="21"/>
        </w:rPr>
      </w:pPr>
      <w:r>
        <w:rPr>
          <w:rFonts w:hint="eastAsia"/>
          <w:szCs w:val="21"/>
        </w:rPr>
        <w:t>如果由投标人的法定代表人签署投标文件，则无须提交授权委托书。</w:t>
      </w:r>
    </w:p>
    <w:p>
      <w:pPr>
        <w:spacing w:line="460" w:lineRule="exact"/>
        <w:rPr>
          <w:szCs w:val="21"/>
        </w:rPr>
      </w:pPr>
    </w:p>
    <w:p>
      <w:pPr>
        <w:pStyle w:val="73"/>
        <w:spacing w:line="360" w:lineRule="auto"/>
        <w:jc w:val="both"/>
        <w:rPr>
          <w:color w:val="auto"/>
        </w:rPr>
      </w:pPr>
    </w:p>
    <w:p>
      <w:pPr>
        <w:pStyle w:val="73"/>
        <w:spacing w:line="360" w:lineRule="auto"/>
        <w:jc w:val="both"/>
        <w:rPr>
          <w:color w:val="auto"/>
        </w:rPr>
      </w:pPr>
    </w:p>
    <w:p>
      <w:pPr>
        <w:pStyle w:val="73"/>
        <w:spacing w:line="360" w:lineRule="auto"/>
        <w:jc w:val="both"/>
        <w:rPr>
          <w:color w:val="auto"/>
        </w:rPr>
      </w:pPr>
    </w:p>
    <w:p>
      <w:pPr>
        <w:pStyle w:val="73"/>
        <w:spacing w:line="360" w:lineRule="auto"/>
        <w:jc w:val="both"/>
        <w:rPr>
          <w:color w:val="auto"/>
        </w:rPr>
      </w:pPr>
    </w:p>
    <w:p>
      <w:pPr>
        <w:pStyle w:val="73"/>
        <w:spacing w:line="360" w:lineRule="auto"/>
        <w:jc w:val="both"/>
        <w:rPr>
          <w:color w:val="auto"/>
        </w:rPr>
      </w:pPr>
    </w:p>
    <w:p>
      <w:pPr>
        <w:pStyle w:val="73"/>
        <w:spacing w:line="360" w:lineRule="auto"/>
        <w:jc w:val="both"/>
        <w:rPr>
          <w:color w:val="auto"/>
        </w:rPr>
      </w:pPr>
    </w:p>
    <w:p>
      <w:pPr>
        <w:spacing w:line="360" w:lineRule="auto"/>
        <w:jc w:val="center"/>
        <w:rPr>
          <w:b/>
          <w:sz w:val="32"/>
          <w:szCs w:val="32"/>
        </w:rPr>
      </w:pPr>
      <w:bookmarkStart w:id="490" w:name="_Toc234345904"/>
      <w:bookmarkStart w:id="491" w:name="_Toc234349564"/>
      <w:bookmarkStart w:id="492" w:name="_Toc234348990"/>
      <w:bookmarkStart w:id="493" w:name="_Toc234346119"/>
      <w:bookmarkStart w:id="494" w:name="_Toc265483676"/>
      <w:r>
        <w:rPr>
          <w:rFonts w:hint="eastAsia"/>
          <w:b/>
          <w:sz w:val="32"/>
          <w:szCs w:val="32"/>
        </w:rPr>
        <w:br w:type="page"/>
      </w:r>
      <w:r>
        <w:rPr>
          <w:rFonts w:hint="eastAsia"/>
          <w:b/>
          <w:sz w:val="30"/>
          <w:szCs w:val="30"/>
        </w:rPr>
        <w:t>(二)法定代表人身份证明</w:t>
      </w:r>
      <w:bookmarkEnd w:id="490"/>
      <w:bookmarkEnd w:id="491"/>
      <w:bookmarkEnd w:id="492"/>
      <w:bookmarkEnd w:id="493"/>
      <w:bookmarkEnd w:id="494"/>
    </w:p>
    <w:p>
      <w:pPr>
        <w:tabs>
          <w:tab w:val="left" w:pos="3960"/>
        </w:tabs>
        <w:spacing w:line="500" w:lineRule="exact"/>
        <w:jc w:val="left"/>
        <w:rPr>
          <w:szCs w:val="21"/>
        </w:rPr>
      </w:pPr>
    </w:p>
    <w:p>
      <w:pPr>
        <w:tabs>
          <w:tab w:val="left" w:pos="3960"/>
        </w:tabs>
        <w:spacing w:line="500" w:lineRule="exact"/>
        <w:jc w:val="left"/>
        <w:rPr>
          <w:sz w:val="24"/>
        </w:rPr>
      </w:pPr>
      <w:r>
        <w:rPr>
          <w:rFonts w:hint="eastAsia"/>
          <w:sz w:val="24"/>
        </w:rPr>
        <w:t>投标人名称：____________________________</w:t>
      </w:r>
    </w:p>
    <w:p>
      <w:pPr>
        <w:tabs>
          <w:tab w:val="left" w:pos="3960"/>
        </w:tabs>
        <w:spacing w:line="500" w:lineRule="exact"/>
        <w:jc w:val="left"/>
        <w:rPr>
          <w:sz w:val="24"/>
          <w:u w:val="single"/>
        </w:rPr>
      </w:pPr>
      <w:r>
        <w:rPr>
          <w:rFonts w:hint="eastAsia"/>
          <w:sz w:val="24"/>
        </w:rPr>
        <w:t>姓名：</w:t>
      </w:r>
      <w:r>
        <w:rPr>
          <w:rFonts w:hint="eastAsia"/>
          <w:sz w:val="24"/>
          <w:u w:val="single"/>
        </w:rPr>
        <w:t xml:space="preserve"> （法定代表人亲笔签字）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职务：________</w:t>
      </w:r>
    </w:p>
    <w:p>
      <w:pPr>
        <w:tabs>
          <w:tab w:val="left" w:pos="3960"/>
        </w:tabs>
        <w:spacing w:line="500" w:lineRule="exact"/>
        <w:jc w:val="left"/>
        <w:rPr>
          <w:sz w:val="24"/>
        </w:rPr>
      </w:pPr>
      <w:r>
        <w:rPr>
          <w:rFonts w:hint="eastAsia"/>
          <w:sz w:val="24"/>
        </w:rPr>
        <w:t>系</w:t>
      </w:r>
      <w:r>
        <w:rPr>
          <w:rFonts w:hint="eastAsia"/>
          <w:sz w:val="24"/>
          <w:u w:val="single"/>
        </w:rPr>
        <w:t xml:space="preserve">                        </w:t>
      </w:r>
      <w:r>
        <w:rPr>
          <w:rFonts w:hint="eastAsia"/>
          <w:sz w:val="24"/>
        </w:rPr>
        <w:t>（投标人名称）的法定代表人。</w:t>
      </w:r>
    </w:p>
    <w:p>
      <w:pPr>
        <w:tabs>
          <w:tab w:val="left" w:pos="3960"/>
        </w:tabs>
        <w:spacing w:line="500" w:lineRule="exact"/>
        <w:ind w:firstLine="570"/>
        <w:jc w:val="left"/>
        <w:rPr>
          <w:sz w:val="24"/>
        </w:rPr>
      </w:pPr>
      <w:r>
        <w:rPr>
          <w:rFonts w:hint="eastAsia"/>
          <w:sz w:val="24"/>
        </w:rPr>
        <w:t>特此证明。</w:t>
      </w:r>
    </w:p>
    <w:p>
      <w:pPr>
        <w:tabs>
          <w:tab w:val="left" w:pos="3960"/>
        </w:tabs>
        <w:spacing w:line="500" w:lineRule="exact"/>
        <w:ind w:firstLine="570"/>
        <w:jc w:val="left"/>
        <w:rPr>
          <w:sz w:val="24"/>
        </w:rPr>
      </w:pPr>
    </w:p>
    <w:p>
      <w:pPr>
        <w:tabs>
          <w:tab w:val="left" w:pos="3960"/>
        </w:tabs>
        <w:spacing w:line="500" w:lineRule="exact"/>
        <w:ind w:firstLine="570"/>
        <w:jc w:val="left"/>
        <w:rPr>
          <w:sz w:val="24"/>
        </w:rPr>
      </w:pPr>
    </w:p>
    <w:p>
      <w:pPr>
        <w:tabs>
          <w:tab w:val="left" w:pos="3960"/>
        </w:tabs>
        <w:spacing w:line="500" w:lineRule="exact"/>
        <w:ind w:firstLine="570"/>
        <w:jc w:val="left"/>
        <w:rPr>
          <w:sz w:val="24"/>
        </w:rPr>
      </w:pPr>
      <w:r>
        <w:rPr>
          <w:rFonts w:hint="eastAsia"/>
          <w:sz w:val="24"/>
        </w:rPr>
        <w:t>附：法定代表人身份证复印件。</w:t>
      </w:r>
    </w:p>
    <w:p>
      <w:pPr>
        <w:spacing w:line="460" w:lineRule="exact"/>
        <w:ind w:firstLine="465"/>
        <w:rPr>
          <w:sz w:val="24"/>
        </w:rPr>
      </w:pPr>
    </w:p>
    <w:p>
      <w:pPr>
        <w:spacing w:line="460" w:lineRule="exact"/>
        <w:ind w:firstLine="465"/>
        <w:rPr>
          <w:sz w:val="24"/>
        </w:rPr>
      </w:pPr>
    </w:p>
    <w:p>
      <w:pPr>
        <w:spacing w:line="460" w:lineRule="exact"/>
        <w:ind w:firstLine="465"/>
        <w:rPr>
          <w:sz w:val="24"/>
        </w:rPr>
      </w:pPr>
    </w:p>
    <w:p>
      <w:pPr>
        <w:spacing w:line="460" w:lineRule="exact"/>
        <w:ind w:firstLine="465"/>
        <w:rPr>
          <w:sz w:val="24"/>
        </w:rPr>
      </w:pPr>
    </w:p>
    <w:p>
      <w:pPr>
        <w:wordWrap w:val="0"/>
        <w:spacing w:line="460" w:lineRule="exact"/>
        <w:jc w:val="right"/>
        <w:rPr>
          <w:sz w:val="24"/>
        </w:rPr>
      </w:pPr>
      <w:r>
        <w:rPr>
          <w:rFonts w:hint="eastAsia"/>
          <w:sz w:val="24"/>
        </w:rPr>
        <w:t>投标人：</w:t>
      </w:r>
      <w:r>
        <w:rPr>
          <w:rFonts w:hint="eastAsia"/>
          <w:sz w:val="24"/>
          <w:u w:val="single"/>
        </w:rPr>
        <w:t xml:space="preserve">                     </w:t>
      </w:r>
      <w:r>
        <w:rPr>
          <w:rFonts w:hint="eastAsia"/>
          <w:sz w:val="24"/>
        </w:rPr>
        <w:t>(盖单位章)</w:t>
      </w:r>
    </w:p>
    <w:p>
      <w:pPr>
        <w:wordWrap w:val="0"/>
        <w:spacing w:line="460" w:lineRule="exact"/>
        <w:jc w:val="right"/>
        <w:rPr>
          <w:szCs w:val="21"/>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60" w:lineRule="exact"/>
        <w:jc w:val="right"/>
        <w:rPr>
          <w:sz w:val="24"/>
        </w:rPr>
      </w:pPr>
    </w:p>
    <w:p>
      <w:pPr>
        <w:spacing w:line="460" w:lineRule="exact"/>
        <w:rPr>
          <w:sz w:val="24"/>
        </w:rPr>
      </w:pPr>
    </w:p>
    <w:p>
      <w:pPr>
        <w:spacing w:line="460" w:lineRule="exact"/>
        <w:rPr>
          <w:sz w:val="24"/>
        </w:rPr>
      </w:pPr>
    </w:p>
    <w:p>
      <w:pPr>
        <w:autoSpaceDE w:val="0"/>
        <w:autoSpaceDN w:val="0"/>
        <w:adjustRightInd w:val="0"/>
        <w:spacing w:line="360" w:lineRule="auto"/>
        <w:ind w:left="102"/>
        <w:jc w:val="left"/>
        <w:rPr>
          <w:kern w:val="0"/>
          <w:szCs w:val="21"/>
        </w:rPr>
      </w:pPr>
      <w:r>
        <w:rPr>
          <w:rFonts w:hint="eastAsia"/>
          <w:kern w:val="0"/>
          <w:szCs w:val="21"/>
        </w:rPr>
        <w:t>注：</w:t>
      </w:r>
      <w:r>
        <w:rPr>
          <w:kern w:val="0"/>
          <w:szCs w:val="21"/>
        </w:rPr>
        <w:t>1.</w:t>
      </w:r>
      <w:r>
        <w:rPr>
          <w:rFonts w:hint="eastAsia"/>
          <w:kern w:val="0"/>
          <w:szCs w:val="21"/>
        </w:rPr>
        <w:t>法定代表人的签字必须是亲笔签名，不得使用印章、签名章或其他电子制版签名代替。</w:t>
      </w:r>
    </w:p>
    <w:p>
      <w:pPr>
        <w:autoSpaceDE w:val="0"/>
        <w:autoSpaceDN w:val="0"/>
        <w:adjustRightInd w:val="0"/>
        <w:spacing w:line="360" w:lineRule="auto"/>
        <w:ind w:left="103" w:leftChars="49" w:firstLine="420" w:firstLineChars="200"/>
        <w:jc w:val="left"/>
        <w:rPr>
          <w:kern w:val="0"/>
          <w:szCs w:val="21"/>
        </w:rPr>
      </w:pPr>
    </w:p>
    <w:p>
      <w:pPr>
        <w:autoSpaceDE w:val="0"/>
        <w:autoSpaceDN w:val="0"/>
        <w:adjustRightInd w:val="0"/>
        <w:spacing w:line="341" w:lineRule="exact"/>
        <w:ind w:right="33"/>
        <w:jc w:val="center"/>
        <w:rPr>
          <w:rFonts w:ascii="黑体" w:eastAsia="黑体" w:cs="黑体"/>
          <w:b/>
          <w:kern w:val="0"/>
          <w:position w:val="-3"/>
          <w:sz w:val="30"/>
          <w:szCs w:val="30"/>
        </w:rPr>
      </w:pPr>
      <w:r>
        <w:rPr>
          <w:kern w:val="0"/>
          <w:szCs w:val="21"/>
        </w:rPr>
        <w:br w:type="page"/>
      </w:r>
      <w:r>
        <w:rPr>
          <w:rFonts w:hint="eastAsia" w:eastAsia="黑体"/>
          <w:b/>
          <w:kern w:val="0"/>
          <w:sz w:val="30"/>
          <w:szCs w:val="30"/>
        </w:rPr>
        <w:t>三、投标保证金</w:t>
      </w:r>
    </w:p>
    <w:p>
      <w:pPr>
        <w:autoSpaceDE w:val="0"/>
        <w:autoSpaceDN w:val="0"/>
        <w:adjustRightInd w:val="0"/>
        <w:spacing w:line="341" w:lineRule="exact"/>
        <w:ind w:right="33"/>
        <w:jc w:val="center"/>
        <w:rPr>
          <w:rFonts w:ascii="黑体" w:eastAsia="黑体" w:cs="黑体"/>
          <w:b/>
          <w:kern w:val="0"/>
          <w:sz w:val="30"/>
          <w:szCs w:val="30"/>
        </w:rPr>
      </w:pPr>
    </w:p>
    <w:p>
      <w:pPr>
        <w:spacing w:line="440" w:lineRule="exact"/>
        <w:rPr>
          <w:sz w:val="24"/>
        </w:rPr>
      </w:pPr>
      <w:r>
        <w:rPr>
          <w:rFonts w:hint="eastAsia"/>
          <w:sz w:val="24"/>
        </w:rPr>
        <w:t>1.若采用支票，投标人应在此提供支票、招标人开具的投标保证金收据、基本账户开户许可证或备案证明材料的复印件。</w:t>
      </w:r>
    </w:p>
    <w:p>
      <w:pPr>
        <w:spacing w:line="440" w:lineRule="exact"/>
        <w:rPr>
          <w:sz w:val="24"/>
        </w:rPr>
      </w:pPr>
      <w:r>
        <w:rPr>
          <w:rFonts w:hint="eastAsia"/>
          <w:sz w:val="24"/>
        </w:rPr>
        <w:t>2.若采用银行电汇，投标人应在此提供电汇凭证、基本账户开户许可证或备案证明材料复印件。</w:t>
      </w:r>
    </w:p>
    <w:p>
      <w:pPr>
        <w:spacing w:line="440" w:lineRule="exact"/>
        <w:rPr>
          <w:sz w:val="24"/>
        </w:rPr>
      </w:pPr>
      <w:r>
        <w:rPr>
          <w:rFonts w:hint="eastAsia"/>
          <w:sz w:val="24"/>
        </w:rPr>
        <w:t xml:space="preserve">3. 若采用银行保函，原件应在投标文件递交截止时间之前单独密封递交给招标人，银行保函复印件应在此提供。银行保函格式如下： </w:t>
      </w:r>
    </w:p>
    <w:p>
      <w:pPr>
        <w:spacing w:line="440" w:lineRule="exact"/>
        <w:rPr>
          <w:sz w:val="24"/>
        </w:rPr>
      </w:pPr>
      <w:r>
        <w:rPr>
          <w:rFonts w:hint="eastAsia"/>
          <w:sz w:val="24"/>
        </w:rPr>
        <w:t xml:space="preserve">   </w:t>
      </w:r>
    </w:p>
    <w:p>
      <w:pPr>
        <w:spacing w:after="240" w:afterLines="100" w:line="440" w:lineRule="exact"/>
        <w:rPr>
          <w:sz w:val="24"/>
        </w:rPr>
      </w:pPr>
      <w:r>
        <w:rPr>
          <w:rFonts w:hint="eastAsia"/>
          <w:sz w:val="24"/>
          <w:u w:val="single"/>
        </w:rPr>
        <w:t xml:space="preserve">              </w:t>
      </w:r>
      <w:r>
        <w:rPr>
          <w:rFonts w:hint="eastAsia"/>
          <w:sz w:val="24"/>
        </w:rPr>
        <w:t>(招标人名称)：</w:t>
      </w:r>
    </w:p>
    <w:p>
      <w:pPr>
        <w:spacing w:line="440" w:lineRule="exact"/>
        <w:rPr>
          <w:sz w:val="24"/>
        </w:rPr>
      </w:pPr>
      <w:r>
        <w:rPr>
          <w:rFonts w:hint="eastAsia"/>
          <w:sz w:val="24"/>
        </w:rPr>
        <w:t xml:space="preserve">     鉴于</w:t>
      </w:r>
      <w:r>
        <w:rPr>
          <w:rFonts w:hint="eastAsia"/>
          <w:sz w:val="24"/>
          <w:u w:val="single"/>
        </w:rPr>
        <w:t xml:space="preserve">             </w:t>
      </w:r>
      <w:r>
        <w:rPr>
          <w:rFonts w:hint="eastAsia"/>
          <w:sz w:val="24"/>
        </w:rPr>
        <w:t>(投标人名称)(以下称“投标人</w:t>
      </w:r>
      <w:r>
        <w:rPr>
          <w:sz w:val="24"/>
        </w:rPr>
        <w:t>”</w:t>
      </w:r>
      <w:r>
        <w:rPr>
          <w:rFonts w:hint="eastAsia"/>
          <w:sz w:val="24"/>
        </w:rPr>
        <w:t>)于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日参加</w:t>
      </w:r>
    </w:p>
    <w:p>
      <w:pPr>
        <w:spacing w:line="440" w:lineRule="exact"/>
        <w:rPr>
          <w:sz w:val="24"/>
          <w:u w:val="single"/>
        </w:rPr>
      </w:pPr>
      <w:r>
        <w:rPr>
          <w:rFonts w:hint="eastAsia"/>
          <w:sz w:val="24"/>
          <w:u w:val="single"/>
        </w:rPr>
        <w:t xml:space="preserve">       </w:t>
      </w:r>
      <w:r>
        <w:rPr>
          <w:rFonts w:hint="eastAsia"/>
          <w:sz w:val="24"/>
        </w:rPr>
        <w:t>（项目名称）施工监理的投标，</w:t>
      </w:r>
      <w:r>
        <w:rPr>
          <w:rFonts w:hint="eastAsia"/>
          <w:sz w:val="24"/>
          <w:u w:val="single"/>
        </w:rPr>
        <w:t xml:space="preserve">        </w:t>
      </w:r>
      <w:r>
        <w:rPr>
          <w:rFonts w:hint="eastAsia"/>
          <w:sz w:val="24"/>
        </w:rPr>
        <w:t xml:space="preserve"> (担保人名称，以下简称“我方”)无条件地、不可撤销地保证：若投标人在投标有效期内撤销投标文件，中标后无正当理由不与招标人订立合同，在签订合同时向招标人提出附加条件，不按照招标文件要求提交履约保证金，或发生招标文件明确规定可以不予退还投标保证金的其他情形，我方承担保证责任。收到你方书面通知后，我方在7日内向你方无条件支付人民币(大写)</w:t>
      </w:r>
      <w:r>
        <w:rPr>
          <w:rFonts w:hint="eastAsia"/>
          <w:sz w:val="24"/>
          <w:u w:val="single"/>
        </w:rPr>
        <w:t xml:space="preserve">             </w:t>
      </w:r>
      <w:r>
        <w:rPr>
          <w:rFonts w:hint="eastAsia"/>
          <w:sz w:val="24"/>
        </w:rPr>
        <w:t>元。</w:t>
      </w:r>
    </w:p>
    <w:p>
      <w:pPr>
        <w:spacing w:line="440" w:lineRule="exact"/>
        <w:ind w:firstLine="480"/>
        <w:rPr>
          <w:sz w:val="24"/>
        </w:rPr>
      </w:pPr>
      <w:r>
        <w:rPr>
          <w:rFonts w:hint="eastAsia"/>
          <w:sz w:val="24"/>
        </w:rPr>
        <w:t>本保函在投标有效期或经延长的投标有效期内保持有效。要求我方承担保证责任的通知应在上述期限内送达我方。你方延长投标有效期的决定，应通知我方。</w:t>
      </w:r>
    </w:p>
    <w:p>
      <w:pPr>
        <w:spacing w:line="440" w:lineRule="exact"/>
        <w:rPr>
          <w:sz w:val="24"/>
        </w:rPr>
      </w:pPr>
      <w:r>
        <w:rPr>
          <w:rFonts w:hint="eastAsia"/>
          <w:sz w:val="24"/>
        </w:rPr>
        <w:t xml:space="preserve">    </w:t>
      </w:r>
    </w:p>
    <w:p>
      <w:pPr>
        <w:spacing w:line="440" w:lineRule="exact"/>
        <w:rPr>
          <w:sz w:val="24"/>
        </w:rPr>
      </w:pPr>
    </w:p>
    <w:p>
      <w:pPr>
        <w:spacing w:line="440" w:lineRule="exact"/>
        <w:rPr>
          <w:sz w:val="24"/>
        </w:rPr>
      </w:pPr>
    </w:p>
    <w:p>
      <w:pPr>
        <w:autoSpaceDE w:val="0"/>
        <w:autoSpaceDN w:val="0"/>
        <w:adjustRightInd w:val="0"/>
        <w:spacing w:line="400" w:lineRule="atLeast"/>
        <w:ind w:firstLine="480" w:firstLineChars="200"/>
        <w:rPr>
          <w:kern w:val="0"/>
          <w:sz w:val="24"/>
        </w:rPr>
      </w:pPr>
      <w:r>
        <w:rPr>
          <w:rFonts w:hint="eastAsia"/>
          <w:kern w:val="0"/>
          <w:sz w:val="24"/>
        </w:rPr>
        <w:t xml:space="preserve">                       担保人名称：</w:t>
      </w:r>
      <w:r>
        <w:rPr>
          <w:rFonts w:hint="eastAsia"/>
          <w:kern w:val="0"/>
          <w:sz w:val="24"/>
          <w:u w:val="single"/>
        </w:rPr>
        <w:t xml:space="preserve">                    </w:t>
      </w:r>
      <w:r>
        <w:rPr>
          <w:rFonts w:hint="eastAsia"/>
          <w:kern w:val="0"/>
          <w:sz w:val="24"/>
        </w:rPr>
        <w:t>（盖单位章）</w:t>
      </w:r>
    </w:p>
    <w:p>
      <w:pPr>
        <w:wordWrap w:val="0"/>
        <w:autoSpaceDE w:val="0"/>
        <w:autoSpaceDN w:val="0"/>
        <w:adjustRightInd w:val="0"/>
        <w:spacing w:line="400" w:lineRule="atLeast"/>
        <w:jc w:val="center"/>
        <w:rPr>
          <w:kern w:val="0"/>
          <w:sz w:val="24"/>
        </w:rPr>
      </w:pPr>
      <w:r>
        <w:rPr>
          <w:rFonts w:hint="eastAsia"/>
          <w:kern w:val="0"/>
          <w:sz w:val="24"/>
        </w:rPr>
        <w:t xml:space="preserve">                    法定代表人或其委托代理人：</w:t>
      </w:r>
      <w:r>
        <w:rPr>
          <w:rFonts w:hint="eastAsia"/>
          <w:kern w:val="0"/>
          <w:sz w:val="24"/>
          <w:u w:val="single"/>
        </w:rPr>
        <w:t xml:space="preserve">          </w:t>
      </w:r>
      <w:r>
        <w:rPr>
          <w:rFonts w:hint="eastAsia"/>
          <w:kern w:val="0"/>
          <w:sz w:val="24"/>
        </w:rPr>
        <w:t>（签字）</w:t>
      </w:r>
    </w:p>
    <w:p>
      <w:pPr>
        <w:autoSpaceDE w:val="0"/>
        <w:autoSpaceDN w:val="0"/>
        <w:adjustRightInd w:val="0"/>
        <w:spacing w:line="400" w:lineRule="atLeast"/>
        <w:ind w:firstLine="3240" w:firstLineChars="1350"/>
        <w:rPr>
          <w:kern w:val="0"/>
          <w:sz w:val="24"/>
        </w:rPr>
      </w:pPr>
      <w:r>
        <w:rPr>
          <w:rFonts w:hint="eastAsia"/>
          <w:kern w:val="0"/>
          <w:sz w:val="24"/>
        </w:rPr>
        <w:t>地    址：________________________________</w:t>
      </w:r>
    </w:p>
    <w:p>
      <w:pPr>
        <w:autoSpaceDE w:val="0"/>
        <w:autoSpaceDN w:val="0"/>
        <w:adjustRightInd w:val="0"/>
        <w:spacing w:line="400" w:lineRule="atLeast"/>
        <w:ind w:firstLine="3240" w:firstLineChars="1350"/>
        <w:rPr>
          <w:kern w:val="0"/>
          <w:sz w:val="24"/>
          <w:u w:val="single"/>
        </w:rPr>
      </w:pPr>
      <w:r>
        <w:rPr>
          <w:rFonts w:hint="eastAsia"/>
          <w:kern w:val="0"/>
          <w:sz w:val="24"/>
        </w:rPr>
        <w:t>邮政编码：________________________________</w:t>
      </w:r>
    </w:p>
    <w:p>
      <w:pPr>
        <w:autoSpaceDE w:val="0"/>
        <w:autoSpaceDN w:val="0"/>
        <w:adjustRightInd w:val="0"/>
        <w:spacing w:line="400" w:lineRule="atLeast"/>
        <w:ind w:firstLine="3240" w:firstLineChars="1350"/>
        <w:rPr>
          <w:kern w:val="0"/>
          <w:sz w:val="24"/>
          <w:u w:val="single"/>
        </w:rPr>
      </w:pPr>
      <w:r>
        <w:rPr>
          <w:rFonts w:hint="eastAsia"/>
          <w:kern w:val="0"/>
          <w:sz w:val="24"/>
        </w:rPr>
        <w:t>电    话：________________________________</w:t>
      </w:r>
    </w:p>
    <w:p>
      <w:pPr>
        <w:autoSpaceDE w:val="0"/>
        <w:autoSpaceDN w:val="0"/>
        <w:adjustRightInd w:val="0"/>
        <w:spacing w:line="400" w:lineRule="atLeast"/>
        <w:ind w:firstLine="3240" w:firstLineChars="1350"/>
        <w:rPr>
          <w:kern w:val="0"/>
          <w:sz w:val="24"/>
          <w:u w:val="single"/>
        </w:rPr>
      </w:pPr>
      <w:r>
        <w:rPr>
          <w:rFonts w:hint="eastAsia"/>
          <w:kern w:val="0"/>
          <w:sz w:val="24"/>
        </w:rPr>
        <w:t>传    真：________________________________</w:t>
      </w:r>
    </w:p>
    <w:p>
      <w:pPr>
        <w:autoSpaceDE w:val="0"/>
        <w:autoSpaceDN w:val="0"/>
        <w:adjustRightInd w:val="0"/>
        <w:spacing w:line="400" w:lineRule="atLeast"/>
        <w:ind w:firstLine="3840" w:firstLineChars="1600"/>
        <w:rPr>
          <w:kern w:val="0"/>
          <w:sz w:val="24"/>
          <w:u w:val="single"/>
        </w:rPr>
      </w:pPr>
    </w:p>
    <w:p>
      <w:pPr>
        <w:autoSpaceDE w:val="0"/>
        <w:autoSpaceDN w:val="0"/>
        <w:adjustRightInd w:val="0"/>
        <w:spacing w:line="360" w:lineRule="auto"/>
        <w:ind w:left="102"/>
        <w:jc w:val="right"/>
        <w:rPr>
          <w:kern w:val="0"/>
          <w:szCs w:val="21"/>
        </w:rPr>
      </w:pPr>
      <w:r>
        <w:rPr>
          <w:rFonts w:hint="eastAsia"/>
          <w:kern w:val="0"/>
          <w:sz w:val="24"/>
          <w:u w:val="single"/>
        </w:rPr>
        <w:t xml:space="preserve">       </w:t>
      </w:r>
      <w:r>
        <w:rPr>
          <w:rFonts w:hint="eastAsia"/>
          <w:kern w:val="0"/>
          <w:sz w:val="24"/>
        </w:rPr>
        <w:t xml:space="preserve"> 年</w:t>
      </w:r>
      <w:r>
        <w:rPr>
          <w:rFonts w:hint="eastAsia"/>
          <w:kern w:val="0"/>
          <w:sz w:val="24"/>
          <w:u w:val="single"/>
        </w:rPr>
        <w:t xml:space="preserve">     </w:t>
      </w:r>
      <w:r>
        <w:rPr>
          <w:rFonts w:hint="eastAsia"/>
          <w:kern w:val="0"/>
          <w:sz w:val="24"/>
        </w:rPr>
        <w:t xml:space="preserve"> 月</w:t>
      </w:r>
      <w:r>
        <w:rPr>
          <w:rFonts w:hint="eastAsia"/>
          <w:kern w:val="0"/>
          <w:sz w:val="24"/>
          <w:u w:val="single"/>
        </w:rPr>
        <w:t xml:space="preserve">     </w:t>
      </w:r>
      <w:r>
        <w:rPr>
          <w:rFonts w:hint="eastAsia"/>
          <w:kern w:val="0"/>
          <w:sz w:val="24"/>
        </w:rPr>
        <w:t>日</w:t>
      </w:r>
    </w:p>
    <w:p>
      <w:pPr>
        <w:autoSpaceDE w:val="0"/>
        <w:autoSpaceDN w:val="0"/>
        <w:adjustRightInd w:val="0"/>
        <w:spacing w:line="341" w:lineRule="exact"/>
        <w:ind w:right="33"/>
        <w:jc w:val="center"/>
        <w:rPr>
          <w:rFonts w:ascii="黑体" w:eastAsia="黑体" w:cs="黑体"/>
          <w:b/>
          <w:kern w:val="0"/>
          <w:sz w:val="30"/>
          <w:szCs w:val="30"/>
        </w:rPr>
      </w:pPr>
      <w:r>
        <w:br w:type="page"/>
      </w:r>
      <w:r>
        <w:rPr>
          <w:rFonts w:hint="eastAsia" w:eastAsia="黑体"/>
          <w:b/>
          <w:kern w:val="0"/>
          <w:sz w:val="30"/>
          <w:szCs w:val="30"/>
        </w:rPr>
        <w:t>四、资格审查资料</w:t>
      </w: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ind w:right="3"/>
        <w:jc w:val="center"/>
        <w:rPr>
          <w:rFonts w:ascii="黑体" w:eastAsia="黑体" w:cs="黑体"/>
          <w:b/>
          <w:kern w:val="0"/>
          <w:sz w:val="28"/>
          <w:szCs w:val="28"/>
        </w:rPr>
      </w:pPr>
      <w:r>
        <w:rPr>
          <w:rFonts w:hint="eastAsia" w:ascii="黑体" w:eastAsia="黑体" w:cs="黑体"/>
          <w:b/>
          <w:kern w:val="0"/>
          <w:sz w:val="28"/>
          <w:szCs w:val="28"/>
        </w:rPr>
        <w:t>（一）投标人基本情况表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4"/>
        <w:gridCol w:w="1079"/>
        <w:gridCol w:w="1078"/>
        <w:gridCol w:w="1258"/>
        <w:gridCol w:w="189"/>
        <w:gridCol w:w="1387"/>
        <w:gridCol w:w="191"/>
        <w:gridCol w:w="762"/>
        <w:gridCol w:w="9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szCs w:val="21"/>
              </w:rPr>
            </w:pPr>
            <w:r>
              <w:rPr>
                <w:rFonts w:hint="eastAsia"/>
                <w:szCs w:val="21"/>
              </w:rPr>
              <w:t>投标人名称</w:t>
            </w:r>
          </w:p>
        </w:tc>
        <w:tc>
          <w:tcPr>
            <w:tcW w:w="6844" w:type="dxa"/>
            <w:gridSpan w:val="8"/>
            <w:vAlign w:val="center"/>
          </w:tcPr>
          <w:p>
            <w:pPr>
              <w:tabs>
                <w:tab w:val="left" w:pos="3960"/>
              </w:tabs>
              <w:spacing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szCs w:val="21"/>
              </w:rPr>
            </w:pPr>
            <w:r>
              <w:rPr>
                <w:rFonts w:hint="eastAsia"/>
                <w:szCs w:val="21"/>
              </w:rPr>
              <w:t>注册地址</w:t>
            </w:r>
          </w:p>
        </w:tc>
        <w:tc>
          <w:tcPr>
            <w:tcW w:w="3604" w:type="dxa"/>
            <w:gridSpan w:val="4"/>
            <w:vAlign w:val="center"/>
          </w:tcPr>
          <w:p>
            <w:pPr>
              <w:tabs>
                <w:tab w:val="left" w:pos="3960"/>
              </w:tabs>
              <w:spacing w:line="400" w:lineRule="exact"/>
              <w:jc w:val="center"/>
              <w:rPr>
                <w:szCs w:val="21"/>
              </w:rPr>
            </w:pPr>
          </w:p>
        </w:tc>
        <w:tc>
          <w:tcPr>
            <w:tcW w:w="1387" w:type="dxa"/>
            <w:vAlign w:val="center"/>
          </w:tcPr>
          <w:p>
            <w:pPr>
              <w:tabs>
                <w:tab w:val="left" w:pos="3960"/>
              </w:tabs>
              <w:spacing w:line="400" w:lineRule="exact"/>
              <w:jc w:val="center"/>
              <w:rPr>
                <w:szCs w:val="21"/>
              </w:rPr>
            </w:pPr>
            <w:r>
              <w:rPr>
                <w:rFonts w:hint="eastAsia"/>
                <w:szCs w:val="21"/>
              </w:rPr>
              <w:t>邮政编码</w:t>
            </w:r>
          </w:p>
        </w:tc>
        <w:tc>
          <w:tcPr>
            <w:tcW w:w="1853" w:type="dxa"/>
            <w:gridSpan w:val="3"/>
            <w:vAlign w:val="center"/>
          </w:tcPr>
          <w:p>
            <w:pPr>
              <w:tabs>
                <w:tab w:val="left" w:pos="3960"/>
              </w:tabs>
              <w:spacing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Merge w:val="restart"/>
            <w:vAlign w:val="center"/>
          </w:tcPr>
          <w:p>
            <w:pPr>
              <w:tabs>
                <w:tab w:val="left" w:pos="3960"/>
              </w:tabs>
              <w:spacing w:line="400" w:lineRule="exact"/>
              <w:jc w:val="center"/>
              <w:rPr>
                <w:szCs w:val="21"/>
              </w:rPr>
            </w:pPr>
            <w:r>
              <w:rPr>
                <w:rFonts w:hint="eastAsia"/>
                <w:szCs w:val="21"/>
              </w:rPr>
              <w:t>联系方式</w:t>
            </w:r>
          </w:p>
        </w:tc>
        <w:tc>
          <w:tcPr>
            <w:tcW w:w="1079" w:type="dxa"/>
            <w:vAlign w:val="center"/>
          </w:tcPr>
          <w:p>
            <w:pPr>
              <w:tabs>
                <w:tab w:val="left" w:pos="3960"/>
              </w:tabs>
              <w:spacing w:line="400" w:lineRule="exact"/>
              <w:jc w:val="center"/>
              <w:rPr>
                <w:szCs w:val="21"/>
              </w:rPr>
            </w:pPr>
            <w:r>
              <w:rPr>
                <w:rFonts w:hint="eastAsia"/>
                <w:szCs w:val="21"/>
              </w:rPr>
              <w:t>联系人</w:t>
            </w:r>
          </w:p>
        </w:tc>
        <w:tc>
          <w:tcPr>
            <w:tcW w:w="2525" w:type="dxa"/>
            <w:gridSpan w:val="3"/>
            <w:vAlign w:val="center"/>
          </w:tcPr>
          <w:p>
            <w:pPr>
              <w:tabs>
                <w:tab w:val="left" w:pos="3960"/>
              </w:tabs>
              <w:spacing w:line="400" w:lineRule="exact"/>
              <w:jc w:val="center"/>
              <w:rPr>
                <w:szCs w:val="21"/>
              </w:rPr>
            </w:pPr>
          </w:p>
        </w:tc>
        <w:tc>
          <w:tcPr>
            <w:tcW w:w="1387" w:type="dxa"/>
            <w:vAlign w:val="center"/>
          </w:tcPr>
          <w:p>
            <w:pPr>
              <w:tabs>
                <w:tab w:val="left" w:pos="3960"/>
              </w:tabs>
              <w:spacing w:line="400" w:lineRule="exact"/>
              <w:jc w:val="center"/>
              <w:rPr>
                <w:szCs w:val="21"/>
              </w:rPr>
            </w:pPr>
            <w:r>
              <w:rPr>
                <w:rFonts w:hint="eastAsia"/>
                <w:szCs w:val="21"/>
              </w:rPr>
              <w:t>电  话</w:t>
            </w:r>
          </w:p>
        </w:tc>
        <w:tc>
          <w:tcPr>
            <w:tcW w:w="1853" w:type="dxa"/>
            <w:gridSpan w:val="3"/>
            <w:vAlign w:val="center"/>
          </w:tcPr>
          <w:p>
            <w:pPr>
              <w:tabs>
                <w:tab w:val="left" w:pos="3960"/>
              </w:tabs>
              <w:spacing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Merge w:val="continue"/>
            <w:vAlign w:val="center"/>
          </w:tcPr>
          <w:p>
            <w:pPr>
              <w:tabs>
                <w:tab w:val="left" w:pos="3960"/>
              </w:tabs>
              <w:spacing w:line="400" w:lineRule="exact"/>
              <w:jc w:val="center"/>
              <w:rPr>
                <w:szCs w:val="21"/>
              </w:rPr>
            </w:pPr>
          </w:p>
        </w:tc>
        <w:tc>
          <w:tcPr>
            <w:tcW w:w="1079" w:type="dxa"/>
            <w:vAlign w:val="center"/>
          </w:tcPr>
          <w:p>
            <w:pPr>
              <w:tabs>
                <w:tab w:val="left" w:pos="3960"/>
              </w:tabs>
              <w:spacing w:line="400" w:lineRule="exact"/>
              <w:jc w:val="center"/>
              <w:rPr>
                <w:szCs w:val="21"/>
              </w:rPr>
            </w:pPr>
            <w:r>
              <w:rPr>
                <w:rFonts w:hint="eastAsia"/>
                <w:szCs w:val="21"/>
              </w:rPr>
              <w:t>传  真</w:t>
            </w:r>
          </w:p>
        </w:tc>
        <w:tc>
          <w:tcPr>
            <w:tcW w:w="2525" w:type="dxa"/>
            <w:gridSpan w:val="3"/>
            <w:vAlign w:val="center"/>
          </w:tcPr>
          <w:p>
            <w:pPr>
              <w:tabs>
                <w:tab w:val="left" w:pos="3960"/>
              </w:tabs>
              <w:spacing w:line="400" w:lineRule="exact"/>
              <w:jc w:val="center"/>
              <w:rPr>
                <w:szCs w:val="21"/>
              </w:rPr>
            </w:pPr>
          </w:p>
        </w:tc>
        <w:tc>
          <w:tcPr>
            <w:tcW w:w="1387" w:type="dxa"/>
            <w:vAlign w:val="center"/>
          </w:tcPr>
          <w:p>
            <w:pPr>
              <w:tabs>
                <w:tab w:val="left" w:pos="3960"/>
              </w:tabs>
              <w:spacing w:line="400" w:lineRule="exact"/>
              <w:jc w:val="center"/>
              <w:rPr>
                <w:szCs w:val="21"/>
              </w:rPr>
            </w:pPr>
            <w:r>
              <w:rPr>
                <w:rFonts w:hint="eastAsia"/>
                <w:szCs w:val="21"/>
              </w:rPr>
              <w:t>电子邮件</w:t>
            </w:r>
          </w:p>
        </w:tc>
        <w:tc>
          <w:tcPr>
            <w:tcW w:w="1853" w:type="dxa"/>
            <w:gridSpan w:val="3"/>
            <w:vAlign w:val="center"/>
          </w:tcPr>
          <w:p>
            <w:pPr>
              <w:tabs>
                <w:tab w:val="left" w:pos="3960"/>
              </w:tabs>
              <w:spacing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szCs w:val="21"/>
              </w:rPr>
            </w:pPr>
            <w:r>
              <w:rPr>
                <w:rFonts w:hint="eastAsia"/>
                <w:szCs w:val="21"/>
              </w:rPr>
              <w:t>法定代表人</w:t>
            </w:r>
          </w:p>
        </w:tc>
        <w:tc>
          <w:tcPr>
            <w:tcW w:w="1079" w:type="dxa"/>
            <w:vAlign w:val="center"/>
          </w:tcPr>
          <w:p>
            <w:pPr>
              <w:tabs>
                <w:tab w:val="left" w:pos="3960"/>
              </w:tabs>
              <w:spacing w:line="400" w:lineRule="exact"/>
              <w:jc w:val="center"/>
              <w:rPr>
                <w:szCs w:val="21"/>
              </w:rPr>
            </w:pPr>
            <w:r>
              <w:rPr>
                <w:rFonts w:hint="eastAsia"/>
                <w:szCs w:val="21"/>
              </w:rPr>
              <w:t>姓名</w:t>
            </w:r>
          </w:p>
        </w:tc>
        <w:tc>
          <w:tcPr>
            <w:tcW w:w="1078" w:type="dxa"/>
            <w:vAlign w:val="center"/>
          </w:tcPr>
          <w:p>
            <w:pPr>
              <w:tabs>
                <w:tab w:val="left" w:pos="3960"/>
              </w:tabs>
              <w:spacing w:line="400" w:lineRule="exact"/>
              <w:jc w:val="center"/>
              <w:rPr>
                <w:szCs w:val="21"/>
              </w:rPr>
            </w:pPr>
          </w:p>
        </w:tc>
        <w:tc>
          <w:tcPr>
            <w:tcW w:w="1258" w:type="dxa"/>
            <w:vAlign w:val="center"/>
          </w:tcPr>
          <w:p>
            <w:pPr>
              <w:tabs>
                <w:tab w:val="left" w:pos="3960"/>
              </w:tabs>
              <w:spacing w:line="400" w:lineRule="exact"/>
              <w:jc w:val="center"/>
              <w:rPr>
                <w:szCs w:val="21"/>
              </w:rPr>
            </w:pPr>
            <w:r>
              <w:rPr>
                <w:rFonts w:hint="eastAsia"/>
                <w:szCs w:val="21"/>
              </w:rPr>
              <w:t>技术职称</w:t>
            </w:r>
          </w:p>
        </w:tc>
        <w:tc>
          <w:tcPr>
            <w:tcW w:w="1767" w:type="dxa"/>
            <w:gridSpan w:val="3"/>
            <w:vAlign w:val="center"/>
          </w:tcPr>
          <w:p>
            <w:pPr>
              <w:tabs>
                <w:tab w:val="left" w:pos="3960"/>
              </w:tabs>
              <w:spacing w:line="400" w:lineRule="exact"/>
              <w:jc w:val="center"/>
              <w:rPr>
                <w:szCs w:val="21"/>
              </w:rPr>
            </w:pPr>
          </w:p>
        </w:tc>
        <w:tc>
          <w:tcPr>
            <w:tcW w:w="762" w:type="dxa"/>
            <w:vAlign w:val="center"/>
          </w:tcPr>
          <w:p>
            <w:pPr>
              <w:tabs>
                <w:tab w:val="left" w:pos="3960"/>
              </w:tabs>
              <w:spacing w:line="400" w:lineRule="exact"/>
              <w:jc w:val="center"/>
              <w:rPr>
                <w:szCs w:val="21"/>
              </w:rPr>
            </w:pPr>
            <w:r>
              <w:rPr>
                <w:rFonts w:hint="eastAsia"/>
                <w:szCs w:val="21"/>
              </w:rPr>
              <w:t>电话</w:t>
            </w:r>
          </w:p>
        </w:tc>
        <w:tc>
          <w:tcPr>
            <w:tcW w:w="900" w:type="dxa"/>
            <w:vAlign w:val="center"/>
          </w:tcPr>
          <w:p>
            <w:pPr>
              <w:tabs>
                <w:tab w:val="left" w:pos="3960"/>
              </w:tabs>
              <w:spacing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szCs w:val="21"/>
              </w:rPr>
            </w:pPr>
            <w:r>
              <w:rPr>
                <w:rFonts w:hint="eastAsia"/>
                <w:szCs w:val="21"/>
              </w:rPr>
              <w:t>技术负责人</w:t>
            </w:r>
          </w:p>
        </w:tc>
        <w:tc>
          <w:tcPr>
            <w:tcW w:w="1079" w:type="dxa"/>
            <w:vAlign w:val="center"/>
          </w:tcPr>
          <w:p>
            <w:pPr>
              <w:tabs>
                <w:tab w:val="left" w:pos="3960"/>
              </w:tabs>
              <w:spacing w:line="400" w:lineRule="exact"/>
              <w:jc w:val="center"/>
              <w:rPr>
                <w:szCs w:val="21"/>
              </w:rPr>
            </w:pPr>
            <w:r>
              <w:rPr>
                <w:rFonts w:hint="eastAsia"/>
                <w:szCs w:val="21"/>
              </w:rPr>
              <w:t>姓名</w:t>
            </w:r>
          </w:p>
        </w:tc>
        <w:tc>
          <w:tcPr>
            <w:tcW w:w="1078" w:type="dxa"/>
            <w:vAlign w:val="center"/>
          </w:tcPr>
          <w:p>
            <w:pPr>
              <w:tabs>
                <w:tab w:val="left" w:pos="3960"/>
              </w:tabs>
              <w:spacing w:line="400" w:lineRule="exact"/>
              <w:jc w:val="center"/>
              <w:rPr>
                <w:szCs w:val="21"/>
              </w:rPr>
            </w:pPr>
          </w:p>
        </w:tc>
        <w:tc>
          <w:tcPr>
            <w:tcW w:w="1258" w:type="dxa"/>
            <w:vAlign w:val="center"/>
          </w:tcPr>
          <w:p>
            <w:pPr>
              <w:tabs>
                <w:tab w:val="left" w:pos="3960"/>
              </w:tabs>
              <w:spacing w:line="400" w:lineRule="exact"/>
              <w:jc w:val="center"/>
              <w:rPr>
                <w:szCs w:val="21"/>
              </w:rPr>
            </w:pPr>
            <w:r>
              <w:rPr>
                <w:rFonts w:hint="eastAsia"/>
                <w:szCs w:val="21"/>
              </w:rPr>
              <w:t>技术职称</w:t>
            </w:r>
          </w:p>
        </w:tc>
        <w:tc>
          <w:tcPr>
            <w:tcW w:w="1767" w:type="dxa"/>
            <w:gridSpan w:val="3"/>
            <w:vAlign w:val="center"/>
          </w:tcPr>
          <w:p>
            <w:pPr>
              <w:tabs>
                <w:tab w:val="left" w:pos="3960"/>
              </w:tabs>
              <w:spacing w:line="400" w:lineRule="exact"/>
              <w:jc w:val="center"/>
              <w:rPr>
                <w:szCs w:val="21"/>
              </w:rPr>
            </w:pPr>
          </w:p>
        </w:tc>
        <w:tc>
          <w:tcPr>
            <w:tcW w:w="762" w:type="dxa"/>
            <w:vAlign w:val="center"/>
          </w:tcPr>
          <w:p>
            <w:pPr>
              <w:tabs>
                <w:tab w:val="left" w:pos="3960"/>
              </w:tabs>
              <w:spacing w:line="400" w:lineRule="exact"/>
              <w:jc w:val="center"/>
              <w:rPr>
                <w:szCs w:val="21"/>
              </w:rPr>
            </w:pPr>
            <w:r>
              <w:rPr>
                <w:rFonts w:hint="eastAsia"/>
                <w:szCs w:val="21"/>
              </w:rPr>
              <w:t>电话</w:t>
            </w:r>
          </w:p>
        </w:tc>
        <w:tc>
          <w:tcPr>
            <w:tcW w:w="900" w:type="dxa"/>
            <w:vAlign w:val="center"/>
          </w:tcPr>
          <w:p>
            <w:pPr>
              <w:tabs>
                <w:tab w:val="left" w:pos="3960"/>
              </w:tabs>
              <w:spacing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szCs w:val="21"/>
              </w:rPr>
            </w:pPr>
            <w:r>
              <w:rPr>
                <w:rFonts w:hint="eastAsia"/>
                <w:szCs w:val="21"/>
              </w:rPr>
              <w:t>企业监理资质证书</w:t>
            </w:r>
          </w:p>
        </w:tc>
        <w:tc>
          <w:tcPr>
            <w:tcW w:w="6844" w:type="dxa"/>
            <w:gridSpan w:val="8"/>
            <w:vAlign w:val="center"/>
          </w:tcPr>
          <w:p>
            <w:pPr>
              <w:tabs>
                <w:tab w:val="left" w:pos="3960"/>
              </w:tabs>
              <w:spacing w:line="400" w:lineRule="exact"/>
              <w:jc w:val="left"/>
              <w:rPr>
                <w:szCs w:val="21"/>
              </w:rPr>
            </w:pPr>
            <w:r>
              <w:rPr>
                <w:rFonts w:hint="eastAsia"/>
                <w:szCs w:val="21"/>
              </w:rPr>
              <w:t>类型：             等级：                证书号：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szCs w:val="21"/>
              </w:rPr>
            </w:pPr>
            <w:r>
              <w:rPr>
                <w:rFonts w:hint="eastAsia"/>
                <w:szCs w:val="21"/>
              </w:rPr>
              <w:t>营业执照号</w:t>
            </w:r>
          </w:p>
        </w:tc>
        <w:tc>
          <w:tcPr>
            <w:tcW w:w="2157" w:type="dxa"/>
            <w:gridSpan w:val="2"/>
            <w:vAlign w:val="center"/>
          </w:tcPr>
          <w:p>
            <w:pPr>
              <w:tabs>
                <w:tab w:val="left" w:pos="3960"/>
              </w:tabs>
              <w:spacing w:line="400" w:lineRule="exact"/>
              <w:jc w:val="center"/>
              <w:rPr>
                <w:szCs w:val="21"/>
              </w:rPr>
            </w:pPr>
          </w:p>
        </w:tc>
        <w:tc>
          <w:tcPr>
            <w:tcW w:w="4687" w:type="dxa"/>
            <w:gridSpan w:val="6"/>
            <w:vAlign w:val="center"/>
          </w:tcPr>
          <w:p>
            <w:pPr>
              <w:tabs>
                <w:tab w:val="left" w:pos="3960"/>
              </w:tabs>
              <w:spacing w:line="400" w:lineRule="exact"/>
              <w:jc w:val="center"/>
              <w:rPr>
                <w:szCs w:val="21"/>
              </w:rPr>
            </w:pPr>
            <w:r>
              <w:rPr>
                <w:rFonts w:hint="eastAsia"/>
                <w:szCs w:val="21"/>
              </w:rPr>
              <w:t>员工总人数：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szCs w:val="21"/>
              </w:rPr>
            </w:pPr>
            <w:r>
              <w:rPr>
                <w:rFonts w:hint="eastAsia"/>
                <w:szCs w:val="21"/>
              </w:rPr>
              <w:t>注册资本</w:t>
            </w:r>
          </w:p>
        </w:tc>
        <w:tc>
          <w:tcPr>
            <w:tcW w:w="2157" w:type="dxa"/>
            <w:gridSpan w:val="2"/>
            <w:vAlign w:val="center"/>
          </w:tcPr>
          <w:p>
            <w:pPr>
              <w:tabs>
                <w:tab w:val="left" w:pos="3960"/>
              </w:tabs>
              <w:spacing w:line="400" w:lineRule="exact"/>
              <w:jc w:val="center"/>
              <w:rPr>
                <w:szCs w:val="21"/>
              </w:rPr>
            </w:pPr>
          </w:p>
        </w:tc>
        <w:tc>
          <w:tcPr>
            <w:tcW w:w="1258" w:type="dxa"/>
            <w:vMerge w:val="restart"/>
            <w:vAlign w:val="center"/>
          </w:tcPr>
          <w:p>
            <w:pPr>
              <w:tabs>
                <w:tab w:val="left" w:pos="3960"/>
              </w:tabs>
              <w:spacing w:line="400" w:lineRule="exact"/>
              <w:jc w:val="center"/>
              <w:rPr>
                <w:szCs w:val="21"/>
              </w:rPr>
            </w:pPr>
          </w:p>
        </w:tc>
        <w:tc>
          <w:tcPr>
            <w:tcW w:w="1767" w:type="dxa"/>
            <w:gridSpan w:val="3"/>
            <w:vAlign w:val="center"/>
          </w:tcPr>
          <w:p>
            <w:pPr>
              <w:tabs>
                <w:tab w:val="left" w:pos="3960"/>
              </w:tabs>
              <w:spacing w:line="400" w:lineRule="exact"/>
              <w:jc w:val="center"/>
              <w:rPr>
                <w:szCs w:val="21"/>
              </w:rPr>
            </w:pPr>
            <w:r>
              <w:rPr>
                <w:rFonts w:hint="eastAsia"/>
                <w:szCs w:val="21"/>
              </w:rPr>
              <w:t>高级职称人员</w:t>
            </w:r>
          </w:p>
        </w:tc>
        <w:tc>
          <w:tcPr>
            <w:tcW w:w="1662" w:type="dxa"/>
            <w:gridSpan w:val="2"/>
            <w:vAlign w:val="center"/>
          </w:tcPr>
          <w:p>
            <w:pPr>
              <w:tabs>
                <w:tab w:val="left" w:pos="3960"/>
              </w:tabs>
              <w:spacing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szCs w:val="21"/>
              </w:rPr>
            </w:pPr>
            <w:r>
              <w:rPr>
                <w:rFonts w:hint="eastAsia"/>
                <w:szCs w:val="21"/>
              </w:rPr>
              <w:t>成立日期</w:t>
            </w:r>
          </w:p>
        </w:tc>
        <w:tc>
          <w:tcPr>
            <w:tcW w:w="2157" w:type="dxa"/>
            <w:gridSpan w:val="2"/>
            <w:vAlign w:val="center"/>
          </w:tcPr>
          <w:p>
            <w:pPr>
              <w:tabs>
                <w:tab w:val="left" w:pos="3960"/>
              </w:tabs>
              <w:spacing w:line="400" w:lineRule="exact"/>
              <w:jc w:val="center"/>
              <w:rPr>
                <w:szCs w:val="21"/>
              </w:rPr>
            </w:pPr>
          </w:p>
        </w:tc>
        <w:tc>
          <w:tcPr>
            <w:tcW w:w="1258" w:type="dxa"/>
            <w:vMerge w:val="continue"/>
            <w:vAlign w:val="center"/>
          </w:tcPr>
          <w:p>
            <w:pPr>
              <w:tabs>
                <w:tab w:val="left" w:pos="3960"/>
              </w:tabs>
              <w:spacing w:line="400" w:lineRule="exact"/>
              <w:jc w:val="center"/>
              <w:rPr>
                <w:szCs w:val="21"/>
              </w:rPr>
            </w:pPr>
          </w:p>
        </w:tc>
        <w:tc>
          <w:tcPr>
            <w:tcW w:w="1767" w:type="dxa"/>
            <w:gridSpan w:val="3"/>
            <w:vAlign w:val="center"/>
          </w:tcPr>
          <w:p>
            <w:pPr>
              <w:tabs>
                <w:tab w:val="left" w:pos="3960"/>
              </w:tabs>
              <w:spacing w:line="400" w:lineRule="exact"/>
              <w:jc w:val="center"/>
              <w:rPr>
                <w:szCs w:val="21"/>
              </w:rPr>
            </w:pPr>
            <w:r>
              <w:rPr>
                <w:rFonts w:hint="eastAsia"/>
                <w:szCs w:val="21"/>
              </w:rPr>
              <w:t>中级职称人员</w:t>
            </w:r>
          </w:p>
        </w:tc>
        <w:tc>
          <w:tcPr>
            <w:tcW w:w="1662" w:type="dxa"/>
            <w:gridSpan w:val="2"/>
            <w:vAlign w:val="center"/>
          </w:tcPr>
          <w:p>
            <w:pPr>
              <w:tabs>
                <w:tab w:val="left" w:pos="3960"/>
              </w:tabs>
              <w:spacing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szCs w:val="21"/>
              </w:rPr>
            </w:pPr>
            <w:r>
              <w:rPr>
                <w:rFonts w:hint="eastAsia"/>
                <w:szCs w:val="21"/>
              </w:rPr>
              <w:t>基本账户开户银行</w:t>
            </w:r>
          </w:p>
        </w:tc>
        <w:tc>
          <w:tcPr>
            <w:tcW w:w="2157" w:type="dxa"/>
            <w:gridSpan w:val="2"/>
            <w:vAlign w:val="center"/>
          </w:tcPr>
          <w:p>
            <w:pPr>
              <w:tabs>
                <w:tab w:val="left" w:pos="3960"/>
              </w:tabs>
              <w:spacing w:line="400" w:lineRule="exact"/>
              <w:jc w:val="center"/>
              <w:rPr>
                <w:szCs w:val="21"/>
              </w:rPr>
            </w:pPr>
          </w:p>
        </w:tc>
        <w:tc>
          <w:tcPr>
            <w:tcW w:w="1258" w:type="dxa"/>
            <w:vMerge w:val="continue"/>
            <w:vAlign w:val="center"/>
          </w:tcPr>
          <w:p>
            <w:pPr>
              <w:tabs>
                <w:tab w:val="left" w:pos="3960"/>
              </w:tabs>
              <w:spacing w:line="400" w:lineRule="exact"/>
              <w:jc w:val="center"/>
              <w:rPr>
                <w:szCs w:val="21"/>
              </w:rPr>
            </w:pPr>
          </w:p>
        </w:tc>
        <w:tc>
          <w:tcPr>
            <w:tcW w:w="1767" w:type="dxa"/>
            <w:gridSpan w:val="3"/>
            <w:vAlign w:val="center"/>
          </w:tcPr>
          <w:p>
            <w:pPr>
              <w:tabs>
                <w:tab w:val="left" w:pos="3960"/>
              </w:tabs>
              <w:spacing w:line="400" w:lineRule="exact"/>
              <w:jc w:val="center"/>
              <w:rPr>
                <w:szCs w:val="21"/>
              </w:rPr>
            </w:pPr>
            <w:r>
              <w:rPr>
                <w:rFonts w:hint="eastAsia"/>
                <w:szCs w:val="21"/>
              </w:rPr>
              <w:t>技术人员数量</w:t>
            </w:r>
          </w:p>
        </w:tc>
        <w:tc>
          <w:tcPr>
            <w:tcW w:w="1662" w:type="dxa"/>
            <w:gridSpan w:val="2"/>
            <w:vAlign w:val="center"/>
          </w:tcPr>
          <w:p>
            <w:pPr>
              <w:tabs>
                <w:tab w:val="left" w:pos="3960"/>
              </w:tabs>
              <w:spacing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szCs w:val="21"/>
              </w:rPr>
            </w:pPr>
            <w:r>
              <w:rPr>
                <w:rFonts w:hint="eastAsia"/>
                <w:szCs w:val="21"/>
              </w:rPr>
              <w:t>基本账户银行账号</w:t>
            </w:r>
          </w:p>
        </w:tc>
        <w:tc>
          <w:tcPr>
            <w:tcW w:w="2157" w:type="dxa"/>
            <w:gridSpan w:val="2"/>
            <w:vAlign w:val="center"/>
          </w:tcPr>
          <w:p>
            <w:pPr>
              <w:tabs>
                <w:tab w:val="left" w:pos="3960"/>
              </w:tabs>
              <w:spacing w:line="400" w:lineRule="exact"/>
              <w:jc w:val="center"/>
              <w:rPr>
                <w:szCs w:val="21"/>
              </w:rPr>
            </w:pPr>
          </w:p>
        </w:tc>
        <w:tc>
          <w:tcPr>
            <w:tcW w:w="1258" w:type="dxa"/>
            <w:vMerge w:val="continue"/>
            <w:vAlign w:val="center"/>
          </w:tcPr>
          <w:p>
            <w:pPr>
              <w:tabs>
                <w:tab w:val="left" w:pos="3960"/>
              </w:tabs>
              <w:spacing w:line="400" w:lineRule="exact"/>
              <w:jc w:val="center"/>
              <w:rPr>
                <w:szCs w:val="21"/>
              </w:rPr>
            </w:pPr>
          </w:p>
        </w:tc>
        <w:tc>
          <w:tcPr>
            <w:tcW w:w="1767" w:type="dxa"/>
            <w:gridSpan w:val="3"/>
            <w:vAlign w:val="center"/>
          </w:tcPr>
          <w:p>
            <w:pPr>
              <w:tabs>
                <w:tab w:val="left" w:pos="3960"/>
              </w:tabs>
              <w:spacing w:line="400" w:lineRule="exact"/>
              <w:jc w:val="center"/>
              <w:rPr>
                <w:szCs w:val="21"/>
              </w:rPr>
            </w:pPr>
            <w:r>
              <w:rPr>
                <w:rFonts w:hint="eastAsia"/>
                <w:szCs w:val="21"/>
              </w:rPr>
              <w:t>各类注册人员</w:t>
            </w:r>
          </w:p>
        </w:tc>
        <w:tc>
          <w:tcPr>
            <w:tcW w:w="1662" w:type="dxa"/>
            <w:gridSpan w:val="2"/>
            <w:vAlign w:val="center"/>
          </w:tcPr>
          <w:p>
            <w:pPr>
              <w:tabs>
                <w:tab w:val="left" w:pos="3960"/>
              </w:tabs>
              <w:spacing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64" w:type="dxa"/>
            <w:vAlign w:val="center"/>
          </w:tcPr>
          <w:p>
            <w:pPr>
              <w:tabs>
                <w:tab w:val="left" w:pos="3960"/>
              </w:tabs>
              <w:spacing w:line="400" w:lineRule="exact"/>
              <w:jc w:val="center"/>
              <w:rPr>
                <w:szCs w:val="21"/>
              </w:rPr>
            </w:pPr>
            <w:r>
              <w:rPr>
                <w:rFonts w:hint="eastAsia"/>
                <w:szCs w:val="21"/>
              </w:rPr>
              <w:t>经营范围</w:t>
            </w:r>
          </w:p>
        </w:tc>
        <w:tc>
          <w:tcPr>
            <w:tcW w:w="6844" w:type="dxa"/>
            <w:gridSpan w:val="8"/>
            <w:vAlign w:val="center"/>
          </w:tcPr>
          <w:p>
            <w:pPr>
              <w:tabs>
                <w:tab w:val="left" w:pos="3960"/>
              </w:tabs>
              <w:spacing w:line="400" w:lineRule="exact"/>
              <w:jc w:val="center"/>
              <w:rPr>
                <w:szCs w:val="21"/>
              </w:rPr>
            </w:pPr>
          </w:p>
          <w:p>
            <w:pPr>
              <w:tabs>
                <w:tab w:val="left" w:pos="3960"/>
              </w:tabs>
              <w:spacing w:line="400" w:lineRule="exact"/>
              <w:jc w:val="center"/>
              <w:rPr>
                <w:szCs w:val="21"/>
              </w:rPr>
            </w:pPr>
          </w:p>
          <w:p>
            <w:pPr>
              <w:tabs>
                <w:tab w:val="left" w:pos="3960"/>
              </w:tabs>
              <w:spacing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64" w:type="dxa"/>
            <w:vAlign w:val="center"/>
          </w:tcPr>
          <w:p>
            <w:pPr>
              <w:tabs>
                <w:tab w:val="left" w:pos="3960"/>
              </w:tabs>
              <w:spacing w:line="400" w:lineRule="exact"/>
              <w:jc w:val="center"/>
              <w:rPr>
                <w:szCs w:val="21"/>
              </w:rPr>
            </w:pPr>
            <w:r>
              <w:rPr>
                <w:rFonts w:hint="eastAsia"/>
                <w:szCs w:val="21"/>
              </w:rPr>
              <w:t>投标人</w:t>
            </w:r>
          </w:p>
          <w:p>
            <w:pPr>
              <w:tabs>
                <w:tab w:val="left" w:pos="3960"/>
              </w:tabs>
              <w:spacing w:line="400" w:lineRule="exact"/>
              <w:jc w:val="center"/>
              <w:rPr>
                <w:szCs w:val="21"/>
              </w:rPr>
            </w:pPr>
            <w:r>
              <w:rPr>
                <w:rFonts w:hint="eastAsia"/>
                <w:szCs w:val="21"/>
              </w:rPr>
              <w:t>关联企业情况</w:t>
            </w:r>
          </w:p>
        </w:tc>
        <w:tc>
          <w:tcPr>
            <w:tcW w:w="6844" w:type="dxa"/>
            <w:gridSpan w:val="8"/>
            <w:vAlign w:val="center"/>
          </w:tcPr>
          <w:p>
            <w:pPr>
              <w:tabs>
                <w:tab w:val="left" w:pos="3960"/>
              </w:tabs>
              <w:jc w:val="left"/>
              <w:rPr>
                <w:szCs w:val="21"/>
              </w:rPr>
            </w:pPr>
            <w:r>
              <w:rPr>
                <w:rFonts w:hint="eastAsia"/>
                <w:szCs w:val="21"/>
              </w:rPr>
              <w:t>投标人应提供关联企业情况，包括：</w:t>
            </w:r>
          </w:p>
          <w:p>
            <w:pPr>
              <w:tabs>
                <w:tab w:val="left" w:pos="3960"/>
              </w:tabs>
              <w:jc w:val="left"/>
              <w:rPr>
                <w:szCs w:val="21"/>
              </w:rPr>
            </w:pPr>
            <w:r>
              <w:rPr>
                <w:rFonts w:hint="eastAsia"/>
                <w:szCs w:val="21"/>
              </w:rPr>
              <w:t>（1）投标人的所有股东名称及相应股权（出资额）比例；如投标人为上市公司，投标人应提供股权占公司股份总数</w:t>
            </w:r>
            <w:r>
              <w:rPr>
                <w:rFonts w:hint="eastAsia"/>
                <w:szCs w:val="21"/>
                <w:u w:val="single"/>
              </w:rPr>
              <w:t xml:space="preserve"> 20 </w:t>
            </w:r>
            <w:r>
              <w:rPr>
                <w:rFonts w:hint="eastAsia"/>
                <w:szCs w:val="21"/>
              </w:rPr>
              <w:t>%以上的所有股东名称及相应股权比例；</w:t>
            </w:r>
          </w:p>
          <w:p>
            <w:pPr>
              <w:tabs>
                <w:tab w:val="left" w:pos="3960"/>
              </w:tabs>
              <w:jc w:val="left"/>
              <w:rPr>
                <w:szCs w:val="21"/>
              </w:rPr>
            </w:pPr>
            <w:r>
              <w:rPr>
                <w:rFonts w:hint="eastAsia"/>
                <w:szCs w:val="21"/>
              </w:rPr>
              <w:t>（2）投标人投资（控股）或管理的下属企业名称、持有股权（出资额）比例；</w:t>
            </w:r>
          </w:p>
          <w:p>
            <w:pPr>
              <w:tabs>
                <w:tab w:val="left" w:pos="3960"/>
              </w:tabs>
              <w:jc w:val="left"/>
              <w:rPr>
                <w:szCs w:val="21"/>
              </w:rPr>
            </w:pPr>
            <w:r>
              <w:rPr>
                <w:rFonts w:hint="eastAsia"/>
                <w:szCs w:val="21"/>
              </w:rPr>
              <w:t>（3）与投标人单位负责人（即法定代表人）为同一人的其他单位名称；</w:t>
            </w:r>
          </w:p>
          <w:p>
            <w:pPr>
              <w:tabs>
                <w:tab w:val="left" w:pos="3960"/>
              </w:tabs>
              <w:jc w:val="left"/>
              <w:rPr>
                <w:sz w:val="24"/>
              </w:rPr>
            </w:pPr>
            <w:r>
              <w:rPr>
                <w:rFonts w:hint="eastAsia"/>
                <w:szCs w:val="21"/>
              </w:rPr>
              <w:t>（4）登记类型为全民所有制企业的，可只附主管部门信息，其主管部门视为其全资股东。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4" w:hRule="atLeast"/>
          <w:jc w:val="center"/>
        </w:trPr>
        <w:tc>
          <w:tcPr>
            <w:tcW w:w="2264" w:type="dxa"/>
            <w:vAlign w:val="center"/>
          </w:tcPr>
          <w:p>
            <w:pPr>
              <w:tabs>
                <w:tab w:val="left" w:pos="3960"/>
              </w:tabs>
              <w:spacing w:line="400" w:lineRule="exact"/>
              <w:jc w:val="center"/>
              <w:rPr>
                <w:szCs w:val="21"/>
              </w:rPr>
            </w:pPr>
            <w:r>
              <w:rPr>
                <w:rFonts w:hint="eastAsia"/>
                <w:szCs w:val="21"/>
              </w:rPr>
              <w:t>备注</w:t>
            </w:r>
          </w:p>
        </w:tc>
        <w:tc>
          <w:tcPr>
            <w:tcW w:w="6844" w:type="dxa"/>
            <w:gridSpan w:val="8"/>
            <w:vAlign w:val="center"/>
          </w:tcPr>
          <w:p>
            <w:pPr>
              <w:tabs>
                <w:tab w:val="left" w:pos="3960"/>
              </w:tabs>
              <w:spacing w:line="400" w:lineRule="exact"/>
              <w:jc w:val="center"/>
              <w:rPr>
                <w:szCs w:val="21"/>
              </w:rPr>
            </w:pPr>
          </w:p>
        </w:tc>
      </w:tr>
    </w:tbl>
    <w:p>
      <w:pPr>
        <w:autoSpaceDE w:val="0"/>
        <w:autoSpaceDN w:val="0"/>
        <w:adjustRightInd w:val="0"/>
        <w:spacing w:before="75" w:line="360" w:lineRule="auto"/>
        <w:ind w:left="16" w:right="171" w:hanging="16"/>
        <w:jc w:val="left"/>
        <w:rPr>
          <w:szCs w:val="21"/>
        </w:rPr>
      </w:pPr>
      <w:r>
        <w:rPr>
          <w:rFonts w:hint="eastAsia"/>
          <w:szCs w:val="21"/>
        </w:rPr>
        <w:t>注：1.投标人应根据招标文件第二章“投标人须知”第3.5.1项的要求在本表后附相关证明材料。</w:t>
      </w:r>
    </w:p>
    <w:p>
      <w:pPr>
        <w:autoSpaceDE w:val="0"/>
        <w:autoSpaceDN w:val="0"/>
        <w:adjustRightInd w:val="0"/>
        <w:ind w:right="3"/>
        <w:jc w:val="center"/>
        <w:rPr>
          <w:b/>
          <w:sz w:val="32"/>
          <w:szCs w:val="32"/>
        </w:rPr>
      </w:pPr>
      <w:r>
        <w:rPr>
          <w:szCs w:val="21"/>
        </w:rPr>
        <w:br w:type="page"/>
      </w:r>
      <w:r>
        <w:rPr>
          <w:rFonts w:hint="eastAsia" w:ascii="黑体" w:eastAsia="黑体" w:cs="黑体"/>
          <w:b/>
          <w:kern w:val="0"/>
          <w:sz w:val="28"/>
          <w:szCs w:val="28"/>
        </w:rPr>
        <w:t>（二）投标人企业组织机构框图</w:t>
      </w:r>
    </w:p>
    <w:tbl>
      <w:tblPr>
        <w:tblStyle w:val="3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42" w:type="dxa"/>
          </w:tcPr>
          <w:p/>
          <w:p>
            <w:r>
              <w:rPr>
                <w:rFonts w:hint="eastAsia"/>
              </w:rPr>
              <w:t>以框图方式表示。</w:t>
            </w:r>
          </w:p>
          <w:p/>
          <w:p/>
          <w:p/>
          <w:p/>
          <w:p/>
          <w:p/>
          <w:p/>
          <w:p/>
          <w:p/>
          <w:p/>
          <w:p/>
          <w:p/>
          <w:p/>
          <w:p/>
          <w:p/>
          <w:p/>
          <w:p/>
          <w:p/>
          <w:p/>
          <w:p/>
          <w:p/>
          <w:p/>
          <w:p/>
          <w:p/>
          <w:p/>
          <w:p/>
          <w:p/>
          <w:p/>
          <w:p/>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42" w:type="dxa"/>
          </w:tcPr>
          <w:p/>
          <w:p>
            <w:r>
              <w:rPr>
                <w:rFonts w:hint="eastAsia"/>
              </w:rPr>
              <w:t>说明</w:t>
            </w:r>
          </w:p>
          <w:p/>
          <w:p/>
          <w:p/>
          <w:p/>
          <w:p/>
        </w:tc>
      </w:tr>
    </w:tbl>
    <w:p>
      <w:pPr>
        <w:autoSpaceDE w:val="0"/>
        <w:autoSpaceDN w:val="0"/>
        <w:adjustRightInd w:val="0"/>
        <w:spacing w:before="75" w:line="360" w:lineRule="auto"/>
        <w:ind w:left="16" w:right="171" w:hanging="16"/>
        <w:jc w:val="center"/>
        <w:rPr>
          <w:rFonts w:ascii="黑体" w:eastAsia="黑体" w:cs="黑体"/>
          <w:b/>
          <w:kern w:val="0"/>
          <w:sz w:val="28"/>
          <w:szCs w:val="28"/>
        </w:rPr>
      </w:pPr>
      <w:r>
        <w:br w:type="page"/>
      </w:r>
      <w:r>
        <w:rPr>
          <w:b/>
          <w:spacing w:val="-1"/>
          <w:kern w:val="0"/>
          <w:position w:val="-2"/>
          <w:sz w:val="28"/>
          <w:szCs w:val="28"/>
        </w:rPr>
        <w:t>（</w:t>
      </w:r>
      <w:r>
        <w:rPr>
          <w:rFonts w:hint="eastAsia" w:ascii="黑体" w:eastAsia="黑体" w:cs="黑体"/>
          <w:b/>
          <w:kern w:val="0"/>
          <w:position w:val="-2"/>
          <w:sz w:val="28"/>
          <w:szCs w:val="28"/>
        </w:rPr>
        <w:t>三</w:t>
      </w:r>
      <w:r>
        <w:rPr>
          <w:rFonts w:eastAsia="黑体"/>
          <w:b/>
          <w:spacing w:val="-1"/>
          <w:kern w:val="0"/>
          <w:position w:val="-2"/>
          <w:sz w:val="28"/>
          <w:szCs w:val="28"/>
        </w:rPr>
        <w:t>）</w:t>
      </w:r>
      <w:r>
        <w:rPr>
          <w:rFonts w:hint="eastAsia" w:ascii="黑体" w:eastAsia="黑体" w:cs="黑体"/>
          <w:b/>
          <w:kern w:val="0"/>
          <w:position w:val="-2"/>
          <w:sz w:val="28"/>
          <w:szCs w:val="28"/>
        </w:rPr>
        <w:t>近年完成的类似</w:t>
      </w:r>
      <w:r>
        <w:rPr>
          <w:rFonts w:hint="eastAsia" w:ascii="黑体" w:eastAsia="黑体" w:cs="黑体"/>
          <w:b/>
          <w:spacing w:val="2"/>
          <w:kern w:val="0"/>
          <w:position w:val="-2"/>
          <w:sz w:val="28"/>
          <w:szCs w:val="28"/>
        </w:rPr>
        <w:t>项</w:t>
      </w:r>
      <w:r>
        <w:rPr>
          <w:rFonts w:hint="eastAsia" w:ascii="黑体" w:eastAsia="黑体" w:cs="黑体"/>
          <w:b/>
          <w:kern w:val="0"/>
          <w:position w:val="-2"/>
          <w:sz w:val="28"/>
          <w:szCs w:val="28"/>
        </w:rPr>
        <w:t>目情况表</w:t>
      </w:r>
    </w:p>
    <w:p>
      <w:pPr>
        <w:autoSpaceDE w:val="0"/>
        <w:autoSpaceDN w:val="0"/>
        <w:adjustRightInd w:val="0"/>
        <w:jc w:val="center"/>
        <w:rPr>
          <w:b/>
          <w:sz w:val="28"/>
          <w:szCs w:val="28"/>
        </w:rPr>
      </w:pPr>
    </w:p>
    <w:tbl>
      <w:tblPr>
        <w:tblStyle w:val="30"/>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2366"/>
        <w:gridCol w:w="645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2366" w:type="dxa"/>
            <w:vAlign w:val="center"/>
          </w:tcPr>
          <w:p>
            <w:pPr>
              <w:pStyle w:val="72"/>
              <w:tabs>
                <w:tab w:val="left" w:pos="1328"/>
              </w:tabs>
              <w:jc w:val="center"/>
              <w:rPr>
                <w:szCs w:val="21"/>
              </w:rPr>
            </w:pPr>
            <w:r>
              <w:rPr>
                <w:rFonts w:hint="eastAsia"/>
                <w:szCs w:val="21"/>
              </w:rPr>
              <w:t>序号</w:t>
            </w:r>
          </w:p>
        </w:tc>
        <w:tc>
          <w:tcPr>
            <w:tcW w:w="6455" w:type="dxa"/>
            <w:vAlign w:val="center"/>
          </w:tcPr>
          <w:p>
            <w:pPr>
              <w:pStyle w:val="72"/>
              <w:ind w:left="763"/>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4" w:hRule="exact"/>
          <w:jc w:val="center"/>
        </w:trPr>
        <w:tc>
          <w:tcPr>
            <w:tcW w:w="2366" w:type="dxa"/>
            <w:vAlign w:val="center"/>
          </w:tcPr>
          <w:p>
            <w:pPr>
              <w:pStyle w:val="72"/>
              <w:jc w:val="center"/>
              <w:rPr>
                <w:szCs w:val="21"/>
              </w:rPr>
            </w:pPr>
            <w:r>
              <w:rPr>
                <w:szCs w:val="21"/>
              </w:rPr>
              <w:t>项目名称</w:t>
            </w:r>
          </w:p>
        </w:tc>
        <w:tc>
          <w:tcPr>
            <w:tcW w:w="6455" w:type="dxa"/>
            <w:vAlign w:val="center"/>
          </w:tcPr>
          <w:p>
            <w:pPr>
              <w:pStyle w:val="72"/>
              <w:spacing w:before="3"/>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2366" w:type="dxa"/>
            <w:vAlign w:val="center"/>
          </w:tcPr>
          <w:p>
            <w:pPr>
              <w:pStyle w:val="72"/>
              <w:tabs>
                <w:tab w:val="left" w:pos="2366"/>
              </w:tabs>
              <w:jc w:val="center"/>
              <w:rPr>
                <w:szCs w:val="21"/>
              </w:rPr>
            </w:pPr>
            <w:r>
              <w:rPr>
                <w:szCs w:val="21"/>
              </w:rPr>
              <w:t>项日所在地</w:t>
            </w:r>
          </w:p>
        </w:tc>
        <w:tc>
          <w:tcPr>
            <w:tcW w:w="6455" w:type="dxa"/>
            <w:vAlign w:val="center"/>
          </w:tcPr>
          <w:p>
            <w:pPr>
              <w:pStyle w:val="72"/>
              <w:spacing w:before="8"/>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4" w:hRule="exact"/>
          <w:jc w:val="center"/>
        </w:trPr>
        <w:tc>
          <w:tcPr>
            <w:tcW w:w="2366" w:type="dxa"/>
            <w:vAlign w:val="center"/>
          </w:tcPr>
          <w:p>
            <w:pPr>
              <w:pStyle w:val="72"/>
              <w:tabs>
                <w:tab w:val="left" w:pos="2366"/>
              </w:tabs>
              <w:jc w:val="center"/>
              <w:rPr>
                <w:szCs w:val="21"/>
              </w:rPr>
            </w:pPr>
            <w:r>
              <w:rPr>
                <w:szCs w:val="21"/>
              </w:rPr>
              <w:t>委托人名称</w:t>
            </w:r>
          </w:p>
        </w:tc>
        <w:tc>
          <w:tcPr>
            <w:tcW w:w="6455" w:type="dxa"/>
            <w:vAlign w:val="center"/>
          </w:tcPr>
          <w:p>
            <w:pPr>
              <w:pStyle w:val="72"/>
              <w:spacing w:before="6"/>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4" w:hRule="exact"/>
          <w:jc w:val="center"/>
        </w:trPr>
        <w:tc>
          <w:tcPr>
            <w:tcW w:w="2366" w:type="dxa"/>
            <w:vAlign w:val="center"/>
          </w:tcPr>
          <w:p>
            <w:pPr>
              <w:pStyle w:val="72"/>
              <w:tabs>
                <w:tab w:val="left" w:pos="2366"/>
              </w:tabs>
              <w:jc w:val="center"/>
              <w:rPr>
                <w:szCs w:val="21"/>
              </w:rPr>
            </w:pPr>
            <w:r>
              <w:rPr>
                <w:szCs w:val="21"/>
              </w:rPr>
              <w:t>委托人地址</w:t>
            </w:r>
          </w:p>
        </w:tc>
        <w:tc>
          <w:tcPr>
            <w:tcW w:w="6455" w:type="dxa"/>
            <w:vAlign w:val="center"/>
          </w:tcPr>
          <w:p>
            <w:pPr>
              <w:pStyle w:val="72"/>
              <w:spacing w:before="11"/>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4" w:hRule="exact"/>
          <w:jc w:val="center"/>
        </w:trPr>
        <w:tc>
          <w:tcPr>
            <w:tcW w:w="2366" w:type="dxa"/>
            <w:vAlign w:val="center"/>
          </w:tcPr>
          <w:p>
            <w:pPr>
              <w:pStyle w:val="72"/>
              <w:tabs>
                <w:tab w:val="left" w:pos="2366"/>
              </w:tabs>
              <w:jc w:val="center"/>
              <w:rPr>
                <w:szCs w:val="21"/>
              </w:rPr>
            </w:pPr>
            <w:r>
              <w:rPr>
                <w:szCs w:val="21"/>
              </w:rPr>
              <w:t>委托人电话</w:t>
            </w:r>
          </w:p>
        </w:tc>
        <w:tc>
          <w:tcPr>
            <w:tcW w:w="6455" w:type="dxa"/>
            <w:vAlign w:val="center"/>
          </w:tcPr>
          <w:p>
            <w:pPr>
              <w:pStyle w:val="72"/>
              <w:spacing w:before="6"/>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2366" w:type="dxa"/>
            <w:vAlign w:val="center"/>
          </w:tcPr>
          <w:p>
            <w:pPr>
              <w:pStyle w:val="72"/>
              <w:ind w:left="763"/>
              <w:rPr>
                <w:szCs w:val="21"/>
              </w:rPr>
            </w:pPr>
            <w:r>
              <w:rPr>
                <w:szCs w:val="21"/>
              </w:rPr>
              <w:t>项目等级</w:t>
            </w:r>
          </w:p>
        </w:tc>
        <w:tc>
          <w:tcPr>
            <w:tcW w:w="6455" w:type="dxa"/>
            <w:vAlign w:val="center"/>
          </w:tcPr>
          <w:p>
            <w:pPr>
              <w:pStyle w:val="72"/>
              <w:spacing w:before="11"/>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4" w:hRule="exact"/>
          <w:jc w:val="center"/>
        </w:trPr>
        <w:tc>
          <w:tcPr>
            <w:tcW w:w="2366" w:type="dxa"/>
            <w:vAlign w:val="center"/>
          </w:tcPr>
          <w:p>
            <w:pPr>
              <w:pStyle w:val="72"/>
              <w:jc w:val="center"/>
              <w:rPr>
                <w:szCs w:val="21"/>
              </w:rPr>
            </w:pPr>
            <w:r>
              <w:rPr>
                <w:szCs w:val="21"/>
              </w:rPr>
              <w:t>项目总投资</w:t>
            </w:r>
          </w:p>
        </w:tc>
        <w:tc>
          <w:tcPr>
            <w:tcW w:w="6455" w:type="dxa"/>
            <w:vAlign w:val="center"/>
          </w:tcPr>
          <w:p>
            <w:pPr>
              <w:pStyle w:val="72"/>
              <w:spacing w:before="3"/>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2366" w:type="dxa"/>
            <w:vAlign w:val="center"/>
          </w:tcPr>
          <w:p>
            <w:pPr>
              <w:pStyle w:val="72"/>
              <w:jc w:val="center"/>
              <w:rPr>
                <w:szCs w:val="21"/>
              </w:rPr>
            </w:pPr>
            <w:r>
              <w:rPr>
                <w:rFonts w:hint="eastAsia"/>
                <w:szCs w:val="21"/>
              </w:rPr>
              <w:t>监理服务费</w:t>
            </w:r>
          </w:p>
        </w:tc>
        <w:tc>
          <w:tcPr>
            <w:tcW w:w="6455" w:type="dxa"/>
            <w:vAlign w:val="center"/>
          </w:tcPr>
          <w:p>
            <w:pPr>
              <w:pStyle w:val="72"/>
              <w:spacing w:before="8"/>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2366" w:type="dxa"/>
            <w:vAlign w:val="center"/>
          </w:tcPr>
          <w:p>
            <w:pPr>
              <w:pStyle w:val="72"/>
              <w:jc w:val="center"/>
              <w:rPr>
                <w:szCs w:val="21"/>
              </w:rPr>
            </w:pPr>
            <w:r>
              <w:rPr>
                <w:rFonts w:hint="eastAsia"/>
                <w:szCs w:val="21"/>
              </w:rPr>
              <w:t>监理服务期限</w:t>
            </w:r>
          </w:p>
        </w:tc>
        <w:tc>
          <w:tcPr>
            <w:tcW w:w="6455" w:type="dxa"/>
            <w:vAlign w:val="center"/>
          </w:tcPr>
          <w:p>
            <w:pPr>
              <w:pStyle w:val="72"/>
              <w:spacing w:before="6"/>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4" w:hRule="exact"/>
          <w:jc w:val="center"/>
        </w:trPr>
        <w:tc>
          <w:tcPr>
            <w:tcW w:w="2366" w:type="dxa"/>
            <w:vAlign w:val="center"/>
          </w:tcPr>
          <w:p>
            <w:pPr>
              <w:pStyle w:val="72"/>
              <w:ind w:left="763"/>
              <w:rPr>
                <w:szCs w:val="21"/>
              </w:rPr>
            </w:pPr>
            <w:r>
              <w:rPr>
                <w:rFonts w:hint="eastAsia"/>
                <w:szCs w:val="21"/>
              </w:rPr>
              <w:t>监理内容</w:t>
            </w:r>
          </w:p>
        </w:tc>
        <w:tc>
          <w:tcPr>
            <w:tcW w:w="6455" w:type="dxa"/>
            <w:vAlign w:val="center"/>
          </w:tcPr>
          <w:p>
            <w:pPr>
              <w:pStyle w:val="72"/>
              <w:spacing w:before="3"/>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11" w:hRule="exact"/>
          <w:jc w:val="center"/>
        </w:trPr>
        <w:tc>
          <w:tcPr>
            <w:tcW w:w="2366" w:type="dxa"/>
            <w:vAlign w:val="center"/>
          </w:tcPr>
          <w:p>
            <w:pPr>
              <w:pStyle w:val="72"/>
              <w:spacing w:before="17" w:line="398" w:lineRule="exact"/>
              <w:ind w:left="36" w:hanging="18"/>
              <w:jc w:val="center"/>
              <w:rPr>
                <w:szCs w:val="21"/>
              </w:rPr>
            </w:pPr>
            <w:r>
              <w:rPr>
                <w:rFonts w:hint="eastAsia"/>
                <w:szCs w:val="21"/>
              </w:rPr>
              <w:t>总监理工程师</w:t>
            </w:r>
          </w:p>
        </w:tc>
        <w:tc>
          <w:tcPr>
            <w:tcW w:w="6455" w:type="dxa"/>
            <w:vAlign w:val="center"/>
          </w:tcPr>
          <w:p>
            <w:pPr>
              <w:pStyle w:val="72"/>
              <w:spacing w:before="17" w:line="398" w:lineRule="exact"/>
              <w:ind w:left="763" w:right="119" w:hanging="634"/>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47" w:hRule="exact"/>
          <w:jc w:val="center"/>
        </w:trPr>
        <w:tc>
          <w:tcPr>
            <w:tcW w:w="2366" w:type="dxa"/>
            <w:vAlign w:val="center"/>
          </w:tcPr>
          <w:p>
            <w:pPr>
              <w:pStyle w:val="72"/>
              <w:ind w:left="763"/>
              <w:rPr>
                <w:szCs w:val="21"/>
              </w:rPr>
            </w:pPr>
            <w:r>
              <w:rPr>
                <w:szCs w:val="21"/>
              </w:rPr>
              <w:t>项目描述</w:t>
            </w:r>
          </w:p>
        </w:tc>
        <w:tc>
          <w:tcPr>
            <w:tcW w:w="6455" w:type="dxa"/>
            <w:vAlign w:val="center"/>
          </w:tcPr>
          <w:p>
            <w:pPr>
              <w:pStyle w:val="72"/>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14" w:hRule="exact"/>
          <w:jc w:val="center"/>
        </w:trPr>
        <w:tc>
          <w:tcPr>
            <w:tcW w:w="2366" w:type="dxa"/>
            <w:vAlign w:val="center"/>
          </w:tcPr>
          <w:p>
            <w:pPr>
              <w:pStyle w:val="72"/>
              <w:ind w:left="14"/>
              <w:jc w:val="center"/>
              <w:rPr>
                <w:szCs w:val="21"/>
              </w:rPr>
            </w:pPr>
            <w:r>
              <w:rPr>
                <w:szCs w:val="21"/>
              </w:rPr>
              <w:t>备注</w:t>
            </w:r>
          </w:p>
        </w:tc>
        <w:tc>
          <w:tcPr>
            <w:tcW w:w="6455" w:type="dxa"/>
            <w:vAlign w:val="center"/>
          </w:tcPr>
          <w:p>
            <w:pPr>
              <w:pStyle w:val="72"/>
              <w:spacing w:before="1"/>
              <w:jc w:val="center"/>
              <w:rPr>
                <w:szCs w:val="21"/>
              </w:rPr>
            </w:pPr>
          </w:p>
        </w:tc>
      </w:tr>
    </w:tbl>
    <w:p>
      <w:pPr>
        <w:tabs>
          <w:tab w:val="left" w:pos="2400"/>
        </w:tabs>
        <w:autoSpaceDE w:val="0"/>
        <w:autoSpaceDN w:val="0"/>
        <w:adjustRightInd w:val="0"/>
        <w:spacing w:before="57"/>
        <w:ind w:right="-86" w:rightChars="-41"/>
        <w:jc w:val="center"/>
        <w:rPr>
          <w:kern w:val="0"/>
          <w:szCs w:val="21"/>
        </w:rPr>
      </w:pPr>
    </w:p>
    <w:p>
      <w:pPr>
        <w:ind w:leftChars="-67" w:hanging="140" w:hangingChars="67"/>
      </w:pPr>
      <w:r>
        <w:rPr>
          <w:rFonts w:hint="eastAsia"/>
        </w:rPr>
        <w:t>注：1.每张表格只填写一个项目，并标明序号。</w:t>
      </w:r>
    </w:p>
    <w:p>
      <w:pPr>
        <w:ind w:firstLine="283" w:firstLineChars="135"/>
        <w:rPr>
          <w:szCs w:val="21"/>
        </w:rPr>
      </w:pPr>
      <w:r>
        <w:rPr>
          <w:rFonts w:hint="eastAsia"/>
        </w:rPr>
        <w:t>2.</w:t>
      </w:r>
      <w:r>
        <w:rPr>
          <w:rFonts w:hint="eastAsia"/>
          <w:szCs w:val="21"/>
        </w:rPr>
        <w:t>投标人应根据招标文件第二章“投标人须知”</w:t>
      </w:r>
      <w:r>
        <w:rPr>
          <w:rFonts w:hint="eastAsia"/>
          <w:szCs w:val="21"/>
          <w:highlight w:val="yellow"/>
        </w:rPr>
        <w:t>前附表附录2</w:t>
      </w:r>
      <w:r>
        <w:rPr>
          <w:rFonts w:hint="eastAsia"/>
          <w:szCs w:val="21"/>
        </w:rPr>
        <w:t>的要求在本表后附相关证明材料。</w:t>
      </w:r>
    </w:p>
    <w:p>
      <w:pPr>
        <w:tabs>
          <w:tab w:val="left" w:pos="2400"/>
        </w:tabs>
        <w:autoSpaceDE w:val="0"/>
        <w:autoSpaceDN w:val="0"/>
        <w:adjustRightInd w:val="0"/>
        <w:spacing w:before="57"/>
        <w:ind w:right="-86" w:rightChars="-41" w:firstLine="315" w:firstLineChars="150"/>
        <w:jc w:val="left"/>
        <w:rPr>
          <w:spacing w:val="-2"/>
          <w:kern w:val="0"/>
          <w:szCs w:val="21"/>
        </w:rPr>
      </w:pPr>
      <w:r>
        <w:rPr>
          <w:rFonts w:hint="eastAsia"/>
        </w:rPr>
        <w:t>3.如近年来，投标人法人机构发生合法变更或重组或法人名称变更时，应提供相关部门的合法批件或其他相关证明材料来证明其所附业绩的继承性。</w:t>
      </w:r>
    </w:p>
    <w:p>
      <w:pPr>
        <w:autoSpaceDE w:val="0"/>
        <w:autoSpaceDN w:val="0"/>
        <w:adjustRightInd w:val="0"/>
        <w:spacing w:before="75" w:line="360" w:lineRule="auto"/>
        <w:ind w:left="16" w:right="171" w:hanging="16"/>
        <w:jc w:val="center"/>
        <w:rPr>
          <w:bCs/>
          <w:szCs w:val="32"/>
        </w:rPr>
      </w:pPr>
      <w:r>
        <w:br w:type="page"/>
      </w:r>
      <w:bookmarkStart w:id="495" w:name="_Toc508797000"/>
      <w:r>
        <w:rPr>
          <w:rFonts w:hint="eastAsia"/>
          <w:b/>
          <w:spacing w:val="-1"/>
          <w:kern w:val="0"/>
          <w:position w:val="-2"/>
          <w:sz w:val="28"/>
          <w:szCs w:val="28"/>
        </w:rPr>
        <w:t>（四）投标人的信誉情况</w:t>
      </w:r>
      <w:bookmarkEnd w:id="495"/>
      <w:r>
        <w:rPr>
          <w:rFonts w:hint="eastAsia"/>
          <w:b/>
          <w:spacing w:val="-1"/>
          <w:kern w:val="0"/>
          <w:position w:val="-2"/>
          <w:sz w:val="28"/>
          <w:szCs w:val="28"/>
        </w:rPr>
        <w:t>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39"/>
        <w:gridCol w:w="53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3739" w:type="dxa"/>
            <w:vAlign w:val="center"/>
          </w:tcPr>
          <w:p>
            <w:pPr>
              <w:jc w:val="center"/>
              <w:rPr>
                <w:sz w:val="24"/>
              </w:rPr>
            </w:pPr>
            <w:r>
              <w:rPr>
                <w:rFonts w:hint="eastAsia"/>
                <w:sz w:val="24"/>
              </w:rPr>
              <w:t>项  目</w:t>
            </w:r>
          </w:p>
        </w:tc>
        <w:tc>
          <w:tcPr>
            <w:tcW w:w="5393" w:type="dxa"/>
            <w:vAlign w:val="center"/>
          </w:tcPr>
          <w:p>
            <w:pPr>
              <w:jc w:val="center"/>
              <w:rPr>
                <w:sz w:val="24"/>
              </w:rPr>
            </w:pPr>
            <w:r>
              <w:rPr>
                <w:rFonts w:hint="eastAsia"/>
                <w:sz w:val="24"/>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3739" w:type="dxa"/>
            <w:vAlign w:val="center"/>
          </w:tcPr>
          <w:p>
            <w:pPr>
              <w:rPr>
                <w:sz w:val="24"/>
              </w:rPr>
            </w:pPr>
          </w:p>
        </w:tc>
        <w:tc>
          <w:tcPr>
            <w:tcW w:w="539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3739" w:type="dxa"/>
            <w:vAlign w:val="center"/>
          </w:tcPr>
          <w:p>
            <w:pPr>
              <w:rPr>
                <w:sz w:val="24"/>
              </w:rPr>
            </w:pPr>
          </w:p>
        </w:tc>
        <w:tc>
          <w:tcPr>
            <w:tcW w:w="539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3739" w:type="dxa"/>
            <w:vAlign w:val="center"/>
          </w:tcPr>
          <w:p>
            <w:pPr>
              <w:rPr>
                <w:sz w:val="24"/>
              </w:rPr>
            </w:pPr>
          </w:p>
        </w:tc>
        <w:tc>
          <w:tcPr>
            <w:tcW w:w="539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3739" w:type="dxa"/>
            <w:vAlign w:val="center"/>
          </w:tcPr>
          <w:p>
            <w:pPr>
              <w:rPr>
                <w:sz w:val="24"/>
              </w:rPr>
            </w:pPr>
          </w:p>
        </w:tc>
        <w:tc>
          <w:tcPr>
            <w:tcW w:w="539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3739" w:type="dxa"/>
            <w:vAlign w:val="center"/>
          </w:tcPr>
          <w:p>
            <w:pPr>
              <w:rPr>
                <w:sz w:val="24"/>
              </w:rPr>
            </w:pPr>
          </w:p>
        </w:tc>
        <w:tc>
          <w:tcPr>
            <w:tcW w:w="5393" w:type="dxa"/>
            <w:vAlign w:val="center"/>
          </w:tcPr>
          <w:p>
            <w:pPr>
              <w:rPr>
                <w:sz w:val="24"/>
              </w:rPr>
            </w:pPr>
          </w:p>
          <w:p>
            <w:pPr>
              <w:rPr>
                <w:sz w:val="24"/>
              </w:rPr>
            </w:pPr>
          </w:p>
        </w:tc>
      </w:tr>
    </w:tbl>
    <w:p>
      <w:pPr>
        <w:ind w:firstLine="420" w:firstLineChars="200"/>
        <w:rPr>
          <w:szCs w:val="21"/>
        </w:rPr>
      </w:pPr>
    </w:p>
    <w:p>
      <w:pPr>
        <w:spacing w:line="360" w:lineRule="auto"/>
        <w:ind w:left="420" w:hanging="420" w:hangingChars="200"/>
      </w:pPr>
      <w:r>
        <w:rPr>
          <w:rFonts w:hint="eastAsia"/>
        </w:rPr>
        <w:t>注：1.投标人应根据招标文件第二章“投标人须知”前附表附录3和“投标人须知”正文第1.4.4项规定，逐条说明其信誉情况。</w:t>
      </w:r>
    </w:p>
    <w:p>
      <w:pPr>
        <w:autoSpaceDE w:val="0"/>
        <w:autoSpaceDN w:val="0"/>
        <w:adjustRightInd w:val="0"/>
        <w:spacing w:before="75" w:line="360" w:lineRule="auto"/>
        <w:ind w:left="16" w:right="171" w:hanging="16"/>
        <w:jc w:val="left"/>
      </w:pPr>
      <w:r>
        <w:rPr>
          <w:rFonts w:hint="eastAsia"/>
        </w:rPr>
        <w:t xml:space="preserve">    2.投标人应根据招标文件第二章“投标人须知”第3.5.</w:t>
      </w:r>
      <w:r>
        <w:rPr>
          <w:highlight w:val="yellow"/>
        </w:rPr>
        <w:t>2</w:t>
      </w:r>
      <w:r>
        <w:rPr>
          <w:rFonts w:hint="eastAsia"/>
        </w:rPr>
        <w:t>项的要求在本表后附相关证明材料。</w:t>
      </w:r>
    </w:p>
    <w:p>
      <w:pPr>
        <w:autoSpaceDE w:val="0"/>
        <w:autoSpaceDN w:val="0"/>
        <w:adjustRightInd w:val="0"/>
        <w:spacing w:before="75" w:line="360" w:lineRule="auto"/>
        <w:ind w:left="16" w:right="171" w:hanging="16"/>
        <w:jc w:val="center"/>
        <w:rPr>
          <w:rFonts w:ascii="黑体" w:eastAsia="黑体" w:cs="黑体"/>
          <w:b/>
          <w:kern w:val="0"/>
          <w:position w:val="-3"/>
          <w:sz w:val="28"/>
          <w:szCs w:val="28"/>
        </w:rPr>
      </w:pPr>
      <w:r>
        <w:br w:type="page"/>
      </w:r>
      <w:r>
        <w:rPr>
          <w:rFonts w:hint="eastAsia" w:ascii="黑体" w:eastAsia="黑体" w:cs="黑体"/>
          <w:b/>
          <w:kern w:val="0"/>
          <w:position w:val="-3"/>
          <w:sz w:val="28"/>
          <w:szCs w:val="28"/>
        </w:rPr>
        <w:t>（五）拟委任的总监理工程师资历表</w:t>
      </w:r>
    </w:p>
    <w:p>
      <w:pPr>
        <w:autoSpaceDE w:val="0"/>
        <w:autoSpaceDN w:val="0"/>
        <w:adjustRightInd w:val="0"/>
        <w:spacing w:line="300" w:lineRule="exact"/>
        <w:ind w:right="3"/>
        <w:jc w:val="center"/>
        <w:rPr>
          <w:rFonts w:ascii="黑体" w:eastAsia="黑体" w:cs="黑体"/>
          <w:b/>
          <w:kern w:val="0"/>
          <w:position w:val="-3"/>
          <w:sz w:val="28"/>
          <w:szCs w:val="28"/>
        </w:rPr>
      </w:pP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6"/>
        <w:gridCol w:w="1333"/>
        <w:gridCol w:w="389"/>
        <w:gridCol w:w="1363"/>
        <w:gridCol w:w="1835"/>
        <w:gridCol w:w="1843"/>
        <w:gridCol w:w="13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246" w:type="dxa"/>
            <w:vAlign w:val="center"/>
          </w:tcPr>
          <w:p>
            <w:pPr>
              <w:tabs>
                <w:tab w:val="left" w:pos="3960"/>
              </w:tabs>
              <w:spacing w:after="120" w:afterLines="50" w:line="400" w:lineRule="exact"/>
              <w:jc w:val="center"/>
              <w:rPr>
                <w:szCs w:val="21"/>
              </w:rPr>
            </w:pPr>
            <w:r>
              <w:rPr>
                <w:rFonts w:hint="eastAsia"/>
                <w:szCs w:val="21"/>
              </w:rPr>
              <w:t>姓  名</w:t>
            </w:r>
          </w:p>
        </w:tc>
        <w:tc>
          <w:tcPr>
            <w:tcW w:w="1722" w:type="dxa"/>
            <w:gridSpan w:val="2"/>
            <w:vAlign w:val="center"/>
          </w:tcPr>
          <w:p>
            <w:pPr>
              <w:tabs>
                <w:tab w:val="left" w:pos="3960"/>
              </w:tabs>
              <w:spacing w:after="120" w:afterLines="50" w:line="400" w:lineRule="exact"/>
              <w:jc w:val="center"/>
              <w:rPr>
                <w:szCs w:val="21"/>
              </w:rPr>
            </w:pPr>
          </w:p>
        </w:tc>
        <w:tc>
          <w:tcPr>
            <w:tcW w:w="1363" w:type="dxa"/>
            <w:vAlign w:val="center"/>
          </w:tcPr>
          <w:p>
            <w:pPr>
              <w:tabs>
                <w:tab w:val="left" w:pos="3960"/>
              </w:tabs>
              <w:spacing w:after="120" w:afterLines="50" w:line="400" w:lineRule="exact"/>
              <w:jc w:val="center"/>
              <w:rPr>
                <w:szCs w:val="21"/>
              </w:rPr>
            </w:pPr>
            <w:r>
              <w:rPr>
                <w:rFonts w:hint="eastAsia"/>
                <w:szCs w:val="21"/>
              </w:rPr>
              <w:t>年  龄</w:t>
            </w:r>
          </w:p>
        </w:tc>
        <w:tc>
          <w:tcPr>
            <w:tcW w:w="1835" w:type="dxa"/>
            <w:vAlign w:val="center"/>
          </w:tcPr>
          <w:p>
            <w:pPr>
              <w:tabs>
                <w:tab w:val="left" w:pos="3960"/>
              </w:tabs>
              <w:spacing w:after="120" w:afterLines="50" w:line="400" w:lineRule="exact"/>
              <w:jc w:val="center"/>
              <w:rPr>
                <w:szCs w:val="21"/>
              </w:rPr>
            </w:pPr>
          </w:p>
        </w:tc>
        <w:tc>
          <w:tcPr>
            <w:tcW w:w="1843" w:type="dxa"/>
            <w:vAlign w:val="center"/>
          </w:tcPr>
          <w:p>
            <w:pPr>
              <w:tabs>
                <w:tab w:val="left" w:pos="3960"/>
              </w:tabs>
              <w:spacing w:after="120" w:afterLines="50" w:line="400" w:lineRule="exact"/>
              <w:jc w:val="center"/>
              <w:rPr>
                <w:szCs w:val="21"/>
              </w:rPr>
            </w:pPr>
            <w:r>
              <w:rPr>
                <w:rFonts w:hint="eastAsia"/>
                <w:szCs w:val="21"/>
              </w:rPr>
              <w:t>执业或职业资格证书名称</w:t>
            </w:r>
          </w:p>
        </w:tc>
        <w:tc>
          <w:tcPr>
            <w:tcW w:w="1355" w:type="dxa"/>
            <w:vAlign w:val="center"/>
          </w:tcPr>
          <w:p>
            <w:pPr>
              <w:tabs>
                <w:tab w:val="left" w:pos="3960"/>
              </w:tabs>
              <w:spacing w:after="120" w:afterLines="50"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4" w:hRule="atLeast"/>
          <w:jc w:val="center"/>
        </w:trPr>
        <w:tc>
          <w:tcPr>
            <w:tcW w:w="1246" w:type="dxa"/>
            <w:vAlign w:val="center"/>
          </w:tcPr>
          <w:p>
            <w:pPr>
              <w:tabs>
                <w:tab w:val="left" w:pos="3960"/>
              </w:tabs>
              <w:spacing w:line="400" w:lineRule="exact"/>
              <w:jc w:val="center"/>
              <w:rPr>
                <w:szCs w:val="21"/>
              </w:rPr>
            </w:pPr>
            <w:r>
              <w:rPr>
                <w:rFonts w:hint="eastAsia"/>
                <w:szCs w:val="21"/>
              </w:rPr>
              <w:t>技术职称</w:t>
            </w:r>
          </w:p>
        </w:tc>
        <w:tc>
          <w:tcPr>
            <w:tcW w:w="1722" w:type="dxa"/>
            <w:gridSpan w:val="2"/>
            <w:vAlign w:val="center"/>
          </w:tcPr>
          <w:p>
            <w:pPr>
              <w:tabs>
                <w:tab w:val="left" w:pos="3960"/>
              </w:tabs>
              <w:spacing w:line="400" w:lineRule="exact"/>
              <w:jc w:val="center"/>
              <w:rPr>
                <w:szCs w:val="21"/>
              </w:rPr>
            </w:pPr>
          </w:p>
        </w:tc>
        <w:tc>
          <w:tcPr>
            <w:tcW w:w="1363" w:type="dxa"/>
            <w:vAlign w:val="center"/>
          </w:tcPr>
          <w:p>
            <w:pPr>
              <w:tabs>
                <w:tab w:val="left" w:pos="3960"/>
              </w:tabs>
              <w:spacing w:line="400" w:lineRule="exact"/>
              <w:jc w:val="center"/>
              <w:rPr>
                <w:szCs w:val="21"/>
              </w:rPr>
            </w:pPr>
            <w:r>
              <w:rPr>
                <w:rFonts w:hint="eastAsia"/>
                <w:szCs w:val="21"/>
              </w:rPr>
              <w:t xml:space="preserve">学  历 </w:t>
            </w:r>
          </w:p>
        </w:tc>
        <w:tc>
          <w:tcPr>
            <w:tcW w:w="1835" w:type="dxa"/>
            <w:vAlign w:val="center"/>
          </w:tcPr>
          <w:p>
            <w:pPr>
              <w:tabs>
                <w:tab w:val="left" w:pos="3960"/>
              </w:tabs>
              <w:spacing w:line="400" w:lineRule="exact"/>
              <w:jc w:val="center"/>
              <w:rPr>
                <w:szCs w:val="21"/>
              </w:rPr>
            </w:pPr>
          </w:p>
        </w:tc>
        <w:tc>
          <w:tcPr>
            <w:tcW w:w="1843" w:type="dxa"/>
            <w:vAlign w:val="center"/>
          </w:tcPr>
          <w:p>
            <w:pPr>
              <w:tabs>
                <w:tab w:val="left" w:pos="3960"/>
              </w:tabs>
              <w:spacing w:line="400" w:lineRule="exact"/>
              <w:jc w:val="center"/>
              <w:rPr>
                <w:szCs w:val="21"/>
              </w:rPr>
            </w:pPr>
            <w:r>
              <w:rPr>
                <w:rFonts w:hint="eastAsia"/>
                <w:szCs w:val="21"/>
              </w:rPr>
              <w:t>拟在本标段</w:t>
            </w:r>
          </w:p>
          <w:p>
            <w:pPr>
              <w:tabs>
                <w:tab w:val="left" w:pos="3960"/>
              </w:tabs>
              <w:spacing w:line="400" w:lineRule="exact"/>
              <w:jc w:val="center"/>
              <w:rPr>
                <w:szCs w:val="21"/>
              </w:rPr>
            </w:pPr>
            <w:r>
              <w:rPr>
                <w:rFonts w:hint="eastAsia"/>
                <w:szCs w:val="21"/>
              </w:rPr>
              <w:t>工程任职</w:t>
            </w:r>
          </w:p>
        </w:tc>
        <w:tc>
          <w:tcPr>
            <w:tcW w:w="1355" w:type="dxa"/>
            <w:vAlign w:val="center"/>
          </w:tcPr>
          <w:p>
            <w:pPr>
              <w:tabs>
                <w:tab w:val="left" w:pos="3960"/>
              </w:tabs>
              <w:spacing w:after="120" w:afterLines="50"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4" w:hRule="atLeast"/>
          <w:jc w:val="center"/>
        </w:trPr>
        <w:tc>
          <w:tcPr>
            <w:tcW w:w="1246" w:type="dxa"/>
            <w:vAlign w:val="center"/>
          </w:tcPr>
          <w:p>
            <w:pPr>
              <w:tabs>
                <w:tab w:val="left" w:pos="3960"/>
              </w:tabs>
              <w:spacing w:line="400" w:lineRule="exact"/>
              <w:jc w:val="center"/>
              <w:rPr>
                <w:szCs w:val="21"/>
              </w:rPr>
            </w:pPr>
            <w:r>
              <w:rPr>
                <w:rFonts w:hint="eastAsia"/>
                <w:szCs w:val="21"/>
              </w:rPr>
              <w:t>工作年限</w:t>
            </w:r>
          </w:p>
        </w:tc>
        <w:tc>
          <w:tcPr>
            <w:tcW w:w="4920" w:type="dxa"/>
            <w:gridSpan w:val="4"/>
            <w:vAlign w:val="center"/>
          </w:tcPr>
          <w:p>
            <w:pPr>
              <w:tabs>
                <w:tab w:val="left" w:pos="3960"/>
              </w:tabs>
              <w:spacing w:line="400" w:lineRule="exact"/>
              <w:jc w:val="center"/>
              <w:rPr>
                <w:szCs w:val="21"/>
              </w:rPr>
            </w:pPr>
          </w:p>
        </w:tc>
        <w:tc>
          <w:tcPr>
            <w:tcW w:w="1843" w:type="dxa"/>
            <w:vAlign w:val="center"/>
          </w:tcPr>
          <w:p>
            <w:pPr>
              <w:tabs>
                <w:tab w:val="left" w:pos="3960"/>
              </w:tabs>
              <w:spacing w:line="400" w:lineRule="exact"/>
              <w:jc w:val="center"/>
              <w:rPr>
                <w:szCs w:val="21"/>
              </w:rPr>
            </w:pPr>
            <w:r>
              <w:rPr>
                <w:rFonts w:hint="eastAsia"/>
                <w:szCs w:val="21"/>
              </w:rPr>
              <w:t>从事监理</w:t>
            </w:r>
          </w:p>
          <w:p>
            <w:pPr>
              <w:tabs>
                <w:tab w:val="left" w:pos="3960"/>
              </w:tabs>
              <w:spacing w:line="400" w:lineRule="exact"/>
              <w:jc w:val="center"/>
              <w:rPr>
                <w:szCs w:val="21"/>
              </w:rPr>
            </w:pPr>
            <w:r>
              <w:rPr>
                <w:rFonts w:hint="eastAsia"/>
                <w:szCs w:val="21"/>
              </w:rPr>
              <w:t>工作年限</w:t>
            </w:r>
          </w:p>
        </w:tc>
        <w:tc>
          <w:tcPr>
            <w:tcW w:w="1355" w:type="dxa"/>
            <w:vAlign w:val="center"/>
          </w:tcPr>
          <w:p>
            <w:pPr>
              <w:tabs>
                <w:tab w:val="left" w:pos="3960"/>
              </w:tabs>
              <w:spacing w:after="120" w:afterLines="50"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246" w:type="dxa"/>
            <w:vAlign w:val="center"/>
          </w:tcPr>
          <w:p>
            <w:pPr>
              <w:tabs>
                <w:tab w:val="left" w:pos="3960"/>
              </w:tabs>
              <w:spacing w:after="120" w:afterLines="50" w:line="400" w:lineRule="exact"/>
              <w:jc w:val="center"/>
              <w:rPr>
                <w:szCs w:val="21"/>
              </w:rPr>
            </w:pPr>
            <w:r>
              <w:rPr>
                <w:rFonts w:hint="eastAsia"/>
                <w:szCs w:val="21"/>
              </w:rPr>
              <w:t>毕业学校</w:t>
            </w:r>
          </w:p>
        </w:tc>
        <w:tc>
          <w:tcPr>
            <w:tcW w:w="8118" w:type="dxa"/>
            <w:gridSpan w:val="6"/>
            <w:vAlign w:val="center"/>
          </w:tcPr>
          <w:p>
            <w:pPr>
              <w:tabs>
                <w:tab w:val="left" w:pos="3960"/>
              </w:tabs>
              <w:spacing w:after="120" w:afterLines="50" w:line="400" w:lineRule="exact"/>
              <w:jc w:val="center"/>
              <w:rPr>
                <w:szCs w:val="21"/>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月毕业于</w:t>
            </w:r>
            <w:r>
              <w:rPr>
                <w:rFonts w:hint="eastAsia"/>
                <w:szCs w:val="21"/>
                <w:u w:val="single"/>
              </w:rPr>
              <w:t xml:space="preserve">                  </w:t>
            </w:r>
            <w:r>
              <w:rPr>
                <w:rFonts w:hint="eastAsia"/>
                <w:szCs w:val="21"/>
              </w:rPr>
              <w:t>学校</w:t>
            </w:r>
            <w:r>
              <w:rPr>
                <w:rFonts w:hint="eastAsia"/>
                <w:szCs w:val="21"/>
                <w:u w:val="single"/>
              </w:rPr>
              <w:t xml:space="preserve">           </w:t>
            </w:r>
            <w:r>
              <w:rPr>
                <w:rFonts w:hint="eastAsia"/>
                <w:szCs w:val="21"/>
              </w:rPr>
              <w:t>专业，学制</w:t>
            </w:r>
            <w:r>
              <w:rPr>
                <w:rFonts w:hint="eastAsia"/>
                <w:szCs w:val="21"/>
                <w:u w:val="single"/>
              </w:rPr>
              <w:t xml:space="preserve">    </w:t>
            </w:r>
            <w:r>
              <w:rPr>
                <w:rFonts w:hint="eastAsia"/>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364" w:type="dxa"/>
            <w:gridSpan w:val="7"/>
            <w:vAlign w:val="center"/>
          </w:tcPr>
          <w:p>
            <w:pPr>
              <w:tabs>
                <w:tab w:val="left" w:pos="3960"/>
              </w:tabs>
              <w:jc w:val="center"/>
              <w:rPr>
                <w:szCs w:val="21"/>
              </w:rPr>
            </w:pPr>
            <w:r>
              <w:rPr>
                <w:rFonts w:hint="eastAsia"/>
                <w:szCs w:val="21"/>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4" w:hRule="atLeast"/>
          <w:jc w:val="center"/>
        </w:trPr>
        <w:tc>
          <w:tcPr>
            <w:tcW w:w="1246" w:type="dxa"/>
            <w:vAlign w:val="center"/>
          </w:tcPr>
          <w:p>
            <w:pPr>
              <w:tabs>
                <w:tab w:val="left" w:pos="3960"/>
              </w:tabs>
              <w:spacing w:after="120" w:afterLines="50" w:line="400" w:lineRule="exact"/>
              <w:jc w:val="center"/>
              <w:rPr>
                <w:szCs w:val="21"/>
              </w:rPr>
            </w:pPr>
            <w:r>
              <w:rPr>
                <w:rFonts w:hint="eastAsia"/>
                <w:szCs w:val="21"/>
              </w:rPr>
              <w:t>时  间</w:t>
            </w:r>
          </w:p>
        </w:tc>
        <w:tc>
          <w:tcPr>
            <w:tcW w:w="4920" w:type="dxa"/>
            <w:gridSpan w:val="4"/>
            <w:vAlign w:val="center"/>
          </w:tcPr>
          <w:p>
            <w:pPr>
              <w:tabs>
                <w:tab w:val="left" w:pos="3960"/>
              </w:tabs>
              <w:spacing w:after="120" w:afterLines="50" w:line="400" w:lineRule="exact"/>
              <w:jc w:val="center"/>
              <w:rPr>
                <w:szCs w:val="21"/>
              </w:rPr>
            </w:pPr>
            <w:r>
              <w:rPr>
                <w:rFonts w:hint="eastAsia"/>
                <w:szCs w:val="21"/>
              </w:rPr>
              <w:t>参加过的类似工程项目名称</w:t>
            </w:r>
          </w:p>
        </w:tc>
        <w:tc>
          <w:tcPr>
            <w:tcW w:w="1843" w:type="dxa"/>
            <w:vAlign w:val="center"/>
          </w:tcPr>
          <w:p>
            <w:pPr>
              <w:tabs>
                <w:tab w:val="left" w:pos="3960"/>
              </w:tabs>
              <w:spacing w:after="120" w:afterLines="50" w:line="400" w:lineRule="exact"/>
              <w:jc w:val="center"/>
              <w:rPr>
                <w:szCs w:val="21"/>
              </w:rPr>
            </w:pPr>
            <w:r>
              <w:rPr>
                <w:rFonts w:hint="eastAsia"/>
                <w:szCs w:val="21"/>
              </w:rPr>
              <w:t>担任职务</w:t>
            </w:r>
          </w:p>
        </w:tc>
        <w:tc>
          <w:tcPr>
            <w:tcW w:w="1355" w:type="dxa"/>
            <w:vAlign w:val="center"/>
          </w:tcPr>
          <w:p>
            <w:pPr>
              <w:tabs>
                <w:tab w:val="left" w:pos="3960"/>
              </w:tabs>
              <w:spacing w:after="120" w:afterLines="50" w:line="400" w:lineRule="exact"/>
              <w:jc w:val="center"/>
              <w:rPr>
                <w:szCs w:val="21"/>
              </w:rPr>
            </w:pPr>
            <w:r>
              <w:rPr>
                <w:rFonts w:hint="eastAsia"/>
                <w:szCs w:val="21"/>
              </w:rPr>
              <w:t>委托人及</w:t>
            </w:r>
          </w:p>
          <w:p>
            <w:pPr>
              <w:tabs>
                <w:tab w:val="left" w:pos="3960"/>
              </w:tabs>
              <w:spacing w:after="120" w:afterLines="50" w:line="400" w:lineRule="exact"/>
              <w:jc w:val="center"/>
              <w:rPr>
                <w:szCs w:val="21"/>
              </w:rPr>
            </w:pPr>
            <w:r>
              <w:rPr>
                <w:rFonts w:hint="eastAsia"/>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120" w:afterLines="50" w:line="400" w:lineRule="exact"/>
              <w:jc w:val="center"/>
              <w:rPr>
                <w:szCs w:val="21"/>
              </w:rPr>
            </w:pPr>
          </w:p>
        </w:tc>
        <w:tc>
          <w:tcPr>
            <w:tcW w:w="4920" w:type="dxa"/>
            <w:gridSpan w:val="4"/>
            <w:vAlign w:val="center"/>
          </w:tcPr>
          <w:p>
            <w:pPr>
              <w:tabs>
                <w:tab w:val="left" w:pos="3960"/>
              </w:tabs>
              <w:spacing w:after="120" w:afterLines="50" w:line="400" w:lineRule="exact"/>
              <w:jc w:val="center"/>
              <w:rPr>
                <w:szCs w:val="21"/>
              </w:rPr>
            </w:pPr>
          </w:p>
        </w:tc>
        <w:tc>
          <w:tcPr>
            <w:tcW w:w="1843" w:type="dxa"/>
            <w:vAlign w:val="center"/>
          </w:tcPr>
          <w:p>
            <w:pPr>
              <w:tabs>
                <w:tab w:val="left" w:pos="3960"/>
              </w:tabs>
              <w:spacing w:after="120" w:afterLines="50" w:line="400" w:lineRule="exact"/>
              <w:jc w:val="center"/>
              <w:rPr>
                <w:szCs w:val="21"/>
              </w:rPr>
            </w:pPr>
          </w:p>
        </w:tc>
        <w:tc>
          <w:tcPr>
            <w:tcW w:w="1355" w:type="dxa"/>
            <w:vAlign w:val="center"/>
          </w:tcPr>
          <w:p>
            <w:pPr>
              <w:tabs>
                <w:tab w:val="left" w:pos="3960"/>
              </w:tabs>
              <w:spacing w:after="120" w:afterLines="50"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120" w:afterLines="50" w:line="400" w:lineRule="exact"/>
              <w:jc w:val="center"/>
              <w:rPr>
                <w:szCs w:val="21"/>
              </w:rPr>
            </w:pPr>
          </w:p>
        </w:tc>
        <w:tc>
          <w:tcPr>
            <w:tcW w:w="4920" w:type="dxa"/>
            <w:gridSpan w:val="4"/>
            <w:vAlign w:val="center"/>
          </w:tcPr>
          <w:p>
            <w:pPr>
              <w:tabs>
                <w:tab w:val="left" w:pos="3960"/>
              </w:tabs>
              <w:spacing w:after="120" w:afterLines="50" w:line="400" w:lineRule="exact"/>
              <w:jc w:val="center"/>
              <w:rPr>
                <w:szCs w:val="21"/>
              </w:rPr>
            </w:pPr>
          </w:p>
        </w:tc>
        <w:tc>
          <w:tcPr>
            <w:tcW w:w="1843" w:type="dxa"/>
            <w:vAlign w:val="center"/>
          </w:tcPr>
          <w:p>
            <w:pPr>
              <w:tabs>
                <w:tab w:val="left" w:pos="3960"/>
              </w:tabs>
              <w:spacing w:after="120" w:afterLines="50" w:line="400" w:lineRule="exact"/>
              <w:jc w:val="center"/>
              <w:rPr>
                <w:szCs w:val="21"/>
              </w:rPr>
            </w:pPr>
          </w:p>
        </w:tc>
        <w:tc>
          <w:tcPr>
            <w:tcW w:w="1355" w:type="dxa"/>
            <w:vAlign w:val="center"/>
          </w:tcPr>
          <w:p>
            <w:pPr>
              <w:tabs>
                <w:tab w:val="left" w:pos="3960"/>
              </w:tabs>
              <w:spacing w:after="120" w:afterLines="50"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120" w:afterLines="50" w:line="400" w:lineRule="exact"/>
              <w:jc w:val="center"/>
              <w:rPr>
                <w:szCs w:val="21"/>
              </w:rPr>
            </w:pPr>
          </w:p>
        </w:tc>
        <w:tc>
          <w:tcPr>
            <w:tcW w:w="4920" w:type="dxa"/>
            <w:gridSpan w:val="4"/>
            <w:vAlign w:val="center"/>
          </w:tcPr>
          <w:p>
            <w:pPr>
              <w:tabs>
                <w:tab w:val="left" w:pos="3960"/>
              </w:tabs>
              <w:spacing w:after="120" w:afterLines="50" w:line="400" w:lineRule="exact"/>
              <w:jc w:val="center"/>
              <w:rPr>
                <w:szCs w:val="21"/>
              </w:rPr>
            </w:pPr>
          </w:p>
        </w:tc>
        <w:tc>
          <w:tcPr>
            <w:tcW w:w="1843" w:type="dxa"/>
            <w:vAlign w:val="center"/>
          </w:tcPr>
          <w:p>
            <w:pPr>
              <w:tabs>
                <w:tab w:val="left" w:pos="3960"/>
              </w:tabs>
              <w:spacing w:after="120" w:afterLines="50" w:line="400" w:lineRule="exact"/>
              <w:jc w:val="center"/>
              <w:rPr>
                <w:szCs w:val="21"/>
              </w:rPr>
            </w:pPr>
          </w:p>
        </w:tc>
        <w:tc>
          <w:tcPr>
            <w:tcW w:w="1355" w:type="dxa"/>
            <w:vAlign w:val="center"/>
          </w:tcPr>
          <w:p>
            <w:pPr>
              <w:tabs>
                <w:tab w:val="left" w:pos="3960"/>
              </w:tabs>
              <w:spacing w:after="120" w:afterLines="50"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120" w:afterLines="50" w:line="400" w:lineRule="exact"/>
              <w:jc w:val="center"/>
              <w:rPr>
                <w:szCs w:val="21"/>
              </w:rPr>
            </w:pPr>
          </w:p>
        </w:tc>
        <w:tc>
          <w:tcPr>
            <w:tcW w:w="4920" w:type="dxa"/>
            <w:gridSpan w:val="4"/>
            <w:vAlign w:val="center"/>
          </w:tcPr>
          <w:p>
            <w:pPr>
              <w:tabs>
                <w:tab w:val="left" w:pos="3960"/>
              </w:tabs>
              <w:spacing w:after="120" w:afterLines="50" w:line="400" w:lineRule="exact"/>
              <w:jc w:val="center"/>
              <w:rPr>
                <w:szCs w:val="21"/>
              </w:rPr>
            </w:pPr>
          </w:p>
        </w:tc>
        <w:tc>
          <w:tcPr>
            <w:tcW w:w="1843" w:type="dxa"/>
            <w:vAlign w:val="center"/>
          </w:tcPr>
          <w:p>
            <w:pPr>
              <w:tabs>
                <w:tab w:val="left" w:pos="3960"/>
              </w:tabs>
              <w:spacing w:after="120" w:afterLines="50" w:line="400" w:lineRule="exact"/>
              <w:jc w:val="center"/>
              <w:rPr>
                <w:szCs w:val="21"/>
              </w:rPr>
            </w:pPr>
          </w:p>
        </w:tc>
        <w:tc>
          <w:tcPr>
            <w:tcW w:w="1355" w:type="dxa"/>
            <w:vAlign w:val="center"/>
          </w:tcPr>
          <w:p>
            <w:pPr>
              <w:tabs>
                <w:tab w:val="left" w:pos="3960"/>
              </w:tabs>
              <w:spacing w:after="120" w:afterLines="50"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120" w:afterLines="50" w:line="400" w:lineRule="exact"/>
              <w:jc w:val="center"/>
              <w:rPr>
                <w:szCs w:val="21"/>
              </w:rPr>
            </w:pPr>
          </w:p>
        </w:tc>
        <w:tc>
          <w:tcPr>
            <w:tcW w:w="4920" w:type="dxa"/>
            <w:gridSpan w:val="4"/>
            <w:vAlign w:val="center"/>
          </w:tcPr>
          <w:p>
            <w:pPr>
              <w:tabs>
                <w:tab w:val="left" w:pos="3960"/>
              </w:tabs>
              <w:spacing w:after="120" w:afterLines="50" w:line="400" w:lineRule="exact"/>
              <w:jc w:val="center"/>
              <w:rPr>
                <w:szCs w:val="21"/>
              </w:rPr>
            </w:pPr>
          </w:p>
        </w:tc>
        <w:tc>
          <w:tcPr>
            <w:tcW w:w="1843" w:type="dxa"/>
            <w:vAlign w:val="center"/>
          </w:tcPr>
          <w:p>
            <w:pPr>
              <w:tabs>
                <w:tab w:val="left" w:pos="3960"/>
              </w:tabs>
              <w:spacing w:after="120" w:afterLines="50" w:line="400" w:lineRule="exact"/>
              <w:jc w:val="center"/>
              <w:rPr>
                <w:szCs w:val="21"/>
              </w:rPr>
            </w:pPr>
          </w:p>
        </w:tc>
        <w:tc>
          <w:tcPr>
            <w:tcW w:w="1355" w:type="dxa"/>
            <w:vAlign w:val="center"/>
          </w:tcPr>
          <w:p>
            <w:pPr>
              <w:tabs>
                <w:tab w:val="left" w:pos="3960"/>
              </w:tabs>
              <w:spacing w:after="120" w:afterLines="50"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2579" w:type="dxa"/>
            <w:gridSpan w:val="2"/>
            <w:vAlign w:val="center"/>
          </w:tcPr>
          <w:p>
            <w:pPr>
              <w:tabs>
                <w:tab w:val="left" w:pos="3960"/>
              </w:tabs>
              <w:spacing w:after="120" w:afterLines="50" w:line="400" w:lineRule="exact"/>
              <w:jc w:val="center"/>
              <w:rPr>
                <w:szCs w:val="21"/>
              </w:rPr>
            </w:pPr>
            <w:r>
              <w:rPr>
                <w:rFonts w:hint="eastAsia"/>
                <w:szCs w:val="21"/>
              </w:rPr>
              <w:t>获奖情况</w:t>
            </w:r>
          </w:p>
        </w:tc>
        <w:tc>
          <w:tcPr>
            <w:tcW w:w="6785" w:type="dxa"/>
            <w:gridSpan w:val="5"/>
            <w:vAlign w:val="center"/>
          </w:tcPr>
          <w:p>
            <w:pPr>
              <w:tabs>
                <w:tab w:val="left" w:pos="3960"/>
              </w:tabs>
              <w:spacing w:after="120" w:afterLines="50"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0" w:hRule="exact"/>
          <w:jc w:val="center"/>
        </w:trPr>
        <w:tc>
          <w:tcPr>
            <w:tcW w:w="2579" w:type="dxa"/>
            <w:gridSpan w:val="2"/>
            <w:vAlign w:val="center"/>
          </w:tcPr>
          <w:p>
            <w:pPr>
              <w:tabs>
                <w:tab w:val="left" w:pos="3960"/>
              </w:tabs>
              <w:spacing w:after="120" w:afterLines="50" w:line="400" w:lineRule="exact"/>
              <w:jc w:val="center"/>
              <w:rPr>
                <w:szCs w:val="21"/>
              </w:rPr>
            </w:pPr>
            <w:r>
              <w:rPr>
                <w:rFonts w:hint="eastAsia"/>
                <w:szCs w:val="21"/>
              </w:rPr>
              <w:t>说明在岗情况</w:t>
            </w:r>
          </w:p>
        </w:tc>
        <w:tc>
          <w:tcPr>
            <w:tcW w:w="6785" w:type="dxa"/>
            <w:gridSpan w:val="5"/>
            <w:vAlign w:val="center"/>
          </w:tcPr>
          <w:p>
            <w:pPr>
              <w:ind w:left="34" w:leftChars="16" w:firstLine="27" w:firstLineChars="13"/>
              <w:rPr>
                <w:kern w:val="0"/>
              </w:rPr>
            </w:pPr>
            <w:r>
              <w:rPr>
                <w:rFonts w:hint="eastAsia"/>
                <w:kern w:val="0"/>
              </w:rPr>
              <w:t>□目前未在其他项目上任职，现从事工作为：</w:t>
            </w:r>
            <w:r>
              <w:rPr>
                <w:rFonts w:hint="eastAsia"/>
                <w:kern w:val="0"/>
                <w:u w:val="single"/>
              </w:rPr>
              <w:t xml:space="preserve">                </w:t>
            </w:r>
            <w:r>
              <w:rPr>
                <w:rFonts w:hint="eastAsia"/>
                <w:kern w:val="0"/>
              </w:rPr>
              <w:t>。</w:t>
            </w:r>
          </w:p>
          <w:p>
            <w:pPr>
              <w:tabs>
                <w:tab w:val="left" w:pos="3960"/>
              </w:tabs>
              <w:spacing w:after="120" w:afterLines="50" w:line="400" w:lineRule="exact"/>
              <w:ind w:left="34" w:leftChars="16" w:firstLine="27" w:firstLineChars="13"/>
              <w:rPr>
                <w:szCs w:val="21"/>
              </w:rPr>
            </w:pPr>
            <w:r>
              <w:rPr>
                <w:rFonts w:hint="eastAsia"/>
                <w:kern w:val="0"/>
              </w:rPr>
              <w:t>□目前虽在其他项目上任职，但本项目中标后能够从该项目撤离，目前任职项目：</w:t>
            </w:r>
            <w:r>
              <w:rPr>
                <w:rFonts w:hint="eastAsia"/>
                <w:kern w:val="0"/>
                <w:u w:val="single"/>
              </w:rPr>
              <w:t xml:space="preserve">                </w:t>
            </w:r>
            <w:r>
              <w:rPr>
                <w:rFonts w:hint="eastAsia"/>
                <w:kern w:val="0"/>
              </w:rPr>
              <w:t>，担任职位</w:t>
            </w:r>
            <w:r>
              <w:rPr>
                <w:rFonts w:hint="eastAsia"/>
                <w:kern w:val="0"/>
                <w:u w:val="single"/>
              </w:rPr>
              <w:t xml:space="preserve">                  </w:t>
            </w:r>
            <w:r>
              <w:rPr>
                <w:rFonts w:hint="eastAsia"/>
                <w:kern w:val="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5" w:hRule="atLeast"/>
          <w:jc w:val="center"/>
        </w:trPr>
        <w:tc>
          <w:tcPr>
            <w:tcW w:w="2579" w:type="dxa"/>
            <w:gridSpan w:val="2"/>
            <w:vAlign w:val="center"/>
          </w:tcPr>
          <w:p>
            <w:pPr>
              <w:tabs>
                <w:tab w:val="left" w:pos="3960"/>
              </w:tabs>
              <w:spacing w:after="120" w:afterLines="50" w:line="400" w:lineRule="exact"/>
              <w:jc w:val="center"/>
              <w:rPr>
                <w:szCs w:val="21"/>
              </w:rPr>
            </w:pPr>
            <w:r>
              <w:rPr>
                <w:rFonts w:hint="eastAsia"/>
                <w:szCs w:val="21"/>
              </w:rPr>
              <w:t>备  注</w:t>
            </w:r>
          </w:p>
        </w:tc>
        <w:tc>
          <w:tcPr>
            <w:tcW w:w="6785" w:type="dxa"/>
            <w:gridSpan w:val="5"/>
            <w:vAlign w:val="center"/>
          </w:tcPr>
          <w:p>
            <w:pPr>
              <w:tabs>
                <w:tab w:val="left" w:pos="3960"/>
              </w:tabs>
              <w:spacing w:after="120" w:afterLines="50" w:line="400" w:lineRule="exact"/>
              <w:jc w:val="center"/>
              <w:rPr>
                <w:szCs w:val="21"/>
              </w:rPr>
            </w:pPr>
          </w:p>
        </w:tc>
      </w:tr>
    </w:tbl>
    <w:p>
      <w:pPr>
        <w:tabs>
          <w:tab w:val="left" w:pos="3960"/>
        </w:tabs>
        <w:spacing w:line="360" w:lineRule="auto"/>
        <w:ind w:firstLine="420"/>
        <w:jc w:val="left"/>
        <w:rPr>
          <w:szCs w:val="21"/>
        </w:rPr>
      </w:pPr>
    </w:p>
    <w:p>
      <w:pPr>
        <w:tabs>
          <w:tab w:val="left" w:pos="3960"/>
        </w:tabs>
        <w:spacing w:line="360" w:lineRule="auto"/>
        <w:ind w:firstLine="420"/>
        <w:jc w:val="left"/>
        <w:rPr>
          <w:szCs w:val="21"/>
        </w:rPr>
      </w:pPr>
      <w:r>
        <w:rPr>
          <w:rFonts w:hint="eastAsia"/>
          <w:szCs w:val="21"/>
        </w:rPr>
        <w:t>注:1.本表应填写总监理工程师相关情况。</w:t>
      </w:r>
    </w:p>
    <w:p>
      <w:pPr>
        <w:ind w:firstLine="735" w:firstLineChars="350"/>
        <w:rPr>
          <w:szCs w:val="21"/>
        </w:rPr>
      </w:pPr>
      <w:r>
        <w:rPr>
          <w:rFonts w:hint="eastAsia"/>
          <w:szCs w:val="21"/>
        </w:rPr>
        <w:t>2.投标人应根据招标文件第二章“投标人须知”第3.5.</w:t>
      </w:r>
      <w:r>
        <w:rPr>
          <w:szCs w:val="21"/>
          <w:highlight w:val="yellow"/>
        </w:rPr>
        <w:t>3</w:t>
      </w:r>
      <w:r>
        <w:rPr>
          <w:rFonts w:hint="eastAsia"/>
          <w:szCs w:val="21"/>
        </w:rPr>
        <w:t>项的要求在本表后附相关证明材料。</w:t>
      </w:r>
    </w:p>
    <w:p>
      <w:pPr>
        <w:ind w:firstLine="735" w:firstLineChars="350"/>
        <w:rPr>
          <w:szCs w:val="21"/>
        </w:rPr>
      </w:pPr>
    </w:p>
    <w:p>
      <w:pPr>
        <w:spacing w:line="360" w:lineRule="auto"/>
        <w:ind w:firstLine="420" w:firstLineChars="200"/>
        <w:rPr>
          <w:szCs w:val="21"/>
        </w:rPr>
        <w:sectPr>
          <w:headerReference r:id="rId8" w:type="default"/>
          <w:footerReference r:id="rId9" w:type="default"/>
          <w:footnotePr>
            <w:numFmt w:val="decimalEnclosedCircle"/>
            <w:numRestart w:val="eachPage"/>
          </w:footnotePr>
          <w:pgSz w:w="11906" w:h="16838"/>
          <w:pgMar w:top="1247" w:right="1247" w:bottom="1247" w:left="1304" w:header="794" w:footer="794" w:gutter="0"/>
          <w:cols w:space="720" w:num="1"/>
        </w:sectPr>
      </w:pPr>
    </w:p>
    <w:p>
      <w:pPr>
        <w:autoSpaceDE w:val="0"/>
        <w:autoSpaceDN w:val="0"/>
        <w:adjustRightInd w:val="0"/>
        <w:spacing w:before="120" w:beforeLines="50" w:after="120" w:afterLines="50" w:line="403" w:lineRule="exact"/>
        <w:ind w:right="6"/>
        <w:jc w:val="center"/>
        <w:rPr>
          <w:rFonts w:eastAsia="黑体"/>
          <w:b/>
          <w:kern w:val="0"/>
          <w:sz w:val="30"/>
          <w:szCs w:val="30"/>
        </w:rPr>
      </w:pPr>
      <w:r>
        <w:rPr>
          <w:rFonts w:hint="eastAsia" w:eastAsia="黑体"/>
          <w:b/>
          <w:kern w:val="0"/>
          <w:sz w:val="30"/>
          <w:szCs w:val="30"/>
        </w:rPr>
        <w:t>五、技术建议书</w:t>
      </w:r>
    </w:p>
    <w:p>
      <w:pPr>
        <w:autoSpaceDE w:val="0"/>
        <w:autoSpaceDN w:val="0"/>
        <w:adjustRightInd w:val="0"/>
        <w:spacing w:before="18" w:line="200" w:lineRule="exact"/>
        <w:jc w:val="left"/>
        <w:rPr>
          <w:b/>
          <w:kern w:val="0"/>
          <w:sz w:val="30"/>
          <w:szCs w:val="30"/>
        </w:rPr>
      </w:pPr>
    </w:p>
    <w:p>
      <w:pPr>
        <w:autoSpaceDE w:val="0"/>
        <w:autoSpaceDN w:val="0"/>
        <w:adjustRightInd w:val="0"/>
        <w:spacing w:before="4" w:line="200" w:lineRule="exact"/>
        <w:jc w:val="left"/>
        <w:rPr>
          <w:kern w:val="0"/>
          <w:sz w:val="20"/>
          <w:szCs w:val="20"/>
        </w:rPr>
      </w:pPr>
    </w:p>
    <w:p>
      <w:pPr>
        <w:autoSpaceDE w:val="0"/>
        <w:autoSpaceDN w:val="0"/>
        <w:adjustRightInd w:val="0"/>
        <w:spacing w:before="4" w:line="200" w:lineRule="exact"/>
        <w:jc w:val="left"/>
        <w:rPr>
          <w:kern w:val="0"/>
          <w:sz w:val="20"/>
          <w:szCs w:val="20"/>
        </w:rPr>
      </w:pPr>
    </w:p>
    <w:p>
      <w:pPr>
        <w:pStyle w:val="73"/>
        <w:spacing w:line="360" w:lineRule="auto"/>
        <w:ind w:firstLine="480" w:firstLineChars="200"/>
        <w:rPr>
          <w:rFonts w:ascii="Times New Roman"/>
          <w:color w:val="auto"/>
          <w:szCs w:val="21"/>
        </w:rPr>
      </w:pPr>
      <w:r>
        <w:rPr>
          <w:rFonts w:ascii="Times New Roman"/>
          <w:color w:val="auto"/>
          <w:szCs w:val="21"/>
        </w:rPr>
        <w:t xml:space="preserve">1. </w:t>
      </w:r>
      <w:r>
        <w:rPr>
          <w:rFonts w:hint="eastAsia" w:ascii="Times New Roman"/>
          <w:color w:val="auto"/>
          <w:szCs w:val="21"/>
        </w:rPr>
        <w:t>工程概述</w:t>
      </w:r>
      <w:r>
        <w:rPr>
          <w:rFonts w:ascii="Times New Roman"/>
          <w:color w:val="auto"/>
          <w:szCs w:val="21"/>
        </w:rPr>
        <w:t xml:space="preserve"> </w:t>
      </w:r>
      <w:r>
        <w:rPr>
          <w:rFonts w:hint="eastAsia" w:ascii="Times New Roman"/>
          <w:color w:val="auto"/>
          <w:szCs w:val="21"/>
        </w:rPr>
        <w:t>：主要对拟投监理标段的工程总体概况进行简单描述。</w:t>
      </w:r>
    </w:p>
    <w:p>
      <w:pPr>
        <w:pStyle w:val="73"/>
        <w:spacing w:line="360" w:lineRule="auto"/>
        <w:ind w:firstLine="480" w:firstLineChars="200"/>
        <w:rPr>
          <w:rFonts w:ascii="Times New Roman"/>
          <w:color w:val="auto"/>
          <w:szCs w:val="21"/>
        </w:rPr>
      </w:pPr>
      <w:r>
        <w:rPr>
          <w:rFonts w:ascii="Times New Roman"/>
          <w:color w:val="auto"/>
          <w:szCs w:val="21"/>
        </w:rPr>
        <w:t xml:space="preserve">2. </w:t>
      </w:r>
      <w:r>
        <w:rPr>
          <w:rFonts w:hint="eastAsia" w:ascii="Times New Roman"/>
          <w:color w:val="auto"/>
          <w:szCs w:val="21"/>
        </w:rPr>
        <w:t>监理范围、监理内容：依据监理合同中约定的监理服务的要求和范围，对监理范围和监理服务内容进行描述。</w:t>
      </w:r>
    </w:p>
    <w:p>
      <w:pPr>
        <w:pStyle w:val="73"/>
        <w:spacing w:line="360" w:lineRule="auto"/>
        <w:ind w:firstLine="480" w:firstLineChars="200"/>
        <w:rPr>
          <w:rFonts w:ascii="Times New Roman"/>
          <w:color w:val="auto"/>
          <w:szCs w:val="21"/>
        </w:rPr>
      </w:pPr>
      <w:r>
        <w:rPr>
          <w:rFonts w:ascii="Times New Roman"/>
          <w:color w:val="auto"/>
          <w:szCs w:val="21"/>
        </w:rPr>
        <w:t xml:space="preserve">3. </w:t>
      </w:r>
      <w:r>
        <w:rPr>
          <w:rFonts w:hint="eastAsia" w:ascii="Times New Roman"/>
          <w:color w:val="auto"/>
          <w:szCs w:val="21"/>
        </w:rPr>
        <w:t>现场监理机构设置与人员安排：通过框图形式，明确拟投监理标段的组织机构设置及人员配置，对主要监理人员的岗位职责进行必要的阐述。</w:t>
      </w:r>
    </w:p>
    <w:p>
      <w:pPr>
        <w:pStyle w:val="73"/>
        <w:spacing w:line="360" w:lineRule="auto"/>
        <w:ind w:firstLine="480" w:firstLineChars="200"/>
        <w:rPr>
          <w:rFonts w:ascii="Times New Roman"/>
          <w:color w:val="auto"/>
          <w:szCs w:val="21"/>
        </w:rPr>
      </w:pPr>
      <w:r>
        <w:rPr>
          <w:rFonts w:ascii="Times New Roman"/>
          <w:color w:val="auto"/>
          <w:szCs w:val="21"/>
        </w:rPr>
        <w:t xml:space="preserve">4. </w:t>
      </w:r>
      <w:r>
        <w:rPr>
          <w:rFonts w:hint="eastAsia" w:ascii="Times New Roman"/>
          <w:color w:val="auto"/>
          <w:szCs w:val="21"/>
        </w:rPr>
        <w:t>监理仪器、设备和设施配置：投标人根据拟投监理标段的现场工作需要，对其拟投入本工程的监理仪器、设备和设施的配备等情况做简要介绍。</w:t>
      </w:r>
    </w:p>
    <w:p>
      <w:pPr>
        <w:pStyle w:val="73"/>
        <w:spacing w:line="360" w:lineRule="auto"/>
        <w:ind w:firstLine="480" w:firstLineChars="200"/>
        <w:rPr>
          <w:rFonts w:ascii="Times New Roman"/>
          <w:color w:val="auto"/>
          <w:szCs w:val="21"/>
        </w:rPr>
      </w:pPr>
      <w:r>
        <w:rPr>
          <w:rFonts w:ascii="Times New Roman"/>
          <w:color w:val="auto"/>
          <w:szCs w:val="21"/>
        </w:rPr>
        <w:t xml:space="preserve">5.  </w:t>
      </w:r>
      <w:r>
        <w:rPr>
          <w:rFonts w:hint="eastAsia" w:ascii="Times New Roman"/>
          <w:color w:val="auto"/>
          <w:szCs w:val="21"/>
        </w:rPr>
        <w:t>监理工作程序和管理制度：结合本工程实际情况，对工程质量控制、进度控制、费用控制、施工安全控制、施工环境保护、合同及信息管理、组织协调管理等方面，阐述完善的监理工作程序以及现场管理制度。</w:t>
      </w:r>
    </w:p>
    <w:p>
      <w:pPr>
        <w:pStyle w:val="73"/>
        <w:spacing w:line="360" w:lineRule="auto"/>
        <w:ind w:firstLine="480" w:firstLineChars="200"/>
        <w:rPr>
          <w:rFonts w:ascii="Times New Roman"/>
          <w:color w:val="auto"/>
          <w:szCs w:val="21"/>
        </w:rPr>
      </w:pPr>
      <w:r>
        <w:rPr>
          <w:rFonts w:ascii="Times New Roman"/>
          <w:color w:val="auto"/>
          <w:szCs w:val="21"/>
        </w:rPr>
        <w:t xml:space="preserve">6. </w:t>
      </w:r>
      <w:r>
        <w:rPr>
          <w:rFonts w:hint="eastAsia" w:ascii="Times New Roman"/>
          <w:color w:val="auto"/>
          <w:szCs w:val="21"/>
        </w:rPr>
        <w:t>质量、进度、费用、安全、环保监理方法及措施：结合监理工作的阶段划分，对工程质量控制、进度控制、费用控制、施工安全控制、施工环境保护等方面，进行监理工作的方法、措施的详尽阐述。</w:t>
      </w:r>
    </w:p>
    <w:p>
      <w:pPr>
        <w:pStyle w:val="73"/>
        <w:spacing w:line="360" w:lineRule="auto"/>
        <w:ind w:firstLine="480" w:firstLineChars="200"/>
        <w:rPr>
          <w:rFonts w:ascii="Times New Roman"/>
          <w:color w:val="auto"/>
          <w:szCs w:val="21"/>
        </w:rPr>
      </w:pPr>
      <w:r>
        <w:rPr>
          <w:rFonts w:hint="eastAsia" w:ascii="Times New Roman"/>
          <w:color w:val="auto"/>
          <w:szCs w:val="21"/>
        </w:rPr>
        <w:t>7</w:t>
      </w:r>
      <w:r>
        <w:rPr>
          <w:rFonts w:ascii="Times New Roman"/>
          <w:color w:val="auto"/>
          <w:szCs w:val="21"/>
        </w:rPr>
        <w:t>.</w:t>
      </w:r>
      <w:r>
        <w:rPr>
          <w:rFonts w:hint="eastAsia" w:ascii="Times New Roman"/>
          <w:color w:val="auto"/>
          <w:szCs w:val="21"/>
        </w:rPr>
        <w:t>合同及信息管理方法及措施：结合监理工作的阶段划分，对工程合同及信息管理的监理工作的方法、措施进行阐述。</w:t>
      </w:r>
    </w:p>
    <w:p>
      <w:pPr>
        <w:pStyle w:val="73"/>
        <w:spacing w:line="360" w:lineRule="auto"/>
        <w:ind w:firstLine="480" w:firstLineChars="200"/>
        <w:rPr>
          <w:rFonts w:ascii="Times New Roman"/>
          <w:color w:val="auto"/>
          <w:szCs w:val="21"/>
        </w:rPr>
      </w:pPr>
      <w:r>
        <w:rPr>
          <w:rFonts w:ascii="Times New Roman"/>
          <w:color w:val="auto"/>
          <w:szCs w:val="21"/>
        </w:rPr>
        <w:t>8.</w:t>
      </w:r>
      <w:r>
        <w:rPr>
          <w:rFonts w:hint="eastAsia" w:ascii="Times New Roman"/>
          <w:color w:val="auto"/>
          <w:szCs w:val="21"/>
        </w:rPr>
        <w:t>组织协调方法及措施：结合监理工作的阶段划分，对施工现场工作协调的监理工作的方法、措施进行阐述。</w:t>
      </w:r>
    </w:p>
    <w:p>
      <w:pPr>
        <w:pStyle w:val="73"/>
        <w:spacing w:line="360" w:lineRule="auto"/>
        <w:ind w:firstLine="480" w:firstLineChars="200"/>
        <w:rPr>
          <w:rFonts w:ascii="Times New Roman"/>
          <w:color w:val="auto"/>
          <w:szCs w:val="21"/>
        </w:rPr>
      </w:pPr>
      <w:r>
        <w:rPr>
          <w:rFonts w:ascii="Times New Roman"/>
          <w:color w:val="auto"/>
          <w:szCs w:val="21"/>
        </w:rPr>
        <w:t xml:space="preserve">9. </w:t>
      </w:r>
      <w:r>
        <w:rPr>
          <w:rFonts w:hint="eastAsia" w:ascii="Times New Roman"/>
          <w:color w:val="auto"/>
          <w:szCs w:val="21"/>
        </w:rPr>
        <w:t>本工程监理工作的重点与难点分析：根据招标文件及现场考察，对本工程监理工作需要特别给予重视的问题逐一论述并给出解决方法。</w:t>
      </w:r>
    </w:p>
    <w:p>
      <w:pPr>
        <w:pStyle w:val="73"/>
        <w:spacing w:line="360" w:lineRule="auto"/>
        <w:ind w:firstLine="480" w:firstLineChars="200"/>
        <w:rPr>
          <w:rFonts w:ascii="Times New Roman"/>
          <w:color w:val="auto"/>
          <w:szCs w:val="21"/>
        </w:rPr>
      </w:pPr>
      <w:r>
        <w:rPr>
          <w:rFonts w:ascii="Times New Roman"/>
          <w:color w:val="auto"/>
          <w:szCs w:val="21"/>
        </w:rPr>
        <w:t xml:space="preserve">10. </w:t>
      </w:r>
      <w:r>
        <w:rPr>
          <w:rFonts w:hint="eastAsia" w:ascii="Times New Roman"/>
          <w:color w:val="auto"/>
          <w:szCs w:val="21"/>
        </w:rPr>
        <w:t>对本工程的建议：为更好地完成本工程的监理工作，监理单位可根据以往的经验，对本工程监理工作提出建议。</w:t>
      </w:r>
    </w:p>
    <w:p>
      <w:pPr>
        <w:pStyle w:val="73"/>
        <w:spacing w:line="360" w:lineRule="auto"/>
        <w:ind w:firstLine="480" w:firstLineChars="200"/>
        <w:rPr>
          <w:rFonts w:hAnsi="宋体"/>
          <w:color w:val="auto"/>
        </w:rPr>
      </w:pPr>
      <w:r>
        <w:rPr>
          <w:rFonts w:hint="eastAsia" w:hAnsi="宋体"/>
          <w:color w:val="auto"/>
        </w:rPr>
        <w:t>注：投标人需按照《天津市大气污染防治条例》及美丽天津一号工程指挥部《贯彻落实京津冀及周边地区大气污染防治协作机制会议精神12条措施》、天津市施工抑制扬尘污染防治等方面有关规定，制定本项目扬尘控制措施。</w:t>
      </w:r>
    </w:p>
    <w:p>
      <w:pPr>
        <w:autoSpaceDE w:val="0"/>
        <w:autoSpaceDN w:val="0"/>
        <w:adjustRightInd w:val="0"/>
        <w:spacing w:line="341" w:lineRule="exact"/>
        <w:ind w:right="-39"/>
        <w:jc w:val="center"/>
        <w:rPr>
          <w:rFonts w:ascii="黑体" w:eastAsia="黑体" w:cs="黑体"/>
          <w:b/>
          <w:kern w:val="0"/>
          <w:position w:val="-4"/>
          <w:sz w:val="30"/>
          <w:szCs w:val="30"/>
        </w:rPr>
      </w:pPr>
      <w:r>
        <w:rPr>
          <w:rFonts w:hint="eastAsia" w:ascii="黑体" w:eastAsia="黑体" w:cs="黑体"/>
          <w:b/>
          <w:kern w:val="0"/>
          <w:position w:val="-3"/>
          <w:sz w:val="28"/>
          <w:szCs w:val="28"/>
        </w:rPr>
        <w:br w:type="page"/>
      </w:r>
      <w:r>
        <w:rPr>
          <w:rFonts w:hint="eastAsia" w:eastAsia="黑体"/>
          <w:b/>
          <w:kern w:val="0"/>
          <w:sz w:val="30"/>
          <w:szCs w:val="30"/>
        </w:rPr>
        <w:t>六、其他资料</w:t>
      </w:r>
    </w:p>
    <w:p>
      <w:pPr>
        <w:pStyle w:val="73"/>
        <w:ind w:firstLine="2380" w:firstLineChars="850"/>
        <w:rPr>
          <w:rFonts w:ascii="黑体" w:eastAsia="黑体"/>
          <w:color w:val="auto"/>
          <w:sz w:val="28"/>
        </w:rPr>
      </w:pPr>
      <w:r>
        <w:rPr>
          <w:rFonts w:ascii="黑体" w:eastAsia="黑体"/>
          <w:color w:val="auto"/>
          <w:sz w:val="28"/>
        </w:rPr>
        <w:br w:type="page"/>
      </w:r>
    </w:p>
    <w:p>
      <w:pPr>
        <w:pStyle w:val="73"/>
        <w:ind w:firstLine="2380" w:firstLineChars="850"/>
        <w:rPr>
          <w:rFonts w:ascii="黑体" w:eastAsia="黑体"/>
          <w:color w:val="auto"/>
          <w:sz w:val="28"/>
        </w:rPr>
      </w:pPr>
    </w:p>
    <w:p>
      <w:pPr>
        <w:pStyle w:val="73"/>
        <w:ind w:firstLine="2380" w:firstLineChars="850"/>
        <w:rPr>
          <w:rFonts w:ascii="黑体" w:eastAsia="黑体"/>
          <w:color w:val="auto"/>
          <w:sz w:val="28"/>
        </w:rPr>
      </w:pPr>
    </w:p>
    <w:p>
      <w:pPr>
        <w:pStyle w:val="73"/>
        <w:ind w:firstLine="2040" w:firstLineChars="850"/>
        <w:rPr>
          <w:color w:val="auto"/>
          <w:u w:val="single"/>
        </w:rPr>
      </w:pPr>
    </w:p>
    <w:p>
      <w:pPr>
        <w:pStyle w:val="73"/>
        <w:ind w:firstLine="2380" w:firstLineChars="850"/>
        <w:rPr>
          <w:rFonts w:ascii="Times New Roman" w:cs="Times New Roman"/>
          <w:color w:val="auto"/>
          <w:sz w:val="28"/>
          <w:szCs w:val="28"/>
        </w:rPr>
      </w:pPr>
      <w:r>
        <w:rPr>
          <w:color w:val="auto"/>
          <w:sz w:val="28"/>
          <w:szCs w:val="28"/>
          <w:u w:val="single"/>
        </w:rPr>
        <w:t xml:space="preserve">                 </w:t>
      </w:r>
      <w:r>
        <w:rPr>
          <w:rFonts w:hint="eastAsia"/>
          <w:color w:val="auto"/>
          <w:sz w:val="28"/>
          <w:szCs w:val="28"/>
        </w:rPr>
        <w:t>省</w:t>
      </w:r>
      <w:r>
        <w:rPr>
          <w:rFonts w:hint="eastAsia" w:ascii="Times New Roman" w:cs="Times New Roman"/>
          <w:color w:val="auto"/>
          <w:sz w:val="28"/>
          <w:szCs w:val="28"/>
        </w:rPr>
        <w:t>（</w:t>
      </w:r>
      <w:r>
        <w:rPr>
          <w:rFonts w:hint="eastAsia"/>
          <w:color w:val="auto"/>
          <w:sz w:val="28"/>
          <w:szCs w:val="28"/>
        </w:rPr>
        <w:t>自治区、直辖市</w:t>
      </w:r>
      <w:r>
        <w:rPr>
          <w:rFonts w:hint="eastAsia" w:ascii="Times New Roman" w:cs="Times New Roman"/>
          <w:color w:val="auto"/>
          <w:sz w:val="28"/>
          <w:szCs w:val="28"/>
        </w:rPr>
        <w:t>）</w:t>
      </w:r>
    </w:p>
    <w:p>
      <w:pPr>
        <w:pStyle w:val="73"/>
        <w:ind w:firstLine="2550" w:firstLineChars="850"/>
        <w:rPr>
          <w:rFonts w:ascii="Times New Roman" w:cs="Times New Roman"/>
          <w:color w:val="auto"/>
          <w:sz w:val="30"/>
          <w:szCs w:val="30"/>
        </w:rPr>
      </w:pPr>
    </w:p>
    <w:p>
      <w:pPr>
        <w:pStyle w:val="73"/>
        <w:jc w:val="center"/>
        <w:rPr>
          <w:color w:val="auto"/>
        </w:rPr>
      </w:pPr>
      <w:r>
        <w:rPr>
          <w:rFonts w:hint="eastAsia" w:ascii="Times New Roman" w:cs="Times New Roman"/>
          <w:color w:val="auto"/>
          <w:sz w:val="28"/>
          <w:szCs w:val="28"/>
          <w:u w:val="single"/>
        </w:rPr>
        <w:t xml:space="preserve">                           </w:t>
      </w:r>
      <w:r>
        <w:rPr>
          <w:color w:val="auto"/>
          <w:sz w:val="31"/>
          <w:szCs w:val="31"/>
        </w:rPr>
        <w:t>（</w:t>
      </w:r>
      <w:r>
        <w:rPr>
          <w:rFonts w:hint="eastAsia"/>
          <w:color w:val="auto"/>
          <w:sz w:val="31"/>
          <w:szCs w:val="31"/>
        </w:rPr>
        <w:t>项目名称</w:t>
      </w:r>
      <w:r>
        <w:rPr>
          <w:color w:val="auto"/>
          <w:sz w:val="31"/>
          <w:szCs w:val="31"/>
        </w:rPr>
        <w:t>）</w:t>
      </w:r>
      <w:r>
        <w:rPr>
          <w:rFonts w:hint="eastAsia"/>
          <w:color w:val="auto"/>
          <w:sz w:val="31"/>
          <w:szCs w:val="31"/>
        </w:rPr>
        <w:t>施工监理招标</w:t>
      </w:r>
    </w:p>
    <w:p>
      <w:pPr>
        <w:pStyle w:val="73"/>
        <w:jc w:val="both"/>
        <w:rPr>
          <w:color w:val="auto"/>
          <w:sz w:val="28"/>
          <w:szCs w:val="28"/>
        </w:rPr>
      </w:pPr>
    </w:p>
    <w:p>
      <w:pPr>
        <w:pStyle w:val="73"/>
        <w:rPr>
          <w:color w:val="auto"/>
          <w:sz w:val="30"/>
          <w:szCs w:val="30"/>
        </w:rPr>
      </w:pPr>
    </w:p>
    <w:p>
      <w:pPr>
        <w:pStyle w:val="73"/>
        <w:rPr>
          <w:color w:val="auto"/>
        </w:rPr>
      </w:pPr>
    </w:p>
    <w:p>
      <w:pPr>
        <w:pStyle w:val="73"/>
        <w:rPr>
          <w:color w:val="auto"/>
        </w:rPr>
      </w:pPr>
    </w:p>
    <w:p>
      <w:pPr>
        <w:pStyle w:val="73"/>
        <w:rPr>
          <w:color w:val="auto"/>
        </w:rPr>
      </w:pPr>
    </w:p>
    <w:p>
      <w:pPr>
        <w:autoSpaceDE w:val="0"/>
        <w:autoSpaceDN w:val="0"/>
        <w:adjustRightInd w:val="0"/>
        <w:jc w:val="center"/>
        <w:rPr>
          <w:rFonts w:ascii="黑体" w:eastAsia="黑体" w:cs="黑体"/>
          <w:kern w:val="0"/>
          <w:sz w:val="50"/>
          <w:szCs w:val="50"/>
        </w:rPr>
      </w:pPr>
    </w:p>
    <w:p>
      <w:pPr>
        <w:autoSpaceDE w:val="0"/>
        <w:autoSpaceDN w:val="0"/>
        <w:adjustRightInd w:val="0"/>
        <w:jc w:val="center"/>
        <w:rPr>
          <w:rFonts w:ascii="黑体" w:eastAsia="黑体" w:cs="黑体"/>
          <w:kern w:val="0"/>
          <w:sz w:val="72"/>
          <w:szCs w:val="72"/>
        </w:rPr>
      </w:pPr>
      <w:r>
        <w:rPr>
          <w:rFonts w:hint="eastAsia" w:ascii="黑体" w:eastAsia="黑体" w:cs="黑体"/>
          <w:kern w:val="0"/>
          <w:sz w:val="72"/>
          <w:szCs w:val="72"/>
        </w:rPr>
        <w:t>投</w:t>
      </w:r>
      <w:r>
        <w:rPr>
          <w:rFonts w:ascii="黑体" w:eastAsia="黑体" w:cs="黑体"/>
          <w:kern w:val="0"/>
          <w:sz w:val="72"/>
          <w:szCs w:val="72"/>
        </w:rPr>
        <w:t xml:space="preserve"> </w:t>
      </w:r>
      <w:r>
        <w:rPr>
          <w:rFonts w:hint="eastAsia" w:ascii="黑体" w:eastAsia="黑体" w:cs="黑体"/>
          <w:kern w:val="0"/>
          <w:sz w:val="72"/>
          <w:szCs w:val="72"/>
        </w:rPr>
        <w:t>标</w:t>
      </w:r>
      <w:r>
        <w:rPr>
          <w:rFonts w:ascii="黑体" w:eastAsia="黑体" w:cs="黑体"/>
          <w:kern w:val="0"/>
          <w:sz w:val="72"/>
          <w:szCs w:val="72"/>
        </w:rPr>
        <w:t xml:space="preserve"> </w:t>
      </w:r>
      <w:r>
        <w:rPr>
          <w:rFonts w:hint="eastAsia" w:ascii="黑体" w:eastAsia="黑体" w:cs="黑体"/>
          <w:kern w:val="0"/>
          <w:sz w:val="72"/>
          <w:szCs w:val="72"/>
        </w:rPr>
        <w:t>文</w:t>
      </w:r>
      <w:r>
        <w:rPr>
          <w:rFonts w:ascii="黑体" w:eastAsia="黑体" w:cs="黑体"/>
          <w:kern w:val="0"/>
          <w:sz w:val="72"/>
          <w:szCs w:val="72"/>
        </w:rPr>
        <w:t xml:space="preserve"> </w:t>
      </w:r>
      <w:r>
        <w:rPr>
          <w:rFonts w:hint="eastAsia" w:ascii="黑体" w:eastAsia="黑体" w:cs="黑体"/>
          <w:kern w:val="0"/>
          <w:sz w:val="72"/>
          <w:szCs w:val="72"/>
        </w:rPr>
        <w:t>件</w:t>
      </w:r>
    </w:p>
    <w:p>
      <w:pPr>
        <w:autoSpaceDE w:val="0"/>
        <w:autoSpaceDN w:val="0"/>
        <w:adjustRightInd w:val="0"/>
        <w:jc w:val="center"/>
      </w:pPr>
      <w:r>
        <w:rPr>
          <w:rFonts w:ascii="黑体" w:eastAsia="黑体" w:cs="黑体"/>
          <w:kern w:val="0"/>
          <w:sz w:val="44"/>
          <w:szCs w:val="44"/>
        </w:rPr>
        <w:t xml:space="preserve">  </w:t>
      </w:r>
    </w:p>
    <w:p>
      <w:pPr>
        <w:pStyle w:val="73"/>
        <w:jc w:val="center"/>
        <w:rPr>
          <w:color w:val="auto"/>
          <w:sz w:val="32"/>
          <w:szCs w:val="32"/>
        </w:rPr>
      </w:pPr>
      <w:r>
        <w:rPr>
          <w:rFonts w:hint="eastAsia" w:ascii="黑体" w:eastAsia="黑体" w:cs="黑体"/>
          <w:color w:val="auto"/>
          <w:sz w:val="44"/>
          <w:szCs w:val="44"/>
        </w:rPr>
        <w:t>（报价文件）</w:t>
      </w:r>
    </w:p>
    <w:p>
      <w:pPr>
        <w:pStyle w:val="73"/>
        <w:jc w:val="center"/>
        <w:rPr>
          <w:color w:val="auto"/>
          <w:sz w:val="32"/>
          <w:szCs w:val="32"/>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autoSpaceDE w:val="0"/>
        <w:autoSpaceDN w:val="0"/>
        <w:adjustRightInd w:val="0"/>
        <w:jc w:val="center"/>
        <w:rPr>
          <w:rFonts w:eastAsia="黑体"/>
          <w:kern w:val="0"/>
          <w:sz w:val="28"/>
          <w:szCs w:val="28"/>
          <w:u w:val="single"/>
        </w:rPr>
      </w:pPr>
      <w:r>
        <w:rPr>
          <w:rFonts w:hint="eastAsia" w:ascii="黑体" w:eastAsia="黑体" w:cs="黑体"/>
          <w:kern w:val="0"/>
          <w:sz w:val="28"/>
          <w:szCs w:val="28"/>
        </w:rPr>
        <w:t>投标人：</w:t>
      </w:r>
      <w:r>
        <w:rPr>
          <w:rFonts w:ascii="黑体" w:eastAsia="黑体" w:cs="黑体"/>
          <w:kern w:val="0"/>
          <w:sz w:val="28"/>
          <w:szCs w:val="28"/>
        </w:rPr>
        <w:t xml:space="preserve"> </w:t>
      </w:r>
      <w:r>
        <w:rPr>
          <w:rFonts w:ascii="黑体" w:eastAsia="黑体" w:cs="黑体"/>
          <w:kern w:val="0"/>
          <w:sz w:val="28"/>
          <w:szCs w:val="28"/>
          <w:u w:val="single"/>
        </w:rPr>
        <w:t xml:space="preserve">                  </w:t>
      </w:r>
      <w:r>
        <w:rPr>
          <w:rFonts w:hint="eastAsia" w:eastAsia="黑体"/>
          <w:kern w:val="0"/>
          <w:sz w:val="28"/>
          <w:szCs w:val="28"/>
        </w:rPr>
        <w:t>（</w:t>
      </w:r>
      <w:r>
        <w:rPr>
          <w:rFonts w:hint="eastAsia" w:ascii="黑体" w:eastAsia="黑体" w:cs="黑体"/>
          <w:kern w:val="0"/>
          <w:sz w:val="28"/>
          <w:szCs w:val="28"/>
        </w:rPr>
        <w:t>盖单位章</w:t>
      </w:r>
      <w:r>
        <w:rPr>
          <w:rFonts w:hint="eastAsia" w:eastAsia="黑体"/>
          <w:kern w:val="0"/>
          <w:sz w:val="28"/>
          <w:szCs w:val="28"/>
        </w:rPr>
        <w:t>）</w:t>
      </w:r>
    </w:p>
    <w:p>
      <w:pPr>
        <w:autoSpaceDE w:val="0"/>
        <w:autoSpaceDN w:val="0"/>
        <w:adjustRightInd w:val="0"/>
        <w:jc w:val="center"/>
        <w:rPr>
          <w:rFonts w:eastAsia="黑体"/>
          <w:kern w:val="0"/>
          <w:sz w:val="28"/>
          <w:szCs w:val="28"/>
          <w:u w:val="single"/>
        </w:rPr>
      </w:pPr>
    </w:p>
    <w:p>
      <w:pPr>
        <w:ind w:firstLine="1960" w:firstLineChars="700"/>
        <w:jc w:val="left"/>
      </w:pPr>
      <w:r>
        <w:rPr>
          <w:rFonts w:ascii="黑体" w:eastAsia="黑体" w:cs="黑体"/>
          <w:kern w:val="0"/>
          <w:sz w:val="28"/>
          <w:szCs w:val="28"/>
          <w:u w:val="single"/>
        </w:rPr>
        <w:t xml:space="preserve">        </w:t>
      </w:r>
      <w:r>
        <w:rPr>
          <w:rFonts w:hint="eastAsia" w:ascii="黑体" w:eastAsia="黑体" w:cs="黑体"/>
          <w:kern w:val="0"/>
          <w:sz w:val="28"/>
          <w:szCs w:val="28"/>
        </w:rPr>
        <w:t>年</w:t>
      </w:r>
      <w:r>
        <w:rPr>
          <w:rFonts w:ascii="黑体" w:eastAsia="黑体" w:cs="黑体"/>
          <w:kern w:val="0"/>
          <w:sz w:val="28"/>
          <w:szCs w:val="28"/>
          <w:u w:val="single"/>
        </w:rPr>
        <w:t xml:space="preserve">        </w:t>
      </w:r>
      <w:r>
        <w:rPr>
          <w:rFonts w:hint="eastAsia" w:ascii="黑体" w:eastAsia="黑体" w:cs="黑体"/>
          <w:kern w:val="0"/>
          <w:sz w:val="28"/>
          <w:szCs w:val="28"/>
        </w:rPr>
        <w:t>月</w:t>
      </w:r>
      <w:r>
        <w:rPr>
          <w:rFonts w:ascii="黑体" w:eastAsia="黑体" w:cs="黑体"/>
          <w:kern w:val="0"/>
          <w:sz w:val="28"/>
          <w:szCs w:val="28"/>
        </w:rPr>
        <w:t xml:space="preserve"> </w:t>
      </w:r>
      <w:r>
        <w:rPr>
          <w:rFonts w:ascii="黑体" w:eastAsia="黑体" w:cs="黑体"/>
          <w:kern w:val="0"/>
          <w:sz w:val="28"/>
          <w:szCs w:val="28"/>
          <w:u w:val="single"/>
        </w:rPr>
        <w:t xml:space="preserve">        </w:t>
      </w:r>
      <w:r>
        <w:rPr>
          <w:rFonts w:hint="eastAsia" w:ascii="黑体" w:eastAsia="黑体" w:cs="黑体"/>
          <w:kern w:val="0"/>
          <w:sz w:val="28"/>
          <w:szCs w:val="28"/>
        </w:rPr>
        <w:t>日</w:t>
      </w:r>
    </w:p>
    <w:p>
      <w:pPr>
        <w:jc w:val="center"/>
      </w:pPr>
    </w:p>
    <w:p>
      <w:pPr>
        <w:spacing w:before="240" w:after="60" w:afterLines="25" w:line="360" w:lineRule="auto"/>
        <w:rPr>
          <w:szCs w:val="21"/>
        </w:rPr>
      </w:pPr>
    </w:p>
    <w:p>
      <w:pPr>
        <w:spacing w:before="179"/>
        <w:ind w:left="237"/>
        <w:jc w:val="center"/>
        <w:rPr>
          <w:sz w:val="29"/>
          <w:szCs w:val="29"/>
        </w:rPr>
      </w:pPr>
      <w:r>
        <w:rPr>
          <w:sz w:val="29"/>
          <w:szCs w:val="29"/>
        </w:rPr>
        <w:br w:type="page"/>
      </w:r>
    </w:p>
    <w:p>
      <w:pPr>
        <w:spacing w:before="179"/>
        <w:ind w:left="237"/>
        <w:jc w:val="center"/>
        <w:rPr>
          <w:rFonts w:eastAsia="黑体"/>
          <w:b/>
          <w:kern w:val="0"/>
          <w:sz w:val="30"/>
          <w:szCs w:val="30"/>
        </w:rPr>
      </w:pPr>
      <w:r>
        <w:rPr>
          <w:rFonts w:hint="eastAsia" w:eastAsia="黑体"/>
          <w:b/>
          <w:kern w:val="0"/>
          <w:sz w:val="30"/>
          <w:szCs w:val="30"/>
        </w:rPr>
        <w:t>目 录</w:t>
      </w:r>
    </w:p>
    <w:p>
      <w:pPr>
        <w:rPr>
          <w:sz w:val="20"/>
          <w:szCs w:val="20"/>
        </w:rPr>
      </w:pPr>
    </w:p>
    <w:p>
      <w:pPr>
        <w:rPr>
          <w:sz w:val="20"/>
          <w:szCs w:val="20"/>
        </w:rPr>
      </w:pPr>
    </w:p>
    <w:p>
      <w:pPr>
        <w:rPr>
          <w:sz w:val="20"/>
          <w:szCs w:val="20"/>
        </w:rPr>
      </w:pPr>
    </w:p>
    <w:p>
      <w:pPr>
        <w:rPr>
          <w:sz w:val="20"/>
          <w:szCs w:val="20"/>
        </w:rPr>
      </w:pPr>
    </w:p>
    <w:p>
      <w:pPr>
        <w:spacing w:before="197"/>
        <w:ind w:left="1737" w:right="1925"/>
        <w:rPr>
          <w:sz w:val="24"/>
        </w:rPr>
      </w:pPr>
      <w:r>
        <w:rPr>
          <w:rFonts w:hint="eastAsia"/>
          <w:sz w:val="24"/>
        </w:rPr>
        <w:t>一</w:t>
      </w:r>
      <w:r>
        <w:rPr>
          <w:sz w:val="24"/>
        </w:rPr>
        <w:t>、投标函</w:t>
      </w:r>
    </w:p>
    <w:p>
      <w:pPr>
        <w:spacing w:before="7"/>
        <w:rPr>
          <w:sz w:val="24"/>
        </w:rPr>
      </w:pPr>
    </w:p>
    <w:p>
      <w:pPr>
        <w:spacing w:before="197"/>
        <w:ind w:left="1737" w:right="1925"/>
        <w:rPr>
          <w:sz w:val="24"/>
        </w:rPr>
      </w:pPr>
      <w:r>
        <w:rPr>
          <w:rFonts w:hint="eastAsia"/>
          <w:sz w:val="24"/>
        </w:rPr>
        <w:t>二</w:t>
      </w:r>
      <w:r>
        <w:rPr>
          <w:sz w:val="24"/>
        </w:rPr>
        <w:t>、监理服务费用清单</w:t>
      </w:r>
    </w:p>
    <w:p>
      <w:pPr>
        <w:spacing w:before="10"/>
        <w:ind w:right="547" w:firstLine="3255" w:firstLineChars="1550"/>
        <w:rPr>
          <w:szCs w:val="21"/>
        </w:rPr>
      </w:pPr>
      <w:r>
        <w:rPr>
          <w:szCs w:val="21"/>
        </w:rPr>
        <w:br w:type="page"/>
      </w:r>
    </w:p>
    <w:p>
      <w:pPr>
        <w:spacing w:before="10"/>
        <w:ind w:right="547"/>
        <w:jc w:val="center"/>
        <w:rPr>
          <w:rFonts w:eastAsia="黑体"/>
          <w:b/>
          <w:kern w:val="0"/>
          <w:sz w:val="30"/>
          <w:szCs w:val="30"/>
        </w:rPr>
      </w:pPr>
      <w:r>
        <w:rPr>
          <w:rFonts w:hint="eastAsia" w:eastAsia="黑体"/>
          <w:b/>
          <w:kern w:val="0"/>
          <w:sz w:val="30"/>
          <w:szCs w:val="30"/>
        </w:rPr>
        <w:t>一、投标函</w:t>
      </w:r>
    </w:p>
    <w:p>
      <w:pPr>
        <w:rPr>
          <w:sz w:val="28"/>
          <w:szCs w:val="28"/>
        </w:rPr>
      </w:pPr>
    </w:p>
    <w:p>
      <w:pPr>
        <w:tabs>
          <w:tab w:val="left" w:pos="3251"/>
        </w:tabs>
        <w:spacing w:before="242"/>
        <w:ind w:left="268" w:right="3429"/>
        <w:rPr>
          <w:sz w:val="24"/>
        </w:rPr>
      </w:pPr>
      <w:r>
        <w:rPr>
          <w:sz w:val="24"/>
          <w:u w:val="single" w:color="000000"/>
        </w:rPr>
        <w:t xml:space="preserve"> </w:t>
      </w:r>
      <w:r>
        <w:rPr>
          <w:sz w:val="24"/>
          <w:u w:val="single" w:color="000000"/>
        </w:rPr>
        <w:tab/>
      </w:r>
      <w:r>
        <w:rPr>
          <w:sz w:val="24"/>
        </w:rPr>
        <w:t>（招标人名称）：</w:t>
      </w:r>
    </w:p>
    <w:p>
      <w:pPr>
        <w:tabs>
          <w:tab w:val="left" w:pos="4328"/>
          <w:tab w:val="left" w:pos="6782"/>
        </w:tabs>
        <w:spacing w:before="209" w:line="360" w:lineRule="auto"/>
        <w:ind w:right="-81" w:firstLine="460" w:firstLineChars="200"/>
        <w:jc w:val="left"/>
        <w:rPr>
          <w:rFonts w:ascii="宋体" w:hAnsi="宋体"/>
          <w:sz w:val="24"/>
        </w:rPr>
      </w:pPr>
      <w:r>
        <w:rPr>
          <w:rFonts w:ascii="Arial" w:hAnsi="Arial" w:eastAsia="Arial" w:cs="Arial"/>
          <w:sz w:val="23"/>
          <w:szCs w:val="23"/>
        </w:rPr>
        <w:t>1.</w:t>
      </w:r>
      <w:r>
        <w:rPr>
          <w:sz w:val="24"/>
        </w:rPr>
        <w:t>我方己仔细研究</w:t>
      </w:r>
      <w:r>
        <w:rPr>
          <w:sz w:val="24"/>
          <w:u w:val="single" w:color="000000"/>
        </w:rPr>
        <w:t xml:space="preserve"> </w:t>
      </w:r>
      <w:r>
        <w:rPr>
          <w:sz w:val="24"/>
          <w:u w:val="single" w:color="000000"/>
        </w:rPr>
        <w:tab/>
      </w:r>
      <w:r>
        <w:rPr>
          <w:sz w:val="24"/>
        </w:rPr>
        <w:t>（项目名称）施工监理招标文件的全部内容（含补遗书第</w:t>
      </w:r>
      <w:r>
        <w:rPr>
          <w:sz w:val="24"/>
          <w:u w:val="single"/>
        </w:rPr>
        <w:tab/>
      </w:r>
      <w:r>
        <w:rPr>
          <w:sz w:val="24"/>
        </w:rPr>
        <w:t>号至第</w:t>
      </w:r>
      <w:r>
        <w:rPr>
          <w:sz w:val="24"/>
          <w:u w:val="single"/>
        </w:rPr>
        <w:tab/>
      </w:r>
      <w:r>
        <w:rPr>
          <w:sz w:val="24"/>
        </w:rPr>
        <w:t>号），在考察工程现场后，愿意以人民币（大写）</w:t>
      </w:r>
      <w:r>
        <w:rPr>
          <w:sz w:val="24"/>
          <w:u w:val="single" w:color="000000"/>
        </w:rPr>
        <w:t xml:space="preserve"> </w:t>
      </w:r>
      <w:r>
        <w:rPr>
          <w:sz w:val="24"/>
          <w:u w:val="single" w:color="000000"/>
        </w:rPr>
        <w:tab/>
      </w:r>
      <w:r>
        <w:rPr>
          <w:sz w:val="24"/>
        </w:rPr>
        <w:t>元（</w:t>
      </w:r>
      <w:r>
        <w:rPr>
          <w:rFonts w:hint="eastAsia"/>
          <w:sz w:val="24"/>
        </w:rPr>
        <w:t>¥</w:t>
      </w:r>
      <w:r>
        <w:rPr>
          <w:sz w:val="24"/>
          <w:u w:val="single"/>
        </w:rPr>
        <w:t xml:space="preserve">       </w:t>
      </w:r>
      <w:r>
        <w:rPr>
          <w:sz w:val="24"/>
        </w:rPr>
        <w:t>）的投标总报价</w:t>
      </w:r>
      <w:r>
        <w:rPr>
          <w:rFonts w:hint="eastAsia"/>
          <w:sz w:val="24"/>
        </w:rPr>
        <w:t>；</w:t>
      </w:r>
      <w:r>
        <w:rPr>
          <w:rFonts w:hint="eastAsia" w:ascii="宋体" w:hAnsi="宋体"/>
          <w:sz w:val="24"/>
        </w:rPr>
        <w:t>费率为</w:t>
      </w:r>
      <w:r>
        <w:rPr>
          <w:rFonts w:hint="eastAsia" w:ascii="宋体" w:hAnsi="宋体"/>
          <w:sz w:val="24"/>
          <w:u w:val="single"/>
        </w:rPr>
        <w:t xml:space="preserve">        </w:t>
      </w:r>
      <w:r>
        <w:rPr>
          <w:rFonts w:ascii="宋体" w:hAnsi="宋体"/>
          <w:sz w:val="24"/>
        </w:rPr>
        <w:t>（或根据招标文件规定修正核实后确定的另一金额</w:t>
      </w:r>
      <w:r>
        <w:rPr>
          <w:rFonts w:hint="eastAsia" w:ascii="宋体" w:hAnsi="宋体"/>
          <w:sz w:val="24"/>
        </w:rPr>
        <w:t>，</w:t>
      </w:r>
      <w:r>
        <w:rPr>
          <w:rFonts w:ascii="宋体" w:hAnsi="宋体"/>
          <w:sz w:val="24"/>
        </w:rPr>
        <w:t>其中，增值税税率为</w:t>
      </w:r>
      <w:r>
        <w:rPr>
          <w:rFonts w:hint="eastAsia" w:ascii="宋体" w:hAnsi="宋体"/>
          <w:sz w:val="24"/>
          <w:u w:val="single"/>
        </w:rPr>
        <w:t xml:space="preserve">      </w:t>
      </w:r>
      <w:r>
        <w:rPr>
          <w:rFonts w:ascii="宋体" w:hAnsi="宋体"/>
          <w:sz w:val="24"/>
        </w:rPr>
        <w:t>）</w:t>
      </w:r>
      <w:r>
        <w:rPr>
          <w:rFonts w:ascii="宋体" w:hAnsi="宋体" w:cs="宋体"/>
          <w:sz w:val="24"/>
        </w:rPr>
        <w:t>，</w:t>
      </w:r>
      <w:r>
        <w:rPr>
          <w:sz w:val="24"/>
        </w:rPr>
        <w:t>按合同约定完成施工监理工作。</w:t>
      </w:r>
    </w:p>
    <w:p>
      <w:pPr>
        <w:tabs>
          <w:tab w:val="left" w:pos="5438"/>
          <w:tab w:val="left" w:pos="6638"/>
        </w:tabs>
        <w:spacing w:before="17" w:line="360" w:lineRule="auto"/>
        <w:ind w:left="638" w:right="3038" w:hanging="5"/>
        <w:rPr>
          <w:sz w:val="24"/>
        </w:rPr>
      </w:pPr>
      <w:r>
        <w:rPr>
          <w:sz w:val="24"/>
        </w:rPr>
        <w:t>其中：施工阶段监理服务费 ：</w:t>
      </w:r>
      <w:r>
        <w:rPr>
          <w:sz w:val="24"/>
          <w:u w:val="single"/>
        </w:rPr>
        <w:tab/>
      </w:r>
      <w:r>
        <w:rPr>
          <w:rFonts w:hint="eastAsia"/>
          <w:sz w:val="24"/>
        </w:rPr>
        <w:t>元；</w:t>
      </w:r>
      <w:r>
        <w:rPr>
          <w:sz w:val="24"/>
        </w:rPr>
        <w:t xml:space="preserve"> </w:t>
      </w:r>
    </w:p>
    <w:p>
      <w:pPr>
        <w:tabs>
          <w:tab w:val="left" w:pos="5438"/>
          <w:tab w:val="left" w:pos="6638"/>
        </w:tabs>
        <w:spacing w:before="17" w:line="360" w:lineRule="auto"/>
        <w:ind w:left="638" w:right="3038" w:hanging="5"/>
        <w:rPr>
          <w:sz w:val="24"/>
        </w:rPr>
      </w:pPr>
      <w:r>
        <w:rPr>
          <w:sz w:val="24"/>
        </w:rPr>
        <w:t>缺陷责任期阶段监理服务费 ：</w:t>
      </w:r>
      <w:r>
        <w:rPr>
          <w:sz w:val="24"/>
          <w:u w:val="single"/>
        </w:rPr>
        <w:tab/>
      </w:r>
      <w:r>
        <w:rPr>
          <w:sz w:val="24"/>
          <w:u w:val="single"/>
        </w:rPr>
        <w:tab/>
      </w:r>
      <w:r>
        <w:rPr>
          <w:sz w:val="24"/>
        </w:rPr>
        <w:t>元</w:t>
      </w:r>
    </w:p>
    <w:p>
      <w:pPr>
        <w:spacing w:before="24" w:line="360" w:lineRule="auto"/>
        <w:ind w:right="-81" w:firstLine="484"/>
        <w:rPr>
          <w:sz w:val="24"/>
        </w:rPr>
      </w:pPr>
      <w:r>
        <w:rPr>
          <w:rFonts w:eastAsia="Times New Roman"/>
          <w:sz w:val="24"/>
        </w:rPr>
        <w:t>2.</w:t>
      </w:r>
      <w:r>
        <w:rPr>
          <w:sz w:val="24"/>
        </w:rPr>
        <w:t>在合同协议书正式签署生效之前，本投标函连同你方的中标通知书将构成双方之间共同遵守的文件，对双方具有约束力 。</w:t>
      </w:r>
    </w:p>
    <w:p>
      <w:pPr>
        <w:tabs>
          <w:tab w:val="left" w:pos="5713"/>
        </w:tabs>
        <w:spacing w:before="46" w:line="360" w:lineRule="auto"/>
        <w:ind w:right="284" w:firstLine="460" w:firstLineChars="200"/>
        <w:rPr>
          <w:sz w:val="24"/>
        </w:rPr>
      </w:pPr>
      <w:r>
        <w:rPr>
          <w:rFonts w:eastAsia="Times New Roman"/>
          <w:sz w:val="23"/>
          <w:szCs w:val="23"/>
        </w:rPr>
        <w:t>3.</w:t>
      </w:r>
      <w:r>
        <w:rPr>
          <w:rFonts w:eastAsia="Times New Roman"/>
          <w:sz w:val="23"/>
          <w:szCs w:val="23"/>
          <w:u w:val="single" w:color="000000"/>
        </w:rPr>
        <w:t xml:space="preserve"> </w:t>
      </w:r>
      <w:r>
        <w:rPr>
          <w:rFonts w:eastAsia="Times New Roman"/>
          <w:sz w:val="23"/>
          <w:szCs w:val="23"/>
          <w:u w:val="single" w:color="000000"/>
        </w:rPr>
        <w:tab/>
      </w:r>
      <w:r>
        <w:rPr>
          <w:sz w:val="24"/>
        </w:rPr>
        <w:t>（其他补充说明）。</w:t>
      </w:r>
    </w:p>
    <w:p>
      <w:pPr>
        <w:spacing w:before="3"/>
        <w:rPr>
          <w:sz w:val="34"/>
          <w:szCs w:val="34"/>
        </w:rPr>
      </w:pPr>
    </w:p>
    <w:p>
      <w:pPr>
        <w:tabs>
          <w:tab w:val="left" w:pos="7415"/>
        </w:tabs>
        <w:ind w:left="3576"/>
        <w:rPr>
          <w:rFonts w:eastAsia="Times New Roman"/>
          <w:sz w:val="16"/>
          <w:szCs w:val="16"/>
        </w:rPr>
      </w:pPr>
      <w:r>
        <w:rPr>
          <w:position w:val="-2"/>
          <w:sz w:val="24"/>
        </w:rPr>
        <w:t>投 标 人：</w:t>
      </w:r>
      <w:r>
        <w:rPr>
          <w:rFonts w:hint="eastAsia"/>
          <w:position w:val="-2"/>
          <w:sz w:val="24"/>
          <w:u w:val="single"/>
        </w:rPr>
        <w:t xml:space="preserve">                </w:t>
      </w:r>
      <w:r>
        <w:rPr>
          <w:sz w:val="24"/>
        </w:rPr>
        <w:t>（ 盖单位章）</w:t>
      </w:r>
    </w:p>
    <w:p>
      <w:pPr>
        <w:tabs>
          <w:tab w:val="left" w:pos="8140"/>
        </w:tabs>
        <w:spacing w:before="78"/>
        <w:ind w:left="3571"/>
        <w:rPr>
          <w:sz w:val="24"/>
        </w:rPr>
      </w:pPr>
      <w:r>
        <w:rPr>
          <w:sz w:val="24"/>
        </w:rPr>
        <w:t>法定代表人或其委托代理人：</w:t>
      </w:r>
      <w:r>
        <w:rPr>
          <w:rFonts w:hint="eastAsia"/>
          <w:sz w:val="24"/>
          <w:u w:val="single"/>
        </w:rPr>
        <w:t xml:space="preserve">        </w:t>
      </w:r>
      <w:r>
        <w:rPr>
          <w:sz w:val="24"/>
        </w:rPr>
        <w:t>（签字）</w:t>
      </w:r>
    </w:p>
    <w:p>
      <w:pPr>
        <w:tabs>
          <w:tab w:val="left" w:pos="8140"/>
        </w:tabs>
        <w:spacing w:before="78"/>
        <w:ind w:left="3571"/>
        <w:rPr>
          <w:sz w:val="24"/>
        </w:rPr>
      </w:pPr>
      <w:r>
        <w:rPr>
          <w:sz w:val="24"/>
        </w:rPr>
        <w:t xml:space="preserve">地  </w:t>
      </w:r>
      <w:r>
        <w:rPr>
          <w:rFonts w:hint="eastAsia"/>
          <w:sz w:val="24"/>
        </w:rPr>
        <w:t xml:space="preserve"> </w:t>
      </w:r>
      <w:r>
        <w:rPr>
          <w:sz w:val="24"/>
        </w:rPr>
        <w:t xml:space="preserve"> 址：</w:t>
      </w:r>
      <w:r>
        <w:rPr>
          <w:sz w:val="24"/>
          <w:u w:val="single"/>
        </w:rPr>
        <w:tab/>
      </w:r>
      <w:r>
        <w:rPr>
          <w:sz w:val="24"/>
          <w:u w:val="single"/>
        </w:rPr>
        <w:tab/>
      </w:r>
      <w:r>
        <w:rPr>
          <w:sz w:val="24"/>
          <w:u w:val="single"/>
        </w:rPr>
        <w:t xml:space="preserve">  </w:t>
      </w:r>
    </w:p>
    <w:p>
      <w:pPr>
        <w:tabs>
          <w:tab w:val="left" w:pos="8140"/>
        </w:tabs>
        <w:spacing w:before="78"/>
        <w:ind w:left="3571"/>
        <w:rPr>
          <w:sz w:val="24"/>
        </w:rPr>
      </w:pPr>
      <w:r>
        <w:rPr>
          <w:sz w:val="24"/>
        </w:rPr>
        <w:t>网    址：</w:t>
      </w:r>
      <w:r>
        <w:rPr>
          <w:sz w:val="24"/>
          <w:u w:val="single"/>
        </w:rPr>
        <w:tab/>
      </w:r>
      <w:r>
        <w:rPr>
          <w:sz w:val="24"/>
          <w:u w:val="single"/>
        </w:rPr>
        <w:t xml:space="preserve">  </w:t>
      </w:r>
      <w:r>
        <w:rPr>
          <w:rFonts w:hint="eastAsia"/>
          <w:sz w:val="24"/>
          <w:u w:val="single"/>
        </w:rPr>
        <w:t xml:space="preserve">    </w:t>
      </w:r>
    </w:p>
    <w:p>
      <w:pPr>
        <w:tabs>
          <w:tab w:val="left" w:pos="8140"/>
        </w:tabs>
        <w:spacing w:before="78"/>
        <w:ind w:left="3571"/>
        <w:rPr>
          <w:sz w:val="24"/>
        </w:rPr>
      </w:pPr>
      <w:r>
        <w:rPr>
          <w:sz w:val="24"/>
        </w:rPr>
        <w:t xml:space="preserve">电   </w:t>
      </w:r>
      <w:r>
        <w:rPr>
          <w:rFonts w:hint="eastAsia"/>
          <w:sz w:val="24"/>
        </w:rPr>
        <w:t xml:space="preserve"> </w:t>
      </w:r>
      <w:r>
        <w:rPr>
          <w:sz w:val="24"/>
        </w:rPr>
        <w:t>话：</w:t>
      </w:r>
      <w:r>
        <w:rPr>
          <w:sz w:val="24"/>
          <w:u w:val="single"/>
        </w:rPr>
        <w:tab/>
      </w:r>
      <w:r>
        <w:rPr>
          <w:sz w:val="24"/>
          <w:u w:val="single"/>
        </w:rPr>
        <w:t xml:space="preserve"> </w:t>
      </w:r>
      <w:r>
        <w:rPr>
          <w:rFonts w:hint="eastAsia"/>
          <w:sz w:val="24"/>
          <w:u w:val="single"/>
        </w:rPr>
        <w:t xml:space="preserve">    </w:t>
      </w:r>
      <w:r>
        <w:rPr>
          <w:sz w:val="24"/>
          <w:u w:val="single"/>
        </w:rPr>
        <w:t xml:space="preserve"> </w:t>
      </w:r>
    </w:p>
    <w:p>
      <w:pPr>
        <w:tabs>
          <w:tab w:val="left" w:pos="8140"/>
        </w:tabs>
        <w:spacing w:before="78"/>
        <w:ind w:left="3571"/>
        <w:rPr>
          <w:sz w:val="24"/>
        </w:rPr>
      </w:pPr>
      <w:r>
        <w:rPr>
          <w:sz w:val="24"/>
        </w:rPr>
        <w:t>传    真：</w:t>
      </w:r>
      <w:r>
        <w:rPr>
          <w:sz w:val="24"/>
          <w:u w:val="single"/>
        </w:rPr>
        <w:tab/>
      </w:r>
      <w:r>
        <w:rPr>
          <w:sz w:val="24"/>
          <w:u w:val="single"/>
        </w:rPr>
        <w:tab/>
      </w:r>
      <w:r>
        <w:rPr>
          <w:sz w:val="24"/>
          <w:u w:val="single"/>
        </w:rPr>
        <w:t xml:space="preserve">  </w:t>
      </w:r>
    </w:p>
    <w:p>
      <w:pPr>
        <w:tabs>
          <w:tab w:val="left" w:pos="8865"/>
        </w:tabs>
        <w:spacing w:before="78"/>
        <w:ind w:left="3571"/>
        <w:rPr>
          <w:sz w:val="24"/>
        </w:rPr>
      </w:pPr>
      <w:r>
        <w:rPr>
          <w:sz w:val="24"/>
        </w:rPr>
        <w:t>邮政编码：</w:t>
      </w:r>
      <w:r>
        <w:rPr>
          <w:sz w:val="24"/>
          <w:u w:val="single"/>
        </w:rPr>
        <w:tab/>
      </w:r>
    </w:p>
    <w:p>
      <w:pPr>
        <w:spacing w:before="1"/>
        <w:rPr>
          <w:sz w:val="33"/>
          <w:szCs w:val="33"/>
        </w:rPr>
      </w:pPr>
    </w:p>
    <w:p>
      <w:pPr>
        <w:ind w:right="284" w:firstLine="5400" w:firstLineChars="2250"/>
        <w:rPr>
          <w:sz w:val="24"/>
        </w:rPr>
      </w:pPr>
      <w:r>
        <w:rPr>
          <w:rFonts w:hint="eastAsia"/>
          <w:sz w:val="24"/>
        </w:rPr>
        <w:t xml:space="preserve"> </w:t>
      </w:r>
      <w:r>
        <w:rPr>
          <w:rFonts w:hint="eastAsia"/>
          <w:sz w:val="24"/>
          <w:u w:val="single"/>
        </w:rPr>
        <w:t xml:space="preserve">      </w:t>
      </w:r>
      <w:r>
        <w:rPr>
          <w:sz w:val="24"/>
        </w:rPr>
        <w:t>年</w:t>
      </w:r>
      <w:r>
        <w:rPr>
          <w:rFonts w:hint="eastAsia"/>
          <w:sz w:val="24"/>
          <w:u w:val="single"/>
        </w:rPr>
        <w:t xml:space="preserve">     </w:t>
      </w:r>
      <w:r>
        <w:rPr>
          <w:sz w:val="24"/>
        </w:rPr>
        <w:t>月</w:t>
      </w:r>
      <w:r>
        <w:rPr>
          <w:rFonts w:hint="eastAsia"/>
          <w:sz w:val="24"/>
          <w:u w:val="single"/>
        </w:rPr>
        <w:t xml:space="preserve">      </w:t>
      </w:r>
      <w:r>
        <w:rPr>
          <w:sz w:val="24"/>
        </w:rPr>
        <w:t>日</w:t>
      </w:r>
    </w:p>
    <w:p>
      <w:pPr>
        <w:rPr>
          <w:sz w:val="20"/>
          <w:szCs w:val="20"/>
        </w:rPr>
      </w:pPr>
    </w:p>
    <w:p>
      <w:pPr>
        <w:spacing w:before="240" w:after="60" w:afterLines="25" w:line="360" w:lineRule="auto"/>
        <w:rPr>
          <w:szCs w:val="21"/>
        </w:rPr>
      </w:pPr>
    </w:p>
    <w:p>
      <w:pPr>
        <w:pStyle w:val="11"/>
        <w:tabs>
          <w:tab w:val="left" w:pos="4295"/>
          <w:tab w:val="left" w:pos="10584"/>
        </w:tabs>
        <w:spacing w:before="97" w:line="316" w:lineRule="auto"/>
        <w:ind w:right="-23"/>
        <w:jc w:val="left"/>
        <w:rPr>
          <w:szCs w:val="21"/>
        </w:rPr>
      </w:pPr>
      <w:r>
        <w:rPr>
          <w:rFonts w:hint="eastAsia"/>
          <w:szCs w:val="21"/>
        </w:rPr>
        <w:t>注：投标人仅须在投标函上加盖单位章，或由法定代表人或其委托代理人签字。</w:t>
      </w:r>
    </w:p>
    <w:p>
      <w:pPr>
        <w:spacing w:before="240" w:after="60" w:afterLines="25" w:line="360" w:lineRule="auto"/>
        <w:rPr>
          <w:szCs w:val="21"/>
        </w:rPr>
      </w:pPr>
    </w:p>
    <w:p>
      <w:pPr>
        <w:spacing w:before="147"/>
        <w:ind w:left="3038" w:right="1925"/>
        <w:rPr>
          <w:sz w:val="24"/>
          <w:szCs w:val="28"/>
          <w:u w:val="single"/>
        </w:rPr>
      </w:pPr>
    </w:p>
    <w:p>
      <w:pPr>
        <w:spacing w:before="147"/>
        <w:ind w:left="3038" w:right="1925"/>
        <w:rPr>
          <w:sz w:val="24"/>
          <w:szCs w:val="28"/>
          <w:u w:val="single"/>
        </w:rPr>
      </w:pPr>
    </w:p>
    <w:p>
      <w:pPr>
        <w:spacing w:before="147"/>
        <w:ind w:left="3038" w:right="1925"/>
        <w:rPr>
          <w:sz w:val="24"/>
          <w:szCs w:val="28"/>
          <w:u w:val="single"/>
        </w:rPr>
      </w:pPr>
    </w:p>
    <w:p>
      <w:pPr>
        <w:tabs>
          <w:tab w:val="left" w:pos="3150"/>
        </w:tabs>
        <w:spacing w:before="120" w:beforeLines="50" w:after="120" w:afterLines="50"/>
        <w:ind w:left="6" w:hanging="6"/>
        <w:jc w:val="center"/>
        <w:rPr>
          <w:sz w:val="32"/>
          <w:szCs w:val="32"/>
        </w:rPr>
      </w:pPr>
      <w:r>
        <w:rPr>
          <w:sz w:val="32"/>
          <w:szCs w:val="32"/>
        </w:rPr>
        <w:br w:type="page"/>
      </w:r>
      <w:r>
        <w:rPr>
          <w:rFonts w:hint="eastAsia" w:eastAsia="黑体"/>
          <w:b/>
          <w:kern w:val="0"/>
          <w:sz w:val="30"/>
          <w:szCs w:val="30"/>
        </w:rPr>
        <w:t>二、监理服务费用清单</w:t>
      </w:r>
    </w:p>
    <w:p>
      <w:pPr>
        <w:spacing w:line="420" w:lineRule="exact"/>
        <w:ind w:right="3094"/>
        <w:jc w:val="center"/>
        <w:rPr>
          <w:rFonts w:eastAsia="黑体"/>
          <w:b/>
          <w:kern w:val="0"/>
          <w:sz w:val="30"/>
          <w:szCs w:val="30"/>
        </w:rPr>
      </w:pPr>
      <w:r>
        <w:rPr>
          <w:rFonts w:hint="eastAsia" w:eastAsia="黑体"/>
          <w:b/>
          <w:kern w:val="0"/>
          <w:sz w:val="30"/>
          <w:szCs w:val="30"/>
        </w:rPr>
        <w:t xml:space="preserve">                （一） 报价清单说明</w:t>
      </w:r>
    </w:p>
    <w:p>
      <w:pPr>
        <w:pStyle w:val="11"/>
        <w:spacing w:before="28" w:line="420" w:lineRule="exact"/>
        <w:ind w:right="-23" w:firstLine="420" w:firstLineChars="175"/>
        <w:jc w:val="left"/>
        <w:rPr>
          <w:sz w:val="24"/>
        </w:rPr>
      </w:pPr>
      <w:r>
        <w:rPr>
          <w:rFonts w:hint="eastAsia"/>
          <w:sz w:val="24"/>
        </w:rPr>
        <w:t>1. 本报价表中各表项目和数量由投标人根据工程需要填写，除此之外，还应在每张报价表后附报价计算说明。如折旧费计算说明中应指出每种监理设施折旧寿命、折旧期、年折旧费等，使用、维修、管理费等计算说明中应指出每年各项费用情况、计算公式等。</w:t>
      </w:r>
    </w:p>
    <w:p>
      <w:pPr>
        <w:pStyle w:val="11"/>
        <w:spacing w:before="28" w:after="0" w:line="420" w:lineRule="exact"/>
        <w:ind w:right="-23" w:firstLine="420" w:firstLineChars="175"/>
        <w:jc w:val="left"/>
        <w:rPr>
          <w:sz w:val="24"/>
        </w:rPr>
      </w:pPr>
      <w:r>
        <w:rPr>
          <w:rFonts w:hint="eastAsia"/>
          <w:sz w:val="24"/>
        </w:rPr>
        <w:t>2. 监理人员配备数量应根据招标文件的要求、投标人编写的技术建议书并参考投标人以往监理工作经验填报。</w:t>
      </w:r>
    </w:p>
    <w:p>
      <w:pPr>
        <w:pStyle w:val="11"/>
        <w:spacing w:before="34" w:after="0" w:line="420" w:lineRule="exact"/>
        <w:ind w:right="-23" w:firstLine="420" w:firstLineChars="175"/>
        <w:jc w:val="left"/>
        <w:rPr>
          <w:sz w:val="24"/>
        </w:rPr>
      </w:pPr>
      <w:r>
        <w:rPr>
          <w:rFonts w:hint="eastAsia"/>
          <w:sz w:val="24"/>
        </w:rPr>
        <w:t>3. 投标人必须配备施工监理所需的监理办公设施（含通讯设施）、试验检测设施、交通设施、生活设施等。监理办公设施（含通讯设施）、试验检测设施、交通设施、生活设施等应根据招标文件的要求、投标人编写的技术建议书并参考投标人以往监理工作经验配置 。</w:t>
      </w:r>
    </w:p>
    <w:p>
      <w:pPr>
        <w:pStyle w:val="11"/>
        <w:spacing w:before="23" w:after="0" w:line="420" w:lineRule="exact"/>
        <w:ind w:right="-23" w:firstLine="420" w:firstLineChars="175"/>
        <w:jc w:val="left"/>
        <w:rPr>
          <w:sz w:val="24"/>
        </w:rPr>
      </w:pPr>
      <w:r>
        <w:rPr>
          <w:rFonts w:hint="eastAsia"/>
          <w:sz w:val="24"/>
        </w:rPr>
        <w:t>4. 监理工程师的驻地设施及配备的设备，如交通、通讯工具及燃料消耗、维护等均由投标人按规定列入投标报价中 。</w:t>
      </w:r>
    </w:p>
    <w:p>
      <w:pPr>
        <w:pStyle w:val="11"/>
        <w:spacing w:before="41" w:after="0" w:line="420" w:lineRule="exact"/>
        <w:ind w:right="-23" w:firstLine="420" w:firstLineChars="175"/>
        <w:jc w:val="left"/>
        <w:rPr>
          <w:sz w:val="24"/>
        </w:rPr>
      </w:pPr>
      <w:r>
        <w:rPr>
          <w:rFonts w:hint="eastAsia"/>
          <w:sz w:val="24"/>
        </w:rPr>
        <w:t>5.投标人在填报监理服务费用时应综合考虑下列因素：</w:t>
      </w:r>
    </w:p>
    <w:p>
      <w:pPr>
        <w:pStyle w:val="11"/>
        <w:spacing w:before="65" w:after="0" w:line="420" w:lineRule="exact"/>
        <w:ind w:right="-23" w:firstLine="420" w:firstLineChars="175"/>
        <w:jc w:val="left"/>
        <w:rPr>
          <w:sz w:val="24"/>
        </w:rPr>
      </w:pPr>
      <w:r>
        <w:rPr>
          <w:rFonts w:hint="eastAsia"/>
          <w:sz w:val="24"/>
        </w:rPr>
        <w:t>（1） 监理人所提供的各级监理人员、试验检测仪器、车辆均应满足委托人在专 用合同条款中提出的最低限度要求 。</w:t>
      </w:r>
    </w:p>
    <w:p>
      <w:pPr>
        <w:pStyle w:val="11"/>
        <w:spacing w:before="34" w:line="297" w:lineRule="auto"/>
        <w:ind w:right="-23" w:firstLine="480" w:firstLineChars="200"/>
        <w:rPr>
          <w:sz w:val="24"/>
        </w:rPr>
      </w:pPr>
      <w:r>
        <w:rPr>
          <w:rFonts w:hint="eastAsia"/>
          <w:sz w:val="24"/>
        </w:rPr>
        <w:t>（2）</w:t>
      </w:r>
      <w:r>
        <w:rPr>
          <w:sz w:val="24"/>
        </w:rPr>
        <w:t xml:space="preserve"> 除合同条款第8 条约定的变更情形和项目专用合同条款第9.1.1 项约定的其他情形外，本监理合同的监理服务费用在合同实施期间一律不予调整。</w:t>
      </w:r>
    </w:p>
    <w:p>
      <w:pPr>
        <w:pStyle w:val="11"/>
        <w:spacing w:before="23" w:after="0" w:line="420" w:lineRule="exact"/>
        <w:ind w:right="-23" w:firstLine="420" w:firstLineChars="175"/>
        <w:jc w:val="left"/>
        <w:rPr>
          <w:sz w:val="24"/>
        </w:rPr>
      </w:pPr>
      <w:r>
        <w:rPr>
          <w:rFonts w:hint="eastAsia"/>
          <w:sz w:val="24"/>
        </w:rPr>
        <w:t>6.投标人因完成本项目施工监理服务需缴纳的一切税费均由投标人承担，并包含在所报的单价或总额价内，委托人不单独支付 。</w:t>
      </w:r>
    </w:p>
    <w:p>
      <w:pPr>
        <w:pStyle w:val="11"/>
        <w:spacing w:before="32" w:after="0" w:line="420" w:lineRule="exact"/>
        <w:ind w:right="-23" w:firstLine="420" w:firstLineChars="175"/>
        <w:jc w:val="left"/>
        <w:rPr>
          <w:sz w:val="24"/>
        </w:rPr>
      </w:pPr>
      <w:r>
        <w:rPr>
          <w:rFonts w:hint="eastAsia"/>
          <w:sz w:val="24"/>
        </w:rPr>
        <w:t>7.投标人应认真填写报价清单中所列的监理服务费用各细目的单价和总额价。投标人没有填入单价或总额价的工程细目委托人将不予支付 ，并认为该细目的价款己包括在报价清单其他细目的单价或总额价中 。</w:t>
      </w:r>
    </w:p>
    <w:p>
      <w:pPr>
        <w:pStyle w:val="11"/>
        <w:spacing w:before="30" w:after="0" w:line="420" w:lineRule="exact"/>
        <w:ind w:right="-23" w:firstLine="420" w:firstLineChars="175"/>
        <w:jc w:val="left"/>
        <w:rPr>
          <w:sz w:val="24"/>
        </w:rPr>
      </w:pPr>
      <w:r>
        <w:rPr>
          <w:rFonts w:hint="eastAsia"/>
          <w:sz w:val="24"/>
        </w:rPr>
        <w:t>8.在表 2 监理人员服务费报价表和表 4 监理工程师交通设施费报价表后应附相应项目的单价分析表。</w:t>
      </w:r>
    </w:p>
    <w:p>
      <w:pPr>
        <w:pStyle w:val="11"/>
        <w:spacing w:before="39" w:after="0" w:line="420" w:lineRule="exact"/>
        <w:ind w:right="-23" w:firstLine="420" w:firstLineChars="175"/>
        <w:jc w:val="left"/>
        <w:rPr>
          <w:sz w:val="24"/>
        </w:rPr>
      </w:pPr>
      <w:r>
        <w:rPr>
          <w:rFonts w:hint="eastAsia"/>
          <w:sz w:val="24"/>
        </w:rPr>
        <w:t>9.投标人在表 2 中填报的各类监理人员的人月单价应包括监理人员的工资、加班费、生活伙食费、奖金及各种补贴等一切费用在内。若监理人员因履行正常监理服务而加班，委托人将不考虑、另行支付监理人员的加班费用。投标报价中应考虑、加班费。</w:t>
      </w:r>
    </w:p>
    <w:p>
      <w:pPr>
        <w:pStyle w:val="11"/>
        <w:spacing w:before="23" w:after="0" w:line="420" w:lineRule="exact"/>
        <w:ind w:right="-23" w:firstLine="420" w:firstLineChars="175"/>
        <w:jc w:val="left"/>
        <w:rPr>
          <w:sz w:val="24"/>
        </w:rPr>
      </w:pPr>
      <w:r>
        <w:rPr>
          <w:rFonts w:hint="eastAsia"/>
          <w:sz w:val="24"/>
        </w:rPr>
        <w:t>10.对于同一设施或物品，投标人不能重复填报监理服务费用，一经发现，委托人将有权从投标价中扣除多报的费用，投标人对此应予确认，否则，委托人有权取消其中标资格。</w:t>
      </w:r>
    </w:p>
    <w:p>
      <w:pPr>
        <w:spacing w:before="147"/>
        <w:ind w:left="3038" w:right="1925"/>
        <w:rPr>
          <w:sz w:val="24"/>
          <w:szCs w:val="28"/>
          <w:u w:val="single"/>
        </w:rPr>
      </w:pPr>
    </w:p>
    <w:p>
      <w:pPr>
        <w:spacing w:before="147"/>
        <w:ind w:left="3038" w:right="1925"/>
        <w:rPr>
          <w:sz w:val="24"/>
          <w:szCs w:val="28"/>
          <w:u w:val="single"/>
        </w:rPr>
      </w:pPr>
    </w:p>
    <w:p>
      <w:pPr>
        <w:spacing w:before="147"/>
        <w:ind w:left="3038" w:right="1925"/>
        <w:rPr>
          <w:sz w:val="24"/>
          <w:szCs w:val="28"/>
          <w:u w:val="single"/>
        </w:rPr>
      </w:pPr>
    </w:p>
    <w:p>
      <w:pPr>
        <w:spacing w:before="147"/>
        <w:ind w:left="3038" w:right="1925"/>
        <w:rPr>
          <w:sz w:val="24"/>
          <w:szCs w:val="28"/>
          <w:u w:val="single"/>
        </w:rPr>
      </w:pPr>
    </w:p>
    <w:p>
      <w:pPr>
        <w:spacing w:after="120" w:afterLines="50"/>
        <w:ind w:right="62"/>
        <w:jc w:val="center"/>
        <w:rPr>
          <w:rFonts w:eastAsia="黑体"/>
          <w:b/>
          <w:kern w:val="0"/>
          <w:sz w:val="30"/>
          <w:szCs w:val="30"/>
        </w:rPr>
      </w:pPr>
      <w:r>
        <w:rPr>
          <w:rFonts w:hint="eastAsia" w:eastAsia="黑体"/>
          <w:b/>
          <w:kern w:val="0"/>
          <w:sz w:val="30"/>
          <w:szCs w:val="30"/>
        </w:rPr>
        <w:t>（二） 监理服务费报价表</w:t>
      </w:r>
    </w:p>
    <w:p>
      <w:pPr>
        <w:pStyle w:val="11"/>
        <w:spacing w:before="247"/>
        <w:ind w:left="8" w:right="1925" w:firstLine="470" w:firstLineChars="196"/>
        <w:rPr>
          <w:sz w:val="24"/>
        </w:rPr>
      </w:pPr>
      <w:r>
        <w:rPr>
          <w:sz w:val="24"/>
        </w:rPr>
        <w:t xml:space="preserve">表 </w:t>
      </w:r>
      <w:r>
        <w:rPr>
          <w:rFonts w:eastAsia="Times New Roman"/>
          <w:sz w:val="24"/>
        </w:rPr>
        <w:t>1</w:t>
      </w:r>
      <w:r>
        <w:rPr>
          <w:rFonts w:eastAsia="Times New Roman"/>
          <w:sz w:val="24"/>
        </w:rPr>
        <w:tab/>
      </w:r>
      <w:r>
        <w:rPr>
          <w:sz w:val="24"/>
        </w:rPr>
        <w:t>监理服务费用报价汇总表</w:t>
      </w:r>
    </w:p>
    <w:p>
      <w:pPr>
        <w:spacing w:before="8"/>
        <w:ind w:left="8" w:firstLine="470" w:firstLineChars="196"/>
        <w:rPr>
          <w:sz w:val="24"/>
        </w:rPr>
      </w:pPr>
    </w:p>
    <w:p>
      <w:pPr>
        <w:pStyle w:val="11"/>
        <w:ind w:left="8" w:right="1925" w:firstLine="470" w:firstLineChars="196"/>
        <w:rPr>
          <w:sz w:val="24"/>
        </w:rPr>
      </w:pPr>
      <w:r>
        <w:rPr>
          <w:sz w:val="24"/>
        </w:rPr>
        <w:t xml:space="preserve">表 </w:t>
      </w:r>
      <w:r>
        <w:rPr>
          <w:rFonts w:eastAsia="Times New Roman"/>
          <w:sz w:val="24"/>
        </w:rPr>
        <w:t>2</w:t>
      </w:r>
      <w:r>
        <w:rPr>
          <w:rFonts w:eastAsia="Times New Roman"/>
          <w:sz w:val="24"/>
        </w:rPr>
        <w:tab/>
      </w:r>
      <w:r>
        <w:rPr>
          <w:sz w:val="24"/>
        </w:rPr>
        <w:t>监理人员服务费报价表</w:t>
      </w:r>
    </w:p>
    <w:p>
      <w:pPr>
        <w:spacing w:before="3"/>
        <w:ind w:left="8" w:firstLine="470" w:firstLineChars="196"/>
        <w:rPr>
          <w:sz w:val="24"/>
        </w:rPr>
      </w:pPr>
    </w:p>
    <w:p>
      <w:pPr>
        <w:pStyle w:val="11"/>
        <w:ind w:left="8" w:right="1925" w:firstLine="470" w:firstLineChars="196"/>
        <w:rPr>
          <w:sz w:val="24"/>
        </w:rPr>
      </w:pPr>
      <w:r>
        <w:rPr>
          <w:sz w:val="24"/>
        </w:rPr>
        <w:t xml:space="preserve">表 </w:t>
      </w:r>
      <w:r>
        <w:rPr>
          <w:rFonts w:eastAsia="Times New Roman"/>
          <w:sz w:val="24"/>
        </w:rPr>
        <w:t>3</w:t>
      </w:r>
      <w:r>
        <w:rPr>
          <w:rFonts w:eastAsia="Times New Roman"/>
          <w:sz w:val="24"/>
        </w:rPr>
        <w:tab/>
      </w:r>
      <w:r>
        <w:rPr>
          <w:sz w:val="24"/>
        </w:rPr>
        <w:t>监理工程师办公设施费报价表</w:t>
      </w:r>
    </w:p>
    <w:p>
      <w:pPr>
        <w:spacing w:before="8"/>
        <w:ind w:left="8" w:firstLine="470" w:firstLineChars="196"/>
        <w:rPr>
          <w:sz w:val="24"/>
        </w:rPr>
      </w:pPr>
    </w:p>
    <w:p>
      <w:pPr>
        <w:pStyle w:val="11"/>
        <w:ind w:left="8" w:right="1925" w:firstLine="470" w:firstLineChars="196"/>
        <w:rPr>
          <w:sz w:val="24"/>
        </w:rPr>
      </w:pPr>
      <w:r>
        <w:rPr>
          <w:sz w:val="24"/>
        </w:rPr>
        <w:t xml:space="preserve">表 </w:t>
      </w:r>
      <w:r>
        <w:rPr>
          <w:rFonts w:eastAsia="Times New Roman"/>
          <w:sz w:val="24"/>
        </w:rPr>
        <w:t>4</w:t>
      </w:r>
      <w:r>
        <w:rPr>
          <w:rFonts w:eastAsia="Times New Roman"/>
          <w:sz w:val="24"/>
        </w:rPr>
        <w:tab/>
      </w:r>
      <w:r>
        <w:rPr>
          <w:sz w:val="24"/>
        </w:rPr>
        <w:t>监理工程师交通设施费报价表</w:t>
      </w:r>
    </w:p>
    <w:p>
      <w:pPr>
        <w:spacing w:before="8"/>
        <w:ind w:left="8" w:firstLine="470" w:firstLineChars="196"/>
        <w:rPr>
          <w:sz w:val="24"/>
        </w:rPr>
      </w:pPr>
    </w:p>
    <w:p>
      <w:pPr>
        <w:pStyle w:val="11"/>
        <w:ind w:left="8" w:right="1925" w:firstLine="470" w:firstLineChars="196"/>
        <w:rPr>
          <w:sz w:val="24"/>
        </w:rPr>
      </w:pPr>
      <w:r>
        <w:rPr>
          <w:sz w:val="24"/>
        </w:rPr>
        <w:t xml:space="preserve">表 </w:t>
      </w:r>
      <w:r>
        <w:rPr>
          <w:rFonts w:eastAsia="Times New Roman"/>
          <w:sz w:val="24"/>
        </w:rPr>
        <w:t>5</w:t>
      </w:r>
      <w:r>
        <w:rPr>
          <w:rFonts w:eastAsia="Times New Roman"/>
          <w:sz w:val="24"/>
        </w:rPr>
        <w:tab/>
      </w:r>
      <w:r>
        <w:rPr>
          <w:sz w:val="24"/>
        </w:rPr>
        <w:t>监理试验设施费报价表</w:t>
      </w:r>
    </w:p>
    <w:p>
      <w:pPr>
        <w:spacing w:before="12"/>
        <w:ind w:left="8" w:firstLine="470" w:firstLineChars="196"/>
        <w:rPr>
          <w:sz w:val="24"/>
        </w:rPr>
      </w:pPr>
    </w:p>
    <w:p>
      <w:pPr>
        <w:pStyle w:val="11"/>
        <w:ind w:left="8" w:right="1925" w:firstLine="470" w:firstLineChars="196"/>
        <w:rPr>
          <w:sz w:val="24"/>
        </w:rPr>
      </w:pPr>
      <w:r>
        <w:rPr>
          <w:sz w:val="24"/>
        </w:rPr>
        <w:t xml:space="preserve">表 </w:t>
      </w:r>
      <w:r>
        <w:rPr>
          <w:rFonts w:eastAsia="Times New Roman"/>
          <w:sz w:val="24"/>
        </w:rPr>
        <w:t>6</w:t>
      </w:r>
      <w:r>
        <w:rPr>
          <w:rFonts w:eastAsia="Times New Roman"/>
          <w:sz w:val="24"/>
        </w:rPr>
        <w:tab/>
      </w:r>
      <w:r>
        <w:rPr>
          <w:sz w:val="24"/>
        </w:rPr>
        <w:t>监理工程师生活设施费报价表</w:t>
      </w:r>
    </w:p>
    <w:p>
      <w:pPr>
        <w:spacing w:before="8"/>
        <w:ind w:left="8" w:firstLine="470" w:firstLineChars="196"/>
        <w:rPr>
          <w:sz w:val="24"/>
        </w:rPr>
      </w:pPr>
    </w:p>
    <w:p>
      <w:pPr>
        <w:pStyle w:val="11"/>
        <w:ind w:left="8" w:right="1925" w:firstLine="470" w:firstLineChars="196"/>
        <w:rPr>
          <w:sz w:val="24"/>
        </w:rPr>
      </w:pPr>
      <w:r>
        <w:rPr>
          <w:sz w:val="24"/>
        </w:rPr>
        <w:t xml:space="preserve">表 </w:t>
      </w:r>
      <w:r>
        <w:rPr>
          <w:rFonts w:eastAsia="Times New Roman"/>
          <w:sz w:val="24"/>
        </w:rPr>
        <w:t>7</w:t>
      </w:r>
      <w:r>
        <w:rPr>
          <w:rFonts w:eastAsia="Times New Roman"/>
          <w:sz w:val="24"/>
        </w:rPr>
        <w:tab/>
      </w:r>
      <w:r>
        <w:rPr>
          <w:sz w:val="24"/>
        </w:rPr>
        <w:t>监理费用支付估算表</w:t>
      </w:r>
    </w:p>
    <w:p>
      <w:pPr>
        <w:spacing w:before="1"/>
        <w:ind w:left="8" w:firstLine="470" w:firstLineChars="196"/>
        <w:rPr>
          <w:sz w:val="24"/>
        </w:rPr>
      </w:pPr>
    </w:p>
    <w:p>
      <w:pPr>
        <w:pStyle w:val="11"/>
        <w:spacing w:line="444" w:lineRule="auto"/>
        <w:ind w:left="8" w:right="3463" w:firstLine="470" w:firstLineChars="196"/>
        <w:rPr>
          <w:sz w:val="24"/>
        </w:rPr>
      </w:pPr>
      <w:r>
        <w:rPr>
          <w:sz w:val="24"/>
        </w:rPr>
        <w:t xml:space="preserve">附件 </w:t>
      </w:r>
      <w:r>
        <w:rPr>
          <w:rFonts w:hint="eastAsia"/>
          <w:sz w:val="24"/>
        </w:rPr>
        <w:t xml:space="preserve">1 </w:t>
      </w:r>
      <w:r>
        <w:rPr>
          <w:sz w:val="24"/>
        </w:rPr>
        <w:t xml:space="preserve">监理人员工作计划安排表 </w:t>
      </w:r>
    </w:p>
    <w:p>
      <w:pPr>
        <w:pStyle w:val="11"/>
        <w:spacing w:line="444" w:lineRule="auto"/>
        <w:ind w:left="8" w:right="3463" w:firstLine="470" w:firstLineChars="196"/>
        <w:rPr>
          <w:sz w:val="24"/>
        </w:rPr>
      </w:pPr>
      <w:r>
        <w:rPr>
          <w:sz w:val="24"/>
        </w:rPr>
        <w:t xml:space="preserve">附件 </w:t>
      </w:r>
      <w:r>
        <w:rPr>
          <w:rFonts w:eastAsia="Times New Roman"/>
          <w:sz w:val="24"/>
        </w:rPr>
        <w:t xml:space="preserve">2 </w:t>
      </w:r>
      <w:r>
        <w:rPr>
          <w:rFonts w:hint="eastAsia"/>
          <w:sz w:val="24"/>
        </w:rPr>
        <w:t xml:space="preserve"> </w:t>
      </w:r>
      <w:r>
        <w:rPr>
          <w:sz w:val="24"/>
        </w:rPr>
        <w:t>监理设施进出场时间表</w:t>
      </w:r>
    </w:p>
    <w:p>
      <w:pPr>
        <w:pStyle w:val="72"/>
        <w:spacing w:before="77"/>
        <w:ind w:right="11"/>
        <w:jc w:val="center"/>
        <w:rPr>
          <w:szCs w:val="21"/>
        </w:rPr>
      </w:pPr>
      <w:r>
        <w:rPr>
          <w:szCs w:val="21"/>
        </w:rPr>
        <w:br w:type="page"/>
      </w:r>
    </w:p>
    <w:p>
      <w:pPr>
        <w:pStyle w:val="72"/>
        <w:spacing w:before="77"/>
        <w:ind w:right="11"/>
        <w:jc w:val="center"/>
        <w:rPr>
          <w:rFonts w:eastAsia="黑体"/>
          <w:b/>
          <w:kern w:val="0"/>
          <w:sz w:val="30"/>
          <w:szCs w:val="30"/>
        </w:rPr>
      </w:pPr>
      <w:r>
        <w:rPr>
          <w:rFonts w:hint="eastAsia" w:eastAsia="黑体"/>
          <w:b/>
          <w:kern w:val="0"/>
          <w:sz w:val="30"/>
          <w:szCs w:val="30"/>
        </w:rPr>
        <w:t>表1 监理服务费用报价汇总表</w:t>
      </w:r>
    </w:p>
    <w:p>
      <w:pPr>
        <w:pStyle w:val="72"/>
        <w:spacing w:before="77"/>
        <w:ind w:right="11"/>
        <w:jc w:val="right"/>
      </w:pPr>
      <w:r>
        <w:rPr>
          <w:rFonts w:hint="eastAsia"/>
        </w:rPr>
        <w:t>单位：人民币元</w:t>
      </w:r>
    </w:p>
    <w:tbl>
      <w:tblPr>
        <w:tblStyle w:val="30"/>
        <w:tblW w:w="0" w:type="auto"/>
        <w:jc w:val="center"/>
        <w:tblLayout w:type="fixed"/>
        <w:tblCellMar>
          <w:top w:w="0" w:type="dxa"/>
          <w:left w:w="0" w:type="dxa"/>
          <w:bottom w:w="0" w:type="dxa"/>
          <w:right w:w="0" w:type="dxa"/>
        </w:tblCellMar>
      </w:tblPr>
      <w:tblGrid>
        <w:gridCol w:w="974"/>
        <w:gridCol w:w="2580"/>
        <w:gridCol w:w="1958"/>
        <w:gridCol w:w="1815"/>
        <w:gridCol w:w="1425"/>
      </w:tblGrid>
      <w:tr>
        <w:tblPrEx>
          <w:tblCellMar>
            <w:top w:w="0" w:type="dxa"/>
            <w:left w:w="0" w:type="dxa"/>
            <w:bottom w:w="0" w:type="dxa"/>
            <w:right w:w="0" w:type="dxa"/>
          </w:tblCellMar>
        </w:tblPrEx>
        <w:trPr>
          <w:trHeight w:val="526" w:hRule="exact"/>
          <w:jc w:val="center"/>
        </w:trPr>
        <w:tc>
          <w:tcPr>
            <w:tcW w:w="974" w:type="dxa"/>
            <w:tcBorders>
              <w:top w:val="single" w:color="000000" w:sz="8" w:space="0"/>
              <w:left w:val="single" w:color="000000" w:sz="8" w:space="0"/>
              <w:bottom w:val="single" w:color="000000" w:sz="4" w:space="0"/>
              <w:right w:val="single" w:color="000000" w:sz="4" w:space="0"/>
            </w:tcBorders>
          </w:tcPr>
          <w:p>
            <w:pPr>
              <w:pStyle w:val="72"/>
              <w:spacing w:before="77"/>
              <w:ind w:right="11"/>
              <w:jc w:val="center"/>
              <w:rPr>
                <w:szCs w:val="21"/>
              </w:rPr>
            </w:pPr>
            <w:r>
              <w:rPr>
                <w:szCs w:val="21"/>
              </w:rPr>
              <w:t>序号</w:t>
            </w:r>
          </w:p>
        </w:tc>
        <w:tc>
          <w:tcPr>
            <w:tcW w:w="2580" w:type="dxa"/>
            <w:tcBorders>
              <w:top w:val="single" w:color="000000" w:sz="8" w:space="0"/>
              <w:left w:val="single" w:color="000000" w:sz="4" w:space="0"/>
              <w:bottom w:val="single" w:color="000000" w:sz="4" w:space="0"/>
              <w:right w:val="single" w:color="000000" w:sz="4" w:space="0"/>
            </w:tcBorders>
          </w:tcPr>
          <w:p>
            <w:pPr>
              <w:pStyle w:val="72"/>
              <w:tabs>
                <w:tab w:val="left" w:pos="584"/>
              </w:tabs>
              <w:spacing w:before="81"/>
              <w:ind w:left="65"/>
              <w:jc w:val="center"/>
              <w:rPr>
                <w:szCs w:val="21"/>
              </w:rPr>
            </w:pPr>
            <w:r>
              <w:rPr>
                <w:szCs w:val="21"/>
              </w:rPr>
              <w:t>项</w:t>
            </w:r>
            <w:r>
              <w:rPr>
                <w:szCs w:val="21"/>
              </w:rPr>
              <w:tab/>
            </w:r>
            <w:r>
              <w:rPr>
                <w:szCs w:val="21"/>
              </w:rPr>
              <w:t>目</w:t>
            </w:r>
          </w:p>
        </w:tc>
        <w:tc>
          <w:tcPr>
            <w:tcW w:w="1958" w:type="dxa"/>
            <w:tcBorders>
              <w:top w:val="single" w:color="000000" w:sz="8" w:space="0"/>
              <w:left w:val="single" w:color="000000" w:sz="4" w:space="0"/>
              <w:bottom w:val="single" w:color="000000" w:sz="4" w:space="0"/>
              <w:right w:val="single" w:color="000000" w:sz="4" w:space="0"/>
            </w:tcBorders>
          </w:tcPr>
          <w:p>
            <w:pPr>
              <w:pStyle w:val="72"/>
              <w:spacing w:before="81"/>
              <w:ind w:right="12"/>
              <w:jc w:val="center"/>
              <w:rPr>
                <w:szCs w:val="21"/>
              </w:rPr>
            </w:pPr>
            <w:r>
              <w:rPr>
                <w:szCs w:val="21"/>
              </w:rPr>
              <w:t>施工期</w:t>
            </w:r>
          </w:p>
        </w:tc>
        <w:tc>
          <w:tcPr>
            <w:tcW w:w="1815" w:type="dxa"/>
            <w:tcBorders>
              <w:top w:val="single" w:color="000000" w:sz="8" w:space="0"/>
              <w:left w:val="single" w:color="000000" w:sz="4" w:space="0"/>
              <w:bottom w:val="single" w:color="000000" w:sz="4" w:space="0"/>
              <w:right w:val="single" w:color="000000" w:sz="4" w:space="0"/>
            </w:tcBorders>
          </w:tcPr>
          <w:p>
            <w:pPr>
              <w:pStyle w:val="72"/>
              <w:spacing w:before="77"/>
              <w:ind w:left="7" w:hanging="7"/>
              <w:jc w:val="center"/>
              <w:rPr>
                <w:szCs w:val="21"/>
              </w:rPr>
            </w:pPr>
            <w:r>
              <w:rPr>
                <w:szCs w:val="21"/>
              </w:rPr>
              <w:t>缺陷责任期</w:t>
            </w:r>
          </w:p>
        </w:tc>
        <w:tc>
          <w:tcPr>
            <w:tcW w:w="1425" w:type="dxa"/>
            <w:tcBorders>
              <w:top w:val="single" w:color="000000" w:sz="8" w:space="0"/>
              <w:left w:val="single" w:color="000000" w:sz="4" w:space="0"/>
              <w:bottom w:val="single" w:color="000000" w:sz="4" w:space="0"/>
              <w:right w:val="single" w:color="000000" w:sz="8" w:space="0"/>
            </w:tcBorders>
          </w:tcPr>
          <w:p>
            <w:pPr>
              <w:pStyle w:val="72"/>
              <w:spacing w:before="77"/>
              <w:ind w:left="8"/>
              <w:jc w:val="center"/>
              <w:rPr>
                <w:szCs w:val="21"/>
              </w:rPr>
            </w:pPr>
            <w:r>
              <w:rPr>
                <w:szCs w:val="21"/>
              </w:rPr>
              <w:t>小计金额</w:t>
            </w:r>
          </w:p>
        </w:tc>
      </w:tr>
      <w:tr>
        <w:tblPrEx>
          <w:tblCellMar>
            <w:top w:w="0" w:type="dxa"/>
            <w:left w:w="0" w:type="dxa"/>
            <w:bottom w:w="0" w:type="dxa"/>
            <w:right w:w="0" w:type="dxa"/>
          </w:tblCellMar>
        </w:tblPrEx>
        <w:trPr>
          <w:trHeight w:val="521"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72"/>
              <w:spacing w:before="131"/>
              <w:ind w:right="1"/>
              <w:jc w:val="center"/>
              <w:rPr>
                <w:rFonts w:eastAsia="Times New Roman"/>
                <w:szCs w:val="21"/>
              </w:rPr>
            </w:pPr>
            <w:r>
              <w:rPr>
                <w:rFonts w:hint="eastAsia" w:eastAsia="Times New Roman"/>
                <w:szCs w:val="21"/>
              </w:rPr>
              <w:t>1</w:t>
            </w:r>
          </w:p>
        </w:tc>
        <w:tc>
          <w:tcPr>
            <w:tcW w:w="2580" w:type="dxa"/>
            <w:tcBorders>
              <w:top w:val="single" w:color="000000" w:sz="4" w:space="0"/>
              <w:left w:val="single" w:color="000000" w:sz="4" w:space="0"/>
              <w:bottom w:val="single" w:color="000000" w:sz="4" w:space="0"/>
              <w:right w:val="single" w:color="000000" w:sz="4" w:space="0"/>
            </w:tcBorders>
          </w:tcPr>
          <w:p>
            <w:pPr>
              <w:pStyle w:val="72"/>
              <w:spacing w:before="74"/>
              <w:ind w:right="14"/>
              <w:jc w:val="center"/>
              <w:rPr>
                <w:szCs w:val="21"/>
              </w:rPr>
            </w:pPr>
            <w:r>
              <w:rPr>
                <w:szCs w:val="21"/>
              </w:rPr>
              <w:t>监理人员服务费</w:t>
            </w:r>
          </w:p>
        </w:tc>
        <w:tc>
          <w:tcPr>
            <w:tcW w:w="1958" w:type="dxa"/>
            <w:tcBorders>
              <w:top w:val="single" w:color="000000" w:sz="4" w:space="0"/>
              <w:left w:val="single" w:color="000000" w:sz="4" w:space="0"/>
              <w:bottom w:val="single" w:color="000000" w:sz="4" w:space="0"/>
              <w:right w:val="single" w:color="000000" w:sz="4" w:space="0"/>
            </w:tcBorders>
          </w:tcPr>
          <w:p>
            <w:pPr>
              <w:rPr>
                <w:szCs w:val="21"/>
              </w:rPr>
            </w:pPr>
          </w:p>
        </w:tc>
        <w:tc>
          <w:tcPr>
            <w:tcW w:w="1815" w:type="dxa"/>
            <w:tcBorders>
              <w:top w:val="single" w:color="000000" w:sz="4" w:space="0"/>
              <w:left w:val="single" w:color="000000" w:sz="4" w:space="0"/>
              <w:bottom w:val="single" w:color="000000" w:sz="4" w:space="0"/>
              <w:right w:val="single" w:color="000000" w:sz="4" w:space="0"/>
            </w:tcBorders>
          </w:tcPr>
          <w:p>
            <w:pPr>
              <w:rPr>
                <w:szCs w:val="21"/>
              </w:rPr>
            </w:pPr>
          </w:p>
        </w:tc>
        <w:tc>
          <w:tcPr>
            <w:tcW w:w="1425" w:type="dxa"/>
            <w:tcBorders>
              <w:top w:val="single" w:color="000000" w:sz="4" w:space="0"/>
              <w:left w:val="single" w:color="000000" w:sz="4" w:space="0"/>
              <w:bottom w:val="single" w:color="000000" w:sz="4" w:space="0"/>
              <w:right w:val="single" w:color="000000" w:sz="8" w:space="0"/>
            </w:tcBorders>
          </w:tcPr>
          <w:p>
            <w:pPr>
              <w:rPr>
                <w:szCs w:val="21"/>
              </w:rPr>
            </w:pPr>
          </w:p>
        </w:tc>
      </w:tr>
      <w:tr>
        <w:tblPrEx>
          <w:tblCellMar>
            <w:top w:w="0" w:type="dxa"/>
            <w:left w:w="0" w:type="dxa"/>
            <w:bottom w:w="0" w:type="dxa"/>
            <w:right w:w="0" w:type="dxa"/>
          </w:tblCellMar>
        </w:tblPrEx>
        <w:trPr>
          <w:trHeight w:val="477"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72"/>
              <w:spacing w:before="131"/>
              <w:ind w:right="1"/>
              <w:jc w:val="center"/>
              <w:rPr>
                <w:rFonts w:eastAsia="Times New Roman"/>
                <w:szCs w:val="21"/>
              </w:rPr>
            </w:pPr>
            <w:r>
              <w:rPr>
                <w:rFonts w:eastAsia="Times New Roman"/>
                <w:szCs w:val="21"/>
              </w:rPr>
              <w:t>2</w:t>
            </w:r>
          </w:p>
        </w:tc>
        <w:tc>
          <w:tcPr>
            <w:tcW w:w="2580" w:type="dxa"/>
            <w:tcBorders>
              <w:top w:val="single" w:color="000000" w:sz="4" w:space="0"/>
              <w:left w:val="single" w:color="000000" w:sz="4" w:space="0"/>
              <w:bottom w:val="single" w:color="000000" w:sz="4" w:space="0"/>
              <w:right w:val="single" w:color="000000" w:sz="4" w:space="0"/>
            </w:tcBorders>
          </w:tcPr>
          <w:p>
            <w:pPr>
              <w:pStyle w:val="72"/>
              <w:spacing w:before="72"/>
              <w:ind w:left="25"/>
              <w:jc w:val="center"/>
              <w:rPr>
                <w:szCs w:val="21"/>
              </w:rPr>
            </w:pPr>
            <w:r>
              <w:rPr>
                <w:szCs w:val="21"/>
              </w:rPr>
              <w:t>监理办公设施费</w:t>
            </w:r>
          </w:p>
        </w:tc>
        <w:tc>
          <w:tcPr>
            <w:tcW w:w="1958" w:type="dxa"/>
            <w:tcBorders>
              <w:top w:val="single" w:color="000000" w:sz="4" w:space="0"/>
              <w:left w:val="single" w:color="000000" w:sz="4" w:space="0"/>
              <w:bottom w:val="single" w:color="000000" w:sz="4" w:space="0"/>
              <w:right w:val="single" w:color="000000" w:sz="4" w:space="0"/>
            </w:tcBorders>
          </w:tcPr>
          <w:p>
            <w:pPr>
              <w:rPr>
                <w:szCs w:val="21"/>
              </w:rPr>
            </w:pPr>
          </w:p>
        </w:tc>
        <w:tc>
          <w:tcPr>
            <w:tcW w:w="1815" w:type="dxa"/>
            <w:tcBorders>
              <w:top w:val="single" w:color="000000" w:sz="4" w:space="0"/>
              <w:left w:val="single" w:color="000000" w:sz="4" w:space="0"/>
              <w:bottom w:val="single" w:color="000000" w:sz="4" w:space="0"/>
              <w:right w:val="single" w:color="000000" w:sz="4" w:space="0"/>
            </w:tcBorders>
          </w:tcPr>
          <w:p>
            <w:pPr>
              <w:rPr>
                <w:szCs w:val="21"/>
              </w:rPr>
            </w:pPr>
          </w:p>
        </w:tc>
        <w:tc>
          <w:tcPr>
            <w:tcW w:w="1425" w:type="dxa"/>
            <w:tcBorders>
              <w:top w:val="single" w:color="000000" w:sz="4" w:space="0"/>
              <w:left w:val="single" w:color="000000" w:sz="4" w:space="0"/>
              <w:bottom w:val="single" w:color="000000" w:sz="4" w:space="0"/>
              <w:right w:val="single" w:color="000000" w:sz="8" w:space="0"/>
            </w:tcBorders>
          </w:tcPr>
          <w:p>
            <w:pPr>
              <w:rPr>
                <w:szCs w:val="21"/>
              </w:rPr>
            </w:pPr>
          </w:p>
        </w:tc>
      </w:tr>
      <w:tr>
        <w:tblPrEx>
          <w:tblCellMar>
            <w:top w:w="0" w:type="dxa"/>
            <w:left w:w="0" w:type="dxa"/>
            <w:bottom w:w="0" w:type="dxa"/>
            <w:right w:w="0" w:type="dxa"/>
          </w:tblCellMar>
        </w:tblPrEx>
        <w:trPr>
          <w:trHeight w:val="650"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72"/>
              <w:spacing w:before="198"/>
              <w:ind w:left="2"/>
              <w:jc w:val="center"/>
              <w:rPr>
                <w:rFonts w:eastAsia="Times New Roman"/>
                <w:szCs w:val="21"/>
              </w:rPr>
            </w:pPr>
            <w:r>
              <w:rPr>
                <w:szCs w:val="21"/>
              </w:rPr>
              <w:t>3</w:t>
            </w:r>
          </w:p>
        </w:tc>
        <w:tc>
          <w:tcPr>
            <w:tcW w:w="2580" w:type="dxa"/>
            <w:tcBorders>
              <w:top w:val="single" w:color="000000" w:sz="4" w:space="0"/>
              <w:left w:val="single" w:color="000000" w:sz="4" w:space="0"/>
              <w:bottom w:val="single" w:color="000000" w:sz="4" w:space="0"/>
              <w:right w:val="single" w:color="000000" w:sz="4" w:space="0"/>
            </w:tcBorders>
          </w:tcPr>
          <w:p>
            <w:pPr>
              <w:pStyle w:val="72"/>
              <w:spacing w:line="287" w:lineRule="exact"/>
              <w:ind w:right="14"/>
              <w:jc w:val="center"/>
              <w:rPr>
                <w:szCs w:val="21"/>
              </w:rPr>
            </w:pPr>
            <w:r>
              <w:rPr>
                <w:szCs w:val="21"/>
              </w:rPr>
              <w:t>监理交通设施费</w:t>
            </w:r>
          </w:p>
          <w:p>
            <w:pPr>
              <w:pStyle w:val="72"/>
              <w:spacing w:before="20"/>
              <w:ind w:left="12"/>
              <w:jc w:val="center"/>
              <w:rPr>
                <w:szCs w:val="21"/>
              </w:rPr>
            </w:pPr>
            <w:r>
              <w:rPr>
                <w:szCs w:val="21"/>
              </w:rPr>
              <w:t>（含燃料消耗等费用）</w:t>
            </w:r>
          </w:p>
        </w:tc>
        <w:tc>
          <w:tcPr>
            <w:tcW w:w="1958" w:type="dxa"/>
            <w:tcBorders>
              <w:top w:val="single" w:color="000000" w:sz="4" w:space="0"/>
              <w:left w:val="single" w:color="000000" w:sz="4" w:space="0"/>
              <w:bottom w:val="single" w:color="000000" w:sz="4" w:space="0"/>
              <w:right w:val="single" w:color="000000" w:sz="4" w:space="0"/>
            </w:tcBorders>
          </w:tcPr>
          <w:p>
            <w:pPr>
              <w:rPr>
                <w:szCs w:val="21"/>
              </w:rPr>
            </w:pPr>
          </w:p>
        </w:tc>
        <w:tc>
          <w:tcPr>
            <w:tcW w:w="1815" w:type="dxa"/>
            <w:tcBorders>
              <w:top w:val="single" w:color="000000" w:sz="4" w:space="0"/>
              <w:left w:val="single" w:color="000000" w:sz="4" w:space="0"/>
              <w:bottom w:val="single" w:color="000000" w:sz="4" w:space="0"/>
              <w:right w:val="single" w:color="000000" w:sz="4" w:space="0"/>
            </w:tcBorders>
          </w:tcPr>
          <w:p>
            <w:pPr>
              <w:rPr>
                <w:szCs w:val="21"/>
              </w:rPr>
            </w:pPr>
          </w:p>
        </w:tc>
        <w:tc>
          <w:tcPr>
            <w:tcW w:w="1425" w:type="dxa"/>
            <w:tcBorders>
              <w:top w:val="single" w:color="000000" w:sz="4" w:space="0"/>
              <w:left w:val="single" w:color="000000" w:sz="4" w:space="0"/>
              <w:bottom w:val="single" w:color="000000" w:sz="4" w:space="0"/>
              <w:right w:val="single" w:color="000000" w:sz="8" w:space="0"/>
            </w:tcBorders>
          </w:tcPr>
          <w:p>
            <w:pPr>
              <w:rPr>
                <w:szCs w:val="21"/>
              </w:rPr>
            </w:pPr>
          </w:p>
        </w:tc>
      </w:tr>
      <w:tr>
        <w:tblPrEx>
          <w:tblCellMar>
            <w:top w:w="0" w:type="dxa"/>
            <w:left w:w="0" w:type="dxa"/>
            <w:bottom w:w="0" w:type="dxa"/>
            <w:right w:w="0" w:type="dxa"/>
          </w:tblCellMar>
        </w:tblPrEx>
        <w:trPr>
          <w:trHeight w:val="521"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72"/>
              <w:spacing w:before="133"/>
              <w:ind w:right="4"/>
              <w:jc w:val="center"/>
              <w:rPr>
                <w:rFonts w:eastAsia="Times New Roman"/>
                <w:szCs w:val="21"/>
              </w:rPr>
            </w:pPr>
            <w:r>
              <w:rPr>
                <w:szCs w:val="21"/>
              </w:rPr>
              <w:t>4</w:t>
            </w:r>
          </w:p>
        </w:tc>
        <w:tc>
          <w:tcPr>
            <w:tcW w:w="2580" w:type="dxa"/>
            <w:tcBorders>
              <w:top w:val="single" w:color="000000" w:sz="4" w:space="0"/>
              <w:left w:val="single" w:color="000000" w:sz="4" w:space="0"/>
              <w:bottom w:val="single" w:color="000000" w:sz="4" w:space="0"/>
              <w:right w:val="single" w:color="000000" w:sz="4" w:space="0"/>
            </w:tcBorders>
          </w:tcPr>
          <w:p>
            <w:pPr>
              <w:pStyle w:val="72"/>
              <w:spacing w:before="74"/>
              <w:ind w:right="3"/>
              <w:jc w:val="center"/>
              <w:rPr>
                <w:szCs w:val="21"/>
              </w:rPr>
            </w:pPr>
            <w:r>
              <w:rPr>
                <w:szCs w:val="21"/>
              </w:rPr>
              <w:t>监理试验设施费</w:t>
            </w:r>
          </w:p>
        </w:tc>
        <w:tc>
          <w:tcPr>
            <w:tcW w:w="1958" w:type="dxa"/>
            <w:tcBorders>
              <w:top w:val="single" w:color="000000" w:sz="4" w:space="0"/>
              <w:left w:val="single" w:color="000000" w:sz="4" w:space="0"/>
              <w:bottom w:val="single" w:color="000000" w:sz="4" w:space="0"/>
              <w:right w:val="single" w:color="000000" w:sz="4" w:space="0"/>
            </w:tcBorders>
          </w:tcPr>
          <w:p>
            <w:pPr>
              <w:rPr>
                <w:szCs w:val="21"/>
              </w:rPr>
            </w:pPr>
          </w:p>
        </w:tc>
        <w:tc>
          <w:tcPr>
            <w:tcW w:w="1815" w:type="dxa"/>
            <w:tcBorders>
              <w:top w:val="single" w:color="000000" w:sz="4" w:space="0"/>
              <w:left w:val="single" w:color="000000" w:sz="4" w:space="0"/>
              <w:bottom w:val="single" w:color="000000" w:sz="4" w:space="0"/>
              <w:right w:val="single" w:color="000000" w:sz="4" w:space="0"/>
            </w:tcBorders>
          </w:tcPr>
          <w:p>
            <w:pPr>
              <w:rPr>
                <w:szCs w:val="21"/>
              </w:rPr>
            </w:pPr>
          </w:p>
        </w:tc>
        <w:tc>
          <w:tcPr>
            <w:tcW w:w="1425" w:type="dxa"/>
            <w:tcBorders>
              <w:top w:val="single" w:color="000000" w:sz="4" w:space="0"/>
              <w:left w:val="single" w:color="000000" w:sz="4" w:space="0"/>
              <w:bottom w:val="single" w:color="000000" w:sz="4" w:space="0"/>
              <w:right w:val="single" w:color="000000" w:sz="8" w:space="0"/>
            </w:tcBorders>
          </w:tcPr>
          <w:p>
            <w:pPr>
              <w:rPr>
                <w:szCs w:val="21"/>
              </w:rPr>
            </w:pPr>
          </w:p>
        </w:tc>
      </w:tr>
      <w:tr>
        <w:tblPrEx>
          <w:tblCellMar>
            <w:top w:w="0" w:type="dxa"/>
            <w:left w:w="0" w:type="dxa"/>
            <w:bottom w:w="0" w:type="dxa"/>
            <w:right w:w="0" w:type="dxa"/>
          </w:tblCellMar>
        </w:tblPrEx>
        <w:trPr>
          <w:trHeight w:val="521"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72"/>
              <w:spacing w:before="136"/>
              <w:ind w:left="9"/>
              <w:jc w:val="center"/>
              <w:rPr>
                <w:rFonts w:eastAsia="Times New Roman"/>
                <w:szCs w:val="21"/>
              </w:rPr>
            </w:pPr>
            <w:r>
              <w:rPr>
                <w:szCs w:val="21"/>
              </w:rPr>
              <w:t>5</w:t>
            </w:r>
          </w:p>
        </w:tc>
        <w:tc>
          <w:tcPr>
            <w:tcW w:w="2580" w:type="dxa"/>
            <w:tcBorders>
              <w:top w:val="single" w:color="000000" w:sz="4" w:space="0"/>
              <w:left w:val="single" w:color="000000" w:sz="4" w:space="0"/>
              <w:bottom w:val="single" w:color="000000" w:sz="4" w:space="0"/>
              <w:right w:val="single" w:color="000000" w:sz="4" w:space="0"/>
            </w:tcBorders>
          </w:tcPr>
          <w:p>
            <w:pPr>
              <w:pStyle w:val="72"/>
              <w:spacing w:before="81"/>
              <w:ind w:right="14"/>
              <w:jc w:val="center"/>
              <w:rPr>
                <w:szCs w:val="21"/>
              </w:rPr>
            </w:pPr>
            <w:r>
              <w:rPr>
                <w:szCs w:val="21"/>
              </w:rPr>
              <w:t>监理生活设施费</w:t>
            </w:r>
          </w:p>
        </w:tc>
        <w:tc>
          <w:tcPr>
            <w:tcW w:w="1958" w:type="dxa"/>
            <w:tcBorders>
              <w:top w:val="single" w:color="000000" w:sz="4" w:space="0"/>
              <w:left w:val="single" w:color="000000" w:sz="4" w:space="0"/>
              <w:bottom w:val="single" w:color="000000" w:sz="4" w:space="0"/>
              <w:right w:val="single" w:color="000000" w:sz="4" w:space="0"/>
            </w:tcBorders>
          </w:tcPr>
          <w:p>
            <w:pPr>
              <w:rPr>
                <w:szCs w:val="21"/>
              </w:rPr>
            </w:pPr>
          </w:p>
        </w:tc>
        <w:tc>
          <w:tcPr>
            <w:tcW w:w="1815" w:type="dxa"/>
            <w:tcBorders>
              <w:top w:val="single" w:color="000000" w:sz="4" w:space="0"/>
              <w:left w:val="single" w:color="000000" w:sz="4" w:space="0"/>
              <w:bottom w:val="single" w:color="000000" w:sz="4" w:space="0"/>
              <w:right w:val="single" w:color="000000" w:sz="4" w:space="0"/>
            </w:tcBorders>
          </w:tcPr>
          <w:p>
            <w:pPr>
              <w:rPr>
                <w:szCs w:val="21"/>
              </w:rPr>
            </w:pPr>
          </w:p>
        </w:tc>
        <w:tc>
          <w:tcPr>
            <w:tcW w:w="1425" w:type="dxa"/>
            <w:tcBorders>
              <w:top w:val="single" w:color="000000" w:sz="4" w:space="0"/>
              <w:left w:val="single" w:color="000000" w:sz="4" w:space="0"/>
              <w:bottom w:val="single" w:color="000000" w:sz="4" w:space="0"/>
              <w:right w:val="single" w:color="000000" w:sz="8" w:space="0"/>
            </w:tcBorders>
          </w:tcPr>
          <w:p>
            <w:pPr>
              <w:rPr>
                <w:szCs w:val="21"/>
              </w:rPr>
            </w:pPr>
          </w:p>
        </w:tc>
      </w:tr>
      <w:tr>
        <w:tblPrEx>
          <w:tblCellMar>
            <w:top w:w="0" w:type="dxa"/>
            <w:left w:w="0" w:type="dxa"/>
            <w:bottom w:w="0" w:type="dxa"/>
            <w:right w:w="0" w:type="dxa"/>
          </w:tblCellMar>
        </w:tblPrEx>
        <w:trPr>
          <w:trHeight w:val="518"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72"/>
              <w:spacing w:before="128"/>
              <w:ind w:left="10"/>
              <w:jc w:val="center"/>
              <w:rPr>
                <w:rFonts w:eastAsia="Times New Roman"/>
                <w:szCs w:val="21"/>
              </w:rPr>
            </w:pPr>
            <w:r>
              <w:rPr>
                <w:szCs w:val="21"/>
              </w:rPr>
              <w:t>6</w:t>
            </w:r>
          </w:p>
        </w:tc>
        <w:tc>
          <w:tcPr>
            <w:tcW w:w="6353" w:type="dxa"/>
            <w:gridSpan w:val="3"/>
            <w:tcBorders>
              <w:top w:val="single" w:color="000000" w:sz="4" w:space="0"/>
              <w:left w:val="single" w:color="000000" w:sz="4" w:space="0"/>
              <w:bottom w:val="single" w:color="000000" w:sz="4" w:space="0"/>
              <w:right w:val="single" w:color="000000" w:sz="4" w:space="0"/>
            </w:tcBorders>
          </w:tcPr>
          <w:p>
            <w:pPr>
              <w:pStyle w:val="72"/>
              <w:spacing w:before="65"/>
              <w:ind w:left="5" w:hanging="5"/>
              <w:jc w:val="center"/>
              <w:rPr>
                <w:rFonts w:eastAsia="Times New Roman"/>
                <w:szCs w:val="21"/>
              </w:rPr>
            </w:pPr>
            <w:r>
              <w:rPr>
                <w:szCs w:val="21"/>
              </w:rPr>
              <w:t xml:space="preserve">各项费用合计 （ </w:t>
            </w:r>
            <w:r>
              <w:rPr>
                <w:rFonts w:eastAsia="Times New Roman"/>
                <w:szCs w:val="21"/>
              </w:rPr>
              <w:t>6=1+2+3+4+5 )</w:t>
            </w:r>
          </w:p>
        </w:tc>
        <w:tc>
          <w:tcPr>
            <w:tcW w:w="1425" w:type="dxa"/>
            <w:tcBorders>
              <w:top w:val="single" w:color="000000" w:sz="4" w:space="0"/>
              <w:left w:val="single" w:color="000000" w:sz="4" w:space="0"/>
              <w:bottom w:val="single" w:color="000000" w:sz="4" w:space="0"/>
              <w:right w:val="single" w:color="000000" w:sz="8" w:space="0"/>
            </w:tcBorders>
          </w:tcPr>
          <w:p>
            <w:pPr>
              <w:rPr>
                <w:szCs w:val="21"/>
              </w:rPr>
            </w:pPr>
          </w:p>
        </w:tc>
      </w:tr>
      <w:tr>
        <w:tblPrEx>
          <w:tblCellMar>
            <w:top w:w="0" w:type="dxa"/>
            <w:left w:w="0" w:type="dxa"/>
            <w:bottom w:w="0" w:type="dxa"/>
            <w:right w:w="0" w:type="dxa"/>
          </w:tblCellMar>
        </w:tblPrEx>
        <w:trPr>
          <w:trHeight w:val="521"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72"/>
              <w:spacing w:before="133"/>
              <w:ind w:left="1"/>
              <w:jc w:val="center"/>
              <w:rPr>
                <w:rFonts w:eastAsia="Times New Roman"/>
                <w:szCs w:val="21"/>
              </w:rPr>
            </w:pPr>
            <w:r>
              <w:rPr>
                <w:szCs w:val="21"/>
              </w:rPr>
              <w:t>7</w:t>
            </w:r>
          </w:p>
        </w:tc>
        <w:tc>
          <w:tcPr>
            <w:tcW w:w="6353" w:type="dxa"/>
            <w:gridSpan w:val="3"/>
            <w:tcBorders>
              <w:top w:val="single" w:color="000000" w:sz="4" w:space="0"/>
              <w:left w:val="single" w:color="000000" w:sz="4" w:space="0"/>
              <w:bottom w:val="single" w:color="000000" w:sz="4" w:space="0"/>
              <w:right w:val="single" w:color="000000" w:sz="4" w:space="0"/>
            </w:tcBorders>
          </w:tcPr>
          <w:p>
            <w:pPr>
              <w:pStyle w:val="72"/>
              <w:spacing w:before="69"/>
              <w:ind w:left="5" w:right="92" w:hanging="5"/>
              <w:jc w:val="center"/>
              <w:rPr>
                <w:szCs w:val="21"/>
              </w:rPr>
            </w:pPr>
            <w:r>
              <w:rPr>
                <w:szCs w:val="21"/>
              </w:rPr>
              <w:t xml:space="preserve">利润 （按 </w:t>
            </w:r>
            <w:r>
              <w:rPr>
                <w:rFonts w:eastAsia="Times New Roman"/>
                <w:szCs w:val="21"/>
              </w:rPr>
              <w:t xml:space="preserve">6 </w:t>
            </w:r>
            <w:r>
              <w:rPr>
                <w:szCs w:val="21"/>
              </w:rPr>
              <w:t>的百分比报价）</w:t>
            </w:r>
          </w:p>
        </w:tc>
        <w:tc>
          <w:tcPr>
            <w:tcW w:w="1425" w:type="dxa"/>
            <w:tcBorders>
              <w:top w:val="single" w:color="000000" w:sz="4" w:space="0"/>
              <w:left w:val="single" w:color="000000" w:sz="4" w:space="0"/>
              <w:bottom w:val="single" w:color="000000" w:sz="4" w:space="0"/>
              <w:right w:val="single" w:color="000000" w:sz="8" w:space="0"/>
            </w:tcBorders>
          </w:tcPr>
          <w:p>
            <w:pPr>
              <w:rPr>
                <w:szCs w:val="21"/>
              </w:rPr>
            </w:pPr>
          </w:p>
        </w:tc>
      </w:tr>
      <w:tr>
        <w:tblPrEx>
          <w:tblCellMar>
            <w:top w:w="0" w:type="dxa"/>
            <w:left w:w="0" w:type="dxa"/>
            <w:bottom w:w="0" w:type="dxa"/>
            <w:right w:w="0" w:type="dxa"/>
          </w:tblCellMar>
        </w:tblPrEx>
        <w:trPr>
          <w:trHeight w:val="521"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72"/>
              <w:spacing w:before="136"/>
              <w:ind w:left="16"/>
              <w:jc w:val="center"/>
              <w:rPr>
                <w:rFonts w:eastAsia="Times New Roman"/>
                <w:szCs w:val="21"/>
              </w:rPr>
            </w:pPr>
            <w:r>
              <w:rPr>
                <w:szCs w:val="21"/>
              </w:rPr>
              <w:t>8</w:t>
            </w:r>
          </w:p>
        </w:tc>
        <w:tc>
          <w:tcPr>
            <w:tcW w:w="6353" w:type="dxa"/>
            <w:gridSpan w:val="3"/>
            <w:tcBorders>
              <w:top w:val="single" w:color="000000" w:sz="4" w:space="0"/>
              <w:left w:val="single" w:color="000000" w:sz="4" w:space="0"/>
              <w:bottom w:val="single" w:color="000000" w:sz="4" w:space="0"/>
              <w:right w:val="single" w:color="000000" w:sz="4" w:space="0"/>
            </w:tcBorders>
          </w:tcPr>
          <w:p>
            <w:pPr>
              <w:pStyle w:val="72"/>
              <w:tabs>
                <w:tab w:val="left" w:pos="5827"/>
              </w:tabs>
              <w:spacing w:before="62"/>
              <w:ind w:left="5" w:hanging="5"/>
              <w:jc w:val="center"/>
              <w:rPr>
                <w:szCs w:val="21"/>
              </w:rPr>
            </w:pPr>
            <w:r>
              <w:rPr>
                <w:position w:val="1"/>
                <w:szCs w:val="21"/>
              </w:rPr>
              <w:t xml:space="preserve">暂列金额 （ </w:t>
            </w:r>
            <w:r>
              <w:rPr>
                <w:rFonts w:eastAsia="Times New Roman"/>
                <w:position w:val="1"/>
                <w:szCs w:val="21"/>
              </w:rPr>
              <w:t>8= (6+7</w:t>
            </w:r>
            <w:r>
              <w:rPr>
                <w:position w:val="1"/>
                <w:szCs w:val="21"/>
              </w:rPr>
              <w:t>）×</w:t>
            </w:r>
            <w:r>
              <w:rPr>
                <w:rFonts w:hint="eastAsia"/>
                <w:position w:val="1"/>
                <w:szCs w:val="21"/>
                <w:u w:val="single"/>
              </w:rPr>
              <w:t xml:space="preserve"> / </w:t>
            </w:r>
            <w:r>
              <w:rPr>
                <w:szCs w:val="21"/>
              </w:rPr>
              <w:t>%）</w:t>
            </w:r>
          </w:p>
        </w:tc>
        <w:tc>
          <w:tcPr>
            <w:tcW w:w="1425" w:type="dxa"/>
            <w:tcBorders>
              <w:top w:val="single" w:color="000000" w:sz="4" w:space="0"/>
              <w:left w:val="single" w:color="000000" w:sz="4" w:space="0"/>
              <w:bottom w:val="single" w:color="000000" w:sz="4" w:space="0"/>
              <w:right w:val="single" w:color="000000" w:sz="8" w:space="0"/>
            </w:tcBorders>
          </w:tcPr>
          <w:p>
            <w:pPr>
              <w:rPr>
                <w:szCs w:val="21"/>
              </w:rPr>
            </w:pPr>
          </w:p>
        </w:tc>
      </w:tr>
      <w:tr>
        <w:tblPrEx>
          <w:tblCellMar>
            <w:top w:w="0" w:type="dxa"/>
            <w:left w:w="0" w:type="dxa"/>
            <w:bottom w:w="0" w:type="dxa"/>
            <w:right w:w="0" w:type="dxa"/>
          </w:tblCellMar>
        </w:tblPrEx>
        <w:trPr>
          <w:trHeight w:val="526" w:hRule="exact"/>
          <w:jc w:val="center"/>
        </w:trPr>
        <w:tc>
          <w:tcPr>
            <w:tcW w:w="974" w:type="dxa"/>
            <w:tcBorders>
              <w:top w:val="single" w:color="000000" w:sz="4" w:space="0"/>
              <w:left w:val="single" w:color="000000" w:sz="8" w:space="0"/>
              <w:bottom w:val="single" w:color="000000" w:sz="8" w:space="0"/>
              <w:right w:val="single" w:color="000000" w:sz="4" w:space="0"/>
            </w:tcBorders>
          </w:tcPr>
          <w:p>
            <w:pPr>
              <w:pStyle w:val="72"/>
              <w:spacing w:before="128"/>
              <w:ind w:left="2"/>
              <w:jc w:val="center"/>
              <w:rPr>
                <w:rFonts w:eastAsia="Times New Roman"/>
                <w:szCs w:val="21"/>
              </w:rPr>
            </w:pPr>
            <w:r>
              <w:rPr>
                <w:szCs w:val="21"/>
              </w:rPr>
              <w:t>9</w:t>
            </w:r>
          </w:p>
        </w:tc>
        <w:tc>
          <w:tcPr>
            <w:tcW w:w="6353" w:type="dxa"/>
            <w:gridSpan w:val="3"/>
            <w:tcBorders>
              <w:top w:val="single" w:color="000000" w:sz="4" w:space="0"/>
              <w:left w:val="single" w:color="000000" w:sz="4" w:space="0"/>
              <w:bottom w:val="single" w:color="000000" w:sz="8" w:space="0"/>
              <w:right w:val="single" w:color="000000" w:sz="4" w:space="0"/>
            </w:tcBorders>
          </w:tcPr>
          <w:p>
            <w:pPr>
              <w:pStyle w:val="72"/>
              <w:spacing w:before="65"/>
              <w:ind w:left="5" w:right="112" w:hanging="5"/>
              <w:jc w:val="center"/>
              <w:rPr>
                <w:rFonts w:eastAsia="Times New Roman"/>
                <w:szCs w:val="21"/>
              </w:rPr>
            </w:pPr>
            <w:r>
              <w:rPr>
                <w:szCs w:val="21"/>
              </w:rPr>
              <w:t>投标报价总计  （</w:t>
            </w:r>
            <w:r>
              <w:rPr>
                <w:rFonts w:eastAsia="Times New Roman"/>
                <w:szCs w:val="21"/>
              </w:rPr>
              <w:t>9=6+7+8)</w:t>
            </w:r>
          </w:p>
        </w:tc>
        <w:tc>
          <w:tcPr>
            <w:tcW w:w="1425" w:type="dxa"/>
            <w:tcBorders>
              <w:top w:val="single" w:color="000000" w:sz="4" w:space="0"/>
              <w:left w:val="single" w:color="000000" w:sz="4" w:space="0"/>
              <w:bottom w:val="single" w:color="000000" w:sz="8" w:space="0"/>
              <w:right w:val="single" w:color="000000" w:sz="8" w:space="0"/>
            </w:tcBorders>
          </w:tcPr>
          <w:p>
            <w:pPr>
              <w:rPr>
                <w:szCs w:val="21"/>
              </w:rPr>
            </w:pPr>
          </w:p>
        </w:tc>
      </w:tr>
    </w:tbl>
    <w:p>
      <w:pPr>
        <w:tabs>
          <w:tab w:val="left" w:pos="883"/>
        </w:tabs>
        <w:spacing w:before="4" w:after="32"/>
        <w:ind w:right="216"/>
        <w:jc w:val="center"/>
        <w:rPr>
          <w:sz w:val="32"/>
          <w:szCs w:val="32"/>
        </w:rPr>
        <w:sectPr>
          <w:headerReference r:id="rId10" w:type="default"/>
          <w:endnotePr>
            <w:numFmt w:val="decimal"/>
          </w:endnotePr>
          <w:pgSz w:w="11906" w:h="16838"/>
          <w:pgMar w:top="1247" w:right="1247" w:bottom="1247" w:left="1304" w:header="794" w:footer="794" w:gutter="0"/>
          <w:cols w:space="720" w:num="1"/>
          <w:docGrid w:linePitch="312" w:charSpace="0"/>
        </w:sectPr>
      </w:pPr>
    </w:p>
    <w:p>
      <w:pPr>
        <w:rPr>
          <w:szCs w:val="21"/>
        </w:rPr>
      </w:pPr>
    </w:p>
    <w:p>
      <w:pPr>
        <w:rPr>
          <w:szCs w:val="21"/>
        </w:rPr>
      </w:pPr>
    </w:p>
    <w:p>
      <w:pPr>
        <w:tabs>
          <w:tab w:val="left" w:pos="883"/>
        </w:tabs>
        <w:spacing w:before="4" w:after="32"/>
        <w:ind w:right="216"/>
        <w:jc w:val="center"/>
        <w:rPr>
          <w:rFonts w:ascii="宋体" w:hAnsi="宋体" w:cs="宋体"/>
          <w:sz w:val="31"/>
          <w:szCs w:val="31"/>
        </w:rPr>
      </w:pPr>
      <w:r>
        <w:rPr>
          <w:szCs w:val="21"/>
        </w:rPr>
        <w:tab/>
      </w:r>
      <w:r>
        <w:rPr>
          <w:rFonts w:hint="eastAsia" w:eastAsia="黑体"/>
          <w:b/>
          <w:kern w:val="0"/>
          <w:sz w:val="30"/>
          <w:szCs w:val="30"/>
        </w:rPr>
        <w:t>表 2</w:t>
      </w:r>
      <w:r>
        <w:rPr>
          <w:rFonts w:hint="eastAsia" w:eastAsia="黑体"/>
          <w:b/>
          <w:kern w:val="0"/>
          <w:sz w:val="30"/>
          <w:szCs w:val="30"/>
        </w:rPr>
        <w:tab/>
      </w:r>
      <w:r>
        <w:rPr>
          <w:rFonts w:hint="eastAsia" w:eastAsia="黑体"/>
          <w:b/>
          <w:kern w:val="0"/>
          <w:sz w:val="30"/>
          <w:szCs w:val="30"/>
        </w:rPr>
        <w:t>监理人员服务费报价表</w:t>
      </w:r>
    </w:p>
    <w:tbl>
      <w:tblPr>
        <w:tblStyle w:val="30"/>
        <w:tblW w:w="0" w:type="auto"/>
        <w:tblInd w:w="129" w:type="dxa"/>
        <w:tblLayout w:type="fixed"/>
        <w:tblCellMar>
          <w:top w:w="0" w:type="dxa"/>
          <w:left w:w="0" w:type="dxa"/>
          <w:bottom w:w="0" w:type="dxa"/>
          <w:right w:w="0" w:type="dxa"/>
        </w:tblCellMar>
      </w:tblPr>
      <w:tblGrid>
        <w:gridCol w:w="648"/>
        <w:gridCol w:w="3062"/>
        <w:gridCol w:w="1742"/>
        <w:gridCol w:w="1747"/>
        <w:gridCol w:w="1743"/>
        <w:gridCol w:w="1740"/>
        <w:gridCol w:w="1745"/>
        <w:gridCol w:w="1742"/>
      </w:tblGrid>
      <w:tr>
        <w:trPr>
          <w:trHeight w:val="577" w:hRule="exact"/>
        </w:trPr>
        <w:tc>
          <w:tcPr>
            <w:tcW w:w="648" w:type="dxa"/>
            <w:vMerge w:val="restart"/>
            <w:tcBorders>
              <w:top w:val="single" w:color="000000" w:sz="4" w:space="0"/>
              <w:left w:val="single" w:color="000000" w:sz="4" w:space="0"/>
              <w:right w:val="single" w:color="000000" w:sz="4" w:space="0"/>
            </w:tcBorders>
            <w:vAlign w:val="center"/>
          </w:tcPr>
          <w:p>
            <w:pPr>
              <w:pStyle w:val="72"/>
              <w:spacing w:before="7"/>
              <w:jc w:val="center"/>
              <w:rPr>
                <w:rFonts w:ascii="宋体" w:hAnsi="宋体" w:cs="宋体"/>
                <w:szCs w:val="21"/>
              </w:rPr>
            </w:pPr>
          </w:p>
          <w:p>
            <w:pPr>
              <w:pStyle w:val="72"/>
              <w:spacing w:before="58"/>
              <w:ind w:left="205"/>
              <w:jc w:val="center"/>
              <w:rPr>
                <w:rFonts w:ascii="宋体" w:hAnsi="宋体" w:cs="宋体"/>
                <w:szCs w:val="21"/>
              </w:rPr>
            </w:pPr>
            <w:r>
              <w:rPr>
                <w:rFonts w:hint="eastAsia" w:ascii="宋体" w:hAnsi="宋体" w:cs="宋体"/>
                <w:szCs w:val="21"/>
              </w:rPr>
              <w:t>序号</w:t>
            </w:r>
          </w:p>
        </w:tc>
        <w:tc>
          <w:tcPr>
            <w:tcW w:w="3062" w:type="dxa"/>
            <w:vMerge w:val="restart"/>
            <w:tcBorders>
              <w:top w:val="single" w:color="000000" w:sz="4" w:space="0"/>
              <w:left w:val="single" w:color="000000" w:sz="4" w:space="0"/>
              <w:right w:val="single" w:color="000000" w:sz="4" w:space="0"/>
            </w:tcBorders>
            <w:vAlign w:val="center"/>
          </w:tcPr>
          <w:p>
            <w:pPr>
              <w:pStyle w:val="72"/>
              <w:spacing w:before="6"/>
              <w:jc w:val="center"/>
              <w:rPr>
                <w:rFonts w:ascii="宋体" w:hAnsi="宋体" w:cs="宋体"/>
                <w:szCs w:val="21"/>
              </w:rPr>
            </w:pPr>
          </w:p>
          <w:p>
            <w:pPr>
              <w:pStyle w:val="72"/>
              <w:ind w:left="5"/>
              <w:jc w:val="center"/>
              <w:rPr>
                <w:rFonts w:ascii="宋体" w:hAnsi="宋体" w:cs="宋体"/>
                <w:szCs w:val="21"/>
              </w:rPr>
            </w:pPr>
            <w:r>
              <w:rPr>
                <w:rFonts w:ascii="宋体" w:hAnsi="宋体" w:cs="宋体"/>
                <w:szCs w:val="21"/>
              </w:rPr>
              <w:t>人员</w:t>
            </w:r>
          </w:p>
        </w:tc>
        <w:tc>
          <w:tcPr>
            <w:tcW w:w="5232" w:type="dxa"/>
            <w:gridSpan w:val="3"/>
            <w:tcBorders>
              <w:top w:val="single" w:color="000000" w:sz="4" w:space="0"/>
              <w:left w:val="single" w:color="000000" w:sz="4" w:space="0"/>
              <w:bottom w:val="single" w:color="000000" w:sz="2" w:space="0"/>
              <w:right w:val="single" w:color="000000" w:sz="4" w:space="0"/>
            </w:tcBorders>
            <w:vAlign w:val="center"/>
          </w:tcPr>
          <w:p>
            <w:pPr>
              <w:pStyle w:val="72"/>
              <w:spacing w:before="57"/>
              <w:ind w:right="12"/>
              <w:jc w:val="center"/>
              <w:rPr>
                <w:rFonts w:ascii="宋体" w:hAnsi="宋体" w:cs="宋体"/>
                <w:szCs w:val="21"/>
              </w:rPr>
            </w:pPr>
            <w:r>
              <w:rPr>
                <w:rFonts w:ascii="宋体" w:hAnsi="宋体" w:cs="宋体"/>
                <w:szCs w:val="21"/>
              </w:rPr>
              <w:t>施工期</w:t>
            </w:r>
          </w:p>
        </w:tc>
        <w:tc>
          <w:tcPr>
            <w:tcW w:w="5227" w:type="dxa"/>
            <w:gridSpan w:val="3"/>
            <w:tcBorders>
              <w:top w:val="single" w:color="000000" w:sz="4" w:space="0"/>
              <w:left w:val="single" w:color="000000" w:sz="4" w:space="0"/>
              <w:bottom w:val="single" w:color="000000" w:sz="2" w:space="0"/>
              <w:right w:val="single" w:color="000000" w:sz="4" w:space="0"/>
            </w:tcBorders>
            <w:vAlign w:val="center"/>
          </w:tcPr>
          <w:p>
            <w:pPr>
              <w:pStyle w:val="72"/>
              <w:spacing w:before="53"/>
              <w:ind w:left="15"/>
              <w:jc w:val="center"/>
              <w:rPr>
                <w:rFonts w:ascii="宋体" w:hAnsi="宋体" w:cs="宋体"/>
                <w:szCs w:val="21"/>
              </w:rPr>
            </w:pPr>
            <w:r>
              <w:rPr>
                <w:rFonts w:ascii="宋体" w:hAnsi="宋体" w:cs="宋体"/>
                <w:szCs w:val="21"/>
              </w:rPr>
              <w:t>缺陷责任期</w:t>
            </w:r>
          </w:p>
        </w:tc>
      </w:tr>
      <w:tr>
        <w:tblPrEx>
          <w:tblCellMar>
            <w:top w:w="0" w:type="dxa"/>
            <w:left w:w="0" w:type="dxa"/>
            <w:bottom w:w="0" w:type="dxa"/>
            <w:right w:w="0" w:type="dxa"/>
          </w:tblCellMar>
        </w:tblPrEx>
        <w:trPr>
          <w:trHeight w:val="888" w:hRule="exact"/>
        </w:trPr>
        <w:tc>
          <w:tcPr>
            <w:tcW w:w="648"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3062"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1742" w:type="dxa"/>
            <w:tcBorders>
              <w:top w:val="single" w:color="000000" w:sz="2" w:space="0"/>
              <w:left w:val="single" w:color="000000" w:sz="4" w:space="0"/>
              <w:bottom w:val="single" w:color="000000" w:sz="4" w:space="0"/>
              <w:right w:val="single" w:color="000000" w:sz="4" w:space="0"/>
            </w:tcBorders>
            <w:vAlign w:val="center"/>
          </w:tcPr>
          <w:p>
            <w:pPr>
              <w:pStyle w:val="72"/>
              <w:spacing w:before="41"/>
              <w:ind w:left="5"/>
              <w:jc w:val="center"/>
              <w:rPr>
                <w:rFonts w:ascii="宋体" w:hAnsi="宋体" w:cs="宋体"/>
                <w:szCs w:val="21"/>
              </w:rPr>
            </w:pPr>
            <w:r>
              <w:rPr>
                <w:rFonts w:ascii="宋体" w:hAnsi="宋体" w:cs="宋体"/>
                <w:szCs w:val="21"/>
              </w:rPr>
              <w:t>数量</w:t>
            </w:r>
          </w:p>
        </w:tc>
        <w:tc>
          <w:tcPr>
            <w:tcW w:w="1747" w:type="dxa"/>
            <w:tcBorders>
              <w:top w:val="single" w:color="0F0F13" w:sz="2" w:space="0"/>
              <w:left w:val="single" w:color="000000" w:sz="4" w:space="0"/>
              <w:bottom w:val="single" w:color="000000" w:sz="4" w:space="0"/>
              <w:right w:val="single" w:color="000000" w:sz="4" w:space="0"/>
            </w:tcBorders>
            <w:vAlign w:val="center"/>
          </w:tcPr>
          <w:p>
            <w:pPr>
              <w:pStyle w:val="72"/>
              <w:spacing w:before="25"/>
              <w:ind w:left="7"/>
              <w:jc w:val="center"/>
              <w:rPr>
                <w:rFonts w:ascii="宋体" w:hAnsi="宋体" w:cs="宋体"/>
                <w:szCs w:val="21"/>
              </w:rPr>
            </w:pPr>
            <w:r>
              <w:rPr>
                <w:rFonts w:hint="eastAsia" w:ascii="宋体" w:hAnsi="宋体" w:cs="宋体"/>
                <w:szCs w:val="21"/>
              </w:rPr>
              <w:t>单价</w:t>
            </w:r>
          </w:p>
          <w:p>
            <w:pPr>
              <w:pStyle w:val="72"/>
              <w:spacing w:before="25"/>
              <w:ind w:left="7"/>
              <w:jc w:val="center"/>
              <w:rPr>
                <w:rFonts w:ascii="宋体" w:hAnsi="宋体" w:cs="宋体"/>
                <w:szCs w:val="21"/>
              </w:rPr>
            </w:pPr>
            <w:r>
              <w:rPr>
                <w:rFonts w:ascii="宋体" w:hAnsi="宋体" w:cs="宋体"/>
                <w:szCs w:val="21"/>
              </w:rPr>
              <w:t>（元／人 月）</w:t>
            </w:r>
          </w:p>
        </w:tc>
        <w:tc>
          <w:tcPr>
            <w:tcW w:w="1743" w:type="dxa"/>
            <w:tcBorders>
              <w:top w:val="single" w:color="000000" w:sz="2" w:space="0"/>
              <w:left w:val="single" w:color="000000" w:sz="4" w:space="0"/>
              <w:bottom w:val="single" w:color="000000" w:sz="4" w:space="0"/>
              <w:right w:val="single" w:color="000000" w:sz="4" w:space="0"/>
            </w:tcBorders>
            <w:vAlign w:val="center"/>
          </w:tcPr>
          <w:p>
            <w:pPr>
              <w:pStyle w:val="72"/>
              <w:spacing w:before="60"/>
              <w:ind w:left="420"/>
              <w:jc w:val="center"/>
              <w:rPr>
                <w:rFonts w:ascii="宋体" w:hAnsi="宋体" w:cs="宋体"/>
                <w:szCs w:val="21"/>
              </w:rPr>
            </w:pPr>
            <w:r>
              <w:rPr>
                <w:rFonts w:ascii="宋体" w:hAnsi="宋体" w:cs="宋体"/>
                <w:szCs w:val="21"/>
              </w:rPr>
              <w:t>金额（元）</w:t>
            </w:r>
          </w:p>
        </w:tc>
        <w:tc>
          <w:tcPr>
            <w:tcW w:w="1740" w:type="dxa"/>
            <w:tcBorders>
              <w:top w:val="single" w:color="000000" w:sz="2" w:space="0"/>
              <w:left w:val="single" w:color="000000" w:sz="4" w:space="0"/>
              <w:bottom w:val="single" w:color="000000" w:sz="4" w:space="0"/>
              <w:right w:val="single" w:color="000000" w:sz="4" w:space="0"/>
            </w:tcBorders>
            <w:vAlign w:val="center"/>
          </w:tcPr>
          <w:p>
            <w:pPr>
              <w:pStyle w:val="72"/>
              <w:spacing w:before="41"/>
              <w:ind w:right="4"/>
              <w:jc w:val="center"/>
              <w:rPr>
                <w:rFonts w:ascii="宋体" w:hAnsi="宋体" w:cs="宋体"/>
                <w:szCs w:val="21"/>
              </w:rPr>
            </w:pPr>
            <w:r>
              <w:rPr>
                <w:rFonts w:ascii="宋体" w:hAnsi="宋体" w:cs="宋体"/>
                <w:szCs w:val="21"/>
              </w:rPr>
              <w:t>数量</w:t>
            </w:r>
          </w:p>
        </w:tc>
        <w:tc>
          <w:tcPr>
            <w:tcW w:w="1745" w:type="dxa"/>
            <w:tcBorders>
              <w:top w:val="single" w:color="0F0F13" w:sz="2" w:space="0"/>
              <w:left w:val="single" w:color="000000" w:sz="4" w:space="0"/>
              <w:bottom w:val="single" w:color="000000" w:sz="4" w:space="0"/>
              <w:right w:val="single" w:color="000000" w:sz="4" w:space="0"/>
            </w:tcBorders>
            <w:vAlign w:val="center"/>
          </w:tcPr>
          <w:p>
            <w:pPr>
              <w:pStyle w:val="72"/>
              <w:spacing w:before="25"/>
              <w:ind w:left="7"/>
              <w:jc w:val="center"/>
              <w:rPr>
                <w:rFonts w:ascii="宋体" w:hAnsi="宋体" w:cs="宋体"/>
                <w:szCs w:val="21"/>
              </w:rPr>
            </w:pPr>
            <w:r>
              <w:rPr>
                <w:rFonts w:hint="eastAsia" w:ascii="宋体" w:hAnsi="宋体" w:cs="宋体"/>
                <w:szCs w:val="21"/>
              </w:rPr>
              <w:t>单价</w:t>
            </w:r>
          </w:p>
          <w:p>
            <w:pPr>
              <w:pStyle w:val="72"/>
              <w:spacing w:before="25"/>
              <w:ind w:left="5"/>
              <w:jc w:val="center"/>
              <w:rPr>
                <w:rFonts w:ascii="宋体" w:hAnsi="宋体" w:cs="宋体"/>
                <w:szCs w:val="21"/>
              </w:rPr>
            </w:pPr>
            <w:r>
              <w:rPr>
                <w:rFonts w:ascii="宋体" w:hAnsi="宋体" w:cs="宋体"/>
                <w:szCs w:val="21"/>
              </w:rPr>
              <w:t>（元／人 月）</w:t>
            </w:r>
          </w:p>
        </w:tc>
        <w:tc>
          <w:tcPr>
            <w:tcW w:w="1742" w:type="dxa"/>
            <w:tcBorders>
              <w:top w:val="single" w:color="000000" w:sz="2" w:space="0"/>
              <w:left w:val="single" w:color="000000" w:sz="4" w:space="0"/>
              <w:bottom w:val="single" w:color="000000" w:sz="4" w:space="0"/>
              <w:right w:val="single" w:color="000000" w:sz="4" w:space="0"/>
            </w:tcBorders>
            <w:vAlign w:val="center"/>
          </w:tcPr>
          <w:p>
            <w:pPr>
              <w:pStyle w:val="72"/>
              <w:spacing w:before="60"/>
              <w:ind w:left="444"/>
              <w:jc w:val="center"/>
              <w:rPr>
                <w:rFonts w:ascii="宋体" w:hAnsi="宋体" w:cs="宋体"/>
                <w:szCs w:val="21"/>
              </w:rPr>
            </w:pPr>
            <w:r>
              <w:rPr>
                <w:rFonts w:ascii="宋体" w:hAnsi="宋体" w:cs="宋体"/>
                <w:szCs w:val="21"/>
              </w:rPr>
              <w:t>金额（元）</w:t>
            </w: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1</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57"/>
              <w:ind w:leftChars="-133" w:hanging="279" w:hangingChars="133"/>
              <w:jc w:val="center"/>
              <w:rPr>
                <w:rFonts w:ascii="宋体" w:hAnsi="宋体" w:cs="宋体"/>
                <w:szCs w:val="21"/>
              </w:rPr>
            </w:pPr>
            <w:r>
              <w:rPr>
                <w:rFonts w:ascii="宋体" w:hAnsi="宋体" w:cs="宋体"/>
                <w:szCs w:val="21"/>
              </w:rPr>
              <w:t>总监理工程师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2</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12"/>
              <w:ind w:leftChars="-133" w:hanging="279" w:hangingChars="133"/>
              <w:jc w:val="center"/>
              <w:rPr>
                <w:rFonts w:ascii="宋体" w:hAnsi="宋体" w:cs="宋体"/>
                <w:szCs w:val="21"/>
              </w:rPr>
            </w:pPr>
            <w:r>
              <w:rPr>
                <w:rFonts w:hint="eastAsia" w:ascii="宋体" w:hAnsi="宋体" w:cs="宋体"/>
                <w:szCs w:val="21"/>
              </w:rPr>
              <w:t>**</w:t>
            </w:r>
            <w:r>
              <w:rPr>
                <w:rFonts w:ascii="宋体" w:hAnsi="宋体" w:cs="宋体"/>
                <w:szCs w:val="21"/>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3</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43"/>
              <w:ind w:leftChars="-133" w:hanging="279" w:hangingChars="133"/>
              <w:jc w:val="center"/>
              <w:rPr>
                <w:rFonts w:ascii="宋体" w:hAnsi="宋体" w:cs="宋体"/>
                <w:szCs w:val="21"/>
              </w:rPr>
            </w:pPr>
            <w:r>
              <w:rPr>
                <w:rFonts w:hint="eastAsia" w:ascii="宋体" w:hAnsi="宋体" w:cs="宋体"/>
                <w:szCs w:val="21"/>
              </w:rPr>
              <w:t>**</w:t>
            </w:r>
            <w:r>
              <w:rPr>
                <w:rFonts w:ascii="宋体" w:hAnsi="宋体" w:cs="宋体"/>
                <w:szCs w:val="21"/>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4</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45"/>
              <w:ind w:leftChars="-133" w:hanging="279" w:hangingChars="133"/>
              <w:jc w:val="center"/>
              <w:rPr>
                <w:rFonts w:ascii="宋体" w:hAnsi="宋体" w:cs="宋体"/>
                <w:szCs w:val="21"/>
              </w:rPr>
            </w:pPr>
            <w:r>
              <w:rPr>
                <w:rFonts w:hint="eastAsia" w:ascii="宋体" w:hAnsi="宋体" w:cs="宋体"/>
                <w:szCs w:val="21"/>
              </w:rPr>
              <w:t>**</w:t>
            </w:r>
            <w:r>
              <w:rPr>
                <w:rFonts w:ascii="宋体" w:hAnsi="宋体" w:cs="宋体"/>
                <w:szCs w:val="21"/>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5</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48"/>
              <w:ind w:leftChars="-133" w:hanging="279" w:hangingChars="133"/>
              <w:jc w:val="center"/>
              <w:rPr>
                <w:rFonts w:ascii="宋体" w:hAnsi="宋体" w:cs="宋体"/>
                <w:szCs w:val="21"/>
              </w:rPr>
            </w:pPr>
            <w:r>
              <w:rPr>
                <w:rFonts w:hint="eastAsia" w:ascii="宋体" w:hAnsi="宋体" w:cs="宋体"/>
                <w:szCs w:val="21"/>
              </w:rPr>
              <w:t>**</w:t>
            </w:r>
            <w:r>
              <w:rPr>
                <w:rFonts w:ascii="宋体" w:hAnsi="宋体" w:cs="宋体"/>
                <w:szCs w:val="21"/>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6</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45"/>
              <w:ind w:leftChars="-133" w:hanging="279" w:hangingChars="133"/>
              <w:jc w:val="center"/>
              <w:rPr>
                <w:rFonts w:ascii="宋体" w:hAnsi="宋体" w:cs="宋体"/>
                <w:szCs w:val="21"/>
              </w:rPr>
            </w:pPr>
            <w:r>
              <w:rPr>
                <w:rFonts w:hint="eastAsia" w:ascii="宋体" w:hAnsi="宋体" w:cs="宋体"/>
                <w:szCs w:val="21"/>
              </w:rPr>
              <w:t>**</w:t>
            </w:r>
            <w:r>
              <w:rPr>
                <w:rFonts w:ascii="宋体" w:hAnsi="宋体" w:cs="宋体"/>
                <w:szCs w:val="21"/>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7</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48"/>
              <w:ind w:leftChars="-133" w:hanging="279" w:hangingChars="133"/>
              <w:jc w:val="center"/>
              <w:rPr>
                <w:rFonts w:ascii="宋体" w:hAnsi="宋体" w:cs="宋体"/>
                <w:szCs w:val="21"/>
              </w:rPr>
            </w:pPr>
            <w:r>
              <w:rPr>
                <w:rFonts w:hint="eastAsia" w:ascii="宋体" w:hAnsi="宋体" w:cs="宋体"/>
                <w:szCs w:val="21"/>
              </w:rPr>
              <w:t>**</w:t>
            </w:r>
            <w:r>
              <w:rPr>
                <w:rFonts w:ascii="宋体" w:hAnsi="宋体" w:cs="宋体"/>
                <w:szCs w:val="21"/>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8</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50"/>
              <w:ind w:leftChars="-133" w:hanging="279" w:hangingChars="133"/>
              <w:jc w:val="center"/>
              <w:rPr>
                <w:rFonts w:ascii="宋体" w:hAnsi="宋体" w:cs="宋体"/>
                <w:szCs w:val="21"/>
              </w:rPr>
            </w:pPr>
            <w:r>
              <w:rPr>
                <w:rFonts w:hint="eastAsia" w:ascii="宋体" w:hAnsi="宋体" w:cs="宋体"/>
                <w:szCs w:val="21"/>
              </w:rPr>
              <w:t>**</w:t>
            </w:r>
            <w:r>
              <w:rPr>
                <w:rFonts w:ascii="宋体" w:hAnsi="宋体" w:cs="宋体"/>
                <w:szCs w:val="21"/>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9</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38"/>
              <w:ind w:leftChars="-133" w:hanging="279" w:hangingChars="133"/>
              <w:jc w:val="center"/>
              <w:rPr>
                <w:rFonts w:ascii="宋体" w:hAnsi="宋体" w:cs="宋体"/>
                <w:szCs w:val="21"/>
              </w:rPr>
            </w:pPr>
            <w:r>
              <w:rPr>
                <w:rFonts w:hint="eastAsia" w:ascii="宋体" w:hAnsi="宋体" w:cs="宋体"/>
                <w:szCs w:val="21"/>
              </w:rPr>
              <w:t>**</w:t>
            </w:r>
            <w:r>
              <w:rPr>
                <w:rFonts w:ascii="宋体" w:hAnsi="宋体" w:cs="宋体"/>
                <w:szCs w:val="21"/>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10</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135"/>
              <w:ind w:leftChars="-133" w:hanging="279" w:hangingChars="133"/>
              <w:jc w:val="center"/>
              <w:rPr>
                <w:rFonts w:ascii="宋体" w:hAnsi="宋体" w:cs="宋体"/>
                <w:szCs w:val="21"/>
              </w:rPr>
            </w:pPr>
            <w:r>
              <w:rPr>
                <w:rFonts w:hint="eastAsia" w:ascii="宋体" w:hAnsi="宋体" w:cs="宋体"/>
                <w:szCs w:val="21"/>
              </w:rPr>
              <w:t>……</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11</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123"/>
              <w:ind w:leftChars="-133" w:hanging="279" w:hangingChars="133"/>
              <w:jc w:val="center"/>
              <w:rPr>
                <w:rFonts w:ascii="宋体" w:hAnsi="宋体" w:cs="宋体"/>
                <w:szCs w:val="21"/>
              </w:rPr>
            </w:pPr>
            <w:r>
              <w:rPr>
                <w:rFonts w:hint="eastAsia" w:ascii="宋体" w:hAnsi="宋体" w:cs="宋体"/>
                <w:szCs w:val="21"/>
              </w:rPr>
              <w:t>……</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12</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120"/>
              <w:ind w:leftChars="-133" w:hanging="279" w:hangingChars="133"/>
              <w:jc w:val="center"/>
              <w:rPr>
                <w:rFonts w:ascii="宋体" w:hAnsi="宋体" w:cs="宋体"/>
                <w:szCs w:val="21"/>
              </w:rPr>
            </w:pPr>
            <w:r>
              <w:rPr>
                <w:rFonts w:hint="eastAsia" w:ascii="宋体" w:hAnsi="宋体" w:cs="宋体"/>
                <w:szCs w:val="21"/>
              </w:rPr>
              <w:t>……</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0" w:type="dxa"/>
            <w:bottom w:w="0" w:type="dxa"/>
            <w:right w:w="0" w:type="dxa"/>
          </w:tblCellMar>
        </w:tblPrEx>
        <w:trPr>
          <w:trHeight w:val="492" w:hRule="exact"/>
        </w:trPr>
        <w:tc>
          <w:tcPr>
            <w:tcW w:w="3710" w:type="dxa"/>
            <w:gridSpan w:val="2"/>
            <w:tcBorders>
              <w:top w:val="single" w:color="000000" w:sz="4" w:space="0"/>
              <w:left w:val="single" w:color="000000" w:sz="4" w:space="0"/>
              <w:bottom w:val="single" w:color="000000" w:sz="4" w:space="0"/>
              <w:right w:val="single" w:color="000000" w:sz="4" w:space="0"/>
            </w:tcBorders>
            <w:vAlign w:val="center"/>
          </w:tcPr>
          <w:p>
            <w:pPr>
              <w:pStyle w:val="72"/>
              <w:spacing w:before="53"/>
              <w:ind w:right="98"/>
              <w:jc w:val="center"/>
              <w:rPr>
                <w:rFonts w:ascii="宋体" w:hAnsi="宋体" w:cs="宋体"/>
                <w:szCs w:val="21"/>
              </w:rPr>
            </w:pPr>
            <w:r>
              <w:rPr>
                <w:rFonts w:ascii="宋体" w:hAnsi="宋体" w:cs="宋体"/>
                <w:szCs w:val="21"/>
              </w:rPr>
              <w:t>合计 （元）</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bl>
    <w:p>
      <w:pPr>
        <w:sectPr>
          <w:pgSz w:w="16840" w:h="11910" w:orient="landscape"/>
          <w:pgMar w:top="1300" w:right="960" w:bottom="1400" w:left="1460" w:header="1017" w:footer="1219" w:gutter="0"/>
          <w:cols w:space="720" w:num="1"/>
        </w:sectPr>
      </w:pPr>
    </w:p>
    <w:p>
      <w:pPr>
        <w:spacing w:before="11"/>
        <w:rPr>
          <w:rFonts w:ascii="宋体" w:hAnsi="宋体" w:cs="宋体"/>
          <w:sz w:val="17"/>
          <w:szCs w:val="17"/>
        </w:rPr>
      </w:pPr>
    </w:p>
    <w:p>
      <w:pPr>
        <w:tabs>
          <w:tab w:val="left" w:pos="5827"/>
        </w:tabs>
        <w:spacing w:before="4" w:after="27"/>
        <w:ind w:left="4944"/>
        <w:rPr>
          <w:rFonts w:eastAsia="黑体"/>
          <w:b/>
          <w:kern w:val="0"/>
          <w:sz w:val="30"/>
          <w:szCs w:val="30"/>
        </w:rPr>
      </w:pPr>
      <w:r>
        <w:rPr>
          <w:rFonts w:hint="eastAsia" w:eastAsia="黑体"/>
          <w:b/>
          <w:kern w:val="0"/>
          <w:sz w:val="30"/>
          <w:szCs w:val="30"/>
        </w:rPr>
        <w:t>表 3</w:t>
      </w:r>
      <w:r>
        <w:rPr>
          <w:rFonts w:hint="eastAsia" w:eastAsia="黑体"/>
          <w:b/>
          <w:kern w:val="0"/>
          <w:sz w:val="30"/>
          <w:szCs w:val="30"/>
        </w:rPr>
        <w:tab/>
      </w:r>
      <w:r>
        <w:rPr>
          <w:rFonts w:hint="eastAsia" w:eastAsia="黑体"/>
          <w:b/>
          <w:kern w:val="0"/>
          <w:sz w:val="30"/>
          <w:szCs w:val="30"/>
        </w:rPr>
        <w:t>监理工程师办公设施费报价表</w:t>
      </w:r>
    </w:p>
    <w:tbl>
      <w:tblPr>
        <w:tblStyle w:val="30"/>
        <w:tblW w:w="0" w:type="auto"/>
        <w:tblInd w:w="125" w:type="dxa"/>
        <w:tblLayout w:type="fixed"/>
        <w:tblCellMar>
          <w:top w:w="0" w:type="dxa"/>
          <w:left w:w="0" w:type="dxa"/>
          <w:bottom w:w="0" w:type="dxa"/>
          <w:right w:w="0" w:type="dxa"/>
        </w:tblCellMar>
      </w:tblPr>
      <w:tblGrid>
        <w:gridCol w:w="648"/>
        <w:gridCol w:w="1102"/>
        <w:gridCol w:w="782"/>
        <w:gridCol w:w="1190"/>
        <w:gridCol w:w="1001"/>
        <w:gridCol w:w="1051"/>
        <w:gridCol w:w="1848"/>
        <w:gridCol w:w="1289"/>
        <w:gridCol w:w="986"/>
        <w:gridCol w:w="1145"/>
        <w:gridCol w:w="1082"/>
        <w:gridCol w:w="1080"/>
        <w:gridCol w:w="1303"/>
      </w:tblGrid>
      <w:tr>
        <w:tblPrEx>
          <w:tblCellMar>
            <w:top w:w="0" w:type="dxa"/>
            <w:left w:w="0" w:type="dxa"/>
            <w:bottom w:w="0" w:type="dxa"/>
            <w:right w:w="0" w:type="dxa"/>
          </w:tblCellMar>
        </w:tblPrEx>
        <w:trPr>
          <w:trHeight w:val="452" w:hRule="exact"/>
        </w:trPr>
        <w:tc>
          <w:tcPr>
            <w:tcW w:w="648" w:type="dxa"/>
            <w:vMerge w:val="restart"/>
            <w:tcBorders>
              <w:top w:val="single" w:color="000000" w:sz="8" w:space="0"/>
              <w:left w:val="single" w:color="000000" w:sz="8" w:space="0"/>
              <w:right w:val="single" w:color="000000" w:sz="4" w:space="0"/>
            </w:tcBorders>
            <w:vAlign w:val="center"/>
          </w:tcPr>
          <w:p>
            <w:pPr>
              <w:pStyle w:val="72"/>
              <w:spacing w:before="131"/>
              <w:jc w:val="center"/>
              <w:rPr>
                <w:rFonts w:ascii="Arial" w:hAnsi="Arial" w:eastAsia="Arial" w:cs="Arial"/>
              </w:rPr>
            </w:pPr>
            <w:r>
              <w:rPr>
                <w:rFonts w:hint="eastAsia" w:ascii="宋体" w:hAnsi="宋体" w:cs="宋体"/>
                <w:sz w:val="23"/>
                <w:szCs w:val="23"/>
              </w:rPr>
              <w:t>序号</w:t>
            </w:r>
          </w:p>
        </w:tc>
        <w:tc>
          <w:tcPr>
            <w:tcW w:w="6974" w:type="dxa"/>
            <w:gridSpan w:val="6"/>
            <w:tcBorders>
              <w:top w:val="single" w:color="000000" w:sz="8" w:space="0"/>
              <w:left w:val="single" w:color="000000" w:sz="4" w:space="0"/>
              <w:bottom w:val="single" w:color="000000" w:sz="2" w:space="0"/>
              <w:right w:val="single" w:color="000000" w:sz="4" w:space="0"/>
            </w:tcBorders>
            <w:vAlign w:val="center"/>
          </w:tcPr>
          <w:p>
            <w:pPr>
              <w:pStyle w:val="72"/>
              <w:spacing w:before="112"/>
              <w:ind w:left="4"/>
              <w:jc w:val="center"/>
              <w:rPr>
                <w:rFonts w:ascii="宋体" w:hAnsi="宋体" w:cs="宋体"/>
              </w:rPr>
            </w:pPr>
            <w:r>
              <w:rPr>
                <w:rFonts w:ascii="宋体" w:hAnsi="宋体" w:cs="宋体"/>
              </w:rPr>
              <w:t>施工期</w:t>
            </w:r>
          </w:p>
        </w:tc>
        <w:tc>
          <w:tcPr>
            <w:tcW w:w="6885" w:type="dxa"/>
            <w:gridSpan w:val="6"/>
            <w:tcBorders>
              <w:top w:val="single" w:color="000000" w:sz="8" w:space="0"/>
              <w:left w:val="single" w:color="000000" w:sz="4" w:space="0"/>
              <w:bottom w:val="single" w:color="000000" w:sz="2" w:space="0"/>
              <w:right w:val="single" w:color="000000" w:sz="8" w:space="0"/>
            </w:tcBorders>
            <w:vAlign w:val="center"/>
          </w:tcPr>
          <w:p>
            <w:pPr>
              <w:pStyle w:val="72"/>
              <w:spacing w:before="117"/>
              <w:ind w:right="7"/>
              <w:jc w:val="center"/>
              <w:rPr>
                <w:rFonts w:ascii="宋体" w:hAnsi="宋体" w:cs="宋体"/>
              </w:rPr>
            </w:pPr>
            <w:r>
              <w:rPr>
                <w:rFonts w:ascii="宋体" w:hAnsi="宋体" w:cs="宋体"/>
              </w:rPr>
              <w:t>缺陷责任期</w:t>
            </w:r>
          </w:p>
        </w:tc>
      </w:tr>
      <w:tr>
        <w:tblPrEx>
          <w:tblCellMar>
            <w:top w:w="0" w:type="dxa"/>
            <w:left w:w="0" w:type="dxa"/>
            <w:bottom w:w="0" w:type="dxa"/>
            <w:right w:w="0" w:type="dxa"/>
          </w:tblCellMar>
        </w:tblPrEx>
        <w:trPr>
          <w:trHeight w:val="1084" w:hRule="exact"/>
        </w:trPr>
        <w:tc>
          <w:tcPr>
            <w:tcW w:w="648" w:type="dxa"/>
            <w:vMerge w:val="continue"/>
            <w:tcBorders>
              <w:left w:val="single" w:color="000000" w:sz="8" w:space="0"/>
              <w:bottom w:val="single" w:color="000000" w:sz="4" w:space="0"/>
              <w:right w:val="single" w:color="000000" w:sz="4" w:space="0"/>
            </w:tcBorders>
            <w:vAlign w:val="center"/>
          </w:tcPr>
          <w:p>
            <w:pPr>
              <w:jc w:val="center"/>
            </w:pPr>
          </w:p>
        </w:tc>
        <w:tc>
          <w:tcPr>
            <w:tcW w:w="1102" w:type="dxa"/>
            <w:tcBorders>
              <w:top w:val="single" w:color="000000" w:sz="2" w:space="0"/>
              <w:left w:val="single" w:color="000000" w:sz="4" w:space="0"/>
              <w:bottom w:val="single" w:color="000000" w:sz="4" w:space="0"/>
              <w:right w:val="single" w:color="000000" w:sz="4" w:space="0"/>
            </w:tcBorders>
            <w:vAlign w:val="center"/>
          </w:tcPr>
          <w:p>
            <w:pPr>
              <w:pStyle w:val="72"/>
              <w:spacing w:before="3"/>
              <w:jc w:val="center"/>
              <w:rPr>
                <w:rFonts w:ascii="宋体" w:hAnsi="宋体" w:cs="宋体"/>
                <w:szCs w:val="21"/>
              </w:rPr>
            </w:pPr>
          </w:p>
          <w:p>
            <w:pPr>
              <w:pStyle w:val="72"/>
              <w:spacing w:line="336" w:lineRule="auto"/>
              <w:ind w:left="314" w:right="178" w:hanging="125"/>
              <w:jc w:val="center"/>
              <w:rPr>
                <w:rFonts w:ascii="宋体" w:hAnsi="宋体" w:cs="宋体"/>
              </w:rPr>
            </w:pPr>
            <w:r>
              <w:rPr>
                <w:rFonts w:ascii="宋体" w:hAnsi="宋体" w:cs="宋体"/>
              </w:rPr>
              <w:t>名称及 型号</w:t>
            </w:r>
          </w:p>
        </w:tc>
        <w:tc>
          <w:tcPr>
            <w:tcW w:w="782" w:type="dxa"/>
            <w:tcBorders>
              <w:top w:val="single" w:color="000000" w:sz="2" w:space="0"/>
              <w:left w:val="single" w:color="000000" w:sz="4" w:space="0"/>
              <w:bottom w:val="single" w:color="000000" w:sz="4" w:space="0"/>
              <w:right w:val="single" w:color="000000" w:sz="4" w:space="0"/>
            </w:tcBorders>
            <w:vAlign w:val="center"/>
          </w:tcPr>
          <w:p>
            <w:pPr>
              <w:pStyle w:val="72"/>
              <w:spacing w:before="192"/>
              <w:ind w:right="139"/>
              <w:jc w:val="center"/>
              <w:rPr>
                <w:rFonts w:ascii="宋体" w:hAnsi="宋体" w:cs="宋体"/>
              </w:rPr>
            </w:pPr>
            <w:r>
              <w:rPr>
                <w:rFonts w:ascii="宋体" w:hAnsi="宋体" w:cs="宋体"/>
              </w:rPr>
              <w:t>数量</w:t>
            </w:r>
          </w:p>
        </w:tc>
        <w:tc>
          <w:tcPr>
            <w:tcW w:w="1190" w:type="dxa"/>
            <w:tcBorders>
              <w:top w:val="single" w:color="000000" w:sz="2" w:space="0"/>
              <w:left w:val="single" w:color="000000" w:sz="4" w:space="0"/>
              <w:bottom w:val="single" w:color="000000" w:sz="4" w:space="0"/>
              <w:right w:val="single" w:color="000000" w:sz="4" w:space="0"/>
            </w:tcBorders>
            <w:vAlign w:val="center"/>
          </w:tcPr>
          <w:p>
            <w:pPr>
              <w:pStyle w:val="72"/>
              <w:spacing w:before="3"/>
              <w:jc w:val="center"/>
              <w:rPr>
                <w:rFonts w:ascii="宋体" w:hAnsi="宋体" w:cs="宋体"/>
                <w:szCs w:val="21"/>
              </w:rPr>
            </w:pPr>
          </w:p>
          <w:p>
            <w:pPr>
              <w:pStyle w:val="72"/>
              <w:ind w:right="15"/>
              <w:jc w:val="center"/>
              <w:rPr>
                <w:rFonts w:ascii="宋体" w:hAnsi="宋体" w:cs="宋体"/>
              </w:rPr>
            </w:pPr>
            <w:r>
              <w:rPr>
                <w:rFonts w:ascii="宋体" w:hAnsi="宋体" w:cs="宋体"/>
              </w:rPr>
              <w:t>购置合价</w:t>
            </w:r>
          </w:p>
          <w:p>
            <w:pPr>
              <w:pStyle w:val="72"/>
              <w:spacing w:before="57"/>
              <w:ind w:left="17"/>
              <w:jc w:val="center"/>
              <w:rPr>
                <w:rFonts w:ascii="宋体" w:hAnsi="宋体" w:cs="宋体"/>
              </w:rPr>
            </w:pPr>
            <w:r>
              <w:rPr>
                <w:rFonts w:hint="eastAsia" w:ascii="宋体" w:hAnsi="宋体" w:cs="宋体"/>
              </w:rPr>
              <w:t>(</w:t>
            </w:r>
            <w:r>
              <w:rPr>
                <w:rFonts w:ascii="宋体" w:hAnsi="宋体" w:cs="宋体"/>
              </w:rPr>
              <w:t>元</w:t>
            </w:r>
            <w:r>
              <w:rPr>
                <w:rFonts w:hint="eastAsia" w:ascii="宋体" w:hAnsi="宋体" w:cs="宋体"/>
              </w:rPr>
              <w:t>)</w:t>
            </w:r>
          </w:p>
        </w:tc>
        <w:tc>
          <w:tcPr>
            <w:tcW w:w="1001" w:type="dxa"/>
            <w:tcBorders>
              <w:top w:val="single" w:color="000000" w:sz="2" w:space="0"/>
              <w:left w:val="single" w:color="000000" w:sz="4" w:space="0"/>
              <w:bottom w:val="single" w:color="000000" w:sz="4" w:space="0"/>
              <w:right w:val="single" w:color="000000" w:sz="4" w:space="0"/>
            </w:tcBorders>
            <w:vAlign w:val="center"/>
          </w:tcPr>
          <w:p>
            <w:pPr>
              <w:pStyle w:val="72"/>
              <w:spacing w:before="8"/>
              <w:jc w:val="center"/>
              <w:rPr>
                <w:rFonts w:ascii="宋体" w:hAnsi="宋体" w:cs="宋体"/>
                <w:szCs w:val="21"/>
              </w:rPr>
            </w:pPr>
          </w:p>
          <w:p>
            <w:pPr>
              <w:pStyle w:val="72"/>
              <w:ind w:right="2"/>
              <w:jc w:val="center"/>
              <w:rPr>
                <w:rFonts w:ascii="宋体" w:hAnsi="宋体" w:cs="宋体"/>
              </w:rPr>
            </w:pPr>
            <w:r>
              <w:rPr>
                <w:rFonts w:ascii="宋体" w:hAnsi="宋体" w:cs="宋体"/>
              </w:rPr>
              <w:t>折旧费</w:t>
            </w:r>
          </w:p>
          <w:p>
            <w:pPr>
              <w:pStyle w:val="72"/>
              <w:spacing w:before="48"/>
              <w:ind w:left="8"/>
              <w:jc w:val="center"/>
              <w:rPr>
                <w:rFonts w:ascii="宋体" w:hAnsi="宋体" w:cs="宋体"/>
              </w:rPr>
            </w:pPr>
            <w:r>
              <w:rPr>
                <w:rFonts w:hint="eastAsia" w:ascii="宋体" w:hAnsi="宋体" w:cs="宋体"/>
              </w:rPr>
              <w:t>(</w:t>
            </w:r>
            <w:r>
              <w:rPr>
                <w:rFonts w:ascii="宋体" w:hAnsi="宋体" w:cs="宋体"/>
              </w:rPr>
              <w:t>元</w:t>
            </w:r>
            <w:r>
              <w:rPr>
                <w:rFonts w:hint="eastAsia" w:ascii="宋体" w:hAnsi="宋体" w:cs="宋体"/>
              </w:rPr>
              <w:t>)</w:t>
            </w:r>
          </w:p>
        </w:tc>
        <w:tc>
          <w:tcPr>
            <w:tcW w:w="1051" w:type="dxa"/>
            <w:tcBorders>
              <w:top w:val="single" w:color="000000" w:sz="2" w:space="0"/>
              <w:left w:val="single" w:color="000000" w:sz="4" w:space="0"/>
              <w:bottom w:val="single" w:color="000000" w:sz="4" w:space="0"/>
              <w:right w:val="single" w:color="000000" w:sz="4" w:space="0"/>
            </w:tcBorders>
            <w:vAlign w:val="center"/>
          </w:tcPr>
          <w:p>
            <w:pPr>
              <w:pStyle w:val="72"/>
              <w:spacing w:before="3"/>
              <w:jc w:val="center"/>
              <w:rPr>
                <w:rFonts w:ascii="宋体" w:hAnsi="宋体" w:cs="宋体"/>
                <w:szCs w:val="21"/>
              </w:rPr>
            </w:pPr>
          </w:p>
          <w:p>
            <w:pPr>
              <w:pStyle w:val="72"/>
              <w:ind w:right="5"/>
              <w:jc w:val="center"/>
              <w:rPr>
                <w:rFonts w:ascii="宋体" w:hAnsi="宋体" w:cs="宋体"/>
              </w:rPr>
            </w:pPr>
            <w:r>
              <w:rPr>
                <w:rFonts w:ascii="宋体" w:hAnsi="宋体" w:cs="宋体"/>
              </w:rPr>
              <w:t>使用费</w:t>
            </w:r>
          </w:p>
          <w:p>
            <w:pPr>
              <w:pStyle w:val="72"/>
              <w:spacing w:before="57"/>
              <w:ind w:left="8"/>
              <w:jc w:val="center"/>
              <w:rPr>
                <w:rFonts w:ascii="宋体" w:hAnsi="宋体" w:cs="宋体"/>
              </w:rPr>
            </w:pPr>
            <w:r>
              <w:rPr>
                <w:rFonts w:hint="eastAsia" w:ascii="宋体" w:hAnsi="宋体" w:cs="宋体"/>
              </w:rPr>
              <w:t>(</w:t>
            </w:r>
            <w:r>
              <w:rPr>
                <w:rFonts w:ascii="宋体" w:hAnsi="宋体" w:cs="宋体"/>
              </w:rPr>
              <w:t>元</w:t>
            </w:r>
            <w:r>
              <w:rPr>
                <w:rFonts w:hint="eastAsia" w:ascii="宋体" w:hAnsi="宋体" w:cs="宋体"/>
              </w:rPr>
              <w:t>)</w:t>
            </w:r>
          </w:p>
        </w:tc>
        <w:tc>
          <w:tcPr>
            <w:tcW w:w="1848" w:type="dxa"/>
            <w:tcBorders>
              <w:top w:val="single" w:color="000000" w:sz="2" w:space="0"/>
              <w:left w:val="single" w:color="000000" w:sz="4" w:space="0"/>
              <w:bottom w:val="single" w:color="000000" w:sz="4" w:space="0"/>
              <w:right w:val="single" w:color="000000" w:sz="4" w:space="0"/>
            </w:tcBorders>
            <w:vAlign w:val="center"/>
          </w:tcPr>
          <w:p>
            <w:pPr>
              <w:pStyle w:val="72"/>
              <w:tabs>
                <w:tab w:val="left" w:pos="685"/>
              </w:tabs>
              <w:ind w:left="199" w:right="209" w:firstLine="11"/>
              <w:jc w:val="center"/>
              <w:rPr>
                <w:rFonts w:ascii="宋体" w:hAnsi="宋体" w:cs="宋体"/>
              </w:rPr>
            </w:pPr>
            <w:r>
              <w:rPr>
                <w:rFonts w:ascii="宋体" w:hAnsi="宋体" w:cs="宋体"/>
              </w:rPr>
              <w:t>小</w:t>
            </w:r>
            <w:r>
              <w:rPr>
                <w:rFonts w:ascii="宋体" w:hAnsi="宋体" w:cs="宋体"/>
              </w:rPr>
              <w:tab/>
            </w:r>
            <w:r>
              <w:rPr>
                <w:rFonts w:ascii="宋体" w:hAnsi="宋体" w:cs="宋体"/>
              </w:rPr>
              <w:t>计</w:t>
            </w:r>
          </w:p>
          <w:p>
            <w:pPr>
              <w:pStyle w:val="72"/>
              <w:tabs>
                <w:tab w:val="left" w:pos="685"/>
              </w:tabs>
              <w:ind w:left="199" w:right="209" w:firstLine="11"/>
              <w:jc w:val="center"/>
              <w:rPr>
                <w:rFonts w:ascii="宋体" w:hAnsi="宋体" w:cs="宋体"/>
              </w:rPr>
            </w:pPr>
            <w:r>
              <w:rPr>
                <w:rFonts w:ascii="宋体" w:hAnsi="宋体" w:cs="宋体"/>
              </w:rPr>
              <w:t>折旧及使用费</w:t>
            </w:r>
          </w:p>
          <w:p>
            <w:pPr>
              <w:pStyle w:val="72"/>
              <w:ind w:right="1"/>
              <w:jc w:val="center"/>
              <w:rPr>
                <w:rFonts w:ascii="宋体" w:hAnsi="宋体" w:cs="宋体"/>
              </w:rPr>
            </w:pPr>
            <w:r>
              <w:rPr>
                <w:rFonts w:hint="eastAsia" w:ascii="宋体" w:hAnsi="宋体" w:cs="宋体"/>
              </w:rPr>
              <w:t>(</w:t>
            </w:r>
            <w:r>
              <w:rPr>
                <w:rFonts w:ascii="宋体" w:hAnsi="宋体" w:cs="宋体"/>
              </w:rPr>
              <w:t>元</w:t>
            </w:r>
            <w:r>
              <w:rPr>
                <w:rFonts w:hint="eastAsia" w:ascii="宋体" w:hAnsi="宋体" w:cs="宋体"/>
              </w:rPr>
              <w:t>)</w:t>
            </w:r>
          </w:p>
        </w:tc>
        <w:tc>
          <w:tcPr>
            <w:tcW w:w="1289" w:type="dxa"/>
            <w:tcBorders>
              <w:top w:val="single" w:color="000000" w:sz="2" w:space="0"/>
              <w:left w:val="single" w:color="000000" w:sz="4" w:space="0"/>
              <w:bottom w:val="single" w:color="000000" w:sz="4" w:space="0"/>
              <w:right w:val="single" w:color="000000" w:sz="4" w:space="0"/>
            </w:tcBorders>
            <w:vAlign w:val="center"/>
          </w:tcPr>
          <w:p>
            <w:pPr>
              <w:pStyle w:val="72"/>
              <w:spacing w:before="3"/>
              <w:jc w:val="center"/>
              <w:rPr>
                <w:rFonts w:ascii="宋体" w:hAnsi="宋体" w:cs="宋体"/>
                <w:szCs w:val="21"/>
              </w:rPr>
            </w:pPr>
          </w:p>
          <w:p>
            <w:pPr>
              <w:pStyle w:val="72"/>
              <w:spacing w:line="336" w:lineRule="auto"/>
              <w:ind w:left="520" w:right="167" w:hanging="360"/>
              <w:jc w:val="center"/>
              <w:rPr>
                <w:rFonts w:ascii="宋体" w:hAnsi="宋体" w:cs="宋体"/>
              </w:rPr>
            </w:pPr>
            <w:r>
              <w:rPr>
                <w:rFonts w:ascii="宋体" w:hAnsi="宋体" w:cs="宋体"/>
              </w:rPr>
              <w:t>名称及</w:t>
            </w:r>
          </w:p>
          <w:p>
            <w:pPr>
              <w:pStyle w:val="72"/>
              <w:spacing w:line="336" w:lineRule="auto"/>
              <w:ind w:left="520" w:right="167" w:hanging="360"/>
              <w:jc w:val="center"/>
              <w:rPr>
                <w:rFonts w:ascii="宋体" w:hAnsi="宋体" w:cs="宋体"/>
              </w:rPr>
            </w:pPr>
            <w:r>
              <w:rPr>
                <w:rFonts w:ascii="宋体" w:hAnsi="宋体" w:cs="宋体"/>
              </w:rPr>
              <w:t>型 号</w:t>
            </w:r>
          </w:p>
        </w:tc>
        <w:tc>
          <w:tcPr>
            <w:tcW w:w="986" w:type="dxa"/>
            <w:tcBorders>
              <w:top w:val="single" w:color="000000" w:sz="2" w:space="0"/>
              <w:left w:val="single" w:color="000000" w:sz="4" w:space="0"/>
              <w:bottom w:val="single" w:color="000000" w:sz="4" w:space="0"/>
              <w:right w:val="single" w:color="000000" w:sz="4" w:space="0"/>
            </w:tcBorders>
            <w:vAlign w:val="center"/>
          </w:tcPr>
          <w:p>
            <w:pPr>
              <w:pStyle w:val="72"/>
              <w:spacing w:before="192"/>
              <w:jc w:val="center"/>
              <w:rPr>
                <w:rFonts w:ascii="宋体" w:hAnsi="宋体" w:cs="宋体"/>
              </w:rPr>
            </w:pPr>
            <w:r>
              <w:rPr>
                <w:rFonts w:ascii="宋体" w:hAnsi="宋体" w:cs="宋体"/>
              </w:rPr>
              <w:t>数量</w:t>
            </w:r>
          </w:p>
        </w:tc>
        <w:tc>
          <w:tcPr>
            <w:tcW w:w="1145" w:type="dxa"/>
            <w:tcBorders>
              <w:top w:val="single" w:color="000000" w:sz="2" w:space="0"/>
              <w:left w:val="single" w:color="000000" w:sz="4" w:space="0"/>
              <w:bottom w:val="single" w:color="000000" w:sz="4" w:space="0"/>
              <w:right w:val="single" w:color="000000" w:sz="4" w:space="0"/>
            </w:tcBorders>
            <w:vAlign w:val="center"/>
          </w:tcPr>
          <w:p>
            <w:pPr>
              <w:pStyle w:val="72"/>
              <w:spacing w:before="3"/>
              <w:jc w:val="center"/>
              <w:rPr>
                <w:rFonts w:ascii="宋体" w:hAnsi="宋体" w:cs="宋体"/>
                <w:szCs w:val="21"/>
              </w:rPr>
            </w:pPr>
          </w:p>
          <w:p>
            <w:pPr>
              <w:pStyle w:val="72"/>
              <w:spacing w:line="280" w:lineRule="auto"/>
              <w:ind w:left="247" w:right="204" w:hanging="44"/>
              <w:jc w:val="center"/>
              <w:rPr>
                <w:rFonts w:ascii="宋体" w:hAnsi="宋体" w:cs="宋体"/>
              </w:rPr>
            </w:pPr>
            <w:r>
              <w:rPr>
                <w:rFonts w:ascii="宋体" w:hAnsi="宋体" w:cs="宋体"/>
              </w:rPr>
              <w:t>购置合 价</w:t>
            </w:r>
            <w:r>
              <w:rPr>
                <w:rFonts w:hint="eastAsia" w:ascii="宋体" w:hAnsi="宋体" w:cs="宋体"/>
              </w:rPr>
              <w:t>(</w:t>
            </w:r>
            <w:r>
              <w:rPr>
                <w:rFonts w:ascii="宋体" w:hAnsi="宋体" w:cs="宋体"/>
              </w:rPr>
              <w:t>元</w:t>
            </w:r>
            <w:r>
              <w:rPr>
                <w:rFonts w:hint="eastAsia" w:ascii="宋体" w:hAnsi="宋体" w:cs="宋体"/>
              </w:rPr>
              <w:t>)</w:t>
            </w:r>
          </w:p>
        </w:tc>
        <w:tc>
          <w:tcPr>
            <w:tcW w:w="1082" w:type="dxa"/>
            <w:tcBorders>
              <w:top w:val="single" w:color="000000" w:sz="2" w:space="0"/>
              <w:left w:val="single" w:color="000000" w:sz="4" w:space="0"/>
              <w:bottom w:val="single" w:color="000000" w:sz="4" w:space="0"/>
              <w:right w:val="single" w:color="000000" w:sz="4" w:space="0"/>
            </w:tcBorders>
            <w:vAlign w:val="center"/>
          </w:tcPr>
          <w:p>
            <w:pPr>
              <w:pStyle w:val="72"/>
              <w:spacing w:before="8"/>
              <w:jc w:val="center"/>
              <w:rPr>
                <w:rFonts w:ascii="宋体" w:hAnsi="宋体" w:cs="宋体"/>
                <w:szCs w:val="21"/>
              </w:rPr>
            </w:pPr>
          </w:p>
          <w:p>
            <w:pPr>
              <w:pStyle w:val="72"/>
              <w:ind w:right="8"/>
              <w:jc w:val="center"/>
              <w:rPr>
                <w:rFonts w:ascii="宋体" w:hAnsi="宋体" w:cs="宋体"/>
              </w:rPr>
            </w:pPr>
            <w:r>
              <w:rPr>
                <w:rFonts w:ascii="宋体" w:hAnsi="宋体" w:cs="宋体"/>
              </w:rPr>
              <w:t>折旧费</w:t>
            </w:r>
          </w:p>
          <w:p>
            <w:pPr>
              <w:pStyle w:val="72"/>
              <w:spacing w:before="48"/>
              <w:jc w:val="center"/>
              <w:rPr>
                <w:rFonts w:ascii="宋体" w:hAnsi="宋体" w:cs="宋体"/>
              </w:rPr>
            </w:pPr>
            <w:r>
              <w:rPr>
                <w:rFonts w:hint="eastAsia" w:ascii="宋体" w:hAnsi="宋体" w:cs="宋体"/>
              </w:rPr>
              <w:t>(</w:t>
            </w:r>
            <w:r>
              <w:rPr>
                <w:rFonts w:ascii="宋体" w:hAnsi="宋体" w:cs="宋体"/>
              </w:rPr>
              <w:t>元</w:t>
            </w:r>
            <w:r>
              <w:rPr>
                <w:rFonts w:hint="eastAsia" w:ascii="宋体" w:hAnsi="宋体" w:cs="宋体"/>
              </w:rPr>
              <w:t>)</w:t>
            </w:r>
          </w:p>
        </w:tc>
        <w:tc>
          <w:tcPr>
            <w:tcW w:w="1080" w:type="dxa"/>
            <w:tcBorders>
              <w:top w:val="single" w:color="000000" w:sz="2" w:space="0"/>
              <w:left w:val="single" w:color="000000" w:sz="4" w:space="0"/>
              <w:bottom w:val="single" w:color="000000" w:sz="4" w:space="0"/>
              <w:right w:val="single" w:color="000000" w:sz="4" w:space="0"/>
            </w:tcBorders>
            <w:vAlign w:val="center"/>
          </w:tcPr>
          <w:p>
            <w:pPr>
              <w:pStyle w:val="72"/>
              <w:spacing w:before="3"/>
              <w:jc w:val="center"/>
              <w:rPr>
                <w:rFonts w:ascii="宋体" w:hAnsi="宋体" w:cs="宋体"/>
                <w:szCs w:val="21"/>
              </w:rPr>
            </w:pPr>
          </w:p>
          <w:p>
            <w:pPr>
              <w:pStyle w:val="72"/>
              <w:jc w:val="center"/>
              <w:rPr>
                <w:rFonts w:ascii="宋体" w:hAnsi="宋体" w:cs="宋体"/>
              </w:rPr>
            </w:pPr>
            <w:r>
              <w:rPr>
                <w:rFonts w:ascii="宋体" w:hAnsi="宋体" w:cs="宋体"/>
              </w:rPr>
              <w:t>使用费</w:t>
            </w:r>
          </w:p>
          <w:p>
            <w:pPr>
              <w:pStyle w:val="72"/>
              <w:spacing w:before="53"/>
              <w:ind w:right="1"/>
              <w:jc w:val="center"/>
              <w:rPr>
                <w:rFonts w:ascii="宋体" w:hAnsi="宋体" w:cs="宋体"/>
              </w:rPr>
            </w:pPr>
            <w:r>
              <w:rPr>
                <w:rFonts w:hint="eastAsia" w:ascii="宋体" w:hAnsi="宋体" w:cs="宋体"/>
              </w:rPr>
              <w:t>(</w:t>
            </w:r>
            <w:r>
              <w:rPr>
                <w:rFonts w:ascii="宋体" w:hAnsi="宋体" w:cs="宋体"/>
              </w:rPr>
              <w:t>元</w:t>
            </w:r>
            <w:r>
              <w:rPr>
                <w:rFonts w:hint="eastAsia" w:ascii="宋体" w:hAnsi="宋体" w:cs="宋体"/>
              </w:rPr>
              <w:t>)</w:t>
            </w:r>
          </w:p>
        </w:tc>
        <w:tc>
          <w:tcPr>
            <w:tcW w:w="1303" w:type="dxa"/>
            <w:tcBorders>
              <w:top w:val="single" w:color="000000" w:sz="2" w:space="0"/>
              <w:left w:val="single" w:color="000000" w:sz="4" w:space="0"/>
              <w:bottom w:val="single" w:color="000000" w:sz="4" w:space="0"/>
              <w:right w:val="single" w:color="000000" w:sz="8" w:space="0"/>
            </w:tcBorders>
            <w:vAlign w:val="center"/>
          </w:tcPr>
          <w:p>
            <w:pPr>
              <w:pStyle w:val="72"/>
              <w:tabs>
                <w:tab w:val="left" w:pos="685"/>
              </w:tabs>
              <w:ind w:left="199" w:right="209" w:firstLine="11"/>
              <w:jc w:val="center"/>
              <w:rPr>
                <w:rFonts w:ascii="宋体" w:hAnsi="宋体" w:cs="宋体"/>
              </w:rPr>
            </w:pPr>
            <w:r>
              <w:rPr>
                <w:rFonts w:ascii="宋体" w:hAnsi="宋体" w:cs="宋体"/>
              </w:rPr>
              <w:t>小</w:t>
            </w:r>
            <w:r>
              <w:rPr>
                <w:rFonts w:ascii="宋体" w:hAnsi="宋体" w:cs="宋体"/>
              </w:rPr>
              <w:tab/>
            </w:r>
            <w:r>
              <w:rPr>
                <w:rFonts w:ascii="宋体" w:hAnsi="宋体" w:cs="宋体"/>
              </w:rPr>
              <w:t>计</w:t>
            </w:r>
          </w:p>
          <w:p>
            <w:pPr>
              <w:pStyle w:val="72"/>
              <w:tabs>
                <w:tab w:val="left" w:pos="685"/>
              </w:tabs>
              <w:ind w:left="27" w:firstLine="11"/>
              <w:jc w:val="center"/>
              <w:rPr>
                <w:rFonts w:ascii="宋体" w:hAnsi="宋体" w:cs="宋体"/>
              </w:rPr>
            </w:pPr>
            <w:r>
              <w:rPr>
                <w:rFonts w:ascii="宋体" w:hAnsi="宋体" w:cs="宋体"/>
              </w:rPr>
              <w:t>折旧及使用费</w:t>
            </w:r>
            <w:r>
              <w:rPr>
                <w:rFonts w:hint="eastAsia" w:ascii="宋体" w:hAnsi="宋体" w:cs="宋体"/>
              </w:rPr>
              <w:t>(</w:t>
            </w:r>
            <w:r>
              <w:rPr>
                <w:rFonts w:ascii="宋体" w:hAnsi="宋体" w:cs="宋体"/>
              </w:rPr>
              <w:t>元</w:t>
            </w:r>
            <w:r>
              <w:rPr>
                <w:rFonts w:hint="eastAsia" w:ascii="宋体" w:hAnsi="宋体" w:cs="宋体"/>
              </w:rPr>
              <w:t>)</w:t>
            </w: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pPr>
            <w:r>
              <w:rPr>
                <w:rFonts w:hint="eastAsia"/>
              </w:rPr>
              <w:t>1</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03" w:type="dxa"/>
            <w:tcBorders>
              <w:top w:val="single" w:color="000000" w:sz="4" w:space="0"/>
              <w:left w:val="single" w:color="000000" w:sz="4" w:space="0"/>
              <w:bottom w:val="single" w:color="000000" w:sz="4" w:space="0"/>
              <w:right w:val="single" w:color="000000" w:sz="8" w:space="0"/>
            </w:tcBorders>
            <w:vAlign w:val="center"/>
          </w:tcPr>
          <w:p>
            <w:pPr>
              <w:pStyle w:val="72"/>
              <w:tabs>
                <w:tab w:val="left" w:pos="685"/>
              </w:tabs>
              <w:ind w:left="199" w:right="209" w:firstLine="11"/>
              <w:jc w:val="center"/>
              <w:rPr>
                <w:rFonts w:ascii="宋体" w:hAnsi="宋体" w:cs="宋体"/>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pPr>
            <w:r>
              <w:t>2</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pPr>
          </w:p>
        </w:tc>
      </w:tr>
      <w:tr>
        <w:tblPrEx>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pPr>
            <w:r>
              <w:t>3</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pPr>
            <w:r>
              <w:t>4</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pPr>
            <w:r>
              <w:t>5</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pPr>
            <w:r>
              <w:t>6</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pPr>
          </w:p>
        </w:tc>
      </w:tr>
      <w:tr>
        <w:tblPrEx>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pPr>
            <w:r>
              <w:t>7</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pPr>
            <w:r>
              <w:t>8</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pPr>
            <w:r>
              <w:rPr>
                <w:rFonts w:hint="eastAsia"/>
              </w:rPr>
              <w:t>9</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pPr>
          </w:p>
        </w:tc>
      </w:tr>
      <w:tr>
        <w:tblPrEx>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pPr>
            <w:r>
              <w:rPr>
                <w:rFonts w:hint="eastAsia"/>
              </w:rPr>
              <w:t>10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pPr>
          </w:p>
        </w:tc>
      </w:tr>
      <w:tr>
        <w:tblPrEx>
          <w:tblCellMar>
            <w:top w:w="0" w:type="dxa"/>
            <w:left w:w="0" w:type="dxa"/>
            <w:bottom w:w="0" w:type="dxa"/>
            <w:right w:w="0" w:type="dxa"/>
          </w:tblCellMar>
        </w:tblPrEx>
        <w:trPr>
          <w:trHeight w:val="551" w:hRule="exact"/>
        </w:trPr>
        <w:tc>
          <w:tcPr>
            <w:tcW w:w="3722" w:type="dxa"/>
            <w:gridSpan w:val="4"/>
            <w:tcBorders>
              <w:top w:val="single" w:color="000000" w:sz="4" w:space="0"/>
              <w:left w:val="single" w:color="000000" w:sz="8" w:space="0"/>
              <w:bottom w:val="single" w:color="000000" w:sz="8" w:space="0"/>
              <w:right w:val="single" w:color="000000" w:sz="4" w:space="0"/>
            </w:tcBorders>
            <w:vAlign w:val="center"/>
          </w:tcPr>
          <w:p>
            <w:pPr>
              <w:jc w:val="center"/>
            </w:pPr>
            <w:r>
              <w:rPr>
                <w:rFonts w:ascii="宋体" w:hAnsi="宋体" w:cs="宋体"/>
              </w:rPr>
              <w:t>合计（元）</w:t>
            </w:r>
          </w:p>
        </w:tc>
        <w:tc>
          <w:tcPr>
            <w:tcW w:w="1001" w:type="dxa"/>
            <w:tcBorders>
              <w:top w:val="single" w:color="000000" w:sz="4" w:space="0"/>
              <w:left w:val="single" w:color="000000" w:sz="4" w:space="0"/>
              <w:bottom w:val="single" w:color="000000" w:sz="8" w:space="0"/>
              <w:right w:val="single" w:color="000000" w:sz="4" w:space="0"/>
            </w:tcBorders>
            <w:vAlign w:val="center"/>
          </w:tcPr>
          <w:p>
            <w:pPr>
              <w:jc w:val="center"/>
            </w:pPr>
          </w:p>
        </w:tc>
        <w:tc>
          <w:tcPr>
            <w:tcW w:w="1051" w:type="dxa"/>
            <w:tcBorders>
              <w:top w:val="single" w:color="000000" w:sz="4" w:space="0"/>
              <w:left w:val="single" w:color="000000" w:sz="4" w:space="0"/>
              <w:bottom w:val="single" w:color="000000" w:sz="8" w:space="0"/>
              <w:right w:val="single" w:color="000000" w:sz="4" w:space="0"/>
            </w:tcBorders>
            <w:vAlign w:val="center"/>
          </w:tcPr>
          <w:p>
            <w:pPr>
              <w:jc w:val="center"/>
            </w:pPr>
          </w:p>
        </w:tc>
        <w:tc>
          <w:tcPr>
            <w:tcW w:w="1848" w:type="dxa"/>
            <w:tcBorders>
              <w:top w:val="single" w:color="000000" w:sz="4" w:space="0"/>
              <w:left w:val="single" w:color="000000" w:sz="4" w:space="0"/>
              <w:bottom w:val="single" w:color="000000" w:sz="8" w:space="0"/>
              <w:right w:val="single" w:color="000000" w:sz="4" w:space="0"/>
            </w:tcBorders>
            <w:vAlign w:val="center"/>
          </w:tcPr>
          <w:p>
            <w:pPr>
              <w:jc w:val="center"/>
            </w:pPr>
          </w:p>
        </w:tc>
        <w:tc>
          <w:tcPr>
            <w:tcW w:w="3420" w:type="dxa"/>
            <w:gridSpan w:val="3"/>
            <w:tcBorders>
              <w:top w:val="single" w:color="000000" w:sz="4" w:space="0"/>
              <w:left w:val="single" w:color="000000" w:sz="4" w:space="0"/>
              <w:bottom w:val="single" w:color="000000" w:sz="8" w:space="0"/>
              <w:right w:val="single" w:color="000000" w:sz="4" w:space="0"/>
            </w:tcBorders>
            <w:vAlign w:val="center"/>
          </w:tcPr>
          <w:p>
            <w:pPr>
              <w:jc w:val="center"/>
              <w:rPr>
                <w:rFonts w:ascii="宋体" w:hAnsi="宋体" w:cs="宋体"/>
              </w:rPr>
            </w:pPr>
            <w:r>
              <w:rPr>
                <w:rFonts w:ascii="宋体" w:hAnsi="宋体" w:cs="宋体"/>
              </w:rPr>
              <w:t>合计（元）</w:t>
            </w:r>
          </w:p>
        </w:tc>
        <w:tc>
          <w:tcPr>
            <w:tcW w:w="1082" w:type="dxa"/>
            <w:tcBorders>
              <w:top w:val="single" w:color="000000" w:sz="4" w:space="0"/>
              <w:left w:val="single" w:color="000000" w:sz="4" w:space="0"/>
              <w:bottom w:val="single" w:color="000000" w:sz="8" w:space="0"/>
              <w:right w:val="single" w:color="000000" w:sz="4" w:space="0"/>
            </w:tcBorders>
            <w:vAlign w:val="center"/>
          </w:tcPr>
          <w:p>
            <w:pPr>
              <w:jc w:val="center"/>
            </w:pPr>
          </w:p>
        </w:tc>
        <w:tc>
          <w:tcPr>
            <w:tcW w:w="1080" w:type="dxa"/>
            <w:tcBorders>
              <w:top w:val="single" w:color="000000" w:sz="4" w:space="0"/>
              <w:left w:val="single" w:color="000000" w:sz="4" w:space="0"/>
              <w:bottom w:val="single" w:color="000000" w:sz="8" w:space="0"/>
              <w:right w:val="single" w:color="000000" w:sz="4" w:space="0"/>
            </w:tcBorders>
            <w:vAlign w:val="center"/>
          </w:tcPr>
          <w:p>
            <w:pPr>
              <w:jc w:val="center"/>
            </w:pPr>
          </w:p>
        </w:tc>
        <w:tc>
          <w:tcPr>
            <w:tcW w:w="1303" w:type="dxa"/>
            <w:tcBorders>
              <w:top w:val="single" w:color="000000" w:sz="4" w:space="0"/>
              <w:left w:val="single" w:color="000000" w:sz="4" w:space="0"/>
              <w:bottom w:val="single" w:color="000000" w:sz="8" w:space="0"/>
              <w:right w:val="single" w:color="000000" w:sz="8" w:space="0"/>
            </w:tcBorders>
            <w:vAlign w:val="center"/>
          </w:tcPr>
          <w:p>
            <w:pPr>
              <w:jc w:val="center"/>
            </w:pPr>
          </w:p>
        </w:tc>
      </w:tr>
    </w:tbl>
    <w:p>
      <w:pPr>
        <w:sectPr>
          <w:pgSz w:w="16840" w:h="11910" w:orient="landscape"/>
          <w:pgMar w:top="1300" w:right="780" w:bottom="1400" w:left="1080" w:header="1017" w:footer="1219" w:gutter="0"/>
          <w:cols w:space="720" w:num="1"/>
        </w:sectPr>
      </w:pPr>
    </w:p>
    <w:p>
      <w:pPr>
        <w:rPr>
          <w:rFonts w:ascii="宋体" w:hAnsi="宋体" w:cs="宋体"/>
          <w:sz w:val="20"/>
          <w:szCs w:val="20"/>
        </w:rPr>
      </w:pPr>
    </w:p>
    <w:p>
      <w:pPr>
        <w:rPr>
          <w:rFonts w:ascii="宋体" w:hAnsi="宋体" w:cs="宋体"/>
          <w:sz w:val="20"/>
          <w:szCs w:val="20"/>
        </w:rPr>
      </w:pPr>
    </w:p>
    <w:p>
      <w:pPr>
        <w:rPr>
          <w:rFonts w:ascii="宋体" w:hAnsi="宋体" w:cs="宋体"/>
          <w:sz w:val="27"/>
          <w:szCs w:val="27"/>
        </w:rPr>
      </w:pPr>
    </w:p>
    <w:p>
      <w:pPr>
        <w:tabs>
          <w:tab w:val="left" w:pos="5747"/>
        </w:tabs>
        <w:spacing w:before="4" w:after="20"/>
        <w:ind w:left="4864"/>
        <w:rPr>
          <w:rFonts w:eastAsia="黑体"/>
          <w:b/>
          <w:kern w:val="0"/>
          <w:sz w:val="30"/>
          <w:szCs w:val="30"/>
        </w:rPr>
      </w:pPr>
      <w:r>
        <w:rPr>
          <w:rFonts w:hint="eastAsia" w:eastAsia="黑体"/>
          <w:b/>
          <w:kern w:val="0"/>
          <w:sz w:val="30"/>
          <w:szCs w:val="30"/>
        </w:rPr>
        <w:t>表 4</w:t>
      </w:r>
      <w:r>
        <w:rPr>
          <w:rFonts w:hint="eastAsia" w:eastAsia="黑体"/>
          <w:b/>
          <w:kern w:val="0"/>
          <w:sz w:val="30"/>
          <w:szCs w:val="30"/>
        </w:rPr>
        <w:tab/>
      </w:r>
      <w:r>
        <w:rPr>
          <w:rFonts w:hint="eastAsia" w:eastAsia="黑体"/>
          <w:b/>
          <w:kern w:val="0"/>
          <w:sz w:val="30"/>
          <w:szCs w:val="30"/>
        </w:rPr>
        <w:t>监理工程师交通设施费报价表</w:t>
      </w:r>
    </w:p>
    <w:tbl>
      <w:tblPr>
        <w:tblStyle w:val="30"/>
        <w:tblW w:w="0" w:type="auto"/>
        <w:tblInd w:w="134" w:type="dxa"/>
        <w:tblLayout w:type="fixed"/>
        <w:tblCellMar>
          <w:top w:w="0" w:type="dxa"/>
          <w:left w:w="0" w:type="dxa"/>
          <w:bottom w:w="0" w:type="dxa"/>
          <w:right w:w="0" w:type="dxa"/>
        </w:tblCellMar>
      </w:tblPr>
      <w:tblGrid>
        <w:gridCol w:w="576"/>
        <w:gridCol w:w="907"/>
        <w:gridCol w:w="910"/>
        <w:gridCol w:w="907"/>
        <w:gridCol w:w="912"/>
        <w:gridCol w:w="910"/>
        <w:gridCol w:w="907"/>
        <w:gridCol w:w="1634"/>
        <w:gridCol w:w="941"/>
        <w:gridCol w:w="900"/>
        <w:gridCol w:w="842"/>
        <w:gridCol w:w="900"/>
        <w:gridCol w:w="1082"/>
        <w:gridCol w:w="984"/>
        <w:gridCol w:w="1234"/>
      </w:tblGrid>
      <w:tr>
        <w:tblPrEx>
          <w:tblCellMar>
            <w:top w:w="0" w:type="dxa"/>
            <w:left w:w="0" w:type="dxa"/>
            <w:bottom w:w="0" w:type="dxa"/>
            <w:right w:w="0" w:type="dxa"/>
          </w:tblCellMar>
        </w:tblPrEx>
        <w:trPr>
          <w:trHeight w:val="605" w:hRule="exact"/>
        </w:trPr>
        <w:tc>
          <w:tcPr>
            <w:tcW w:w="576" w:type="dxa"/>
            <w:vMerge w:val="restart"/>
            <w:tcBorders>
              <w:top w:val="single" w:color="000000" w:sz="8" w:space="0"/>
              <w:left w:val="single" w:color="000000" w:sz="8" w:space="0"/>
              <w:right w:val="single" w:color="000000" w:sz="4" w:space="0"/>
            </w:tcBorders>
            <w:vAlign w:val="center"/>
          </w:tcPr>
          <w:p>
            <w:pPr>
              <w:pStyle w:val="72"/>
              <w:ind w:left="43" w:right="2"/>
              <w:jc w:val="center"/>
              <w:rPr>
                <w:rFonts w:ascii="宋体" w:hAnsi="宋体" w:cs="宋体"/>
              </w:rPr>
            </w:pPr>
            <w:r>
              <w:rPr>
                <w:rFonts w:ascii="宋体" w:hAnsi="宋体" w:cs="宋体"/>
              </w:rPr>
              <w:t>序号</w:t>
            </w:r>
          </w:p>
        </w:tc>
        <w:tc>
          <w:tcPr>
            <w:tcW w:w="7087" w:type="dxa"/>
            <w:gridSpan w:val="7"/>
            <w:tcBorders>
              <w:top w:val="single" w:color="000000" w:sz="8"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r>
              <w:rPr>
                <w:rFonts w:ascii="宋体" w:hAnsi="宋体" w:cs="宋体"/>
              </w:rPr>
              <w:t>施工期</w:t>
            </w:r>
          </w:p>
        </w:tc>
        <w:tc>
          <w:tcPr>
            <w:tcW w:w="6883" w:type="dxa"/>
            <w:gridSpan w:val="7"/>
            <w:tcBorders>
              <w:top w:val="single" w:color="000000" w:sz="8" w:space="0"/>
              <w:left w:val="single" w:color="000000" w:sz="4" w:space="0"/>
              <w:bottom w:val="single" w:color="000000" w:sz="4" w:space="0"/>
              <w:right w:val="single" w:color="000000" w:sz="8" w:space="0"/>
            </w:tcBorders>
            <w:vAlign w:val="center"/>
          </w:tcPr>
          <w:p>
            <w:pPr>
              <w:pStyle w:val="72"/>
              <w:ind w:right="2"/>
              <w:jc w:val="center"/>
              <w:rPr>
                <w:rFonts w:ascii="宋体" w:hAnsi="宋体" w:cs="宋体"/>
              </w:rPr>
            </w:pPr>
            <w:r>
              <w:rPr>
                <w:rFonts w:ascii="宋体" w:hAnsi="宋体" w:cs="宋体"/>
              </w:rPr>
              <w:t>缺陷责任期</w:t>
            </w:r>
          </w:p>
        </w:tc>
      </w:tr>
      <w:tr>
        <w:tblPrEx>
          <w:tblCellMar>
            <w:top w:w="0" w:type="dxa"/>
            <w:left w:w="0" w:type="dxa"/>
            <w:bottom w:w="0" w:type="dxa"/>
            <w:right w:w="0" w:type="dxa"/>
          </w:tblCellMar>
        </w:tblPrEx>
        <w:trPr>
          <w:trHeight w:val="1219" w:hRule="exact"/>
        </w:trPr>
        <w:tc>
          <w:tcPr>
            <w:tcW w:w="576" w:type="dxa"/>
            <w:vMerge w:val="continue"/>
            <w:tcBorders>
              <w:left w:val="single" w:color="000000" w:sz="8" w:space="0"/>
              <w:bottom w:val="single" w:color="000000" w:sz="4" w:space="0"/>
              <w:right w:val="single" w:color="000000" w:sz="4" w:space="0"/>
            </w:tcBorders>
            <w:vAlign w:val="center"/>
          </w:tcPr>
          <w:p>
            <w:pPr>
              <w:pStyle w:val="72"/>
              <w:ind w:right="2"/>
              <w:jc w:val="center"/>
              <w:rPr>
                <w:rFonts w:ascii="宋体" w:hAnsi="宋体" w:cs="宋体"/>
              </w:rPr>
            </w:pP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72"/>
              <w:ind w:right="2"/>
              <w:rPr>
                <w:rFonts w:ascii="宋体" w:hAnsi="宋体" w:cs="宋体"/>
              </w:rPr>
            </w:pPr>
          </w:p>
          <w:p>
            <w:pPr>
              <w:pStyle w:val="72"/>
              <w:ind w:right="2"/>
              <w:jc w:val="center"/>
              <w:rPr>
                <w:rFonts w:ascii="宋体" w:hAnsi="宋体" w:cs="宋体"/>
              </w:rPr>
            </w:pPr>
            <w:r>
              <w:rPr>
                <w:rFonts w:ascii="宋体" w:hAnsi="宋体" w:cs="宋体"/>
              </w:rPr>
              <w:t>名称及 型号</w:t>
            </w: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p>
            <w:pPr>
              <w:pStyle w:val="72"/>
              <w:ind w:right="2"/>
              <w:jc w:val="center"/>
              <w:rPr>
                <w:rFonts w:ascii="宋体" w:hAnsi="宋体" w:cs="宋体"/>
              </w:rPr>
            </w:pPr>
            <w:r>
              <w:rPr>
                <w:rFonts w:ascii="宋体" w:hAnsi="宋体" w:cs="宋体"/>
              </w:rPr>
              <w:t>数量</w:t>
            </w:r>
          </w:p>
          <w:p>
            <w:pPr>
              <w:pStyle w:val="72"/>
              <w:ind w:right="2"/>
              <w:jc w:val="center"/>
              <w:rPr>
                <w:rFonts w:ascii="宋体" w:hAnsi="宋体" w:cs="宋体"/>
              </w:rPr>
            </w:pPr>
            <w:r>
              <w:rPr>
                <w:rFonts w:ascii="宋体" w:hAnsi="宋体" w:cs="宋体"/>
              </w:rPr>
              <w:t>（辆）</w:t>
            </w: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p>
            <w:pPr>
              <w:pStyle w:val="72"/>
              <w:ind w:right="2"/>
              <w:jc w:val="center"/>
              <w:rPr>
                <w:rFonts w:ascii="宋体" w:hAnsi="宋体" w:cs="宋体"/>
              </w:rPr>
            </w:pPr>
            <w:r>
              <w:rPr>
                <w:rFonts w:ascii="宋体" w:hAnsi="宋体" w:cs="宋体"/>
              </w:rPr>
              <w:t>单价</w:t>
            </w:r>
          </w:p>
          <w:p>
            <w:pPr>
              <w:pStyle w:val="72"/>
              <w:ind w:right="2"/>
              <w:jc w:val="center"/>
              <w:rPr>
                <w:rFonts w:ascii="宋体" w:hAnsi="宋体" w:cs="宋体"/>
              </w:rPr>
            </w:pPr>
            <w:r>
              <w:rPr>
                <w:rFonts w:ascii="宋体" w:hAnsi="宋体" w:cs="宋体"/>
              </w:rPr>
              <w:t>（</w:t>
            </w:r>
            <w:r>
              <w:rPr>
                <w:rFonts w:hint="eastAsia" w:ascii="宋体" w:hAnsi="宋体" w:cs="宋体"/>
              </w:rPr>
              <w:t>元</w:t>
            </w:r>
            <w:r>
              <w:rPr>
                <w:rFonts w:ascii="宋体" w:hAnsi="宋体" w:cs="宋体"/>
              </w:rPr>
              <w:t>）</w:t>
            </w: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p>
            <w:pPr>
              <w:pStyle w:val="72"/>
              <w:ind w:right="2"/>
              <w:jc w:val="center"/>
              <w:rPr>
                <w:rFonts w:ascii="宋体" w:hAnsi="宋体" w:cs="宋体"/>
              </w:rPr>
            </w:pPr>
            <w:r>
              <w:rPr>
                <w:rFonts w:ascii="宋体" w:hAnsi="宋体" w:cs="宋体"/>
              </w:rPr>
              <w:t>合价</w:t>
            </w:r>
          </w:p>
          <w:p>
            <w:pPr>
              <w:pStyle w:val="72"/>
              <w:ind w:right="2"/>
              <w:jc w:val="center"/>
              <w:rPr>
                <w:rFonts w:ascii="宋体" w:hAnsi="宋体" w:cs="宋体"/>
              </w:rPr>
            </w:pPr>
            <w:r>
              <w:rPr>
                <w:rFonts w:ascii="宋体" w:hAnsi="宋体" w:cs="宋体"/>
              </w:rPr>
              <w:t>（</w:t>
            </w:r>
            <w:r>
              <w:rPr>
                <w:rFonts w:hint="eastAsia" w:ascii="宋体" w:hAnsi="宋体" w:cs="宋体"/>
              </w:rPr>
              <w:t>元</w:t>
            </w:r>
            <w:r>
              <w:rPr>
                <w:rFonts w:ascii="宋体" w:hAnsi="宋体" w:cs="宋体"/>
              </w:rPr>
              <w:t>）</w:t>
            </w: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p>
            <w:pPr>
              <w:pStyle w:val="72"/>
              <w:ind w:right="2"/>
              <w:jc w:val="center"/>
              <w:rPr>
                <w:rFonts w:ascii="宋体" w:hAnsi="宋体" w:cs="宋体"/>
              </w:rPr>
            </w:pPr>
            <w:r>
              <w:rPr>
                <w:rFonts w:ascii="宋体" w:hAnsi="宋体" w:cs="宋体"/>
              </w:rPr>
              <w:t>折旧 费（元）</w:t>
            </w: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p>
            <w:pPr>
              <w:pStyle w:val="72"/>
              <w:ind w:right="2"/>
              <w:jc w:val="center"/>
              <w:rPr>
                <w:rFonts w:ascii="宋体" w:hAnsi="宋体" w:cs="宋体"/>
              </w:rPr>
            </w:pPr>
            <w:r>
              <w:rPr>
                <w:rFonts w:ascii="宋体" w:hAnsi="宋体" w:cs="宋体"/>
              </w:rPr>
              <w:t>使用 费（元）</w:t>
            </w:r>
          </w:p>
        </w:tc>
        <w:tc>
          <w:tcPr>
            <w:tcW w:w="1634"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r>
              <w:rPr>
                <w:rFonts w:ascii="宋体" w:hAnsi="宋体" w:cs="宋体"/>
              </w:rPr>
              <w:t xml:space="preserve">小计 </w:t>
            </w:r>
          </w:p>
          <w:p>
            <w:pPr>
              <w:pStyle w:val="72"/>
              <w:ind w:right="2"/>
              <w:jc w:val="center"/>
              <w:rPr>
                <w:rFonts w:ascii="宋体" w:hAnsi="宋体" w:cs="宋体"/>
              </w:rPr>
            </w:pPr>
            <w:r>
              <w:rPr>
                <w:rFonts w:ascii="宋体" w:hAnsi="宋体" w:cs="宋体"/>
              </w:rPr>
              <w:t>折旧及使用费</w:t>
            </w:r>
          </w:p>
          <w:p>
            <w:pPr>
              <w:pStyle w:val="72"/>
              <w:ind w:right="2"/>
              <w:jc w:val="center"/>
              <w:rPr>
                <w:rFonts w:ascii="宋体" w:hAnsi="宋体" w:cs="宋体"/>
              </w:rPr>
            </w:pPr>
            <w:r>
              <w:rPr>
                <w:rFonts w:ascii="宋体" w:hAnsi="宋体" w:cs="宋体"/>
              </w:rPr>
              <w:t>（</w:t>
            </w:r>
            <w:r>
              <w:rPr>
                <w:rFonts w:hint="eastAsia" w:ascii="宋体" w:hAnsi="宋体" w:cs="宋体"/>
              </w:rPr>
              <w:t>元</w:t>
            </w:r>
            <w:r>
              <w:rPr>
                <w:rFonts w:ascii="宋体" w:hAnsi="宋体" w:cs="宋体"/>
              </w:rPr>
              <w:t>）</w:t>
            </w:r>
          </w:p>
        </w:tc>
        <w:tc>
          <w:tcPr>
            <w:tcW w:w="941"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p>
            <w:pPr>
              <w:pStyle w:val="72"/>
              <w:ind w:right="2"/>
              <w:jc w:val="center"/>
              <w:rPr>
                <w:rFonts w:ascii="宋体" w:hAnsi="宋体" w:cs="宋体"/>
              </w:rPr>
            </w:pPr>
            <w:r>
              <w:rPr>
                <w:rFonts w:ascii="宋体" w:hAnsi="宋体" w:cs="宋体"/>
              </w:rPr>
              <w:t>名称及 型号</w:t>
            </w: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p>
            <w:pPr>
              <w:pStyle w:val="72"/>
              <w:ind w:right="2"/>
              <w:jc w:val="center"/>
              <w:rPr>
                <w:rFonts w:ascii="宋体" w:hAnsi="宋体" w:cs="宋体"/>
              </w:rPr>
            </w:pPr>
            <w:r>
              <w:rPr>
                <w:rFonts w:ascii="宋体" w:hAnsi="宋体" w:cs="宋体"/>
              </w:rPr>
              <w:t>数量</w:t>
            </w:r>
          </w:p>
          <w:p>
            <w:pPr>
              <w:pStyle w:val="72"/>
              <w:ind w:right="2"/>
              <w:jc w:val="center"/>
              <w:rPr>
                <w:rFonts w:ascii="宋体" w:hAnsi="宋体" w:cs="宋体"/>
              </w:rPr>
            </w:pPr>
            <w:r>
              <w:rPr>
                <w:rFonts w:ascii="宋体" w:hAnsi="宋体" w:cs="宋体"/>
              </w:rPr>
              <w:t>（辆）</w:t>
            </w:r>
          </w:p>
        </w:tc>
        <w:tc>
          <w:tcPr>
            <w:tcW w:w="842"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p>
            <w:pPr>
              <w:pStyle w:val="72"/>
              <w:ind w:right="2"/>
              <w:jc w:val="center"/>
              <w:rPr>
                <w:rFonts w:ascii="宋体" w:hAnsi="宋体" w:cs="宋体"/>
              </w:rPr>
            </w:pPr>
            <w:r>
              <w:rPr>
                <w:rFonts w:ascii="宋体" w:hAnsi="宋体" w:cs="宋体"/>
              </w:rPr>
              <w:t>单价</w:t>
            </w:r>
          </w:p>
          <w:p>
            <w:pPr>
              <w:pStyle w:val="72"/>
              <w:ind w:right="2"/>
              <w:jc w:val="center"/>
              <w:rPr>
                <w:rFonts w:ascii="宋体" w:hAnsi="宋体" w:cs="宋体"/>
              </w:rPr>
            </w:pPr>
            <w:r>
              <w:rPr>
                <w:rFonts w:ascii="宋体" w:hAnsi="宋体" w:cs="宋体"/>
              </w:rPr>
              <w:t>（</w:t>
            </w:r>
            <w:r>
              <w:rPr>
                <w:rFonts w:hint="eastAsia" w:ascii="宋体" w:hAnsi="宋体" w:cs="宋体"/>
              </w:rPr>
              <w:t>元</w:t>
            </w:r>
            <w:r>
              <w:rPr>
                <w:rFonts w:ascii="宋体" w:hAnsi="宋体" w:cs="宋体"/>
              </w:rPr>
              <w:t>）</w:t>
            </w: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p>
            <w:pPr>
              <w:pStyle w:val="72"/>
              <w:ind w:right="2"/>
              <w:jc w:val="center"/>
              <w:rPr>
                <w:rFonts w:ascii="宋体" w:hAnsi="宋体" w:cs="宋体"/>
              </w:rPr>
            </w:pPr>
            <w:r>
              <w:rPr>
                <w:rFonts w:hint="eastAsia" w:ascii="宋体" w:hAnsi="宋体" w:cs="宋体"/>
              </w:rPr>
              <w:t>合价</w:t>
            </w:r>
          </w:p>
          <w:p>
            <w:pPr>
              <w:pStyle w:val="72"/>
              <w:ind w:right="2"/>
              <w:jc w:val="center"/>
              <w:rPr>
                <w:rFonts w:ascii="宋体" w:hAnsi="宋体" w:cs="宋体"/>
              </w:rPr>
            </w:pPr>
            <w:r>
              <w:rPr>
                <w:rFonts w:ascii="宋体" w:hAnsi="宋体" w:cs="宋体"/>
              </w:rPr>
              <w:t>（</w:t>
            </w:r>
            <w:r>
              <w:rPr>
                <w:rFonts w:hint="eastAsia" w:ascii="宋体" w:hAnsi="宋体" w:cs="宋体"/>
              </w:rPr>
              <w:t>元</w:t>
            </w:r>
            <w:r>
              <w:rPr>
                <w:rFonts w:ascii="宋体" w:hAnsi="宋体" w:cs="宋体"/>
              </w:rPr>
              <w:t>）</w:t>
            </w:r>
          </w:p>
        </w:tc>
        <w:tc>
          <w:tcPr>
            <w:tcW w:w="1082"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p>
            <w:pPr>
              <w:pStyle w:val="72"/>
              <w:ind w:right="2"/>
              <w:jc w:val="center"/>
              <w:rPr>
                <w:rFonts w:ascii="宋体" w:hAnsi="宋体" w:cs="宋体"/>
              </w:rPr>
            </w:pPr>
            <w:r>
              <w:rPr>
                <w:rFonts w:ascii="宋体" w:hAnsi="宋体" w:cs="宋体"/>
              </w:rPr>
              <w:t>折旧费</w:t>
            </w:r>
          </w:p>
          <w:p>
            <w:pPr>
              <w:pStyle w:val="72"/>
              <w:ind w:right="2"/>
              <w:jc w:val="center"/>
              <w:rPr>
                <w:rFonts w:ascii="宋体" w:hAnsi="宋体" w:cs="宋体"/>
              </w:rPr>
            </w:pPr>
            <w:r>
              <w:rPr>
                <w:rFonts w:ascii="宋体" w:hAnsi="宋体" w:cs="宋体"/>
              </w:rPr>
              <w:t>（</w:t>
            </w:r>
            <w:r>
              <w:rPr>
                <w:rFonts w:hint="eastAsia" w:ascii="宋体" w:hAnsi="宋体" w:cs="宋体"/>
              </w:rPr>
              <w:t>元</w:t>
            </w:r>
            <w:r>
              <w:rPr>
                <w:rFonts w:ascii="宋体" w:hAnsi="宋体" w:cs="宋体"/>
              </w:rPr>
              <w:t>）</w:t>
            </w:r>
          </w:p>
        </w:tc>
        <w:tc>
          <w:tcPr>
            <w:tcW w:w="984"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p>
            <w:pPr>
              <w:pStyle w:val="72"/>
              <w:ind w:right="2"/>
              <w:jc w:val="center"/>
              <w:rPr>
                <w:rFonts w:ascii="宋体" w:hAnsi="宋体" w:cs="宋体"/>
              </w:rPr>
            </w:pPr>
            <w:r>
              <w:rPr>
                <w:rFonts w:ascii="宋体" w:hAnsi="宋体" w:cs="宋体"/>
              </w:rPr>
              <w:t>使用费</w:t>
            </w:r>
          </w:p>
          <w:p>
            <w:pPr>
              <w:pStyle w:val="72"/>
              <w:ind w:right="2"/>
              <w:jc w:val="center"/>
              <w:rPr>
                <w:rFonts w:ascii="宋体" w:hAnsi="宋体" w:cs="宋体"/>
              </w:rPr>
            </w:pPr>
            <w:r>
              <w:rPr>
                <w:rFonts w:ascii="宋体" w:hAnsi="宋体" w:cs="宋体"/>
              </w:rPr>
              <w:t>（</w:t>
            </w:r>
            <w:r>
              <w:rPr>
                <w:rFonts w:hint="eastAsia" w:ascii="宋体" w:hAnsi="宋体" w:cs="宋体"/>
              </w:rPr>
              <w:t>元</w:t>
            </w:r>
            <w:r>
              <w:rPr>
                <w:rFonts w:ascii="宋体" w:hAnsi="宋体" w:cs="宋体"/>
              </w:rPr>
              <w:t>）</w:t>
            </w:r>
          </w:p>
        </w:tc>
        <w:tc>
          <w:tcPr>
            <w:tcW w:w="1234" w:type="dxa"/>
            <w:tcBorders>
              <w:top w:val="single" w:color="000000" w:sz="4" w:space="0"/>
              <w:left w:val="single" w:color="000000" w:sz="4" w:space="0"/>
              <w:bottom w:val="single" w:color="000000" w:sz="4" w:space="0"/>
              <w:right w:val="single" w:color="000000" w:sz="8" w:space="0"/>
            </w:tcBorders>
            <w:vAlign w:val="center"/>
          </w:tcPr>
          <w:p>
            <w:pPr>
              <w:pStyle w:val="72"/>
              <w:ind w:right="2"/>
              <w:jc w:val="center"/>
              <w:rPr>
                <w:rFonts w:ascii="宋体" w:hAnsi="宋体" w:cs="宋体"/>
              </w:rPr>
            </w:pPr>
            <w:r>
              <w:rPr>
                <w:rFonts w:ascii="宋体" w:hAnsi="宋体" w:cs="宋体"/>
              </w:rPr>
              <w:t xml:space="preserve">小计 </w:t>
            </w:r>
          </w:p>
          <w:p>
            <w:pPr>
              <w:pStyle w:val="72"/>
              <w:ind w:right="2"/>
              <w:jc w:val="center"/>
              <w:rPr>
                <w:rFonts w:ascii="宋体" w:hAnsi="宋体" w:cs="宋体"/>
              </w:rPr>
            </w:pPr>
            <w:r>
              <w:rPr>
                <w:rFonts w:ascii="宋体" w:hAnsi="宋体" w:cs="宋体"/>
              </w:rPr>
              <w:t>折旧及使</w:t>
            </w:r>
          </w:p>
          <w:p>
            <w:pPr>
              <w:pStyle w:val="72"/>
              <w:ind w:right="2"/>
              <w:jc w:val="center"/>
              <w:rPr>
                <w:rFonts w:ascii="宋体" w:hAnsi="宋体" w:cs="宋体"/>
              </w:rPr>
            </w:pPr>
            <w:r>
              <w:rPr>
                <w:rFonts w:ascii="宋体" w:hAnsi="宋体" w:cs="宋体"/>
              </w:rPr>
              <w:t>用费（元）</w:t>
            </w:r>
          </w:p>
        </w:tc>
      </w:tr>
      <w:tr>
        <w:tblPrEx>
          <w:tblCellMar>
            <w:top w:w="0" w:type="dxa"/>
            <w:left w:w="0" w:type="dxa"/>
            <w:bottom w:w="0" w:type="dxa"/>
            <w:right w:w="0" w:type="dxa"/>
          </w:tblCellMar>
        </w:tblPrEx>
        <w:trPr>
          <w:trHeight w:val="650" w:hRule="exact"/>
        </w:trPr>
        <w:tc>
          <w:tcPr>
            <w:tcW w:w="576" w:type="dxa"/>
            <w:tcBorders>
              <w:top w:val="single" w:color="000000" w:sz="4" w:space="0"/>
              <w:left w:val="single" w:color="000000" w:sz="8" w:space="0"/>
              <w:bottom w:val="single" w:color="000000" w:sz="4" w:space="0"/>
              <w:right w:val="single" w:color="000000" w:sz="4" w:space="0"/>
            </w:tcBorders>
            <w:vAlign w:val="center"/>
          </w:tcPr>
          <w:p>
            <w:pPr>
              <w:pStyle w:val="72"/>
              <w:ind w:right="2"/>
              <w:jc w:val="center"/>
              <w:rPr>
                <w:rFonts w:ascii="宋体" w:hAnsi="宋体" w:cs="宋体"/>
              </w:rPr>
            </w:pPr>
            <w:r>
              <w:rPr>
                <w:rFonts w:hint="eastAsia" w:ascii="宋体" w:hAnsi="宋体" w:cs="宋体"/>
              </w:rPr>
              <w:t>1</w:t>
            </w: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tc>
        <w:tc>
          <w:tcPr>
            <w:tcW w:w="1634"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tc>
        <w:tc>
          <w:tcPr>
            <w:tcW w:w="941"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tc>
        <w:tc>
          <w:tcPr>
            <w:tcW w:w="842"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tc>
        <w:tc>
          <w:tcPr>
            <w:tcW w:w="1082"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tc>
        <w:tc>
          <w:tcPr>
            <w:tcW w:w="984"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tc>
        <w:tc>
          <w:tcPr>
            <w:tcW w:w="1234" w:type="dxa"/>
            <w:tcBorders>
              <w:top w:val="single" w:color="000000" w:sz="4" w:space="0"/>
              <w:left w:val="single" w:color="000000" w:sz="4" w:space="0"/>
              <w:bottom w:val="single" w:color="000000" w:sz="4" w:space="0"/>
              <w:right w:val="single" w:color="000000" w:sz="8" w:space="0"/>
            </w:tcBorders>
            <w:vAlign w:val="center"/>
          </w:tcPr>
          <w:p>
            <w:pPr>
              <w:pStyle w:val="72"/>
              <w:ind w:right="2"/>
              <w:jc w:val="center"/>
              <w:rPr>
                <w:rFonts w:ascii="宋体" w:hAnsi="宋体" w:cs="宋体"/>
              </w:rPr>
            </w:pPr>
          </w:p>
        </w:tc>
      </w:tr>
      <w:tr>
        <w:tblPrEx>
          <w:tblCellMar>
            <w:top w:w="0" w:type="dxa"/>
            <w:left w:w="0" w:type="dxa"/>
            <w:bottom w:w="0" w:type="dxa"/>
            <w:right w:w="0" w:type="dxa"/>
          </w:tblCellMar>
        </w:tblPrEx>
        <w:trPr>
          <w:trHeight w:val="650" w:hRule="exact"/>
        </w:trPr>
        <w:tc>
          <w:tcPr>
            <w:tcW w:w="576" w:type="dxa"/>
            <w:tcBorders>
              <w:top w:val="single" w:color="000000" w:sz="4" w:space="0"/>
              <w:left w:val="single" w:color="000000" w:sz="8" w:space="0"/>
              <w:bottom w:val="single" w:color="000000" w:sz="4" w:space="0"/>
              <w:right w:val="single" w:color="000000" w:sz="4" w:space="0"/>
            </w:tcBorders>
            <w:vAlign w:val="center"/>
          </w:tcPr>
          <w:p>
            <w:pPr>
              <w:pStyle w:val="72"/>
              <w:ind w:left="215" w:right="2"/>
              <w:rPr>
                <w:rFonts w:ascii="宋体" w:hAnsi="宋体" w:cs="宋体"/>
              </w:rPr>
            </w:pPr>
            <w:r>
              <w:rPr>
                <w:rFonts w:ascii="宋体" w:hAnsi="宋体" w:cs="宋体"/>
              </w:rPr>
              <w:t>2</w:t>
            </w: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1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1634"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41"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84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108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84"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1234" w:type="dxa"/>
            <w:tcBorders>
              <w:top w:val="single" w:color="000000" w:sz="4" w:space="0"/>
              <w:left w:val="single" w:color="000000" w:sz="4" w:space="0"/>
              <w:bottom w:val="single" w:color="000000" w:sz="4" w:space="0"/>
              <w:right w:val="single" w:color="000000" w:sz="8" w:space="0"/>
            </w:tcBorders>
            <w:vAlign w:val="center"/>
          </w:tcPr>
          <w:p>
            <w:pPr>
              <w:ind w:right="2"/>
              <w:jc w:val="center"/>
              <w:rPr>
                <w:rFonts w:ascii="宋体" w:hAnsi="宋体" w:cs="宋体"/>
              </w:rPr>
            </w:pPr>
          </w:p>
        </w:tc>
      </w:tr>
      <w:tr>
        <w:tblPrEx>
          <w:tblCellMar>
            <w:top w:w="0" w:type="dxa"/>
            <w:left w:w="0" w:type="dxa"/>
            <w:bottom w:w="0" w:type="dxa"/>
            <w:right w:w="0" w:type="dxa"/>
          </w:tblCellMar>
        </w:tblPrEx>
        <w:trPr>
          <w:trHeight w:val="650" w:hRule="exact"/>
        </w:trPr>
        <w:tc>
          <w:tcPr>
            <w:tcW w:w="576" w:type="dxa"/>
            <w:tcBorders>
              <w:top w:val="single" w:color="000000" w:sz="4" w:space="0"/>
              <w:left w:val="single" w:color="000000" w:sz="8" w:space="0"/>
              <w:bottom w:val="single" w:color="000000" w:sz="4" w:space="0"/>
              <w:right w:val="single" w:color="000000" w:sz="4" w:space="0"/>
            </w:tcBorders>
            <w:vAlign w:val="center"/>
          </w:tcPr>
          <w:p>
            <w:pPr>
              <w:pStyle w:val="72"/>
              <w:ind w:left="220" w:right="2"/>
              <w:rPr>
                <w:rFonts w:ascii="宋体" w:hAnsi="宋体" w:cs="宋体"/>
              </w:rPr>
            </w:pPr>
            <w:r>
              <w:rPr>
                <w:rFonts w:ascii="宋体" w:hAnsi="宋体" w:cs="宋体"/>
              </w:rPr>
              <w:t>3</w:t>
            </w: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1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1634"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41"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84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108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84"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1234" w:type="dxa"/>
            <w:tcBorders>
              <w:top w:val="single" w:color="000000" w:sz="4" w:space="0"/>
              <w:left w:val="single" w:color="000000" w:sz="4" w:space="0"/>
              <w:bottom w:val="single" w:color="000000" w:sz="4" w:space="0"/>
              <w:right w:val="single" w:color="000000" w:sz="8" w:space="0"/>
            </w:tcBorders>
            <w:vAlign w:val="center"/>
          </w:tcPr>
          <w:p>
            <w:pPr>
              <w:ind w:right="2"/>
              <w:jc w:val="center"/>
              <w:rPr>
                <w:rFonts w:ascii="宋体" w:hAnsi="宋体" w:cs="宋体"/>
              </w:rPr>
            </w:pPr>
          </w:p>
        </w:tc>
      </w:tr>
      <w:tr>
        <w:tblPrEx>
          <w:tblCellMar>
            <w:top w:w="0" w:type="dxa"/>
            <w:left w:w="0" w:type="dxa"/>
            <w:bottom w:w="0" w:type="dxa"/>
            <w:right w:w="0" w:type="dxa"/>
          </w:tblCellMar>
        </w:tblPrEx>
        <w:trPr>
          <w:trHeight w:val="650" w:hRule="exact"/>
        </w:trPr>
        <w:tc>
          <w:tcPr>
            <w:tcW w:w="576" w:type="dxa"/>
            <w:tcBorders>
              <w:top w:val="single" w:color="000000" w:sz="4" w:space="0"/>
              <w:left w:val="single" w:color="000000" w:sz="8" w:space="0"/>
              <w:bottom w:val="single" w:color="000000" w:sz="4" w:space="0"/>
              <w:right w:val="single" w:color="000000" w:sz="4" w:space="0"/>
            </w:tcBorders>
            <w:vAlign w:val="center"/>
          </w:tcPr>
          <w:p>
            <w:pPr>
              <w:pStyle w:val="72"/>
              <w:ind w:left="39" w:right="2"/>
              <w:jc w:val="center"/>
              <w:rPr>
                <w:rFonts w:ascii="宋体" w:hAnsi="宋体" w:cs="宋体"/>
              </w:rPr>
            </w:pPr>
            <w:r>
              <w:rPr>
                <w:rFonts w:hint="eastAsia" w:ascii="宋体" w:hAnsi="宋体" w:cs="宋体"/>
              </w:rPr>
              <w:t>…</w:t>
            </w: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p>
            <w:pPr>
              <w:pStyle w:val="72"/>
              <w:ind w:left="-241" w:right="2"/>
              <w:rPr>
                <w:rFonts w:ascii="宋体" w:hAnsi="宋体" w:cs="宋体"/>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1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1634"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41"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84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108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84"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1234" w:type="dxa"/>
            <w:tcBorders>
              <w:top w:val="single" w:color="000000" w:sz="4" w:space="0"/>
              <w:left w:val="single" w:color="000000" w:sz="4" w:space="0"/>
              <w:bottom w:val="single" w:color="000000" w:sz="4" w:space="0"/>
              <w:right w:val="single" w:color="000000" w:sz="8" w:space="0"/>
            </w:tcBorders>
            <w:vAlign w:val="center"/>
          </w:tcPr>
          <w:p>
            <w:pPr>
              <w:ind w:right="2"/>
              <w:jc w:val="center"/>
              <w:rPr>
                <w:rFonts w:ascii="宋体" w:hAnsi="宋体" w:cs="宋体"/>
              </w:rPr>
            </w:pPr>
          </w:p>
        </w:tc>
      </w:tr>
      <w:tr>
        <w:tblPrEx>
          <w:tblCellMar>
            <w:top w:w="0" w:type="dxa"/>
            <w:left w:w="0" w:type="dxa"/>
            <w:bottom w:w="0" w:type="dxa"/>
            <w:right w:w="0" w:type="dxa"/>
          </w:tblCellMar>
        </w:tblPrEx>
        <w:trPr>
          <w:trHeight w:val="655" w:hRule="exact"/>
        </w:trPr>
        <w:tc>
          <w:tcPr>
            <w:tcW w:w="4212" w:type="dxa"/>
            <w:gridSpan w:val="5"/>
            <w:tcBorders>
              <w:top w:val="single" w:color="000000" w:sz="4" w:space="0"/>
              <w:left w:val="single" w:color="000000" w:sz="8" w:space="0"/>
              <w:bottom w:val="single" w:color="000000" w:sz="8" w:space="0"/>
              <w:right w:val="single" w:color="000000" w:sz="4" w:space="0"/>
            </w:tcBorders>
            <w:vAlign w:val="center"/>
          </w:tcPr>
          <w:p>
            <w:pPr>
              <w:pStyle w:val="72"/>
              <w:tabs>
                <w:tab w:val="left" w:pos="485"/>
              </w:tabs>
              <w:ind w:left="10" w:right="2"/>
              <w:jc w:val="center"/>
              <w:rPr>
                <w:rFonts w:ascii="宋体" w:hAnsi="宋体" w:cs="宋体"/>
              </w:rPr>
            </w:pPr>
            <w:r>
              <w:rPr>
                <w:rFonts w:ascii="宋体" w:hAnsi="宋体" w:cs="宋体"/>
              </w:rPr>
              <w:t>合</w:t>
            </w:r>
            <w:r>
              <w:rPr>
                <w:rFonts w:ascii="宋体" w:hAnsi="宋体" w:cs="宋体"/>
              </w:rPr>
              <w:tab/>
            </w:r>
            <w:r>
              <w:rPr>
                <w:rFonts w:ascii="宋体" w:hAnsi="宋体" w:cs="宋体"/>
              </w:rPr>
              <w:t>计 （元）</w:t>
            </w:r>
          </w:p>
        </w:tc>
        <w:tc>
          <w:tcPr>
            <w:tcW w:w="910" w:type="dxa"/>
            <w:tcBorders>
              <w:top w:val="single" w:color="000000" w:sz="4" w:space="0"/>
              <w:left w:val="single" w:color="000000" w:sz="4" w:space="0"/>
              <w:bottom w:val="single" w:color="000000" w:sz="8" w:space="0"/>
              <w:right w:val="single" w:color="000000" w:sz="4" w:space="0"/>
            </w:tcBorders>
            <w:vAlign w:val="center"/>
          </w:tcPr>
          <w:p>
            <w:pPr>
              <w:ind w:right="2"/>
              <w:jc w:val="center"/>
              <w:rPr>
                <w:rFonts w:ascii="宋体" w:hAnsi="宋体" w:cs="宋体"/>
              </w:rPr>
            </w:pPr>
          </w:p>
        </w:tc>
        <w:tc>
          <w:tcPr>
            <w:tcW w:w="907" w:type="dxa"/>
            <w:tcBorders>
              <w:top w:val="single" w:color="000000" w:sz="4" w:space="0"/>
              <w:left w:val="single" w:color="000000" w:sz="4" w:space="0"/>
              <w:bottom w:val="single" w:color="000000" w:sz="8" w:space="0"/>
              <w:right w:val="single" w:color="000000" w:sz="4" w:space="0"/>
            </w:tcBorders>
            <w:vAlign w:val="center"/>
          </w:tcPr>
          <w:p>
            <w:pPr>
              <w:ind w:right="2"/>
              <w:jc w:val="center"/>
              <w:rPr>
                <w:rFonts w:ascii="宋体" w:hAnsi="宋体" w:cs="宋体"/>
              </w:rPr>
            </w:pPr>
          </w:p>
        </w:tc>
        <w:tc>
          <w:tcPr>
            <w:tcW w:w="1634" w:type="dxa"/>
            <w:tcBorders>
              <w:top w:val="single" w:color="000000" w:sz="4" w:space="0"/>
              <w:left w:val="single" w:color="000000" w:sz="4" w:space="0"/>
              <w:bottom w:val="single" w:color="000000" w:sz="8" w:space="0"/>
              <w:right w:val="single" w:color="000000" w:sz="4" w:space="0"/>
            </w:tcBorders>
            <w:vAlign w:val="center"/>
          </w:tcPr>
          <w:p>
            <w:pPr>
              <w:ind w:right="2"/>
              <w:jc w:val="center"/>
              <w:rPr>
                <w:rFonts w:ascii="宋体" w:hAnsi="宋体" w:cs="宋体"/>
              </w:rPr>
            </w:pPr>
          </w:p>
        </w:tc>
        <w:tc>
          <w:tcPr>
            <w:tcW w:w="3583" w:type="dxa"/>
            <w:gridSpan w:val="4"/>
            <w:tcBorders>
              <w:top w:val="single" w:color="000000" w:sz="4" w:space="0"/>
              <w:left w:val="single" w:color="000000" w:sz="4" w:space="0"/>
              <w:bottom w:val="single" w:color="000000" w:sz="8" w:space="0"/>
              <w:right w:val="single" w:color="000000" w:sz="4" w:space="0"/>
            </w:tcBorders>
            <w:vAlign w:val="center"/>
          </w:tcPr>
          <w:p>
            <w:pPr>
              <w:pStyle w:val="72"/>
              <w:tabs>
                <w:tab w:val="left" w:pos="1643"/>
              </w:tabs>
              <w:ind w:left="1164" w:right="2"/>
              <w:rPr>
                <w:rFonts w:ascii="宋体" w:hAnsi="宋体" w:cs="宋体"/>
              </w:rPr>
            </w:pPr>
            <w:r>
              <w:rPr>
                <w:rFonts w:ascii="宋体" w:hAnsi="宋体" w:cs="宋体"/>
              </w:rPr>
              <w:t>合</w:t>
            </w:r>
            <w:r>
              <w:rPr>
                <w:rFonts w:ascii="宋体" w:hAnsi="宋体" w:cs="宋体"/>
              </w:rPr>
              <w:tab/>
            </w:r>
            <w:r>
              <w:rPr>
                <w:rFonts w:ascii="宋体" w:hAnsi="宋体" w:cs="宋体"/>
              </w:rPr>
              <w:t>计 （元）</w:t>
            </w:r>
          </w:p>
        </w:tc>
        <w:tc>
          <w:tcPr>
            <w:tcW w:w="1082" w:type="dxa"/>
            <w:tcBorders>
              <w:top w:val="single" w:color="000000" w:sz="4" w:space="0"/>
              <w:left w:val="single" w:color="000000" w:sz="4" w:space="0"/>
              <w:bottom w:val="single" w:color="000000" w:sz="8" w:space="0"/>
              <w:right w:val="single" w:color="000000" w:sz="4" w:space="0"/>
            </w:tcBorders>
            <w:vAlign w:val="center"/>
          </w:tcPr>
          <w:p>
            <w:pPr>
              <w:ind w:right="2"/>
              <w:jc w:val="center"/>
              <w:rPr>
                <w:rFonts w:ascii="宋体" w:hAnsi="宋体" w:cs="宋体"/>
              </w:rPr>
            </w:pPr>
          </w:p>
        </w:tc>
        <w:tc>
          <w:tcPr>
            <w:tcW w:w="984" w:type="dxa"/>
            <w:tcBorders>
              <w:top w:val="single" w:color="000000" w:sz="4" w:space="0"/>
              <w:left w:val="single" w:color="000000" w:sz="4" w:space="0"/>
              <w:bottom w:val="single" w:color="000000" w:sz="8" w:space="0"/>
              <w:right w:val="single" w:color="000000" w:sz="4" w:space="0"/>
            </w:tcBorders>
            <w:vAlign w:val="center"/>
          </w:tcPr>
          <w:p>
            <w:pPr>
              <w:ind w:right="2"/>
              <w:jc w:val="center"/>
              <w:rPr>
                <w:rFonts w:ascii="宋体" w:hAnsi="宋体" w:cs="宋体"/>
              </w:rPr>
            </w:pPr>
          </w:p>
        </w:tc>
        <w:tc>
          <w:tcPr>
            <w:tcW w:w="1234" w:type="dxa"/>
            <w:tcBorders>
              <w:top w:val="single" w:color="000000" w:sz="4" w:space="0"/>
              <w:left w:val="single" w:color="000000" w:sz="4" w:space="0"/>
              <w:bottom w:val="single" w:color="000000" w:sz="8" w:space="0"/>
              <w:right w:val="single" w:color="000000" w:sz="8" w:space="0"/>
            </w:tcBorders>
            <w:vAlign w:val="center"/>
          </w:tcPr>
          <w:p>
            <w:pPr>
              <w:ind w:right="2"/>
              <w:jc w:val="center"/>
              <w:rPr>
                <w:rFonts w:ascii="宋体" w:hAnsi="宋体" w:cs="宋体"/>
              </w:rPr>
            </w:pPr>
          </w:p>
        </w:tc>
      </w:tr>
    </w:tbl>
    <w:p>
      <w:pPr>
        <w:sectPr>
          <w:pgSz w:w="16840" w:h="11910" w:orient="landscape"/>
          <w:pgMar w:top="1300" w:right="880" w:bottom="1400" w:left="1160" w:header="1017" w:footer="1219" w:gutter="0"/>
          <w:cols w:space="720" w:num="1"/>
        </w:sectPr>
      </w:pPr>
    </w:p>
    <w:p>
      <w:pPr>
        <w:rPr>
          <w:rFonts w:ascii="宋体" w:hAnsi="宋体" w:cs="宋体"/>
          <w:sz w:val="20"/>
          <w:szCs w:val="20"/>
        </w:rPr>
      </w:pPr>
    </w:p>
    <w:p>
      <w:pPr>
        <w:rPr>
          <w:rFonts w:ascii="宋体" w:hAnsi="宋体" w:cs="宋体"/>
          <w:sz w:val="20"/>
          <w:szCs w:val="20"/>
        </w:rPr>
      </w:pPr>
    </w:p>
    <w:p>
      <w:pPr>
        <w:rPr>
          <w:rFonts w:ascii="宋体" w:hAnsi="宋体" w:cs="宋体"/>
          <w:sz w:val="27"/>
          <w:szCs w:val="27"/>
        </w:rPr>
      </w:pPr>
    </w:p>
    <w:p>
      <w:pPr>
        <w:tabs>
          <w:tab w:val="left" w:pos="883"/>
        </w:tabs>
        <w:spacing w:before="4" w:after="20"/>
        <w:ind w:right="11"/>
        <w:jc w:val="center"/>
        <w:rPr>
          <w:rFonts w:eastAsia="黑体"/>
          <w:b/>
          <w:kern w:val="0"/>
          <w:sz w:val="30"/>
          <w:szCs w:val="30"/>
        </w:rPr>
      </w:pPr>
      <w:r>
        <w:rPr>
          <w:rFonts w:hint="eastAsia" w:eastAsia="黑体"/>
          <w:b/>
          <w:kern w:val="0"/>
          <w:sz w:val="30"/>
          <w:szCs w:val="30"/>
        </w:rPr>
        <w:t>表 5</w:t>
      </w:r>
      <w:r>
        <w:rPr>
          <w:rFonts w:hint="eastAsia" w:eastAsia="黑体"/>
          <w:b/>
          <w:kern w:val="0"/>
          <w:sz w:val="30"/>
          <w:szCs w:val="30"/>
        </w:rPr>
        <w:tab/>
      </w:r>
      <w:r>
        <w:rPr>
          <w:rFonts w:hint="eastAsia" w:eastAsia="黑体"/>
          <w:b/>
          <w:kern w:val="0"/>
          <w:sz w:val="30"/>
          <w:szCs w:val="30"/>
        </w:rPr>
        <w:t>监理试验设施费报价表</w:t>
      </w:r>
    </w:p>
    <w:tbl>
      <w:tblPr>
        <w:tblStyle w:val="30"/>
        <w:tblW w:w="0" w:type="auto"/>
        <w:tblInd w:w="120" w:type="dxa"/>
        <w:tblLayout w:type="fixed"/>
        <w:tblCellMar>
          <w:top w:w="0" w:type="dxa"/>
          <w:left w:w="0" w:type="dxa"/>
          <w:bottom w:w="0" w:type="dxa"/>
          <w:right w:w="0" w:type="dxa"/>
        </w:tblCellMar>
      </w:tblPr>
      <w:tblGrid>
        <w:gridCol w:w="494"/>
        <w:gridCol w:w="1082"/>
        <w:gridCol w:w="835"/>
        <w:gridCol w:w="734"/>
        <w:gridCol w:w="1127"/>
        <w:gridCol w:w="984"/>
        <w:gridCol w:w="986"/>
        <w:gridCol w:w="1286"/>
        <w:gridCol w:w="1286"/>
        <w:gridCol w:w="874"/>
        <w:gridCol w:w="720"/>
        <w:gridCol w:w="1080"/>
        <w:gridCol w:w="1082"/>
        <w:gridCol w:w="1080"/>
        <w:gridCol w:w="1284"/>
      </w:tblGrid>
      <w:tr>
        <w:tblPrEx>
          <w:tblCellMar>
            <w:top w:w="0" w:type="dxa"/>
            <w:left w:w="0" w:type="dxa"/>
            <w:bottom w:w="0" w:type="dxa"/>
            <w:right w:w="0" w:type="dxa"/>
          </w:tblCellMar>
        </w:tblPrEx>
        <w:trPr>
          <w:trHeight w:val="605" w:hRule="exact"/>
        </w:trPr>
        <w:tc>
          <w:tcPr>
            <w:tcW w:w="494" w:type="dxa"/>
            <w:vMerge w:val="restart"/>
            <w:tcBorders>
              <w:top w:val="single" w:color="000000" w:sz="8" w:space="0"/>
              <w:left w:val="single" w:color="000000" w:sz="8" w:space="0"/>
              <w:right w:val="single" w:color="000000" w:sz="4" w:space="0"/>
            </w:tcBorders>
          </w:tcPr>
          <w:p>
            <w:pPr>
              <w:pStyle w:val="72"/>
              <w:rPr>
                <w:rFonts w:ascii="宋体" w:hAnsi="宋体" w:cs="宋体"/>
              </w:rPr>
            </w:pPr>
          </w:p>
          <w:p>
            <w:pPr>
              <w:pStyle w:val="72"/>
              <w:spacing w:before="4"/>
              <w:rPr>
                <w:rFonts w:ascii="宋体" w:hAnsi="宋体" w:cs="宋体"/>
                <w:szCs w:val="21"/>
              </w:rPr>
            </w:pPr>
          </w:p>
          <w:p>
            <w:pPr>
              <w:pStyle w:val="72"/>
              <w:ind w:left="122"/>
              <w:rPr>
                <w:rFonts w:ascii="宋体" w:hAnsi="宋体" w:cs="宋体"/>
                <w:sz w:val="23"/>
                <w:szCs w:val="23"/>
              </w:rPr>
            </w:pPr>
            <w:r>
              <w:rPr>
                <w:rFonts w:ascii="宋体" w:hAnsi="宋体" w:cs="宋体"/>
                <w:sz w:val="23"/>
                <w:szCs w:val="23"/>
              </w:rPr>
              <w:t>序</w:t>
            </w:r>
          </w:p>
          <w:p>
            <w:pPr>
              <w:pStyle w:val="72"/>
              <w:spacing w:before="109"/>
              <w:ind w:left="127"/>
              <w:rPr>
                <w:rFonts w:ascii="宋体" w:hAnsi="宋体" w:cs="宋体"/>
              </w:rPr>
            </w:pPr>
            <w:r>
              <w:rPr>
                <w:rFonts w:ascii="宋体" w:hAnsi="宋体" w:cs="宋体"/>
              </w:rPr>
              <w:t>号</w:t>
            </w:r>
          </w:p>
        </w:tc>
        <w:tc>
          <w:tcPr>
            <w:tcW w:w="7034" w:type="dxa"/>
            <w:gridSpan w:val="7"/>
            <w:tcBorders>
              <w:top w:val="single" w:color="000000" w:sz="8" w:space="0"/>
              <w:left w:val="single" w:color="000000" w:sz="4" w:space="0"/>
              <w:bottom w:val="single" w:color="000000" w:sz="4" w:space="0"/>
              <w:right w:val="single" w:color="000000" w:sz="4" w:space="0"/>
            </w:tcBorders>
          </w:tcPr>
          <w:p>
            <w:pPr>
              <w:pStyle w:val="72"/>
              <w:spacing w:before="117"/>
              <w:jc w:val="center"/>
              <w:rPr>
                <w:rFonts w:ascii="宋体" w:hAnsi="宋体" w:cs="宋体"/>
              </w:rPr>
            </w:pPr>
            <w:r>
              <w:rPr>
                <w:rFonts w:ascii="宋体" w:hAnsi="宋体" w:cs="宋体"/>
              </w:rPr>
              <w:t>施工期</w:t>
            </w:r>
          </w:p>
        </w:tc>
        <w:tc>
          <w:tcPr>
            <w:tcW w:w="7406" w:type="dxa"/>
            <w:gridSpan w:val="7"/>
            <w:tcBorders>
              <w:top w:val="single" w:color="000000" w:sz="8" w:space="0"/>
              <w:left w:val="single" w:color="000000" w:sz="4" w:space="0"/>
              <w:bottom w:val="single" w:color="000000" w:sz="4" w:space="0"/>
              <w:right w:val="single" w:color="000000" w:sz="8" w:space="0"/>
            </w:tcBorders>
          </w:tcPr>
          <w:p>
            <w:pPr>
              <w:pStyle w:val="72"/>
              <w:spacing w:before="122"/>
              <w:ind w:left="2"/>
              <w:jc w:val="center"/>
              <w:rPr>
                <w:rFonts w:ascii="宋体" w:hAnsi="宋体" w:cs="宋体"/>
              </w:rPr>
            </w:pPr>
            <w:r>
              <w:rPr>
                <w:rFonts w:ascii="宋体" w:hAnsi="宋体" w:cs="宋体"/>
              </w:rPr>
              <w:t>缺陷责任期</w:t>
            </w:r>
          </w:p>
        </w:tc>
      </w:tr>
      <w:tr>
        <w:tblPrEx>
          <w:tblCellMar>
            <w:top w:w="0" w:type="dxa"/>
            <w:left w:w="0" w:type="dxa"/>
            <w:bottom w:w="0" w:type="dxa"/>
            <w:right w:w="0" w:type="dxa"/>
          </w:tblCellMar>
        </w:tblPrEx>
        <w:trPr>
          <w:trHeight w:val="784" w:hRule="exact"/>
        </w:trPr>
        <w:tc>
          <w:tcPr>
            <w:tcW w:w="494" w:type="dxa"/>
            <w:vMerge w:val="continue"/>
            <w:tcBorders>
              <w:left w:val="single" w:color="000000" w:sz="8" w:space="0"/>
              <w:right w:val="single" w:color="000000" w:sz="4" w:space="0"/>
            </w:tcBorders>
          </w:tcPr>
          <w:p/>
        </w:tc>
        <w:tc>
          <w:tcPr>
            <w:tcW w:w="1082" w:type="dxa"/>
            <w:tcBorders>
              <w:top w:val="single" w:color="000000" w:sz="4" w:space="0"/>
              <w:left w:val="single" w:color="000000" w:sz="4" w:space="0"/>
              <w:bottom w:val="nil"/>
              <w:right w:val="single" w:color="000000" w:sz="4" w:space="0"/>
            </w:tcBorders>
          </w:tcPr>
          <w:p>
            <w:pPr>
              <w:pStyle w:val="72"/>
              <w:rPr>
                <w:rFonts w:ascii="宋体" w:hAnsi="宋体" w:cs="宋体"/>
              </w:rPr>
            </w:pPr>
          </w:p>
          <w:p>
            <w:pPr>
              <w:pStyle w:val="72"/>
              <w:spacing w:before="187"/>
              <w:ind w:left="55"/>
              <w:rPr>
                <w:rFonts w:ascii="宋体" w:hAnsi="宋体" w:cs="宋体"/>
                <w:sz w:val="23"/>
                <w:szCs w:val="23"/>
              </w:rPr>
            </w:pPr>
            <w:r>
              <w:rPr>
                <w:rFonts w:ascii="宋体" w:hAnsi="宋体" w:cs="宋体"/>
                <w:sz w:val="23"/>
                <w:szCs w:val="23"/>
              </w:rPr>
              <w:t>设备名称</w:t>
            </w:r>
          </w:p>
        </w:tc>
        <w:tc>
          <w:tcPr>
            <w:tcW w:w="835" w:type="dxa"/>
            <w:tcBorders>
              <w:top w:val="single" w:color="000000" w:sz="4" w:space="0"/>
              <w:left w:val="single" w:color="000000" w:sz="4" w:space="0"/>
              <w:bottom w:val="nil"/>
              <w:right w:val="single" w:color="000000" w:sz="4" w:space="0"/>
            </w:tcBorders>
          </w:tcPr>
          <w:p>
            <w:pPr>
              <w:pStyle w:val="72"/>
              <w:rPr>
                <w:rFonts w:ascii="宋体" w:hAnsi="宋体" w:cs="宋体"/>
              </w:rPr>
            </w:pPr>
          </w:p>
          <w:p>
            <w:pPr>
              <w:pStyle w:val="72"/>
              <w:spacing w:before="194"/>
              <w:ind w:left="182"/>
              <w:rPr>
                <w:rFonts w:ascii="宋体" w:hAnsi="宋体" w:cs="宋体"/>
              </w:rPr>
            </w:pPr>
            <w:r>
              <w:rPr>
                <w:rFonts w:ascii="宋体" w:hAnsi="宋体" w:cs="宋体"/>
              </w:rPr>
              <w:t>型号</w:t>
            </w:r>
          </w:p>
        </w:tc>
        <w:tc>
          <w:tcPr>
            <w:tcW w:w="734" w:type="dxa"/>
            <w:tcBorders>
              <w:top w:val="single" w:color="000000" w:sz="4" w:space="0"/>
              <w:left w:val="single" w:color="000000" w:sz="4" w:space="0"/>
              <w:bottom w:val="nil"/>
              <w:right w:val="single" w:color="000000" w:sz="4" w:space="0"/>
            </w:tcBorders>
          </w:tcPr>
          <w:p>
            <w:pPr>
              <w:pStyle w:val="72"/>
              <w:rPr>
                <w:rFonts w:ascii="宋体" w:hAnsi="宋体" w:cs="宋体"/>
              </w:rPr>
            </w:pPr>
          </w:p>
          <w:p>
            <w:pPr>
              <w:pStyle w:val="72"/>
              <w:spacing w:before="194"/>
              <w:ind w:left="124"/>
              <w:rPr>
                <w:rFonts w:ascii="宋体" w:hAnsi="宋体" w:cs="宋体"/>
              </w:rPr>
            </w:pPr>
            <w:r>
              <w:rPr>
                <w:rFonts w:ascii="宋体" w:hAnsi="宋体" w:cs="宋体"/>
              </w:rPr>
              <w:t>数量</w:t>
            </w:r>
          </w:p>
        </w:tc>
        <w:tc>
          <w:tcPr>
            <w:tcW w:w="1127" w:type="dxa"/>
            <w:tcBorders>
              <w:top w:val="single" w:color="000000" w:sz="4" w:space="0"/>
              <w:left w:val="single" w:color="000000" w:sz="4" w:space="0"/>
              <w:bottom w:val="nil"/>
              <w:right w:val="single" w:color="000000" w:sz="4" w:space="0"/>
            </w:tcBorders>
          </w:tcPr>
          <w:p>
            <w:pPr>
              <w:pStyle w:val="72"/>
              <w:spacing w:before="6"/>
              <w:rPr>
                <w:rFonts w:ascii="宋体" w:hAnsi="宋体" w:cs="宋体"/>
                <w:szCs w:val="21"/>
              </w:rPr>
            </w:pPr>
          </w:p>
          <w:p>
            <w:pPr>
              <w:pStyle w:val="72"/>
              <w:ind w:left="9"/>
              <w:jc w:val="center"/>
              <w:rPr>
                <w:rFonts w:ascii="宋体" w:hAnsi="宋体" w:cs="宋体"/>
              </w:rPr>
            </w:pPr>
            <w:r>
              <w:rPr>
                <w:rFonts w:ascii="宋体" w:hAnsi="宋体" w:cs="宋体"/>
              </w:rPr>
              <w:t>购置合价</w:t>
            </w:r>
          </w:p>
        </w:tc>
        <w:tc>
          <w:tcPr>
            <w:tcW w:w="984" w:type="dxa"/>
            <w:tcBorders>
              <w:top w:val="single" w:color="000000" w:sz="4" w:space="0"/>
              <w:left w:val="single" w:color="000000" w:sz="4" w:space="0"/>
              <w:bottom w:val="nil"/>
              <w:right w:val="single" w:color="000000" w:sz="4" w:space="0"/>
            </w:tcBorders>
          </w:tcPr>
          <w:p>
            <w:pPr>
              <w:pStyle w:val="72"/>
              <w:spacing w:before="6"/>
              <w:rPr>
                <w:rFonts w:ascii="宋体" w:hAnsi="宋体" w:cs="宋体"/>
                <w:szCs w:val="21"/>
              </w:rPr>
            </w:pPr>
          </w:p>
          <w:p>
            <w:pPr>
              <w:pStyle w:val="72"/>
              <w:ind w:right="1"/>
              <w:jc w:val="center"/>
              <w:rPr>
                <w:rFonts w:ascii="宋体" w:hAnsi="宋体" w:cs="宋体"/>
              </w:rPr>
            </w:pPr>
            <w:r>
              <w:rPr>
                <w:rFonts w:ascii="宋体" w:hAnsi="宋体" w:cs="宋体"/>
              </w:rPr>
              <w:t>折旧费</w:t>
            </w:r>
          </w:p>
        </w:tc>
        <w:tc>
          <w:tcPr>
            <w:tcW w:w="986" w:type="dxa"/>
            <w:tcBorders>
              <w:top w:val="single" w:color="000000" w:sz="4" w:space="0"/>
              <w:left w:val="single" w:color="000000" w:sz="4" w:space="0"/>
              <w:bottom w:val="nil"/>
              <w:right w:val="single" w:color="000000" w:sz="4" w:space="0"/>
            </w:tcBorders>
          </w:tcPr>
          <w:p>
            <w:pPr>
              <w:pStyle w:val="72"/>
              <w:spacing w:before="6"/>
              <w:rPr>
                <w:rFonts w:ascii="宋体" w:hAnsi="宋体" w:cs="宋体"/>
                <w:szCs w:val="21"/>
              </w:rPr>
            </w:pPr>
          </w:p>
          <w:p>
            <w:pPr>
              <w:pStyle w:val="72"/>
              <w:ind w:right="5"/>
              <w:jc w:val="center"/>
              <w:rPr>
                <w:rFonts w:ascii="宋体" w:hAnsi="宋体" w:cs="宋体"/>
              </w:rPr>
            </w:pPr>
            <w:r>
              <w:rPr>
                <w:rFonts w:ascii="宋体" w:hAnsi="宋体" w:cs="宋体"/>
              </w:rPr>
              <w:t>使用费</w:t>
            </w:r>
          </w:p>
        </w:tc>
        <w:tc>
          <w:tcPr>
            <w:tcW w:w="1286" w:type="dxa"/>
            <w:tcBorders>
              <w:top w:val="single" w:color="000000" w:sz="4" w:space="0"/>
              <w:left w:val="single" w:color="000000" w:sz="4" w:space="0"/>
              <w:bottom w:val="nil"/>
              <w:right w:val="single" w:color="000000" w:sz="4" w:space="0"/>
            </w:tcBorders>
          </w:tcPr>
          <w:p>
            <w:pPr>
              <w:pStyle w:val="72"/>
              <w:spacing w:before="12" w:line="404" w:lineRule="exact"/>
              <w:ind w:left="28" w:right="55" w:firstLine="364"/>
              <w:rPr>
                <w:rFonts w:ascii="宋体" w:hAnsi="宋体" w:cs="宋体"/>
              </w:rPr>
            </w:pPr>
            <w:r>
              <w:rPr>
                <w:rFonts w:ascii="宋体" w:hAnsi="宋体" w:cs="宋体"/>
              </w:rPr>
              <w:t>小计 折旧及使用</w:t>
            </w:r>
          </w:p>
        </w:tc>
        <w:tc>
          <w:tcPr>
            <w:tcW w:w="1286" w:type="dxa"/>
            <w:tcBorders>
              <w:top w:val="single" w:color="000000" w:sz="4" w:space="0"/>
              <w:left w:val="single" w:color="000000" w:sz="4" w:space="0"/>
              <w:bottom w:val="nil"/>
              <w:right w:val="single" w:color="000000" w:sz="4" w:space="0"/>
            </w:tcBorders>
          </w:tcPr>
          <w:p>
            <w:pPr>
              <w:pStyle w:val="72"/>
              <w:rPr>
                <w:rFonts w:ascii="宋体" w:hAnsi="宋体" w:cs="宋体"/>
              </w:rPr>
            </w:pPr>
          </w:p>
          <w:p>
            <w:pPr>
              <w:pStyle w:val="72"/>
              <w:spacing w:before="187"/>
              <w:ind w:left="158"/>
              <w:rPr>
                <w:rFonts w:ascii="宋体" w:hAnsi="宋体" w:cs="宋体"/>
                <w:sz w:val="23"/>
                <w:szCs w:val="23"/>
              </w:rPr>
            </w:pPr>
            <w:r>
              <w:rPr>
                <w:rFonts w:ascii="宋体" w:hAnsi="宋体" w:cs="宋体"/>
                <w:sz w:val="23"/>
                <w:szCs w:val="23"/>
              </w:rPr>
              <w:t>设备名称</w:t>
            </w:r>
          </w:p>
        </w:tc>
        <w:tc>
          <w:tcPr>
            <w:tcW w:w="874" w:type="dxa"/>
            <w:tcBorders>
              <w:top w:val="single" w:color="000000" w:sz="4" w:space="0"/>
              <w:left w:val="single" w:color="000000" w:sz="4" w:space="0"/>
              <w:bottom w:val="nil"/>
              <w:right w:val="single" w:color="000000" w:sz="4" w:space="0"/>
            </w:tcBorders>
          </w:tcPr>
          <w:p>
            <w:pPr>
              <w:pStyle w:val="72"/>
              <w:rPr>
                <w:rFonts w:ascii="宋体" w:hAnsi="宋体" w:cs="宋体"/>
              </w:rPr>
            </w:pPr>
          </w:p>
          <w:p>
            <w:pPr>
              <w:pStyle w:val="72"/>
              <w:spacing w:before="194"/>
              <w:ind w:left="196"/>
              <w:rPr>
                <w:rFonts w:ascii="宋体" w:hAnsi="宋体" w:cs="宋体"/>
              </w:rPr>
            </w:pPr>
            <w:r>
              <w:rPr>
                <w:rFonts w:ascii="宋体" w:hAnsi="宋体" w:cs="宋体"/>
              </w:rPr>
              <w:t>型号</w:t>
            </w:r>
          </w:p>
        </w:tc>
        <w:tc>
          <w:tcPr>
            <w:tcW w:w="720" w:type="dxa"/>
            <w:tcBorders>
              <w:top w:val="single" w:color="000000" w:sz="4" w:space="0"/>
              <w:left w:val="single" w:color="000000" w:sz="4" w:space="0"/>
              <w:bottom w:val="nil"/>
              <w:right w:val="single" w:color="000000" w:sz="4" w:space="0"/>
            </w:tcBorders>
          </w:tcPr>
          <w:p>
            <w:pPr>
              <w:pStyle w:val="72"/>
              <w:rPr>
                <w:rFonts w:ascii="宋体" w:hAnsi="宋体" w:cs="宋体"/>
              </w:rPr>
            </w:pPr>
          </w:p>
          <w:p>
            <w:pPr>
              <w:pStyle w:val="72"/>
              <w:spacing w:before="194"/>
              <w:ind w:left="120"/>
              <w:rPr>
                <w:rFonts w:ascii="宋体" w:hAnsi="宋体" w:cs="宋体"/>
              </w:rPr>
            </w:pPr>
            <w:r>
              <w:rPr>
                <w:rFonts w:ascii="宋体" w:hAnsi="宋体" w:cs="宋体"/>
              </w:rPr>
              <w:t>数量</w:t>
            </w:r>
          </w:p>
        </w:tc>
        <w:tc>
          <w:tcPr>
            <w:tcW w:w="1080" w:type="dxa"/>
            <w:tcBorders>
              <w:top w:val="single" w:color="000000" w:sz="4" w:space="0"/>
              <w:left w:val="single" w:color="000000" w:sz="4" w:space="0"/>
              <w:bottom w:val="nil"/>
              <w:right w:val="single" w:color="000000" w:sz="4" w:space="0"/>
            </w:tcBorders>
          </w:tcPr>
          <w:p>
            <w:pPr>
              <w:pStyle w:val="72"/>
              <w:spacing w:before="6"/>
              <w:rPr>
                <w:rFonts w:ascii="宋体" w:hAnsi="宋体" w:cs="宋体"/>
                <w:szCs w:val="21"/>
              </w:rPr>
            </w:pPr>
          </w:p>
          <w:p>
            <w:pPr>
              <w:pStyle w:val="72"/>
              <w:ind w:right="1"/>
              <w:jc w:val="center"/>
              <w:rPr>
                <w:rFonts w:ascii="宋体" w:hAnsi="宋体" w:cs="宋体"/>
              </w:rPr>
            </w:pPr>
            <w:r>
              <w:rPr>
                <w:rFonts w:ascii="宋体" w:hAnsi="宋体" w:cs="宋体"/>
              </w:rPr>
              <w:t>购置合价</w:t>
            </w:r>
          </w:p>
        </w:tc>
        <w:tc>
          <w:tcPr>
            <w:tcW w:w="1082" w:type="dxa"/>
            <w:tcBorders>
              <w:top w:val="single" w:color="000000" w:sz="4" w:space="0"/>
              <w:left w:val="single" w:color="000000" w:sz="4" w:space="0"/>
              <w:bottom w:val="nil"/>
              <w:right w:val="single" w:color="000000" w:sz="4" w:space="0"/>
            </w:tcBorders>
          </w:tcPr>
          <w:p>
            <w:pPr>
              <w:pStyle w:val="72"/>
              <w:spacing w:before="6"/>
              <w:rPr>
                <w:rFonts w:ascii="宋体" w:hAnsi="宋体" w:cs="宋体"/>
                <w:szCs w:val="21"/>
              </w:rPr>
            </w:pPr>
          </w:p>
          <w:p>
            <w:pPr>
              <w:pStyle w:val="72"/>
              <w:ind w:left="20"/>
              <w:jc w:val="center"/>
              <w:rPr>
                <w:rFonts w:ascii="宋体" w:hAnsi="宋体" w:cs="宋体"/>
              </w:rPr>
            </w:pPr>
            <w:r>
              <w:rPr>
                <w:rFonts w:ascii="宋体" w:hAnsi="宋体" w:cs="宋体"/>
              </w:rPr>
              <w:t>折旧费</w:t>
            </w:r>
          </w:p>
        </w:tc>
        <w:tc>
          <w:tcPr>
            <w:tcW w:w="1080" w:type="dxa"/>
            <w:tcBorders>
              <w:top w:val="single" w:color="000000" w:sz="4" w:space="0"/>
              <w:left w:val="single" w:color="000000" w:sz="4" w:space="0"/>
              <w:bottom w:val="nil"/>
              <w:right w:val="single" w:color="000000" w:sz="4" w:space="0"/>
            </w:tcBorders>
          </w:tcPr>
          <w:p>
            <w:pPr>
              <w:pStyle w:val="72"/>
              <w:spacing w:before="6"/>
              <w:rPr>
                <w:rFonts w:ascii="宋体" w:hAnsi="宋体" w:cs="宋体"/>
                <w:szCs w:val="21"/>
              </w:rPr>
            </w:pPr>
          </w:p>
          <w:p>
            <w:pPr>
              <w:pStyle w:val="72"/>
              <w:jc w:val="center"/>
              <w:rPr>
                <w:rFonts w:ascii="宋体" w:hAnsi="宋体" w:cs="宋体"/>
              </w:rPr>
            </w:pPr>
            <w:r>
              <w:rPr>
                <w:rFonts w:ascii="宋体" w:hAnsi="宋体" w:cs="宋体"/>
              </w:rPr>
              <w:t>使用费</w:t>
            </w:r>
          </w:p>
        </w:tc>
        <w:tc>
          <w:tcPr>
            <w:tcW w:w="1284" w:type="dxa"/>
            <w:tcBorders>
              <w:top w:val="single" w:color="000000" w:sz="4" w:space="0"/>
              <w:left w:val="single" w:color="000000" w:sz="4" w:space="0"/>
              <w:bottom w:val="nil"/>
              <w:right w:val="single" w:color="000000" w:sz="8" w:space="0"/>
            </w:tcBorders>
          </w:tcPr>
          <w:p>
            <w:pPr>
              <w:pStyle w:val="72"/>
              <w:spacing w:before="12" w:line="404" w:lineRule="exact"/>
              <w:ind w:left="26" w:right="50" w:firstLine="364"/>
              <w:rPr>
                <w:rFonts w:ascii="宋体" w:hAnsi="宋体" w:cs="宋体"/>
              </w:rPr>
            </w:pPr>
            <w:r>
              <w:rPr>
                <w:rFonts w:ascii="宋体" w:hAnsi="宋体" w:cs="宋体"/>
              </w:rPr>
              <w:t>小计 折旧及使用</w:t>
            </w:r>
          </w:p>
        </w:tc>
      </w:tr>
      <w:tr>
        <w:tblPrEx>
          <w:tblCellMar>
            <w:top w:w="0" w:type="dxa"/>
            <w:left w:w="0" w:type="dxa"/>
            <w:bottom w:w="0" w:type="dxa"/>
            <w:right w:w="0" w:type="dxa"/>
          </w:tblCellMar>
        </w:tblPrEx>
        <w:trPr>
          <w:trHeight w:val="435" w:hRule="exact"/>
        </w:trPr>
        <w:tc>
          <w:tcPr>
            <w:tcW w:w="494" w:type="dxa"/>
            <w:vMerge w:val="continue"/>
            <w:tcBorders>
              <w:left w:val="single" w:color="000000" w:sz="8" w:space="0"/>
              <w:bottom w:val="single" w:color="000000" w:sz="4" w:space="0"/>
              <w:right w:val="single" w:color="000000" w:sz="4" w:space="0"/>
            </w:tcBorders>
          </w:tcPr>
          <w:p/>
        </w:tc>
        <w:tc>
          <w:tcPr>
            <w:tcW w:w="1082" w:type="dxa"/>
            <w:tcBorders>
              <w:top w:val="nil"/>
              <w:left w:val="single" w:color="000000" w:sz="4" w:space="0"/>
              <w:bottom w:val="single" w:color="000000" w:sz="4" w:space="0"/>
              <w:right w:val="single" w:color="000000" w:sz="4" w:space="0"/>
            </w:tcBorders>
          </w:tcPr>
          <w:p/>
        </w:tc>
        <w:tc>
          <w:tcPr>
            <w:tcW w:w="835" w:type="dxa"/>
            <w:tcBorders>
              <w:top w:val="nil"/>
              <w:left w:val="single" w:color="000000" w:sz="4" w:space="0"/>
              <w:bottom w:val="single" w:color="000000" w:sz="4" w:space="0"/>
              <w:right w:val="single" w:color="000000" w:sz="4" w:space="0"/>
            </w:tcBorders>
          </w:tcPr>
          <w:p/>
        </w:tc>
        <w:tc>
          <w:tcPr>
            <w:tcW w:w="734" w:type="dxa"/>
            <w:tcBorders>
              <w:top w:val="nil"/>
              <w:left w:val="single" w:color="000000" w:sz="4" w:space="0"/>
              <w:bottom w:val="single" w:color="000000" w:sz="4" w:space="0"/>
              <w:right w:val="single" w:color="000000" w:sz="4" w:space="0"/>
            </w:tcBorders>
          </w:tcPr>
          <w:p/>
        </w:tc>
        <w:tc>
          <w:tcPr>
            <w:tcW w:w="1127" w:type="dxa"/>
            <w:tcBorders>
              <w:top w:val="nil"/>
              <w:left w:val="single" w:color="000000" w:sz="4" w:space="0"/>
              <w:bottom w:val="single" w:color="000000" w:sz="4" w:space="0"/>
              <w:right w:val="single" w:color="000000" w:sz="4" w:space="0"/>
            </w:tcBorders>
          </w:tcPr>
          <w:p>
            <w:pPr>
              <w:pStyle w:val="72"/>
              <w:spacing w:line="222" w:lineRule="exact"/>
              <w:ind w:left="32"/>
              <w:jc w:val="center"/>
              <w:rPr>
                <w:rFonts w:ascii="宋体" w:hAnsi="宋体" w:cs="宋体"/>
              </w:rPr>
            </w:pPr>
            <w:r>
              <w:rPr>
                <w:rFonts w:ascii="宋体" w:hAnsi="宋体" w:cs="宋体"/>
              </w:rPr>
              <w:t>（</w:t>
            </w:r>
            <w:r>
              <w:rPr>
                <w:rFonts w:hint="eastAsia" w:ascii="宋体" w:hAnsi="宋体" w:cs="宋体"/>
              </w:rPr>
              <w:t>元</w:t>
            </w:r>
            <w:r>
              <w:rPr>
                <w:rFonts w:ascii="宋体" w:hAnsi="宋体" w:cs="宋体"/>
              </w:rPr>
              <w:t>）</w:t>
            </w:r>
          </w:p>
        </w:tc>
        <w:tc>
          <w:tcPr>
            <w:tcW w:w="984" w:type="dxa"/>
            <w:tcBorders>
              <w:top w:val="nil"/>
              <w:left w:val="single" w:color="000000" w:sz="4" w:space="0"/>
              <w:bottom w:val="single" w:color="000000" w:sz="4" w:space="0"/>
              <w:right w:val="single" w:color="000000" w:sz="4" w:space="0"/>
            </w:tcBorders>
          </w:tcPr>
          <w:p>
            <w:pPr>
              <w:pStyle w:val="72"/>
              <w:spacing w:line="222" w:lineRule="exact"/>
              <w:ind w:left="17"/>
              <w:jc w:val="center"/>
              <w:rPr>
                <w:rFonts w:ascii="宋体" w:hAnsi="宋体" w:cs="宋体"/>
              </w:rPr>
            </w:pPr>
            <w:r>
              <w:rPr>
                <w:rFonts w:ascii="宋体" w:hAnsi="宋体" w:cs="宋体"/>
              </w:rPr>
              <w:t>（</w:t>
            </w:r>
            <w:r>
              <w:rPr>
                <w:rFonts w:hint="eastAsia" w:ascii="宋体" w:hAnsi="宋体" w:cs="宋体"/>
              </w:rPr>
              <w:t>元</w:t>
            </w:r>
            <w:r>
              <w:rPr>
                <w:rFonts w:ascii="宋体" w:hAnsi="宋体" w:cs="宋体"/>
              </w:rPr>
              <w:t>）</w:t>
            </w:r>
          </w:p>
        </w:tc>
        <w:tc>
          <w:tcPr>
            <w:tcW w:w="986" w:type="dxa"/>
            <w:tcBorders>
              <w:top w:val="nil"/>
              <w:left w:val="single" w:color="000000" w:sz="4" w:space="0"/>
              <w:bottom w:val="single" w:color="000000" w:sz="4" w:space="0"/>
              <w:right w:val="single" w:color="000000" w:sz="4" w:space="0"/>
            </w:tcBorders>
          </w:tcPr>
          <w:p>
            <w:pPr>
              <w:pStyle w:val="72"/>
              <w:spacing w:line="222" w:lineRule="exact"/>
              <w:ind w:left="8"/>
              <w:jc w:val="center"/>
              <w:rPr>
                <w:rFonts w:ascii="宋体" w:hAnsi="宋体" w:cs="宋体"/>
              </w:rPr>
            </w:pPr>
            <w:r>
              <w:rPr>
                <w:rFonts w:ascii="宋体" w:hAnsi="宋体" w:cs="宋体"/>
              </w:rPr>
              <w:t>（</w:t>
            </w:r>
            <w:r>
              <w:rPr>
                <w:rFonts w:hint="eastAsia" w:ascii="宋体" w:hAnsi="宋体" w:cs="宋体"/>
              </w:rPr>
              <w:t>元</w:t>
            </w:r>
            <w:r>
              <w:rPr>
                <w:rFonts w:ascii="宋体" w:hAnsi="宋体" w:cs="宋体"/>
              </w:rPr>
              <w:t>）</w:t>
            </w:r>
          </w:p>
        </w:tc>
        <w:tc>
          <w:tcPr>
            <w:tcW w:w="1286" w:type="dxa"/>
            <w:tcBorders>
              <w:top w:val="nil"/>
              <w:left w:val="single" w:color="000000" w:sz="4" w:space="0"/>
              <w:bottom w:val="single" w:color="000000" w:sz="4" w:space="0"/>
              <w:right w:val="single" w:color="000000" w:sz="4" w:space="0"/>
            </w:tcBorders>
          </w:tcPr>
          <w:p>
            <w:pPr>
              <w:pStyle w:val="72"/>
              <w:spacing w:before="121"/>
              <w:ind w:left="321"/>
              <w:rPr>
                <w:rFonts w:ascii="宋体" w:hAnsi="宋体" w:cs="宋体"/>
              </w:rPr>
            </w:pPr>
            <w:r>
              <w:rPr>
                <w:rFonts w:ascii="宋体" w:hAnsi="宋体" w:cs="宋体"/>
              </w:rPr>
              <w:t>费（元）</w:t>
            </w:r>
          </w:p>
        </w:tc>
        <w:tc>
          <w:tcPr>
            <w:tcW w:w="1286" w:type="dxa"/>
            <w:tcBorders>
              <w:top w:val="nil"/>
              <w:left w:val="single" w:color="000000" w:sz="4" w:space="0"/>
              <w:bottom w:val="single" w:color="000000" w:sz="4" w:space="0"/>
              <w:right w:val="single" w:color="000000" w:sz="4" w:space="0"/>
            </w:tcBorders>
          </w:tcPr>
          <w:p/>
        </w:tc>
        <w:tc>
          <w:tcPr>
            <w:tcW w:w="874" w:type="dxa"/>
            <w:tcBorders>
              <w:top w:val="nil"/>
              <w:left w:val="single" w:color="000000" w:sz="4" w:space="0"/>
              <w:bottom w:val="single" w:color="000000" w:sz="4" w:space="0"/>
              <w:right w:val="single" w:color="000000" w:sz="4" w:space="0"/>
            </w:tcBorders>
          </w:tcPr>
          <w:p/>
        </w:tc>
        <w:tc>
          <w:tcPr>
            <w:tcW w:w="720" w:type="dxa"/>
            <w:tcBorders>
              <w:top w:val="nil"/>
              <w:left w:val="single" w:color="000000" w:sz="4" w:space="0"/>
              <w:bottom w:val="single" w:color="000000" w:sz="4" w:space="0"/>
              <w:right w:val="single" w:color="000000" w:sz="4" w:space="0"/>
            </w:tcBorders>
          </w:tcPr>
          <w:p/>
        </w:tc>
        <w:tc>
          <w:tcPr>
            <w:tcW w:w="1080" w:type="dxa"/>
            <w:tcBorders>
              <w:top w:val="nil"/>
              <w:left w:val="single" w:color="000000" w:sz="4" w:space="0"/>
              <w:bottom w:val="single" w:color="000000" w:sz="4" w:space="0"/>
              <w:right w:val="single" w:color="000000" w:sz="4" w:space="0"/>
            </w:tcBorders>
          </w:tcPr>
          <w:p>
            <w:pPr>
              <w:pStyle w:val="72"/>
              <w:spacing w:line="222" w:lineRule="exact"/>
              <w:ind w:left="32"/>
              <w:jc w:val="center"/>
              <w:rPr>
                <w:rFonts w:ascii="宋体" w:hAnsi="宋体" w:cs="宋体"/>
              </w:rPr>
            </w:pPr>
            <w:r>
              <w:rPr>
                <w:rFonts w:ascii="宋体" w:hAnsi="宋体" w:cs="宋体"/>
              </w:rPr>
              <w:t>（</w:t>
            </w:r>
            <w:r>
              <w:rPr>
                <w:rFonts w:hint="eastAsia" w:ascii="宋体" w:hAnsi="宋体" w:cs="宋体"/>
              </w:rPr>
              <w:t>元</w:t>
            </w:r>
            <w:r>
              <w:rPr>
                <w:rFonts w:ascii="宋体" w:hAnsi="宋体" w:cs="宋体"/>
              </w:rPr>
              <w:t>）</w:t>
            </w:r>
          </w:p>
        </w:tc>
        <w:tc>
          <w:tcPr>
            <w:tcW w:w="1082" w:type="dxa"/>
            <w:tcBorders>
              <w:top w:val="nil"/>
              <w:left w:val="single" w:color="000000" w:sz="4" w:space="0"/>
              <w:bottom w:val="single" w:color="000000" w:sz="4" w:space="0"/>
              <w:right w:val="single" w:color="000000" w:sz="4" w:space="0"/>
            </w:tcBorders>
          </w:tcPr>
          <w:p>
            <w:pPr>
              <w:pStyle w:val="72"/>
              <w:spacing w:line="222" w:lineRule="exact"/>
              <w:jc w:val="center"/>
              <w:rPr>
                <w:rFonts w:ascii="宋体" w:hAnsi="宋体" w:cs="宋体"/>
              </w:rPr>
            </w:pPr>
            <w:r>
              <w:rPr>
                <w:rFonts w:ascii="宋体" w:hAnsi="宋体" w:cs="宋体"/>
              </w:rPr>
              <w:t>（</w:t>
            </w:r>
            <w:r>
              <w:rPr>
                <w:rFonts w:hint="eastAsia" w:ascii="宋体" w:hAnsi="宋体" w:cs="宋体"/>
              </w:rPr>
              <w:t>元</w:t>
            </w:r>
            <w:r>
              <w:rPr>
                <w:rFonts w:ascii="宋体" w:hAnsi="宋体" w:cs="宋体"/>
              </w:rPr>
              <w:t>）</w:t>
            </w:r>
          </w:p>
        </w:tc>
        <w:tc>
          <w:tcPr>
            <w:tcW w:w="1080" w:type="dxa"/>
            <w:tcBorders>
              <w:top w:val="nil"/>
              <w:left w:val="single" w:color="000000" w:sz="4" w:space="0"/>
              <w:bottom w:val="single" w:color="000000" w:sz="4" w:space="0"/>
              <w:right w:val="single" w:color="000000" w:sz="4" w:space="0"/>
            </w:tcBorders>
          </w:tcPr>
          <w:p>
            <w:pPr>
              <w:pStyle w:val="72"/>
              <w:spacing w:line="222" w:lineRule="exact"/>
              <w:ind w:right="1"/>
              <w:jc w:val="center"/>
              <w:rPr>
                <w:rFonts w:ascii="宋体" w:hAnsi="宋体" w:cs="宋体"/>
              </w:rPr>
            </w:pPr>
            <w:r>
              <w:rPr>
                <w:rFonts w:ascii="宋体" w:hAnsi="宋体" w:cs="宋体"/>
              </w:rPr>
              <w:t>（</w:t>
            </w:r>
            <w:r>
              <w:rPr>
                <w:rFonts w:hint="eastAsia" w:ascii="宋体" w:hAnsi="宋体" w:cs="宋体"/>
              </w:rPr>
              <w:t>元</w:t>
            </w:r>
            <w:r>
              <w:rPr>
                <w:rFonts w:ascii="宋体" w:hAnsi="宋体" w:cs="宋体"/>
              </w:rPr>
              <w:t>）</w:t>
            </w:r>
          </w:p>
        </w:tc>
        <w:tc>
          <w:tcPr>
            <w:tcW w:w="1284" w:type="dxa"/>
            <w:tcBorders>
              <w:top w:val="nil"/>
              <w:left w:val="single" w:color="000000" w:sz="4" w:space="0"/>
              <w:bottom w:val="single" w:color="000000" w:sz="4" w:space="0"/>
              <w:right w:val="single" w:color="000000" w:sz="8" w:space="0"/>
            </w:tcBorders>
          </w:tcPr>
          <w:p>
            <w:pPr>
              <w:pStyle w:val="72"/>
              <w:spacing w:before="121"/>
              <w:ind w:left="319"/>
              <w:rPr>
                <w:rFonts w:ascii="宋体" w:hAnsi="宋体" w:cs="宋体"/>
              </w:rPr>
            </w:pPr>
            <w:r>
              <w:rPr>
                <w:rFonts w:ascii="宋体" w:hAnsi="宋体" w:cs="宋体"/>
              </w:rPr>
              <w:t>费（元）</w:t>
            </w:r>
          </w:p>
        </w:tc>
      </w:tr>
      <w:tr>
        <w:tblPrEx>
          <w:tblCellMar>
            <w:top w:w="0" w:type="dxa"/>
            <w:left w:w="0" w:type="dxa"/>
            <w:bottom w:w="0" w:type="dxa"/>
            <w:right w:w="0" w:type="dxa"/>
          </w:tblCellMar>
        </w:tblPrEx>
        <w:trPr>
          <w:trHeight w:val="490" w:hRule="exact"/>
        </w:trPr>
        <w:tc>
          <w:tcPr>
            <w:tcW w:w="494" w:type="dxa"/>
            <w:tcBorders>
              <w:top w:val="single" w:color="000000" w:sz="4" w:space="0"/>
              <w:left w:val="single" w:color="000000" w:sz="8" w:space="0"/>
              <w:bottom w:val="single" w:color="000000" w:sz="4" w:space="0"/>
              <w:right w:val="single" w:color="000000" w:sz="4" w:space="0"/>
            </w:tcBorders>
          </w:tcPr>
          <w:p>
            <w:pPr>
              <w:pStyle w:val="72"/>
              <w:spacing w:before="174"/>
              <w:ind w:right="176"/>
              <w:jc w:val="right"/>
              <w:rPr>
                <w:rFonts w:eastAsia="Times New Roman"/>
              </w:rPr>
            </w:pPr>
            <w:r>
              <w:rPr>
                <w:rFonts w:hint="eastAsia" w:eastAsia="Times New Roman"/>
              </w:rPr>
              <w:t>1</w:t>
            </w:r>
          </w:p>
        </w:tc>
        <w:tc>
          <w:tcPr>
            <w:tcW w:w="1082" w:type="dxa"/>
            <w:tcBorders>
              <w:top w:val="single" w:color="000000" w:sz="4" w:space="0"/>
              <w:left w:val="single" w:color="000000" w:sz="4" w:space="0"/>
              <w:bottom w:val="single" w:color="000000" w:sz="4" w:space="0"/>
              <w:right w:val="single" w:color="000000" w:sz="4" w:space="0"/>
            </w:tcBorders>
          </w:tcPr>
          <w:p>
            <w:pPr>
              <w:pStyle w:val="72"/>
              <w:spacing w:before="174"/>
              <w:ind w:right="176"/>
              <w:jc w:val="right"/>
              <w:rPr>
                <w:rFonts w:eastAsia="Times New Roman"/>
              </w:rPr>
            </w:pPr>
          </w:p>
        </w:tc>
        <w:tc>
          <w:tcPr>
            <w:tcW w:w="835" w:type="dxa"/>
            <w:tcBorders>
              <w:top w:val="single" w:color="000000" w:sz="4" w:space="0"/>
              <w:left w:val="single" w:color="000000" w:sz="4" w:space="0"/>
              <w:bottom w:val="single" w:color="000000" w:sz="4" w:space="0"/>
              <w:right w:val="single" w:color="000000" w:sz="4" w:space="0"/>
            </w:tcBorders>
          </w:tcPr>
          <w:p/>
        </w:tc>
        <w:tc>
          <w:tcPr>
            <w:tcW w:w="734" w:type="dxa"/>
            <w:tcBorders>
              <w:top w:val="single" w:color="000000" w:sz="4" w:space="0"/>
              <w:left w:val="single" w:color="000000" w:sz="4" w:space="0"/>
              <w:bottom w:val="single" w:color="000000" w:sz="4" w:space="0"/>
              <w:right w:val="single" w:color="000000" w:sz="4" w:space="0"/>
            </w:tcBorders>
          </w:tcPr>
          <w:p/>
        </w:tc>
        <w:tc>
          <w:tcPr>
            <w:tcW w:w="1127" w:type="dxa"/>
            <w:tcBorders>
              <w:top w:val="single" w:color="000000" w:sz="4" w:space="0"/>
              <w:left w:val="single" w:color="000000" w:sz="4" w:space="0"/>
              <w:bottom w:val="single" w:color="000000" w:sz="4" w:space="0"/>
              <w:right w:val="single" w:color="000000" w:sz="4" w:space="0"/>
            </w:tcBorders>
          </w:tcPr>
          <w:p/>
        </w:tc>
        <w:tc>
          <w:tcPr>
            <w:tcW w:w="984" w:type="dxa"/>
            <w:tcBorders>
              <w:top w:val="single" w:color="000000" w:sz="4" w:space="0"/>
              <w:left w:val="single" w:color="000000" w:sz="4" w:space="0"/>
              <w:bottom w:val="single" w:color="000000" w:sz="4" w:space="0"/>
              <w:right w:val="single" w:color="000000" w:sz="4" w:space="0"/>
            </w:tcBorders>
          </w:tcPr>
          <w:p/>
        </w:tc>
        <w:tc>
          <w:tcPr>
            <w:tcW w:w="986" w:type="dxa"/>
            <w:tcBorders>
              <w:top w:val="single" w:color="000000" w:sz="4" w:space="0"/>
              <w:left w:val="single" w:color="000000" w:sz="4" w:space="0"/>
              <w:bottom w:val="single" w:color="000000" w:sz="4" w:space="0"/>
              <w:right w:val="single" w:color="000000" w:sz="4" w:space="0"/>
            </w:tcBorders>
          </w:tcPr>
          <w:p/>
        </w:tc>
        <w:tc>
          <w:tcPr>
            <w:tcW w:w="1286" w:type="dxa"/>
            <w:tcBorders>
              <w:top w:val="single" w:color="000000" w:sz="4" w:space="0"/>
              <w:left w:val="single" w:color="000000" w:sz="4" w:space="0"/>
              <w:bottom w:val="single" w:color="000000" w:sz="4" w:space="0"/>
              <w:right w:val="single" w:color="000000" w:sz="4" w:space="0"/>
            </w:tcBorders>
          </w:tcPr>
          <w:p/>
        </w:tc>
        <w:tc>
          <w:tcPr>
            <w:tcW w:w="1286" w:type="dxa"/>
            <w:tcBorders>
              <w:top w:val="single" w:color="000000" w:sz="4" w:space="0"/>
              <w:left w:val="single" w:color="000000" w:sz="4" w:space="0"/>
              <w:bottom w:val="single" w:color="000000" w:sz="4" w:space="0"/>
              <w:right w:val="single" w:color="000000" w:sz="4" w:space="0"/>
            </w:tcBorders>
          </w:tcPr>
          <w:p/>
        </w:tc>
        <w:tc>
          <w:tcPr>
            <w:tcW w:w="874"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284"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92" w:hRule="exact"/>
        </w:trPr>
        <w:tc>
          <w:tcPr>
            <w:tcW w:w="494" w:type="dxa"/>
            <w:tcBorders>
              <w:top w:val="single" w:color="000000" w:sz="4" w:space="0"/>
              <w:left w:val="single" w:color="000000" w:sz="8" w:space="0"/>
              <w:bottom w:val="single" w:color="000000" w:sz="4" w:space="0"/>
              <w:right w:val="single" w:color="000000" w:sz="4" w:space="0"/>
            </w:tcBorders>
          </w:tcPr>
          <w:p>
            <w:pPr>
              <w:pStyle w:val="72"/>
              <w:spacing w:before="174"/>
              <w:ind w:right="176"/>
              <w:jc w:val="right"/>
              <w:rPr>
                <w:rFonts w:eastAsia="Times New Roman"/>
              </w:rPr>
            </w:pPr>
            <w:r>
              <w:rPr>
                <w:rFonts w:eastAsia="Times New Roman"/>
              </w:rPr>
              <w:t>2</w:t>
            </w:r>
          </w:p>
        </w:tc>
        <w:tc>
          <w:tcPr>
            <w:tcW w:w="1082"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835" w:type="dxa"/>
            <w:tcBorders>
              <w:top w:val="single" w:color="000000" w:sz="4" w:space="0"/>
              <w:left w:val="single" w:color="000000" w:sz="4" w:space="0"/>
              <w:bottom w:val="single" w:color="000000" w:sz="4" w:space="0"/>
              <w:right w:val="single" w:color="000000" w:sz="4" w:space="0"/>
            </w:tcBorders>
          </w:tcPr>
          <w:p/>
        </w:tc>
        <w:tc>
          <w:tcPr>
            <w:tcW w:w="734" w:type="dxa"/>
            <w:tcBorders>
              <w:top w:val="single" w:color="000000" w:sz="4" w:space="0"/>
              <w:left w:val="single" w:color="000000" w:sz="4" w:space="0"/>
              <w:bottom w:val="single" w:color="000000" w:sz="4" w:space="0"/>
              <w:right w:val="single" w:color="000000" w:sz="4" w:space="0"/>
            </w:tcBorders>
          </w:tcPr>
          <w:p/>
        </w:tc>
        <w:tc>
          <w:tcPr>
            <w:tcW w:w="1127" w:type="dxa"/>
            <w:tcBorders>
              <w:top w:val="single" w:color="000000" w:sz="4" w:space="0"/>
              <w:left w:val="single" w:color="000000" w:sz="4" w:space="0"/>
              <w:bottom w:val="single" w:color="000000" w:sz="4" w:space="0"/>
              <w:right w:val="single" w:color="000000" w:sz="4" w:space="0"/>
            </w:tcBorders>
          </w:tcPr>
          <w:p/>
        </w:tc>
        <w:tc>
          <w:tcPr>
            <w:tcW w:w="984" w:type="dxa"/>
            <w:tcBorders>
              <w:top w:val="single" w:color="000000" w:sz="4" w:space="0"/>
              <w:left w:val="single" w:color="000000" w:sz="4" w:space="0"/>
              <w:bottom w:val="single" w:color="000000" w:sz="4" w:space="0"/>
              <w:right w:val="single" w:color="000000" w:sz="4" w:space="0"/>
            </w:tcBorders>
          </w:tcPr>
          <w:p/>
        </w:tc>
        <w:tc>
          <w:tcPr>
            <w:tcW w:w="986" w:type="dxa"/>
            <w:tcBorders>
              <w:top w:val="single" w:color="000000" w:sz="4" w:space="0"/>
              <w:left w:val="single" w:color="000000" w:sz="4" w:space="0"/>
              <w:bottom w:val="single" w:color="000000" w:sz="4" w:space="0"/>
              <w:right w:val="single" w:color="000000" w:sz="4" w:space="0"/>
            </w:tcBorders>
          </w:tcPr>
          <w:p/>
        </w:tc>
        <w:tc>
          <w:tcPr>
            <w:tcW w:w="1286" w:type="dxa"/>
            <w:tcBorders>
              <w:top w:val="single" w:color="000000" w:sz="4" w:space="0"/>
              <w:left w:val="single" w:color="000000" w:sz="4" w:space="0"/>
              <w:bottom w:val="single" w:color="000000" w:sz="4" w:space="0"/>
              <w:right w:val="single" w:color="000000" w:sz="4" w:space="0"/>
            </w:tcBorders>
          </w:tcPr>
          <w:p/>
        </w:tc>
        <w:tc>
          <w:tcPr>
            <w:tcW w:w="1286" w:type="dxa"/>
            <w:tcBorders>
              <w:top w:val="single" w:color="000000" w:sz="4" w:space="0"/>
              <w:left w:val="single" w:color="000000" w:sz="4" w:space="0"/>
              <w:bottom w:val="single" w:color="000000" w:sz="4" w:space="0"/>
              <w:right w:val="single" w:color="000000" w:sz="4" w:space="0"/>
            </w:tcBorders>
          </w:tcPr>
          <w:p/>
        </w:tc>
        <w:tc>
          <w:tcPr>
            <w:tcW w:w="874"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284"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90" w:hRule="exact"/>
        </w:trPr>
        <w:tc>
          <w:tcPr>
            <w:tcW w:w="494" w:type="dxa"/>
            <w:tcBorders>
              <w:top w:val="single" w:color="000000" w:sz="4" w:space="0"/>
              <w:left w:val="single" w:color="000000" w:sz="8" w:space="0"/>
              <w:bottom w:val="single" w:color="000000" w:sz="4" w:space="0"/>
              <w:right w:val="single" w:color="000000" w:sz="4" w:space="0"/>
            </w:tcBorders>
          </w:tcPr>
          <w:p>
            <w:pPr>
              <w:pStyle w:val="72"/>
              <w:spacing w:before="162"/>
              <w:ind w:right="165"/>
              <w:jc w:val="right"/>
              <w:rPr>
                <w:rFonts w:eastAsia="Times New Roman"/>
                <w:sz w:val="23"/>
                <w:szCs w:val="23"/>
              </w:rPr>
            </w:pPr>
            <w:r>
              <w:rPr>
                <w:sz w:val="23"/>
              </w:rPr>
              <w:t>3</w:t>
            </w:r>
          </w:p>
        </w:tc>
        <w:tc>
          <w:tcPr>
            <w:tcW w:w="1082" w:type="dxa"/>
            <w:tcBorders>
              <w:top w:val="single" w:color="000000" w:sz="4" w:space="0"/>
              <w:left w:val="single" w:color="000000" w:sz="4" w:space="0"/>
              <w:bottom w:val="single" w:color="000000" w:sz="4" w:space="0"/>
              <w:right w:val="single" w:color="000000" w:sz="4" w:space="0"/>
            </w:tcBorders>
          </w:tcPr>
          <w:p/>
        </w:tc>
        <w:tc>
          <w:tcPr>
            <w:tcW w:w="835" w:type="dxa"/>
            <w:tcBorders>
              <w:top w:val="single" w:color="000000" w:sz="4" w:space="0"/>
              <w:left w:val="single" w:color="000000" w:sz="4" w:space="0"/>
              <w:bottom w:val="single" w:color="000000" w:sz="4" w:space="0"/>
              <w:right w:val="single" w:color="000000" w:sz="4" w:space="0"/>
            </w:tcBorders>
          </w:tcPr>
          <w:p/>
        </w:tc>
        <w:tc>
          <w:tcPr>
            <w:tcW w:w="734" w:type="dxa"/>
            <w:tcBorders>
              <w:top w:val="single" w:color="000000" w:sz="4" w:space="0"/>
              <w:left w:val="single" w:color="000000" w:sz="4" w:space="0"/>
              <w:bottom w:val="single" w:color="000000" w:sz="4" w:space="0"/>
              <w:right w:val="single" w:color="000000" w:sz="4" w:space="0"/>
            </w:tcBorders>
          </w:tcPr>
          <w:p/>
        </w:tc>
        <w:tc>
          <w:tcPr>
            <w:tcW w:w="1127" w:type="dxa"/>
            <w:tcBorders>
              <w:top w:val="single" w:color="000000" w:sz="4" w:space="0"/>
              <w:left w:val="single" w:color="000000" w:sz="4" w:space="0"/>
              <w:bottom w:val="single" w:color="000000" w:sz="4" w:space="0"/>
              <w:right w:val="single" w:color="000000" w:sz="4" w:space="0"/>
            </w:tcBorders>
          </w:tcPr>
          <w:p/>
        </w:tc>
        <w:tc>
          <w:tcPr>
            <w:tcW w:w="984" w:type="dxa"/>
            <w:tcBorders>
              <w:top w:val="single" w:color="000000" w:sz="4" w:space="0"/>
              <w:left w:val="single" w:color="000000" w:sz="4" w:space="0"/>
              <w:bottom w:val="single" w:color="000000" w:sz="4" w:space="0"/>
              <w:right w:val="single" w:color="000000" w:sz="4" w:space="0"/>
            </w:tcBorders>
          </w:tcPr>
          <w:p/>
        </w:tc>
        <w:tc>
          <w:tcPr>
            <w:tcW w:w="986" w:type="dxa"/>
            <w:tcBorders>
              <w:top w:val="single" w:color="000000" w:sz="4" w:space="0"/>
              <w:left w:val="single" w:color="000000" w:sz="4" w:space="0"/>
              <w:bottom w:val="single" w:color="000000" w:sz="4" w:space="0"/>
              <w:right w:val="single" w:color="000000" w:sz="4" w:space="0"/>
            </w:tcBorders>
          </w:tcPr>
          <w:p/>
        </w:tc>
        <w:tc>
          <w:tcPr>
            <w:tcW w:w="1286" w:type="dxa"/>
            <w:tcBorders>
              <w:top w:val="single" w:color="000000" w:sz="4" w:space="0"/>
              <w:left w:val="single" w:color="000000" w:sz="4" w:space="0"/>
              <w:bottom w:val="single" w:color="000000" w:sz="4" w:space="0"/>
              <w:right w:val="single" w:color="000000" w:sz="4" w:space="0"/>
            </w:tcBorders>
          </w:tcPr>
          <w:p/>
        </w:tc>
        <w:tc>
          <w:tcPr>
            <w:tcW w:w="1286" w:type="dxa"/>
            <w:tcBorders>
              <w:top w:val="single" w:color="000000" w:sz="4" w:space="0"/>
              <w:left w:val="single" w:color="000000" w:sz="4" w:space="0"/>
              <w:bottom w:val="single" w:color="000000" w:sz="4" w:space="0"/>
              <w:right w:val="single" w:color="000000" w:sz="4" w:space="0"/>
            </w:tcBorders>
          </w:tcPr>
          <w:p/>
        </w:tc>
        <w:tc>
          <w:tcPr>
            <w:tcW w:w="874"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284"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90" w:hRule="exact"/>
        </w:trPr>
        <w:tc>
          <w:tcPr>
            <w:tcW w:w="494" w:type="dxa"/>
            <w:tcBorders>
              <w:top w:val="single" w:color="000000" w:sz="4" w:space="0"/>
              <w:left w:val="single" w:color="000000" w:sz="8" w:space="0"/>
              <w:bottom w:val="single" w:color="000000" w:sz="4" w:space="0"/>
              <w:right w:val="single" w:color="000000" w:sz="4" w:space="0"/>
            </w:tcBorders>
          </w:tcPr>
          <w:p>
            <w:pPr>
              <w:pStyle w:val="72"/>
              <w:spacing w:before="162"/>
              <w:ind w:right="173"/>
              <w:jc w:val="right"/>
              <w:rPr>
                <w:rFonts w:eastAsia="Times New Roman"/>
                <w:sz w:val="23"/>
                <w:szCs w:val="23"/>
              </w:rPr>
            </w:pPr>
            <w:r>
              <w:rPr>
                <w:sz w:val="23"/>
              </w:rPr>
              <w:t>4</w:t>
            </w:r>
          </w:p>
        </w:tc>
        <w:tc>
          <w:tcPr>
            <w:tcW w:w="1082" w:type="dxa"/>
            <w:tcBorders>
              <w:top w:val="single" w:color="000000" w:sz="4" w:space="0"/>
              <w:left w:val="single" w:color="000000" w:sz="4" w:space="0"/>
              <w:bottom w:val="single" w:color="000000" w:sz="4" w:space="0"/>
              <w:right w:val="single" w:color="000000" w:sz="4" w:space="0"/>
            </w:tcBorders>
          </w:tcPr>
          <w:p/>
        </w:tc>
        <w:tc>
          <w:tcPr>
            <w:tcW w:w="835" w:type="dxa"/>
            <w:tcBorders>
              <w:top w:val="single" w:color="000000" w:sz="4" w:space="0"/>
              <w:left w:val="single" w:color="000000" w:sz="4" w:space="0"/>
              <w:bottom w:val="single" w:color="000000" w:sz="4" w:space="0"/>
              <w:right w:val="single" w:color="000000" w:sz="4" w:space="0"/>
            </w:tcBorders>
          </w:tcPr>
          <w:p/>
        </w:tc>
        <w:tc>
          <w:tcPr>
            <w:tcW w:w="734" w:type="dxa"/>
            <w:tcBorders>
              <w:top w:val="single" w:color="000000" w:sz="4" w:space="0"/>
              <w:left w:val="single" w:color="000000" w:sz="4" w:space="0"/>
              <w:bottom w:val="single" w:color="000000" w:sz="4" w:space="0"/>
              <w:right w:val="single" w:color="000000" w:sz="4" w:space="0"/>
            </w:tcBorders>
          </w:tcPr>
          <w:p/>
        </w:tc>
        <w:tc>
          <w:tcPr>
            <w:tcW w:w="1127" w:type="dxa"/>
            <w:tcBorders>
              <w:top w:val="single" w:color="000000" w:sz="4" w:space="0"/>
              <w:left w:val="single" w:color="000000" w:sz="4" w:space="0"/>
              <w:bottom w:val="single" w:color="000000" w:sz="4" w:space="0"/>
              <w:right w:val="single" w:color="000000" w:sz="4" w:space="0"/>
            </w:tcBorders>
          </w:tcPr>
          <w:p/>
        </w:tc>
        <w:tc>
          <w:tcPr>
            <w:tcW w:w="984" w:type="dxa"/>
            <w:tcBorders>
              <w:top w:val="single" w:color="000000" w:sz="4" w:space="0"/>
              <w:left w:val="single" w:color="000000" w:sz="4" w:space="0"/>
              <w:bottom w:val="single" w:color="000000" w:sz="4" w:space="0"/>
              <w:right w:val="single" w:color="000000" w:sz="4" w:space="0"/>
            </w:tcBorders>
          </w:tcPr>
          <w:p/>
        </w:tc>
        <w:tc>
          <w:tcPr>
            <w:tcW w:w="986" w:type="dxa"/>
            <w:tcBorders>
              <w:top w:val="single" w:color="000000" w:sz="4" w:space="0"/>
              <w:left w:val="single" w:color="000000" w:sz="4" w:space="0"/>
              <w:bottom w:val="single" w:color="000000" w:sz="4" w:space="0"/>
              <w:right w:val="single" w:color="000000" w:sz="4" w:space="0"/>
            </w:tcBorders>
          </w:tcPr>
          <w:p/>
        </w:tc>
        <w:tc>
          <w:tcPr>
            <w:tcW w:w="1286" w:type="dxa"/>
            <w:tcBorders>
              <w:top w:val="single" w:color="000000" w:sz="4" w:space="0"/>
              <w:left w:val="single" w:color="000000" w:sz="4" w:space="0"/>
              <w:bottom w:val="single" w:color="000000" w:sz="4" w:space="0"/>
              <w:right w:val="single" w:color="000000" w:sz="4" w:space="0"/>
            </w:tcBorders>
          </w:tcPr>
          <w:p/>
        </w:tc>
        <w:tc>
          <w:tcPr>
            <w:tcW w:w="1286" w:type="dxa"/>
            <w:tcBorders>
              <w:top w:val="single" w:color="000000" w:sz="4" w:space="0"/>
              <w:left w:val="single" w:color="000000" w:sz="4" w:space="0"/>
              <w:bottom w:val="single" w:color="000000" w:sz="4" w:space="0"/>
              <w:right w:val="single" w:color="000000" w:sz="4" w:space="0"/>
            </w:tcBorders>
          </w:tcPr>
          <w:p/>
        </w:tc>
        <w:tc>
          <w:tcPr>
            <w:tcW w:w="874"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284"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90" w:hRule="exact"/>
        </w:trPr>
        <w:tc>
          <w:tcPr>
            <w:tcW w:w="494" w:type="dxa"/>
            <w:tcBorders>
              <w:top w:val="single" w:color="000000" w:sz="4" w:space="0"/>
              <w:left w:val="single" w:color="000000" w:sz="8" w:space="0"/>
              <w:bottom w:val="single" w:color="000000" w:sz="4" w:space="0"/>
              <w:right w:val="single" w:color="000000" w:sz="4" w:space="0"/>
            </w:tcBorders>
          </w:tcPr>
          <w:p>
            <w:pPr>
              <w:pStyle w:val="72"/>
              <w:spacing w:before="171"/>
              <w:ind w:right="168"/>
              <w:jc w:val="right"/>
              <w:rPr>
                <w:rFonts w:eastAsia="Times New Roman"/>
                <w:sz w:val="23"/>
                <w:szCs w:val="23"/>
              </w:rPr>
            </w:pPr>
            <w:r>
              <w:rPr>
                <w:sz w:val="23"/>
              </w:rPr>
              <w:t>5</w:t>
            </w:r>
          </w:p>
        </w:tc>
        <w:tc>
          <w:tcPr>
            <w:tcW w:w="1082" w:type="dxa"/>
            <w:tcBorders>
              <w:top w:val="single" w:color="000000" w:sz="4" w:space="0"/>
              <w:left w:val="single" w:color="000000" w:sz="4" w:space="0"/>
              <w:bottom w:val="single" w:color="000000" w:sz="4" w:space="0"/>
              <w:right w:val="single" w:color="000000" w:sz="4" w:space="0"/>
            </w:tcBorders>
          </w:tcPr>
          <w:p/>
        </w:tc>
        <w:tc>
          <w:tcPr>
            <w:tcW w:w="835" w:type="dxa"/>
            <w:tcBorders>
              <w:top w:val="single" w:color="000000" w:sz="4" w:space="0"/>
              <w:left w:val="single" w:color="000000" w:sz="4" w:space="0"/>
              <w:bottom w:val="single" w:color="000000" w:sz="4" w:space="0"/>
              <w:right w:val="single" w:color="000000" w:sz="4" w:space="0"/>
            </w:tcBorders>
          </w:tcPr>
          <w:p/>
        </w:tc>
        <w:tc>
          <w:tcPr>
            <w:tcW w:w="734" w:type="dxa"/>
            <w:tcBorders>
              <w:top w:val="single" w:color="000000" w:sz="4" w:space="0"/>
              <w:left w:val="single" w:color="000000" w:sz="4" w:space="0"/>
              <w:bottom w:val="single" w:color="000000" w:sz="4" w:space="0"/>
              <w:right w:val="single" w:color="000000" w:sz="4" w:space="0"/>
            </w:tcBorders>
          </w:tcPr>
          <w:p/>
        </w:tc>
        <w:tc>
          <w:tcPr>
            <w:tcW w:w="1127" w:type="dxa"/>
            <w:tcBorders>
              <w:top w:val="single" w:color="000000" w:sz="4" w:space="0"/>
              <w:left w:val="single" w:color="000000" w:sz="4" w:space="0"/>
              <w:bottom w:val="single" w:color="000000" w:sz="4" w:space="0"/>
              <w:right w:val="single" w:color="000000" w:sz="4" w:space="0"/>
            </w:tcBorders>
          </w:tcPr>
          <w:p/>
        </w:tc>
        <w:tc>
          <w:tcPr>
            <w:tcW w:w="984" w:type="dxa"/>
            <w:tcBorders>
              <w:top w:val="single" w:color="000000" w:sz="4" w:space="0"/>
              <w:left w:val="single" w:color="000000" w:sz="4" w:space="0"/>
              <w:bottom w:val="single" w:color="000000" w:sz="4" w:space="0"/>
              <w:right w:val="single" w:color="000000" w:sz="4" w:space="0"/>
            </w:tcBorders>
          </w:tcPr>
          <w:p/>
        </w:tc>
        <w:tc>
          <w:tcPr>
            <w:tcW w:w="986" w:type="dxa"/>
            <w:tcBorders>
              <w:top w:val="single" w:color="000000" w:sz="4" w:space="0"/>
              <w:left w:val="single" w:color="000000" w:sz="4" w:space="0"/>
              <w:bottom w:val="single" w:color="000000" w:sz="4" w:space="0"/>
              <w:right w:val="single" w:color="000000" w:sz="4" w:space="0"/>
            </w:tcBorders>
          </w:tcPr>
          <w:p/>
        </w:tc>
        <w:tc>
          <w:tcPr>
            <w:tcW w:w="1286" w:type="dxa"/>
            <w:tcBorders>
              <w:top w:val="single" w:color="000000" w:sz="4" w:space="0"/>
              <w:left w:val="single" w:color="000000" w:sz="4" w:space="0"/>
              <w:bottom w:val="single" w:color="000000" w:sz="4" w:space="0"/>
              <w:right w:val="single" w:color="000000" w:sz="4" w:space="0"/>
            </w:tcBorders>
          </w:tcPr>
          <w:p/>
        </w:tc>
        <w:tc>
          <w:tcPr>
            <w:tcW w:w="1286" w:type="dxa"/>
            <w:tcBorders>
              <w:top w:val="single" w:color="000000" w:sz="4" w:space="0"/>
              <w:left w:val="single" w:color="000000" w:sz="4" w:space="0"/>
              <w:bottom w:val="single" w:color="000000" w:sz="4" w:space="0"/>
              <w:right w:val="single" w:color="000000" w:sz="4" w:space="0"/>
            </w:tcBorders>
          </w:tcPr>
          <w:p/>
        </w:tc>
        <w:tc>
          <w:tcPr>
            <w:tcW w:w="874"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284"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90" w:hRule="exact"/>
        </w:trPr>
        <w:tc>
          <w:tcPr>
            <w:tcW w:w="494" w:type="dxa"/>
            <w:tcBorders>
              <w:top w:val="single" w:color="000000" w:sz="4" w:space="0"/>
              <w:left w:val="single" w:color="000000" w:sz="8" w:space="0"/>
              <w:bottom w:val="single" w:color="000000" w:sz="4" w:space="0"/>
              <w:right w:val="single" w:color="000000" w:sz="4" w:space="0"/>
            </w:tcBorders>
          </w:tcPr>
          <w:p>
            <w:pPr>
              <w:pStyle w:val="72"/>
              <w:spacing w:before="176"/>
              <w:ind w:right="166"/>
              <w:jc w:val="right"/>
              <w:rPr>
                <w:rFonts w:eastAsia="Times New Roman"/>
              </w:rPr>
            </w:pPr>
            <w:r>
              <w:t>6</w:t>
            </w:r>
          </w:p>
        </w:tc>
        <w:tc>
          <w:tcPr>
            <w:tcW w:w="1082" w:type="dxa"/>
            <w:tcBorders>
              <w:top w:val="single" w:color="000000" w:sz="4" w:space="0"/>
              <w:left w:val="single" w:color="000000" w:sz="4" w:space="0"/>
              <w:bottom w:val="single" w:color="000000" w:sz="4" w:space="0"/>
              <w:right w:val="single" w:color="000000" w:sz="4" w:space="0"/>
            </w:tcBorders>
          </w:tcPr>
          <w:p/>
        </w:tc>
        <w:tc>
          <w:tcPr>
            <w:tcW w:w="835" w:type="dxa"/>
            <w:tcBorders>
              <w:top w:val="single" w:color="000000" w:sz="4" w:space="0"/>
              <w:left w:val="single" w:color="000000" w:sz="4" w:space="0"/>
              <w:bottom w:val="single" w:color="000000" w:sz="4" w:space="0"/>
              <w:right w:val="single" w:color="000000" w:sz="4" w:space="0"/>
            </w:tcBorders>
          </w:tcPr>
          <w:p/>
        </w:tc>
        <w:tc>
          <w:tcPr>
            <w:tcW w:w="734" w:type="dxa"/>
            <w:tcBorders>
              <w:top w:val="single" w:color="000000" w:sz="4" w:space="0"/>
              <w:left w:val="single" w:color="000000" w:sz="4" w:space="0"/>
              <w:bottom w:val="single" w:color="000000" w:sz="4" w:space="0"/>
              <w:right w:val="single" w:color="000000" w:sz="4" w:space="0"/>
            </w:tcBorders>
          </w:tcPr>
          <w:p/>
        </w:tc>
        <w:tc>
          <w:tcPr>
            <w:tcW w:w="1127" w:type="dxa"/>
            <w:tcBorders>
              <w:top w:val="single" w:color="000000" w:sz="4" w:space="0"/>
              <w:left w:val="single" w:color="000000" w:sz="4" w:space="0"/>
              <w:bottom w:val="single" w:color="000000" w:sz="4" w:space="0"/>
              <w:right w:val="single" w:color="000000" w:sz="4" w:space="0"/>
            </w:tcBorders>
          </w:tcPr>
          <w:p/>
        </w:tc>
        <w:tc>
          <w:tcPr>
            <w:tcW w:w="984" w:type="dxa"/>
            <w:tcBorders>
              <w:top w:val="single" w:color="000000" w:sz="4" w:space="0"/>
              <w:left w:val="single" w:color="000000" w:sz="4" w:space="0"/>
              <w:bottom w:val="single" w:color="000000" w:sz="4" w:space="0"/>
              <w:right w:val="single" w:color="000000" w:sz="4" w:space="0"/>
            </w:tcBorders>
          </w:tcPr>
          <w:p/>
        </w:tc>
        <w:tc>
          <w:tcPr>
            <w:tcW w:w="986" w:type="dxa"/>
            <w:tcBorders>
              <w:top w:val="single" w:color="000000" w:sz="4" w:space="0"/>
              <w:left w:val="single" w:color="000000" w:sz="4" w:space="0"/>
              <w:bottom w:val="single" w:color="000000" w:sz="4" w:space="0"/>
              <w:right w:val="single" w:color="000000" w:sz="4" w:space="0"/>
            </w:tcBorders>
          </w:tcPr>
          <w:p/>
        </w:tc>
        <w:tc>
          <w:tcPr>
            <w:tcW w:w="1286" w:type="dxa"/>
            <w:tcBorders>
              <w:top w:val="single" w:color="000000" w:sz="4" w:space="0"/>
              <w:left w:val="single" w:color="000000" w:sz="4" w:space="0"/>
              <w:bottom w:val="single" w:color="000000" w:sz="4" w:space="0"/>
              <w:right w:val="single" w:color="000000" w:sz="4" w:space="0"/>
            </w:tcBorders>
          </w:tcPr>
          <w:p/>
        </w:tc>
        <w:tc>
          <w:tcPr>
            <w:tcW w:w="1286" w:type="dxa"/>
            <w:tcBorders>
              <w:top w:val="single" w:color="000000" w:sz="4" w:space="0"/>
              <w:left w:val="single" w:color="000000" w:sz="4" w:space="0"/>
              <w:bottom w:val="single" w:color="000000" w:sz="4" w:space="0"/>
              <w:right w:val="single" w:color="000000" w:sz="4" w:space="0"/>
            </w:tcBorders>
          </w:tcPr>
          <w:p/>
        </w:tc>
        <w:tc>
          <w:tcPr>
            <w:tcW w:w="874"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284"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90" w:hRule="exact"/>
        </w:trPr>
        <w:tc>
          <w:tcPr>
            <w:tcW w:w="494" w:type="dxa"/>
            <w:tcBorders>
              <w:top w:val="single" w:color="000000" w:sz="4" w:space="0"/>
              <w:left w:val="single" w:color="000000" w:sz="8" w:space="0"/>
              <w:bottom w:val="single" w:color="000000" w:sz="4" w:space="0"/>
              <w:right w:val="single" w:color="000000" w:sz="4" w:space="0"/>
            </w:tcBorders>
          </w:tcPr>
          <w:p>
            <w:pPr>
              <w:pStyle w:val="72"/>
              <w:spacing w:before="162"/>
              <w:ind w:left="136"/>
              <w:rPr>
                <w:rFonts w:ascii="宋体" w:hAnsi="宋体" w:cs="宋体"/>
                <w:sz w:val="20"/>
                <w:szCs w:val="20"/>
              </w:rPr>
            </w:pPr>
            <w:r>
              <w:rPr>
                <w:rFonts w:hint="eastAsia" w:ascii="宋体" w:hAnsi="宋体" w:cs="宋体"/>
                <w:sz w:val="20"/>
                <w:szCs w:val="20"/>
              </w:rPr>
              <w:t>…</w:t>
            </w:r>
          </w:p>
        </w:tc>
        <w:tc>
          <w:tcPr>
            <w:tcW w:w="1082" w:type="dxa"/>
            <w:tcBorders>
              <w:top w:val="single" w:color="000000" w:sz="4" w:space="0"/>
              <w:left w:val="single" w:color="000000" w:sz="4" w:space="0"/>
              <w:bottom w:val="single" w:color="000000" w:sz="4" w:space="0"/>
              <w:right w:val="single" w:color="000000" w:sz="4" w:space="0"/>
            </w:tcBorders>
          </w:tcPr>
          <w:p>
            <w:pPr>
              <w:pStyle w:val="72"/>
              <w:spacing w:before="162"/>
              <w:ind w:left="-195"/>
              <w:rPr>
                <w:rFonts w:ascii="宋体" w:hAnsi="宋体" w:cs="宋体"/>
                <w:sz w:val="20"/>
                <w:szCs w:val="20"/>
              </w:rPr>
            </w:pPr>
          </w:p>
        </w:tc>
        <w:tc>
          <w:tcPr>
            <w:tcW w:w="835" w:type="dxa"/>
            <w:tcBorders>
              <w:top w:val="single" w:color="000000" w:sz="4" w:space="0"/>
              <w:left w:val="single" w:color="000000" w:sz="4" w:space="0"/>
              <w:bottom w:val="single" w:color="000000" w:sz="4" w:space="0"/>
              <w:right w:val="single" w:color="000000" w:sz="4" w:space="0"/>
            </w:tcBorders>
          </w:tcPr>
          <w:p/>
        </w:tc>
        <w:tc>
          <w:tcPr>
            <w:tcW w:w="734" w:type="dxa"/>
            <w:tcBorders>
              <w:top w:val="single" w:color="000000" w:sz="4" w:space="0"/>
              <w:left w:val="single" w:color="000000" w:sz="4" w:space="0"/>
              <w:bottom w:val="single" w:color="000000" w:sz="4" w:space="0"/>
              <w:right w:val="single" w:color="000000" w:sz="4" w:space="0"/>
            </w:tcBorders>
          </w:tcPr>
          <w:p/>
        </w:tc>
        <w:tc>
          <w:tcPr>
            <w:tcW w:w="1127" w:type="dxa"/>
            <w:tcBorders>
              <w:top w:val="single" w:color="000000" w:sz="4" w:space="0"/>
              <w:left w:val="single" w:color="000000" w:sz="4" w:space="0"/>
              <w:bottom w:val="single" w:color="000000" w:sz="4" w:space="0"/>
              <w:right w:val="single" w:color="000000" w:sz="4" w:space="0"/>
            </w:tcBorders>
          </w:tcPr>
          <w:p/>
        </w:tc>
        <w:tc>
          <w:tcPr>
            <w:tcW w:w="984" w:type="dxa"/>
            <w:tcBorders>
              <w:top w:val="single" w:color="000000" w:sz="4" w:space="0"/>
              <w:left w:val="single" w:color="000000" w:sz="4" w:space="0"/>
              <w:bottom w:val="single" w:color="000000" w:sz="4" w:space="0"/>
              <w:right w:val="single" w:color="000000" w:sz="4" w:space="0"/>
            </w:tcBorders>
          </w:tcPr>
          <w:p/>
        </w:tc>
        <w:tc>
          <w:tcPr>
            <w:tcW w:w="986" w:type="dxa"/>
            <w:tcBorders>
              <w:top w:val="single" w:color="000000" w:sz="4" w:space="0"/>
              <w:left w:val="single" w:color="000000" w:sz="4" w:space="0"/>
              <w:bottom w:val="single" w:color="000000" w:sz="4" w:space="0"/>
              <w:right w:val="single" w:color="000000" w:sz="4" w:space="0"/>
            </w:tcBorders>
          </w:tcPr>
          <w:p/>
        </w:tc>
        <w:tc>
          <w:tcPr>
            <w:tcW w:w="1286" w:type="dxa"/>
            <w:tcBorders>
              <w:top w:val="single" w:color="000000" w:sz="4" w:space="0"/>
              <w:left w:val="single" w:color="000000" w:sz="4" w:space="0"/>
              <w:bottom w:val="single" w:color="000000" w:sz="4" w:space="0"/>
              <w:right w:val="single" w:color="000000" w:sz="4" w:space="0"/>
            </w:tcBorders>
          </w:tcPr>
          <w:p/>
        </w:tc>
        <w:tc>
          <w:tcPr>
            <w:tcW w:w="1286" w:type="dxa"/>
            <w:tcBorders>
              <w:top w:val="single" w:color="000000" w:sz="4" w:space="0"/>
              <w:left w:val="single" w:color="000000" w:sz="4" w:space="0"/>
              <w:bottom w:val="single" w:color="000000" w:sz="4" w:space="0"/>
              <w:right w:val="single" w:color="000000" w:sz="4" w:space="0"/>
            </w:tcBorders>
          </w:tcPr>
          <w:p/>
        </w:tc>
        <w:tc>
          <w:tcPr>
            <w:tcW w:w="874"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284"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97" w:hRule="exact"/>
        </w:trPr>
        <w:tc>
          <w:tcPr>
            <w:tcW w:w="4272" w:type="dxa"/>
            <w:gridSpan w:val="5"/>
            <w:tcBorders>
              <w:top w:val="single" w:color="000000" w:sz="4" w:space="0"/>
              <w:left w:val="single" w:color="000000" w:sz="8" w:space="0"/>
              <w:bottom w:val="single" w:color="000000" w:sz="8" w:space="0"/>
              <w:right w:val="single" w:color="000000" w:sz="4" w:space="0"/>
            </w:tcBorders>
          </w:tcPr>
          <w:p>
            <w:pPr>
              <w:pStyle w:val="72"/>
              <w:tabs>
                <w:tab w:val="left" w:pos="499"/>
              </w:tabs>
              <w:spacing w:before="129"/>
              <w:ind w:left="24"/>
              <w:jc w:val="center"/>
              <w:rPr>
                <w:rFonts w:ascii="宋体" w:hAnsi="宋体" w:cs="宋体"/>
              </w:rPr>
            </w:pPr>
            <w:r>
              <w:rPr>
                <w:rFonts w:ascii="宋体" w:hAnsi="宋体" w:cs="宋体"/>
              </w:rPr>
              <w:t>合</w:t>
            </w:r>
            <w:r>
              <w:rPr>
                <w:rFonts w:ascii="宋体" w:hAnsi="宋体" w:cs="宋体"/>
              </w:rPr>
              <w:tab/>
            </w:r>
            <w:r>
              <w:rPr>
                <w:rFonts w:ascii="宋体" w:hAnsi="宋体" w:cs="宋体"/>
              </w:rPr>
              <w:t>计 （元）</w:t>
            </w:r>
          </w:p>
        </w:tc>
        <w:tc>
          <w:tcPr>
            <w:tcW w:w="984" w:type="dxa"/>
            <w:tcBorders>
              <w:top w:val="single" w:color="000000" w:sz="4" w:space="0"/>
              <w:left w:val="single" w:color="000000" w:sz="4" w:space="0"/>
              <w:bottom w:val="single" w:color="000000" w:sz="8" w:space="0"/>
              <w:right w:val="single" w:color="000000" w:sz="4" w:space="0"/>
            </w:tcBorders>
          </w:tcPr>
          <w:p/>
        </w:tc>
        <w:tc>
          <w:tcPr>
            <w:tcW w:w="986" w:type="dxa"/>
            <w:tcBorders>
              <w:top w:val="single" w:color="000000" w:sz="4" w:space="0"/>
              <w:left w:val="single" w:color="000000" w:sz="4" w:space="0"/>
              <w:bottom w:val="single" w:color="000000" w:sz="8" w:space="0"/>
              <w:right w:val="single" w:color="000000" w:sz="4" w:space="0"/>
            </w:tcBorders>
          </w:tcPr>
          <w:p/>
        </w:tc>
        <w:tc>
          <w:tcPr>
            <w:tcW w:w="1286" w:type="dxa"/>
            <w:tcBorders>
              <w:top w:val="single" w:color="000000" w:sz="4" w:space="0"/>
              <w:left w:val="single" w:color="000000" w:sz="4" w:space="0"/>
              <w:bottom w:val="single" w:color="000000" w:sz="8" w:space="0"/>
              <w:right w:val="single" w:color="000000" w:sz="4" w:space="0"/>
            </w:tcBorders>
          </w:tcPr>
          <w:p/>
        </w:tc>
        <w:tc>
          <w:tcPr>
            <w:tcW w:w="3960" w:type="dxa"/>
            <w:gridSpan w:val="4"/>
            <w:tcBorders>
              <w:top w:val="single" w:color="000000" w:sz="4" w:space="0"/>
              <w:left w:val="single" w:color="000000" w:sz="4" w:space="0"/>
              <w:bottom w:val="single" w:color="000000" w:sz="8" w:space="0"/>
              <w:right w:val="single" w:color="000000" w:sz="4" w:space="0"/>
            </w:tcBorders>
          </w:tcPr>
          <w:p>
            <w:pPr>
              <w:pStyle w:val="72"/>
              <w:tabs>
                <w:tab w:val="left" w:pos="487"/>
              </w:tabs>
              <w:spacing w:before="129"/>
              <w:ind w:left="8"/>
              <w:jc w:val="center"/>
              <w:rPr>
                <w:rFonts w:ascii="宋体" w:hAnsi="宋体" w:cs="宋体"/>
              </w:rPr>
            </w:pPr>
            <w:r>
              <w:rPr>
                <w:rFonts w:ascii="宋体" w:hAnsi="宋体" w:cs="宋体"/>
              </w:rPr>
              <w:t>合</w:t>
            </w:r>
            <w:r>
              <w:rPr>
                <w:rFonts w:ascii="宋体" w:hAnsi="宋体" w:cs="宋体"/>
              </w:rPr>
              <w:tab/>
            </w:r>
            <w:r>
              <w:rPr>
                <w:rFonts w:ascii="宋体" w:hAnsi="宋体" w:cs="宋体"/>
              </w:rPr>
              <w:t>计 （元）</w:t>
            </w:r>
          </w:p>
        </w:tc>
        <w:tc>
          <w:tcPr>
            <w:tcW w:w="1082" w:type="dxa"/>
            <w:tcBorders>
              <w:top w:val="single" w:color="000000" w:sz="4" w:space="0"/>
              <w:left w:val="single" w:color="000000" w:sz="4" w:space="0"/>
              <w:bottom w:val="single" w:color="000000" w:sz="8" w:space="0"/>
              <w:right w:val="single" w:color="000000" w:sz="4" w:space="0"/>
            </w:tcBorders>
          </w:tcPr>
          <w:p/>
        </w:tc>
        <w:tc>
          <w:tcPr>
            <w:tcW w:w="1080" w:type="dxa"/>
            <w:tcBorders>
              <w:top w:val="single" w:color="000000" w:sz="4" w:space="0"/>
              <w:left w:val="single" w:color="000000" w:sz="4" w:space="0"/>
              <w:bottom w:val="single" w:color="000000" w:sz="8" w:space="0"/>
              <w:right w:val="single" w:color="000000" w:sz="4" w:space="0"/>
            </w:tcBorders>
          </w:tcPr>
          <w:p/>
        </w:tc>
        <w:tc>
          <w:tcPr>
            <w:tcW w:w="1284" w:type="dxa"/>
            <w:tcBorders>
              <w:top w:val="single" w:color="000000" w:sz="4" w:space="0"/>
              <w:left w:val="single" w:color="000000" w:sz="4" w:space="0"/>
              <w:bottom w:val="single" w:color="000000" w:sz="8" w:space="0"/>
              <w:right w:val="single" w:color="000000" w:sz="8" w:space="0"/>
            </w:tcBorders>
          </w:tcPr>
          <w:p/>
        </w:tc>
      </w:tr>
    </w:tbl>
    <w:p>
      <w:pPr>
        <w:sectPr>
          <w:pgSz w:w="16840" w:h="11910" w:orient="landscape"/>
          <w:pgMar w:top="1300" w:right="680" w:bottom="1400" w:left="980" w:header="1017" w:footer="1219" w:gutter="0"/>
          <w:cols w:space="720" w:num="1"/>
        </w:sectPr>
      </w:pPr>
    </w:p>
    <w:p>
      <w:pPr>
        <w:spacing w:before="11"/>
        <w:rPr>
          <w:rFonts w:ascii="宋体" w:hAnsi="宋体" w:cs="宋体"/>
          <w:sz w:val="17"/>
          <w:szCs w:val="17"/>
        </w:rPr>
      </w:pPr>
    </w:p>
    <w:p>
      <w:pPr>
        <w:tabs>
          <w:tab w:val="left" w:pos="5847"/>
        </w:tabs>
        <w:spacing w:before="4" w:after="27"/>
        <w:ind w:left="4964"/>
        <w:rPr>
          <w:rFonts w:eastAsia="黑体"/>
          <w:b/>
          <w:kern w:val="0"/>
          <w:sz w:val="30"/>
          <w:szCs w:val="30"/>
        </w:rPr>
      </w:pPr>
      <w:r>
        <w:rPr>
          <w:rFonts w:hint="eastAsia" w:eastAsia="黑体"/>
          <w:b/>
          <w:kern w:val="0"/>
          <w:sz w:val="30"/>
          <w:szCs w:val="30"/>
        </w:rPr>
        <w:t>表 6</w:t>
      </w:r>
      <w:r>
        <w:rPr>
          <w:rFonts w:hint="eastAsia" w:eastAsia="黑体"/>
          <w:b/>
          <w:kern w:val="0"/>
          <w:sz w:val="30"/>
          <w:szCs w:val="30"/>
        </w:rPr>
        <w:tab/>
      </w:r>
      <w:r>
        <w:rPr>
          <w:rFonts w:hint="eastAsia" w:eastAsia="黑体"/>
          <w:b/>
          <w:kern w:val="0"/>
          <w:sz w:val="30"/>
          <w:szCs w:val="30"/>
        </w:rPr>
        <w:t>监理工程师生活设施费报价表</w:t>
      </w:r>
    </w:p>
    <w:tbl>
      <w:tblPr>
        <w:tblStyle w:val="30"/>
        <w:tblW w:w="0" w:type="auto"/>
        <w:tblInd w:w="138" w:type="dxa"/>
        <w:tblLayout w:type="fixed"/>
        <w:tblCellMar>
          <w:top w:w="0" w:type="dxa"/>
          <w:left w:w="0" w:type="dxa"/>
          <w:bottom w:w="0" w:type="dxa"/>
          <w:right w:w="0" w:type="dxa"/>
        </w:tblCellMar>
      </w:tblPr>
      <w:tblGrid>
        <w:gridCol w:w="648"/>
        <w:gridCol w:w="1447"/>
        <w:gridCol w:w="785"/>
        <w:gridCol w:w="1025"/>
        <w:gridCol w:w="1001"/>
        <w:gridCol w:w="1049"/>
        <w:gridCol w:w="1553"/>
        <w:gridCol w:w="1550"/>
        <w:gridCol w:w="862"/>
        <w:gridCol w:w="1109"/>
        <w:gridCol w:w="1082"/>
        <w:gridCol w:w="1080"/>
        <w:gridCol w:w="1548"/>
      </w:tblGrid>
      <w:tr>
        <w:tblPrEx>
          <w:tblCellMar>
            <w:top w:w="0" w:type="dxa"/>
            <w:left w:w="0" w:type="dxa"/>
            <w:bottom w:w="0" w:type="dxa"/>
            <w:right w:w="0" w:type="dxa"/>
          </w:tblCellMar>
        </w:tblPrEx>
        <w:trPr>
          <w:trHeight w:val="602" w:hRule="exact"/>
        </w:trPr>
        <w:tc>
          <w:tcPr>
            <w:tcW w:w="648" w:type="dxa"/>
            <w:vMerge w:val="restart"/>
            <w:tcBorders>
              <w:top w:val="single" w:color="000000" w:sz="8" w:space="0"/>
              <w:left w:val="single" w:color="000000" w:sz="8" w:space="0"/>
              <w:right w:val="single" w:color="000000" w:sz="4" w:space="0"/>
            </w:tcBorders>
          </w:tcPr>
          <w:p>
            <w:pPr>
              <w:pStyle w:val="72"/>
              <w:rPr>
                <w:rFonts w:ascii="宋体" w:hAnsi="宋体" w:cs="宋体"/>
              </w:rPr>
            </w:pPr>
          </w:p>
          <w:p>
            <w:pPr>
              <w:pStyle w:val="72"/>
              <w:spacing w:before="2"/>
              <w:rPr>
                <w:rFonts w:ascii="宋体" w:hAnsi="宋体" w:cs="宋体"/>
              </w:rPr>
            </w:pPr>
          </w:p>
          <w:p>
            <w:pPr>
              <w:pStyle w:val="72"/>
              <w:spacing w:before="111"/>
              <w:ind w:right="41"/>
              <w:jc w:val="center"/>
              <w:rPr>
                <w:rFonts w:eastAsia="Times New Roman"/>
                <w:sz w:val="10"/>
                <w:szCs w:val="10"/>
              </w:rPr>
            </w:pPr>
            <w:r>
              <w:rPr>
                <w:rFonts w:hint="eastAsia" w:ascii="宋体" w:hAnsi="宋体" w:cs="宋体"/>
              </w:rPr>
              <w:t>序号</w:t>
            </w:r>
          </w:p>
        </w:tc>
        <w:tc>
          <w:tcPr>
            <w:tcW w:w="6860" w:type="dxa"/>
            <w:gridSpan w:val="6"/>
            <w:tcBorders>
              <w:top w:val="single" w:color="000000" w:sz="8" w:space="0"/>
              <w:left w:val="single" w:color="000000" w:sz="4" w:space="0"/>
              <w:bottom w:val="single" w:color="000000" w:sz="4" w:space="0"/>
              <w:right w:val="single" w:color="000000" w:sz="4" w:space="0"/>
            </w:tcBorders>
          </w:tcPr>
          <w:p>
            <w:pPr>
              <w:pStyle w:val="72"/>
              <w:spacing w:before="122"/>
              <w:ind w:left="8"/>
              <w:jc w:val="center"/>
              <w:rPr>
                <w:rFonts w:ascii="宋体" w:hAnsi="宋体" w:cs="宋体"/>
              </w:rPr>
            </w:pPr>
            <w:r>
              <w:rPr>
                <w:rFonts w:ascii="宋体" w:hAnsi="宋体" w:cs="宋体"/>
              </w:rPr>
              <w:t>施工期</w:t>
            </w:r>
          </w:p>
        </w:tc>
        <w:tc>
          <w:tcPr>
            <w:tcW w:w="7231" w:type="dxa"/>
            <w:gridSpan w:val="6"/>
            <w:tcBorders>
              <w:top w:val="single" w:color="000000" w:sz="8" w:space="0"/>
              <w:left w:val="single" w:color="000000" w:sz="4" w:space="0"/>
              <w:bottom w:val="single" w:color="000000" w:sz="4" w:space="0"/>
              <w:right w:val="single" w:color="000000" w:sz="8" w:space="0"/>
            </w:tcBorders>
          </w:tcPr>
          <w:p>
            <w:pPr>
              <w:pStyle w:val="72"/>
              <w:spacing w:before="122"/>
              <w:ind w:right="3"/>
              <w:jc w:val="center"/>
              <w:rPr>
                <w:rFonts w:ascii="宋体" w:hAnsi="宋体" w:cs="宋体"/>
              </w:rPr>
            </w:pPr>
            <w:r>
              <w:rPr>
                <w:rFonts w:ascii="宋体" w:hAnsi="宋体" w:cs="宋体"/>
              </w:rPr>
              <w:t>缺陷责任期</w:t>
            </w:r>
          </w:p>
        </w:tc>
      </w:tr>
      <w:tr>
        <w:tblPrEx>
          <w:tblCellMar>
            <w:top w:w="0" w:type="dxa"/>
            <w:left w:w="0" w:type="dxa"/>
            <w:bottom w:w="0" w:type="dxa"/>
            <w:right w:w="0" w:type="dxa"/>
          </w:tblCellMar>
        </w:tblPrEx>
        <w:trPr>
          <w:trHeight w:val="777" w:hRule="exact"/>
        </w:trPr>
        <w:tc>
          <w:tcPr>
            <w:tcW w:w="648" w:type="dxa"/>
            <w:vMerge w:val="continue"/>
            <w:tcBorders>
              <w:left w:val="single" w:color="000000" w:sz="8" w:space="0"/>
              <w:right w:val="single" w:color="000000" w:sz="4" w:space="0"/>
            </w:tcBorders>
          </w:tcPr>
          <w:p/>
        </w:tc>
        <w:tc>
          <w:tcPr>
            <w:tcW w:w="1447" w:type="dxa"/>
            <w:tcBorders>
              <w:top w:val="single" w:color="000000" w:sz="4" w:space="0"/>
              <w:left w:val="single" w:color="000000" w:sz="4" w:space="0"/>
              <w:bottom w:val="nil"/>
              <w:right w:val="single" w:color="000000" w:sz="4" w:space="0"/>
            </w:tcBorders>
          </w:tcPr>
          <w:p>
            <w:pPr>
              <w:pStyle w:val="72"/>
              <w:rPr>
                <w:rFonts w:ascii="宋体" w:hAnsi="宋体" w:cs="宋体"/>
              </w:rPr>
            </w:pPr>
          </w:p>
          <w:p>
            <w:pPr>
              <w:pStyle w:val="72"/>
              <w:spacing w:before="192"/>
              <w:ind w:left="119"/>
              <w:rPr>
                <w:rFonts w:ascii="宋体" w:hAnsi="宋体" w:cs="宋体"/>
              </w:rPr>
            </w:pPr>
            <w:r>
              <w:rPr>
                <w:rFonts w:ascii="宋体" w:hAnsi="宋体" w:cs="宋体"/>
              </w:rPr>
              <w:t>名称及型号</w:t>
            </w:r>
          </w:p>
        </w:tc>
        <w:tc>
          <w:tcPr>
            <w:tcW w:w="785" w:type="dxa"/>
            <w:tcBorders>
              <w:top w:val="single" w:color="000000" w:sz="4" w:space="0"/>
              <w:left w:val="single" w:color="000000" w:sz="4" w:space="0"/>
              <w:bottom w:val="nil"/>
              <w:right w:val="single" w:color="000000" w:sz="4" w:space="0"/>
            </w:tcBorders>
          </w:tcPr>
          <w:p>
            <w:pPr>
              <w:pStyle w:val="72"/>
              <w:rPr>
                <w:rFonts w:ascii="宋体" w:hAnsi="宋体" w:cs="宋体"/>
              </w:rPr>
            </w:pPr>
          </w:p>
          <w:p>
            <w:pPr>
              <w:pStyle w:val="72"/>
              <w:spacing w:before="187"/>
              <w:ind w:left="151"/>
              <w:rPr>
                <w:rFonts w:ascii="宋体" w:hAnsi="宋体" w:cs="宋体"/>
              </w:rPr>
            </w:pPr>
            <w:r>
              <w:rPr>
                <w:rFonts w:ascii="宋体" w:hAnsi="宋体" w:cs="宋体"/>
              </w:rPr>
              <w:t>数量</w:t>
            </w:r>
          </w:p>
        </w:tc>
        <w:tc>
          <w:tcPr>
            <w:tcW w:w="1025" w:type="dxa"/>
            <w:tcBorders>
              <w:top w:val="single" w:color="000000" w:sz="4" w:space="0"/>
              <w:left w:val="single" w:color="000000" w:sz="4" w:space="0"/>
              <w:bottom w:val="nil"/>
              <w:right w:val="single" w:color="000000" w:sz="4" w:space="0"/>
            </w:tcBorders>
          </w:tcPr>
          <w:p>
            <w:pPr>
              <w:pStyle w:val="72"/>
              <w:spacing w:before="3"/>
              <w:rPr>
                <w:rFonts w:ascii="宋体" w:hAnsi="宋体" w:cs="宋体"/>
                <w:szCs w:val="21"/>
              </w:rPr>
            </w:pPr>
          </w:p>
          <w:p>
            <w:pPr>
              <w:pStyle w:val="72"/>
              <w:ind w:left="148"/>
              <w:rPr>
                <w:rFonts w:ascii="宋体" w:hAnsi="宋体" w:cs="宋体"/>
              </w:rPr>
            </w:pPr>
            <w:r>
              <w:rPr>
                <w:rFonts w:ascii="宋体" w:hAnsi="宋体" w:cs="宋体"/>
              </w:rPr>
              <w:t>购置合</w:t>
            </w:r>
          </w:p>
        </w:tc>
        <w:tc>
          <w:tcPr>
            <w:tcW w:w="1001" w:type="dxa"/>
            <w:tcBorders>
              <w:top w:val="single" w:color="000000" w:sz="4" w:space="0"/>
              <w:left w:val="single" w:color="000000" w:sz="4" w:space="0"/>
              <w:bottom w:val="nil"/>
              <w:right w:val="single" w:color="000000" w:sz="4" w:space="0"/>
            </w:tcBorders>
          </w:tcPr>
          <w:p>
            <w:pPr>
              <w:pStyle w:val="72"/>
              <w:spacing w:before="8"/>
              <w:rPr>
                <w:rFonts w:ascii="宋体" w:hAnsi="宋体" w:cs="宋体"/>
                <w:szCs w:val="21"/>
              </w:rPr>
            </w:pPr>
          </w:p>
          <w:p>
            <w:pPr>
              <w:pStyle w:val="72"/>
              <w:jc w:val="center"/>
              <w:rPr>
                <w:rFonts w:ascii="宋体" w:hAnsi="宋体" w:cs="宋体"/>
              </w:rPr>
            </w:pPr>
            <w:r>
              <w:rPr>
                <w:rFonts w:ascii="宋体" w:hAnsi="宋体" w:cs="宋体"/>
              </w:rPr>
              <w:t>折旧费</w:t>
            </w:r>
          </w:p>
        </w:tc>
        <w:tc>
          <w:tcPr>
            <w:tcW w:w="1049" w:type="dxa"/>
            <w:tcBorders>
              <w:top w:val="single" w:color="000000" w:sz="4" w:space="0"/>
              <w:left w:val="single" w:color="000000" w:sz="4" w:space="0"/>
              <w:bottom w:val="nil"/>
              <w:right w:val="single" w:color="000000" w:sz="4" w:space="0"/>
            </w:tcBorders>
          </w:tcPr>
          <w:p>
            <w:pPr>
              <w:pStyle w:val="72"/>
              <w:spacing w:before="3"/>
              <w:rPr>
                <w:rFonts w:ascii="宋体" w:hAnsi="宋体" w:cs="宋体"/>
                <w:szCs w:val="21"/>
              </w:rPr>
            </w:pPr>
          </w:p>
          <w:p>
            <w:pPr>
              <w:pStyle w:val="72"/>
              <w:jc w:val="center"/>
              <w:rPr>
                <w:rFonts w:ascii="宋体" w:hAnsi="宋体" w:cs="宋体"/>
              </w:rPr>
            </w:pPr>
            <w:r>
              <w:rPr>
                <w:rFonts w:ascii="宋体" w:hAnsi="宋体" w:cs="宋体"/>
              </w:rPr>
              <w:t>使用费</w:t>
            </w:r>
          </w:p>
        </w:tc>
        <w:tc>
          <w:tcPr>
            <w:tcW w:w="1553" w:type="dxa"/>
            <w:tcBorders>
              <w:top w:val="single" w:color="000000" w:sz="4" w:space="0"/>
              <w:left w:val="single" w:color="000000" w:sz="4" w:space="0"/>
              <w:bottom w:val="nil"/>
              <w:right w:val="single" w:color="000000" w:sz="4" w:space="0"/>
            </w:tcBorders>
          </w:tcPr>
          <w:p>
            <w:pPr>
              <w:pStyle w:val="72"/>
              <w:tabs>
                <w:tab w:val="left" w:pos="890"/>
              </w:tabs>
              <w:spacing w:before="20" w:line="398" w:lineRule="exact"/>
              <w:ind w:left="170" w:right="180" w:firstLine="244"/>
              <w:rPr>
                <w:rFonts w:ascii="宋体" w:hAnsi="宋体" w:cs="宋体"/>
              </w:rPr>
            </w:pPr>
            <w:r>
              <w:rPr>
                <w:rFonts w:ascii="宋体" w:hAnsi="宋体" w:cs="宋体"/>
              </w:rPr>
              <w:t>小</w:t>
            </w:r>
            <w:r>
              <w:rPr>
                <w:rFonts w:ascii="宋体" w:hAnsi="宋体" w:cs="宋体"/>
              </w:rPr>
              <w:tab/>
            </w:r>
            <w:r>
              <w:rPr>
                <w:rFonts w:ascii="宋体" w:hAnsi="宋体" w:cs="宋体"/>
              </w:rPr>
              <w:t>计 折旧及使用</w:t>
            </w:r>
          </w:p>
        </w:tc>
        <w:tc>
          <w:tcPr>
            <w:tcW w:w="1550" w:type="dxa"/>
            <w:tcBorders>
              <w:top w:val="single" w:color="000000" w:sz="4" w:space="0"/>
              <w:left w:val="single" w:color="000000" w:sz="4" w:space="0"/>
              <w:bottom w:val="nil"/>
              <w:right w:val="single" w:color="000000" w:sz="4" w:space="0"/>
            </w:tcBorders>
          </w:tcPr>
          <w:p>
            <w:pPr>
              <w:pStyle w:val="72"/>
              <w:rPr>
                <w:rFonts w:ascii="宋体" w:hAnsi="宋体" w:cs="宋体"/>
              </w:rPr>
            </w:pPr>
          </w:p>
          <w:p>
            <w:pPr>
              <w:pStyle w:val="72"/>
              <w:spacing w:before="192"/>
              <w:ind w:left="172"/>
              <w:rPr>
                <w:rFonts w:ascii="宋体" w:hAnsi="宋体" w:cs="宋体"/>
              </w:rPr>
            </w:pPr>
            <w:r>
              <w:rPr>
                <w:rFonts w:ascii="宋体" w:hAnsi="宋体" w:cs="宋体"/>
              </w:rPr>
              <w:t>名称及型号</w:t>
            </w:r>
          </w:p>
        </w:tc>
        <w:tc>
          <w:tcPr>
            <w:tcW w:w="862" w:type="dxa"/>
            <w:tcBorders>
              <w:top w:val="single" w:color="000000" w:sz="4" w:space="0"/>
              <w:left w:val="single" w:color="000000" w:sz="4" w:space="0"/>
              <w:bottom w:val="nil"/>
              <w:right w:val="single" w:color="000000" w:sz="4" w:space="0"/>
            </w:tcBorders>
          </w:tcPr>
          <w:p>
            <w:pPr>
              <w:pStyle w:val="72"/>
              <w:rPr>
                <w:rFonts w:ascii="宋体" w:hAnsi="宋体" w:cs="宋体"/>
              </w:rPr>
            </w:pPr>
          </w:p>
          <w:p>
            <w:pPr>
              <w:pStyle w:val="72"/>
              <w:spacing w:before="192"/>
              <w:ind w:left="182"/>
              <w:rPr>
                <w:rFonts w:ascii="宋体" w:hAnsi="宋体" w:cs="宋体"/>
              </w:rPr>
            </w:pPr>
            <w:r>
              <w:rPr>
                <w:rFonts w:ascii="宋体" w:hAnsi="宋体" w:cs="宋体"/>
              </w:rPr>
              <w:t>数量</w:t>
            </w:r>
          </w:p>
        </w:tc>
        <w:tc>
          <w:tcPr>
            <w:tcW w:w="1109" w:type="dxa"/>
            <w:tcBorders>
              <w:top w:val="single" w:color="000000" w:sz="4" w:space="0"/>
              <w:left w:val="single" w:color="000000" w:sz="4" w:space="0"/>
              <w:bottom w:val="nil"/>
              <w:right w:val="single" w:color="000000" w:sz="4" w:space="0"/>
            </w:tcBorders>
          </w:tcPr>
          <w:p>
            <w:pPr>
              <w:pStyle w:val="72"/>
              <w:spacing w:before="3"/>
              <w:rPr>
                <w:rFonts w:ascii="宋体" w:hAnsi="宋体" w:cs="宋体"/>
                <w:szCs w:val="21"/>
              </w:rPr>
            </w:pPr>
          </w:p>
          <w:p>
            <w:pPr>
              <w:pStyle w:val="72"/>
              <w:ind w:left="184"/>
              <w:rPr>
                <w:rFonts w:ascii="宋体" w:hAnsi="宋体" w:cs="宋体"/>
              </w:rPr>
            </w:pPr>
            <w:r>
              <w:rPr>
                <w:rFonts w:ascii="宋体" w:hAnsi="宋体" w:cs="宋体"/>
              </w:rPr>
              <w:t>购置合</w:t>
            </w:r>
          </w:p>
        </w:tc>
        <w:tc>
          <w:tcPr>
            <w:tcW w:w="1082" w:type="dxa"/>
            <w:tcBorders>
              <w:top w:val="single" w:color="000000" w:sz="4" w:space="0"/>
              <w:left w:val="single" w:color="000000" w:sz="4" w:space="0"/>
              <w:bottom w:val="nil"/>
              <w:right w:val="single" w:color="000000" w:sz="4" w:space="0"/>
            </w:tcBorders>
          </w:tcPr>
          <w:p>
            <w:pPr>
              <w:pStyle w:val="72"/>
              <w:spacing w:before="8"/>
              <w:rPr>
                <w:rFonts w:ascii="宋体" w:hAnsi="宋体" w:cs="宋体"/>
                <w:szCs w:val="21"/>
              </w:rPr>
            </w:pPr>
          </w:p>
          <w:p>
            <w:pPr>
              <w:pStyle w:val="72"/>
              <w:ind w:right="11"/>
              <w:jc w:val="center"/>
              <w:rPr>
                <w:rFonts w:ascii="宋体" w:hAnsi="宋体" w:cs="宋体"/>
              </w:rPr>
            </w:pPr>
            <w:r>
              <w:rPr>
                <w:rFonts w:ascii="宋体" w:hAnsi="宋体" w:cs="宋体"/>
              </w:rPr>
              <w:t>折旧费</w:t>
            </w:r>
          </w:p>
        </w:tc>
        <w:tc>
          <w:tcPr>
            <w:tcW w:w="1080" w:type="dxa"/>
            <w:tcBorders>
              <w:top w:val="single" w:color="000000" w:sz="4" w:space="0"/>
              <w:left w:val="single" w:color="000000" w:sz="4" w:space="0"/>
              <w:bottom w:val="nil"/>
              <w:right w:val="single" w:color="000000" w:sz="4" w:space="0"/>
            </w:tcBorders>
          </w:tcPr>
          <w:p>
            <w:pPr>
              <w:pStyle w:val="72"/>
              <w:spacing w:before="3"/>
              <w:rPr>
                <w:rFonts w:ascii="宋体" w:hAnsi="宋体" w:cs="宋体"/>
                <w:szCs w:val="21"/>
              </w:rPr>
            </w:pPr>
          </w:p>
          <w:p>
            <w:pPr>
              <w:pStyle w:val="72"/>
              <w:ind w:right="7"/>
              <w:jc w:val="center"/>
              <w:rPr>
                <w:rFonts w:ascii="宋体" w:hAnsi="宋体" w:cs="宋体"/>
              </w:rPr>
            </w:pPr>
            <w:r>
              <w:rPr>
                <w:rFonts w:ascii="宋体" w:hAnsi="宋体" w:cs="宋体"/>
              </w:rPr>
              <w:t>使用费</w:t>
            </w:r>
          </w:p>
        </w:tc>
        <w:tc>
          <w:tcPr>
            <w:tcW w:w="1548" w:type="dxa"/>
            <w:tcBorders>
              <w:top w:val="single" w:color="000000" w:sz="4" w:space="0"/>
              <w:left w:val="single" w:color="000000" w:sz="4" w:space="0"/>
              <w:bottom w:val="nil"/>
              <w:right w:val="single" w:color="000000" w:sz="8" w:space="0"/>
            </w:tcBorders>
          </w:tcPr>
          <w:p>
            <w:pPr>
              <w:pStyle w:val="72"/>
              <w:tabs>
                <w:tab w:val="left" w:pos="883"/>
              </w:tabs>
              <w:spacing w:before="10" w:line="404" w:lineRule="exact"/>
              <w:ind w:left="163" w:right="161" w:firstLine="244"/>
              <w:rPr>
                <w:rFonts w:ascii="宋体" w:hAnsi="宋体" w:cs="宋体"/>
              </w:rPr>
            </w:pPr>
            <w:r>
              <w:rPr>
                <w:rFonts w:ascii="宋体" w:hAnsi="宋体" w:cs="宋体"/>
              </w:rPr>
              <w:t>小</w:t>
            </w:r>
            <w:r>
              <w:rPr>
                <w:rFonts w:ascii="宋体" w:hAnsi="宋体" w:cs="宋体"/>
              </w:rPr>
              <w:tab/>
            </w:r>
            <w:r>
              <w:rPr>
                <w:rFonts w:ascii="宋体" w:hAnsi="宋体" w:cs="宋体"/>
              </w:rPr>
              <w:t>计 折旧及使用</w:t>
            </w:r>
          </w:p>
        </w:tc>
      </w:tr>
      <w:tr>
        <w:tblPrEx>
          <w:tblCellMar>
            <w:top w:w="0" w:type="dxa"/>
            <w:left w:w="0" w:type="dxa"/>
            <w:bottom w:w="0" w:type="dxa"/>
            <w:right w:w="0" w:type="dxa"/>
          </w:tblCellMar>
        </w:tblPrEx>
        <w:trPr>
          <w:trHeight w:val="445" w:hRule="exact"/>
        </w:trPr>
        <w:tc>
          <w:tcPr>
            <w:tcW w:w="648" w:type="dxa"/>
            <w:vMerge w:val="continue"/>
            <w:tcBorders>
              <w:left w:val="single" w:color="000000" w:sz="8" w:space="0"/>
              <w:bottom w:val="single" w:color="000000" w:sz="4" w:space="0"/>
              <w:right w:val="single" w:color="000000" w:sz="4" w:space="0"/>
            </w:tcBorders>
          </w:tcPr>
          <w:p/>
        </w:tc>
        <w:tc>
          <w:tcPr>
            <w:tcW w:w="1447" w:type="dxa"/>
            <w:tcBorders>
              <w:top w:val="nil"/>
              <w:left w:val="single" w:color="000000" w:sz="4" w:space="0"/>
              <w:bottom w:val="single" w:color="000000" w:sz="4" w:space="0"/>
              <w:right w:val="single" w:color="000000" w:sz="4" w:space="0"/>
            </w:tcBorders>
          </w:tcPr>
          <w:p/>
        </w:tc>
        <w:tc>
          <w:tcPr>
            <w:tcW w:w="785" w:type="dxa"/>
            <w:tcBorders>
              <w:top w:val="nil"/>
              <w:left w:val="single" w:color="000000" w:sz="4" w:space="0"/>
              <w:bottom w:val="single" w:color="000000" w:sz="4" w:space="0"/>
              <w:right w:val="single" w:color="000000" w:sz="4" w:space="0"/>
            </w:tcBorders>
          </w:tcPr>
          <w:p/>
        </w:tc>
        <w:tc>
          <w:tcPr>
            <w:tcW w:w="1025" w:type="dxa"/>
            <w:tcBorders>
              <w:top w:val="nil"/>
              <w:left w:val="single" w:color="000000" w:sz="4" w:space="0"/>
              <w:bottom w:val="single" w:color="000000" w:sz="4" w:space="0"/>
              <w:right w:val="single" w:color="000000" w:sz="4" w:space="0"/>
            </w:tcBorders>
          </w:tcPr>
          <w:p>
            <w:pPr>
              <w:pStyle w:val="72"/>
              <w:spacing w:line="223" w:lineRule="exact"/>
              <w:ind w:left="187"/>
              <w:rPr>
                <w:rFonts w:ascii="宋体" w:hAnsi="宋体" w:cs="宋体"/>
              </w:rPr>
            </w:pPr>
            <w:r>
              <w:rPr>
                <w:rFonts w:ascii="宋体" w:hAnsi="宋体" w:cs="宋体"/>
              </w:rPr>
              <w:t>价</w:t>
            </w:r>
            <w:r>
              <w:rPr>
                <w:rFonts w:hint="eastAsia" w:ascii="宋体" w:hAnsi="宋体" w:cs="宋体"/>
              </w:rPr>
              <w:t>（元）</w:t>
            </w:r>
          </w:p>
        </w:tc>
        <w:tc>
          <w:tcPr>
            <w:tcW w:w="1001" w:type="dxa"/>
            <w:tcBorders>
              <w:top w:val="nil"/>
              <w:left w:val="single" w:color="000000" w:sz="4" w:space="0"/>
              <w:bottom w:val="single" w:color="000000" w:sz="4" w:space="0"/>
              <w:right w:val="single" w:color="000000" w:sz="4" w:space="0"/>
            </w:tcBorders>
          </w:tcPr>
          <w:p>
            <w:pPr>
              <w:pStyle w:val="72"/>
              <w:spacing w:line="232" w:lineRule="exact"/>
              <w:ind w:left="8"/>
              <w:jc w:val="center"/>
              <w:rPr>
                <w:rFonts w:ascii="宋体" w:hAnsi="宋体" w:cs="宋体"/>
              </w:rPr>
            </w:pPr>
            <w:r>
              <w:rPr>
                <w:rFonts w:ascii="宋体" w:hAnsi="宋体" w:cs="宋体"/>
              </w:rPr>
              <w:t>（</w:t>
            </w:r>
            <w:r>
              <w:rPr>
                <w:rFonts w:hint="eastAsia" w:ascii="宋体" w:hAnsi="宋体" w:cs="宋体"/>
              </w:rPr>
              <w:t>元</w:t>
            </w:r>
            <w:r>
              <w:rPr>
                <w:rFonts w:ascii="宋体" w:hAnsi="宋体" w:cs="宋体"/>
              </w:rPr>
              <w:t>）</w:t>
            </w:r>
          </w:p>
        </w:tc>
        <w:tc>
          <w:tcPr>
            <w:tcW w:w="1049" w:type="dxa"/>
            <w:tcBorders>
              <w:top w:val="nil"/>
              <w:left w:val="single" w:color="000000" w:sz="4" w:space="0"/>
              <w:bottom w:val="single" w:color="000000" w:sz="4" w:space="0"/>
              <w:right w:val="single" w:color="000000" w:sz="4" w:space="0"/>
            </w:tcBorders>
          </w:tcPr>
          <w:p>
            <w:pPr>
              <w:pStyle w:val="72"/>
              <w:spacing w:line="232" w:lineRule="exact"/>
              <w:ind w:left="10"/>
              <w:jc w:val="center"/>
              <w:rPr>
                <w:rFonts w:ascii="宋体" w:hAnsi="宋体" w:cs="宋体"/>
              </w:rPr>
            </w:pPr>
            <w:r>
              <w:rPr>
                <w:rFonts w:ascii="宋体" w:hAnsi="宋体" w:cs="宋体"/>
              </w:rPr>
              <w:t>（元）</w:t>
            </w:r>
          </w:p>
        </w:tc>
        <w:tc>
          <w:tcPr>
            <w:tcW w:w="1553" w:type="dxa"/>
            <w:tcBorders>
              <w:top w:val="nil"/>
              <w:left w:val="single" w:color="000000" w:sz="4" w:space="0"/>
              <w:bottom w:val="single" w:color="000000" w:sz="4" w:space="0"/>
              <w:right w:val="single" w:color="000000" w:sz="4" w:space="0"/>
            </w:tcBorders>
          </w:tcPr>
          <w:p>
            <w:pPr>
              <w:pStyle w:val="72"/>
              <w:spacing w:before="136"/>
              <w:ind w:left="463"/>
              <w:rPr>
                <w:rFonts w:ascii="宋体" w:hAnsi="宋体" w:cs="宋体"/>
              </w:rPr>
            </w:pPr>
            <w:r>
              <w:rPr>
                <w:rFonts w:ascii="宋体" w:hAnsi="宋体" w:cs="宋体"/>
              </w:rPr>
              <w:t>费</w:t>
            </w:r>
            <w:r>
              <w:rPr>
                <w:rFonts w:hint="eastAsia" w:ascii="宋体" w:hAnsi="宋体" w:cs="宋体"/>
              </w:rPr>
              <w:t>（元）</w:t>
            </w:r>
          </w:p>
        </w:tc>
        <w:tc>
          <w:tcPr>
            <w:tcW w:w="1550" w:type="dxa"/>
            <w:tcBorders>
              <w:top w:val="nil"/>
              <w:left w:val="single" w:color="000000" w:sz="4" w:space="0"/>
              <w:bottom w:val="single" w:color="000000" w:sz="4" w:space="0"/>
              <w:right w:val="single" w:color="000000" w:sz="4" w:space="0"/>
            </w:tcBorders>
          </w:tcPr>
          <w:p/>
        </w:tc>
        <w:tc>
          <w:tcPr>
            <w:tcW w:w="862" w:type="dxa"/>
            <w:tcBorders>
              <w:top w:val="nil"/>
              <w:left w:val="single" w:color="000000" w:sz="4" w:space="0"/>
              <w:bottom w:val="single" w:color="000000" w:sz="4" w:space="0"/>
              <w:right w:val="single" w:color="000000" w:sz="4" w:space="0"/>
            </w:tcBorders>
          </w:tcPr>
          <w:p/>
        </w:tc>
        <w:tc>
          <w:tcPr>
            <w:tcW w:w="1109" w:type="dxa"/>
            <w:tcBorders>
              <w:top w:val="nil"/>
              <w:left w:val="single" w:color="000000" w:sz="4" w:space="0"/>
              <w:bottom w:val="single" w:color="000000" w:sz="4" w:space="0"/>
              <w:right w:val="single" w:color="000000" w:sz="4" w:space="0"/>
            </w:tcBorders>
          </w:tcPr>
          <w:p>
            <w:pPr>
              <w:pStyle w:val="72"/>
              <w:spacing w:line="223" w:lineRule="exact"/>
              <w:ind w:left="228"/>
              <w:rPr>
                <w:rFonts w:ascii="宋体" w:hAnsi="宋体" w:cs="宋体"/>
              </w:rPr>
            </w:pPr>
            <w:r>
              <w:rPr>
                <w:rFonts w:ascii="宋体" w:hAnsi="宋体" w:cs="宋体"/>
              </w:rPr>
              <w:t>价</w:t>
            </w:r>
            <w:r>
              <w:rPr>
                <w:rFonts w:hint="eastAsia" w:ascii="宋体" w:hAnsi="宋体" w:cs="宋体"/>
              </w:rPr>
              <w:t>（元）</w:t>
            </w:r>
          </w:p>
        </w:tc>
        <w:tc>
          <w:tcPr>
            <w:tcW w:w="1082" w:type="dxa"/>
            <w:tcBorders>
              <w:top w:val="nil"/>
              <w:left w:val="single" w:color="000000" w:sz="4" w:space="0"/>
              <w:bottom w:val="single" w:color="000000" w:sz="4" w:space="0"/>
              <w:right w:val="single" w:color="000000" w:sz="4" w:space="0"/>
            </w:tcBorders>
          </w:tcPr>
          <w:p>
            <w:pPr>
              <w:pStyle w:val="72"/>
              <w:spacing w:line="228" w:lineRule="exact"/>
              <w:ind w:right="3"/>
              <w:jc w:val="center"/>
              <w:rPr>
                <w:rFonts w:ascii="宋体" w:hAnsi="宋体" w:cs="宋体"/>
              </w:rPr>
            </w:pPr>
            <w:r>
              <w:rPr>
                <w:rFonts w:hint="eastAsia" w:ascii="宋体" w:hAnsi="宋体" w:cs="宋体"/>
              </w:rPr>
              <w:t>（元）</w:t>
            </w:r>
          </w:p>
        </w:tc>
        <w:tc>
          <w:tcPr>
            <w:tcW w:w="1080" w:type="dxa"/>
            <w:tcBorders>
              <w:top w:val="nil"/>
              <w:left w:val="single" w:color="000000" w:sz="4" w:space="0"/>
              <w:bottom w:val="single" w:color="000000" w:sz="4" w:space="0"/>
              <w:right w:val="single" w:color="000000" w:sz="4" w:space="0"/>
            </w:tcBorders>
          </w:tcPr>
          <w:p>
            <w:pPr>
              <w:pStyle w:val="72"/>
              <w:spacing w:line="232" w:lineRule="exact"/>
              <w:ind w:right="6"/>
              <w:jc w:val="center"/>
              <w:rPr>
                <w:rFonts w:ascii="宋体" w:hAnsi="宋体" w:cs="宋体"/>
              </w:rPr>
            </w:pPr>
            <w:r>
              <w:rPr>
                <w:rFonts w:ascii="宋体" w:hAnsi="宋体" w:cs="宋体"/>
              </w:rPr>
              <w:t>（元）</w:t>
            </w:r>
          </w:p>
        </w:tc>
        <w:tc>
          <w:tcPr>
            <w:tcW w:w="1548" w:type="dxa"/>
            <w:tcBorders>
              <w:top w:val="nil"/>
              <w:left w:val="single" w:color="000000" w:sz="4" w:space="0"/>
              <w:bottom w:val="single" w:color="000000" w:sz="4" w:space="0"/>
              <w:right w:val="single" w:color="000000" w:sz="8" w:space="0"/>
            </w:tcBorders>
          </w:tcPr>
          <w:p>
            <w:pPr>
              <w:pStyle w:val="72"/>
              <w:spacing w:before="136"/>
              <w:ind w:left="460"/>
              <w:rPr>
                <w:rFonts w:ascii="宋体" w:hAnsi="宋体" w:cs="宋体"/>
              </w:rPr>
            </w:pPr>
            <w:r>
              <w:rPr>
                <w:rFonts w:ascii="宋体" w:hAnsi="宋体" w:cs="宋体"/>
              </w:rPr>
              <w:t>费</w:t>
            </w:r>
            <w:r>
              <w:rPr>
                <w:rFonts w:hint="eastAsia" w:ascii="宋体" w:hAnsi="宋体" w:cs="宋体"/>
              </w:rPr>
              <w:t>（元）</w:t>
            </w:r>
          </w:p>
        </w:tc>
      </w:tr>
      <w:tr>
        <w:tblPrEx>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55"/>
              <w:ind w:left="249"/>
              <w:rPr>
                <w:rFonts w:eastAsia="Times New Roman"/>
                <w:sz w:val="23"/>
                <w:szCs w:val="23"/>
              </w:rPr>
            </w:pPr>
            <w:r>
              <w:rPr>
                <w:rFonts w:hint="eastAsia" w:eastAsia="Times New Roman"/>
                <w:sz w:val="23"/>
                <w:szCs w:val="23"/>
              </w:rPr>
              <w:t>1</w:t>
            </w:r>
          </w:p>
        </w:tc>
        <w:tc>
          <w:tcPr>
            <w:tcW w:w="1447" w:type="dxa"/>
            <w:tcBorders>
              <w:top w:val="single" w:color="000000" w:sz="4" w:space="0"/>
              <w:left w:val="single" w:color="000000" w:sz="4" w:space="0"/>
              <w:bottom w:val="single" w:color="000000" w:sz="4" w:space="0"/>
              <w:right w:val="single" w:color="000000" w:sz="4" w:space="0"/>
            </w:tcBorders>
          </w:tcPr>
          <w:p>
            <w:pPr>
              <w:pStyle w:val="72"/>
              <w:spacing w:before="155"/>
              <w:ind w:left="249"/>
              <w:rPr>
                <w:rFonts w:eastAsia="Times New Roman"/>
                <w:sz w:val="23"/>
                <w:szCs w:val="23"/>
              </w:rPr>
            </w:pPr>
          </w:p>
        </w:tc>
        <w:tc>
          <w:tcPr>
            <w:tcW w:w="785" w:type="dxa"/>
            <w:tcBorders>
              <w:top w:val="single" w:color="000000" w:sz="4" w:space="0"/>
              <w:left w:val="single" w:color="000000" w:sz="4" w:space="0"/>
              <w:bottom w:val="single" w:color="000000" w:sz="4" w:space="0"/>
              <w:right w:val="single" w:color="000000" w:sz="4" w:space="0"/>
            </w:tcBorders>
          </w:tcPr>
          <w:p/>
        </w:tc>
        <w:tc>
          <w:tcPr>
            <w:tcW w:w="1025" w:type="dxa"/>
            <w:tcBorders>
              <w:top w:val="single" w:color="000000" w:sz="4" w:space="0"/>
              <w:left w:val="single" w:color="000000" w:sz="4" w:space="0"/>
              <w:bottom w:val="single" w:color="000000" w:sz="4" w:space="0"/>
              <w:right w:val="single" w:color="000000" w:sz="4" w:space="0"/>
            </w:tcBorders>
          </w:tcPr>
          <w:p/>
        </w:tc>
        <w:tc>
          <w:tcPr>
            <w:tcW w:w="1001" w:type="dxa"/>
            <w:tcBorders>
              <w:top w:val="single" w:color="000000" w:sz="4" w:space="0"/>
              <w:left w:val="single" w:color="000000" w:sz="4" w:space="0"/>
              <w:bottom w:val="single" w:color="000000" w:sz="4" w:space="0"/>
              <w:right w:val="single" w:color="000000" w:sz="4" w:space="0"/>
            </w:tcBorders>
          </w:tcPr>
          <w:p/>
        </w:tc>
        <w:tc>
          <w:tcPr>
            <w:tcW w:w="1049" w:type="dxa"/>
            <w:tcBorders>
              <w:top w:val="single" w:color="000000" w:sz="4" w:space="0"/>
              <w:left w:val="single" w:color="000000" w:sz="4" w:space="0"/>
              <w:bottom w:val="single" w:color="000000" w:sz="4" w:space="0"/>
              <w:right w:val="single" w:color="000000" w:sz="4" w:space="0"/>
            </w:tcBorders>
          </w:tcPr>
          <w:p/>
        </w:tc>
        <w:tc>
          <w:tcPr>
            <w:tcW w:w="1553" w:type="dxa"/>
            <w:tcBorders>
              <w:top w:val="single" w:color="000000" w:sz="4" w:space="0"/>
              <w:left w:val="single" w:color="000000" w:sz="4" w:space="0"/>
              <w:bottom w:val="single" w:color="000000" w:sz="4" w:space="0"/>
              <w:right w:val="single" w:color="000000" w:sz="4" w:space="0"/>
            </w:tcBorders>
          </w:tcPr>
          <w:p/>
        </w:tc>
        <w:tc>
          <w:tcPr>
            <w:tcW w:w="1550" w:type="dxa"/>
            <w:tcBorders>
              <w:top w:val="single" w:color="000000" w:sz="4" w:space="0"/>
              <w:left w:val="single" w:color="000000" w:sz="4" w:space="0"/>
              <w:bottom w:val="single" w:color="000000" w:sz="4" w:space="0"/>
              <w:right w:val="single" w:color="000000" w:sz="4" w:space="0"/>
            </w:tcBorders>
          </w:tcPr>
          <w:p/>
        </w:tc>
        <w:tc>
          <w:tcPr>
            <w:tcW w:w="862" w:type="dxa"/>
            <w:tcBorders>
              <w:top w:val="single" w:color="000000" w:sz="4" w:space="0"/>
              <w:left w:val="single" w:color="000000" w:sz="4" w:space="0"/>
              <w:bottom w:val="single" w:color="000000" w:sz="4" w:space="0"/>
              <w:right w:val="single" w:color="000000" w:sz="4" w:space="0"/>
            </w:tcBorders>
          </w:tcPr>
          <w:p/>
        </w:tc>
        <w:tc>
          <w:tcPr>
            <w:tcW w:w="1109"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54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55"/>
              <w:ind w:left="249"/>
              <w:rPr>
                <w:rFonts w:eastAsia="Times New Roman"/>
                <w:sz w:val="23"/>
                <w:szCs w:val="23"/>
              </w:rPr>
            </w:pPr>
            <w:r>
              <w:rPr>
                <w:rFonts w:eastAsia="Times New Roman"/>
                <w:sz w:val="23"/>
                <w:szCs w:val="23"/>
              </w:rPr>
              <w:t>2</w:t>
            </w:r>
          </w:p>
        </w:tc>
        <w:tc>
          <w:tcPr>
            <w:tcW w:w="1447" w:type="dxa"/>
            <w:tcBorders>
              <w:top w:val="single" w:color="000000" w:sz="4" w:space="0"/>
              <w:left w:val="single" w:color="000000" w:sz="4" w:space="0"/>
              <w:bottom w:val="single" w:color="000000" w:sz="4" w:space="0"/>
              <w:right w:val="single" w:color="000000" w:sz="4" w:space="0"/>
            </w:tcBorders>
          </w:tcPr>
          <w:p>
            <w:pPr>
              <w:rPr>
                <w:rFonts w:eastAsia="Times New Roman"/>
                <w:sz w:val="23"/>
                <w:szCs w:val="23"/>
              </w:rPr>
            </w:pPr>
          </w:p>
        </w:tc>
        <w:tc>
          <w:tcPr>
            <w:tcW w:w="785" w:type="dxa"/>
            <w:tcBorders>
              <w:top w:val="single" w:color="000000" w:sz="4" w:space="0"/>
              <w:left w:val="single" w:color="000000" w:sz="4" w:space="0"/>
              <w:bottom w:val="single" w:color="000000" w:sz="4" w:space="0"/>
              <w:right w:val="single" w:color="000000" w:sz="4" w:space="0"/>
            </w:tcBorders>
          </w:tcPr>
          <w:p/>
        </w:tc>
        <w:tc>
          <w:tcPr>
            <w:tcW w:w="1025" w:type="dxa"/>
            <w:tcBorders>
              <w:top w:val="single" w:color="000000" w:sz="4" w:space="0"/>
              <w:left w:val="single" w:color="000000" w:sz="4" w:space="0"/>
              <w:bottom w:val="single" w:color="000000" w:sz="4" w:space="0"/>
              <w:right w:val="single" w:color="000000" w:sz="4" w:space="0"/>
            </w:tcBorders>
          </w:tcPr>
          <w:p/>
        </w:tc>
        <w:tc>
          <w:tcPr>
            <w:tcW w:w="1001" w:type="dxa"/>
            <w:tcBorders>
              <w:top w:val="single" w:color="000000" w:sz="4" w:space="0"/>
              <w:left w:val="single" w:color="000000" w:sz="4" w:space="0"/>
              <w:bottom w:val="single" w:color="000000" w:sz="4" w:space="0"/>
              <w:right w:val="single" w:color="000000" w:sz="4" w:space="0"/>
            </w:tcBorders>
          </w:tcPr>
          <w:p/>
        </w:tc>
        <w:tc>
          <w:tcPr>
            <w:tcW w:w="1049" w:type="dxa"/>
            <w:tcBorders>
              <w:top w:val="single" w:color="000000" w:sz="4" w:space="0"/>
              <w:left w:val="single" w:color="000000" w:sz="4" w:space="0"/>
              <w:bottom w:val="single" w:color="000000" w:sz="4" w:space="0"/>
              <w:right w:val="single" w:color="000000" w:sz="4" w:space="0"/>
            </w:tcBorders>
          </w:tcPr>
          <w:p/>
        </w:tc>
        <w:tc>
          <w:tcPr>
            <w:tcW w:w="1553" w:type="dxa"/>
            <w:tcBorders>
              <w:top w:val="single" w:color="000000" w:sz="4" w:space="0"/>
              <w:left w:val="single" w:color="000000" w:sz="4" w:space="0"/>
              <w:bottom w:val="single" w:color="000000" w:sz="4" w:space="0"/>
              <w:right w:val="single" w:color="000000" w:sz="4" w:space="0"/>
            </w:tcBorders>
          </w:tcPr>
          <w:p/>
        </w:tc>
        <w:tc>
          <w:tcPr>
            <w:tcW w:w="1550" w:type="dxa"/>
            <w:tcBorders>
              <w:top w:val="single" w:color="000000" w:sz="4" w:space="0"/>
              <w:left w:val="single" w:color="000000" w:sz="4" w:space="0"/>
              <w:bottom w:val="single" w:color="000000" w:sz="4" w:space="0"/>
              <w:right w:val="single" w:color="000000" w:sz="4" w:space="0"/>
            </w:tcBorders>
          </w:tcPr>
          <w:p/>
        </w:tc>
        <w:tc>
          <w:tcPr>
            <w:tcW w:w="862" w:type="dxa"/>
            <w:tcBorders>
              <w:top w:val="single" w:color="000000" w:sz="4" w:space="0"/>
              <w:left w:val="single" w:color="000000" w:sz="4" w:space="0"/>
              <w:bottom w:val="single" w:color="000000" w:sz="4" w:space="0"/>
              <w:right w:val="single" w:color="000000" w:sz="4" w:space="0"/>
            </w:tcBorders>
          </w:tcPr>
          <w:p/>
        </w:tc>
        <w:tc>
          <w:tcPr>
            <w:tcW w:w="1109"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54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57"/>
              <w:ind w:left="254"/>
              <w:rPr>
                <w:rFonts w:eastAsia="Times New Roman"/>
                <w:sz w:val="23"/>
                <w:szCs w:val="23"/>
              </w:rPr>
            </w:pPr>
            <w:r>
              <w:rPr>
                <w:sz w:val="23"/>
              </w:rPr>
              <w:t>3</w:t>
            </w:r>
          </w:p>
        </w:tc>
        <w:tc>
          <w:tcPr>
            <w:tcW w:w="1447"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1025" w:type="dxa"/>
            <w:tcBorders>
              <w:top w:val="single" w:color="000000" w:sz="4" w:space="0"/>
              <w:left w:val="single" w:color="000000" w:sz="4" w:space="0"/>
              <w:bottom w:val="single" w:color="000000" w:sz="4" w:space="0"/>
              <w:right w:val="single" w:color="000000" w:sz="4" w:space="0"/>
            </w:tcBorders>
          </w:tcPr>
          <w:p/>
        </w:tc>
        <w:tc>
          <w:tcPr>
            <w:tcW w:w="1001" w:type="dxa"/>
            <w:tcBorders>
              <w:top w:val="single" w:color="000000" w:sz="4" w:space="0"/>
              <w:left w:val="single" w:color="000000" w:sz="4" w:space="0"/>
              <w:bottom w:val="single" w:color="000000" w:sz="4" w:space="0"/>
              <w:right w:val="single" w:color="000000" w:sz="4" w:space="0"/>
            </w:tcBorders>
          </w:tcPr>
          <w:p/>
        </w:tc>
        <w:tc>
          <w:tcPr>
            <w:tcW w:w="1049" w:type="dxa"/>
            <w:tcBorders>
              <w:top w:val="single" w:color="000000" w:sz="4" w:space="0"/>
              <w:left w:val="single" w:color="000000" w:sz="4" w:space="0"/>
              <w:bottom w:val="single" w:color="000000" w:sz="4" w:space="0"/>
              <w:right w:val="single" w:color="000000" w:sz="4" w:space="0"/>
            </w:tcBorders>
          </w:tcPr>
          <w:p/>
        </w:tc>
        <w:tc>
          <w:tcPr>
            <w:tcW w:w="1553" w:type="dxa"/>
            <w:tcBorders>
              <w:top w:val="single" w:color="000000" w:sz="4" w:space="0"/>
              <w:left w:val="single" w:color="000000" w:sz="4" w:space="0"/>
              <w:bottom w:val="single" w:color="000000" w:sz="4" w:space="0"/>
              <w:right w:val="single" w:color="000000" w:sz="4" w:space="0"/>
            </w:tcBorders>
          </w:tcPr>
          <w:p/>
        </w:tc>
        <w:tc>
          <w:tcPr>
            <w:tcW w:w="1550" w:type="dxa"/>
            <w:tcBorders>
              <w:top w:val="single" w:color="000000" w:sz="4" w:space="0"/>
              <w:left w:val="single" w:color="000000" w:sz="4" w:space="0"/>
              <w:bottom w:val="single" w:color="000000" w:sz="4" w:space="0"/>
              <w:right w:val="single" w:color="000000" w:sz="4" w:space="0"/>
            </w:tcBorders>
          </w:tcPr>
          <w:p/>
        </w:tc>
        <w:tc>
          <w:tcPr>
            <w:tcW w:w="862" w:type="dxa"/>
            <w:tcBorders>
              <w:top w:val="single" w:color="000000" w:sz="4" w:space="0"/>
              <w:left w:val="single" w:color="000000" w:sz="4" w:space="0"/>
              <w:bottom w:val="single" w:color="000000" w:sz="4" w:space="0"/>
              <w:right w:val="single" w:color="000000" w:sz="4" w:space="0"/>
            </w:tcBorders>
          </w:tcPr>
          <w:p/>
        </w:tc>
        <w:tc>
          <w:tcPr>
            <w:tcW w:w="1109"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54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55"/>
              <w:ind w:left="249"/>
              <w:rPr>
                <w:rFonts w:eastAsia="Times New Roman"/>
                <w:sz w:val="23"/>
                <w:szCs w:val="23"/>
              </w:rPr>
            </w:pPr>
            <w:r>
              <w:rPr>
                <w:sz w:val="23"/>
              </w:rPr>
              <w:t>4</w:t>
            </w:r>
          </w:p>
        </w:tc>
        <w:tc>
          <w:tcPr>
            <w:tcW w:w="1447"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1025" w:type="dxa"/>
            <w:tcBorders>
              <w:top w:val="single" w:color="000000" w:sz="4" w:space="0"/>
              <w:left w:val="single" w:color="000000" w:sz="4" w:space="0"/>
              <w:bottom w:val="single" w:color="000000" w:sz="4" w:space="0"/>
              <w:right w:val="single" w:color="000000" w:sz="4" w:space="0"/>
            </w:tcBorders>
          </w:tcPr>
          <w:p/>
        </w:tc>
        <w:tc>
          <w:tcPr>
            <w:tcW w:w="1001" w:type="dxa"/>
            <w:tcBorders>
              <w:top w:val="single" w:color="000000" w:sz="4" w:space="0"/>
              <w:left w:val="single" w:color="000000" w:sz="4" w:space="0"/>
              <w:bottom w:val="single" w:color="000000" w:sz="4" w:space="0"/>
              <w:right w:val="single" w:color="000000" w:sz="4" w:space="0"/>
            </w:tcBorders>
          </w:tcPr>
          <w:p/>
        </w:tc>
        <w:tc>
          <w:tcPr>
            <w:tcW w:w="1049" w:type="dxa"/>
            <w:tcBorders>
              <w:top w:val="single" w:color="000000" w:sz="4" w:space="0"/>
              <w:left w:val="single" w:color="000000" w:sz="4" w:space="0"/>
              <w:bottom w:val="single" w:color="000000" w:sz="4" w:space="0"/>
              <w:right w:val="single" w:color="000000" w:sz="4" w:space="0"/>
            </w:tcBorders>
          </w:tcPr>
          <w:p/>
        </w:tc>
        <w:tc>
          <w:tcPr>
            <w:tcW w:w="1553" w:type="dxa"/>
            <w:tcBorders>
              <w:top w:val="single" w:color="000000" w:sz="4" w:space="0"/>
              <w:left w:val="single" w:color="000000" w:sz="4" w:space="0"/>
              <w:bottom w:val="single" w:color="000000" w:sz="4" w:space="0"/>
              <w:right w:val="single" w:color="000000" w:sz="4" w:space="0"/>
            </w:tcBorders>
          </w:tcPr>
          <w:p/>
        </w:tc>
        <w:tc>
          <w:tcPr>
            <w:tcW w:w="1550" w:type="dxa"/>
            <w:tcBorders>
              <w:top w:val="single" w:color="000000" w:sz="4" w:space="0"/>
              <w:left w:val="single" w:color="000000" w:sz="4" w:space="0"/>
              <w:bottom w:val="single" w:color="000000" w:sz="4" w:space="0"/>
              <w:right w:val="single" w:color="000000" w:sz="4" w:space="0"/>
            </w:tcBorders>
          </w:tcPr>
          <w:p/>
        </w:tc>
        <w:tc>
          <w:tcPr>
            <w:tcW w:w="862" w:type="dxa"/>
            <w:tcBorders>
              <w:top w:val="single" w:color="000000" w:sz="4" w:space="0"/>
              <w:left w:val="single" w:color="000000" w:sz="4" w:space="0"/>
              <w:bottom w:val="single" w:color="000000" w:sz="4" w:space="0"/>
              <w:right w:val="single" w:color="000000" w:sz="4" w:space="0"/>
            </w:tcBorders>
          </w:tcPr>
          <w:p/>
        </w:tc>
        <w:tc>
          <w:tcPr>
            <w:tcW w:w="1109"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54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59"/>
              <w:ind w:left="259"/>
              <w:rPr>
                <w:rFonts w:eastAsia="Times New Roman"/>
                <w:sz w:val="23"/>
                <w:szCs w:val="23"/>
              </w:rPr>
            </w:pPr>
            <w:r>
              <w:rPr>
                <w:sz w:val="23"/>
              </w:rPr>
              <w:t>5</w:t>
            </w:r>
          </w:p>
        </w:tc>
        <w:tc>
          <w:tcPr>
            <w:tcW w:w="1447"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1025" w:type="dxa"/>
            <w:tcBorders>
              <w:top w:val="single" w:color="000000" w:sz="4" w:space="0"/>
              <w:left w:val="single" w:color="000000" w:sz="4" w:space="0"/>
              <w:bottom w:val="single" w:color="000000" w:sz="4" w:space="0"/>
              <w:right w:val="single" w:color="000000" w:sz="4" w:space="0"/>
            </w:tcBorders>
          </w:tcPr>
          <w:p/>
        </w:tc>
        <w:tc>
          <w:tcPr>
            <w:tcW w:w="1001" w:type="dxa"/>
            <w:tcBorders>
              <w:top w:val="single" w:color="000000" w:sz="4" w:space="0"/>
              <w:left w:val="single" w:color="000000" w:sz="4" w:space="0"/>
              <w:bottom w:val="single" w:color="000000" w:sz="4" w:space="0"/>
              <w:right w:val="single" w:color="000000" w:sz="4" w:space="0"/>
            </w:tcBorders>
          </w:tcPr>
          <w:p/>
        </w:tc>
        <w:tc>
          <w:tcPr>
            <w:tcW w:w="1049" w:type="dxa"/>
            <w:tcBorders>
              <w:top w:val="single" w:color="000000" w:sz="4" w:space="0"/>
              <w:left w:val="single" w:color="000000" w:sz="4" w:space="0"/>
              <w:bottom w:val="single" w:color="000000" w:sz="4" w:space="0"/>
              <w:right w:val="single" w:color="000000" w:sz="4" w:space="0"/>
            </w:tcBorders>
          </w:tcPr>
          <w:p/>
        </w:tc>
        <w:tc>
          <w:tcPr>
            <w:tcW w:w="1553" w:type="dxa"/>
            <w:tcBorders>
              <w:top w:val="single" w:color="000000" w:sz="4" w:space="0"/>
              <w:left w:val="single" w:color="000000" w:sz="4" w:space="0"/>
              <w:bottom w:val="single" w:color="000000" w:sz="4" w:space="0"/>
              <w:right w:val="single" w:color="000000" w:sz="4" w:space="0"/>
            </w:tcBorders>
          </w:tcPr>
          <w:p/>
        </w:tc>
        <w:tc>
          <w:tcPr>
            <w:tcW w:w="1550" w:type="dxa"/>
            <w:tcBorders>
              <w:top w:val="single" w:color="000000" w:sz="4" w:space="0"/>
              <w:left w:val="single" w:color="000000" w:sz="4" w:space="0"/>
              <w:bottom w:val="single" w:color="000000" w:sz="4" w:space="0"/>
              <w:right w:val="single" w:color="000000" w:sz="4" w:space="0"/>
            </w:tcBorders>
          </w:tcPr>
          <w:p/>
        </w:tc>
        <w:tc>
          <w:tcPr>
            <w:tcW w:w="862" w:type="dxa"/>
            <w:tcBorders>
              <w:top w:val="single" w:color="000000" w:sz="4" w:space="0"/>
              <w:left w:val="single" w:color="000000" w:sz="4" w:space="0"/>
              <w:bottom w:val="single" w:color="000000" w:sz="4" w:space="0"/>
              <w:right w:val="single" w:color="000000" w:sz="4" w:space="0"/>
            </w:tcBorders>
          </w:tcPr>
          <w:p/>
        </w:tc>
        <w:tc>
          <w:tcPr>
            <w:tcW w:w="1109"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54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62"/>
              <w:ind w:left="254"/>
              <w:rPr>
                <w:rFonts w:eastAsia="Times New Roman"/>
                <w:sz w:val="23"/>
                <w:szCs w:val="23"/>
              </w:rPr>
            </w:pPr>
            <w:r>
              <w:rPr>
                <w:sz w:val="23"/>
              </w:rPr>
              <w:t>6</w:t>
            </w:r>
          </w:p>
        </w:tc>
        <w:tc>
          <w:tcPr>
            <w:tcW w:w="1447"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1025" w:type="dxa"/>
            <w:tcBorders>
              <w:top w:val="single" w:color="000000" w:sz="4" w:space="0"/>
              <w:left w:val="single" w:color="000000" w:sz="4" w:space="0"/>
              <w:bottom w:val="single" w:color="000000" w:sz="4" w:space="0"/>
              <w:right w:val="single" w:color="000000" w:sz="4" w:space="0"/>
            </w:tcBorders>
          </w:tcPr>
          <w:p/>
        </w:tc>
        <w:tc>
          <w:tcPr>
            <w:tcW w:w="1001" w:type="dxa"/>
            <w:tcBorders>
              <w:top w:val="single" w:color="000000" w:sz="4" w:space="0"/>
              <w:left w:val="single" w:color="000000" w:sz="4" w:space="0"/>
              <w:bottom w:val="single" w:color="000000" w:sz="4" w:space="0"/>
              <w:right w:val="single" w:color="000000" w:sz="4" w:space="0"/>
            </w:tcBorders>
          </w:tcPr>
          <w:p/>
        </w:tc>
        <w:tc>
          <w:tcPr>
            <w:tcW w:w="1049" w:type="dxa"/>
            <w:tcBorders>
              <w:top w:val="single" w:color="000000" w:sz="4" w:space="0"/>
              <w:left w:val="single" w:color="000000" w:sz="4" w:space="0"/>
              <w:bottom w:val="single" w:color="000000" w:sz="4" w:space="0"/>
              <w:right w:val="single" w:color="000000" w:sz="4" w:space="0"/>
            </w:tcBorders>
          </w:tcPr>
          <w:p/>
        </w:tc>
        <w:tc>
          <w:tcPr>
            <w:tcW w:w="1553" w:type="dxa"/>
            <w:tcBorders>
              <w:top w:val="single" w:color="000000" w:sz="4" w:space="0"/>
              <w:left w:val="single" w:color="000000" w:sz="4" w:space="0"/>
              <w:bottom w:val="single" w:color="000000" w:sz="4" w:space="0"/>
              <w:right w:val="single" w:color="000000" w:sz="4" w:space="0"/>
            </w:tcBorders>
          </w:tcPr>
          <w:p/>
        </w:tc>
        <w:tc>
          <w:tcPr>
            <w:tcW w:w="1550" w:type="dxa"/>
            <w:tcBorders>
              <w:top w:val="single" w:color="000000" w:sz="4" w:space="0"/>
              <w:left w:val="single" w:color="000000" w:sz="4" w:space="0"/>
              <w:bottom w:val="single" w:color="000000" w:sz="4" w:space="0"/>
              <w:right w:val="single" w:color="000000" w:sz="4" w:space="0"/>
            </w:tcBorders>
          </w:tcPr>
          <w:p/>
        </w:tc>
        <w:tc>
          <w:tcPr>
            <w:tcW w:w="862" w:type="dxa"/>
            <w:tcBorders>
              <w:top w:val="single" w:color="000000" w:sz="4" w:space="0"/>
              <w:left w:val="single" w:color="000000" w:sz="4" w:space="0"/>
              <w:bottom w:val="single" w:color="000000" w:sz="4" w:space="0"/>
              <w:right w:val="single" w:color="000000" w:sz="4" w:space="0"/>
            </w:tcBorders>
          </w:tcPr>
          <w:p/>
        </w:tc>
        <w:tc>
          <w:tcPr>
            <w:tcW w:w="1109"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54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59"/>
              <w:ind w:left="254"/>
              <w:rPr>
                <w:rFonts w:eastAsia="Times New Roman"/>
                <w:sz w:val="23"/>
                <w:szCs w:val="23"/>
              </w:rPr>
            </w:pPr>
            <w:r>
              <w:rPr>
                <w:sz w:val="23"/>
              </w:rPr>
              <w:t>7</w:t>
            </w:r>
          </w:p>
        </w:tc>
        <w:tc>
          <w:tcPr>
            <w:tcW w:w="1447"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1025" w:type="dxa"/>
            <w:tcBorders>
              <w:top w:val="single" w:color="000000" w:sz="4" w:space="0"/>
              <w:left w:val="single" w:color="000000" w:sz="4" w:space="0"/>
              <w:bottom w:val="single" w:color="000000" w:sz="4" w:space="0"/>
              <w:right w:val="single" w:color="000000" w:sz="4" w:space="0"/>
            </w:tcBorders>
          </w:tcPr>
          <w:p/>
        </w:tc>
        <w:tc>
          <w:tcPr>
            <w:tcW w:w="1001" w:type="dxa"/>
            <w:tcBorders>
              <w:top w:val="single" w:color="000000" w:sz="4" w:space="0"/>
              <w:left w:val="single" w:color="000000" w:sz="4" w:space="0"/>
              <w:bottom w:val="single" w:color="000000" w:sz="4" w:space="0"/>
              <w:right w:val="single" w:color="000000" w:sz="4" w:space="0"/>
            </w:tcBorders>
          </w:tcPr>
          <w:p/>
        </w:tc>
        <w:tc>
          <w:tcPr>
            <w:tcW w:w="1049" w:type="dxa"/>
            <w:tcBorders>
              <w:top w:val="single" w:color="000000" w:sz="4" w:space="0"/>
              <w:left w:val="single" w:color="000000" w:sz="4" w:space="0"/>
              <w:bottom w:val="single" w:color="000000" w:sz="4" w:space="0"/>
              <w:right w:val="single" w:color="000000" w:sz="4" w:space="0"/>
            </w:tcBorders>
          </w:tcPr>
          <w:p/>
        </w:tc>
        <w:tc>
          <w:tcPr>
            <w:tcW w:w="1553" w:type="dxa"/>
            <w:tcBorders>
              <w:top w:val="single" w:color="000000" w:sz="4" w:space="0"/>
              <w:left w:val="single" w:color="000000" w:sz="4" w:space="0"/>
              <w:bottom w:val="single" w:color="000000" w:sz="4" w:space="0"/>
              <w:right w:val="single" w:color="000000" w:sz="4" w:space="0"/>
            </w:tcBorders>
          </w:tcPr>
          <w:p/>
        </w:tc>
        <w:tc>
          <w:tcPr>
            <w:tcW w:w="1550" w:type="dxa"/>
            <w:tcBorders>
              <w:top w:val="single" w:color="000000" w:sz="4" w:space="0"/>
              <w:left w:val="single" w:color="000000" w:sz="4" w:space="0"/>
              <w:bottom w:val="single" w:color="000000" w:sz="4" w:space="0"/>
              <w:right w:val="single" w:color="000000" w:sz="4" w:space="0"/>
            </w:tcBorders>
          </w:tcPr>
          <w:p/>
        </w:tc>
        <w:tc>
          <w:tcPr>
            <w:tcW w:w="862" w:type="dxa"/>
            <w:tcBorders>
              <w:top w:val="single" w:color="000000" w:sz="4" w:space="0"/>
              <w:left w:val="single" w:color="000000" w:sz="4" w:space="0"/>
              <w:bottom w:val="single" w:color="000000" w:sz="4" w:space="0"/>
              <w:right w:val="single" w:color="000000" w:sz="4" w:space="0"/>
            </w:tcBorders>
          </w:tcPr>
          <w:p/>
        </w:tc>
        <w:tc>
          <w:tcPr>
            <w:tcW w:w="1109"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54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65"/>
              <w:ind w:left="259"/>
              <w:rPr>
                <w:rFonts w:ascii="Arial" w:hAnsi="Arial" w:eastAsia="Arial" w:cs="Arial"/>
              </w:rPr>
            </w:pPr>
            <w:r>
              <w:rPr>
                <w:rFonts w:ascii="Arial"/>
              </w:rPr>
              <w:t>8</w:t>
            </w:r>
          </w:p>
        </w:tc>
        <w:tc>
          <w:tcPr>
            <w:tcW w:w="1447"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1025" w:type="dxa"/>
            <w:tcBorders>
              <w:top w:val="single" w:color="000000" w:sz="4" w:space="0"/>
              <w:left w:val="single" w:color="000000" w:sz="4" w:space="0"/>
              <w:bottom w:val="single" w:color="000000" w:sz="4" w:space="0"/>
              <w:right w:val="single" w:color="000000" w:sz="4" w:space="0"/>
            </w:tcBorders>
          </w:tcPr>
          <w:p/>
        </w:tc>
        <w:tc>
          <w:tcPr>
            <w:tcW w:w="1001" w:type="dxa"/>
            <w:tcBorders>
              <w:top w:val="single" w:color="000000" w:sz="4" w:space="0"/>
              <w:left w:val="single" w:color="000000" w:sz="4" w:space="0"/>
              <w:bottom w:val="single" w:color="000000" w:sz="4" w:space="0"/>
              <w:right w:val="single" w:color="000000" w:sz="4" w:space="0"/>
            </w:tcBorders>
          </w:tcPr>
          <w:p/>
        </w:tc>
        <w:tc>
          <w:tcPr>
            <w:tcW w:w="1049" w:type="dxa"/>
            <w:tcBorders>
              <w:top w:val="single" w:color="000000" w:sz="4" w:space="0"/>
              <w:left w:val="single" w:color="000000" w:sz="4" w:space="0"/>
              <w:bottom w:val="single" w:color="000000" w:sz="4" w:space="0"/>
              <w:right w:val="single" w:color="000000" w:sz="4" w:space="0"/>
            </w:tcBorders>
          </w:tcPr>
          <w:p/>
        </w:tc>
        <w:tc>
          <w:tcPr>
            <w:tcW w:w="1553" w:type="dxa"/>
            <w:tcBorders>
              <w:top w:val="single" w:color="000000" w:sz="4" w:space="0"/>
              <w:left w:val="single" w:color="000000" w:sz="4" w:space="0"/>
              <w:bottom w:val="single" w:color="000000" w:sz="4" w:space="0"/>
              <w:right w:val="single" w:color="000000" w:sz="4" w:space="0"/>
            </w:tcBorders>
          </w:tcPr>
          <w:p/>
        </w:tc>
        <w:tc>
          <w:tcPr>
            <w:tcW w:w="1550" w:type="dxa"/>
            <w:tcBorders>
              <w:top w:val="single" w:color="000000" w:sz="4" w:space="0"/>
              <w:left w:val="single" w:color="000000" w:sz="4" w:space="0"/>
              <w:bottom w:val="single" w:color="000000" w:sz="4" w:space="0"/>
              <w:right w:val="single" w:color="000000" w:sz="4" w:space="0"/>
            </w:tcBorders>
          </w:tcPr>
          <w:p/>
        </w:tc>
        <w:tc>
          <w:tcPr>
            <w:tcW w:w="862" w:type="dxa"/>
            <w:tcBorders>
              <w:top w:val="single" w:color="000000" w:sz="4" w:space="0"/>
              <w:left w:val="single" w:color="000000" w:sz="4" w:space="0"/>
              <w:bottom w:val="single" w:color="000000" w:sz="4" w:space="0"/>
              <w:right w:val="single" w:color="000000" w:sz="4" w:space="0"/>
            </w:tcBorders>
          </w:tcPr>
          <w:p/>
        </w:tc>
        <w:tc>
          <w:tcPr>
            <w:tcW w:w="1109"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54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65"/>
              <w:ind w:left="259"/>
              <w:rPr>
                <w:rFonts w:ascii="Arial"/>
              </w:rPr>
            </w:pPr>
            <w:r>
              <w:rPr>
                <w:rFonts w:hint="eastAsia" w:ascii="Arial"/>
              </w:rPr>
              <w:t>…</w:t>
            </w:r>
          </w:p>
        </w:tc>
        <w:tc>
          <w:tcPr>
            <w:tcW w:w="1447" w:type="dxa"/>
            <w:tcBorders>
              <w:top w:val="single" w:color="000000" w:sz="4" w:space="0"/>
              <w:left w:val="single" w:color="000000" w:sz="4" w:space="0"/>
              <w:bottom w:val="single" w:color="000000" w:sz="4" w:space="0"/>
              <w:right w:val="single" w:color="000000" w:sz="4" w:space="0"/>
            </w:tcBorders>
          </w:tcPr>
          <w:p>
            <w:pPr>
              <w:spacing w:before="165"/>
              <w:ind w:left="259"/>
              <w:rPr>
                <w:rFonts w:ascii="Arial"/>
              </w:rPr>
            </w:pPr>
          </w:p>
        </w:tc>
        <w:tc>
          <w:tcPr>
            <w:tcW w:w="785" w:type="dxa"/>
            <w:tcBorders>
              <w:top w:val="single" w:color="000000" w:sz="4" w:space="0"/>
              <w:left w:val="single" w:color="000000" w:sz="4" w:space="0"/>
              <w:bottom w:val="single" w:color="000000" w:sz="4" w:space="0"/>
              <w:right w:val="single" w:color="000000" w:sz="4" w:space="0"/>
            </w:tcBorders>
          </w:tcPr>
          <w:p/>
        </w:tc>
        <w:tc>
          <w:tcPr>
            <w:tcW w:w="1025" w:type="dxa"/>
            <w:tcBorders>
              <w:top w:val="single" w:color="000000" w:sz="4" w:space="0"/>
              <w:left w:val="single" w:color="000000" w:sz="4" w:space="0"/>
              <w:bottom w:val="single" w:color="000000" w:sz="4" w:space="0"/>
              <w:right w:val="single" w:color="000000" w:sz="4" w:space="0"/>
            </w:tcBorders>
          </w:tcPr>
          <w:p/>
        </w:tc>
        <w:tc>
          <w:tcPr>
            <w:tcW w:w="1001" w:type="dxa"/>
            <w:tcBorders>
              <w:top w:val="single" w:color="000000" w:sz="4" w:space="0"/>
              <w:left w:val="single" w:color="000000" w:sz="4" w:space="0"/>
              <w:bottom w:val="single" w:color="000000" w:sz="4" w:space="0"/>
              <w:right w:val="single" w:color="000000" w:sz="4" w:space="0"/>
            </w:tcBorders>
          </w:tcPr>
          <w:p/>
        </w:tc>
        <w:tc>
          <w:tcPr>
            <w:tcW w:w="1049" w:type="dxa"/>
            <w:tcBorders>
              <w:top w:val="single" w:color="000000" w:sz="4" w:space="0"/>
              <w:left w:val="single" w:color="000000" w:sz="4" w:space="0"/>
              <w:bottom w:val="single" w:color="000000" w:sz="4" w:space="0"/>
              <w:right w:val="single" w:color="000000" w:sz="4" w:space="0"/>
            </w:tcBorders>
          </w:tcPr>
          <w:p/>
        </w:tc>
        <w:tc>
          <w:tcPr>
            <w:tcW w:w="1553" w:type="dxa"/>
            <w:tcBorders>
              <w:top w:val="single" w:color="000000" w:sz="4" w:space="0"/>
              <w:left w:val="single" w:color="000000" w:sz="4" w:space="0"/>
              <w:bottom w:val="single" w:color="000000" w:sz="4" w:space="0"/>
              <w:right w:val="single" w:color="000000" w:sz="4" w:space="0"/>
            </w:tcBorders>
          </w:tcPr>
          <w:p/>
        </w:tc>
        <w:tc>
          <w:tcPr>
            <w:tcW w:w="1550" w:type="dxa"/>
            <w:tcBorders>
              <w:top w:val="single" w:color="000000" w:sz="4" w:space="0"/>
              <w:left w:val="single" w:color="000000" w:sz="4" w:space="0"/>
              <w:bottom w:val="single" w:color="000000" w:sz="4" w:space="0"/>
              <w:right w:val="single" w:color="000000" w:sz="4" w:space="0"/>
            </w:tcBorders>
          </w:tcPr>
          <w:p/>
        </w:tc>
        <w:tc>
          <w:tcPr>
            <w:tcW w:w="862" w:type="dxa"/>
            <w:tcBorders>
              <w:top w:val="single" w:color="000000" w:sz="4" w:space="0"/>
              <w:left w:val="single" w:color="000000" w:sz="4" w:space="0"/>
              <w:bottom w:val="single" w:color="000000" w:sz="4" w:space="0"/>
              <w:right w:val="single" w:color="000000" w:sz="4" w:space="0"/>
            </w:tcBorders>
          </w:tcPr>
          <w:p/>
        </w:tc>
        <w:tc>
          <w:tcPr>
            <w:tcW w:w="1109"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54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80" w:hRule="exact"/>
        </w:trPr>
        <w:tc>
          <w:tcPr>
            <w:tcW w:w="3905" w:type="dxa"/>
            <w:gridSpan w:val="4"/>
            <w:tcBorders>
              <w:top w:val="single" w:color="000000" w:sz="4" w:space="0"/>
              <w:left w:val="single" w:color="000000" w:sz="8" w:space="0"/>
              <w:bottom w:val="single" w:color="000000" w:sz="8" w:space="0"/>
              <w:right w:val="single" w:color="000000" w:sz="4" w:space="0"/>
            </w:tcBorders>
          </w:tcPr>
          <w:p>
            <w:pPr>
              <w:pStyle w:val="72"/>
              <w:tabs>
                <w:tab w:val="left" w:pos="482"/>
              </w:tabs>
              <w:spacing w:before="122"/>
              <w:ind w:left="7"/>
              <w:jc w:val="center"/>
              <w:rPr>
                <w:rFonts w:ascii="宋体" w:hAnsi="宋体" w:cs="宋体"/>
              </w:rPr>
            </w:pPr>
            <w:r>
              <w:rPr>
                <w:rFonts w:ascii="宋体" w:hAnsi="宋体" w:cs="宋体"/>
              </w:rPr>
              <w:t>合</w:t>
            </w:r>
            <w:r>
              <w:rPr>
                <w:rFonts w:ascii="宋体" w:hAnsi="宋体" w:cs="宋体"/>
              </w:rPr>
              <w:tab/>
            </w:r>
            <w:r>
              <w:rPr>
                <w:rFonts w:ascii="宋体" w:hAnsi="宋体" w:cs="宋体"/>
              </w:rPr>
              <w:t>计（元）</w:t>
            </w:r>
          </w:p>
        </w:tc>
        <w:tc>
          <w:tcPr>
            <w:tcW w:w="1001" w:type="dxa"/>
            <w:tcBorders>
              <w:top w:val="single" w:color="000000" w:sz="4" w:space="0"/>
              <w:left w:val="single" w:color="000000" w:sz="4" w:space="0"/>
              <w:bottom w:val="single" w:color="000000" w:sz="8" w:space="0"/>
              <w:right w:val="single" w:color="000000" w:sz="4" w:space="0"/>
            </w:tcBorders>
          </w:tcPr>
          <w:p/>
        </w:tc>
        <w:tc>
          <w:tcPr>
            <w:tcW w:w="1049" w:type="dxa"/>
            <w:tcBorders>
              <w:top w:val="single" w:color="000000" w:sz="4" w:space="0"/>
              <w:left w:val="single" w:color="000000" w:sz="4" w:space="0"/>
              <w:bottom w:val="single" w:color="000000" w:sz="8" w:space="0"/>
              <w:right w:val="single" w:color="000000" w:sz="4" w:space="0"/>
            </w:tcBorders>
          </w:tcPr>
          <w:p/>
        </w:tc>
        <w:tc>
          <w:tcPr>
            <w:tcW w:w="1553" w:type="dxa"/>
            <w:tcBorders>
              <w:top w:val="single" w:color="000000" w:sz="4" w:space="0"/>
              <w:left w:val="single" w:color="000000" w:sz="4" w:space="0"/>
              <w:bottom w:val="single" w:color="000000" w:sz="8" w:space="0"/>
              <w:right w:val="single" w:color="000000" w:sz="4" w:space="0"/>
            </w:tcBorders>
          </w:tcPr>
          <w:p>
            <w:pPr>
              <w:pStyle w:val="72"/>
              <w:tabs>
                <w:tab w:val="left" w:pos="482"/>
              </w:tabs>
              <w:spacing w:before="122"/>
              <w:ind w:left="7"/>
              <w:jc w:val="center"/>
              <w:rPr>
                <w:rFonts w:ascii="宋体" w:hAnsi="宋体" w:cs="宋体"/>
              </w:rPr>
            </w:pPr>
          </w:p>
        </w:tc>
        <w:tc>
          <w:tcPr>
            <w:tcW w:w="3521" w:type="dxa"/>
            <w:gridSpan w:val="3"/>
            <w:tcBorders>
              <w:top w:val="single" w:color="000000" w:sz="4" w:space="0"/>
              <w:left w:val="single" w:color="000000" w:sz="4" w:space="0"/>
              <w:bottom w:val="single" w:color="000000" w:sz="8" w:space="0"/>
              <w:right w:val="single" w:color="000000" w:sz="4" w:space="0"/>
            </w:tcBorders>
          </w:tcPr>
          <w:p>
            <w:pPr>
              <w:pStyle w:val="72"/>
              <w:tabs>
                <w:tab w:val="left" w:pos="482"/>
              </w:tabs>
              <w:spacing w:before="122"/>
              <w:ind w:left="7"/>
              <w:jc w:val="center"/>
              <w:rPr>
                <w:rFonts w:ascii="宋体" w:hAnsi="宋体" w:cs="宋体"/>
              </w:rPr>
            </w:pPr>
            <w:r>
              <w:rPr>
                <w:rFonts w:ascii="宋体" w:hAnsi="宋体" w:cs="宋体"/>
              </w:rPr>
              <w:t>合</w:t>
            </w:r>
            <w:r>
              <w:rPr>
                <w:rFonts w:ascii="宋体" w:hAnsi="宋体" w:cs="宋体"/>
              </w:rPr>
              <w:tab/>
            </w:r>
            <w:r>
              <w:rPr>
                <w:rFonts w:ascii="宋体" w:hAnsi="宋体" w:cs="宋体"/>
              </w:rPr>
              <w:t>计（元）</w:t>
            </w:r>
          </w:p>
        </w:tc>
        <w:tc>
          <w:tcPr>
            <w:tcW w:w="1082" w:type="dxa"/>
            <w:tcBorders>
              <w:top w:val="single" w:color="000000" w:sz="4" w:space="0"/>
              <w:left w:val="single" w:color="000000" w:sz="4" w:space="0"/>
              <w:bottom w:val="single" w:color="000000" w:sz="8" w:space="0"/>
              <w:right w:val="single" w:color="000000" w:sz="4" w:space="0"/>
            </w:tcBorders>
          </w:tcPr>
          <w:p>
            <w:pPr>
              <w:pStyle w:val="72"/>
              <w:tabs>
                <w:tab w:val="left" w:pos="482"/>
              </w:tabs>
              <w:spacing w:before="122"/>
              <w:ind w:left="7"/>
              <w:jc w:val="center"/>
              <w:rPr>
                <w:rFonts w:ascii="宋体" w:hAnsi="宋体" w:cs="宋体"/>
              </w:rPr>
            </w:pPr>
          </w:p>
        </w:tc>
        <w:tc>
          <w:tcPr>
            <w:tcW w:w="1080" w:type="dxa"/>
            <w:tcBorders>
              <w:top w:val="single" w:color="000000" w:sz="4" w:space="0"/>
              <w:left w:val="single" w:color="000000" w:sz="4" w:space="0"/>
              <w:bottom w:val="single" w:color="000000" w:sz="8" w:space="0"/>
              <w:right w:val="single" w:color="000000" w:sz="4" w:space="0"/>
            </w:tcBorders>
          </w:tcPr>
          <w:p/>
        </w:tc>
        <w:tc>
          <w:tcPr>
            <w:tcW w:w="1548" w:type="dxa"/>
            <w:tcBorders>
              <w:top w:val="single" w:color="000000" w:sz="4" w:space="0"/>
              <w:left w:val="single" w:color="000000" w:sz="4" w:space="0"/>
              <w:bottom w:val="single" w:color="000000" w:sz="8" w:space="0"/>
              <w:right w:val="single" w:color="000000" w:sz="8" w:space="0"/>
            </w:tcBorders>
          </w:tcPr>
          <w:p/>
        </w:tc>
      </w:tr>
    </w:tbl>
    <w:p>
      <w:pPr>
        <w:sectPr>
          <w:footerReference r:id="rId11" w:type="default"/>
          <w:pgSz w:w="16840" w:h="11910" w:orient="landscape"/>
          <w:pgMar w:top="1300" w:right="780" w:bottom="1400" w:left="1060" w:header="1017" w:footer="1219" w:gutter="0"/>
          <w:cols w:space="720" w:num="1"/>
        </w:sectPr>
      </w:pPr>
    </w:p>
    <w:p>
      <w:pPr>
        <w:spacing w:before="4"/>
        <w:ind w:right="194"/>
        <w:jc w:val="center"/>
        <w:rPr>
          <w:rFonts w:eastAsia="黑体"/>
          <w:b/>
          <w:kern w:val="0"/>
          <w:sz w:val="30"/>
          <w:szCs w:val="30"/>
        </w:rPr>
      </w:pPr>
      <w:r>
        <w:rPr>
          <w:rFonts w:hint="eastAsia" w:eastAsia="黑体"/>
          <w:b/>
          <w:kern w:val="0"/>
          <w:sz w:val="30"/>
          <w:szCs w:val="30"/>
        </w:rPr>
        <w:t>表 7 监理服务费用支付估算表</w:t>
      </w:r>
    </w:p>
    <w:p>
      <w:pPr>
        <w:spacing w:before="1"/>
        <w:rPr>
          <w:szCs w:val="21"/>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567"/>
        <w:gridCol w:w="567"/>
        <w:gridCol w:w="567"/>
        <w:gridCol w:w="567"/>
        <w:gridCol w:w="567"/>
        <w:gridCol w:w="567"/>
        <w:gridCol w:w="567"/>
        <w:gridCol w:w="567"/>
        <w:gridCol w:w="122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Merge w:val="restart"/>
            <w:tcBorders>
              <w:tl2br w:val="single" w:color="auto" w:sz="4" w:space="0"/>
            </w:tcBorders>
          </w:tcPr>
          <w:p>
            <w:pPr>
              <w:rPr>
                <w:szCs w:val="21"/>
              </w:rPr>
            </w:pPr>
            <w:r>
              <w:rPr>
                <w:rFonts w:hint="eastAsia"/>
                <w:szCs w:val="21"/>
              </w:rPr>
              <w:t xml:space="preserve">            </w:t>
            </w:r>
          </w:p>
          <w:p>
            <w:pPr>
              <w:ind w:firstLine="1155" w:firstLineChars="550"/>
              <w:rPr>
                <w:szCs w:val="21"/>
              </w:rPr>
            </w:pPr>
            <w:r>
              <w:rPr>
                <w:rFonts w:hint="eastAsia"/>
                <w:szCs w:val="21"/>
              </w:rPr>
              <w:t>时间</w:t>
            </w:r>
          </w:p>
          <w:p>
            <w:pPr>
              <w:rPr>
                <w:szCs w:val="21"/>
              </w:rPr>
            </w:pPr>
          </w:p>
          <w:p>
            <w:pPr>
              <w:rPr>
                <w:szCs w:val="21"/>
              </w:rPr>
            </w:pPr>
            <w:r>
              <w:rPr>
                <w:rFonts w:hint="eastAsia"/>
                <w:szCs w:val="21"/>
              </w:rPr>
              <w:t>项目</w:t>
            </w:r>
          </w:p>
        </w:tc>
        <w:tc>
          <w:tcPr>
            <w:tcW w:w="2268" w:type="dxa"/>
            <w:gridSpan w:val="4"/>
            <w:vAlign w:val="center"/>
          </w:tcPr>
          <w:p>
            <w:pPr>
              <w:jc w:val="center"/>
              <w:rPr>
                <w:szCs w:val="21"/>
              </w:rPr>
            </w:pPr>
            <w:r>
              <w:rPr>
                <w:rFonts w:hint="eastAsia"/>
                <w:szCs w:val="21"/>
                <w:u w:val="single"/>
              </w:rPr>
              <w:t>_____</w:t>
            </w:r>
            <w:r>
              <w:rPr>
                <w:rFonts w:hint="eastAsia"/>
                <w:szCs w:val="21"/>
              </w:rPr>
              <w:t>年</w:t>
            </w:r>
            <w:r>
              <w:rPr>
                <w:rFonts w:hint="eastAsia"/>
                <w:szCs w:val="21"/>
                <w:u w:val="single"/>
              </w:rPr>
              <w:t xml:space="preserve">      </w:t>
            </w:r>
            <w:r>
              <w:rPr>
                <w:rFonts w:hint="eastAsia"/>
                <w:szCs w:val="21"/>
              </w:rPr>
              <w:t>季度</w:t>
            </w:r>
          </w:p>
        </w:tc>
        <w:tc>
          <w:tcPr>
            <w:tcW w:w="2268" w:type="dxa"/>
            <w:gridSpan w:val="4"/>
            <w:vAlign w:val="center"/>
          </w:tcPr>
          <w:p>
            <w:pPr>
              <w:jc w:val="center"/>
              <w:rPr>
                <w:szCs w:val="21"/>
              </w:rPr>
            </w:pPr>
            <w:r>
              <w:rPr>
                <w:rFonts w:hint="eastAsia"/>
                <w:szCs w:val="21"/>
                <w:u w:val="single"/>
              </w:rPr>
              <w:t>_____</w:t>
            </w:r>
            <w:r>
              <w:rPr>
                <w:rFonts w:hint="eastAsia"/>
                <w:szCs w:val="21"/>
              </w:rPr>
              <w:t>年</w:t>
            </w:r>
            <w:r>
              <w:rPr>
                <w:rFonts w:hint="eastAsia"/>
                <w:szCs w:val="21"/>
                <w:u w:val="single"/>
              </w:rPr>
              <w:t xml:space="preserve">      </w:t>
            </w:r>
            <w:r>
              <w:rPr>
                <w:rFonts w:hint="eastAsia"/>
                <w:szCs w:val="21"/>
              </w:rPr>
              <w:t>季度</w:t>
            </w:r>
          </w:p>
        </w:tc>
        <w:tc>
          <w:tcPr>
            <w:tcW w:w="1229" w:type="dxa"/>
            <w:vMerge w:val="restart"/>
            <w:vAlign w:val="center"/>
          </w:tcPr>
          <w:p>
            <w:pPr>
              <w:jc w:val="center"/>
              <w:rPr>
                <w:szCs w:val="21"/>
              </w:rPr>
            </w:pPr>
            <w:r>
              <w:rPr>
                <w:rFonts w:hint="eastAsia"/>
                <w:szCs w:val="21"/>
              </w:rPr>
              <w:t>缺陷责任期</w:t>
            </w:r>
          </w:p>
        </w:tc>
        <w:tc>
          <w:tcPr>
            <w:tcW w:w="1417" w:type="dxa"/>
            <w:vMerge w:val="restart"/>
            <w:vAlign w:val="center"/>
          </w:tcPr>
          <w:p>
            <w:pPr>
              <w:jc w:val="center"/>
              <w:rPr>
                <w:szCs w:val="21"/>
              </w:rPr>
            </w:pPr>
            <w:r>
              <w:rPr>
                <w:rFonts w:hint="eastAsia"/>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Merge w:val="continue"/>
          </w:tcPr>
          <w:p>
            <w:pPr>
              <w:rPr>
                <w:szCs w:val="21"/>
              </w:rPr>
            </w:pPr>
          </w:p>
        </w:tc>
        <w:tc>
          <w:tcPr>
            <w:tcW w:w="567" w:type="dxa"/>
            <w:vAlign w:val="center"/>
          </w:tcPr>
          <w:p>
            <w:pPr>
              <w:jc w:val="center"/>
              <w:rPr>
                <w:szCs w:val="21"/>
              </w:rPr>
            </w:pPr>
            <w:r>
              <w:rPr>
                <w:rFonts w:hint="eastAsia"/>
                <w:szCs w:val="21"/>
              </w:rPr>
              <w:t>1</w:t>
            </w:r>
          </w:p>
        </w:tc>
        <w:tc>
          <w:tcPr>
            <w:tcW w:w="567" w:type="dxa"/>
            <w:vAlign w:val="center"/>
          </w:tcPr>
          <w:p>
            <w:pPr>
              <w:jc w:val="center"/>
              <w:rPr>
                <w:szCs w:val="21"/>
              </w:rPr>
            </w:pPr>
            <w:r>
              <w:rPr>
                <w:rFonts w:hint="eastAsia"/>
                <w:szCs w:val="21"/>
              </w:rPr>
              <w:t>2</w:t>
            </w:r>
          </w:p>
        </w:tc>
        <w:tc>
          <w:tcPr>
            <w:tcW w:w="567" w:type="dxa"/>
            <w:vAlign w:val="center"/>
          </w:tcPr>
          <w:p>
            <w:pPr>
              <w:jc w:val="center"/>
              <w:rPr>
                <w:szCs w:val="21"/>
              </w:rPr>
            </w:pPr>
            <w:r>
              <w:rPr>
                <w:rFonts w:hint="eastAsia"/>
                <w:szCs w:val="21"/>
              </w:rPr>
              <w:t>3</w:t>
            </w:r>
          </w:p>
        </w:tc>
        <w:tc>
          <w:tcPr>
            <w:tcW w:w="567" w:type="dxa"/>
            <w:vAlign w:val="center"/>
          </w:tcPr>
          <w:p>
            <w:pPr>
              <w:jc w:val="center"/>
              <w:rPr>
                <w:szCs w:val="21"/>
              </w:rPr>
            </w:pPr>
            <w:r>
              <w:rPr>
                <w:rFonts w:hint="eastAsia"/>
                <w:szCs w:val="21"/>
              </w:rPr>
              <w:t>4</w:t>
            </w:r>
          </w:p>
        </w:tc>
        <w:tc>
          <w:tcPr>
            <w:tcW w:w="567" w:type="dxa"/>
            <w:vAlign w:val="center"/>
          </w:tcPr>
          <w:p>
            <w:pPr>
              <w:jc w:val="center"/>
              <w:rPr>
                <w:szCs w:val="21"/>
              </w:rPr>
            </w:pPr>
            <w:r>
              <w:rPr>
                <w:rFonts w:hint="eastAsia"/>
                <w:szCs w:val="21"/>
              </w:rPr>
              <w:t>1</w:t>
            </w:r>
          </w:p>
        </w:tc>
        <w:tc>
          <w:tcPr>
            <w:tcW w:w="567" w:type="dxa"/>
            <w:vAlign w:val="center"/>
          </w:tcPr>
          <w:p>
            <w:pPr>
              <w:jc w:val="center"/>
              <w:rPr>
                <w:szCs w:val="21"/>
              </w:rPr>
            </w:pPr>
            <w:r>
              <w:rPr>
                <w:rFonts w:hint="eastAsia"/>
                <w:szCs w:val="21"/>
              </w:rPr>
              <w:t>2</w:t>
            </w:r>
          </w:p>
        </w:tc>
        <w:tc>
          <w:tcPr>
            <w:tcW w:w="567" w:type="dxa"/>
            <w:vAlign w:val="center"/>
          </w:tcPr>
          <w:p>
            <w:pPr>
              <w:jc w:val="center"/>
              <w:rPr>
                <w:szCs w:val="21"/>
              </w:rPr>
            </w:pPr>
            <w:r>
              <w:rPr>
                <w:rFonts w:hint="eastAsia"/>
                <w:szCs w:val="21"/>
              </w:rPr>
              <w:t>3</w:t>
            </w:r>
          </w:p>
        </w:tc>
        <w:tc>
          <w:tcPr>
            <w:tcW w:w="567" w:type="dxa"/>
            <w:vAlign w:val="center"/>
          </w:tcPr>
          <w:p>
            <w:pPr>
              <w:jc w:val="center"/>
              <w:rPr>
                <w:szCs w:val="21"/>
              </w:rPr>
            </w:pPr>
            <w:r>
              <w:rPr>
                <w:rFonts w:hint="eastAsia"/>
                <w:szCs w:val="21"/>
              </w:rPr>
              <w:t>4</w:t>
            </w:r>
          </w:p>
        </w:tc>
        <w:tc>
          <w:tcPr>
            <w:tcW w:w="1229" w:type="dxa"/>
            <w:vMerge w:val="continue"/>
            <w:vAlign w:val="center"/>
          </w:tcPr>
          <w:p>
            <w:pPr>
              <w:jc w:val="center"/>
              <w:rPr>
                <w:szCs w:val="21"/>
              </w:rPr>
            </w:pPr>
          </w:p>
        </w:tc>
        <w:tc>
          <w:tcPr>
            <w:tcW w:w="1417"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Align w:val="center"/>
          </w:tcPr>
          <w:p>
            <w:pPr>
              <w:jc w:val="center"/>
              <w:rPr>
                <w:szCs w:val="21"/>
              </w:rPr>
            </w:pPr>
            <w:r>
              <w:rPr>
                <w:rFonts w:hint="eastAsia"/>
                <w:szCs w:val="21"/>
              </w:rPr>
              <w:t>监理人员服务费</w:t>
            </w: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1229" w:type="dxa"/>
            <w:vAlign w:val="center"/>
          </w:tcPr>
          <w:p>
            <w:pPr>
              <w:jc w:val="center"/>
              <w:rPr>
                <w:szCs w:val="21"/>
              </w:rPr>
            </w:pPr>
          </w:p>
        </w:tc>
        <w:tc>
          <w:tcPr>
            <w:tcW w:w="141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Align w:val="center"/>
          </w:tcPr>
          <w:p>
            <w:pPr>
              <w:jc w:val="center"/>
              <w:rPr>
                <w:szCs w:val="21"/>
              </w:rPr>
            </w:pPr>
            <w:r>
              <w:rPr>
                <w:rFonts w:hint="eastAsia"/>
                <w:szCs w:val="21"/>
              </w:rPr>
              <w:t>监理办公设施费</w:t>
            </w: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1229" w:type="dxa"/>
            <w:vAlign w:val="center"/>
          </w:tcPr>
          <w:p>
            <w:pPr>
              <w:jc w:val="center"/>
              <w:rPr>
                <w:szCs w:val="21"/>
              </w:rPr>
            </w:pPr>
          </w:p>
        </w:tc>
        <w:tc>
          <w:tcPr>
            <w:tcW w:w="141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Align w:val="center"/>
          </w:tcPr>
          <w:p>
            <w:pPr>
              <w:jc w:val="center"/>
              <w:rPr>
                <w:szCs w:val="21"/>
              </w:rPr>
            </w:pPr>
            <w:r>
              <w:rPr>
                <w:rFonts w:hint="eastAsia"/>
                <w:szCs w:val="21"/>
              </w:rPr>
              <w:t>监理交通设施费</w:t>
            </w: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1229" w:type="dxa"/>
            <w:vAlign w:val="center"/>
          </w:tcPr>
          <w:p>
            <w:pPr>
              <w:jc w:val="center"/>
              <w:rPr>
                <w:szCs w:val="21"/>
              </w:rPr>
            </w:pPr>
          </w:p>
        </w:tc>
        <w:tc>
          <w:tcPr>
            <w:tcW w:w="141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Align w:val="center"/>
          </w:tcPr>
          <w:p>
            <w:pPr>
              <w:jc w:val="center"/>
              <w:rPr>
                <w:szCs w:val="21"/>
              </w:rPr>
            </w:pPr>
            <w:r>
              <w:rPr>
                <w:rFonts w:hint="eastAsia"/>
                <w:szCs w:val="21"/>
              </w:rPr>
              <w:t>监理试验设施费</w:t>
            </w: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1229" w:type="dxa"/>
            <w:vAlign w:val="center"/>
          </w:tcPr>
          <w:p>
            <w:pPr>
              <w:jc w:val="center"/>
              <w:rPr>
                <w:szCs w:val="21"/>
              </w:rPr>
            </w:pPr>
          </w:p>
        </w:tc>
        <w:tc>
          <w:tcPr>
            <w:tcW w:w="141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Align w:val="center"/>
          </w:tcPr>
          <w:p>
            <w:pPr>
              <w:jc w:val="center"/>
              <w:rPr>
                <w:szCs w:val="21"/>
              </w:rPr>
            </w:pPr>
            <w:r>
              <w:rPr>
                <w:rFonts w:hint="eastAsia"/>
                <w:szCs w:val="21"/>
              </w:rPr>
              <w:t>监理生活设施费</w:t>
            </w: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1229" w:type="dxa"/>
            <w:vAlign w:val="center"/>
          </w:tcPr>
          <w:p>
            <w:pPr>
              <w:jc w:val="center"/>
              <w:rPr>
                <w:szCs w:val="21"/>
              </w:rPr>
            </w:pPr>
          </w:p>
        </w:tc>
        <w:tc>
          <w:tcPr>
            <w:tcW w:w="141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Align w:val="center"/>
          </w:tcPr>
          <w:p>
            <w:pPr>
              <w:jc w:val="center"/>
              <w:rPr>
                <w:szCs w:val="21"/>
              </w:rPr>
            </w:pPr>
            <w:r>
              <w:rPr>
                <w:rFonts w:hint="eastAsia"/>
                <w:szCs w:val="21"/>
              </w:rPr>
              <w:t>合计</w:t>
            </w: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1229" w:type="dxa"/>
            <w:vAlign w:val="center"/>
          </w:tcPr>
          <w:p>
            <w:pPr>
              <w:jc w:val="center"/>
              <w:rPr>
                <w:szCs w:val="21"/>
              </w:rPr>
            </w:pPr>
          </w:p>
        </w:tc>
        <w:tc>
          <w:tcPr>
            <w:tcW w:w="1417" w:type="dxa"/>
            <w:vAlign w:val="center"/>
          </w:tcPr>
          <w:p>
            <w:pPr>
              <w:jc w:val="center"/>
              <w:rPr>
                <w:szCs w:val="21"/>
              </w:rPr>
            </w:pPr>
          </w:p>
        </w:tc>
      </w:tr>
    </w:tbl>
    <w:p>
      <w:pPr>
        <w:rPr>
          <w:sz w:val="20"/>
          <w:szCs w:val="20"/>
        </w:rPr>
      </w:pPr>
    </w:p>
    <w:p>
      <w:pPr>
        <w:rPr>
          <w:sz w:val="20"/>
          <w:szCs w:val="20"/>
        </w:rPr>
      </w:pPr>
    </w:p>
    <w:p>
      <w:pPr>
        <w:spacing w:before="36"/>
        <w:ind w:left="226" w:right="194"/>
      </w:pPr>
      <w:r>
        <w:rPr>
          <w:rFonts w:hint="eastAsia"/>
          <w:sz w:val="24"/>
        </w:rPr>
        <w:t>注</w:t>
      </w:r>
      <w:r>
        <w:t>：</w:t>
      </w:r>
    </w:p>
    <w:p>
      <w:pPr>
        <w:spacing w:before="122"/>
        <w:ind w:left="250" w:right="194"/>
        <w:rPr>
          <w:szCs w:val="21"/>
        </w:rPr>
      </w:pPr>
      <w:r>
        <w:rPr>
          <w:rFonts w:ascii="Arial" w:hAnsi="Arial" w:eastAsia="Arial" w:cs="Arial"/>
          <w:szCs w:val="21"/>
        </w:rPr>
        <w:t xml:space="preserve">1.  </w:t>
      </w:r>
      <w:r>
        <w:rPr>
          <w:szCs w:val="21"/>
        </w:rPr>
        <w:t>本表应按附件</w:t>
      </w:r>
      <w:r>
        <w:rPr>
          <w:rFonts w:hint="eastAsia"/>
          <w:szCs w:val="21"/>
        </w:rPr>
        <w:t>1</w:t>
      </w:r>
      <w:r>
        <w:rPr>
          <w:szCs w:val="21"/>
        </w:rPr>
        <w:t>和附件</w:t>
      </w:r>
      <w:r>
        <w:rPr>
          <w:rFonts w:hint="eastAsia"/>
          <w:szCs w:val="21"/>
        </w:rPr>
        <w:t>2</w:t>
      </w:r>
      <w:r>
        <w:rPr>
          <w:szCs w:val="21"/>
        </w:rPr>
        <w:t>监理人员和监理设施进场时间及数量安排计算相应的费用。</w:t>
      </w:r>
    </w:p>
    <w:p>
      <w:pPr>
        <w:spacing w:before="122"/>
        <w:ind w:left="226" w:right="194" w:firstLine="1"/>
        <w:rPr>
          <w:szCs w:val="21"/>
        </w:rPr>
      </w:pPr>
      <w:r>
        <w:rPr>
          <w:rFonts w:eastAsia="Times New Roman"/>
          <w:szCs w:val="21"/>
        </w:rPr>
        <w:t xml:space="preserve">2.  </w:t>
      </w:r>
      <w:r>
        <w:rPr>
          <w:szCs w:val="21"/>
        </w:rPr>
        <w:t>本表各项合计费用应与监理服务费用报价汇总表相一致。</w:t>
      </w:r>
    </w:p>
    <w:p>
      <w:pPr>
        <w:spacing w:before="121"/>
        <w:ind w:left="231" w:right="194"/>
        <w:rPr>
          <w:szCs w:val="21"/>
        </w:rPr>
      </w:pPr>
      <w:r>
        <w:rPr>
          <w:rFonts w:eastAsia="Times New Roman"/>
          <w:szCs w:val="21"/>
        </w:rPr>
        <w:t xml:space="preserve">3.  </w:t>
      </w:r>
      <w:r>
        <w:rPr>
          <w:szCs w:val="21"/>
        </w:rPr>
        <w:t>本表将作为监理合同履行过程中委托人支付监理费用的参考依据。</w:t>
      </w:r>
    </w:p>
    <w:p>
      <w:pPr>
        <w:spacing w:before="1"/>
        <w:jc w:val="center"/>
        <w:rPr>
          <w:sz w:val="30"/>
          <w:szCs w:val="30"/>
        </w:rPr>
      </w:pPr>
      <w:r>
        <w:rPr>
          <w:szCs w:val="21"/>
        </w:rPr>
        <w:br w:type="page"/>
      </w:r>
      <w:r>
        <w:rPr>
          <w:rFonts w:hint="eastAsia" w:eastAsia="黑体"/>
          <w:b/>
          <w:kern w:val="0"/>
          <w:sz w:val="30"/>
          <w:szCs w:val="30"/>
        </w:rPr>
        <w:t>附件1 监理人员工作计划安排表</w:t>
      </w:r>
    </w:p>
    <w:p>
      <w:pPr>
        <w:spacing w:before="1"/>
        <w:jc w:val="center"/>
        <w:rPr>
          <w:sz w:val="19"/>
          <w:szCs w:val="19"/>
        </w:rPr>
      </w:pPr>
    </w:p>
    <w:tbl>
      <w:tblPr>
        <w:tblStyle w:val="30"/>
        <w:tblW w:w="0" w:type="auto"/>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32"/>
        <w:gridCol w:w="630"/>
        <w:gridCol w:w="397"/>
        <w:gridCol w:w="397"/>
        <w:gridCol w:w="397"/>
        <w:gridCol w:w="397"/>
        <w:gridCol w:w="397"/>
        <w:gridCol w:w="397"/>
        <w:gridCol w:w="397"/>
        <w:gridCol w:w="397"/>
        <w:gridCol w:w="397"/>
        <w:gridCol w:w="397"/>
        <w:gridCol w:w="397"/>
        <w:gridCol w:w="397"/>
        <w:gridCol w:w="397"/>
        <w:gridCol w:w="544"/>
        <w:gridCol w:w="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7" w:type="dxa"/>
            <w:vMerge w:val="restart"/>
            <w:vAlign w:val="center"/>
          </w:tcPr>
          <w:p>
            <w:pPr>
              <w:spacing w:before="1"/>
              <w:jc w:val="center"/>
              <w:rPr>
                <w:szCs w:val="21"/>
              </w:rPr>
            </w:pPr>
            <w:r>
              <w:rPr>
                <w:rFonts w:hint="eastAsia"/>
                <w:szCs w:val="21"/>
              </w:rPr>
              <w:t>序号</w:t>
            </w:r>
          </w:p>
        </w:tc>
        <w:tc>
          <w:tcPr>
            <w:tcW w:w="1532" w:type="dxa"/>
            <w:vMerge w:val="restart"/>
            <w:vAlign w:val="center"/>
          </w:tcPr>
          <w:p>
            <w:pPr>
              <w:spacing w:before="1"/>
              <w:jc w:val="center"/>
              <w:rPr>
                <w:szCs w:val="21"/>
              </w:rPr>
            </w:pPr>
            <w:r>
              <w:rPr>
                <w:rFonts w:hint="eastAsia"/>
                <w:szCs w:val="21"/>
              </w:rPr>
              <w:t>人员</w:t>
            </w:r>
          </w:p>
        </w:tc>
        <w:tc>
          <w:tcPr>
            <w:tcW w:w="630" w:type="dxa"/>
            <w:vMerge w:val="restart"/>
            <w:vAlign w:val="center"/>
          </w:tcPr>
          <w:p>
            <w:pPr>
              <w:spacing w:before="1"/>
              <w:jc w:val="center"/>
              <w:rPr>
                <w:szCs w:val="21"/>
              </w:rPr>
            </w:pPr>
            <w:r>
              <w:rPr>
                <w:rFonts w:hint="eastAsia"/>
                <w:szCs w:val="21"/>
              </w:rPr>
              <w:t>驻场时间(月)</w:t>
            </w:r>
          </w:p>
        </w:tc>
        <w:tc>
          <w:tcPr>
            <w:tcW w:w="5161" w:type="dxa"/>
            <w:gridSpan w:val="13"/>
            <w:vAlign w:val="center"/>
          </w:tcPr>
          <w:p>
            <w:pPr>
              <w:spacing w:before="1"/>
              <w:jc w:val="center"/>
              <w:rPr>
                <w:szCs w:val="21"/>
              </w:rPr>
            </w:pPr>
            <w:r>
              <w:rPr>
                <w:rFonts w:hint="eastAsia"/>
                <w:szCs w:val="21"/>
              </w:rPr>
              <w:t>监理人员投入安排（共   个月）</w:t>
            </w:r>
          </w:p>
        </w:tc>
        <w:tc>
          <w:tcPr>
            <w:tcW w:w="544" w:type="dxa"/>
            <w:vMerge w:val="restart"/>
            <w:vAlign w:val="center"/>
          </w:tcPr>
          <w:p>
            <w:pPr>
              <w:spacing w:before="1"/>
              <w:jc w:val="center"/>
              <w:rPr>
                <w:szCs w:val="21"/>
              </w:rPr>
            </w:pPr>
            <w:r>
              <w:rPr>
                <w:rFonts w:hint="eastAsia"/>
                <w:szCs w:val="21"/>
              </w:rPr>
              <w:t>合计</w:t>
            </w:r>
          </w:p>
        </w:tc>
        <w:tc>
          <w:tcPr>
            <w:tcW w:w="544" w:type="dxa"/>
            <w:vMerge w:val="restart"/>
            <w:vAlign w:val="center"/>
          </w:tcPr>
          <w:p>
            <w:pPr>
              <w:spacing w:before="1"/>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7" w:type="dxa"/>
            <w:vMerge w:val="continue"/>
            <w:vAlign w:val="center"/>
          </w:tcPr>
          <w:p>
            <w:pPr>
              <w:spacing w:before="1"/>
              <w:jc w:val="center"/>
              <w:rPr>
                <w:szCs w:val="21"/>
              </w:rPr>
            </w:pPr>
          </w:p>
        </w:tc>
        <w:tc>
          <w:tcPr>
            <w:tcW w:w="1532" w:type="dxa"/>
            <w:vMerge w:val="continue"/>
            <w:vAlign w:val="center"/>
          </w:tcPr>
          <w:p>
            <w:pPr>
              <w:spacing w:before="1"/>
              <w:jc w:val="center"/>
              <w:rPr>
                <w:szCs w:val="21"/>
              </w:rPr>
            </w:pPr>
          </w:p>
        </w:tc>
        <w:tc>
          <w:tcPr>
            <w:tcW w:w="630" w:type="dxa"/>
            <w:vMerge w:val="continue"/>
            <w:vAlign w:val="center"/>
          </w:tcPr>
          <w:p>
            <w:pPr>
              <w:spacing w:before="1"/>
              <w:jc w:val="center"/>
              <w:rPr>
                <w:szCs w:val="21"/>
              </w:rPr>
            </w:pPr>
          </w:p>
        </w:tc>
        <w:tc>
          <w:tcPr>
            <w:tcW w:w="397" w:type="dxa"/>
            <w:vAlign w:val="center"/>
          </w:tcPr>
          <w:p>
            <w:pPr>
              <w:spacing w:before="1"/>
              <w:jc w:val="center"/>
              <w:rPr>
                <w:szCs w:val="21"/>
              </w:rPr>
            </w:pPr>
            <w:r>
              <w:rPr>
                <w:rFonts w:hint="eastAsia"/>
                <w:szCs w:val="21"/>
              </w:rPr>
              <w:t>1</w:t>
            </w:r>
          </w:p>
        </w:tc>
        <w:tc>
          <w:tcPr>
            <w:tcW w:w="397" w:type="dxa"/>
            <w:vAlign w:val="center"/>
          </w:tcPr>
          <w:p>
            <w:pPr>
              <w:spacing w:before="1"/>
              <w:jc w:val="center"/>
              <w:rPr>
                <w:szCs w:val="21"/>
              </w:rPr>
            </w:pPr>
            <w:r>
              <w:rPr>
                <w:rFonts w:hint="eastAsia"/>
                <w:szCs w:val="21"/>
              </w:rPr>
              <w:t>2</w:t>
            </w:r>
          </w:p>
        </w:tc>
        <w:tc>
          <w:tcPr>
            <w:tcW w:w="397" w:type="dxa"/>
            <w:vAlign w:val="center"/>
          </w:tcPr>
          <w:p>
            <w:pPr>
              <w:spacing w:before="1"/>
              <w:jc w:val="center"/>
              <w:rPr>
                <w:szCs w:val="21"/>
              </w:rPr>
            </w:pPr>
            <w:r>
              <w:rPr>
                <w:rFonts w:hint="eastAsia"/>
                <w:szCs w:val="21"/>
              </w:rPr>
              <w:t>3</w:t>
            </w:r>
          </w:p>
        </w:tc>
        <w:tc>
          <w:tcPr>
            <w:tcW w:w="397" w:type="dxa"/>
            <w:vAlign w:val="center"/>
          </w:tcPr>
          <w:p>
            <w:pPr>
              <w:spacing w:before="1"/>
              <w:jc w:val="center"/>
              <w:rPr>
                <w:szCs w:val="21"/>
              </w:rPr>
            </w:pPr>
            <w:r>
              <w:rPr>
                <w:rFonts w:hint="eastAsia"/>
                <w:szCs w:val="21"/>
              </w:rPr>
              <w:t>4</w:t>
            </w:r>
          </w:p>
        </w:tc>
        <w:tc>
          <w:tcPr>
            <w:tcW w:w="397" w:type="dxa"/>
            <w:vAlign w:val="center"/>
          </w:tcPr>
          <w:p>
            <w:pPr>
              <w:spacing w:before="1"/>
              <w:jc w:val="center"/>
              <w:rPr>
                <w:szCs w:val="21"/>
              </w:rPr>
            </w:pPr>
            <w:r>
              <w:rPr>
                <w:rFonts w:hint="eastAsia"/>
                <w:szCs w:val="21"/>
              </w:rPr>
              <w:t>5</w:t>
            </w:r>
          </w:p>
        </w:tc>
        <w:tc>
          <w:tcPr>
            <w:tcW w:w="397" w:type="dxa"/>
            <w:vAlign w:val="center"/>
          </w:tcPr>
          <w:p>
            <w:pPr>
              <w:spacing w:before="1"/>
              <w:jc w:val="center"/>
              <w:rPr>
                <w:szCs w:val="21"/>
              </w:rPr>
            </w:pPr>
            <w:r>
              <w:rPr>
                <w:rFonts w:hint="eastAsia"/>
                <w:szCs w:val="21"/>
              </w:rPr>
              <w:t>6</w:t>
            </w:r>
          </w:p>
        </w:tc>
        <w:tc>
          <w:tcPr>
            <w:tcW w:w="397" w:type="dxa"/>
            <w:vAlign w:val="center"/>
          </w:tcPr>
          <w:p>
            <w:pPr>
              <w:spacing w:before="1"/>
              <w:jc w:val="center"/>
              <w:rPr>
                <w:szCs w:val="21"/>
              </w:rPr>
            </w:pPr>
            <w:r>
              <w:rPr>
                <w:rFonts w:hint="eastAsia"/>
                <w:szCs w:val="21"/>
              </w:rPr>
              <w:t>7</w:t>
            </w:r>
          </w:p>
        </w:tc>
        <w:tc>
          <w:tcPr>
            <w:tcW w:w="397" w:type="dxa"/>
            <w:vAlign w:val="center"/>
          </w:tcPr>
          <w:p>
            <w:pPr>
              <w:spacing w:before="1"/>
              <w:jc w:val="center"/>
              <w:rPr>
                <w:szCs w:val="21"/>
              </w:rPr>
            </w:pPr>
            <w:r>
              <w:rPr>
                <w:rFonts w:hint="eastAsia"/>
                <w:szCs w:val="21"/>
              </w:rPr>
              <w:t>8</w:t>
            </w:r>
          </w:p>
        </w:tc>
        <w:tc>
          <w:tcPr>
            <w:tcW w:w="397" w:type="dxa"/>
            <w:vAlign w:val="center"/>
          </w:tcPr>
          <w:p>
            <w:pPr>
              <w:spacing w:before="1"/>
              <w:jc w:val="center"/>
              <w:rPr>
                <w:szCs w:val="21"/>
              </w:rPr>
            </w:pPr>
            <w:r>
              <w:rPr>
                <w:rFonts w:hint="eastAsia"/>
                <w:szCs w:val="21"/>
              </w:rPr>
              <w:t>9</w:t>
            </w:r>
          </w:p>
        </w:tc>
        <w:tc>
          <w:tcPr>
            <w:tcW w:w="397" w:type="dxa"/>
            <w:vAlign w:val="center"/>
          </w:tcPr>
          <w:p>
            <w:pPr>
              <w:spacing w:before="1"/>
              <w:jc w:val="center"/>
              <w:rPr>
                <w:szCs w:val="21"/>
              </w:rPr>
            </w:pPr>
            <w:r>
              <w:rPr>
                <w:rFonts w:hint="eastAsia"/>
                <w:szCs w:val="21"/>
              </w:rPr>
              <w:t>10</w:t>
            </w:r>
          </w:p>
        </w:tc>
        <w:tc>
          <w:tcPr>
            <w:tcW w:w="397" w:type="dxa"/>
            <w:vAlign w:val="center"/>
          </w:tcPr>
          <w:p>
            <w:pPr>
              <w:spacing w:before="1"/>
              <w:jc w:val="center"/>
              <w:rPr>
                <w:szCs w:val="21"/>
              </w:rPr>
            </w:pPr>
            <w:r>
              <w:rPr>
                <w:rFonts w:hint="eastAsia"/>
                <w:szCs w:val="21"/>
              </w:rPr>
              <w:t>11</w:t>
            </w:r>
          </w:p>
        </w:tc>
        <w:tc>
          <w:tcPr>
            <w:tcW w:w="397" w:type="dxa"/>
            <w:vAlign w:val="center"/>
          </w:tcPr>
          <w:p>
            <w:pPr>
              <w:spacing w:before="1"/>
              <w:jc w:val="center"/>
              <w:rPr>
                <w:szCs w:val="21"/>
              </w:rPr>
            </w:pPr>
            <w:r>
              <w:rPr>
                <w:rFonts w:hint="eastAsia"/>
                <w:szCs w:val="21"/>
              </w:rPr>
              <w:t>12</w:t>
            </w:r>
          </w:p>
        </w:tc>
        <w:tc>
          <w:tcPr>
            <w:tcW w:w="397" w:type="dxa"/>
            <w:vAlign w:val="center"/>
          </w:tcPr>
          <w:p>
            <w:pPr>
              <w:spacing w:before="1"/>
              <w:jc w:val="center"/>
              <w:rPr>
                <w:szCs w:val="21"/>
              </w:rPr>
            </w:pPr>
            <w:r>
              <w:rPr>
                <w:szCs w:val="21"/>
              </w:rPr>
              <w:t>…</w:t>
            </w:r>
          </w:p>
        </w:tc>
        <w:tc>
          <w:tcPr>
            <w:tcW w:w="544" w:type="dxa"/>
            <w:vMerge w:val="continue"/>
            <w:vAlign w:val="center"/>
          </w:tcPr>
          <w:p>
            <w:pPr>
              <w:spacing w:before="1"/>
              <w:jc w:val="center"/>
              <w:rPr>
                <w:szCs w:val="21"/>
              </w:rPr>
            </w:pPr>
          </w:p>
        </w:tc>
        <w:tc>
          <w:tcPr>
            <w:tcW w:w="544" w:type="dxa"/>
            <w:vMerge w:val="continue"/>
            <w:vAlign w:val="center"/>
          </w:tcPr>
          <w:p>
            <w:pPr>
              <w:spacing w:before="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szCs w:val="21"/>
              </w:rPr>
            </w:pPr>
            <w:r>
              <w:rPr>
                <w:rFonts w:hint="eastAsia"/>
                <w:szCs w:val="21"/>
              </w:rPr>
              <w:t>1</w:t>
            </w:r>
          </w:p>
        </w:tc>
        <w:tc>
          <w:tcPr>
            <w:tcW w:w="1532" w:type="dxa"/>
            <w:vAlign w:val="center"/>
          </w:tcPr>
          <w:p>
            <w:pPr>
              <w:spacing w:before="1"/>
              <w:jc w:val="center"/>
              <w:rPr>
                <w:szCs w:val="21"/>
              </w:rPr>
            </w:pPr>
            <w:r>
              <w:rPr>
                <w:rFonts w:hint="eastAsia"/>
                <w:szCs w:val="21"/>
              </w:rPr>
              <w:t>总监理工程师</w:t>
            </w:r>
          </w:p>
        </w:tc>
        <w:tc>
          <w:tcPr>
            <w:tcW w:w="630"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544" w:type="dxa"/>
            <w:vAlign w:val="center"/>
          </w:tcPr>
          <w:p>
            <w:pPr>
              <w:spacing w:before="1"/>
              <w:jc w:val="center"/>
              <w:rPr>
                <w:szCs w:val="21"/>
              </w:rPr>
            </w:pPr>
          </w:p>
        </w:tc>
        <w:tc>
          <w:tcPr>
            <w:tcW w:w="544" w:type="dxa"/>
            <w:vAlign w:val="center"/>
          </w:tcPr>
          <w:p>
            <w:pPr>
              <w:spacing w:before="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szCs w:val="21"/>
              </w:rPr>
            </w:pPr>
            <w:r>
              <w:rPr>
                <w:rFonts w:hint="eastAsia"/>
                <w:szCs w:val="21"/>
              </w:rPr>
              <w:t>2</w:t>
            </w:r>
          </w:p>
        </w:tc>
        <w:tc>
          <w:tcPr>
            <w:tcW w:w="1532" w:type="dxa"/>
            <w:vAlign w:val="center"/>
          </w:tcPr>
          <w:p>
            <w:pPr>
              <w:spacing w:before="1"/>
              <w:jc w:val="center"/>
              <w:rPr>
                <w:szCs w:val="21"/>
              </w:rPr>
            </w:pPr>
            <w:r>
              <w:rPr>
                <w:rFonts w:hint="eastAsia"/>
                <w:szCs w:val="21"/>
              </w:rPr>
              <w:t>**专业监理工程师</w:t>
            </w:r>
          </w:p>
        </w:tc>
        <w:tc>
          <w:tcPr>
            <w:tcW w:w="630"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544" w:type="dxa"/>
            <w:vAlign w:val="center"/>
          </w:tcPr>
          <w:p>
            <w:pPr>
              <w:spacing w:before="1"/>
              <w:jc w:val="center"/>
              <w:rPr>
                <w:szCs w:val="21"/>
              </w:rPr>
            </w:pPr>
          </w:p>
        </w:tc>
        <w:tc>
          <w:tcPr>
            <w:tcW w:w="544" w:type="dxa"/>
            <w:vAlign w:val="center"/>
          </w:tcPr>
          <w:p>
            <w:pPr>
              <w:spacing w:before="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szCs w:val="21"/>
              </w:rPr>
            </w:pPr>
            <w:r>
              <w:rPr>
                <w:rFonts w:hint="eastAsia"/>
                <w:szCs w:val="21"/>
              </w:rPr>
              <w:t>3</w:t>
            </w:r>
          </w:p>
        </w:tc>
        <w:tc>
          <w:tcPr>
            <w:tcW w:w="1532" w:type="dxa"/>
            <w:vAlign w:val="center"/>
          </w:tcPr>
          <w:p>
            <w:pPr>
              <w:jc w:val="center"/>
              <w:rPr>
                <w:szCs w:val="21"/>
              </w:rPr>
            </w:pPr>
            <w:r>
              <w:rPr>
                <w:rFonts w:hint="eastAsia"/>
                <w:szCs w:val="21"/>
              </w:rPr>
              <w:t>**专业监理工程师</w:t>
            </w:r>
          </w:p>
        </w:tc>
        <w:tc>
          <w:tcPr>
            <w:tcW w:w="630"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544" w:type="dxa"/>
            <w:vAlign w:val="center"/>
          </w:tcPr>
          <w:p>
            <w:pPr>
              <w:spacing w:before="1"/>
              <w:jc w:val="center"/>
              <w:rPr>
                <w:szCs w:val="21"/>
              </w:rPr>
            </w:pPr>
          </w:p>
        </w:tc>
        <w:tc>
          <w:tcPr>
            <w:tcW w:w="544" w:type="dxa"/>
            <w:vAlign w:val="center"/>
          </w:tcPr>
          <w:p>
            <w:pPr>
              <w:spacing w:before="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szCs w:val="21"/>
              </w:rPr>
            </w:pPr>
            <w:r>
              <w:rPr>
                <w:rFonts w:hint="eastAsia"/>
                <w:szCs w:val="21"/>
              </w:rPr>
              <w:t>4</w:t>
            </w:r>
          </w:p>
        </w:tc>
        <w:tc>
          <w:tcPr>
            <w:tcW w:w="1532" w:type="dxa"/>
            <w:vAlign w:val="center"/>
          </w:tcPr>
          <w:p>
            <w:pPr>
              <w:jc w:val="center"/>
              <w:rPr>
                <w:szCs w:val="21"/>
              </w:rPr>
            </w:pPr>
            <w:r>
              <w:rPr>
                <w:rFonts w:hint="eastAsia"/>
                <w:szCs w:val="21"/>
              </w:rPr>
              <w:t>**专业监理工程师</w:t>
            </w:r>
          </w:p>
        </w:tc>
        <w:tc>
          <w:tcPr>
            <w:tcW w:w="630"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544" w:type="dxa"/>
            <w:vAlign w:val="center"/>
          </w:tcPr>
          <w:p>
            <w:pPr>
              <w:spacing w:before="1"/>
              <w:jc w:val="center"/>
              <w:rPr>
                <w:szCs w:val="21"/>
              </w:rPr>
            </w:pPr>
          </w:p>
        </w:tc>
        <w:tc>
          <w:tcPr>
            <w:tcW w:w="544" w:type="dxa"/>
            <w:vAlign w:val="center"/>
          </w:tcPr>
          <w:p>
            <w:pPr>
              <w:spacing w:before="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szCs w:val="21"/>
              </w:rPr>
            </w:pPr>
            <w:r>
              <w:rPr>
                <w:rFonts w:hint="eastAsia"/>
                <w:szCs w:val="21"/>
              </w:rPr>
              <w:t>5</w:t>
            </w:r>
          </w:p>
        </w:tc>
        <w:tc>
          <w:tcPr>
            <w:tcW w:w="1532" w:type="dxa"/>
            <w:vAlign w:val="center"/>
          </w:tcPr>
          <w:p>
            <w:pPr>
              <w:jc w:val="center"/>
              <w:rPr>
                <w:szCs w:val="21"/>
              </w:rPr>
            </w:pPr>
            <w:r>
              <w:rPr>
                <w:rFonts w:hint="eastAsia"/>
                <w:szCs w:val="21"/>
              </w:rPr>
              <w:t>**专业监理工程师</w:t>
            </w:r>
          </w:p>
        </w:tc>
        <w:tc>
          <w:tcPr>
            <w:tcW w:w="630"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544" w:type="dxa"/>
            <w:vAlign w:val="center"/>
          </w:tcPr>
          <w:p>
            <w:pPr>
              <w:spacing w:before="1"/>
              <w:jc w:val="center"/>
              <w:rPr>
                <w:szCs w:val="21"/>
              </w:rPr>
            </w:pPr>
          </w:p>
        </w:tc>
        <w:tc>
          <w:tcPr>
            <w:tcW w:w="544" w:type="dxa"/>
            <w:vAlign w:val="center"/>
          </w:tcPr>
          <w:p>
            <w:pPr>
              <w:spacing w:before="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szCs w:val="21"/>
              </w:rPr>
            </w:pPr>
            <w:r>
              <w:rPr>
                <w:rFonts w:hint="eastAsia"/>
                <w:szCs w:val="21"/>
              </w:rPr>
              <w:t>6</w:t>
            </w:r>
          </w:p>
        </w:tc>
        <w:tc>
          <w:tcPr>
            <w:tcW w:w="1532" w:type="dxa"/>
            <w:vAlign w:val="center"/>
          </w:tcPr>
          <w:p>
            <w:pPr>
              <w:jc w:val="center"/>
              <w:rPr>
                <w:szCs w:val="21"/>
              </w:rPr>
            </w:pPr>
            <w:r>
              <w:rPr>
                <w:rFonts w:hint="eastAsia"/>
                <w:szCs w:val="21"/>
              </w:rPr>
              <w:t>**专业监理工程师</w:t>
            </w:r>
          </w:p>
        </w:tc>
        <w:tc>
          <w:tcPr>
            <w:tcW w:w="630"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544" w:type="dxa"/>
            <w:vAlign w:val="center"/>
          </w:tcPr>
          <w:p>
            <w:pPr>
              <w:spacing w:before="1"/>
              <w:jc w:val="center"/>
              <w:rPr>
                <w:szCs w:val="21"/>
              </w:rPr>
            </w:pPr>
          </w:p>
        </w:tc>
        <w:tc>
          <w:tcPr>
            <w:tcW w:w="544" w:type="dxa"/>
            <w:vAlign w:val="center"/>
          </w:tcPr>
          <w:p>
            <w:pPr>
              <w:spacing w:before="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szCs w:val="21"/>
              </w:rPr>
            </w:pPr>
            <w:r>
              <w:rPr>
                <w:rFonts w:hint="eastAsia"/>
                <w:szCs w:val="21"/>
              </w:rPr>
              <w:t>7</w:t>
            </w:r>
          </w:p>
        </w:tc>
        <w:tc>
          <w:tcPr>
            <w:tcW w:w="1532" w:type="dxa"/>
            <w:vAlign w:val="center"/>
          </w:tcPr>
          <w:p>
            <w:pPr>
              <w:jc w:val="center"/>
              <w:rPr>
                <w:szCs w:val="21"/>
              </w:rPr>
            </w:pPr>
            <w:r>
              <w:rPr>
                <w:rFonts w:hint="eastAsia"/>
                <w:szCs w:val="21"/>
              </w:rPr>
              <w:t>**专业监理工程师</w:t>
            </w:r>
          </w:p>
        </w:tc>
        <w:tc>
          <w:tcPr>
            <w:tcW w:w="630"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544" w:type="dxa"/>
            <w:vAlign w:val="center"/>
          </w:tcPr>
          <w:p>
            <w:pPr>
              <w:spacing w:before="1"/>
              <w:jc w:val="center"/>
              <w:rPr>
                <w:szCs w:val="21"/>
              </w:rPr>
            </w:pPr>
          </w:p>
        </w:tc>
        <w:tc>
          <w:tcPr>
            <w:tcW w:w="544" w:type="dxa"/>
            <w:vAlign w:val="center"/>
          </w:tcPr>
          <w:p>
            <w:pPr>
              <w:spacing w:before="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szCs w:val="21"/>
              </w:rPr>
            </w:pPr>
            <w:r>
              <w:rPr>
                <w:rFonts w:hint="eastAsia"/>
                <w:szCs w:val="21"/>
              </w:rPr>
              <w:t>8</w:t>
            </w:r>
          </w:p>
        </w:tc>
        <w:tc>
          <w:tcPr>
            <w:tcW w:w="1532" w:type="dxa"/>
            <w:vAlign w:val="center"/>
          </w:tcPr>
          <w:p>
            <w:pPr>
              <w:jc w:val="center"/>
              <w:rPr>
                <w:szCs w:val="21"/>
              </w:rPr>
            </w:pPr>
            <w:r>
              <w:rPr>
                <w:rFonts w:hint="eastAsia"/>
                <w:szCs w:val="21"/>
              </w:rPr>
              <w:t>**专业监理工程师</w:t>
            </w:r>
          </w:p>
        </w:tc>
        <w:tc>
          <w:tcPr>
            <w:tcW w:w="630"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544" w:type="dxa"/>
            <w:vAlign w:val="center"/>
          </w:tcPr>
          <w:p>
            <w:pPr>
              <w:spacing w:before="1"/>
              <w:jc w:val="center"/>
              <w:rPr>
                <w:szCs w:val="21"/>
              </w:rPr>
            </w:pPr>
          </w:p>
        </w:tc>
        <w:tc>
          <w:tcPr>
            <w:tcW w:w="544" w:type="dxa"/>
            <w:vAlign w:val="center"/>
          </w:tcPr>
          <w:p>
            <w:pPr>
              <w:spacing w:before="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szCs w:val="21"/>
              </w:rPr>
            </w:pPr>
            <w:r>
              <w:rPr>
                <w:rFonts w:hint="eastAsia"/>
                <w:szCs w:val="21"/>
              </w:rPr>
              <w:t>9</w:t>
            </w:r>
          </w:p>
        </w:tc>
        <w:tc>
          <w:tcPr>
            <w:tcW w:w="1532" w:type="dxa"/>
            <w:vAlign w:val="center"/>
          </w:tcPr>
          <w:p>
            <w:pPr>
              <w:jc w:val="center"/>
              <w:rPr>
                <w:szCs w:val="21"/>
              </w:rPr>
            </w:pPr>
            <w:r>
              <w:rPr>
                <w:rFonts w:hint="eastAsia"/>
                <w:szCs w:val="21"/>
              </w:rPr>
              <w:t>**专业监理工程师</w:t>
            </w:r>
          </w:p>
        </w:tc>
        <w:tc>
          <w:tcPr>
            <w:tcW w:w="630"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544" w:type="dxa"/>
            <w:vAlign w:val="center"/>
          </w:tcPr>
          <w:p>
            <w:pPr>
              <w:spacing w:before="1"/>
              <w:jc w:val="center"/>
              <w:rPr>
                <w:szCs w:val="21"/>
              </w:rPr>
            </w:pPr>
          </w:p>
        </w:tc>
        <w:tc>
          <w:tcPr>
            <w:tcW w:w="544" w:type="dxa"/>
            <w:vAlign w:val="center"/>
          </w:tcPr>
          <w:p>
            <w:pPr>
              <w:spacing w:before="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szCs w:val="21"/>
              </w:rPr>
            </w:pPr>
            <w:r>
              <w:rPr>
                <w:rFonts w:hint="eastAsia"/>
                <w:szCs w:val="21"/>
              </w:rPr>
              <w:t>10</w:t>
            </w:r>
          </w:p>
        </w:tc>
        <w:tc>
          <w:tcPr>
            <w:tcW w:w="1532" w:type="dxa"/>
            <w:vAlign w:val="center"/>
          </w:tcPr>
          <w:p>
            <w:pPr>
              <w:spacing w:before="1"/>
              <w:jc w:val="center"/>
              <w:rPr>
                <w:szCs w:val="21"/>
              </w:rPr>
            </w:pPr>
            <w:r>
              <w:rPr>
                <w:rFonts w:hint="eastAsia"/>
                <w:szCs w:val="21"/>
              </w:rPr>
              <w:t>……</w:t>
            </w:r>
          </w:p>
        </w:tc>
        <w:tc>
          <w:tcPr>
            <w:tcW w:w="630"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544" w:type="dxa"/>
            <w:vAlign w:val="center"/>
          </w:tcPr>
          <w:p>
            <w:pPr>
              <w:spacing w:before="1"/>
              <w:jc w:val="center"/>
              <w:rPr>
                <w:szCs w:val="21"/>
              </w:rPr>
            </w:pPr>
          </w:p>
        </w:tc>
        <w:tc>
          <w:tcPr>
            <w:tcW w:w="544" w:type="dxa"/>
            <w:vAlign w:val="center"/>
          </w:tcPr>
          <w:p>
            <w:pPr>
              <w:spacing w:before="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szCs w:val="21"/>
              </w:rPr>
            </w:pPr>
            <w:r>
              <w:rPr>
                <w:rFonts w:hint="eastAsia"/>
                <w:szCs w:val="21"/>
              </w:rPr>
              <w:t>11</w:t>
            </w:r>
          </w:p>
        </w:tc>
        <w:tc>
          <w:tcPr>
            <w:tcW w:w="1532" w:type="dxa"/>
            <w:vAlign w:val="center"/>
          </w:tcPr>
          <w:p>
            <w:pPr>
              <w:spacing w:before="1"/>
              <w:jc w:val="center"/>
              <w:rPr>
                <w:szCs w:val="21"/>
              </w:rPr>
            </w:pPr>
            <w:r>
              <w:rPr>
                <w:rFonts w:hint="eastAsia"/>
                <w:szCs w:val="21"/>
              </w:rPr>
              <w:t>……</w:t>
            </w:r>
          </w:p>
        </w:tc>
        <w:tc>
          <w:tcPr>
            <w:tcW w:w="630"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544" w:type="dxa"/>
            <w:vAlign w:val="center"/>
          </w:tcPr>
          <w:p>
            <w:pPr>
              <w:spacing w:before="1"/>
              <w:jc w:val="center"/>
              <w:rPr>
                <w:szCs w:val="21"/>
              </w:rPr>
            </w:pPr>
          </w:p>
        </w:tc>
        <w:tc>
          <w:tcPr>
            <w:tcW w:w="544" w:type="dxa"/>
            <w:vAlign w:val="center"/>
          </w:tcPr>
          <w:p>
            <w:pPr>
              <w:spacing w:before="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szCs w:val="21"/>
              </w:rPr>
            </w:pPr>
            <w:r>
              <w:rPr>
                <w:rFonts w:hint="eastAsia"/>
                <w:szCs w:val="21"/>
              </w:rPr>
              <w:t>12</w:t>
            </w:r>
          </w:p>
        </w:tc>
        <w:tc>
          <w:tcPr>
            <w:tcW w:w="1532" w:type="dxa"/>
            <w:vAlign w:val="center"/>
          </w:tcPr>
          <w:p>
            <w:pPr>
              <w:spacing w:before="1"/>
              <w:jc w:val="center"/>
              <w:rPr>
                <w:szCs w:val="21"/>
              </w:rPr>
            </w:pPr>
            <w:r>
              <w:rPr>
                <w:rFonts w:hint="eastAsia"/>
                <w:szCs w:val="21"/>
              </w:rPr>
              <w:t>……</w:t>
            </w:r>
          </w:p>
        </w:tc>
        <w:tc>
          <w:tcPr>
            <w:tcW w:w="630"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544" w:type="dxa"/>
            <w:vAlign w:val="center"/>
          </w:tcPr>
          <w:p>
            <w:pPr>
              <w:spacing w:before="1"/>
              <w:jc w:val="center"/>
              <w:rPr>
                <w:szCs w:val="21"/>
              </w:rPr>
            </w:pPr>
          </w:p>
        </w:tc>
        <w:tc>
          <w:tcPr>
            <w:tcW w:w="544" w:type="dxa"/>
            <w:vAlign w:val="center"/>
          </w:tcPr>
          <w:p>
            <w:pPr>
              <w:spacing w:before="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szCs w:val="21"/>
              </w:rPr>
            </w:pPr>
            <w:r>
              <w:rPr>
                <w:rFonts w:hint="eastAsia"/>
                <w:szCs w:val="21"/>
              </w:rPr>
              <w:t>13</w:t>
            </w:r>
          </w:p>
        </w:tc>
        <w:tc>
          <w:tcPr>
            <w:tcW w:w="1532" w:type="dxa"/>
            <w:vAlign w:val="center"/>
          </w:tcPr>
          <w:p>
            <w:pPr>
              <w:spacing w:before="1"/>
              <w:jc w:val="center"/>
              <w:rPr>
                <w:szCs w:val="21"/>
              </w:rPr>
            </w:pPr>
            <w:r>
              <w:rPr>
                <w:rFonts w:hint="eastAsia"/>
                <w:szCs w:val="21"/>
              </w:rPr>
              <w:t>……</w:t>
            </w:r>
          </w:p>
        </w:tc>
        <w:tc>
          <w:tcPr>
            <w:tcW w:w="630"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544" w:type="dxa"/>
            <w:vAlign w:val="center"/>
          </w:tcPr>
          <w:p>
            <w:pPr>
              <w:spacing w:before="1"/>
              <w:jc w:val="center"/>
              <w:rPr>
                <w:szCs w:val="21"/>
              </w:rPr>
            </w:pPr>
          </w:p>
        </w:tc>
        <w:tc>
          <w:tcPr>
            <w:tcW w:w="544" w:type="dxa"/>
            <w:vAlign w:val="center"/>
          </w:tcPr>
          <w:p>
            <w:pPr>
              <w:spacing w:before="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szCs w:val="21"/>
              </w:rPr>
            </w:pPr>
            <w:r>
              <w:rPr>
                <w:rFonts w:hint="eastAsia"/>
                <w:szCs w:val="21"/>
              </w:rPr>
              <w:t>14</w:t>
            </w:r>
          </w:p>
        </w:tc>
        <w:tc>
          <w:tcPr>
            <w:tcW w:w="1532" w:type="dxa"/>
            <w:vAlign w:val="center"/>
          </w:tcPr>
          <w:p>
            <w:pPr>
              <w:spacing w:before="1"/>
              <w:jc w:val="center"/>
              <w:rPr>
                <w:szCs w:val="21"/>
              </w:rPr>
            </w:pPr>
            <w:r>
              <w:rPr>
                <w:rFonts w:hint="eastAsia"/>
                <w:szCs w:val="21"/>
              </w:rPr>
              <w:t>……</w:t>
            </w:r>
          </w:p>
        </w:tc>
        <w:tc>
          <w:tcPr>
            <w:tcW w:w="630"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544" w:type="dxa"/>
            <w:vAlign w:val="center"/>
          </w:tcPr>
          <w:p>
            <w:pPr>
              <w:spacing w:before="1"/>
              <w:jc w:val="center"/>
              <w:rPr>
                <w:szCs w:val="21"/>
              </w:rPr>
            </w:pPr>
          </w:p>
        </w:tc>
        <w:tc>
          <w:tcPr>
            <w:tcW w:w="544" w:type="dxa"/>
            <w:vAlign w:val="center"/>
          </w:tcPr>
          <w:p>
            <w:pPr>
              <w:spacing w:before="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szCs w:val="21"/>
              </w:rPr>
            </w:pPr>
            <w:r>
              <w:rPr>
                <w:rFonts w:hint="eastAsia"/>
                <w:szCs w:val="21"/>
              </w:rPr>
              <w:t>15</w:t>
            </w:r>
          </w:p>
        </w:tc>
        <w:tc>
          <w:tcPr>
            <w:tcW w:w="1532" w:type="dxa"/>
            <w:vAlign w:val="center"/>
          </w:tcPr>
          <w:p>
            <w:pPr>
              <w:spacing w:before="1"/>
              <w:jc w:val="center"/>
              <w:rPr>
                <w:szCs w:val="21"/>
              </w:rPr>
            </w:pPr>
            <w:r>
              <w:rPr>
                <w:rFonts w:hint="eastAsia"/>
                <w:szCs w:val="21"/>
              </w:rPr>
              <w:t>……</w:t>
            </w:r>
          </w:p>
        </w:tc>
        <w:tc>
          <w:tcPr>
            <w:tcW w:w="630"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544" w:type="dxa"/>
            <w:vAlign w:val="center"/>
          </w:tcPr>
          <w:p>
            <w:pPr>
              <w:spacing w:before="1"/>
              <w:jc w:val="center"/>
              <w:rPr>
                <w:szCs w:val="21"/>
              </w:rPr>
            </w:pPr>
          </w:p>
        </w:tc>
        <w:tc>
          <w:tcPr>
            <w:tcW w:w="544" w:type="dxa"/>
            <w:vAlign w:val="center"/>
          </w:tcPr>
          <w:p>
            <w:pPr>
              <w:spacing w:before="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szCs w:val="21"/>
              </w:rPr>
            </w:pPr>
            <w:r>
              <w:rPr>
                <w:szCs w:val="21"/>
              </w:rPr>
              <w:t>…</w:t>
            </w:r>
          </w:p>
        </w:tc>
        <w:tc>
          <w:tcPr>
            <w:tcW w:w="1532" w:type="dxa"/>
            <w:vAlign w:val="center"/>
          </w:tcPr>
          <w:p>
            <w:pPr>
              <w:spacing w:before="1"/>
              <w:jc w:val="center"/>
              <w:rPr>
                <w:szCs w:val="21"/>
              </w:rPr>
            </w:pPr>
            <w:r>
              <w:rPr>
                <w:rFonts w:hint="eastAsia"/>
                <w:szCs w:val="21"/>
              </w:rPr>
              <w:t>……</w:t>
            </w:r>
          </w:p>
        </w:tc>
        <w:tc>
          <w:tcPr>
            <w:tcW w:w="630"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544" w:type="dxa"/>
            <w:vAlign w:val="center"/>
          </w:tcPr>
          <w:p>
            <w:pPr>
              <w:spacing w:before="1"/>
              <w:jc w:val="center"/>
              <w:rPr>
                <w:szCs w:val="21"/>
              </w:rPr>
            </w:pPr>
          </w:p>
        </w:tc>
        <w:tc>
          <w:tcPr>
            <w:tcW w:w="544" w:type="dxa"/>
            <w:vAlign w:val="center"/>
          </w:tcPr>
          <w:p>
            <w:pPr>
              <w:spacing w:before="1"/>
              <w:jc w:val="center"/>
              <w:rPr>
                <w:szCs w:val="21"/>
              </w:rPr>
            </w:pPr>
          </w:p>
        </w:tc>
      </w:tr>
    </w:tbl>
    <w:p>
      <w:pPr>
        <w:spacing w:before="1"/>
        <w:rPr>
          <w:w w:val="110"/>
          <w:szCs w:val="21"/>
        </w:rPr>
      </w:pPr>
    </w:p>
    <w:p>
      <w:pPr>
        <w:tabs>
          <w:tab w:val="left" w:pos="0"/>
          <w:tab w:val="left" w:pos="3639"/>
        </w:tabs>
        <w:spacing w:before="4"/>
        <w:ind w:right="106"/>
        <w:jc w:val="center"/>
        <w:rPr>
          <w:sz w:val="31"/>
          <w:szCs w:val="31"/>
        </w:rPr>
      </w:pPr>
      <w:r>
        <w:rPr>
          <w:szCs w:val="21"/>
        </w:rPr>
        <w:t>注：按照拟投入本工程现场监理人员的计划在岗安排据实填报</w:t>
      </w:r>
      <w:r>
        <w:rPr>
          <w:rFonts w:hint="eastAsia"/>
          <w:szCs w:val="21"/>
        </w:rPr>
        <w:t>。</w:t>
      </w:r>
      <w:r>
        <w:rPr>
          <w:szCs w:val="21"/>
        </w:rPr>
        <w:t>在岗时间为：进场时间为当月第一</w:t>
      </w:r>
      <w:r>
        <w:rPr>
          <w:rFonts w:hint="eastAsia"/>
          <w:szCs w:val="21"/>
        </w:rPr>
        <w:t>日</w:t>
      </w:r>
      <w:r>
        <w:rPr>
          <w:szCs w:val="21"/>
        </w:rPr>
        <w:t>：在岗表示为“</w:t>
      </w:r>
      <w:r>
        <w:rPr>
          <w:rFonts w:hint="eastAsia"/>
          <w:szCs w:val="21"/>
        </w:rPr>
        <w:t>—</w:t>
      </w:r>
      <w:r>
        <w:rPr>
          <w:szCs w:val="21"/>
        </w:rPr>
        <w:t>”。</w:t>
      </w:r>
      <w:r>
        <w:rPr>
          <w:szCs w:val="21"/>
        </w:rPr>
        <w:br w:type="page"/>
      </w:r>
      <w:r>
        <w:rPr>
          <w:rFonts w:hint="eastAsia" w:eastAsia="黑体"/>
          <w:b/>
          <w:kern w:val="0"/>
          <w:sz w:val="30"/>
          <w:szCs w:val="30"/>
        </w:rPr>
        <w:t>附件2 监理设施进出场时间表</w:t>
      </w:r>
    </w:p>
    <w:p>
      <w:pPr>
        <w:rPr>
          <w:sz w:val="20"/>
          <w:szCs w:val="20"/>
        </w:rPr>
      </w:pPr>
    </w:p>
    <w:p>
      <w:pPr>
        <w:spacing w:before="2"/>
        <w:rPr>
          <w:sz w:val="12"/>
          <w:szCs w:val="12"/>
        </w:rPr>
      </w:pPr>
    </w:p>
    <w:tbl>
      <w:tblPr>
        <w:tblStyle w:val="30"/>
        <w:tblW w:w="0" w:type="auto"/>
        <w:tblInd w:w="131" w:type="dxa"/>
        <w:tblLayout w:type="fixed"/>
        <w:tblCellMar>
          <w:top w:w="0" w:type="dxa"/>
          <w:left w:w="0" w:type="dxa"/>
          <w:bottom w:w="0" w:type="dxa"/>
          <w:right w:w="0" w:type="dxa"/>
        </w:tblCellMar>
      </w:tblPr>
      <w:tblGrid>
        <w:gridCol w:w="1915"/>
        <w:gridCol w:w="1330"/>
        <w:gridCol w:w="1315"/>
        <w:gridCol w:w="1327"/>
        <w:gridCol w:w="1961"/>
        <w:gridCol w:w="984"/>
      </w:tblGrid>
      <w:tr>
        <w:tblPrEx>
          <w:tblCellMar>
            <w:top w:w="0" w:type="dxa"/>
            <w:left w:w="0" w:type="dxa"/>
            <w:bottom w:w="0" w:type="dxa"/>
            <w:right w:w="0" w:type="dxa"/>
          </w:tblCellMar>
        </w:tblPrEx>
        <w:trPr>
          <w:trHeight w:val="383" w:hRule="exact"/>
        </w:trPr>
        <w:tc>
          <w:tcPr>
            <w:tcW w:w="1915" w:type="dxa"/>
            <w:vMerge w:val="restart"/>
            <w:tcBorders>
              <w:top w:val="single" w:color="000000" w:sz="12" w:space="0"/>
              <w:left w:val="single" w:color="000000" w:sz="12" w:space="0"/>
              <w:right w:val="single" w:color="000000" w:sz="4" w:space="0"/>
            </w:tcBorders>
          </w:tcPr>
          <w:p>
            <w:pPr>
              <w:pStyle w:val="72"/>
              <w:spacing w:before="7"/>
              <w:rPr>
                <w:szCs w:val="21"/>
              </w:rPr>
            </w:pPr>
          </w:p>
          <w:p>
            <w:pPr>
              <w:pStyle w:val="72"/>
              <w:ind w:left="13"/>
              <w:jc w:val="center"/>
              <w:rPr>
                <w:szCs w:val="21"/>
              </w:rPr>
            </w:pPr>
            <w:r>
              <w:rPr>
                <w:szCs w:val="21"/>
              </w:rPr>
              <w:t>时段</w:t>
            </w:r>
          </w:p>
        </w:tc>
        <w:tc>
          <w:tcPr>
            <w:tcW w:w="6917" w:type="dxa"/>
            <w:gridSpan w:val="5"/>
            <w:tcBorders>
              <w:top w:val="single" w:color="000000" w:sz="12" w:space="0"/>
              <w:left w:val="single" w:color="000000" w:sz="4" w:space="0"/>
              <w:bottom w:val="single" w:color="000000" w:sz="2" w:space="0"/>
              <w:right w:val="single" w:color="000000" w:sz="12" w:space="0"/>
            </w:tcBorders>
          </w:tcPr>
          <w:p>
            <w:pPr>
              <w:pStyle w:val="72"/>
              <w:spacing w:before="105"/>
              <w:ind w:left="16"/>
              <w:jc w:val="center"/>
              <w:rPr>
                <w:szCs w:val="21"/>
              </w:rPr>
            </w:pPr>
            <w:r>
              <w:rPr>
                <w:szCs w:val="21"/>
              </w:rPr>
              <w:t>监理设施</w:t>
            </w:r>
          </w:p>
        </w:tc>
      </w:tr>
      <w:tr>
        <w:tblPrEx>
          <w:tblCellMar>
            <w:top w:w="0" w:type="dxa"/>
            <w:left w:w="0" w:type="dxa"/>
            <w:bottom w:w="0" w:type="dxa"/>
            <w:right w:w="0" w:type="dxa"/>
          </w:tblCellMar>
        </w:tblPrEx>
        <w:trPr>
          <w:trHeight w:val="469" w:hRule="exact"/>
        </w:trPr>
        <w:tc>
          <w:tcPr>
            <w:tcW w:w="1915" w:type="dxa"/>
            <w:vMerge w:val="continue"/>
            <w:tcBorders>
              <w:left w:val="single" w:color="000000" w:sz="12" w:space="0"/>
              <w:bottom w:val="single" w:color="000000" w:sz="4" w:space="0"/>
              <w:right w:val="single" w:color="000000" w:sz="4" w:space="0"/>
            </w:tcBorders>
          </w:tcPr>
          <w:p>
            <w:pPr>
              <w:rPr>
                <w:szCs w:val="21"/>
              </w:rPr>
            </w:pPr>
          </w:p>
        </w:tc>
        <w:tc>
          <w:tcPr>
            <w:tcW w:w="1330" w:type="dxa"/>
            <w:tcBorders>
              <w:top w:val="single" w:color="000000" w:sz="2" w:space="0"/>
              <w:left w:val="single" w:color="000000" w:sz="4" w:space="0"/>
              <w:bottom w:val="single" w:color="000000" w:sz="4" w:space="0"/>
              <w:right w:val="single" w:color="000000" w:sz="4" w:space="0"/>
            </w:tcBorders>
          </w:tcPr>
          <w:p>
            <w:pPr>
              <w:pStyle w:val="72"/>
              <w:spacing w:before="162"/>
              <w:ind w:left="242"/>
              <w:rPr>
                <w:szCs w:val="21"/>
              </w:rPr>
            </w:pPr>
            <w:r>
              <w:rPr>
                <w:szCs w:val="21"/>
              </w:rPr>
              <w:t>交通设施</w:t>
            </w:r>
          </w:p>
        </w:tc>
        <w:tc>
          <w:tcPr>
            <w:tcW w:w="1315" w:type="dxa"/>
            <w:tcBorders>
              <w:top w:val="single" w:color="000000" w:sz="2" w:space="0"/>
              <w:left w:val="single" w:color="000000" w:sz="4" w:space="0"/>
              <w:bottom w:val="single" w:color="000000" w:sz="4" w:space="0"/>
              <w:right w:val="single" w:color="000000" w:sz="4" w:space="0"/>
            </w:tcBorders>
          </w:tcPr>
          <w:p>
            <w:pPr>
              <w:pStyle w:val="72"/>
              <w:spacing w:before="167"/>
              <w:ind w:left="237"/>
              <w:rPr>
                <w:szCs w:val="21"/>
              </w:rPr>
            </w:pPr>
            <w:r>
              <w:rPr>
                <w:szCs w:val="21"/>
              </w:rPr>
              <w:t>办公设施</w:t>
            </w:r>
          </w:p>
        </w:tc>
        <w:tc>
          <w:tcPr>
            <w:tcW w:w="1327" w:type="dxa"/>
            <w:tcBorders>
              <w:top w:val="single" w:color="000000" w:sz="2" w:space="0"/>
              <w:left w:val="single" w:color="000000" w:sz="4" w:space="0"/>
              <w:bottom w:val="single" w:color="000000" w:sz="4" w:space="0"/>
              <w:right w:val="single" w:color="000000" w:sz="4" w:space="0"/>
            </w:tcBorders>
          </w:tcPr>
          <w:p>
            <w:pPr>
              <w:pStyle w:val="72"/>
              <w:spacing w:before="167"/>
              <w:ind w:left="242"/>
              <w:rPr>
                <w:szCs w:val="21"/>
              </w:rPr>
            </w:pPr>
            <w:r>
              <w:rPr>
                <w:szCs w:val="21"/>
              </w:rPr>
              <w:t>生活设施</w:t>
            </w:r>
          </w:p>
        </w:tc>
        <w:tc>
          <w:tcPr>
            <w:tcW w:w="1961" w:type="dxa"/>
            <w:tcBorders>
              <w:top w:val="single" w:color="000000" w:sz="2" w:space="0"/>
              <w:left w:val="single" w:color="000000" w:sz="4" w:space="0"/>
              <w:bottom w:val="single" w:color="000000" w:sz="4" w:space="0"/>
              <w:right w:val="single" w:color="000000" w:sz="4" w:space="0"/>
            </w:tcBorders>
          </w:tcPr>
          <w:p>
            <w:pPr>
              <w:pStyle w:val="72"/>
              <w:spacing w:before="162"/>
              <w:ind w:left="239"/>
              <w:rPr>
                <w:szCs w:val="21"/>
              </w:rPr>
            </w:pPr>
            <w:r>
              <w:rPr>
                <w:szCs w:val="21"/>
              </w:rPr>
              <w:t>试验、检测仪器</w:t>
            </w:r>
          </w:p>
        </w:tc>
        <w:tc>
          <w:tcPr>
            <w:tcW w:w="984" w:type="dxa"/>
            <w:tcBorders>
              <w:top w:val="single" w:color="000000" w:sz="2" w:space="0"/>
              <w:left w:val="single" w:color="000000" w:sz="4" w:space="0"/>
              <w:bottom w:val="single" w:color="000000" w:sz="4" w:space="0"/>
              <w:right w:val="single" w:color="000000" w:sz="12" w:space="0"/>
            </w:tcBorders>
          </w:tcPr>
          <w:p>
            <w:pPr>
              <w:pStyle w:val="72"/>
              <w:spacing w:before="162"/>
              <w:ind w:left="280"/>
              <w:rPr>
                <w:szCs w:val="21"/>
              </w:rPr>
            </w:pPr>
            <w:r>
              <w:rPr>
                <w:szCs w:val="21"/>
              </w:rPr>
              <w:t>其它</w:t>
            </w: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7"/>
              </w:tabs>
              <w:spacing w:before="107"/>
              <w:ind w:left="420"/>
              <w:rPr>
                <w:szCs w:val="21"/>
              </w:rPr>
            </w:pPr>
            <w:r>
              <w:rPr>
                <w:szCs w:val="21"/>
              </w:rPr>
              <w:t>年</w:t>
            </w:r>
            <w:r>
              <w:rPr>
                <w:szCs w:val="21"/>
              </w:rPr>
              <w:tab/>
            </w:r>
            <w:r>
              <w:rPr>
                <w:szCs w:val="21"/>
              </w:rPr>
              <w:t>月至 月</w:t>
            </w:r>
          </w:p>
        </w:tc>
        <w:tc>
          <w:tcPr>
            <w:tcW w:w="1330" w:type="dxa"/>
            <w:tcBorders>
              <w:top w:val="single" w:color="000000" w:sz="4" w:space="0"/>
              <w:left w:val="single" w:color="000000" w:sz="4" w:space="0"/>
              <w:bottom w:val="single" w:color="000000" w:sz="4" w:space="0"/>
              <w:right w:val="single" w:color="000000" w:sz="4" w:space="0"/>
            </w:tcBorders>
          </w:tcPr>
          <w:p>
            <w:pPr>
              <w:rPr>
                <w:szCs w:val="21"/>
              </w:rPr>
            </w:pPr>
          </w:p>
        </w:tc>
        <w:tc>
          <w:tcPr>
            <w:tcW w:w="1315" w:type="dxa"/>
            <w:tcBorders>
              <w:top w:val="single" w:color="000000" w:sz="4" w:space="0"/>
              <w:left w:val="single" w:color="000000" w:sz="4" w:space="0"/>
              <w:bottom w:val="single" w:color="000000" w:sz="4" w:space="0"/>
              <w:right w:val="single" w:color="000000" w:sz="4" w:space="0"/>
            </w:tcBorders>
          </w:tcPr>
          <w:p>
            <w:pPr>
              <w:rPr>
                <w:szCs w:val="21"/>
              </w:rPr>
            </w:pPr>
          </w:p>
        </w:tc>
        <w:tc>
          <w:tcPr>
            <w:tcW w:w="1327" w:type="dxa"/>
            <w:tcBorders>
              <w:top w:val="single" w:color="000000" w:sz="4" w:space="0"/>
              <w:left w:val="single" w:color="000000" w:sz="4" w:space="0"/>
              <w:bottom w:val="single" w:color="000000" w:sz="4" w:space="0"/>
              <w:right w:val="single" w:color="000000" w:sz="4" w:space="0"/>
            </w:tcBorders>
          </w:tcPr>
          <w:p>
            <w:pPr>
              <w:rPr>
                <w:szCs w:val="21"/>
              </w:rPr>
            </w:pPr>
          </w:p>
        </w:tc>
        <w:tc>
          <w:tcPr>
            <w:tcW w:w="1961" w:type="dxa"/>
            <w:tcBorders>
              <w:top w:val="single" w:color="000000" w:sz="4" w:space="0"/>
              <w:left w:val="single" w:color="000000" w:sz="4" w:space="0"/>
              <w:bottom w:val="single" w:color="000000" w:sz="4" w:space="0"/>
              <w:right w:val="single" w:color="000000" w:sz="4" w:space="0"/>
            </w:tcBorders>
          </w:tcPr>
          <w:p>
            <w:pPr>
              <w:rPr>
                <w:szCs w:val="21"/>
              </w:rPr>
            </w:pPr>
          </w:p>
        </w:tc>
        <w:tc>
          <w:tcPr>
            <w:tcW w:w="984" w:type="dxa"/>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2"/>
                <w:tab w:val="left" w:pos="1370"/>
              </w:tabs>
              <w:spacing w:before="109"/>
              <w:ind w:left="420"/>
              <w:rPr>
                <w:szCs w:val="21"/>
              </w:rPr>
            </w:pPr>
            <w:r>
              <w:rPr>
                <w:szCs w:val="21"/>
              </w:rPr>
              <w:t>年</w:t>
            </w:r>
            <w:r>
              <w:rPr>
                <w:szCs w:val="21"/>
              </w:rPr>
              <w:tab/>
            </w:r>
            <w:r>
              <w:rPr>
                <w:szCs w:val="21"/>
              </w:rPr>
              <w:t>月至</w:t>
            </w:r>
            <w:r>
              <w:rPr>
                <w:szCs w:val="21"/>
              </w:rPr>
              <w:tab/>
            </w:r>
            <w:r>
              <w:rPr>
                <w:szCs w:val="21"/>
              </w:rPr>
              <w:t>月</w:t>
            </w:r>
          </w:p>
        </w:tc>
        <w:tc>
          <w:tcPr>
            <w:tcW w:w="1330" w:type="dxa"/>
            <w:tcBorders>
              <w:top w:val="single" w:color="000000" w:sz="4" w:space="0"/>
              <w:left w:val="single" w:color="000000" w:sz="4" w:space="0"/>
              <w:bottom w:val="single" w:color="000000" w:sz="4" w:space="0"/>
              <w:right w:val="single" w:color="000000" w:sz="4" w:space="0"/>
            </w:tcBorders>
          </w:tcPr>
          <w:p>
            <w:pPr>
              <w:rPr>
                <w:szCs w:val="21"/>
              </w:rPr>
            </w:pPr>
          </w:p>
        </w:tc>
        <w:tc>
          <w:tcPr>
            <w:tcW w:w="1315" w:type="dxa"/>
            <w:tcBorders>
              <w:top w:val="single" w:color="000000" w:sz="4" w:space="0"/>
              <w:left w:val="single" w:color="000000" w:sz="4" w:space="0"/>
              <w:bottom w:val="single" w:color="000000" w:sz="4" w:space="0"/>
              <w:right w:val="single" w:color="000000" w:sz="4" w:space="0"/>
            </w:tcBorders>
          </w:tcPr>
          <w:p>
            <w:pPr>
              <w:rPr>
                <w:szCs w:val="21"/>
              </w:rPr>
            </w:pPr>
          </w:p>
        </w:tc>
        <w:tc>
          <w:tcPr>
            <w:tcW w:w="1327" w:type="dxa"/>
            <w:tcBorders>
              <w:top w:val="single" w:color="000000" w:sz="4" w:space="0"/>
              <w:left w:val="single" w:color="000000" w:sz="4" w:space="0"/>
              <w:bottom w:val="single" w:color="000000" w:sz="4" w:space="0"/>
              <w:right w:val="single" w:color="000000" w:sz="4" w:space="0"/>
            </w:tcBorders>
          </w:tcPr>
          <w:p>
            <w:pPr>
              <w:rPr>
                <w:szCs w:val="21"/>
              </w:rPr>
            </w:pPr>
          </w:p>
        </w:tc>
        <w:tc>
          <w:tcPr>
            <w:tcW w:w="1961" w:type="dxa"/>
            <w:tcBorders>
              <w:top w:val="single" w:color="000000" w:sz="4" w:space="0"/>
              <w:left w:val="single" w:color="000000" w:sz="4" w:space="0"/>
              <w:bottom w:val="single" w:color="000000" w:sz="4" w:space="0"/>
              <w:right w:val="single" w:color="000000" w:sz="4" w:space="0"/>
            </w:tcBorders>
          </w:tcPr>
          <w:p>
            <w:pPr>
              <w:rPr>
                <w:szCs w:val="21"/>
              </w:rPr>
            </w:pPr>
          </w:p>
        </w:tc>
        <w:tc>
          <w:tcPr>
            <w:tcW w:w="984" w:type="dxa"/>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7"/>
              </w:tabs>
              <w:spacing w:before="102"/>
              <w:ind w:left="420"/>
              <w:rPr>
                <w:szCs w:val="21"/>
              </w:rPr>
            </w:pPr>
            <w:r>
              <w:rPr>
                <w:szCs w:val="21"/>
              </w:rPr>
              <w:t>年</w:t>
            </w:r>
            <w:r>
              <w:rPr>
                <w:szCs w:val="21"/>
              </w:rPr>
              <w:tab/>
            </w:r>
            <w:r>
              <w:rPr>
                <w:szCs w:val="21"/>
              </w:rPr>
              <w:t>月至 月</w:t>
            </w:r>
          </w:p>
        </w:tc>
        <w:tc>
          <w:tcPr>
            <w:tcW w:w="1330" w:type="dxa"/>
            <w:tcBorders>
              <w:top w:val="single" w:color="000000" w:sz="4" w:space="0"/>
              <w:left w:val="single" w:color="000000" w:sz="4" w:space="0"/>
              <w:bottom w:val="single" w:color="000000" w:sz="4" w:space="0"/>
              <w:right w:val="single" w:color="000000" w:sz="4" w:space="0"/>
            </w:tcBorders>
          </w:tcPr>
          <w:p>
            <w:pPr>
              <w:rPr>
                <w:szCs w:val="21"/>
              </w:rPr>
            </w:pPr>
          </w:p>
        </w:tc>
        <w:tc>
          <w:tcPr>
            <w:tcW w:w="1315" w:type="dxa"/>
            <w:tcBorders>
              <w:top w:val="single" w:color="000000" w:sz="4" w:space="0"/>
              <w:left w:val="single" w:color="000000" w:sz="4" w:space="0"/>
              <w:bottom w:val="single" w:color="000000" w:sz="4" w:space="0"/>
              <w:right w:val="single" w:color="000000" w:sz="4" w:space="0"/>
            </w:tcBorders>
          </w:tcPr>
          <w:p>
            <w:pPr>
              <w:rPr>
                <w:szCs w:val="21"/>
              </w:rPr>
            </w:pPr>
          </w:p>
        </w:tc>
        <w:tc>
          <w:tcPr>
            <w:tcW w:w="1327" w:type="dxa"/>
            <w:tcBorders>
              <w:top w:val="single" w:color="000000" w:sz="4" w:space="0"/>
              <w:left w:val="single" w:color="000000" w:sz="4" w:space="0"/>
              <w:bottom w:val="single" w:color="000000" w:sz="4" w:space="0"/>
              <w:right w:val="single" w:color="000000" w:sz="4" w:space="0"/>
            </w:tcBorders>
          </w:tcPr>
          <w:p>
            <w:pPr>
              <w:rPr>
                <w:szCs w:val="21"/>
              </w:rPr>
            </w:pPr>
          </w:p>
        </w:tc>
        <w:tc>
          <w:tcPr>
            <w:tcW w:w="1961" w:type="dxa"/>
            <w:tcBorders>
              <w:top w:val="single" w:color="000000" w:sz="4" w:space="0"/>
              <w:left w:val="single" w:color="000000" w:sz="4" w:space="0"/>
              <w:bottom w:val="single" w:color="000000" w:sz="4" w:space="0"/>
              <w:right w:val="single" w:color="000000" w:sz="4" w:space="0"/>
            </w:tcBorders>
          </w:tcPr>
          <w:p>
            <w:pPr>
              <w:rPr>
                <w:szCs w:val="21"/>
              </w:rPr>
            </w:pPr>
          </w:p>
        </w:tc>
        <w:tc>
          <w:tcPr>
            <w:tcW w:w="984" w:type="dxa"/>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7"/>
              </w:tabs>
              <w:spacing w:before="105"/>
              <w:ind w:left="420"/>
              <w:rPr>
                <w:szCs w:val="21"/>
              </w:rPr>
            </w:pPr>
            <w:r>
              <w:rPr>
                <w:szCs w:val="21"/>
              </w:rPr>
              <w:t>年</w:t>
            </w:r>
            <w:r>
              <w:rPr>
                <w:szCs w:val="21"/>
              </w:rPr>
              <w:tab/>
            </w:r>
            <w:r>
              <w:rPr>
                <w:szCs w:val="21"/>
              </w:rPr>
              <w:t>月至 月</w:t>
            </w:r>
          </w:p>
        </w:tc>
        <w:tc>
          <w:tcPr>
            <w:tcW w:w="1330" w:type="dxa"/>
            <w:tcBorders>
              <w:top w:val="single" w:color="000000" w:sz="4" w:space="0"/>
              <w:left w:val="single" w:color="000000" w:sz="4" w:space="0"/>
              <w:bottom w:val="single" w:color="000000" w:sz="4" w:space="0"/>
              <w:right w:val="single" w:color="000000" w:sz="4" w:space="0"/>
            </w:tcBorders>
          </w:tcPr>
          <w:p>
            <w:pPr>
              <w:rPr>
                <w:szCs w:val="21"/>
              </w:rPr>
            </w:pPr>
          </w:p>
        </w:tc>
        <w:tc>
          <w:tcPr>
            <w:tcW w:w="1315" w:type="dxa"/>
            <w:tcBorders>
              <w:top w:val="single" w:color="000000" w:sz="4" w:space="0"/>
              <w:left w:val="single" w:color="000000" w:sz="4" w:space="0"/>
              <w:bottom w:val="single" w:color="000000" w:sz="4" w:space="0"/>
              <w:right w:val="single" w:color="000000" w:sz="4" w:space="0"/>
            </w:tcBorders>
          </w:tcPr>
          <w:p>
            <w:pPr>
              <w:rPr>
                <w:szCs w:val="21"/>
              </w:rPr>
            </w:pPr>
          </w:p>
        </w:tc>
        <w:tc>
          <w:tcPr>
            <w:tcW w:w="1327" w:type="dxa"/>
            <w:tcBorders>
              <w:top w:val="single" w:color="000000" w:sz="4" w:space="0"/>
              <w:left w:val="single" w:color="000000" w:sz="4" w:space="0"/>
              <w:bottom w:val="single" w:color="000000" w:sz="4" w:space="0"/>
              <w:right w:val="single" w:color="000000" w:sz="4" w:space="0"/>
            </w:tcBorders>
          </w:tcPr>
          <w:p>
            <w:pPr>
              <w:rPr>
                <w:szCs w:val="21"/>
              </w:rPr>
            </w:pPr>
          </w:p>
        </w:tc>
        <w:tc>
          <w:tcPr>
            <w:tcW w:w="1961" w:type="dxa"/>
            <w:tcBorders>
              <w:top w:val="single" w:color="000000" w:sz="4" w:space="0"/>
              <w:left w:val="single" w:color="000000" w:sz="4" w:space="0"/>
              <w:bottom w:val="single" w:color="000000" w:sz="4" w:space="0"/>
              <w:right w:val="single" w:color="000000" w:sz="4" w:space="0"/>
            </w:tcBorders>
          </w:tcPr>
          <w:p>
            <w:pPr>
              <w:rPr>
                <w:szCs w:val="21"/>
              </w:rPr>
            </w:pPr>
          </w:p>
        </w:tc>
        <w:tc>
          <w:tcPr>
            <w:tcW w:w="984" w:type="dxa"/>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7"/>
              </w:tabs>
              <w:spacing w:before="107"/>
              <w:ind w:left="420"/>
              <w:rPr>
                <w:szCs w:val="21"/>
              </w:rPr>
            </w:pPr>
            <w:r>
              <w:rPr>
                <w:szCs w:val="21"/>
              </w:rPr>
              <w:t>年</w:t>
            </w:r>
            <w:r>
              <w:rPr>
                <w:szCs w:val="21"/>
              </w:rPr>
              <w:tab/>
            </w:r>
            <w:r>
              <w:rPr>
                <w:szCs w:val="21"/>
              </w:rPr>
              <w:t>月至 月</w:t>
            </w:r>
          </w:p>
        </w:tc>
        <w:tc>
          <w:tcPr>
            <w:tcW w:w="1330" w:type="dxa"/>
            <w:tcBorders>
              <w:top w:val="single" w:color="000000" w:sz="4" w:space="0"/>
              <w:left w:val="single" w:color="000000" w:sz="4" w:space="0"/>
              <w:bottom w:val="single" w:color="000000" w:sz="4" w:space="0"/>
              <w:right w:val="single" w:color="000000" w:sz="4" w:space="0"/>
            </w:tcBorders>
          </w:tcPr>
          <w:p>
            <w:pPr>
              <w:rPr>
                <w:szCs w:val="21"/>
              </w:rPr>
            </w:pPr>
          </w:p>
        </w:tc>
        <w:tc>
          <w:tcPr>
            <w:tcW w:w="1315" w:type="dxa"/>
            <w:tcBorders>
              <w:top w:val="single" w:color="000000" w:sz="4" w:space="0"/>
              <w:left w:val="single" w:color="000000" w:sz="4" w:space="0"/>
              <w:bottom w:val="single" w:color="000000" w:sz="4" w:space="0"/>
              <w:right w:val="single" w:color="000000" w:sz="4" w:space="0"/>
            </w:tcBorders>
          </w:tcPr>
          <w:p>
            <w:pPr>
              <w:rPr>
                <w:szCs w:val="21"/>
              </w:rPr>
            </w:pPr>
          </w:p>
        </w:tc>
        <w:tc>
          <w:tcPr>
            <w:tcW w:w="1327" w:type="dxa"/>
            <w:tcBorders>
              <w:top w:val="single" w:color="000000" w:sz="4" w:space="0"/>
              <w:left w:val="single" w:color="000000" w:sz="4" w:space="0"/>
              <w:bottom w:val="single" w:color="000000" w:sz="4" w:space="0"/>
              <w:right w:val="single" w:color="000000" w:sz="4" w:space="0"/>
            </w:tcBorders>
          </w:tcPr>
          <w:p>
            <w:pPr>
              <w:rPr>
                <w:szCs w:val="21"/>
              </w:rPr>
            </w:pPr>
          </w:p>
        </w:tc>
        <w:tc>
          <w:tcPr>
            <w:tcW w:w="1961" w:type="dxa"/>
            <w:tcBorders>
              <w:top w:val="single" w:color="000000" w:sz="4" w:space="0"/>
              <w:left w:val="single" w:color="000000" w:sz="4" w:space="0"/>
              <w:bottom w:val="single" w:color="000000" w:sz="4" w:space="0"/>
              <w:right w:val="single" w:color="000000" w:sz="4" w:space="0"/>
            </w:tcBorders>
          </w:tcPr>
          <w:p>
            <w:pPr>
              <w:rPr>
                <w:szCs w:val="21"/>
              </w:rPr>
            </w:pPr>
          </w:p>
        </w:tc>
        <w:tc>
          <w:tcPr>
            <w:tcW w:w="984" w:type="dxa"/>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7"/>
              </w:tabs>
              <w:spacing w:before="100"/>
              <w:ind w:left="420"/>
              <w:rPr>
                <w:szCs w:val="21"/>
              </w:rPr>
            </w:pPr>
            <w:r>
              <w:rPr>
                <w:szCs w:val="21"/>
              </w:rPr>
              <w:t>年</w:t>
            </w:r>
            <w:r>
              <w:rPr>
                <w:szCs w:val="21"/>
              </w:rPr>
              <w:tab/>
            </w:r>
            <w:r>
              <w:rPr>
                <w:szCs w:val="21"/>
              </w:rPr>
              <w:t>月至 月</w:t>
            </w:r>
          </w:p>
        </w:tc>
        <w:tc>
          <w:tcPr>
            <w:tcW w:w="1330" w:type="dxa"/>
            <w:tcBorders>
              <w:top w:val="single" w:color="000000" w:sz="4" w:space="0"/>
              <w:left w:val="single" w:color="000000" w:sz="4" w:space="0"/>
              <w:bottom w:val="single" w:color="000000" w:sz="4" w:space="0"/>
              <w:right w:val="single" w:color="000000" w:sz="4" w:space="0"/>
            </w:tcBorders>
          </w:tcPr>
          <w:p>
            <w:pPr>
              <w:rPr>
                <w:szCs w:val="21"/>
              </w:rPr>
            </w:pPr>
          </w:p>
        </w:tc>
        <w:tc>
          <w:tcPr>
            <w:tcW w:w="1315" w:type="dxa"/>
            <w:tcBorders>
              <w:top w:val="single" w:color="000000" w:sz="4" w:space="0"/>
              <w:left w:val="single" w:color="000000" w:sz="4" w:space="0"/>
              <w:bottom w:val="single" w:color="000000" w:sz="4" w:space="0"/>
              <w:right w:val="single" w:color="000000" w:sz="4" w:space="0"/>
            </w:tcBorders>
          </w:tcPr>
          <w:p>
            <w:pPr>
              <w:rPr>
                <w:szCs w:val="21"/>
              </w:rPr>
            </w:pPr>
          </w:p>
        </w:tc>
        <w:tc>
          <w:tcPr>
            <w:tcW w:w="1327" w:type="dxa"/>
            <w:tcBorders>
              <w:top w:val="single" w:color="000000" w:sz="4" w:space="0"/>
              <w:left w:val="single" w:color="000000" w:sz="4" w:space="0"/>
              <w:bottom w:val="single" w:color="000000" w:sz="4" w:space="0"/>
              <w:right w:val="single" w:color="000000" w:sz="4" w:space="0"/>
            </w:tcBorders>
          </w:tcPr>
          <w:p>
            <w:pPr>
              <w:rPr>
                <w:szCs w:val="21"/>
              </w:rPr>
            </w:pPr>
          </w:p>
        </w:tc>
        <w:tc>
          <w:tcPr>
            <w:tcW w:w="1961" w:type="dxa"/>
            <w:tcBorders>
              <w:top w:val="single" w:color="000000" w:sz="4" w:space="0"/>
              <w:left w:val="single" w:color="000000" w:sz="4" w:space="0"/>
              <w:bottom w:val="single" w:color="000000" w:sz="4" w:space="0"/>
              <w:right w:val="single" w:color="000000" w:sz="4" w:space="0"/>
            </w:tcBorders>
          </w:tcPr>
          <w:p>
            <w:pPr>
              <w:rPr>
                <w:szCs w:val="21"/>
              </w:rPr>
            </w:pPr>
          </w:p>
        </w:tc>
        <w:tc>
          <w:tcPr>
            <w:tcW w:w="984" w:type="dxa"/>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2"/>
                <w:tab w:val="left" w:pos="1370"/>
              </w:tabs>
              <w:spacing w:before="102"/>
              <w:ind w:left="420"/>
              <w:rPr>
                <w:szCs w:val="21"/>
              </w:rPr>
            </w:pPr>
            <w:r>
              <w:rPr>
                <w:szCs w:val="21"/>
              </w:rPr>
              <w:t>年</w:t>
            </w:r>
            <w:r>
              <w:rPr>
                <w:szCs w:val="21"/>
              </w:rPr>
              <w:tab/>
            </w:r>
            <w:r>
              <w:rPr>
                <w:szCs w:val="21"/>
              </w:rPr>
              <w:t>月至</w:t>
            </w:r>
            <w:r>
              <w:rPr>
                <w:szCs w:val="21"/>
              </w:rPr>
              <w:tab/>
            </w:r>
            <w:r>
              <w:rPr>
                <w:szCs w:val="21"/>
              </w:rPr>
              <w:t>月</w:t>
            </w:r>
          </w:p>
        </w:tc>
        <w:tc>
          <w:tcPr>
            <w:tcW w:w="1330" w:type="dxa"/>
            <w:tcBorders>
              <w:top w:val="single" w:color="000000" w:sz="4" w:space="0"/>
              <w:left w:val="single" w:color="000000" w:sz="4" w:space="0"/>
              <w:bottom w:val="single" w:color="000000" w:sz="4" w:space="0"/>
              <w:right w:val="single" w:color="000000" w:sz="4" w:space="0"/>
            </w:tcBorders>
          </w:tcPr>
          <w:p>
            <w:pPr>
              <w:rPr>
                <w:szCs w:val="21"/>
              </w:rPr>
            </w:pPr>
          </w:p>
        </w:tc>
        <w:tc>
          <w:tcPr>
            <w:tcW w:w="1315" w:type="dxa"/>
            <w:tcBorders>
              <w:top w:val="single" w:color="000000" w:sz="4" w:space="0"/>
              <w:left w:val="single" w:color="000000" w:sz="4" w:space="0"/>
              <w:bottom w:val="single" w:color="000000" w:sz="4" w:space="0"/>
              <w:right w:val="single" w:color="000000" w:sz="4" w:space="0"/>
            </w:tcBorders>
          </w:tcPr>
          <w:p>
            <w:pPr>
              <w:rPr>
                <w:szCs w:val="21"/>
              </w:rPr>
            </w:pPr>
          </w:p>
        </w:tc>
        <w:tc>
          <w:tcPr>
            <w:tcW w:w="1327" w:type="dxa"/>
            <w:tcBorders>
              <w:top w:val="single" w:color="000000" w:sz="4" w:space="0"/>
              <w:left w:val="single" w:color="000000" w:sz="4" w:space="0"/>
              <w:bottom w:val="single" w:color="000000" w:sz="4" w:space="0"/>
              <w:right w:val="single" w:color="000000" w:sz="4" w:space="0"/>
            </w:tcBorders>
          </w:tcPr>
          <w:p>
            <w:pPr>
              <w:rPr>
                <w:szCs w:val="21"/>
              </w:rPr>
            </w:pPr>
          </w:p>
        </w:tc>
        <w:tc>
          <w:tcPr>
            <w:tcW w:w="1961" w:type="dxa"/>
            <w:tcBorders>
              <w:top w:val="single" w:color="000000" w:sz="4" w:space="0"/>
              <w:left w:val="single" w:color="000000" w:sz="4" w:space="0"/>
              <w:bottom w:val="single" w:color="000000" w:sz="4" w:space="0"/>
              <w:right w:val="single" w:color="000000" w:sz="4" w:space="0"/>
            </w:tcBorders>
          </w:tcPr>
          <w:p>
            <w:pPr>
              <w:rPr>
                <w:szCs w:val="21"/>
              </w:rPr>
            </w:pPr>
          </w:p>
        </w:tc>
        <w:tc>
          <w:tcPr>
            <w:tcW w:w="984" w:type="dxa"/>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408"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2"/>
                <w:tab w:val="left" w:pos="1370"/>
              </w:tabs>
              <w:spacing w:before="105"/>
              <w:ind w:left="420"/>
              <w:rPr>
                <w:szCs w:val="21"/>
              </w:rPr>
            </w:pPr>
            <w:r>
              <w:rPr>
                <w:szCs w:val="21"/>
              </w:rPr>
              <w:t>年</w:t>
            </w:r>
            <w:r>
              <w:rPr>
                <w:szCs w:val="21"/>
              </w:rPr>
              <w:tab/>
            </w:r>
            <w:r>
              <w:rPr>
                <w:szCs w:val="21"/>
              </w:rPr>
              <w:t>月至</w:t>
            </w:r>
            <w:r>
              <w:rPr>
                <w:szCs w:val="21"/>
              </w:rPr>
              <w:tab/>
            </w:r>
            <w:r>
              <w:rPr>
                <w:szCs w:val="21"/>
              </w:rPr>
              <w:t>月</w:t>
            </w:r>
          </w:p>
        </w:tc>
        <w:tc>
          <w:tcPr>
            <w:tcW w:w="1330" w:type="dxa"/>
            <w:tcBorders>
              <w:top w:val="single" w:color="000000" w:sz="4" w:space="0"/>
              <w:left w:val="single" w:color="000000" w:sz="4" w:space="0"/>
              <w:bottom w:val="single" w:color="000000" w:sz="4" w:space="0"/>
              <w:right w:val="single" w:color="000000" w:sz="4" w:space="0"/>
            </w:tcBorders>
          </w:tcPr>
          <w:p>
            <w:pPr>
              <w:rPr>
                <w:szCs w:val="21"/>
              </w:rPr>
            </w:pPr>
          </w:p>
        </w:tc>
        <w:tc>
          <w:tcPr>
            <w:tcW w:w="1315" w:type="dxa"/>
            <w:tcBorders>
              <w:top w:val="single" w:color="000000" w:sz="4" w:space="0"/>
              <w:left w:val="single" w:color="000000" w:sz="4" w:space="0"/>
              <w:bottom w:val="single" w:color="000000" w:sz="4" w:space="0"/>
              <w:right w:val="single" w:color="000000" w:sz="4" w:space="0"/>
            </w:tcBorders>
          </w:tcPr>
          <w:p>
            <w:pPr>
              <w:rPr>
                <w:szCs w:val="21"/>
              </w:rPr>
            </w:pPr>
          </w:p>
        </w:tc>
        <w:tc>
          <w:tcPr>
            <w:tcW w:w="1327" w:type="dxa"/>
            <w:tcBorders>
              <w:top w:val="single" w:color="000000" w:sz="4" w:space="0"/>
              <w:left w:val="single" w:color="000000" w:sz="4" w:space="0"/>
              <w:bottom w:val="single" w:color="000000" w:sz="4" w:space="0"/>
              <w:right w:val="single" w:color="000000" w:sz="4" w:space="0"/>
            </w:tcBorders>
          </w:tcPr>
          <w:p>
            <w:pPr>
              <w:rPr>
                <w:szCs w:val="21"/>
              </w:rPr>
            </w:pPr>
          </w:p>
        </w:tc>
        <w:tc>
          <w:tcPr>
            <w:tcW w:w="1961" w:type="dxa"/>
            <w:tcBorders>
              <w:top w:val="single" w:color="000000" w:sz="4" w:space="0"/>
              <w:left w:val="single" w:color="000000" w:sz="4" w:space="0"/>
              <w:bottom w:val="single" w:color="000000" w:sz="4" w:space="0"/>
              <w:right w:val="single" w:color="000000" w:sz="4" w:space="0"/>
            </w:tcBorders>
          </w:tcPr>
          <w:p>
            <w:pPr>
              <w:rPr>
                <w:szCs w:val="21"/>
              </w:rPr>
            </w:pPr>
          </w:p>
        </w:tc>
        <w:tc>
          <w:tcPr>
            <w:tcW w:w="984" w:type="dxa"/>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2"/>
                <w:tab w:val="left" w:pos="1370"/>
              </w:tabs>
              <w:spacing w:before="109"/>
              <w:ind w:left="420"/>
              <w:rPr>
                <w:szCs w:val="21"/>
              </w:rPr>
            </w:pPr>
            <w:r>
              <w:rPr>
                <w:szCs w:val="21"/>
              </w:rPr>
              <w:t>年</w:t>
            </w:r>
            <w:r>
              <w:rPr>
                <w:szCs w:val="21"/>
              </w:rPr>
              <w:tab/>
            </w:r>
            <w:r>
              <w:rPr>
                <w:szCs w:val="21"/>
              </w:rPr>
              <w:t>月至</w:t>
            </w:r>
            <w:r>
              <w:rPr>
                <w:szCs w:val="21"/>
              </w:rPr>
              <w:tab/>
            </w:r>
            <w:r>
              <w:rPr>
                <w:szCs w:val="21"/>
              </w:rPr>
              <w:t>月</w:t>
            </w:r>
          </w:p>
        </w:tc>
        <w:tc>
          <w:tcPr>
            <w:tcW w:w="1330" w:type="dxa"/>
            <w:tcBorders>
              <w:top w:val="single" w:color="000000" w:sz="4" w:space="0"/>
              <w:left w:val="single" w:color="000000" w:sz="4" w:space="0"/>
              <w:bottom w:val="single" w:color="000000" w:sz="4" w:space="0"/>
              <w:right w:val="single" w:color="000000" w:sz="4" w:space="0"/>
            </w:tcBorders>
          </w:tcPr>
          <w:p>
            <w:pPr>
              <w:rPr>
                <w:szCs w:val="21"/>
              </w:rPr>
            </w:pPr>
          </w:p>
        </w:tc>
        <w:tc>
          <w:tcPr>
            <w:tcW w:w="1315" w:type="dxa"/>
            <w:tcBorders>
              <w:top w:val="single" w:color="000000" w:sz="4" w:space="0"/>
              <w:left w:val="single" w:color="000000" w:sz="4" w:space="0"/>
              <w:bottom w:val="single" w:color="000000" w:sz="4" w:space="0"/>
              <w:right w:val="single" w:color="000000" w:sz="4" w:space="0"/>
            </w:tcBorders>
          </w:tcPr>
          <w:p>
            <w:pPr>
              <w:rPr>
                <w:szCs w:val="21"/>
              </w:rPr>
            </w:pPr>
          </w:p>
        </w:tc>
        <w:tc>
          <w:tcPr>
            <w:tcW w:w="1327" w:type="dxa"/>
            <w:tcBorders>
              <w:top w:val="single" w:color="000000" w:sz="4" w:space="0"/>
              <w:left w:val="single" w:color="000000" w:sz="4" w:space="0"/>
              <w:bottom w:val="single" w:color="000000" w:sz="4" w:space="0"/>
              <w:right w:val="single" w:color="000000" w:sz="4" w:space="0"/>
            </w:tcBorders>
          </w:tcPr>
          <w:p>
            <w:pPr>
              <w:rPr>
                <w:szCs w:val="21"/>
              </w:rPr>
            </w:pPr>
          </w:p>
        </w:tc>
        <w:tc>
          <w:tcPr>
            <w:tcW w:w="1961" w:type="dxa"/>
            <w:tcBorders>
              <w:top w:val="single" w:color="000000" w:sz="4" w:space="0"/>
              <w:left w:val="single" w:color="000000" w:sz="4" w:space="0"/>
              <w:bottom w:val="single" w:color="000000" w:sz="4" w:space="0"/>
              <w:right w:val="single" w:color="000000" w:sz="4" w:space="0"/>
            </w:tcBorders>
          </w:tcPr>
          <w:p>
            <w:pPr>
              <w:rPr>
                <w:szCs w:val="21"/>
              </w:rPr>
            </w:pPr>
          </w:p>
        </w:tc>
        <w:tc>
          <w:tcPr>
            <w:tcW w:w="984" w:type="dxa"/>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2"/>
                <w:tab w:val="left" w:pos="1370"/>
              </w:tabs>
              <w:spacing w:before="102"/>
              <w:ind w:left="420"/>
              <w:rPr>
                <w:szCs w:val="21"/>
              </w:rPr>
            </w:pPr>
            <w:r>
              <w:rPr>
                <w:szCs w:val="21"/>
              </w:rPr>
              <w:t>年</w:t>
            </w:r>
            <w:r>
              <w:rPr>
                <w:szCs w:val="21"/>
              </w:rPr>
              <w:tab/>
            </w:r>
            <w:r>
              <w:rPr>
                <w:szCs w:val="21"/>
              </w:rPr>
              <w:t>月至</w:t>
            </w:r>
            <w:r>
              <w:rPr>
                <w:szCs w:val="21"/>
              </w:rPr>
              <w:tab/>
            </w:r>
            <w:r>
              <w:rPr>
                <w:szCs w:val="21"/>
              </w:rPr>
              <w:t>月</w:t>
            </w:r>
          </w:p>
        </w:tc>
        <w:tc>
          <w:tcPr>
            <w:tcW w:w="1330" w:type="dxa"/>
            <w:tcBorders>
              <w:top w:val="single" w:color="000000" w:sz="4" w:space="0"/>
              <w:left w:val="single" w:color="000000" w:sz="4" w:space="0"/>
              <w:bottom w:val="single" w:color="000000" w:sz="4" w:space="0"/>
              <w:right w:val="single" w:color="000000" w:sz="4" w:space="0"/>
            </w:tcBorders>
          </w:tcPr>
          <w:p>
            <w:pPr>
              <w:rPr>
                <w:szCs w:val="21"/>
              </w:rPr>
            </w:pPr>
          </w:p>
        </w:tc>
        <w:tc>
          <w:tcPr>
            <w:tcW w:w="1315" w:type="dxa"/>
            <w:tcBorders>
              <w:top w:val="single" w:color="000000" w:sz="4" w:space="0"/>
              <w:left w:val="single" w:color="000000" w:sz="4" w:space="0"/>
              <w:bottom w:val="single" w:color="000000" w:sz="4" w:space="0"/>
              <w:right w:val="single" w:color="000000" w:sz="4" w:space="0"/>
            </w:tcBorders>
          </w:tcPr>
          <w:p>
            <w:pPr>
              <w:rPr>
                <w:szCs w:val="21"/>
              </w:rPr>
            </w:pPr>
          </w:p>
        </w:tc>
        <w:tc>
          <w:tcPr>
            <w:tcW w:w="1327" w:type="dxa"/>
            <w:tcBorders>
              <w:top w:val="single" w:color="000000" w:sz="4" w:space="0"/>
              <w:left w:val="single" w:color="000000" w:sz="4" w:space="0"/>
              <w:bottom w:val="single" w:color="000000" w:sz="4" w:space="0"/>
              <w:right w:val="single" w:color="000000" w:sz="4" w:space="0"/>
            </w:tcBorders>
          </w:tcPr>
          <w:p>
            <w:pPr>
              <w:rPr>
                <w:szCs w:val="21"/>
              </w:rPr>
            </w:pPr>
          </w:p>
        </w:tc>
        <w:tc>
          <w:tcPr>
            <w:tcW w:w="1961" w:type="dxa"/>
            <w:tcBorders>
              <w:top w:val="single" w:color="000000" w:sz="4" w:space="0"/>
              <w:left w:val="single" w:color="000000" w:sz="4" w:space="0"/>
              <w:bottom w:val="single" w:color="000000" w:sz="4" w:space="0"/>
              <w:right w:val="single" w:color="000000" w:sz="4" w:space="0"/>
            </w:tcBorders>
          </w:tcPr>
          <w:p>
            <w:pPr>
              <w:rPr>
                <w:szCs w:val="21"/>
              </w:rPr>
            </w:pPr>
          </w:p>
        </w:tc>
        <w:tc>
          <w:tcPr>
            <w:tcW w:w="984" w:type="dxa"/>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7"/>
              </w:tabs>
              <w:spacing w:before="105"/>
              <w:ind w:left="420"/>
              <w:rPr>
                <w:szCs w:val="21"/>
              </w:rPr>
            </w:pPr>
            <w:r>
              <w:rPr>
                <w:szCs w:val="21"/>
              </w:rPr>
              <w:t>年</w:t>
            </w:r>
            <w:r>
              <w:rPr>
                <w:szCs w:val="21"/>
              </w:rPr>
              <w:tab/>
            </w:r>
            <w:r>
              <w:rPr>
                <w:szCs w:val="21"/>
              </w:rPr>
              <w:t>月至 月</w:t>
            </w:r>
          </w:p>
        </w:tc>
        <w:tc>
          <w:tcPr>
            <w:tcW w:w="1330" w:type="dxa"/>
            <w:tcBorders>
              <w:top w:val="single" w:color="000000" w:sz="4" w:space="0"/>
              <w:left w:val="single" w:color="000000" w:sz="4" w:space="0"/>
              <w:bottom w:val="single" w:color="000000" w:sz="4" w:space="0"/>
              <w:right w:val="single" w:color="000000" w:sz="4" w:space="0"/>
            </w:tcBorders>
          </w:tcPr>
          <w:p>
            <w:pPr>
              <w:rPr>
                <w:szCs w:val="21"/>
              </w:rPr>
            </w:pPr>
          </w:p>
        </w:tc>
        <w:tc>
          <w:tcPr>
            <w:tcW w:w="1315" w:type="dxa"/>
            <w:tcBorders>
              <w:top w:val="single" w:color="000000" w:sz="4" w:space="0"/>
              <w:left w:val="single" w:color="000000" w:sz="4" w:space="0"/>
              <w:bottom w:val="single" w:color="000000" w:sz="4" w:space="0"/>
              <w:right w:val="single" w:color="000000" w:sz="4" w:space="0"/>
            </w:tcBorders>
          </w:tcPr>
          <w:p>
            <w:pPr>
              <w:rPr>
                <w:szCs w:val="21"/>
              </w:rPr>
            </w:pPr>
          </w:p>
        </w:tc>
        <w:tc>
          <w:tcPr>
            <w:tcW w:w="1327" w:type="dxa"/>
            <w:tcBorders>
              <w:top w:val="single" w:color="000000" w:sz="4" w:space="0"/>
              <w:left w:val="single" w:color="000000" w:sz="4" w:space="0"/>
              <w:bottom w:val="single" w:color="000000" w:sz="4" w:space="0"/>
              <w:right w:val="single" w:color="000000" w:sz="4" w:space="0"/>
            </w:tcBorders>
          </w:tcPr>
          <w:p>
            <w:pPr>
              <w:rPr>
                <w:szCs w:val="21"/>
              </w:rPr>
            </w:pPr>
          </w:p>
        </w:tc>
        <w:tc>
          <w:tcPr>
            <w:tcW w:w="1961" w:type="dxa"/>
            <w:tcBorders>
              <w:top w:val="single" w:color="000000" w:sz="4" w:space="0"/>
              <w:left w:val="single" w:color="000000" w:sz="4" w:space="0"/>
              <w:bottom w:val="single" w:color="000000" w:sz="4" w:space="0"/>
              <w:right w:val="single" w:color="000000" w:sz="4" w:space="0"/>
            </w:tcBorders>
          </w:tcPr>
          <w:p>
            <w:pPr>
              <w:rPr>
                <w:szCs w:val="21"/>
              </w:rPr>
            </w:pPr>
          </w:p>
        </w:tc>
        <w:tc>
          <w:tcPr>
            <w:tcW w:w="984" w:type="dxa"/>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413"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2"/>
                <w:tab w:val="left" w:pos="1370"/>
              </w:tabs>
              <w:spacing w:before="107"/>
              <w:ind w:left="420"/>
              <w:rPr>
                <w:szCs w:val="21"/>
              </w:rPr>
            </w:pPr>
            <w:r>
              <w:rPr>
                <w:szCs w:val="21"/>
              </w:rPr>
              <w:t>年</w:t>
            </w:r>
            <w:r>
              <w:rPr>
                <w:szCs w:val="21"/>
              </w:rPr>
              <w:tab/>
            </w:r>
            <w:r>
              <w:rPr>
                <w:szCs w:val="21"/>
              </w:rPr>
              <w:t>月至</w:t>
            </w:r>
            <w:r>
              <w:rPr>
                <w:szCs w:val="21"/>
              </w:rPr>
              <w:tab/>
            </w:r>
            <w:r>
              <w:rPr>
                <w:szCs w:val="21"/>
              </w:rPr>
              <w:t>月</w:t>
            </w:r>
          </w:p>
        </w:tc>
        <w:tc>
          <w:tcPr>
            <w:tcW w:w="1330" w:type="dxa"/>
            <w:tcBorders>
              <w:top w:val="single" w:color="000000" w:sz="4" w:space="0"/>
              <w:left w:val="single" w:color="000000" w:sz="4" w:space="0"/>
              <w:bottom w:val="single" w:color="000000" w:sz="4" w:space="0"/>
              <w:right w:val="single" w:color="000000" w:sz="4" w:space="0"/>
            </w:tcBorders>
          </w:tcPr>
          <w:p>
            <w:pPr>
              <w:rPr>
                <w:szCs w:val="21"/>
              </w:rPr>
            </w:pPr>
          </w:p>
        </w:tc>
        <w:tc>
          <w:tcPr>
            <w:tcW w:w="1315" w:type="dxa"/>
            <w:tcBorders>
              <w:top w:val="single" w:color="000000" w:sz="4" w:space="0"/>
              <w:left w:val="single" w:color="000000" w:sz="4" w:space="0"/>
              <w:bottom w:val="single" w:color="000000" w:sz="4" w:space="0"/>
              <w:right w:val="single" w:color="000000" w:sz="4" w:space="0"/>
            </w:tcBorders>
          </w:tcPr>
          <w:p>
            <w:pPr>
              <w:rPr>
                <w:szCs w:val="21"/>
              </w:rPr>
            </w:pPr>
          </w:p>
        </w:tc>
        <w:tc>
          <w:tcPr>
            <w:tcW w:w="1327" w:type="dxa"/>
            <w:tcBorders>
              <w:top w:val="single" w:color="000000" w:sz="4" w:space="0"/>
              <w:left w:val="single" w:color="000000" w:sz="4" w:space="0"/>
              <w:bottom w:val="single" w:color="000000" w:sz="4" w:space="0"/>
              <w:right w:val="single" w:color="000000" w:sz="4" w:space="0"/>
            </w:tcBorders>
          </w:tcPr>
          <w:p>
            <w:pPr>
              <w:rPr>
                <w:szCs w:val="21"/>
              </w:rPr>
            </w:pPr>
          </w:p>
        </w:tc>
        <w:tc>
          <w:tcPr>
            <w:tcW w:w="1961" w:type="dxa"/>
            <w:tcBorders>
              <w:top w:val="single" w:color="000000" w:sz="4" w:space="0"/>
              <w:left w:val="single" w:color="000000" w:sz="4" w:space="0"/>
              <w:bottom w:val="single" w:color="000000" w:sz="4" w:space="0"/>
              <w:right w:val="single" w:color="000000" w:sz="4" w:space="0"/>
            </w:tcBorders>
          </w:tcPr>
          <w:p>
            <w:pPr>
              <w:rPr>
                <w:szCs w:val="21"/>
              </w:rPr>
            </w:pPr>
          </w:p>
        </w:tc>
        <w:tc>
          <w:tcPr>
            <w:tcW w:w="984" w:type="dxa"/>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420" w:hRule="exact"/>
        </w:trPr>
        <w:tc>
          <w:tcPr>
            <w:tcW w:w="1915" w:type="dxa"/>
            <w:tcBorders>
              <w:top w:val="single" w:color="000000" w:sz="4" w:space="0"/>
              <w:left w:val="single" w:color="000000" w:sz="12" w:space="0"/>
              <w:bottom w:val="single" w:color="000000" w:sz="12" w:space="0"/>
              <w:right w:val="single" w:color="000000" w:sz="4" w:space="0"/>
            </w:tcBorders>
          </w:tcPr>
          <w:p>
            <w:pPr>
              <w:pStyle w:val="72"/>
              <w:spacing w:before="102"/>
              <w:ind w:left="415"/>
              <w:rPr>
                <w:szCs w:val="21"/>
              </w:rPr>
            </w:pPr>
            <w:r>
              <w:rPr>
                <w:szCs w:val="21"/>
              </w:rPr>
              <w:t>缺陷责任期</w:t>
            </w:r>
          </w:p>
        </w:tc>
        <w:tc>
          <w:tcPr>
            <w:tcW w:w="1330" w:type="dxa"/>
            <w:tcBorders>
              <w:top w:val="single" w:color="000000" w:sz="4" w:space="0"/>
              <w:left w:val="single" w:color="000000" w:sz="4" w:space="0"/>
              <w:bottom w:val="single" w:color="000000" w:sz="12" w:space="0"/>
              <w:right w:val="single" w:color="000000" w:sz="4" w:space="0"/>
            </w:tcBorders>
          </w:tcPr>
          <w:p>
            <w:pPr>
              <w:rPr>
                <w:szCs w:val="21"/>
              </w:rPr>
            </w:pPr>
          </w:p>
        </w:tc>
        <w:tc>
          <w:tcPr>
            <w:tcW w:w="1315" w:type="dxa"/>
            <w:tcBorders>
              <w:top w:val="single" w:color="000000" w:sz="4" w:space="0"/>
              <w:left w:val="single" w:color="000000" w:sz="4" w:space="0"/>
              <w:bottom w:val="single" w:color="000000" w:sz="12" w:space="0"/>
              <w:right w:val="single" w:color="000000" w:sz="4" w:space="0"/>
            </w:tcBorders>
          </w:tcPr>
          <w:p>
            <w:pPr>
              <w:rPr>
                <w:szCs w:val="21"/>
              </w:rPr>
            </w:pPr>
          </w:p>
        </w:tc>
        <w:tc>
          <w:tcPr>
            <w:tcW w:w="1327" w:type="dxa"/>
            <w:tcBorders>
              <w:top w:val="single" w:color="000000" w:sz="4" w:space="0"/>
              <w:left w:val="single" w:color="000000" w:sz="4" w:space="0"/>
              <w:bottom w:val="single" w:color="000000" w:sz="12" w:space="0"/>
              <w:right w:val="single" w:color="000000" w:sz="4" w:space="0"/>
            </w:tcBorders>
          </w:tcPr>
          <w:p>
            <w:pPr>
              <w:rPr>
                <w:szCs w:val="21"/>
              </w:rPr>
            </w:pPr>
          </w:p>
        </w:tc>
        <w:tc>
          <w:tcPr>
            <w:tcW w:w="1961" w:type="dxa"/>
            <w:tcBorders>
              <w:top w:val="single" w:color="000000" w:sz="4" w:space="0"/>
              <w:left w:val="single" w:color="000000" w:sz="4" w:space="0"/>
              <w:bottom w:val="single" w:color="000000" w:sz="12" w:space="0"/>
              <w:right w:val="single" w:color="000000" w:sz="4" w:space="0"/>
            </w:tcBorders>
          </w:tcPr>
          <w:p>
            <w:pPr>
              <w:rPr>
                <w:szCs w:val="21"/>
              </w:rPr>
            </w:pPr>
          </w:p>
        </w:tc>
        <w:tc>
          <w:tcPr>
            <w:tcW w:w="984" w:type="dxa"/>
            <w:tcBorders>
              <w:top w:val="single" w:color="000000" w:sz="4" w:space="0"/>
              <w:left w:val="single" w:color="000000" w:sz="4" w:space="0"/>
              <w:bottom w:val="single" w:color="000000" w:sz="12" w:space="0"/>
              <w:right w:val="single" w:color="000000" w:sz="12" w:space="0"/>
            </w:tcBorders>
          </w:tcPr>
          <w:p>
            <w:pPr>
              <w:rPr>
                <w:szCs w:val="21"/>
              </w:rPr>
            </w:pPr>
          </w:p>
        </w:tc>
      </w:tr>
    </w:tbl>
    <w:p>
      <w:pPr>
        <w:spacing w:before="2"/>
        <w:rPr>
          <w:sz w:val="29"/>
          <w:szCs w:val="29"/>
        </w:rPr>
      </w:pPr>
    </w:p>
    <w:p>
      <w:pPr>
        <w:spacing w:line="300" w:lineRule="auto"/>
        <w:ind w:firstLine="510"/>
        <w:jc w:val="center"/>
        <w:rPr>
          <w:szCs w:val="21"/>
        </w:rPr>
      </w:pPr>
    </w:p>
    <w:p/>
    <w:p/>
    <w:sectPr>
      <w:endnotePr>
        <w:numFmt w:val="decimal"/>
      </w:endnotePr>
      <w:pgSz w:w="11906" w:h="16838"/>
      <w:pgMar w:top="1247" w:right="1247" w:bottom="1247" w:left="1304" w:header="794" w:footer="79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3"/>
      </w:rPr>
    </w:pPr>
    <w:r>
      <w:fldChar w:fldCharType="begin"/>
    </w:r>
    <w:r>
      <w:rPr>
        <w:rStyle w:val="33"/>
      </w:rPr>
      <w:instrText xml:space="preserve">PAGE  </w:instrText>
    </w:r>
    <w:r>
      <w:fldChar w:fldCharType="separate"/>
    </w:r>
    <w:r>
      <w:rPr>
        <w:rStyle w:val="33"/>
      </w:rPr>
      <w:t>0</w:t>
    </w:r>
    <w: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7"/>
                          </w:pPr>
                          <w:r>
                            <w:fldChar w:fldCharType="begin"/>
                          </w:r>
                          <w:r>
                            <w:instrText xml:space="preserve"> PAGE  \* MERGEFORMAT </w:instrText>
                          </w:r>
                          <w:r>
                            <w:fldChar w:fldCharType="separate"/>
                          </w:r>
                          <w:r>
                            <w:t>75</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i91E0AAAAAIBAAAPAAAAAAAAAAEAIAAAACIAAABkcnMvZG93bnJldi54bWxQSwECFAAU&#10;AAAACACHTuJAqcP2hfkBAAAABAAADgAAAAAAAAABACAAAAAfAQAAZHJzL2Uyb0RvYy54bWxQSwUG&#10;AAAAAAYABgBZAQAAig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7640" cy="131445"/>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7640" cy="131445"/>
                      </a:xfrm>
                      <a:prstGeom prst="rect">
                        <a:avLst/>
                      </a:prstGeom>
                      <a:noFill/>
                      <a:ln>
                        <a:noFill/>
                      </a:ln>
                    </wps:spPr>
                    <wps:txbx>
                      <w:txbxContent>
                        <w:p>
                          <w:pPr>
                            <w:pStyle w:val="17"/>
                          </w:pPr>
                          <w:r>
                            <w:fldChar w:fldCharType="begin"/>
                          </w:r>
                          <w:r>
                            <w:instrText xml:space="preserve"> PAGE  \* MERGEFORMAT </w:instrText>
                          </w:r>
                          <w:r>
                            <w:fldChar w:fldCharType="separate"/>
                          </w:r>
                          <w:r>
                            <w:t>83</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0.35pt;width:13.2pt;mso-position-horizontal:center;mso-position-horizontal-relative:margin;mso-wrap-style:none;z-index:251660288;mso-width-relative:page;mso-height-relative:page;" filled="f" stroked="f" coordsize="21600,21600" o:gfxdata="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Rio69EAAAADAQAADwAAAAAAAAABACAAAAAiAAAAZHJzL2Rvd25yZXYueG1sUEsBAhQA&#10;FAAAAAgAh07iQEKQWSn5AQAAAQQAAA4AAAAAAAAAAQAgAAAAIAEAAGRycy9lMm9Eb2MueG1sUEsF&#10;BgAAAAAGAAYAWQEAAIs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7640" cy="131445"/>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167640" cy="131445"/>
                      </a:xfrm>
                      <a:prstGeom prst="rect">
                        <a:avLst/>
                      </a:prstGeom>
                      <a:noFill/>
                      <a:ln>
                        <a:noFill/>
                      </a:ln>
                    </wps:spPr>
                    <wps:txbx>
                      <w:txbxContent>
                        <w:p>
                          <w:pPr>
                            <w:pStyle w:val="17"/>
                          </w:pPr>
                          <w:r>
                            <w:fldChar w:fldCharType="begin"/>
                          </w:r>
                          <w:r>
                            <w:instrText xml:space="preserve"> PAGE  \* MERGEFORMAT </w:instrText>
                          </w:r>
                          <w:r>
                            <w:fldChar w:fldCharType="separate"/>
                          </w:r>
                          <w:r>
                            <w:t>113</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0.35pt;width:13.2pt;mso-position-horizontal:center;mso-position-horizontal-relative:margin;mso-wrap-style:none;z-index:251661312;mso-width-relative:page;mso-height-relative:page;" filled="f" stroked="f" coordsize="21600,21600" o:gfxdata="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Rio69EAAAADAQAADwAAAAAAAAABACAAAAAiAAAAZHJzL2Rvd25yZXYueG1sUEsBAhQA&#10;FAAAAAgAh07iQGvIuKH5AQAAAQQAAA4AAAAAAAAAAQAgAAAAIAEAAGRycy9lMm9Eb2MueG1sUEsF&#10;BgAAAAAGAAYAWQEAAIs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nThickSmallGap" w:color="auto" w:sz="24" w:space="1"/>
      </w:pBdr>
      <w:jc w:val="both"/>
    </w:pPr>
    <w:r>
      <w:rPr>
        <w:rFonts w:hint="eastAsia" w:ascii="黑体" w:eastAsia="黑体"/>
        <w:b/>
        <w:bCs/>
      </w:rPr>
      <w:t>施工监理招标招标文件                                                                                目录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nThickSmallGap" w:color="auto" w:sz="24" w:space="1"/>
      </w:pBdr>
      <w:jc w:val="right"/>
    </w:pPr>
    <w:r>
      <w:rPr>
        <w:rFonts w:hint="eastAsia" w:ascii="黑体" w:eastAsia="黑体"/>
        <w:b/>
        <w:bCs/>
      </w:rPr>
      <w:t>施工监理招标招标文件</w:t>
    </w:r>
  </w:p>
  <w:p>
    <w:pPr>
      <w:pStyle w:val="18"/>
      <w:pBdr>
        <w:bottom w:val="none" w:color="auto" w:sz="0" w:space="0"/>
      </w:pBdr>
      <w:rPr>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nThickSmallGap" w:color="auto" w:sz="24" w:space="1"/>
      </w:pBdr>
      <w:jc w:val="right"/>
    </w:pPr>
    <w:r>
      <w:rPr>
        <w:rFonts w:hint="eastAsia" w:ascii="黑体" w:eastAsia="黑体"/>
        <w:b/>
        <w:bCs/>
      </w:rPr>
      <w:t>施工监理招标文件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B002C"/>
    <w:multiLevelType w:val="singleLevel"/>
    <w:tmpl w:val="98DB002C"/>
    <w:lvl w:ilvl="0" w:tentative="0">
      <w:start w:val="1"/>
      <w:numFmt w:val="decimal"/>
      <w:lvlText w:val="%1."/>
      <w:lvlJc w:val="left"/>
      <w:pPr>
        <w:tabs>
          <w:tab w:val="left" w:pos="312"/>
        </w:tabs>
      </w:pPr>
    </w:lvl>
  </w:abstractNum>
  <w:abstractNum w:abstractNumId="1">
    <w:nsid w:val="CB79DCEA"/>
    <w:multiLevelType w:val="singleLevel"/>
    <w:tmpl w:val="CB79DCEA"/>
    <w:lvl w:ilvl="0" w:tentative="0">
      <w:start w:val="1"/>
      <w:numFmt w:val="decimal"/>
      <w:suff w:val="space"/>
      <w:lvlText w:val="(%1)"/>
      <w:lvlJc w:val="left"/>
    </w:lvl>
  </w:abstractNum>
  <w:abstractNum w:abstractNumId="2">
    <w:nsid w:val="DE828BE0"/>
    <w:multiLevelType w:val="singleLevel"/>
    <w:tmpl w:val="DE828BE0"/>
    <w:lvl w:ilvl="0" w:tentative="0">
      <w:start w:val="1"/>
      <w:numFmt w:val="decimal"/>
      <w:suff w:val="nothing"/>
      <w:lvlText w:val="（%1）"/>
      <w:lvlJc w:val="left"/>
    </w:lvl>
  </w:abstractNum>
  <w:abstractNum w:abstractNumId="3">
    <w:nsid w:val="09E44F06"/>
    <w:multiLevelType w:val="singleLevel"/>
    <w:tmpl w:val="09E44F06"/>
    <w:lvl w:ilvl="0" w:tentative="0">
      <w:start w:val="3"/>
      <w:numFmt w:val="decimal"/>
      <w:suff w:val="space"/>
      <w:lvlText w:val="%1."/>
      <w:lvlJc w:val="left"/>
    </w:lvl>
  </w:abstractNum>
  <w:abstractNum w:abstractNumId="4">
    <w:nsid w:val="3A6C3B8A"/>
    <w:multiLevelType w:val="singleLevel"/>
    <w:tmpl w:val="3A6C3B8A"/>
    <w:lvl w:ilvl="0" w:tentative="0">
      <w:start w:val="6"/>
      <w:numFmt w:val="chineseCounting"/>
      <w:suff w:val="space"/>
      <w:lvlText w:val="第%1章"/>
      <w:lvlJc w:val="left"/>
      <w:rPr>
        <w:rFonts w:hint="eastAsia"/>
      </w:rPr>
    </w:lvl>
  </w:abstractNum>
  <w:abstractNum w:abstractNumId="5">
    <w:nsid w:val="3D61D933"/>
    <w:multiLevelType w:val="singleLevel"/>
    <w:tmpl w:val="3D61D933"/>
    <w:lvl w:ilvl="0" w:tentative="0">
      <w:start w:val="1"/>
      <w:numFmt w:val="decimal"/>
      <w:suff w:val="nothing"/>
      <w:lvlText w:val="（%1）"/>
      <w:lvlJc w:val="left"/>
    </w:lvl>
  </w:abstractNum>
  <w:abstractNum w:abstractNumId="6">
    <w:nsid w:val="63AD836F"/>
    <w:multiLevelType w:val="singleLevel"/>
    <w:tmpl w:val="63AD836F"/>
    <w:lvl w:ilvl="0" w:tentative="0">
      <w:start w:val="8"/>
      <w:numFmt w:val="decimal"/>
      <w:suff w:val="space"/>
      <w:lvlText w:val="%1."/>
      <w:lvlJc w:val="left"/>
    </w:lvl>
  </w:abstractNum>
  <w:abstractNum w:abstractNumId="7">
    <w:nsid w:val="7575A0B5"/>
    <w:multiLevelType w:val="singleLevel"/>
    <w:tmpl w:val="7575A0B5"/>
    <w:lvl w:ilvl="0" w:tentative="0">
      <w:start w:val="1"/>
      <w:numFmt w:val="decimal"/>
      <w:suff w:val="space"/>
      <w:lvlText w:val="%1."/>
      <w:lvlJc w:val="left"/>
    </w:lvl>
  </w:abstractNum>
  <w:abstractNum w:abstractNumId="8">
    <w:nsid w:val="7BDC750F"/>
    <w:multiLevelType w:val="singleLevel"/>
    <w:tmpl w:val="7BDC750F"/>
    <w:lvl w:ilvl="0" w:tentative="0">
      <w:start w:val="1"/>
      <w:numFmt w:val="decimal"/>
      <w:suff w:val="nothing"/>
      <w:lvlText w:val="（%1）"/>
      <w:lvlJc w:val="left"/>
    </w:lvl>
  </w:abstractNum>
  <w:num w:numId="1">
    <w:abstractNumId w:val="3"/>
  </w:num>
  <w:num w:numId="2">
    <w:abstractNumId w:val="6"/>
  </w:num>
  <w:num w:numId="3">
    <w:abstractNumId w:val="5"/>
  </w:num>
  <w:num w:numId="4">
    <w:abstractNumId w:val="7"/>
  </w:num>
  <w:num w:numId="5">
    <w:abstractNumId w:val="1"/>
  </w:num>
  <w:num w:numId="6">
    <w:abstractNumId w:val="8"/>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0YzJlYmQ3MDg0YmRhYWNkNjM3OTc5MjgwMWQxYWUifQ=="/>
  </w:docVars>
  <w:rsids>
    <w:rsidRoot w:val="00F55250"/>
    <w:rsid w:val="00032559"/>
    <w:rsid w:val="00104D3F"/>
    <w:rsid w:val="001051A1"/>
    <w:rsid w:val="0011119F"/>
    <w:rsid w:val="00116900"/>
    <w:rsid w:val="00125FB5"/>
    <w:rsid w:val="00127D96"/>
    <w:rsid w:val="00177565"/>
    <w:rsid w:val="0018197E"/>
    <w:rsid w:val="001840D4"/>
    <w:rsid w:val="00193293"/>
    <w:rsid w:val="001E3E47"/>
    <w:rsid w:val="00235086"/>
    <w:rsid w:val="0027216D"/>
    <w:rsid w:val="002E2D26"/>
    <w:rsid w:val="00300653"/>
    <w:rsid w:val="00384619"/>
    <w:rsid w:val="003939D8"/>
    <w:rsid w:val="003A54E7"/>
    <w:rsid w:val="003C0C20"/>
    <w:rsid w:val="003D5FCF"/>
    <w:rsid w:val="003E70D8"/>
    <w:rsid w:val="003F0830"/>
    <w:rsid w:val="00407B92"/>
    <w:rsid w:val="00433E06"/>
    <w:rsid w:val="0043614B"/>
    <w:rsid w:val="0043675C"/>
    <w:rsid w:val="00447B4F"/>
    <w:rsid w:val="0047413C"/>
    <w:rsid w:val="004A2787"/>
    <w:rsid w:val="004A59A2"/>
    <w:rsid w:val="004B16D0"/>
    <w:rsid w:val="004B670E"/>
    <w:rsid w:val="004D1DA3"/>
    <w:rsid w:val="004D5DCB"/>
    <w:rsid w:val="004E1557"/>
    <w:rsid w:val="00515008"/>
    <w:rsid w:val="0051576B"/>
    <w:rsid w:val="005211A7"/>
    <w:rsid w:val="0052493F"/>
    <w:rsid w:val="00526CE7"/>
    <w:rsid w:val="00543DA5"/>
    <w:rsid w:val="00556DEF"/>
    <w:rsid w:val="0059606C"/>
    <w:rsid w:val="00596CAC"/>
    <w:rsid w:val="00604447"/>
    <w:rsid w:val="00615082"/>
    <w:rsid w:val="006624CC"/>
    <w:rsid w:val="00670B36"/>
    <w:rsid w:val="00693DC0"/>
    <w:rsid w:val="006B55A7"/>
    <w:rsid w:val="006B56BA"/>
    <w:rsid w:val="006B657B"/>
    <w:rsid w:val="006D63FC"/>
    <w:rsid w:val="00711848"/>
    <w:rsid w:val="0071230B"/>
    <w:rsid w:val="00731105"/>
    <w:rsid w:val="0073673E"/>
    <w:rsid w:val="00750495"/>
    <w:rsid w:val="007504E0"/>
    <w:rsid w:val="00753402"/>
    <w:rsid w:val="007545B9"/>
    <w:rsid w:val="0077548E"/>
    <w:rsid w:val="00776416"/>
    <w:rsid w:val="00785D96"/>
    <w:rsid w:val="007A593D"/>
    <w:rsid w:val="007E079F"/>
    <w:rsid w:val="007F163F"/>
    <w:rsid w:val="0080198C"/>
    <w:rsid w:val="0081442A"/>
    <w:rsid w:val="008401F2"/>
    <w:rsid w:val="00845D11"/>
    <w:rsid w:val="008B3287"/>
    <w:rsid w:val="008B47B5"/>
    <w:rsid w:val="00910D57"/>
    <w:rsid w:val="0091487F"/>
    <w:rsid w:val="00923CC2"/>
    <w:rsid w:val="0093478C"/>
    <w:rsid w:val="00934B82"/>
    <w:rsid w:val="00962836"/>
    <w:rsid w:val="00980214"/>
    <w:rsid w:val="00980EEB"/>
    <w:rsid w:val="009B32B2"/>
    <w:rsid w:val="009F1AE3"/>
    <w:rsid w:val="00A145B9"/>
    <w:rsid w:val="00A27951"/>
    <w:rsid w:val="00A45512"/>
    <w:rsid w:val="00A520CA"/>
    <w:rsid w:val="00A90F60"/>
    <w:rsid w:val="00A96B6A"/>
    <w:rsid w:val="00AA20C0"/>
    <w:rsid w:val="00AA7BF0"/>
    <w:rsid w:val="00AB020D"/>
    <w:rsid w:val="00AB30CB"/>
    <w:rsid w:val="00B11A03"/>
    <w:rsid w:val="00B23DE0"/>
    <w:rsid w:val="00B263E7"/>
    <w:rsid w:val="00B34538"/>
    <w:rsid w:val="00B46B52"/>
    <w:rsid w:val="00B97C76"/>
    <w:rsid w:val="00BC0235"/>
    <w:rsid w:val="00BD4D52"/>
    <w:rsid w:val="00BF66A5"/>
    <w:rsid w:val="00BF748F"/>
    <w:rsid w:val="00C1393E"/>
    <w:rsid w:val="00C26FFC"/>
    <w:rsid w:val="00C3665E"/>
    <w:rsid w:val="00C61F86"/>
    <w:rsid w:val="00C63456"/>
    <w:rsid w:val="00C63DF2"/>
    <w:rsid w:val="00C75432"/>
    <w:rsid w:val="00C9325A"/>
    <w:rsid w:val="00C94CC2"/>
    <w:rsid w:val="00CD5178"/>
    <w:rsid w:val="00CD64A0"/>
    <w:rsid w:val="00CD6DA5"/>
    <w:rsid w:val="00CE4DBD"/>
    <w:rsid w:val="00CF0B36"/>
    <w:rsid w:val="00D10F4D"/>
    <w:rsid w:val="00D274A5"/>
    <w:rsid w:val="00D33223"/>
    <w:rsid w:val="00D337A1"/>
    <w:rsid w:val="00D366B7"/>
    <w:rsid w:val="00D543CA"/>
    <w:rsid w:val="00DA2EC3"/>
    <w:rsid w:val="00DC5D62"/>
    <w:rsid w:val="00DF4676"/>
    <w:rsid w:val="00E01A57"/>
    <w:rsid w:val="00E06723"/>
    <w:rsid w:val="00E236C8"/>
    <w:rsid w:val="00E50AAA"/>
    <w:rsid w:val="00E65D7E"/>
    <w:rsid w:val="00E661F0"/>
    <w:rsid w:val="00E74033"/>
    <w:rsid w:val="00EB3760"/>
    <w:rsid w:val="00EB45A0"/>
    <w:rsid w:val="00EF5A66"/>
    <w:rsid w:val="00F1316A"/>
    <w:rsid w:val="00F52C50"/>
    <w:rsid w:val="00F55250"/>
    <w:rsid w:val="00F71C9D"/>
    <w:rsid w:val="00F7692C"/>
    <w:rsid w:val="00F85EBD"/>
    <w:rsid w:val="00F971A2"/>
    <w:rsid w:val="00FA6C56"/>
    <w:rsid w:val="00FB7301"/>
    <w:rsid w:val="00FE3A6E"/>
    <w:rsid w:val="00FE75AE"/>
    <w:rsid w:val="01A95943"/>
    <w:rsid w:val="01BF4CE6"/>
    <w:rsid w:val="02021905"/>
    <w:rsid w:val="02D2752A"/>
    <w:rsid w:val="031F230A"/>
    <w:rsid w:val="0451447E"/>
    <w:rsid w:val="048C3708"/>
    <w:rsid w:val="057F3A9B"/>
    <w:rsid w:val="05A34D7A"/>
    <w:rsid w:val="05F31279"/>
    <w:rsid w:val="0664493D"/>
    <w:rsid w:val="067A4160"/>
    <w:rsid w:val="0718750C"/>
    <w:rsid w:val="07852DBD"/>
    <w:rsid w:val="07C5765D"/>
    <w:rsid w:val="084F6F27"/>
    <w:rsid w:val="08624EAC"/>
    <w:rsid w:val="08B06C3C"/>
    <w:rsid w:val="08B17BE1"/>
    <w:rsid w:val="09644C54"/>
    <w:rsid w:val="09FC4E8C"/>
    <w:rsid w:val="0A1C108A"/>
    <w:rsid w:val="0A283ED3"/>
    <w:rsid w:val="0A7964DD"/>
    <w:rsid w:val="0ACF434F"/>
    <w:rsid w:val="0B2B0D64"/>
    <w:rsid w:val="0BE019E7"/>
    <w:rsid w:val="0CFA1B57"/>
    <w:rsid w:val="0D0F32FD"/>
    <w:rsid w:val="0D270472"/>
    <w:rsid w:val="0D5F44D9"/>
    <w:rsid w:val="0D6A3B25"/>
    <w:rsid w:val="0D6B4803"/>
    <w:rsid w:val="0D7A67F4"/>
    <w:rsid w:val="0D9D0734"/>
    <w:rsid w:val="0D9D0BB0"/>
    <w:rsid w:val="0DCE0120"/>
    <w:rsid w:val="0EFE5203"/>
    <w:rsid w:val="0F8F25E2"/>
    <w:rsid w:val="0FBB1208"/>
    <w:rsid w:val="0FBD50BE"/>
    <w:rsid w:val="10016553"/>
    <w:rsid w:val="10246EEB"/>
    <w:rsid w:val="10A047C3"/>
    <w:rsid w:val="10A96E44"/>
    <w:rsid w:val="111927C8"/>
    <w:rsid w:val="11302883"/>
    <w:rsid w:val="1141265E"/>
    <w:rsid w:val="118F65E6"/>
    <w:rsid w:val="11967974"/>
    <w:rsid w:val="11DF756D"/>
    <w:rsid w:val="11E626AA"/>
    <w:rsid w:val="11EC3680"/>
    <w:rsid w:val="12086AC4"/>
    <w:rsid w:val="124D44D7"/>
    <w:rsid w:val="12631F4C"/>
    <w:rsid w:val="12E84200"/>
    <w:rsid w:val="1319085D"/>
    <w:rsid w:val="1342070F"/>
    <w:rsid w:val="13547AE7"/>
    <w:rsid w:val="1380268A"/>
    <w:rsid w:val="13F13588"/>
    <w:rsid w:val="149A3C1F"/>
    <w:rsid w:val="14DB04C0"/>
    <w:rsid w:val="159F14ED"/>
    <w:rsid w:val="15B848AC"/>
    <w:rsid w:val="15F9471B"/>
    <w:rsid w:val="167C182F"/>
    <w:rsid w:val="169839BA"/>
    <w:rsid w:val="173B732A"/>
    <w:rsid w:val="177E15D6"/>
    <w:rsid w:val="17B14691"/>
    <w:rsid w:val="17F17FFA"/>
    <w:rsid w:val="187D363C"/>
    <w:rsid w:val="18BF4CA1"/>
    <w:rsid w:val="18DD6C08"/>
    <w:rsid w:val="1A3B730B"/>
    <w:rsid w:val="1A9315F3"/>
    <w:rsid w:val="1AC860F0"/>
    <w:rsid w:val="1ADF413A"/>
    <w:rsid w:val="1B3E70B3"/>
    <w:rsid w:val="1B8740FB"/>
    <w:rsid w:val="1C4E0CFD"/>
    <w:rsid w:val="1C4E77C9"/>
    <w:rsid w:val="1CE04199"/>
    <w:rsid w:val="1D022362"/>
    <w:rsid w:val="1D3C1D18"/>
    <w:rsid w:val="1D81597C"/>
    <w:rsid w:val="1D8A2A83"/>
    <w:rsid w:val="1D9C6312"/>
    <w:rsid w:val="1E205195"/>
    <w:rsid w:val="1E784FC9"/>
    <w:rsid w:val="1FD44C1D"/>
    <w:rsid w:val="20250841"/>
    <w:rsid w:val="209E23A2"/>
    <w:rsid w:val="21171186"/>
    <w:rsid w:val="2121511B"/>
    <w:rsid w:val="214E201A"/>
    <w:rsid w:val="21751186"/>
    <w:rsid w:val="219F6B74"/>
    <w:rsid w:val="223631D9"/>
    <w:rsid w:val="22600256"/>
    <w:rsid w:val="226C6BFB"/>
    <w:rsid w:val="22877591"/>
    <w:rsid w:val="22A7584B"/>
    <w:rsid w:val="22A94FAB"/>
    <w:rsid w:val="233B23B1"/>
    <w:rsid w:val="23403BE4"/>
    <w:rsid w:val="23FE1AD5"/>
    <w:rsid w:val="24373239"/>
    <w:rsid w:val="244A6F85"/>
    <w:rsid w:val="24EC555E"/>
    <w:rsid w:val="25583467"/>
    <w:rsid w:val="258129BE"/>
    <w:rsid w:val="258B55EA"/>
    <w:rsid w:val="25C96113"/>
    <w:rsid w:val="2604539D"/>
    <w:rsid w:val="26064C71"/>
    <w:rsid w:val="26193B7B"/>
    <w:rsid w:val="26D46B1D"/>
    <w:rsid w:val="272C4BAB"/>
    <w:rsid w:val="272F1FA5"/>
    <w:rsid w:val="273E541F"/>
    <w:rsid w:val="274C6FFB"/>
    <w:rsid w:val="27D95688"/>
    <w:rsid w:val="27F531EF"/>
    <w:rsid w:val="28165840"/>
    <w:rsid w:val="28456055"/>
    <w:rsid w:val="28D92B11"/>
    <w:rsid w:val="29001E4B"/>
    <w:rsid w:val="298760C9"/>
    <w:rsid w:val="29A924E3"/>
    <w:rsid w:val="29CC61D1"/>
    <w:rsid w:val="2A3C3357"/>
    <w:rsid w:val="2A923509"/>
    <w:rsid w:val="2AFB6D6E"/>
    <w:rsid w:val="2BC96E6C"/>
    <w:rsid w:val="2C051ECF"/>
    <w:rsid w:val="2C8132A3"/>
    <w:rsid w:val="2CEF46B1"/>
    <w:rsid w:val="2CFB12A7"/>
    <w:rsid w:val="2DA21790"/>
    <w:rsid w:val="2DBC56A8"/>
    <w:rsid w:val="2E1A39AF"/>
    <w:rsid w:val="2E1E4B22"/>
    <w:rsid w:val="2E522D9A"/>
    <w:rsid w:val="2EAA3A90"/>
    <w:rsid w:val="309B06AC"/>
    <w:rsid w:val="30BA688B"/>
    <w:rsid w:val="30C776F3"/>
    <w:rsid w:val="311F308B"/>
    <w:rsid w:val="312A215B"/>
    <w:rsid w:val="31774C75"/>
    <w:rsid w:val="31ED3189"/>
    <w:rsid w:val="328A09D8"/>
    <w:rsid w:val="32A25D21"/>
    <w:rsid w:val="332E5807"/>
    <w:rsid w:val="339C4E66"/>
    <w:rsid w:val="33B97B86"/>
    <w:rsid w:val="33F70898"/>
    <w:rsid w:val="340643A5"/>
    <w:rsid w:val="340C3D9A"/>
    <w:rsid w:val="34E40873"/>
    <w:rsid w:val="35B91D00"/>
    <w:rsid w:val="35B93AAE"/>
    <w:rsid w:val="35ED30EC"/>
    <w:rsid w:val="37117919"/>
    <w:rsid w:val="373B6744"/>
    <w:rsid w:val="38206066"/>
    <w:rsid w:val="382972B0"/>
    <w:rsid w:val="38B22A36"/>
    <w:rsid w:val="38F92413"/>
    <w:rsid w:val="397A17A6"/>
    <w:rsid w:val="39DA3FF3"/>
    <w:rsid w:val="3A8B353F"/>
    <w:rsid w:val="3B60677A"/>
    <w:rsid w:val="3B7B35B3"/>
    <w:rsid w:val="3B7E5EF0"/>
    <w:rsid w:val="3C237ED3"/>
    <w:rsid w:val="3E6F58B8"/>
    <w:rsid w:val="3E834C59"/>
    <w:rsid w:val="3EC62D97"/>
    <w:rsid w:val="3ED951C1"/>
    <w:rsid w:val="3F3D5750"/>
    <w:rsid w:val="3F5E7474"/>
    <w:rsid w:val="405F34A4"/>
    <w:rsid w:val="40CA76B0"/>
    <w:rsid w:val="411438C1"/>
    <w:rsid w:val="41350D1C"/>
    <w:rsid w:val="41C55588"/>
    <w:rsid w:val="41FB544E"/>
    <w:rsid w:val="42644DA1"/>
    <w:rsid w:val="427E301C"/>
    <w:rsid w:val="42823479"/>
    <w:rsid w:val="42976F25"/>
    <w:rsid w:val="42FF340C"/>
    <w:rsid w:val="43324391"/>
    <w:rsid w:val="43A833B4"/>
    <w:rsid w:val="43D85A47"/>
    <w:rsid w:val="43FB7987"/>
    <w:rsid w:val="44020D16"/>
    <w:rsid w:val="441B6071"/>
    <w:rsid w:val="442C5D93"/>
    <w:rsid w:val="447A4134"/>
    <w:rsid w:val="44BE0511"/>
    <w:rsid w:val="44EE3048"/>
    <w:rsid w:val="4595474F"/>
    <w:rsid w:val="45D870F5"/>
    <w:rsid w:val="461E5A12"/>
    <w:rsid w:val="462E7BA0"/>
    <w:rsid w:val="46492C2C"/>
    <w:rsid w:val="46FE3A16"/>
    <w:rsid w:val="4734568A"/>
    <w:rsid w:val="477D27D3"/>
    <w:rsid w:val="47C66EE5"/>
    <w:rsid w:val="47D22386"/>
    <w:rsid w:val="484729E4"/>
    <w:rsid w:val="484F02A2"/>
    <w:rsid w:val="485F797E"/>
    <w:rsid w:val="486A6E89"/>
    <w:rsid w:val="487815A6"/>
    <w:rsid w:val="487F0B87"/>
    <w:rsid w:val="48E72288"/>
    <w:rsid w:val="49647D7D"/>
    <w:rsid w:val="49BA799D"/>
    <w:rsid w:val="49C32CF5"/>
    <w:rsid w:val="49D2118A"/>
    <w:rsid w:val="49F63920"/>
    <w:rsid w:val="4A396B13"/>
    <w:rsid w:val="4B5A0AC9"/>
    <w:rsid w:val="4B977F95"/>
    <w:rsid w:val="4BA3016C"/>
    <w:rsid w:val="4BB87F0C"/>
    <w:rsid w:val="4BD340D8"/>
    <w:rsid w:val="4C251A45"/>
    <w:rsid w:val="4C4D2208"/>
    <w:rsid w:val="4C5B5467"/>
    <w:rsid w:val="4C830411"/>
    <w:rsid w:val="4D113D78"/>
    <w:rsid w:val="4D4B54DB"/>
    <w:rsid w:val="4D6D5452"/>
    <w:rsid w:val="4D981DA3"/>
    <w:rsid w:val="4DAB2883"/>
    <w:rsid w:val="4E2E49C6"/>
    <w:rsid w:val="4E6F4101"/>
    <w:rsid w:val="4EC310A1"/>
    <w:rsid w:val="50081433"/>
    <w:rsid w:val="50175CE7"/>
    <w:rsid w:val="50347BBB"/>
    <w:rsid w:val="50593A6B"/>
    <w:rsid w:val="50B52772"/>
    <w:rsid w:val="50DA6E4B"/>
    <w:rsid w:val="50EA0B67"/>
    <w:rsid w:val="51082082"/>
    <w:rsid w:val="51C969CF"/>
    <w:rsid w:val="51D84E64"/>
    <w:rsid w:val="52093919"/>
    <w:rsid w:val="52291B63"/>
    <w:rsid w:val="523227C6"/>
    <w:rsid w:val="52C553E8"/>
    <w:rsid w:val="533F451C"/>
    <w:rsid w:val="53CC09F8"/>
    <w:rsid w:val="54091C4C"/>
    <w:rsid w:val="55195AEA"/>
    <w:rsid w:val="55436A98"/>
    <w:rsid w:val="55524F2D"/>
    <w:rsid w:val="5612303A"/>
    <w:rsid w:val="561758FE"/>
    <w:rsid w:val="56811F6E"/>
    <w:rsid w:val="56A17F1A"/>
    <w:rsid w:val="56E12A50"/>
    <w:rsid w:val="56FC4D60"/>
    <w:rsid w:val="571132F2"/>
    <w:rsid w:val="57250CAE"/>
    <w:rsid w:val="57B8376D"/>
    <w:rsid w:val="57EC1669"/>
    <w:rsid w:val="58637017"/>
    <w:rsid w:val="58900246"/>
    <w:rsid w:val="589C308F"/>
    <w:rsid w:val="58C223CA"/>
    <w:rsid w:val="58DF4D2A"/>
    <w:rsid w:val="58E32A6C"/>
    <w:rsid w:val="58F45060"/>
    <w:rsid w:val="59350ABE"/>
    <w:rsid w:val="59BF3EBB"/>
    <w:rsid w:val="59E56370"/>
    <w:rsid w:val="5A1B6236"/>
    <w:rsid w:val="5A815E0F"/>
    <w:rsid w:val="5ADA7E9F"/>
    <w:rsid w:val="5B1A473F"/>
    <w:rsid w:val="5B3564B4"/>
    <w:rsid w:val="5B61236E"/>
    <w:rsid w:val="5D995DEF"/>
    <w:rsid w:val="5DEB5F1F"/>
    <w:rsid w:val="5E6463FD"/>
    <w:rsid w:val="5EBD5B0D"/>
    <w:rsid w:val="5ECB022A"/>
    <w:rsid w:val="5ED03A93"/>
    <w:rsid w:val="5F2E7000"/>
    <w:rsid w:val="5F37766E"/>
    <w:rsid w:val="5FAE5456"/>
    <w:rsid w:val="5FDA624B"/>
    <w:rsid w:val="60603164"/>
    <w:rsid w:val="60634492"/>
    <w:rsid w:val="609E54CA"/>
    <w:rsid w:val="60C04BB1"/>
    <w:rsid w:val="61DC6C34"/>
    <w:rsid w:val="61ED495B"/>
    <w:rsid w:val="62CA07F9"/>
    <w:rsid w:val="6305152A"/>
    <w:rsid w:val="63175D32"/>
    <w:rsid w:val="635A7DCF"/>
    <w:rsid w:val="63BC2E6F"/>
    <w:rsid w:val="6449399F"/>
    <w:rsid w:val="64841C2F"/>
    <w:rsid w:val="648B3FB8"/>
    <w:rsid w:val="64EA5182"/>
    <w:rsid w:val="653603C7"/>
    <w:rsid w:val="657B5DDA"/>
    <w:rsid w:val="65FA7647"/>
    <w:rsid w:val="66C35C8B"/>
    <w:rsid w:val="66E26E7C"/>
    <w:rsid w:val="66EE2B83"/>
    <w:rsid w:val="670304FF"/>
    <w:rsid w:val="6716225F"/>
    <w:rsid w:val="671F55B7"/>
    <w:rsid w:val="674072DB"/>
    <w:rsid w:val="67B91463"/>
    <w:rsid w:val="67FA56DC"/>
    <w:rsid w:val="68064081"/>
    <w:rsid w:val="68833924"/>
    <w:rsid w:val="69AC0C75"/>
    <w:rsid w:val="6A386990"/>
    <w:rsid w:val="6AED777A"/>
    <w:rsid w:val="6B483DD3"/>
    <w:rsid w:val="6B6712DB"/>
    <w:rsid w:val="6B6F7D25"/>
    <w:rsid w:val="6B7A01C5"/>
    <w:rsid w:val="6B96499B"/>
    <w:rsid w:val="6C9D0D2C"/>
    <w:rsid w:val="6CB635A3"/>
    <w:rsid w:val="6D463172"/>
    <w:rsid w:val="6DEA1D4F"/>
    <w:rsid w:val="6E0C6169"/>
    <w:rsid w:val="6E146DCC"/>
    <w:rsid w:val="6F55769C"/>
    <w:rsid w:val="6F6B6EC0"/>
    <w:rsid w:val="6FAC7C04"/>
    <w:rsid w:val="6FC30AAA"/>
    <w:rsid w:val="6FF3138F"/>
    <w:rsid w:val="70310109"/>
    <w:rsid w:val="70741DA4"/>
    <w:rsid w:val="707A385E"/>
    <w:rsid w:val="70B76860"/>
    <w:rsid w:val="70D50A94"/>
    <w:rsid w:val="70ED4030"/>
    <w:rsid w:val="71306613"/>
    <w:rsid w:val="71545DE1"/>
    <w:rsid w:val="722241AD"/>
    <w:rsid w:val="727F515C"/>
    <w:rsid w:val="72A9042B"/>
    <w:rsid w:val="72E6141C"/>
    <w:rsid w:val="736544C7"/>
    <w:rsid w:val="749005FC"/>
    <w:rsid w:val="74F57957"/>
    <w:rsid w:val="7504112E"/>
    <w:rsid w:val="750D68FC"/>
    <w:rsid w:val="753366D1"/>
    <w:rsid w:val="75846EE4"/>
    <w:rsid w:val="759F5B15"/>
    <w:rsid w:val="75E35A02"/>
    <w:rsid w:val="760D0CD1"/>
    <w:rsid w:val="761C644B"/>
    <w:rsid w:val="76377F56"/>
    <w:rsid w:val="7706409E"/>
    <w:rsid w:val="77222E38"/>
    <w:rsid w:val="77B5517C"/>
    <w:rsid w:val="783562BD"/>
    <w:rsid w:val="784D7AAA"/>
    <w:rsid w:val="785A6E3C"/>
    <w:rsid w:val="789404DB"/>
    <w:rsid w:val="79876FEC"/>
    <w:rsid w:val="7A7E219D"/>
    <w:rsid w:val="7A811C8D"/>
    <w:rsid w:val="7B4558CC"/>
    <w:rsid w:val="7B470223"/>
    <w:rsid w:val="7B4927AB"/>
    <w:rsid w:val="7B5F5B2A"/>
    <w:rsid w:val="7B6D5121"/>
    <w:rsid w:val="7B767318"/>
    <w:rsid w:val="7B9A3006"/>
    <w:rsid w:val="7C093CE8"/>
    <w:rsid w:val="7C3E1BE4"/>
    <w:rsid w:val="7CB02685"/>
    <w:rsid w:val="7D0F17D2"/>
    <w:rsid w:val="7D1961AD"/>
    <w:rsid w:val="7D741635"/>
    <w:rsid w:val="7D9104A8"/>
    <w:rsid w:val="7DBF4FA6"/>
    <w:rsid w:val="7DF82266"/>
    <w:rsid w:val="7E17093E"/>
    <w:rsid w:val="7E2C0793"/>
    <w:rsid w:val="7E68119A"/>
    <w:rsid w:val="7E861620"/>
    <w:rsid w:val="7F0B7D77"/>
    <w:rsid w:val="7F267453"/>
    <w:rsid w:val="7F7D13E4"/>
    <w:rsid w:val="7FF23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0" w:name="toc 3"/>
    <w:lsdException w:qFormat="1" w:uiPriority="0" w:name="toc 4"/>
    <w:lsdException w:qFormat="1" w:uiPriority="0" w:name="toc 5"/>
    <w:lsdException w:qFormat="1" w:unhideWhenUsed="0" w:uiPriority="0" w:name="toc 6"/>
    <w:lsdException w:qFormat="1" w:uiPriority="0" w:name="toc 7"/>
    <w:lsdException w:qFormat="1" w:uiPriority="0" w:name="toc 8"/>
    <w:lsdException w:qFormat="1" w:uiPriority="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qFormat="1"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99"/>
    <w:pPr>
      <w:keepNext/>
      <w:keepLines/>
      <w:spacing w:before="260" w:after="260" w:line="416" w:lineRule="auto"/>
      <w:outlineLvl w:val="1"/>
    </w:pPr>
    <w:rPr>
      <w:rFonts w:ascii="Arial" w:hAnsi="Arial" w:eastAsia="黑体"/>
      <w:b/>
      <w:sz w:val="32"/>
      <w:szCs w:val="20"/>
    </w:rPr>
  </w:style>
  <w:style w:type="paragraph" w:styleId="4">
    <w:name w:val="heading 3"/>
    <w:basedOn w:val="1"/>
    <w:next w:val="1"/>
    <w:link w:val="40"/>
    <w:qFormat/>
    <w:uiPriority w:val="99"/>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Document Map"/>
    <w:basedOn w:val="1"/>
    <w:link w:val="47"/>
    <w:semiHidden/>
    <w:qFormat/>
    <w:uiPriority w:val="0"/>
    <w:pPr>
      <w:shd w:val="clear" w:color="auto" w:fill="000080"/>
    </w:pPr>
  </w:style>
  <w:style w:type="paragraph" w:styleId="9">
    <w:name w:val="annotation text"/>
    <w:basedOn w:val="1"/>
    <w:link w:val="48"/>
    <w:unhideWhenUsed/>
    <w:qFormat/>
    <w:uiPriority w:val="99"/>
    <w:pPr>
      <w:jc w:val="left"/>
    </w:pPr>
  </w:style>
  <w:style w:type="paragraph" w:styleId="10">
    <w:name w:val="Body Text 3"/>
    <w:basedOn w:val="1"/>
    <w:link w:val="50"/>
    <w:qFormat/>
    <w:uiPriority w:val="0"/>
    <w:pPr>
      <w:spacing w:after="120"/>
    </w:pPr>
    <w:rPr>
      <w:rFonts w:ascii="Calibri" w:hAnsi="Calibri"/>
      <w:kern w:val="0"/>
      <w:sz w:val="16"/>
      <w:szCs w:val="16"/>
    </w:rPr>
  </w:style>
  <w:style w:type="paragraph" w:styleId="11">
    <w:name w:val="Body Text"/>
    <w:basedOn w:val="1"/>
    <w:next w:val="1"/>
    <w:link w:val="45"/>
    <w:unhideWhenUsed/>
    <w:qFormat/>
    <w:uiPriority w:val="0"/>
    <w:pPr>
      <w:spacing w:after="120"/>
    </w:pPr>
  </w:style>
  <w:style w:type="paragraph" w:styleId="12">
    <w:name w:val="Body Text Indent"/>
    <w:basedOn w:val="1"/>
    <w:link w:val="51"/>
    <w:qFormat/>
    <w:uiPriority w:val="0"/>
    <w:pPr>
      <w:spacing w:line="360" w:lineRule="auto"/>
      <w:ind w:firstLine="480"/>
    </w:pPr>
    <w:rPr>
      <w:sz w:val="24"/>
      <w:szCs w:val="20"/>
    </w:rPr>
  </w:style>
  <w:style w:type="paragraph" w:styleId="13">
    <w:name w:val="Plain Text"/>
    <w:basedOn w:val="1"/>
    <w:link w:val="53"/>
    <w:qFormat/>
    <w:uiPriority w:val="0"/>
    <w:rPr>
      <w:rFonts w:ascii="宋体" w:hAnsi="Courier New"/>
      <w:kern w:val="0"/>
      <w:sz w:val="20"/>
      <w:szCs w:val="20"/>
    </w:rPr>
  </w:style>
  <w:style w:type="paragraph" w:styleId="14">
    <w:name w:val="Date"/>
    <w:basedOn w:val="1"/>
    <w:next w:val="1"/>
    <w:link w:val="54"/>
    <w:qFormat/>
    <w:uiPriority w:val="0"/>
    <w:rPr>
      <w:rFonts w:ascii="宋体"/>
      <w:sz w:val="24"/>
      <w:szCs w:val="20"/>
    </w:rPr>
  </w:style>
  <w:style w:type="paragraph" w:styleId="15">
    <w:name w:val="Body Text Indent 2"/>
    <w:basedOn w:val="1"/>
    <w:link w:val="55"/>
    <w:qFormat/>
    <w:uiPriority w:val="0"/>
    <w:pPr>
      <w:spacing w:after="120" w:line="480" w:lineRule="auto"/>
      <w:ind w:left="420" w:leftChars="200"/>
    </w:pPr>
  </w:style>
  <w:style w:type="paragraph" w:styleId="16">
    <w:name w:val="Balloon Text"/>
    <w:basedOn w:val="1"/>
    <w:link w:val="56"/>
    <w:semiHidden/>
    <w:qFormat/>
    <w:uiPriority w:val="0"/>
    <w:rPr>
      <w:sz w:val="18"/>
      <w:szCs w:val="18"/>
    </w:rPr>
  </w:style>
  <w:style w:type="paragraph" w:styleId="17">
    <w:name w:val="footer"/>
    <w:basedOn w:val="1"/>
    <w:link w:val="44"/>
    <w:unhideWhenUsed/>
    <w:qFormat/>
    <w:uiPriority w:val="99"/>
    <w:pPr>
      <w:tabs>
        <w:tab w:val="center" w:pos="4153"/>
        <w:tab w:val="right" w:pos="8306"/>
      </w:tabs>
      <w:snapToGrid w:val="0"/>
      <w:jc w:val="left"/>
    </w:pPr>
    <w:rPr>
      <w:sz w:val="18"/>
      <w:szCs w:val="18"/>
    </w:rPr>
  </w:style>
  <w:style w:type="paragraph" w:styleId="18">
    <w:name w:val="header"/>
    <w:basedOn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9458"/>
      </w:tabs>
      <w:spacing w:before="120" w:after="120" w:line="360" w:lineRule="auto"/>
      <w:jc w:val="left"/>
    </w:pPr>
    <w:rPr>
      <w:b/>
      <w:bCs/>
      <w:caps/>
      <w:sz w:val="20"/>
      <w:szCs w:val="20"/>
    </w:rPr>
  </w:style>
  <w:style w:type="paragraph" w:styleId="20">
    <w:name w:val="toc 6"/>
    <w:basedOn w:val="1"/>
    <w:next w:val="1"/>
    <w:semiHidden/>
    <w:qFormat/>
    <w:uiPriority w:val="0"/>
    <w:pPr>
      <w:ind w:left="1050"/>
      <w:jc w:val="left"/>
    </w:pPr>
    <w:rPr>
      <w:sz w:val="18"/>
      <w:szCs w:val="18"/>
    </w:rPr>
  </w:style>
  <w:style w:type="paragraph" w:styleId="21">
    <w:name w:val="Body Text Indent 3"/>
    <w:basedOn w:val="1"/>
    <w:link w:val="58"/>
    <w:qFormat/>
    <w:uiPriority w:val="0"/>
    <w:pPr>
      <w:spacing w:after="120"/>
      <w:ind w:left="420" w:leftChars="200"/>
    </w:pPr>
    <w:rPr>
      <w:sz w:val="16"/>
      <w:szCs w:val="16"/>
    </w:rPr>
  </w:style>
  <w:style w:type="paragraph" w:styleId="22">
    <w:name w:val="toc 2"/>
    <w:basedOn w:val="1"/>
    <w:next w:val="1"/>
    <w:qFormat/>
    <w:uiPriority w:val="39"/>
    <w:pPr>
      <w:tabs>
        <w:tab w:val="right" w:leader="dot" w:pos="9458"/>
      </w:tabs>
      <w:spacing w:line="360" w:lineRule="auto"/>
      <w:ind w:left="210"/>
      <w:jc w:val="left"/>
    </w:pPr>
    <w:rPr>
      <w:smallCaps/>
      <w:sz w:val="20"/>
      <w:szCs w:val="20"/>
    </w:rPr>
  </w:style>
  <w:style w:type="paragraph" w:styleId="23">
    <w:name w:val="Body Text 2"/>
    <w:basedOn w:val="1"/>
    <w:link w:val="46"/>
    <w:unhideWhenUsed/>
    <w:qFormat/>
    <w:uiPriority w:val="0"/>
    <w:rPr>
      <w:rFonts w:ascii="仿宋_GB2312" w:eastAsia="仿宋_GB2312"/>
      <w:b/>
      <w:sz w:val="28"/>
      <w:szCs w:val="20"/>
    </w:rPr>
  </w:style>
  <w:style w:type="paragraph" w:styleId="24">
    <w:name w:val="HTML Preformatted"/>
    <w:basedOn w:val="1"/>
    <w:link w:val="5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5">
    <w:name w:val="Normal (Web)"/>
    <w:basedOn w:val="1"/>
    <w:qFormat/>
    <w:uiPriority w:val="99"/>
    <w:pPr>
      <w:widowControl/>
      <w:spacing w:before="100" w:beforeAutospacing="1" w:after="100" w:afterAutospacing="1"/>
      <w:jc w:val="left"/>
    </w:pPr>
    <w:rPr>
      <w:rFonts w:ascii="宋体" w:hAnsi="宋体" w:cs="Arial"/>
      <w:color w:val="0000FF"/>
      <w:kern w:val="0"/>
      <w:sz w:val="24"/>
    </w:rPr>
  </w:style>
  <w:style w:type="paragraph" w:styleId="26">
    <w:name w:val="index 1"/>
    <w:basedOn w:val="1"/>
    <w:next w:val="1"/>
    <w:semiHidden/>
    <w:unhideWhenUsed/>
    <w:qFormat/>
    <w:uiPriority w:val="0"/>
  </w:style>
  <w:style w:type="paragraph" w:styleId="27">
    <w:name w:val="Title"/>
    <w:basedOn w:val="1"/>
    <w:link w:val="61"/>
    <w:qFormat/>
    <w:uiPriority w:val="0"/>
    <w:pPr>
      <w:adjustRightInd w:val="0"/>
      <w:spacing w:before="600" w:after="360" w:line="0" w:lineRule="atLeast"/>
      <w:jc w:val="center"/>
      <w:textAlignment w:val="baseline"/>
    </w:pPr>
    <w:rPr>
      <w:rFonts w:ascii="Calibri" w:hAnsi="Calibri"/>
      <w:b/>
      <w:kern w:val="0"/>
      <w:sz w:val="28"/>
      <w:szCs w:val="20"/>
    </w:rPr>
  </w:style>
  <w:style w:type="paragraph" w:styleId="28">
    <w:name w:val="annotation subject"/>
    <w:basedOn w:val="9"/>
    <w:next w:val="9"/>
    <w:link w:val="62"/>
    <w:semiHidden/>
    <w:qFormat/>
    <w:uiPriority w:val="0"/>
    <w:rPr>
      <w:b/>
      <w:bCs/>
    </w:rPr>
  </w:style>
  <w:style w:type="paragraph" w:styleId="29">
    <w:name w:val="Body Text First Indent"/>
    <w:basedOn w:val="11"/>
    <w:link w:val="63"/>
    <w:qFormat/>
    <w:uiPriority w:val="0"/>
    <w:pPr>
      <w:autoSpaceDE w:val="0"/>
      <w:autoSpaceDN w:val="0"/>
      <w:adjustRightInd w:val="0"/>
      <w:ind w:firstLine="420"/>
      <w:jc w:val="left"/>
      <w:textAlignment w:val="baseline"/>
    </w:pPr>
    <w:rPr>
      <w:rFonts w:ascii="宋体"/>
      <w:kern w:val="0"/>
      <w:sz w:val="34"/>
      <w:szCs w:val="20"/>
    </w:r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Hyperlink"/>
    <w:qFormat/>
    <w:uiPriority w:val="99"/>
    <w:rPr>
      <w:color w:val="0000FF"/>
      <w:u w:val="single"/>
    </w:rPr>
  </w:style>
  <w:style w:type="character" w:styleId="36">
    <w:name w:val="annotation reference"/>
    <w:qFormat/>
    <w:uiPriority w:val="0"/>
    <w:rPr>
      <w:sz w:val="21"/>
      <w:szCs w:val="21"/>
    </w:rPr>
  </w:style>
  <w:style w:type="character" w:styleId="37">
    <w:name w:val="footnote reference"/>
    <w:semiHidden/>
    <w:qFormat/>
    <w:uiPriority w:val="0"/>
    <w:rPr>
      <w:vertAlign w:val="superscript"/>
    </w:rPr>
  </w:style>
  <w:style w:type="character" w:customStyle="1" w:styleId="38">
    <w:name w:val="标题 1 Char"/>
    <w:basedOn w:val="31"/>
    <w:link w:val="2"/>
    <w:qFormat/>
    <w:uiPriority w:val="0"/>
    <w:rPr>
      <w:rFonts w:ascii="Times New Roman" w:hAnsi="Times New Roman" w:eastAsia="宋体" w:cs="Times New Roman"/>
      <w:b/>
      <w:bCs/>
      <w:kern w:val="44"/>
      <w:sz w:val="44"/>
      <w:szCs w:val="44"/>
    </w:rPr>
  </w:style>
  <w:style w:type="character" w:customStyle="1" w:styleId="39">
    <w:name w:val="标题 2 Char"/>
    <w:basedOn w:val="31"/>
    <w:link w:val="3"/>
    <w:qFormat/>
    <w:uiPriority w:val="99"/>
    <w:rPr>
      <w:rFonts w:ascii="Arial" w:hAnsi="Arial" w:eastAsia="黑体" w:cs="Times New Roman"/>
      <w:b/>
      <w:sz w:val="32"/>
      <w:szCs w:val="20"/>
    </w:rPr>
  </w:style>
  <w:style w:type="character" w:customStyle="1" w:styleId="40">
    <w:name w:val="标题 3 Char"/>
    <w:basedOn w:val="31"/>
    <w:link w:val="4"/>
    <w:qFormat/>
    <w:uiPriority w:val="99"/>
    <w:rPr>
      <w:rFonts w:ascii="Times New Roman" w:hAnsi="Times New Roman" w:eastAsia="宋体" w:cs="Times New Roman"/>
      <w:b/>
      <w:bCs/>
      <w:sz w:val="32"/>
      <w:szCs w:val="32"/>
    </w:rPr>
  </w:style>
  <w:style w:type="character" w:customStyle="1" w:styleId="41">
    <w:name w:val="标题 4 Char"/>
    <w:basedOn w:val="31"/>
    <w:link w:val="5"/>
    <w:qFormat/>
    <w:uiPriority w:val="0"/>
    <w:rPr>
      <w:rFonts w:ascii="Arial" w:hAnsi="Arial" w:eastAsia="黑体" w:cs="Times New Roman"/>
      <w:b/>
      <w:bCs/>
      <w:sz w:val="28"/>
      <w:szCs w:val="28"/>
    </w:rPr>
  </w:style>
  <w:style w:type="character" w:customStyle="1" w:styleId="42">
    <w:name w:val="标题 5 Char"/>
    <w:basedOn w:val="31"/>
    <w:link w:val="6"/>
    <w:qFormat/>
    <w:uiPriority w:val="0"/>
    <w:rPr>
      <w:rFonts w:ascii="Times New Roman" w:hAnsi="Times New Roman" w:eastAsia="宋体" w:cs="Times New Roman"/>
      <w:b/>
      <w:bCs/>
      <w:sz w:val="28"/>
      <w:szCs w:val="28"/>
    </w:rPr>
  </w:style>
  <w:style w:type="character" w:customStyle="1" w:styleId="43">
    <w:name w:val="页眉 Char"/>
    <w:basedOn w:val="31"/>
    <w:link w:val="18"/>
    <w:qFormat/>
    <w:uiPriority w:val="0"/>
    <w:rPr>
      <w:sz w:val="18"/>
      <w:szCs w:val="18"/>
    </w:rPr>
  </w:style>
  <w:style w:type="character" w:customStyle="1" w:styleId="44">
    <w:name w:val="页脚 Char"/>
    <w:basedOn w:val="31"/>
    <w:link w:val="17"/>
    <w:qFormat/>
    <w:uiPriority w:val="99"/>
    <w:rPr>
      <w:sz w:val="18"/>
      <w:szCs w:val="18"/>
    </w:rPr>
  </w:style>
  <w:style w:type="character" w:customStyle="1" w:styleId="45">
    <w:name w:val="正文文本 Char"/>
    <w:basedOn w:val="31"/>
    <w:link w:val="11"/>
    <w:qFormat/>
    <w:uiPriority w:val="0"/>
    <w:rPr>
      <w:rFonts w:ascii="Times New Roman" w:hAnsi="Times New Roman" w:eastAsia="宋体" w:cs="Times New Roman"/>
      <w:szCs w:val="24"/>
    </w:rPr>
  </w:style>
  <w:style w:type="character" w:customStyle="1" w:styleId="46">
    <w:name w:val="正文文本 2 Char"/>
    <w:basedOn w:val="31"/>
    <w:link w:val="23"/>
    <w:qFormat/>
    <w:uiPriority w:val="99"/>
    <w:rPr>
      <w:rFonts w:ascii="仿宋_GB2312" w:hAnsi="Times New Roman" w:eastAsia="仿宋_GB2312" w:cs="Times New Roman"/>
      <w:b/>
      <w:sz w:val="28"/>
      <w:szCs w:val="20"/>
    </w:rPr>
  </w:style>
  <w:style w:type="character" w:customStyle="1" w:styleId="47">
    <w:name w:val="文档结构图 Char"/>
    <w:basedOn w:val="31"/>
    <w:link w:val="8"/>
    <w:semiHidden/>
    <w:qFormat/>
    <w:uiPriority w:val="0"/>
    <w:rPr>
      <w:rFonts w:ascii="Times New Roman" w:hAnsi="Times New Roman" w:eastAsia="宋体" w:cs="Times New Roman"/>
      <w:szCs w:val="24"/>
      <w:shd w:val="clear" w:color="auto" w:fill="000080"/>
    </w:rPr>
  </w:style>
  <w:style w:type="character" w:customStyle="1" w:styleId="48">
    <w:name w:val="批注文字 Char"/>
    <w:basedOn w:val="31"/>
    <w:link w:val="9"/>
    <w:qFormat/>
    <w:uiPriority w:val="99"/>
    <w:rPr>
      <w:rFonts w:ascii="Times New Roman" w:hAnsi="Times New Roman" w:eastAsia="宋体" w:cs="Times New Roman"/>
      <w:szCs w:val="24"/>
    </w:rPr>
  </w:style>
  <w:style w:type="character" w:customStyle="1" w:styleId="49">
    <w:name w:val="正文文本 3 Char1"/>
    <w:basedOn w:val="31"/>
    <w:qFormat/>
    <w:uiPriority w:val="0"/>
    <w:rPr>
      <w:rFonts w:ascii="Calibri" w:hAnsi="Calibri" w:eastAsia="宋体" w:cs="Times New Roman"/>
      <w:kern w:val="0"/>
      <w:sz w:val="16"/>
      <w:szCs w:val="16"/>
    </w:rPr>
  </w:style>
  <w:style w:type="character" w:customStyle="1" w:styleId="50">
    <w:name w:val="正文文本 3 Char"/>
    <w:basedOn w:val="31"/>
    <w:link w:val="10"/>
    <w:qFormat/>
    <w:uiPriority w:val="0"/>
    <w:rPr>
      <w:rFonts w:ascii="Times New Roman" w:hAnsi="Times New Roman" w:eastAsia="宋体" w:cs="Times New Roman"/>
      <w:sz w:val="16"/>
      <w:szCs w:val="16"/>
    </w:rPr>
  </w:style>
  <w:style w:type="character" w:customStyle="1" w:styleId="51">
    <w:name w:val="正文文本缩进 Char"/>
    <w:basedOn w:val="31"/>
    <w:link w:val="12"/>
    <w:qFormat/>
    <w:uiPriority w:val="0"/>
    <w:rPr>
      <w:rFonts w:ascii="Times New Roman" w:hAnsi="Times New Roman" w:eastAsia="宋体" w:cs="Times New Roman"/>
      <w:sz w:val="24"/>
      <w:szCs w:val="20"/>
    </w:rPr>
  </w:style>
  <w:style w:type="character" w:customStyle="1" w:styleId="52">
    <w:name w:val="纯文本 Char1"/>
    <w:basedOn w:val="31"/>
    <w:qFormat/>
    <w:uiPriority w:val="0"/>
    <w:rPr>
      <w:rFonts w:ascii="宋体" w:hAnsi="Courier New" w:eastAsia="宋体" w:cs="Times New Roman"/>
      <w:kern w:val="0"/>
      <w:sz w:val="20"/>
      <w:szCs w:val="20"/>
    </w:rPr>
  </w:style>
  <w:style w:type="character" w:customStyle="1" w:styleId="53">
    <w:name w:val="纯文本 Char"/>
    <w:basedOn w:val="31"/>
    <w:link w:val="13"/>
    <w:qFormat/>
    <w:uiPriority w:val="0"/>
    <w:rPr>
      <w:rFonts w:ascii="宋体" w:hAnsi="Courier New" w:eastAsia="宋体" w:cs="Courier New"/>
      <w:szCs w:val="21"/>
    </w:rPr>
  </w:style>
  <w:style w:type="character" w:customStyle="1" w:styleId="54">
    <w:name w:val="日期 Char"/>
    <w:basedOn w:val="31"/>
    <w:link w:val="14"/>
    <w:qFormat/>
    <w:uiPriority w:val="0"/>
    <w:rPr>
      <w:rFonts w:ascii="宋体" w:hAnsi="Times New Roman" w:eastAsia="宋体" w:cs="Times New Roman"/>
      <w:sz w:val="24"/>
      <w:szCs w:val="20"/>
    </w:rPr>
  </w:style>
  <w:style w:type="character" w:customStyle="1" w:styleId="55">
    <w:name w:val="正文文本缩进 2 Char"/>
    <w:basedOn w:val="31"/>
    <w:link w:val="15"/>
    <w:qFormat/>
    <w:uiPriority w:val="0"/>
    <w:rPr>
      <w:rFonts w:ascii="Times New Roman" w:hAnsi="Times New Roman" w:eastAsia="宋体" w:cs="Times New Roman"/>
      <w:szCs w:val="24"/>
    </w:rPr>
  </w:style>
  <w:style w:type="character" w:customStyle="1" w:styleId="56">
    <w:name w:val="批注框文本 Char"/>
    <w:basedOn w:val="31"/>
    <w:link w:val="16"/>
    <w:semiHidden/>
    <w:qFormat/>
    <w:uiPriority w:val="0"/>
    <w:rPr>
      <w:rFonts w:ascii="Times New Roman" w:hAnsi="Times New Roman" w:eastAsia="宋体" w:cs="Times New Roman"/>
      <w:sz w:val="18"/>
      <w:szCs w:val="18"/>
    </w:rPr>
  </w:style>
  <w:style w:type="character" w:customStyle="1" w:styleId="57">
    <w:name w:val="页脚 Char1"/>
    <w:basedOn w:val="31"/>
    <w:qFormat/>
    <w:uiPriority w:val="99"/>
    <w:rPr>
      <w:rFonts w:ascii="Calibri" w:hAnsi="Calibri"/>
      <w:sz w:val="18"/>
      <w:szCs w:val="18"/>
    </w:rPr>
  </w:style>
  <w:style w:type="character" w:customStyle="1" w:styleId="58">
    <w:name w:val="正文文本缩进 3 Char"/>
    <w:basedOn w:val="31"/>
    <w:link w:val="21"/>
    <w:qFormat/>
    <w:uiPriority w:val="0"/>
    <w:rPr>
      <w:rFonts w:ascii="Times New Roman" w:hAnsi="Times New Roman" w:eastAsia="宋体" w:cs="Times New Roman"/>
      <w:sz w:val="16"/>
      <w:szCs w:val="16"/>
    </w:rPr>
  </w:style>
  <w:style w:type="character" w:customStyle="1" w:styleId="59">
    <w:name w:val="HTML 预设格式 Char"/>
    <w:basedOn w:val="31"/>
    <w:link w:val="24"/>
    <w:qFormat/>
    <w:uiPriority w:val="99"/>
    <w:rPr>
      <w:rFonts w:ascii="宋体" w:hAnsi="宋体" w:eastAsia="宋体" w:cs="Times New Roman"/>
      <w:kern w:val="0"/>
      <w:sz w:val="24"/>
      <w:szCs w:val="24"/>
    </w:rPr>
  </w:style>
  <w:style w:type="character" w:customStyle="1" w:styleId="60">
    <w:name w:val="标题 Char1"/>
    <w:basedOn w:val="31"/>
    <w:qFormat/>
    <w:uiPriority w:val="0"/>
    <w:rPr>
      <w:rFonts w:ascii="Calibri" w:hAnsi="Calibri" w:eastAsia="宋体" w:cs="Times New Roman"/>
      <w:b/>
      <w:kern w:val="0"/>
      <w:sz w:val="28"/>
      <w:szCs w:val="20"/>
    </w:rPr>
  </w:style>
  <w:style w:type="character" w:customStyle="1" w:styleId="61">
    <w:name w:val="标题 Char"/>
    <w:basedOn w:val="31"/>
    <w:link w:val="27"/>
    <w:qFormat/>
    <w:uiPriority w:val="0"/>
    <w:rPr>
      <w:rFonts w:eastAsia="宋体" w:asciiTheme="majorHAnsi" w:hAnsiTheme="majorHAnsi" w:cstheme="majorBidi"/>
      <w:b/>
      <w:bCs/>
      <w:sz w:val="32"/>
      <w:szCs w:val="32"/>
    </w:rPr>
  </w:style>
  <w:style w:type="character" w:customStyle="1" w:styleId="62">
    <w:name w:val="批注主题 Char"/>
    <w:basedOn w:val="48"/>
    <w:link w:val="28"/>
    <w:semiHidden/>
    <w:qFormat/>
    <w:uiPriority w:val="0"/>
    <w:rPr>
      <w:rFonts w:ascii="Times New Roman" w:hAnsi="Times New Roman" w:eastAsia="宋体" w:cs="Times New Roman"/>
      <w:b/>
      <w:bCs/>
      <w:szCs w:val="24"/>
    </w:rPr>
  </w:style>
  <w:style w:type="character" w:customStyle="1" w:styleId="63">
    <w:name w:val="正文首行缩进 Char"/>
    <w:basedOn w:val="45"/>
    <w:link w:val="29"/>
    <w:qFormat/>
    <w:uiPriority w:val="0"/>
    <w:rPr>
      <w:rFonts w:ascii="宋体" w:hAnsi="Times New Roman" w:eastAsia="宋体" w:cs="Times New Roman"/>
      <w:kern w:val="0"/>
      <w:sz w:val="34"/>
      <w:szCs w:val="20"/>
    </w:rPr>
  </w:style>
  <w:style w:type="character" w:customStyle="1" w:styleId="64">
    <w:name w:val="Body text|2 + 10 pt"/>
    <w:basedOn w:val="65"/>
    <w:unhideWhenUsed/>
    <w:qFormat/>
    <w:uiPriority w:val="0"/>
    <w:rPr>
      <w:rFonts w:ascii="PMingLiU" w:hAnsi="PMingLiU" w:eastAsia="PMingLiU" w:cs="PMingLiU"/>
      <w:color w:val="000000"/>
      <w:spacing w:val="0"/>
      <w:w w:val="100"/>
      <w:position w:val="0"/>
      <w:sz w:val="20"/>
      <w:szCs w:val="20"/>
      <w:u w:val="none"/>
      <w:shd w:val="clear" w:color="auto" w:fill="FFFFFF"/>
      <w:lang w:val="zh-CN" w:eastAsia="zh-CN" w:bidi="zh-CN"/>
    </w:rPr>
  </w:style>
  <w:style w:type="character" w:customStyle="1" w:styleId="65">
    <w:name w:val="Body text|2_"/>
    <w:basedOn w:val="31"/>
    <w:link w:val="66"/>
    <w:qFormat/>
    <w:locked/>
    <w:uiPriority w:val="99"/>
    <w:rPr>
      <w:rFonts w:ascii="PMingLiU" w:hAnsi="PMingLiU" w:eastAsia="PMingLiU" w:cs="PMingLiU"/>
      <w:sz w:val="22"/>
      <w:shd w:val="clear" w:color="auto" w:fill="FFFFFF"/>
    </w:rPr>
  </w:style>
  <w:style w:type="paragraph" w:customStyle="1" w:styleId="66">
    <w:name w:val="Body text|22"/>
    <w:basedOn w:val="1"/>
    <w:link w:val="65"/>
    <w:qFormat/>
    <w:uiPriority w:val="99"/>
    <w:pPr>
      <w:shd w:val="clear" w:color="auto" w:fill="FFFFFF"/>
      <w:spacing w:before="180" w:after="300" w:line="220" w:lineRule="exact"/>
      <w:ind w:hanging="520"/>
      <w:jc w:val="center"/>
    </w:pPr>
    <w:rPr>
      <w:rFonts w:ascii="PMingLiU" w:hAnsi="PMingLiU" w:eastAsia="PMingLiU" w:cs="PMingLiU"/>
      <w:sz w:val="22"/>
      <w:szCs w:val="22"/>
    </w:rPr>
  </w:style>
  <w:style w:type="character" w:customStyle="1" w:styleId="67">
    <w:name w:val="批注文字 Char1"/>
    <w:qFormat/>
    <w:locked/>
    <w:uiPriority w:val="99"/>
    <w:rPr>
      <w:rFonts w:ascii="Times New Roman" w:hAnsi="Times New Roman" w:eastAsia="宋体" w:cs="Times New Roman"/>
      <w:sz w:val="24"/>
      <w:szCs w:val="24"/>
    </w:rPr>
  </w:style>
  <w:style w:type="character" w:customStyle="1" w:styleId="68">
    <w:name w:val="tpc_content1"/>
    <w:qFormat/>
    <w:uiPriority w:val="0"/>
    <w:rPr>
      <w:sz w:val="20"/>
      <w:szCs w:val="20"/>
    </w:rPr>
  </w:style>
  <w:style w:type="paragraph" w:customStyle="1" w:styleId="69">
    <w:name w:val="aa"/>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Char"/>
    <w:basedOn w:val="1"/>
    <w:qFormat/>
    <w:uiPriority w:val="0"/>
    <w:pPr>
      <w:widowControl/>
      <w:spacing w:after="160" w:line="240" w:lineRule="exact"/>
      <w:jc w:val="left"/>
    </w:pPr>
    <w:rPr>
      <w:szCs w:val="20"/>
    </w:rPr>
  </w:style>
  <w:style w:type="paragraph" w:customStyle="1" w:styleId="71">
    <w:name w:val="Char1"/>
    <w:basedOn w:val="1"/>
    <w:qFormat/>
    <w:uiPriority w:val="0"/>
    <w:rPr>
      <w:sz w:val="24"/>
    </w:rPr>
  </w:style>
  <w:style w:type="paragraph" w:customStyle="1" w:styleId="72">
    <w:name w:val="Table Paragraph"/>
    <w:basedOn w:val="1"/>
    <w:qFormat/>
    <w:uiPriority w:val="1"/>
  </w:style>
  <w:style w:type="paragraph" w:customStyle="1" w:styleId="7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Char Char Char Char Char Char1 Char Char Char Char"/>
    <w:basedOn w:val="1"/>
    <w:qFormat/>
    <w:uiPriority w:val="0"/>
    <w:rPr>
      <w:rFonts w:ascii="仿宋_GB2312" w:eastAsia="仿宋_GB2312"/>
      <w:b/>
      <w:sz w:val="32"/>
      <w:szCs w:val="32"/>
    </w:rPr>
  </w:style>
  <w:style w:type="paragraph" w:customStyle="1" w:styleId="75">
    <w:name w:val="表格文字"/>
    <w:basedOn w:val="1"/>
    <w:qFormat/>
    <w:uiPriority w:val="0"/>
    <w:pPr>
      <w:adjustRightInd w:val="0"/>
      <w:spacing w:line="420" w:lineRule="atLeast"/>
      <w:jc w:val="left"/>
      <w:textAlignment w:val="baseline"/>
    </w:pPr>
    <w:rPr>
      <w:kern w:val="0"/>
      <w:szCs w:val="20"/>
    </w:rPr>
  </w:style>
  <w:style w:type="paragraph" w:customStyle="1" w:styleId="76">
    <w:name w:val="p17"/>
    <w:basedOn w:val="1"/>
    <w:qFormat/>
    <w:uiPriority w:val="99"/>
    <w:pPr>
      <w:widowControl/>
      <w:snapToGrid w:val="0"/>
      <w:jc w:val="left"/>
    </w:pPr>
    <w:rPr>
      <w:rFonts w:ascii="宋体" w:hAnsi="宋体" w:cs="宋体"/>
      <w:color w:val="000000"/>
      <w:kern w:val="0"/>
      <w:sz w:val="24"/>
    </w:rPr>
  </w:style>
  <w:style w:type="paragraph" w:customStyle="1" w:styleId="77">
    <w:name w:val="一、"/>
    <w:next w:val="29"/>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78">
    <w:name w:val="Char Char Char Char Char Char Char Char Char Char Char Char Char"/>
    <w:basedOn w:val="1"/>
    <w:qFormat/>
    <w:uiPriority w:val="0"/>
    <w:rPr>
      <w:rFonts w:ascii="仿宋_GB2312" w:eastAsia="仿宋_GB2312"/>
      <w:b/>
      <w:sz w:val="32"/>
      <w:szCs w:val="32"/>
    </w:rPr>
  </w:style>
  <w:style w:type="paragraph" w:customStyle="1" w:styleId="79">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80">
    <w:name w:val="1."/>
    <w:basedOn w:val="1"/>
    <w:qFormat/>
    <w:uiPriority w:val="0"/>
    <w:pPr>
      <w:tabs>
        <w:tab w:val="left" w:pos="425"/>
      </w:tabs>
      <w:spacing w:line="360" w:lineRule="auto"/>
      <w:ind w:firstLine="482"/>
    </w:pPr>
    <w:rPr>
      <w:sz w:val="28"/>
      <w:szCs w:val="20"/>
    </w:rPr>
  </w:style>
  <w:style w:type="paragraph" w:customStyle="1" w:styleId="81">
    <w:name w:val="Char Char Char Char"/>
    <w:basedOn w:val="1"/>
    <w:qFormat/>
    <w:uiPriority w:val="0"/>
    <w:pPr>
      <w:widowControl/>
      <w:spacing w:after="160" w:line="240" w:lineRule="exact"/>
      <w:jc w:val="left"/>
    </w:pPr>
    <w:rPr>
      <w:szCs w:val="20"/>
    </w:rPr>
  </w:style>
  <w:style w:type="paragraph" w:customStyle="1" w:styleId="82">
    <w:name w:val="表中"/>
    <w:basedOn w:val="1"/>
    <w:qFormat/>
    <w:uiPriority w:val="0"/>
    <w:pPr>
      <w:adjustRightInd w:val="0"/>
      <w:spacing w:line="360" w:lineRule="atLeast"/>
      <w:jc w:val="center"/>
      <w:textAlignment w:val="baseline"/>
    </w:pPr>
    <w:rPr>
      <w:kern w:val="0"/>
      <w:szCs w:val="20"/>
    </w:rPr>
  </w:style>
  <w:style w:type="paragraph" w:customStyle="1" w:styleId="83">
    <w:name w:val="目录1"/>
    <w:basedOn w:val="1"/>
    <w:qFormat/>
    <w:uiPriority w:val="0"/>
    <w:pPr>
      <w:adjustRightInd w:val="0"/>
      <w:spacing w:line="420" w:lineRule="atLeast"/>
      <w:textAlignment w:val="baseline"/>
    </w:pPr>
    <w:rPr>
      <w:rFonts w:eastAsia="黑体"/>
      <w:b/>
      <w:kern w:val="0"/>
      <w:szCs w:val="20"/>
    </w:rPr>
  </w:style>
  <w:style w:type="paragraph" w:customStyle="1" w:styleId="8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styleId="8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114</Pages>
  <Words>10411</Words>
  <Characters>59345</Characters>
  <Lines>494</Lines>
  <Paragraphs>139</Paragraphs>
  <TotalTime>0</TotalTime>
  <ScaleCrop>false</ScaleCrop>
  <LinksUpToDate>false</LinksUpToDate>
  <CharactersWithSpaces>69617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2023-07-28T01:51:00Z</dcterms:created>
  <dc:creator>dell</dc:creator>
  <cp:lastModifiedBy>s H a n．.·</cp:lastModifiedBy>
  <cp:lastPrinted>2022-05-07T08:06:00Z</cp:lastPrinted>
  <dcterms:modified xsi:type="dcterms:W3CDTF">2023-07-31T08:02:09Z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906E3AE78AAF4D56B28031977F9D2B51</vt:lpwstr>
  </property>
</Properties>
</file>