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天津市滨海新区交通运输局关于过期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《道路运输经营许可证》及所属车辆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《道路运输证》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的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Hans"/>
        </w:rPr>
        <w:t>注</w:t>
      </w:r>
      <w:r>
        <w:rPr>
          <w:rFonts w:hint="default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Hans"/>
        </w:rPr>
        <w:t>销</w:t>
      </w:r>
      <w:r>
        <w:rPr>
          <w:rFonts w:hint="default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公</w:t>
      </w:r>
      <w:r>
        <w:rPr>
          <w:rFonts w:hint="default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为进一步加强道路运输行业管理，确保道路运输市场规范有序，根据《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中华人民共和国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行政许可法》《道路货物运输及站场管理规定》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相关法律法规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之规定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我局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现对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辖区内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道路运输经营业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主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及其运输车辆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项下的过期经营许可证书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进行集中清理。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经核查，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辖区内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部分货运企业存在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经营许可证过期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问题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该情形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已违反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《中华人民共和国行政许可法》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第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十条、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第七十条之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规定</w:t>
      </w:r>
      <w:r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就此</w:t>
      </w:r>
      <w:r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eastAsia="zh-Hans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本局现决定自本公告发布之日起</w:t>
      </w:r>
      <w:r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eastAsia="zh-Hans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依法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对上述企业的《道路运输经营许可证》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及所属车辆配发的《道路运输证》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予以注销。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自本公告发布之日起10日内，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所有存在前述情形的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单位</w:t>
      </w:r>
      <w:r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须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将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所持已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被注销的《道路运输经营许可证》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及所属车辆配发的《道路运输证》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交回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本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发证机关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。逾期不交回的，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须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自行承担相关法律责任。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特此公告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附件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注销道路运输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经营许可证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760" w:firstLineChars="17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Hans"/>
        </w:rPr>
        <w:t>天津市滨海新区交通运输局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Hans"/>
        </w:rPr>
        <w:t>二〇二三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年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Hans"/>
        </w:rPr>
        <w:t>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月九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041" w:right="1559" w:bottom="1701" w:left="1759" w:header="567" w:footer="567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HAKUYOCaoShu35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+cMhI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s7RDx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rWI/XVAAAABAEAAA8AAAAAAAAAAQAgAAAA&#10;IgAAAGRycy9kb3ducmV2LnhtbFBLAQIUABQAAAAIAIdO4kBJGDsS1QEAAKMDAAAOAAAAAAAAAAEA&#10;IAAAACQBAABkcnMvZTJvRG9jLnhtbFBLBQYAAAAABgAGAFkBAABr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tYj9dUAAAAEAQAADwAAAAAAAAABACAAAAAi&#10;AAAAZHJzL2Rvd25yZXYueG1sUEsBAhQAFAAAAAgAh07iQBMM5szUAQAAowMAAA4AAAAAAAAAAQAg&#10;AAAAJAEAAGRycy9lMm9Eb2MueG1sUEsFBgAAAAAGAAYAWQEAAGo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ZGRlN2JkMjk5MmYyYjllODdlN2RjMTJhMzVhYTEifQ=="/>
  </w:docVars>
  <w:rsids>
    <w:rsidRoot w:val="00172A27"/>
    <w:rsid w:val="00041CA0"/>
    <w:rsid w:val="00076F27"/>
    <w:rsid w:val="00093B2D"/>
    <w:rsid w:val="00097903"/>
    <w:rsid w:val="000C4D84"/>
    <w:rsid w:val="000F71B5"/>
    <w:rsid w:val="00157674"/>
    <w:rsid w:val="0018678D"/>
    <w:rsid w:val="001971D3"/>
    <w:rsid w:val="001A7904"/>
    <w:rsid w:val="001E5953"/>
    <w:rsid w:val="00205E83"/>
    <w:rsid w:val="00225C5C"/>
    <w:rsid w:val="00251474"/>
    <w:rsid w:val="00263612"/>
    <w:rsid w:val="002F664D"/>
    <w:rsid w:val="0039702D"/>
    <w:rsid w:val="003F6BB6"/>
    <w:rsid w:val="00470B1A"/>
    <w:rsid w:val="0049435B"/>
    <w:rsid w:val="004C31D7"/>
    <w:rsid w:val="004D39F0"/>
    <w:rsid w:val="004F6AA0"/>
    <w:rsid w:val="005214DB"/>
    <w:rsid w:val="005B2B0D"/>
    <w:rsid w:val="00604F23"/>
    <w:rsid w:val="00621010"/>
    <w:rsid w:val="00621393"/>
    <w:rsid w:val="00622491"/>
    <w:rsid w:val="0062544D"/>
    <w:rsid w:val="00635FB1"/>
    <w:rsid w:val="00640CD4"/>
    <w:rsid w:val="00695FB2"/>
    <w:rsid w:val="006C5E0C"/>
    <w:rsid w:val="0073531D"/>
    <w:rsid w:val="00775501"/>
    <w:rsid w:val="007A4CA5"/>
    <w:rsid w:val="007E5782"/>
    <w:rsid w:val="008310C5"/>
    <w:rsid w:val="00854936"/>
    <w:rsid w:val="008D0D9C"/>
    <w:rsid w:val="008D3904"/>
    <w:rsid w:val="00926322"/>
    <w:rsid w:val="00937D31"/>
    <w:rsid w:val="00940438"/>
    <w:rsid w:val="009B09AC"/>
    <w:rsid w:val="009B498C"/>
    <w:rsid w:val="009D6D61"/>
    <w:rsid w:val="00A10C9B"/>
    <w:rsid w:val="00A53D41"/>
    <w:rsid w:val="00A65005"/>
    <w:rsid w:val="00A9262C"/>
    <w:rsid w:val="00AC57A4"/>
    <w:rsid w:val="00AC657F"/>
    <w:rsid w:val="00AD0ACC"/>
    <w:rsid w:val="00AE15AA"/>
    <w:rsid w:val="00B00420"/>
    <w:rsid w:val="00B31851"/>
    <w:rsid w:val="00B35416"/>
    <w:rsid w:val="00B46A07"/>
    <w:rsid w:val="00BD0616"/>
    <w:rsid w:val="00BD41D3"/>
    <w:rsid w:val="00BD461E"/>
    <w:rsid w:val="00BD6192"/>
    <w:rsid w:val="00BF5043"/>
    <w:rsid w:val="00C66FF3"/>
    <w:rsid w:val="00C821F9"/>
    <w:rsid w:val="00C90580"/>
    <w:rsid w:val="00D02CC3"/>
    <w:rsid w:val="00D75A00"/>
    <w:rsid w:val="00DA6730"/>
    <w:rsid w:val="00DA7AF8"/>
    <w:rsid w:val="00DC002B"/>
    <w:rsid w:val="00DE518C"/>
    <w:rsid w:val="00DF14FA"/>
    <w:rsid w:val="00E53402"/>
    <w:rsid w:val="00E558E4"/>
    <w:rsid w:val="00E562BD"/>
    <w:rsid w:val="00EA07C1"/>
    <w:rsid w:val="00F351F9"/>
    <w:rsid w:val="00F619C5"/>
    <w:rsid w:val="00F9022C"/>
    <w:rsid w:val="00FB35CE"/>
    <w:rsid w:val="00FC3ED1"/>
    <w:rsid w:val="00FD7E42"/>
    <w:rsid w:val="01D955A3"/>
    <w:rsid w:val="0343198D"/>
    <w:rsid w:val="039A3DE5"/>
    <w:rsid w:val="0879438F"/>
    <w:rsid w:val="09A14010"/>
    <w:rsid w:val="0C742FAF"/>
    <w:rsid w:val="10F54102"/>
    <w:rsid w:val="11C32F0B"/>
    <w:rsid w:val="152921F3"/>
    <w:rsid w:val="158022CB"/>
    <w:rsid w:val="15F17845"/>
    <w:rsid w:val="18D40C29"/>
    <w:rsid w:val="199873BE"/>
    <w:rsid w:val="1CAB5593"/>
    <w:rsid w:val="268F294B"/>
    <w:rsid w:val="295554E3"/>
    <w:rsid w:val="2B9B5161"/>
    <w:rsid w:val="31A75065"/>
    <w:rsid w:val="323D1DD1"/>
    <w:rsid w:val="33954AEA"/>
    <w:rsid w:val="36862DB9"/>
    <w:rsid w:val="38F51E9E"/>
    <w:rsid w:val="3C0F6B68"/>
    <w:rsid w:val="3E214E21"/>
    <w:rsid w:val="3F5B6C97"/>
    <w:rsid w:val="41CC4B69"/>
    <w:rsid w:val="42EC05FA"/>
    <w:rsid w:val="43332D44"/>
    <w:rsid w:val="44AA6BF0"/>
    <w:rsid w:val="44B25FC2"/>
    <w:rsid w:val="4A4307D3"/>
    <w:rsid w:val="4CC65C14"/>
    <w:rsid w:val="4CF772E5"/>
    <w:rsid w:val="4DE34CAD"/>
    <w:rsid w:val="4F05308C"/>
    <w:rsid w:val="4F3048DC"/>
    <w:rsid w:val="520A2166"/>
    <w:rsid w:val="52A178DD"/>
    <w:rsid w:val="570404A9"/>
    <w:rsid w:val="5C4143CE"/>
    <w:rsid w:val="5C7B54B6"/>
    <w:rsid w:val="676E481E"/>
    <w:rsid w:val="6A787E38"/>
    <w:rsid w:val="6B0E148D"/>
    <w:rsid w:val="6F3A7E85"/>
    <w:rsid w:val="713E1F98"/>
    <w:rsid w:val="77F774CB"/>
    <w:rsid w:val="7DA03AEE"/>
    <w:rsid w:val="7E7C5E0C"/>
    <w:rsid w:val="7ECD7777"/>
    <w:rsid w:val="7F1C1F84"/>
    <w:rsid w:val="CFDBE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</w:pPr>
    <w:rPr>
      <w:rFonts w:eastAsia="穝灿砰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5" w:lineRule="auto"/>
    </w:p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9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0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3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customStyle="1" w:styleId="13">
    <w:name w:val="文章附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0"/>
    <w:rPr>
      <w:color w:val="0000FF"/>
      <w:u w:val="single"/>
    </w:rPr>
  </w:style>
  <w:style w:type="paragraph" w:customStyle="1" w:styleId="18">
    <w:name w:val="目录标题"/>
    <w:basedOn w:val="1"/>
    <w:next w:val="1"/>
    <w:qFormat/>
    <w:uiPriority w:val="0"/>
    <w:pPr>
      <w:spacing w:before="209" w:beforeLines="0" w:after="209" w:afterLines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页眉 Char"/>
    <w:basedOn w:val="16"/>
    <w:link w:val="7"/>
    <w:qFormat/>
    <w:uiPriority w:val="99"/>
    <w:rPr>
      <w:sz w:val="18"/>
      <w:szCs w:val="18"/>
    </w:rPr>
  </w:style>
  <w:style w:type="character" w:customStyle="1" w:styleId="21">
    <w:name w:val="超级链接"/>
    <w:basedOn w:val="16"/>
    <w:qFormat/>
    <w:uiPriority w:val="0"/>
    <w:rPr>
      <w:color w:val="0000FF"/>
      <w:u w:val="single" w:color="0000FF"/>
    </w:rPr>
  </w:style>
  <w:style w:type="character" w:customStyle="1" w:styleId="22">
    <w:name w:val="页脚 Char"/>
    <w:basedOn w:val="16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295</Characters>
  <Lines>1</Lines>
  <Paragraphs>1</Paragraphs>
  <TotalTime>1</TotalTime>
  <ScaleCrop>false</ScaleCrop>
  <LinksUpToDate>false</LinksUpToDate>
  <CharactersWithSpaces>300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2010-11-22T23:08:00Z</dcterms:created>
  <dc:creator>fireblade</dc:creator>
  <cp:lastModifiedBy>徐继恺</cp:lastModifiedBy>
  <cp:lastPrinted>2020-04-22T14:27:00Z</cp:lastPrinted>
  <dcterms:modified xsi:type="dcterms:W3CDTF">2023-10-09T01:11:19Z</dcterms:modified>
  <dc:title>    天津市滨海新区建设和交通局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5244DCBF6A2947419B0419619A8FA5E2_13</vt:lpwstr>
  </property>
</Properties>
</file>