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40"/>
          <w:szCs w:val="40"/>
        </w:rPr>
      </w:pPr>
    </w:p>
    <w:p>
      <w:pPr>
        <w:jc w:val="center"/>
        <w:rPr>
          <w:rFonts w:ascii="宋体"/>
          <w:b/>
          <w:bCs/>
          <w:sz w:val="40"/>
          <w:szCs w:val="40"/>
        </w:rPr>
      </w:pPr>
    </w:p>
    <w:p>
      <w:pPr>
        <w:snapToGrid w:val="0"/>
        <w:spacing w:line="360" w:lineRule="auto"/>
        <w:ind w:left="29" w:leftChars="14"/>
        <w:jc w:val="center"/>
        <w:rPr>
          <w:rFonts w:ascii="宋体" w:hAnsi="宋体" w:cs="宋体"/>
          <w:b/>
          <w:sz w:val="44"/>
          <w:szCs w:val="44"/>
          <w:u w:val="single"/>
        </w:rPr>
      </w:pPr>
      <w:r>
        <w:rPr>
          <w:rFonts w:hint="eastAsia" w:ascii="宋体" w:hAnsi="宋体" w:cs="宋体"/>
          <w:b/>
          <w:sz w:val="44"/>
          <w:szCs w:val="44"/>
          <w:u w:val="single"/>
        </w:rPr>
        <w:t>新建天津至潍坊高速铁路滨海段“三电”及</w:t>
      </w:r>
    </w:p>
    <w:p>
      <w:pPr>
        <w:snapToGrid w:val="0"/>
        <w:spacing w:line="360" w:lineRule="auto"/>
        <w:ind w:left="29" w:leftChars="14"/>
        <w:jc w:val="center"/>
        <w:rPr>
          <w:rFonts w:ascii="宋体" w:hAnsi="宋体" w:cs="宋体"/>
          <w:b/>
          <w:sz w:val="44"/>
          <w:szCs w:val="44"/>
          <w:u w:val="single"/>
        </w:rPr>
      </w:pPr>
      <w:r>
        <w:rPr>
          <w:rFonts w:hint="eastAsia" w:ascii="宋体" w:hAnsi="宋体" w:cs="宋体"/>
          <w:b/>
          <w:sz w:val="44"/>
          <w:szCs w:val="44"/>
          <w:u w:val="single"/>
        </w:rPr>
        <w:t>地下管线迁改工程设计施工总承包(EPC)</w:t>
      </w:r>
    </w:p>
    <w:p>
      <w:pPr>
        <w:jc w:val="center"/>
        <w:rPr>
          <w:rFonts w:ascii="宋体"/>
          <w:b/>
          <w:bCs/>
          <w:sz w:val="32"/>
          <w:szCs w:val="32"/>
        </w:rPr>
      </w:pPr>
    </w:p>
    <w:p>
      <w:pPr>
        <w:jc w:val="center"/>
        <w:rPr>
          <w:rFonts w:ascii="宋体"/>
          <w:b/>
          <w:bCs/>
          <w:sz w:val="32"/>
          <w:szCs w:val="32"/>
        </w:rPr>
      </w:pPr>
    </w:p>
    <w:p>
      <w:pPr>
        <w:pStyle w:val="2"/>
        <w:rPr>
          <w:rFonts w:ascii="宋体"/>
          <w:b/>
          <w:bCs/>
          <w:sz w:val="32"/>
          <w:szCs w:val="32"/>
        </w:rPr>
      </w:pPr>
    </w:p>
    <w:p/>
    <w:p>
      <w:pPr>
        <w:jc w:val="center"/>
        <w:rPr>
          <w:rFonts w:ascii="宋体"/>
          <w:b/>
          <w:bCs/>
          <w:sz w:val="72"/>
          <w:szCs w:val="72"/>
        </w:rPr>
      </w:pPr>
      <w:r>
        <w:rPr>
          <w:rFonts w:hint="eastAsia" w:ascii="宋体" w:hAnsi="宋体" w:cs="宋体"/>
          <w:b/>
          <w:bCs/>
          <w:sz w:val="72"/>
          <w:szCs w:val="72"/>
        </w:rPr>
        <w:t>招</w:t>
      </w:r>
      <w:r>
        <w:rPr>
          <w:rFonts w:ascii="宋体" w:hAnsi="宋体" w:cs="宋体"/>
          <w:b/>
          <w:bCs/>
          <w:sz w:val="72"/>
          <w:szCs w:val="72"/>
        </w:rPr>
        <w:t xml:space="preserve"> </w:t>
      </w:r>
      <w:r>
        <w:rPr>
          <w:rFonts w:hint="eastAsia" w:ascii="宋体" w:hAnsi="宋体" w:cs="宋体"/>
          <w:b/>
          <w:bCs/>
          <w:sz w:val="72"/>
          <w:szCs w:val="72"/>
        </w:rPr>
        <w:t>标</w:t>
      </w:r>
      <w:r>
        <w:rPr>
          <w:rFonts w:ascii="宋体" w:hAnsi="宋体" w:cs="宋体"/>
          <w:b/>
          <w:bCs/>
          <w:sz w:val="72"/>
          <w:szCs w:val="72"/>
        </w:rPr>
        <w:t xml:space="preserve"> </w:t>
      </w:r>
      <w:r>
        <w:rPr>
          <w:rFonts w:hint="eastAsia" w:ascii="宋体" w:hAnsi="宋体" w:cs="宋体"/>
          <w:b/>
          <w:bCs/>
          <w:sz w:val="72"/>
          <w:szCs w:val="72"/>
        </w:rPr>
        <w:t>文</w:t>
      </w:r>
      <w:r>
        <w:rPr>
          <w:rFonts w:ascii="宋体" w:hAnsi="宋体" w:cs="宋体"/>
          <w:b/>
          <w:bCs/>
          <w:sz w:val="72"/>
          <w:szCs w:val="72"/>
        </w:rPr>
        <w:t xml:space="preserve"> </w:t>
      </w:r>
      <w:r>
        <w:rPr>
          <w:rFonts w:hint="eastAsia" w:ascii="宋体" w:hAnsi="宋体" w:cs="宋体"/>
          <w:b/>
          <w:bCs/>
          <w:sz w:val="72"/>
          <w:szCs w:val="72"/>
        </w:rPr>
        <w:t>件</w:t>
      </w:r>
    </w:p>
    <w:p>
      <w:pPr>
        <w:spacing w:before="120" w:beforeLines="50"/>
        <w:jc w:val="center"/>
        <w:rPr>
          <w:rFonts w:ascii="宋体"/>
          <w:b/>
          <w:bCs/>
          <w:sz w:val="28"/>
          <w:szCs w:val="28"/>
        </w:rPr>
      </w:pPr>
      <w:r>
        <w:rPr>
          <w:rFonts w:hint="eastAsia" w:ascii="宋体" w:hAnsi="宋体" w:cs="宋体"/>
          <w:b/>
          <w:bCs/>
          <w:sz w:val="28"/>
          <w:szCs w:val="28"/>
        </w:rPr>
        <w:t>招标编号：（</w:t>
      </w:r>
      <w:r>
        <w:rPr>
          <w:rFonts w:hint="eastAsia" w:ascii="宋体" w:hAnsi="宋体" w:cs="宋体"/>
          <w:b/>
          <w:bCs/>
          <w:sz w:val="28"/>
          <w:szCs w:val="28"/>
          <w:lang w:eastAsia="zh-CN"/>
        </w:rPr>
        <w:t>ctzx-2023-003</w:t>
      </w:r>
      <w:r>
        <w:rPr>
          <w:rFonts w:hint="eastAsia" w:ascii="宋体" w:hAnsi="宋体" w:cs="宋体"/>
          <w:b/>
          <w:bCs/>
          <w:sz w:val="28"/>
          <w:szCs w:val="28"/>
        </w:rPr>
        <w:t>）</w:t>
      </w:r>
    </w:p>
    <w:p>
      <w:pPr>
        <w:jc w:val="center"/>
        <w:rPr>
          <w:rFonts w:ascii="宋体"/>
          <w:b/>
          <w:bCs/>
          <w:sz w:val="72"/>
          <w:szCs w:val="72"/>
        </w:rPr>
      </w:pPr>
    </w:p>
    <w:p>
      <w:pPr>
        <w:jc w:val="center"/>
        <w:rPr>
          <w:rFonts w:ascii="宋体"/>
          <w:b/>
          <w:bCs/>
          <w:sz w:val="28"/>
          <w:szCs w:val="28"/>
        </w:rPr>
      </w:pPr>
    </w:p>
    <w:p>
      <w:pPr>
        <w:jc w:val="center"/>
        <w:rPr>
          <w:rFonts w:ascii="宋体"/>
          <w:b/>
          <w:bCs/>
          <w:sz w:val="28"/>
          <w:szCs w:val="28"/>
        </w:rPr>
      </w:pPr>
    </w:p>
    <w:p>
      <w:pPr>
        <w:jc w:val="center"/>
        <w:rPr>
          <w:rFonts w:ascii="宋体"/>
          <w:b/>
          <w:bCs/>
          <w:sz w:val="28"/>
          <w:szCs w:val="28"/>
        </w:rPr>
      </w:pPr>
    </w:p>
    <w:p>
      <w:pPr>
        <w:pStyle w:val="2"/>
        <w:rPr>
          <w:rFonts w:ascii="宋体"/>
          <w:b/>
          <w:bCs/>
          <w:sz w:val="28"/>
          <w:szCs w:val="28"/>
        </w:rPr>
      </w:pPr>
    </w:p>
    <w:p/>
    <w:p>
      <w:pPr>
        <w:jc w:val="center"/>
        <w:rPr>
          <w:rFonts w:ascii="宋体"/>
          <w:b/>
          <w:bCs/>
          <w:sz w:val="28"/>
          <w:szCs w:val="28"/>
        </w:rPr>
      </w:pPr>
    </w:p>
    <w:p>
      <w:pPr>
        <w:widowControl/>
        <w:jc w:val="left"/>
        <w:rPr>
          <w:rFonts w:ascii="宋体"/>
        </w:rPr>
      </w:pPr>
    </w:p>
    <w:p>
      <w:pPr>
        <w:widowControl/>
        <w:jc w:val="left"/>
        <w:rPr>
          <w:rFonts w:ascii="宋体"/>
        </w:rPr>
      </w:pPr>
    </w:p>
    <w:p>
      <w:pPr>
        <w:widowControl/>
        <w:jc w:val="left"/>
        <w:rPr>
          <w:rFonts w:ascii="宋体"/>
        </w:rPr>
      </w:pPr>
    </w:p>
    <w:p>
      <w:pPr>
        <w:widowControl/>
        <w:jc w:val="left"/>
        <w:rPr>
          <w:rFonts w:ascii="宋体"/>
          <w:sz w:val="20"/>
          <w:szCs w:val="20"/>
        </w:rPr>
      </w:pPr>
    </w:p>
    <w:p>
      <w:pPr>
        <w:jc w:val="center"/>
        <w:rPr>
          <w:rFonts w:ascii="宋体"/>
          <w:b/>
          <w:bCs/>
          <w:sz w:val="28"/>
          <w:szCs w:val="28"/>
        </w:rPr>
      </w:pPr>
    </w:p>
    <w:p>
      <w:pPr>
        <w:rPr>
          <w:rFonts w:ascii="宋体"/>
          <w:sz w:val="32"/>
          <w:szCs w:val="32"/>
        </w:rPr>
      </w:pPr>
      <w:r>
        <w:rPr>
          <w:rFonts w:hint="eastAsia" w:ascii="宋体" w:hAnsi="宋体" w:cs="宋体"/>
          <w:sz w:val="32"/>
          <w:szCs w:val="32"/>
        </w:rPr>
        <w:t>招</w:t>
      </w:r>
      <w:r>
        <w:rPr>
          <w:rFonts w:ascii="宋体" w:hAnsi="宋体" w:cs="宋体"/>
          <w:sz w:val="32"/>
          <w:szCs w:val="32"/>
        </w:rPr>
        <w:t xml:space="preserve"> </w:t>
      </w:r>
      <w:r>
        <w:rPr>
          <w:rFonts w:hint="eastAsia" w:ascii="宋体" w:hAnsi="宋体" w:cs="宋体"/>
          <w:sz w:val="32"/>
          <w:szCs w:val="32"/>
        </w:rPr>
        <w:t>标</w:t>
      </w:r>
      <w:r>
        <w:rPr>
          <w:rFonts w:ascii="宋体" w:hAnsi="宋体" w:cs="宋体"/>
          <w:sz w:val="32"/>
          <w:szCs w:val="32"/>
        </w:rPr>
        <w:t xml:space="preserve"> </w:t>
      </w:r>
      <w:r>
        <w:rPr>
          <w:rFonts w:hint="eastAsia" w:ascii="宋体" w:hAnsi="宋体" w:cs="宋体"/>
          <w:sz w:val="32"/>
          <w:szCs w:val="32"/>
        </w:rPr>
        <w:t>人：天津市滨海新区城投建设发展有限公司</w:t>
      </w:r>
      <w:r>
        <w:rPr>
          <w:rFonts w:ascii="宋体"/>
          <w:sz w:val="32"/>
          <w:szCs w:val="32"/>
        </w:rPr>
        <w:t xml:space="preserve"> </w:t>
      </w:r>
    </w:p>
    <w:p>
      <w:pPr>
        <w:pStyle w:val="2"/>
      </w:pPr>
    </w:p>
    <w:p>
      <w:pPr>
        <w:jc w:val="left"/>
        <w:rPr>
          <w:rFonts w:ascii="宋体"/>
          <w:sz w:val="32"/>
          <w:szCs w:val="32"/>
        </w:rPr>
      </w:pPr>
      <w:r>
        <w:rPr>
          <w:rFonts w:hint="eastAsia" w:ascii="宋体" w:hAnsi="宋体" w:cs="宋体"/>
          <w:sz w:val="32"/>
          <w:szCs w:val="32"/>
        </w:rPr>
        <w:t>招标代理机构：天津市滨海新区城投工程咨询有限公司</w:t>
      </w:r>
      <w:r>
        <w:rPr>
          <w:rFonts w:ascii="宋体"/>
          <w:sz w:val="32"/>
          <w:szCs w:val="32"/>
        </w:rPr>
        <w:t xml:space="preserve"> </w:t>
      </w:r>
    </w:p>
    <w:p>
      <w:pPr>
        <w:ind w:firstLine="3040" w:firstLineChars="950"/>
        <w:rPr>
          <w:rFonts w:ascii="宋体" w:hAnsi="宋体" w:cs="宋体"/>
          <w:sz w:val="32"/>
          <w:szCs w:val="32"/>
        </w:rPr>
      </w:pPr>
    </w:p>
    <w:p>
      <w:pPr>
        <w:ind w:firstLine="3040" w:firstLineChars="950"/>
        <w:rPr>
          <w:rFonts w:ascii="宋体" w:hAnsi="宋体" w:cs="宋体"/>
          <w:sz w:val="32"/>
          <w:szCs w:val="32"/>
        </w:rPr>
      </w:pPr>
    </w:p>
    <w:p>
      <w:pPr>
        <w:ind w:firstLine="3040" w:firstLineChars="950"/>
        <w:rPr>
          <w:rFonts w:ascii="宋体"/>
          <w:sz w:val="32"/>
          <w:szCs w:val="32"/>
        </w:rPr>
      </w:pPr>
      <w:r>
        <w:rPr>
          <w:rFonts w:ascii="宋体" w:hAnsi="宋体" w:cs="宋体"/>
          <w:sz w:val="32"/>
          <w:szCs w:val="32"/>
        </w:rPr>
        <w:t>202</w:t>
      </w:r>
      <w:r>
        <w:rPr>
          <w:rFonts w:hint="eastAsia" w:ascii="宋体" w:hAnsi="宋体" w:cs="宋体"/>
          <w:sz w:val="32"/>
          <w:szCs w:val="32"/>
        </w:rPr>
        <w:t>3年1月</w:t>
      </w:r>
    </w:p>
    <w:p>
      <w:pPr>
        <w:widowControl/>
        <w:jc w:val="left"/>
        <w:rPr>
          <w:rFonts w:ascii="宋体"/>
          <w:sz w:val="32"/>
          <w:szCs w:val="32"/>
        </w:rPr>
      </w:pPr>
      <w:r>
        <w:rPr>
          <w:rFonts w:ascii="宋体"/>
          <w:sz w:val="32"/>
          <w:szCs w:val="32"/>
        </w:rPr>
        <w:br w:type="page"/>
      </w:r>
    </w:p>
    <w:p>
      <w:pPr>
        <w:pStyle w:val="136"/>
        <w:tabs>
          <w:tab w:val="left" w:pos="2495"/>
          <w:tab w:val="center" w:pos="4153"/>
        </w:tabs>
        <w:rPr>
          <w:rFonts w:ascii="宋体" w:cs="Calibri"/>
          <w:color w:val="auto"/>
          <w:sz w:val="32"/>
          <w:szCs w:val="32"/>
          <w:lang w:val="zh-CN"/>
        </w:rPr>
      </w:pPr>
      <w:r>
        <w:rPr>
          <w:rFonts w:ascii="宋体" w:hAnsi="宋体" w:cs="宋体"/>
          <w:color w:val="auto"/>
          <w:sz w:val="32"/>
          <w:szCs w:val="32"/>
          <w:lang w:val="zh-CN"/>
        </w:rPr>
        <w:tab/>
      </w:r>
      <w:r>
        <w:rPr>
          <w:rFonts w:ascii="宋体" w:hAnsi="宋体" w:cs="宋体"/>
          <w:color w:val="auto"/>
          <w:sz w:val="32"/>
          <w:szCs w:val="32"/>
          <w:lang w:val="zh-CN"/>
        </w:rPr>
        <w:tab/>
      </w:r>
      <w:r>
        <w:rPr>
          <w:rFonts w:hint="eastAsia" w:ascii="宋体" w:hAnsi="宋体" w:cs="宋体"/>
          <w:color w:val="auto"/>
          <w:sz w:val="32"/>
          <w:szCs w:val="32"/>
          <w:lang w:val="zh-CN"/>
        </w:rPr>
        <w:t>目</w:t>
      </w:r>
      <w:r>
        <w:rPr>
          <w:rFonts w:ascii="宋体" w:hAnsi="宋体" w:cs="宋体"/>
          <w:color w:val="auto"/>
          <w:sz w:val="32"/>
          <w:szCs w:val="32"/>
          <w:lang w:val="zh-CN"/>
        </w:rPr>
        <w:t xml:space="preserve">  </w:t>
      </w:r>
      <w:r>
        <w:rPr>
          <w:rFonts w:hint="eastAsia" w:ascii="宋体" w:hAnsi="宋体" w:cs="宋体"/>
          <w:color w:val="auto"/>
          <w:sz w:val="32"/>
          <w:szCs w:val="32"/>
          <w:lang w:val="zh-CN"/>
        </w:rPr>
        <w:t>录</w:t>
      </w:r>
    </w:p>
    <w:p>
      <w:pPr>
        <w:rPr>
          <w:rFonts w:ascii="宋体"/>
          <w:sz w:val="28"/>
          <w:szCs w:val="28"/>
          <w:lang w:val="zh-CN"/>
        </w:rPr>
      </w:pPr>
    </w:p>
    <w:p>
      <w:pPr>
        <w:pStyle w:val="24"/>
        <w:tabs>
          <w:tab w:val="right" w:leader="dot" w:pos="8296"/>
        </w:tabs>
        <w:rPr>
          <w:rFonts w:cs="Times New Roman"/>
          <w:kern w:val="2"/>
          <w:sz w:val="28"/>
          <w:szCs w:val="28"/>
        </w:rPr>
      </w:pPr>
      <w:r>
        <w:rPr>
          <w:rFonts w:ascii="宋体" w:hAnsi="宋体" w:cs="宋体"/>
          <w:sz w:val="28"/>
          <w:szCs w:val="28"/>
        </w:rPr>
        <w:fldChar w:fldCharType="begin"/>
      </w:r>
      <w:r>
        <w:rPr>
          <w:rFonts w:ascii="宋体" w:hAnsi="宋体" w:cs="宋体"/>
          <w:sz w:val="28"/>
          <w:szCs w:val="28"/>
        </w:rPr>
        <w:instrText xml:space="preserve"> TOC \o "1-3" \h \z \u </w:instrText>
      </w:r>
      <w:r>
        <w:rPr>
          <w:rFonts w:ascii="宋体" w:hAnsi="宋体" w:cs="宋体"/>
          <w:sz w:val="28"/>
          <w:szCs w:val="28"/>
        </w:rPr>
        <w:fldChar w:fldCharType="separate"/>
      </w:r>
      <w:r>
        <w:fldChar w:fldCharType="begin"/>
      </w:r>
      <w:r>
        <w:instrText xml:space="preserve"> HYPERLINK \l "_Toc84265530" </w:instrText>
      </w:r>
      <w:r>
        <w:fldChar w:fldCharType="separate"/>
      </w:r>
      <w:r>
        <w:rPr>
          <w:rStyle w:val="43"/>
          <w:rFonts w:hint="eastAsia" w:ascii="宋体" w:hAnsi="宋体" w:cs="宋体"/>
          <w:color w:val="auto"/>
          <w:sz w:val="28"/>
          <w:szCs w:val="28"/>
        </w:rPr>
        <w:t>第一章</w:t>
      </w:r>
      <w:r>
        <w:rPr>
          <w:rStyle w:val="43"/>
          <w:rFonts w:ascii="宋体" w:hAnsi="宋体" w:cs="宋体"/>
          <w:color w:val="auto"/>
          <w:sz w:val="28"/>
          <w:szCs w:val="28"/>
        </w:rPr>
        <w:t xml:space="preserve"> </w:t>
      </w:r>
      <w:r>
        <w:rPr>
          <w:rStyle w:val="43"/>
          <w:rFonts w:hint="eastAsia" w:ascii="宋体" w:hAnsi="宋体" w:cs="宋体"/>
          <w:color w:val="auto"/>
          <w:sz w:val="28"/>
          <w:szCs w:val="28"/>
        </w:rPr>
        <w:t>招标公告</w:t>
      </w:r>
      <w:r>
        <w:rPr>
          <w:sz w:val="28"/>
          <w:szCs w:val="28"/>
        </w:rPr>
        <w:tab/>
      </w:r>
      <w:r>
        <w:rPr>
          <w:sz w:val="28"/>
          <w:szCs w:val="28"/>
        </w:rPr>
        <w:fldChar w:fldCharType="begin"/>
      </w:r>
      <w:r>
        <w:rPr>
          <w:sz w:val="28"/>
          <w:szCs w:val="28"/>
        </w:rPr>
        <w:instrText xml:space="preserve"> PAGEREF _Toc84265530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24"/>
        <w:tabs>
          <w:tab w:val="right" w:leader="dot" w:pos="8296"/>
        </w:tabs>
        <w:rPr>
          <w:rFonts w:cs="Times New Roman"/>
          <w:kern w:val="2"/>
          <w:sz w:val="28"/>
          <w:szCs w:val="28"/>
        </w:rPr>
      </w:pPr>
      <w:r>
        <w:fldChar w:fldCharType="begin"/>
      </w:r>
      <w:r>
        <w:instrText xml:space="preserve"> HYPERLINK \l "_Toc84265546" </w:instrText>
      </w:r>
      <w:r>
        <w:fldChar w:fldCharType="separate"/>
      </w:r>
      <w:r>
        <w:rPr>
          <w:rStyle w:val="43"/>
          <w:rFonts w:hint="eastAsia" w:ascii="宋体" w:hAnsi="宋体" w:cs="宋体"/>
          <w:color w:val="auto"/>
          <w:sz w:val="28"/>
          <w:szCs w:val="28"/>
        </w:rPr>
        <w:t>第二章</w:t>
      </w:r>
      <w:r>
        <w:rPr>
          <w:rStyle w:val="43"/>
          <w:rFonts w:ascii="宋体" w:hAnsi="宋体" w:cs="宋体"/>
          <w:color w:val="auto"/>
          <w:sz w:val="28"/>
          <w:szCs w:val="28"/>
        </w:rPr>
        <w:t xml:space="preserve"> </w:t>
      </w:r>
      <w:r>
        <w:rPr>
          <w:rStyle w:val="43"/>
          <w:rFonts w:hint="eastAsia" w:ascii="宋体" w:hAnsi="宋体" w:cs="宋体"/>
          <w:color w:val="auto"/>
          <w:sz w:val="28"/>
          <w:szCs w:val="28"/>
        </w:rPr>
        <w:t>投标人须知</w:t>
      </w:r>
      <w:r>
        <w:rPr>
          <w:sz w:val="28"/>
          <w:szCs w:val="28"/>
        </w:rPr>
        <w:tab/>
      </w:r>
      <w:r>
        <w:rPr>
          <w:sz w:val="28"/>
          <w:szCs w:val="28"/>
        </w:rPr>
        <w:fldChar w:fldCharType="begin"/>
      </w:r>
      <w:r>
        <w:rPr>
          <w:sz w:val="28"/>
          <w:szCs w:val="28"/>
        </w:rPr>
        <w:instrText xml:space="preserve"> PAGEREF _Toc84265546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24"/>
        <w:tabs>
          <w:tab w:val="right" w:leader="dot" w:pos="8296"/>
        </w:tabs>
        <w:rPr>
          <w:rFonts w:cs="Times New Roman"/>
          <w:kern w:val="2"/>
          <w:sz w:val="28"/>
          <w:szCs w:val="28"/>
        </w:rPr>
      </w:pPr>
      <w:r>
        <w:fldChar w:fldCharType="begin"/>
      </w:r>
      <w:r>
        <w:instrText xml:space="preserve"> HYPERLINK \l "_Toc84265620" </w:instrText>
      </w:r>
      <w:r>
        <w:fldChar w:fldCharType="separate"/>
      </w:r>
      <w:r>
        <w:rPr>
          <w:rStyle w:val="43"/>
          <w:rFonts w:hint="eastAsia" w:cs="宋体"/>
          <w:color w:val="auto"/>
          <w:sz w:val="28"/>
          <w:szCs w:val="28"/>
        </w:rPr>
        <w:t>第三章</w:t>
      </w:r>
      <w:r>
        <w:rPr>
          <w:rStyle w:val="43"/>
          <w:color w:val="auto"/>
          <w:sz w:val="28"/>
          <w:szCs w:val="28"/>
        </w:rPr>
        <w:t xml:space="preserve"> </w:t>
      </w:r>
      <w:r>
        <w:rPr>
          <w:rStyle w:val="43"/>
          <w:rFonts w:hint="eastAsia" w:cs="宋体"/>
          <w:color w:val="auto"/>
          <w:sz w:val="28"/>
          <w:szCs w:val="28"/>
        </w:rPr>
        <w:t>评标办法（综合评估法）</w:t>
      </w:r>
      <w:r>
        <w:rPr>
          <w:sz w:val="28"/>
          <w:szCs w:val="28"/>
        </w:rPr>
        <w:tab/>
      </w:r>
      <w:r>
        <w:rPr>
          <w:sz w:val="28"/>
          <w:szCs w:val="28"/>
        </w:rPr>
        <w:fldChar w:fldCharType="begin"/>
      </w:r>
      <w:r>
        <w:rPr>
          <w:sz w:val="28"/>
          <w:szCs w:val="28"/>
        </w:rPr>
        <w:instrText xml:space="preserve"> PAGEREF _Toc84265620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24"/>
        <w:tabs>
          <w:tab w:val="right" w:leader="dot" w:pos="8296"/>
        </w:tabs>
        <w:rPr>
          <w:rFonts w:cs="Times New Roman"/>
          <w:kern w:val="2"/>
          <w:sz w:val="28"/>
          <w:szCs w:val="28"/>
        </w:rPr>
      </w:pPr>
      <w:r>
        <w:fldChar w:fldCharType="begin"/>
      </w:r>
      <w:r>
        <w:instrText xml:space="preserve"> HYPERLINK \l "_Toc84265629" </w:instrText>
      </w:r>
      <w:r>
        <w:fldChar w:fldCharType="separate"/>
      </w:r>
      <w:r>
        <w:rPr>
          <w:rStyle w:val="43"/>
          <w:rFonts w:hint="eastAsia" w:cs="宋体"/>
          <w:color w:val="auto"/>
          <w:sz w:val="28"/>
          <w:szCs w:val="28"/>
        </w:rPr>
        <w:t>第四章</w:t>
      </w:r>
      <w:r>
        <w:rPr>
          <w:rStyle w:val="43"/>
          <w:color w:val="auto"/>
          <w:sz w:val="28"/>
          <w:szCs w:val="28"/>
        </w:rPr>
        <w:t xml:space="preserve"> </w:t>
      </w:r>
      <w:r>
        <w:rPr>
          <w:rStyle w:val="43"/>
          <w:rFonts w:hint="eastAsia" w:cs="宋体"/>
          <w:color w:val="auto"/>
          <w:sz w:val="28"/>
          <w:szCs w:val="28"/>
        </w:rPr>
        <w:t>合同条款及格式</w:t>
      </w:r>
      <w:r>
        <w:rPr>
          <w:sz w:val="28"/>
          <w:szCs w:val="28"/>
        </w:rPr>
        <w:tab/>
      </w:r>
      <w:r>
        <w:rPr>
          <w:sz w:val="28"/>
          <w:szCs w:val="28"/>
        </w:rPr>
        <w:fldChar w:fldCharType="begin"/>
      </w:r>
      <w:r>
        <w:rPr>
          <w:sz w:val="28"/>
          <w:szCs w:val="28"/>
        </w:rPr>
        <w:instrText xml:space="preserve"> PAGEREF _Toc84265629 \h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24"/>
        <w:tabs>
          <w:tab w:val="right" w:leader="dot" w:pos="8296"/>
        </w:tabs>
        <w:rPr>
          <w:rFonts w:cs="Times New Roman"/>
          <w:kern w:val="2"/>
          <w:sz w:val="28"/>
          <w:szCs w:val="28"/>
        </w:rPr>
      </w:pPr>
      <w:r>
        <w:fldChar w:fldCharType="begin"/>
      </w:r>
      <w:r>
        <w:instrText xml:space="preserve"> HYPERLINK \l "_Toc84265664" </w:instrText>
      </w:r>
      <w:r>
        <w:fldChar w:fldCharType="separate"/>
      </w:r>
      <w:r>
        <w:rPr>
          <w:rStyle w:val="43"/>
          <w:rFonts w:hint="eastAsia" w:ascii="宋体" w:hAnsi="宋体" w:cs="宋体"/>
          <w:color w:val="auto"/>
          <w:sz w:val="28"/>
          <w:szCs w:val="28"/>
        </w:rPr>
        <w:t>第五章</w:t>
      </w:r>
      <w:r>
        <w:rPr>
          <w:rStyle w:val="43"/>
          <w:rFonts w:ascii="宋体" w:hAnsi="宋体" w:cs="宋体"/>
          <w:color w:val="auto"/>
          <w:sz w:val="28"/>
          <w:szCs w:val="28"/>
        </w:rPr>
        <w:t xml:space="preserve"> </w:t>
      </w:r>
      <w:r>
        <w:rPr>
          <w:rStyle w:val="43"/>
          <w:rFonts w:hint="eastAsia" w:ascii="宋体" w:hAnsi="宋体" w:cs="宋体"/>
          <w:color w:val="auto"/>
          <w:sz w:val="28"/>
          <w:szCs w:val="28"/>
        </w:rPr>
        <w:t>发包人要求</w:t>
      </w:r>
      <w:r>
        <w:rPr>
          <w:sz w:val="28"/>
          <w:szCs w:val="28"/>
        </w:rPr>
        <w:tab/>
      </w:r>
      <w:r>
        <w:rPr>
          <w:sz w:val="28"/>
          <w:szCs w:val="28"/>
        </w:rPr>
        <w:fldChar w:fldCharType="begin"/>
      </w:r>
      <w:r>
        <w:rPr>
          <w:sz w:val="28"/>
          <w:szCs w:val="28"/>
        </w:rPr>
        <w:instrText xml:space="preserve"> PAGEREF _Toc84265664 \h </w:instrText>
      </w:r>
      <w:r>
        <w:rPr>
          <w:sz w:val="28"/>
          <w:szCs w:val="28"/>
        </w:rPr>
        <w:fldChar w:fldCharType="separate"/>
      </w:r>
      <w:r>
        <w:rPr>
          <w:sz w:val="28"/>
          <w:szCs w:val="28"/>
        </w:rPr>
        <w:t>44</w:t>
      </w:r>
      <w:r>
        <w:rPr>
          <w:sz w:val="28"/>
          <w:szCs w:val="28"/>
        </w:rPr>
        <w:fldChar w:fldCharType="end"/>
      </w:r>
      <w:r>
        <w:rPr>
          <w:sz w:val="28"/>
          <w:szCs w:val="28"/>
        </w:rPr>
        <w:fldChar w:fldCharType="end"/>
      </w:r>
    </w:p>
    <w:p>
      <w:pPr>
        <w:pStyle w:val="24"/>
        <w:tabs>
          <w:tab w:val="right" w:leader="dot" w:pos="8296"/>
        </w:tabs>
        <w:rPr>
          <w:rFonts w:cs="Times New Roman"/>
          <w:kern w:val="2"/>
          <w:sz w:val="28"/>
          <w:szCs w:val="28"/>
        </w:rPr>
      </w:pPr>
      <w:r>
        <w:fldChar w:fldCharType="begin"/>
      </w:r>
      <w:r>
        <w:instrText xml:space="preserve"> HYPERLINK \l "_Toc84265676" </w:instrText>
      </w:r>
      <w:r>
        <w:fldChar w:fldCharType="separate"/>
      </w:r>
      <w:r>
        <w:rPr>
          <w:rStyle w:val="43"/>
          <w:rFonts w:hint="eastAsia" w:ascii="宋体" w:hAnsi="宋体" w:cs="宋体"/>
          <w:color w:val="auto"/>
          <w:sz w:val="28"/>
          <w:szCs w:val="28"/>
        </w:rPr>
        <w:t>第六章</w:t>
      </w:r>
      <w:r>
        <w:rPr>
          <w:rStyle w:val="43"/>
          <w:rFonts w:ascii="宋体" w:hAnsi="宋体" w:cs="宋体"/>
          <w:color w:val="auto"/>
          <w:sz w:val="28"/>
          <w:szCs w:val="28"/>
        </w:rPr>
        <w:t xml:space="preserve"> </w:t>
      </w:r>
      <w:r>
        <w:rPr>
          <w:rStyle w:val="43"/>
          <w:rFonts w:hint="eastAsia" w:ascii="宋体" w:hAnsi="宋体" w:cs="宋体"/>
          <w:color w:val="auto"/>
          <w:sz w:val="28"/>
          <w:szCs w:val="28"/>
        </w:rPr>
        <w:t>发包人提供的资料</w:t>
      </w:r>
      <w:r>
        <w:rPr>
          <w:sz w:val="28"/>
          <w:szCs w:val="28"/>
        </w:rPr>
        <w:tab/>
      </w:r>
      <w:r>
        <w:rPr>
          <w:sz w:val="28"/>
          <w:szCs w:val="28"/>
        </w:rPr>
        <w:fldChar w:fldCharType="begin"/>
      </w:r>
      <w:r>
        <w:rPr>
          <w:sz w:val="28"/>
          <w:szCs w:val="28"/>
        </w:rPr>
        <w:instrText xml:space="preserve"> PAGEREF _Toc84265676 \h </w:instrText>
      </w:r>
      <w:r>
        <w:rPr>
          <w:sz w:val="28"/>
          <w:szCs w:val="28"/>
        </w:rPr>
        <w:fldChar w:fldCharType="separate"/>
      </w:r>
      <w:r>
        <w:rPr>
          <w:sz w:val="28"/>
          <w:szCs w:val="28"/>
        </w:rPr>
        <w:t>46</w:t>
      </w:r>
      <w:r>
        <w:rPr>
          <w:sz w:val="28"/>
          <w:szCs w:val="28"/>
        </w:rPr>
        <w:fldChar w:fldCharType="end"/>
      </w:r>
      <w:r>
        <w:rPr>
          <w:sz w:val="28"/>
          <w:szCs w:val="28"/>
        </w:rPr>
        <w:fldChar w:fldCharType="end"/>
      </w:r>
    </w:p>
    <w:p>
      <w:pPr>
        <w:pStyle w:val="24"/>
        <w:tabs>
          <w:tab w:val="right" w:leader="dot" w:pos="8296"/>
        </w:tabs>
        <w:rPr>
          <w:rFonts w:cs="Times New Roman"/>
          <w:kern w:val="2"/>
          <w:sz w:val="28"/>
          <w:szCs w:val="28"/>
        </w:rPr>
      </w:pPr>
      <w:r>
        <w:fldChar w:fldCharType="begin"/>
      </w:r>
      <w:r>
        <w:instrText xml:space="preserve"> HYPERLINK \l "_Toc84265678" </w:instrText>
      </w:r>
      <w:r>
        <w:fldChar w:fldCharType="separate"/>
      </w:r>
      <w:r>
        <w:rPr>
          <w:rStyle w:val="43"/>
          <w:rFonts w:hint="eastAsia" w:ascii="宋体" w:hAnsi="宋体" w:cs="宋体"/>
          <w:color w:val="auto"/>
          <w:sz w:val="28"/>
          <w:szCs w:val="28"/>
        </w:rPr>
        <w:t>第七章</w:t>
      </w:r>
      <w:r>
        <w:rPr>
          <w:rStyle w:val="43"/>
          <w:rFonts w:ascii="宋体" w:hAnsi="宋体" w:cs="宋体"/>
          <w:color w:val="auto"/>
          <w:sz w:val="28"/>
          <w:szCs w:val="28"/>
        </w:rPr>
        <w:t xml:space="preserve"> </w:t>
      </w:r>
      <w:r>
        <w:rPr>
          <w:rStyle w:val="43"/>
          <w:rFonts w:hint="eastAsia" w:ascii="宋体" w:hAnsi="宋体" w:cs="宋体"/>
          <w:color w:val="auto"/>
          <w:sz w:val="28"/>
          <w:szCs w:val="28"/>
        </w:rPr>
        <w:t>技术标准和要求</w:t>
      </w:r>
      <w:r>
        <w:rPr>
          <w:sz w:val="28"/>
          <w:szCs w:val="28"/>
        </w:rPr>
        <w:tab/>
      </w:r>
      <w:r>
        <w:rPr>
          <w:sz w:val="28"/>
          <w:szCs w:val="28"/>
        </w:rPr>
        <w:fldChar w:fldCharType="begin"/>
      </w:r>
      <w:r>
        <w:rPr>
          <w:sz w:val="28"/>
          <w:szCs w:val="28"/>
        </w:rPr>
        <w:instrText xml:space="preserve"> PAGEREF _Toc84265678 \h </w:instrText>
      </w:r>
      <w:r>
        <w:rPr>
          <w:sz w:val="28"/>
          <w:szCs w:val="28"/>
        </w:rPr>
        <w:fldChar w:fldCharType="separate"/>
      </w:r>
      <w:r>
        <w:rPr>
          <w:sz w:val="28"/>
          <w:szCs w:val="28"/>
        </w:rPr>
        <w:t>47</w:t>
      </w:r>
      <w:r>
        <w:rPr>
          <w:sz w:val="28"/>
          <w:szCs w:val="28"/>
        </w:rPr>
        <w:fldChar w:fldCharType="end"/>
      </w:r>
      <w:r>
        <w:rPr>
          <w:sz w:val="28"/>
          <w:szCs w:val="28"/>
        </w:rPr>
        <w:fldChar w:fldCharType="end"/>
      </w:r>
    </w:p>
    <w:p>
      <w:pPr>
        <w:pStyle w:val="24"/>
        <w:tabs>
          <w:tab w:val="right" w:leader="dot" w:pos="8296"/>
        </w:tabs>
        <w:rPr>
          <w:rFonts w:cs="Times New Roman"/>
          <w:kern w:val="2"/>
          <w:sz w:val="28"/>
          <w:szCs w:val="28"/>
        </w:rPr>
      </w:pPr>
      <w:r>
        <w:fldChar w:fldCharType="begin"/>
      </w:r>
      <w:r>
        <w:instrText xml:space="preserve"> HYPERLINK \l "_Toc84265685" </w:instrText>
      </w:r>
      <w:r>
        <w:fldChar w:fldCharType="separate"/>
      </w:r>
      <w:r>
        <w:rPr>
          <w:rStyle w:val="43"/>
          <w:rFonts w:hint="eastAsia" w:ascii="宋体" w:hAnsi="宋体" w:cs="宋体"/>
          <w:color w:val="auto"/>
          <w:sz w:val="28"/>
          <w:szCs w:val="28"/>
        </w:rPr>
        <w:t>第八章</w:t>
      </w:r>
      <w:r>
        <w:rPr>
          <w:rStyle w:val="43"/>
          <w:rFonts w:ascii="宋体" w:hAnsi="宋体" w:cs="宋体"/>
          <w:color w:val="auto"/>
          <w:sz w:val="28"/>
          <w:szCs w:val="28"/>
        </w:rPr>
        <w:t xml:space="preserve"> </w:t>
      </w:r>
      <w:r>
        <w:rPr>
          <w:rStyle w:val="43"/>
          <w:rFonts w:hint="eastAsia" w:ascii="宋体" w:hAnsi="宋体" w:cs="宋体"/>
          <w:color w:val="auto"/>
          <w:sz w:val="28"/>
          <w:szCs w:val="28"/>
        </w:rPr>
        <w:t>投标文件格式</w:t>
      </w:r>
      <w:r>
        <w:rPr>
          <w:sz w:val="28"/>
          <w:szCs w:val="28"/>
        </w:rPr>
        <w:tab/>
      </w:r>
      <w:r>
        <w:rPr>
          <w:sz w:val="28"/>
          <w:szCs w:val="28"/>
        </w:rPr>
        <w:fldChar w:fldCharType="begin"/>
      </w:r>
      <w:r>
        <w:rPr>
          <w:sz w:val="28"/>
          <w:szCs w:val="28"/>
        </w:rPr>
        <w:instrText xml:space="preserve"> PAGEREF _Toc84265685 \h </w:instrText>
      </w:r>
      <w:r>
        <w:rPr>
          <w:sz w:val="28"/>
          <w:szCs w:val="28"/>
        </w:rPr>
        <w:fldChar w:fldCharType="separate"/>
      </w:r>
      <w:r>
        <w:rPr>
          <w:sz w:val="28"/>
          <w:szCs w:val="28"/>
        </w:rPr>
        <w:t>57</w:t>
      </w:r>
      <w:r>
        <w:rPr>
          <w:sz w:val="28"/>
          <w:szCs w:val="28"/>
        </w:rPr>
        <w:fldChar w:fldCharType="end"/>
      </w:r>
      <w:r>
        <w:rPr>
          <w:sz w:val="28"/>
          <w:szCs w:val="28"/>
        </w:rPr>
        <w:fldChar w:fldCharType="end"/>
      </w:r>
    </w:p>
    <w:p>
      <w:pPr>
        <w:pStyle w:val="24"/>
        <w:tabs>
          <w:tab w:val="right" w:leader="dot" w:pos="9061"/>
        </w:tabs>
        <w:spacing w:line="720" w:lineRule="auto"/>
        <w:rPr>
          <w:rFonts w:ascii="宋体"/>
        </w:rPr>
      </w:pPr>
      <w:r>
        <w:rPr>
          <w:rFonts w:ascii="宋体" w:hAnsi="宋体" w:cs="宋体"/>
          <w:sz w:val="28"/>
          <w:szCs w:val="28"/>
        </w:rPr>
        <w:fldChar w:fldCharType="end"/>
      </w:r>
    </w:p>
    <w:p>
      <w:pPr>
        <w:rPr>
          <w:rFonts w:ascii="宋体"/>
          <w:sz w:val="32"/>
          <w:szCs w:val="32"/>
        </w:rPr>
      </w:pPr>
    </w:p>
    <w:p>
      <w:pPr>
        <w:widowControl/>
        <w:jc w:val="left"/>
        <w:rPr>
          <w:rFonts w:ascii="宋体"/>
          <w:sz w:val="32"/>
          <w:szCs w:val="32"/>
        </w:rPr>
      </w:pPr>
      <w:r>
        <w:rPr>
          <w:rFonts w:ascii="宋体"/>
          <w:sz w:val="32"/>
          <w:szCs w:val="32"/>
        </w:rPr>
        <w:br w:type="page"/>
      </w:r>
    </w:p>
    <w:p>
      <w:pPr>
        <w:pStyle w:val="3"/>
        <w:jc w:val="center"/>
        <w:rPr>
          <w:rFonts w:ascii="宋体"/>
        </w:rPr>
      </w:pPr>
      <w:bookmarkStart w:id="0" w:name="_Toc84265530"/>
      <w:r>
        <w:rPr>
          <w:rFonts w:hint="eastAsia" w:ascii="宋体" w:hAnsi="宋体" w:cs="宋体"/>
        </w:rPr>
        <w:t>第一章</w:t>
      </w:r>
      <w:r>
        <w:rPr>
          <w:rFonts w:ascii="宋体" w:hAnsi="宋体" w:cs="宋体"/>
        </w:rPr>
        <w:t xml:space="preserve"> </w:t>
      </w:r>
      <w:r>
        <w:rPr>
          <w:rFonts w:hint="eastAsia" w:ascii="宋体" w:hAnsi="宋体" w:cs="宋体"/>
        </w:rPr>
        <w:t>招标公告</w:t>
      </w:r>
      <w:bookmarkEnd w:id="0"/>
    </w:p>
    <w:p>
      <w:pPr>
        <w:ind w:firstLine="560" w:firstLineChars="200"/>
        <w:jc w:val="center"/>
        <w:rPr>
          <w:rFonts w:ascii="宋体" w:hAnsi="宋体" w:cs="宋体"/>
          <w:sz w:val="28"/>
          <w:szCs w:val="28"/>
        </w:rPr>
      </w:pPr>
      <w:r>
        <w:rPr>
          <w:rFonts w:hint="eastAsia" w:ascii="宋体" w:hAnsi="宋体" w:cs="宋体"/>
          <w:sz w:val="28"/>
          <w:szCs w:val="28"/>
        </w:rPr>
        <w:t>新建天津至潍坊高速铁路滨海段“三电”及地下管线迁改工程</w:t>
      </w:r>
    </w:p>
    <w:p>
      <w:pPr>
        <w:ind w:firstLine="560" w:firstLineChars="200"/>
        <w:jc w:val="center"/>
        <w:rPr>
          <w:rFonts w:ascii="宋体"/>
          <w:sz w:val="28"/>
          <w:szCs w:val="28"/>
        </w:rPr>
      </w:pPr>
      <w:r>
        <w:rPr>
          <w:rFonts w:hint="eastAsia" w:ascii="宋体" w:hAnsi="宋体" w:cs="宋体"/>
          <w:sz w:val="28"/>
          <w:szCs w:val="28"/>
        </w:rPr>
        <w:t>设计施工总承包(EPC)招标公告</w:t>
      </w:r>
    </w:p>
    <w:p>
      <w:pPr>
        <w:ind w:firstLine="420" w:firstLineChars="200"/>
        <w:rPr>
          <w:rFonts w:ascii="宋体"/>
        </w:rPr>
      </w:pPr>
    </w:p>
    <w:p>
      <w:pPr>
        <w:spacing w:line="400" w:lineRule="exact"/>
        <w:outlineLvl w:val="1"/>
        <w:rPr>
          <w:rFonts w:ascii="宋体"/>
          <w:b/>
          <w:bCs/>
          <w:sz w:val="24"/>
          <w:szCs w:val="24"/>
        </w:rPr>
      </w:pPr>
      <w:bookmarkStart w:id="1" w:name="_Toc42001785"/>
      <w:bookmarkStart w:id="2" w:name="_Toc84265531"/>
      <w:r>
        <w:rPr>
          <w:rFonts w:ascii="宋体" w:hAnsi="宋体" w:cs="宋体"/>
          <w:b/>
          <w:bCs/>
          <w:sz w:val="24"/>
          <w:szCs w:val="24"/>
        </w:rPr>
        <w:t>1</w:t>
      </w:r>
      <w:r>
        <w:rPr>
          <w:rFonts w:hint="eastAsia" w:ascii="宋体" w:hAnsi="宋体" w:cs="宋体"/>
          <w:b/>
          <w:bCs/>
          <w:sz w:val="24"/>
          <w:szCs w:val="24"/>
        </w:rPr>
        <w:t>．招标条件</w:t>
      </w:r>
      <w:bookmarkEnd w:id="1"/>
      <w:bookmarkEnd w:id="2"/>
    </w:p>
    <w:p>
      <w:pPr>
        <w:spacing w:line="420" w:lineRule="exact"/>
        <w:ind w:firstLine="420" w:firstLineChars="200"/>
        <w:rPr>
          <w:rFonts w:ascii="宋体"/>
          <w:sz w:val="24"/>
          <w:szCs w:val="24"/>
        </w:rPr>
      </w:pPr>
      <w:r>
        <w:rPr>
          <w:rFonts w:hint="eastAsia" w:ascii="宋体" w:hAnsi="宋体" w:cs="宋体"/>
          <w:bCs/>
        </w:rPr>
        <w:t>新建天津至潍坊高速铁路已由国家发展和改革委员会《国家发展改革委关于新建天津至潍坊高速铁路可行性研究报告的批复》（发改基础〔</w:t>
      </w:r>
      <w:r>
        <w:rPr>
          <w:rFonts w:ascii="宋体" w:hAnsi="宋体" w:cs="宋体"/>
          <w:bCs/>
        </w:rPr>
        <w:t>2022</w:t>
      </w:r>
      <w:r>
        <w:rPr>
          <w:rFonts w:hint="eastAsia" w:ascii="宋体" w:hAnsi="宋体" w:cs="宋体"/>
          <w:bCs/>
        </w:rPr>
        <w:t>〕</w:t>
      </w:r>
      <w:r>
        <w:rPr>
          <w:rFonts w:ascii="宋体" w:hAnsi="宋体" w:cs="宋体"/>
          <w:bCs/>
        </w:rPr>
        <w:t>34</w:t>
      </w:r>
      <w:r>
        <w:rPr>
          <w:rFonts w:hint="eastAsia" w:ascii="宋体" w:hAnsi="宋体" w:cs="宋体"/>
          <w:bCs/>
        </w:rPr>
        <w:t>号）文件批准建设，中国国家铁路集团有限公司《国铁集团、天津市、河北省、山东省人民政府关于新建天津至潍坊高速铁路（不含本线至济南联络线工程）初步设计的批复》（铁鉴函[2022]38</w:t>
      </w:r>
      <w:r>
        <w:rPr>
          <w:rFonts w:ascii="宋体" w:hAnsi="宋体" w:cs="宋体"/>
          <w:bCs/>
        </w:rPr>
        <w:t>8</w:t>
      </w:r>
      <w:r>
        <w:rPr>
          <w:rFonts w:hint="eastAsia" w:ascii="宋体" w:hAnsi="宋体" w:cs="宋体"/>
          <w:bCs/>
        </w:rPr>
        <w:t>号）文件批准初步设计。该项目滨海段内“三电”及地下管线迁改工程设计施工的</w:t>
      </w:r>
      <w:r>
        <w:rPr>
          <w:rFonts w:hint="eastAsia" w:ascii="宋体" w:hAnsi="宋体" w:cs="宋体"/>
        </w:rPr>
        <w:t>建设资金来自</w:t>
      </w:r>
      <w:r>
        <w:rPr>
          <w:rFonts w:ascii="宋体" w:hAnsi="宋体" w:cs="宋体"/>
          <w:u w:val="single"/>
        </w:rPr>
        <w:t xml:space="preserve"> </w:t>
      </w:r>
      <w:r>
        <w:rPr>
          <w:rFonts w:hint="eastAsia" w:ascii="宋体" w:hAnsi="宋体" w:cs="宋体"/>
          <w:bCs/>
          <w:u w:val="single"/>
        </w:rPr>
        <w:t xml:space="preserve"> 政府专项债</w:t>
      </w:r>
      <w:r>
        <w:rPr>
          <w:rFonts w:ascii="宋体" w:hAnsi="宋体" w:cs="宋体"/>
          <w:bCs/>
          <w:u w:val="single"/>
        </w:rPr>
        <w:t xml:space="preserve"> </w:t>
      </w:r>
      <w:r>
        <w:rPr>
          <w:rFonts w:hint="eastAsia" w:ascii="宋体" w:hAnsi="宋体" w:cs="宋体"/>
        </w:rPr>
        <w:t>，出资比例</w:t>
      </w:r>
      <w:r>
        <w:rPr>
          <w:rFonts w:ascii="宋体" w:hAnsi="宋体" w:cs="宋体"/>
          <w:u w:val="single"/>
        </w:rPr>
        <w:t xml:space="preserve">  </w:t>
      </w:r>
      <w:r>
        <w:rPr>
          <w:rFonts w:hint="eastAsia" w:ascii="宋体" w:hAnsi="宋体" w:cs="宋体"/>
          <w:u w:val="single"/>
        </w:rPr>
        <w:t>100%</w:t>
      </w:r>
      <w:r>
        <w:rPr>
          <w:rFonts w:ascii="宋体" w:hAnsi="宋体" w:cs="宋体"/>
          <w:u w:val="single"/>
        </w:rPr>
        <w:t xml:space="preserve">  </w:t>
      </w:r>
      <w:r>
        <w:rPr>
          <w:rFonts w:hint="eastAsia" w:ascii="宋体" w:hAnsi="宋体" w:cs="宋体"/>
        </w:rPr>
        <w:t>，招标人为</w:t>
      </w:r>
      <w:r>
        <w:rPr>
          <w:rFonts w:ascii="宋体" w:hAnsi="宋体" w:cs="宋体"/>
          <w:u w:val="single"/>
        </w:rPr>
        <w:t xml:space="preserve"> </w:t>
      </w:r>
      <w:r>
        <w:rPr>
          <w:rFonts w:hint="eastAsia" w:ascii="宋体" w:hAnsi="宋体" w:cs="宋体"/>
          <w:u w:val="single"/>
        </w:rPr>
        <w:t xml:space="preserve">天津市滨海新区城投建设发展有限公司 </w:t>
      </w:r>
      <w:r>
        <w:rPr>
          <w:rFonts w:ascii="宋体" w:hAnsi="宋体" w:cs="宋体"/>
          <w:u w:val="single"/>
        </w:rPr>
        <w:t xml:space="preserve">  </w:t>
      </w:r>
      <w:r>
        <w:rPr>
          <w:rFonts w:hint="eastAsia" w:ascii="宋体" w:hAnsi="宋体" w:cs="宋体"/>
        </w:rPr>
        <w:t>。已具备招标条件，现对该项目的滨海</w:t>
      </w:r>
      <w:r>
        <w:rPr>
          <w:rFonts w:hint="eastAsia" w:ascii="宋体" w:hAnsi="宋体" w:cs="宋体"/>
          <w:bCs/>
        </w:rPr>
        <w:t>段内“三电”及地下管线迁改工程设计施工总承包(EPC)</w:t>
      </w:r>
      <w:r>
        <w:rPr>
          <w:rFonts w:hint="eastAsia" w:ascii="宋体" w:hAnsi="宋体" w:cs="宋体"/>
        </w:rPr>
        <w:t>进行公开招标。</w:t>
      </w:r>
    </w:p>
    <w:p>
      <w:pPr>
        <w:spacing w:line="420" w:lineRule="exact"/>
        <w:outlineLvl w:val="1"/>
        <w:rPr>
          <w:rFonts w:ascii="宋体"/>
          <w:b/>
          <w:bCs/>
          <w:sz w:val="24"/>
          <w:szCs w:val="24"/>
        </w:rPr>
      </w:pPr>
      <w:bookmarkStart w:id="3" w:name="_Toc84265532"/>
      <w:bookmarkStart w:id="4" w:name="_Toc42001786"/>
      <w:r>
        <w:rPr>
          <w:rFonts w:ascii="宋体" w:hAnsi="宋体" w:cs="宋体"/>
          <w:b/>
          <w:bCs/>
          <w:sz w:val="24"/>
          <w:szCs w:val="24"/>
        </w:rPr>
        <w:t>2</w:t>
      </w:r>
      <w:r>
        <w:rPr>
          <w:rFonts w:hint="eastAsia" w:ascii="宋体" w:hAnsi="宋体" w:cs="宋体"/>
          <w:b/>
          <w:bCs/>
          <w:sz w:val="24"/>
          <w:szCs w:val="24"/>
        </w:rPr>
        <w:t>．项目概况与招标范围</w:t>
      </w:r>
      <w:bookmarkEnd w:id="3"/>
      <w:bookmarkEnd w:id="4"/>
    </w:p>
    <w:p>
      <w:pPr>
        <w:spacing w:line="420" w:lineRule="exact"/>
        <w:ind w:firstLine="422" w:firstLineChars="200"/>
        <w:outlineLvl w:val="2"/>
        <w:rPr>
          <w:rFonts w:ascii="宋体"/>
          <w:bdr w:val="single" w:color="auto" w:sz="4" w:space="0"/>
        </w:rPr>
      </w:pPr>
      <w:bookmarkStart w:id="5" w:name="_Toc42001787"/>
      <w:bookmarkStart w:id="6" w:name="_Toc84265533"/>
      <w:r>
        <w:rPr>
          <w:rFonts w:ascii="宋体" w:hAnsi="宋体" w:cs="宋体"/>
          <w:b/>
          <w:bCs/>
        </w:rPr>
        <w:t xml:space="preserve">2.1 </w:t>
      </w:r>
      <w:r>
        <w:rPr>
          <w:rFonts w:hint="eastAsia" w:ascii="宋体" w:hAnsi="宋体" w:cs="宋体"/>
        </w:rPr>
        <w:t>项目建设地点</w:t>
      </w:r>
      <w:bookmarkEnd w:id="5"/>
      <w:bookmarkEnd w:id="6"/>
      <w:r>
        <w:rPr>
          <w:rFonts w:hint="eastAsia" w:ascii="宋体" w:hAnsi="宋体" w:cs="宋体"/>
        </w:rPr>
        <w:t>：</w:t>
      </w:r>
    </w:p>
    <w:p>
      <w:pPr>
        <w:spacing w:line="420" w:lineRule="exact"/>
        <w:ind w:firstLine="420" w:firstLineChars="200"/>
        <w:rPr>
          <w:rFonts w:ascii="宋体"/>
        </w:rPr>
      </w:pPr>
      <w:r>
        <w:rPr>
          <w:rFonts w:hint="eastAsia" w:ascii="宋体"/>
        </w:rPr>
        <w:t>天津市滨海新区。</w:t>
      </w:r>
    </w:p>
    <w:p>
      <w:pPr>
        <w:spacing w:line="420" w:lineRule="exact"/>
        <w:ind w:firstLine="422" w:firstLineChars="200"/>
        <w:outlineLvl w:val="2"/>
        <w:rPr>
          <w:rFonts w:ascii="宋体"/>
        </w:rPr>
      </w:pPr>
      <w:bookmarkStart w:id="7" w:name="_Toc42001788"/>
      <w:bookmarkStart w:id="8" w:name="_Toc84265534"/>
      <w:r>
        <w:rPr>
          <w:rFonts w:ascii="宋体" w:hAnsi="宋体" w:cs="宋体"/>
          <w:b/>
          <w:bCs/>
        </w:rPr>
        <w:t>2.2</w:t>
      </w:r>
      <w:r>
        <w:rPr>
          <w:rFonts w:hint="eastAsia" w:ascii="宋体" w:hAnsi="宋体" w:cs="宋体"/>
        </w:rPr>
        <w:t>建设内容</w:t>
      </w:r>
      <w:bookmarkEnd w:id="7"/>
      <w:bookmarkEnd w:id="8"/>
      <w:r>
        <w:rPr>
          <w:rFonts w:hint="eastAsia" w:ascii="宋体" w:hAnsi="宋体" w:cs="宋体"/>
        </w:rPr>
        <w:t>：</w:t>
      </w:r>
    </w:p>
    <w:p>
      <w:pPr>
        <w:spacing w:line="440" w:lineRule="exact"/>
        <w:ind w:firstLine="420" w:firstLineChars="200"/>
        <w:rPr>
          <w:rFonts w:ascii="宋体" w:hAnsi="宋体" w:cs="宋体"/>
          <w:bCs/>
        </w:rPr>
      </w:pPr>
      <w:r>
        <w:rPr>
          <w:rFonts w:ascii="宋体" w:hAnsi="宋体" w:cs="宋体"/>
          <w:bCs/>
        </w:rPr>
        <w:t>影响</w:t>
      </w:r>
      <w:r>
        <w:rPr>
          <w:rFonts w:hint="eastAsia" w:ascii="宋体" w:hAnsi="宋体" w:cs="宋体"/>
          <w:bCs/>
        </w:rPr>
        <w:t>新建天津至潍坊高速铁路滨海段</w:t>
      </w:r>
      <w:r>
        <w:rPr>
          <w:rFonts w:ascii="宋体" w:hAnsi="宋体" w:cs="宋体"/>
          <w:bCs/>
        </w:rPr>
        <w:t>建设及运营要求的“三电”及</w:t>
      </w:r>
      <w:r>
        <w:rPr>
          <w:rFonts w:hint="eastAsia" w:ascii="宋体" w:hAnsi="宋体" w:cs="宋体"/>
          <w:bCs/>
        </w:rPr>
        <w:t>地下</w:t>
      </w:r>
      <w:r>
        <w:rPr>
          <w:rFonts w:ascii="宋体" w:hAnsi="宋体" w:cs="宋体"/>
          <w:bCs/>
        </w:rPr>
        <w:t>管线迁改相关工作，包括：</w:t>
      </w:r>
      <w:r>
        <w:rPr>
          <w:rFonts w:hint="eastAsia" w:ascii="宋体" w:hAnsi="宋体" w:cs="宋体"/>
          <w:bCs/>
        </w:rPr>
        <w:t>新建高铁引起的路内外电力线迁改；路内外通信、信号、有线电视线路等迁改；地下给排水、油、气、热力管道的迁改；通信设备、油、气管道、油库等设施电磁防护等</w:t>
      </w:r>
      <w:r>
        <w:rPr>
          <w:rFonts w:ascii="宋体" w:hAnsi="宋体" w:cs="宋体"/>
          <w:bCs/>
        </w:rPr>
        <w:t>。</w:t>
      </w:r>
      <w:r>
        <w:rPr>
          <w:rFonts w:hint="eastAsia" w:ascii="宋体" w:hAnsi="宋体" w:cs="宋体"/>
          <w:bCs/>
        </w:rPr>
        <w:t>估算投资费用</w:t>
      </w:r>
      <w:r>
        <w:rPr>
          <w:rFonts w:ascii="宋体" w:hAnsi="宋体" w:cs="宋体"/>
          <w:bCs/>
        </w:rPr>
        <w:t>5.94</w:t>
      </w:r>
      <w:r>
        <w:rPr>
          <w:rFonts w:hint="eastAsia" w:ascii="宋体" w:hAnsi="宋体" w:cs="宋体"/>
          <w:bCs/>
        </w:rPr>
        <w:t>亿元。</w:t>
      </w:r>
    </w:p>
    <w:p>
      <w:pPr>
        <w:spacing w:line="440" w:lineRule="exact"/>
        <w:ind w:firstLine="422" w:firstLineChars="200"/>
        <w:rPr>
          <w:rFonts w:ascii="宋体"/>
        </w:rPr>
      </w:pPr>
      <w:r>
        <w:rPr>
          <w:rFonts w:ascii="宋体" w:hAnsi="宋体" w:cs="宋体"/>
          <w:b/>
          <w:bCs/>
        </w:rPr>
        <w:t>2.</w:t>
      </w:r>
      <w:r>
        <w:rPr>
          <w:rFonts w:hint="eastAsia" w:ascii="宋体" w:hAnsi="宋体" w:cs="宋体"/>
          <w:b/>
          <w:bCs/>
        </w:rPr>
        <w:t>3</w:t>
      </w:r>
      <w:r>
        <w:rPr>
          <w:rFonts w:hint="eastAsia" w:ascii="宋体" w:hAnsi="宋体" w:cs="宋体"/>
        </w:rPr>
        <w:t>招标范围：</w:t>
      </w:r>
    </w:p>
    <w:p>
      <w:pPr>
        <w:spacing w:line="440" w:lineRule="exact"/>
        <w:ind w:firstLine="420" w:firstLineChars="200"/>
        <w:rPr>
          <w:rFonts w:ascii="宋体"/>
        </w:rPr>
      </w:pPr>
      <w:r>
        <w:rPr>
          <w:rFonts w:ascii="宋体" w:hAnsi="宋体" w:cs="宋体"/>
          <w:bCs/>
        </w:rPr>
        <w:t>为满足</w:t>
      </w:r>
      <w:r>
        <w:rPr>
          <w:rFonts w:hint="eastAsia" w:ascii="宋体" w:hAnsi="宋体" w:cs="宋体"/>
          <w:bCs/>
        </w:rPr>
        <w:t>新建天津至潍坊高速铁路滨海段</w:t>
      </w:r>
      <w:r>
        <w:rPr>
          <w:rFonts w:ascii="宋体" w:hAnsi="宋体" w:cs="宋体"/>
          <w:bCs/>
        </w:rPr>
        <w:t>建设及运营要求而受影响的</w:t>
      </w:r>
      <w:r>
        <w:rPr>
          <w:rFonts w:hint="eastAsia" w:ascii="宋体" w:hAnsi="宋体" w:cs="宋体"/>
          <w:bCs/>
        </w:rPr>
        <w:t>新建高铁引起的路内外电力线迁改；路内外通信、信号、有线电视线路等迁改；地下给排水、油、气、热力管道的迁改；通信设备、油、气管道、油库等设施电磁防护等工程设计施工总承包</w:t>
      </w:r>
      <w:r>
        <w:rPr>
          <w:rFonts w:ascii="宋体" w:hAnsi="宋体" w:cs="宋体"/>
          <w:bCs/>
        </w:rPr>
        <w:t>（包括但不限于</w:t>
      </w:r>
      <w:r>
        <w:rPr>
          <w:rFonts w:hint="eastAsia" w:ascii="宋体" w:hAnsi="宋体" w:cs="宋体"/>
          <w:bCs/>
        </w:rPr>
        <w:t>工点清单</w:t>
      </w:r>
      <w:r>
        <w:rPr>
          <w:rFonts w:ascii="宋体" w:hAnsi="宋体" w:cs="宋体"/>
          <w:bCs/>
        </w:rPr>
        <w:t>内所有内容）</w:t>
      </w:r>
      <w:r>
        <w:rPr>
          <w:rFonts w:hint="eastAsia" w:ascii="宋体" w:hAnsi="宋体" w:cs="宋体"/>
          <w:bCs/>
        </w:rPr>
        <w:t>。本次招标共划分为一个标段。</w:t>
      </w:r>
    </w:p>
    <w:p>
      <w:pPr>
        <w:spacing w:line="440" w:lineRule="exact"/>
        <w:ind w:firstLine="422" w:firstLineChars="200"/>
        <w:rPr>
          <w:rFonts w:hint="eastAsia" w:ascii="宋体" w:hAnsi="宋体" w:eastAsia="宋体" w:cs="宋体"/>
          <w:bCs/>
          <w:lang w:eastAsia="zh-CN"/>
        </w:rPr>
      </w:pPr>
      <w:r>
        <w:rPr>
          <w:rFonts w:ascii="宋体" w:hAnsi="宋体" w:cs="宋体"/>
          <w:b/>
          <w:bCs/>
        </w:rPr>
        <w:t>2.</w:t>
      </w:r>
      <w:r>
        <w:rPr>
          <w:rFonts w:hint="eastAsia" w:ascii="宋体" w:hAnsi="宋体" w:cs="宋体"/>
          <w:b/>
          <w:bCs/>
        </w:rPr>
        <w:t>4</w:t>
      </w:r>
      <w:r>
        <w:rPr>
          <w:rFonts w:hint="eastAsia" w:ascii="宋体" w:hAnsi="宋体"/>
        </w:rPr>
        <w:t>计划工期:</w:t>
      </w:r>
      <w:r>
        <w:rPr>
          <w:rFonts w:hint="eastAsia" w:ascii="宋体" w:hAnsi="宋体"/>
          <w:lang w:val="en-US" w:eastAsia="zh-CN"/>
        </w:rPr>
        <w:t>1644日历日</w:t>
      </w:r>
      <w:r>
        <w:rPr>
          <w:rFonts w:hint="eastAsia" w:ascii="宋体" w:hAnsi="宋体"/>
        </w:rPr>
        <w:t>（包含设计服务期和施工工期），</w:t>
      </w:r>
      <w:r>
        <w:rPr>
          <w:rFonts w:hint="eastAsia" w:ascii="宋体" w:hAnsi="宋体"/>
          <w:lang w:val="en-US" w:eastAsia="zh-CN"/>
        </w:rPr>
        <w:t>施工工期：</w:t>
      </w:r>
      <w:r>
        <w:rPr>
          <w:rFonts w:hint="eastAsia" w:ascii="宋体" w:hAnsi="宋体"/>
        </w:rPr>
        <w:t>2023年3月</w:t>
      </w:r>
      <w:r>
        <w:rPr>
          <w:rFonts w:ascii="宋体" w:hAnsi="宋体"/>
        </w:rPr>
        <w:t>1</w:t>
      </w:r>
      <w:r>
        <w:rPr>
          <w:rFonts w:hint="eastAsia" w:ascii="宋体" w:hAnsi="宋体"/>
        </w:rPr>
        <w:t>日至2027年8月30日，</w:t>
      </w:r>
      <w:r>
        <w:rPr>
          <w:rFonts w:hint="eastAsia" w:ascii="宋体" w:hAnsi="宋体"/>
          <w:lang w:val="en-US" w:eastAsia="zh-CN"/>
        </w:rPr>
        <w:t>施工工期结束后</w:t>
      </w:r>
      <w:r>
        <w:rPr>
          <w:rFonts w:hint="eastAsia" w:ascii="宋体" w:hAnsi="宋体"/>
        </w:rPr>
        <w:t>缺陷责任期1年</w:t>
      </w:r>
      <w:r>
        <w:rPr>
          <w:rFonts w:hint="eastAsia" w:ascii="宋体" w:hAnsi="宋体"/>
          <w:lang w:eastAsia="zh-CN"/>
        </w:rPr>
        <w:t>，</w:t>
      </w:r>
      <w:r>
        <w:rPr>
          <w:rFonts w:hint="eastAsia" w:ascii="宋体" w:hAnsi="宋体"/>
          <w:lang w:val="en-US" w:eastAsia="zh-CN"/>
        </w:rPr>
        <w:t>缺陷责任期：2027年9月1日至2028年8月30日</w:t>
      </w:r>
      <w:r>
        <w:rPr>
          <w:rFonts w:hint="eastAsia" w:ascii="宋体" w:hAnsi="宋体"/>
        </w:rPr>
        <w:t>。</w:t>
      </w:r>
      <w:r>
        <w:rPr>
          <w:rFonts w:hint="eastAsia" w:ascii="宋体" w:hAnsi="宋体" w:cs="宋体"/>
          <w:bCs/>
        </w:rPr>
        <w:t>需满足铁路主体工程节点工期要求</w:t>
      </w:r>
      <w:r>
        <w:rPr>
          <w:rFonts w:hint="eastAsia" w:ascii="宋体" w:hAnsi="宋体" w:cs="宋体"/>
          <w:bCs/>
          <w:lang w:eastAsia="zh-CN"/>
        </w:rPr>
        <w:t>。</w:t>
      </w:r>
    </w:p>
    <w:p>
      <w:pPr>
        <w:spacing w:line="440" w:lineRule="exact"/>
        <w:ind w:firstLine="422" w:firstLineChars="200"/>
        <w:rPr>
          <w:rFonts w:ascii="宋体"/>
        </w:rPr>
      </w:pPr>
      <w:r>
        <w:rPr>
          <w:rFonts w:hint="eastAsia" w:ascii="宋体" w:hAnsi="宋体" w:cs="宋体"/>
          <w:b/>
          <w:bCs/>
        </w:rPr>
        <w:t>2.5</w:t>
      </w:r>
      <w:r>
        <w:rPr>
          <w:rFonts w:hint="eastAsia" w:ascii="宋体" w:hAnsi="宋体" w:cs="宋体"/>
          <w:bCs/>
        </w:rPr>
        <w:t>质量标准：设计及施工符合国家相关行业标准要求。</w:t>
      </w:r>
    </w:p>
    <w:p>
      <w:pPr>
        <w:spacing w:line="420" w:lineRule="exact"/>
        <w:outlineLvl w:val="1"/>
        <w:rPr>
          <w:rFonts w:ascii="宋体"/>
          <w:b/>
          <w:bCs/>
          <w:sz w:val="24"/>
          <w:szCs w:val="24"/>
        </w:rPr>
      </w:pPr>
      <w:bookmarkStart w:id="9" w:name="_Toc42001789"/>
      <w:bookmarkStart w:id="10" w:name="_Toc84265535"/>
      <w:r>
        <w:rPr>
          <w:rFonts w:ascii="宋体" w:hAnsi="宋体" w:cs="宋体"/>
          <w:b/>
          <w:bCs/>
          <w:sz w:val="24"/>
          <w:szCs w:val="24"/>
        </w:rPr>
        <w:t>3</w:t>
      </w:r>
      <w:r>
        <w:rPr>
          <w:rFonts w:hint="eastAsia" w:ascii="宋体" w:hAnsi="宋体" w:cs="宋体"/>
          <w:b/>
          <w:bCs/>
          <w:sz w:val="24"/>
          <w:szCs w:val="24"/>
        </w:rPr>
        <w:t>．投标人资格要求</w:t>
      </w:r>
      <w:bookmarkEnd w:id="9"/>
      <w:bookmarkEnd w:id="10"/>
    </w:p>
    <w:p>
      <w:pPr>
        <w:spacing w:line="440" w:lineRule="exact"/>
        <w:ind w:firstLine="422" w:firstLineChars="200"/>
        <w:rPr>
          <w:rFonts w:ascii="宋体"/>
        </w:rPr>
      </w:pPr>
      <w:r>
        <w:rPr>
          <w:rFonts w:ascii="宋体" w:hAnsi="宋体" w:cs="宋体"/>
          <w:b/>
          <w:bCs/>
        </w:rPr>
        <w:t>3.1</w:t>
      </w:r>
      <w:r>
        <w:rPr>
          <w:rFonts w:hint="eastAsia" w:ascii="宋体" w:hAnsi="宋体" w:cs="宋体"/>
        </w:rPr>
        <w:t>投标人资格必须满足以下要求：</w:t>
      </w:r>
    </w:p>
    <w:p>
      <w:pPr>
        <w:spacing w:line="44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）投标人具有中华人民共和国独立法人资格或其他组织，具有有效的营业执照；</w:t>
      </w:r>
    </w:p>
    <w:p>
      <w:pPr>
        <w:spacing w:line="440" w:lineRule="exact"/>
        <w:ind w:firstLine="420" w:firstLineChars="200"/>
        <w:rPr>
          <w:rFonts w:ascii="宋体" w:hAnsi="宋体" w:cs="宋体"/>
        </w:rPr>
      </w:pPr>
      <w:r>
        <w:rPr>
          <w:rFonts w:hint="eastAsia" w:ascii="宋体" w:hAnsi="宋体" w:cs="宋体"/>
        </w:rPr>
        <w:t>（</w:t>
      </w:r>
      <w:r>
        <w:rPr>
          <w:rFonts w:ascii="宋体" w:hAnsi="宋体" w:cs="宋体"/>
        </w:rPr>
        <w:t>2</w:t>
      </w:r>
      <w:r>
        <w:rPr>
          <w:rFonts w:hint="eastAsia" w:ascii="宋体" w:hAnsi="宋体" w:cs="宋体"/>
        </w:rPr>
        <w:t>）</w:t>
      </w:r>
      <w:r>
        <w:rPr>
          <w:rFonts w:hint="eastAsia" w:ascii="宋体" w:hAnsi="宋体" w:cs="宋体"/>
          <w:bCs/>
        </w:rPr>
        <w:t>投标人须同时具备建设行政主管部门核发有效的工程设计综合资质甲级和工程勘察综合资质甲级</w:t>
      </w:r>
      <w:r>
        <w:rPr>
          <w:rFonts w:hint="eastAsia" w:ascii="宋体" w:hAnsi="宋体" w:cs="宋体"/>
        </w:rPr>
        <w:t>；</w:t>
      </w:r>
    </w:p>
    <w:p>
      <w:pPr>
        <w:spacing w:line="440" w:lineRule="exact"/>
        <w:ind w:firstLine="420" w:firstLineChars="200"/>
        <w:rPr>
          <w:rFonts w:ascii="宋体" w:hAnsi="宋体" w:cs="宋体"/>
        </w:rPr>
      </w:pPr>
      <w:r>
        <w:rPr>
          <w:rFonts w:hint="eastAsia" w:ascii="宋体" w:hAnsi="宋体" w:cs="宋体"/>
        </w:rPr>
        <w:t xml:space="preserve">（3）投标人须具有建设行政主管部门核发的铁路工程施工总承包壹级及以上资质（具备有效的安全生产许可证），同时具有铁路电务工程专业承包叁级及以上资质或铁路电气化工程专业承包叁级及以上资质或电力工程施工总承包叁级及以上资质。 </w:t>
      </w:r>
    </w:p>
    <w:p>
      <w:pPr>
        <w:spacing w:line="440" w:lineRule="exact"/>
        <w:ind w:firstLine="422" w:firstLineChars="200"/>
        <w:rPr>
          <w:rFonts w:ascii="宋体"/>
          <w:sz w:val="36"/>
          <w:szCs w:val="36"/>
          <w:bdr w:val="single" w:color="auto" w:sz="4" w:space="0"/>
        </w:rPr>
      </w:pPr>
      <w:r>
        <w:rPr>
          <w:rFonts w:ascii="宋体" w:hAnsi="宋体" w:cs="宋体"/>
          <w:b/>
          <w:bCs/>
        </w:rPr>
        <w:t>3.</w:t>
      </w:r>
      <w:r>
        <w:rPr>
          <w:rFonts w:hint="eastAsia" w:ascii="宋体" w:hAnsi="宋体" w:cs="宋体"/>
          <w:b/>
          <w:bCs/>
        </w:rPr>
        <w:t>2</w:t>
      </w:r>
      <w:r>
        <w:rPr>
          <w:rFonts w:hint="eastAsia" w:ascii="宋体" w:hAnsi="宋体" w:cs="宋体"/>
        </w:rPr>
        <w:t>业绩要求：</w:t>
      </w:r>
    </w:p>
    <w:p>
      <w:pPr>
        <w:spacing w:line="440" w:lineRule="exact"/>
        <w:ind w:firstLine="420" w:firstLineChars="200"/>
        <w:rPr>
          <w:rFonts w:ascii="宋体" w:hAnsi="宋体" w:cs="宋体"/>
        </w:rPr>
      </w:pPr>
      <w:r>
        <w:rPr>
          <w:rFonts w:hint="eastAsia" w:ascii="宋体" w:hAnsi="宋体" w:cs="宋体"/>
        </w:rPr>
        <w:t>投标人近五年（20</w:t>
      </w:r>
      <w:r>
        <w:rPr>
          <w:rFonts w:ascii="宋体" w:hAnsi="宋体" w:cs="宋体"/>
        </w:rPr>
        <w:t>18</w:t>
      </w:r>
      <w:r>
        <w:rPr>
          <w:rFonts w:hint="eastAsia" w:ascii="宋体" w:hAnsi="宋体" w:cs="宋体"/>
        </w:rPr>
        <w:t>年1月1日至今，以合同签订日期为准）应同时具有以下业绩：①一项电气化铁路干线工程“三电”迁改工程总承包业绩；②一项时速350公里及以上电气化铁路设计业绩或总承包业绩。</w:t>
      </w:r>
    </w:p>
    <w:p>
      <w:pPr>
        <w:widowControl/>
        <w:spacing w:line="440" w:lineRule="exact"/>
        <w:ind w:firstLine="422" w:firstLineChars="200"/>
        <w:rPr>
          <w:rFonts w:ascii="宋体"/>
        </w:rPr>
      </w:pPr>
      <w:r>
        <w:rPr>
          <w:rFonts w:ascii="宋体" w:hAnsi="宋体" w:cs="宋体"/>
          <w:b/>
          <w:bCs/>
        </w:rPr>
        <w:t>3.</w:t>
      </w:r>
      <w:r>
        <w:rPr>
          <w:rFonts w:hint="eastAsia" w:ascii="宋体" w:hAnsi="宋体" w:cs="宋体"/>
          <w:b/>
          <w:bCs/>
        </w:rPr>
        <w:t>3</w:t>
      </w:r>
      <w:r>
        <w:rPr>
          <w:rFonts w:hint="eastAsia" w:ascii="宋体" w:hAnsi="宋体" w:cs="宋体"/>
        </w:rPr>
        <w:t>项目经理要求：</w:t>
      </w:r>
    </w:p>
    <w:p>
      <w:pPr>
        <w:spacing w:line="360" w:lineRule="auto"/>
        <w:ind w:firstLine="420" w:firstLineChars="200"/>
        <w:jc w:val="left"/>
        <w:rPr>
          <w:rFonts w:ascii="宋体" w:hAnsi="宋体" w:cs="宋体"/>
          <w:bCs/>
        </w:rPr>
      </w:pPr>
      <w:r>
        <w:rPr>
          <w:rFonts w:hint="eastAsia" w:ascii="宋体" w:hAnsi="宋体" w:cs="宋体"/>
          <w:bCs/>
        </w:rPr>
        <w:t>拟派项目经理须</w:t>
      </w:r>
      <w:r>
        <w:rPr>
          <w:rFonts w:hint="eastAsia" w:ascii="宋体" w:hAnsi="宋体" w:cs="宋体"/>
        </w:rPr>
        <w:t>具备建设行政主管部门核发的合格有效的一级注册建造师执业资格（</w:t>
      </w:r>
      <w:r>
        <w:rPr>
          <w:rFonts w:hint="eastAsia" w:ascii="宋体" w:hAnsi="宋体" w:cs="宋体"/>
          <w:bCs/>
        </w:rPr>
        <w:t>铁路工程专业或机电工程专业</w:t>
      </w:r>
      <w:r>
        <w:rPr>
          <w:rFonts w:hint="eastAsia" w:ascii="宋体" w:hAnsi="宋体" w:cs="宋体"/>
        </w:rPr>
        <w:t>），</w:t>
      </w:r>
      <w:r>
        <w:rPr>
          <w:rFonts w:hint="eastAsia" w:ascii="宋体" w:hAnsi="宋体" w:cs="宋体"/>
          <w:bCs/>
        </w:rPr>
        <w:t>高级或以上职称，自投标截止之日起未在其他建设项目上担任项目经理。</w:t>
      </w:r>
      <w:r>
        <w:rPr>
          <w:rFonts w:hint="eastAsia" w:ascii="宋体" w:hAnsi="宋体" w:cs="宋体"/>
        </w:rPr>
        <w:t>项目经理的建造师注册证书的注册单位应与投标人名称一致。</w:t>
      </w:r>
    </w:p>
    <w:p>
      <w:pPr>
        <w:widowControl/>
        <w:spacing w:line="440" w:lineRule="exact"/>
        <w:ind w:firstLine="422" w:firstLineChars="200"/>
        <w:rPr>
          <w:rFonts w:ascii="宋体" w:hAnsi="宋体" w:cs="宋体"/>
          <w:b/>
          <w:bCs/>
        </w:rPr>
      </w:pPr>
      <w:r>
        <w:rPr>
          <w:rFonts w:hint="eastAsia" w:ascii="宋体" w:hAnsi="宋体" w:cs="宋体"/>
          <w:b/>
          <w:bCs/>
        </w:rPr>
        <w:t>3.4</w:t>
      </w:r>
      <w:r>
        <w:rPr>
          <w:rFonts w:hint="eastAsia" w:ascii="宋体" w:hAnsi="宋体" w:cs="宋体"/>
          <w:bCs/>
        </w:rPr>
        <w:t>设计负责人要求：</w:t>
      </w:r>
    </w:p>
    <w:p>
      <w:pPr>
        <w:spacing w:line="360" w:lineRule="auto"/>
        <w:ind w:firstLine="420" w:firstLineChars="200"/>
        <w:jc w:val="left"/>
        <w:rPr>
          <w:rFonts w:ascii="宋体" w:hAnsi="宋体" w:cs="宋体"/>
          <w:bCs/>
        </w:rPr>
      </w:pPr>
      <w:r>
        <w:rPr>
          <w:rFonts w:hint="eastAsia" w:ascii="宋体" w:hAnsi="宋体" w:cs="宋体"/>
          <w:bCs/>
        </w:rPr>
        <w:t>拟派设计负责人须为本企业担任过高速铁路项目设计负责人，且具有高级职称。</w:t>
      </w:r>
    </w:p>
    <w:p>
      <w:pPr>
        <w:widowControl/>
        <w:spacing w:line="440" w:lineRule="exact"/>
        <w:ind w:firstLine="422" w:firstLineChars="200"/>
        <w:rPr>
          <w:rFonts w:ascii="宋体" w:hAnsi="宋体" w:cs="宋体"/>
          <w:b/>
          <w:bCs/>
        </w:rPr>
      </w:pPr>
      <w:r>
        <w:rPr>
          <w:rFonts w:hint="eastAsia" w:ascii="宋体" w:hAnsi="宋体" w:cs="宋体"/>
          <w:b/>
          <w:bCs/>
        </w:rPr>
        <w:t>3.5</w:t>
      </w:r>
      <w:r>
        <w:rPr>
          <w:rFonts w:hint="eastAsia" w:ascii="宋体" w:hAnsi="宋体" w:cs="宋体"/>
          <w:bCs/>
        </w:rPr>
        <w:t>施工负责人要求：</w:t>
      </w:r>
    </w:p>
    <w:p>
      <w:pPr>
        <w:spacing w:line="360" w:lineRule="auto"/>
        <w:ind w:firstLine="420" w:firstLineChars="200"/>
        <w:jc w:val="left"/>
        <w:rPr>
          <w:rFonts w:ascii="宋体" w:hAnsi="宋体" w:cs="宋体"/>
          <w:b/>
          <w:bCs/>
        </w:rPr>
      </w:pPr>
      <w:r>
        <w:rPr>
          <w:rFonts w:hint="eastAsia" w:ascii="宋体" w:hAnsi="宋体" w:cs="宋体"/>
          <w:bCs/>
        </w:rPr>
        <w:t>拟派施工负责人须具有铁路工程一级注册建造师或机电工程一级注册建造师或电力工程一级注册建造师执业资格且必须在本单位注册，具备有效的建筑工程安全生产考核合格证书（B 证）。</w:t>
      </w:r>
    </w:p>
    <w:p>
      <w:pPr>
        <w:spacing w:line="360" w:lineRule="auto"/>
        <w:ind w:firstLine="422" w:firstLineChars="200"/>
        <w:jc w:val="left"/>
      </w:pPr>
      <w:r>
        <w:rPr>
          <w:rFonts w:ascii="宋体" w:hAnsi="宋体" w:cs="宋体"/>
          <w:b/>
          <w:bCs/>
        </w:rPr>
        <w:t>3.</w:t>
      </w:r>
      <w:r>
        <w:rPr>
          <w:rFonts w:hint="eastAsia" w:ascii="宋体" w:hAnsi="宋体" w:cs="宋体"/>
          <w:b/>
          <w:bCs/>
        </w:rPr>
        <w:t>6</w:t>
      </w:r>
      <w:r>
        <w:rPr>
          <w:rFonts w:hint="eastAsia" w:ascii="宋体" w:hAnsi="宋体" w:cs="宋体"/>
        </w:rPr>
        <w:t>投标人未被</w:t>
      </w:r>
      <w:r>
        <w:rPr>
          <w:rFonts w:hint="eastAsia" w:ascii="宋体" w:cs="宋体"/>
        </w:rPr>
        <w:t xml:space="preserve"> </w:t>
      </w:r>
      <w:r>
        <w:rPr>
          <w:rFonts w:hint="eastAsia"/>
        </w:rPr>
        <w:t>“信用中国”网站列入失信被执行人、重大税收违法案件当事人名单、政府采购严重违法失信名单。</w:t>
      </w:r>
    </w:p>
    <w:p>
      <w:pPr>
        <w:spacing w:line="360" w:lineRule="auto"/>
        <w:ind w:firstLine="422" w:firstLineChars="200"/>
        <w:jc w:val="left"/>
      </w:pPr>
      <w:r>
        <w:rPr>
          <w:rFonts w:hint="eastAsia" w:ascii="宋体" w:hAnsi="宋体"/>
          <w:b/>
          <w:bCs/>
        </w:rPr>
        <w:t>3.7</w:t>
      </w:r>
      <w:r>
        <w:rPr>
          <w:rFonts w:hint="eastAsia" w:ascii="宋体" w:hAnsi="宋体"/>
        </w:rPr>
        <w:t>投标人（或联合体成员中的设计单位）应进入交通运输部“全国公路建设市场信用信息管理系统（http：//glxy.mot.gov.cn）”中的公路工程设计资质企业名录，且投标人名称和资质与该名录中的相应企业名称和资质完全一致。</w:t>
      </w:r>
    </w:p>
    <w:p>
      <w:pPr>
        <w:spacing w:line="450" w:lineRule="exact"/>
        <w:ind w:firstLine="316" w:firstLineChars="150"/>
        <w:rPr>
          <w:rFonts w:ascii="宋体" w:hAnsi="宋体"/>
        </w:rPr>
      </w:pPr>
      <w:r>
        <w:rPr>
          <w:rFonts w:ascii="宋体" w:hAnsi="宋体" w:cs="宋体"/>
          <w:b/>
          <w:bCs/>
        </w:rPr>
        <w:t>3.</w:t>
      </w:r>
      <w:r>
        <w:rPr>
          <w:rFonts w:hint="eastAsia" w:ascii="宋体" w:hAnsi="宋体" w:cs="宋体"/>
          <w:b/>
          <w:bCs/>
        </w:rPr>
        <w:t>8</w:t>
      </w:r>
      <w:r>
        <w:rPr>
          <w:rFonts w:ascii="宋体" w:hAnsi="宋体"/>
        </w:rPr>
        <w:t xml:space="preserve"> </w:t>
      </w:r>
      <w:bookmarkStart w:id="11" w:name="_Hlk99614578"/>
      <w:r>
        <w:rPr>
          <w:rFonts w:ascii="宋体" w:hAnsi="宋体"/>
        </w:rPr>
        <w:t>本次招标</w:t>
      </w:r>
      <w:r>
        <w:rPr>
          <w:rFonts w:ascii="宋体" w:hAnsi="宋体"/>
          <w:u w:val="single"/>
        </w:rPr>
        <w:t>接受</w:t>
      </w:r>
      <w:r>
        <w:rPr>
          <w:rFonts w:ascii="宋体" w:hAnsi="宋体"/>
        </w:rPr>
        <w:t>联合体投标</w:t>
      </w:r>
      <w:bookmarkEnd w:id="11"/>
      <w:r>
        <w:rPr>
          <w:rFonts w:ascii="宋体" w:hAnsi="宋体"/>
        </w:rPr>
        <w:t>。联合体投标的，应满足下列要求：</w:t>
      </w:r>
    </w:p>
    <w:p>
      <w:pPr>
        <w:spacing w:line="450" w:lineRule="exact"/>
        <w:ind w:firstLine="420" w:firstLineChars="200"/>
        <w:rPr>
          <w:rFonts w:ascii="宋体" w:hAnsi="宋体"/>
        </w:rPr>
      </w:pPr>
      <w:r>
        <w:rPr>
          <w:rFonts w:hint="eastAsia" w:ascii="宋体" w:hAnsi="宋体"/>
        </w:rPr>
        <w:t>（1）联合体各方均应具有承担招标项目必备的条件，如相应的人力、物力、资金；</w:t>
      </w:r>
    </w:p>
    <w:p>
      <w:pPr>
        <w:spacing w:line="360" w:lineRule="auto"/>
        <w:ind w:firstLine="420" w:firstLineChars="200"/>
        <w:jc w:val="left"/>
        <w:rPr>
          <w:rFonts w:hint="eastAsia" w:ascii="宋体" w:hAnsi="宋体"/>
        </w:rPr>
      </w:pPr>
      <w:r>
        <w:rPr>
          <w:rFonts w:hint="eastAsia" w:ascii="宋体" w:hAnsi="宋体"/>
        </w:rPr>
        <w:t>（2）联合体各方应按招标文件提供的格式签订联合体协议书，明确联合体牵头人和各方权利义务，并承诺就中标项目向招标人</w:t>
      </w:r>
    </w:p>
    <w:p>
      <w:pPr>
        <w:spacing w:line="360" w:lineRule="auto"/>
        <w:ind w:firstLine="420" w:firstLineChars="200"/>
        <w:jc w:val="left"/>
        <w:rPr>
          <w:rFonts w:ascii="宋体" w:hAnsi="宋体"/>
        </w:rPr>
      </w:pPr>
      <w:r>
        <w:rPr>
          <w:rFonts w:hint="eastAsia" w:ascii="宋体" w:hAnsi="宋体"/>
        </w:rPr>
        <w:t>承担连带责任；</w:t>
      </w:r>
      <w:r>
        <w:rPr>
          <w:rFonts w:hint="eastAsia" w:ascii="宋体" w:hAnsi="宋体" w:cs="宋体"/>
          <w:highlight w:val="yellow"/>
        </w:rPr>
        <w:t>本次招标联合体投标，联合体最多不超过三家，</w:t>
      </w:r>
      <w:r>
        <w:rPr>
          <w:rFonts w:hint="eastAsia" w:ascii="宋体" w:hAnsi="宋体" w:cs="宋体"/>
        </w:rPr>
        <w:t>联合体牵头人必须具有工程设计综合甲级资质、工程勘察综合甲级资质。</w:t>
      </w:r>
    </w:p>
    <w:p>
      <w:pPr>
        <w:spacing w:line="450" w:lineRule="exact"/>
        <w:ind w:firstLine="420" w:firstLineChars="200"/>
        <w:rPr>
          <w:rFonts w:ascii="宋体" w:hAnsi="宋体"/>
        </w:rPr>
      </w:pPr>
      <w:r>
        <w:rPr>
          <w:rFonts w:hint="eastAsia" w:ascii="宋体" w:hAnsi="宋体"/>
        </w:rPr>
        <w:t>（3）由同一专业的单位组成的联合体，按照资质等级较低的单位确定资质等级；不同专业的单位组成的联合体，按照联合体协议分工所承担的专业工作对应各自的专业资质认定资质等级；</w:t>
      </w:r>
    </w:p>
    <w:p>
      <w:pPr>
        <w:spacing w:line="450" w:lineRule="exact"/>
        <w:ind w:firstLine="420" w:firstLineChars="200"/>
        <w:rPr>
          <w:rFonts w:ascii="宋体" w:hAnsi="宋体"/>
        </w:rPr>
      </w:pPr>
      <w:r>
        <w:rPr>
          <w:rFonts w:hint="eastAsia" w:ascii="宋体" w:hAnsi="宋体"/>
        </w:rPr>
        <w:t>（4）联合体各方不得再以自己名义单独或参加其他联合体在本招标项目中投标；</w:t>
      </w:r>
    </w:p>
    <w:p>
      <w:pPr>
        <w:spacing w:line="450" w:lineRule="exact"/>
        <w:ind w:firstLine="420" w:firstLineChars="200"/>
        <w:rPr>
          <w:rFonts w:ascii="宋体" w:hAnsi="宋体"/>
        </w:rPr>
      </w:pPr>
      <w:r>
        <w:rPr>
          <w:rFonts w:hint="eastAsia" w:ascii="宋体" w:hAnsi="宋体"/>
        </w:rPr>
        <w:t>（5）总承包单位（包括总承包联合体成员单位，下同）不得是总承包项目的代建单位、监理单位或以上单位的附属单位；</w:t>
      </w:r>
    </w:p>
    <w:p>
      <w:pPr>
        <w:spacing w:line="450" w:lineRule="exact"/>
        <w:ind w:firstLine="420" w:firstLineChars="200"/>
        <w:rPr>
          <w:rFonts w:ascii="宋体" w:hAnsi="宋体"/>
        </w:rPr>
      </w:pPr>
      <w:r>
        <w:rPr>
          <w:rFonts w:hint="eastAsia" w:ascii="宋体" w:hAnsi="宋体"/>
        </w:rPr>
        <w:t xml:space="preserve">（6）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 </w:t>
      </w:r>
    </w:p>
    <w:p>
      <w:pPr>
        <w:spacing w:line="450" w:lineRule="exact"/>
        <w:ind w:firstLine="420" w:firstLineChars="200"/>
        <w:rPr>
          <w:rFonts w:ascii="宋体" w:hAnsi="宋体"/>
        </w:rPr>
      </w:pPr>
      <w:r>
        <w:rPr>
          <w:rFonts w:hint="eastAsia" w:ascii="宋体" w:hAnsi="宋体"/>
        </w:rPr>
        <w:t>（7）尽管委任了联合体牵头人，但联合体各成员在投标、签订合同与履行合同过程中，仍负有连带的和各自的法律责任。</w:t>
      </w:r>
    </w:p>
    <w:p>
      <w:pPr>
        <w:spacing w:line="450" w:lineRule="exact"/>
        <w:ind w:firstLine="422" w:firstLineChars="200"/>
        <w:rPr>
          <w:rFonts w:ascii="宋体" w:hAnsi="宋体"/>
        </w:rPr>
      </w:pPr>
      <w:r>
        <w:rPr>
          <w:rFonts w:ascii="宋体" w:hAnsi="宋体"/>
          <w:b/>
          <w:bCs/>
        </w:rPr>
        <w:t>3.</w:t>
      </w:r>
      <w:r>
        <w:rPr>
          <w:rFonts w:hint="eastAsia" w:ascii="宋体" w:hAnsi="宋体"/>
          <w:b/>
          <w:bCs/>
        </w:rPr>
        <w:t>9</w:t>
      </w:r>
      <w:r>
        <w:rPr>
          <w:rFonts w:hint="eastAsia" w:ascii="宋体" w:hAnsi="宋体"/>
        </w:rPr>
        <w:t>与招标人存在利害关系可能影响招标公正性的单位，不得参加投标，单位负责人为同一人或存在控股、管理关系的不同单位，不得参加同一标段投标，否则，相关投标均无效。</w:t>
      </w:r>
    </w:p>
    <w:p>
      <w:pPr>
        <w:spacing w:line="450" w:lineRule="exact"/>
        <w:ind w:firstLine="422" w:firstLineChars="200"/>
        <w:rPr>
          <w:rFonts w:ascii="宋体" w:hAnsi="宋体"/>
        </w:rPr>
      </w:pPr>
      <w:r>
        <w:rPr>
          <w:rFonts w:ascii="宋体" w:hAnsi="宋体"/>
          <w:b/>
          <w:bCs/>
        </w:rPr>
        <w:t>3.</w:t>
      </w:r>
      <w:r>
        <w:rPr>
          <w:rFonts w:hint="eastAsia" w:ascii="宋体" w:hAnsi="宋体"/>
          <w:b/>
          <w:bCs/>
        </w:rPr>
        <w:t>10</w:t>
      </w:r>
      <w:r>
        <w:rPr>
          <w:rFonts w:hint="eastAsia" w:ascii="宋体" w:hAnsi="宋体"/>
        </w:rPr>
        <w:t>对投标人信用等级的认定条件为：</w:t>
      </w:r>
      <w:r>
        <w:rPr>
          <w:rFonts w:hint="eastAsia" w:ascii="宋体" w:hAnsi="宋体"/>
          <w:u w:val="single"/>
        </w:rPr>
        <w:t>在交通运输部202</w:t>
      </w:r>
      <w:r>
        <w:rPr>
          <w:rFonts w:hint="eastAsia" w:ascii="宋体" w:hAnsi="宋体"/>
          <w:u w:val="single"/>
          <w:lang w:val="en-US" w:eastAsia="zh-CN"/>
        </w:rPr>
        <w:t>1</w:t>
      </w:r>
      <w:r>
        <w:rPr>
          <w:rFonts w:hint="eastAsia" w:ascii="宋体" w:hAnsi="宋体"/>
          <w:u w:val="single"/>
        </w:rPr>
        <w:t>年度公路建设市场全国综合信用评价结果或2021年度天津市公路建设市场从业企业信用评价被评为</w:t>
      </w:r>
      <w:r>
        <w:rPr>
          <w:rFonts w:ascii="宋体" w:hAnsi="宋体"/>
          <w:u w:val="single"/>
        </w:rPr>
        <w:t>C</w:t>
      </w:r>
      <w:r>
        <w:rPr>
          <w:rFonts w:hint="eastAsia" w:ascii="宋体" w:hAnsi="宋体"/>
          <w:u w:val="single"/>
        </w:rPr>
        <w:t>级或以上。若为联合体投标，则以设计单位的企业信用评价等级为准；若为非联合体投标，则以投标人的设计企业信用评价等级为准，且在国家企业信用信息公示系统（http://www.gsxt.gov.cn/）中无经营异常情况。</w:t>
      </w:r>
    </w:p>
    <w:p>
      <w:pPr>
        <w:spacing w:line="360" w:lineRule="auto"/>
        <w:ind w:firstLine="422" w:firstLineChars="200"/>
        <w:rPr>
          <w:rFonts w:hint="eastAsia" w:ascii="宋体" w:hAnsi="宋体" w:cs="宋体"/>
        </w:rPr>
      </w:pPr>
      <w:r>
        <w:rPr>
          <w:rFonts w:ascii="宋体" w:hAnsi="宋体" w:cs="宋体"/>
          <w:b/>
          <w:bCs/>
        </w:rPr>
        <w:t>3.</w:t>
      </w:r>
      <w:r>
        <w:rPr>
          <w:rFonts w:hint="eastAsia" w:ascii="宋体" w:hAnsi="宋体" w:cs="宋体"/>
          <w:b/>
          <w:bCs/>
        </w:rPr>
        <w:t>11</w:t>
      </w:r>
      <w:r>
        <w:rPr>
          <w:rFonts w:hint="eastAsia" w:ascii="宋体" w:hAnsi="宋体" w:cs="宋体"/>
        </w:rPr>
        <w:t>资格审查方式：资格后审。</w:t>
      </w:r>
    </w:p>
    <w:p>
      <w:pPr>
        <w:spacing w:line="360" w:lineRule="auto"/>
        <w:ind w:firstLine="422" w:firstLineChars="200"/>
        <w:rPr>
          <w:rFonts w:hint="default" w:ascii="宋体" w:hAnsi="宋体" w:cs="宋体"/>
          <w:b/>
          <w:bCs/>
          <w:lang w:val="en-US" w:eastAsia="zh-CN"/>
        </w:rPr>
      </w:pPr>
      <w:r>
        <w:rPr>
          <w:rFonts w:hint="eastAsia" w:ascii="宋体" w:hAnsi="宋体" w:cs="宋体"/>
          <w:b/>
          <w:bCs/>
          <w:lang w:val="en-US" w:eastAsia="zh-CN"/>
        </w:rPr>
        <w:t>3.12如滨海新区人民政府对本次招标另有相关要求，招标人可以按照要求内容进行澄清补遗或取消本次开标，招标人按相关规定退还投标人的相关费用。</w:t>
      </w:r>
    </w:p>
    <w:p>
      <w:pPr>
        <w:spacing w:line="420" w:lineRule="exact"/>
        <w:outlineLvl w:val="1"/>
        <w:rPr>
          <w:rFonts w:ascii="宋体"/>
          <w:b/>
          <w:bCs/>
          <w:sz w:val="24"/>
          <w:szCs w:val="24"/>
        </w:rPr>
      </w:pPr>
      <w:bookmarkStart w:id="12" w:name="_Toc42001791"/>
      <w:bookmarkStart w:id="13" w:name="_Toc84265536"/>
      <w:r>
        <w:rPr>
          <w:rFonts w:hint="eastAsia" w:ascii="宋体" w:hAnsi="宋体" w:cs="宋体"/>
          <w:b/>
          <w:bCs/>
          <w:sz w:val="24"/>
          <w:szCs w:val="24"/>
        </w:rPr>
        <w:t>4</w:t>
      </w:r>
      <w:r>
        <w:rPr>
          <w:rFonts w:ascii="宋体" w:hAnsi="宋体" w:cs="宋体"/>
          <w:b/>
          <w:bCs/>
          <w:sz w:val="24"/>
          <w:szCs w:val="24"/>
        </w:rPr>
        <w:t>.</w:t>
      </w:r>
      <w:r>
        <w:rPr>
          <w:rFonts w:ascii="宋体" w:hAnsi="宋体" w:cs="宋体"/>
          <w:b/>
          <w:bCs/>
          <w:sz w:val="24"/>
          <w:szCs w:val="24"/>
        </w:rPr>
        <w:tab/>
      </w:r>
      <w:r>
        <w:rPr>
          <w:rFonts w:hint="eastAsia" w:ascii="宋体" w:hAnsi="宋体" w:cs="宋体"/>
          <w:b/>
          <w:bCs/>
          <w:sz w:val="24"/>
          <w:szCs w:val="24"/>
        </w:rPr>
        <w:t>招标文件的获取</w:t>
      </w:r>
      <w:bookmarkEnd w:id="12"/>
      <w:bookmarkEnd w:id="13"/>
    </w:p>
    <w:p>
      <w:pPr>
        <w:tabs>
          <w:tab w:val="left" w:pos="0"/>
        </w:tabs>
        <w:spacing w:line="450" w:lineRule="exact"/>
        <w:ind w:firstLine="420" w:firstLineChars="200"/>
        <w:rPr>
          <w:rFonts w:ascii="宋体" w:hAnsi="宋体"/>
        </w:rPr>
      </w:pPr>
      <w:bookmarkStart w:id="14" w:name="_Toc84265539"/>
      <w:r>
        <w:rPr>
          <w:rFonts w:ascii="宋体" w:hAnsi="宋体"/>
        </w:rPr>
        <w:t>4.1 凡有意参加投标者，请</w:t>
      </w:r>
      <w:r>
        <w:rPr>
          <w:rFonts w:hint="eastAsia" w:ascii="宋体" w:hAnsi="宋体"/>
        </w:rPr>
        <w:t>于</w:t>
      </w:r>
      <w:r>
        <w:rPr>
          <w:rFonts w:hint="eastAsia" w:ascii="宋体" w:hAnsi="宋体"/>
          <w:u w:val="single"/>
        </w:rPr>
        <w:t>2023</w:t>
      </w:r>
      <w:r>
        <w:rPr>
          <w:rFonts w:hint="eastAsia" w:ascii="宋体" w:hAnsi="宋体"/>
        </w:rPr>
        <w:t xml:space="preserve"> 年</w:t>
      </w:r>
      <w:r>
        <w:rPr>
          <w:rFonts w:hint="eastAsia" w:ascii="宋体" w:hAnsi="宋体"/>
          <w:u w:val="single"/>
        </w:rPr>
        <w:t xml:space="preserve"> 1 </w:t>
      </w:r>
      <w:r>
        <w:rPr>
          <w:rFonts w:hint="eastAsia" w:ascii="宋体" w:hAnsi="宋体"/>
        </w:rPr>
        <w:t>月</w:t>
      </w:r>
      <w:r>
        <w:rPr>
          <w:rFonts w:hint="eastAsia" w:ascii="宋体" w:hAnsi="宋体"/>
          <w:u w:val="single"/>
        </w:rPr>
        <w:t xml:space="preserve"> </w:t>
      </w:r>
      <w:r>
        <w:rPr>
          <w:rFonts w:hint="eastAsia" w:ascii="宋体" w:hAnsi="宋体"/>
          <w:u w:val="single"/>
          <w:lang w:val="en-US" w:eastAsia="zh-CN"/>
        </w:rPr>
        <w:t>18</w:t>
      </w:r>
      <w:r>
        <w:rPr>
          <w:rFonts w:hint="eastAsia" w:ascii="宋体" w:hAnsi="宋体"/>
          <w:u w:val="single"/>
        </w:rPr>
        <w:t xml:space="preserve"> </w:t>
      </w:r>
      <w:r>
        <w:rPr>
          <w:rFonts w:hint="eastAsia" w:ascii="宋体" w:hAnsi="宋体"/>
        </w:rPr>
        <w:t>日至</w:t>
      </w:r>
      <w:r>
        <w:rPr>
          <w:rFonts w:hint="eastAsia" w:ascii="宋体" w:hAnsi="宋体"/>
          <w:u w:val="single"/>
        </w:rPr>
        <w:t>2023</w:t>
      </w:r>
      <w:r>
        <w:rPr>
          <w:rFonts w:hint="eastAsia" w:ascii="宋体" w:hAnsi="宋体"/>
        </w:rPr>
        <w:t xml:space="preserve"> 年</w:t>
      </w:r>
      <w:r>
        <w:rPr>
          <w:rFonts w:hint="eastAsia" w:ascii="宋体" w:hAnsi="宋体"/>
          <w:u w:val="single"/>
        </w:rPr>
        <w:t xml:space="preserve"> 1 </w:t>
      </w:r>
      <w:r>
        <w:rPr>
          <w:rFonts w:hint="eastAsia" w:ascii="宋体" w:hAnsi="宋体"/>
        </w:rPr>
        <w:t>月</w:t>
      </w:r>
      <w:r>
        <w:rPr>
          <w:rFonts w:hint="eastAsia" w:ascii="宋体" w:hAnsi="宋体"/>
          <w:u w:val="single"/>
          <w:lang w:val="en-US" w:eastAsia="zh-CN"/>
        </w:rPr>
        <w:t xml:space="preserve"> 29</w:t>
      </w:r>
      <w:bookmarkStart w:id="449" w:name="_GoBack"/>
      <w:bookmarkEnd w:id="449"/>
      <w:r>
        <w:rPr>
          <w:rFonts w:hint="eastAsia" w:ascii="宋体" w:hAnsi="宋体"/>
          <w:u w:val="single"/>
        </w:rPr>
        <w:t xml:space="preserve"> </w:t>
      </w:r>
      <w:r>
        <w:rPr>
          <w:rFonts w:hint="eastAsia" w:ascii="宋体" w:hAnsi="宋体"/>
        </w:rPr>
        <w:t>日，每日</w:t>
      </w:r>
      <w:r>
        <w:rPr>
          <w:rFonts w:ascii="宋体" w:hAnsi="宋体"/>
        </w:rPr>
        <w:t>上午</w:t>
      </w:r>
      <w:r>
        <w:rPr>
          <w:rFonts w:hint="eastAsia" w:ascii="宋体" w:hAnsi="宋体"/>
          <w:u w:val="single"/>
        </w:rPr>
        <w:t xml:space="preserve"> </w:t>
      </w:r>
      <w:r>
        <w:rPr>
          <w:rFonts w:ascii="宋体" w:hAnsi="宋体"/>
          <w:u w:val="single"/>
        </w:rPr>
        <w:t>9</w:t>
      </w:r>
      <w:r>
        <w:rPr>
          <w:rFonts w:hint="eastAsia" w:ascii="宋体" w:hAnsi="宋体"/>
          <w:u w:val="single"/>
        </w:rPr>
        <w:t xml:space="preserve"> </w:t>
      </w:r>
      <w:r>
        <w:rPr>
          <w:rFonts w:ascii="宋体" w:hAnsi="宋体"/>
        </w:rPr>
        <w:t>时至</w:t>
      </w:r>
      <w:r>
        <w:rPr>
          <w:rFonts w:hint="eastAsia" w:ascii="宋体" w:hAnsi="宋体"/>
          <w:u w:val="single"/>
        </w:rPr>
        <w:t xml:space="preserve"> 1</w:t>
      </w:r>
      <w:r>
        <w:rPr>
          <w:rFonts w:ascii="宋体" w:hAnsi="宋体"/>
          <w:u w:val="single"/>
        </w:rPr>
        <w:t>2</w:t>
      </w:r>
      <w:r>
        <w:rPr>
          <w:rFonts w:hint="eastAsia" w:ascii="宋体" w:hAnsi="宋体"/>
          <w:u w:val="single"/>
        </w:rPr>
        <w:t xml:space="preserve"> </w:t>
      </w:r>
      <w:r>
        <w:rPr>
          <w:rFonts w:ascii="宋体" w:hAnsi="宋体"/>
        </w:rPr>
        <w:t>时，下午</w:t>
      </w:r>
      <w:r>
        <w:rPr>
          <w:rFonts w:hint="eastAsia" w:ascii="宋体" w:hAnsi="宋体"/>
          <w:u w:val="single"/>
        </w:rPr>
        <w:t xml:space="preserve"> 1</w:t>
      </w:r>
      <w:r>
        <w:rPr>
          <w:rFonts w:ascii="宋体" w:hAnsi="宋体"/>
          <w:u w:val="single"/>
        </w:rPr>
        <w:t>3</w:t>
      </w:r>
      <w:r>
        <w:rPr>
          <w:rFonts w:hint="eastAsia" w:ascii="宋体" w:hAnsi="宋体"/>
          <w:u w:val="single"/>
        </w:rPr>
        <w:t xml:space="preserve"> </w:t>
      </w:r>
      <w:r>
        <w:rPr>
          <w:rFonts w:ascii="宋体" w:hAnsi="宋体"/>
        </w:rPr>
        <w:t>时至</w:t>
      </w:r>
      <w:r>
        <w:rPr>
          <w:rFonts w:hint="eastAsia" w:ascii="宋体" w:hAnsi="宋体"/>
          <w:u w:val="single"/>
        </w:rPr>
        <w:t xml:space="preserve"> </w:t>
      </w:r>
      <w:r>
        <w:rPr>
          <w:rFonts w:ascii="宋体" w:hAnsi="宋体"/>
          <w:u w:val="single"/>
        </w:rPr>
        <w:t>1</w:t>
      </w:r>
      <w:r>
        <w:rPr>
          <w:rFonts w:hint="eastAsia" w:ascii="宋体" w:hAnsi="宋体"/>
          <w:u w:val="single"/>
          <w:lang w:val="en-US" w:eastAsia="zh-CN"/>
        </w:rPr>
        <w:t>6</w:t>
      </w:r>
      <w:r>
        <w:rPr>
          <w:rFonts w:hint="eastAsia" w:ascii="宋体" w:hAnsi="宋体"/>
          <w:u w:val="single"/>
        </w:rPr>
        <w:t xml:space="preserve"> </w:t>
      </w:r>
      <w:r>
        <w:rPr>
          <w:rFonts w:ascii="宋体" w:hAnsi="宋体"/>
        </w:rPr>
        <w:t>时（北京时间，下同），</w:t>
      </w:r>
      <w:r>
        <w:rPr>
          <w:rFonts w:hint="eastAsia" w:ascii="宋体" w:hAnsi="宋体"/>
        </w:rPr>
        <w:t>将法人营业执照（若为企业法人应提供营业执照副本；若为事业单位应提供事业单位法人证书）、经办人身份证加盖公章后扫描成PDF格式文件发送至chengtouzixun@163.com邮箱,并注明：1、项目名称及标段号；2、投标单位名称；3、联系人；4、联系方式；5、投标单位联系邮箱；6、增值税开票种类及具体开票信息；7、招标文件邮寄地址。（1）招标文件及</w:t>
      </w:r>
      <w:bookmarkStart w:id="15" w:name="_Hlk100335950"/>
      <w:r>
        <w:rPr>
          <w:rFonts w:hint="eastAsia" w:ascii="宋体" w:hAnsi="宋体"/>
        </w:rPr>
        <w:t>方案设计资料</w:t>
      </w:r>
      <w:bookmarkEnd w:id="15"/>
      <w:r>
        <w:rPr>
          <w:rFonts w:hint="eastAsia" w:ascii="宋体" w:hAnsi="宋体"/>
        </w:rPr>
        <w:t>将按邮箱预留地址发送快寄（顺丰到付）。（2）投标人可以持上述全部资料和经办人身份证原件到天津市滨海新区津塘公路5982号副598号天津市滨海新区城投工程咨询有限公司B104号购买本项目招标文件。到现场购买招标文件人员必须佩戴口罩，在指定地点自觉接受体温检测及防疫询问，出示“健康码”。限定参与人数。每个投标主体的人员不得超过1人。</w:t>
      </w:r>
    </w:p>
    <w:p>
      <w:pPr>
        <w:tabs>
          <w:tab w:val="left" w:pos="0"/>
        </w:tabs>
        <w:spacing w:line="450" w:lineRule="exact"/>
        <w:ind w:firstLine="420" w:firstLineChars="200"/>
        <w:rPr>
          <w:rFonts w:ascii="宋体" w:hAnsi="宋体"/>
        </w:rPr>
      </w:pPr>
      <w:r>
        <w:rPr>
          <w:rFonts w:ascii="宋体" w:hAnsi="宋体"/>
        </w:rPr>
        <w:t>4.2 招标文件每套售价</w:t>
      </w:r>
      <w:r>
        <w:rPr>
          <w:rFonts w:hint="eastAsia" w:ascii="宋体" w:hAnsi="宋体"/>
          <w:u w:val="single"/>
        </w:rPr>
        <w:t xml:space="preserve"> 20</w:t>
      </w:r>
      <w:r>
        <w:rPr>
          <w:rFonts w:ascii="宋体" w:hAnsi="宋体"/>
          <w:u w:val="single"/>
        </w:rPr>
        <w:t>00</w:t>
      </w:r>
      <w:r>
        <w:rPr>
          <w:rFonts w:hint="eastAsia" w:ascii="宋体" w:hAnsi="宋体"/>
          <w:u w:val="single"/>
        </w:rPr>
        <w:t xml:space="preserve"> </w:t>
      </w:r>
      <w:r>
        <w:rPr>
          <w:rFonts w:ascii="宋体" w:hAnsi="宋体"/>
        </w:rPr>
        <w:t>元，</w:t>
      </w:r>
      <w:r>
        <w:rPr>
          <w:rFonts w:hint="eastAsia" w:ascii="宋体" w:hAnsi="宋体"/>
        </w:rPr>
        <w:t>方案设计资料</w:t>
      </w:r>
      <w:r>
        <w:rPr>
          <w:rFonts w:hint="eastAsia" w:ascii="宋体" w:hAnsi="宋体"/>
          <w:u w:val="single"/>
        </w:rPr>
        <w:t xml:space="preserve"> 0</w:t>
      </w:r>
      <w:r>
        <w:rPr>
          <w:rFonts w:ascii="宋体" w:hAnsi="宋体"/>
          <w:u w:val="single"/>
        </w:rPr>
        <w:t xml:space="preserve"> </w:t>
      </w:r>
      <w:r>
        <w:rPr>
          <w:rFonts w:hint="eastAsia" w:ascii="宋体" w:hAnsi="宋体"/>
        </w:rPr>
        <w:t>元，售后不退。</w:t>
      </w:r>
    </w:p>
    <w:p>
      <w:pPr>
        <w:tabs>
          <w:tab w:val="left" w:pos="0"/>
        </w:tabs>
        <w:spacing w:line="450" w:lineRule="exact"/>
        <w:ind w:firstLine="420" w:firstLineChars="200"/>
        <w:rPr>
          <w:rFonts w:ascii="宋体" w:hAnsi="宋体"/>
        </w:rPr>
      </w:pPr>
      <w:r>
        <w:rPr>
          <w:rFonts w:hint="eastAsia" w:ascii="宋体" w:hAnsi="宋体"/>
        </w:rPr>
        <w:t>招标文件费用采用现金或银行电汇形式，电汇至：</w:t>
      </w:r>
    </w:p>
    <w:p>
      <w:pPr>
        <w:tabs>
          <w:tab w:val="left" w:pos="0"/>
        </w:tabs>
        <w:spacing w:line="450" w:lineRule="exact"/>
        <w:ind w:firstLine="420" w:firstLineChars="200"/>
        <w:rPr>
          <w:rFonts w:ascii="宋体" w:hAnsi="宋体"/>
        </w:rPr>
      </w:pPr>
      <w:r>
        <w:rPr>
          <w:rFonts w:hint="eastAsia" w:ascii="宋体" w:hAnsi="宋体"/>
        </w:rPr>
        <w:t>户名：天津市滨海新区城投工程咨询有限公司；</w:t>
      </w:r>
    </w:p>
    <w:p>
      <w:pPr>
        <w:tabs>
          <w:tab w:val="left" w:pos="0"/>
        </w:tabs>
        <w:spacing w:line="450" w:lineRule="exact"/>
        <w:ind w:firstLine="420" w:firstLineChars="200"/>
        <w:rPr>
          <w:rFonts w:ascii="宋体" w:hAnsi="宋体"/>
        </w:rPr>
      </w:pPr>
      <w:r>
        <w:rPr>
          <w:rFonts w:ascii="宋体" w:hAnsi="宋体"/>
        </w:rPr>
        <w:t>开户银行：中国建设银行股份有限公司天津和平路支行</w:t>
      </w:r>
    </w:p>
    <w:p>
      <w:pPr>
        <w:tabs>
          <w:tab w:val="left" w:pos="0"/>
        </w:tabs>
        <w:spacing w:line="450" w:lineRule="exact"/>
        <w:ind w:firstLine="420" w:firstLineChars="200"/>
        <w:rPr>
          <w:rFonts w:ascii="宋体" w:hAnsi="宋体"/>
        </w:rPr>
      </w:pPr>
      <w:r>
        <w:rPr>
          <w:rFonts w:ascii="宋体" w:hAnsi="宋体"/>
        </w:rPr>
        <w:t>帐 号 ：12001675001050002729</w:t>
      </w:r>
    </w:p>
    <w:p>
      <w:pPr>
        <w:tabs>
          <w:tab w:val="left" w:pos="0"/>
        </w:tabs>
        <w:spacing w:line="450" w:lineRule="exact"/>
        <w:ind w:firstLine="420" w:firstLineChars="200"/>
        <w:rPr>
          <w:rFonts w:ascii="宋体" w:hAnsi="宋体"/>
        </w:rPr>
      </w:pPr>
      <w:r>
        <w:rPr>
          <w:rFonts w:hint="eastAsia" w:ascii="宋体" w:hAnsi="宋体"/>
        </w:rPr>
        <w:t>采用电汇形式投标单位须从单位银行账户汇出，电汇时注明招标编号。</w:t>
      </w:r>
    </w:p>
    <w:bookmarkEnd w:id="14"/>
    <w:p>
      <w:pPr>
        <w:spacing w:line="420" w:lineRule="exact"/>
        <w:outlineLvl w:val="1"/>
        <w:rPr>
          <w:rFonts w:ascii="宋体"/>
          <w:b/>
          <w:bCs/>
          <w:sz w:val="24"/>
          <w:szCs w:val="24"/>
        </w:rPr>
      </w:pPr>
      <w:bookmarkStart w:id="16" w:name="_Toc42001794"/>
      <w:bookmarkStart w:id="17" w:name="_Toc84265541"/>
      <w:r>
        <w:rPr>
          <w:rFonts w:hint="eastAsia" w:ascii="宋体" w:hAnsi="宋体" w:cs="宋体"/>
          <w:b/>
          <w:bCs/>
          <w:sz w:val="24"/>
          <w:szCs w:val="24"/>
        </w:rPr>
        <w:t>5</w:t>
      </w:r>
      <w:r>
        <w:rPr>
          <w:rFonts w:ascii="宋体" w:hAnsi="宋体" w:cs="宋体"/>
          <w:b/>
          <w:bCs/>
          <w:sz w:val="24"/>
          <w:szCs w:val="24"/>
        </w:rPr>
        <w:t xml:space="preserve">.  </w:t>
      </w:r>
      <w:r>
        <w:rPr>
          <w:rFonts w:hint="eastAsia" w:ascii="宋体" w:hAnsi="宋体" w:cs="宋体"/>
          <w:b/>
          <w:bCs/>
          <w:sz w:val="24"/>
          <w:szCs w:val="24"/>
        </w:rPr>
        <w:t>投标文件的递交</w:t>
      </w:r>
      <w:bookmarkEnd w:id="16"/>
      <w:bookmarkEnd w:id="17"/>
    </w:p>
    <w:p>
      <w:pPr>
        <w:spacing w:line="450" w:lineRule="exact"/>
        <w:ind w:firstLine="420" w:firstLineChars="200"/>
        <w:rPr>
          <w:rFonts w:ascii="宋体" w:hAnsi="宋体"/>
        </w:rPr>
      </w:pPr>
      <w:bookmarkStart w:id="18" w:name="_Toc84265544"/>
      <w:bookmarkStart w:id="19" w:name="_Toc42001797"/>
      <w:r>
        <w:rPr>
          <w:rFonts w:ascii="宋体" w:hAnsi="宋体"/>
        </w:rPr>
        <w:t xml:space="preserve">5.1 </w:t>
      </w:r>
      <w:r>
        <w:rPr>
          <w:rFonts w:hint="eastAsia" w:ascii="宋体" w:hAnsi="宋体"/>
        </w:rPr>
        <w:t>投标文件递交的截止时间（投标截止时间，下同）为</w:t>
      </w:r>
      <w:r>
        <w:rPr>
          <w:rFonts w:hint="eastAsia" w:ascii="宋体" w:hAnsi="宋体"/>
          <w:highlight w:val="none"/>
          <w:u w:val="single"/>
        </w:rPr>
        <w:t xml:space="preserve"> 2023 </w:t>
      </w:r>
      <w:r>
        <w:rPr>
          <w:rFonts w:hint="eastAsia" w:ascii="宋体" w:hAnsi="宋体"/>
          <w:highlight w:val="none"/>
        </w:rPr>
        <w:t>年</w:t>
      </w:r>
      <w:r>
        <w:rPr>
          <w:rFonts w:hint="eastAsia" w:ascii="宋体" w:hAnsi="宋体"/>
          <w:highlight w:val="none"/>
          <w:u w:val="single"/>
        </w:rPr>
        <w:t xml:space="preserve"> 2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u w:val="single"/>
          <w:lang w:val="en-US" w:eastAsia="zh-CN"/>
        </w:rPr>
        <w:t>15</w:t>
      </w:r>
      <w:r>
        <w:rPr>
          <w:rFonts w:hint="eastAsia" w:ascii="宋体" w:hAnsi="宋体"/>
          <w:highlight w:val="none"/>
          <w:u w:val="single"/>
        </w:rPr>
        <w:t xml:space="preserve"> </w:t>
      </w:r>
      <w:r>
        <w:rPr>
          <w:rFonts w:hint="eastAsia" w:ascii="宋体" w:hAnsi="宋体"/>
          <w:highlight w:val="none"/>
        </w:rPr>
        <w:t>日</w:t>
      </w:r>
      <w:r>
        <w:rPr>
          <w:rFonts w:hint="eastAsia" w:ascii="宋体" w:hAnsi="宋体"/>
          <w:highlight w:val="none"/>
          <w:u w:val="single"/>
        </w:rPr>
        <w:t xml:space="preserve"> 9 </w:t>
      </w:r>
      <w:r>
        <w:rPr>
          <w:rFonts w:hint="eastAsia" w:ascii="宋体" w:hAnsi="宋体"/>
          <w:highlight w:val="none"/>
        </w:rPr>
        <w:t>时</w:t>
      </w:r>
      <w:r>
        <w:rPr>
          <w:rFonts w:hint="eastAsia" w:ascii="宋体" w:hAnsi="宋体"/>
          <w:highlight w:val="none"/>
          <w:u w:val="single"/>
        </w:rPr>
        <w:t xml:space="preserve"> 30 </w:t>
      </w:r>
      <w:r>
        <w:rPr>
          <w:rFonts w:hint="eastAsia" w:ascii="宋体" w:hAnsi="宋体"/>
          <w:highlight w:val="none"/>
        </w:rPr>
        <w:t>分，投标人应于当日</w:t>
      </w:r>
      <w:r>
        <w:rPr>
          <w:rFonts w:hint="eastAsia" w:ascii="宋体" w:hAnsi="宋体"/>
          <w:highlight w:val="none"/>
          <w:u w:val="single"/>
        </w:rPr>
        <w:t xml:space="preserve"> 9 </w:t>
      </w:r>
      <w:r>
        <w:rPr>
          <w:rFonts w:hint="eastAsia" w:ascii="宋体" w:hAnsi="宋体"/>
          <w:highlight w:val="none"/>
        </w:rPr>
        <w:t>时</w:t>
      </w:r>
      <w:r>
        <w:rPr>
          <w:rFonts w:hint="eastAsia" w:ascii="宋体" w:hAnsi="宋体"/>
          <w:highlight w:val="none"/>
          <w:u w:val="single"/>
        </w:rPr>
        <w:t xml:space="preserve"> 00 </w:t>
      </w:r>
      <w:r>
        <w:rPr>
          <w:rFonts w:hint="eastAsia" w:ascii="宋体" w:hAnsi="宋体"/>
          <w:highlight w:val="none"/>
        </w:rPr>
        <w:t>分至</w:t>
      </w:r>
      <w:r>
        <w:rPr>
          <w:rFonts w:hint="eastAsia" w:ascii="宋体" w:hAnsi="宋体"/>
          <w:highlight w:val="none"/>
          <w:u w:val="single"/>
        </w:rPr>
        <w:t xml:space="preserve"> 9 </w:t>
      </w:r>
      <w:r>
        <w:rPr>
          <w:rFonts w:hint="eastAsia" w:ascii="宋体" w:hAnsi="宋体"/>
          <w:highlight w:val="none"/>
        </w:rPr>
        <w:t>时</w:t>
      </w:r>
      <w:r>
        <w:rPr>
          <w:rFonts w:hint="eastAsia" w:ascii="宋体" w:hAnsi="宋体"/>
          <w:highlight w:val="none"/>
          <w:u w:val="single"/>
        </w:rPr>
        <w:t xml:space="preserve"> 30 </w:t>
      </w:r>
      <w:r>
        <w:rPr>
          <w:rFonts w:hint="eastAsia" w:ascii="宋体" w:hAnsi="宋体"/>
          <w:highlight w:val="none"/>
        </w:rPr>
        <w:t>分将投标文件递交至</w:t>
      </w:r>
      <w:bookmarkStart w:id="20" w:name="_Hlk99539175"/>
      <w:r>
        <w:rPr>
          <w:rFonts w:hint="eastAsia" w:ascii="宋体" w:hAnsi="宋体"/>
          <w:highlight w:val="none"/>
          <w:u w:val="single"/>
        </w:rPr>
        <w:t>天津市政务服务中心</w:t>
      </w:r>
      <w:bookmarkStart w:id="21" w:name="_Hlk99533380"/>
      <w:r>
        <w:rPr>
          <w:rFonts w:hint="eastAsia" w:ascii="宋体" w:hAnsi="宋体"/>
          <w:highlight w:val="none"/>
          <w:u w:val="single"/>
        </w:rPr>
        <w:t>第五开标室</w:t>
      </w:r>
      <w:bookmarkEnd w:id="21"/>
      <w:r>
        <w:rPr>
          <w:rFonts w:hint="eastAsia" w:ascii="宋体" w:hAnsi="宋体"/>
          <w:highlight w:val="none"/>
          <w:u w:val="single"/>
        </w:rPr>
        <w:t>（天津市河东区红星路79号，红星路与卫国道交口顺驰立交桥旁</w:t>
      </w:r>
      <w:r>
        <w:rPr>
          <w:rFonts w:hint="eastAsia" w:ascii="宋体" w:hAnsi="宋体"/>
          <w:u w:val="single"/>
        </w:rPr>
        <w:t>）</w:t>
      </w:r>
      <w:r>
        <w:rPr>
          <w:rFonts w:hint="eastAsia" w:ascii="宋体" w:hAnsi="宋体"/>
        </w:rPr>
        <w:t>。</w:t>
      </w:r>
      <w:bookmarkEnd w:id="20"/>
    </w:p>
    <w:p>
      <w:pPr>
        <w:spacing w:line="450" w:lineRule="exact"/>
        <w:ind w:firstLine="420" w:firstLineChars="200"/>
        <w:rPr>
          <w:rFonts w:ascii="宋体" w:hAnsi="宋体"/>
        </w:rPr>
      </w:pPr>
      <w:r>
        <w:rPr>
          <w:rFonts w:hint="eastAsia" w:ascii="宋体" w:hAnsi="宋体"/>
        </w:rPr>
        <w:t>5.</w:t>
      </w:r>
      <w:r>
        <w:rPr>
          <w:rFonts w:ascii="宋体" w:hAnsi="宋体"/>
        </w:rPr>
        <w:t>2</w:t>
      </w:r>
      <w:r>
        <w:rPr>
          <w:rFonts w:hint="eastAsia" w:ascii="宋体" w:hAnsi="宋体"/>
        </w:rPr>
        <w:t xml:space="preserve"> 本项目采用线上网络开标方式（具体内容详见附件网上开标方式告知书），在投标文件递交截止时间前，送达至天津市政务服务中心第五开标室（天津市河东区红星路79号，红星路与卫国道交口顺驰立交桥旁）。</w:t>
      </w:r>
    </w:p>
    <w:p>
      <w:pPr>
        <w:spacing w:line="450" w:lineRule="exact"/>
        <w:ind w:firstLine="420" w:firstLineChars="200"/>
        <w:rPr>
          <w:rFonts w:ascii="宋体" w:hAnsi="宋体"/>
        </w:rPr>
      </w:pPr>
      <w:r>
        <w:rPr>
          <w:rFonts w:hint="eastAsia" w:ascii="宋体" w:hAnsi="宋体"/>
        </w:rPr>
        <w:t>5.</w:t>
      </w:r>
      <w:r>
        <w:rPr>
          <w:rFonts w:ascii="宋体" w:hAnsi="宋体"/>
        </w:rPr>
        <w:t>3</w:t>
      </w:r>
      <w:r>
        <w:rPr>
          <w:rFonts w:hint="eastAsia" w:ascii="宋体" w:hAnsi="宋体"/>
        </w:rPr>
        <w:t xml:space="preserve"> 开标当天请各位投标人根据招标代理工作人员引导递交文件（按照顺序递交投标文件时每人间隔1米），进入腾讯会议虚拟会议室参加网络开标活动，规定时间内未参加的，视为默认开标结果。</w:t>
      </w:r>
    </w:p>
    <w:p>
      <w:pPr>
        <w:spacing w:line="450" w:lineRule="exact"/>
        <w:ind w:firstLine="420" w:firstLineChars="200"/>
        <w:rPr>
          <w:rFonts w:ascii="宋体" w:hAnsi="宋体"/>
        </w:rPr>
      </w:pPr>
      <w:r>
        <w:rPr>
          <w:rFonts w:hint="eastAsia" w:ascii="宋体" w:hAnsi="宋体"/>
        </w:rPr>
        <w:t>5.</w:t>
      </w:r>
      <w:r>
        <w:rPr>
          <w:rFonts w:ascii="宋体" w:hAnsi="宋体"/>
        </w:rPr>
        <w:t>4</w:t>
      </w:r>
      <w:r>
        <w:rPr>
          <w:rFonts w:hint="eastAsia" w:ascii="宋体" w:hAnsi="宋体"/>
        </w:rPr>
        <w:t>逾期送达的、未送达指定地点的或不按照招标文件要求密封的投标文件，招标人将予以拒收。</w:t>
      </w:r>
    </w:p>
    <w:p>
      <w:pPr>
        <w:spacing w:line="420" w:lineRule="exact"/>
        <w:outlineLvl w:val="1"/>
        <w:rPr>
          <w:rFonts w:ascii="宋体" w:hAnsi="宋体" w:cs="宋体"/>
          <w:b/>
          <w:bCs/>
          <w:sz w:val="24"/>
          <w:szCs w:val="24"/>
        </w:rPr>
      </w:pPr>
      <w:r>
        <w:rPr>
          <w:rFonts w:hint="eastAsia" w:ascii="宋体" w:hAnsi="宋体" w:cs="宋体"/>
          <w:b/>
          <w:bCs/>
          <w:sz w:val="24"/>
          <w:szCs w:val="24"/>
        </w:rPr>
        <w:t>6</w:t>
      </w:r>
      <w:r>
        <w:rPr>
          <w:rFonts w:ascii="宋体" w:hAnsi="宋体" w:cs="宋体"/>
          <w:b/>
          <w:bCs/>
          <w:sz w:val="24"/>
          <w:szCs w:val="24"/>
        </w:rPr>
        <w:t xml:space="preserve">.  </w:t>
      </w:r>
      <w:r>
        <w:rPr>
          <w:rFonts w:hint="eastAsia" w:ascii="宋体" w:hAnsi="宋体" w:cs="宋体"/>
          <w:b/>
          <w:bCs/>
          <w:sz w:val="24"/>
          <w:szCs w:val="24"/>
        </w:rPr>
        <w:t>发布公告的媒介</w:t>
      </w:r>
      <w:bookmarkEnd w:id="18"/>
      <w:bookmarkEnd w:id="19"/>
    </w:p>
    <w:p>
      <w:pPr>
        <w:spacing w:line="450" w:lineRule="exact"/>
        <w:ind w:firstLine="420" w:firstLineChars="200"/>
        <w:rPr>
          <w:rFonts w:ascii="宋体" w:hAnsi="宋体"/>
          <w:color w:val="FF0000"/>
        </w:rPr>
      </w:pPr>
      <w:bookmarkStart w:id="22" w:name="_Toc42001798"/>
      <w:bookmarkStart w:id="23" w:name="_Toc84265545"/>
      <w:r>
        <w:rPr>
          <w:rFonts w:ascii="宋体" w:hAnsi="宋体"/>
        </w:rPr>
        <w:t>本次招标公告同时在</w:t>
      </w:r>
      <w:r>
        <w:rPr>
          <w:rFonts w:hint="eastAsia" w:ascii="宋体" w:hAnsi="宋体"/>
          <w:u w:val="single"/>
        </w:rPr>
        <w:t>天津市公共资源交易网（http://60.28.163.169/）、天津市交通运输委员会官网（http://jtys.tj.gov.cn/）</w:t>
      </w:r>
      <w:r>
        <w:rPr>
          <w:rFonts w:ascii="宋体" w:hAnsi="宋体"/>
        </w:rPr>
        <w:t>上发布。</w:t>
      </w:r>
    </w:p>
    <w:p>
      <w:pPr>
        <w:spacing w:line="450" w:lineRule="exact"/>
        <w:ind w:firstLine="420" w:firstLineChars="200"/>
        <w:rPr>
          <w:rFonts w:ascii="宋体" w:hAnsi="宋体"/>
          <w:color w:val="000000"/>
        </w:rPr>
      </w:pPr>
      <w:r>
        <w:rPr>
          <w:rFonts w:ascii="宋体" w:hAnsi="宋体"/>
          <w:color w:val="000000"/>
        </w:rPr>
        <w:t>提示：按照《天津市人民政府办公厅关于印发天津市整合建立统一的公共资源交易平台体系实施方案的通知》中统一注册市场主体信息的要求，初次参加投标的投标人需在招标文件发售期间，在天津市公共资源交易网进行注册后，方可购买招标文件进行投标，注册方法可咨询招标代理机构。已进行注册的投标人不需重新注册。</w:t>
      </w:r>
    </w:p>
    <w:p>
      <w:pPr>
        <w:spacing w:line="420" w:lineRule="exact"/>
        <w:outlineLvl w:val="1"/>
        <w:rPr>
          <w:rFonts w:ascii="宋体"/>
          <w:b/>
          <w:bCs/>
          <w:sz w:val="24"/>
          <w:szCs w:val="24"/>
        </w:rPr>
      </w:pPr>
      <w:r>
        <w:rPr>
          <w:rFonts w:hint="eastAsia" w:ascii="宋体" w:hAnsi="宋体" w:cs="宋体"/>
          <w:b/>
          <w:bCs/>
          <w:sz w:val="24"/>
          <w:szCs w:val="24"/>
        </w:rPr>
        <w:t>7</w:t>
      </w:r>
      <w:r>
        <w:rPr>
          <w:rFonts w:ascii="宋体" w:hAnsi="宋体" w:cs="宋体"/>
          <w:b/>
          <w:bCs/>
          <w:sz w:val="24"/>
          <w:szCs w:val="24"/>
        </w:rPr>
        <w:t xml:space="preserve">.  </w:t>
      </w:r>
      <w:r>
        <w:rPr>
          <w:rFonts w:hint="eastAsia" w:ascii="宋体" w:hAnsi="宋体" w:cs="宋体"/>
          <w:b/>
          <w:bCs/>
          <w:sz w:val="24"/>
          <w:szCs w:val="24"/>
        </w:rPr>
        <w:t>联系方式</w:t>
      </w:r>
      <w:bookmarkEnd w:id="22"/>
      <w:bookmarkEnd w:id="23"/>
    </w:p>
    <w:p>
      <w:pPr>
        <w:tabs>
          <w:tab w:val="left" w:pos="0"/>
        </w:tabs>
        <w:spacing w:line="450" w:lineRule="exact"/>
        <w:ind w:firstLine="420" w:firstLineChars="200"/>
        <w:rPr>
          <w:rFonts w:ascii="宋体" w:hAnsi="宋体"/>
        </w:rPr>
      </w:pPr>
      <w:r>
        <w:rPr>
          <w:rFonts w:hint="eastAsia" w:ascii="宋体" w:hAnsi="宋体"/>
        </w:rPr>
        <w:t>招标人：天津市滨海新区城投建设发展有限公司</w:t>
      </w:r>
    </w:p>
    <w:p>
      <w:pPr>
        <w:tabs>
          <w:tab w:val="left" w:pos="0"/>
        </w:tabs>
        <w:spacing w:line="450" w:lineRule="exact"/>
        <w:ind w:firstLine="420" w:firstLineChars="200"/>
        <w:rPr>
          <w:rFonts w:ascii="宋体" w:hAnsi="宋体"/>
        </w:rPr>
      </w:pPr>
      <w:r>
        <w:rPr>
          <w:rFonts w:hint="eastAsia" w:ascii="宋体" w:hAnsi="宋体"/>
        </w:rPr>
        <w:t>地址： 天津市滨海新区津塘公路5982号副598号</w:t>
      </w:r>
    </w:p>
    <w:p>
      <w:pPr>
        <w:tabs>
          <w:tab w:val="left" w:pos="0"/>
        </w:tabs>
        <w:spacing w:line="450" w:lineRule="exact"/>
        <w:ind w:firstLine="420" w:firstLineChars="200"/>
        <w:rPr>
          <w:rFonts w:ascii="宋体" w:hAnsi="宋体"/>
        </w:rPr>
      </w:pPr>
      <w:r>
        <w:rPr>
          <w:rFonts w:hint="eastAsia" w:ascii="宋体" w:hAnsi="宋体"/>
        </w:rPr>
        <w:t>联系人：  韩琦</w:t>
      </w:r>
    </w:p>
    <w:p>
      <w:pPr>
        <w:tabs>
          <w:tab w:val="left" w:pos="0"/>
        </w:tabs>
        <w:spacing w:line="450" w:lineRule="exact"/>
        <w:ind w:firstLine="420" w:firstLineChars="200"/>
        <w:rPr>
          <w:rFonts w:hint="default" w:ascii="宋体" w:hAnsi="宋体" w:eastAsia="宋体"/>
          <w:lang w:val="en-US" w:eastAsia="zh-CN"/>
        </w:rPr>
      </w:pPr>
      <w:r>
        <w:rPr>
          <w:rFonts w:hint="eastAsia" w:ascii="宋体" w:hAnsi="宋体"/>
        </w:rPr>
        <w:t>电话：</w:t>
      </w:r>
      <w:r>
        <w:rPr>
          <w:rFonts w:hint="eastAsia" w:ascii="宋体" w:hAnsi="宋体"/>
          <w:lang w:val="en-US" w:eastAsia="zh-CN"/>
        </w:rPr>
        <w:t>022-65270863</w:t>
      </w:r>
    </w:p>
    <w:p>
      <w:pPr>
        <w:tabs>
          <w:tab w:val="left" w:pos="0"/>
        </w:tabs>
        <w:spacing w:line="450" w:lineRule="exact"/>
        <w:ind w:firstLine="420" w:firstLineChars="200"/>
        <w:rPr>
          <w:rFonts w:ascii="宋体" w:hAnsi="宋体"/>
        </w:rPr>
      </w:pPr>
      <w:r>
        <w:rPr>
          <w:rFonts w:hint="eastAsia" w:ascii="宋体" w:hAnsi="宋体"/>
        </w:rPr>
        <w:t>开户银行：</w:t>
      </w:r>
    </w:p>
    <w:p>
      <w:pPr>
        <w:tabs>
          <w:tab w:val="left" w:pos="0"/>
        </w:tabs>
        <w:spacing w:line="450" w:lineRule="exact"/>
        <w:ind w:firstLine="420" w:firstLineChars="200"/>
        <w:rPr>
          <w:rFonts w:ascii="宋体" w:hAnsi="宋体"/>
        </w:rPr>
      </w:pPr>
      <w:r>
        <w:rPr>
          <w:rFonts w:hint="eastAsia" w:ascii="宋体" w:hAnsi="宋体"/>
        </w:rPr>
        <w:t xml:space="preserve">账号： </w:t>
      </w:r>
    </w:p>
    <w:p>
      <w:pPr>
        <w:tabs>
          <w:tab w:val="left" w:pos="0"/>
        </w:tabs>
        <w:spacing w:line="450" w:lineRule="exact"/>
        <w:ind w:firstLine="420" w:firstLineChars="200"/>
        <w:rPr>
          <w:rFonts w:ascii="宋体" w:hAnsi="宋体"/>
        </w:rPr>
      </w:pPr>
    </w:p>
    <w:p>
      <w:pPr>
        <w:tabs>
          <w:tab w:val="left" w:pos="0"/>
        </w:tabs>
        <w:spacing w:line="450" w:lineRule="exact"/>
        <w:ind w:firstLine="420" w:firstLineChars="200"/>
        <w:rPr>
          <w:rFonts w:ascii="宋体" w:hAnsi="宋体"/>
        </w:rPr>
      </w:pPr>
      <w:r>
        <w:rPr>
          <w:rFonts w:hint="eastAsia" w:ascii="宋体" w:hAnsi="宋体"/>
        </w:rPr>
        <w:t>招标代理机构：天津市滨海新区城投工程咨询有限公司</w:t>
      </w:r>
    </w:p>
    <w:p>
      <w:pPr>
        <w:tabs>
          <w:tab w:val="left" w:pos="0"/>
        </w:tabs>
        <w:spacing w:line="450" w:lineRule="exact"/>
        <w:ind w:firstLine="420" w:firstLineChars="200"/>
        <w:rPr>
          <w:rFonts w:ascii="宋体" w:hAnsi="宋体"/>
        </w:rPr>
      </w:pPr>
      <w:r>
        <w:rPr>
          <w:rFonts w:hint="eastAsia" w:ascii="宋体" w:hAnsi="宋体"/>
        </w:rPr>
        <w:t>地址：天津市滨海新区津塘公路5982号副598号</w:t>
      </w:r>
    </w:p>
    <w:p>
      <w:pPr>
        <w:tabs>
          <w:tab w:val="left" w:pos="0"/>
        </w:tabs>
        <w:spacing w:line="450" w:lineRule="exact"/>
        <w:ind w:firstLine="420" w:firstLineChars="200"/>
        <w:rPr>
          <w:rFonts w:ascii="宋体" w:hAnsi="宋体"/>
        </w:rPr>
      </w:pPr>
      <w:r>
        <w:rPr>
          <w:rFonts w:hint="eastAsia" w:ascii="宋体" w:hAnsi="宋体"/>
        </w:rPr>
        <w:t>邮编：300450</w:t>
      </w:r>
    </w:p>
    <w:p>
      <w:pPr>
        <w:tabs>
          <w:tab w:val="left" w:pos="0"/>
        </w:tabs>
        <w:spacing w:line="450" w:lineRule="exact"/>
        <w:ind w:firstLine="420" w:firstLineChars="200"/>
        <w:rPr>
          <w:rFonts w:ascii="宋体" w:hAnsi="宋体"/>
        </w:rPr>
      </w:pPr>
      <w:r>
        <w:rPr>
          <w:rFonts w:hint="eastAsia" w:ascii="宋体" w:hAnsi="宋体"/>
        </w:rPr>
        <w:t>联系人：温欣</w:t>
      </w:r>
    </w:p>
    <w:p>
      <w:pPr>
        <w:tabs>
          <w:tab w:val="left" w:pos="0"/>
        </w:tabs>
        <w:spacing w:line="450" w:lineRule="exact"/>
        <w:ind w:firstLine="420" w:firstLineChars="200"/>
        <w:rPr>
          <w:rFonts w:hint="default" w:ascii="宋体" w:hAnsi="宋体" w:eastAsia="宋体"/>
          <w:lang w:val="en-US" w:eastAsia="zh-CN"/>
        </w:rPr>
      </w:pPr>
      <w:r>
        <w:rPr>
          <w:rFonts w:hint="eastAsia" w:ascii="宋体" w:hAnsi="宋体"/>
        </w:rPr>
        <w:t>电话：</w:t>
      </w:r>
      <w:r>
        <w:rPr>
          <w:rFonts w:hint="eastAsia" w:ascii="宋体" w:hAnsi="宋体"/>
          <w:lang w:val="en-US" w:eastAsia="zh-CN"/>
        </w:rPr>
        <w:t>022-65270851</w:t>
      </w:r>
    </w:p>
    <w:p>
      <w:pPr>
        <w:tabs>
          <w:tab w:val="left" w:pos="0"/>
        </w:tabs>
        <w:spacing w:line="450" w:lineRule="exact"/>
        <w:ind w:firstLine="420" w:firstLineChars="200"/>
        <w:rPr>
          <w:rFonts w:ascii="宋体" w:hAnsi="宋体"/>
        </w:rPr>
      </w:pPr>
      <w:r>
        <w:rPr>
          <w:rFonts w:hint="eastAsia" w:ascii="宋体" w:hAnsi="宋体"/>
        </w:rPr>
        <w:t xml:space="preserve">传真： </w:t>
      </w:r>
    </w:p>
    <w:p>
      <w:pPr>
        <w:tabs>
          <w:tab w:val="left" w:pos="0"/>
        </w:tabs>
        <w:spacing w:line="450" w:lineRule="exact"/>
        <w:ind w:firstLine="420" w:firstLineChars="200"/>
        <w:rPr>
          <w:rFonts w:ascii="宋体" w:hAnsi="宋体"/>
        </w:rPr>
      </w:pPr>
      <w:r>
        <w:rPr>
          <w:rFonts w:hint="eastAsia" w:ascii="宋体" w:hAnsi="宋体"/>
        </w:rPr>
        <w:t xml:space="preserve">电子邮件：chengtouzixun@163.com </w:t>
      </w:r>
    </w:p>
    <w:p>
      <w:pPr>
        <w:tabs>
          <w:tab w:val="left" w:pos="0"/>
        </w:tabs>
        <w:spacing w:line="450" w:lineRule="exact"/>
        <w:ind w:firstLine="420" w:firstLineChars="200"/>
        <w:rPr>
          <w:rFonts w:ascii="宋体" w:hAnsi="宋体"/>
        </w:rPr>
      </w:pPr>
      <w:r>
        <w:rPr>
          <w:rFonts w:hint="eastAsia" w:ascii="宋体" w:hAnsi="宋体"/>
        </w:rPr>
        <w:t>开户银行：</w:t>
      </w:r>
    </w:p>
    <w:p>
      <w:pPr>
        <w:tabs>
          <w:tab w:val="left" w:pos="0"/>
        </w:tabs>
        <w:spacing w:line="450" w:lineRule="exact"/>
        <w:ind w:firstLine="420" w:firstLineChars="200"/>
        <w:rPr>
          <w:rFonts w:ascii="宋体" w:hAnsi="宋体"/>
        </w:rPr>
      </w:pPr>
      <w:r>
        <w:rPr>
          <w:rFonts w:hint="eastAsia" w:ascii="宋体" w:hAnsi="宋体"/>
        </w:rPr>
        <w:t>账号：</w:t>
      </w:r>
    </w:p>
    <w:p>
      <w:pPr>
        <w:tabs>
          <w:tab w:val="left" w:pos="0"/>
        </w:tabs>
        <w:spacing w:line="450" w:lineRule="exact"/>
        <w:ind w:firstLine="420" w:firstLineChars="200"/>
        <w:rPr>
          <w:rFonts w:ascii="宋体" w:hAnsi="宋体"/>
        </w:rPr>
      </w:pPr>
      <w:r>
        <w:rPr>
          <w:rFonts w:hint="eastAsia" w:ascii="宋体" w:hAnsi="宋体"/>
        </w:rPr>
        <w:t>财务电话：</w:t>
      </w:r>
    </w:p>
    <w:p>
      <w:pPr>
        <w:pStyle w:val="3"/>
        <w:spacing w:after="240"/>
        <w:jc w:val="center"/>
        <w:rPr>
          <w:rFonts w:ascii="宋体"/>
        </w:rPr>
      </w:pPr>
      <w:r>
        <w:rPr>
          <w:rFonts w:ascii="宋体"/>
        </w:rPr>
        <w:br w:type="page"/>
      </w:r>
      <w:bookmarkStart w:id="24" w:name="_Toc84265546"/>
      <w:r>
        <w:rPr>
          <w:rFonts w:hint="eastAsia" w:ascii="宋体" w:hAnsi="宋体" w:cs="宋体"/>
        </w:rPr>
        <w:t>第二章</w:t>
      </w:r>
      <w:r>
        <w:rPr>
          <w:rFonts w:ascii="宋体" w:hAnsi="宋体" w:cs="宋体"/>
        </w:rPr>
        <w:t xml:space="preserve"> </w:t>
      </w:r>
      <w:r>
        <w:rPr>
          <w:rFonts w:hint="eastAsia" w:ascii="宋体" w:hAnsi="宋体" w:cs="宋体"/>
        </w:rPr>
        <w:t>投标人须知</w:t>
      </w:r>
      <w:bookmarkEnd w:id="24"/>
    </w:p>
    <w:p>
      <w:pPr>
        <w:rPr>
          <w:rFonts w:ascii="宋体"/>
          <w:b/>
          <w:bCs/>
          <w:sz w:val="24"/>
          <w:szCs w:val="24"/>
        </w:rPr>
      </w:pPr>
      <w:r>
        <w:rPr>
          <w:rFonts w:hint="eastAsia" w:ascii="宋体" w:hAnsi="宋体" w:cs="宋体"/>
          <w:b/>
          <w:bCs/>
          <w:sz w:val="24"/>
          <w:szCs w:val="24"/>
        </w:rPr>
        <w:t>投标人须知前附表</w:t>
      </w:r>
    </w:p>
    <w:tbl>
      <w:tblPr>
        <w:tblStyle w:val="37"/>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25"/>
        <w:gridCol w:w="43"/>
        <w:gridCol w:w="5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01" w:type="dxa"/>
            <w:vAlign w:val="center"/>
          </w:tcPr>
          <w:p>
            <w:pPr>
              <w:jc w:val="center"/>
              <w:rPr>
                <w:rFonts w:ascii="宋体"/>
                <w:b/>
                <w:bCs/>
              </w:rPr>
            </w:pPr>
            <w:r>
              <w:rPr>
                <w:rFonts w:hint="eastAsia" w:ascii="宋体" w:hAnsi="宋体" w:cs="宋体"/>
                <w:b/>
                <w:bCs/>
              </w:rPr>
              <w:t>条款号</w:t>
            </w:r>
          </w:p>
        </w:tc>
        <w:tc>
          <w:tcPr>
            <w:tcW w:w="2268" w:type="dxa"/>
            <w:gridSpan w:val="2"/>
            <w:vAlign w:val="center"/>
          </w:tcPr>
          <w:p>
            <w:pPr>
              <w:jc w:val="center"/>
              <w:rPr>
                <w:rFonts w:ascii="宋体"/>
                <w:b/>
                <w:bCs/>
              </w:rPr>
            </w:pPr>
            <w:r>
              <w:rPr>
                <w:rFonts w:hint="eastAsia" w:ascii="宋体" w:hAnsi="宋体" w:cs="宋体"/>
                <w:b/>
                <w:bCs/>
              </w:rPr>
              <w:t>条款名称</w:t>
            </w:r>
          </w:p>
        </w:tc>
        <w:tc>
          <w:tcPr>
            <w:tcW w:w="5918" w:type="dxa"/>
            <w:vAlign w:val="center"/>
          </w:tcPr>
          <w:p>
            <w:pPr>
              <w:jc w:val="center"/>
              <w:rPr>
                <w:rFonts w:ascii="宋体"/>
                <w:b/>
                <w:bCs/>
              </w:rPr>
            </w:pPr>
            <w:r>
              <w:rPr>
                <w:rFonts w:hint="eastAsia" w:ascii="宋体" w:hAnsi="宋体" w:cs="宋体"/>
                <w:b/>
                <w:bCs/>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宋体"/>
              </w:rPr>
            </w:pPr>
            <w:r>
              <w:rPr>
                <w:rFonts w:ascii="宋体" w:hAnsi="宋体" w:cs="宋体"/>
              </w:rPr>
              <w:t>1.1.2</w:t>
            </w:r>
          </w:p>
        </w:tc>
        <w:tc>
          <w:tcPr>
            <w:tcW w:w="2268" w:type="dxa"/>
            <w:gridSpan w:val="2"/>
            <w:vAlign w:val="center"/>
          </w:tcPr>
          <w:p>
            <w:pPr>
              <w:jc w:val="left"/>
              <w:rPr>
                <w:rFonts w:ascii="宋体" w:hAnsi="宋体" w:cs="宋体"/>
              </w:rPr>
            </w:pPr>
            <w:r>
              <w:rPr>
                <w:rFonts w:hint="eastAsia" w:ascii="宋体" w:hAnsi="宋体" w:cs="宋体"/>
              </w:rPr>
              <w:t>招标人</w:t>
            </w:r>
          </w:p>
        </w:tc>
        <w:tc>
          <w:tcPr>
            <w:tcW w:w="5918" w:type="dxa"/>
            <w:vAlign w:val="center"/>
          </w:tcPr>
          <w:p>
            <w:pPr>
              <w:jc w:val="left"/>
              <w:rPr>
                <w:rFonts w:ascii="宋体" w:hAnsi="宋体" w:cs="宋体"/>
              </w:rPr>
            </w:pPr>
            <w:r>
              <w:rPr>
                <w:rFonts w:hint="eastAsia" w:ascii="宋体" w:hAnsi="宋体" w:cs="宋体"/>
              </w:rPr>
              <w:t>名称：天津市滨海新区城投建设发展有限公司</w:t>
            </w:r>
          </w:p>
          <w:p>
            <w:pPr>
              <w:jc w:val="left"/>
              <w:rPr>
                <w:rFonts w:ascii="宋体" w:hAnsi="宋体" w:cs="宋体"/>
              </w:rPr>
            </w:pPr>
            <w:r>
              <w:rPr>
                <w:rFonts w:hint="eastAsia" w:ascii="宋体" w:hAnsi="宋体" w:cs="宋体"/>
              </w:rPr>
              <w:t>地址： 天津市滨海新区津塘公路5982号副598号</w:t>
            </w:r>
          </w:p>
          <w:p>
            <w:pPr>
              <w:jc w:val="left"/>
              <w:rPr>
                <w:rFonts w:ascii="宋体" w:hAnsi="宋体" w:cs="宋体"/>
              </w:rPr>
            </w:pPr>
            <w:r>
              <w:rPr>
                <w:rFonts w:hint="eastAsia" w:ascii="宋体" w:hAnsi="宋体" w:cs="宋体"/>
              </w:rPr>
              <w:t>联系人： 韩琦</w:t>
            </w:r>
          </w:p>
          <w:p>
            <w:pPr>
              <w:jc w:val="left"/>
              <w:rPr>
                <w:rFonts w:hint="default" w:ascii="宋体" w:hAnsi="宋体" w:eastAsia="宋体" w:cs="宋体"/>
                <w:lang w:val="en-US" w:eastAsia="zh-CN"/>
              </w:rPr>
            </w:pPr>
            <w:r>
              <w:rPr>
                <w:rFonts w:hint="eastAsia" w:ascii="宋体" w:hAnsi="宋体" w:cs="宋体"/>
              </w:rPr>
              <w:t>电话：</w:t>
            </w:r>
            <w:r>
              <w:rPr>
                <w:rFonts w:hint="eastAsia" w:ascii="宋体" w:hAnsi="宋体" w:cs="宋体"/>
                <w:lang w:val="en-US" w:eastAsia="zh-CN"/>
              </w:rPr>
              <w:t>022-65270863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360"/>
              </w:tabs>
              <w:adjustRightInd w:val="0"/>
              <w:snapToGrid w:val="0"/>
              <w:jc w:val="center"/>
              <w:rPr>
                <w:rFonts w:ascii="宋体"/>
                <w:snapToGrid w:val="0"/>
                <w:kern w:val="0"/>
              </w:rPr>
            </w:pPr>
            <w:r>
              <w:rPr>
                <w:rFonts w:ascii="宋体" w:hAnsi="宋体" w:cs="宋体"/>
                <w:snapToGrid w:val="0"/>
                <w:kern w:val="0"/>
              </w:rPr>
              <w:t>1.1.3</w:t>
            </w:r>
          </w:p>
        </w:tc>
        <w:tc>
          <w:tcPr>
            <w:tcW w:w="2268" w:type="dxa"/>
            <w:gridSpan w:val="2"/>
            <w:vAlign w:val="center"/>
          </w:tcPr>
          <w:p>
            <w:pPr>
              <w:jc w:val="left"/>
              <w:rPr>
                <w:rFonts w:ascii="宋体" w:hAnsi="宋体" w:cs="宋体"/>
              </w:rPr>
            </w:pPr>
            <w:r>
              <w:rPr>
                <w:rFonts w:hint="eastAsia" w:ascii="宋体" w:hAnsi="宋体" w:cs="宋体"/>
              </w:rPr>
              <w:t>招标代理机构</w:t>
            </w:r>
          </w:p>
        </w:tc>
        <w:tc>
          <w:tcPr>
            <w:tcW w:w="5918" w:type="dxa"/>
            <w:vAlign w:val="center"/>
          </w:tcPr>
          <w:p>
            <w:pPr>
              <w:jc w:val="left"/>
              <w:rPr>
                <w:rFonts w:ascii="宋体" w:hAnsi="宋体" w:cs="宋体"/>
              </w:rPr>
            </w:pPr>
            <w:r>
              <w:rPr>
                <w:rFonts w:hint="eastAsia" w:ascii="宋体" w:hAnsi="宋体" w:cs="宋体"/>
              </w:rPr>
              <w:t>名称： 天津市滨海新区城投工程咨询有限公司</w:t>
            </w:r>
          </w:p>
          <w:p>
            <w:pPr>
              <w:jc w:val="left"/>
              <w:rPr>
                <w:rFonts w:ascii="宋体" w:hAnsi="宋体" w:cs="宋体"/>
              </w:rPr>
            </w:pPr>
            <w:r>
              <w:rPr>
                <w:rFonts w:hint="eastAsia" w:ascii="宋体" w:hAnsi="宋体" w:cs="宋体"/>
              </w:rPr>
              <w:t xml:space="preserve">地址：天津市滨海新区津塘公路5982号副598号 </w:t>
            </w:r>
          </w:p>
          <w:p>
            <w:pPr>
              <w:jc w:val="left"/>
              <w:rPr>
                <w:rFonts w:ascii="宋体" w:hAnsi="宋体" w:cs="宋体"/>
              </w:rPr>
            </w:pPr>
            <w:r>
              <w:rPr>
                <w:rFonts w:hint="eastAsia" w:ascii="宋体" w:hAnsi="宋体" w:cs="宋体"/>
              </w:rPr>
              <w:t>联系人： 温欣</w:t>
            </w:r>
          </w:p>
          <w:p>
            <w:pPr>
              <w:jc w:val="left"/>
              <w:rPr>
                <w:rFonts w:ascii="宋体" w:hAnsi="宋体" w:cs="宋体"/>
              </w:rPr>
            </w:pPr>
            <w:r>
              <w:rPr>
                <w:rFonts w:hint="eastAsia" w:ascii="宋体" w:hAnsi="宋体" w:cs="宋体"/>
              </w:rPr>
              <w:t>电话：</w:t>
            </w:r>
            <w:r>
              <w:rPr>
                <w:rFonts w:hint="eastAsia" w:ascii="宋体" w:hAnsi="宋体" w:cs="宋体"/>
                <w:lang w:val="en-US" w:eastAsia="zh-CN"/>
              </w:rPr>
              <w:t>022-</w:t>
            </w:r>
            <w:r>
              <w:rPr>
                <w:rFonts w:hint="eastAsia" w:ascii="宋体" w:hAnsi="宋体" w:cs="宋体"/>
              </w:rPr>
              <w:t>65270851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360"/>
              </w:tabs>
              <w:adjustRightInd w:val="0"/>
              <w:snapToGrid w:val="0"/>
              <w:jc w:val="center"/>
              <w:rPr>
                <w:rFonts w:ascii="宋体"/>
                <w:snapToGrid w:val="0"/>
                <w:kern w:val="0"/>
              </w:rPr>
            </w:pPr>
            <w:r>
              <w:rPr>
                <w:rFonts w:ascii="宋体" w:hAnsi="宋体" w:cs="宋体"/>
                <w:snapToGrid w:val="0"/>
                <w:kern w:val="0"/>
              </w:rPr>
              <w:t>1.1.4</w:t>
            </w:r>
          </w:p>
        </w:tc>
        <w:tc>
          <w:tcPr>
            <w:tcW w:w="2268" w:type="dxa"/>
            <w:gridSpan w:val="2"/>
            <w:vAlign w:val="center"/>
          </w:tcPr>
          <w:p>
            <w:pPr>
              <w:jc w:val="left"/>
              <w:rPr>
                <w:rFonts w:ascii="宋体" w:hAnsi="宋体" w:cs="宋体"/>
              </w:rPr>
            </w:pPr>
            <w:r>
              <w:rPr>
                <w:rFonts w:hint="eastAsia" w:ascii="宋体" w:hAnsi="宋体" w:cs="宋体"/>
              </w:rPr>
              <w:t>招标项目名称</w:t>
            </w:r>
          </w:p>
        </w:tc>
        <w:tc>
          <w:tcPr>
            <w:tcW w:w="5918" w:type="dxa"/>
            <w:vAlign w:val="center"/>
          </w:tcPr>
          <w:p>
            <w:pPr>
              <w:jc w:val="left"/>
              <w:rPr>
                <w:rFonts w:ascii="宋体" w:hAnsi="宋体" w:cs="宋体"/>
              </w:rPr>
            </w:pPr>
            <w:r>
              <w:rPr>
                <w:rFonts w:hint="eastAsia" w:ascii="宋体" w:hAnsi="宋体" w:cs="宋体"/>
              </w:rPr>
              <w:t>新建天津至潍坊高速铁路滨海段“三电”及地下管线迁改工程</w:t>
            </w:r>
          </w:p>
          <w:p>
            <w:pPr>
              <w:jc w:val="left"/>
              <w:rPr>
                <w:rFonts w:ascii="宋体" w:hAnsi="宋体" w:cs="宋体"/>
              </w:rPr>
            </w:pPr>
            <w:r>
              <w:rPr>
                <w:rFonts w:hint="eastAsia" w:ascii="宋体" w:hAnsi="宋体" w:cs="宋体"/>
              </w:rPr>
              <w:t>设计施工总承包(EPC)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101" w:type="dxa"/>
            <w:vAlign w:val="center"/>
          </w:tcPr>
          <w:p>
            <w:pPr>
              <w:tabs>
                <w:tab w:val="left" w:pos="360"/>
              </w:tabs>
              <w:adjustRightInd w:val="0"/>
              <w:snapToGrid w:val="0"/>
              <w:jc w:val="center"/>
              <w:rPr>
                <w:rFonts w:ascii="宋体"/>
                <w:snapToGrid w:val="0"/>
                <w:kern w:val="0"/>
              </w:rPr>
            </w:pPr>
            <w:r>
              <w:rPr>
                <w:rFonts w:ascii="宋体" w:hAnsi="宋体" w:cs="宋体"/>
                <w:snapToGrid w:val="0"/>
                <w:kern w:val="0"/>
              </w:rPr>
              <w:t>1.1.5</w:t>
            </w:r>
          </w:p>
        </w:tc>
        <w:tc>
          <w:tcPr>
            <w:tcW w:w="2268" w:type="dxa"/>
            <w:gridSpan w:val="2"/>
            <w:vAlign w:val="center"/>
          </w:tcPr>
          <w:p>
            <w:pPr>
              <w:jc w:val="left"/>
              <w:rPr>
                <w:rFonts w:ascii="宋体" w:hAnsi="宋体" w:cs="宋体"/>
              </w:rPr>
            </w:pPr>
            <w:r>
              <w:rPr>
                <w:rFonts w:hint="eastAsia" w:ascii="宋体" w:hAnsi="宋体" w:cs="宋体"/>
              </w:rPr>
              <w:t>项目建设地点</w:t>
            </w:r>
          </w:p>
        </w:tc>
        <w:tc>
          <w:tcPr>
            <w:tcW w:w="5918" w:type="dxa"/>
            <w:vAlign w:val="center"/>
          </w:tcPr>
          <w:p>
            <w:pPr>
              <w:jc w:val="left"/>
              <w:rPr>
                <w:rFonts w:ascii="宋体" w:hAnsi="宋体" w:cs="宋体"/>
              </w:rPr>
            </w:pPr>
            <w:r>
              <w:rPr>
                <w:rFonts w:hint="eastAsia" w:ascii="宋体" w:hAnsi="宋体" w:cs="宋体"/>
              </w:rPr>
              <w:t>天津市滨海新区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360"/>
              </w:tabs>
              <w:adjustRightInd w:val="0"/>
              <w:snapToGrid w:val="0"/>
              <w:jc w:val="center"/>
              <w:rPr>
                <w:rFonts w:ascii="宋体"/>
                <w:snapToGrid w:val="0"/>
                <w:kern w:val="0"/>
              </w:rPr>
            </w:pPr>
            <w:r>
              <w:rPr>
                <w:rFonts w:ascii="宋体" w:hAnsi="宋体" w:cs="宋体"/>
                <w:snapToGrid w:val="0"/>
                <w:kern w:val="0"/>
              </w:rPr>
              <w:t>1.1.6</w:t>
            </w:r>
          </w:p>
        </w:tc>
        <w:tc>
          <w:tcPr>
            <w:tcW w:w="2268" w:type="dxa"/>
            <w:gridSpan w:val="2"/>
            <w:vAlign w:val="center"/>
          </w:tcPr>
          <w:p>
            <w:pPr>
              <w:jc w:val="left"/>
              <w:rPr>
                <w:rFonts w:ascii="宋体" w:hAnsi="宋体" w:cs="宋体"/>
              </w:rPr>
            </w:pPr>
            <w:r>
              <w:rPr>
                <w:rFonts w:hint="eastAsia" w:ascii="宋体" w:hAnsi="宋体" w:cs="宋体"/>
              </w:rPr>
              <w:t>项目建设规模</w:t>
            </w:r>
          </w:p>
        </w:tc>
        <w:tc>
          <w:tcPr>
            <w:tcW w:w="5918" w:type="dxa"/>
            <w:vAlign w:val="center"/>
          </w:tcPr>
          <w:p>
            <w:pPr>
              <w:jc w:val="left"/>
              <w:rPr>
                <w:rFonts w:ascii="宋体" w:hAnsi="宋体" w:cs="宋体"/>
              </w:rPr>
            </w:pPr>
            <w:r>
              <w:rPr>
                <w:rFonts w:hint="eastAsia" w:ascii="宋体" w:hAnsi="宋体" w:cs="宋体"/>
              </w:rPr>
              <w:t>同招标公告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360"/>
              </w:tabs>
              <w:adjustRightInd w:val="0"/>
              <w:snapToGrid w:val="0"/>
              <w:jc w:val="center"/>
              <w:rPr>
                <w:rFonts w:ascii="宋体"/>
                <w:snapToGrid w:val="0"/>
                <w:kern w:val="0"/>
              </w:rPr>
            </w:pPr>
            <w:r>
              <w:rPr>
                <w:rFonts w:ascii="宋体" w:hAnsi="宋体" w:cs="宋体"/>
                <w:snapToGrid w:val="0"/>
                <w:kern w:val="0"/>
              </w:rPr>
              <w:t>1.2.1</w:t>
            </w:r>
          </w:p>
        </w:tc>
        <w:tc>
          <w:tcPr>
            <w:tcW w:w="2268" w:type="dxa"/>
            <w:gridSpan w:val="2"/>
            <w:vAlign w:val="center"/>
          </w:tcPr>
          <w:p>
            <w:pPr>
              <w:jc w:val="left"/>
              <w:rPr>
                <w:rFonts w:ascii="宋体" w:hAnsi="宋体" w:cs="宋体"/>
              </w:rPr>
            </w:pPr>
            <w:r>
              <w:rPr>
                <w:rFonts w:hint="eastAsia" w:ascii="宋体" w:hAnsi="宋体" w:cs="宋体"/>
              </w:rPr>
              <w:t>资金来源及比例</w:t>
            </w:r>
          </w:p>
        </w:tc>
        <w:tc>
          <w:tcPr>
            <w:tcW w:w="5918" w:type="dxa"/>
            <w:vAlign w:val="center"/>
          </w:tcPr>
          <w:p>
            <w:pPr>
              <w:jc w:val="left"/>
              <w:rPr>
                <w:rFonts w:ascii="宋体" w:hAnsi="宋体" w:cs="宋体"/>
              </w:rPr>
            </w:pPr>
            <w:r>
              <w:rPr>
                <w:rFonts w:hint="eastAsia" w:ascii="宋体" w:hAnsi="宋体" w:cs="宋体"/>
              </w:rPr>
              <w:t>政府专项债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宋体"/>
              </w:rPr>
            </w:pPr>
            <w:r>
              <w:rPr>
                <w:rFonts w:ascii="宋体" w:hAnsi="宋体" w:cs="宋体"/>
              </w:rPr>
              <w:t>1.2.2</w:t>
            </w:r>
          </w:p>
        </w:tc>
        <w:tc>
          <w:tcPr>
            <w:tcW w:w="2268" w:type="dxa"/>
            <w:gridSpan w:val="2"/>
            <w:vAlign w:val="center"/>
          </w:tcPr>
          <w:p>
            <w:pPr>
              <w:jc w:val="center"/>
              <w:rPr>
                <w:rFonts w:ascii="宋体"/>
              </w:rPr>
            </w:pPr>
            <w:r>
              <w:rPr>
                <w:rFonts w:hint="eastAsia" w:ascii="宋体" w:hAnsi="宋体" w:cs="宋体"/>
              </w:rPr>
              <w:t>资金落实情况</w:t>
            </w:r>
          </w:p>
        </w:tc>
        <w:tc>
          <w:tcPr>
            <w:tcW w:w="5918" w:type="dxa"/>
          </w:tcPr>
          <w:p>
            <w:pPr>
              <w:rPr>
                <w:rFonts w:ascii="宋体"/>
              </w:rPr>
            </w:pPr>
            <w:r>
              <w:rPr>
                <w:rFonts w:hint="eastAsia" w:ascii="宋体" w:hAns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宋体"/>
              </w:rPr>
            </w:pPr>
            <w:r>
              <w:rPr>
                <w:rFonts w:ascii="宋体" w:hAnsi="宋体" w:cs="宋体"/>
              </w:rPr>
              <w:t>1.3.1</w:t>
            </w:r>
          </w:p>
        </w:tc>
        <w:tc>
          <w:tcPr>
            <w:tcW w:w="2268" w:type="dxa"/>
            <w:gridSpan w:val="2"/>
            <w:vAlign w:val="center"/>
          </w:tcPr>
          <w:p>
            <w:pPr>
              <w:jc w:val="center"/>
              <w:rPr>
                <w:rFonts w:ascii="宋体"/>
              </w:rPr>
            </w:pPr>
            <w:r>
              <w:rPr>
                <w:rFonts w:hint="eastAsia" w:ascii="宋体" w:hAnsi="宋体" w:cs="宋体"/>
              </w:rPr>
              <w:t>招标范围</w:t>
            </w:r>
          </w:p>
        </w:tc>
        <w:tc>
          <w:tcPr>
            <w:tcW w:w="5918" w:type="dxa"/>
            <w:vAlign w:val="center"/>
          </w:tcPr>
          <w:p>
            <w:pPr>
              <w:jc w:val="left"/>
              <w:rPr>
                <w:rFonts w:ascii="宋体"/>
              </w:rPr>
            </w:pPr>
            <w:r>
              <w:rPr>
                <w:rFonts w:hint="eastAsia" w:ascii="宋体" w:hAnsi="宋体" w:cs="宋体"/>
                <w:snapToGrid w:val="0"/>
                <w:kern w:val="0"/>
              </w:rPr>
              <w:t>同招标公告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01" w:type="dxa"/>
            <w:vAlign w:val="center"/>
          </w:tcPr>
          <w:p>
            <w:pPr>
              <w:jc w:val="center"/>
              <w:rPr>
                <w:rFonts w:ascii="宋体"/>
              </w:rPr>
            </w:pPr>
            <w:r>
              <w:rPr>
                <w:rFonts w:ascii="宋体" w:hAnsi="宋体" w:cs="宋体"/>
              </w:rPr>
              <w:t>1.3.2</w:t>
            </w:r>
          </w:p>
        </w:tc>
        <w:tc>
          <w:tcPr>
            <w:tcW w:w="2268" w:type="dxa"/>
            <w:gridSpan w:val="2"/>
            <w:vAlign w:val="center"/>
          </w:tcPr>
          <w:p>
            <w:pPr>
              <w:jc w:val="center"/>
              <w:rPr>
                <w:rFonts w:ascii="宋体"/>
              </w:rPr>
            </w:pPr>
            <w:r>
              <w:rPr>
                <w:rFonts w:hint="eastAsia" w:ascii="宋体" w:hAnsi="宋体" w:cs="宋体"/>
              </w:rPr>
              <w:t>计划工期</w:t>
            </w:r>
          </w:p>
        </w:tc>
        <w:tc>
          <w:tcPr>
            <w:tcW w:w="5918" w:type="dxa"/>
            <w:vAlign w:val="center"/>
          </w:tcPr>
          <w:p>
            <w:pPr>
              <w:jc w:val="left"/>
              <w:rPr>
                <w:rFonts w:ascii="宋体"/>
                <w:snapToGrid w:val="0"/>
                <w:kern w:val="0"/>
              </w:rPr>
            </w:pPr>
            <w:r>
              <w:rPr>
                <w:rFonts w:hint="eastAsia" w:ascii="宋体" w:hAnsi="宋体"/>
                <w:lang w:val="en-US" w:eastAsia="zh-CN"/>
              </w:rPr>
              <w:t>1644日历日</w:t>
            </w:r>
            <w:r>
              <w:rPr>
                <w:rFonts w:hint="eastAsia" w:ascii="宋体" w:hAnsi="宋体"/>
              </w:rPr>
              <w:t>（包含设计服务期和施工工期），</w:t>
            </w:r>
            <w:r>
              <w:rPr>
                <w:rFonts w:hint="eastAsia" w:ascii="宋体" w:hAnsi="宋体"/>
                <w:lang w:val="en-US" w:eastAsia="zh-CN"/>
              </w:rPr>
              <w:t>施工工期：</w:t>
            </w:r>
            <w:r>
              <w:rPr>
                <w:rFonts w:hint="eastAsia" w:ascii="宋体" w:hAnsi="宋体"/>
              </w:rPr>
              <w:t>2023年3月</w:t>
            </w:r>
            <w:r>
              <w:rPr>
                <w:rFonts w:ascii="宋体" w:hAnsi="宋体"/>
              </w:rPr>
              <w:t>1</w:t>
            </w:r>
            <w:r>
              <w:rPr>
                <w:rFonts w:hint="eastAsia" w:ascii="宋体" w:hAnsi="宋体"/>
              </w:rPr>
              <w:t>日至2027年8月30日，</w:t>
            </w:r>
            <w:r>
              <w:rPr>
                <w:rFonts w:hint="eastAsia" w:ascii="宋体" w:hAnsi="宋体"/>
                <w:lang w:val="en-US" w:eastAsia="zh-CN"/>
              </w:rPr>
              <w:t>施工工期结束后</w:t>
            </w:r>
            <w:r>
              <w:rPr>
                <w:rFonts w:hint="eastAsia" w:ascii="宋体" w:hAnsi="宋体"/>
              </w:rPr>
              <w:t>缺陷责任期1年</w:t>
            </w:r>
            <w:r>
              <w:rPr>
                <w:rFonts w:hint="eastAsia" w:ascii="宋体" w:hAnsi="宋体"/>
                <w:lang w:eastAsia="zh-CN"/>
              </w:rPr>
              <w:t>，</w:t>
            </w:r>
            <w:r>
              <w:rPr>
                <w:rFonts w:hint="eastAsia" w:ascii="宋体" w:hAnsi="宋体"/>
                <w:lang w:val="en-US" w:eastAsia="zh-CN"/>
              </w:rPr>
              <w:t>缺陷责任期：2027年9月1日至2028年8月30日</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宋体"/>
              </w:rPr>
            </w:pPr>
            <w:r>
              <w:rPr>
                <w:rFonts w:ascii="宋体" w:hAnsi="宋体" w:cs="宋体"/>
              </w:rPr>
              <w:t>1.3.3</w:t>
            </w:r>
          </w:p>
        </w:tc>
        <w:tc>
          <w:tcPr>
            <w:tcW w:w="2268" w:type="dxa"/>
            <w:gridSpan w:val="2"/>
            <w:vAlign w:val="center"/>
          </w:tcPr>
          <w:p>
            <w:pPr>
              <w:jc w:val="center"/>
              <w:rPr>
                <w:rFonts w:ascii="宋体"/>
              </w:rPr>
            </w:pPr>
            <w:r>
              <w:rPr>
                <w:rFonts w:hint="eastAsia" w:ascii="宋体" w:hAnsi="宋体" w:cs="宋体"/>
              </w:rPr>
              <w:t>质量标准</w:t>
            </w:r>
          </w:p>
        </w:tc>
        <w:tc>
          <w:tcPr>
            <w:tcW w:w="5918" w:type="dxa"/>
            <w:vAlign w:val="center"/>
          </w:tcPr>
          <w:p>
            <w:pPr>
              <w:rPr>
                <w:rFonts w:ascii="宋体" w:hAnsi="宋体"/>
              </w:rPr>
            </w:pPr>
            <w:r>
              <w:rPr>
                <w:rFonts w:ascii="宋体" w:hAnsi="宋体"/>
                <w:b/>
              </w:rPr>
              <w:t>设计要求的质量标准：</w:t>
            </w:r>
            <w:r>
              <w:rPr>
                <w:rFonts w:hint="eastAsia" w:ascii="宋体" w:hAnsi="宋体"/>
                <w:u w:val="single"/>
              </w:rPr>
              <w:t>符合国家规范、规程和有关技术规定。</w:t>
            </w:r>
          </w:p>
          <w:p>
            <w:pPr>
              <w:jc w:val="left"/>
              <w:rPr>
                <w:rFonts w:ascii="宋体"/>
              </w:rPr>
            </w:pPr>
            <w:r>
              <w:rPr>
                <w:rFonts w:ascii="宋体" w:hAnsi="宋体"/>
                <w:b/>
              </w:rPr>
              <w:t>施工要求的质量标准：</w:t>
            </w:r>
            <w:r>
              <w:rPr>
                <w:rFonts w:hint="eastAsia" w:ascii="宋体" w:hAnsi="宋体"/>
                <w:u w:val="single"/>
              </w:rPr>
              <w:t>工程验收的质量评定：合格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101" w:type="dxa"/>
            <w:vAlign w:val="center"/>
          </w:tcPr>
          <w:p>
            <w:pPr>
              <w:tabs>
                <w:tab w:val="left" w:pos="360"/>
              </w:tabs>
              <w:adjustRightInd w:val="0"/>
              <w:snapToGrid w:val="0"/>
              <w:jc w:val="center"/>
              <w:rPr>
                <w:rFonts w:ascii="宋体"/>
                <w:snapToGrid w:val="0"/>
                <w:kern w:val="0"/>
              </w:rPr>
            </w:pPr>
            <w:r>
              <w:rPr>
                <w:rFonts w:ascii="宋体" w:hAnsi="宋体" w:cs="宋体"/>
                <w:snapToGrid w:val="0"/>
                <w:kern w:val="0"/>
              </w:rPr>
              <w:t>1.4.1</w:t>
            </w:r>
          </w:p>
        </w:tc>
        <w:tc>
          <w:tcPr>
            <w:tcW w:w="2268" w:type="dxa"/>
            <w:gridSpan w:val="2"/>
            <w:vAlign w:val="center"/>
          </w:tcPr>
          <w:p>
            <w:pPr>
              <w:tabs>
                <w:tab w:val="left" w:pos="360"/>
              </w:tabs>
              <w:adjustRightInd w:val="0"/>
              <w:snapToGrid w:val="0"/>
              <w:jc w:val="center"/>
              <w:rPr>
                <w:rFonts w:ascii="宋体"/>
                <w:snapToGrid w:val="0"/>
                <w:kern w:val="0"/>
              </w:rPr>
            </w:pPr>
            <w:r>
              <w:rPr>
                <w:rFonts w:hint="eastAsia" w:ascii="宋体" w:hAnsi="宋体" w:cs="宋体"/>
                <w:snapToGrid w:val="0"/>
                <w:kern w:val="0"/>
              </w:rPr>
              <w:t>投标人资质条件、能力、信誉</w:t>
            </w:r>
          </w:p>
        </w:tc>
        <w:tc>
          <w:tcPr>
            <w:tcW w:w="5918" w:type="dxa"/>
            <w:vAlign w:val="center"/>
          </w:tcPr>
          <w:p>
            <w:pPr>
              <w:jc w:val="left"/>
              <w:rPr>
                <w:rFonts w:ascii="宋体"/>
              </w:rPr>
            </w:pPr>
            <w:r>
              <w:rPr>
                <w:rFonts w:hint="eastAsia" w:ascii="宋体" w:hAnsi="宋体" w:cs="宋体"/>
              </w:rPr>
              <w:t>（</w:t>
            </w:r>
            <w:r>
              <w:rPr>
                <w:rFonts w:ascii="宋体" w:hAnsi="宋体" w:cs="宋体"/>
              </w:rPr>
              <w:t>1</w:t>
            </w:r>
            <w:r>
              <w:rPr>
                <w:rFonts w:hint="eastAsia" w:ascii="宋体" w:hAnsi="宋体" w:cs="宋体"/>
              </w:rPr>
              <w:t>）资质要求：同招标公告；</w:t>
            </w:r>
          </w:p>
          <w:p>
            <w:pPr>
              <w:jc w:val="left"/>
              <w:rPr>
                <w:rFonts w:ascii="宋体" w:hAnsi="宋体" w:cs="宋体"/>
              </w:rPr>
            </w:pPr>
            <w:r>
              <w:rPr>
                <w:rFonts w:hint="eastAsia" w:ascii="宋体" w:hAnsi="宋体" w:cs="宋体"/>
              </w:rPr>
              <w:t>（2）财务要求：无；</w:t>
            </w:r>
          </w:p>
          <w:p>
            <w:pPr>
              <w:jc w:val="left"/>
              <w:rPr>
                <w:rFonts w:ascii="宋体" w:hAnsi="宋体" w:cs="宋体"/>
              </w:rPr>
            </w:pPr>
            <w:r>
              <w:rPr>
                <w:rFonts w:hint="eastAsia" w:ascii="宋体" w:hAnsi="宋体" w:cs="宋体"/>
              </w:rPr>
              <w:t>（3）业绩要求：同招标公告；</w:t>
            </w:r>
          </w:p>
          <w:p>
            <w:pPr>
              <w:jc w:val="left"/>
              <w:rPr>
                <w:rFonts w:ascii="宋体" w:hAnsi="宋体" w:cs="宋体"/>
              </w:rPr>
            </w:pPr>
            <w:r>
              <w:rPr>
                <w:rFonts w:hint="eastAsia" w:ascii="宋体" w:hAnsi="宋体" w:cs="宋体"/>
              </w:rPr>
              <w:t>（4）项目经理的要求：同招标公告；</w:t>
            </w:r>
          </w:p>
          <w:p>
            <w:pPr>
              <w:jc w:val="left"/>
              <w:rPr>
                <w:rFonts w:ascii="宋体" w:hAnsi="宋体" w:cs="宋体"/>
              </w:rPr>
            </w:pPr>
            <w:r>
              <w:rPr>
                <w:rFonts w:hint="eastAsia" w:ascii="宋体" w:hAnsi="宋体" w:cs="宋体"/>
              </w:rPr>
              <w:t>（5）设计负责人的要求：同招标公告（设计负责人的业绩证明以合同为准，合同中不能体现的内容应附业主证明）；</w:t>
            </w:r>
          </w:p>
          <w:p>
            <w:pPr>
              <w:jc w:val="left"/>
              <w:rPr>
                <w:rFonts w:ascii="宋体"/>
              </w:rPr>
            </w:pPr>
            <w:r>
              <w:rPr>
                <w:rFonts w:hint="eastAsia" w:ascii="宋体" w:hAnsi="宋体" w:cs="宋体"/>
              </w:rPr>
              <w:t>（6）其他要求：不得存在投标人须知1.4.3规定的情形之一。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360"/>
              </w:tabs>
              <w:adjustRightInd w:val="0"/>
              <w:snapToGrid w:val="0"/>
              <w:jc w:val="center"/>
              <w:rPr>
                <w:rFonts w:ascii="宋体"/>
                <w:snapToGrid w:val="0"/>
                <w:kern w:val="0"/>
              </w:rPr>
            </w:pPr>
            <w:r>
              <w:rPr>
                <w:rFonts w:ascii="宋体" w:hAnsi="宋体" w:cs="宋体"/>
                <w:snapToGrid w:val="0"/>
                <w:kern w:val="0"/>
              </w:rPr>
              <w:t>1.4.2</w:t>
            </w:r>
          </w:p>
        </w:tc>
        <w:tc>
          <w:tcPr>
            <w:tcW w:w="2268" w:type="dxa"/>
            <w:gridSpan w:val="2"/>
            <w:vAlign w:val="center"/>
          </w:tcPr>
          <w:p>
            <w:pPr>
              <w:tabs>
                <w:tab w:val="left" w:pos="360"/>
              </w:tabs>
              <w:adjustRightInd w:val="0"/>
              <w:snapToGrid w:val="0"/>
              <w:jc w:val="center"/>
              <w:rPr>
                <w:rFonts w:ascii="宋体"/>
                <w:snapToGrid w:val="0"/>
                <w:kern w:val="0"/>
              </w:rPr>
            </w:pPr>
            <w:r>
              <w:rPr>
                <w:rFonts w:hint="eastAsia" w:ascii="宋体" w:hAnsi="宋体" w:cs="宋体"/>
                <w:snapToGrid w:val="0"/>
                <w:kern w:val="0"/>
              </w:rPr>
              <w:t>是否接受联合体投标</w:t>
            </w:r>
          </w:p>
        </w:tc>
        <w:tc>
          <w:tcPr>
            <w:tcW w:w="5918" w:type="dxa"/>
            <w:vAlign w:val="center"/>
          </w:tcPr>
          <w:p>
            <w:pPr>
              <w:rPr>
                <w:rFonts w:ascii="宋体" w:hAnsi="宋体"/>
              </w:rPr>
            </w:pPr>
            <w:r>
              <w:rPr>
                <w:rFonts w:ascii="宋体" w:hAnsi="宋体"/>
              </w:rPr>
              <w:sym w:font="Wingdings" w:char="00A8"/>
            </w:r>
            <w:r>
              <w:rPr>
                <w:rFonts w:ascii="宋体" w:hAnsi="宋体"/>
              </w:rPr>
              <w:t>不接受</w:t>
            </w:r>
          </w:p>
          <w:p>
            <w:pPr>
              <w:rPr>
                <w:rFonts w:ascii="宋体" w:hAnsi="宋体"/>
              </w:rPr>
            </w:pPr>
            <w:r>
              <w:rPr>
                <w:rFonts w:ascii="宋体" w:hAnsi="宋体"/>
              </w:rPr>
              <w:sym w:font="Wingdings" w:char="00FE"/>
            </w:r>
            <w:r>
              <w:rPr>
                <w:rFonts w:ascii="宋体" w:hAnsi="宋体"/>
              </w:rPr>
              <w:t>接受，应满足下列要求：</w:t>
            </w:r>
          </w:p>
          <w:p>
            <w:pPr>
              <w:rPr>
                <w:rFonts w:ascii="宋体" w:hAnsi="宋体"/>
              </w:rPr>
            </w:pPr>
            <w:r>
              <w:rPr>
                <w:rFonts w:ascii="宋体" w:hAnsi="宋体"/>
              </w:rPr>
              <w:t>（1）总承包单位（包括总承包联合体成员单位）不得是总承包项目的代建单位、监理单位或以上单位的附属单位。</w:t>
            </w:r>
          </w:p>
          <w:p>
            <w:pPr>
              <w:rPr>
                <w:rFonts w:hAnsi="宋体"/>
                <w:snapToGrid w:val="0"/>
              </w:rPr>
            </w:pPr>
            <w:r>
              <w:rPr>
                <w:rFonts w:ascii="宋体" w:hAnsi="宋体"/>
              </w:rPr>
              <w:t>（2）联合体所有成员数量不得超过</w:t>
            </w:r>
            <w:r>
              <w:rPr>
                <w:rFonts w:ascii="宋体" w:hAnsi="宋体"/>
                <w:u w:val="single"/>
              </w:rPr>
              <w:t xml:space="preserve"> </w:t>
            </w:r>
            <w:r>
              <w:rPr>
                <w:rFonts w:hint="eastAsia" w:ascii="宋体" w:hAnsi="宋体"/>
                <w:u w:val="single"/>
                <w:lang w:val="en-US" w:eastAsia="zh-CN"/>
              </w:rPr>
              <w:t>3</w:t>
            </w:r>
            <w:r>
              <w:rPr>
                <w:rFonts w:ascii="宋体" w:hAnsi="宋体"/>
                <w:u w:val="single"/>
              </w:rPr>
              <w:t xml:space="preserve"> </w:t>
            </w:r>
            <w:r>
              <w:rPr>
                <w:rFonts w:ascii="宋体" w:hAnsi="宋体"/>
              </w:rPr>
              <w:t>家</w:t>
            </w:r>
            <w:r>
              <w:rPr>
                <w:rFonts w:hint="eastAsia" w:ascii="宋体" w:hAnsi="宋体"/>
              </w:rPr>
              <w:t>。（投标人若是联合体，联合体牵头人应为设计单位。）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360"/>
              </w:tabs>
              <w:adjustRightInd w:val="0"/>
              <w:snapToGrid w:val="0"/>
              <w:jc w:val="center"/>
              <w:rPr>
                <w:rFonts w:ascii="宋体"/>
                <w:snapToGrid w:val="0"/>
                <w:kern w:val="0"/>
              </w:rPr>
            </w:pPr>
            <w:r>
              <w:rPr>
                <w:rFonts w:ascii="宋体" w:hAnsi="宋体" w:cs="宋体"/>
                <w:snapToGrid w:val="0"/>
                <w:kern w:val="0"/>
              </w:rPr>
              <w:t>1.4.3</w:t>
            </w:r>
          </w:p>
        </w:tc>
        <w:tc>
          <w:tcPr>
            <w:tcW w:w="2268" w:type="dxa"/>
            <w:gridSpan w:val="2"/>
            <w:vAlign w:val="center"/>
          </w:tcPr>
          <w:p>
            <w:pPr>
              <w:tabs>
                <w:tab w:val="left" w:pos="360"/>
              </w:tabs>
              <w:adjustRightInd w:val="0"/>
              <w:snapToGrid w:val="0"/>
              <w:jc w:val="center"/>
              <w:rPr>
                <w:rFonts w:ascii="宋体"/>
                <w:snapToGrid w:val="0"/>
                <w:kern w:val="0"/>
              </w:rPr>
            </w:pPr>
            <w:r>
              <w:rPr>
                <w:rFonts w:hint="eastAsia" w:ascii="宋体" w:hAnsi="宋体" w:cs="宋体"/>
                <w:snapToGrid w:val="0"/>
                <w:kern w:val="0"/>
              </w:rPr>
              <w:t>投标人不得存在的其他情形</w:t>
            </w:r>
          </w:p>
        </w:tc>
        <w:tc>
          <w:tcPr>
            <w:tcW w:w="5918" w:type="dxa"/>
            <w:vAlign w:val="center"/>
          </w:tcPr>
          <w:p>
            <w:pPr>
              <w:adjustRightInd w:val="0"/>
              <w:snapToGrid w:val="0"/>
              <w:rPr>
                <w:rFonts w:ascii="宋体"/>
                <w:snapToGrid w:val="0"/>
              </w:rPr>
            </w:pPr>
            <w:r>
              <w:rPr>
                <w:rFonts w:hint="eastAsia" w:ascii="宋体" w:hAnsi="宋体" w:cs="宋体"/>
                <w:snapToGrid w:val="0"/>
                <w:kern w:val="0"/>
              </w:rPr>
              <w:t>第（</w:t>
            </w:r>
            <w:r>
              <w:rPr>
                <w:rFonts w:ascii="宋体" w:hAnsi="宋体" w:cs="宋体"/>
                <w:snapToGrid w:val="0"/>
                <w:kern w:val="0"/>
              </w:rPr>
              <w:t>1</w:t>
            </w:r>
            <w:r>
              <w:rPr>
                <w:rFonts w:hint="eastAsia" w:ascii="宋体" w:hAnsi="宋体" w:cs="宋体"/>
                <w:snapToGrid w:val="0"/>
                <w:kern w:val="0"/>
              </w:rPr>
              <w:t>6）条：无。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360"/>
              </w:tabs>
              <w:adjustRightInd w:val="0"/>
              <w:snapToGrid w:val="0"/>
              <w:jc w:val="center"/>
              <w:rPr>
                <w:rFonts w:ascii="宋体" w:hAnsi="宋体" w:cs="宋体"/>
                <w:snapToGrid w:val="0"/>
                <w:kern w:val="0"/>
              </w:rPr>
            </w:pPr>
            <w:r>
              <w:rPr>
                <w:rFonts w:hint="eastAsia" w:ascii="宋体" w:hAnsi="宋体" w:cs="宋体"/>
                <w:snapToGrid w:val="0"/>
                <w:kern w:val="0"/>
              </w:rPr>
              <w:t>1.5</w:t>
            </w:r>
          </w:p>
        </w:tc>
        <w:tc>
          <w:tcPr>
            <w:tcW w:w="2268" w:type="dxa"/>
            <w:gridSpan w:val="2"/>
            <w:vAlign w:val="center"/>
          </w:tcPr>
          <w:p>
            <w:pPr>
              <w:adjustRightInd w:val="0"/>
              <w:snapToGrid w:val="0"/>
              <w:jc w:val="center"/>
              <w:rPr>
                <w:rFonts w:ascii="宋体" w:hAnsi="宋体" w:cs="宋体"/>
              </w:rPr>
            </w:pPr>
            <w:r>
              <w:rPr>
                <w:rFonts w:hint="eastAsia" w:ascii="宋体" w:hAnsi="宋体" w:cs="宋体"/>
              </w:rPr>
              <w:t>费用承担和设计成果补偿</w:t>
            </w:r>
          </w:p>
        </w:tc>
        <w:tc>
          <w:tcPr>
            <w:tcW w:w="5918" w:type="dxa"/>
            <w:vAlign w:val="center"/>
          </w:tcPr>
          <w:p>
            <w:pPr>
              <w:rPr>
                <w:rFonts w:ascii="宋体" w:hAnsi="宋体"/>
              </w:rPr>
            </w:pPr>
            <w:r>
              <w:rPr>
                <w:rFonts w:ascii="宋体" w:hAnsi="宋体"/>
                <w:kern w:val="0"/>
              </w:rPr>
              <w:sym w:font="Wingdings" w:char="00FE"/>
            </w:r>
            <w:r>
              <w:rPr>
                <w:rFonts w:ascii="宋体" w:hAnsi="宋体"/>
              </w:rPr>
              <w:t>不补偿</w:t>
            </w:r>
          </w:p>
          <w:p>
            <w:pPr>
              <w:rPr>
                <w:rFonts w:ascii="宋体" w:hAnsi="宋体"/>
              </w:rPr>
            </w:pPr>
            <w:r>
              <w:rPr>
                <w:rFonts w:ascii="宋体" w:hAnsi="宋体"/>
              </w:rPr>
              <w:sym w:font="Wingdings" w:char="00A8"/>
            </w:r>
            <w:r>
              <w:rPr>
                <w:rFonts w:ascii="宋体" w:hAnsi="宋体"/>
              </w:rPr>
              <w:t>补偿，补偿标准：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宋体"/>
              </w:rPr>
            </w:pPr>
            <w:r>
              <w:rPr>
                <w:rFonts w:ascii="宋体" w:hAnsi="宋体" w:cs="宋体"/>
              </w:rPr>
              <w:t>1.9.1</w:t>
            </w:r>
          </w:p>
        </w:tc>
        <w:tc>
          <w:tcPr>
            <w:tcW w:w="2268" w:type="dxa"/>
            <w:gridSpan w:val="2"/>
            <w:vAlign w:val="center"/>
          </w:tcPr>
          <w:p>
            <w:pPr>
              <w:jc w:val="center"/>
              <w:rPr>
                <w:rFonts w:ascii="宋体"/>
              </w:rPr>
            </w:pPr>
            <w:r>
              <w:rPr>
                <w:rFonts w:hint="eastAsia" w:ascii="宋体" w:hAnsi="宋体" w:cs="宋体"/>
              </w:rPr>
              <w:t>踏勘现场</w:t>
            </w:r>
          </w:p>
        </w:tc>
        <w:tc>
          <w:tcPr>
            <w:tcW w:w="5918" w:type="dxa"/>
            <w:vAlign w:val="center"/>
          </w:tcPr>
          <w:p>
            <w:pPr>
              <w:rPr>
                <w:rFonts w:ascii="宋体" w:hAnsi="宋体"/>
              </w:rPr>
            </w:pPr>
            <w:r>
              <w:rPr>
                <w:rFonts w:ascii="宋体" w:hAnsi="宋体"/>
                <w:kern w:val="0"/>
              </w:rPr>
              <w:sym w:font="Wingdings" w:char="F0FE"/>
            </w:r>
            <w:r>
              <w:rPr>
                <w:rFonts w:ascii="宋体" w:hAnsi="宋体"/>
              </w:rPr>
              <w:t>不组织：</w:t>
            </w:r>
          </w:p>
          <w:p>
            <w:pPr>
              <w:rPr>
                <w:rFonts w:ascii="宋体" w:hAnsi="宋体"/>
              </w:rPr>
            </w:pPr>
            <w:r>
              <w:rPr>
                <w:rFonts w:ascii="宋体" w:hAnsi="宋体"/>
              </w:rPr>
              <w:sym w:font="Wingdings" w:char="00A8"/>
            </w:r>
            <w:r>
              <w:rPr>
                <w:rFonts w:ascii="宋体" w:hAnsi="宋体"/>
              </w:rPr>
              <w:t>组织，踏勘时间：</w:t>
            </w:r>
          </w:p>
          <w:p>
            <w:pPr>
              <w:ind w:firstLine="840" w:firstLineChars="400"/>
              <w:rPr>
                <w:rFonts w:ascii="宋体" w:hAnsi="宋体"/>
              </w:rPr>
            </w:pPr>
            <w:r>
              <w:rPr>
                <w:rFonts w:ascii="宋体" w:hAnsi="宋体"/>
              </w:rPr>
              <w:t>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宋体"/>
              </w:rPr>
            </w:pPr>
            <w:r>
              <w:rPr>
                <w:rFonts w:ascii="宋体" w:hAnsi="宋体" w:cs="宋体"/>
              </w:rPr>
              <w:t>1.10.1</w:t>
            </w:r>
          </w:p>
        </w:tc>
        <w:tc>
          <w:tcPr>
            <w:tcW w:w="2268" w:type="dxa"/>
            <w:gridSpan w:val="2"/>
            <w:vAlign w:val="center"/>
          </w:tcPr>
          <w:p>
            <w:pPr>
              <w:jc w:val="center"/>
              <w:rPr>
                <w:rFonts w:ascii="宋体"/>
              </w:rPr>
            </w:pPr>
            <w:r>
              <w:rPr>
                <w:rFonts w:hint="eastAsia" w:ascii="宋体" w:hAnsi="宋体" w:cs="宋体"/>
              </w:rPr>
              <w:t>投标预备会</w:t>
            </w:r>
          </w:p>
        </w:tc>
        <w:tc>
          <w:tcPr>
            <w:tcW w:w="5918" w:type="dxa"/>
            <w:vAlign w:val="center"/>
          </w:tcPr>
          <w:p>
            <w:pPr>
              <w:pStyle w:val="13"/>
              <w:topLinePunct/>
              <w:rPr>
                <w:rFonts w:hAnsi="宋体"/>
                <w:sz w:val="21"/>
                <w:szCs w:val="21"/>
              </w:rPr>
            </w:pPr>
            <w:r>
              <w:rPr>
                <w:rFonts w:hAnsi="宋体"/>
                <w:sz w:val="21"/>
                <w:szCs w:val="21"/>
              </w:rPr>
              <w:sym w:font="Wingdings" w:char="F0FE"/>
            </w:r>
            <w:r>
              <w:rPr>
                <w:rFonts w:hAnsi="宋体"/>
                <w:sz w:val="21"/>
                <w:szCs w:val="21"/>
              </w:rPr>
              <w:t>不召开</w:t>
            </w:r>
          </w:p>
          <w:p>
            <w:pPr>
              <w:rPr>
                <w:rFonts w:ascii="宋体" w:hAnsi="宋体"/>
              </w:rPr>
            </w:pPr>
            <w:r>
              <w:rPr>
                <w:rFonts w:ascii="宋体" w:hAnsi="宋体"/>
              </w:rPr>
              <w:sym w:font="Wingdings" w:char="00A8"/>
            </w:r>
            <w:r>
              <w:rPr>
                <w:rFonts w:ascii="宋体" w:hAnsi="宋体"/>
              </w:rPr>
              <w:t>召开，召开时间：</w:t>
            </w:r>
          </w:p>
          <w:p>
            <w:pPr>
              <w:ind w:firstLine="840" w:firstLineChars="400"/>
              <w:rPr>
                <w:rFonts w:ascii="宋体" w:hAnsi="宋体"/>
              </w:rPr>
            </w:pPr>
            <w:r>
              <w:rPr>
                <w:rFonts w:ascii="宋体" w:hAnsi="宋体"/>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宋体"/>
              </w:rPr>
            </w:pPr>
            <w:r>
              <w:rPr>
                <w:rFonts w:ascii="宋体" w:hAnsi="宋体" w:cs="宋体"/>
              </w:rPr>
              <w:t>1.10.2</w:t>
            </w:r>
          </w:p>
        </w:tc>
        <w:tc>
          <w:tcPr>
            <w:tcW w:w="2268" w:type="dxa"/>
            <w:gridSpan w:val="2"/>
            <w:vAlign w:val="center"/>
          </w:tcPr>
          <w:p>
            <w:pPr>
              <w:jc w:val="center"/>
              <w:rPr>
                <w:rFonts w:ascii="宋体"/>
              </w:rPr>
            </w:pPr>
            <w:r>
              <w:rPr>
                <w:rFonts w:hint="eastAsia" w:ascii="宋体" w:hAnsi="宋体" w:cs="宋体"/>
              </w:rPr>
              <w:t>投标人在投标预备会前提出问题</w:t>
            </w:r>
          </w:p>
        </w:tc>
        <w:tc>
          <w:tcPr>
            <w:tcW w:w="5918" w:type="dxa"/>
            <w:vAlign w:val="center"/>
          </w:tcPr>
          <w:p>
            <w:pPr>
              <w:jc w:val="left"/>
              <w:rPr>
                <w:rFonts w:ascii="宋体"/>
              </w:rPr>
            </w:pPr>
            <w:r>
              <w:rPr>
                <w:rFonts w:ascii="宋体" w:hAnsi="宋体"/>
              </w:rPr>
              <w:t>在投标文件递交截止日10日之前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01" w:type="dxa"/>
            <w:vAlign w:val="center"/>
          </w:tcPr>
          <w:p>
            <w:pPr>
              <w:jc w:val="center"/>
              <w:rPr>
                <w:rFonts w:ascii="宋体"/>
              </w:rPr>
            </w:pPr>
            <w:r>
              <w:rPr>
                <w:rFonts w:ascii="宋体" w:hAnsi="宋体" w:cs="宋体"/>
              </w:rPr>
              <w:t>1.10.3</w:t>
            </w:r>
          </w:p>
        </w:tc>
        <w:tc>
          <w:tcPr>
            <w:tcW w:w="2268" w:type="dxa"/>
            <w:gridSpan w:val="2"/>
            <w:vAlign w:val="center"/>
          </w:tcPr>
          <w:p>
            <w:pPr>
              <w:ind w:left="-101" w:leftChars="-48"/>
              <w:jc w:val="center"/>
              <w:rPr>
                <w:rFonts w:ascii="宋体"/>
              </w:rPr>
            </w:pPr>
            <w:r>
              <w:rPr>
                <w:rFonts w:hint="eastAsia" w:cs="宋体"/>
              </w:rPr>
              <w:t>招标人书面澄清的时间</w:t>
            </w:r>
          </w:p>
        </w:tc>
        <w:tc>
          <w:tcPr>
            <w:tcW w:w="5918" w:type="dxa"/>
            <w:vAlign w:val="center"/>
          </w:tcPr>
          <w:p>
            <w:pPr>
              <w:jc w:val="left"/>
              <w:rPr>
                <w:rFonts w:ascii="宋体"/>
              </w:rPr>
            </w:pPr>
            <w:r>
              <w:rPr>
                <w:rFonts w:ascii="宋体" w:hAnsi="宋体"/>
              </w:rPr>
              <w:t>在投标文件递交截止日1</w:t>
            </w:r>
            <w:r>
              <w:rPr>
                <w:rFonts w:hint="eastAsia" w:ascii="宋体" w:hAnsi="宋体"/>
              </w:rPr>
              <w:t>5</w:t>
            </w:r>
            <w:r>
              <w:rPr>
                <w:rFonts w:ascii="宋体" w:hAnsi="宋体"/>
              </w:rPr>
              <w:t>日之前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宋体"/>
              </w:rPr>
            </w:pPr>
            <w:r>
              <w:rPr>
                <w:rFonts w:ascii="宋体" w:hAnsi="宋体" w:cs="宋体"/>
              </w:rPr>
              <w:t>1.11.1</w:t>
            </w:r>
          </w:p>
        </w:tc>
        <w:tc>
          <w:tcPr>
            <w:tcW w:w="2268" w:type="dxa"/>
            <w:gridSpan w:val="2"/>
            <w:vAlign w:val="center"/>
          </w:tcPr>
          <w:p>
            <w:pPr>
              <w:jc w:val="center"/>
              <w:rPr>
                <w:rFonts w:ascii="宋体"/>
              </w:rPr>
            </w:pPr>
            <w:r>
              <w:rPr>
                <w:rFonts w:hint="eastAsia" w:ascii="宋体" w:hAnsi="宋体" w:cs="宋体"/>
              </w:rPr>
              <w:t>分包</w:t>
            </w:r>
          </w:p>
        </w:tc>
        <w:tc>
          <w:tcPr>
            <w:tcW w:w="5918" w:type="dxa"/>
            <w:vAlign w:val="center"/>
          </w:tcPr>
          <w:p>
            <w:pPr>
              <w:pStyle w:val="13"/>
              <w:topLinePunct/>
              <w:rPr>
                <w:rFonts w:hAnsi="宋体"/>
                <w:sz w:val="21"/>
                <w:szCs w:val="21"/>
              </w:rPr>
            </w:pPr>
            <w:r>
              <w:rPr>
                <w:rFonts w:hAnsi="宋体"/>
                <w:sz w:val="21"/>
                <w:szCs w:val="21"/>
              </w:rPr>
              <w:sym w:font="Wingdings" w:char="F0FE"/>
            </w:r>
            <w:r>
              <w:rPr>
                <w:rFonts w:hAnsi="宋体"/>
                <w:sz w:val="21"/>
                <w:szCs w:val="21"/>
              </w:rPr>
              <w:t>不允许</w:t>
            </w:r>
            <w:r>
              <w:rPr>
                <w:rFonts w:hint="eastAsia" w:hAnsi="宋体"/>
                <w:sz w:val="21"/>
                <w:szCs w:val="21"/>
              </w:rPr>
              <w:t>，招标范围内除劳务分包外的所有内容均不允许</w:t>
            </w:r>
          </w:p>
          <w:p>
            <w:pPr>
              <w:rPr>
                <w:rFonts w:ascii="宋体" w:hAnsi="宋体"/>
              </w:rPr>
            </w:pPr>
            <w:r>
              <w:rPr>
                <w:rFonts w:ascii="宋体" w:hAnsi="宋体"/>
              </w:rPr>
              <w:sym w:font="Wingdings" w:char="00A8"/>
            </w:r>
            <w:r>
              <w:rPr>
                <w:rFonts w:ascii="宋体" w:hAnsi="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宋体"/>
                <w:snapToGrid w:val="0"/>
                <w:kern w:val="0"/>
              </w:rPr>
            </w:pPr>
            <w:r>
              <w:rPr>
                <w:rFonts w:ascii="宋体" w:hAnsi="宋体" w:cs="宋体"/>
                <w:snapToGrid w:val="0"/>
                <w:kern w:val="0"/>
              </w:rPr>
              <w:t>1.12</w:t>
            </w:r>
          </w:p>
        </w:tc>
        <w:tc>
          <w:tcPr>
            <w:tcW w:w="2268" w:type="dxa"/>
            <w:gridSpan w:val="2"/>
            <w:vAlign w:val="center"/>
          </w:tcPr>
          <w:p>
            <w:pPr>
              <w:jc w:val="left"/>
              <w:rPr>
                <w:rFonts w:ascii="宋体"/>
                <w:kern w:val="0"/>
              </w:rPr>
            </w:pPr>
            <w:r>
              <w:rPr>
                <w:rFonts w:hint="eastAsia" w:ascii="宋体"/>
                <w:kern w:val="0"/>
              </w:rPr>
              <w:t>偏差</w:t>
            </w:r>
          </w:p>
        </w:tc>
        <w:tc>
          <w:tcPr>
            <w:tcW w:w="5918" w:type="dxa"/>
            <w:vAlign w:val="center"/>
          </w:tcPr>
          <w:p>
            <w:pPr>
              <w:jc w:val="left"/>
              <w:rPr>
                <w:rFonts w:ascii="宋体"/>
                <w:kern w:val="0"/>
              </w:rPr>
            </w:pPr>
            <w:r>
              <w:rPr>
                <w:rFonts w:hint="eastAsia" w:ascii="宋体"/>
                <w:kern w:val="0"/>
              </w:rPr>
              <w:t>不允许重大偏离。</w:t>
            </w:r>
          </w:p>
          <w:p>
            <w:pPr>
              <w:jc w:val="left"/>
              <w:rPr>
                <w:rFonts w:ascii="宋体"/>
                <w:kern w:val="0"/>
              </w:rPr>
            </w:pPr>
            <w:r>
              <w:rPr>
                <w:rFonts w:hint="eastAsia" w:ascii="宋体"/>
                <w:kern w:val="0"/>
              </w:rPr>
              <w:t>允许以下细微偏离：</w:t>
            </w:r>
          </w:p>
          <w:p>
            <w:pPr>
              <w:jc w:val="left"/>
              <w:rPr>
                <w:rFonts w:ascii="宋体"/>
                <w:kern w:val="0"/>
              </w:rPr>
            </w:pPr>
            <w:r>
              <w:rPr>
                <w:rFonts w:hint="eastAsia" w:ascii="宋体"/>
                <w:kern w:val="0"/>
              </w:rPr>
              <w:t xml:space="preserve">    投标文件页码不连续、个别文字遗漏错误等不影响投标文件实质性内容的细微偏差。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宋体"/>
                <w:snapToGrid w:val="0"/>
                <w:kern w:val="0"/>
              </w:rPr>
            </w:pPr>
            <w:r>
              <w:rPr>
                <w:rFonts w:ascii="宋体" w:hAnsi="宋体" w:cs="宋体"/>
                <w:snapToGrid w:val="0"/>
                <w:kern w:val="0"/>
              </w:rPr>
              <w:t>2.1</w:t>
            </w:r>
          </w:p>
        </w:tc>
        <w:tc>
          <w:tcPr>
            <w:tcW w:w="2268" w:type="dxa"/>
            <w:gridSpan w:val="2"/>
            <w:vAlign w:val="center"/>
          </w:tcPr>
          <w:p>
            <w:pPr>
              <w:jc w:val="left"/>
              <w:rPr>
                <w:rFonts w:ascii="宋体"/>
                <w:kern w:val="0"/>
              </w:rPr>
            </w:pPr>
            <w:r>
              <w:rPr>
                <w:rFonts w:hint="eastAsia" w:ascii="宋体"/>
                <w:kern w:val="0"/>
              </w:rPr>
              <w:t>构成招标文件的其他资料</w:t>
            </w:r>
          </w:p>
        </w:tc>
        <w:tc>
          <w:tcPr>
            <w:tcW w:w="5918" w:type="dxa"/>
            <w:vAlign w:val="center"/>
          </w:tcPr>
          <w:p>
            <w:pPr>
              <w:jc w:val="left"/>
              <w:rPr>
                <w:rFonts w:ascii="宋体"/>
                <w:kern w:val="0"/>
              </w:rPr>
            </w:pPr>
            <w:r>
              <w:rPr>
                <w:rFonts w:hint="eastAsia" w:ascii="宋体"/>
                <w:kern w:val="0"/>
              </w:rPr>
              <w:t>对招标文件所做出的澄清、修改（如有）。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vAlign w:val="center"/>
          </w:tcPr>
          <w:p>
            <w:pPr>
              <w:tabs>
                <w:tab w:val="left" w:pos="360"/>
              </w:tabs>
              <w:adjustRightInd w:val="0"/>
              <w:snapToGrid w:val="0"/>
              <w:jc w:val="center"/>
              <w:rPr>
                <w:rFonts w:ascii="宋体"/>
                <w:snapToGrid w:val="0"/>
                <w:kern w:val="0"/>
              </w:rPr>
            </w:pPr>
            <w:r>
              <w:rPr>
                <w:rFonts w:ascii="宋体" w:hAnsi="宋体" w:cs="宋体"/>
                <w:snapToGrid w:val="0"/>
                <w:kern w:val="0"/>
              </w:rPr>
              <w:t>2.2.1</w:t>
            </w:r>
          </w:p>
        </w:tc>
        <w:tc>
          <w:tcPr>
            <w:tcW w:w="2268" w:type="dxa"/>
            <w:gridSpan w:val="2"/>
            <w:vMerge w:val="restart"/>
            <w:vAlign w:val="center"/>
          </w:tcPr>
          <w:p>
            <w:pPr>
              <w:jc w:val="left"/>
              <w:rPr>
                <w:rFonts w:ascii="宋体"/>
                <w:kern w:val="0"/>
              </w:rPr>
            </w:pPr>
            <w:r>
              <w:rPr>
                <w:rFonts w:hint="eastAsia" w:ascii="宋体"/>
                <w:kern w:val="0"/>
              </w:rPr>
              <w:t>投标人要求澄清招标文件</w:t>
            </w:r>
          </w:p>
        </w:tc>
        <w:tc>
          <w:tcPr>
            <w:tcW w:w="5918" w:type="dxa"/>
            <w:vAlign w:val="center"/>
          </w:tcPr>
          <w:p>
            <w:pPr>
              <w:jc w:val="left"/>
              <w:rPr>
                <w:rFonts w:ascii="宋体"/>
                <w:kern w:val="0"/>
              </w:rPr>
            </w:pPr>
            <w:r>
              <w:rPr>
                <w:rFonts w:hint="eastAsia" w:ascii="宋体"/>
                <w:kern w:val="0"/>
              </w:rPr>
              <w:t>时间：投标截止10天前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vAlign w:val="center"/>
          </w:tcPr>
          <w:p>
            <w:pPr>
              <w:jc w:val="center"/>
              <w:rPr>
                <w:rFonts w:ascii="宋体"/>
                <w:snapToGrid w:val="0"/>
                <w:kern w:val="0"/>
              </w:rPr>
            </w:pPr>
          </w:p>
        </w:tc>
        <w:tc>
          <w:tcPr>
            <w:tcW w:w="2268" w:type="dxa"/>
            <w:gridSpan w:val="2"/>
            <w:vMerge w:val="continue"/>
            <w:vAlign w:val="center"/>
          </w:tcPr>
          <w:p>
            <w:pPr>
              <w:jc w:val="left"/>
              <w:rPr>
                <w:rFonts w:ascii="宋体"/>
                <w:kern w:val="0"/>
              </w:rPr>
            </w:pPr>
          </w:p>
        </w:tc>
        <w:tc>
          <w:tcPr>
            <w:tcW w:w="5918" w:type="dxa"/>
            <w:vAlign w:val="center"/>
          </w:tcPr>
          <w:p>
            <w:pPr>
              <w:jc w:val="left"/>
              <w:rPr>
                <w:rFonts w:ascii="宋体"/>
                <w:kern w:val="0"/>
              </w:rPr>
            </w:pPr>
            <w:r>
              <w:rPr>
                <w:rFonts w:hint="eastAsia" w:ascii="宋体"/>
                <w:kern w:val="0"/>
              </w:rPr>
              <w:t>在天津市公共资源交易网（http://60.28.163.169/）、天津市交通运输委员会官网（http://jtys.tj.gov.cn/）上发布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宋体"/>
                <w:snapToGrid w:val="0"/>
                <w:kern w:val="0"/>
              </w:rPr>
            </w:pPr>
            <w:r>
              <w:rPr>
                <w:rFonts w:hint="eastAsia" w:ascii="宋体"/>
                <w:snapToGrid w:val="0"/>
                <w:kern w:val="0"/>
              </w:rPr>
              <w:t>2.2.2</w:t>
            </w:r>
          </w:p>
        </w:tc>
        <w:tc>
          <w:tcPr>
            <w:tcW w:w="2268" w:type="dxa"/>
            <w:gridSpan w:val="2"/>
            <w:vAlign w:val="center"/>
          </w:tcPr>
          <w:p>
            <w:pPr>
              <w:jc w:val="left"/>
              <w:rPr>
                <w:rFonts w:ascii="宋体"/>
                <w:kern w:val="0"/>
              </w:rPr>
            </w:pPr>
            <w:r>
              <w:rPr>
                <w:rFonts w:hint="eastAsia" w:ascii="宋体"/>
                <w:kern w:val="0"/>
              </w:rPr>
              <w:t>投标截止时间</w:t>
            </w:r>
          </w:p>
        </w:tc>
        <w:tc>
          <w:tcPr>
            <w:tcW w:w="5918" w:type="dxa"/>
            <w:vAlign w:val="center"/>
          </w:tcPr>
          <w:p>
            <w:pPr>
              <w:jc w:val="left"/>
              <w:rPr>
                <w:rFonts w:ascii="宋体"/>
                <w:kern w:val="0"/>
              </w:rPr>
            </w:pPr>
            <w:r>
              <w:rPr>
                <w:rFonts w:hint="eastAsia" w:ascii="宋体"/>
                <w:kern w:val="0"/>
              </w:rPr>
              <w:t>2023年 2月</w:t>
            </w:r>
            <w:r>
              <w:rPr>
                <w:rFonts w:hint="eastAsia" w:ascii="宋体"/>
                <w:kern w:val="0"/>
                <w:lang w:val="en-US" w:eastAsia="zh-CN"/>
              </w:rPr>
              <w:t>15</w:t>
            </w:r>
            <w:r>
              <w:rPr>
                <w:rFonts w:hint="eastAsia" w:ascii="宋体"/>
                <w:kern w:val="0"/>
              </w:rPr>
              <w:t>日09时30分（北京时间）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101" w:type="dxa"/>
            <w:vAlign w:val="center"/>
          </w:tcPr>
          <w:p>
            <w:pPr>
              <w:jc w:val="center"/>
              <w:rPr>
                <w:rFonts w:ascii="宋体" w:hAnsi="宋体" w:cs="宋体"/>
                <w:snapToGrid w:val="0"/>
                <w:kern w:val="0"/>
              </w:rPr>
            </w:pPr>
            <w:r>
              <w:rPr>
                <w:rFonts w:ascii="宋体" w:hAnsi="宋体" w:cs="宋体"/>
                <w:snapToGrid w:val="0"/>
                <w:kern w:val="0"/>
              </w:rPr>
              <w:t>2.2.2</w:t>
            </w:r>
          </w:p>
        </w:tc>
        <w:tc>
          <w:tcPr>
            <w:tcW w:w="2268" w:type="dxa"/>
            <w:gridSpan w:val="2"/>
            <w:vAlign w:val="center"/>
          </w:tcPr>
          <w:p>
            <w:pPr>
              <w:jc w:val="left"/>
              <w:rPr>
                <w:rFonts w:ascii="宋体"/>
                <w:kern w:val="0"/>
              </w:rPr>
            </w:pPr>
            <w:r>
              <w:rPr>
                <w:rFonts w:hint="eastAsia" w:ascii="宋体"/>
                <w:kern w:val="0"/>
              </w:rPr>
              <w:t>招标文件澄清发出的形式</w:t>
            </w:r>
          </w:p>
        </w:tc>
        <w:tc>
          <w:tcPr>
            <w:tcW w:w="5918" w:type="dxa"/>
            <w:vAlign w:val="center"/>
          </w:tcPr>
          <w:p>
            <w:pPr>
              <w:jc w:val="left"/>
              <w:rPr>
                <w:rFonts w:ascii="宋体"/>
                <w:kern w:val="0"/>
              </w:rPr>
            </w:pPr>
            <w:r>
              <w:rPr>
                <w:rFonts w:hint="eastAsia" w:ascii="宋体"/>
                <w:kern w:val="0"/>
              </w:rPr>
              <w:t>招标代理机构会将澄清文件于投标截止时间15天前上传至天津市公共资源交易网（http://60.28.163.169/）、天津市交通运输委员会官网（http://jtys.tj.gov.cn/）上发布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vAlign w:val="center"/>
          </w:tcPr>
          <w:p>
            <w:pPr>
              <w:jc w:val="center"/>
              <w:rPr>
                <w:rFonts w:ascii="宋体"/>
              </w:rPr>
            </w:pPr>
            <w:r>
              <w:rPr>
                <w:rFonts w:ascii="宋体" w:hAnsi="宋体" w:cs="宋体"/>
              </w:rPr>
              <w:t>2.2.3</w:t>
            </w:r>
          </w:p>
        </w:tc>
        <w:tc>
          <w:tcPr>
            <w:tcW w:w="2268" w:type="dxa"/>
            <w:gridSpan w:val="2"/>
            <w:vMerge w:val="restart"/>
            <w:vAlign w:val="center"/>
          </w:tcPr>
          <w:p>
            <w:pPr>
              <w:jc w:val="left"/>
              <w:rPr>
                <w:rFonts w:ascii="宋体"/>
                <w:kern w:val="0"/>
              </w:rPr>
            </w:pPr>
            <w:r>
              <w:rPr>
                <w:rFonts w:hint="eastAsia" w:ascii="宋体"/>
                <w:kern w:val="0"/>
              </w:rPr>
              <w:t>投标人确认收到招标文件澄清</w:t>
            </w:r>
          </w:p>
        </w:tc>
        <w:tc>
          <w:tcPr>
            <w:tcW w:w="5918" w:type="dxa"/>
            <w:vAlign w:val="center"/>
          </w:tcPr>
          <w:p>
            <w:pPr>
              <w:jc w:val="left"/>
              <w:rPr>
                <w:rFonts w:ascii="宋体"/>
                <w:kern w:val="0"/>
              </w:rPr>
            </w:pPr>
            <w:r>
              <w:rPr>
                <w:rFonts w:hint="eastAsia" w:ascii="宋体"/>
                <w:kern w:val="0"/>
              </w:rPr>
              <w:t>时间：不适用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vAlign w:val="center"/>
          </w:tcPr>
          <w:p>
            <w:pPr>
              <w:jc w:val="center"/>
              <w:rPr>
                <w:rFonts w:ascii="宋体"/>
                <w:snapToGrid w:val="0"/>
                <w:kern w:val="0"/>
              </w:rPr>
            </w:pPr>
          </w:p>
        </w:tc>
        <w:tc>
          <w:tcPr>
            <w:tcW w:w="2268" w:type="dxa"/>
            <w:gridSpan w:val="2"/>
            <w:vMerge w:val="continue"/>
            <w:vAlign w:val="center"/>
          </w:tcPr>
          <w:p>
            <w:pPr>
              <w:jc w:val="left"/>
              <w:rPr>
                <w:rFonts w:ascii="宋体"/>
                <w:kern w:val="0"/>
              </w:rPr>
            </w:pPr>
          </w:p>
        </w:tc>
        <w:tc>
          <w:tcPr>
            <w:tcW w:w="5918" w:type="dxa"/>
            <w:vAlign w:val="center"/>
          </w:tcPr>
          <w:p>
            <w:pPr>
              <w:jc w:val="left"/>
              <w:rPr>
                <w:rFonts w:ascii="宋体"/>
                <w:kern w:val="0"/>
              </w:rPr>
            </w:pPr>
            <w:r>
              <w:rPr>
                <w:rFonts w:hint="eastAsia" w:ascii="宋体"/>
                <w:kern w:val="0"/>
              </w:rPr>
              <w:t>形式：同2.2.2条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宋体"/>
              </w:rPr>
            </w:pPr>
            <w:r>
              <w:rPr>
                <w:rFonts w:ascii="宋体" w:hAnsi="宋体" w:cs="宋体"/>
              </w:rPr>
              <w:t>2.3.1</w:t>
            </w:r>
          </w:p>
        </w:tc>
        <w:tc>
          <w:tcPr>
            <w:tcW w:w="2268" w:type="dxa"/>
            <w:gridSpan w:val="2"/>
            <w:vAlign w:val="center"/>
          </w:tcPr>
          <w:p>
            <w:pPr>
              <w:jc w:val="left"/>
              <w:rPr>
                <w:rFonts w:ascii="宋体"/>
                <w:kern w:val="0"/>
              </w:rPr>
            </w:pPr>
            <w:r>
              <w:rPr>
                <w:rFonts w:hint="eastAsia" w:ascii="宋体"/>
                <w:kern w:val="0"/>
              </w:rPr>
              <w:t>招标文件修改发出的形式</w:t>
            </w:r>
          </w:p>
        </w:tc>
        <w:tc>
          <w:tcPr>
            <w:tcW w:w="5918" w:type="dxa"/>
            <w:vAlign w:val="center"/>
          </w:tcPr>
          <w:p>
            <w:pPr>
              <w:jc w:val="left"/>
              <w:rPr>
                <w:rFonts w:ascii="宋体"/>
                <w:kern w:val="0"/>
              </w:rPr>
            </w:pPr>
            <w:r>
              <w:rPr>
                <w:rFonts w:hint="eastAsia" w:ascii="宋体"/>
                <w:kern w:val="0"/>
              </w:rPr>
              <w:t>招标代理机构会将修改文件于投标截止时间15天前上传至天津市公共资源交易网（http://60.28.163.169/）、天津市交通运输委员会官网（http://jtys.tj.gov.cn/，修改文件发出的时间距投标截止时间不足15天的，并且修改内容影响投标文件编制的，将相应延长投标截止时间。修改文件在天津市公共资源交易网（http://60.28.163.169/）、天津市交通运输委员会官网（http://jtys.tj.gov.cn/）一经发出，视为投标人已收到该修改文件，无需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vAlign w:val="center"/>
          </w:tcPr>
          <w:p>
            <w:pPr>
              <w:jc w:val="center"/>
              <w:rPr>
                <w:rFonts w:ascii="宋体"/>
              </w:rPr>
            </w:pPr>
            <w:r>
              <w:rPr>
                <w:rFonts w:ascii="宋体" w:hAnsi="宋体" w:cs="宋体"/>
              </w:rPr>
              <w:t>2.3.2</w:t>
            </w:r>
          </w:p>
        </w:tc>
        <w:tc>
          <w:tcPr>
            <w:tcW w:w="2268" w:type="dxa"/>
            <w:gridSpan w:val="2"/>
            <w:vMerge w:val="restart"/>
            <w:vAlign w:val="center"/>
          </w:tcPr>
          <w:p>
            <w:pPr>
              <w:jc w:val="left"/>
              <w:rPr>
                <w:rFonts w:ascii="宋体"/>
                <w:kern w:val="0"/>
              </w:rPr>
            </w:pPr>
            <w:r>
              <w:rPr>
                <w:rFonts w:hint="eastAsia" w:ascii="宋体"/>
                <w:kern w:val="0"/>
              </w:rPr>
              <w:t>投标人确认收到招标文件修改</w:t>
            </w:r>
          </w:p>
        </w:tc>
        <w:tc>
          <w:tcPr>
            <w:tcW w:w="5918" w:type="dxa"/>
            <w:vAlign w:val="center"/>
          </w:tcPr>
          <w:p>
            <w:pPr>
              <w:jc w:val="left"/>
              <w:rPr>
                <w:rFonts w:ascii="宋体"/>
                <w:kern w:val="0"/>
              </w:rPr>
            </w:pPr>
            <w:r>
              <w:rPr>
                <w:rFonts w:hint="eastAsia" w:ascii="宋体"/>
                <w:kern w:val="0"/>
              </w:rPr>
              <w:t>收到澄清后 24小时内（以发出时间为准）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vAlign w:val="center"/>
          </w:tcPr>
          <w:p>
            <w:pPr>
              <w:jc w:val="center"/>
              <w:rPr>
                <w:rFonts w:ascii="宋体"/>
                <w:snapToGrid w:val="0"/>
                <w:kern w:val="0"/>
              </w:rPr>
            </w:pPr>
          </w:p>
        </w:tc>
        <w:tc>
          <w:tcPr>
            <w:tcW w:w="2268" w:type="dxa"/>
            <w:gridSpan w:val="2"/>
            <w:vMerge w:val="continue"/>
            <w:vAlign w:val="center"/>
          </w:tcPr>
          <w:p>
            <w:pPr>
              <w:jc w:val="left"/>
              <w:rPr>
                <w:rFonts w:ascii="宋体"/>
                <w:kern w:val="0"/>
              </w:rPr>
            </w:pPr>
          </w:p>
        </w:tc>
        <w:tc>
          <w:tcPr>
            <w:tcW w:w="5918" w:type="dxa"/>
            <w:vAlign w:val="center"/>
          </w:tcPr>
          <w:p>
            <w:pPr>
              <w:jc w:val="left"/>
              <w:rPr>
                <w:rFonts w:ascii="宋体"/>
                <w:kern w:val="0"/>
              </w:rPr>
            </w:pPr>
            <w:r>
              <w:rPr>
                <w:rFonts w:hint="eastAsia" w:ascii="宋体"/>
                <w:kern w:val="0"/>
              </w:rPr>
              <w:t>形式：同2.3.1条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宋体"/>
              </w:rPr>
            </w:pPr>
            <w:r>
              <w:rPr>
                <w:rFonts w:ascii="宋体" w:hAnsi="宋体" w:cs="宋体"/>
              </w:rPr>
              <w:t>3.1.1</w:t>
            </w:r>
          </w:p>
        </w:tc>
        <w:tc>
          <w:tcPr>
            <w:tcW w:w="2268" w:type="dxa"/>
            <w:gridSpan w:val="2"/>
            <w:vAlign w:val="center"/>
          </w:tcPr>
          <w:p>
            <w:pPr>
              <w:jc w:val="left"/>
              <w:rPr>
                <w:rFonts w:ascii="宋体"/>
                <w:kern w:val="0"/>
              </w:rPr>
            </w:pPr>
            <w:r>
              <w:rPr>
                <w:rFonts w:hint="eastAsia" w:ascii="宋体"/>
                <w:kern w:val="0"/>
              </w:rPr>
              <w:t>构成投标文件的其他材料</w:t>
            </w:r>
          </w:p>
        </w:tc>
        <w:tc>
          <w:tcPr>
            <w:tcW w:w="5918" w:type="dxa"/>
            <w:vAlign w:val="center"/>
          </w:tcPr>
          <w:p>
            <w:pPr>
              <w:jc w:val="left"/>
              <w:rPr>
                <w:rFonts w:ascii="宋体"/>
                <w:kern w:val="0"/>
              </w:rPr>
            </w:pPr>
            <w:r>
              <w:rPr>
                <w:rFonts w:hint="eastAsia" w:ascii="宋体"/>
                <w:kern w:val="0"/>
              </w:rPr>
              <w:t>招标文件要求以外的，投标人认为需要提供的材料。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宋体"/>
                <w:snapToGrid w:val="0"/>
                <w:kern w:val="0"/>
              </w:rPr>
            </w:pPr>
            <w:r>
              <w:rPr>
                <w:rFonts w:ascii="宋体" w:hAnsi="宋体" w:cs="宋体"/>
                <w:snapToGrid w:val="0"/>
                <w:kern w:val="0"/>
              </w:rPr>
              <w:t>3.2.4</w:t>
            </w:r>
          </w:p>
        </w:tc>
        <w:tc>
          <w:tcPr>
            <w:tcW w:w="2268" w:type="dxa"/>
            <w:gridSpan w:val="2"/>
            <w:vAlign w:val="center"/>
          </w:tcPr>
          <w:p>
            <w:pPr>
              <w:jc w:val="left"/>
              <w:rPr>
                <w:rFonts w:ascii="宋体"/>
                <w:kern w:val="0"/>
              </w:rPr>
            </w:pPr>
            <w:r>
              <w:rPr>
                <w:rFonts w:hint="eastAsia" w:ascii="宋体"/>
                <w:kern w:val="0"/>
              </w:rPr>
              <w:t>最高投标限价</w:t>
            </w:r>
          </w:p>
        </w:tc>
        <w:tc>
          <w:tcPr>
            <w:tcW w:w="5918" w:type="dxa"/>
            <w:vAlign w:val="center"/>
          </w:tcPr>
          <w:p>
            <w:pPr>
              <w:jc w:val="left"/>
              <w:rPr>
                <w:rFonts w:ascii="宋体"/>
                <w:kern w:val="0"/>
              </w:rPr>
            </w:pPr>
            <w:r>
              <w:rPr>
                <w:rFonts w:hint="eastAsia" w:ascii="宋体"/>
                <w:kern w:val="0"/>
              </w:rPr>
              <w:t>人民币：5.94亿元（最终以审核结果为依据）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宋体"/>
                <w:snapToGrid w:val="0"/>
                <w:kern w:val="0"/>
              </w:rPr>
            </w:pPr>
            <w:r>
              <w:rPr>
                <w:rFonts w:ascii="宋体" w:hAnsi="宋体" w:cs="宋体"/>
                <w:snapToGrid w:val="0"/>
                <w:kern w:val="0"/>
              </w:rPr>
              <w:t>3.2.5</w:t>
            </w:r>
          </w:p>
        </w:tc>
        <w:tc>
          <w:tcPr>
            <w:tcW w:w="2268" w:type="dxa"/>
            <w:gridSpan w:val="2"/>
            <w:vAlign w:val="center"/>
          </w:tcPr>
          <w:p>
            <w:pPr>
              <w:jc w:val="left"/>
              <w:rPr>
                <w:rFonts w:ascii="宋体"/>
                <w:kern w:val="0"/>
              </w:rPr>
            </w:pPr>
            <w:r>
              <w:rPr>
                <w:rFonts w:hint="eastAsia" w:ascii="宋体"/>
                <w:kern w:val="0"/>
              </w:rPr>
              <w:t>投标报价的其他要求</w:t>
            </w:r>
          </w:p>
        </w:tc>
        <w:tc>
          <w:tcPr>
            <w:tcW w:w="5918" w:type="dxa"/>
            <w:vAlign w:val="center"/>
          </w:tcPr>
          <w:p>
            <w:pPr>
              <w:jc w:val="left"/>
              <w:rPr>
                <w:rFonts w:ascii="宋体"/>
                <w:kern w:val="0"/>
              </w:rPr>
            </w:pPr>
            <w:r>
              <w:rPr>
                <w:rFonts w:hint="eastAsia" w:ascii="宋体"/>
                <w:kern w:val="0"/>
              </w:rPr>
              <w:t>投标人不得采用总价优惠或以总价百分比优惠的方式进行投标报价，其优惠应直接体现在各分项报价中。</w:t>
            </w:r>
          </w:p>
          <w:p>
            <w:pPr>
              <w:jc w:val="left"/>
              <w:rPr>
                <w:rFonts w:ascii="宋体"/>
                <w:kern w:val="0"/>
              </w:rPr>
            </w:pPr>
            <w:r>
              <w:rPr>
                <w:rFonts w:hint="eastAsia" w:ascii="宋体"/>
                <w:kern w:val="0"/>
              </w:rPr>
              <w:t>本项目只允许有一个报价，任何有选择的报价招标人将不予接受。</w:t>
            </w:r>
          </w:p>
          <w:p>
            <w:pPr>
              <w:jc w:val="left"/>
              <w:rPr>
                <w:rFonts w:ascii="宋体"/>
                <w:kern w:val="0"/>
              </w:rPr>
            </w:pPr>
            <w:r>
              <w:rPr>
                <w:rFonts w:hint="eastAsia" w:ascii="宋体"/>
                <w:kern w:val="0"/>
              </w:rPr>
              <w:t>本项目投标报价应为完成本项目所有工作内容的报价。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360"/>
              </w:tabs>
              <w:adjustRightInd w:val="0"/>
              <w:snapToGrid w:val="0"/>
              <w:jc w:val="center"/>
              <w:rPr>
                <w:rFonts w:ascii="宋体"/>
                <w:snapToGrid w:val="0"/>
                <w:kern w:val="0"/>
              </w:rPr>
            </w:pPr>
            <w:r>
              <w:rPr>
                <w:rFonts w:ascii="宋体" w:hAnsi="宋体" w:cs="宋体"/>
                <w:snapToGrid w:val="0"/>
                <w:kern w:val="0"/>
              </w:rPr>
              <w:t>3.3.1</w:t>
            </w:r>
          </w:p>
        </w:tc>
        <w:tc>
          <w:tcPr>
            <w:tcW w:w="2268" w:type="dxa"/>
            <w:gridSpan w:val="2"/>
            <w:vAlign w:val="center"/>
          </w:tcPr>
          <w:p>
            <w:pPr>
              <w:jc w:val="left"/>
              <w:rPr>
                <w:rFonts w:ascii="宋体"/>
                <w:kern w:val="0"/>
              </w:rPr>
            </w:pPr>
            <w:r>
              <w:rPr>
                <w:rFonts w:hint="eastAsia" w:ascii="宋体"/>
                <w:kern w:val="0"/>
              </w:rPr>
              <w:t>投标有效期</w:t>
            </w:r>
          </w:p>
        </w:tc>
        <w:tc>
          <w:tcPr>
            <w:tcW w:w="5918" w:type="dxa"/>
            <w:vAlign w:val="center"/>
          </w:tcPr>
          <w:p>
            <w:pPr>
              <w:jc w:val="left"/>
              <w:rPr>
                <w:rFonts w:ascii="宋体"/>
                <w:kern w:val="0"/>
              </w:rPr>
            </w:pPr>
            <w:r>
              <w:rPr>
                <w:rFonts w:hint="eastAsia" w:ascii="宋体"/>
                <w:kern w:val="0"/>
              </w:rPr>
              <w:t>投标截止日起算120日历天（招标人处理异议和行政监督部门处理投诉所需时间均不计入投标有效期）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1" w:type="dxa"/>
            <w:vAlign w:val="center"/>
          </w:tcPr>
          <w:p>
            <w:pPr>
              <w:jc w:val="center"/>
              <w:rPr>
                <w:rFonts w:ascii="宋体"/>
              </w:rPr>
            </w:pPr>
            <w:r>
              <w:rPr>
                <w:rFonts w:ascii="宋体" w:hAnsi="宋体" w:cs="宋体"/>
              </w:rPr>
              <w:t>3.4.1</w:t>
            </w:r>
          </w:p>
        </w:tc>
        <w:tc>
          <w:tcPr>
            <w:tcW w:w="2268" w:type="dxa"/>
            <w:gridSpan w:val="2"/>
            <w:vAlign w:val="center"/>
          </w:tcPr>
          <w:p>
            <w:pPr>
              <w:jc w:val="left"/>
              <w:rPr>
                <w:rFonts w:ascii="宋体"/>
                <w:kern w:val="0"/>
              </w:rPr>
            </w:pPr>
            <w:r>
              <w:rPr>
                <w:rFonts w:hint="eastAsia" w:ascii="宋体"/>
                <w:kern w:val="0"/>
              </w:rPr>
              <w:t>投标保证金</w:t>
            </w:r>
          </w:p>
        </w:tc>
        <w:tc>
          <w:tcPr>
            <w:tcW w:w="5918" w:type="dxa"/>
            <w:vAlign w:val="center"/>
          </w:tcPr>
          <w:p>
            <w:pPr>
              <w:jc w:val="left"/>
              <w:rPr>
                <w:rFonts w:ascii="宋体"/>
                <w:kern w:val="0"/>
              </w:rPr>
            </w:pPr>
            <w:r>
              <w:rPr>
                <w:rFonts w:hint="eastAsia" w:ascii="宋体"/>
                <w:kern w:val="0"/>
              </w:rPr>
              <w:t>投标保证金的金额（人民币）：80万元（大写：捌拾万元）。</w:t>
            </w:r>
          </w:p>
          <w:p>
            <w:pPr>
              <w:jc w:val="left"/>
              <w:rPr>
                <w:rFonts w:ascii="宋体"/>
                <w:kern w:val="0"/>
              </w:rPr>
            </w:pPr>
            <w:r>
              <w:rPr>
                <w:rFonts w:hint="eastAsia" w:ascii="宋体"/>
                <w:kern w:val="0"/>
              </w:rPr>
              <w:t>2、投标保证金的形式：电汇、转账或银行保函</w:t>
            </w:r>
          </w:p>
          <w:p>
            <w:pPr>
              <w:jc w:val="left"/>
              <w:rPr>
                <w:rFonts w:ascii="宋体"/>
                <w:kern w:val="0"/>
              </w:rPr>
            </w:pPr>
            <w:r>
              <w:rPr>
                <w:rFonts w:hint="eastAsia" w:ascii="宋体"/>
                <w:kern w:val="0"/>
              </w:rPr>
              <w:t>3、投标保证金的递交截止时间为：投标截止时间前；</w:t>
            </w:r>
          </w:p>
          <w:p>
            <w:pPr>
              <w:jc w:val="left"/>
              <w:rPr>
                <w:rFonts w:ascii="宋体"/>
                <w:kern w:val="0"/>
              </w:rPr>
            </w:pPr>
            <w:r>
              <w:rPr>
                <w:rFonts w:hint="eastAsia" w:ascii="宋体"/>
                <w:kern w:val="0"/>
              </w:rPr>
              <w:t>采用电汇、转账时，投标人应在投标截止时间之前（以到账时间为准），将投标保证金从投标人的基本存款账户汇入以下账户。</w:t>
            </w:r>
          </w:p>
          <w:p>
            <w:pPr>
              <w:jc w:val="left"/>
              <w:rPr>
                <w:rFonts w:ascii="宋体"/>
                <w:kern w:val="0"/>
              </w:rPr>
            </w:pPr>
          </w:p>
          <w:p>
            <w:pPr>
              <w:jc w:val="left"/>
              <w:rPr>
                <w:rFonts w:ascii="宋体"/>
                <w:kern w:val="0"/>
              </w:rPr>
            </w:pPr>
            <w:r>
              <w:rPr>
                <w:rFonts w:hint="eastAsia" w:ascii="宋体"/>
                <w:kern w:val="0"/>
              </w:rPr>
              <w:t>开户银行及帐号如下：</w:t>
            </w:r>
          </w:p>
          <w:p>
            <w:pPr>
              <w:jc w:val="left"/>
              <w:rPr>
                <w:rFonts w:ascii="宋体"/>
                <w:kern w:val="0"/>
              </w:rPr>
            </w:pPr>
            <w:r>
              <w:rPr>
                <w:rFonts w:hint="eastAsia" w:ascii="宋体"/>
                <w:kern w:val="0"/>
              </w:rPr>
              <w:t>名称： 天津市滨海新区城投建设发展有限公司</w:t>
            </w:r>
          </w:p>
          <w:p>
            <w:pPr>
              <w:jc w:val="left"/>
              <w:rPr>
                <w:rFonts w:ascii="宋体"/>
                <w:kern w:val="0"/>
              </w:rPr>
            </w:pPr>
            <w:r>
              <w:rPr>
                <w:rFonts w:hint="eastAsia" w:ascii="宋体"/>
                <w:kern w:val="0"/>
              </w:rPr>
              <w:t>账号：12001675001050004709</w:t>
            </w:r>
          </w:p>
          <w:p>
            <w:pPr>
              <w:jc w:val="left"/>
              <w:rPr>
                <w:rFonts w:ascii="宋体"/>
                <w:kern w:val="0"/>
              </w:rPr>
            </w:pPr>
            <w:r>
              <w:rPr>
                <w:rFonts w:hint="eastAsia" w:ascii="宋体"/>
                <w:kern w:val="0"/>
              </w:rPr>
              <w:t>开户行： 建行天津塘沽和平路支行</w:t>
            </w:r>
          </w:p>
          <w:p>
            <w:pPr>
              <w:jc w:val="left"/>
              <w:rPr>
                <w:rFonts w:ascii="宋体"/>
                <w:kern w:val="0"/>
              </w:rPr>
            </w:pPr>
          </w:p>
          <w:p>
            <w:pPr>
              <w:jc w:val="left"/>
              <w:rPr>
                <w:rFonts w:ascii="宋体"/>
                <w:kern w:val="0"/>
              </w:rPr>
            </w:pPr>
            <w:r>
              <w:rPr>
                <w:rFonts w:hint="eastAsia" w:ascii="宋体"/>
                <w:kern w:val="0"/>
              </w:rPr>
              <w:t>采用银行保函时，出具保函的银行级别：天津市域内或者投标人企业注册所在地（设区市区域内）的全国性商业银行、城市商业银行或政策性银行出具）。保函受益人“天津市滨海新区城投建设发展有限公司”。</w:t>
            </w:r>
          </w:p>
          <w:p>
            <w:pPr>
              <w:jc w:val="left"/>
              <w:rPr>
                <w:rFonts w:ascii="宋体"/>
                <w:kern w:val="0"/>
              </w:rPr>
            </w:pPr>
            <w:r>
              <w:rPr>
                <w:rFonts w:hint="eastAsia" w:ascii="宋体"/>
                <w:kern w:val="0"/>
              </w:rPr>
              <w:t>银行保函原件扫描件附在投标文件内，原件应单独密封，在投标截止时间前（以接收时间为准）递交或邮寄到以下地址：</w:t>
            </w:r>
          </w:p>
          <w:p>
            <w:pPr>
              <w:jc w:val="left"/>
              <w:rPr>
                <w:rFonts w:ascii="宋体"/>
                <w:kern w:val="0"/>
              </w:rPr>
            </w:pPr>
            <w:r>
              <w:rPr>
                <w:rFonts w:hint="eastAsia" w:ascii="宋体"/>
                <w:kern w:val="0"/>
              </w:rPr>
              <w:t>地址：天津市滨海新区津塘公路5982号副598号</w:t>
            </w:r>
          </w:p>
          <w:p>
            <w:pPr>
              <w:jc w:val="left"/>
              <w:rPr>
                <w:rFonts w:ascii="宋体"/>
                <w:kern w:val="0"/>
              </w:rPr>
            </w:pPr>
            <w:r>
              <w:rPr>
                <w:rFonts w:hint="eastAsia" w:ascii="宋体"/>
                <w:kern w:val="0"/>
              </w:rPr>
              <w:t>邮编：300450</w:t>
            </w:r>
          </w:p>
          <w:p>
            <w:pPr>
              <w:jc w:val="left"/>
              <w:rPr>
                <w:rFonts w:ascii="宋体"/>
                <w:kern w:val="0"/>
              </w:rPr>
            </w:pPr>
            <w:r>
              <w:rPr>
                <w:rFonts w:hint="eastAsia" w:ascii="宋体"/>
                <w:kern w:val="0"/>
              </w:rPr>
              <w:t>接收人：温欣</w:t>
            </w:r>
          </w:p>
          <w:p>
            <w:pPr>
              <w:jc w:val="left"/>
              <w:rPr>
                <w:rFonts w:ascii="宋体"/>
                <w:kern w:val="0"/>
              </w:rPr>
            </w:pPr>
            <w:r>
              <w:rPr>
                <w:rFonts w:hint="eastAsia" w:ascii="宋体"/>
                <w:kern w:val="0"/>
              </w:rPr>
              <w:t>银行保函也可采用有效的电子银行保函。</w:t>
            </w:r>
          </w:p>
          <w:p>
            <w:pPr>
              <w:jc w:val="left"/>
              <w:rPr>
                <w:rFonts w:ascii="宋体"/>
                <w:kern w:val="0"/>
              </w:rPr>
            </w:pPr>
            <w:r>
              <w:rPr>
                <w:rFonts w:hint="eastAsia" w:ascii="宋体"/>
                <w:kern w:val="0"/>
              </w:rPr>
              <w:t>4、投标保证金有效期：同投标有效期。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360"/>
              </w:tabs>
              <w:adjustRightInd w:val="0"/>
              <w:snapToGrid w:val="0"/>
              <w:jc w:val="center"/>
              <w:rPr>
                <w:rFonts w:ascii="宋体"/>
                <w:snapToGrid w:val="0"/>
                <w:kern w:val="0"/>
              </w:rPr>
            </w:pPr>
            <w:r>
              <w:rPr>
                <w:rFonts w:ascii="宋体" w:hAnsi="宋体" w:cs="宋体"/>
                <w:snapToGrid w:val="0"/>
                <w:kern w:val="0"/>
              </w:rPr>
              <w:t>3.4.4</w:t>
            </w:r>
          </w:p>
        </w:tc>
        <w:tc>
          <w:tcPr>
            <w:tcW w:w="2268" w:type="dxa"/>
            <w:gridSpan w:val="2"/>
            <w:vAlign w:val="center"/>
          </w:tcPr>
          <w:p>
            <w:pPr>
              <w:jc w:val="left"/>
              <w:rPr>
                <w:rFonts w:ascii="宋体"/>
                <w:kern w:val="0"/>
              </w:rPr>
            </w:pPr>
            <w:r>
              <w:rPr>
                <w:rFonts w:hint="eastAsia" w:ascii="宋体"/>
                <w:kern w:val="0"/>
              </w:rPr>
              <w:t>其他可以不予退还投标保证金的情形</w:t>
            </w:r>
          </w:p>
        </w:tc>
        <w:tc>
          <w:tcPr>
            <w:tcW w:w="5918" w:type="dxa"/>
            <w:vAlign w:val="center"/>
          </w:tcPr>
          <w:p>
            <w:pPr>
              <w:jc w:val="left"/>
              <w:rPr>
                <w:rFonts w:ascii="宋体"/>
                <w:kern w:val="0"/>
              </w:rPr>
            </w:pPr>
            <w:r>
              <w:rPr>
                <w:rFonts w:hint="eastAsia" w:ascii="宋体"/>
                <w:kern w:val="0"/>
              </w:rPr>
              <w:t>本款增加：</w:t>
            </w:r>
          </w:p>
          <w:p>
            <w:pPr>
              <w:jc w:val="left"/>
              <w:rPr>
                <w:rFonts w:ascii="宋体"/>
                <w:kern w:val="0"/>
              </w:rPr>
            </w:pPr>
            <w:r>
              <w:rPr>
                <w:rFonts w:hint="eastAsia" w:ascii="宋体"/>
                <w:kern w:val="0"/>
              </w:rPr>
              <w:t>（3）投标人提交虚假资料，骗取中标的；</w:t>
            </w:r>
          </w:p>
          <w:p>
            <w:pPr>
              <w:jc w:val="left"/>
              <w:rPr>
                <w:rFonts w:ascii="宋体"/>
                <w:kern w:val="0"/>
              </w:rPr>
            </w:pPr>
            <w:r>
              <w:rPr>
                <w:rFonts w:hint="eastAsia" w:ascii="宋体"/>
                <w:kern w:val="0"/>
              </w:rPr>
              <w:t>（4）投标人存在串通投标情形的。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360"/>
              </w:tabs>
              <w:adjustRightInd w:val="0"/>
              <w:snapToGrid w:val="0"/>
              <w:jc w:val="center"/>
              <w:rPr>
                <w:rFonts w:ascii="宋体"/>
                <w:snapToGrid w:val="0"/>
                <w:kern w:val="0"/>
              </w:rPr>
            </w:pPr>
            <w:r>
              <w:rPr>
                <w:rFonts w:ascii="宋体" w:hAnsi="宋体" w:cs="宋体"/>
                <w:snapToGrid w:val="0"/>
                <w:kern w:val="0"/>
              </w:rPr>
              <w:t>3.5</w:t>
            </w:r>
          </w:p>
        </w:tc>
        <w:tc>
          <w:tcPr>
            <w:tcW w:w="2268" w:type="dxa"/>
            <w:gridSpan w:val="2"/>
            <w:vAlign w:val="center"/>
          </w:tcPr>
          <w:p>
            <w:pPr>
              <w:jc w:val="left"/>
              <w:rPr>
                <w:rFonts w:ascii="宋体"/>
                <w:kern w:val="0"/>
              </w:rPr>
            </w:pPr>
            <w:r>
              <w:rPr>
                <w:rFonts w:hint="eastAsia" w:ascii="宋体"/>
                <w:kern w:val="0"/>
              </w:rPr>
              <w:t>资格审查资料的特殊要求</w:t>
            </w:r>
          </w:p>
        </w:tc>
        <w:tc>
          <w:tcPr>
            <w:tcW w:w="5918" w:type="dxa"/>
            <w:vAlign w:val="center"/>
          </w:tcPr>
          <w:p>
            <w:pPr>
              <w:jc w:val="left"/>
              <w:rPr>
                <w:rFonts w:ascii="宋体"/>
                <w:kern w:val="0"/>
              </w:rPr>
            </w:pPr>
            <w:r>
              <w:rPr>
                <w:rFonts w:hint="eastAsia" w:ascii="宋体"/>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360"/>
              </w:tabs>
              <w:adjustRightInd w:val="0"/>
              <w:snapToGrid w:val="0"/>
              <w:jc w:val="center"/>
              <w:rPr>
                <w:rFonts w:ascii="宋体"/>
                <w:snapToGrid w:val="0"/>
                <w:kern w:val="0"/>
              </w:rPr>
            </w:pPr>
            <w:r>
              <w:rPr>
                <w:rFonts w:ascii="宋体" w:hAnsi="宋体" w:cs="宋体"/>
                <w:snapToGrid w:val="0"/>
                <w:kern w:val="0"/>
              </w:rPr>
              <w:t>3.5.2</w:t>
            </w:r>
          </w:p>
        </w:tc>
        <w:tc>
          <w:tcPr>
            <w:tcW w:w="2268" w:type="dxa"/>
            <w:gridSpan w:val="2"/>
            <w:vAlign w:val="center"/>
          </w:tcPr>
          <w:p>
            <w:pPr>
              <w:jc w:val="left"/>
              <w:rPr>
                <w:rFonts w:ascii="宋体"/>
                <w:kern w:val="0"/>
              </w:rPr>
            </w:pPr>
            <w:r>
              <w:rPr>
                <w:rFonts w:hint="eastAsia" w:ascii="宋体"/>
                <w:kern w:val="0"/>
              </w:rPr>
              <w:t>近年财务状况</w:t>
            </w:r>
          </w:p>
        </w:tc>
        <w:tc>
          <w:tcPr>
            <w:tcW w:w="5918" w:type="dxa"/>
            <w:vAlign w:val="center"/>
          </w:tcPr>
          <w:p>
            <w:pPr>
              <w:jc w:val="left"/>
              <w:rPr>
                <w:rFonts w:ascii="宋体"/>
                <w:kern w:val="0"/>
              </w:rPr>
            </w:pPr>
            <w:r>
              <w:rPr>
                <w:rFonts w:hint="eastAsia" w:ascii="宋体"/>
                <w:kern w:val="0"/>
              </w:rPr>
              <w:t>投标人须提供经会计师事务所或审计机构出具的</w:t>
            </w:r>
            <w:r>
              <w:rPr>
                <w:rFonts w:hint="eastAsia" w:ascii="宋体"/>
                <w:kern w:val="0"/>
                <w:lang w:val="zh-CN"/>
              </w:rPr>
              <w:t>2019年度、2020年度、2021年度的审计报告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360"/>
              </w:tabs>
              <w:adjustRightInd w:val="0"/>
              <w:snapToGrid w:val="0"/>
              <w:jc w:val="center"/>
              <w:rPr>
                <w:rFonts w:ascii="宋体"/>
                <w:snapToGrid w:val="0"/>
                <w:kern w:val="0"/>
              </w:rPr>
            </w:pPr>
            <w:r>
              <w:rPr>
                <w:rFonts w:ascii="宋体" w:hAnsi="宋体" w:cs="宋体"/>
                <w:snapToGrid w:val="0"/>
                <w:kern w:val="0"/>
              </w:rPr>
              <w:t>3.5.3</w:t>
            </w:r>
          </w:p>
        </w:tc>
        <w:tc>
          <w:tcPr>
            <w:tcW w:w="2268" w:type="dxa"/>
            <w:gridSpan w:val="2"/>
            <w:vAlign w:val="center"/>
          </w:tcPr>
          <w:p>
            <w:pPr>
              <w:jc w:val="left"/>
              <w:rPr>
                <w:rFonts w:ascii="宋体"/>
                <w:kern w:val="0"/>
              </w:rPr>
            </w:pPr>
            <w:r>
              <w:rPr>
                <w:rFonts w:hint="eastAsia" w:ascii="宋体"/>
                <w:kern w:val="0"/>
              </w:rPr>
              <w:t>近年完成的类似项目情况的时间要求</w:t>
            </w:r>
          </w:p>
        </w:tc>
        <w:tc>
          <w:tcPr>
            <w:tcW w:w="5918" w:type="dxa"/>
            <w:vAlign w:val="center"/>
          </w:tcPr>
          <w:p>
            <w:pPr>
              <w:jc w:val="left"/>
              <w:rPr>
                <w:rFonts w:ascii="宋体"/>
                <w:kern w:val="0"/>
              </w:rPr>
            </w:pPr>
            <w:r>
              <w:rPr>
                <w:rFonts w:hint="eastAsia" w:ascii="宋体"/>
                <w:kern w:val="0"/>
              </w:rPr>
              <w:t>20</w:t>
            </w:r>
            <w:r>
              <w:rPr>
                <w:rFonts w:ascii="宋体"/>
                <w:kern w:val="0"/>
              </w:rPr>
              <w:t>18</w:t>
            </w:r>
            <w:r>
              <w:rPr>
                <w:rFonts w:hint="eastAsia" w:ascii="宋体"/>
                <w:kern w:val="0"/>
              </w:rPr>
              <w:t>年1月1日至今，以合同签订日期为准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360"/>
              </w:tabs>
              <w:adjustRightInd w:val="0"/>
              <w:snapToGrid w:val="0"/>
              <w:jc w:val="center"/>
              <w:rPr>
                <w:rFonts w:ascii="宋体"/>
                <w:snapToGrid w:val="0"/>
                <w:kern w:val="0"/>
              </w:rPr>
            </w:pPr>
            <w:r>
              <w:rPr>
                <w:rFonts w:ascii="宋体" w:hAnsi="宋体" w:cs="宋体"/>
                <w:snapToGrid w:val="0"/>
                <w:kern w:val="0"/>
              </w:rPr>
              <w:t>3.5.5</w:t>
            </w:r>
          </w:p>
        </w:tc>
        <w:tc>
          <w:tcPr>
            <w:tcW w:w="2268" w:type="dxa"/>
            <w:gridSpan w:val="2"/>
            <w:vAlign w:val="center"/>
          </w:tcPr>
          <w:p>
            <w:pPr>
              <w:jc w:val="left"/>
              <w:rPr>
                <w:rFonts w:ascii="宋体"/>
                <w:kern w:val="0"/>
              </w:rPr>
            </w:pPr>
            <w:r>
              <w:rPr>
                <w:rFonts w:hint="eastAsia" w:ascii="宋体"/>
                <w:kern w:val="0"/>
              </w:rPr>
              <w:t>近年发生的诉讼及仲裁情况的时间要求</w:t>
            </w:r>
          </w:p>
        </w:tc>
        <w:tc>
          <w:tcPr>
            <w:tcW w:w="5918" w:type="dxa"/>
            <w:vAlign w:val="center"/>
          </w:tcPr>
          <w:p>
            <w:pPr>
              <w:jc w:val="left"/>
              <w:rPr>
                <w:rFonts w:ascii="宋体"/>
                <w:kern w:val="0"/>
              </w:rPr>
            </w:pPr>
            <w:r>
              <w:rPr>
                <w:rFonts w:hint="eastAsia" w:ascii="宋体"/>
                <w:kern w:val="0"/>
              </w:rPr>
              <w:t>2022年1月1日至今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360"/>
              </w:tabs>
              <w:adjustRightInd w:val="0"/>
              <w:snapToGrid w:val="0"/>
              <w:jc w:val="center"/>
              <w:rPr>
                <w:rFonts w:ascii="宋体"/>
                <w:snapToGrid w:val="0"/>
                <w:kern w:val="0"/>
              </w:rPr>
            </w:pPr>
            <w:r>
              <w:rPr>
                <w:rFonts w:ascii="宋体" w:hAnsi="宋体" w:cs="宋体"/>
                <w:snapToGrid w:val="0"/>
                <w:kern w:val="0"/>
              </w:rPr>
              <w:t>3.6</w:t>
            </w:r>
          </w:p>
        </w:tc>
        <w:tc>
          <w:tcPr>
            <w:tcW w:w="2268" w:type="dxa"/>
            <w:gridSpan w:val="2"/>
            <w:vAlign w:val="center"/>
          </w:tcPr>
          <w:p>
            <w:pPr>
              <w:tabs>
                <w:tab w:val="left" w:pos="360"/>
              </w:tabs>
              <w:adjustRightInd w:val="0"/>
              <w:snapToGrid w:val="0"/>
              <w:jc w:val="center"/>
              <w:rPr>
                <w:rFonts w:ascii="宋体"/>
                <w:snapToGrid w:val="0"/>
                <w:kern w:val="0"/>
              </w:rPr>
            </w:pPr>
            <w:r>
              <w:rPr>
                <w:rFonts w:hint="eastAsia" w:ascii="宋体" w:hAnsi="宋体" w:cs="宋体"/>
                <w:snapToGrid w:val="0"/>
                <w:kern w:val="0"/>
              </w:rPr>
              <w:t>是否允许递交备选投标方案</w:t>
            </w:r>
          </w:p>
        </w:tc>
        <w:tc>
          <w:tcPr>
            <w:tcW w:w="5918" w:type="dxa"/>
            <w:vAlign w:val="center"/>
          </w:tcPr>
          <w:p>
            <w:pPr>
              <w:pStyle w:val="13"/>
              <w:topLinePunct/>
              <w:rPr>
                <w:rFonts w:hAnsi="宋体"/>
                <w:sz w:val="21"/>
                <w:szCs w:val="21"/>
              </w:rPr>
            </w:pPr>
            <w:r>
              <w:rPr>
                <w:rFonts w:hAnsi="宋体"/>
                <w:sz w:val="21"/>
                <w:szCs w:val="21"/>
              </w:rPr>
              <w:sym w:font="Wingdings" w:char="F0FE"/>
            </w:r>
            <w:r>
              <w:rPr>
                <w:rFonts w:hAnsi="宋体"/>
                <w:sz w:val="21"/>
                <w:szCs w:val="21"/>
              </w:rPr>
              <w:t>不允许</w:t>
            </w:r>
          </w:p>
          <w:p>
            <w:pPr>
              <w:rPr>
                <w:rFonts w:ascii="宋体" w:hAnsi="宋体"/>
              </w:rPr>
            </w:pPr>
            <w:r>
              <w:rPr>
                <w:rFonts w:ascii="宋体" w:hAnsi="宋体"/>
              </w:rPr>
              <w:sym w:font="Wingdings" w:char="00A8"/>
            </w:r>
            <w:r>
              <w:rPr>
                <w:rFonts w:ascii="宋体" w:hAnsi="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360"/>
              </w:tabs>
              <w:adjustRightInd w:val="0"/>
              <w:snapToGrid w:val="0"/>
              <w:jc w:val="center"/>
              <w:rPr>
                <w:rFonts w:ascii="宋体" w:hAnsi="宋体" w:cs="宋体"/>
                <w:snapToGrid w:val="0"/>
                <w:kern w:val="0"/>
              </w:rPr>
            </w:pPr>
            <w:r>
              <w:rPr>
                <w:rFonts w:hint="eastAsia" w:ascii="宋体" w:hAnsi="宋体" w:cs="宋体"/>
                <w:snapToGrid w:val="0"/>
                <w:kern w:val="0"/>
              </w:rPr>
              <w:t>3.7.3</w:t>
            </w:r>
          </w:p>
        </w:tc>
        <w:tc>
          <w:tcPr>
            <w:tcW w:w="2268" w:type="dxa"/>
            <w:gridSpan w:val="2"/>
            <w:vAlign w:val="center"/>
          </w:tcPr>
          <w:p>
            <w:pPr>
              <w:adjustRightInd w:val="0"/>
              <w:snapToGrid w:val="0"/>
              <w:spacing w:line="360" w:lineRule="auto"/>
              <w:jc w:val="center"/>
              <w:rPr>
                <w:rFonts w:ascii="宋体" w:hAnsi="宋体" w:cs="宋体"/>
              </w:rPr>
            </w:pPr>
            <w:r>
              <w:rPr>
                <w:rFonts w:hint="eastAsia" w:ascii="宋体" w:hAnsi="宋体" w:cs="宋体"/>
              </w:rPr>
              <w:t>签字或盖章要求</w:t>
            </w:r>
          </w:p>
        </w:tc>
        <w:tc>
          <w:tcPr>
            <w:tcW w:w="5918" w:type="dxa"/>
            <w:vAlign w:val="center"/>
          </w:tcPr>
          <w:p>
            <w:pPr>
              <w:ind w:firstLine="210" w:firstLineChars="100"/>
              <w:rPr>
                <w:rFonts w:ascii="宋体" w:hAnsi="宋体"/>
              </w:rPr>
            </w:pPr>
            <w:r>
              <w:rPr>
                <w:rFonts w:hint="eastAsia" w:ascii="宋体" w:hAnsi="宋体"/>
              </w:rPr>
              <w:t>如果投标文件由委托代理人签署，则投标人需提交授权委托书及委托代理人在该单位缴纳社保缴费证明（包括但不限于投标人在社保系统打印的本单位人员缴费明细）或其他能够证明委托代理人参加社保的有效证明材料复印件并加盖公章，授权委托书应按第八章“投标文件格式”的要求出具，并由法定代表人和委托代理人签字或签章。</w:t>
            </w:r>
            <w:r>
              <w:rPr>
                <w:rFonts w:ascii="宋体" w:hAnsi="宋体"/>
              </w:rPr>
              <w:t xml:space="preserve"> </w:t>
            </w:r>
          </w:p>
          <w:p>
            <w:pPr>
              <w:ind w:firstLine="210" w:firstLineChars="100"/>
              <w:rPr>
                <w:rFonts w:ascii="宋体" w:hAnsi="宋体"/>
              </w:rPr>
            </w:pPr>
            <w:r>
              <w:rPr>
                <w:rFonts w:ascii="宋体" w:hAnsi="宋体"/>
              </w:rPr>
              <w:t>如果由投标人的法定代表人亲自签署投标文件，则不需提交授权委托书。</w:t>
            </w:r>
          </w:p>
          <w:p>
            <w:pPr>
              <w:ind w:firstLine="210" w:firstLineChars="100"/>
              <w:rPr>
                <w:rFonts w:ascii="宋体" w:hAnsi="宋体"/>
              </w:rPr>
            </w:pPr>
            <w:r>
              <w:rPr>
                <w:rFonts w:ascii="宋体" w:hAnsi="宋体"/>
              </w:rPr>
              <w:t>以联合体形式参与投标的，投标文件由联合体牵头人的法定代表人或其委托代理人按上述规定签署并加盖联合体牵头人单位章。法定代表人授权委托书(如有)须由联合体牵头人按上述规定出具。</w:t>
            </w:r>
          </w:p>
          <w:p>
            <w:pPr>
              <w:ind w:firstLine="210" w:firstLineChars="100"/>
              <w:rPr>
                <w:rFonts w:ascii="宋体" w:hAnsi="宋体" w:cs="宋体"/>
                <w:kern w:val="0"/>
              </w:rPr>
            </w:pPr>
            <w:r>
              <w:rPr>
                <w:rFonts w:ascii="宋体" w:hAnsi="宋体"/>
              </w:rPr>
              <w:t>委托期限应保证授权委托书在投标有效期满前一直有效。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宋体" w:hAnsi="宋体" w:cs="宋体"/>
                <w:snapToGrid w:val="0"/>
                <w:kern w:val="0"/>
              </w:rPr>
            </w:pPr>
            <w:r>
              <w:rPr>
                <w:rFonts w:ascii="宋体" w:hAnsi="宋体"/>
              </w:rPr>
              <w:t>3.7.4</w:t>
            </w:r>
          </w:p>
        </w:tc>
        <w:tc>
          <w:tcPr>
            <w:tcW w:w="2268" w:type="dxa"/>
            <w:gridSpan w:val="2"/>
            <w:vAlign w:val="center"/>
          </w:tcPr>
          <w:p>
            <w:pPr>
              <w:jc w:val="center"/>
              <w:rPr>
                <w:rFonts w:ascii="宋体" w:hAnsi="宋体" w:cs="宋体"/>
                <w:snapToGrid w:val="0"/>
                <w:kern w:val="0"/>
              </w:rPr>
            </w:pPr>
            <w:r>
              <w:rPr>
                <w:rFonts w:ascii="宋体" w:hAnsi="宋体"/>
              </w:rPr>
              <w:t>投标文件副本份数</w:t>
            </w:r>
          </w:p>
        </w:tc>
        <w:tc>
          <w:tcPr>
            <w:tcW w:w="5918" w:type="dxa"/>
            <w:vAlign w:val="center"/>
          </w:tcPr>
          <w:p>
            <w:pPr>
              <w:spacing w:line="280" w:lineRule="exact"/>
              <w:ind w:left="-31" w:leftChars="-15"/>
              <w:rPr>
                <w:rFonts w:ascii="宋体" w:hAnsi="宋体" w:cs="宋体"/>
                <w:kern w:val="0"/>
              </w:rPr>
            </w:pPr>
            <w:r>
              <w:rPr>
                <w:rFonts w:hint="eastAsia" w:ascii="宋体" w:hAnsi="宋体" w:cs="宋体"/>
              </w:rPr>
              <w:t>投标文件副本份数：4</w:t>
            </w:r>
            <w:r>
              <w:rPr>
                <w:rFonts w:hint="eastAsia" w:ascii="宋体" w:hAnsi="宋体" w:cs="宋体"/>
                <w:kern w:val="0"/>
              </w:rPr>
              <w:t>份</w:t>
            </w:r>
          </w:p>
          <w:p>
            <w:pPr>
              <w:spacing w:line="280" w:lineRule="exact"/>
              <w:ind w:left="-31" w:leftChars="-15"/>
              <w:rPr>
                <w:rFonts w:ascii="宋体" w:hAnsi="宋体" w:cs="宋体"/>
                <w:bCs/>
              </w:rPr>
            </w:pPr>
            <w:r>
              <w:rPr>
                <w:rFonts w:hint="eastAsia" w:ascii="宋体" w:hAnsi="宋体" w:cs="宋体"/>
              </w:rPr>
              <w:t>提交电子版文件： 1份（光盘或U盘）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宋体" w:hAnsi="宋体"/>
              </w:rPr>
            </w:pPr>
            <w:r>
              <w:rPr>
                <w:rFonts w:ascii="宋体" w:hAnsi="宋体"/>
              </w:rPr>
              <w:t>3.7.5</w:t>
            </w:r>
          </w:p>
        </w:tc>
        <w:tc>
          <w:tcPr>
            <w:tcW w:w="2268" w:type="dxa"/>
            <w:gridSpan w:val="2"/>
            <w:vAlign w:val="center"/>
          </w:tcPr>
          <w:p>
            <w:pPr>
              <w:jc w:val="center"/>
              <w:rPr>
                <w:rFonts w:ascii="宋体" w:hAnsi="宋体"/>
              </w:rPr>
            </w:pPr>
            <w:r>
              <w:rPr>
                <w:rFonts w:ascii="宋体" w:hAnsi="宋体"/>
              </w:rPr>
              <w:t>装订要求</w:t>
            </w:r>
          </w:p>
        </w:tc>
        <w:tc>
          <w:tcPr>
            <w:tcW w:w="5918" w:type="dxa"/>
            <w:vAlign w:val="center"/>
          </w:tcPr>
          <w:p>
            <w:pPr>
              <w:rPr>
                <w:rFonts w:ascii="宋体" w:hAnsi="宋体"/>
              </w:rPr>
            </w:pPr>
            <w:r>
              <w:rPr>
                <w:rFonts w:ascii="宋体" w:hAnsi="宋体"/>
              </w:rPr>
              <w:t>投标文件的正本与副本应分别装订成册。装订好的投标文件要求编辑目录和逐页连续的页码。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宋体" w:hAnsi="宋体"/>
              </w:rPr>
            </w:pPr>
            <w:r>
              <w:rPr>
                <w:rFonts w:ascii="宋体" w:hAnsi="宋体"/>
              </w:rPr>
              <w:t>4.1.2</w:t>
            </w:r>
          </w:p>
        </w:tc>
        <w:tc>
          <w:tcPr>
            <w:tcW w:w="2268" w:type="dxa"/>
            <w:gridSpan w:val="2"/>
            <w:vAlign w:val="center"/>
          </w:tcPr>
          <w:p>
            <w:pPr>
              <w:jc w:val="center"/>
              <w:rPr>
                <w:rFonts w:ascii="宋体" w:hAnsi="宋体"/>
              </w:rPr>
            </w:pPr>
            <w:r>
              <w:rPr>
                <w:rFonts w:ascii="宋体" w:hAnsi="宋体"/>
              </w:rPr>
              <w:t>封套上应载明的信息</w:t>
            </w:r>
          </w:p>
        </w:tc>
        <w:tc>
          <w:tcPr>
            <w:tcW w:w="5918" w:type="dxa"/>
            <w:vAlign w:val="center"/>
          </w:tcPr>
          <w:p>
            <w:pPr>
              <w:adjustRightInd w:val="0"/>
              <w:snapToGrid w:val="0"/>
              <w:rPr>
                <w:rFonts w:ascii="宋体" w:hAnsi="宋体"/>
              </w:rPr>
            </w:pPr>
            <w:r>
              <w:rPr>
                <w:rFonts w:ascii="宋体" w:hAnsi="宋体"/>
                <w:b/>
              </w:rPr>
              <w:t>投标文件封套：</w:t>
            </w:r>
          </w:p>
          <w:p>
            <w:pPr>
              <w:adjustRightInd w:val="0"/>
              <w:snapToGrid w:val="0"/>
              <w:rPr>
                <w:rFonts w:ascii="宋体" w:hAnsi="宋体"/>
              </w:rPr>
            </w:pPr>
            <w:r>
              <w:rPr>
                <w:rFonts w:ascii="宋体" w:hAnsi="宋体"/>
              </w:rPr>
              <w:t>招标人名称：____________</w:t>
            </w:r>
          </w:p>
          <w:p>
            <w:pPr>
              <w:adjustRightInd w:val="0"/>
              <w:snapToGrid w:val="0"/>
              <w:rPr>
                <w:rFonts w:ascii="宋体" w:hAnsi="宋体"/>
              </w:rPr>
            </w:pPr>
            <w:r>
              <w:rPr>
                <w:rFonts w:ascii="宋体" w:hAnsi="宋体"/>
              </w:rPr>
              <w:t>招标人地址：____________</w:t>
            </w:r>
          </w:p>
          <w:p>
            <w:pPr>
              <w:adjustRightInd w:val="0"/>
              <w:snapToGrid w:val="0"/>
              <w:rPr>
                <w:rFonts w:ascii="宋体" w:hAnsi="宋体"/>
              </w:rPr>
            </w:pPr>
            <w:r>
              <w:rPr>
                <w:rFonts w:ascii="宋体" w:hAnsi="宋体"/>
              </w:rPr>
              <w:t>____________(项目名称)</w:t>
            </w:r>
            <w:r>
              <w:rPr>
                <w:rFonts w:hint="eastAsia" w:ascii="宋体" w:hAnsi="宋体"/>
              </w:rPr>
              <w:t>设计施工总承包(EPC)</w:t>
            </w:r>
            <w:r>
              <w:rPr>
                <w:rFonts w:ascii="宋体" w:hAnsi="宋体"/>
              </w:rPr>
              <w:t>招标投标文件</w:t>
            </w:r>
          </w:p>
          <w:p>
            <w:pPr>
              <w:adjustRightInd w:val="0"/>
              <w:snapToGrid w:val="0"/>
              <w:rPr>
                <w:rFonts w:ascii="宋体" w:hAnsi="宋体"/>
              </w:rPr>
            </w:pPr>
            <w:r>
              <w:rPr>
                <w:rFonts w:ascii="宋体" w:hAnsi="宋体"/>
              </w:rPr>
              <w:t>招标项目编号：____________________</w:t>
            </w:r>
          </w:p>
          <w:p>
            <w:pPr>
              <w:adjustRightInd w:val="0"/>
              <w:snapToGrid w:val="0"/>
              <w:rPr>
                <w:rFonts w:ascii="宋体" w:hAnsi="宋体"/>
              </w:rPr>
            </w:pPr>
            <w:r>
              <w:rPr>
                <w:rFonts w:ascii="宋体" w:hAnsi="宋体"/>
              </w:rPr>
              <w:t>在_______年____月____日____时____分前不得开启</w:t>
            </w:r>
          </w:p>
          <w:p>
            <w:pPr>
              <w:adjustRightInd w:val="0"/>
              <w:snapToGrid w:val="0"/>
              <w:rPr>
                <w:rFonts w:ascii="宋体" w:hAnsi="宋体"/>
              </w:rPr>
            </w:pPr>
            <w:r>
              <w:rPr>
                <w:rFonts w:ascii="宋体" w:hAnsi="宋体"/>
              </w:rPr>
              <w:t>投标人名称：____________________</w:t>
            </w:r>
          </w:p>
          <w:p>
            <w:pPr>
              <w:adjustRightInd w:val="0"/>
              <w:snapToGrid w:val="0"/>
              <w:rPr>
                <w:rFonts w:ascii="宋体" w:hAnsi="宋体"/>
                <w:b/>
              </w:rPr>
            </w:pPr>
          </w:p>
          <w:p>
            <w:pPr>
              <w:adjustRightInd w:val="0"/>
              <w:snapToGrid w:val="0"/>
              <w:rPr>
                <w:rFonts w:ascii="宋体" w:hAnsi="宋体"/>
                <w:b/>
              </w:rPr>
            </w:pPr>
            <w:r>
              <w:rPr>
                <w:rFonts w:ascii="宋体" w:hAnsi="宋体"/>
                <w:b/>
              </w:rPr>
              <w:t>银行保函封套：</w:t>
            </w:r>
          </w:p>
          <w:p>
            <w:pPr>
              <w:adjustRightInd w:val="0"/>
              <w:snapToGrid w:val="0"/>
              <w:rPr>
                <w:rFonts w:ascii="宋体" w:hAnsi="宋体"/>
              </w:rPr>
            </w:pPr>
            <w:r>
              <w:rPr>
                <w:rFonts w:ascii="宋体" w:hAnsi="宋体"/>
              </w:rPr>
              <w:t>招标人名称：____________</w:t>
            </w:r>
          </w:p>
          <w:p>
            <w:pPr>
              <w:adjustRightInd w:val="0"/>
              <w:snapToGrid w:val="0"/>
              <w:rPr>
                <w:rFonts w:ascii="宋体" w:hAnsi="宋体"/>
              </w:rPr>
            </w:pPr>
            <w:r>
              <w:rPr>
                <w:rFonts w:ascii="宋体" w:hAnsi="宋体"/>
              </w:rPr>
              <w:t>招标人地址：____________</w:t>
            </w:r>
          </w:p>
          <w:p>
            <w:pPr>
              <w:ind w:left="63" w:leftChars="30" w:firstLine="10" w:firstLineChars="5"/>
              <w:rPr>
                <w:rFonts w:ascii="宋体" w:hAnsi="宋体"/>
              </w:rPr>
            </w:pPr>
            <w:r>
              <w:rPr>
                <w:rFonts w:ascii="宋体" w:hAnsi="宋体"/>
              </w:rPr>
              <w:t>____________（项目名称）</w:t>
            </w:r>
            <w:r>
              <w:rPr>
                <w:rFonts w:hint="eastAsia" w:ascii="宋体" w:hAnsi="宋体"/>
              </w:rPr>
              <w:t>设计施工总承包(EPC)</w:t>
            </w:r>
            <w:r>
              <w:rPr>
                <w:rFonts w:ascii="宋体" w:hAnsi="宋体"/>
              </w:rPr>
              <w:t>招标投标保证金（银行保函原件）</w:t>
            </w:r>
          </w:p>
          <w:p>
            <w:pPr>
              <w:ind w:left="63" w:leftChars="30" w:firstLine="10" w:firstLineChars="5"/>
              <w:rPr>
                <w:rFonts w:ascii="宋体" w:hAnsi="宋体"/>
                <w:u w:val="single"/>
              </w:rPr>
            </w:pPr>
            <w:r>
              <w:rPr>
                <w:rFonts w:ascii="宋体" w:hAnsi="宋体"/>
              </w:rPr>
              <w:t>招标项目编号：____________________</w:t>
            </w:r>
          </w:p>
          <w:p>
            <w:pPr>
              <w:rPr>
                <w:rFonts w:ascii="宋体" w:hAnsi="宋体"/>
              </w:rPr>
            </w:pPr>
            <w:r>
              <w:rPr>
                <w:rFonts w:ascii="宋体" w:hAnsi="宋体"/>
              </w:rPr>
              <w:t>投标人名称：____________________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360"/>
              </w:tabs>
              <w:adjustRightInd w:val="0"/>
              <w:snapToGrid w:val="0"/>
              <w:jc w:val="center"/>
              <w:rPr>
                <w:rFonts w:ascii="宋体"/>
                <w:snapToGrid w:val="0"/>
                <w:kern w:val="0"/>
              </w:rPr>
            </w:pPr>
            <w:r>
              <w:rPr>
                <w:rFonts w:ascii="宋体" w:hAnsi="宋体" w:cs="宋体"/>
                <w:snapToGrid w:val="0"/>
                <w:kern w:val="0"/>
              </w:rPr>
              <w:t>4.2.2</w:t>
            </w:r>
          </w:p>
        </w:tc>
        <w:tc>
          <w:tcPr>
            <w:tcW w:w="2268" w:type="dxa"/>
            <w:gridSpan w:val="2"/>
            <w:vAlign w:val="center"/>
          </w:tcPr>
          <w:p>
            <w:pPr>
              <w:tabs>
                <w:tab w:val="left" w:pos="360"/>
              </w:tabs>
              <w:adjustRightInd w:val="0"/>
              <w:snapToGrid w:val="0"/>
              <w:jc w:val="center"/>
              <w:rPr>
                <w:rFonts w:ascii="宋体"/>
                <w:snapToGrid w:val="0"/>
                <w:kern w:val="0"/>
              </w:rPr>
            </w:pPr>
            <w:r>
              <w:rPr>
                <w:rFonts w:hint="eastAsia" w:ascii="宋体" w:hAnsi="宋体" w:cs="宋体"/>
                <w:snapToGrid w:val="0"/>
                <w:kern w:val="0"/>
              </w:rPr>
              <w:t>递交投标文件地点</w:t>
            </w:r>
          </w:p>
        </w:tc>
        <w:tc>
          <w:tcPr>
            <w:tcW w:w="5918" w:type="dxa"/>
            <w:vAlign w:val="center"/>
          </w:tcPr>
          <w:p>
            <w:pPr>
              <w:rPr>
                <w:rFonts w:ascii="宋体"/>
                <w:snapToGrid w:val="0"/>
                <w:kern w:val="0"/>
              </w:rPr>
            </w:pPr>
            <w:r>
              <w:rPr>
                <w:rFonts w:hint="eastAsia" w:ascii="宋体" w:hAnsi="宋体"/>
              </w:rPr>
              <w:t>天津市政务服务中心</w:t>
            </w:r>
            <w:r>
              <w:rPr>
                <w:rFonts w:hint="eastAsia" w:ascii="宋体" w:hAnsi="宋体"/>
                <w:u w:val="single"/>
              </w:rPr>
              <w:t>第五开标室</w:t>
            </w:r>
            <w:r>
              <w:rPr>
                <w:rFonts w:hint="eastAsia" w:ascii="宋体" w:hAnsi="宋体"/>
              </w:rPr>
              <w:t>（天津市河东区红星路79号，红星路与卫国道交口顺驰立交桥旁）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宋体" w:hAnsi="宋体"/>
              </w:rPr>
            </w:pPr>
            <w:r>
              <w:rPr>
                <w:rFonts w:ascii="宋体" w:hAnsi="宋体"/>
              </w:rPr>
              <w:t>4.2.3</w:t>
            </w:r>
          </w:p>
        </w:tc>
        <w:tc>
          <w:tcPr>
            <w:tcW w:w="2268" w:type="dxa"/>
            <w:gridSpan w:val="2"/>
            <w:vAlign w:val="center"/>
          </w:tcPr>
          <w:p>
            <w:pPr>
              <w:jc w:val="center"/>
              <w:rPr>
                <w:rFonts w:ascii="宋体" w:hAnsi="宋体"/>
              </w:rPr>
            </w:pPr>
            <w:r>
              <w:rPr>
                <w:rFonts w:ascii="宋体" w:hAnsi="宋体"/>
              </w:rPr>
              <w:t>是否退还投标文件</w:t>
            </w:r>
          </w:p>
        </w:tc>
        <w:tc>
          <w:tcPr>
            <w:tcW w:w="5918" w:type="dxa"/>
            <w:vAlign w:val="center"/>
          </w:tcPr>
          <w:p>
            <w:pPr>
              <w:pStyle w:val="13"/>
              <w:topLinePunct/>
              <w:rPr>
                <w:rFonts w:hAnsi="宋体"/>
                <w:sz w:val="21"/>
                <w:szCs w:val="21"/>
              </w:rPr>
            </w:pPr>
            <w:r>
              <w:rPr>
                <w:rFonts w:hAnsi="宋体"/>
                <w:sz w:val="21"/>
                <w:szCs w:val="21"/>
              </w:rPr>
              <w:sym w:font="Wingdings" w:char="F0FE"/>
            </w:r>
            <w:r>
              <w:rPr>
                <w:rFonts w:hAnsi="宋体"/>
                <w:sz w:val="21"/>
                <w:szCs w:val="21"/>
              </w:rPr>
              <w:t>否</w:t>
            </w:r>
          </w:p>
          <w:p>
            <w:pPr>
              <w:rPr>
                <w:rFonts w:ascii="宋体" w:hAnsi="宋体"/>
              </w:rPr>
            </w:pPr>
            <w:r>
              <w:rPr>
                <w:rFonts w:ascii="宋体" w:hAnsi="宋体"/>
              </w:rPr>
              <w:sym w:font="Wingdings" w:char="00A8"/>
            </w:r>
            <w:r>
              <w:rPr>
                <w:rFonts w:ascii="宋体" w:hAnsi="宋体"/>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360"/>
              </w:tabs>
              <w:adjustRightInd w:val="0"/>
              <w:snapToGrid w:val="0"/>
              <w:jc w:val="center"/>
              <w:rPr>
                <w:rFonts w:ascii="宋体"/>
                <w:snapToGrid w:val="0"/>
                <w:kern w:val="0"/>
              </w:rPr>
            </w:pPr>
            <w:r>
              <w:rPr>
                <w:rFonts w:ascii="宋体" w:hAnsi="宋体" w:cs="宋体"/>
                <w:snapToGrid w:val="0"/>
                <w:kern w:val="0"/>
              </w:rPr>
              <w:t>5.1</w:t>
            </w:r>
          </w:p>
        </w:tc>
        <w:tc>
          <w:tcPr>
            <w:tcW w:w="2268" w:type="dxa"/>
            <w:gridSpan w:val="2"/>
            <w:vAlign w:val="center"/>
          </w:tcPr>
          <w:p>
            <w:pPr>
              <w:tabs>
                <w:tab w:val="left" w:pos="360"/>
              </w:tabs>
              <w:adjustRightInd w:val="0"/>
              <w:snapToGrid w:val="0"/>
              <w:jc w:val="center"/>
              <w:rPr>
                <w:rFonts w:ascii="宋体"/>
                <w:snapToGrid w:val="0"/>
                <w:kern w:val="0"/>
              </w:rPr>
            </w:pPr>
            <w:r>
              <w:rPr>
                <w:rFonts w:hint="eastAsia" w:ascii="宋体" w:hAnsi="宋体" w:cs="宋体"/>
                <w:snapToGrid w:val="0"/>
                <w:kern w:val="0"/>
              </w:rPr>
              <w:t>开标时间和地点</w:t>
            </w:r>
          </w:p>
        </w:tc>
        <w:tc>
          <w:tcPr>
            <w:tcW w:w="5918" w:type="dxa"/>
            <w:vAlign w:val="center"/>
          </w:tcPr>
          <w:p>
            <w:pPr>
              <w:tabs>
                <w:tab w:val="left" w:pos="360"/>
              </w:tabs>
              <w:adjustRightInd w:val="0"/>
              <w:snapToGrid w:val="0"/>
              <w:rPr>
                <w:rFonts w:ascii="宋体"/>
                <w:snapToGrid w:val="0"/>
                <w:kern w:val="0"/>
              </w:rPr>
            </w:pPr>
            <w:r>
              <w:rPr>
                <w:rFonts w:hint="eastAsia" w:ascii="宋体" w:hAnsi="宋体" w:cs="宋体"/>
                <w:snapToGrid w:val="0"/>
                <w:kern w:val="0"/>
              </w:rPr>
              <w:t>开标时间：同投标截止时间</w:t>
            </w:r>
          </w:p>
          <w:p>
            <w:pPr>
              <w:adjustRightInd w:val="0"/>
              <w:snapToGrid w:val="0"/>
              <w:rPr>
                <w:rFonts w:ascii="宋体"/>
                <w:snapToGrid w:val="0"/>
                <w:kern w:val="0"/>
              </w:rPr>
            </w:pPr>
            <w:r>
              <w:rPr>
                <w:rFonts w:hint="eastAsia" w:ascii="宋体" w:hAnsi="宋体" w:cs="宋体"/>
                <w:snapToGrid w:val="0"/>
                <w:kern w:val="0"/>
              </w:rPr>
              <w:t>开标地点：</w:t>
            </w:r>
            <w:r>
              <w:rPr>
                <w:rFonts w:hint="eastAsia" w:ascii="宋体" w:hAnsi="宋体"/>
              </w:rPr>
              <w:t>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宋体" w:hAnsi="宋体"/>
              </w:rPr>
            </w:pPr>
            <w:r>
              <w:rPr>
                <w:rFonts w:ascii="宋体" w:hAnsi="宋体"/>
              </w:rPr>
              <w:t>5.2</w:t>
            </w:r>
          </w:p>
        </w:tc>
        <w:tc>
          <w:tcPr>
            <w:tcW w:w="2268" w:type="dxa"/>
            <w:gridSpan w:val="2"/>
            <w:vAlign w:val="center"/>
          </w:tcPr>
          <w:p>
            <w:pPr>
              <w:jc w:val="center"/>
              <w:rPr>
                <w:rFonts w:ascii="宋体" w:hAnsi="宋体"/>
              </w:rPr>
            </w:pPr>
            <w:r>
              <w:rPr>
                <w:rFonts w:ascii="宋体" w:hAnsi="宋体"/>
              </w:rPr>
              <w:t>开标程序</w:t>
            </w:r>
          </w:p>
        </w:tc>
        <w:tc>
          <w:tcPr>
            <w:tcW w:w="5918" w:type="dxa"/>
            <w:vAlign w:val="center"/>
          </w:tcPr>
          <w:p>
            <w:pPr>
              <w:rPr>
                <w:rFonts w:ascii="宋体" w:hAnsi="宋体"/>
              </w:rPr>
            </w:pPr>
            <w:r>
              <w:rPr>
                <w:rFonts w:ascii="宋体" w:hAnsi="宋体"/>
              </w:rPr>
              <w:t>密封情况检查：由投标人推选的投标人代表或随机抽取的投标人代表检查</w:t>
            </w:r>
          </w:p>
          <w:p>
            <w:pPr>
              <w:rPr>
                <w:rFonts w:ascii="宋体" w:hAnsi="宋体"/>
              </w:rPr>
            </w:pPr>
            <w:r>
              <w:rPr>
                <w:rFonts w:ascii="宋体" w:hAnsi="宋体"/>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360"/>
              </w:tabs>
              <w:adjustRightInd w:val="0"/>
              <w:snapToGrid w:val="0"/>
              <w:jc w:val="center"/>
              <w:rPr>
                <w:rFonts w:ascii="宋体"/>
                <w:snapToGrid w:val="0"/>
                <w:kern w:val="0"/>
              </w:rPr>
            </w:pPr>
            <w:r>
              <w:rPr>
                <w:rFonts w:ascii="宋体" w:hAnsi="宋体" w:cs="宋体"/>
                <w:snapToGrid w:val="0"/>
                <w:kern w:val="0"/>
              </w:rPr>
              <w:t>6.1.1</w:t>
            </w:r>
          </w:p>
        </w:tc>
        <w:tc>
          <w:tcPr>
            <w:tcW w:w="2268" w:type="dxa"/>
            <w:gridSpan w:val="2"/>
            <w:vAlign w:val="center"/>
          </w:tcPr>
          <w:p>
            <w:pPr>
              <w:tabs>
                <w:tab w:val="left" w:pos="360"/>
              </w:tabs>
              <w:adjustRightInd w:val="0"/>
              <w:snapToGrid w:val="0"/>
              <w:jc w:val="center"/>
              <w:rPr>
                <w:rFonts w:ascii="宋体"/>
                <w:snapToGrid w:val="0"/>
                <w:kern w:val="0"/>
              </w:rPr>
            </w:pPr>
            <w:r>
              <w:rPr>
                <w:rFonts w:hint="eastAsia" w:ascii="宋体" w:hAnsi="宋体" w:cs="宋体"/>
                <w:snapToGrid w:val="0"/>
                <w:kern w:val="0"/>
              </w:rPr>
              <w:t>评标委员会的组建</w:t>
            </w:r>
          </w:p>
        </w:tc>
        <w:tc>
          <w:tcPr>
            <w:tcW w:w="5918" w:type="dxa"/>
            <w:vAlign w:val="center"/>
          </w:tcPr>
          <w:p>
            <w:pPr>
              <w:spacing w:line="360" w:lineRule="exact"/>
              <w:rPr>
                <w:rFonts w:ascii="宋体" w:hAnsi="宋体" w:cs="宋体"/>
                <w:kern w:val="0"/>
              </w:rPr>
            </w:pPr>
            <w:r>
              <w:rPr>
                <w:rFonts w:hint="eastAsia" w:ascii="宋体" w:hAnsi="宋体" w:cs="宋体"/>
                <w:kern w:val="0"/>
              </w:rPr>
              <w:t>评标委员会构</w:t>
            </w:r>
            <w:r>
              <w:rPr>
                <w:rFonts w:hint="eastAsia" w:ascii="宋体" w:hAnsi="宋体" w:cs="宋体"/>
                <w:b w:val="0"/>
                <w:bCs w:val="0"/>
                <w:kern w:val="0"/>
              </w:rPr>
              <w:t>成：</w:t>
            </w:r>
            <w:r>
              <w:rPr>
                <w:rFonts w:hint="eastAsia" w:ascii="宋体" w:hAnsi="宋体" w:cs="宋体"/>
                <w:b w:val="0"/>
                <w:bCs w:val="0"/>
                <w:kern w:val="0"/>
                <w:u w:val="single"/>
              </w:rPr>
              <w:t>7</w:t>
            </w:r>
            <w:r>
              <w:rPr>
                <w:rFonts w:hint="eastAsia" w:ascii="宋体" w:hAnsi="宋体" w:cs="宋体"/>
                <w:b w:val="0"/>
                <w:bCs w:val="0"/>
                <w:kern w:val="0"/>
              </w:rPr>
              <w:t>人，其中</w:t>
            </w:r>
            <w:r>
              <w:rPr>
                <w:rFonts w:hint="eastAsia" w:ascii="宋体" w:hAnsi="宋体" w:cs="宋体"/>
                <w:kern w:val="0"/>
              </w:rPr>
              <w:t>招标人代表</w:t>
            </w:r>
            <w:r>
              <w:rPr>
                <w:rFonts w:hint="eastAsia" w:ascii="宋体" w:hAnsi="宋体" w:cs="宋体"/>
                <w:kern w:val="0"/>
                <w:u w:val="single"/>
              </w:rPr>
              <w:t>2</w:t>
            </w:r>
            <w:r>
              <w:rPr>
                <w:rFonts w:hint="eastAsia" w:ascii="宋体" w:hAnsi="宋体" w:cs="宋体"/>
                <w:kern w:val="0"/>
              </w:rPr>
              <w:t>人，专家</w:t>
            </w:r>
            <w:r>
              <w:rPr>
                <w:rFonts w:hint="eastAsia" w:ascii="宋体" w:hAnsi="宋体" w:cs="宋体"/>
                <w:kern w:val="0"/>
                <w:u w:val="single"/>
              </w:rPr>
              <w:t>5</w:t>
            </w:r>
            <w:r>
              <w:rPr>
                <w:rFonts w:hint="eastAsia" w:ascii="宋体" w:hAnsi="宋体" w:cs="宋体"/>
                <w:kern w:val="0"/>
              </w:rPr>
              <w:t>人；</w:t>
            </w:r>
          </w:p>
          <w:p>
            <w:pPr>
              <w:tabs>
                <w:tab w:val="left" w:pos="360"/>
              </w:tabs>
              <w:adjustRightInd w:val="0"/>
              <w:snapToGrid w:val="0"/>
              <w:rPr>
                <w:rFonts w:ascii="宋体"/>
                <w:snapToGrid w:val="0"/>
                <w:kern w:val="0"/>
              </w:rPr>
            </w:pPr>
            <w:r>
              <w:rPr>
                <w:rFonts w:hint="eastAsia" w:ascii="宋体" w:hAnsi="宋体" w:cs="宋体"/>
                <w:kern w:val="0"/>
              </w:rPr>
              <w:t>评标专家确定方式：</w:t>
            </w:r>
            <w:r>
              <w:rPr>
                <w:rFonts w:hint="eastAsia" w:ascii="宋体" w:hAnsi="宋体"/>
              </w:rPr>
              <w:t>从天津市统一评标专家库中随机抽取</w:t>
            </w:r>
            <w:r>
              <w:rPr>
                <w:rFonts w:hint="eastAsia" w:ascii="宋体" w:hAnsi="宋体" w:cs="宋体"/>
                <w:snapToGrid w:val="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360"/>
              </w:tabs>
              <w:adjustRightInd w:val="0"/>
              <w:snapToGrid w:val="0"/>
              <w:jc w:val="center"/>
              <w:rPr>
                <w:rFonts w:ascii="宋体"/>
                <w:snapToGrid w:val="0"/>
                <w:kern w:val="0"/>
              </w:rPr>
            </w:pPr>
            <w:r>
              <w:rPr>
                <w:rFonts w:ascii="宋体" w:hAnsi="宋体" w:cs="宋体"/>
                <w:snapToGrid w:val="0"/>
                <w:kern w:val="0"/>
              </w:rPr>
              <w:t>7.</w:t>
            </w:r>
            <w:r>
              <w:rPr>
                <w:rFonts w:hint="eastAsia" w:ascii="宋体" w:hAnsi="宋体" w:cs="宋体"/>
                <w:snapToGrid w:val="0"/>
                <w:kern w:val="0"/>
              </w:rPr>
              <w:t>1</w:t>
            </w:r>
          </w:p>
        </w:tc>
        <w:tc>
          <w:tcPr>
            <w:tcW w:w="2268" w:type="dxa"/>
            <w:gridSpan w:val="2"/>
            <w:vAlign w:val="center"/>
          </w:tcPr>
          <w:p>
            <w:pPr>
              <w:tabs>
                <w:tab w:val="left" w:pos="360"/>
              </w:tabs>
              <w:adjustRightInd w:val="0"/>
              <w:snapToGrid w:val="0"/>
              <w:jc w:val="center"/>
              <w:rPr>
                <w:rFonts w:ascii="宋体"/>
                <w:snapToGrid w:val="0"/>
                <w:kern w:val="0"/>
              </w:rPr>
            </w:pPr>
            <w:r>
              <w:rPr>
                <w:rFonts w:hint="eastAsia" w:ascii="宋体" w:hAnsi="宋体" w:cs="宋体"/>
                <w:snapToGrid w:val="0"/>
                <w:kern w:val="0"/>
              </w:rPr>
              <w:t>是否授权评标委员会确定中标人</w:t>
            </w:r>
          </w:p>
        </w:tc>
        <w:tc>
          <w:tcPr>
            <w:tcW w:w="5918" w:type="dxa"/>
            <w:vAlign w:val="center"/>
          </w:tcPr>
          <w:p>
            <w:pPr>
              <w:adjustRightInd w:val="0"/>
              <w:snapToGrid w:val="0"/>
              <w:rPr>
                <w:rFonts w:ascii="宋体"/>
                <w:snapToGrid w:val="0"/>
                <w:kern w:val="0"/>
              </w:rPr>
            </w:pPr>
            <w:r>
              <w:rPr>
                <w:rFonts w:hint="eastAsia" w:ascii="宋体" w:hAnsi="宋体" w:cs="宋体"/>
                <w:snapToGrid w:val="0"/>
                <w:kern w:val="0"/>
              </w:rPr>
              <w:t>否，</w:t>
            </w:r>
            <w:r>
              <w:rPr>
                <w:rFonts w:hint="eastAsia" w:ascii="宋体" w:hAnsi="宋体" w:cs="宋体"/>
              </w:rPr>
              <w:t>推荐的中标候选人数：1-</w:t>
            </w:r>
            <w:r>
              <w:rPr>
                <w:rFonts w:ascii="宋体" w:hAnsi="宋体" w:cs="宋体"/>
              </w:rPr>
              <w:t>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360"/>
              </w:tabs>
              <w:adjustRightInd w:val="0"/>
              <w:snapToGrid w:val="0"/>
              <w:jc w:val="center"/>
              <w:rPr>
                <w:rFonts w:ascii="宋体"/>
                <w:snapToGrid w:val="0"/>
                <w:kern w:val="0"/>
              </w:rPr>
            </w:pPr>
            <w:r>
              <w:rPr>
                <w:rFonts w:ascii="宋体" w:hAnsi="宋体" w:cs="宋体"/>
                <w:snapToGrid w:val="0"/>
                <w:kern w:val="0"/>
              </w:rPr>
              <w:t>7.</w:t>
            </w:r>
            <w:r>
              <w:rPr>
                <w:rFonts w:hint="eastAsia" w:ascii="宋体" w:hAnsi="宋体" w:cs="宋体"/>
                <w:snapToGrid w:val="0"/>
                <w:kern w:val="0"/>
              </w:rPr>
              <w:t>2</w:t>
            </w:r>
          </w:p>
        </w:tc>
        <w:tc>
          <w:tcPr>
            <w:tcW w:w="2268" w:type="dxa"/>
            <w:gridSpan w:val="2"/>
            <w:vAlign w:val="center"/>
          </w:tcPr>
          <w:p>
            <w:pPr>
              <w:tabs>
                <w:tab w:val="left" w:pos="360"/>
              </w:tabs>
              <w:adjustRightInd w:val="0"/>
              <w:snapToGrid w:val="0"/>
              <w:jc w:val="center"/>
              <w:rPr>
                <w:rFonts w:ascii="宋体"/>
                <w:snapToGrid w:val="0"/>
                <w:kern w:val="0"/>
              </w:rPr>
            </w:pPr>
            <w:r>
              <w:rPr>
                <w:rFonts w:hint="eastAsia" w:ascii="宋体" w:hAnsi="宋体" w:cs="宋体"/>
                <w:snapToGrid w:val="0"/>
                <w:kern w:val="0"/>
              </w:rPr>
              <w:t>中标候选人公示媒介及期限</w:t>
            </w:r>
          </w:p>
        </w:tc>
        <w:tc>
          <w:tcPr>
            <w:tcW w:w="5918" w:type="dxa"/>
            <w:vAlign w:val="center"/>
          </w:tcPr>
          <w:p>
            <w:pPr>
              <w:wordWrap w:val="0"/>
              <w:adjustRightInd w:val="0"/>
              <w:snapToGrid w:val="0"/>
              <w:ind w:firstLine="222" w:firstLineChars="106"/>
              <w:rPr>
                <w:rFonts w:ascii="宋体" w:hAnsi="宋体"/>
              </w:rPr>
            </w:pPr>
            <w:r>
              <w:rPr>
                <w:rFonts w:ascii="宋体" w:hAnsi="宋体"/>
              </w:rPr>
              <w:t>公示媒介：</w:t>
            </w:r>
            <w:r>
              <w:rPr>
                <w:rFonts w:hint="eastAsia" w:ascii="宋体" w:hAnsi="宋体"/>
              </w:rPr>
              <w:t>天津市公共资源交易网（http://60.28.163.169/）、天津市交通运输委员会官网（http://jtys.tj.gov.cn/）</w:t>
            </w:r>
          </w:p>
          <w:p>
            <w:pPr>
              <w:adjustRightInd w:val="0"/>
              <w:snapToGrid w:val="0"/>
              <w:rPr>
                <w:rFonts w:ascii="宋体"/>
                <w:snapToGrid w:val="0"/>
                <w:kern w:val="0"/>
              </w:rPr>
            </w:pPr>
            <w:r>
              <w:rPr>
                <w:rFonts w:ascii="宋体" w:hAnsi="宋体"/>
              </w:rPr>
              <w:t>公示期限：3日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360"/>
              </w:tabs>
              <w:adjustRightInd w:val="0"/>
              <w:snapToGrid w:val="0"/>
              <w:jc w:val="center"/>
              <w:rPr>
                <w:rFonts w:ascii="宋体"/>
                <w:snapToGrid w:val="0"/>
                <w:kern w:val="0"/>
              </w:rPr>
            </w:pPr>
            <w:r>
              <w:rPr>
                <w:rFonts w:ascii="宋体" w:hAnsi="宋体" w:cs="宋体"/>
                <w:snapToGrid w:val="0"/>
                <w:kern w:val="0"/>
              </w:rPr>
              <w:t>7.</w:t>
            </w:r>
            <w:r>
              <w:rPr>
                <w:rFonts w:hint="eastAsia" w:ascii="宋体" w:hAnsi="宋体" w:cs="宋体"/>
                <w:snapToGrid w:val="0"/>
                <w:kern w:val="0"/>
              </w:rPr>
              <w:t>4</w:t>
            </w:r>
            <w:r>
              <w:rPr>
                <w:rFonts w:ascii="宋体" w:hAnsi="宋体" w:cs="宋体"/>
                <w:snapToGrid w:val="0"/>
                <w:kern w:val="0"/>
              </w:rPr>
              <w:t>.1</w:t>
            </w:r>
          </w:p>
        </w:tc>
        <w:tc>
          <w:tcPr>
            <w:tcW w:w="2268" w:type="dxa"/>
            <w:gridSpan w:val="2"/>
            <w:vAlign w:val="center"/>
          </w:tcPr>
          <w:p>
            <w:pPr>
              <w:tabs>
                <w:tab w:val="left" w:pos="360"/>
              </w:tabs>
              <w:adjustRightInd w:val="0"/>
              <w:snapToGrid w:val="0"/>
              <w:jc w:val="center"/>
              <w:rPr>
                <w:rFonts w:ascii="宋体"/>
                <w:snapToGrid w:val="0"/>
                <w:kern w:val="0"/>
              </w:rPr>
            </w:pPr>
            <w:r>
              <w:rPr>
                <w:rFonts w:hint="eastAsia" w:ascii="宋体" w:hAnsi="宋体" w:cs="宋体"/>
                <w:snapToGrid w:val="0"/>
                <w:kern w:val="0"/>
              </w:rPr>
              <w:t>履约保证金</w:t>
            </w:r>
          </w:p>
        </w:tc>
        <w:tc>
          <w:tcPr>
            <w:tcW w:w="5918" w:type="dxa"/>
            <w:vAlign w:val="center"/>
          </w:tcPr>
          <w:p>
            <w:pPr>
              <w:snapToGrid w:val="0"/>
              <w:spacing w:line="280" w:lineRule="exact"/>
              <w:rPr>
                <w:rFonts w:ascii="宋体" w:hAnsi="宋体"/>
              </w:rPr>
            </w:pPr>
            <w:r>
              <w:rPr>
                <w:rFonts w:hint="eastAsia" w:ascii="宋体" w:hAnsi="宋体"/>
              </w:rPr>
              <w:t>是否要求中标人提交履约担保：</w:t>
            </w:r>
          </w:p>
          <w:p>
            <w:pPr>
              <w:snapToGrid w:val="0"/>
              <w:spacing w:line="280" w:lineRule="exact"/>
              <w:rPr>
                <w:rFonts w:ascii="宋体" w:hAnsi="宋体" w:cs="宋体"/>
              </w:rPr>
            </w:pPr>
            <w:r>
              <w:rPr>
                <w:rFonts w:hint="eastAsia" w:ascii="宋体" w:hAnsi="宋体"/>
              </w:rPr>
              <w:t>□要求，</w:t>
            </w:r>
            <w:r>
              <w:rPr>
                <w:rFonts w:ascii="宋体" w:hAnsi="宋体"/>
              </w:rPr>
              <w:t>履约担保</w:t>
            </w:r>
            <w:r>
              <w:rPr>
                <w:rFonts w:hint="eastAsia" w:ascii="宋体" w:hAnsi="宋体" w:cs="宋体"/>
              </w:rPr>
              <w:t>的形式：银行保函或现金、支票形式</w:t>
            </w:r>
          </w:p>
          <w:p>
            <w:pPr>
              <w:spacing w:line="280" w:lineRule="exact"/>
              <w:rPr>
                <w:rFonts w:ascii="宋体" w:hAnsi="宋体" w:cs="宋体"/>
              </w:rPr>
            </w:pPr>
            <w:r>
              <w:rPr>
                <w:rFonts w:hint="eastAsia" w:ascii="宋体" w:hAnsi="宋体" w:cs="宋体"/>
              </w:rPr>
              <w:t>履约担保的金额：</w:t>
            </w:r>
            <w:r>
              <w:rPr>
                <w:rFonts w:hint="eastAsia" w:ascii="宋体" w:hAnsi="宋体" w:cs="宋体"/>
                <w:u w:val="single"/>
              </w:rPr>
              <w:t xml:space="preserve"> 10 </w:t>
            </w:r>
            <w:r>
              <w:rPr>
                <w:rFonts w:hint="eastAsia" w:ascii="宋体" w:hAnsi="宋体" w:cs="宋体"/>
              </w:rPr>
              <w:t>%签约合同价，被招标项目所在地省级交通主管部门评为</w:t>
            </w:r>
            <w:r>
              <w:rPr>
                <w:rFonts w:hint="eastAsia" w:ascii="宋体" w:hAnsi="宋体" w:cs="宋体"/>
                <w:u w:val="single"/>
              </w:rPr>
              <w:t xml:space="preserve"> / </w:t>
            </w:r>
            <w:r>
              <w:rPr>
                <w:rFonts w:hint="eastAsia" w:ascii="宋体" w:hAnsi="宋体" w:cs="宋体"/>
              </w:rPr>
              <w:t>信用等级的中标人，</w:t>
            </w:r>
            <w:r>
              <w:rPr>
                <w:rFonts w:ascii="宋体" w:hAnsi="宋体"/>
              </w:rPr>
              <w:t>履约担保</w:t>
            </w:r>
            <w:r>
              <w:rPr>
                <w:rFonts w:hint="eastAsia" w:ascii="宋体" w:hAnsi="宋体" w:cs="宋体"/>
              </w:rPr>
              <w:t>金额为</w:t>
            </w:r>
            <w:r>
              <w:rPr>
                <w:rFonts w:hint="eastAsia" w:ascii="宋体" w:hAnsi="宋体" w:cs="宋体"/>
                <w:u w:val="single"/>
              </w:rPr>
              <w:t xml:space="preserve"> / </w:t>
            </w:r>
            <w:r>
              <w:rPr>
                <w:rFonts w:hint="eastAsia" w:ascii="宋体" w:hAnsi="宋体" w:cs="宋体"/>
              </w:rPr>
              <w:t>%签约合同价。</w:t>
            </w:r>
          </w:p>
          <w:p>
            <w:pPr>
              <w:spacing w:line="280" w:lineRule="exact"/>
              <w:rPr>
                <w:rFonts w:ascii="宋体" w:hAnsi="宋体" w:cs="宋体"/>
                <w:u w:val="single"/>
              </w:rPr>
            </w:pPr>
            <w:r>
              <w:rPr>
                <w:rFonts w:hint="eastAsia" w:ascii="宋体" w:hAnsi="宋体" w:cs="宋体"/>
              </w:rPr>
              <w:t>采用银行保函时，出具保函的的银行级别：</w:t>
            </w:r>
            <w:r>
              <w:rPr>
                <w:rFonts w:hint="eastAsia" w:ascii="宋体" w:hAnsi="宋体" w:cs="宋体"/>
                <w:u w:val="single"/>
              </w:rPr>
              <w:t>支行及以上</w:t>
            </w:r>
          </w:p>
          <w:p>
            <w:pPr>
              <w:adjustRightInd w:val="0"/>
              <w:snapToGrid w:val="0"/>
              <w:rPr>
                <w:rFonts w:ascii="宋体"/>
                <w:snapToGrid w:val="0"/>
                <w:kern w:val="0"/>
              </w:rPr>
            </w:pPr>
            <w:r>
              <w:rPr>
                <w:rFonts w:hint="eastAsia" w:ascii="宋体" w:hAnsi="宋体" w:cs="宋体"/>
                <w:color w:val="000000" w:themeColor="text1"/>
                <w:kern w:val="0"/>
                <w14:textFill>
                  <w14:solidFill>
                    <w14:schemeClr w14:val="tx1"/>
                  </w14:solidFill>
                </w14:textFill>
              </w:rPr>
              <w:sym w:font="Wingdings" w:char="F0FE"/>
            </w:r>
            <w:r>
              <w:rPr>
                <w:rFonts w:hint="eastAsia" w:ascii="宋体" w:hAnsi="宋体" w:cs="宋体"/>
                <w:color w:val="000000" w:themeColor="text1"/>
                <w14:textFill>
                  <w14:solidFill>
                    <w14:schemeClr w14:val="tx1"/>
                  </w14:solidFill>
                </w14:textFill>
              </w:rPr>
              <w:t>不要求</w:t>
            </w:r>
            <w:r>
              <w:rPr>
                <w:rFonts w:hint="eastAsia" w:ascii="宋体" w:hAnsi="宋体" w:cs="宋体"/>
                <w:snapToGrid w:val="0"/>
                <w:kern w:val="0"/>
              </w:rPr>
              <w:t>履约保证金的形式：</w:t>
            </w:r>
            <w:r>
              <w:rPr>
                <w:rFonts w:hint="eastAsia" w:ascii="宋体" w:hAnsi="宋体" w:cs="宋体"/>
                <w:kern w:val="0"/>
              </w:rPr>
              <w:t>电汇、转账或银行保函</w:t>
            </w:r>
          </w:p>
          <w:p>
            <w:pPr>
              <w:numPr>
                <w:ilvl w:val="0"/>
                <w:numId w:val="1"/>
              </w:numPr>
              <w:adjustRightInd w:val="0"/>
              <w:snapToGrid w:val="0"/>
              <w:rPr>
                <w:rFonts w:ascii="宋体"/>
                <w:snapToGrid w:val="0"/>
                <w:kern w:val="0"/>
              </w:rPr>
            </w:pPr>
            <w:r>
              <w:rPr>
                <w:rFonts w:hint="eastAsia" w:ascii="宋体" w:hAnsi="宋体" w:cs="宋体"/>
                <w:snapToGrid w:val="0"/>
                <w:kern w:val="0"/>
              </w:rPr>
              <w:t>履约保证金的金额：</w:t>
            </w:r>
            <w:r>
              <w:rPr>
                <w:rFonts w:hint="eastAsia" w:ascii="宋体" w:hAnsi="宋体" w:cs="宋体"/>
              </w:rPr>
              <w:t>中标价的</w:t>
            </w:r>
            <w:r>
              <w:rPr>
                <w:rFonts w:ascii="宋体" w:hAnsi="宋体" w:cs="宋体"/>
              </w:rPr>
              <w:t>10%（以万元为单位取整）</w:t>
            </w:r>
          </w:p>
          <w:p>
            <w:pPr>
              <w:adjustRightInd w:val="0"/>
              <w:snapToGrid w:val="0"/>
              <w:rPr>
                <w:rFonts w:ascii="宋体"/>
                <w:snapToGrid w:val="0"/>
                <w:kern w:val="0"/>
              </w:rPr>
            </w:pPr>
            <w:r>
              <w:rPr>
                <w:rFonts w:hint="eastAsia" w:ascii="宋体"/>
                <w:snapToGrid w:val="0"/>
                <w:kern w:val="0"/>
              </w:rPr>
              <w:t>3、履约担保提交时间：收到中标通知书之日起15天内，签订合同协议书之前提交。如果中标人未按规定提交履约担保的，招标人可以视为其已放弃中标资格而不予签订合同，并没收投标保证金，招标人将重新招标确定中标人。</w:t>
            </w:r>
          </w:p>
          <w:p>
            <w:pPr>
              <w:adjustRightInd w:val="0"/>
              <w:snapToGrid w:val="0"/>
              <w:rPr>
                <w:rFonts w:ascii="宋体"/>
                <w:snapToGrid w:val="0"/>
                <w:kern w:val="0"/>
              </w:rPr>
            </w:pPr>
            <w:r>
              <w:rPr>
                <w:rFonts w:hint="eastAsia" w:ascii="宋体"/>
                <w:snapToGrid w:val="0"/>
                <w:kern w:val="0"/>
              </w:rPr>
              <w:t>4、履约担保期限：履约担保有效期应持续到工程竣工验收合格之日止。</w:t>
            </w:r>
          </w:p>
          <w:p>
            <w:pPr>
              <w:adjustRightInd w:val="0"/>
              <w:snapToGrid w:val="0"/>
              <w:rPr>
                <w:rFonts w:ascii="宋体"/>
                <w:snapToGrid w:val="0"/>
                <w:kern w:val="0"/>
              </w:rPr>
            </w:pPr>
            <w:r>
              <w:rPr>
                <w:rFonts w:hint="eastAsia" w:ascii="宋体"/>
                <w:snapToGrid w:val="0"/>
                <w:kern w:val="0"/>
              </w:rPr>
              <w:t>5、履约担保退还：履约担保在竣工验收合格后28天内无息退给承包人。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宋体" w:hAnsi="宋体"/>
              </w:rPr>
            </w:pPr>
            <w:r>
              <w:rPr>
                <w:rFonts w:ascii="宋体" w:hAnsi="宋体"/>
              </w:rPr>
              <w:t>8.5</w:t>
            </w:r>
          </w:p>
        </w:tc>
        <w:tc>
          <w:tcPr>
            <w:tcW w:w="2268" w:type="dxa"/>
            <w:gridSpan w:val="2"/>
            <w:vAlign w:val="center"/>
          </w:tcPr>
          <w:p>
            <w:pPr>
              <w:adjustRightInd w:val="0"/>
              <w:snapToGrid w:val="0"/>
              <w:jc w:val="center"/>
              <w:rPr>
                <w:rFonts w:ascii="宋体" w:hAnsi="宋体"/>
              </w:rPr>
            </w:pPr>
            <w:r>
              <w:rPr>
                <w:rFonts w:ascii="宋体" w:hAnsi="宋体"/>
              </w:rPr>
              <w:t>监督部门</w:t>
            </w:r>
          </w:p>
        </w:tc>
        <w:tc>
          <w:tcPr>
            <w:tcW w:w="5918" w:type="dxa"/>
            <w:vAlign w:val="center"/>
          </w:tcPr>
          <w:p>
            <w:pPr>
              <w:autoSpaceDE w:val="0"/>
              <w:autoSpaceDN w:val="0"/>
              <w:adjustRightInd w:val="0"/>
              <w:snapToGrid w:val="0"/>
              <w:spacing w:line="380" w:lineRule="exact"/>
              <w:rPr>
                <w:rFonts w:ascii="宋体" w:hAnsi="宋体" w:cs="宋体"/>
                <w:kern w:val="0"/>
              </w:rPr>
            </w:pPr>
            <w:r>
              <w:rPr>
                <w:rFonts w:hint="eastAsia" w:ascii="宋体" w:hAnsi="宋体" w:cs="宋体"/>
                <w:kern w:val="0"/>
              </w:rPr>
              <w:t>监督部门：</w:t>
            </w:r>
            <w:r>
              <w:rPr>
                <w:rFonts w:hint="eastAsia" w:ascii="宋体" w:hAnsi="宋体" w:cs="宋体"/>
                <w:kern w:val="0"/>
                <w:u w:val="single"/>
              </w:rPr>
              <w:t>天津市滨海新区交通运输委员会</w:t>
            </w:r>
          </w:p>
          <w:p>
            <w:pPr>
              <w:autoSpaceDE w:val="0"/>
              <w:autoSpaceDN w:val="0"/>
              <w:adjustRightInd w:val="0"/>
              <w:snapToGrid w:val="0"/>
              <w:spacing w:line="380" w:lineRule="exact"/>
              <w:rPr>
                <w:rFonts w:ascii="宋体" w:hAnsi="宋体" w:cs="宋体"/>
                <w:kern w:val="0"/>
              </w:rPr>
            </w:pPr>
            <w:r>
              <w:rPr>
                <w:rFonts w:hint="eastAsia" w:ascii="宋体" w:hAnsi="宋体" w:cs="宋体"/>
                <w:kern w:val="0"/>
              </w:rPr>
              <w:t>地址：</w:t>
            </w:r>
            <w:r>
              <w:rPr>
                <w:rFonts w:hint="eastAsia" w:ascii="宋体" w:hAnsi="宋体" w:cs="宋体"/>
                <w:kern w:val="0"/>
                <w:u w:val="single"/>
              </w:rPr>
              <w:t>天津市滨海新区</w:t>
            </w:r>
          </w:p>
          <w:p>
            <w:pPr>
              <w:autoSpaceDE w:val="0"/>
              <w:autoSpaceDN w:val="0"/>
              <w:adjustRightInd w:val="0"/>
              <w:snapToGrid w:val="0"/>
              <w:spacing w:line="380" w:lineRule="exact"/>
              <w:rPr>
                <w:rFonts w:ascii="宋体" w:hAnsi="宋体" w:cs="宋体"/>
                <w:kern w:val="0"/>
                <w:u w:val="single"/>
              </w:rPr>
            </w:pPr>
            <w:r>
              <w:rPr>
                <w:rFonts w:hint="eastAsia" w:ascii="宋体" w:hAnsi="宋体" w:cs="宋体"/>
                <w:kern w:val="0"/>
              </w:rPr>
              <w:t>电话：</w:t>
            </w:r>
            <w:r>
              <w:rPr>
                <w:rFonts w:ascii="宋体" w:hAnsi="宋体" w:cs="宋体"/>
                <w:kern w:val="0"/>
                <w:u w:val="single"/>
              </w:rPr>
              <w:t>022-</w:t>
            </w:r>
            <w:r>
              <w:rPr>
                <w:rFonts w:hint="eastAsia" w:ascii="宋体" w:hAnsi="宋体" w:cs="宋体"/>
                <w:kern w:val="0"/>
                <w:u w:val="single"/>
              </w:rPr>
              <w:t>65369591</w:t>
            </w:r>
          </w:p>
          <w:p>
            <w:pPr>
              <w:autoSpaceDE w:val="0"/>
              <w:autoSpaceDN w:val="0"/>
              <w:adjustRightInd w:val="0"/>
              <w:snapToGrid w:val="0"/>
              <w:spacing w:line="380" w:lineRule="exact"/>
              <w:rPr>
                <w:rFonts w:ascii="宋体" w:hAnsi="宋体" w:cs="宋体"/>
                <w:kern w:val="0"/>
                <w:u w:val="single"/>
              </w:rPr>
            </w:pPr>
            <w:r>
              <w:rPr>
                <w:rFonts w:hint="eastAsia" w:ascii="宋体" w:hAnsi="宋体" w:cs="宋体"/>
                <w:kern w:val="0"/>
              </w:rPr>
              <w:t>传真：</w:t>
            </w:r>
            <w:r>
              <w:rPr>
                <w:rFonts w:ascii="宋体" w:hAnsi="宋体" w:cs="宋体"/>
                <w:kern w:val="0"/>
                <w:u w:val="single"/>
              </w:rPr>
              <w:t>022-</w:t>
            </w:r>
            <w:r>
              <w:rPr>
                <w:rFonts w:hint="eastAsia" w:ascii="宋体" w:hAnsi="宋体" w:cs="宋体"/>
                <w:kern w:val="0"/>
                <w:u w:val="single"/>
              </w:rPr>
              <w:t>65369591</w:t>
            </w:r>
          </w:p>
          <w:p>
            <w:pPr>
              <w:autoSpaceDE w:val="0"/>
              <w:autoSpaceDN w:val="0"/>
              <w:adjustRightInd w:val="0"/>
              <w:snapToGrid w:val="0"/>
              <w:spacing w:line="380" w:lineRule="exact"/>
              <w:rPr>
                <w:rFonts w:ascii="宋体" w:hAnsi="宋体"/>
                <w:u w:val="single"/>
              </w:rPr>
            </w:pPr>
            <w:r>
              <w:rPr>
                <w:rFonts w:hint="eastAsia" w:ascii="宋体" w:hAnsi="宋体" w:cs="宋体"/>
                <w:kern w:val="0"/>
              </w:rPr>
              <w:t>邮政编码：</w:t>
            </w:r>
            <w:r>
              <w:rPr>
                <w:rFonts w:hint="eastAsia" w:ascii="宋体" w:hAnsi="宋体" w:cs="宋体"/>
                <w:kern w:val="0"/>
                <w:u w:val="single"/>
              </w:rPr>
              <w:t>300457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360"/>
              </w:tabs>
              <w:adjustRightInd w:val="0"/>
              <w:snapToGrid w:val="0"/>
              <w:jc w:val="center"/>
              <w:rPr>
                <w:rFonts w:ascii="宋体"/>
                <w:snapToGrid w:val="0"/>
                <w:kern w:val="0"/>
              </w:rPr>
            </w:pPr>
            <w:r>
              <w:rPr>
                <w:rFonts w:hint="eastAsia" w:ascii="宋体" w:hAnsi="宋体" w:cs="宋体"/>
                <w:snapToGrid w:val="0"/>
                <w:kern w:val="0"/>
              </w:rPr>
              <w:t>9</w:t>
            </w:r>
          </w:p>
        </w:tc>
        <w:tc>
          <w:tcPr>
            <w:tcW w:w="8186" w:type="dxa"/>
            <w:gridSpan w:val="3"/>
            <w:vAlign w:val="center"/>
          </w:tcPr>
          <w:p>
            <w:pPr>
              <w:jc w:val="center"/>
              <w:rPr>
                <w:rFonts w:ascii="宋体"/>
                <w:kern w:val="0"/>
              </w:rPr>
            </w:pPr>
            <w:r>
              <w:rPr>
                <w:rFonts w:hint="eastAsia" w:ascii="宋体" w:hAnsi="宋体" w:cs="宋体"/>
                <w:snapToGrid w:val="0"/>
                <w:kern w:val="0"/>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tabs>
                <w:tab w:val="left" w:pos="360"/>
              </w:tabs>
              <w:adjustRightInd w:val="0"/>
              <w:snapToGrid w:val="0"/>
              <w:jc w:val="center"/>
              <w:rPr>
                <w:rFonts w:ascii="宋体"/>
                <w:snapToGrid w:val="0"/>
                <w:kern w:val="0"/>
              </w:rPr>
            </w:pPr>
            <w:r>
              <w:rPr>
                <w:rFonts w:hint="eastAsia" w:ascii="宋体" w:hAnsi="宋体" w:cs="宋体"/>
                <w:snapToGrid w:val="0"/>
                <w:kern w:val="0"/>
              </w:rPr>
              <w:t>9</w:t>
            </w:r>
            <w:r>
              <w:rPr>
                <w:rFonts w:ascii="宋体" w:hAnsi="宋体" w:cs="宋体"/>
                <w:snapToGrid w:val="0"/>
                <w:kern w:val="0"/>
              </w:rPr>
              <w:t>.</w:t>
            </w:r>
            <w:r>
              <w:rPr>
                <w:rFonts w:hint="eastAsia" w:ascii="宋体" w:hAnsi="宋体" w:cs="宋体"/>
                <w:snapToGrid w:val="0"/>
                <w:kern w:val="0"/>
              </w:rPr>
              <w:t>1</w:t>
            </w:r>
          </w:p>
        </w:tc>
        <w:tc>
          <w:tcPr>
            <w:tcW w:w="8186" w:type="dxa"/>
            <w:gridSpan w:val="3"/>
            <w:vAlign w:val="center"/>
          </w:tcPr>
          <w:p>
            <w:pPr>
              <w:ind w:firstLine="420" w:firstLineChars="200"/>
              <w:rPr>
                <w:rFonts w:ascii="宋体"/>
              </w:rPr>
            </w:pPr>
            <w:r>
              <w:rPr>
                <w:rFonts w:hint="eastAsia" w:ascii="宋体" w:hAnsi="宋体" w:cs="宋体"/>
              </w:rPr>
              <w:t>招标文件投标人须知正文部分与投标人须知前附表不一致的内容，以投标人须知前附表为准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1" w:type="dxa"/>
            <w:vAlign w:val="center"/>
          </w:tcPr>
          <w:p>
            <w:pPr>
              <w:tabs>
                <w:tab w:val="left" w:pos="360"/>
              </w:tabs>
              <w:adjustRightInd w:val="0"/>
              <w:snapToGrid w:val="0"/>
              <w:jc w:val="center"/>
              <w:rPr>
                <w:rFonts w:ascii="宋体" w:hAnsi="宋体" w:cs="宋体"/>
                <w:snapToGrid w:val="0"/>
                <w:kern w:val="0"/>
              </w:rPr>
            </w:pPr>
            <w:r>
              <w:rPr>
                <w:rFonts w:hint="eastAsia" w:ascii="宋体" w:hAnsi="宋体" w:cs="宋体"/>
                <w:snapToGrid w:val="0"/>
                <w:kern w:val="0"/>
              </w:rPr>
              <w:t>9.2</w:t>
            </w:r>
          </w:p>
        </w:tc>
        <w:tc>
          <w:tcPr>
            <w:tcW w:w="2225" w:type="dxa"/>
            <w:vAlign w:val="center"/>
          </w:tcPr>
          <w:p>
            <w:pPr>
              <w:spacing w:line="360" w:lineRule="auto"/>
              <w:jc w:val="center"/>
              <w:rPr>
                <w:rFonts w:ascii="宋体" w:hAnsi="宋体" w:cs="宋体"/>
                <w:bCs/>
              </w:rPr>
            </w:pPr>
            <w:r>
              <w:rPr>
                <w:rFonts w:hint="eastAsia" w:ascii="宋体" w:hAnsi="宋体" w:cs="宋体"/>
                <w:bCs/>
              </w:rPr>
              <w:t>监督</w:t>
            </w:r>
          </w:p>
        </w:tc>
        <w:tc>
          <w:tcPr>
            <w:tcW w:w="5961" w:type="dxa"/>
            <w:gridSpan w:val="2"/>
            <w:vAlign w:val="center"/>
          </w:tcPr>
          <w:p>
            <w:pPr>
              <w:snapToGrid w:val="0"/>
              <w:rPr>
                <w:rFonts w:ascii="宋体" w:hAnsi="宋体" w:cs="宋体"/>
              </w:rPr>
            </w:pPr>
            <w:r>
              <w:rPr>
                <w:rFonts w:hint="eastAsia" w:ascii="宋体" w:hAnsi="宋体" w:cs="宋体"/>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1" w:type="dxa"/>
            <w:vAlign w:val="center"/>
          </w:tcPr>
          <w:p>
            <w:pPr>
              <w:adjustRightInd w:val="0"/>
              <w:snapToGrid w:val="0"/>
              <w:jc w:val="center"/>
              <w:rPr>
                <w:rFonts w:ascii="宋体" w:hAnsi="宋体"/>
                <w:kern w:val="0"/>
              </w:rPr>
            </w:pPr>
            <w:r>
              <w:rPr>
                <w:rFonts w:ascii="宋体" w:hAnsi="宋体"/>
                <w:kern w:val="0"/>
              </w:rPr>
              <w:t>1.3</w:t>
            </w:r>
          </w:p>
        </w:tc>
        <w:tc>
          <w:tcPr>
            <w:tcW w:w="2225" w:type="dxa"/>
            <w:vAlign w:val="center"/>
          </w:tcPr>
          <w:p>
            <w:pPr>
              <w:adjustRightInd w:val="0"/>
              <w:snapToGrid w:val="0"/>
              <w:jc w:val="center"/>
              <w:rPr>
                <w:rFonts w:ascii="宋体" w:hAnsi="宋体"/>
              </w:rPr>
            </w:pPr>
            <w:r>
              <w:rPr>
                <w:rFonts w:ascii="宋体" w:hAnsi="宋体"/>
                <w:kern w:val="0"/>
              </w:rPr>
              <w:t>第1.3.4项补充</w:t>
            </w:r>
          </w:p>
        </w:tc>
        <w:tc>
          <w:tcPr>
            <w:tcW w:w="5961" w:type="dxa"/>
            <w:gridSpan w:val="2"/>
            <w:vAlign w:val="center"/>
          </w:tcPr>
          <w:p>
            <w:pPr>
              <w:adjustRightInd w:val="0"/>
              <w:snapToGrid w:val="0"/>
              <w:rPr>
                <w:rFonts w:ascii="宋体" w:hAnsi="宋体"/>
                <w:kern w:val="0"/>
              </w:rPr>
            </w:pPr>
            <w:r>
              <w:rPr>
                <w:rFonts w:ascii="宋体" w:hAnsi="宋体"/>
                <w:kern w:val="0"/>
              </w:rPr>
              <w:t>1.3.4安全目标</w:t>
            </w:r>
          </w:p>
          <w:p>
            <w:pPr>
              <w:adjustRightInd w:val="0"/>
              <w:snapToGrid w:val="0"/>
              <w:ind w:firstLine="420" w:firstLineChars="200"/>
              <w:rPr>
                <w:rFonts w:ascii="宋体" w:hAnsi="宋体"/>
                <w:kern w:val="0"/>
              </w:rPr>
            </w:pPr>
            <w:r>
              <w:rPr>
                <w:rFonts w:ascii="宋体" w:hAnsi="宋体"/>
                <w:kern w:val="0"/>
              </w:rPr>
              <w:t>“三类人员”持证率100%；在生产过程中无生产责任事故、重大伤亡事故和死亡事故的发生。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1" w:type="dxa"/>
            <w:vAlign w:val="center"/>
          </w:tcPr>
          <w:p>
            <w:pPr>
              <w:jc w:val="center"/>
              <w:rPr>
                <w:rFonts w:ascii="宋体" w:hAnsi="宋体"/>
                <w:color w:val="000000"/>
                <w:kern w:val="0"/>
              </w:rPr>
            </w:pPr>
            <w:r>
              <w:rPr>
                <w:rFonts w:ascii="宋体" w:hAnsi="宋体"/>
                <w:color w:val="000000"/>
                <w:kern w:val="0"/>
              </w:rPr>
              <w:t>1.4.3</w:t>
            </w:r>
          </w:p>
        </w:tc>
        <w:tc>
          <w:tcPr>
            <w:tcW w:w="2225" w:type="dxa"/>
            <w:vAlign w:val="center"/>
          </w:tcPr>
          <w:p>
            <w:pPr>
              <w:rPr>
                <w:rFonts w:ascii="宋体" w:hAnsi="宋体"/>
                <w:color w:val="000000"/>
                <w:kern w:val="0"/>
              </w:rPr>
            </w:pPr>
            <w:r>
              <w:rPr>
                <w:rFonts w:ascii="宋体" w:hAnsi="宋体"/>
              </w:rPr>
              <w:t>补充第</w:t>
            </w:r>
            <w:r>
              <w:rPr>
                <w:rFonts w:ascii="宋体" w:hAnsi="宋体"/>
                <w:color w:val="000000"/>
                <w:kern w:val="0"/>
              </w:rPr>
              <w:t>1.4.3（13）-（1</w:t>
            </w:r>
            <w:r>
              <w:rPr>
                <w:rFonts w:hint="eastAsia" w:ascii="宋体" w:hAnsi="宋体"/>
                <w:color w:val="000000"/>
                <w:kern w:val="0"/>
              </w:rPr>
              <w:t>7</w:t>
            </w:r>
            <w:r>
              <w:rPr>
                <w:rFonts w:ascii="宋体" w:hAnsi="宋体"/>
                <w:color w:val="000000"/>
                <w:kern w:val="0"/>
              </w:rPr>
              <w:t>）项</w:t>
            </w:r>
          </w:p>
        </w:tc>
        <w:tc>
          <w:tcPr>
            <w:tcW w:w="5961" w:type="dxa"/>
            <w:gridSpan w:val="2"/>
            <w:vAlign w:val="center"/>
          </w:tcPr>
          <w:p>
            <w:pPr>
              <w:rPr>
                <w:rFonts w:ascii="宋体" w:hAnsi="宋体"/>
                <w:color w:val="000000"/>
                <w:kern w:val="0"/>
              </w:rPr>
            </w:pPr>
            <w:r>
              <w:rPr>
                <w:rFonts w:ascii="宋体" w:hAnsi="宋体"/>
                <w:color w:val="000000"/>
                <w:kern w:val="0"/>
              </w:rPr>
              <w:t xml:space="preserve">(13) </w:t>
            </w:r>
            <w:r>
              <w:rPr>
                <w:rFonts w:hint="eastAsia" w:ascii="宋体" w:hAnsi="宋体"/>
                <w:color w:val="000000"/>
                <w:kern w:val="0"/>
              </w:rPr>
              <w:t>投标人（含联合体成员）</w:t>
            </w:r>
            <w:r>
              <w:rPr>
                <w:rFonts w:ascii="宋体" w:hAnsi="宋体"/>
                <w:color w:val="000000"/>
                <w:kern w:val="0"/>
              </w:rPr>
              <w:t>被省级及以上交通主管部门取消项目所在地的投标资格且处于有效期内；</w:t>
            </w:r>
          </w:p>
          <w:p>
            <w:pPr>
              <w:rPr>
                <w:rFonts w:ascii="宋体" w:hAnsi="宋体"/>
                <w:color w:val="000000"/>
                <w:kern w:val="0"/>
              </w:rPr>
            </w:pPr>
            <w:r>
              <w:rPr>
                <w:rFonts w:hint="eastAsia" w:ascii="宋体" w:hAnsi="宋体"/>
                <w:color w:val="000000"/>
                <w:kern w:val="0"/>
              </w:rPr>
              <w:t>(</w:t>
            </w:r>
            <w:r>
              <w:rPr>
                <w:rFonts w:ascii="宋体" w:hAnsi="宋体"/>
                <w:color w:val="000000"/>
                <w:kern w:val="0"/>
              </w:rPr>
              <w:t>14)</w:t>
            </w:r>
            <w:r>
              <w:rPr>
                <w:rFonts w:hint="eastAsia" w:ascii="宋体" w:hAnsi="宋体"/>
                <w:color w:val="000000"/>
                <w:kern w:val="0"/>
              </w:rPr>
              <w:t>投标人（含联合体成员）被责令停业，暂扣或吊销执照，或吊销资质证书；</w:t>
            </w:r>
          </w:p>
          <w:p>
            <w:pPr>
              <w:rPr>
                <w:rFonts w:ascii="宋体" w:hAnsi="宋体"/>
                <w:color w:val="000000"/>
                <w:kern w:val="0"/>
              </w:rPr>
            </w:pPr>
            <w:r>
              <w:rPr>
                <w:rFonts w:ascii="宋体" w:hAnsi="宋体"/>
                <w:color w:val="000000"/>
                <w:kern w:val="0"/>
              </w:rPr>
              <w:t>(15)进入清算程序，或被宣告破产，或其他丧失履约能力的情形；</w:t>
            </w:r>
          </w:p>
          <w:p>
            <w:pPr>
              <w:wordWrap w:val="0"/>
              <w:rPr>
                <w:rFonts w:ascii="宋体" w:hAnsi="宋体"/>
                <w:color w:val="000000"/>
                <w:kern w:val="0"/>
              </w:rPr>
            </w:pPr>
            <w:r>
              <w:rPr>
                <w:rFonts w:ascii="宋体" w:hAnsi="宋体"/>
                <w:color w:val="000000"/>
                <w:kern w:val="0"/>
              </w:rPr>
              <w:t>(16)投标人（含联合体成员）“信用中国”网站（http：//www.creditchina.gov.cn/）中被列入失信被执行人名单；</w:t>
            </w:r>
          </w:p>
          <w:p>
            <w:pPr>
              <w:wordWrap w:val="0"/>
              <w:rPr>
                <w:rFonts w:ascii="宋体" w:hAnsi="宋体"/>
                <w:color w:val="000000"/>
                <w:kern w:val="0"/>
              </w:rPr>
            </w:pPr>
            <w:r>
              <w:rPr>
                <w:rFonts w:ascii="宋体" w:hAnsi="宋体"/>
                <w:color w:val="000000"/>
                <w:kern w:val="0"/>
              </w:rPr>
              <w:t>(17)投标人（含联合体成员）</w:t>
            </w:r>
            <w:r>
              <w:rPr>
                <w:rFonts w:hint="eastAsia" w:ascii="宋体" w:hAnsi="宋体"/>
                <w:color w:val="000000"/>
                <w:kern w:val="0"/>
              </w:rPr>
              <w:t>在国家企业信用信息公示系统（http://www.gsxt.gov.cn）中被列入严重违法失信企业名单或存在</w:t>
            </w:r>
            <w:r>
              <w:rPr>
                <w:rFonts w:ascii="宋体" w:hAnsi="宋体"/>
                <w:color w:val="000000"/>
                <w:kern w:val="0"/>
              </w:rPr>
              <w:t>经营异常情况</w:t>
            </w:r>
            <w:r>
              <w:rPr>
                <w:rFonts w:hint="eastAsia" w:ascii="宋体" w:hAnsi="宋体"/>
                <w:color w:val="000000"/>
                <w:kern w:val="0"/>
              </w:rPr>
              <w:t>。</w:t>
            </w:r>
          </w:p>
          <w:p>
            <w:pPr>
              <w:wordWrap w:val="0"/>
              <w:rPr>
                <w:rFonts w:ascii="宋体" w:hAnsi="宋体"/>
                <w:color w:val="000000"/>
                <w:kern w:val="0"/>
              </w:rPr>
            </w:pPr>
            <w:r>
              <w:rPr>
                <w:rFonts w:ascii="宋体" w:hAnsi="宋体"/>
                <w:color w:val="000000"/>
                <w:kern w:val="0"/>
              </w:rPr>
              <w:t>(</w:t>
            </w:r>
            <w:r>
              <w:rPr>
                <w:rFonts w:hint="eastAsia" w:ascii="宋体" w:hAnsi="宋体"/>
                <w:color w:val="000000"/>
                <w:kern w:val="0"/>
              </w:rPr>
              <w:t>1</w:t>
            </w:r>
            <w:r>
              <w:rPr>
                <w:rFonts w:ascii="宋体" w:hAnsi="宋体"/>
                <w:color w:val="000000"/>
                <w:kern w:val="0"/>
              </w:rPr>
              <w:t>8)</w:t>
            </w:r>
            <w:r>
              <w:rPr>
                <w:rFonts w:hint="eastAsia" w:ascii="宋体" w:hAnsi="宋体"/>
                <w:color w:val="000000"/>
                <w:kern w:val="0"/>
              </w:rPr>
              <w:t>投标人或其法定代表人、拟委任的项目经理、设计负责人、施工负责人在近三年内有行贿犯罪行为的（行贿犯罪行为的认定以检察机关职务犯罪预防部门出具的查询结果为准）；</w:t>
            </w:r>
          </w:p>
          <w:p>
            <w:pPr>
              <w:rPr>
                <w:rFonts w:ascii="宋体" w:hAnsi="宋体"/>
                <w:color w:val="000000"/>
                <w:kern w:val="0"/>
              </w:rPr>
            </w:pPr>
            <w:r>
              <w:rPr>
                <w:rFonts w:ascii="宋体" w:hAnsi="宋体"/>
                <w:color w:val="000000"/>
                <w:kern w:val="0"/>
              </w:rPr>
              <w:t>(19)法律法规或投标人须知前附表规定的其他情形。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1" w:type="dxa"/>
            <w:vAlign w:val="center"/>
          </w:tcPr>
          <w:p>
            <w:pPr>
              <w:adjustRightInd w:val="0"/>
              <w:snapToGrid w:val="0"/>
              <w:jc w:val="center"/>
              <w:rPr>
                <w:rFonts w:ascii="宋体" w:hAnsi="宋体"/>
                <w:kern w:val="0"/>
              </w:rPr>
            </w:pPr>
            <w:r>
              <w:rPr>
                <w:rFonts w:hint="eastAsia" w:ascii="宋体" w:hAnsi="宋体"/>
                <w:kern w:val="0"/>
              </w:rPr>
              <w:t>1</w:t>
            </w:r>
            <w:r>
              <w:rPr>
                <w:rFonts w:ascii="宋体" w:hAnsi="宋体"/>
                <w:kern w:val="0"/>
              </w:rPr>
              <w:t>.4.4</w:t>
            </w:r>
          </w:p>
        </w:tc>
        <w:tc>
          <w:tcPr>
            <w:tcW w:w="2225" w:type="dxa"/>
            <w:vAlign w:val="center"/>
          </w:tcPr>
          <w:p>
            <w:pPr>
              <w:adjustRightInd w:val="0"/>
              <w:snapToGrid w:val="0"/>
              <w:jc w:val="center"/>
              <w:rPr>
                <w:rFonts w:ascii="宋体" w:hAnsi="宋体"/>
                <w:kern w:val="0"/>
              </w:rPr>
            </w:pPr>
            <w:r>
              <w:rPr>
                <w:rFonts w:hint="eastAsia" w:ascii="宋体" w:hAnsi="宋体"/>
                <w:kern w:val="0"/>
              </w:rPr>
              <w:t>补充第1</w:t>
            </w:r>
            <w:r>
              <w:rPr>
                <w:rFonts w:ascii="宋体" w:hAnsi="宋体"/>
                <w:kern w:val="0"/>
              </w:rPr>
              <w:t>.4.4</w:t>
            </w:r>
            <w:r>
              <w:rPr>
                <w:rFonts w:hint="eastAsia" w:ascii="宋体" w:hAnsi="宋体"/>
                <w:kern w:val="0"/>
              </w:rPr>
              <w:t>（2）项</w:t>
            </w:r>
          </w:p>
        </w:tc>
        <w:tc>
          <w:tcPr>
            <w:tcW w:w="5961" w:type="dxa"/>
            <w:gridSpan w:val="2"/>
            <w:vAlign w:val="center"/>
          </w:tcPr>
          <w:p>
            <w:pPr>
              <w:adjustRightInd w:val="0"/>
              <w:snapToGrid w:val="0"/>
              <w:ind w:left="57" w:leftChars="27"/>
              <w:rPr>
                <w:rFonts w:ascii="宋体" w:hAnsi="宋体" w:cs="宋体"/>
                <w:kern w:val="0"/>
              </w:rPr>
            </w:pPr>
            <w:r>
              <w:rPr>
                <w:rFonts w:hint="eastAsia" w:ascii="宋体" w:hAnsi="宋体" w:cs="宋体"/>
                <w:kern w:val="0"/>
              </w:rPr>
              <w:t>（2）投标人（或联合体成员中的设计单位）应进入交通运输部“全国公路建设市场信用信息管理系统（http：//glxy.mot.gov.cn）”中的公路工程设计资质企业名录，且投标人名称和资质与该名录中的相应企业名称和资质完全一致。投标人不满足本项规定条件的，将被否决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1" w:type="dxa"/>
            <w:vAlign w:val="center"/>
          </w:tcPr>
          <w:p>
            <w:pPr>
              <w:adjustRightInd w:val="0"/>
              <w:snapToGrid w:val="0"/>
              <w:jc w:val="center"/>
              <w:rPr>
                <w:rFonts w:ascii="宋体" w:hAnsi="宋体"/>
                <w:kern w:val="0"/>
              </w:rPr>
            </w:pPr>
            <w:r>
              <w:rPr>
                <w:rFonts w:ascii="宋体" w:hAnsi="宋体"/>
                <w:kern w:val="0"/>
              </w:rPr>
              <w:t>2.1</w:t>
            </w:r>
          </w:p>
        </w:tc>
        <w:tc>
          <w:tcPr>
            <w:tcW w:w="2225" w:type="dxa"/>
            <w:vAlign w:val="center"/>
          </w:tcPr>
          <w:p>
            <w:pPr>
              <w:adjustRightInd w:val="0"/>
              <w:snapToGrid w:val="0"/>
              <w:jc w:val="center"/>
              <w:rPr>
                <w:rFonts w:ascii="宋体" w:hAnsi="宋体"/>
                <w:kern w:val="0"/>
              </w:rPr>
            </w:pPr>
            <w:r>
              <w:rPr>
                <w:rFonts w:ascii="宋体" w:hAnsi="宋体"/>
                <w:kern w:val="0"/>
              </w:rPr>
              <w:t>补充第2.1.2项</w:t>
            </w:r>
          </w:p>
        </w:tc>
        <w:tc>
          <w:tcPr>
            <w:tcW w:w="5961" w:type="dxa"/>
            <w:gridSpan w:val="2"/>
            <w:vAlign w:val="center"/>
          </w:tcPr>
          <w:p>
            <w:pPr>
              <w:adjustRightInd w:val="0"/>
              <w:snapToGrid w:val="0"/>
              <w:ind w:left="57" w:leftChars="27" w:firstLine="220" w:firstLineChars="105"/>
              <w:rPr>
                <w:rFonts w:ascii="宋体" w:hAnsi="宋体"/>
              </w:rPr>
            </w:pPr>
            <w:r>
              <w:rPr>
                <w:rFonts w:hint="eastAsia" w:ascii="宋体" w:hAnsi="宋体" w:cs="宋体"/>
                <w:kern w:val="0"/>
              </w:rPr>
              <w:t>2.1.2招标文件中要求投标人提供的各类证照复印件均指彩色扫描件或彩色复印件，其他资料复印件可为黑白扫描件或黑白复印件。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1" w:type="dxa"/>
            <w:vAlign w:val="center"/>
          </w:tcPr>
          <w:p>
            <w:pPr>
              <w:adjustRightInd w:val="0"/>
              <w:snapToGrid w:val="0"/>
              <w:jc w:val="center"/>
              <w:rPr>
                <w:rFonts w:ascii="宋体" w:hAnsi="宋体"/>
                <w:kern w:val="0"/>
              </w:rPr>
            </w:pPr>
            <w:r>
              <w:rPr>
                <w:rFonts w:ascii="宋体" w:hAnsi="宋体"/>
                <w:kern w:val="0"/>
              </w:rPr>
              <w:t>2.2、2.3</w:t>
            </w:r>
          </w:p>
        </w:tc>
        <w:tc>
          <w:tcPr>
            <w:tcW w:w="2225" w:type="dxa"/>
            <w:vAlign w:val="center"/>
          </w:tcPr>
          <w:p>
            <w:pPr>
              <w:adjustRightInd w:val="0"/>
              <w:snapToGrid w:val="0"/>
              <w:jc w:val="center"/>
              <w:rPr>
                <w:rFonts w:ascii="宋体" w:hAnsi="宋体"/>
                <w:kern w:val="0"/>
              </w:rPr>
            </w:pPr>
            <w:r>
              <w:rPr>
                <w:rFonts w:ascii="宋体" w:hAnsi="宋体"/>
                <w:kern w:val="0"/>
              </w:rPr>
              <w:t>补充第2.2.4、2.3.3项</w:t>
            </w:r>
          </w:p>
        </w:tc>
        <w:tc>
          <w:tcPr>
            <w:tcW w:w="5961" w:type="dxa"/>
            <w:gridSpan w:val="2"/>
            <w:vAlign w:val="center"/>
          </w:tcPr>
          <w:p>
            <w:pPr>
              <w:adjustRightInd w:val="0"/>
              <w:snapToGrid w:val="0"/>
              <w:spacing w:line="300" w:lineRule="exact"/>
              <w:ind w:left="57" w:leftChars="27" w:firstLine="220" w:firstLineChars="105"/>
              <w:rPr>
                <w:rFonts w:ascii="宋体" w:hAnsi="宋体" w:cs="宋体"/>
                <w:kern w:val="0"/>
              </w:rPr>
            </w:pPr>
            <w:r>
              <w:rPr>
                <w:rFonts w:hint="eastAsia" w:ascii="宋体" w:hAnsi="宋体" w:cs="宋体"/>
                <w:kern w:val="0"/>
              </w:rPr>
              <w:t>2.2.4、2.3.3招标人将在天津市公共资源交易网（http://60.28.163.169/）、天津市交通运输委员会官网（http://jtys.tj.gov.cn/）发布招标文件的澄清、修改文件，请各投标人下载并在规定的时间内回函确认。投标人应在投标截止时间前密切关注，以便掌握相关澄清及修改。</w:t>
            </w:r>
          </w:p>
          <w:p>
            <w:pPr>
              <w:adjustRightInd w:val="0"/>
              <w:snapToGrid w:val="0"/>
              <w:ind w:left="57" w:leftChars="27" w:firstLine="220" w:firstLineChars="105"/>
              <w:rPr>
                <w:rFonts w:ascii="宋体" w:hAnsi="宋体"/>
                <w:kern w:val="0"/>
              </w:rPr>
            </w:pPr>
            <w:r>
              <w:rPr>
                <w:rFonts w:hint="eastAsia" w:ascii="宋体" w:hAnsi="宋体" w:cs="宋体"/>
                <w:kern w:val="0"/>
              </w:rPr>
              <w:t>招标人、招标代理机构对投标人发出的澄清、修改及投标控制价上限或评标委员会对投标人发出的澄清，投标人应在规定的时间内按要求回函确认，否则招标人不承担由此引起的一切后果。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1" w:type="dxa"/>
            <w:vAlign w:val="center"/>
          </w:tcPr>
          <w:p>
            <w:pPr>
              <w:adjustRightInd w:val="0"/>
              <w:snapToGrid w:val="0"/>
              <w:jc w:val="center"/>
              <w:rPr>
                <w:rFonts w:ascii="宋体" w:hAnsi="宋体"/>
                <w:kern w:val="0"/>
              </w:rPr>
            </w:pPr>
            <w:r>
              <w:rPr>
                <w:rFonts w:ascii="宋体" w:hAnsi="宋体"/>
                <w:kern w:val="0"/>
              </w:rPr>
              <w:t>3.4.</w:t>
            </w:r>
          </w:p>
        </w:tc>
        <w:tc>
          <w:tcPr>
            <w:tcW w:w="2225" w:type="dxa"/>
            <w:vAlign w:val="center"/>
          </w:tcPr>
          <w:p>
            <w:pPr>
              <w:adjustRightInd w:val="0"/>
              <w:snapToGrid w:val="0"/>
              <w:jc w:val="center"/>
              <w:rPr>
                <w:rFonts w:ascii="宋体" w:hAnsi="宋体"/>
                <w:color w:val="000000"/>
                <w:kern w:val="0"/>
              </w:rPr>
            </w:pPr>
            <w:r>
              <w:rPr>
                <w:rFonts w:ascii="宋体" w:hAnsi="宋体"/>
                <w:color w:val="000000"/>
                <w:kern w:val="0"/>
              </w:rPr>
              <w:t>第3.4.1项补充</w:t>
            </w:r>
          </w:p>
        </w:tc>
        <w:tc>
          <w:tcPr>
            <w:tcW w:w="5961" w:type="dxa"/>
            <w:gridSpan w:val="2"/>
            <w:vAlign w:val="center"/>
          </w:tcPr>
          <w:p>
            <w:pPr>
              <w:adjustRightInd w:val="0"/>
              <w:snapToGrid w:val="0"/>
              <w:ind w:firstLine="315" w:firstLineChars="150"/>
              <w:rPr>
                <w:rFonts w:ascii="宋体" w:hAnsi="宋体"/>
                <w:color w:val="000000"/>
                <w:kern w:val="0"/>
              </w:rPr>
            </w:pPr>
            <w:r>
              <w:rPr>
                <w:rFonts w:ascii="宋体" w:hAnsi="宋体"/>
                <w:color w:val="000000"/>
                <w:kern w:val="0"/>
              </w:rPr>
              <w:t>投标保证金在投标文件有效期满后30天内保持有效，招标人如果按本须知3.3.2项的规定延长了投标文件有效期，则上述担保的有效期也相应延长。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1" w:type="dxa"/>
            <w:vAlign w:val="center"/>
          </w:tcPr>
          <w:p>
            <w:pPr>
              <w:adjustRightInd w:val="0"/>
              <w:snapToGrid w:val="0"/>
              <w:jc w:val="center"/>
              <w:rPr>
                <w:rFonts w:ascii="宋体" w:hAnsi="宋体"/>
                <w:kern w:val="0"/>
              </w:rPr>
            </w:pPr>
          </w:p>
        </w:tc>
        <w:tc>
          <w:tcPr>
            <w:tcW w:w="2225" w:type="dxa"/>
            <w:vAlign w:val="center"/>
          </w:tcPr>
          <w:p>
            <w:pPr>
              <w:adjustRightInd w:val="0"/>
              <w:snapToGrid w:val="0"/>
              <w:jc w:val="center"/>
              <w:rPr>
                <w:rFonts w:ascii="宋体" w:hAnsi="宋体"/>
                <w:color w:val="000000"/>
                <w:kern w:val="0"/>
              </w:rPr>
            </w:pPr>
            <w:r>
              <w:rPr>
                <w:rFonts w:ascii="宋体" w:hAnsi="宋体"/>
                <w:color w:val="000000"/>
                <w:kern w:val="0"/>
              </w:rPr>
              <w:t>第3.4.3项补充</w:t>
            </w:r>
          </w:p>
        </w:tc>
        <w:tc>
          <w:tcPr>
            <w:tcW w:w="5961" w:type="dxa"/>
            <w:gridSpan w:val="2"/>
            <w:vAlign w:val="center"/>
          </w:tcPr>
          <w:p>
            <w:pPr>
              <w:adjustRightInd w:val="0"/>
              <w:snapToGrid w:val="0"/>
              <w:ind w:firstLine="315" w:firstLineChars="150"/>
              <w:rPr>
                <w:rFonts w:ascii="宋体" w:hAnsi="宋体"/>
                <w:color w:val="000000"/>
                <w:kern w:val="0"/>
              </w:rPr>
            </w:pPr>
            <w:r>
              <w:rPr>
                <w:rFonts w:ascii="宋体" w:hAnsi="宋体"/>
                <w:color w:val="000000"/>
              </w:rPr>
              <w:t>非中标候选人的投标保证金在中标通知书发出后5日内返还，中标候选人的投标保证金在签订合同后</w:t>
            </w:r>
            <w:r>
              <w:rPr>
                <w:rFonts w:hint="eastAsia" w:ascii="宋体" w:hAnsi="宋体"/>
                <w:color w:val="000000"/>
              </w:rPr>
              <w:t>5</w:t>
            </w:r>
            <w:r>
              <w:rPr>
                <w:rFonts w:ascii="宋体" w:hAnsi="宋体"/>
                <w:color w:val="000000"/>
              </w:rPr>
              <w:t>日内返还。</w:t>
            </w:r>
            <w:r>
              <w:rPr>
                <w:rFonts w:ascii="宋体" w:hAnsi="宋体"/>
                <w:color w:val="000000"/>
                <w:kern w:val="0"/>
              </w:rPr>
              <w:t>同时向投标人退还投标保证金自投标保证金递交截止日期至发出投标人退还保证金通知期间银行同期存款利息</w:t>
            </w:r>
            <w:r>
              <w:rPr>
                <w:rFonts w:hint="eastAsia" w:ascii="宋体" w:hAnsi="宋体"/>
                <w:color w:val="000000"/>
                <w:kern w:val="0"/>
              </w:rPr>
              <w:t>并扣除汇款手续费</w:t>
            </w:r>
            <w:r>
              <w:rPr>
                <w:rFonts w:ascii="宋体" w:hAnsi="宋体"/>
                <w:color w:val="000000"/>
                <w:kern w:val="0"/>
              </w:rPr>
              <w:t>。投标保证金退还至投标人的基本账户。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1" w:type="dxa"/>
            <w:vAlign w:val="center"/>
          </w:tcPr>
          <w:p>
            <w:pPr>
              <w:jc w:val="center"/>
              <w:rPr>
                <w:rFonts w:ascii="宋体" w:hAnsi="宋体"/>
                <w:kern w:val="0"/>
              </w:rPr>
            </w:pPr>
            <w:r>
              <w:rPr>
                <w:rFonts w:ascii="宋体" w:hAnsi="宋体"/>
                <w:kern w:val="0"/>
              </w:rPr>
              <w:t>3.5</w:t>
            </w:r>
          </w:p>
        </w:tc>
        <w:tc>
          <w:tcPr>
            <w:tcW w:w="2225" w:type="dxa"/>
            <w:vAlign w:val="center"/>
          </w:tcPr>
          <w:p>
            <w:pPr>
              <w:adjustRightInd w:val="0"/>
              <w:snapToGrid w:val="0"/>
              <w:jc w:val="center"/>
              <w:rPr>
                <w:rFonts w:ascii="宋体" w:hAnsi="宋体"/>
                <w:kern w:val="0"/>
              </w:rPr>
            </w:pPr>
            <w:r>
              <w:rPr>
                <w:rFonts w:ascii="宋体" w:hAnsi="宋体"/>
                <w:kern w:val="0"/>
              </w:rPr>
              <w:t>第</w:t>
            </w:r>
            <w:r>
              <w:rPr>
                <w:rFonts w:ascii="宋体" w:hAnsi="宋体"/>
              </w:rPr>
              <w:t>3.5.1项修改</w:t>
            </w:r>
          </w:p>
        </w:tc>
        <w:tc>
          <w:tcPr>
            <w:tcW w:w="5961" w:type="dxa"/>
            <w:gridSpan w:val="2"/>
            <w:vAlign w:val="center"/>
          </w:tcPr>
          <w:p>
            <w:pPr>
              <w:adjustRightInd w:val="0"/>
              <w:snapToGrid w:val="0"/>
              <w:spacing w:line="240" w:lineRule="exact"/>
              <w:ind w:left="57" w:leftChars="27" w:firstLine="220" w:firstLineChars="105"/>
              <w:jc w:val="left"/>
              <w:rPr>
                <w:rFonts w:ascii="宋体" w:hAnsi="宋体" w:cs="宋体"/>
              </w:rPr>
            </w:pPr>
            <w:r>
              <w:rPr>
                <w:rFonts w:ascii="宋体" w:hAnsi="宋体"/>
              </w:rPr>
              <w:t>投标人基本情况表应附企业法人营业执照副本和组织机构代码证副本（按照“三证合一”或“五证合一”登记制度进行登记的，可仅提供营业执照副本，下同）、资质证书副本、基本账户开户许可证</w:t>
            </w:r>
            <w:r>
              <w:rPr>
                <w:rFonts w:hint="eastAsia" w:ascii="宋体" w:hAnsi="宋体"/>
              </w:rPr>
              <w:t>（或基本存款账户信息）</w:t>
            </w:r>
            <w:r>
              <w:rPr>
                <w:rFonts w:ascii="宋体" w:hAnsi="宋体"/>
              </w:rPr>
              <w:t>的复印件</w:t>
            </w:r>
            <w:r>
              <w:rPr>
                <w:rFonts w:hint="eastAsia" w:ascii="宋体" w:hAnsi="宋体"/>
              </w:rPr>
              <w:t>。</w:t>
            </w:r>
          </w:p>
          <w:p>
            <w:pPr>
              <w:adjustRightInd w:val="0"/>
              <w:snapToGrid w:val="0"/>
              <w:spacing w:line="240" w:lineRule="exact"/>
              <w:ind w:left="57" w:leftChars="27" w:firstLine="220" w:firstLineChars="105"/>
              <w:jc w:val="left"/>
              <w:rPr>
                <w:rFonts w:ascii="宋体" w:hAnsi="宋体"/>
              </w:rPr>
            </w:pPr>
            <w:r>
              <w:rPr>
                <w:rFonts w:ascii="宋体" w:hAnsi="宋体"/>
              </w:rPr>
              <w:t>企业法人营业执照副本和组织机构代码证副本、资质证书副本、基本账户开户许可证</w:t>
            </w:r>
            <w:r>
              <w:rPr>
                <w:rFonts w:hint="eastAsia" w:ascii="宋体" w:hAnsi="宋体" w:cs="宋体"/>
                <w:kern w:val="0"/>
                <w:szCs w:val="20"/>
              </w:rPr>
              <w:t>（或基本存款账户信息）</w:t>
            </w:r>
            <w:r>
              <w:rPr>
                <w:rFonts w:ascii="宋体" w:hAnsi="宋体"/>
              </w:rPr>
              <w:t>的复印件应提供全本（证书封面、封底、空白页除外），应包括投标人名称、投标人其他相关信息、颁发机构名称、投标人信息变更情况等关键页在内，并逐页加盖投标人单位章。</w:t>
            </w:r>
          </w:p>
          <w:p>
            <w:pPr>
              <w:adjustRightInd w:val="0"/>
              <w:snapToGrid w:val="0"/>
              <w:spacing w:line="240" w:lineRule="exact"/>
              <w:ind w:left="57" w:leftChars="27" w:firstLine="220" w:firstLineChars="105"/>
              <w:rPr>
                <w:rFonts w:ascii="宋体" w:hAnsi="宋体"/>
              </w:rPr>
            </w:pPr>
            <w:r>
              <w:rPr>
                <w:rFonts w:ascii="宋体" w:hAnsi="宋体"/>
              </w:rPr>
              <w:t>如果投标人为联合体的，联合体各方应分别填写。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1" w:type="dxa"/>
            <w:vAlign w:val="center"/>
          </w:tcPr>
          <w:p>
            <w:pPr>
              <w:adjustRightInd w:val="0"/>
              <w:snapToGrid w:val="0"/>
              <w:jc w:val="center"/>
              <w:rPr>
                <w:rFonts w:ascii="宋体" w:hAnsi="宋体"/>
                <w:kern w:val="0"/>
              </w:rPr>
            </w:pPr>
          </w:p>
        </w:tc>
        <w:tc>
          <w:tcPr>
            <w:tcW w:w="2225" w:type="dxa"/>
            <w:vAlign w:val="center"/>
          </w:tcPr>
          <w:p>
            <w:pPr>
              <w:jc w:val="center"/>
              <w:rPr>
                <w:rFonts w:ascii="宋体" w:hAnsi="宋体"/>
                <w:kern w:val="0"/>
              </w:rPr>
            </w:pPr>
            <w:r>
              <w:rPr>
                <w:rFonts w:ascii="宋体" w:hAnsi="宋体"/>
                <w:kern w:val="0"/>
              </w:rPr>
              <w:t>第</w:t>
            </w:r>
            <w:r>
              <w:rPr>
                <w:rFonts w:ascii="宋体" w:hAnsi="宋体"/>
              </w:rPr>
              <w:t>3.5.3项</w:t>
            </w:r>
            <w:r>
              <w:rPr>
                <w:rFonts w:hint="eastAsia" w:ascii="宋体" w:hAnsi="宋体"/>
                <w:kern w:val="0"/>
              </w:rPr>
              <w:t>修改</w:t>
            </w:r>
          </w:p>
        </w:tc>
        <w:tc>
          <w:tcPr>
            <w:tcW w:w="5961" w:type="dxa"/>
            <w:gridSpan w:val="2"/>
            <w:vAlign w:val="center"/>
          </w:tcPr>
          <w:p>
            <w:pPr>
              <w:adjustRightInd w:val="0"/>
              <w:snapToGrid w:val="0"/>
              <w:ind w:left="57" w:leftChars="27" w:firstLine="220" w:firstLineChars="105"/>
              <w:rPr>
                <w:rFonts w:ascii="宋体" w:hAnsi="宋体"/>
              </w:rPr>
            </w:pPr>
            <w:r>
              <w:rPr>
                <w:rFonts w:hint="eastAsia" w:ascii="宋体" w:hAnsi="宋体"/>
              </w:rPr>
              <w:t>1、设计业绩：</w:t>
            </w:r>
          </w:p>
          <w:p>
            <w:pPr>
              <w:adjustRightInd w:val="0"/>
              <w:snapToGrid w:val="0"/>
              <w:ind w:left="57" w:leftChars="27" w:firstLine="220" w:firstLineChars="105"/>
            </w:pPr>
            <w:r>
              <w:rPr>
                <w:rFonts w:hint="eastAsia" w:ascii="宋体" w:hAnsi="宋体"/>
                <w:color w:val="000000"/>
              </w:rPr>
              <w:t>“近年完成的类似项目情况表”后应附</w:t>
            </w:r>
            <w:r>
              <w:rPr>
                <w:rFonts w:hint="eastAsia"/>
              </w:rPr>
              <w:t>相关业绩的中标通知书、合同协议书，每张表格只填写一个项目，并标明序号。如果投标人提供的上述证明材料均无法体现出“投标人须知附录3”中相应要求的，应提供由业主出具的证明材料（并加盖业主公章）。</w:t>
            </w:r>
          </w:p>
          <w:p>
            <w:pPr>
              <w:adjustRightInd w:val="0"/>
              <w:snapToGrid w:val="0"/>
              <w:ind w:left="57" w:leftChars="27" w:firstLine="221" w:firstLineChars="105"/>
              <w:rPr>
                <w:rFonts w:ascii="宋体" w:hAnsi="宋体"/>
                <w:b/>
                <w:bCs/>
              </w:rPr>
            </w:pPr>
            <w:r>
              <w:rPr>
                <w:rFonts w:hint="eastAsia" w:ascii="宋体" w:hAnsi="宋体"/>
                <w:b/>
                <w:bCs/>
              </w:rPr>
              <w:t>设计业绩时间认定，以签订合同时间为准。</w:t>
            </w:r>
          </w:p>
          <w:p>
            <w:pPr>
              <w:adjustRightInd w:val="0"/>
              <w:snapToGrid w:val="0"/>
              <w:ind w:left="57" w:leftChars="27" w:firstLine="220" w:firstLineChars="105"/>
              <w:rPr>
                <w:rFonts w:ascii="宋体" w:hAnsi="宋体"/>
              </w:rPr>
            </w:pPr>
            <w:r>
              <w:rPr>
                <w:rFonts w:hint="eastAsia" w:ascii="宋体" w:hAnsi="宋体"/>
              </w:rPr>
              <w:t>2、工程总承包业绩：</w:t>
            </w:r>
          </w:p>
          <w:p>
            <w:pPr>
              <w:adjustRightInd w:val="0"/>
              <w:snapToGrid w:val="0"/>
              <w:spacing w:line="280" w:lineRule="exact"/>
              <w:jc w:val="left"/>
              <w:rPr>
                <w:rFonts w:ascii="宋体" w:hAnsi="宋体"/>
              </w:rPr>
            </w:pPr>
            <w:r>
              <w:rPr>
                <w:rFonts w:hint="eastAsia" w:ascii="宋体" w:hAnsi="宋体"/>
              </w:rPr>
              <w:t xml:space="preserve"> “近年完成的类似项目情况表”</w:t>
            </w:r>
            <w:r>
              <w:rPr>
                <w:rFonts w:hint="eastAsia" w:ascii="宋体" w:hAnsi="宋体" w:cs="宋体"/>
              </w:rPr>
              <w:t xml:space="preserve"> 后应附</w:t>
            </w:r>
            <w:r>
              <w:rPr>
                <w:rFonts w:hint="eastAsia" w:ascii="宋体" w:hAnsi="宋体"/>
              </w:rPr>
              <w:t>相关业绩的中标通知书、合同协议书、工程接收证书(工程竣工验收证书) （如完工），每张表格只填写一个项目，并标明序号。如果投标人提供的上述证明材料均无法体现出“投标人须知附录3”中相应要求的，应提供由业主出具的证明材料（并加盖业主公章）。</w:t>
            </w:r>
          </w:p>
          <w:p>
            <w:pPr>
              <w:adjustRightInd w:val="0"/>
              <w:snapToGrid w:val="0"/>
              <w:ind w:left="57" w:leftChars="27" w:firstLine="221" w:firstLineChars="105"/>
              <w:rPr>
                <w:rFonts w:ascii="宋体" w:hAnsi="宋体"/>
                <w:b/>
                <w:bCs/>
              </w:rPr>
            </w:pPr>
            <w:r>
              <w:rPr>
                <w:rFonts w:hint="eastAsia" w:ascii="宋体" w:hAnsi="宋体"/>
                <w:b/>
                <w:bCs/>
              </w:rPr>
              <w:t>工程总承包业绩时间认定，以签订合同的时间为准。</w:t>
            </w:r>
          </w:p>
          <w:p>
            <w:pPr>
              <w:adjustRightInd w:val="0"/>
              <w:snapToGrid w:val="0"/>
              <w:ind w:left="57" w:leftChars="27" w:firstLine="220" w:firstLineChars="105"/>
              <w:rPr>
                <w:rFonts w:ascii="宋体" w:hAnsi="宋体"/>
                <w:color w:val="000000"/>
              </w:rPr>
            </w:pPr>
            <w:r>
              <w:rPr>
                <w:rFonts w:hint="eastAsia" w:ascii="宋体" w:hAnsi="宋体" w:cs="宋体"/>
                <w:kern w:val="0"/>
                <w:szCs w:val="20"/>
              </w:rPr>
              <w:t>每张表格只填写一个项目，并标明序号。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1" w:type="dxa"/>
            <w:vAlign w:val="center"/>
          </w:tcPr>
          <w:p>
            <w:pPr>
              <w:adjustRightInd w:val="0"/>
              <w:snapToGrid w:val="0"/>
              <w:jc w:val="center"/>
              <w:rPr>
                <w:rFonts w:ascii="宋体" w:hAnsi="宋体"/>
                <w:kern w:val="0"/>
              </w:rPr>
            </w:pPr>
          </w:p>
        </w:tc>
        <w:tc>
          <w:tcPr>
            <w:tcW w:w="2225" w:type="dxa"/>
            <w:vAlign w:val="center"/>
          </w:tcPr>
          <w:p>
            <w:pPr>
              <w:jc w:val="center"/>
              <w:rPr>
                <w:rFonts w:ascii="宋体" w:hAnsi="宋体"/>
                <w:kern w:val="0"/>
              </w:rPr>
            </w:pPr>
            <w:r>
              <w:rPr>
                <w:rFonts w:ascii="宋体" w:hAnsi="宋体"/>
                <w:kern w:val="0"/>
              </w:rPr>
              <w:t>删除第3.5.6项</w:t>
            </w:r>
          </w:p>
        </w:tc>
        <w:tc>
          <w:tcPr>
            <w:tcW w:w="5961" w:type="dxa"/>
            <w:gridSpan w:val="2"/>
            <w:vAlign w:val="center"/>
          </w:tcPr>
          <w:p>
            <w:pPr>
              <w:adjustRightInd w:val="0"/>
              <w:snapToGrid w:val="0"/>
              <w:ind w:left="57" w:leftChars="27" w:firstLine="220" w:firstLineChars="105"/>
              <w:rPr>
                <w:rFonts w:ascii="宋体" w:hAnsi="宋体"/>
              </w:rPr>
            </w:pPr>
            <w:r>
              <w:rPr>
                <w:rFonts w:ascii="宋体" w:hAnsi="宋体"/>
              </w:rPr>
              <w:t>投标人须知前附表规定接受联合体投标的，本章第3.5.1项至第3.5.5项规定的表格和资料应包括联合体各方相关情况。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1" w:type="dxa"/>
            <w:vAlign w:val="center"/>
          </w:tcPr>
          <w:p>
            <w:pPr>
              <w:adjustRightInd w:val="0"/>
              <w:snapToGrid w:val="0"/>
              <w:jc w:val="center"/>
              <w:rPr>
                <w:rFonts w:ascii="宋体" w:hAnsi="宋体"/>
                <w:kern w:val="0"/>
              </w:rPr>
            </w:pPr>
          </w:p>
        </w:tc>
        <w:tc>
          <w:tcPr>
            <w:tcW w:w="2225" w:type="dxa"/>
            <w:vAlign w:val="center"/>
          </w:tcPr>
          <w:p>
            <w:pPr>
              <w:jc w:val="center"/>
              <w:rPr>
                <w:rFonts w:ascii="宋体" w:hAnsi="宋体"/>
                <w:kern w:val="0"/>
              </w:rPr>
            </w:pPr>
            <w:r>
              <w:rPr>
                <w:rFonts w:ascii="宋体" w:hAnsi="宋体"/>
                <w:kern w:val="0"/>
              </w:rPr>
              <w:t>补充第3.5.6项</w:t>
            </w:r>
          </w:p>
        </w:tc>
        <w:tc>
          <w:tcPr>
            <w:tcW w:w="5961" w:type="dxa"/>
            <w:gridSpan w:val="2"/>
            <w:vAlign w:val="center"/>
          </w:tcPr>
          <w:p>
            <w:pPr>
              <w:adjustRightInd w:val="0"/>
              <w:snapToGrid w:val="0"/>
              <w:ind w:left="57" w:leftChars="27" w:firstLine="220" w:firstLineChars="105"/>
              <w:rPr>
                <w:rFonts w:ascii="宋体" w:hAnsi="宋体"/>
              </w:rPr>
            </w:pPr>
            <w:r>
              <w:rPr>
                <w:rFonts w:hint="eastAsia" w:ascii="宋体" w:hAnsi="宋体"/>
              </w:rPr>
              <w:t>3.5.6“</w:t>
            </w:r>
            <w:r>
              <w:rPr>
                <w:rFonts w:ascii="宋体" w:hAnsi="宋体"/>
              </w:rPr>
              <w:t>投标人的信誉情况”后应附</w:t>
            </w:r>
          </w:p>
          <w:p>
            <w:pPr>
              <w:adjustRightInd w:val="0"/>
              <w:snapToGrid w:val="0"/>
              <w:ind w:left="57" w:leftChars="27" w:firstLine="220" w:firstLineChars="105"/>
              <w:rPr>
                <w:rFonts w:ascii="宋体" w:hAnsi="宋体"/>
              </w:rPr>
            </w:pPr>
            <w:r>
              <w:rPr>
                <w:rFonts w:hint="eastAsia" w:ascii="宋体" w:hAnsi="宋体"/>
              </w:rPr>
              <w:t>（1）</w:t>
            </w:r>
            <w:r>
              <w:rPr>
                <w:rFonts w:ascii="宋体" w:hAnsi="宋体"/>
              </w:rPr>
              <w:t>投标人（含联合体成员）</w:t>
            </w:r>
            <w:r>
              <w:rPr>
                <w:rFonts w:hint="eastAsia" w:ascii="宋体" w:hAnsi="宋体"/>
              </w:rPr>
              <w:t>在国家企业信用信息公示系统</w:t>
            </w:r>
            <w:r>
              <w:rPr>
                <w:rFonts w:hint="eastAsia" w:ascii="宋体" w:hAnsi="宋体"/>
                <w:color w:val="000000"/>
                <w:kern w:val="0"/>
              </w:rPr>
              <w:t>（</w:t>
            </w:r>
            <w:r>
              <w:rPr>
                <w:rFonts w:ascii="宋体" w:hAnsi="宋体"/>
                <w:color w:val="000000"/>
                <w:kern w:val="0"/>
              </w:rPr>
              <w:t>http://www.gsxt.gov.cn/）</w:t>
            </w:r>
            <w:r>
              <w:rPr>
                <w:rFonts w:hint="eastAsia" w:ascii="宋体" w:hAnsi="宋体"/>
              </w:rPr>
              <w:t>中无经营异常情况、未被列入严重违法失信企业名单</w:t>
            </w:r>
            <w:r>
              <w:rPr>
                <w:rFonts w:ascii="宋体" w:hAnsi="宋体"/>
              </w:rPr>
              <w:t>的网页截图复印件</w:t>
            </w:r>
            <w:r>
              <w:rPr>
                <w:rFonts w:hint="eastAsia" w:ascii="宋体" w:hAnsi="宋体"/>
              </w:rPr>
              <w:t>。</w:t>
            </w:r>
          </w:p>
          <w:p>
            <w:pPr>
              <w:adjustRightInd w:val="0"/>
              <w:snapToGrid w:val="0"/>
              <w:ind w:left="57" w:leftChars="27" w:firstLine="220" w:firstLineChars="105"/>
              <w:rPr>
                <w:rFonts w:ascii="宋体" w:hAnsi="宋体"/>
              </w:rPr>
            </w:pPr>
            <w:r>
              <w:rPr>
                <w:rFonts w:hint="eastAsia" w:ascii="宋体" w:hAnsi="宋体"/>
              </w:rPr>
              <w:t>（2）</w:t>
            </w:r>
            <w:r>
              <w:rPr>
                <w:rFonts w:ascii="宋体" w:hAnsi="宋体"/>
              </w:rPr>
              <w:t>投标人（含联合体成员）</w:t>
            </w:r>
            <w:r>
              <w:rPr>
                <w:rFonts w:hint="eastAsia" w:ascii="宋体" w:hAnsi="宋体"/>
              </w:rPr>
              <w:t>在“信用中国”网站</w:t>
            </w:r>
            <w:r>
              <w:rPr>
                <w:rFonts w:ascii="宋体" w:hAnsi="宋体"/>
                <w:color w:val="000000"/>
                <w:kern w:val="0"/>
              </w:rPr>
              <w:t>（http：//www.creditchina.gov.cn/）</w:t>
            </w:r>
            <w:r>
              <w:rPr>
                <w:rFonts w:hint="eastAsia" w:ascii="宋体" w:hAnsi="宋体"/>
              </w:rPr>
              <w:t>中未被列入失信被执行人名单</w:t>
            </w:r>
            <w:r>
              <w:rPr>
                <w:rFonts w:ascii="宋体" w:hAnsi="宋体"/>
              </w:rPr>
              <w:t>的网页截图复印件</w:t>
            </w:r>
            <w:r>
              <w:rPr>
                <w:rFonts w:hint="eastAsia" w:ascii="宋体" w:hAnsi="宋体"/>
              </w:rPr>
              <w:t>。</w:t>
            </w:r>
          </w:p>
          <w:p>
            <w:pPr>
              <w:adjustRightInd w:val="0"/>
              <w:snapToGrid w:val="0"/>
              <w:ind w:left="57" w:leftChars="27" w:firstLine="220" w:firstLineChars="105"/>
              <w:rPr>
                <w:rFonts w:ascii="宋体" w:hAnsi="宋体"/>
              </w:rPr>
            </w:pPr>
            <w:r>
              <w:rPr>
                <w:rFonts w:hint="eastAsia" w:ascii="宋体" w:hAnsi="宋体"/>
              </w:rPr>
              <w:t>（3）</w:t>
            </w:r>
            <w:r>
              <w:rPr>
                <w:rFonts w:ascii="宋体" w:hAnsi="宋体"/>
              </w:rPr>
              <w:t>投标人</w:t>
            </w:r>
            <w:r>
              <w:rPr>
                <w:rFonts w:hint="eastAsia" w:ascii="宋体" w:hAnsi="宋体"/>
              </w:rPr>
              <w:t>须将近三年内投标人</w:t>
            </w:r>
            <w:r>
              <w:rPr>
                <w:rFonts w:ascii="宋体" w:hAnsi="宋体"/>
              </w:rPr>
              <w:t>（含联合体成员）</w:t>
            </w:r>
            <w:r>
              <w:rPr>
                <w:rFonts w:hint="eastAsia" w:ascii="宋体" w:hAnsi="宋体"/>
              </w:rPr>
              <w:t>及其法定代表人、拟委任的项目经理、设计负责人及施工负责人无行贿犯罪行为的承诺填写在“第八章投标文件格式投标函”，并提供投标人及其法定代表人、拟委任的项目经理、设计负责人及施工负责人名单（加盖单位公章）。</w:t>
            </w:r>
          </w:p>
          <w:p>
            <w:pPr>
              <w:adjustRightInd w:val="0"/>
              <w:snapToGrid w:val="0"/>
              <w:ind w:left="57" w:leftChars="27" w:firstLine="220" w:firstLineChars="105"/>
              <w:rPr>
                <w:rFonts w:ascii="宋体" w:hAnsi="宋体"/>
              </w:rPr>
            </w:pPr>
            <w:r>
              <w:rPr>
                <w:rFonts w:hint="eastAsia" w:ascii="宋体" w:hAnsi="宋体"/>
              </w:rPr>
              <w:t>（4）</w:t>
            </w:r>
            <w:r>
              <w:rPr>
                <w:rFonts w:ascii="宋体" w:hAnsi="宋体"/>
              </w:rPr>
              <w:t>投标人（含联合体成员）</w:t>
            </w:r>
            <w:r>
              <w:rPr>
                <w:rFonts w:hint="eastAsia" w:ascii="宋体" w:hAnsi="宋体"/>
              </w:rPr>
              <w:t>须说明其交通运输部202</w:t>
            </w:r>
            <w:r>
              <w:rPr>
                <w:rFonts w:hint="eastAsia" w:ascii="宋体" w:hAnsi="宋体"/>
                <w:lang w:val="en-US" w:eastAsia="zh-CN"/>
              </w:rPr>
              <w:t>1</w:t>
            </w:r>
            <w:r>
              <w:rPr>
                <w:rFonts w:hint="eastAsia" w:ascii="宋体" w:hAnsi="宋体"/>
              </w:rPr>
              <w:t>年度公路建设市场全国综合信用评价结果[请登录全国公路建设市场信用管理系统（http://glxy.mot.gov.cn/）下载（或截屏）打印，并加盖公章。] 及2021年度天津市公路建设市场从业企业信用评价[请登录天津市交通运输委员会官网(http://jtys.tj.gov.cn/) “政务公开-通知公告”下载打印《关于公布关于公布2021年度天津市公路建设市场从业企业及人员信用评价结果的通知》，并加盖公章。]</w:t>
            </w:r>
          </w:p>
          <w:p>
            <w:pPr>
              <w:adjustRightInd w:val="0"/>
              <w:snapToGrid w:val="0"/>
              <w:ind w:left="57" w:leftChars="27" w:firstLine="220" w:firstLineChars="105"/>
              <w:rPr>
                <w:rFonts w:ascii="宋体" w:hAnsi="宋体"/>
              </w:rPr>
            </w:pPr>
            <w:r>
              <w:rPr>
                <w:rFonts w:hint="eastAsia" w:ascii="宋体" w:hAnsi="宋体"/>
              </w:rPr>
              <w:t>若为联合体投标，则以设计企业信用评价为准；若为非联合体投标，则以投标人在设计企业信用评价中的结果为准。</w:t>
            </w:r>
          </w:p>
          <w:p>
            <w:pPr>
              <w:adjustRightInd w:val="0"/>
              <w:snapToGrid w:val="0"/>
              <w:ind w:left="57" w:leftChars="27" w:firstLine="220" w:firstLineChars="105"/>
              <w:rPr>
                <w:rFonts w:ascii="宋体" w:hAnsi="宋体"/>
              </w:rPr>
            </w:pPr>
            <w:r>
              <w:rPr>
                <w:rFonts w:hint="eastAsia" w:ascii="宋体" w:hAnsi="宋体"/>
              </w:rPr>
              <w:t>公路建设市场信用等级评价以2021年度天津市公路建设市场从业企业信用评价结果为准；未参与2021年度天津市公路建设市场从业企业信用评价的单位，以交通运输部202</w:t>
            </w:r>
            <w:r>
              <w:rPr>
                <w:rFonts w:hint="eastAsia" w:ascii="宋体" w:hAnsi="宋体"/>
                <w:lang w:val="en-US" w:eastAsia="zh-CN"/>
              </w:rPr>
              <w:t>1</w:t>
            </w:r>
            <w:r>
              <w:rPr>
                <w:rFonts w:hint="eastAsia" w:ascii="宋体" w:hAnsi="宋体"/>
              </w:rPr>
              <w:t>年度公路建设市场全国综合信用评价结果为准；交通运输部202</w:t>
            </w:r>
            <w:r>
              <w:rPr>
                <w:rFonts w:hint="eastAsia" w:ascii="宋体" w:hAnsi="宋体"/>
                <w:lang w:val="en-US" w:eastAsia="zh-CN"/>
              </w:rPr>
              <w:t>1</w:t>
            </w:r>
            <w:r>
              <w:rPr>
                <w:rFonts w:hint="eastAsia" w:ascii="宋体" w:hAnsi="宋体"/>
              </w:rPr>
              <w:t>年度公路建设市场全国综合信用评价结果和2021年度天津市公路建设市场从业企业信用评价均未参与的（须附未参与评价的说明并加盖公章），若无不良信用记录的，视同为A级。（若未均参与评价，须附未参与评价的说明并加盖公章，并在说明中写明属于以下哪种情况：1、2021年度天津市公路建设市场从业企业信用评价未参与或交通运输部202</w:t>
            </w:r>
            <w:r>
              <w:rPr>
                <w:rFonts w:hint="eastAsia" w:ascii="宋体" w:hAnsi="宋体"/>
                <w:lang w:val="en-US" w:eastAsia="zh-CN"/>
              </w:rPr>
              <w:t>1</w:t>
            </w:r>
            <w:r>
              <w:rPr>
                <w:rFonts w:hint="eastAsia" w:ascii="宋体" w:hAnsi="宋体"/>
              </w:rPr>
              <w:t>年度公路建设市场全国综合信用评价结果未参与；2、交通运输部202</w:t>
            </w:r>
            <w:r>
              <w:rPr>
                <w:rFonts w:hint="eastAsia" w:ascii="宋体" w:hAnsi="宋体"/>
                <w:lang w:val="en-US" w:eastAsia="zh-CN"/>
              </w:rPr>
              <w:t>1</w:t>
            </w:r>
            <w:r>
              <w:rPr>
                <w:rFonts w:hint="eastAsia" w:ascii="宋体" w:hAnsi="宋体"/>
              </w:rPr>
              <w:t>年度公路建设市场全国综合信用评价结果和2021年度天津市公路建设市场从业企业信用评价均未参与。格式自拟。）</w:t>
            </w:r>
          </w:p>
          <w:p>
            <w:pPr>
              <w:adjustRightInd w:val="0"/>
              <w:snapToGrid w:val="0"/>
              <w:ind w:left="57" w:leftChars="27" w:firstLine="220" w:firstLineChars="105"/>
              <w:rPr>
                <w:rFonts w:ascii="宋体" w:hAnsi="宋体"/>
              </w:rPr>
            </w:pPr>
            <w:r>
              <w:rPr>
                <w:rFonts w:hint="eastAsia" w:ascii="宋体" w:hAnsi="宋体"/>
              </w:rPr>
              <w:t>本项目要求设计企业在交通运输部202</w:t>
            </w:r>
            <w:r>
              <w:rPr>
                <w:rFonts w:hint="eastAsia" w:ascii="宋体" w:hAnsi="宋体"/>
                <w:lang w:val="en-US" w:eastAsia="zh-CN"/>
              </w:rPr>
              <w:t>1</w:t>
            </w:r>
            <w:r>
              <w:rPr>
                <w:rFonts w:hint="eastAsia" w:ascii="宋体" w:hAnsi="宋体"/>
              </w:rPr>
              <w:t>年度公路建设市场全国综合信用评价结果或2021年度天津市公路建设市场从业企业信用评价被评为</w:t>
            </w:r>
            <w:r>
              <w:rPr>
                <w:rFonts w:ascii="宋体" w:hAnsi="宋体"/>
              </w:rPr>
              <w:t>C</w:t>
            </w:r>
            <w:r>
              <w:rPr>
                <w:rFonts w:hint="eastAsia" w:ascii="宋体" w:hAnsi="宋体"/>
              </w:rPr>
              <w:t>级或以上。若为联合体投标，则以设计企业信用评价为准；若为非联合体投标，则以投标人在设计企业信用评价中的结果为准。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1" w:type="dxa"/>
            <w:vAlign w:val="center"/>
          </w:tcPr>
          <w:p>
            <w:pPr>
              <w:adjustRightInd w:val="0"/>
              <w:snapToGrid w:val="0"/>
              <w:jc w:val="center"/>
              <w:rPr>
                <w:rFonts w:ascii="宋体" w:hAnsi="宋体"/>
                <w:kern w:val="0"/>
              </w:rPr>
            </w:pPr>
          </w:p>
        </w:tc>
        <w:tc>
          <w:tcPr>
            <w:tcW w:w="2225" w:type="dxa"/>
            <w:vAlign w:val="center"/>
          </w:tcPr>
          <w:p>
            <w:pPr>
              <w:adjustRightInd w:val="0"/>
              <w:snapToGrid w:val="0"/>
              <w:jc w:val="center"/>
              <w:rPr>
                <w:rFonts w:ascii="宋体" w:hAnsi="宋体"/>
                <w:kern w:val="0"/>
              </w:rPr>
            </w:pPr>
            <w:r>
              <w:rPr>
                <w:rFonts w:ascii="宋体" w:hAnsi="宋体"/>
                <w:kern w:val="0"/>
              </w:rPr>
              <w:t>补充第</w:t>
            </w:r>
            <w:r>
              <w:rPr>
                <w:rFonts w:ascii="宋体" w:hAnsi="宋体"/>
              </w:rPr>
              <w:t>3.5.7项</w:t>
            </w:r>
          </w:p>
        </w:tc>
        <w:tc>
          <w:tcPr>
            <w:tcW w:w="5961" w:type="dxa"/>
            <w:gridSpan w:val="2"/>
            <w:vAlign w:val="center"/>
          </w:tcPr>
          <w:p>
            <w:pPr>
              <w:adjustRightInd w:val="0"/>
              <w:snapToGrid w:val="0"/>
              <w:ind w:left="57" w:leftChars="27" w:firstLine="220" w:firstLineChars="105"/>
              <w:rPr>
                <w:rFonts w:ascii="宋体" w:hAnsi="宋体"/>
              </w:rPr>
            </w:pPr>
            <w:r>
              <w:rPr>
                <w:rFonts w:hint="eastAsia" w:ascii="宋体" w:hAnsi="宋体"/>
              </w:rPr>
              <w:t>3.5.7</w:t>
            </w:r>
            <w:r>
              <w:rPr>
                <w:rFonts w:ascii="宋体" w:hAnsi="宋体"/>
              </w:rPr>
              <w:t>“</w:t>
            </w:r>
            <w:r>
              <w:rPr>
                <w:rFonts w:hint="eastAsia" w:ascii="宋体" w:hAnsi="宋体" w:cs="宋体"/>
              </w:rPr>
              <w:t>主要人员简历表</w:t>
            </w:r>
            <w:r>
              <w:rPr>
                <w:rFonts w:ascii="宋体" w:hAnsi="宋体"/>
              </w:rPr>
              <w:t>”</w:t>
            </w:r>
            <w:r>
              <w:rPr>
                <w:rFonts w:hint="eastAsia" w:ascii="宋体" w:hAnsi="宋体"/>
              </w:rPr>
              <w:t>应附项目经理、设计负责人和施工负责人的身份证、职称资格证书以及资格审查条件所要求的其他相关证书及证明材料的复印件，投标人所属社保机构出具的拟委任的项目经理、设计负责人和施工负责人的社保缴费证明</w:t>
            </w:r>
            <w:r>
              <w:rPr>
                <w:kern w:val="0"/>
              </w:rPr>
              <w:t>（包括但不限于投标人在社保系统打印的本单位人员缴费明细）</w:t>
            </w:r>
            <w:r>
              <w:rPr>
                <w:rFonts w:hint="eastAsia" w:ascii="宋体" w:hAnsi="宋体"/>
              </w:rPr>
              <w:t>或其他能够证明拟委任的项目经理、设计负责人和施工负责人参加社保的有效证明材料复印件。</w:t>
            </w:r>
          </w:p>
          <w:p>
            <w:pPr>
              <w:adjustRightInd w:val="0"/>
              <w:snapToGrid w:val="0"/>
              <w:ind w:left="57" w:leftChars="27" w:firstLine="420" w:firstLineChars="200"/>
              <w:rPr>
                <w:rFonts w:ascii="宋体" w:hAnsi="宋体"/>
              </w:rPr>
            </w:pPr>
            <w:r>
              <w:rPr>
                <w:rFonts w:hint="eastAsia" w:ascii="宋体" w:hAnsi="宋体"/>
              </w:rPr>
              <w:t>上述人员的身份证、职称资格证书及各种证明材料的复印件中姓名应完全一致。名称不一致的，按未提供证件或证明处理。</w:t>
            </w:r>
          </w:p>
          <w:p>
            <w:pPr>
              <w:adjustRightInd w:val="0"/>
              <w:snapToGrid w:val="0"/>
              <w:ind w:left="57" w:leftChars="27" w:firstLine="422" w:firstLineChars="200"/>
              <w:rPr>
                <w:rFonts w:ascii="宋体" w:hAnsi="宋体"/>
                <w:b/>
              </w:rPr>
            </w:pPr>
            <w:r>
              <w:rPr>
                <w:rFonts w:hint="eastAsia" w:ascii="宋体" w:hAnsi="宋体"/>
                <w:b/>
              </w:rPr>
              <w:t>相关人员社保缴费证明时间为20</w:t>
            </w:r>
            <w:r>
              <w:rPr>
                <w:rFonts w:ascii="宋体" w:hAnsi="宋体"/>
                <w:b/>
              </w:rPr>
              <w:t>2</w:t>
            </w:r>
            <w:r>
              <w:rPr>
                <w:rFonts w:hint="eastAsia" w:ascii="宋体" w:hAnsi="宋体"/>
                <w:b/>
              </w:rPr>
              <w:t>2</w:t>
            </w:r>
            <w:r>
              <w:rPr>
                <w:rFonts w:hint="eastAsia" w:ascii="宋体" w:hAnsi="宋体"/>
                <w:b/>
                <w:lang w:val="en-US" w:eastAsia="zh-CN"/>
              </w:rPr>
              <w:t>年</w:t>
            </w:r>
            <w:r>
              <w:rPr>
                <w:rFonts w:hint="eastAsia" w:ascii="宋体" w:hAnsi="宋体"/>
                <w:b/>
              </w:rPr>
              <w:t>7月至202</w:t>
            </w:r>
            <w:r>
              <w:rPr>
                <w:rFonts w:hint="eastAsia" w:ascii="宋体" w:hAnsi="宋体"/>
                <w:b/>
                <w:lang w:val="en-US" w:eastAsia="zh-CN"/>
              </w:rPr>
              <w:t>2</w:t>
            </w:r>
            <w:r>
              <w:rPr>
                <w:rFonts w:hint="eastAsia" w:ascii="宋体" w:hAnsi="宋体"/>
                <w:b/>
              </w:rPr>
              <w:t>年1</w:t>
            </w:r>
            <w:r>
              <w:rPr>
                <w:rFonts w:hint="eastAsia" w:ascii="宋体" w:hAnsi="宋体"/>
                <w:b/>
                <w:lang w:val="en-US" w:eastAsia="zh-CN"/>
              </w:rPr>
              <w:t>2</w:t>
            </w:r>
            <w:r>
              <w:rPr>
                <w:rFonts w:hint="eastAsia" w:ascii="宋体" w:hAnsi="宋体"/>
                <w:b/>
              </w:rPr>
              <w:t>月。</w:t>
            </w:r>
          </w:p>
          <w:p>
            <w:pPr>
              <w:adjustRightInd w:val="0"/>
              <w:snapToGrid w:val="0"/>
              <w:ind w:left="57" w:leftChars="27" w:firstLine="432" w:firstLineChars="205"/>
              <w:rPr>
                <w:rFonts w:ascii="宋体" w:hAnsi="宋体"/>
              </w:rPr>
            </w:pPr>
            <w:r>
              <w:rPr>
                <w:rFonts w:hint="eastAsia" w:ascii="宋体" w:hAnsi="宋体"/>
                <w:b/>
              </w:rPr>
              <w:t>如施工负责人目前仍在其他项目上任职，则投标人应提供承诺上述人员能够从该项目撤离的书面证明材料原件。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1" w:type="dxa"/>
            <w:vAlign w:val="center"/>
          </w:tcPr>
          <w:p>
            <w:pPr>
              <w:adjustRightInd w:val="0"/>
              <w:snapToGrid w:val="0"/>
              <w:jc w:val="center"/>
              <w:rPr>
                <w:rFonts w:ascii="宋体" w:hAnsi="宋体"/>
                <w:kern w:val="0"/>
              </w:rPr>
            </w:pPr>
          </w:p>
        </w:tc>
        <w:tc>
          <w:tcPr>
            <w:tcW w:w="2225" w:type="dxa"/>
            <w:vAlign w:val="center"/>
          </w:tcPr>
          <w:p>
            <w:pPr>
              <w:adjustRightInd w:val="0"/>
              <w:snapToGrid w:val="0"/>
              <w:jc w:val="center"/>
              <w:rPr>
                <w:rFonts w:ascii="宋体" w:hAnsi="宋体"/>
              </w:rPr>
            </w:pPr>
            <w:r>
              <w:rPr>
                <w:rFonts w:ascii="宋体" w:hAnsi="宋体"/>
              </w:rPr>
              <w:t>补充第3.5.8项</w:t>
            </w:r>
          </w:p>
        </w:tc>
        <w:tc>
          <w:tcPr>
            <w:tcW w:w="5961" w:type="dxa"/>
            <w:gridSpan w:val="2"/>
            <w:vAlign w:val="center"/>
          </w:tcPr>
          <w:p>
            <w:pPr>
              <w:adjustRightInd w:val="0"/>
              <w:snapToGrid w:val="0"/>
              <w:ind w:left="57" w:leftChars="27" w:firstLine="220" w:firstLineChars="105"/>
              <w:rPr>
                <w:rFonts w:ascii="宋体" w:hAnsi="宋体"/>
              </w:rPr>
            </w:pPr>
            <w:r>
              <w:rPr>
                <w:rFonts w:hint="eastAsia" w:ascii="宋体" w:hAnsi="宋体"/>
              </w:rPr>
              <w:t>3.5.8</w:t>
            </w:r>
            <w:r>
              <w:rPr>
                <w:rFonts w:ascii="宋体" w:hAnsi="宋体"/>
              </w:rPr>
              <w:t>投标人须知前附表规定接受联合体投标的，本章第3.5.1项至第3.5.7项规定的表格和资料应包括联合体各方相关情况。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1" w:type="dxa"/>
            <w:vAlign w:val="center"/>
          </w:tcPr>
          <w:p>
            <w:pPr>
              <w:adjustRightInd w:val="0"/>
              <w:snapToGrid w:val="0"/>
              <w:jc w:val="center"/>
              <w:rPr>
                <w:rFonts w:ascii="宋体" w:hAnsi="宋体"/>
                <w:kern w:val="0"/>
              </w:rPr>
            </w:pPr>
          </w:p>
        </w:tc>
        <w:tc>
          <w:tcPr>
            <w:tcW w:w="2225" w:type="dxa"/>
            <w:vAlign w:val="center"/>
          </w:tcPr>
          <w:p>
            <w:pPr>
              <w:adjustRightInd w:val="0"/>
              <w:snapToGrid w:val="0"/>
              <w:jc w:val="center"/>
              <w:rPr>
                <w:rFonts w:ascii="宋体" w:hAnsi="宋体"/>
              </w:rPr>
            </w:pPr>
            <w:r>
              <w:rPr>
                <w:rFonts w:hint="eastAsia" w:ascii="宋体" w:hAnsi="宋体"/>
              </w:rPr>
              <w:t>补充</w:t>
            </w:r>
            <w:r>
              <w:rPr>
                <w:rFonts w:ascii="宋体" w:hAnsi="宋体"/>
              </w:rPr>
              <w:t>第3.5.9项</w:t>
            </w:r>
          </w:p>
        </w:tc>
        <w:tc>
          <w:tcPr>
            <w:tcW w:w="5961" w:type="dxa"/>
            <w:gridSpan w:val="2"/>
            <w:vAlign w:val="center"/>
          </w:tcPr>
          <w:p>
            <w:pPr>
              <w:adjustRightInd w:val="0"/>
              <w:snapToGrid w:val="0"/>
              <w:ind w:left="57" w:leftChars="27" w:firstLine="220" w:firstLineChars="105"/>
              <w:rPr>
                <w:rFonts w:ascii="宋体" w:hAnsi="宋体"/>
              </w:rPr>
            </w:pPr>
            <w:r>
              <w:rPr>
                <w:rFonts w:ascii="宋体" w:hAnsi="宋体"/>
              </w:rPr>
              <w:t>3.5.9除合同条款约定的特殊情形外，投标人在投标文件中填报的项目经理、设计负责人和施工负责人不允许更换。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1" w:type="dxa"/>
            <w:vAlign w:val="center"/>
          </w:tcPr>
          <w:p>
            <w:pPr>
              <w:adjustRightInd w:val="0"/>
              <w:snapToGrid w:val="0"/>
              <w:jc w:val="center"/>
              <w:rPr>
                <w:rFonts w:ascii="宋体" w:hAnsi="宋体"/>
                <w:kern w:val="0"/>
              </w:rPr>
            </w:pPr>
          </w:p>
        </w:tc>
        <w:tc>
          <w:tcPr>
            <w:tcW w:w="2225" w:type="dxa"/>
            <w:vAlign w:val="center"/>
          </w:tcPr>
          <w:p>
            <w:pPr>
              <w:adjustRightInd w:val="0"/>
              <w:snapToGrid w:val="0"/>
              <w:jc w:val="center"/>
              <w:rPr>
                <w:rFonts w:ascii="宋体" w:hAnsi="宋体"/>
              </w:rPr>
            </w:pPr>
            <w:r>
              <w:rPr>
                <w:rFonts w:hint="eastAsia" w:ascii="宋体" w:hAnsi="宋体"/>
              </w:rPr>
              <w:t>补充</w:t>
            </w:r>
            <w:r>
              <w:rPr>
                <w:rFonts w:ascii="宋体" w:hAnsi="宋体"/>
              </w:rPr>
              <w:t>第3.5.</w:t>
            </w:r>
            <w:r>
              <w:rPr>
                <w:rFonts w:hint="eastAsia" w:ascii="宋体" w:hAnsi="宋体"/>
              </w:rPr>
              <w:t>10</w:t>
            </w:r>
            <w:r>
              <w:rPr>
                <w:rFonts w:ascii="宋体" w:hAnsi="宋体"/>
              </w:rPr>
              <w:t>项</w:t>
            </w:r>
          </w:p>
        </w:tc>
        <w:tc>
          <w:tcPr>
            <w:tcW w:w="5961" w:type="dxa"/>
            <w:gridSpan w:val="2"/>
            <w:vAlign w:val="center"/>
          </w:tcPr>
          <w:p>
            <w:pPr>
              <w:adjustRightInd w:val="0"/>
              <w:snapToGrid w:val="0"/>
              <w:ind w:left="57" w:leftChars="27" w:firstLine="220" w:firstLineChars="105"/>
              <w:rPr>
                <w:rFonts w:ascii="宋体" w:hAnsi="宋体"/>
              </w:rPr>
            </w:pPr>
            <w:r>
              <w:rPr>
                <w:rFonts w:ascii="宋体" w:hAnsi="宋体"/>
              </w:rPr>
              <w:t>3.5.1</w:t>
            </w:r>
            <w:r>
              <w:rPr>
                <w:rFonts w:hint="eastAsia" w:ascii="宋体" w:hAnsi="宋体"/>
              </w:rPr>
              <w:t>0招标人有权核查投标人在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担保中扣除不超过10%签约合同价的金额作为违约金。同时招标人将投标人上述弄虚作假行为上报省级交通运输主管部门，作为不良记录纳入公路建设市场信用信息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1" w:type="dxa"/>
            <w:vAlign w:val="center"/>
          </w:tcPr>
          <w:p>
            <w:pPr>
              <w:adjustRightInd w:val="0"/>
              <w:snapToGrid w:val="0"/>
              <w:jc w:val="center"/>
              <w:rPr>
                <w:rFonts w:ascii="宋体" w:hAnsi="宋体"/>
              </w:rPr>
            </w:pPr>
            <w:r>
              <w:rPr>
                <w:rFonts w:ascii="宋体" w:hAnsi="宋体"/>
              </w:rPr>
              <w:t>3.7</w:t>
            </w:r>
          </w:p>
        </w:tc>
        <w:tc>
          <w:tcPr>
            <w:tcW w:w="2225" w:type="dxa"/>
            <w:vAlign w:val="center"/>
          </w:tcPr>
          <w:p>
            <w:pPr>
              <w:adjustRightInd w:val="0"/>
              <w:snapToGrid w:val="0"/>
              <w:jc w:val="center"/>
              <w:rPr>
                <w:rFonts w:ascii="宋体" w:hAnsi="宋体"/>
              </w:rPr>
            </w:pPr>
            <w:r>
              <w:rPr>
                <w:rFonts w:ascii="宋体" w:hAnsi="宋体"/>
              </w:rPr>
              <w:t>第3.7.2项补充</w:t>
            </w:r>
          </w:p>
        </w:tc>
        <w:tc>
          <w:tcPr>
            <w:tcW w:w="5961" w:type="dxa"/>
            <w:gridSpan w:val="2"/>
            <w:vAlign w:val="center"/>
          </w:tcPr>
          <w:p>
            <w:pPr>
              <w:adjustRightInd w:val="0"/>
              <w:snapToGrid w:val="0"/>
              <w:ind w:left="57" w:leftChars="27" w:firstLine="220" w:firstLineChars="105"/>
              <w:rPr>
                <w:rFonts w:ascii="宋体" w:hAnsi="宋体"/>
              </w:rPr>
            </w:pPr>
            <w:r>
              <w:rPr>
                <w:rFonts w:ascii="宋体" w:hAnsi="宋体"/>
              </w:rPr>
              <w:t>投标文件中填写的项目名称、标段号、招标人名称等关键信息应与招标文件一致。投标文件中填写的时间、投标人名称等关键信息不应有明显</w:t>
            </w:r>
            <w:r>
              <w:rPr>
                <w:rFonts w:hint="eastAsia" w:ascii="宋体" w:hAnsi="宋体"/>
              </w:rPr>
              <w:t>严重错误。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1" w:type="dxa"/>
            <w:vAlign w:val="center"/>
          </w:tcPr>
          <w:p>
            <w:pPr>
              <w:adjustRightInd w:val="0"/>
              <w:snapToGrid w:val="0"/>
              <w:jc w:val="center"/>
              <w:rPr>
                <w:rFonts w:ascii="宋体" w:hAnsi="宋体"/>
                <w:kern w:val="0"/>
              </w:rPr>
            </w:pPr>
          </w:p>
        </w:tc>
        <w:tc>
          <w:tcPr>
            <w:tcW w:w="2225" w:type="dxa"/>
            <w:vAlign w:val="center"/>
          </w:tcPr>
          <w:p>
            <w:pPr>
              <w:adjustRightInd w:val="0"/>
              <w:snapToGrid w:val="0"/>
              <w:jc w:val="center"/>
              <w:rPr>
                <w:rFonts w:ascii="宋体" w:hAnsi="宋体"/>
              </w:rPr>
            </w:pPr>
            <w:r>
              <w:rPr>
                <w:rFonts w:ascii="宋体" w:hAnsi="宋体"/>
              </w:rPr>
              <w:t>第3.7.</w:t>
            </w:r>
            <w:r>
              <w:rPr>
                <w:rFonts w:hint="eastAsia" w:ascii="宋体" w:hAnsi="宋体"/>
              </w:rPr>
              <w:t>4</w:t>
            </w:r>
            <w:r>
              <w:rPr>
                <w:rFonts w:ascii="宋体" w:hAnsi="宋体"/>
              </w:rPr>
              <w:t>项补充</w:t>
            </w:r>
          </w:p>
        </w:tc>
        <w:tc>
          <w:tcPr>
            <w:tcW w:w="5961" w:type="dxa"/>
            <w:gridSpan w:val="2"/>
            <w:vAlign w:val="center"/>
          </w:tcPr>
          <w:p>
            <w:pPr>
              <w:adjustRightInd w:val="0"/>
              <w:snapToGrid w:val="0"/>
              <w:ind w:left="57" w:leftChars="27" w:firstLine="220" w:firstLineChars="105"/>
              <w:rPr>
                <w:rFonts w:ascii="宋体" w:hAnsi="宋体"/>
              </w:rPr>
            </w:pPr>
            <w:r>
              <w:rPr>
                <w:rFonts w:hint="eastAsia" w:ascii="宋体" w:hAnsi="宋体"/>
              </w:rPr>
              <w:t>投标文件副本应为正本的彩色或黑白复印件。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1" w:type="dxa"/>
            <w:vAlign w:val="center"/>
          </w:tcPr>
          <w:p>
            <w:pPr>
              <w:adjustRightInd w:val="0"/>
              <w:snapToGrid w:val="0"/>
              <w:jc w:val="center"/>
              <w:rPr>
                <w:rFonts w:ascii="宋体" w:hAnsi="宋体"/>
              </w:rPr>
            </w:pPr>
            <w:r>
              <w:rPr>
                <w:rFonts w:ascii="宋体" w:hAnsi="宋体"/>
              </w:rPr>
              <w:t>7.1</w:t>
            </w:r>
          </w:p>
        </w:tc>
        <w:tc>
          <w:tcPr>
            <w:tcW w:w="2225" w:type="dxa"/>
            <w:vAlign w:val="center"/>
          </w:tcPr>
          <w:p>
            <w:pPr>
              <w:adjustRightInd w:val="0"/>
              <w:snapToGrid w:val="0"/>
              <w:jc w:val="center"/>
              <w:rPr>
                <w:rFonts w:ascii="宋体" w:hAnsi="宋体"/>
              </w:rPr>
            </w:pPr>
            <w:r>
              <w:rPr>
                <w:rFonts w:ascii="宋体" w:hAnsi="宋体"/>
              </w:rPr>
              <w:t>第7.1</w:t>
            </w:r>
            <w:r>
              <w:rPr>
                <w:rFonts w:hint="eastAsia" w:ascii="宋体" w:hAnsi="宋体"/>
              </w:rPr>
              <w:t>款</w:t>
            </w:r>
            <w:r>
              <w:rPr>
                <w:rFonts w:ascii="宋体" w:hAnsi="宋体"/>
              </w:rPr>
              <w:t>补充</w:t>
            </w:r>
          </w:p>
        </w:tc>
        <w:tc>
          <w:tcPr>
            <w:tcW w:w="5961" w:type="dxa"/>
            <w:gridSpan w:val="2"/>
            <w:vAlign w:val="center"/>
          </w:tcPr>
          <w:p>
            <w:pPr>
              <w:wordWrap w:val="0"/>
              <w:adjustRightInd w:val="0"/>
              <w:snapToGrid w:val="0"/>
              <w:ind w:left="57" w:leftChars="27" w:firstLine="220" w:firstLineChars="105"/>
              <w:rPr>
                <w:rFonts w:ascii="宋体" w:hAnsi="宋体"/>
              </w:rPr>
            </w:pPr>
            <w:r>
              <w:rPr>
                <w:rFonts w:ascii="宋体" w:hAnsi="宋体"/>
              </w:rPr>
              <w:t>由评标委员会推荐</w:t>
            </w:r>
            <w:r>
              <w:rPr>
                <w:rFonts w:hint="eastAsia" w:ascii="宋体" w:hAnsi="宋体"/>
              </w:rPr>
              <w:t>1-</w:t>
            </w:r>
            <w:r>
              <w:rPr>
                <w:rFonts w:ascii="宋体" w:hAnsi="宋体"/>
              </w:rPr>
              <w:t>3名中标候选人，根据招标人授权直接确定中标人。并在</w:t>
            </w:r>
            <w:r>
              <w:rPr>
                <w:rFonts w:hint="eastAsia" w:ascii="宋体" w:hAnsi="宋体"/>
              </w:rPr>
              <w:t>《</w:t>
            </w:r>
            <w:r>
              <w:rPr>
                <w:rFonts w:ascii="宋体" w:hAnsi="宋体"/>
              </w:rPr>
              <w:t>天津市交通运输委员会官网</w:t>
            </w:r>
            <w:r>
              <w:rPr>
                <w:rFonts w:hint="eastAsia" w:ascii="宋体" w:hAnsi="宋体"/>
              </w:rPr>
              <w:t>》</w:t>
            </w:r>
            <w:r>
              <w:rPr>
                <w:rFonts w:ascii="宋体" w:hAnsi="宋体"/>
              </w:rPr>
              <w:t>（http://jtys.tj.gov.cn/）和《天津市公共资源交易网》（http://60.28.163.169/）上进行公示，公示期3天。</w:t>
            </w:r>
            <w:r>
              <w:rPr>
                <w:rFonts w:hint="eastAsia" w:ascii="宋体" w:hAnsi="宋体"/>
              </w:rPr>
              <w:t>公示内容包括：（1）</w:t>
            </w:r>
            <w:r>
              <w:rPr>
                <w:rFonts w:ascii="宋体" w:hAnsi="宋体"/>
              </w:rPr>
              <w:t>中标候选人排序、名称、投标报价</w:t>
            </w:r>
            <w:r>
              <w:rPr>
                <w:rFonts w:hint="eastAsia" w:ascii="宋体" w:hAnsi="宋体"/>
              </w:rPr>
              <w:t>，对工程质量要求、安全目标和工期的响应情况；（2）</w:t>
            </w:r>
            <w:r>
              <w:rPr>
                <w:rFonts w:ascii="宋体" w:hAnsi="宋体"/>
              </w:rPr>
              <w:t>中标候选人在投标文件中承诺的主要人员姓名、个人业绩、相关证书名称编号</w:t>
            </w:r>
            <w:r>
              <w:rPr>
                <w:rFonts w:hint="eastAsia" w:ascii="宋体" w:hAnsi="宋体"/>
              </w:rPr>
              <w:t>；（3）</w:t>
            </w:r>
            <w:r>
              <w:rPr>
                <w:rFonts w:ascii="宋体" w:hAnsi="宋体"/>
              </w:rPr>
              <w:t>中标候选人在投标文件中填报的项目业绩</w:t>
            </w:r>
            <w:r>
              <w:rPr>
                <w:rFonts w:hint="eastAsia" w:ascii="宋体" w:hAnsi="宋体"/>
              </w:rPr>
              <w:t>；（4）被否决投标的投标人名称、否决依据和原因；（5）提出异议的渠道和方式；（6）投标人须知前附表规定公示的其他内容</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1" w:type="dxa"/>
            <w:vAlign w:val="center"/>
          </w:tcPr>
          <w:p>
            <w:pPr>
              <w:adjustRightInd w:val="0"/>
              <w:snapToGrid w:val="0"/>
              <w:jc w:val="center"/>
              <w:rPr>
                <w:rFonts w:ascii="宋体" w:hAnsi="宋体"/>
              </w:rPr>
            </w:pPr>
            <w:r>
              <w:rPr>
                <w:rFonts w:ascii="宋体" w:hAnsi="宋体"/>
              </w:rPr>
              <w:t>9</w:t>
            </w:r>
          </w:p>
        </w:tc>
        <w:tc>
          <w:tcPr>
            <w:tcW w:w="2225" w:type="dxa"/>
            <w:vAlign w:val="center"/>
          </w:tcPr>
          <w:p>
            <w:pPr>
              <w:adjustRightInd w:val="0"/>
              <w:snapToGrid w:val="0"/>
              <w:jc w:val="center"/>
              <w:rPr>
                <w:rFonts w:ascii="宋体" w:hAnsi="宋体"/>
              </w:rPr>
            </w:pPr>
            <w:r>
              <w:rPr>
                <w:rFonts w:ascii="宋体" w:hAnsi="宋体"/>
              </w:rPr>
              <w:t>补充第9.</w:t>
            </w:r>
            <w:r>
              <w:rPr>
                <w:rFonts w:hint="eastAsia" w:ascii="宋体" w:hAnsi="宋体"/>
              </w:rPr>
              <w:t>1</w:t>
            </w:r>
            <w:r>
              <w:rPr>
                <w:rFonts w:ascii="宋体" w:hAnsi="宋体"/>
              </w:rPr>
              <w:t>款</w:t>
            </w:r>
          </w:p>
        </w:tc>
        <w:tc>
          <w:tcPr>
            <w:tcW w:w="5961" w:type="dxa"/>
            <w:gridSpan w:val="2"/>
            <w:vAlign w:val="center"/>
          </w:tcPr>
          <w:p>
            <w:pPr>
              <w:adjustRightInd w:val="0"/>
              <w:snapToGrid w:val="0"/>
              <w:ind w:left="57" w:leftChars="27" w:firstLine="220" w:firstLineChars="105"/>
              <w:rPr>
                <w:rFonts w:ascii="宋体" w:hAnsi="宋体"/>
              </w:rPr>
            </w:pPr>
            <w:r>
              <w:rPr>
                <w:rFonts w:hint="eastAsia" w:ascii="宋体" w:hAnsi="宋体"/>
              </w:rPr>
              <w:t>9.1中标人应按铁路项目相关管理规定配备专职安全生产管理人员。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1" w:type="dxa"/>
            <w:vAlign w:val="center"/>
          </w:tcPr>
          <w:p>
            <w:pPr>
              <w:adjustRightInd w:val="0"/>
              <w:snapToGrid w:val="0"/>
              <w:jc w:val="center"/>
              <w:rPr>
                <w:rFonts w:ascii="宋体" w:hAnsi="宋体"/>
                <w:kern w:val="0"/>
              </w:rPr>
            </w:pPr>
          </w:p>
        </w:tc>
        <w:tc>
          <w:tcPr>
            <w:tcW w:w="2225" w:type="dxa"/>
            <w:vAlign w:val="center"/>
          </w:tcPr>
          <w:p>
            <w:pPr>
              <w:adjustRightInd w:val="0"/>
              <w:snapToGrid w:val="0"/>
              <w:jc w:val="center"/>
              <w:rPr>
                <w:rFonts w:ascii="宋体" w:hAnsi="宋体"/>
              </w:rPr>
            </w:pPr>
            <w:r>
              <w:rPr>
                <w:rFonts w:ascii="宋体" w:hAnsi="宋体"/>
              </w:rPr>
              <w:t>补充第9.</w:t>
            </w:r>
            <w:r>
              <w:rPr>
                <w:rFonts w:hint="eastAsia" w:ascii="宋体" w:hAnsi="宋体"/>
              </w:rPr>
              <w:t>2</w:t>
            </w:r>
            <w:r>
              <w:rPr>
                <w:rFonts w:ascii="宋体" w:hAnsi="宋体"/>
              </w:rPr>
              <w:t>款</w:t>
            </w:r>
          </w:p>
        </w:tc>
        <w:tc>
          <w:tcPr>
            <w:tcW w:w="5961" w:type="dxa"/>
            <w:gridSpan w:val="2"/>
            <w:vAlign w:val="center"/>
          </w:tcPr>
          <w:p>
            <w:pPr>
              <w:adjustRightInd w:val="0"/>
              <w:snapToGrid w:val="0"/>
              <w:ind w:left="57" w:leftChars="27" w:firstLine="220" w:firstLineChars="105"/>
              <w:rPr>
                <w:rFonts w:ascii="宋体" w:hAnsi="宋体"/>
              </w:rPr>
            </w:pPr>
            <w:r>
              <w:rPr>
                <w:rFonts w:ascii="宋体" w:hAnsi="宋体"/>
              </w:rPr>
              <w:t>9.</w:t>
            </w:r>
            <w:r>
              <w:rPr>
                <w:rFonts w:hint="eastAsia" w:ascii="宋体" w:hAnsi="宋体"/>
              </w:rPr>
              <w:t>2</w:t>
            </w:r>
            <w:r>
              <w:rPr>
                <w:rFonts w:ascii="宋体" w:hAnsi="宋体"/>
              </w:rPr>
              <w:t>依据《公路工程建设项目招投标管理办法》（交通运输部令2015年第24号）第五十三条规定，中标人企业业绩及人员业绩将进行网上公示。若发现弄虚作假，将取消其中标资格，并上报监督管理部门，依据《中华人民共和国招标投标法》第五十四条、《中华人民共和国招标投标法实施条例》第六十八条和《公路工程建设项目招投标管理办法》第六十九条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1" w:type="dxa"/>
            <w:vAlign w:val="center"/>
          </w:tcPr>
          <w:p>
            <w:pPr>
              <w:adjustRightInd w:val="0"/>
              <w:snapToGrid w:val="0"/>
              <w:jc w:val="center"/>
              <w:rPr>
                <w:rFonts w:ascii="宋体" w:hAnsi="宋体"/>
                <w:kern w:val="0"/>
              </w:rPr>
            </w:pPr>
          </w:p>
        </w:tc>
        <w:tc>
          <w:tcPr>
            <w:tcW w:w="2225" w:type="dxa"/>
            <w:vAlign w:val="center"/>
          </w:tcPr>
          <w:p>
            <w:pPr>
              <w:adjustRightInd w:val="0"/>
              <w:snapToGrid w:val="0"/>
              <w:jc w:val="center"/>
              <w:rPr>
                <w:rFonts w:ascii="宋体" w:hAnsi="宋体"/>
              </w:rPr>
            </w:pPr>
            <w:r>
              <w:rPr>
                <w:rFonts w:ascii="宋体" w:hAnsi="宋体"/>
              </w:rPr>
              <w:t>补充第9.</w:t>
            </w:r>
            <w:r>
              <w:rPr>
                <w:rFonts w:hint="eastAsia" w:ascii="宋体" w:hAnsi="宋体"/>
              </w:rPr>
              <w:t>3</w:t>
            </w:r>
            <w:r>
              <w:rPr>
                <w:rFonts w:ascii="宋体" w:hAnsi="宋体"/>
              </w:rPr>
              <w:t>款</w:t>
            </w:r>
          </w:p>
        </w:tc>
        <w:tc>
          <w:tcPr>
            <w:tcW w:w="5961" w:type="dxa"/>
            <w:gridSpan w:val="2"/>
            <w:vAlign w:val="center"/>
          </w:tcPr>
          <w:p>
            <w:pPr>
              <w:adjustRightInd w:val="0"/>
              <w:snapToGrid w:val="0"/>
              <w:ind w:left="57" w:leftChars="27" w:firstLine="220" w:firstLineChars="105"/>
              <w:rPr>
                <w:rFonts w:ascii="宋体" w:hAnsi="宋体"/>
              </w:rPr>
            </w:pPr>
            <w:r>
              <w:rPr>
                <w:rFonts w:ascii="宋体" w:hAnsi="宋体"/>
              </w:rPr>
              <w:t>9.</w:t>
            </w:r>
            <w:r>
              <w:rPr>
                <w:rFonts w:hint="eastAsia" w:ascii="宋体" w:hAnsi="宋体"/>
              </w:rPr>
              <w:t>3</w:t>
            </w:r>
            <w:r>
              <w:rPr>
                <w:rFonts w:ascii="宋体" w:hAnsi="宋体"/>
              </w:rPr>
              <w:t>质量保证金限额为3%合同价格。</w:t>
            </w:r>
            <w:r>
              <w:rPr>
                <w:rFonts w:hint="eastAsia" w:ascii="宋体" w:hAnsi="宋体"/>
              </w:rPr>
              <w:t>履约担保的退还与收取质量保证金不得重复，并符合国家住建部《关于印发建设工程质量保证金管理办法的通知》（建质[2017]138号）文件的规定。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1" w:type="dxa"/>
            <w:vAlign w:val="center"/>
          </w:tcPr>
          <w:p>
            <w:pPr>
              <w:adjustRightInd w:val="0"/>
              <w:snapToGrid w:val="0"/>
              <w:jc w:val="center"/>
              <w:rPr>
                <w:rFonts w:ascii="宋体" w:hAnsi="宋体"/>
                <w:kern w:val="0"/>
              </w:rPr>
            </w:pPr>
          </w:p>
        </w:tc>
        <w:tc>
          <w:tcPr>
            <w:tcW w:w="2225" w:type="dxa"/>
            <w:vAlign w:val="center"/>
          </w:tcPr>
          <w:p>
            <w:pPr>
              <w:adjustRightInd w:val="0"/>
              <w:snapToGrid w:val="0"/>
              <w:jc w:val="center"/>
              <w:rPr>
                <w:rFonts w:ascii="宋体" w:hAnsi="宋体"/>
              </w:rPr>
            </w:pPr>
            <w:r>
              <w:rPr>
                <w:rFonts w:ascii="宋体" w:hAnsi="宋体"/>
              </w:rPr>
              <w:t>补充第9.</w:t>
            </w:r>
            <w:r>
              <w:rPr>
                <w:rFonts w:hint="eastAsia" w:ascii="宋体" w:hAnsi="宋体"/>
              </w:rPr>
              <w:t>4</w:t>
            </w:r>
            <w:r>
              <w:rPr>
                <w:rFonts w:ascii="宋体" w:hAnsi="宋体"/>
              </w:rPr>
              <w:t>款</w:t>
            </w:r>
          </w:p>
        </w:tc>
        <w:tc>
          <w:tcPr>
            <w:tcW w:w="5961" w:type="dxa"/>
            <w:gridSpan w:val="2"/>
            <w:vAlign w:val="center"/>
          </w:tcPr>
          <w:p>
            <w:pPr>
              <w:adjustRightInd w:val="0"/>
              <w:snapToGrid w:val="0"/>
              <w:ind w:left="57" w:leftChars="27" w:firstLine="220" w:firstLineChars="105"/>
              <w:rPr>
                <w:rFonts w:ascii="宋体" w:hAnsi="宋体"/>
              </w:rPr>
            </w:pPr>
            <w:r>
              <w:rPr>
                <w:rFonts w:ascii="宋体" w:hAnsi="宋体"/>
              </w:rPr>
              <w:t>9.</w:t>
            </w:r>
            <w:r>
              <w:rPr>
                <w:rFonts w:hint="eastAsia" w:ascii="宋体" w:hAnsi="宋体"/>
              </w:rPr>
              <w:t>4</w:t>
            </w:r>
            <w:r>
              <w:rPr>
                <w:rFonts w:ascii="宋体" w:hAnsi="宋体"/>
              </w:rPr>
              <w:t>投标人（含联合体成员）应在国家企业信用信息公示系统（ http://www.gsxt.gov.cn/）中自行公示除股东（股份公司为发起人）姓名以外的详细出资信息，并按照《企业信息公示暂行条例》（国务院令第654号）和国家工商总局关于贯彻落实《企业信息公示暂行条例》有关问题的通知（工商外企字</w:t>
            </w:r>
            <w:r>
              <w:rPr>
                <w:rFonts w:hint="eastAsia" w:ascii="宋体" w:hAnsi="宋体"/>
              </w:rPr>
              <w:t>〔2014〕</w:t>
            </w:r>
            <w:r>
              <w:rPr>
                <w:rFonts w:ascii="宋体" w:hAnsi="宋体"/>
              </w:rPr>
              <w:t>166号）中的规定填写。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1" w:type="dxa"/>
            <w:vAlign w:val="center"/>
          </w:tcPr>
          <w:p>
            <w:pPr>
              <w:adjustRightInd w:val="0"/>
              <w:snapToGrid w:val="0"/>
              <w:jc w:val="center"/>
              <w:rPr>
                <w:rFonts w:ascii="宋体" w:hAnsi="宋体"/>
                <w:kern w:val="0"/>
              </w:rPr>
            </w:pPr>
          </w:p>
        </w:tc>
        <w:tc>
          <w:tcPr>
            <w:tcW w:w="2225" w:type="dxa"/>
            <w:vAlign w:val="center"/>
          </w:tcPr>
          <w:p>
            <w:pPr>
              <w:adjustRightInd w:val="0"/>
              <w:snapToGrid w:val="0"/>
              <w:jc w:val="center"/>
              <w:rPr>
                <w:rFonts w:ascii="宋体" w:hAnsi="宋体"/>
              </w:rPr>
            </w:pPr>
            <w:r>
              <w:rPr>
                <w:rFonts w:ascii="宋体" w:hAnsi="宋体"/>
              </w:rPr>
              <w:t>补充第9.</w:t>
            </w:r>
            <w:r>
              <w:rPr>
                <w:rFonts w:hint="eastAsia" w:ascii="宋体" w:hAnsi="宋体"/>
              </w:rPr>
              <w:t>5</w:t>
            </w:r>
            <w:r>
              <w:rPr>
                <w:rFonts w:ascii="宋体" w:hAnsi="宋体"/>
              </w:rPr>
              <w:t>款</w:t>
            </w:r>
          </w:p>
        </w:tc>
        <w:tc>
          <w:tcPr>
            <w:tcW w:w="5961" w:type="dxa"/>
            <w:gridSpan w:val="2"/>
            <w:vAlign w:val="center"/>
          </w:tcPr>
          <w:p>
            <w:pPr>
              <w:adjustRightInd w:val="0"/>
              <w:snapToGrid w:val="0"/>
              <w:ind w:left="57" w:leftChars="27" w:firstLine="220" w:firstLineChars="105"/>
              <w:rPr>
                <w:rFonts w:ascii="宋体" w:hAnsi="宋体"/>
              </w:rPr>
            </w:pPr>
            <w:r>
              <w:rPr>
                <w:rFonts w:hint="eastAsia" w:ascii="宋体" w:hAnsi="宋体"/>
              </w:rPr>
              <w:t>9.5</w:t>
            </w:r>
            <w:r>
              <w:rPr>
                <w:rFonts w:ascii="宋体" w:hAnsi="宋体"/>
              </w:rPr>
              <w:t>中标人应严格按照</w:t>
            </w:r>
            <w:r>
              <w:rPr>
                <w:rFonts w:hint="eastAsia" w:cs="宋体"/>
              </w:rPr>
              <w:t>中华人民共和国国务院令第</w:t>
            </w:r>
            <w:r>
              <w:rPr>
                <w:rFonts w:hint="eastAsia" w:ascii="宋体" w:hAnsi="宋体" w:cs="宋体"/>
              </w:rPr>
              <w:t>724</w:t>
            </w:r>
            <w:r>
              <w:rPr>
                <w:rFonts w:hint="eastAsia" w:cs="宋体"/>
              </w:rPr>
              <w:t>号《保障农民工工资支付条例》和</w:t>
            </w:r>
            <w:r>
              <w:rPr>
                <w:rFonts w:ascii="宋体" w:hAnsi="宋体"/>
              </w:rPr>
              <w:t>市人力社保局等六部门《</w:t>
            </w:r>
            <w:r>
              <w:rPr>
                <w:rFonts w:hint="eastAsia" w:ascii="宋体" w:hAnsi="宋体"/>
              </w:rPr>
              <w:t>天津市工程</w:t>
            </w:r>
            <w:r>
              <w:rPr>
                <w:rFonts w:ascii="宋体" w:hAnsi="宋体"/>
              </w:rPr>
              <w:t>建设</w:t>
            </w:r>
            <w:r>
              <w:rPr>
                <w:rFonts w:hint="eastAsia" w:ascii="宋体" w:hAnsi="宋体"/>
              </w:rPr>
              <w:t>领域农民工工资保证金实施办法</w:t>
            </w:r>
            <w:r>
              <w:rPr>
                <w:rFonts w:ascii="宋体" w:hAnsi="宋体"/>
              </w:rPr>
              <w:t>》（津人社局发</w:t>
            </w:r>
            <w:r>
              <w:rPr>
                <w:rFonts w:hint="eastAsia" w:ascii="宋体" w:hAnsi="宋体"/>
              </w:rPr>
              <w:t>〔2022〕2</w:t>
            </w:r>
            <w:r>
              <w:rPr>
                <w:rFonts w:ascii="宋体" w:hAnsi="宋体"/>
              </w:rPr>
              <w:t>号）执行。</w:t>
            </w:r>
          </w:p>
          <w:p>
            <w:pPr>
              <w:adjustRightInd w:val="0"/>
              <w:snapToGrid w:val="0"/>
              <w:ind w:left="57" w:leftChars="27" w:firstLine="220" w:firstLineChars="105"/>
              <w:rPr>
                <w:rFonts w:ascii="宋体" w:hAnsi="宋体"/>
              </w:rPr>
            </w:pPr>
            <w:r>
              <w:rPr>
                <w:rFonts w:ascii="宋体" w:hAnsi="宋体"/>
              </w:rPr>
              <w:t>中标人请严格执行《市人力社保局等六部门关于铁路、公路、水运、水利、能源、机场工程建设项目参加工伤保险工作的实施意见》（津人社局发</w:t>
            </w:r>
            <w:r>
              <w:rPr>
                <w:rFonts w:hint="eastAsia" w:ascii="宋体" w:hAnsi="宋体"/>
              </w:rPr>
              <w:t>〔2018〕</w:t>
            </w:r>
            <w:r>
              <w:rPr>
                <w:rFonts w:ascii="宋体" w:hAnsi="宋体"/>
              </w:rPr>
              <w:t>40号），按时足额为农民工交纳工伤保险。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1" w:type="dxa"/>
            <w:vAlign w:val="center"/>
          </w:tcPr>
          <w:p>
            <w:pPr>
              <w:adjustRightInd w:val="0"/>
              <w:snapToGrid w:val="0"/>
              <w:jc w:val="center"/>
              <w:rPr>
                <w:rFonts w:ascii="宋体" w:hAnsi="宋体"/>
                <w:kern w:val="0"/>
              </w:rPr>
            </w:pPr>
          </w:p>
        </w:tc>
        <w:tc>
          <w:tcPr>
            <w:tcW w:w="2225" w:type="dxa"/>
            <w:vAlign w:val="center"/>
          </w:tcPr>
          <w:p>
            <w:pPr>
              <w:adjustRightInd w:val="0"/>
              <w:snapToGrid w:val="0"/>
              <w:jc w:val="center"/>
              <w:rPr>
                <w:rFonts w:ascii="宋体" w:hAnsi="宋体"/>
              </w:rPr>
            </w:pPr>
            <w:r>
              <w:rPr>
                <w:rFonts w:ascii="宋体" w:hAnsi="宋体"/>
              </w:rPr>
              <w:t>补充第9.6款</w:t>
            </w:r>
          </w:p>
        </w:tc>
        <w:tc>
          <w:tcPr>
            <w:tcW w:w="5961" w:type="dxa"/>
            <w:gridSpan w:val="2"/>
            <w:vAlign w:val="center"/>
          </w:tcPr>
          <w:p>
            <w:pPr>
              <w:adjustRightInd w:val="0"/>
              <w:snapToGrid w:val="0"/>
              <w:ind w:left="57" w:leftChars="27" w:firstLine="220" w:firstLineChars="105"/>
              <w:rPr>
                <w:rFonts w:ascii="宋体" w:hAnsi="宋体"/>
              </w:rPr>
            </w:pPr>
            <w:r>
              <w:rPr>
                <w:rFonts w:hint="eastAsia" w:ascii="宋体" w:hAnsi="宋体"/>
              </w:rPr>
              <w:t>9.6</w:t>
            </w:r>
            <w:r>
              <w:rPr>
                <w:rFonts w:ascii="宋体" w:hAnsi="宋体"/>
              </w:rPr>
              <w:t>投标人严格执行《天津市交通运输委员会关于进一步规范我市公路建设项目施工现场扬尘在线监测和远程视频监控设备安装使用管理工作的通知》（津交发〔2018〕108号），投标时应在</w:t>
            </w:r>
            <w:r>
              <w:rPr>
                <w:rFonts w:hint="eastAsia" w:ascii="宋体" w:hAnsi="宋体"/>
              </w:rPr>
              <w:t>总</w:t>
            </w:r>
            <w:r>
              <w:rPr>
                <w:rFonts w:ascii="宋体" w:hAnsi="宋体"/>
              </w:rPr>
              <w:t>报价中充分考虑。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1" w:type="dxa"/>
            <w:vAlign w:val="center"/>
          </w:tcPr>
          <w:p>
            <w:pPr>
              <w:adjustRightInd w:val="0"/>
              <w:snapToGrid w:val="0"/>
              <w:jc w:val="center"/>
              <w:rPr>
                <w:rFonts w:ascii="宋体" w:hAnsi="宋体"/>
                <w:kern w:val="0"/>
              </w:rPr>
            </w:pPr>
          </w:p>
        </w:tc>
        <w:tc>
          <w:tcPr>
            <w:tcW w:w="2225" w:type="dxa"/>
            <w:vAlign w:val="center"/>
          </w:tcPr>
          <w:p>
            <w:pPr>
              <w:adjustRightInd w:val="0"/>
              <w:snapToGrid w:val="0"/>
              <w:jc w:val="center"/>
              <w:rPr>
                <w:rFonts w:ascii="宋体" w:hAnsi="宋体"/>
              </w:rPr>
            </w:pPr>
            <w:r>
              <w:rPr>
                <w:rFonts w:ascii="宋体" w:hAnsi="宋体"/>
              </w:rPr>
              <w:t>补充第9.</w:t>
            </w:r>
            <w:r>
              <w:rPr>
                <w:rFonts w:hint="eastAsia" w:ascii="宋体" w:hAnsi="宋体"/>
              </w:rPr>
              <w:t>7</w:t>
            </w:r>
            <w:r>
              <w:rPr>
                <w:rFonts w:ascii="宋体" w:hAnsi="宋体"/>
              </w:rPr>
              <w:t>款</w:t>
            </w:r>
          </w:p>
        </w:tc>
        <w:tc>
          <w:tcPr>
            <w:tcW w:w="5961" w:type="dxa"/>
            <w:gridSpan w:val="2"/>
            <w:vAlign w:val="center"/>
          </w:tcPr>
          <w:p>
            <w:pPr>
              <w:adjustRightInd w:val="0"/>
              <w:snapToGrid w:val="0"/>
              <w:ind w:left="57" w:leftChars="27" w:firstLine="220" w:firstLineChars="105"/>
              <w:rPr>
                <w:rFonts w:ascii="宋体" w:hAnsi="宋体"/>
              </w:rPr>
            </w:pPr>
            <w:r>
              <w:rPr>
                <w:rFonts w:hint="eastAsia" w:ascii="宋体" w:hAnsi="宋体"/>
              </w:rPr>
              <w:t>9.7</w:t>
            </w:r>
            <w:r>
              <w:rPr>
                <w:rFonts w:hint="eastAsia" w:cs="宋体"/>
              </w:rPr>
              <w:t>承包人按照相关部门及发包人的防控疫情有关要求做好防疫措施。如因疫情防控不满足要求，所产生的一切责任由承包人承担。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1" w:type="dxa"/>
            <w:vAlign w:val="center"/>
          </w:tcPr>
          <w:p>
            <w:pPr>
              <w:adjustRightInd w:val="0"/>
              <w:snapToGrid w:val="0"/>
              <w:jc w:val="center"/>
              <w:rPr>
                <w:rFonts w:ascii="宋体" w:hAnsi="宋体"/>
                <w:kern w:val="0"/>
              </w:rPr>
            </w:pPr>
          </w:p>
        </w:tc>
        <w:tc>
          <w:tcPr>
            <w:tcW w:w="2225" w:type="dxa"/>
            <w:vAlign w:val="center"/>
          </w:tcPr>
          <w:p>
            <w:pPr>
              <w:adjustRightInd w:val="0"/>
              <w:snapToGrid w:val="0"/>
              <w:jc w:val="center"/>
              <w:rPr>
                <w:rFonts w:ascii="宋体" w:hAnsi="宋体"/>
              </w:rPr>
            </w:pPr>
            <w:r>
              <w:rPr>
                <w:rFonts w:hint="eastAsia" w:ascii="宋体" w:hAnsi="宋体"/>
              </w:rPr>
              <w:t>补充第</w:t>
            </w:r>
            <w:r>
              <w:rPr>
                <w:rFonts w:ascii="宋体" w:hAnsi="宋体"/>
              </w:rPr>
              <w:t>9.8</w:t>
            </w:r>
            <w:r>
              <w:rPr>
                <w:rFonts w:hint="eastAsia" w:ascii="宋体" w:hAnsi="宋体"/>
              </w:rPr>
              <w:t>款</w:t>
            </w:r>
          </w:p>
        </w:tc>
        <w:tc>
          <w:tcPr>
            <w:tcW w:w="5961" w:type="dxa"/>
            <w:gridSpan w:val="2"/>
            <w:vAlign w:val="center"/>
          </w:tcPr>
          <w:p>
            <w:pPr>
              <w:adjustRightInd w:val="0"/>
              <w:snapToGrid w:val="0"/>
              <w:ind w:left="57" w:leftChars="27" w:firstLine="220" w:firstLineChars="105"/>
              <w:rPr>
                <w:rFonts w:ascii="宋体" w:hAnsi="宋体"/>
              </w:rPr>
            </w:pPr>
            <w:r>
              <w:rPr>
                <w:rFonts w:ascii="宋体" w:hAnsi="宋体"/>
              </w:rPr>
              <w:t>9.8</w:t>
            </w:r>
            <w:r>
              <w:rPr>
                <w:rFonts w:hint="eastAsia" w:ascii="宋体" w:hAnsi="宋体"/>
              </w:rPr>
              <w:t>投标人严格执行《天津市交通运输委员会关于做好新冠肺炎疫情防控期间公路铁路水运建设领域稳就业有关工作的通知》、《关于进一步加强公路养护施工领域新冠疫情防控工作的通知》。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01" w:type="dxa"/>
            <w:vAlign w:val="center"/>
          </w:tcPr>
          <w:p>
            <w:pPr>
              <w:adjustRightInd w:val="0"/>
              <w:snapToGrid w:val="0"/>
              <w:jc w:val="center"/>
              <w:rPr>
                <w:rFonts w:ascii="宋体" w:hAnsi="宋体"/>
              </w:rPr>
            </w:pPr>
          </w:p>
        </w:tc>
        <w:tc>
          <w:tcPr>
            <w:tcW w:w="2225" w:type="dxa"/>
            <w:vAlign w:val="center"/>
          </w:tcPr>
          <w:p>
            <w:pPr>
              <w:adjustRightInd w:val="0"/>
              <w:snapToGrid w:val="0"/>
              <w:jc w:val="center"/>
              <w:rPr>
                <w:rFonts w:ascii="宋体" w:hAnsi="宋体"/>
              </w:rPr>
            </w:pPr>
            <w:r>
              <w:rPr>
                <w:rFonts w:hint="eastAsia" w:ascii="宋体" w:hAnsi="宋体"/>
              </w:rPr>
              <w:t>补充第</w:t>
            </w:r>
            <w:r>
              <w:rPr>
                <w:rFonts w:ascii="宋体" w:hAnsi="宋体"/>
              </w:rPr>
              <w:t>9.9</w:t>
            </w:r>
            <w:r>
              <w:rPr>
                <w:rFonts w:hint="eastAsia" w:ascii="宋体" w:hAnsi="宋体"/>
              </w:rPr>
              <w:t>款</w:t>
            </w:r>
          </w:p>
        </w:tc>
        <w:tc>
          <w:tcPr>
            <w:tcW w:w="5961" w:type="dxa"/>
            <w:gridSpan w:val="2"/>
            <w:vAlign w:val="center"/>
          </w:tcPr>
          <w:p>
            <w:pPr>
              <w:spacing w:line="260" w:lineRule="exact"/>
              <w:ind w:firstLine="210" w:firstLineChars="100"/>
              <w:rPr>
                <w:rFonts w:ascii="宋体" w:hAnsi="宋体"/>
              </w:rPr>
            </w:pPr>
            <w:r>
              <w:rPr>
                <w:rFonts w:ascii="宋体" w:hAnsi="宋体"/>
              </w:rPr>
              <w:t>9</w:t>
            </w:r>
            <w:r>
              <w:rPr>
                <w:rFonts w:hint="eastAsia" w:ascii="宋体" w:hAnsi="宋体"/>
              </w:rPr>
              <w:t>.9根据天津市公共资源交易中心《关于明确公共资源交易中心收费标准的通知》，中标人须按照相关规定支付交易服务费用。该费用由投标人在投标报价中综合考虑,招标人不另行单独支付。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01" w:type="dxa"/>
            <w:vAlign w:val="center"/>
          </w:tcPr>
          <w:p>
            <w:pPr>
              <w:tabs>
                <w:tab w:val="left" w:pos="360"/>
              </w:tabs>
              <w:adjustRightInd w:val="0"/>
              <w:snapToGrid w:val="0"/>
              <w:jc w:val="center"/>
              <w:rPr>
                <w:rFonts w:ascii="宋体"/>
                <w:snapToGrid w:val="0"/>
                <w:kern w:val="0"/>
              </w:rPr>
            </w:pPr>
            <w:r>
              <w:rPr>
                <w:rFonts w:hint="eastAsia" w:ascii="宋体" w:hAnsi="宋体" w:cs="宋体"/>
                <w:snapToGrid w:val="0"/>
                <w:kern w:val="0"/>
              </w:rPr>
              <w:t>9</w:t>
            </w:r>
            <w:r>
              <w:rPr>
                <w:rFonts w:ascii="宋体" w:hAnsi="宋体" w:cs="宋体"/>
                <w:snapToGrid w:val="0"/>
                <w:kern w:val="0"/>
              </w:rPr>
              <w:t>.</w:t>
            </w:r>
            <w:r>
              <w:rPr>
                <w:rFonts w:hint="eastAsia" w:ascii="宋体" w:hAnsi="宋体" w:cs="宋体"/>
                <w:snapToGrid w:val="0"/>
                <w:kern w:val="0"/>
              </w:rPr>
              <w:t>10</w:t>
            </w:r>
          </w:p>
        </w:tc>
        <w:tc>
          <w:tcPr>
            <w:tcW w:w="2225" w:type="dxa"/>
            <w:vAlign w:val="center"/>
          </w:tcPr>
          <w:p>
            <w:pPr>
              <w:tabs>
                <w:tab w:val="left" w:pos="360"/>
              </w:tabs>
              <w:adjustRightInd w:val="0"/>
              <w:snapToGrid w:val="0"/>
              <w:jc w:val="center"/>
              <w:rPr>
                <w:rFonts w:ascii="宋体"/>
                <w:snapToGrid w:val="0"/>
                <w:kern w:val="0"/>
              </w:rPr>
            </w:pPr>
            <w:r>
              <w:rPr>
                <w:rFonts w:hint="eastAsia" w:ascii="宋体" w:hAnsi="宋体" w:cs="宋体"/>
                <w:snapToGrid w:val="0"/>
                <w:kern w:val="0"/>
              </w:rPr>
              <w:t>招标代理服务费</w:t>
            </w:r>
          </w:p>
        </w:tc>
        <w:tc>
          <w:tcPr>
            <w:tcW w:w="5961" w:type="dxa"/>
            <w:gridSpan w:val="2"/>
            <w:vAlign w:val="center"/>
          </w:tcPr>
          <w:p>
            <w:pPr>
              <w:widowControl/>
              <w:rPr>
                <w:rFonts w:ascii="宋体"/>
                <w:b/>
                <w:bCs/>
              </w:rPr>
            </w:pPr>
            <w:r>
              <w:rPr>
                <w:rFonts w:hint="eastAsia" w:ascii="宋体" w:hAnsi="宋体" w:cs="宋体"/>
                <w:kern w:val="0"/>
              </w:rPr>
              <w:t>本项目招标代理服务费按《招标代理服务收费管理暂行办法》（计价格[2002]1980号）之附件《招标代理服务收费标准》由中标人缴纳。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01" w:type="dxa"/>
            <w:vAlign w:val="center"/>
          </w:tcPr>
          <w:p>
            <w:pPr>
              <w:tabs>
                <w:tab w:val="left" w:pos="360"/>
              </w:tabs>
              <w:adjustRightInd w:val="0"/>
              <w:snapToGrid w:val="0"/>
              <w:jc w:val="center"/>
              <w:rPr>
                <w:rFonts w:ascii="宋体"/>
                <w:snapToGrid w:val="0"/>
                <w:kern w:val="0"/>
              </w:rPr>
            </w:pPr>
            <w:r>
              <w:rPr>
                <w:rFonts w:hint="eastAsia" w:ascii="宋体" w:hAnsi="宋体" w:cs="宋体"/>
                <w:snapToGrid w:val="0"/>
                <w:kern w:val="0"/>
              </w:rPr>
              <w:t>10</w:t>
            </w:r>
          </w:p>
        </w:tc>
        <w:tc>
          <w:tcPr>
            <w:tcW w:w="2225" w:type="dxa"/>
            <w:vAlign w:val="center"/>
          </w:tcPr>
          <w:p>
            <w:pPr>
              <w:tabs>
                <w:tab w:val="left" w:pos="360"/>
              </w:tabs>
              <w:adjustRightInd w:val="0"/>
              <w:snapToGrid w:val="0"/>
              <w:ind w:left="-107" w:leftChars="-51"/>
              <w:jc w:val="center"/>
              <w:rPr>
                <w:rFonts w:ascii="宋体"/>
                <w:snapToGrid w:val="0"/>
                <w:kern w:val="0"/>
              </w:rPr>
            </w:pPr>
            <w:r>
              <w:rPr>
                <w:rFonts w:hint="eastAsia" w:ascii="宋体" w:hAnsi="宋体" w:cs="宋体"/>
                <w:snapToGrid w:val="0"/>
                <w:kern w:val="0"/>
                <w:lang w:val="en-US" w:eastAsia="zh-CN"/>
              </w:rPr>
              <w:t xml:space="preserve"> </w:t>
            </w:r>
            <w:r>
              <w:rPr>
                <w:rFonts w:hint="eastAsia" w:ascii="宋体" w:hAnsi="宋体" w:cs="宋体"/>
                <w:snapToGrid w:val="0"/>
                <w:kern w:val="0"/>
              </w:rPr>
              <w:t>是否采用电子招标投标</w:t>
            </w:r>
          </w:p>
        </w:tc>
        <w:tc>
          <w:tcPr>
            <w:tcW w:w="5961" w:type="dxa"/>
            <w:gridSpan w:val="2"/>
            <w:vAlign w:val="center"/>
          </w:tcPr>
          <w:p>
            <w:pPr>
              <w:tabs>
                <w:tab w:val="left" w:pos="360"/>
              </w:tabs>
              <w:adjustRightInd w:val="0"/>
              <w:snapToGrid w:val="0"/>
              <w:rPr>
                <w:rFonts w:hint="eastAsia" w:ascii="宋体" w:eastAsia="宋体"/>
                <w:snapToGrid w:val="0"/>
                <w:kern w:val="0"/>
                <w:lang w:val="en-US" w:eastAsia="zh-CN"/>
              </w:rPr>
            </w:pPr>
            <w:r>
              <w:rPr>
                <w:rFonts w:hint="eastAsia" w:ascii="宋体"/>
                <w:snapToGrid w:val="0"/>
                <w:kern w:val="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01" w:type="dxa"/>
            <w:vAlign w:val="center"/>
          </w:tcPr>
          <w:p>
            <w:pPr>
              <w:tabs>
                <w:tab w:val="left" w:pos="360"/>
              </w:tabs>
              <w:adjustRightInd w:val="0"/>
              <w:snapToGrid w:val="0"/>
              <w:jc w:val="center"/>
              <w:rPr>
                <w:rFonts w:ascii="宋体" w:hAnsi="宋体" w:cs="宋体"/>
                <w:snapToGrid w:val="0"/>
                <w:kern w:val="0"/>
              </w:rPr>
            </w:pPr>
            <w:r>
              <w:rPr>
                <w:rFonts w:hint="eastAsia" w:ascii="宋体" w:hAnsi="宋体" w:cs="宋体"/>
                <w:snapToGrid w:val="0"/>
                <w:kern w:val="0"/>
              </w:rPr>
              <w:t>11</w:t>
            </w:r>
          </w:p>
        </w:tc>
        <w:tc>
          <w:tcPr>
            <w:tcW w:w="8186" w:type="dxa"/>
            <w:gridSpan w:val="3"/>
            <w:vAlign w:val="center"/>
          </w:tcPr>
          <w:p>
            <w:pPr>
              <w:tabs>
                <w:tab w:val="left" w:pos="360"/>
              </w:tabs>
              <w:adjustRightInd w:val="0"/>
              <w:snapToGrid w:val="0"/>
              <w:rPr>
                <w:rFonts w:ascii="宋体" w:hAnsi="宋体" w:cs="宋体"/>
                <w:snapToGrid w:val="0"/>
                <w:kern w:val="0"/>
              </w:rPr>
            </w:pPr>
            <w:r>
              <w:rPr>
                <w:rFonts w:hint="eastAsia" w:ascii="宋体" w:hAnsi="宋体" w:cs="宋体"/>
                <w:snapToGrid w:val="0"/>
                <w:kern w:val="0"/>
              </w:rPr>
              <w:t>投标人须知前附表与正文部分不一致的，以前附表为准。</w:t>
            </w:r>
          </w:p>
        </w:tc>
      </w:tr>
    </w:tbl>
    <w:p>
      <w:pPr>
        <w:pStyle w:val="2"/>
        <w:rPr>
          <w:rFonts w:ascii="宋体"/>
          <w:color w:val="000000"/>
        </w:rPr>
      </w:pPr>
      <w:bookmarkStart w:id="25" w:name="_Toc5542129"/>
      <w:bookmarkStart w:id="26" w:name="_Toc6745567"/>
    </w:p>
    <w:p>
      <w:pPr>
        <w:rPr>
          <w:rFonts w:ascii="宋体"/>
          <w:color w:val="000000"/>
        </w:rPr>
      </w:pPr>
    </w:p>
    <w:p>
      <w:pPr>
        <w:widowControl/>
        <w:jc w:val="left"/>
        <w:rPr>
          <w:kern w:val="0"/>
          <w:sz w:val="20"/>
          <w:szCs w:val="20"/>
        </w:rPr>
      </w:pPr>
      <w:r>
        <w:br w:type="page"/>
      </w:r>
    </w:p>
    <w:p>
      <w:pPr>
        <w:pStyle w:val="2"/>
      </w:pPr>
    </w:p>
    <w:p>
      <w:pPr>
        <w:pStyle w:val="5"/>
        <w:jc w:val="left"/>
        <w:rPr>
          <w:rFonts w:ascii="宋体"/>
          <w:color w:val="000000"/>
        </w:rPr>
      </w:pPr>
      <w:r>
        <w:rPr>
          <w:rFonts w:hint="eastAsia" w:ascii="宋体"/>
          <w:color w:val="000000"/>
        </w:rPr>
        <w:t>附录1  资格审查条件（资质最低要求）</w:t>
      </w:r>
      <w:bookmarkEnd w:id="25"/>
      <w:bookmarkEnd w:id="26"/>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072" w:type="dxa"/>
            <w:vAlign w:val="center"/>
          </w:tcPr>
          <w:p>
            <w:pPr>
              <w:jc w:val="center"/>
              <w:rPr>
                <w:rFonts w:ascii="宋体" w:hAnsi="宋体" w:cs="宋体"/>
                <w:color w:val="000000"/>
                <w:sz w:val="24"/>
              </w:rPr>
            </w:pPr>
            <w:r>
              <w:rPr>
                <w:rFonts w:hint="eastAsia" w:ascii="宋体" w:hAnsi="宋体" w:cs="宋体"/>
                <w:color w:val="000000"/>
                <w:sz w:val="24"/>
              </w:rPr>
              <w:t>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0" w:hRule="atLeast"/>
          <w:jc w:val="center"/>
        </w:trPr>
        <w:tc>
          <w:tcPr>
            <w:tcW w:w="9072" w:type="dxa"/>
            <w:vAlign w:val="center"/>
          </w:tcPr>
          <w:p>
            <w:pPr>
              <w:spacing w:line="360" w:lineRule="auto"/>
              <w:ind w:firstLine="480" w:firstLineChars="200"/>
              <w:jc w:val="left"/>
              <w:rPr>
                <w:rFonts w:ascii="宋体" w:hAnsi="宋体" w:cs="华文细黑"/>
                <w:color w:val="000000"/>
                <w:kern w:val="0"/>
                <w:sz w:val="24"/>
              </w:rPr>
            </w:pPr>
            <w:r>
              <w:rPr>
                <w:rFonts w:hint="eastAsia" w:ascii="宋体" w:hAnsi="宋体" w:cs="华文细黑"/>
                <w:color w:val="000000"/>
                <w:kern w:val="0"/>
                <w:sz w:val="24"/>
              </w:rPr>
              <w:t>须同时具备设计和施工资质，</w:t>
            </w:r>
          </w:p>
          <w:p>
            <w:pPr>
              <w:spacing w:line="440" w:lineRule="exact"/>
              <w:ind w:firstLine="480" w:firstLineChars="200"/>
              <w:rPr>
                <w:rFonts w:hint="eastAsia" w:ascii="宋体" w:hAnsi="宋体" w:cs="华文细黑"/>
                <w:color w:val="000000"/>
                <w:kern w:val="0"/>
                <w:sz w:val="24"/>
              </w:rPr>
            </w:pPr>
            <w:r>
              <w:rPr>
                <w:rFonts w:hint="eastAsia" w:ascii="宋体" w:hAnsi="宋体" w:cs="华文细黑"/>
                <w:color w:val="000000"/>
                <w:kern w:val="0"/>
                <w:sz w:val="24"/>
              </w:rPr>
              <w:t>设计资质须具备建设行政主管部门核发的下列资质之一：投标人须同时具备建设行政主管部门核发有效的工程设计综合资质甲级和工程勘察综合资质甲级；</w:t>
            </w:r>
          </w:p>
          <w:p>
            <w:pPr>
              <w:spacing w:line="360" w:lineRule="auto"/>
              <w:ind w:firstLine="480" w:firstLineChars="200"/>
              <w:jc w:val="left"/>
              <w:rPr>
                <w:rFonts w:ascii="宋体" w:hAnsi="宋体" w:cs="华文细黑"/>
                <w:color w:val="000000"/>
                <w:kern w:val="0"/>
                <w:sz w:val="24"/>
              </w:rPr>
            </w:pPr>
          </w:p>
          <w:p>
            <w:pPr>
              <w:spacing w:line="360" w:lineRule="auto"/>
              <w:ind w:firstLine="480" w:firstLineChars="200"/>
              <w:jc w:val="left"/>
              <w:rPr>
                <w:rFonts w:ascii="宋体" w:hAnsi="宋体" w:cs="华文细黑"/>
                <w:color w:val="000000"/>
                <w:kern w:val="0"/>
                <w:sz w:val="24"/>
              </w:rPr>
            </w:pPr>
            <w:r>
              <w:rPr>
                <w:rFonts w:hint="eastAsia" w:ascii="宋体" w:hAnsi="宋体" w:cs="华文细黑"/>
                <w:color w:val="000000"/>
                <w:kern w:val="0"/>
                <w:sz w:val="24"/>
              </w:rPr>
              <w:t>施工资质须满足以下要求：投标人须具有建设行政主管部门核发的铁路工程施工总承包壹级及以上资质（具备有效的安全生产许可证），同时具有铁路电务工程专业承包叁级及以上资质或铁路电气化工程专业承包叁级及以上资质或电力工程施工总承包叁级及以上资质。</w:t>
            </w:r>
          </w:p>
        </w:tc>
      </w:tr>
    </w:tbl>
    <w:p>
      <w:pPr>
        <w:rPr>
          <w:rFonts w:ascii="宋体" w:hAnsi="宋体" w:cs="宋体"/>
          <w:color w:val="000000"/>
          <w:sz w:val="24"/>
        </w:rPr>
      </w:pPr>
    </w:p>
    <w:p>
      <w:pPr>
        <w:pStyle w:val="5"/>
        <w:rPr>
          <w:rFonts w:ascii="宋体"/>
          <w:color w:val="000000"/>
        </w:rPr>
      </w:pPr>
      <w:bookmarkStart w:id="27" w:name="_Toc234349328"/>
      <w:bookmarkStart w:id="28" w:name="_Toc512670816"/>
      <w:bookmarkStart w:id="29" w:name="_Toc234345719"/>
      <w:bookmarkStart w:id="30" w:name="_Toc234348754"/>
      <w:bookmarkStart w:id="31" w:name="_Toc6745568"/>
      <w:bookmarkStart w:id="32" w:name="_Toc234345934"/>
      <w:bookmarkStart w:id="33" w:name="_Toc5542130"/>
      <w:r>
        <w:rPr>
          <w:rFonts w:hint="eastAsia" w:ascii="宋体"/>
          <w:color w:val="000000"/>
        </w:rPr>
        <w:t>附录2  资格审查条件（财务最低要求）</w:t>
      </w:r>
      <w:bookmarkEnd w:id="27"/>
      <w:bookmarkEnd w:id="28"/>
      <w:bookmarkEnd w:id="29"/>
      <w:bookmarkEnd w:id="30"/>
      <w:bookmarkEnd w:id="31"/>
      <w:bookmarkEnd w:id="32"/>
      <w:bookmarkEnd w:id="33"/>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072" w:type="dxa"/>
            <w:vAlign w:val="center"/>
          </w:tcPr>
          <w:p>
            <w:pPr>
              <w:jc w:val="center"/>
              <w:rPr>
                <w:rFonts w:ascii="宋体" w:hAnsi="宋体" w:cs="宋体"/>
                <w:color w:val="000000"/>
                <w:sz w:val="24"/>
              </w:rPr>
            </w:pPr>
            <w:r>
              <w:rPr>
                <w:rFonts w:hint="eastAsia" w:ascii="宋体" w:hAnsi="宋体" w:cs="宋体"/>
                <w:color w:val="000000"/>
                <w:sz w:val="24"/>
              </w:rPr>
              <w:t>财务要求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3" w:hRule="atLeast"/>
          <w:jc w:val="center"/>
        </w:trPr>
        <w:tc>
          <w:tcPr>
            <w:tcW w:w="9072" w:type="dxa"/>
            <w:vAlign w:val="center"/>
          </w:tcPr>
          <w:p>
            <w:pPr>
              <w:autoSpaceDE w:val="0"/>
              <w:autoSpaceDN w:val="0"/>
              <w:adjustRightInd w:val="0"/>
              <w:snapToGrid w:val="0"/>
              <w:spacing w:line="360" w:lineRule="auto"/>
              <w:ind w:left="10" w:leftChars="5" w:firstLine="309" w:firstLineChars="129"/>
              <w:jc w:val="center"/>
              <w:outlineLvl w:val="0"/>
              <w:rPr>
                <w:rFonts w:ascii="宋体"/>
                <w:color w:val="000000"/>
                <w:kern w:val="0"/>
                <w:sz w:val="24"/>
              </w:rPr>
            </w:pPr>
            <w:r>
              <w:rPr>
                <w:rFonts w:hint="eastAsia" w:ascii="宋体" w:hAnsi="宋体" w:cs="宋体"/>
                <w:color w:val="000000"/>
                <w:kern w:val="0"/>
                <w:sz w:val="24"/>
              </w:rPr>
              <w:t>无</w:t>
            </w:r>
          </w:p>
        </w:tc>
      </w:tr>
    </w:tbl>
    <w:p>
      <w:pPr>
        <w:rPr>
          <w:rFonts w:ascii="宋体" w:hAnsi="宋体" w:cs="宋体"/>
          <w:color w:val="000000"/>
          <w:sz w:val="24"/>
        </w:rPr>
      </w:pPr>
    </w:p>
    <w:p>
      <w:pPr>
        <w:pStyle w:val="2"/>
      </w:pPr>
    </w:p>
    <w:p/>
    <w:p>
      <w:pPr>
        <w:pStyle w:val="2"/>
      </w:pPr>
    </w:p>
    <w:p/>
    <w:p>
      <w:pPr>
        <w:pStyle w:val="2"/>
      </w:pPr>
    </w:p>
    <w:p>
      <w:pPr>
        <w:pStyle w:val="5"/>
        <w:rPr>
          <w:rFonts w:ascii="宋体"/>
          <w:color w:val="000000"/>
        </w:rPr>
      </w:pPr>
      <w:bookmarkStart w:id="34" w:name="_Toc234345720"/>
      <w:bookmarkStart w:id="35" w:name="_Toc6745570"/>
      <w:bookmarkStart w:id="36" w:name="_Toc234345935"/>
      <w:bookmarkStart w:id="37" w:name="_Toc5542131"/>
      <w:bookmarkStart w:id="38" w:name="_Toc234348755"/>
      <w:bookmarkStart w:id="39" w:name="_Toc234349329"/>
      <w:bookmarkStart w:id="40" w:name="_Toc512670817"/>
      <w:r>
        <w:rPr>
          <w:rFonts w:hint="eastAsia" w:ascii="宋体"/>
          <w:color w:val="000000"/>
        </w:rPr>
        <w:t>附录3  资格审查条件（业绩最低要求）</w:t>
      </w:r>
      <w:bookmarkEnd w:id="34"/>
      <w:bookmarkEnd w:id="35"/>
      <w:bookmarkEnd w:id="36"/>
      <w:bookmarkEnd w:id="37"/>
      <w:bookmarkEnd w:id="38"/>
      <w:bookmarkEnd w:id="39"/>
      <w:bookmarkEnd w:id="40"/>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072" w:type="dxa"/>
            <w:vAlign w:val="center"/>
          </w:tcPr>
          <w:p>
            <w:pPr>
              <w:jc w:val="center"/>
              <w:rPr>
                <w:rFonts w:ascii="宋体" w:hAnsi="宋体" w:cs="宋体"/>
                <w:color w:val="000000"/>
                <w:sz w:val="24"/>
              </w:rPr>
            </w:pPr>
            <w:r>
              <w:rPr>
                <w:rFonts w:hint="eastAsia" w:ascii="宋体" w:hAnsi="宋体" w:cs="宋体"/>
                <w:color w:val="000000"/>
                <w:sz w:val="24"/>
              </w:rPr>
              <w:t>业绩要求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42" w:hRule="atLeast"/>
          <w:jc w:val="center"/>
        </w:trPr>
        <w:tc>
          <w:tcPr>
            <w:tcW w:w="9072" w:type="dxa"/>
            <w:vAlign w:val="center"/>
          </w:tcPr>
          <w:p>
            <w:pPr>
              <w:autoSpaceDE w:val="0"/>
              <w:autoSpaceDN w:val="0"/>
              <w:adjustRightInd w:val="0"/>
              <w:snapToGrid w:val="0"/>
              <w:spacing w:before="120" w:beforeLines="50" w:line="360" w:lineRule="auto"/>
              <w:ind w:firstLine="480" w:firstLineChars="200"/>
              <w:rPr>
                <w:rFonts w:ascii="宋体" w:hAnsi="宋体"/>
                <w:color w:val="000000"/>
                <w:sz w:val="24"/>
              </w:rPr>
            </w:pPr>
            <w:r>
              <w:rPr>
                <w:rFonts w:hint="eastAsia" w:ascii="宋体" w:hAnsi="宋体"/>
                <w:color w:val="000000"/>
                <w:sz w:val="24"/>
              </w:rPr>
              <w:t>同时具有设计和工程总承包业绩，</w:t>
            </w:r>
          </w:p>
          <w:p>
            <w:pPr>
              <w:autoSpaceDE w:val="0"/>
              <w:autoSpaceDN w:val="0"/>
              <w:adjustRightInd w:val="0"/>
              <w:snapToGrid w:val="0"/>
              <w:spacing w:before="120" w:beforeLines="50" w:line="360" w:lineRule="auto"/>
              <w:ind w:firstLine="420" w:firstLineChars="200"/>
              <w:rPr>
                <w:rFonts w:ascii="宋体" w:hAnsi="宋体" w:cs="宋体"/>
              </w:rPr>
            </w:pPr>
            <w:r>
              <w:rPr>
                <w:rFonts w:hint="eastAsia" w:ascii="宋体" w:hAnsi="宋体" w:cs="宋体"/>
              </w:rPr>
              <w:t>投标人（以联合体投标的为联合体牵头人）近五年（20</w:t>
            </w:r>
            <w:r>
              <w:rPr>
                <w:rFonts w:ascii="宋体" w:hAnsi="宋体" w:cs="宋体"/>
              </w:rPr>
              <w:t>18</w:t>
            </w:r>
            <w:r>
              <w:rPr>
                <w:rFonts w:hint="eastAsia" w:ascii="宋体" w:hAnsi="宋体" w:cs="宋体"/>
              </w:rPr>
              <w:t>年1月1日至今，以合同签订日期为准）应同时具有以下业绩：①一项电气化铁路干线工程“三电”迁改工程总承包业绩；②一项时速350公里及以上电气化铁路设计业绩或总承包业绩。</w:t>
            </w:r>
          </w:p>
          <w:p>
            <w:pPr>
              <w:autoSpaceDE w:val="0"/>
              <w:autoSpaceDN w:val="0"/>
              <w:adjustRightInd w:val="0"/>
              <w:snapToGrid w:val="0"/>
              <w:spacing w:before="120" w:beforeLines="50" w:line="360" w:lineRule="auto"/>
              <w:ind w:firstLine="482" w:firstLineChars="200"/>
              <w:rPr>
                <w:rFonts w:ascii="宋体" w:hAnsi="宋体"/>
                <w:b/>
                <w:bCs/>
                <w:color w:val="000000"/>
                <w:sz w:val="24"/>
              </w:rPr>
            </w:pPr>
            <w:r>
              <w:rPr>
                <w:rFonts w:hint="eastAsia" w:ascii="宋体" w:hAnsi="宋体"/>
                <w:b/>
                <w:bCs/>
                <w:color w:val="000000"/>
                <w:sz w:val="24"/>
              </w:rPr>
              <w:t>设计业绩时间认定，以签订合同的时间为准。</w:t>
            </w:r>
          </w:p>
          <w:p>
            <w:pPr>
              <w:autoSpaceDE w:val="0"/>
              <w:autoSpaceDN w:val="0"/>
              <w:adjustRightInd w:val="0"/>
              <w:snapToGrid w:val="0"/>
              <w:spacing w:before="120" w:beforeLines="50" w:line="360" w:lineRule="auto"/>
              <w:ind w:firstLine="482" w:firstLineChars="200"/>
              <w:rPr>
                <w:rFonts w:ascii="宋体" w:hAnsi="宋体"/>
                <w:color w:val="000000"/>
                <w:sz w:val="24"/>
              </w:rPr>
            </w:pPr>
            <w:r>
              <w:rPr>
                <w:rFonts w:hint="eastAsia" w:ascii="宋体" w:hAnsi="宋体"/>
                <w:b/>
                <w:bCs/>
                <w:color w:val="000000"/>
                <w:sz w:val="24"/>
              </w:rPr>
              <w:t>工程总承包业绩时间认定，以签订合同的时间为准。</w:t>
            </w:r>
          </w:p>
        </w:tc>
      </w:tr>
    </w:tbl>
    <w:p>
      <w:pPr>
        <w:pStyle w:val="5"/>
        <w:rPr>
          <w:rFonts w:ascii="宋体"/>
          <w:color w:val="000000"/>
        </w:rPr>
      </w:pPr>
      <w:r>
        <w:rPr>
          <w:rFonts w:ascii="宋体"/>
          <w:color w:val="000000"/>
        </w:rPr>
        <w:br w:type="page"/>
      </w:r>
      <w:bookmarkStart w:id="41" w:name="_Toc234345936"/>
      <w:bookmarkStart w:id="42" w:name="_Toc512670818"/>
      <w:bookmarkStart w:id="43" w:name="_Toc234348756"/>
      <w:bookmarkStart w:id="44" w:name="_Toc6745571"/>
      <w:bookmarkStart w:id="45" w:name="_Toc234345721"/>
      <w:bookmarkStart w:id="46" w:name="_Toc234349330"/>
      <w:bookmarkStart w:id="47" w:name="_Toc5542132"/>
      <w:r>
        <w:rPr>
          <w:rFonts w:hint="eastAsia" w:ascii="宋体"/>
          <w:color w:val="000000"/>
        </w:rPr>
        <w:t>附录4  资格审查条件（信誉最低要求）</w:t>
      </w:r>
      <w:bookmarkEnd w:id="41"/>
      <w:bookmarkEnd w:id="42"/>
      <w:bookmarkEnd w:id="43"/>
      <w:bookmarkEnd w:id="44"/>
      <w:bookmarkEnd w:id="45"/>
      <w:bookmarkEnd w:id="46"/>
      <w:bookmarkEnd w:id="47"/>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072" w:type="dxa"/>
            <w:vAlign w:val="center"/>
          </w:tcPr>
          <w:p>
            <w:pPr>
              <w:jc w:val="center"/>
              <w:rPr>
                <w:rFonts w:ascii="宋体" w:hAnsi="宋体" w:cs="宋体"/>
                <w:color w:val="000000"/>
                <w:sz w:val="24"/>
              </w:rPr>
            </w:pPr>
            <w:r>
              <w:rPr>
                <w:rFonts w:hint="eastAsia" w:ascii="宋体" w:hAnsi="宋体" w:cs="宋体"/>
                <w:color w:val="000000"/>
                <w:sz w:val="24"/>
              </w:rPr>
              <w:t>信誉要求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29" w:hRule="atLeast"/>
          <w:jc w:val="center"/>
        </w:trPr>
        <w:tc>
          <w:tcPr>
            <w:tcW w:w="9072" w:type="dxa"/>
            <w:vAlign w:val="center"/>
          </w:tcPr>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1、在国家企业信用信息公示系统（http://www.gsxt.gov.cn/）中无经营异常情况、未被列入严重违法失信企业名单。</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2、在“信用中国”网站（http：//www.creditchina.gov.cn/）中未被列入失信被执行人名单。</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3、投标人（含联合体成员）在交通运输部202</w:t>
            </w:r>
            <w:r>
              <w:rPr>
                <w:rFonts w:hint="eastAsia" w:ascii="宋体" w:hAnsi="宋体" w:cs="宋体"/>
                <w:color w:val="000000"/>
                <w:sz w:val="24"/>
                <w:lang w:val="en-US" w:eastAsia="zh-CN"/>
              </w:rPr>
              <w:t>1</w:t>
            </w:r>
            <w:r>
              <w:rPr>
                <w:rFonts w:hint="eastAsia" w:ascii="宋体" w:hAnsi="宋体" w:cs="宋体"/>
                <w:color w:val="000000"/>
                <w:sz w:val="24"/>
              </w:rPr>
              <w:t>年度公路建设市场全国综合信用评价结果或2021年度天津市公路建设市场从业企业信用评价被评为</w:t>
            </w:r>
            <w:r>
              <w:rPr>
                <w:rFonts w:ascii="宋体" w:hAnsi="宋体" w:cs="宋体"/>
                <w:color w:val="000000"/>
                <w:sz w:val="24"/>
              </w:rPr>
              <w:t>C</w:t>
            </w:r>
            <w:r>
              <w:rPr>
                <w:rFonts w:hint="eastAsia" w:ascii="宋体" w:hAnsi="宋体" w:cs="宋体"/>
                <w:color w:val="000000"/>
                <w:sz w:val="24"/>
              </w:rPr>
              <w:t>级或以上。若为联合体投标，则以设计单位的信用评价等级结果为准；若为非联合体投标，则以投标人的设计企业信用评价等级结果为准。</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公路建设市场信用等级评价以2021年度天津市公路建设市场从业企业信用评价结果为准；未参与2021年度天津市公路建设市场从业企业信用评价的单位，以交通运输部202</w:t>
            </w:r>
            <w:r>
              <w:rPr>
                <w:rFonts w:hint="eastAsia" w:ascii="宋体" w:hAnsi="宋体" w:cs="宋体"/>
                <w:color w:val="000000"/>
                <w:sz w:val="24"/>
                <w:lang w:val="en-US" w:eastAsia="zh-CN"/>
              </w:rPr>
              <w:t>1</w:t>
            </w:r>
            <w:r>
              <w:rPr>
                <w:rFonts w:hint="eastAsia" w:ascii="宋体" w:hAnsi="宋体" w:cs="宋体"/>
                <w:color w:val="000000"/>
                <w:sz w:val="24"/>
              </w:rPr>
              <w:t>年度公路建设市场全国综合信用评价结果为准；交通运输部202</w:t>
            </w:r>
            <w:r>
              <w:rPr>
                <w:rFonts w:hint="eastAsia" w:ascii="宋体" w:hAnsi="宋体" w:cs="宋体"/>
                <w:color w:val="000000"/>
                <w:sz w:val="24"/>
                <w:lang w:val="en-US" w:eastAsia="zh-CN"/>
              </w:rPr>
              <w:t>1</w:t>
            </w:r>
            <w:r>
              <w:rPr>
                <w:rFonts w:hint="eastAsia" w:ascii="宋体" w:hAnsi="宋体" w:cs="宋体"/>
                <w:color w:val="000000"/>
                <w:sz w:val="24"/>
              </w:rPr>
              <w:t>年度公路建设市场全国综合信用评价结果和2021年度天津市公路建设市场从业企业信用评价均未参与的（须附未参与评价的说明并加盖公章），若无不良信用记录的，视同为A级。（若未均参与评价，须附未参与评价的说明并加盖公章，并在说明中写明属于以下哪种情况：1、2021年度天津市公路建设市场从业企业信用评价未参与或交通运输部202</w:t>
            </w:r>
            <w:r>
              <w:rPr>
                <w:rFonts w:hint="eastAsia" w:ascii="宋体" w:hAnsi="宋体" w:cs="宋体"/>
                <w:color w:val="000000"/>
                <w:sz w:val="24"/>
                <w:lang w:val="en-US" w:eastAsia="zh-CN"/>
              </w:rPr>
              <w:t>1</w:t>
            </w:r>
            <w:r>
              <w:rPr>
                <w:rFonts w:hint="eastAsia" w:ascii="宋体" w:hAnsi="宋体" w:cs="宋体"/>
                <w:color w:val="000000"/>
                <w:sz w:val="24"/>
              </w:rPr>
              <w:t>年度公路建设市场全国综合信用评价结果未参与；2、交通运输部202</w:t>
            </w:r>
            <w:r>
              <w:rPr>
                <w:rFonts w:hint="eastAsia" w:ascii="宋体" w:hAnsi="宋体" w:cs="宋体"/>
                <w:color w:val="000000"/>
                <w:sz w:val="24"/>
                <w:lang w:val="en-US" w:eastAsia="zh-CN"/>
              </w:rPr>
              <w:t>1</w:t>
            </w:r>
            <w:r>
              <w:rPr>
                <w:rFonts w:hint="eastAsia" w:ascii="宋体" w:hAnsi="宋体" w:cs="宋体"/>
                <w:color w:val="000000"/>
                <w:sz w:val="24"/>
              </w:rPr>
              <w:t>年度公路建设市场全国综合信用评价结果和2021年度天津市公路建设市场从业企业信用评价均未参与。）</w:t>
            </w:r>
          </w:p>
        </w:tc>
      </w:tr>
    </w:tbl>
    <w:p>
      <w:pPr>
        <w:pStyle w:val="5"/>
        <w:rPr>
          <w:rFonts w:ascii="宋体"/>
          <w:color w:val="000000"/>
        </w:rPr>
      </w:pPr>
      <w:r>
        <w:rPr>
          <w:rFonts w:ascii="宋体"/>
          <w:color w:val="000000"/>
        </w:rPr>
        <w:br w:type="page"/>
      </w:r>
      <w:bookmarkStart w:id="48" w:name="_Toc234349331"/>
      <w:bookmarkStart w:id="49" w:name="_Toc234345722"/>
      <w:bookmarkStart w:id="50" w:name="_Toc234345937"/>
      <w:bookmarkStart w:id="51" w:name="_Toc234348757"/>
      <w:bookmarkStart w:id="52" w:name="_Toc512670819"/>
      <w:bookmarkStart w:id="53" w:name="_Toc5542133"/>
      <w:bookmarkStart w:id="54" w:name="_Toc6745572"/>
      <w:r>
        <w:rPr>
          <w:rFonts w:hint="eastAsia" w:ascii="宋体"/>
          <w:color w:val="000000"/>
        </w:rPr>
        <w:t>附录5  资格审查条件</w:t>
      </w:r>
      <w:bookmarkEnd w:id="48"/>
      <w:bookmarkEnd w:id="49"/>
      <w:bookmarkEnd w:id="50"/>
      <w:bookmarkEnd w:id="51"/>
      <w:r>
        <w:rPr>
          <w:rFonts w:hint="eastAsia" w:ascii="宋体"/>
          <w:color w:val="000000"/>
        </w:rPr>
        <w:t>（人员最低要求）</w:t>
      </w:r>
      <w:bookmarkEnd w:id="52"/>
      <w:bookmarkEnd w:id="53"/>
      <w:bookmarkEnd w:id="54"/>
    </w:p>
    <w:p>
      <w:pPr>
        <w:rPr>
          <w:color w:val="000000"/>
        </w:rPr>
      </w:pPr>
    </w:p>
    <w:tbl>
      <w:tblPr>
        <w:tblStyle w:val="37"/>
        <w:tblW w:w="931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1"/>
        <w:gridCol w:w="794"/>
        <w:gridCol w:w="4536"/>
        <w:gridCol w:w="25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0" w:hRule="atLeast"/>
        </w:trPr>
        <w:tc>
          <w:tcPr>
            <w:tcW w:w="1441" w:type="dxa"/>
            <w:vAlign w:val="center"/>
          </w:tcPr>
          <w:p>
            <w:pPr>
              <w:jc w:val="center"/>
              <w:rPr>
                <w:rFonts w:ascii="宋体" w:hAnsi="宋体"/>
                <w:sz w:val="24"/>
              </w:rPr>
            </w:pPr>
            <w:r>
              <w:rPr>
                <w:rFonts w:hint="eastAsia" w:ascii="宋体" w:hAnsi="宋体"/>
                <w:sz w:val="24"/>
              </w:rPr>
              <w:t>人员</w:t>
            </w:r>
          </w:p>
        </w:tc>
        <w:tc>
          <w:tcPr>
            <w:tcW w:w="794" w:type="dxa"/>
            <w:vAlign w:val="center"/>
          </w:tcPr>
          <w:p>
            <w:pPr>
              <w:jc w:val="center"/>
              <w:rPr>
                <w:rFonts w:ascii="宋体" w:hAnsi="宋体"/>
                <w:sz w:val="24"/>
              </w:rPr>
            </w:pPr>
            <w:r>
              <w:rPr>
                <w:rFonts w:hint="eastAsia" w:ascii="宋体" w:hAnsi="宋体"/>
                <w:sz w:val="24"/>
              </w:rPr>
              <w:t>数量</w:t>
            </w:r>
          </w:p>
        </w:tc>
        <w:tc>
          <w:tcPr>
            <w:tcW w:w="4536" w:type="dxa"/>
            <w:vAlign w:val="center"/>
          </w:tcPr>
          <w:p>
            <w:pPr>
              <w:jc w:val="center"/>
              <w:rPr>
                <w:rFonts w:ascii="宋体" w:hAnsi="宋体"/>
                <w:sz w:val="24"/>
              </w:rPr>
            </w:pPr>
            <w:r>
              <w:rPr>
                <w:rFonts w:hint="eastAsia" w:ascii="宋体" w:hAnsi="宋体"/>
                <w:sz w:val="24"/>
              </w:rPr>
              <w:t>资格要求</w:t>
            </w:r>
          </w:p>
        </w:tc>
        <w:tc>
          <w:tcPr>
            <w:tcW w:w="2544" w:type="dxa"/>
            <w:vAlign w:val="center"/>
          </w:tcPr>
          <w:p>
            <w:pPr>
              <w:jc w:val="center"/>
              <w:rPr>
                <w:rFonts w:ascii="宋体" w:hAnsi="宋体"/>
                <w:sz w:val="24"/>
              </w:rPr>
            </w:pPr>
            <w:r>
              <w:rPr>
                <w:rFonts w:ascii="宋体" w:hAnsi="宋体"/>
                <w:sz w:val="24"/>
              </w:rPr>
              <w:t>在</w:t>
            </w:r>
            <w:r>
              <w:rPr>
                <w:rFonts w:hint="eastAsia" w:ascii="宋体" w:hAnsi="宋体"/>
                <w:sz w:val="24"/>
              </w:rPr>
              <w:t>岗</w:t>
            </w:r>
            <w:r>
              <w:rPr>
                <w:rFonts w:ascii="宋体" w:hAnsi="宋体"/>
                <w:sz w:val="24"/>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3" w:hRule="atLeast"/>
        </w:trPr>
        <w:tc>
          <w:tcPr>
            <w:tcW w:w="1441" w:type="dxa"/>
            <w:vAlign w:val="center"/>
          </w:tcPr>
          <w:p>
            <w:pPr>
              <w:spacing w:before="120" w:beforeLines="50" w:after="120" w:afterLines="50"/>
              <w:jc w:val="center"/>
              <w:rPr>
                <w:rFonts w:ascii="宋体" w:hAnsi="宋体" w:cs="宋体"/>
                <w:kern w:val="0"/>
                <w:sz w:val="24"/>
              </w:rPr>
            </w:pPr>
            <w:r>
              <w:rPr>
                <w:rFonts w:ascii="宋体" w:hAnsi="宋体" w:cs="宋体"/>
                <w:kern w:val="0"/>
                <w:sz w:val="24"/>
              </w:rPr>
              <w:t>项目</w:t>
            </w:r>
            <w:r>
              <w:rPr>
                <w:rFonts w:hint="eastAsia" w:ascii="宋体" w:hAnsi="宋体" w:cs="宋体"/>
                <w:kern w:val="0"/>
                <w:sz w:val="24"/>
              </w:rPr>
              <w:t>经理</w:t>
            </w:r>
          </w:p>
        </w:tc>
        <w:tc>
          <w:tcPr>
            <w:tcW w:w="794" w:type="dxa"/>
            <w:vAlign w:val="center"/>
          </w:tcPr>
          <w:p>
            <w:pPr>
              <w:adjustRightInd w:val="0"/>
              <w:snapToGrid w:val="0"/>
              <w:spacing w:before="120" w:beforeLines="50" w:after="120" w:afterLines="50"/>
              <w:jc w:val="center"/>
              <w:rPr>
                <w:rFonts w:ascii="宋体" w:hAnsi="宋体"/>
                <w:sz w:val="24"/>
              </w:rPr>
            </w:pPr>
            <w:r>
              <w:rPr>
                <w:rFonts w:hint="eastAsia" w:ascii="宋体" w:hAnsi="宋体"/>
                <w:sz w:val="24"/>
              </w:rPr>
              <w:t>1</w:t>
            </w:r>
          </w:p>
        </w:tc>
        <w:tc>
          <w:tcPr>
            <w:tcW w:w="4536" w:type="dxa"/>
            <w:vAlign w:val="center"/>
          </w:tcPr>
          <w:p>
            <w:pPr>
              <w:widowControl/>
              <w:spacing w:line="440" w:lineRule="exact"/>
              <w:ind w:firstLine="420" w:firstLineChars="200"/>
              <w:rPr>
                <w:rFonts w:ascii="宋体"/>
              </w:rPr>
            </w:pPr>
            <w:bookmarkStart w:id="55" w:name="_Hlk99538919"/>
            <w:r>
              <w:rPr>
                <w:rFonts w:hint="eastAsia" w:ascii="宋体" w:hAnsi="宋体" w:cs="宋体"/>
              </w:rPr>
              <w:t>项目经理要求：</w:t>
            </w:r>
          </w:p>
          <w:p>
            <w:pPr>
              <w:spacing w:line="360" w:lineRule="auto"/>
              <w:ind w:firstLine="420" w:firstLineChars="200"/>
              <w:jc w:val="left"/>
              <w:rPr>
                <w:rFonts w:ascii="宋体" w:hAnsi="宋体"/>
                <w:sz w:val="24"/>
              </w:rPr>
            </w:pPr>
            <w:r>
              <w:rPr>
                <w:rFonts w:hint="eastAsia" w:ascii="宋体" w:hAnsi="宋体" w:cs="宋体"/>
                <w:bCs/>
              </w:rPr>
              <w:t>拟派项目经理须</w:t>
            </w:r>
            <w:r>
              <w:rPr>
                <w:rFonts w:hint="eastAsia" w:ascii="宋体" w:hAnsi="宋体" w:cs="宋体"/>
              </w:rPr>
              <w:t>具备建设行政主管部门核发的合格有效的一级注册建造师执业资格（</w:t>
            </w:r>
            <w:r>
              <w:rPr>
                <w:rFonts w:hint="eastAsia" w:ascii="宋体" w:hAnsi="宋体" w:cs="宋体"/>
                <w:bCs/>
              </w:rPr>
              <w:t>铁路工程专业或机电工程专业</w:t>
            </w:r>
            <w:r>
              <w:rPr>
                <w:rFonts w:hint="eastAsia" w:ascii="宋体" w:hAnsi="宋体" w:cs="宋体"/>
              </w:rPr>
              <w:t>），</w:t>
            </w:r>
            <w:r>
              <w:rPr>
                <w:rFonts w:hint="eastAsia" w:ascii="宋体" w:hAnsi="宋体" w:cs="宋体"/>
                <w:bCs/>
              </w:rPr>
              <w:t>高级或以上职称，自投标截止之日起未在其他建设项目上担任项目经理。</w:t>
            </w:r>
            <w:r>
              <w:rPr>
                <w:rFonts w:hint="eastAsia" w:ascii="宋体" w:hAnsi="宋体" w:cs="宋体"/>
              </w:rPr>
              <w:t>项目经理的建造师注册证书的注册单位应与投标人名称一致。</w:t>
            </w:r>
            <w:bookmarkEnd w:id="55"/>
          </w:p>
        </w:tc>
        <w:tc>
          <w:tcPr>
            <w:tcW w:w="2544" w:type="dxa"/>
            <w:vAlign w:val="center"/>
          </w:tcPr>
          <w:p>
            <w:pPr>
              <w:spacing w:line="360" w:lineRule="auto"/>
              <w:ind w:firstLine="240" w:firstLineChars="100"/>
              <w:jc w:val="center"/>
              <w:rPr>
                <w:rFonts w:ascii="宋体" w:hAnsi="宋体"/>
                <w:sz w:val="24"/>
              </w:rPr>
            </w:pP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10" w:hRule="atLeast"/>
        </w:trPr>
        <w:tc>
          <w:tcPr>
            <w:tcW w:w="1441" w:type="dxa"/>
            <w:vAlign w:val="center"/>
          </w:tcPr>
          <w:p>
            <w:pPr>
              <w:spacing w:before="120" w:beforeLines="50" w:after="120" w:afterLines="50"/>
              <w:jc w:val="center"/>
              <w:rPr>
                <w:rFonts w:ascii="宋体" w:hAnsi="宋体" w:cs="宋体"/>
                <w:kern w:val="0"/>
                <w:sz w:val="24"/>
              </w:rPr>
            </w:pPr>
            <w:bookmarkStart w:id="56" w:name="_Hlk99538931"/>
            <w:r>
              <w:rPr>
                <w:rFonts w:hint="eastAsia" w:ascii="宋体" w:hAnsi="宋体" w:cs="宋体"/>
                <w:kern w:val="0"/>
                <w:sz w:val="24"/>
              </w:rPr>
              <w:t>设计负责人</w:t>
            </w:r>
            <w:bookmarkEnd w:id="56"/>
          </w:p>
        </w:tc>
        <w:tc>
          <w:tcPr>
            <w:tcW w:w="794" w:type="dxa"/>
            <w:vAlign w:val="center"/>
          </w:tcPr>
          <w:p>
            <w:pPr>
              <w:adjustRightInd w:val="0"/>
              <w:snapToGrid w:val="0"/>
              <w:spacing w:before="120" w:beforeLines="50" w:after="120" w:afterLines="50"/>
              <w:jc w:val="center"/>
              <w:rPr>
                <w:rFonts w:ascii="宋体" w:hAnsi="宋体" w:cs="宋体"/>
                <w:kern w:val="0"/>
                <w:sz w:val="24"/>
              </w:rPr>
            </w:pPr>
            <w:r>
              <w:rPr>
                <w:rFonts w:hint="eastAsia" w:ascii="宋体" w:hAnsi="宋体" w:cs="宋体"/>
                <w:kern w:val="0"/>
                <w:sz w:val="24"/>
              </w:rPr>
              <w:t>1</w:t>
            </w:r>
          </w:p>
        </w:tc>
        <w:tc>
          <w:tcPr>
            <w:tcW w:w="4536" w:type="dxa"/>
            <w:vAlign w:val="center"/>
          </w:tcPr>
          <w:p>
            <w:pPr>
              <w:widowControl/>
              <w:spacing w:line="440" w:lineRule="exact"/>
              <w:ind w:firstLine="420" w:firstLineChars="200"/>
              <w:rPr>
                <w:rFonts w:ascii="宋体" w:hAnsi="宋体" w:cs="宋体"/>
                <w:b/>
                <w:bCs/>
              </w:rPr>
            </w:pPr>
            <w:bookmarkStart w:id="57" w:name="_Hlk99538938"/>
            <w:r>
              <w:rPr>
                <w:rFonts w:hint="eastAsia" w:ascii="宋体" w:hAnsi="宋体" w:cs="宋体"/>
                <w:bCs/>
              </w:rPr>
              <w:t>设计负责人要求：</w:t>
            </w:r>
          </w:p>
          <w:p>
            <w:pPr>
              <w:spacing w:line="360" w:lineRule="auto"/>
              <w:ind w:firstLine="420" w:firstLineChars="200"/>
              <w:jc w:val="left"/>
              <w:rPr>
                <w:rFonts w:ascii="宋体" w:hAnsi="宋体" w:cs="宋体"/>
                <w:bCs/>
              </w:rPr>
            </w:pPr>
            <w:r>
              <w:rPr>
                <w:rFonts w:hint="eastAsia" w:ascii="宋体" w:hAnsi="宋体" w:cs="宋体"/>
                <w:bCs/>
              </w:rPr>
              <w:t>拟派设计负责人须为本企业担任过高速铁路项目设计负责人，且具有高级职称。</w:t>
            </w:r>
          </w:p>
          <w:bookmarkEnd w:id="57"/>
          <w:p>
            <w:pPr>
              <w:spacing w:line="288" w:lineRule="auto"/>
              <w:ind w:firstLine="240" w:firstLineChars="100"/>
              <w:rPr>
                <w:rFonts w:ascii="宋体" w:hAnsi="宋体"/>
                <w:sz w:val="24"/>
              </w:rPr>
            </w:pPr>
          </w:p>
        </w:tc>
        <w:tc>
          <w:tcPr>
            <w:tcW w:w="2544" w:type="dxa"/>
            <w:vAlign w:val="center"/>
          </w:tcPr>
          <w:p>
            <w:pPr>
              <w:spacing w:line="400" w:lineRule="exact"/>
              <w:jc w:val="center"/>
              <w:rPr>
                <w:rFonts w:ascii="宋体" w:hAnsi="宋体"/>
                <w:szCs w:val="20"/>
              </w:rPr>
            </w:pPr>
            <w:r>
              <w:rPr>
                <w:rFonts w:hint="eastAsia" w:ascii="宋体" w:hAnsi="宋体"/>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45" w:hRule="atLeast"/>
        </w:trPr>
        <w:tc>
          <w:tcPr>
            <w:tcW w:w="1441" w:type="dxa"/>
            <w:vAlign w:val="center"/>
          </w:tcPr>
          <w:p>
            <w:pPr>
              <w:spacing w:before="120" w:beforeLines="50" w:after="120" w:afterLines="50"/>
              <w:jc w:val="center"/>
              <w:rPr>
                <w:rFonts w:ascii="宋体" w:hAnsi="宋体" w:cs="宋体"/>
                <w:kern w:val="0"/>
                <w:sz w:val="24"/>
              </w:rPr>
            </w:pPr>
            <w:bookmarkStart w:id="58" w:name="_Hlk99538956"/>
            <w:r>
              <w:rPr>
                <w:rFonts w:hint="eastAsia" w:ascii="宋体" w:hAnsi="宋体" w:cs="宋体"/>
                <w:kern w:val="0"/>
                <w:sz w:val="24"/>
              </w:rPr>
              <w:t>施工负责人</w:t>
            </w:r>
            <w:bookmarkEnd w:id="58"/>
          </w:p>
        </w:tc>
        <w:tc>
          <w:tcPr>
            <w:tcW w:w="794" w:type="dxa"/>
            <w:vAlign w:val="center"/>
          </w:tcPr>
          <w:p>
            <w:pPr>
              <w:autoSpaceDE w:val="0"/>
              <w:autoSpaceDN w:val="0"/>
              <w:adjustRightInd w:val="0"/>
              <w:spacing w:before="120" w:beforeLines="50" w:after="120" w:afterLines="50"/>
              <w:ind w:left="12"/>
              <w:jc w:val="center"/>
              <w:rPr>
                <w:rFonts w:ascii="宋体" w:hAnsi="宋体" w:cs="宋体"/>
                <w:kern w:val="0"/>
                <w:sz w:val="24"/>
              </w:rPr>
            </w:pPr>
            <w:r>
              <w:rPr>
                <w:rFonts w:hint="eastAsia" w:ascii="宋体" w:hAnsi="宋体" w:cs="宋体"/>
                <w:kern w:val="0"/>
                <w:sz w:val="24"/>
              </w:rPr>
              <w:t>1</w:t>
            </w:r>
          </w:p>
        </w:tc>
        <w:tc>
          <w:tcPr>
            <w:tcW w:w="4536" w:type="dxa"/>
            <w:vAlign w:val="center"/>
          </w:tcPr>
          <w:p>
            <w:pPr>
              <w:widowControl/>
              <w:spacing w:line="440" w:lineRule="exact"/>
              <w:ind w:firstLine="420" w:firstLineChars="200"/>
              <w:rPr>
                <w:rFonts w:ascii="宋体" w:hAnsi="宋体" w:cs="宋体"/>
                <w:b/>
                <w:bCs/>
              </w:rPr>
            </w:pPr>
            <w:bookmarkStart w:id="59" w:name="_Hlk99538963"/>
            <w:r>
              <w:rPr>
                <w:rFonts w:hint="eastAsia" w:ascii="宋体" w:hAnsi="宋体" w:cs="宋体"/>
                <w:bCs/>
              </w:rPr>
              <w:t>施工负责人要求：</w:t>
            </w:r>
          </w:p>
          <w:p>
            <w:pPr>
              <w:spacing w:before="120" w:beforeLines="50" w:after="120" w:afterLines="50" w:line="288" w:lineRule="auto"/>
              <w:ind w:firstLine="210" w:firstLineChars="100"/>
              <w:rPr>
                <w:rFonts w:ascii="宋体" w:hAnsi="宋体" w:cs="宋体"/>
                <w:kern w:val="0"/>
                <w:sz w:val="24"/>
              </w:rPr>
            </w:pPr>
            <w:r>
              <w:rPr>
                <w:rFonts w:hint="eastAsia" w:ascii="宋体" w:hAnsi="宋体" w:cs="宋体"/>
                <w:bCs/>
              </w:rPr>
              <w:t>拟派施工负责人须具有铁路工程一级注册建造师或机电工程一级注册建造师或电力工程一级注册建造师执业资格且必须在本单位注册，具备有效的建筑工程安全生产考核合格证书（B 证）</w:t>
            </w:r>
            <w:bookmarkEnd w:id="59"/>
            <w:r>
              <w:rPr>
                <w:rFonts w:hint="eastAsia" w:ascii="宋体" w:hAnsi="宋体" w:cs="宋体"/>
                <w:kern w:val="0"/>
                <w:sz w:val="24"/>
              </w:rPr>
              <w:t>。</w:t>
            </w:r>
          </w:p>
        </w:tc>
        <w:tc>
          <w:tcPr>
            <w:tcW w:w="2544" w:type="dxa"/>
            <w:vAlign w:val="center"/>
          </w:tcPr>
          <w:p>
            <w:pPr>
              <w:spacing w:before="120" w:beforeLines="50" w:after="120" w:afterLines="50" w:line="360" w:lineRule="auto"/>
              <w:jc w:val="center"/>
              <w:rPr>
                <w:rFonts w:ascii="宋体" w:hAnsi="宋体" w:cs="宋体"/>
                <w:kern w:val="0"/>
                <w:sz w:val="24"/>
              </w:rPr>
            </w:pPr>
            <w:r>
              <w:rPr>
                <w:rFonts w:hint="eastAsia" w:ascii="宋体" w:hAnsi="宋体" w:cs="宋体"/>
                <w:kern w:val="0"/>
                <w:sz w:val="24"/>
              </w:rPr>
              <w:t>/</w:t>
            </w:r>
          </w:p>
        </w:tc>
      </w:tr>
    </w:tbl>
    <w:p>
      <w:pPr>
        <w:tabs>
          <w:tab w:val="left" w:pos="893"/>
        </w:tabs>
        <w:autoSpaceDE w:val="0"/>
        <w:autoSpaceDN w:val="0"/>
        <w:adjustRightInd w:val="0"/>
        <w:jc w:val="left"/>
        <w:rPr>
          <w:rFonts w:cs="宋体"/>
          <w:color w:val="000000"/>
          <w:kern w:val="0"/>
          <w:sz w:val="24"/>
        </w:rPr>
      </w:pPr>
    </w:p>
    <w:p>
      <w:pPr>
        <w:tabs>
          <w:tab w:val="left" w:pos="893"/>
        </w:tabs>
        <w:autoSpaceDE w:val="0"/>
        <w:autoSpaceDN w:val="0"/>
        <w:adjustRightInd w:val="0"/>
        <w:jc w:val="left"/>
        <w:rPr>
          <w:rFonts w:ascii="宋体" w:hAnsi="宋体" w:cs="宋体"/>
          <w:color w:val="000000"/>
          <w:sz w:val="24"/>
        </w:rPr>
      </w:pPr>
    </w:p>
    <w:p>
      <w:pPr>
        <w:pStyle w:val="4"/>
        <w:spacing w:before="0" w:after="0" w:line="420" w:lineRule="exact"/>
        <w:rPr>
          <w:rFonts w:ascii="Times New Roman" w:hAnsi="Times New Roman"/>
          <w:color w:val="000000"/>
          <w:sz w:val="21"/>
          <w:szCs w:val="21"/>
        </w:rPr>
        <w:sectPr>
          <w:footerReference r:id="rId3" w:type="default"/>
          <w:footerReference r:id="rId4" w:type="even"/>
          <w:footnotePr>
            <w:numFmt w:val="decimalEnclosedCircleChinese"/>
            <w:numRestart w:val="eachPage"/>
          </w:footnotePr>
          <w:pgSz w:w="11906" w:h="16838"/>
          <w:pgMar w:top="1418" w:right="1440" w:bottom="1418" w:left="1440" w:header="851" w:footer="737" w:gutter="0"/>
          <w:cols w:space="720" w:num="1"/>
          <w:docGrid w:linePitch="312" w:charSpace="0"/>
        </w:sectPr>
      </w:pPr>
    </w:p>
    <w:p>
      <w:pPr>
        <w:widowControl/>
        <w:jc w:val="left"/>
        <w:rPr>
          <w:rFonts w:ascii="宋体"/>
          <w:b/>
          <w:bCs/>
          <w:sz w:val="24"/>
          <w:szCs w:val="24"/>
        </w:rPr>
      </w:pPr>
      <w:r>
        <w:rPr>
          <w:rFonts w:ascii="宋体"/>
        </w:rPr>
        <w:br w:type="page"/>
      </w:r>
      <w:r>
        <w:rPr>
          <w:rFonts w:ascii="宋体" w:hAnsi="宋体" w:cs="宋体"/>
          <w:b/>
          <w:bCs/>
          <w:sz w:val="24"/>
          <w:szCs w:val="24"/>
        </w:rPr>
        <w:t xml:space="preserve">   1.</w:t>
      </w:r>
      <w:r>
        <w:rPr>
          <w:rFonts w:ascii="宋体" w:hAnsi="宋体" w:cs="宋体"/>
          <w:b/>
          <w:bCs/>
          <w:sz w:val="24"/>
          <w:szCs w:val="24"/>
        </w:rPr>
        <w:tab/>
      </w:r>
      <w:r>
        <w:rPr>
          <w:rFonts w:hint="eastAsia" w:ascii="宋体" w:hAnsi="宋体" w:cs="宋体"/>
          <w:b/>
          <w:bCs/>
          <w:sz w:val="24"/>
          <w:szCs w:val="24"/>
        </w:rPr>
        <w:t>总则</w:t>
      </w:r>
    </w:p>
    <w:p>
      <w:pPr>
        <w:spacing w:line="440" w:lineRule="exact"/>
        <w:ind w:firstLine="422" w:firstLineChars="200"/>
        <w:outlineLvl w:val="2"/>
        <w:rPr>
          <w:rFonts w:ascii="宋体"/>
          <w:b/>
          <w:bCs/>
        </w:rPr>
      </w:pPr>
      <w:bookmarkStart w:id="60" w:name="_Toc84265547"/>
      <w:bookmarkStart w:id="61" w:name="_Toc42001800"/>
      <w:r>
        <w:rPr>
          <w:rFonts w:ascii="宋体" w:hAnsi="宋体" w:cs="宋体"/>
          <w:b/>
          <w:bCs/>
        </w:rPr>
        <w:t>1.1</w:t>
      </w:r>
      <w:r>
        <w:rPr>
          <w:rFonts w:ascii="宋体" w:hAnsi="宋体" w:cs="宋体"/>
          <w:b/>
          <w:bCs/>
        </w:rPr>
        <w:tab/>
      </w:r>
      <w:r>
        <w:rPr>
          <w:rFonts w:hint="eastAsia" w:ascii="宋体" w:hAnsi="宋体" w:cs="宋体"/>
          <w:b/>
          <w:bCs/>
        </w:rPr>
        <w:t>招标项目概况</w:t>
      </w:r>
      <w:bookmarkEnd w:id="60"/>
      <w:bookmarkEnd w:id="61"/>
    </w:p>
    <w:p>
      <w:pPr>
        <w:spacing w:line="440" w:lineRule="exact"/>
        <w:ind w:firstLine="420" w:firstLineChars="200"/>
        <w:outlineLvl w:val="3"/>
        <w:rPr>
          <w:rFonts w:ascii="宋体"/>
        </w:rPr>
      </w:pPr>
      <w:r>
        <w:rPr>
          <w:rFonts w:ascii="宋体" w:hAnsi="宋体" w:cs="宋体"/>
        </w:rPr>
        <w:t>1.1.1</w:t>
      </w:r>
      <w:r>
        <w:rPr>
          <w:rFonts w:ascii="宋体" w:hAnsi="宋体" w:cs="宋体"/>
        </w:rPr>
        <w:tab/>
      </w:r>
      <w:r>
        <w:rPr>
          <w:rFonts w:hint="eastAsia" w:cs="宋体"/>
        </w:rPr>
        <w:t>根据《中华人民共和国招标投标法》等有关法律、法规和规章的规定，本招标项目已具备招标条件，现对该项目</w:t>
      </w:r>
      <w:r>
        <w:rPr>
          <w:rFonts w:hint="eastAsia"/>
        </w:rPr>
        <w:t>设计</w:t>
      </w:r>
      <w:r>
        <w:t>施工进行</w:t>
      </w:r>
      <w:r>
        <w:rPr>
          <w:rFonts w:hint="eastAsia" w:cs="宋体"/>
        </w:rPr>
        <w:t>总承包招标。</w:t>
      </w:r>
    </w:p>
    <w:p>
      <w:pPr>
        <w:spacing w:line="440" w:lineRule="exact"/>
        <w:ind w:firstLine="420" w:firstLineChars="200"/>
        <w:outlineLvl w:val="3"/>
        <w:rPr>
          <w:rFonts w:ascii="宋体"/>
        </w:rPr>
      </w:pPr>
      <w:r>
        <w:rPr>
          <w:rFonts w:ascii="宋体" w:hAnsi="宋体" w:cs="宋体"/>
        </w:rPr>
        <w:t>1.1.2</w:t>
      </w:r>
      <w:r>
        <w:rPr>
          <w:rFonts w:ascii="宋体" w:hAnsi="宋体" w:cs="宋体"/>
        </w:rPr>
        <w:tab/>
      </w:r>
      <w:r>
        <w:rPr>
          <w:rFonts w:hint="eastAsia" w:ascii="宋体" w:hAnsi="宋体" w:cs="宋体"/>
        </w:rPr>
        <w:t>招标人：见投标人须知前附表。</w:t>
      </w:r>
    </w:p>
    <w:p>
      <w:pPr>
        <w:spacing w:line="440" w:lineRule="exact"/>
        <w:ind w:firstLine="420" w:firstLineChars="200"/>
        <w:outlineLvl w:val="3"/>
        <w:rPr>
          <w:rFonts w:ascii="宋体"/>
        </w:rPr>
      </w:pPr>
      <w:r>
        <w:rPr>
          <w:rFonts w:ascii="宋体" w:hAnsi="宋体" w:cs="宋体"/>
        </w:rPr>
        <w:t>1.1.3</w:t>
      </w:r>
      <w:r>
        <w:rPr>
          <w:rFonts w:ascii="宋体" w:hAnsi="宋体" w:cs="宋体"/>
        </w:rPr>
        <w:tab/>
      </w:r>
      <w:r>
        <w:rPr>
          <w:rFonts w:hint="eastAsia" w:ascii="宋体" w:hAnsi="宋体" w:cs="宋体"/>
        </w:rPr>
        <w:t>招标代理机构：见投标人须知前附表。</w:t>
      </w:r>
    </w:p>
    <w:p>
      <w:pPr>
        <w:spacing w:line="440" w:lineRule="exact"/>
        <w:ind w:firstLine="420" w:firstLineChars="200"/>
        <w:outlineLvl w:val="3"/>
        <w:rPr>
          <w:rFonts w:ascii="宋体"/>
        </w:rPr>
      </w:pPr>
      <w:r>
        <w:rPr>
          <w:rFonts w:ascii="宋体" w:hAnsi="宋体" w:cs="宋体"/>
        </w:rPr>
        <w:t>1.1.4</w:t>
      </w:r>
      <w:r>
        <w:rPr>
          <w:rFonts w:ascii="宋体" w:hAnsi="宋体" w:cs="宋体"/>
        </w:rPr>
        <w:tab/>
      </w:r>
      <w:r>
        <w:rPr>
          <w:rFonts w:hint="eastAsia" w:ascii="宋体" w:hAnsi="宋体" w:cs="宋体"/>
        </w:rPr>
        <w:t>招标项目名称：见投标人须知前附表。</w:t>
      </w:r>
    </w:p>
    <w:p>
      <w:pPr>
        <w:spacing w:line="440" w:lineRule="exact"/>
        <w:ind w:firstLine="420" w:firstLineChars="200"/>
        <w:outlineLvl w:val="3"/>
        <w:rPr>
          <w:rFonts w:ascii="宋体"/>
        </w:rPr>
      </w:pPr>
      <w:r>
        <w:rPr>
          <w:rFonts w:ascii="宋体" w:hAnsi="宋体" w:cs="宋体"/>
        </w:rPr>
        <w:t>1.1.5</w:t>
      </w:r>
      <w:r>
        <w:rPr>
          <w:rFonts w:ascii="宋体" w:hAnsi="宋体" w:cs="宋体"/>
        </w:rPr>
        <w:tab/>
      </w:r>
      <w:r>
        <w:rPr>
          <w:rFonts w:hint="eastAsia" w:ascii="宋体" w:hAnsi="宋体" w:cs="宋体"/>
        </w:rPr>
        <w:t>项目建设地点：见投标人须知前附表。</w:t>
      </w:r>
    </w:p>
    <w:p>
      <w:pPr>
        <w:spacing w:line="440" w:lineRule="exact"/>
        <w:ind w:firstLine="420" w:firstLineChars="200"/>
        <w:outlineLvl w:val="3"/>
        <w:rPr>
          <w:rFonts w:ascii="宋体"/>
        </w:rPr>
      </w:pPr>
      <w:r>
        <w:rPr>
          <w:rFonts w:ascii="宋体" w:hAnsi="宋体" w:cs="宋体"/>
        </w:rPr>
        <w:t>1.1.6</w:t>
      </w:r>
      <w:r>
        <w:rPr>
          <w:rFonts w:ascii="宋体" w:hAnsi="宋体" w:cs="宋体"/>
        </w:rPr>
        <w:tab/>
      </w:r>
      <w:r>
        <w:rPr>
          <w:rFonts w:hint="eastAsia" w:ascii="宋体" w:hAnsi="宋体" w:cs="宋体"/>
        </w:rPr>
        <w:t>项目建设规模：见投标人须知前附表。</w:t>
      </w:r>
    </w:p>
    <w:p>
      <w:pPr>
        <w:spacing w:line="440" w:lineRule="exact"/>
        <w:ind w:firstLine="422" w:firstLineChars="200"/>
        <w:outlineLvl w:val="2"/>
        <w:rPr>
          <w:rFonts w:ascii="宋体"/>
          <w:b/>
          <w:bCs/>
        </w:rPr>
      </w:pPr>
      <w:bookmarkStart w:id="62" w:name="_Toc84265548"/>
      <w:bookmarkStart w:id="63" w:name="_Toc42001801"/>
      <w:r>
        <w:rPr>
          <w:rFonts w:ascii="宋体" w:hAnsi="宋体" w:cs="宋体"/>
          <w:b/>
          <w:bCs/>
        </w:rPr>
        <w:t>1.2</w:t>
      </w:r>
      <w:r>
        <w:rPr>
          <w:rFonts w:ascii="宋体" w:hAnsi="宋体" w:cs="宋体"/>
          <w:b/>
          <w:bCs/>
        </w:rPr>
        <w:tab/>
      </w:r>
      <w:r>
        <w:rPr>
          <w:rFonts w:hint="eastAsia" w:ascii="宋体" w:hAnsi="宋体" w:cs="宋体"/>
          <w:b/>
          <w:bCs/>
        </w:rPr>
        <w:t>招标项目的资金来源和落实情况</w:t>
      </w:r>
      <w:bookmarkEnd w:id="62"/>
      <w:bookmarkEnd w:id="63"/>
    </w:p>
    <w:p>
      <w:pPr>
        <w:spacing w:line="440" w:lineRule="exact"/>
        <w:ind w:firstLine="420" w:firstLineChars="200"/>
        <w:outlineLvl w:val="3"/>
        <w:rPr>
          <w:rFonts w:ascii="宋体"/>
        </w:rPr>
      </w:pPr>
      <w:r>
        <w:rPr>
          <w:rFonts w:ascii="宋体" w:hAnsi="宋体" w:cs="宋体"/>
        </w:rPr>
        <w:t>1.2.1</w:t>
      </w:r>
      <w:r>
        <w:rPr>
          <w:rFonts w:ascii="宋体" w:hAnsi="宋体" w:cs="宋体"/>
        </w:rPr>
        <w:tab/>
      </w:r>
      <w:r>
        <w:rPr>
          <w:rFonts w:hint="eastAsia" w:ascii="宋体" w:hAnsi="宋体" w:cs="宋体"/>
        </w:rPr>
        <w:t>资金来源及比例：见投标人须知前附表。</w:t>
      </w:r>
    </w:p>
    <w:p>
      <w:pPr>
        <w:spacing w:line="440" w:lineRule="exact"/>
        <w:ind w:firstLine="420" w:firstLineChars="200"/>
        <w:outlineLvl w:val="3"/>
        <w:rPr>
          <w:rFonts w:ascii="宋体"/>
        </w:rPr>
      </w:pPr>
      <w:r>
        <w:rPr>
          <w:rFonts w:ascii="宋体" w:hAnsi="宋体" w:cs="宋体"/>
        </w:rPr>
        <w:t>1.2.2</w:t>
      </w:r>
      <w:r>
        <w:rPr>
          <w:rFonts w:ascii="宋体" w:hAnsi="宋体" w:cs="宋体"/>
        </w:rPr>
        <w:tab/>
      </w:r>
      <w:r>
        <w:rPr>
          <w:rFonts w:hint="eastAsia" w:ascii="宋体" w:hAnsi="宋体" w:cs="宋体"/>
        </w:rPr>
        <w:t>资金落实情况：见投标人须知前附表。</w:t>
      </w:r>
    </w:p>
    <w:p>
      <w:pPr>
        <w:spacing w:line="440" w:lineRule="exact"/>
        <w:ind w:firstLine="422" w:firstLineChars="200"/>
        <w:outlineLvl w:val="2"/>
        <w:rPr>
          <w:rFonts w:ascii="宋体"/>
          <w:b/>
          <w:bCs/>
        </w:rPr>
      </w:pPr>
      <w:bookmarkStart w:id="64" w:name="_Toc84265549"/>
      <w:bookmarkStart w:id="65" w:name="_Toc42001802"/>
      <w:r>
        <w:rPr>
          <w:rFonts w:ascii="宋体" w:hAnsi="宋体" w:cs="宋体"/>
          <w:b/>
          <w:bCs/>
        </w:rPr>
        <w:t>1.3</w:t>
      </w:r>
      <w:r>
        <w:rPr>
          <w:rFonts w:ascii="宋体" w:hAnsi="宋体" w:cs="宋体"/>
          <w:b/>
          <w:bCs/>
        </w:rPr>
        <w:tab/>
      </w:r>
      <w:r>
        <w:rPr>
          <w:rFonts w:hint="eastAsia" w:ascii="宋体" w:hAnsi="宋体" w:cs="宋体"/>
          <w:b/>
          <w:bCs/>
        </w:rPr>
        <w:t>招标范围、计划工期和质量标准</w:t>
      </w:r>
      <w:bookmarkEnd w:id="64"/>
      <w:bookmarkEnd w:id="65"/>
    </w:p>
    <w:p>
      <w:pPr>
        <w:spacing w:line="440" w:lineRule="exact"/>
        <w:ind w:firstLine="420" w:firstLineChars="200"/>
        <w:outlineLvl w:val="3"/>
        <w:rPr>
          <w:rFonts w:ascii="宋体"/>
        </w:rPr>
      </w:pPr>
      <w:r>
        <w:rPr>
          <w:rFonts w:ascii="宋体" w:hAnsi="宋体" w:cs="宋体"/>
        </w:rPr>
        <w:t>1.3.1</w:t>
      </w:r>
      <w:r>
        <w:rPr>
          <w:rFonts w:ascii="宋体" w:hAnsi="宋体" w:cs="宋体"/>
        </w:rPr>
        <w:tab/>
      </w:r>
      <w:r>
        <w:rPr>
          <w:rFonts w:hint="eastAsia" w:ascii="宋体" w:hAnsi="宋体" w:cs="宋体"/>
        </w:rPr>
        <w:t>招标范围：见投标人须知前附表。</w:t>
      </w:r>
    </w:p>
    <w:p>
      <w:pPr>
        <w:spacing w:line="440" w:lineRule="exact"/>
        <w:ind w:firstLine="420" w:firstLineChars="200"/>
        <w:outlineLvl w:val="3"/>
        <w:rPr>
          <w:rFonts w:ascii="宋体"/>
        </w:rPr>
      </w:pPr>
      <w:r>
        <w:rPr>
          <w:rFonts w:ascii="宋体" w:hAnsi="宋体" w:cs="宋体"/>
        </w:rPr>
        <w:t>1.3.2</w:t>
      </w:r>
      <w:r>
        <w:rPr>
          <w:rFonts w:ascii="宋体" w:hAnsi="宋体" w:cs="宋体"/>
        </w:rPr>
        <w:tab/>
      </w:r>
      <w:r>
        <w:rPr>
          <w:rFonts w:hint="eastAsia" w:ascii="宋体" w:hAnsi="宋体" w:cs="宋体"/>
        </w:rPr>
        <w:t>计划工期：见投标人须知前附表。</w:t>
      </w:r>
    </w:p>
    <w:p>
      <w:pPr>
        <w:spacing w:line="440" w:lineRule="exact"/>
        <w:ind w:firstLine="420" w:firstLineChars="200"/>
        <w:outlineLvl w:val="3"/>
        <w:rPr>
          <w:rFonts w:ascii="宋体"/>
        </w:rPr>
      </w:pPr>
      <w:r>
        <w:rPr>
          <w:rFonts w:ascii="宋体" w:hAnsi="宋体" w:cs="宋体"/>
        </w:rPr>
        <w:t>1.3.3</w:t>
      </w:r>
      <w:r>
        <w:rPr>
          <w:rFonts w:ascii="宋体" w:hAnsi="宋体" w:cs="宋体"/>
        </w:rPr>
        <w:tab/>
      </w:r>
      <w:r>
        <w:rPr>
          <w:rFonts w:hint="eastAsia" w:ascii="宋体" w:hAnsi="宋体" w:cs="宋体"/>
        </w:rPr>
        <w:t>质量标准：见投标人须知前附表。</w:t>
      </w:r>
    </w:p>
    <w:p>
      <w:pPr>
        <w:spacing w:line="440" w:lineRule="exact"/>
        <w:ind w:firstLine="422" w:firstLineChars="200"/>
        <w:outlineLvl w:val="2"/>
        <w:rPr>
          <w:rFonts w:ascii="宋体"/>
          <w:b/>
          <w:bCs/>
        </w:rPr>
      </w:pPr>
      <w:bookmarkStart w:id="66" w:name="_Toc84265550"/>
      <w:bookmarkStart w:id="67" w:name="_Toc42001803"/>
      <w:r>
        <w:rPr>
          <w:rFonts w:ascii="宋体" w:hAnsi="宋体" w:cs="宋体"/>
          <w:b/>
          <w:bCs/>
        </w:rPr>
        <w:t>1.4</w:t>
      </w:r>
      <w:r>
        <w:rPr>
          <w:rFonts w:ascii="宋体" w:hAnsi="宋体" w:cs="宋体"/>
          <w:b/>
          <w:bCs/>
        </w:rPr>
        <w:tab/>
      </w:r>
      <w:r>
        <w:rPr>
          <w:rFonts w:hint="eastAsia" w:ascii="宋体" w:hAnsi="宋体" w:cs="宋体"/>
          <w:b/>
          <w:bCs/>
        </w:rPr>
        <w:t>投标人资格要求</w:t>
      </w:r>
      <w:bookmarkEnd w:id="66"/>
      <w:bookmarkEnd w:id="67"/>
    </w:p>
    <w:p>
      <w:pPr>
        <w:spacing w:line="440" w:lineRule="exact"/>
        <w:ind w:firstLine="420" w:firstLineChars="200"/>
        <w:outlineLvl w:val="3"/>
        <w:rPr>
          <w:rFonts w:ascii="宋体"/>
        </w:rPr>
      </w:pPr>
      <w:r>
        <w:rPr>
          <w:rFonts w:ascii="宋体" w:hAnsi="宋体" w:cs="宋体"/>
        </w:rPr>
        <w:t>1.4.1</w:t>
      </w:r>
      <w:r>
        <w:rPr>
          <w:rFonts w:ascii="宋体" w:hAnsi="宋体" w:cs="宋体"/>
        </w:rPr>
        <w:tab/>
      </w:r>
      <w:r>
        <w:rPr>
          <w:rFonts w:hint="eastAsia" w:ascii="宋体" w:hAnsi="宋体" w:cs="宋体"/>
        </w:rPr>
        <w:t>投标人应具备承担本招标项目资质条件、能力和信誉：</w:t>
      </w:r>
    </w:p>
    <w:p>
      <w:pPr>
        <w:spacing w:line="44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）资质要求：见投标人须知前附表；</w:t>
      </w:r>
    </w:p>
    <w:p>
      <w:pPr>
        <w:spacing w:line="440" w:lineRule="exact"/>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rPr>
        <w:t>）财务要求：见投标人须知前附表；</w:t>
      </w:r>
    </w:p>
    <w:p>
      <w:pPr>
        <w:spacing w:line="440" w:lineRule="exact"/>
        <w:ind w:firstLine="420" w:firstLineChars="200"/>
        <w:rPr>
          <w:rFonts w:ascii="宋体"/>
        </w:rPr>
      </w:pPr>
      <w:r>
        <w:rPr>
          <w:rFonts w:hint="eastAsia" w:ascii="宋体" w:hAnsi="宋体" w:cs="宋体"/>
        </w:rPr>
        <w:t>（</w:t>
      </w:r>
      <w:r>
        <w:rPr>
          <w:rFonts w:ascii="宋体" w:hAnsi="宋体" w:cs="宋体"/>
        </w:rPr>
        <w:t>3</w:t>
      </w:r>
      <w:r>
        <w:rPr>
          <w:rFonts w:hint="eastAsia" w:ascii="宋体" w:hAnsi="宋体" w:cs="宋体"/>
        </w:rPr>
        <w:t>）业绩要求：见投标人须知前附表；</w:t>
      </w:r>
    </w:p>
    <w:p>
      <w:pPr>
        <w:spacing w:line="440" w:lineRule="exact"/>
        <w:ind w:firstLine="420" w:firstLineChars="200"/>
        <w:rPr>
          <w:rFonts w:ascii="宋体"/>
        </w:rPr>
      </w:pPr>
      <w:r>
        <w:rPr>
          <w:rFonts w:hint="eastAsia" w:ascii="宋体" w:hAnsi="宋体" w:cs="宋体"/>
        </w:rPr>
        <w:t>（</w:t>
      </w:r>
      <w:r>
        <w:rPr>
          <w:rFonts w:ascii="宋体" w:hAnsi="宋体" w:cs="宋体"/>
        </w:rPr>
        <w:t>4</w:t>
      </w:r>
      <w:r>
        <w:rPr>
          <w:rFonts w:hint="eastAsia" w:ascii="宋体" w:hAnsi="宋体" w:cs="宋体"/>
        </w:rPr>
        <w:t>）信誉要求：见投标人须知前附表；</w:t>
      </w:r>
    </w:p>
    <w:p>
      <w:pPr>
        <w:spacing w:line="440" w:lineRule="exact"/>
        <w:ind w:firstLine="420" w:firstLineChars="200"/>
        <w:rPr>
          <w:rFonts w:ascii="宋体"/>
        </w:rPr>
      </w:pPr>
      <w:r>
        <w:rPr>
          <w:rFonts w:hint="eastAsia" w:ascii="宋体" w:hAnsi="宋体" w:cs="宋体"/>
        </w:rPr>
        <w:t>（</w:t>
      </w:r>
      <w:r>
        <w:rPr>
          <w:rFonts w:ascii="宋体" w:hAnsi="宋体" w:cs="宋体"/>
        </w:rPr>
        <w:t>5</w:t>
      </w:r>
      <w:r>
        <w:rPr>
          <w:rFonts w:hint="eastAsia" w:ascii="宋体" w:hAnsi="宋体" w:cs="宋体"/>
        </w:rPr>
        <w:t>）项目经理的资格要求：具体要求见投标人须知前附表；</w:t>
      </w:r>
    </w:p>
    <w:p>
      <w:pPr>
        <w:spacing w:line="440" w:lineRule="exact"/>
        <w:ind w:firstLine="420" w:firstLineChars="200"/>
        <w:rPr>
          <w:rFonts w:ascii="宋体"/>
        </w:rPr>
      </w:pPr>
      <w:r>
        <w:rPr>
          <w:rFonts w:hint="eastAsia" w:ascii="宋体" w:hAnsi="宋体" w:cs="宋体"/>
        </w:rPr>
        <w:t>（</w:t>
      </w:r>
      <w:r>
        <w:rPr>
          <w:rFonts w:ascii="宋体" w:hAnsi="宋体" w:cs="宋体"/>
        </w:rPr>
        <w:t>6</w:t>
      </w:r>
      <w:r>
        <w:rPr>
          <w:rFonts w:hint="eastAsia" w:ascii="宋体" w:hAnsi="宋体" w:cs="宋体"/>
        </w:rPr>
        <w:t>）设计负责人的要求：见投标人须知前附表。</w:t>
      </w:r>
    </w:p>
    <w:p>
      <w:pPr>
        <w:spacing w:line="440" w:lineRule="exact"/>
        <w:ind w:firstLine="420" w:firstLineChars="200"/>
        <w:rPr>
          <w:rFonts w:ascii="宋体"/>
        </w:rPr>
      </w:pPr>
      <w:r>
        <w:rPr>
          <w:rFonts w:hint="eastAsia" w:ascii="宋体" w:hAnsi="宋体" w:cs="宋体"/>
        </w:rPr>
        <w:t>（</w:t>
      </w:r>
      <w:r>
        <w:rPr>
          <w:rFonts w:ascii="宋体" w:hAnsi="宋体" w:cs="宋体"/>
        </w:rPr>
        <w:t>7</w:t>
      </w:r>
      <w:r>
        <w:rPr>
          <w:rFonts w:hint="eastAsia" w:ascii="宋体" w:hAnsi="宋体" w:cs="宋体"/>
        </w:rPr>
        <w:t>）其他要求：见投标人须知前附表。</w:t>
      </w:r>
    </w:p>
    <w:p>
      <w:pPr>
        <w:spacing w:line="440" w:lineRule="exact"/>
        <w:ind w:firstLine="420" w:firstLineChars="200"/>
        <w:rPr>
          <w:rFonts w:ascii="宋体"/>
        </w:rPr>
      </w:pPr>
      <w:r>
        <w:rPr>
          <w:rFonts w:hint="eastAsia" w:ascii="宋体" w:hAnsi="宋体" w:cs="宋体"/>
        </w:rPr>
        <w:t>需要提交的相关证明材料见本章第</w:t>
      </w:r>
      <w:r>
        <w:rPr>
          <w:rFonts w:ascii="宋体" w:hAnsi="宋体" w:cs="宋体"/>
        </w:rPr>
        <w:t xml:space="preserve"> 3.5 </w:t>
      </w:r>
      <w:r>
        <w:rPr>
          <w:rFonts w:hint="eastAsia" w:ascii="宋体" w:hAnsi="宋体" w:cs="宋体"/>
        </w:rPr>
        <w:t>款的规定。</w:t>
      </w:r>
    </w:p>
    <w:p>
      <w:pPr>
        <w:spacing w:line="440" w:lineRule="exact"/>
        <w:ind w:firstLine="420" w:firstLineChars="200"/>
        <w:outlineLvl w:val="3"/>
        <w:rPr>
          <w:rFonts w:ascii="宋体"/>
        </w:rPr>
      </w:pPr>
      <w:r>
        <w:rPr>
          <w:rFonts w:ascii="宋体" w:hAnsi="宋体" w:cs="宋体"/>
        </w:rPr>
        <w:t>1.4.2</w:t>
      </w:r>
      <w:r>
        <w:rPr>
          <w:rFonts w:ascii="宋体" w:hAnsi="宋体" w:cs="宋体"/>
        </w:rPr>
        <w:tab/>
      </w:r>
      <w:r>
        <w:rPr>
          <w:rFonts w:hint="eastAsia" w:ascii="宋体" w:hAnsi="宋体" w:cs="宋体"/>
        </w:rPr>
        <w:t>投标人须知前附表规定接受联合体投标的，联合体除应符合本章第</w:t>
      </w:r>
      <w:r>
        <w:rPr>
          <w:rFonts w:ascii="宋体" w:hAnsi="宋体" w:cs="宋体"/>
        </w:rPr>
        <w:t xml:space="preserve"> 1.4.1 </w:t>
      </w:r>
      <w:r>
        <w:rPr>
          <w:rFonts w:hint="eastAsia" w:ascii="宋体" w:hAnsi="宋体" w:cs="宋体"/>
        </w:rPr>
        <w:t>项和投标人须知前附表的要求外，还应遵守以下规定：</w:t>
      </w:r>
    </w:p>
    <w:p>
      <w:pPr>
        <w:spacing w:line="44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）联合体各方应按招标文件提供的格式签订联合体协议书，明确联合体牵头人和各方权利义务，并承诺就中标项目向招标人承担连带责任；</w:t>
      </w:r>
    </w:p>
    <w:p>
      <w:pPr>
        <w:spacing w:line="440" w:lineRule="exact"/>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rPr>
        <w:t>）由同一专业的单位组成的联合体，按照资质等级较低的单位确定资质等级；</w:t>
      </w:r>
    </w:p>
    <w:p>
      <w:pPr>
        <w:spacing w:line="440" w:lineRule="exact"/>
        <w:ind w:firstLine="420" w:firstLineChars="200"/>
        <w:rPr>
          <w:rFonts w:ascii="宋体"/>
        </w:rPr>
      </w:pPr>
      <w:r>
        <w:rPr>
          <w:rFonts w:hint="eastAsia" w:ascii="宋体" w:hAnsi="宋体" w:cs="宋体"/>
        </w:rPr>
        <w:t>（</w:t>
      </w:r>
      <w:r>
        <w:rPr>
          <w:rFonts w:ascii="宋体" w:hAnsi="宋体" w:cs="宋体"/>
        </w:rPr>
        <w:t>3</w:t>
      </w:r>
      <w:r>
        <w:rPr>
          <w:rFonts w:hint="eastAsia" w:ascii="宋体" w:hAnsi="宋体" w:cs="宋体"/>
        </w:rPr>
        <w:t>）联合体各方不得再以自己名义单独或参加其他联合体在本招标项目中投标，否则各相关投标均无效。</w:t>
      </w:r>
    </w:p>
    <w:p>
      <w:pPr>
        <w:spacing w:line="400" w:lineRule="exact"/>
        <w:ind w:firstLine="420" w:firstLineChars="200"/>
      </w:pPr>
      <w:r>
        <w:rPr>
          <w:rFonts w:hint="eastAsia"/>
        </w:rPr>
        <w:t>1.4.3 投标人不得存在下列情形之一：</w:t>
      </w:r>
    </w:p>
    <w:p>
      <w:pPr>
        <w:spacing w:line="400" w:lineRule="exact"/>
        <w:ind w:firstLine="315" w:firstLineChars="150"/>
      </w:pPr>
      <w:r>
        <w:rPr>
          <w:rFonts w:hint="eastAsia"/>
        </w:rPr>
        <w:t xml:space="preserve">（1）为招标人不具有独立法人资格的附属机构（单位）； </w:t>
      </w:r>
    </w:p>
    <w:p>
      <w:pPr>
        <w:spacing w:line="400" w:lineRule="exact"/>
        <w:ind w:firstLine="315" w:firstLineChars="150"/>
      </w:pPr>
      <w:r>
        <w:rPr>
          <w:rFonts w:hint="eastAsia"/>
        </w:rPr>
        <w:t>（2）为招标项目前期工作提供咨询服务的；（前期咨询资料、成果对潜在投标人全部公开的，工程建设项目的可行性研究报告编制单位和方案编制单位可以参与工程总承包项目的投标。）</w:t>
      </w:r>
    </w:p>
    <w:p>
      <w:pPr>
        <w:spacing w:line="400" w:lineRule="exact"/>
        <w:ind w:firstLine="315" w:firstLineChars="150"/>
      </w:pPr>
      <w:r>
        <w:rPr>
          <w:rFonts w:hint="eastAsia"/>
        </w:rPr>
        <w:t>（3）为本招标项目的监理人；</w:t>
      </w:r>
    </w:p>
    <w:p>
      <w:pPr>
        <w:spacing w:line="400" w:lineRule="exact"/>
        <w:ind w:firstLine="315" w:firstLineChars="150"/>
      </w:pPr>
      <w:r>
        <w:rPr>
          <w:rFonts w:hint="eastAsia"/>
        </w:rPr>
        <w:t xml:space="preserve">（4）为本招标项目的代建人； </w:t>
      </w:r>
    </w:p>
    <w:p>
      <w:pPr>
        <w:spacing w:line="400" w:lineRule="exact"/>
        <w:ind w:firstLine="315" w:firstLineChars="150"/>
      </w:pPr>
      <w:r>
        <w:rPr>
          <w:rFonts w:hint="eastAsia"/>
        </w:rPr>
        <w:t xml:space="preserve">（5）为本招标项目提供招标代理服务的； </w:t>
      </w:r>
    </w:p>
    <w:p>
      <w:pPr>
        <w:spacing w:line="400" w:lineRule="exact"/>
        <w:ind w:firstLine="315" w:firstLineChars="150"/>
      </w:pPr>
      <w:r>
        <w:rPr>
          <w:rFonts w:hint="eastAsia"/>
        </w:rPr>
        <w:t xml:space="preserve">（6）被责令停业的； </w:t>
      </w:r>
    </w:p>
    <w:p>
      <w:pPr>
        <w:spacing w:line="400" w:lineRule="exact"/>
        <w:ind w:firstLine="315" w:firstLineChars="150"/>
      </w:pPr>
      <w:r>
        <w:rPr>
          <w:rFonts w:hint="eastAsia"/>
        </w:rPr>
        <w:t xml:space="preserve">（7）被暂停或取消投标资格的； </w:t>
      </w:r>
    </w:p>
    <w:p>
      <w:pPr>
        <w:spacing w:line="400" w:lineRule="exact"/>
        <w:ind w:firstLine="315" w:firstLineChars="150"/>
      </w:pPr>
      <w:r>
        <w:rPr>
          <w:rFonts w:hint="eastAsia"/>
        </w:rPr>
        <w:t>（8）财产被接管或冻结的；</w:t>
      </w:r>
    </w:p>
    <w:p>
      <w:pPr>
        <w:spacing w:line="400" w:lineRule="exact"/>
        <w:ind w:firstLine="315" w:firstLineChars="150"/>
      </w:pPr>
      <w:r>
        <w:rPr>
          <w:rFonts w:hint="eastAsia"/>
        </w:rPr>
        <w:t>（9）在最近三年内有骗取中标或严重违约或重大工程质量问题的；</w:t>
      </w:r>
    </w:p>
    <w:p>
      <w:pPr>
        <w:spacing w:line="400" w:lineRule="exact"/>
        <w:ind w:firstLine="315" w:firstLineChars="150"/>
      </w:pPr>
      <w:r>
        <w:rPr>
          <w:rFonts w:hint="eastAsia"/>
        </w:rPr>
        <w:t>（10）与本招标项目的监理人或代建人或招标代理机构同为一个法定代表人的；</w:t>
      </w:r>
    </w:p>
    <w:p>
      <w:pPr>
        <w:spacing w:line="400" w:lineRule="exact"/>
        <w:ind w:firstLine="315" w:firstLineChars="150"/>
      </w:pPr>
      <w:r>
        <w:rPr>
          <w:rFonts w:hint="eastAsia"/>
        </w:rPr>
        <w:t>（11）与本招标项目的监理人或代建人或招标代理机构相互控股或参股的；</w:t>
      </w:r>
    </w:p>
    <w:p>
      <w:pPr>
        <w:spacing w:line="400" w:lineRule="exact"/>
        <w:ind w:firstLine="315" w:firstLineChars="150"/>
      </w:pPr>
      <w:r>
        <w:rPr>
          <w:rFonts w:hint="eastAsia"/>
        </w:rPr>
        <w:t>（12）与本招标项目的监理人或代建人或招标代理机构相互任职或工作的；</w:t>
      </w:r>
    </w:p>
    <w:p>
      <w:pPr>
        <w:spacing w:line="400" w:lineRule="exact"/>
        <w:ind w:firstLine="315" w:firstLineChars="150"/>
      </w:pPr>
      <w:r>
        <w:rPr>
          <w:rFonts w:hint="eastAsia"/>
        </w:rPr>
        <w:t>（13）被工商行政管理机关在全国企业信用信息公示系统中列入严重违法失信企业名单；</w:t>
      </w:r>
    </w:p>
    <w:p>
      <w:pPr>
        <w:spacing w:line="400" w:lineRule="exact"/>
        <w:ind w:firstLine="315" w:firstLineChars="150"/>
      </w:pPr>
      <w:r>
        <w:rPr>
          <w:rFonts w:hint="eastAsia"/>
        </w:rPr>
        <w:t>（14）被“信用中国”网站（</w:t>
      </w:r>
      <w:r>
        <w:t>www.creditchina.gov.cn</w:t>
      </w:r>
      <w:r>
        <w:rPr>
          <w:rFonts w:hint="eastAsia"/>
        </w:rPr>
        <w:t>）列入失信被执行人名单；</w:t>
      </w:r>
    </w:p>
    <w:p>
      <w:pPr>
        <w:spacing w:line="400" w:lineRule="exact"/>
        <w:ind w:firstLine="315" w:firstLineChars="150"/>
      </w:pPr>
      <w:r>
        <w:rPr>
          <w:rFonts w:hint="eastAsia"/>
        </w:rPr>
        <w:t>（15）在近三年内投标人或其法定代表人、拟委任的项目负责人有行贿犯罪行为的；</w:t>
      </w:r>
    </w:p>
    <w:p>
      <w:pPr>
        <w:spacing w:line="400" w:lineRule="exact"/>
        <w:ind w:firstLine="315" w:firstLineChars="150"/>
      </w:pPr>
      <w:r>
        <w:rPr>
          <w:rFonts w:hint="eastAsia"/>
        </w:rPr>
        <w:t>（16）法律法规或投标人须知前附表规定的其他情形。</w:t>
      </w:r>
    </w:p>
    <w:p>
      <w:pPr>
        <w:spacing w:line="400" w:lineRule="exact"/>
        <w:ind w:firstLine="315" w:firstLineChars="150"/>
      </w:pPr>
      <w:r>
        <w:rPr>
          <w:rFonts w:hint="eastAsia"/>
        </w:rPr>
        <w:t>1.4.4 单位负责人为同一人或者存在控股、管理关系的不同单位，不得同时参加本招标项目投标。</w:t>
      </w:r>
    </w:p>
    <w:p>
      <w:pPr>
        <w:spacing w:line="440" w:lineRule="exact"/>
        <w:ind w:firstLine="422" w:firstLineChars="200"/>
        <w:outlineLvl w:val="2"/>
        <w:rPr>
          <w:rFonts w:ascii="宋体"/>
          <w:b/>
          <w:bCs/>
        </w:rPr>
      </w:pPr>
      <w:bookmarkStart w:id="68" w:name="_Toc42001804"/>
      <w:bookmarkStart w:id="69" w:name="_Toc84265551"/>
      <w:r>
        <w:rPr>
          <w:rFonts w:ascii="宋体" w:hAnsi="宋体" w:cs="宋体"/>
          <w:b/>
          <w:bCs/>
        </w:rPr>
        <w:t>1.5</w:t>
      </w:r>
      <w:r>
        <w:rPr>
          <w:rFonts w:ascii="宋体" w:hAnsi="宋体" w:cs="宋体"/>
          <w:b/>
          <w:bCs/>
        </w:rPr>
        <w:tab/>
      </w:r>
      <w:bookmarkEnd w:id="68"/>
      <w:r>
        <w:rPr>
          <w:rFonts w:hint="eastAsia" w:ascii="宋体" w:hAnsi="宋体" w:cs="宋体"/>
          <w:b/>
          <w:bCs/>
        </w:rPr>
        <w:t>费用承担和设计成果补偿</w:t>
      </w:r>
      <w:bookmarkEnd w:id="69"/>
    </w:p>
    <w:p>
      <w:pPr>
        <w:spacing w:line="440" w:lineRule="exact"/>
        <w:ind w:firstLine="420" w:firstLineChars="200"/>
        <w:outlineLvl w:val="2"/>
        <w:rPr>
          <w:rFonts w:ascii="宋体" w:hAnsi="宋体" w:cs="宋体"/>
        </w:rPr>
      </w:pPr>
      <w:bookmarkStart w:id="70" w:name="_Toc84265552"/>
      <w:bookmarkStart w:id="71" w:name="_Toc42001806"/>
      <w:r>
        <w:rPr>
          <w:rFonts w:hint="eastAsia" w:ascii="宋体" w:hAnsi="宋体" w:cs="宋体"/>
        </w:rPr>
        <w:t>1.5.1 投标人准备和参加投标活动发生的费用自理。</w:t>
      </w:r>
      <w:bookmarkEnd w:id="70"/>
    </w:p>
    <w:p>
      <w:pPr>
        <w:spacing w:line="440" w:lineRule="exact"/>
        <w:ind w:firstLine="420" w:firstLineChars="200"/>
        <w:outlineLvl w:val="2"/>
        <w:rPr>
          <w:rFonts w:ascii="宋体" w:hAnsi="宋体" w:cs="宋体"/>
        </w:rPr>
      </w:pPr>
      <w:bookmarkStart w:id="72" w:name="_Toc84265553"/>
      <w:r>
        <w:rPr>
          <w:rFonts w:hint="eastAsia" w:ascii="宋体" w:hAnsi="宋体" w:cs="宋体"/>
        </w:rPr>
        <w:t>1.5.2 招标人对符合招标文件规定的未中标人的设计成果进行补偿的，按投标人须知前附表规定给予补偿，并有权免费使用未中标人设计成果。</w:t>
      </w:r>
      <w:bookmarkEnd w:id="72"/>
    </w:p>
    <w:p>
      <w:pPr>
        <w:spacing w:line="440" w:lineRule="exact"/>
        <w:ind w:firstLine="422" w:firstLineChars="200"/>
        <w:outlineLvl w:val="2"/>
        <w:rPr>
          <w:rFonts w:ascii="宋体"/>
          <w:b/>
          <w:bCs/>
        </w:rPr>
      </w:pPr>
      <w:bookmarkStart w:id="73" w:name="_Toc84265554"/>
      <w:r>
        <w:rPr>
          <w:rFonts w:ascii="宋体" w:hAnsi="宋体" w:cs="宋体"/>
          <w:b/>
          <w:bCs/>
        </w:rPr>
        <w:t>1.6</w:t>
      </w:r>
      <w:r>
        <w:rPr>
          <w:rFonts w:hint="eastAsia" w:ascii="宋体" w:hAnsi="宋体" w:cs="宋体"/>
          <w:b/>
          <w:bCs/>
        </w:rPr>
        <w:t>保密</w:t>
      </w:r>
      <w:bookmarkEnd w:id="71"/>
      <w:bookmarkEnd w:id="73"/>
    </w:p>
    <w:p>
      <w:pPr>
        <w:spacing w:line="440" w:lineRule="exact"/>
        <w:ind w:firstLine="420" w:firstLineChars="200"/>
        <w:outlineLvl w:val="2"/>
        <w:rPr>
          <w:rFonts w:ascii="宋体" w:hAnsi="宋体" w:cs="宋体"/>
        </w:rPr>
      </w:pPr>
      <w:bookmarkStart w:id="74" w:name="_Toc84265555"/>
      <w:bookmarkStart w:id="75" w:name="_Toc42001807"/>
      <w:r>
        <w:rPr>
          <w:rFonts w:hint="eastAsia" w:ascii="宋体" w:hAnsi="宋体" w:cs="宋体"/>
        </w:rPr>
        <w:t>参与招标投标活动的各方应对招标文件和投标文件中的商业和技术等秘密保密，否则应承担相应的法律责任。</w:t>
      </w:r>
      <w:bookmarkEnd w:id="74"/>
    </w:p>
    <w:p>
      <w:pPr>
        <w:spacing w:line="440" w:lineRule="exact"/>
        <w:ind w:firstLine="422" w:firstLineChars="200"/>
        <w:outlineLvl w:val="2"/>
        <w:rPr>
          <w:rFonts w:ascii="宋体"/>
          <w:b/>
          <w:bCs/>
        </w:rPr>
      </w:pPr>
      <w:bookmarkStart w:id="76" w:name="_Toc84265556"/>
      <w:r>
        <w:rPr>
          <w:rFonts w:ascii="宋体" w:hAnsi="宋体" w:cs="宋体"/>
          <w:b/>
          <w:bCs/>
        </w:rPr>
        <w:t>1.7</w:t>
      </w:r>
      <w:r>
        <w:rPr>
          <w:rFonts w:ascii="宋体" w:hAnsi="宋体" w:cs="宋体"/>
          <w:b/>
          <w:bCs/>
        </w:rPr>
        <w:tab/>
      </w:r>
      <w:r>
        <w:rPr>
          <w:rFonts w:hint="eastAsia" w:ascii="宋体" w:hAnsi="宋体" w:cs="宋体"/>
          <w:b/>
          <w:bCs/>
        </w:rPr>
        <w:t>语言文字</w:t>
      </w:r>
      <w:bookmarkEnd w:id="75"/>
      <w:bookmarkEnd w:id="76"/>
    </w:p>
    <w:p>
      <w:pPr>
        <w:spacing w:line="440" w:lineRule="exact"/>
        <w:ind w:firstLine="420" w:firstLineChars="200"/>
        <w:rPr>
          <w:rFonts w:ascii="宋体"/>
        </w:rPr>
      </w:pPr>
      <w:r>
        <w:rPr>
          <w:rFonts w:hint="eastAsia" w:ascii="宋体" w:hAnsi="宋体" w:cs="宋体"/>
        </w:rPr>
        <w:t>招标投标文件使用的语言文字为中文。专用术语使用外文的，应附有中文注释。</w:t>
      </w:r>
    </w:p>
    <w:p>
      <w:pPr>
        <w:spacing w:line="440" w:lineRule="exact"/>
        <w:ind w:firstLine="422" w:firstLineChars="200"/>
        <w:outlineLvl w:val="2"/>
        <w:rPr>
          <w:rFonts w:ascii="宋体"/>
          <w:b/>
          <w:bCs/>
        </w:rPr>
      </w:pPr>
      <w:bookmarkStart w:id="77" w:name="_Toc84265557"/>
      <w:bookmarkStart w:id="78" w:name="_Toc42001808"/>
      <w:r>
        <w:rPr>
          <w:rFonts w:ascii="宋体" w:hAnsi="宋体" w:cs="宋体"/>
          <w:b/>
          <w:bCs/>
        </w:rPr>
        <w:t>1.8</w:t>
      </w:r>
      <w:r>
        <w:rPr>
          <w:rFonts w:ascii="宋体" w:hAnsi="宋体" w:cs="宋体"/>
          <w:b/>
          <w:bCs/>
        </w:rPr>
        <w:tab/>
      </w:r>
      <w:r>
        <w:rPr>
          <w:rFonts w:hint="eastAsia" w:ascii="宋体" w:hAnsi="宋体" w:cs="宋体"/>
          <w:b/>
          <w:bCs/>
        </w:rPr>
        <w:t>计量单位</w:t>
      </w:r>
      <w:bookmarkEnd w:id="77"/>
      <w:bookmarkEnd w:id="78"/>
    </w:p>
    <w:p>
      <w:pPr>
        <w:spacing w:line="440" w:lineRule="exact"/>
        <w:ind w:firstLine="420" w:firstLineChars="200"/>
        <w:rPr>
          <w:rFonts w:ascii="宋体"/>
        </w:rPr>
      </w:pPr>
      <w:r>
        <w:rPr>
          <w:rFonts w:hint="eastAsia" w:ascii="宋体" w:hAnsi="宋体" w:cs="宋体"/>
        </w:rPr>
        <w:t>所有计量均采用中华人民共和国法定计量单位。</w:t>
      </w:r>
    </w:p>
    <w:p>
      <w:pPr>
        <w:spacing w:line="440" w:lineRule="exact"/>
        <w:ind w:firstLine="422" w:firstLineChars="200"/>
        <w:outlineLvl w:val="2"/>
        <w:rPr>
          <w:rFonts w:ascii="宋体"/>
          <w:b/>
          <w:bCs/>
        </w:rPr>
      </w:pPr>
      <w:bookmarkStart w:id="79" w:name="_Toc84265558"/>
      <w:bookmarkStart w:id="80" w:name="_Toc42001809"/>
      <w:r>
        <w:rPr>
          <w:rFonts w:ascii="宋体" w:hAnsi="宋体" w:cs="宋体"/>
          <w:b/>
          <w:bCs/>
        </w:rPr>
        <w:t>1.9</w:t>
      </w:r>
      <w:r>
        <w:rPr>
          <w:rFonts w:ascii="宋体" w:hAnsi="宋体" w:cs="宋体"/>
          <w:b/>
          <w:bCs/>
        </w:rPr>
        <w:tab/>
      </w:r>
      <w:r>
        <w:rPr>
          <w:rFonts w:hint="eastAsia" w:ascii="宋体" w:hAnsi="宋体" w:cs="宋体"/>
          <w:b/>
          <w:bCs/>
        </w:rPr>
        <w:t>踏勘现场</w:t>
      </w:r>
      <w:bookmarkEnd w:id="79"/>
      <w:bookmarkEnd w:id="80"/>
    </w:p>
    <w:p>
      <w:pPr>
        <w:spacing w:line="440" w:lineRule="exact"/>
        <w:ind w:firstLine="420" w:firstLineChars="200"/>
        <w:outlineLvl w:val="3"/>
        <w:rPr>
          <w:rFonts w:ascii="宋体" w:hAnsi="宋体" w:cs="宋体"/>
        </w:rPr>
      </w:pPr>
      <w:r>
        <w:rPr>
          <w:rFonts w:hint="eastAsia" w:ascii="宋体" w:hAnsi="宋体" w:cs="宋体"/>
        </w:rPr>
        <w:t xml:space="preserve">1.9.1 投标人须知前附表规定组织踏勘现场的，招标人按投标人须知前附表规定的时间、地点组织投标人踏勘项目现场。 </w:t>
      </w:r>
    </w:p>
    <w:p>
      <w:pPr>
        <w:spacing w:line="440" w:lineRule="exact"/>
        <w:ind w:firstLine="420" w:firstLineChars="200"/>
        <w:outlineLvl w:val="3"/>
        <w:rPr>
          <w:rFonts w:ascii="宋体" w:hAnsi="宋体" w:cs="宋体"/>
        </w:rPr>
      </w:pPr>
      <w:r>
        <w:rPr>
          <w:rFonts w:hint="eastAsia" w:ascii="宋体" w:hAnsi="宋体" w:cs="宋体"/>
        </w:rPr>
        <w:t>1.9.2 投标人踏勘现场发生的费用自理。</w:t>
      </w:r>
    </w:p>
    <w:p>
      <w:pPr>
        <w:spacing w:line="440" w:lineRule="exact"/>
        <w:ind w:firstLine="420" w:firstLineChars="200"/>
        <w:outlineLvl w:val="3"/>
        <w:rPr>
          <w:rFonts w:ascii="宋体" w:hAnsi="宋体" w:cs="宋体"/>
        </w:rPr>
      </w:pPr>
      <w:r>
        <w:rPr>
          <w:rFonts w:hint="eastAsia" w:ascii="宋体" w:hAnsi="宋体" w:cs="宋体"/>
        </w:rPr>
        <w:t>1.9.3 除招标人的原因外，投标人自行负责在踏勘现场中所发生的人员伤亡和财产损失。</w:t>
      </w:r>
    </w:p>
    <w:p>
      <w:pPr>
        <w:spacing w:line="440" w:lineRule="exact"/>
        <w:ind w:firstLine="420" w:firstLineChars="200"/>
        <w:outlineLvl w:val="3"/>
        <w:rPr>
          <w:rFonts w:ascii="宋体"/>
        </w:rPr>
      </w:pPr>
      <w:r>
        <w:rPr>
          <w:rFonts w:hint="eastAsia" w:ascii="宋体" w:hAnsi="宋体" w:cs="宋体"/>
        </w:rPr>
        <w:t>1.9.4 招标人在踏勘现场中介绍的工程场地和相关的周边环境情况，供投标人在编制投标文件时参考，招标人不对投标人据此作出的判断和决策负责。</w:t>
      </w:r>
    </w:p>
    <w:p>
      <w:pPr>
        <w:spacing w:line="440" w:lineRule="exact"/>
        <w:ind w:firstLine="422" w:firstLineChars="200"/>
        <w:outlineLvl w:val="2"/>
        <w:rPr>
          <w:rFonts w:ascii="宋体"/>
          <w:b/>
          <w:bCs/>
        </w:rPr>
      </w:pPr>
      <w:bookmarkStart w:id="81" w:name="_Toc84265559"/>
      <w:bookmarkStart w:id="82" w:name="_Toc42001810"/>
      <w:r>
        <w:rPr>
          <w:rFonts w:ascii="宋体" w:hAnsi="宋体" w:cs="宋体"/>
          <w:b/>
          <w:bCs/>
        </w:rPr>
        <w:t>1.10</w:t>
      </w:r>
      <w:r>
        <w:rPr>
          <w:rFonts w:hint="eastAsia" w:ascii="宋体" w:hAnsi="宋体" w:cs="宋体"/>
          <w:b/>
          <w:bCs/>
        </w:rPr>
        <w:t>投标预备会</w:t>
      </w:r>
      <w:bookmarkEnd w:id="81"/>
      <w:bookmarkEnd w:id="82"/>
    </w:p>
    <w:p>
      <w:pPr>
        <w:spacing w:line="440" w:lineRule="exact"/>
        <w:ind w:firstLine="420" w:firstLineChars="200"/>
        <w:outlineLvl w:val="3"/>
        <w:rPr>
          <w:rFonts w:ascii="宋体" w:hAnsi="宋体" w:cs="宋体"/>
        </w:rPr>
      </w:pPr>
      <w:r>
        <w:rPr>
          <w:rFonts w:hint="eastAsia" w:ascii="宋体" w:hAnsi="宋体" w:cs="宋体"/>
        </w:rPr>
        <w:t>1.10.1 投标人须知前附表规定召开投标预备会的，招标人按投标人须知前附表规定的时间和地点召开投标预备会，澄清投标人提出的问题。</w:t>
      </w:r>
    </w:p>
    <w:p>
      <w:pPr>
        <w:spacing w:line="440" w:lineRule="exact"/>
        <w:ind w:firstLine="420" w:firstLineChars="200"/>
        <w:outlineLvl w:val="3"/>
        <w:rPr>
          <w:rFonts w:ascii="宋体" w:hAnsi="宋体" w:cs="宋体"/>
        </w:rPr>
      </w:pPr>
      <w:r>
        <w:rPr>
          <w:rFonts w:hint="eastAsia" w:ascii="宋体" w:hAnsi="宋体" w:cs="宋体"/>
        </w:rPr>
        <w:t>1.10.2 投标人应在投标人须知前附表规定的时间前，以书面形式将提出的问题送达招标人，以便招标人在会议期间澄清。</w:t>
      </w:r>
    </w:p>
    <w:p>
      <w:pPr>
        <w:spacing w:line="440" w:lineRule="exact"/>
        <w:ind w:firstLine="420" w:firstLineChars="200"/>
        <w:outlineLvl w:val="3"/>
        <w:rPr>
          <w:rFonts w:ascii="宋体"/>
        </w:rPr>
      </w:pPr>
      <w:r>
        <w:rPr>
          <w:rFonts w:hint="eastAsia" w:ascii="宋体" w:hAnsi="宋体" w:cs="宋体"/>
        </w:rPr>
        <w:t>1.10.3 投标预备会后，招标人在投标人须知前附表规定的时间内，将对投标人所提问题的澄清，以书面形式通知所有购买招标文件的投标人。该澄清内容为招标文件的组成部分。</w:t>
      </w:r>
    </w:p>
    <w:p>
      <w:pPr>
        <w:spacing w:line="440" w:lineRule="exact"/>
        <w:ind w:firstLine="422" w:firstLineChars="200"/>
        <w:outlineLvl w:val="2"/>
        <w:rPr>
          <w:rFonts w:ascii="宋体"/>
          <w:b/>
          <w:bCs/>
        </w:rPr>
      </w:pPr>
      <w:bookmarkStart w:id="83" w:name="_Toc84265560"/>
      <w:bookmarkStart w:id="84" w:name="_Toc42001811"/>
      <w:r>
        <w:rPr>
          <w:rFonts w:ascii="宋体" w:hAnsi="宋体" w:cs="宋体"/>
          <w:b/>
          <w:bCs/>
        </w:rPr>
        <w:t>1.11</w:t>
      </w:r>
      <w:r>
        <w:rPr>
          <w:rFonts w:hint="eastAsia" w:ascii="宋体" w:hAnsi="宋体" w:cs="宋体"/>
          <w:b/>
          <w:bCs/>
        </w:rPr>
        <w:t>分包</w:t>
      </w:r>
      <w:bookmarkEnd w:id="83"/>
      <w:bookmarkEnd w:id="84"/>
    </w:p>
    <w:p>
      <w:pPr>
        <w:spacing w:line="440" w:lineRule="exact"/>
        <w:ind w:firstLine="420" w:firstLineChars="200"/>
        <w:outlineLvl w:val="2"/>
        <w:rPr>
          <w:rFonts w:ascii="宋体" w:hAnsi="宋体" w:cs="宋体"/>
        </w:rPr>
      </w:pPr>
      <w:bookmarkStart w:id="85" w:name="_Toc84265561"/>
      <w:bookmarkStart w:id="86" w:name="_Toc84265563"/>
      <w:bookmarkStart w:id="87" w:name="_Toc42001812"/>
      <w:r>
        <w:rPr>
          <w:rFonts w:hint="eastAsia" w:ascii="宋体" w:hAnsi="宋体" w:cs="宋体"/>
        </w:rPr>
        <w:t>1.11.1 投标人须知前附表规定应当由分包人实施的工作，应当将工程总承包项目中的施工业务依法分包给具有相应施工资质的企业，并向招标人提供分包人的相关资料。</w:t>
      </w:r>
      <w:bookmarkEnd w:id="85"/>
    </w:p>
    <w:p>
      <w:pPr>
        <w:spacing w:line="440" w:lineRule="exact"/>
        <w:ind w:firstLine="420" w:firstLineChars="200"/>
        <w:outlineLvl w:val="2"/>
        <w:rPr>
          <w:rFonts w:ascii="宋体" w:hAnsi="宋体" w:cs="宋体"/>
        </w:rPr>
      </w:pPr>
      <w:bookmarkStart w:id="88" w:name="_Toc84265562"/>
      <w:r>
        <w:rPr>
          <w:rFonts w:hint="eastAsia" w:ascii="宋体" w:hAnsi="宋体" w:cs="宋体"/>
        </w:rPr>
        <w:t>1.11.2 投标人拟在中标后将中标项目的工作进行分包的，应符合国家相关规定的限制性条件。</w:t>
      </w:r>
      <w:bookmarkEnd w:id="88"/>
    </w:p>
    <w:p>
      <w:pPr>
        <w:spacing w:line="440" w:lineRule="exact"/>
        <w:ind w:firstLine="422" w:firstLineChars="200"/>
        <w:outlineLvl w:val="2"/>
        <w:rPr>
          <w:rFonts w:ascii="宋体"/>
          <w:b/>
          <w:bCs/>
        </w:rPr>
      </w:pPr>
      <w:r>
        <w:rPr>
          <w:rFonts w:ascii="宋体" w:hAnsi="宋体" w:cs="宋体"/>
          <w:b/>
          <w:bCs/>
        </w:rPr>
        <w:t>1.12</w:t>
      </w:r>
      <w:r>
        <w:rPr>
          <w:rFonts w:hint="eastAsia" w:ascii="宋体" w:hAnsi="宋体" w:cs="宋体"/>
          <w:b/>
          <w:bCs/>
        </w:rPr>
        <w:t>响应和偏差</w:t>
      </w:r>
      <w:bookmarkEnd w:id="86"/>
      <w:bookmarkEnd w:id="87"/>
    </w:p>
    <w:p>
      <w:pPr>
        <w:spacing w:line="440" w:lineRule="exact"/>
        <w:ind w:firstLine="420" w:firstLineChars="200"/>
        <w:rPr>
          <w:rFonts w:ascii="宋体" w:hAnsi="宋体" w:cs="宋体"/>
        </w:rPr>
      </w:pPr>
      <w:r>
        <w:rPr>
          <w:rFonts w:hint="eastAsia" w:ascii="宋体" w:hAnsi="宋体" w:cs="宋体"/>
        </w:rPr>
        <w:t>投标人须知前附表允许投标文件偏离招标文件某些要求的，偏离应当符合招标文件规定的偏离范围和幅度。</w:t>
      </w:r>
    </w:p>
    <w:p>
      <w:pPr>
        <w:spacing w:line="440" w:lineRule="exact"/>
        <w:rPr>
          <w:rFonts w:ascii="宋体"/>
          <w:b/>
          <w:bCs/>
          <w:sz w:val="24"/>
          <w:szCs w:val="24"/>
        </w:rPr>
      </w:pPr>
      <w:r>
        <w:rPr>
          <w:rFonts w:ascii="宋体" w:hAnsi="宋体" w:cs="宋体"/>
          <w:b/>
          <w:bCs/>
          <w:sz w:val="24"/>
          <w:szCs w:val="24"/>
        </w:rPr>
        <w:t xml:space="preserve">   2.</w:t>
      </w:r>
      <w:r>
        <w:rPr>
          <w:rFonts w:ascii="宋体" w:hAnsi="宋体" w:cs="宋体"/>
          <w:b/>
          <w:bCs/>
          <w:sz w:val="24"/>
          <w:szCs w:val="24"/>
        </w:rPr>
        <w:tab/>
      </w:r>
      <w:r>
        <w:rPr>
          <w:rFonts w:hint="eastAsia" w:ascii="宋体" w:hAnsi="宋体" w:cs="宋体"/>
          <w:b/>
          <w:bCs/>
          <w:sz w:val="24"/>
          <w:szCs w:val="24"/>
        </w:rPr>
        <w:t>招标文件</w:t>
      </w:r>
    </w:p>
    <w:p>
      <w:pPr>
        <w:spacing w:line="440" w:lineRule="exact"/>
        <w:ind w:firstLine="422" w:firstLineChars="200"/>
        <w:outlineLvl w:val="2"/>
        <w:rPr>
          <w:rFonts w:ascii="宋体"/>
          <w:b/>
          <w:bCs/>
        </w:rPr>
      </w:pPr>
      <w:bookmarkStart w:id="89" w:name="_Toc84265564"/>
      <w:bookmarkStart w:id="90" w:name="_Toc42001813"/>
      <w:r>
        <w:rPr>
          <w:rFonts w:ascii="宋体" w:hAnsi="宋体" w:cs="宋体"/>
          <w:b/>
          <w:bCs/>
        </w:rPr>
        <w:t>2.1</w:t>
      </w:r>
      <w:r>
        <w:rPr>
          <w:rFonts w:ascii="宋体" w:hAnsi="宋体" w:cs="宋体"/>
          <w:b/>
          <w:bCs/>
        </w:rPr>
        <w:tab/>
      </w:r>
      <w:r>
        <w:rPr>
          <w:rFonts w:hint="eastAsia" w:ascii="宋体" w:hAnsi="宋体" w:cs="宋体"/>
          <w:b/>
          <w:bCs/>
        </w:rPr>
        <w:t>招标文件的组成</w:t>
      </w:r>
      <w:bookmarkEnd w:id="89"/>
      <w:bookmarkEnd w:id="90"/>
    </w:p>
    <w:p>
      <w:pPr>
        <w:spacing w:line="440" w:lineRule="exact"/>
        <w:ind w:firstLine="420" w:firstLineChars="200"/>
        <w:rPr>
          <w:rFonts w:ascii="宋体"/>
        </w:rPr>
      </w:pPr>
      <w:r>
        <w:rPr>
          <w:rFonts w:hint="eastAsia" w:ascii="宋体" w:hAnsi="宋体" w:cs="宋体"/>
        </w:rPr>
        <w:t>本招标文件包括：</w:t>
      </w:r>
    </w:p>
    <w:p>
      <w:pPr>
        <w:spacing w:line="44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）招标公告；</w:t>
      </w:r>
    </w:p>
    <w:p>
      <w:pPr>
        <w:spacing w:line="440" w:lineRule="exact"/>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rPr>
        <w:t>）投标人须知；</w:t>
      </w:r>
    </w:p>
    <w:p>
      <w:pPr>
        <w:spacing w:line="440" w:lineRule="exact"/>
        <w:ind w:firstLine="420" w:firstLineChars="200"/>
        <w:rPr>
          <w:rFonts w:ascii="宋体"/>
        </w:rPr>
      </w:pPr>
      <w:r>
        <w:rPr>
          <w:rFonts w:hint="eastAsia" w:ascii="宋体" w:hAnsi="宋体" w:cs="宋体"/>
        </w:rPr>
        <w:t>（</w:t>
      </w:r>
      <w:r>
        <w:rPr>
          <w:rFonts w:ascii="宋体" w:hAnsi="宋体" w:cs="宋体"/>
        </w:rPr>
        <w:t>3</w:t>
      </w:r>
      <w:r>
        <w:rPr>
          <w:rFonts w:hint="eastAsia" w:ascii="宋体" w:hAnsi="宋体" w:cs="宋体"/>
        </w:rPr>
        <w:t>）评标办法；</w:t>
      </w:r>
    </w:p>
    <w:p>
      <w:pPr>
        <w:spacing w:line="440" w:lineRule="exact"/>
        <w:ind w:firstLine="420" w:firstLineChars="200"/>
        <w:rPr>
          <w:rFonts w:ascii="宋体"/>
        </w:rPr>
      </w:pPr>
      <w:r>
        <w:rPr>
          <w:rFonts w:hint="eastAsia" w:ascii="宋体" w:hAnsi="宋体" w:cs="宋体"/>
        </w:rPr>
        <w:t>（</w:t>
      </w:r>
      <w:r>
        <w:rPr>
          <w:rFonts w:ascii="宋体" w:hAnsi="宋体" w:cs="宋体"/>
        </w:rPr>
        <w:t>4</w:t>
      </w:r>
      <w:r>
        <w:rPr>
          <w:rFonts w:hint="eastAsia" w:ascii="宋体" w:hAnsi="宋体" w:cs="宋体"/>
        </w:rPr>
        <w:t>）合同条款及格式；</w:t>
      </w:r>
    </w:p>
    <w:p>
      <w:pPr>
        <w:spacing w:line="440" w:lineRule="exact"/>
        <w:ind w:firstLine="420" w:firstLineChars="200"/>
        <w:rPr>
          <w:rFonts w:ascii="宋体" w:hAnsi="宋体" w:cs="宋体"/>
        </w:rPr>
      </w:pPr>
      <w:r>
        <w:rPr>
          <w:rFonts w:hint="eastAsia" w:ascii="宋体" w:hAnsi="宋体" w:cs="宋体"/>
        </w:rPr>
        <w:t>（</w:t>
      </w:r>
      <w:r>
        <w:rPr>
          <w:rFonts w:ascii="宋体" w:hAnsi="宋体" w:cs="宋体"/>
        </w:rPr>
        <w:t>5</w:t>
      </w:r>
      <w:r>
        <w:rPr>
          <w:rFonts w:hint="eastAsia" w:ascii="宋体" w:hAnsi="宋体" w:cs="宋体"/>
        </w:rPr>
        <w:t>）发包人要求；</w:t>
      </w:r>
    </w:p>
    <w:p>
      <w:pPr>
        <w:spacing w:line="440" w:lineRule="exact"/>
        <w:ind w:firstLine="420" w:firstLineChars="200"/>
        <w:rPr>
          <w:rFonts w:ascii="宋体" w:hAnsi="宋体" w:cs="宋体"/>
        </w:rPr>
      </w:pPr>
      <w:r>
        <w:rPr>
          <w:rFonts w:hint="eastAsia" w:ascii="宋体" w:hAnsi="宋体" w:cs="宋体"/>
        </w:rPr>
        <w:t>（6）发包人提供的资料；</w:t>
      </w:r>
    </w:p>
    <w:p>
      <w:pPr>
        <w:spacing w:line="440" w:lineRule="exact"/>
        <w:ind w:firstLine="420" w:firstLineChars="200"/>
        <w:rPr>
          <w:rFonts w:ascii="宋体"/>
        </w:rPr>
      </w:pPr>
      <w:r>
        <w:rPr>
          <w:rFonts w:hint="eastAsia" w:ascii="宋体" w:hAnsi="宋体" w:cs="宋体"/>
        </w:rPr>
        <w:t>（7）技术标准和要求；</w:t>
      </w:r>
    </w:p>
    <w:p>
      <w:pPr>
        <w:spacing w:line="440" w:lineRule="exact"/>
        <w:ind w:firstLine="420" w:firstLineChars="200"/>
        <w:rPr>
          <w:rFonts w:ascii="宋体" w:hAnsi="宋体" w:cs="宋体"/>
        </w:rPr>
      </w:pPr>
      <w:r>
        <w:rPr>
          <w:rFonts w:hint="eastAsia" w:ascii="宋体" w:hAnsi="宋体" w:cs="宋体"/>
        </w:rPr>
        <w:t>（8）投标文件格式；</w:t>
      </w:r>
    </w:p>
    <w:p>
      <w:pPr>
        <w:spacing w:line="440" w:lineRule="exact"/>
        <w:ind w:firstLine="420" w:firstLineChars="200"/>
        <w:rPr>
          <w:rFonts w:ascii="宋体"/>
        </w:rPr>
      </w:pPr>
      <w:r>
        <w:rPr>
          <w:rFonts w:hint="eastAsia" w:ascii="宋体" w:hAnsi="宋体" w:cs="宋体"/>
        </w:rPr>
        <w:t>（9）投标人须知前附表规定的其他资料。</w:t>
      </w:r>
    </w:p>
    <w:p>
      <w:pPr>
        <w:spacing w:line="440" w:lineRule="exact"/>
        <w:ind w:firstLine="420" w:firstLineChars="200"/>
        <w:rPr>
          <w:rFonts w:ascii="宋体"/>
        </w:rPr>
      </w:pPr>
      <w:r>
        <w:rPr>
          <w:rFonts w:hint="eastAsia" w:ascii="宋体" w:hAnsi="宋体" w:cs="宋体"/>
        </w:rPr>
        <w:t>根据本章第</w:t>
      </w:r>
      <w:r>
        <w:rPr>
          <w:rFonts w:ascii="宋体" w:hAnsi="宋体" w:cs="宋体"/>
        </w:rPr>
        <w:t xml:space="preserve"> 1.10 </w:t>
      </w:r>
      <w:r>
        <w:rPr>
          <w:rFonts w:hint="eastAsia" w:ascii="宋体" w:hAnsi="宋体" w:cs="宋体"/>
        </w:rPr>
        <w:t>款、第</w:t>
      </w:r>
      <w:r>
        <w:rPr>
          <w:rFonts w:ascii="宋体" w:hAnsi="宋体" w:cs="宋体"/>
        </w:rPr>
        <w:t xml:space="preserve"> 2.2 </w:t>
      </w:r>
      <w:r>
        <w:rPr>
          <w:rFonts w:hint="eastAsia" w:ascii="宋体" w:hAnsi="宋体" w:cs="宋体"/>
        </w:rPr>
        <w:t>款和第</w:t>
      </w:r>
      <w:r>
        <w:rPr>
          <w:rFonts w:ascii="宋体" w:hAnsi="宋体" w:cs="宋体"/>
        </w:rPr>
        <w:t xml:space="preserve"> 2.3 </w:t>
      </w:r>
      <w:r>
        <w:rPr>
          <w:rFonts w:hint="eastAsia" w:ascii="宋体" w:hAnsi="宋体" w:cs="宋体"/>
        </w:rPr>
        <w:t>款对招标文件所作的澄清、修改，构成招标文件的组成部分。</w:t>
      </w:r>
    </w:p>
    <w:p>
      <w:pPr>
        <w:spacing w:line="440" w:lineRule="exact"/>
        <w:ind w:firstLine="422" w:firstLineChars="200"/>
        <w:outlineLvl w:val="2"/>
        <w:rPr>
          <w:rFonts w:ascii="宋体"/>
          <w:b/>
          <w:bCs/>
        </w:rPr>
      </w:pPr>
      <w:bookmarkStart w:id="91" w:name="_Toc84265565"/>
      <w:bookmarkStart w:id="92" w:name="_Toc42001814"/>
      <w:r>
        <w:rPr>
          <w:rFonts w:ascii="宋体" w:hAnsi="宋体" w:cs="宋体"/>
          <w:b/>
          <w:bCs/>
        </w:rPr>
        <w:t>2.2</w:t>
      </w:r>
      <w:r>
        <w:rPr>
          <w:rFonts w:ascii="宋体" w:hAnsi="宋体" w:cs="宋体"/>
          <w:b/>
          <w:bCs/>
        </w:rPr>
        <w:tab/>
      </w:r>
      <w:r>
        <w:rPr>
          <w:rFonts w:hint="eastAsia" w:ascii="宋体" w:hAnsi="宋体" w:cs="宋体"/>
          <w:b/>
          <w:bCs/>
        </w:rPr>
        <w:t>招标文件的澄清</w:t>
      </w:r>
      <w:bookmarkEnd w:id="91"/>
      <w:bookmarkEnd w:id="92"/>
    </w:p>
    <w:p>
      <w:pPr>
        <w:spacing w:line="440" w:lineRule="exact"/>
        <w:ind w:firstLine="420" w:firstLineChars="200"/>
        <w:rPr>
          <w:rFonts w:ascii="宋体" w:hAnsi="宋体" w:cs="宋体"/>
        </w:rPr>
      </w:pPr>
      <w:r>
        <w:rPr>
          <w:rFonts w:hint="eastAsia" w:ascii="宋体" w:hAnsi="宋体" w:cs="宋体"/>
        </w:rPr>
        <w:t>2.2.1 投标人应仔细阅读和检查招标文件的全部内容。如发现缺页或附件不全，应及时向招标人提出，以便补齐。如有疑问，应按投标人须知前附表规定的时间和形式，要求招标人对招标文件予以澄清。</w:t>
      </w:r>
    </w:p>
    <w:p>
      <w:pPr>
        <w:spacing w:line="440" w:lineRule="exact"/>
        <w:ind w:firstLine="420" w:firstLineChars="200"/>
        <w:rPr>
          <w:rFonts w:ascii="宋体" w:hAnsi="宋体" w:cs="宋体"/>
        </w:rPr>
      </w:pPr>
      <w:r>
        <w:rPr>
          <w:rFonts w:hint="eastAsia" w:ascii="宋体" w:hAnsi="宋体" w:cs="宋体"/>
        </w:rPr>
        <w:t>2.2.2 招标文件的澄清以书面形式发给所有购买招标文件的投标人，但不指明澄清问题的来源。澄清发出的时间距投标人须知前附表规定的投标截止时间不足15天的，并且澄清内容影响投标文件编制的，将相应延长投标截止时间。</w:t>
      </w:r>
    </w:p>
    <w:p>
      <w:pPr>
        <w:spacing w:line="440" w:lineRule="exact"/>
        <w:ind w:firstLine="420" w:firstLineChars="200"/>
        <w:rPr>
          <w:rFonts w:ascii="宋体"/>
        </w:rPr>
      </w:pPr>
      <w:r>
        <w:rPr>
          <w:rFonts w:hint="eastAsia" w:ascii="宋体" w:hAnsi="宋体" w:cs="宋体"/>
        </w:rPr>
        <w:t>2.2.3 投标人在收到澄清后，应在投标人须知前附表规定的时间和形式通知招标人，确认已收到该澄清。</w:t>
      </w:r>
    </w:p>
    <w:p>
      <w:pPr>
        <w:spacing w:line="440" w:lineRule="exact"/>
        <w:ind w:firstLine="422" w:firstLineChars="200"/>
        <w:outlineLvl w:val="2"/>
        <w:rPr>
          <w:rFonts w:ascii="宋体"/>
          <w:b/>
          <w:bCs/>
        </w:rPr>
      </w:pPr>
      <w:bookmarkStart w:id="93" w:name="_Toc42001815"/>
      <w:bookmarkStart w:id="94" w:name="_Toc84265566"/>
      <w:r>
        <w:rPr>
          <w:rFonts w:ascii="宋体" w:hAnsi="宋体" w:cs="宋体"/>
          <w:b/>
          <w:bCs/>
        </w:rPr>
        <w:t>2.3</w:t>
      </w:r>
      <w:r>
        <w:rPr>
          <w:rFonts w:ascii="宋体" w:hAnsi="宋体" w:cs="宋体"/>
          <w:b/>
          <w:bCs/>
        </w:rPr>
        <w:tab/>
      </w:r>
      <w:r>
        <w:rPr>
          <w:rFonts w:hint="eastAsia" w:ascii="宋体" w:hAnsi="宋体" w:cs="宋体"/>
          <w:b/>
          <w:bCs/>
        </w:rPr>
        <w:t>招标文件的修改</w:t>
      </w:r>
      <w:bookmarkEnd w:id="93"/>
      <w:bookmarkEnd w:id="94"/>
    </w:p>
    <w:p>
      <w:pPr>
        <w:spacing w:line="440" w:lineRule="exact"/>
        <w:ind w:firstLine="420" w:firstLineChars="200"/>
        <w:rPr>
          <w:rFonts w:ascii="宋体" w:hAnsi="宋体" w:cs="宋体"/>
        </w:rPr>
      </w:pPr>
      <w:r>
        <w:rPr>
          <w:rFonts w:hint="eastAsia" w:ascii="宋体" w:hAnsi="宋体" w:cs="宋体"/>
        </w:rPr>
        <w:t xml:space="preserve">2.3.1 招标人可以按投标人须知前附表规定的形式修改招标文件，并通知所有已购买招标文件的投标人。修改招标文件的时间距投标人须知前附表规定的投标截止时间不足15天的，并且澄清内容影响投标文件编制的，将相应延长投标截止时间。 </w:t>
      </w:r>
    </w:p>
    <w:p>
      <w:pPr>
        <w:spacing w:line="440" w:lineRule="exact"/>
        <w:ind w:firstLine="420" w:firstLineChars="200"/>
        <w:rPr>
          <w:rFonts w:ascii="宋体"/>
        </w:rPr>
      </w:pPr>
      <w:r>
        <w:rPr>
          <w:rFonts w:hint="eastAsia" w:ascii="宋体" w:hAnsi="宋体" w:cs="宋体"/>
        </w:rPr>
        <w:t>2.3.2 投标人收到修改内容后，应按投标人须知前附表规定的时间和形式通知招标人，确认已收到该修改。</w:t>
      </w:r>
    </w:p>
    <w:p>
      <w:pPr>
        <w:spacing w:line="440" w:lineRule="exact"/>
        <w:ind w:firstLine="482" w:firstLineChars="200"/>
        <w:outlineLvl w:val="1"/>
        <w:rPr>
          <w:rFonts w:ascii="宋体"/>
          <w:b/>
          <w:bCs/>
          <w:sz w:val="24"/>
          <w:szCs w:val="24"/>
        </w:rPr>
      </w:pPr>
      <w:bookmarkStart w:id="95" w:name="_Toc84265567"/>
      <w:bookmarkStart w:id="96" w:name="_Toc42001817"/>
      <w:r>
        <w:rPr>
          <w:rFonts w:ascii="宋体" w:hAnsi="宋体" w:cs="宋体"/>
          <w:b/>
          <w:bCs/>
          <w:sz w:val="24"/>
          <w:szCs w:val="24"/>
        </w:rPr>
        <w:t>3.</w:t>
      </w:r>
      <w:r>
        <w:rPr>
          <w:rFonts w:ascii="宋体" w:hAnsi="宋体" w:cs="宋体"/>
          <w:b/>
          <w:bCs/>
          <w:sz w:val="24"/>
          <w:szCs w:val="24"/>
        </w:rPr>
        <w:tab/>
      </w:r>
      <w:r>
        <w:rPr>
          <w:rFonts w:hint="eastAsia" w:ascii="宋体" w:hAnsi="宋体" w:cs="宋体"/>
          <w:b/>
          <w:bCs/>
          <w:sz w:val="24"/>
          <w:szCs w:val="24"/>
        </w:rPr>
        <w:t>投标文件</w:t>
      </w:r>
      <w:bookmarkEnd w:id="95"/>
      <w:bookmarkEnd w:id="96"/>
    </w:p>
    <w:p>
      <w:pPr>
        <w:spacing w:line="440" w:lineRule="exact"/>
        <w:ind w:firstLine="422" w:firstLineChars="200"/>
        <w:outlineLvl w:val="2"/>
        <w:rPr>
          <w:rFonts w:ascii="宋体"/>
          <w:b/>
          <w:bCs/>
        </w:rPr>
      </w:pPr>
      <w:bookmarkStart w:id="97" w:name="_Toc84265568"/>
      <w:bookmarkStart w:id="98" w:name="_Toc42001818"/>
      <w:r>
        <w:rPr>
          <w:rFonts w:ascii="宋体" w:hAnsi="宋体" w:cs="宋体"/>
          <w:b/>
          <w:bCs/>
        </w:rPr>
        <w:t>3.1</w:t>
      </w:r>
      <w:r>
        <w:rPr>
          <w:rFonts w:ascii="宋体" w:hAnsi="宋体" w:cs="宋体"/>
          <w:b/>
          <w:bCs/>
        </w:rPr>
        <w:tab/>
      </w:r>
      <w:r>
        <w:rPr>
          <w:rFonts w:hint="eastAsia" w:ascii="宋体" w:hAnsi="宋体" w:cs="宋体"/>
          <w:b/>
          <w:bCs/>
        </w:rPr>
        <w:t>投标文件的组成</w:t>
      </w:r>
      <w:bookmarkEnd w:id="97"/>
      <w:bookmarkEnd w:id="98"/>
    </w:p>
    <w:p>
      <w:pPr>
        <w:spacing w:line="400" w:lineRule="exact"/>
        <w:ind w:firstLine="420" w:firstLineChars="200"/>
      </w:pPr>
      <w:r>
        <w:t>3.1.1</w:t>
      </w:r>
      <w:r>
        <w:rPr>
          <w:rFonts w:hint="eastAsia" w:cs="宋体"/>
        </w:rPr>
        <w:t>投标文件应包括下列内容：</w:t>
      </w:r>
    </w:p>
    <w:p>
      <w:pPr>
        <w:spacing w:line="360" w:lineRule="auto"/>
        <w:ind w:firstLine="420" w:firstLineChars="200"/>
        <w:rPr>
          <w:rFonts w:ascii="宋体"/>
        </w:rPr>
      </w:pPr>
      <w:bookmarkStart w:id="99" w:name="_Hlk522217170"/>
      <w:r>
        <w:rPr>
          <w:rFonts w:hint="eastAsia" w:ascii="宋体" w:hAnsi="宋体" w:cs="宋体"/>
        </w:rPr>
        <w:t>（</w:t>
      </w:r>
      <w:r>
        <w:rPr>
          <w:rFonts w:ascii="宋体" w:hAnsi="宋体" w:cs="宋体"/>
        </w:rPr>
        <w:t>1</w:t>
      </w:r>
      <w:r>
        <w:rPr>
          <w:rFonts w:hint="eastAsia" w:ascii="宋体" w:hAnsi="宋体" w:cs="宋体"/>
        </w:rPr>
        <w:t>）投标函及投标函附录；</w:t>
      </w:r>
    </w:p>
    <w:p>
      <w:pPr>
        <w:spacing w:line="360" w:lineRule="auto"/>
        <w:ind w:firstLine="420" w:firstLineChars="200"/>
        <w:rPr>
          <w:rFonts w:ascii="宋体" w:hAnsi="宋体" w:cs="宋体"/>
        </w:rPr>
      </w:pPr>
      <w:r>
        <w:rPr>
          <w:rFonts w:hint="eastAsia" w:ascii="宋体" w:hAnsi="宋体" w:cs="宋体"/>
        </w:rPr>
        <w:t>（</w:t>
      </w:r>
      <w:r>
        <w:rPr>
          <w:rFonts w:ascii="宋体" w:hAnsi="宋体" w:cs="宋体"/>
        </w:rPr>
        <w:t>2</w:t>
      </w:r>
      <w:r>
        <w:rPr>
          <w:rFonts w:hint="eastAsia" w:ascii="宋体" w:hAnsi="宋体" w:cs="宋体"/>
        </w:rPr>
        <w:t>）法定代表人身份证明或委托授权书；</w:t>
      </w:r>
    </w:p>
    <w:p>
      <w:pPr>
        <w:spacing w:line="360" w:lineRule="auto"/>
        <w:ind w:firstLine="420" w:firstLineChars="200"/>
        <w:rPr>
          <w:rFonts w:ascii="宋体"/>
        </w:rPr>
      </w:pPr>
      <w:r>
        <w:rPr>
          <w:rFonts w:hint="eastAsia" w:ascii="宋体" w:hAnsi="宋体" w:cs="宋体"/>
        </w:rPr>
        <w:t>（3）</w:t>
      </w:r>
      <w:r>
        <w:rPr>
          <w:rFonts w:hint="eastAsia"/>
        </w:rPr>
        <w:t>联合体协议书；（不适用）</w:t>
      </w:r>
    </w:p>
    <w:p>
      <w:pPr>
        <w:spacing w:line="360" w:lineRule="auto"/>
        <w:ind w:firstLine="420" w:firstLineChars="200"/>
        <w:rPr>
          <w:rFonts w:ascii="宋体"/>
        </w:rPr>
      </w:pPr>
      <w:r>
        <w:rPr>
          <w:rFonts w:hint="eastAsia" w:ascii="宋体" w:hAnsi="宋体" w:cs="宋体"/>
        </w:rPr>
        <w:t>（4）投标保证金；</w:t>
      </w:r>
    </w:p>
    <w:p>
      <w:pPr>
        <w:spacing w:line="360" w:lineRule="auto"/>
        <w:ind w:firstLine="420" w:firstLineChars="200"/>
        <w:rPr>
          <w:rFonts w:ascii="宋体" w:hAnsi="宋体" w:cs="宋体"/>
        </w:rPr>
      </w:pPr>
      <w:r>
        <w:rPr>
          <w:rFonts w:hint="eastAsia" w:ascii="宋体" w:hAnsi="宋体" w:cs="宋体"/>
        </w:rPr>
        <w:t>（5）已标价工点清单（工程量清单）；</w:t>
      </w:r>
    </w:p>
    <w:p>
      <w:pPr>
        <w:spacing w:line="360" w:lineRule="auto"/>
        <w:ind w:firstLine="420" w:firstLineChars="200"/>
        <w:rPr>
          <w:rFonts w:ascii="宋体"/>
        </w:rPr>
      </w:pPr>
      <w:r>
        <w:rPr>
          <w:rFonts w:hint="eastAsia" w:ascii="宋体" w:hAnsi="宋体" w:cs="宋体"/>
        </w:rPr>
        <w:t>（6）资格审查资料；</w:t>
      </w:r>
    </w:p>
    <w:p>
      <w:pPr>
        <w:spacing w:line="360" w:lineRule="auto"/>
        <w:ind w:firstLine="420" w:firstLineChars="200"/>
        <w:rPr>
          <w:rFonts w:ascii="宋体" w:hAnsi="宋体" w:cs="宋体"/>
        </w:rPr>
      </w:pPr>
      <w:r>
        <w:rPr>
          <w:rFonts w:hint="eastAsia" w:ascii="宋体" w:hAnsi="宋体" w:cs="宋体"/>
        </w:rPr>
        <w:t>（7）</w:t>
      </w:r>
      <w:r>
        <w:rPr>
          <w:rFonts w:ascii="宋体" w:hAnsi="宋体" w:cs="宋体"/>
        </w:rPr>
        <w:t>承包人</w:t>
      </w:r>
      <w:r>
        <w:rPr>
          <w:rFonts w:hint="eastAsia" w:ascii="宋体" w:hAnsi="宋体" w:cs="宋体"/>
        </w:rPr>
        <w:t>实施方案；</w:t>
      </w:r>
    </w:p>
    <w:p>
      <w:pPr>
        <w:spacing w:line="360" w:lineRule="auto"/>
        <w:ind w:firstLine="420" w:firstLineChars="200"/>
        <w:rPr>
          <w:rFonts w:ascii="宋体"/>
        </w:rPr>
      </w:pPr>
      <w:r>
        <w:rPr>
          <w:rFonts w:hint="eastAsia" w:ascii="宋体" w:hAnsi="宋体" w:cs="宋体"/>
        </w:rPr>
        <w:t>（8）项目管理方案</w:t>
      </w:r>
    </w:p>
    <w:p>
      <w:pPr>
        <w:spacing w:line="360" w:lineRule="auto"/>
        <w:ind w:firstLine="420" w:firstLineChars="200"/>
        <w:rPr>
          <w:rFonts w:ascii="宋体"/>
        </w:rPr>
      </w:pPr>
      <w:r>
        <w:rPr>
          <w:rFonts w:hint="eastAsia" w:ascii="宋体" w:hAnsi="宋体" w:cs="宋体"/>
        </w:rPr>
        <w:t>（9）</w:t>
      </w:r>
      <w:r>
        <w:rPr>
          <w:rFonts w:hint="eastAsia" w:cs="宋体"/>
        </w:rPr>
        <w:t>其他资料。</w:t>
      </w:r>
      <w:r>
        <w:rPr>
          <w:rFonts w:ascii="宋体" w:hAnsi="宋体" w:cs="宋体"/>
        </w:rPr>
        <w:t xml:space="preserve">   </w:t>
      </w:r>
    </w:p>
    <w:p>
      <w:pPr>
        <w:spacing w:line="360" w:lineRule="auto"/>
        <w:ind w:firstLine="420" w:firstLineChars="200"/>
      </w:pPr>
      <w:r>
        <w:rPr>
          <w:rFonts w:ascii="宋体" w:hAnsi="宋体" w:cs="宋体"/>
        </w:rPr>
        <w:t>3.1.2</w:t>
      </w:r>
      <w:r>
        <w:rPr>
          <w:rFonts w:hint="eastAsia" w:cs="宋体"/>
        </w:rPr>
        <w:t>投标人须知前附表规定不接受联合体投标的，或投标人没有组成联合体的，投标文件不包括本章第</w:t>
      </w:r>
      <w:r>
        <w:t>3.1.1</w:t>
      </w:r>
      <w:r>
        <w:rPr>
          <w:rFonts w:hint="eastAsia" w:cs="宋体"/>
        </w:rPr>
        <w:t>（</w:t>
      </w:r>
      <w:r>
        <w:t>3</w:t>
      </w:r>
      <w:r>
        <w:rPr>
          <w:rFonts w:hint="eastAsia" w:cs="宋体"/>
        </w:rPr>
        <w:t>）目所指的联合体协议书。</w:t>
      </w:r>
    </w:p>
    <w:bookmarkEnd w:id="99"/>
    <w:p>
      <w:pPr>
        <w:spacing w:line="440" w:lineRule="exact"/>
        <w:ind w:firstLine="422" w:firstLineChars="200"/>
        <w:outlineLvl w:val="2"/>
        <w:rPr>
          <w:rFonts w:ascii="宋体"/>
          <w:b/>
          <w:bCs/>
        </w:rPr>
      </w:pPr>
      <w:bookmarkStart w:id="100" w:name="_Toc247527573"/>
      <w:bookmarkStart w:id="101" w:name="_Toc514741904"/>
      <w:bookmarkStart w:id="102" w:name="_Toc42001819"/>
      <w:bookmarkStart w:id="103" w:name="_Toc144974516"/>
      <w:bookmarkStart w:id="104" w:name="_Toc84265569"/>
      <w:bookmarkStart w:id="105" w:name="_Toc152042324"/>
      <w:bookmarkStart w:id="106" w:name="_Toc152045548"/>
      <w:bookmarkStart w:id="107" w:name="_Toc29907"/>
      <w:bookmarkStart w:id="108" w:name="_Toc13869"/>
      <w:bookmarkStart w:id="109" w:name="_Toc247513972"/>
      <w:r>
        <w:rPr>
          <w:rFonts w:ascii="宋体" w:hAnsi="宋体" w:cs="宋体"/>
          <w:b/>
          <w:bCs/>
        </w:rPr>
        <w:t xml:space="preserve">3.2 </w:t>
      </w:r>
      <w:r>
        <w:rPr>
          <w:rFonts w:hint="eastAsia" w:ascii="宋体" w:hAnsi="宋体" w:cs="宋体"/>
          <w:b/>
          <w:bCs/>
        </w:rPr>
        <w:t>投标报价</w:t>
      </w:r>
      <w:bookmarkEnd w:id="100"/>
      <w:bookmarkEnd w:id="101"/>
      <w:bookmarkEnd w:id="102"/>
      <w:bookmarkEnd w:id="103"/>
      <w:bookmarkEnd w:id="104"/>
      <w:bookmarkEnd w:id="105"/>
      <w:bookmarkEnd w:id="106"/>
      <w:bookmarkEnd w:id="107"/>
      <w:bookmarkEnd w:id="108"/>
      <w:bookmarkEnd w:id="109"/>
      <w:r>
        <w:rPr>
          <w:rFonts w:ascii="宋体" w:hAnsi="宋体" w:cs="宋体"/>
          <w:b/>
          <w:bCs/>
        </w:rPr>
        <w:t xml:space="preserve"> </w:t>
      </w:r>
    </w:p>
    <w:p>
      <w:pPr>
        <w:spacing w:line="440" w:lineRule="exact"/>
        <w:ind w:firstLine="420" w:firstLineChars="200"/>
        <w:outlineLvl w:val="2"/>
        <w:rPr>
          <w:rFonts w:ascii="宋体" w:hAnsi="宋体" w:cs="宋体"/>
        </w:rPr>
      </w:pPr>
      <w:bookmarkStart w:id="110" w:name="_Toc84265570"/>
      <w:bookmarkStart w:id="111" w:name="_Toc42001820"/>
      <w:r>
        <w:rPr>
          <w:rFonts w:hint="eastAsia" w:ascii="宋体" w:hAnsi="宋体" w:cs="宋体"/>
        </w:rPr>
        <w:t>3.2.1 投标人应按第八章“投标文件格式”的要求填写价格清单。</w:t>
      </w:r>
      <w:bookmarkEnd w:id="110"/>
    </w:p>
    <w:p>
      <w:pPr>
        <w:spacing w:line="440" w:lineRule="exact"/>
        <w:ind w:firstLine="420" w:firstLineChars="200"/>
        <w:outlineLvl w:val="2"/>
        <w:rPr>
          <w:rFonts w:ascii="宋体" w:hAnsi="宋体" w:cs="宋体"/>
        </w:rPr>
      </w:pPr>
      <w:bookmarkStart w:id="112" w:name="_Toc84265571"/>
      <w:r>
        <w:rPr>
          <w:rFonts w:hint="eastAsia" w:ascii="宋体" w:hAnsi="宋体" w:cs="宋体"/>
        </w:rPr>
        <w:t>3.2.2 投标人应充分了解施工场地的</w:t>
      </w:r>
      <w:r>
        <w:rPr>
          <w:rFonts w:ascii="宋体" w:hAnsi="宋体" w:cs="宋体"/>
        </w:rPr>
        <w:t>位置、周边</w:t>
      </w:r>
      <w:r>
        <w:rPr>
          <w:rFonts w:hint="eastAsia" w:ascii="宋体" w:hAnsi="宋体" w:cs="宋体"/>
        </w:rPr>
        <w:t>环境</w:t>
      </w:r>
      <w:r>
        <w:rPr>
          <w:rFonts w:ascii="宋体" w:hAnsi="宋体" w:cs="宋体"/>
        </w:rPr>
        <w:t>、道路、装卸、保管、安装限制</w:t>
      </w:r>
      <w:r>
        <w:rPr>
          <w:rFonts w:hint="eastAsia" w:ascii="宋体" w:hAnsi="宋体" w:cs="宋体"/>
        </w:rPr>
        <w:t>以</w:t>
      </w:r>
      <w:r>
        <w:rPr>
          <w:rFonts w:ascii="宋体" w:hAnsi="宋体" w:cs="宋体"/>
        </w:rPr>
        <w:t>及影响</w:t>
      </w:r>
      <w:r>
        <w:rPr>
          <w:rFonts w:hint="eastAsia" w:ascii="宋体" w:hAnsi="宋体" w:cs="宋体"/>
        </w:rPr>
        <w:t>投标报价的其他要素。投标人</w:t>
      </w:r>
      <w:r>
        <w:rPr>
          <w:rFonts w:ascii="宋体" w:hAnsi="宋体" w:cs="宋体"/>
        </w:rPr>
        <w:t>根据</w:t>
      </w:r>
      <w:r>
        <w:rPr>
          <w:rFonts w:hint="eastAsia" w:ascii="宋体" w:hAnsi="宋体" w:cs="宋体"/>
        </w:rPr>
        <w:t>投标</w:t>
      </w:r>
      <w:r>
        <w:rPr>
          <w:rFonts w:ascii="宋体" w:hAnsi="宋体" w:cs="宋体"/>
        </w:rPr>
        <w:t>设计</w:t>
      </w:r>
      <w:r>
        <w:rPr>
          <w:rFonts w:hint="eastAsia" w:ascii="宋体" w:hAnsi="宋体" w:cs="宋体"/>
        </w:rPr>
        <w:t>，结合</w:t>
      </w:r>
      <w:r>
        <w:rPr>
          <w:rFonts w:ascii="宋体" w:hAnsi="宋体" w:cs="宋体"/>
        </w:rPr>
        <w:t>市场情况进行投标报价。</w:t>
      </w:r>
      <w:bookmarkEnd w:id="112"/>
    </w:p>
    <w:p>
      <w:pPr>
        <w:spacing w:line="440" w:lineRule="exact"/>
        <w:ind w:firstLine="420" w:firstLineChars="200"/>
        <w:outlineLvl w:val="2"/>
        <w:rPr>
          <w:rFonts w:ascii="宋体" w:hAnsi="宋体" w:cs="宋体"/>
        </w:rPr>
      </w:pPr>
      <w:bookmarkStart w:id="113" w:name="_Toc84265572"/>
      <w:r>
        <w:rPr>
          <w:rFonts w:hint="eastAsia" w:ascii="宋体" w:hAnsi="宋体" w:cs="宋体"/>
        </w:rPr>
        <w:t>3.2.3 投标人在投标截止时间前修改投标函中的投标报价总额，应同时修改投标文件“价格清单”中的相应报价，投标报价总额为各分项金额之和。此修改须符合本章第4.3款的有关要求。</w:t>
      </w:r>
      <w:bookmarkEnd w:id="113"/>
    </w:p>
    <w:p>
      <w:pPr>
        <w:spacing w:line="440" w:lineRule="exact"/>
        <w:ind w:firstLine="420" w:firstLineChars="200"/>
        <w:outlineLvl w:val="2"/>
        <w:rPr>
          <w:rFonts w:ascii="宋体" w:hAnsi="宋体" w:cs="宋体"/>
        </w:rPr>
      </w:pPr>
      <w:bookmarkStart w:id="114" w:name="_Toc84265573"/>
      <w:r>
        <w:rPr>
          <w:rFonts w:hint="eastAsia" w:ascii="宋体" w:hAnsi="宋体" w:cs="宋体"/>
        </w:rPr>
        <w:t>3.2.4 招标人设有最高投标限价的，投标人的投标报价不得超过最高投标限价，最高投标限价或其计算方法在投标人须知前附表中载明。</w:t>
      </w:r>
      <w:bookmarkEnd w:id="114"/>
    </w:p>
    <w:p>
      <w:pPr>
        <w:spacing w:line="440" w:lineRule="exact"/>
        <w:ind w:firstLine="420" w:firstLineChars="200"/>
        <w:outlineLvl w:val="2"/>
        <w:rPr>
          <w:rFonts w:ascii="宋体" w:hAnsi="宋体" w:cs="宋体"/>
        </w:rPr>
      </w:pPr>
      <w:bookmarkStart w:id="115" w:name="_Toc84265574"/>
      <w:r>
        <w:rPr>
          <w:rFonts w:hint="eastAsia" w:ascii="宋体" w:hAnsi="宋体" w:cs="宋体"/>
        </w:rPr>
        <w:t>3.2.5 投标报价的其他要求见投标人须知前附表。</w:t>
      </w:r>
      <w:bookmarkEnd w:id="115"/>
    </w:p>
    <w:p>
      <w:pPr>
        <w:spacing w:line="440" w:lineRule="exact"/>
        <w:ind w:firstLine="422" w:firstLineChars="200"/>
        <w:outlineLvl w:val="2"/>
        <w:rPr>
          <w:rFonts w:ascii="宋体"/>
          <w:b/>
          <w:bCs/>
        </w:rPr>
      </w:pPr>
      <w:bookmarkStart w:id="116" w:name="_Toc84265575"/>
      <w:r>
        <w:rPr>
          <w:rFonts w:ascii="宋体" w:hAnsi="宋体" w:cs="宋体"/>
          <w:b/>
          <w:bCs/>
        </w:rPr>
        <w:t>3.3</w:t>
      </w:r>
      <w:r>
        <w:rPr>
          <w:rFonts w:ascii="宋体" w:hAnsi="宋体" w:cs="宋体"/>
          <w:b/>
          <w:bCs/>
        </w:rPr>
        <w:tab/>
      </w:r>
      <w:r>
        <w:rPr>
          <w:rFonts w:hint="eastAsia" w:ascii="宋体" w:hAnsi="宋体" w:cs="宋体"/>
          <w:b/>
          <w:bCs/>
        </w:rPr>
        <w:t>投标有效期</w:t>
      </w:r>
      <w:bookmarkEnd w:id="111"/>
      <w:bookmarkEnd w:id="116"/>
    </w:p>
    <w:p>
      <w:pPr>
        <w:spacing w:line="440" w:lineRule="exact"/>
        <w:ind w:firstLine="420" w:firstLineChars="200"/>
        <w:outlineLvl w:val="2"/>
        <w:rPr>
          <w:rFonts w:ascii="宋体" w:hAnsi="宋体" w:cs="宋体"/>
        </w:rPr>
      </w:pPr>
      <w:bookmarkStart w:id="117" w:name="_Toc84265576"/>
      <w:bookmarkStart w:id="118" w:name="_Toc42001821"/>
      <w:r>
        <w:rPr>
          <w:rFonts w:hint="eastAsia" w:ascii="宋体" w:hAnsi="宋体" w:cs="宋体"/>
        </w:rPr>
        <w:t>3.3.1 除投标人须知前附表另有规定外，投标有效期为120天。</w:t>
      </w:r>
      <w:bookmarkEnd w:id="117"/>
    </w:p>
    <w:p>
      <w:pPr>
        <w:spacing w:line="440" w:lineRule="exact"/>
        <w:ind w:firstLine="420" w:firstLineChars="200"/>
        <w:outlineLvl w:val="2"/>
        <w:rPr>
          <w:rFonts w:ascii="宋体" w:hAnsi="宋体" w:cs="宋体"/>
        </w:rPr>
      </w:pPr>
      <w:bookmarkStart w:id="119" w:name="_Toc84265577"/>
      <w:r>
        <w:rPr>
          <w:rFonts w:hint="eastAsia" w:ascii="宋体" w:hAnsi="宋体" w:cs="宋体"/>
        </w:rPr>
        <w:t>3.3.2 在投标有效期内，投标人撤销或修改其投标文件的，应承担招标文件和法律规定的责任。</w:t>
      </w:r>
      <w:bookmarkEnd w:id="119"/>
    </w:p>
    <w:p>
      <w:pPr>
        <w:spacing w:line="440" w:lineRule="exact"/>
        <w:ind w:firstLine="420" w:firstLineChars="200"/>
        <w:outlineLvl w:val="2"/>
        <w:rPr>
          <w:rFonts w:ascii="宋体"/>
          <w:b/>
          <w:bCs/>
        </w:rPr>
      </w:pPr>
      <w:bookmarkStart w:id="120" w:name="_Toc84265578"/>
      <w:r>
        <w:rPr>
          <w:rFonts w:hint="eastAsia" w:ascii="宋体" w:hAnsi="宋体" w:cs="宋体"/>
        </w:rPr>
        <w:t>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r>
        <w:rPr>
          <w:rFonts w:ascii="宋体" w:hAnsi="宋体" w:cs="宋体"/>
          <w:b/>
          <w:bCs/>
        </w:rPr>
        <w:t>3.4</w:t>
      </w:r>
      <w:r>
        <w:rPr>
          <w:rFonts w:ascii="宋体" w:hAnsi="宋体" w:cs="宋体"/>
          <w:b/>
          <w:bCs/>
        </w:rPr>
        <w:tab/>
      </w:r>
      <w:r>
        <w:rPr>
          <w:rFonts w:hint="eastAsia" w:ascii="宋体" w:hAnsi="宋体" w:cs="宋体"/>
          <w:b/>
          <w:bCs/>
        </w:rPr>
        <w:t>投标保证金</w:t>
      </w:r>
      <w:bookmarkEnd w:id="118"/>
      <w:bookmarkEnd w:id="120"/>
    </w:p>
    <w:p>
      <w:pPr>
        <w:spacing w:line="440" w:lineRule="exact"/>
        <w:ind w:firstLine="420" w:firstLineChars="200"/>
        <w:outlineLvl w:val="2"/>
        <w:rPr>
          <w:rFonts w:ascii="宋体" w:hAnsi="宋体" w:cs="宋体"/>
        </w:rPr>
      </w:pPr>
      <w:bookmarkStart w:id="121" w:name="_Toc84265579"/>
      <w:bookmarkStart w:id="122" w:name="_Toc42001822"/>
      <w:r>
        <w:rPr>
          <w:rFonts w:hint="eastAsia" w:ascii="宋体" w:hAnsi="宋体" w:cs="宋体"/>
        </w:rPr>
        <w:t>3.4.1 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w:t>
      </w:r>
      <w:bookmarkEnd w:id="121"/>
    </w:p>
    <w:p>
      <w:pPr>
        <w:spacing w:line="440" w:lineRule="exact"/>
        <w:ind w:firstLine="420" w:firstLineChars="200"/>
        <w:outlineLvl w:val="2"/>
        <w:rPr>
          <w:rFonts w:ascii="宋体" w:hAnsi="宋体" w:cs="宋体"/>
        </w:rPr>
      </w:pPr>
      <w:bookmarkStart w:id="123" w:name="_Toc84265580"/>
      <w:r>
        <w:rPr>
          <w:rFonts w:hint="eastAsia" w:ascii="宋体" w:hAnsi="宋体" w:cs="宋体"/>
        </w:rPr>
        <w:t>3.4.2 投标人不按本章第3.4.1项要求提交投标保证金的，评标委员会将否决其投标。</w:t>
      </w:r>
      <w:bookmarkEnd w:id="123"/>
    </w:p>
    <w:p>
      <w:pPr>
        <w:spacing w:line="440" w:lineRule="exact"/>
        <w:ind w:firstLine="420" w:firstLineChars="200"/>
        <w:outlineLvl w:val="2"/>
        <w:rPr>
          <w:rFonts w:ascii="宋体" w:hAnsi="宋体" w:cs="宋体"/>
        </w:rPr>
      </w:pPr>
      <w:bookmarkStart w:id="124" w:name="_Toc84265581"/>
      <w:r>
        <w:rPr>
          <w:rFonts w:hint="eastAsia" w:ascii="宋体" w:hAnsi="宋体" w:cs="宋体"/>
        </w:rPr>
        <w:t>3.4.3 招标人与中标人签订合同后5日内，向未中标的投标人和中标人退还投标保证金及同期银行存款利息。</w:t>
      </w:r>
      <w:bookmarkEnd w:id="124"/>
    </w:p>
    <w:p>
      <w:pPr>
        <w:spacing w:line="440" w:lineRule="exact"/>
        <w:ind w:firstLine="420" w:firstLineChars="200"/>
        <w:outlineLvl w:val="2"/>
        <w:rPr>
          <w:rFonts w:ascii="宋体" w:hAnsi="宋体" w:cs="宋体"/>
        </w:rPr>
      </w:pPr>
      <w:bookmarkStart w:id="125" w:name="_Toc84265582"/>
      <w:r>
        <w:rPr>
          <w:rFonts w:hint="eastAsia" w:ascii="宋体" w:hAnsi="宋体" w:cs="宋体"/>
        </w:rPr>
        <w:t>3.4.4 有下列情形之一的，投标保证金将不予退还：</w:t>
      </w:r>
      <w:bookmarkEnd w:id="125"/>
      <w:r>
        <w:rPr>
          <w:rFonts w:ascii="宋体" w:hAnsi="宋体" w:cs="宋体"/>
        </w:rPr>
        <w:t xml:space="preserve"> </w:t>
      </w:r>
    </w:p>
    <w:p>
      <w:pPr>
        <w:spacing w:line="440" w:lineRule="exact"/>
        <w:ind w:firstLine="420" w:firstLineChars="200"/>
        <w:outlineLvl w:val="2"/>
        <w:rPr>
          <w:rFonts w:ascii="宋体" w:hAnsi="宋体" w:cs="宋体"/>
        </w:rPr>
      </w:pPr>
      <w:bookmarkStart w:id="126" w:name="_Toc84265583"/>
      <w:r>
        <w:rPr>
          <w:rFonts w:hint="eastAsia" w:ascii="宋体" w:hAnsi="宋体" w:cs="宋体"/>
        </w:rPr>
        <w:t>（1）投标人在规定的投标有效期内撤销或修改其投标文件；</w:t>
      </w:r>
      <w:bookmarkEnd w:id="126"/>
    </w:p>
    <w:p>
      <w:pPr>
        <w:spacing w:line="440" w:lineRule="exact"/>
        <w:ind w:firstLine="420" w:firstLineChars="200"/>
        <w:outlineLvl w:val="2"/>
        <w:rPr>
          <w:rFonts w:ascii="宋体" w:hAnsi="宋体" w:cs="宋体"/>
        </w:rPr>
      </w:pPr>
      <w:bookmarkStart w:id="127" w:name="_Toc84265584"/>
      <w:r>
        <w:rPr>
          <w:rFonts w:hint="eastAsia" w:ascii="宋体" w:hAnsi="宋体" w:cs="宋体"/>
        </w:rPr>
        <w:t>（2）中标人在收到中标通知书后，无正当理由拒签合同或未按招标文件规定提交履约担保。</w:t>
      </w:r>
      <w:bookmarkEnd w:id="127"/>
    </w:p>
    <w:p>
      <w:pPr>
        <w:spacing w:line="440" w:lineRule="exact"/>
        <w:ind w:firstLine="422" w:firstLineChars="200"/>
        <w:outlineLvl w:val="2"/>
        <w:rPr>
          <w:rFonts w:ascii="宋体"/>
          <w:b/>
          <w:bCs/>
        </w:rPr>
      </w:pPr>
      <w:bookmarkStart w:id="128" w:name="_Toc84265585"/>
      <w:r>
        <w:rPr>
          <w:rFonts w:ascii="宋体" w:hAnsi="宋体" w:cs="宋体"/>
          <w:b/>
          <w:bCs/>
        </w:rPr>
        <w:t>3.5</w:t>
      </w:r>
      <w:r>
        <w:rPr>
          <w:rFonts w:ascii="宋体" w:hAnsi="宋体" w:cs="宋体"/>
          <w:b/>
          <w:bCs/>
        </w:rPr>
        <w:tab/>
      </w:r>
      <w:r>
        <w:rPr>
          <w:rFonts w:hint="eastAsia" w:ascii="宋体" w:hAnsi="宋体" w:cs="宋体"/>
          <w:b/>
          <w:bCs/>
        </w:rPr>
        <w:t>资格审查资料（适用于已进行资格预审的）</w:t>
      </w:r>
      <w:bookmarkEnd w:id="122"/>
      <w:bookmarkEnd w:id="128"/>
    </w:p>
    <w:p>
      <w:pPr>
        <w:spacing w:line="440" w:lineRule="exact"/>
        <w:ind w:firstLine="420" w:firstLineChars="200"/>
        <w:rPr>
          <w:rFonts w:ascii="宋体"/>
        </w:rPr>
      </w:pPr>
      <w:r>
        <w:rPr>
          <w:rFonts w:hint="eastAsia" w:ascii="宋体" w:hAnsi="宋体" w:cs="宋体"/>
        </w:rPr>
        <w:t>投标人在递交投标文件前，发生可能影响其投标资格的新情况的，应更新或补充其在申请资格预审时提供的资料，以证实其各项资格条件仍能继续满足资格预审文件的要求，且没有实质性降低。</w:t>
      </w:r>
    </w:p>
    <w:p>
      <w:pPr>
        <w:spacing w:line="440" w:lineRule="exact"/>
        <w:ind w:firstLine="422" w:firstLineChars="200"/>
        <w:outlineLvl w:val="2"/>
        <w:rPr>
          <w:rFonts w:ascii="宋体"/>
          <w:b/>
          <w:bCs/>
        </w:rPr>
      </w:pPr>
      <w:bookmarkStart w:id="129" w:name="_Toc84265586"/>
      <w:bookmarkStart w:id="130" w:name="_Toc42001823"/>
      <w:r>
        <w:rPr>
          <w:rFonts w:ascii="宋体" w:hAnsi="宋体" w:cs="宋体"/>
          <w:b/>
          <w:bCs/>
        </w:rPr>
        <w:t>3.5</w:t>
      </w:r>
      <w:r>
        <w:rPr>
          <w:rFonts w:ascii="宋体" w:hAnsi="宋体" w:cs="宋体"/>
          <w:b/>
          <w:bCs/>
        </w:rPr>
        <w:tab/>
      </w:r>
      <w:r>
        <w:rPr>
          <w:rFonts w:hint="eastAsia" w:ascii="宋体" w:hAnsi="宋体" w:cs="宋体"/>
          <w:b/>
          <w:bCs/>
        </w:rPr>
        <w:t>资格审查资料（适用于未进行资格预审的）</w:t>
      </w:r>
      <w:bookmarkEnd w:id="129"/>
      <w:bookmarkEnd w:id="130"/>
    </w:p>
    <w:p>
      <w:pPr>
        <w:spacing w:line="440" w:lineRule="exact"/>
        <w:ind w:firstLine="420" w:firstLineChars="200"/>
        <w:rPr>
          <w:rFonts w:ascii="宋体" w:hAnsi="宋体" w:cs="宋体"/>
        </w:rPr>
      </w:pPr>
      <w:r>
        <w:rPr>
          <w:rFonts w:hint="eastAsia" w:ascii="宋体" w:hAnsi="宋体" w:cs="宋体"/>
        </w:rPr>
        <w:t>3.5.1 “投标人基本情况表”应附投标人营业执照及其年检合格的证明材料、资质证书副本等材料的复印件。</w:t>
      </w:r>
    </w:p>
    <w:p>
      <w:pPr>
        <w:spacing w:line="440" w:lineRule="exact"/>
        <w:ind w:firstLine="420" w:firstLineChars="200"/>
        <w:rPr>
          <w:rFonts w:ascii="宋体" w:hAnsi="宋体" w:cs="宋体"/>
        </w:rPr>
      </w:pPr>
      <w:r>
        <w:rPr>
          <w:rFonts w:hint="eastAsia" w:ascii="宋体" w:hAnsi="宋体" w:cs="宋体"/>
        </w:rPr>
        <w:t>3.5.2 “近年财务状况表”应附经会计师事务所或审计机构审计的财务会计报表，具体年份要求见投标人须知前附表。</w:t>
      </w:r>
    </w:p>
    <w:p>
      <w:pPr>
        <w:spacing w:line="440" w:lineRule="exact"/>
        <w:ind w:firstLine="420" w:firstLineChars="200"/>
        <w:rPr>
          <w:rFonts w:ascii="宋体" w:hAnsi="宋体" w:cs="宋体"/>
        </w:rPr>
      </w:pPr>
      <w:r>
        <w:rPr>
          <w:rFonts w:hint="eastAsia" w:ascii="宋体" w:hAnsi="宋体" w:cs="宋体"/>
        </w:rPr>
        <w:t>3.5.3 “近年完成的类似项目情况表”应附中标通知书（如有）、合同协议书复印件；具体年份要求见投标人须知前附表，每张表格只填写一个项目，并标明序号。</w:t>
      </w:r>
    </w:p>
    <w:p>
      <w:pPr>
        <w:spacing w:line="440" w:lineRule="exact"/>
        <w:ind w:firstLine="420" w:firstLineChars="200"/>
        <w:rPr>
          <w:rFonts w:ascii="宋体" w:hAnsi="宋体" w:cs="宋体"/>
        </w:rPr>
      </w:pPr>
      <w:r>
        <w:rPr>
          <w:rFonts w:hint="eastAsia" w:ascii="宋体" w:hAnsi="宋体" w:cs="宋体"/>
        </w:rPr>
        <w:t>3.5.4 “正在实施和新承接的项目情况表”应附中标通知书（如有）、合同协议书复印件。每张表格只填写一个项目，并标明序号。</w:t>
      </w:r>
    </w:p>
    <w:p>
      <w:pPr>
        <w:spacing w:line="440" w:lineRule="exact"/>
        <w:ind w:firstLine="420" w:firstLineChars="200"/>
        <w:rPr>
          <w:rFonts w:ascii="宋体" w:hAnsi="宋体" w:cs="宋体"/>
        </w:rPr>
      </w:pPr>
      <w:r>
        <w:rPr>
          <w:rFonts w:hint="eastAsia" w:ascii="宋体" w:hAnsi="宋体" w:cs="宋体"/>
        </w:rPr>
        <w:t>3.5.5 “近年发生的重大诉讼及仲裁情况”应说明相关情况，并附法院或仲裁机构作出的判决、裁决等有关法律文书复印件，具体年份要求见投标人须知前附表。</w:t>
      </w:r>
    </w:p>
    <w:p>
      <w:pPr>
        <w:spacing w:line="440" w:lineRule="exact"/>
        <w:ind w:firstLine="420" w:firstLineChars="200"/>
        <w:rPr>
          <w:rFonts w:ascii="宋体"/>
        </w:rPr>
      </w:pPr>
      <w:r>
        <w:rPr>
          <w:rFonts w:hint="eastAsia" w:ascii="宋体" w:hAnsi="宋体" w:cs="宋体"/>
        </w:rPr>
        <w:t>3.5.6 投标人须知前附表规定接受联合体投标的，本章第3.5.1项至第3.5.5项规定的表格和资料应包括联合体各方相关情况。</w:t>
      </w:r>
    </w:p>
    <w:p>
      <w:pPr>
        <w:spacing w:line="440" w:lineRule="exact"/>
        <w:ind w:firstLine="422" w:firstLineChars="200"/>
        <w:outlineLvl w:val="2"/>
        <w:rPr>
          <w:rFonts w:ascii="宋体"/>
          <w:b/>
          <w:bCs/>
        </w:rPr>
      </w:pPr>
      <w:bookmarkStart w:id="131" w:name="_Toc42001824"/>
      <w:bookmarkStart w:id="132" w:name="_Toc84265587"/>
      <w:r>
        <w:rPr>
          <w:rFonts w:ascii="宋体" w:hAnsi="宋体" w:cs="宋体"/>
          <w:b/>
          <w:bCs/>
        </w:rPr>
        <w:t>3.6</w:t>
      </w:r>
      <w:r>
        <w:rPr>
          <w:rFonts w:ascii="宋体" w:hAnsi="宋体" w:cs="宋体"/>
          <w:b/>
          <w:bCs/>
        </w:rPr>
        <w:tab/>
      </w:r>
      <w:r>
        <w:rPr>
          <w:rFonts w:hint="eastAsia" w:ascii="宋体" w:hAnsi="宋体" w:cs="宋体"/>
          <w:b/>
          <w:bCs/>
        </w:rPr>
        <w:t>备选投标方案</w:t>
      </w:r>
      <w:bookmarkEnd w:id="131"/>
      <w:bookmarkEnd w:id="132"/>
    </w:p>
    <w:p>
      <w:pPr>
        <w:spacing w:line="440" w:lineRule="exact"/>
        <w:ind w:firstLine="420" w:firstLineChars="200"/>
        <w:rPr>
          <w:rFonts w:ascii="宋体"/>
        </w:rPr>
      </w:pPr>
      <w:r>
        <w:rPr>
          <w:rFonts w:hint="eastAsia" w:ascii="宋体" w:hAnsi="宋体" w:cs="宋体"/>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40" w:lineRule="exact"/>
        <w:ind w:firstLine="422" w:firstLineChars="200"/>
        <w:outlineLvl w:val="2"/>
        <w:rPr>
          <w:rFonts w:ascii="宋体"/>
          <w:b/>
          <w:bCs/>
        </w:rPr>
      </w:pPr>
      <w:bookmarkStart w:id="133" w:name="_Toc42001825"/>
      <w:bookmarkStart w:id="134" w:name="_Toc84265588"/>
      <w:r>
        <w:rPr>
          <w:rFonts w:ascii="宋体" w:hAnsi="宋体" w:cs="宋体"/>
          <w:b/>
          <w:bCs/>
        </w:rPr>
        <w:t>3.7</w:t>
      </w:r>
      <w:r>
        <w:rPr>
          <w:rFonts w:ascii="宋体" w:hAnsi="宋体" w:cs="宋体"/>
          <w:b/>
          <w:bCs/>
        </w:rPr>
        <w:tab/>
      </w:r>
      <w:r>
        <w:rPr>
          <w:rFonts w:hint="eastAsia" w:ascii="宋体" w:hAnsi="宋体" w:cs="宋体"/>
          <w:b/>
          <w:bCs/>
        </w:rPr>
        <w:t>投标文件的编制</w:t>
      </w:r>
      <w:bookmarkEnd w:id="133"/>
      <w:bookmarkEnd w:id="134"/>
    </w:p>
    <w:p>
      <w:pPr>
        <w:spacing w:line="440" w:lineRule="exact"/>
        <w:ind w:firstLine="420" w:firstLineChars="200"/>
        <w:rPr>
          <w:rFonts w:ascii="宋体"/>
        </w:rPr>
      </w:pPr>
      <w:r>
        <w:rPr>
          <w:rFonts w:ascii="宋体" w:hAnsi="宋体" w:cs="宋体"/>
        </w:rPr>
        <w:t>3.7.1</w:t>
      </w:r>
      <w:r>
        <w:rPr>
          <w:rFonts w:hint="eastAsia" w:ascii="宋体" w:hAnsi="宋体" w:cs="宋体"/>
        </w:rPr>
        <w:t>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440" w:lineRule="exact"/>
        <w:ind w:firstLine="420" w:firstLineChars="200"/>
        <w:rPr>
          <w:rFonts w:ascii="宋体" w:hAnsi="宋体" w:cs="宋体"/>
        </w:rPr>
      </w:pPr>
      <w:r>
        <w:rPr>
          <w:rFonts w:ascii="宋体" w:hAnsi="宋体" w:cs="宋体"/>
        </w:rPr>
        <w:t>3.7.2</w:t>
      </w:r>
      <w:r>
        <w:rPr>
          <w:rFonts w:hint="eastAsia" w:ascii="宋体" w:hAnsi="宋体" w:cs="宋体"/>
        </w:rPr>
        <w:t>投标文件应当对招标文件有关设计服务期限、投标有效期、发包人要求、招标范围等实质性内容作出响应。</w:t>
      </w:r>
    </w:p>
    <w:p>
      <w:pPr>
        <w:spacing w:line="440" w:lineRule="exact"/>
        <w:ind w:firstLine="420" w:firstLineChars="200"/>
        <w:rPr>
          <w:rFonts w:ascii="宋体"/>
        </w:rPr>
      </w:pPr>
      <w:r>
        <w:rPr>
          <w:rFonts w:hint="eastAsia" w:ascii="宋体"/>
        </w:rPr>
        <w:t>3.7.3投标文件的制作应满足以下规定：</w:t>
      </w:r>
    </w:p>
    <w:p>
      <w:pPr>
        <w:spacing w:line="440" w:lineRule="exact"/>
        <w:ind w:firstLine="420" w:firstLineChars="200"/>
        <w:rPr>
          <w:rFonts w:ascii="宋体"/>
        </w:rPr>
      </w:pPr>
      <w:r>
        <w:rPr>
          <w:rFonts w:hint="eastAsia" w:ascii="宋体"/>
        </w:rPr>
        <w:t>（1）投标文件由投标人使用“电子交易平台”自带的“投标文件制作工具”制作生成。</w:t>
      </w:r>
    </w:p>
    <w:p>
      <w:pPr>
        <w:spacing w:line="440" w:lineRule="exact"/>
        <w:ind w:firstLine="420" w:firstLineChars="200"/>
        <w:rPr>
          <w:rFonts w:ascii="宋体"/>
        </w:rPr>
      </w:pPr>
      <w:r>
        <w:rPr>
          <w:rFonts w:hint="eastAsia" w:ascii="宋体"/>
        </w:rPr>
        <w:t>（2）投标人在编制投标文件时应建立分级目录， 并按照标签提示导入相关内容。</w:t>
      </w:r>
    </w:p>
    <w:p>
      <w:pPr>
        <w:spacing w:line="440" w:lineRule="exact"/>
        <w:ind w:firstLine="420" w:firstLineChars="200"/>
        <w:rPr>
          <w:rFonts w:ascii="宋体"/>
        </w:rPr>
      </w:pPr>
      <w:r>
        <w:rPr>
          <w:rFonts w:hint="eastAsia" w:ascii="宋体"/>
        </w:rPr>
        <w:t>（3）投标文件中证明资料的“复印件”均为“原件的扫描件”。</w:t>
      </w:r>
    </w:p>
    <w:p>
      <w:pPr>
        <w:spacing w:line="440" w:lineRule="exact"/>
        <w:ind w:firstLine="420" w:firstLineChars="200"/>
        <w:rPr>
          <w:rFonts w:ascii="宋体"/>
        </w:rPr>
      </w:pPr>
      <w:r>
        <w:rPr>
          <w:rFonts w:hint="eastAsia" w:ascii="宋体"/>
        </w:rPr>
        <w:t>（4）签字盖章要求详见投标人须知前附表。</w:t>
      </w:r>
    </w:p>
    <w:p>
      <w:pPr>
        <w:spacing w:line="440" w:lineRule="exact"/>
        <w:ind w:firstLine="420" w:firstLineChars="200"/>
        <w:rPr>
          <w:rFonts w:ascii="宋体"/>
        </w:rPr>
      </w:pPr>
      <w:r>
        <w:rPr>
          <w:rFonts w:hint="eastAsia" w:ascii="宋体"/>
        </w:rPr>
        <w:t>（5）投标文件制作完成后，投标人应使用CA数字证书对投标文件进行文件加密，形成加密的投标文件。</w:t>
      </w:r>
    </w:p>
    <w:p>
      <w:pPr>
        <w:spacing w:line="440" w:lineRule="exact"/>
        <w:ind w:firstLine="420" w:firstLineChars="200"/>
        <w:rPr>
          <w:rFonts w:ascii="宋体"/>
        </w:rPr>
      </w:pPr>
      <w:r>
        <w:rPr>
          <w:rFonts w:hint="eastAsia" w:ascii="宋体"/>
        </w:rPr>
        <w:t>（6）投标文件制作的具体方法详见“电子交易平台”相关说明。</w:t>
      </w:r>
    </w:p>
    <w:p>
      <w:pPr>
        <w:spacing w:line="440" w:lineRule="exact"/>
        <w:ind w:firstLine="420" w:firstLineChars="200"/>
        <w:rPr>
          <w:rFonts w:ascii="宋体"/>
        </w:rPr>
      </w:pPr>
      <w:r>
        <w:rPr>
          <w:rFonts w:hint="eastAsia" w:ascii="宋体"/>
        </w:rPr>
        <w:t>3.7.4 因投标人自身原因而导致投标文件无法导入“电子交易平台”电子开标、评标系统，该投标视为无效投标，投标人自行承担由此导致的全部责任。</w:t>
      </w:r>
    </w:p>
    <w:p>
      <w:pPr>
        <w:spacing w:line="440" w:lineRule="exact"/>
        <w:ind w:firstLine="482" w:firstLineChars="200"/>
        <w:outlineLvl w:val="1"/>
        <w:rPr>
          <w:rFonts w:ascii="宋体"/>
          <w:b/>
          <w:bCs/>
          <w:sz w:val="24"/>
          <w:szCs w:val="24"/>
        </w:rPr>
      </w:pPr>
      <w:bookmarkStart w:id="135" w:name="_Toc84265589"/>
      <w:bookmarkStart w:id="136" w:name="_Toc42001826"/>
      <w:r>
        <w:rPr>
          <w:rFonts w:ascii="宋体" w:hAnsi="宋体" w:cs="宋体"/>
          <w:b/>
          <w:bCs/>
          <w:sz w:val="24"/>
          <w:szCs w:val="24"/>
        </w:rPr>
        <w:t>4.</w:t>
      </w:r>
      <w:r>
        <w:rPr>
          <w:rFonts w:ascii="宋体" w:hAnsi="宋体" w:cs="宋体"/>
          <w:b/>
          <w:bCs/>
          <w:sz w:val="24"/>
          <w:szCs w:val="24"/>
        </w:rPr>
        <w:tab/>
      </w:r>
      <w:r>
        <w:rPr>
          <w:rFonts w:hint="eastAsia" w:ascii="宋体" w:hAnsi="宋体" w:cs="宋体"/>
          <w:b/>
          <w:bCs/>
          <w:sz w:val="24"/>
          <w:szCs w:val="24"/>
        </w:rPr>
        <w:t>投标</w:t>
      </w:r>
      <w:bookmarkEnd w:id="135"/>
      <w:bookmarkEnd w:id="136"/>
    </w:p>
    <w:p>
      <w:pPr>
        <w:spacing w:line="440" w:lineRule="exact"/>
        <w:ind w:firstLine="422" w:firstLineChars="200"/>
        <w:outlineLvl w:val="2"/>
        <w:rPr>
          <w:rFonts w:ascii="宋体"/>
          <w:b/>
          <w:bCs/>
        </w:rPr>
      </w:pPr>
      <w:bookmarkStart w:id="137" w:name="_Toc42001827"/>
      <w:bookmarkStart w:id="138" w:name="_Toc84265590"/>
      <w:r>
        <w:rPr>
          <w:rFonts w:ascii="宋体" w:hAnsi="宋体" w:cs="宋体"/>
          <w:b/>
          <w:bCs/>
        </w:rPr>
        <w:t>4.1</w:t>
      </w:r>
      <w:r>
        <w:rPr>
          <w:rFonts w:ascii="宋体" w:hAnsi="宋体" w:cs="宋体"/>
          <w:b/>
          <w:bCs/>
        </w:rPr>
        <w:tab/>
      </w:r>
      <w:r>
        <w:rPr>
          <w:rFonts w:hint="eastAsia" w:ascii="宋体" w:hAnsi="宋体" w:cs="宋体"/>
          <w:b/>
          <w:bCs/>
        </w:rPr>
        <w:t>投标文件的密封和标记</w:t>
      </w:r>
      <w:bookmarkEnd w:id="137"/>
      <w:bookmarkEnd w:id="138"/>
    </w:p>
    <w:p>
      <w:pPr>
        <w:spacing w:line="480" w:lineRule="exact"/>
        <w:ind w:firstLine="420" w:firstLineChars="200"/>
        <w:rPr>
          <w:rFonts w:ascii="宋体" w:hAnsi="宋体" w:cs="宋体"/>
        </w:rPr>
      </w:pPr>
      <w:bookmarkStart w:id="139" w:name="_Toc42001828"/>
      <w:r>
        <w:rPr>
          <w:rFonts w:hint="eastAsia" w:ascii="宋体" w:hAnsi="宋体" w:cs="宋体"/>
        </w:rPr>
        <w:t>投标文件应按照本章第 3.7.3 项要求制作并加密，未按要求加密的投标文件，招标人（“电子交易平台”）将予以拒收。</w:t>
      </w:r>
    </w:p>
    <w:p>
      <w:pPr>
        <w:spacing w:line="440" w:lineRule="exact"/>
        <w:ind w:firstLine="422" w:firstLineChars="200"/>
        <w:outlineLvl w:val="2"/>
        <w:rPr>
          <w:rFonts w:ascii="宋体"/>
          <w:b/>
          <w:bCs/>
        </w:rPr>
      </w:pPr>
      <w:bookmarkStart w:id="140" w:name="_Toc84265591"/>
      <w:r>
        <w:rPr>
          <w:rFonts w:ascii="宋体" w:hAnsi="宋体" w:cs="宋体"/>
          <w:b/>
          <w:bCs/>
        </w:rPr>
        <w:t>4.2</w:t>
      </w:r>
      <w:r>
        <w:rPr>
          <w:rFonts w:ascii="宋体" w:hAnsi="宋体" w:cs="宋体"/>
          <w:b/>
          <w:bCs/>
        </w:rPr>
        <w:tab/>
      </w:r>
      <w:r>
        <w:rPr>
          <w:rFonts w:hint="eastAsia" w:ascii="宋体" w:hAnsi="宋体" w:cs="宋体"/>
          <w:b/>
          <w:bCs/>
        </w:rPr>
        <w:t>投标文件的递交</w:t>
      </w:r>
      <w:bookmarkEnd w:id="139"/>
      <w:bookmarkEnd w:id="140"/>
    </w:p>
    <w:p>
      <w:pPr>
        <w:spacing w:line="440" w:lineRule="exact"/>
        <w:ind w:firstLine="420" w:firstLineChars="200"/>
        <w:outlineLvl w:val="2"/>
        <w:rPr>
          <w:rFonts w:ascii="宋体" w:hAnsi="宋体" w:cs="宋体"/>
        </w:rPr>
      </w:pPr>
      <w:bookmarkStart w:id="141" w:name="_Toc84265592"/>
      <w:bookmarkStart w:id="142" w:name="_Toc42001829"/>
      <w:r>
        <w:rPr>
          <w:rFonts w:hint="eastAsia" w:ascii="宋体" w:hAnsi="宋体" w:cs="宋体"/>
        </w:rPr>
        <w:t>4.2.1投标人应在第一章“招标公告”规定的投标截止时间前，通过互联网使用 CA 数字证书登录“电子交易平台”，将加密的投标文件上传，并保存上传成功后系统自动生成的递交回执通知，递交时间以递交回执通知载明的传输完成时间为准。投标人应充分考虑上传文件时的不可预见因素，未在投标截止时间前完成上传的，视为逾期送达，招标人（ “电子交易平台” ）将予以拒收。</w:t>
      </w:r>
      <w:bookmarkEnd w:id="141"/>
    </w:p>
    <w:p>
      <w:pPr>
        <w:spacing w:line="440" w:lineRule="exact"/>
        <w:ind w:firstLine="420" w:firstLineChars="200"/>
        <w:outlineLvl w:val="2"/>
        <w:rPr>
          <w:rFonts w:ascii="宋体" w:hAnsi="宋体" w:cs="宋体"/>
        </w:rPr>
      </w:pPr>
      <w:bookmarkStart w:id="143" w:name="_Toc84265593"/>
      <w:r>
        <w:rPr>
          <w:rFonts w:hint="eastAsia" w:ascii="宋体" w:hAnsi="宋体" w:cs="宋体"/>
        </w:rPr>
        <w:t>4.2.2根据本章第4.1款的规定，投标人递交的投标文件，只要出现应当拒收的情形，其投标文件予以拒收。</w:t>
      </w:r>
      <w:bookmarkEnd w:id="143"/>
    </w:p>
    <w:p>
      <w:pPr>
        <w:spacing w:line="440" w:lineRule="exact"/>
        <w:ind w:firstLine="422" w:firstLineChars="200"/>
        <w:outlineLvl w:val="2"/>
        <w:rPr>
          <w:rFonts w:ascii="宋体"/>
          <w:b/>
          <w:bCs/>
        </w:rPr>
      </w:pPr>
      <w:bookmarkStart w:id="144" w:name="_Toc84265594"/>
      <w:r>
        <w:rPr>
          <w:rFonts w:ascii="宋体" w:hAnsi="宋体" w:cs="宋体"/>
          <w:b/>
          <w:bCs/>
        </w:rPr>
        <w:t>4.3</w:t>
      </w:r>
      <w:r>
        <w:rPr>
          <w:rFonts w:ascii="宋体" w:hAnsi="宋体" w:cs="宋体"/>
          <w:b/>
          <w:bCs/>
        </w:rPr>
        <w:tab/>
      </w:r>
      <w:r>
        <w:rPr>
          <w:rFonts w:hint="eastAsia" w:ascii="宋体" w:hAnsi="宋体" w:cs="宋体"/>
          <w:b/>
          <w:bCs/>
        </w:rPr>
        <w:t>投标文件的修改与撤回</w:t>
      </w:r>
      <w:bookmarkEnd w:id="142"/>
      <w:bookmarkEnd w:id="144"/>
    </w:p>
    <w:p>
      <w:pPr>
        <w:spacing w:line="440" w:lineRule="exact"/>
        <w:ind w:firstLine="420" w:firstLineChars="200"/>
        <w:outlineLvl w:val="1"/>
        <w:rPr>
          <w:rFonts w:ascii="宋体" w:hAnsi="宋体" w:cs="宋体"/>
        </w:rPr>
      </w:pPr>
      <w:bookmarkStart w:id="145" w:name="_Toc84265595"/>
      <w:bookmarkStart w:id="146" w:name="_Toc42001830"/>
      <w:r>
        <w:rPr>
          <w:rFonts w:hint="eastAsia" w:ascii="宋体" w:hAnsi="宋体" w:cs="宋体"/>
        </w:rPr>
        <w:t>4.3.1在本章第 2.2.2项规定的投标截止时间前，投标人可以修改或撤回已递交的投标文件。投标人对加密的投标文件进行撤回的，应在“电子交易平台”直接进行撤回操作；投标人对加密的投标文件进行修改的，应在投标截止时间前完成上传。</w:t>
      </w:r>
      <w:bookmarkEnd w:id="145"/>
    </w:p>
    <w:p>
      <w:pPr>
        <w:spacing w:line="440" w:lineRule="exact"/>
        <w:ind w:firstLine="420" w:firstLineChars="200"/>
        <w:outlineLvl w:val="1"/>
        <w:rPr>
          <w:rFonts w:ascii="宋体" w:hAnsi="宋体" w:cs="宋体"/>
        </w:rPr>
      </w:pPr>
      <w:bookmarkStart w:id="147" w:name="_Toc84265596"/>
      <w:r>
        <w:rPr>
          <w:rFonts w:hint="eastAsia" w:ascii="宋体" w:hAnsi="宋体" w:cs="宋体"/>
        </w:rPr>
        <w:t>4.3.2投标人修改投标文件的，应使用“投标文件制作工具”制作成完整的投标文件，并按照本章第 3 条、第 4 条规定进行编制、加密和递交。对采用网上递交的加密的投标文件，以投标截止时间前最后完成上传的文件为准。</w:t>
      </w:r>
      <w:bookmarkEnd w:id="147"/>
    </w:p>
    <w:p>
      <w:pPr>
        <w:spacing w:line="440" w:lineRule="exact"/>
        <w:ind w:firstLine="420" w:firstLineChars="200"/>
        <w:outlineLvl w:val="1"/>
        <w:rPr>
          <w:rFonts w:ascii="宋体" w:hAnsi="宋体" w:cs="宋体"/>
        </w:rPr>
      </w:pPr>
      <w:bookmarkStart w:id="148" w:name="_Toc84265597"/>
      <w:r>
        <w:rPr>
          <w:rFonts w:hint="eastAsia" w:ascii="宋体" w:hAnsi="宋体" w:cs="宋体"/>
        </w:rPr>
        <w:t>4.3.3投标人撤回投标文件的，招标人自收到投标人书面撤回通知之日起5日内退还已收取的投标保证金。</w:t>
      </w:r>
      <w:bookmarkEnd w:id="148"/>
    </w:p>
    <w:p>
      <w:pPr>
        <w:spacing w:line="440" w:lineRule="exact"/>
        <w:ind w:firstLine="482" w:firstLineChars="200"/>
        <w:outlineLvl w:val="1"/>
        <w:rPr>
          <w:rFonts w:ascii="宋体"/>
          <w:b/>
          <w:bCs/>
          <w:sz w:val="24"/>
          <w:szCs w:val="24"/>
        </w:rPr>
      </w:pPr>
      <w:bookmarkStart w:id="149" w:name="_Toc84265598"/>
      <w:r>
        <w:rPr>
          <w:rFonts w:ascii="宋体" w:hAnsi="宋体" w:cs="宋体"/>
          <w:b/>
          <w:bCs/>
          <w:sz w:val="24"/>
          <w:szCs w:val="24"/>
        </w:rPr>
        <w:t>5.</w:t>
      </w:r>
      <w:r>
        <w:rPr>
          <w:rFonts w:ascii="宋体" w:hAnsi="宋体" w:cs="宋体"/>
          <w:b/>
          <w:bCs/>
          <w:sz w:val="24"/>
          <w:szCs w:val="24"/>
        </w:rPr>
        <w:tab/>
      </w:r>
      <w:r>
        <w:rPr>
          <w:rFonts w:hint="eastAsia" w:ascii="宋体" w:hAnsi="宋体" w:cs="宋体"/>
          <w:b/>
          <w:bCs/>
          <w:sz w:val="24"/>
          <w:szCs w:val="24"/>
        </w:rPr>
        <w:t>开标</w:t>
      </w:r>
      <w:bookmarkEnd w:id="146"/>
      <w:bookmarkEnd w:id="149"/>
    </w:p>
    <w:p>
      <w:pPr>
        <w:spacing w:line="440" w:lineRule="exact"/>
        <w:ind w:firstLine="422" w:firstLineChars="200"/>
        <w:outlineLvl w:val="2"/>
        <w:rPr>
          <w:rFonts w:ascii="宋体"/>
          <w:b/>
          <w:bCs/>
        </w:rPr>
      </w:pPr>
      <w:bookmarkStart w:id="150" w:name="_Toc42001831"/>
      <w:bookmarkStart w:id="151" w:name="_Toc84265599"/>
      <w:r>
        <w:rPr>
          <w:rFonts w:ascii="宋体" w:hAnsi="宋体" w:cs="宋体"/>
          <w:b/>
          <w:bCs/>
        </w:rPr>
        <w:t>5.1</w:t>
      </w:r>
      <w:r>
        <w:rPr>
          <w:rFonts w:ascii="宋体" w:hAnsi="宋体" w:cs="宋体"/>
          <w:b/>
          <w:bCs/>
        </w:rPr>
        <w:tab/>
      </w:r>
      <w:r>
        <w:rPr>
          <w:rFonts w:hint="eastAsia" w:ascii="宋体" w:hAnsi="宋体" w:cs="宋体"/>
          <w:b/>
          <w:bCs/>
        </w:rPr>
        <w:t>开标时间和地点</w:t>
      </w:r>
      <w:bookmarkEnd w:id="150"/>
      <w:bookmarkEnd w:id="151"/>
    </w:p>
    <w:p>
      <w:pPr>
        <w:spacing w:line="440" w:lineRule="exact"/>
        <w:ind w:firstLine="420" w:firstLineChars="200"/>
        <w:rPr>
          <w:rFonts w:ascii="宋体"/>
        </w:rPr>
      </w:pPr>
      <w:r>
        <w:rPr>
          <w:rFonts w:hint="eastAsia" w:ascii="宋体" w:hAnsi="宋体" w:cs="宋体"/>
        </w:rPr>
        <w:t>招标人在本章第</w:t>
      </w:r>
      <w:r>
        <w:rPr>
          <w:rFonts w:ascii="宋体" w:hAnsi="宋体" w:cs="宋体"/>
        </w:rPr>
        <w:t xml:space="preserve"> 4.2.1 </w:t>
      </w:r>
      <w:r>
        <w:rPr>
          <w:rFonts w:hint="eastAsia" w:ascii="宋体" w:hAnsi="宋体" w:cs="宋体"/>
        </w:rPr>
        <w:t>项规定的投标截止时间（开标时间）和投标人须知前附表规定的地点公开开标，通过电子招标投标交易平台开标，所有投标的法定代表人或其委托代理人应当准时参加。</w:t>
      </w:r>
    </w:p>
    <w:p>
      <w:pPr>
        <w:spacing w:line="440" w:lineRule="exact"/>
        <w:ind w:firstLine="422" w:firstLineChars="200"/>
        <w:outlineLvl w:val="2"/>
        <w:rPr>
          <w:rFonts w:ascii="宋体"/>
          <w:b/>
          <w:bCs/>
        </w:rPr>
      </w:pPr>
      <w:bookmarkStart w:id="152" w:name="_Toc84265600"/>
      <w:bookmarkStart w:id="153" w:name="_Toc42001832"/>
      <w:r>
        <w:rPr>
          <w:rFonts w:ascii="宋体" w:hAnsi="宋体" w:cs="宋体"/>
          <w:b/>
          <w:bCs/>
        </w:rPr>
        <w:t>5.2</w:t>
      </w:r>
      <w:r>
        <w:rPr>
          <w:rFonts w:ascii="宋体" w:hAnsi="宋体" w:cs="宋体"/>
          <w:b/>
          <w:bCs/>
        </w:rPr>
        <w:tab/>
      </w:r>
      <w:r>
        <w:rPr>
          <w:rFonts w:hint="eastAsia" w:ascii="宋体" w:hAnsi="宋体" w:cs="宋体"/>
          <w:b/>
          <w:bCs/>
        </w:rPr>
        <w:t>开标程序</w:t>
      </w:r>
      <w:bookmarkEnd w:id="152"/>
      <w:bookmarkEnd w:id="153"/>
    </w:p>
    <w:p>
      <w:pPr>
        <w:spacing w:line="440" w:lineRule="exact"/>
        <w:ind w:firstLine="420" w:firstLineChars="200"/>
        <w:rPr>
          <w:rFonts w:ascii="宋体"/>
        </w:rPr>
      </w:pPr>
      <w:r>
        <w:rPr>
          <w:rFonts w:hint="eastAsia" w:ascii="宋体" w:hAnsi="宋体" w:cs="宋体"/>
        </w:rPr>
        <w:t>主持人按下列程序进行开标：</w:t>
      </w:r>
    </w:p>
    <w:p>
      <w:pPr>
        <w:spacing w:line="44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）宣布开标纪律；</w:t>
      </w:r>
    </w:p>
    <w:p>
      <w:pPr>
        <w:spacing w:line="440" w:lineRule="exact"/>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rPr>
        <w:t>）公布在投标截止时间前成功在电子交易平台上传投标文件的投标人名称；</w:t>
      </w:r>
    </w:p>
    <w:p>
      <w:pPr>
        <w:spacing w:line="440" w:lineRule="exact"/>
        <w:ind w:firstLine="420" w:firstLineChars="200"/>
        <w:rPr>
          <w:rFonts w:ascii="宋体"/>
        </w:rPr>
      </w:pPr>
      <w:r>
        <w:rPr>
          <w:rFonts w:hint="eastAsia" w:ascii="宋体" w:hAnsi="宋体" w:cs="宋体"/>
        </w:rPr>
        <w:t>（</w:t>
      </w:r>
      <w:r>
        <w:rPr>
          <w:rFonts w:ascii="宋体" w:hAnsi="宋体" w:cs="宋体"/>
        </w:rPr>
        <w:t>3</w:t>
      </w:r>
      <w:r>
        <w:rPr>
          <w:rFonts w:hint="eastAsia" w:ascii="宋体" w:hAnsi="宋体" w:cs="宋体"/>
        </w:rPr>
        <w:t>）宣布开标人、唱标人、记录人、监标人等有关人员姓名；</w:t>
      </w:r>
    </w:p>
    <w:p>
      <w:pPr>
        <w:spacing w:line="440" w:lineRule="exact"/>
        <w:ind w:firstLine="420" w:firstLineChars="200"/>
        <w:rPr>
          <w:rFonts w:ascii="宋体"/>
        </w:rPr>
      </w:pPr>
      <w:r>
        <w:rPr>
          <w:rFonts w:hint="eastAsia" w:ascii="宋体" w:hAnsi="宋体" w:cs="宋体"/>
        </w:rPr>
        <w:t>（</w:t>
      </w:r>
      <w:r>
        <w:rPr>
          <w:rFonts w:ascii="宋体" w:hAnsi="宋体" w:cs="宋体"/>
        </w:rPr>
        <w:t>4</w:t>
      </w:r>
      <w:r>
        <w:rPr>
          <w:rFonts w:hint="eastAsia" w:ascii="宋体" w:hAnsi="宋体" w:cs="宋体"/>
        </w:rPr>
        <w:t>）投标人代表解密加密的投标文件；</w:t>
      </w:r>
    </w:p>
    <w:p>
      <w:pPr>
        <w:spacing w:line="440" w:lineRule="exact"/>
        <w:ind w:firstLine="420" w:firstLineChars="200"/>
        <w:rPr>
          <w:rFonts w:ascii="宋体"/>
        </w:rPr>
      </w:pPr>
      <w:r>
        <w:rPr>
          <w:rFonts w:hint="eastAsia" w:ascii="宋体" w:hAnsi="宋体" w:cs="宋体"/>
        </w:rPr>
        <w:t>（</w:t>
      </w:r>
      <w:r>
        <w:rPr>
          <w:rFonts w:ascii="宋体" w:hAnsi="宋体" w:cs="宋体"/>
        </w:rPr>
        <w:t>5</w:t>
      </w:r>
      <w:r>
        <w:rPr>
          <w:rFonts w:hint="eastAsia" w:ascii="宋体" w:hAnsi="宋体" w:cs="宋体"/>
        </w:rPr>
        <w:t>）公布项目名称、投标人名称、报价、工期及其他内容，并电子记录在案；</w:t>
      </w:r>
    </w:p>
    <w:p>
      <w:pPr>
        <w:spacing w:line="440" w:lineRule="exact"/>
        <w:ind w:firstLine="420" w:firstLineChars="200"/>
        <w:rPr>
          <w:rFonts w:ascii="宋体"/>
        </w:rPr>
      </w:pPr>
      <w:r>
        <w:rPr>
          <w:rFonts w:hint="eastAsia" w:ascii="宋体" w:hAnsi="宋体" w:cs="宋体"/>
        </w:rPr>
        <w:t>（</w:t>
      </w:r>
      <w:r>
        <w:rPr>
          <w:rFonts w:ascii="宋体" w:hAnsi="宋体" w:cs="宋体"/>
        </w:rPr>
        <w:t>6</w:t>
      </w:r>
      <w:r>
        <w:rPr>
          <w:rFonts w:hint="eastAsia" w:ascii="宋体" w:hAnsi="宋体" w:cs="宋体"/>
        </w:rPr>
        <w:t>）开标结束。</w:t>
      </w:r>
    </w:p>
    <w:p>
      <w:pPr>
        <w:spacing w:line="440" w:lineRule="exact"/>
        <w:ind w:firstLine="422" w:firstLineChars="200"/>
        <w:outlineLvl w:val="2"/>
        <w:rPr>
          <w:rFonts w:ascii="宋体"/>
          <w:b/>
          <w:bCs/>
        </w:rPr>
      </w:pPr>
      <w:bookmarkStart w:id="154" w:name="_Toc42001833"/>
      <w:bookmarkStart w:id="155" w:name="_Toc84265601"/>
      <w:r>
        <w:rPr>
          <w:rFonts w:ascii="宋体" w:hAnsi="宋体" w:cs="宋体"/>
          <w:b/>
          <w:bCs/>
        </w:rPr>
        <w:t>5.3</w:t>
      </w:r>
      <w:r>
        <w:rPr>
          <w:rFonts w:ascii="宋体" w:hAnsi="宋体" w:cs="宋体"/>
          <w:b/>
          <w:bCs/>
        </w:rPr>
        <w:tab/>
      </w:r>
      <w:r>
        <w:rPr>
          <w:rFonts w:hint="eastAsia" w:ascii="宋体" w:hAnsi="宋体" w:cs="宋体"/>
          <w:b/>
          <w:bCs/>
        </w:rPr>
        <w:t>开标异议</w:t>
      </w:r>
      <w:bookmarkEnd w:id="154"/>
      <w:bookmarkEnd w:id="155"/>
    </w:p>
    <w:p>
      <w:pPr>
        <w:spacing w:line="440" w:lineRule="exact"/>
        <w:ind w:firstLine="420" w:firstLineChars="200"/>
        <w:rPr>
          <w:rFonts w:ascii="宋体"/>
        </w:rPr>
      </w:pPr>
      <w:r>
        <w:rPr>
          <w:rFonts w:hint="eastAsia" w:ascii="宋体" w:hAnsi="宋体" w:cs="宋体"/>
        </w:rPr>
        <w:t>投标人对开标有异议的，应当在开标时通过电子交易平台提出，招标人当场作出答复，并制作记录。</w:t>
      </w:r>
    </w:p>
    <w:p>
      <w:pPr>
        <w:spacing w:line="440" w:lineRule="exact"/>
        <w:ind w:firstLine="482" w:firstLineChars="200"/>
        <w:outlineLvl w:val="1"/>
        <w:rPr>
          <w:rFonts w:ascii="宋体"/>
          <w:b/>
          <w:bCs/>
          <w:sz w:val="24"/>
          <w:szCs w:val="24"/>
        </w:rPr>
      </w:pPr>
      <w:bookmarkStart w:id="156" w:name="_Toc42001834"/>
      <w:bookmarkStart w:id="157" w:name="_Toc84265602"/>
      <w:r>
        <w:rPr>
          <w:rFonts w:ascii="宋体" w:hAnsi="宋体" w:cs="宋体"/>
          <w:b/>
          <w:bCs/>
          <w:sz w:val="24"/>
          <w:szCs w:val="24"/>
        </w:rPr>
        <w:t>6.</w:t>
      </w:r>
      <w:r>
        <w:rPr>
          <w:rFonts w:ascii="宋体" w:hAnsi="宋体" w:cs="宋体"/>
          <w:b/>
          <w:bCs/>
          <w:sz w:val="24"/>
          <w:szCs w:val="24"/>
        </w:rPr>
        <w:tab/>
      </w:r>
      <w:r>
        <w:rPr>
          <w:rFonts w:hint="eastAsia" w:ascii="宋体" w:hAnsi="宋体" w:cs="宋体"/>
          <w:b/>
          <w:bCs/>
          <w:sz w:val="24"/>
          <w:szCs w:val="24"/>
        </w:rPr>
        <w:t>评标</w:t>
      </w:r>
      <w:bookmarkEnd w:id="156"/>
      <w:bookmarkEnd w:id="157"/>
    </w:p>
    <w:p>
      <w:pPr>
        <w:spacing w:line="440" w:lineRule="exact"/>
        <w:ind w:firstLine="422" w:firstLineChars="200"/>
        <w:outlineLvl w:val="2"/>
        <w:rPr>
          <w:rFonts w:ascii="宋体"/>
          <w:b/>
          <w:bCs/>
        </w:rPr>
      </w:pPr>
      <w:bookmarkStart w:id="158" w:name="_Toc84265603"/>
      <w:bookmarkStart w:id="159" w:name="_Toc42001835"/>
      <w:r>
        <w:rPr>
          <w:rFonts w:ascii="宋体" w:hAnsi="宋体" w:cs="宋体"/>
          <w:b/>
          <w:bCs/>
        </w:rPr>
        <w:t>6.1</w:t>
      </w:r>
      <w:r>
        <w:rPr>
          <w:rFonts w:ascii="宋体" w:hAnsi="宋体" w:cs="宋体"/>
          <w:b/>
          <w:bCs/>
        </w:rPr>
        <w:tab/>
      </w:r>
      <w:r>
        <w:rPr>
          <w:rFonts w:hint="eastAsia" w:ascii="宋体" w:hAnsi="宋体" w:cs="宋体"/>
          <w:b/>
          <w:bCs/>
        </w:rPr>
        <w:t>评标委员会</w:t>
      </w:r>
      <w:bookmarkEnd w:id="158"/>
      <w:bookmarkEnd w:id="159"/>
    </w:p>
    <w:p>
      <w:pPr>
        <w:spacing w:line="440" w:lineRule="exact"/>
        <w:ind w:firstLine="420" w:firstLineChars="200"/>
        <w:rPr>
          <w:rFonts w:ascii="宋体" w:hAnsi="宋体" w:cs="宋体"/>
        </w:rPr>
      </w:pPr>
      <w:r>
        <w:rPr>
          <w:rFonts w:hint="eastAsia" w:ascii="宋体" w:hAnsi="宋体" w:cs="宋体"/>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40" w:lineRule="exact"/>
        <w:ind w:firstLine="420" w:firstLineChars="200"/>
        <w:rPr>
          <w:rFonts w:ascii="宋体" w:hAnsi="宋体" w:cs="宋体"/>
        </w:rPr>
      </w:pPr>
      <w:r>
        <w:rPr>
          <w:rFonts w:hint="eastAsia" w:ascii="宋体" w:hAnsi="宋体" w:cs="宋体"/>
        </w:rPr>
        <w:t>6.1.2 评标委员会成员有下列情形之一的，应当回避：</w:t>
      </w:r>
    </w:p>
    <w:p>
      <w:pPr>
        <w:spacing w:line="440" w:lineRule="exact"/>
        <w:ind w:firstLine="420" w:firstLineChars="200"/>
        <w:rPr>
          <w:rFonts w:ascii="宋体" w:hAnsi="宋体" w:cs="宋体"/>
        </w:rPr>
      </w:pPr>
      <w:r>
        <w:rPr>
          <w:rFonts w:hint="eastAsia" w:ascii="宋体" w:hAnsi="宋体" w:cs="宋体"/>
        </w:rPr>
        <w:t>（1）投标人或投标人主要负责人的近亲属；</w:t>
      </w:r>
    </w:p>
    <w:p>
      <w:pPr>
        <w:spacing w:line="440" w:lineRule="exact"/>
        <w:ind w:firstLine="420" w:firstLineChars="200"/>
        <w:rPr>
          <w:rFonts w:ascii="宋体" w:hAnsi="宋体" w:cs="宋体"/>
        </w:rPr>
      </w:pPr>
      <w:r>
        <w:rPr>
          <w:rFonts w:hint="eastAsia" w:ascii="宋体" w:hAnsi="宋体" w:cs="宋体"/>
        </w:rPr>
        <w:t>（2）项目主管部门或者行政监督部门的人员；</w:t>
      </w:r>
    </w:p>
    <w:p>
      <w:pPr>
        <w:spacing w:line="440" w:lineRule="exact"/>
        <w:ind w:firstLine="420" w:firstLineChars="200"/>
        <w:rPr>
          <w:rFonts w:ascii="宋体" w:hAnsi="宋体" w:cs="宋体"/>
        </w:rPr>
      </w:pPr>
      <w:r>
        <w:rPr>
          <w:rFonts w:hint="eastAsia" w:ascii="宋体" w:hAnsi="宋体" w:cs="宋体"/>
        </w:rPr>
        <w:t>（3）与投标人有经济利益关系，可能影响对投标公正评审的；</w:t>
      </w:r>
    </w:p>
    <w:p>
      <w:pPr>
        <w:spacing w:line="440" w:lineRule="exact"/>
        <w:ind w:firstLine="420" w:firstLineChars="200"/>
        <w:rPr>
          <w:rFonts w:ascii="宋体" w:hAnsi="宋体" w:cs="宋体"/>
        </w:rPr>
      </w:pPr>
      <w:r>
        <w:rPr>
          <w:rFonts w:hint="eastAsia" w:ascii="宋体" w:hAnsi="宋体" w:cs="宋体"/>
        </w:rPr>
        <w:t>（4）曾因在招标、评标以及其他与招标投标有关活动中从事违法行为而受过行政处罚或刑事处罚的；</w:t>
      </w:r>
    </w:p>
    <w:p>
      <w:pPr>
        <w:spacing w:line="440" w:lineRule="exact"/>
        <w:ind w:firstLine="420" w:firstLineChars="200"/>
        <w:rPr>
          <w:rFonts w:ascii="宋体"/>
        </w:rPr>
      </w:pPr>
      <w:r>
        <w:rPr>
          <w:rFonts w:hint="eastAsia" w:ascii="宋体" w:hAnsi="宋体" w:cs="宋体"/>
        </w:rPr>
        <w:t>（5）与投标人有其他利害关系。</w:t>
      </w:r>
    </w:p>
    <w:p>
      <w:pPr>
        <w:spacing w:line="440" w:lineRule="exact"/>
        <w:ind w:firstLine="422" w:firstLineChars="200"/>
        <w:outlineLvl w:val="2"/>
        <w:rPr>
          <w:rFonts w:ascii="宋体"/>
          <w:b/>
          <w:bCs/>
        </w:rPr>
      </w:pPr>
      <w:bookmarkStart w:id="160" w:name="_Toc84265604"/>
      <w:bookmarkStart w:id="161" w:name="_Toc42001836"/>
      <w:r>
        <w:rPr>
          <w:rFonts w:ascii="宋体" w:hAnsi="宋体" w:cs="宋体"/>
          <w:b/>
          <w:bCs/>
        </w:rPr>
        <w:t>6.2</w:t>
      </w:r>
      <w:r>
        <w:rPr>
          <w:rFonts w:ascii="宋体" w:hAnsi="宋体" w:cs="宋体"/>
          <w:b/>
          <w:bCs/>
        </w:rPr>
        <w:tab/>
      </w:r>
      <w:r>
        <w:rPr>
          <w:rFonts w:hint="eastAsia" w:ascii="宋体" w:hAnsi="宋体" w:cs="宋体"/>
          <w:b/>
          <w:bCs/>
        </w:rPr>
        <w:t>评标原则</w:t>
      </w:r>
      <w:bookmarkEnd w:id="160"/>
      <w:bookmarkEnd w:id="161"/>
    </w:p>
    <w:p>
      <w:pPr>
        <w:spacing w:line="440" w:lineRule="exact"/>
        <w:ind w:firstLine="420" w:firstLineChars="200"/>
        <w:rPr>
          <w:rFonts w:ascii="宋体"/>
        </w:rPr>
      </w:pPr>
      <w:r>
        <w:rPr>
          <w:rFonts w:hint="eastAsia" w:ascii="宋体" w:hAnsi="宋体" w:cs="宋体"/>
        </w:rPr>
        <w:t>评标活动遵循公平、公正、科学和择优的原则。</w:t>
      </w:r>
    </w:p>
    <w:p>
      <w:pPr>
        <w:spacing w:line="440" w:lineRule="exact"/>
        <w:ind w:firstLine="422" w:firstLineChars="200"/>
        <w:outlineLvl w:val="2"/>
        <w:rPr>
          <w:rFonts w:ascii="宋体"/>
          <w:b/>
          <w:bCs/>
        </w:rPr>
      </w:pPr>
      <w:bookmarkStart w:id="162" w:name="_Toc42001837"/>
      <w:bookmarkStart w:id="163" w:name="_Toc84265605"/>
      <w:r>
        <w:rPr>
          <w:rFonts w:ascii="宋体" w:hAnsi="宋体" w:cs="宋体"/>
          <w:b/>
          <w:bCs/>
        </w:rPr>
        <w:t>6.3</w:t>
      </w:r>
      <w:r>
        <w:rPr>
          <w:rFonts w:ascii="宋体" w:hAnsi="宋体" w:cs="宋体"/>
          <w:b/>
          <w:bCs/>
        </w:rPr>
        <w:tab/>
      </w:r>
      <w:r>
        <w:rPr>
          <w:rFonts w:hint="eastAsia" w:ascii="宋体" w:hAnsi="宋体" w:cs="宋体"/>
          <w:b/>
          <w:bCs/>
        </w:rPr>
        <w:t>评标</w:t>
      </w:r>
      <w:bookmarkEnd w:id="162"/>
      <w:bookmarkEnd w:id="163"/>
    </w:p>
    <w:p>
      <w:pPr>
        <w:spacing w:line="440" w:lineRule="exact"/>
        <w:ind w:firstLine="420" w:firstLineChars="200"/>
        <w:outlineLvl w:val="1"/>
        <w:rPr>
          <w:rFonts w:ascii="宋体" w:hAnsi="宋体" w:cs="宋体"/>
        </w:rPr>
      </w:pPr>
      <w:bookmarkStart w:id="164" w:name="_Toc84265606"/>
      <w:bookmarkStart w:id="165" w:name="_Toc42001838"/>
      <w:r>
        <w:rPr>
          <w:rFonts w:hint="eastAsia" w:ascii="宋体" w:hAnsi="宋体" w:cs="宋体"/>
        </w:rPr>
        <w:t>评标委员会按照第三章“评标办法”规定的方法、评审因素、标准和程序对投标文件进行评审。第三章“评标办法”没有规定的方法、评审因素和标准，不作为评标依据。</w:t>
      </w:r>
      <w:bookmarkEnd w:id="164"/>
    </w:p>
    <w:p>
      <w:pPr>
        <w:spacing w:line="440" w:lineRule="exact"/>
        <w:ind w:firstLine="482" w:firstLineChars="200"/>
        <w:outlineLvl w:val="1"/>
        <w:rPr>
          <w:rFonts w:ascii="宋体"/>
          <w:b/>
          <w:bCs/>
          <w:sz w:val="24"/>
          <w:szCs w:val="24"/>
        </w:rPr>
      </w:pPr>
      <w:bookmarkStart w:id="166" w:name="_Toc84265607"/>
      <w:r>
        <w:rPr>
          <w:rFonts w:ascii="宋体" w:hAnsi="宋体" w:cs="宋体"/>
          <w:b/>
          <w:bCs/>
          <w:sz w:val="24"/>
          <w:szCs w:val="24"/>
        </w:rPr>
        <w:t>7.</w:t>
      </w:r>
      <w:r>
        <w:rPr>
          <w:rFonts w:ascii="宋体" w:hAnsi="宋体" w:cs="宋体"/>
          <w:b/>
          <w:bCs/>
          <w:sz w:val="24"/>
          <w:szCs w:val="24"/>
        </w:rPr>
        <w:tab/>
      </w:r>
      <w:r>
        <w:rPr>
          <w:rFonts w:hint="eastAsia" w:ascii="宋体" w:hAnsi="宋体" w:cs="宋体"/>
          <w:b/>
          <w:bCs/>
          <w:sz w:val="24"/>
          <w:szCs w:val="24"/>
        </w:rPr>
        <w:t>合同授予</w:t>
      </w:r>
      <w:bookmarkEnd w:id="165"/>
      <w:bookmarkEnd w:id="166"/>
    </w:p>
    <w:p>
      <w:pPr>
        <w:spacing w:line="440" w:lineRule="exact"/>
        <w:ind w:firstLine="422" w:firstLineChars="200"/>
        <w:outlineLvl w:val="2"/>
        <w:rPr>
          <w:rFonts w:ascii="宋体"/>
          <w:b/>
          <w:bCs/>
        </w:rPr>
      </w:pPr>
      <w:bookmarkStart w:id="167" w:name="_Toc42001839"/>
      <w:bookmarkStart w:id="168" w:name="_Toc84265608"/>
      <w:r>
        <w:rPr>
          <w:rFonts w:ascii="宋体" w:hAnsi="宋体" w:cs="宋体"/>
          <w:b/>
          <w:bCs/>
        </w:rPr>
        <w:t>7.1</w:t>
      </w:r>
      <w:r>
        <w:rPr>
          <w:rFonts w:ascii="宋体" w:hAnsi="宋体" w:cs="宋体"/>
          <w:b/>
          <w:bCs/>
        </w:rPr>
        <w:tab/>
      </w:r>
      <w:bookmarkEnd w:id="167"/>
      <w:r>
        <w:rPr>
          <w:rFonts w:hint="eastAsia" w:ascii="宋体" w:hAnsi="宋体" w:cs="宋体"/>
          <w:b/>
          <w:bCs/>
        </w:rPr>
        <w:t>定标方式</w:t>
      </w:r>
      <w:bookmarkEnd w:id="168"/>
    </w:p>
    <w:p>
      <w:pPr>
        <w:spacing w:line="440" w:lineRule="exact"/>
        <w:ind w:firstLine="420" w:firstLineChars="200"/>
        <w:rPr>
          <w:rFonts w:ascii="宋体"/>
        </w:rPr>
      </w:pPr>
      <w:r>
        <w:rPr>
          <w:rFonts w:hint="eastAsia" w:ascii="宋体" w:hAnsi="宋体" w:cs="宋体"/>
        </w:rPr>
        <w:t>除投标人须知前附表规定评标委员会直接确定中标人外，招标人依据评标委员会推荐的中标候选人确定中标人，评标委员会推荐中标候选人的人数见投标人须知前附表。</w:t>
      </w:r>
    </w:p>
    <w:p>
      <w:pPr>
        <w:spacing w:line="440" w:lineRule="exact"/>
        <w:ind w:firstLine="422" w:firstLineChars="200"/>
        <w:rPr>
          <w:rFonts w:ascii="宋体"/>
          <w:b/>
          <w:bCs/>
        </w:rPr>
      </w:pPr>
      <w:r>
        <w:rPr>
          <w:rFonts w:ascii="宋体" w:hAnsi="宋体" w:cs="宋体"/>
          <w:b/>
          <w:bCs/>
        </w:rPr>
        <w:t>7.2</w:t>
      </w:r>
      <w:r>
        <w:rPr>
          <w:rFonts w:ascii="宋体" w:hAnsi="宋体" w:cs="宋体"/>
          <w:b/>
          <w:bCs/>
        </w:rPr>
        <w:tab/>
      </w:r>
      <w:r>
        <w:rPr>
          <w:rFonts w:hint="eastAsia" w:ascii="宋体" w:hAnsi="宋体" w:cs="宋体"/>
          <w:b/>
          <w:bCs/>
        </w:rPr>
        <w:t>中标候选人公示</w:t>
      </w:r>
    </w:p>
    <w:p>
      <w:pPr>
        <w:spacing w:line="440" w:lineRule="exact"/>
        <w:ind w:firstLine="420" w:firstLineChars="200"/>
        <w:rPr>
          <w:rFonts w:ascii="宋体"/>
        </w:rPr>
      </w:pPr>
      <w:r>
        <w:rPr>
          <w:rFonts w:hint="eastAsia" w:ascii="宋体" w:hAnsi="宋体" w:cs="宋体"/>
        </w:rPr>
        <w:t>招标人在投标人须知前附表规定的媒介公示中标候选人。</w:t>
      </w:r>
    </w:p>
    <w:p>
      <w:pPr>
        <w:spacing w:line="440" w:lineRule="exact"/>
        <w:ind w:firstLine="422" w:firstLineChars="200"/>
        <w:outlineLvl w:val="2"/>
        <w:rPr>
          <w:rFonts w:ascii="宋体"/>
          <w:b/>
          <w:bCs/>
        </w:rPr>
      </w:pPr>
      <w:bookmarkStart w:id="169" w:name="_Toc42001840"/>
      <w:bookmarkStart w:id="170" w:name="_Toc84265609"/>
      <w:r>
        <w:rPr>
          <w:rFonts w:ascii="宋体" w:hAnsi="宋体" w:cs="宋体"/>
          <w:b/>
          <w:bCs/>
        </w:rPr>
        <w:t>7.3</w:t>
      </w:r>
      <w:bookmarkEnd w:id="169"/>
      <w:r>
        <w:rPr>
          <w:rFonts w:hint="eastAsia" w:ascii="宋体" w:hAnsi="宋体" w:cs="宋体"/>
          <w:b/>
          <w:bCs/>
        </w:rPr>
        <w:t>中标通知</w:t>
      </w:r>
      <w:bookmarkEnd w:id="170"/>
    </w:p>
    <w:p>
      <w:pPr>
        <w:spacing w:line="440" w:lineRule="exact"/>
        <w:ind w:firstLine="420" w:firstLineChars="200"/>
        <w:rPr>
          <w:rFonts w:ascii="宋体"/>
        </w:rPr>
      </w:pPr>
      <w:r>
        <w:rPr>
          <w:rFonts w:hint="eastAsia" w:ascii="宋体" w:hAnsi="宋体" w:cs="宋体"/>
        </w:rPr>
        <w:t>在本章第3.3款规定的投标有效期内，招标人以书面形式向中标人发出中标通知书，同时将中标结果通知未中标的投标人。中标通知书按本章附表格式填写。</w:t>
      </w:r>
    </w:p>
    <w:p>
      <w:pPr>
        <w:spacing w:line="440" w:lineRule="exact"/>
        <w:ind w:firstLine="422" w:firstLineChars="200"/>
        <w:outlineLvl w:val="2"/>
        <w:rPr>
          <w:rFonts w:ascii="宋体"/>
          <w:b/>
          <w:bCs/>
        </w:rPr>
      </w:pPr>
      <w:bookmarkStart w:id="171" w:name="_Toc42001841"/>
      <w:bookmarkStart w:id="172" w:name="_Toc84265610"/>
      <w:r>
        <w:rPr>
          <w:rFonts w:ascii="宋体" w:hAnsi="宋体" w:cs="宋体"/>
          <w:b/>
          <w:bCs/>
        </w:rPr>
        <w:t>7.4</w:t>
      </w:r>
      <w:r>
        <w:rPr>
          <w:rFonts w:ascii="宋体" w:hAnsi="宋体" w:cs="宋体"/>
          <w:b/>
          <w:bCs/>
        </w:rPr>
        <w:tab/>
      </w:r>
      <w:bookmarkEnd w:id="171"/>
      <w:r>
        <w:rPr>
          <w:rFonts w:hint="eastAsia" w:ascii="宋体" w:hAnsi="宋体" w:cs="宋体"/>
          <w:b/>
          <w:bCs/>
        </w:rPr>
        <w:t>履约担保</w:t>
      </w:r>
      <w:bookmarkEnd w:id="172"/>
    </w:p>
    <w:p>
      <w:pPr>
        <w:spacing w:line="440" w:lineRule="exact"/>
        <w:ind w:firstLine="420" w:firstLineChars="200"/>
        <w:rPr>
          <w:rFonts w:ascii="宋体" w:hAnsi="宋体" w:cs="宋体"/>
        </w:rPr>
      </w:pPr>
      <w:r>
        <w:rPr>
          <w:rFonts w:hint="eastAsia" w:ascii="宋体" w:hAnsi="宋体" w:cs="宋体"/>
        </w:rPr>
        <w:t>7.4.1 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联合体中标的，其履约担保由联合体各方或者联合体中牵头人的名义提交。</w:t>
      </w:r>
    </w:p>
    <w:p>
      <w:pPr>
        <w:spacing w:line="440" w:lineRule="exact"/>
        <w:ind w:firstLine="420" w:firstLineChars="200"/>
        <w:rPr>
          <w:rFonts w:ascii="宋体"/>
        </w:rPr>
      </w:pPr>
      <w:r>
        <w:rPr>
          <w:rFonts w:hint="eastAsia" w:ascii="宋体" w:hAnsi="宋体" w:cs="宋体"/>
        </w:rPr>
        <w:t>7.4.2 中标人不能按本章第7.4.1项要求提交履约担保的，视为放弃中标，其投标保证金不予退还，给招标人造成的损失超过投标保证金数额的，中标人还应当对超过部分予以赔偿。</w:t>
      </w:r>
    </w:p>
    <w:p>
      <w:pPr>
        <w:spacing w:line="440" w:lineRule="exact"/>
        <w:ind w:firstLine="422" w:firstLineChars="200"/>
        <w:outlineLvl w:val="2"/>
        <w:rPr>
          <w:rFonts w:ascii="宋体"/>
          <w:b/>
          <w:bCs/>
        </w:rPr>
      </w:pPr>
      <w:bookmarkStart w:id="173" w:name="_Toc42001842"/>
      <w:bookmarkStart w:id="174" w:name="_Toc84265611"/>
      <w:r>
        <w:rPr>
          <w:rFonts w:ascii="宋体" w:hAnsi="宋体" w:cs="宋体"/>
          <w:b/>
          <w:bCs/>
        </w:rPr>
        <w:t>7.5</w:t>
      </w:r>
      <w:bookmarkEnd w:id="173"/>
      <w:r>
        <w:rPr>
          <w:rFonts w:hint="eastAsia" w:ascii="宋体" w:hAnsi="宋体" w:cs="宋体"/>
          <w:b/>
          <w:bCs/>
        </w:rPr>
        <w:t>签订合同</w:t>
      </w:r>
      <w:bookmarkEnd w:id="174"/>
    </w:p>
    <w:p>
      <w:pPr>
        <w:spacing w:line="440" w:lineRule="exact"/>
        <w:ind w:firstLine="420" w:firstLineChars="200"/>
        <w:rPr>
          <w:rFonts w:ascii="宋体" w:hAnsi="宋体" w:cs="宋体"/>
        </w:rPr>
      </w:pPr>
      <w:r>
        <w:rPr>
          <w:rFonts w:hint="eastAsia" w:ascii="宋体" w:hAnsi="宋体" w:cs="宋体"/>
        </w:rPr>
        <w:t xml:space="preserve">7.5.1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spacing w:line="440" w:lineRule="exact"/>
        <w:ind w:firstLine="420" w:firstLineChars="200"/>
        <w:rPr>
          <w:rFonts w:ascii="宋体"/>
        </w:rPr>
      </w:pPr>
      <w:r>
        <w:rPr>
          <w:rFonts w:hint="eastAsia" w:ascii="宋体" w:hAnsi="宋体" w:cs="宋体"/>
        </w:rPr>
        <w:t>7.5.2 发出中标通知书后，招标人无正当理由拒签合同的，招标人向中标人退还投标保证金；给中标人造成损失的，还应当赔偿损失。</w:t>
      </w:r>
    </w:p>
    <w:p>
      <w:pPr>
        <w:spacing w:line="440" w:lineRule="exact"/>
        <w:ind w:firstLine="482" w:firstLineChars="200"/>
        <w:outlineLvl w:val="1"/>
        <w:rPr>
          <w:rFonts w:ascii="宋体"/>
          <w:b/>
          <w:bCs/>
          <w:sz w:val="24"/>
          <w:szCs w:val="24"/>
        </w:rPr>
      </w:pPr>
      <w:bookmarkStart w:id="175" w:name="_Toc84265612"/>
      <w:bookmarkStart w:id="176" w:name="_Toc42001846"/>
      <w:r>
        <w:rPr>
          <w:rFonts w:ascii="宋体" w:hAnsi="宋体" w:cs="宋体"/>
          <w:b/>
          <w:bCs/>
          <w:sz w:val="24"/>
          <w:szCs w:val="24"/>
        </w:rPr>
        <w:t>8.</w:t>
      </w:r>
      <w:r>
        <w:rPr>
          <w:rFonts w:hint="eastAsia" w:ascii="宋体" w:hAnsi="宋体" w:cs="宋体"/>
          <w:b/>
          <w:bCs/>
          <w:sz w:val="24"/>
          <w:szCs w:val="24"/>
        </w:rPr>
        <w:t>纪律和监督</w:t>
      </w:r>
      <w:bookmarkEnd w:id="175"/>
      <w:bookmarkEnd w:id="176"/>
    </w:p>
    <w:p>
      <w:pPr>
        <w:spacing w:line="440" w:lineRule="exact"/>
        <w:ind w:firstLine="422" w:firstLineChars="200"/>
        <w:outlineLvl w:val="2"/>
        <w:rPr>
          <w:rFonts w:ascii="宋体"/>
          <w:b/>
          <w:bCs/>
        </w:rPr>
      </w:pPr>
      <w:bookmarkStart w:id="177" w:name="_Toc84265613"/>
      <w:bookmarkStart w:id="178" w:name="_Toc42001847"/>
      <w:r>
        <w:rPr>
          <w:rFonts w:ascii="宋体" w:hAnsi="宋体" w:cs="宋体"/>
          <w:b/>
          <w:bCs/>
        </w:rPr>
        <w:t>8.1</w:t>
      </w:r>
      <w:r>
        <w:rPr>
          <w:rFonts w:ascii="宋体" w:hAnsi="宋体" w:cs="宋体"/>
          <w:b/>
          <w:bCs/>
        </w:rPr>
        <w:tab/>
      </w:r>
      <w:r>
        <w:rPr>
          <w:rFonts w:hint="eastAsia" w:ascii="宋体" w:hAnsi="宋体" w:cs="宋体"/>
          <w:b/>
          <w:bCs/>
        </w:rPr>
        <w:t>对招标人的纪律要求</w:t>
      </w:r>
      <w:bookmarkEnd w:id="177"/>
      <w:bookmarkEnd w:id="178"/>
    </w:p>
    <w:p>
      <w:pPr>
        <w:spacing w:line="440" w:lineRule="exact"/>
        <w:ind w:firstLine="420" w:firstLineChars="200"/>
        <w:rPr>
          <w:rFonts w:ascii="宋体"/>
        </w:rPr>
      </w:pPr>
      <w:r>
        <w:rPr>
          <w:rFonts w:hint="eastAsia" w:ascii="宋体" w:hAnsi="宋体" w:cs="宋体"/>
        </w:rPr>
        <w:t>招标人不得泄漏招标投标活动中应当保密的情况和资料，不得与投标人串通损害国家利益、社会公共利益或者他人合法权益。</w:t>
      </w:r>
    </w:p>
    <w:p>
      <w:pPr>
        <w:spacing w:line="440" w:lineRule="exact"/>
        <w:ind w:firstLine="422" w:firstLineChars="200"/>
        <w:rPr>
          <w:rFonts w:ascii="宋体"/>
          <w:b/>
          <w:bCs/>
        </w:rPr>
      </w:pPr>
      <w:r>
        <w:rPr>
          <w:rFonts w:ascii="宋体" w:hAnsi="宋体" w:cs="宋体"/>
          <w:b/>
          <w:bCs/>
        </w:rPr>
        <w:t>8.2</w:t>
      </w:r>
      <w:r>
        <w:rPr>
          <w:rFonts w:ascii="宋体" w:hAnsi="宋体" w:cs="宋体"/>
          <w:b/>
          <w:bCs/>
        </w:rPr>
        <w:tab/>
      </w:r>
      <w:r>
        <w:rPr>
          <w:rFonts w:hint="eastAsia" w:ascii="宋体" w:hAnsi="宋体" w:cs="宋体"/>
          <w:b/>
          <w:bCs/>
        </w:rPr>
        <w:t>对投标人的纪律要求</w:t>
      </w:r>
    </w:p>
    <w:p>
      <w:pPr>
        <w:spacing w:line="440" w:lineRule="exact"/>
        <w:ind w:firstLine="420" w:firstLineChars="200"/>
        <w:rPr>
          <w:rFonts w:ascii="宋体"/>
        </w:rPr>
      </w:pPr>
      <w:r>
        <w:rPr>
          <w:rFonts w:hint="eastAsia" w:ascii="宋体" w:hAnsi="宋体" w:cs="宋体"/>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40" w:lineRule="exact"/>
        <w:ind w:firstLine="422" w:firstLineChars="200"/>
        <w:outlineLvl w:val="2"/>
        <w:rPr>
          <w:rFonts w:ascii="宋体"/>
          <w:b/>
          <w:bCs/>
        </w:rPr>
      </w:pPr>
      <w:bookmarkStart w:id="179" w:name="_Toc84265614"/>
      <w:bookmarkStart w:id="180" w:name="_Toc42001848"/>
      <w:r>
        <w:rPr>
          <w:rFonts w:ascii="宋体" w:hAnsi="宋体" w:cs="宋体"/>
          <w:b/>
          <w:bCs/>
        </w:rPr>
        <w:t>8.3</w:t>
      </w:r>
      <w:r>
        <w:rPr>
          <w:rFonts w:ascii="宋体" w:hAnsi="宋体" w:cs="宋体"/>
          <w:b/>
          <w:bCs/>
        </w:rPr>
        <w:tab/>
      </w:r>
      <w:r>
        <w:rPr>
          <w:rFonts w:hint="eastAsia" w:ascii="宋体" w:hAnsi="宋体" w:cs="宋体"/>
          <w:b/>
          <w:bCs/>
        </w:rPr>
        <w:t>对评标委员会成员的纪律要求</w:t>
      </w:r>
      <w:bookmarkEnd w:id="179"/>
      <w:bookmarkEnd w:id="180"/>
    </w:p>
    <w:p>
      <w:pPr>
        <w:spacing w:line="440" w:lineRule="exact"/>
        <w:ind w:firstLine="420" w:firstLineChars="200"/>
        <w:outlineLvl w:val="2"/>
        <w:rPr>
          <w:rFonts w:ascii="宋体" w:hAnsi="宋体" w:cs="宋体"/>
        </w:rPr>
      </w:pPr>
      <w:bookmarkStart w:id="181" w:name="_Toc84265615"/>
      <w:bookmarkStart w:id="182" w:name="_Toc42001849"/>
      <w:r>
        <w:rPr>
          <w:rFonts w:hint="eastAsia" w:ascii="宋体" w:hAnsi="宋体" w:cs="宋体"/>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bookmarkEnd w:id="181"/>
    </w:p>
    <w:p>
      <w:pPr>
        <w:spacing w:line="440" w:lineRule="exact"/>
        <w:ind w:firstLine="422" w:firstLineChars="200"/>
        <w:outlineLvl w:val="2"/>
        <w:rPr>
          <w:rFonts w:ascii="宋体"/>
          <w:b/>
          <w:bCs/>
        </w:rPr>
      </w:pPr>
      <w:bookmarkStart w:id="183" w:name="_Toc84265616"/>
      <w:r>
        <w:rPr>
          <w:rFonts w:ascii="宋体" w:hAnsi="宋体" w:cs="宋体"/>
          <w:b/>
          <w:bCs/>
        </w:rPr>
        <w:t>8.4</w:t>
      </w:r>
      <w:r>
        <w:rPr>
          <w:rFonts w:ascii="宋体" w:hAnsi="宋体" w:cs="宋体"/>
          <w:b/>
          <w:bCs/>
        </w:rPr>
        <w:tab/>
      </w:r>
      <w:r>
        <w:rPr>
          <w:rFonts w:hint="eastAsia" w:ascii="宋体" w:hAnsi="宋体" w:cs="宋体"/>
          <w:b/>
          <w:bCs/>
        </w:rPr>
        <w:t>对与评标活动有关的工作人员的纪律要求</w:t>
      </w:r>
      <w:bookmarkEnd w:id="182"/>
      <w:bookmarkEnd w:id="183"/>
    </w:p>
    <w:p>
      <w:pPr>
        <w:spacing w:line="440" w:lineRule="exact"/>
        <w:ind w:firstLine="420" w:firstLineChars="200"/>
        <w:rPr>
          <w:rFonts w:ascii="宋体"/>
        </w:rPr>
      </w:pPr>
      <w:bookmarkStart w:id="184" w:name="_Toc152042355"/>
      <w:r>
        <w:rPr>
          <w:rFonts w:hint="eastAsia" w:ascii="宋体" w:hAnsi="宋体" w:cs="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184"/>
    </w:p>
    <w:p>
      <w:pPr>
        <w:spacing w:line="440" w:lineRule="exact"/>
        <w:ind w:firstLine="422" w:firstLineChars="200"/>
        <w:outlineLvl w:val="2"/>
        <w:rPr>
          <w:rFonts w:ascii="宋体"/>
          <w:b/>
          <w:bCs/>
        </w:rPr>
      </w:pPr>
      <w:bookmarkStart w:id="185" w:name="_Toc42001850"/>
      <w:bookmarkStart w:id="186" w:name="_Toc84265617"/>
      <w:r>
        <w:rPr>
          <w:rFonts w:ascii="宋体" w:hAnsi="宋体" w:cs="宋体"/>
          <w:b/>
          <w:bCs/>
        </w:rPr>
        <w:t>8.5</w:t>
      </w:r>
      <w:r>
        <w:rPr>
          <w:rFonts w:ascii="宋体" w:hAnsi="宋体" w:cs="宋体"/>
          <w:b/>
          <w:bCs/>
        </w:rPr>
        <w:tab/>
      </w:r>
      <w:r>
        <w:rPr>
          <w:rFonts w:hint="eastAsia" w:ascii="宋体" w:hAnsi="宋体" w:cs="宋体"/>
          <w:b/>
          <w:bCs/>
        </w:rPr>
        <w:t>投诉</w:t>
      </w:r>
      <w:bookmarkEnd w:id="185"/>
      <w:bookmarkEnd w:id="186"/>
    </w:p>
    <w:p>
      <w:pPr>
        <w:spacing w:line="440" w:lineRule="exact"/>
        <w:ind w:firstLine="420" w:firstLineChars="200"/>
        <w:rPr>
          <w:rFonts w:ascii="宋体" w:hAnsi="宋体" w:cs="宋体"/>
        </w:rPr>
      </w:pPr>
      <w:r>
        <w:rPr>
          <w:rFonts w:hint="eastAsia" w:ascii="宋体" w:hAnsi="宋体" w:cs="宋体"/>
        </w:rPr>
        <w:t>投标人和其他利害关系人认为本次招标活动违反法律、法规和规章规定的，有权向有关行政监督部门投诉。</w:t>
      </w:r>
    </w:p>
    <w:p>
      <w:pPr>
        <w:spacing w:line="440" w:lineRule="exact"/>
        <w:ind w:firstLine="482" w:firstLineChars="200"/>
        <w:outlineLvl w:val="1"/>
        <w:rPr>
          <w:rFonts w:ascii="宋体"/>
          <w:b/>
          <w:bCs/>
          <w:sz w:val="24"/>
          <w:szCs w:val="24"/>
        </w:rPr>
      </w:pPr>
      <w:bookmarkStart w:id="187" w:name="_Toc42001852"/>
      <w:bookmarkStart w:id="188" w:name="_Toc84265618"/>
      <w:r>
        <w:rPr>
          <w:rFonts w:hint="eastAsia" w:ascii="宋体" w:hAnsi="宋体" w:cs="宋体"/>
          <w:b/>
          <w:bCs/>
          <w:sz w:val="24"/>
          <w:szCs w:val="24"/>
        </w:rPr>
        <w:t>9</w:t>
      </w:r>
      <w:r>
        <w:rPr>
          <w:rFonts w:ascii="宋体" w:hAnsi="宋体" w:cs="宋体"/>
          <w:b/>
          <w:bCs/>
          <w:sz w:val="24"/>
          <w:szCs w:val="24"/>
        </w:rPr>
        <w:t>.</w:t>
      </w:r>
      <w:r>
        <w:rPr>
          <w:rFonts w:ascii="宋体" w:hAnsi="宋体" w:cs="宋体"/>
          <w:b/>
          <w:bCs/>
          <w:sz w:val="24"/>
          <w:szCs w:val="24"/>
        </w:rPr>
        <w:tab/>
      </w:r>
      <w:r>
        <w:rPr>
          <w:rFonts w:hint="eastAsia" w:ascii="宋体" w:hAnsi="宋体" w:cs="宋体"/>
          <w:b/>
          <w:bCs/>
          <w:sz w:val="24"/>
          <w:szCs w:val="24"/>
        </w:rPr>
        <w:t>需要补充的其他内容</w:t>
      </w:r>
      <w:bookmarkEnd w:id="187"/>
      <w:bookmarkEnd w:id="188"/>
    </w:p>
    <w:p>
      <w:pPr>
        <w:spacing w:line="440" w:lineRule="exact"/>
        <w:ind w:firstLine="420" w:firstLineChars="200"/>
        <w:rPr>
          <w:rFonts w:ascii="宋体"/>
        </w:rPr>
      </w:pPr>
      <w:r>
        <w:rPr>
          <w:rFonts w:hint="eastAsia" w:ascii="宋体" w:hAnsi="宋体" w:cs="宋体"/>
        </w:rPr>
        <w:t>需要补充的其他内容：见投标人须知前附表。</w:t>
      </w:r>
    </w:p>
    <w:p>
      <w:pPr>
        <w:spacing w:line="440" w:lineRule="exact"/>
        <w:ind w:firstLine="482" w:firstLineChars="200"/>
        <w:outlineLvl w:val="1"/>
        <w:rPr>
          <w:rFonts w:ascii="宋体"/>
          <w:b/>
          <w:bCs/>
          <w:sz w:val="24"/>
          <w:szCs w:val="24"/>
        </w:rPr>
      </w:pPr>
      <w:bookmarkStart w:id="189" w:name="_Toc42001851"/>
      <w:bookmarkStart w:id="190" w:name="_Toc84265619"/>
      <w:r>
        <w:rPr>
          <w:rFonts w:hint="eastAsia" w:ascii="宋体" w:hAnsi="宋体" w:cs="宋体"/>
          <w:b/>
          <w:bCs/>
          <w:sz w:val="24"/>
          <w:szCs w:val="24"/>
        </w:rPr>
        <w:t>10</w:t>
      </w:r>
      <w:r>
        <w:rPr>
          <w:rFonts w:ascii="宋体" w:hAnsi="宋体" w:cs="宋体"/>
          <w:b/>
          <w:bCs/>
          <w:sz w:val="24"/>
          <w:szCs w:val="24"/>
        </w:rPr>
        <w:t>.</w:t>
      </w:r>
      <w:r>
        <w:rPr>
          <w:rFonts w:hint="eastAsia" w:ascii="宋体" w:hAnsi="宋体" w:cs="宋体"/>
          <w:b/>
          <w:bCs/>
          <w:sz w:val="24"/>
          <w:szCs w:val="24"/>
        </w:rPr>
        <w:t>电子招标投标</w:t>
      </w:r>
      <w:bookmarkEnd w:id="189"/>
      <w:bookmarkEnd w:id="190"/>
    </w:p>
    <w:p>
      <w:pPr>
        <w:spacing w:line="440" w:lineRule="exact"/>
        <w:ind w:firstLine="420" w:firstLineChars="200"/>
        <w:rPr>
          <w:rFonts w:ascii="宋体"/>
        </w:rPr>
      </w:pPr>
      <w:r>
        <w:rPr>
          <w:rFonts w:hint="eastAsia" w:ascii="宋体" w:hAnsi="宋体" w:cs="宋体"/>
        </w:rPr>
        <w:t>采用电子招标投标，对投标文件的编制、密封和标记、递交、开标、评标等具体要求，见投标人须知前附表。</w:t>
      </w:r>
    </w:p>
    <w:p>
      <w:pPr>
        <w:spacing w:line="440" w:lineRule="exact"/>
        <w:ind w:firstLine="420" w:firstLineChars="200"/>
        <w:rPr>
          <w:rFonts w:ascii="宋体"/>
        </w:rPr>
      </w:pPr>
    </w:p>
    <w:p>
      <w:pPr>
        <w:spacing w:line="440" w:lineRule="exact"/>
        <w:ind w:firstLine="420" w:firstLineChars="200"/>
        <w:rPr>
          <w:rFonts w:ascii="宋体"/>
        </w:rPr>
      </w:pPr>
    </w:p>
    <w:p>
      <w:pPr>
        <w:spacing w:line="440" w:lineRule="exact"/>
        <w:rPr>
          <w:rFonts w:ascii="宋体"/>
        </w:rPr>
      </w:pPr>
    </w:p>
    <w:p>
      <w:pPr>
        <w:pStyle w:val="3"/>
        <w:jc w:val="center"/>
      </w:pPr>
      <w:r>
        <w:rPr>
          <w:rFonts w:ascii="宋体"/>
        </w:rPr>
        <w:br w:type="page"/>
      </w:r>
      <w:bookmarkStart w:id="191" w:name="_Toc84265620"/>
      <w:r>
        <w:rPr>
          <w:rFonts w:hint="eastAsia" w:cs="宋体"/>
        </w:rPr>
        <w:t>第三章</w:t>
      </w:r>
      <w:r>
        <w:t xml:space="preserve"> </w:t>
      </w:r>
      <w:r>
        <w:rPr>
          <w:rFonts w:hint="eastAsia" w:cs="宋体"/>
        </w:rPr>
        <w:t>评标办法（综合评估法）</w:t>
      </w:r>
      <w:bookmarkEnd w:id="191"/>
    </w:p>
    <w:p>
      <w:pPr>
        <w:spacing w:line="440" w:lineRule="exact"/>
        <w:rPr>
          <w:rFonts w:ascii="宋体"/>
          <w:b/>
          <w:bCs/>
          <w:sz w:val="24"/>
          <w:szCs w:val="24"/>
        </w:rPr>
      </w:pPr>
      <w:r>
        <w:rPr>
          <w:rFonts w:hint="eastAsia" w:ascii="宋体" w:hAnsi="宋体" w:cs="宋体"/>
          <w:b/>
          <w:bCs/>
          <w:sz w:val="24"/>
          <w:szCs w:val="24"/>
        </w:rPr>
        <w:t>评标办法前附表</w:t>
      </w:r>
    </w:p>
    <w:tbl>
      <w:tblPr>
        <w:tblStyle w:val="37"/>
        <w:tblW w:w="918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27"/>
        <w:gridCol w:w="2380"/>
        <w:gridCol w:w="4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41" w:type="dxa"/>
            <w:gridSpan w:val="2"/>
            <w:vAlign w:val="center"/>
          </w:tcPr>
          <w:p>
            <w:pPr>
              <w:jc w:val="center"/>
              <w:rPr>
                <w:rFonts w:ascii="宋体"/>
                <w:b/>
                <w:bCs/>
              </w:rPr>
            </w:pPr>
            <w:r>
              <w:rPr>
                <w:rFonts w:hint="eastAsia" w:ascii="宋体" w:hAnsi="宋体" w:cs="宋体"/>
                <w:b/>
                <w:bCs/>
              </w:rPr>
              <w:t>条款号</w:t>
            </w:r>
          </w:p>
        </w:tc>
        <w:tc>
          <w:tcPr>
            <w:tcW w:w="2380" w:type="dxa"/>
            <w:vAlign w:val="center"/>
          </w:tcPr>
          <w:p>
            <w:pPr>
              <w:jc w:val="center"/>
              <w:rPr>
                <w:rFonts w:ascii="宋体"/>
                <w:b/>
                <w:bCs/>
              </w:rPr>
            </w:pPr>
            <w:r>
              <w:rPr>
                <w:rFonts w:hint="eastAsia" w:ascii="宋体" w:hAnsi="宋体" w:cs="宋体"/>
                <w:b/>
                <w:bCs/>
              </w:rPr>
              <w:t>评审因素</w:t>
            </w:r>
          </w:p>
        </w:tc>
        <w:tc>
          <w:tcPr>
            <w:tcW w:w="4862" w:type="dxa"/>
            <w:vAlign w:val="center"/>
          </w:tcPr>
          <w:p>
            <w:pPr>
              <w:jc w:val="center"/>
              <w:rPr>
                <w:rFonts w:ascii="宋体"/>
                <w:b/>
                <w:bCs/>
              </w:rPr>
            </w:pPr>
            <w:r>
              <w:rPr>
                <w:rFonts w:hint="eastAsia" w:ascii="宋体" w:hAnsi="宋体" w:cs="宋体"/>
                <w:b/>
                <w:bCs/>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4" w:type="dxa"/>
            <w:vAlign w:val="center"/>
          </w:tcPr>
          <w:p>
            <w:pPr>
              <w:jc w:val="center"/>
              <w:rPr>
                <w:rFonts w:ascii="宋体"/>
                <w:b/>
                <w:bCs/>
              </w:rPr>
            </w:pPr>
            <w:r>
              <w:rPr>
                <w:rFonts w:ascii="宋体" w:hAnsi="宋体" w:cs="宋体"/>
                <w:b/>
                <w:bCs/>
              </w:rPr>
              <w:t>1</w:t>
            </w:r>
          </w:p>
        </w:tc>
        <w:tc>
          <w:tcPr>
            <w:tcW w:w="1127" w:type="dxa"/>
            <w:vAlign w:val="center"/>
          </w:tcPr>
          <w:p>
            <w:pPr>
              <w:jc w:val="center"/>
              <w:rPr>
                <w:rFonts w:ascii="宋体"/>
                <w:b/>
                <w:bCs/>
              </w:rPr>
            </w:pPr>
            <w:r>
              <w:rPr>
                <w:rFonts w:hint="eastAsia" w:ascii="宋体" w:hAnsi="宋体" w:cs="宋体"/>
              </w:rPr>
              <w:t>评标方法</w:t>
            </w:r>
          </w:p>
        </w:tc>
        <w:tc>
          <w:tcPr>
            <w:tcW w:w="2380" w:type="dxa"/>
            <w:vAlign w:val="center"/>
          </w:tcPr>
          <w:p>
            <w:pPr>
              <w:jc w:val="center"/>
              <w:rPr>
                <w:rFonts w:ascii="宋体"/>
                <w:b/>
                <w:bCs/>
              </w:rPr>
            </w:pPr>
            <w:r>
              <w:rPr>
                <w:rFonts w:hint="eastAsia" w:ascii="宋体" w:hAnsi="宋体" w:cs="宋体"/>
              </w:rPr>
              <w:t>中标候选人排序方法</w:t>
            </w:r>
          </w:p>
        </w:tc>
        <w:tc>
          <w:tcPr>
            <w:tcW w:w="4862" w:type="dxa"/>
            <w:vAlign w:val="center"/>
          </w:tcPr>
          <w:p>
            <w:pPr>
              <w:rPr>
                <w:rFonts w:ascii="宋体"/>
                <w:b/>
                <w:bCs/>
              </w:rPr>
            </w:pPr>
            <w:r>
              <w:rPr>
                <w:rFonts w:hint="eastAsia" w:ascii="宋体" w:hAnsi="宋体" w:cs="宋体"/>
              </w:rPr>
              <w:t>综合评分相等时，以投标报价低的优先；投标报价也相等的，以项目管理方案评分高的优先；项目管理方案评分也相等的，由评标委员会投票确定排名顺序。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4" w:type="dxa"/>
            <w:vMerge w:val="restart"/>
            <w:vAlign w:val="center"/>
          </w:tcPr>
          <w:p>
            <w:pPr>
              <w:jc w:val="center"/>
              <w:rPr>
                <w:rFonts w:ascii="宋体"/>
              </w:rPr>
            </w:pPr>
            <w:r>
              <w:rPr>
                <w:rFonts w:ascii="宋体" w:hAnsi="宋体" w:cs="宋体"/>
              </w:rPr>
              <w:t>2.1.1</w:t>
            </w:r>
          </w:p>
        </w:tc>
        <w:tc>
          <w:tcPr>
            <w:tcW w:w="1127" w:type="dxa"/>
            <w:vMerge w:val="restart"/>
            <w:vAlign w:val="center"/>
          </w:tcPr>
          <w:p>
            <w:pPr>
              <w:jc w:val="center"/>
              <w:rPr>
                <w:rFonts w:ascii="宋体"/>
              </w:rPr>
            </w:pPr>
            <w:r>
              <w:rPr>
                <w:rFonts w:hint="eastAsia" w:ascii="宋体" w:hAnsi="宋体" w:cs="宋体"/>
              </w:rPr>
              <w:t>形式评审标准</w:t>
            </w:r>
          </w:p>
        </w:tc>
        <w:tc>
          <w:tcPr>
            <w:tcW w:w="2380" w:type="dxa"/>
            <w:vAlign w:val="center"/>
          </w:tcPr>
          <w:p>
            <w:pPr>
              <w:jc w:val="center"/>
              <w:rPr>
                <w:rFonts w:ascii="宋体"/>
              </w:rPr>
            </w:pPr>
            <w:r>
              <w:rPr>
                <w:rFonts w:hint="eastAsia" w:ascii="宋体" w:hAnsi="宋体" w:cs="宋体"/>
              </w:rPr>
              <w:t>投标人名称</w:t>
            </w:r>
          </w:p>
        </w:tc>
        <w:tc>
          <w:tcPr>
            <w:tcW w:w="4862" w:type="dxa"/>
            <w:vAlign w:val="center"/>
          </w:tcPr>
          <w:p>
            <w:pPr>
              <w:rPr>
                <w:rFonts w:ascii="宋体"/>
              </w:rPr>
            </w:pPr>
            <w:r>
              <w:rPr>
                <w:rFonts w:hint="eastAsia" w:ascii="宋体" w:hAnsi="宋体" w:cs="宋体"/>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814" w:type="dxa"/>
            <w:vMerge w:val="continue"/>
            <w:vAlign w:val="center"/>
          </w:tcPr>
          <w:p>
            <w:pPr>
              <w:jc w:val="center"/>
              <w:rPr>
                <w:rFonts w:ascii="宋体"/>
              </w:rPr>
            </w:pPr>
          </w:p>
        </w:tc>
        <w:tc>
          <w:tcPr>
            <w:tcW w:w="1127" w:type="dxa"/>
            <w:vMerge w:val="continue"/>
            <w:vAlign w:val="center"/>
          </w:tcPr>
          <w:p>
            <w:pPr>
              <w:jc w:val="center"/>
              <w:rPr>
                <w:rFonts w:ascii="宋体"/>
              </w:rPr>
            </w:pPr>
          </w:p>
        </w:tc>
        <w:tc>
          <w:tcPr>
            <w:tcW w:w="2380" w:type="dxa"/>
            <w:vAlign w:val="center"/>
          </w:tcPr>
          <w:p>
            <w:pPr>
              <w:jc w:val="center"/>
              <w:textAlignment w:val="top"/>
              <w:rPr>
                <w:rFonts w:ascii="宋体"/>
              </w:rPr>
            </w:pPr>
            <w:r>
              <w:rPr>
                <w:rFonts w:hint="eastAsia" w:ascii="宋体" w:hAnsi="宋体" w:cs="宋体"/>
              </w:rPr>
              <w:t>投标函及投标函附录签字盖章</w:t>
            </w:r>
          </w:p>
        </w:tc>
        <w:tc>
          <w:tcPr>
            <w:tcW w:w="4862" w:type="dxa"/>
            <w:vAlign w:val="center"/>
          </w:tcPr>
          <w:p>
            <w:pPr>
              <w:textAlignment w:val="top"/>
              <w:rPr>
                <w:rFonts w:ascii="宋体"/>
              </w:rPr>
            </w:pPr>
            <w:r>
              <w:rPr>
                <w:rFonts w:hint="eastAsia" w:ascii="宋体" w:hAnsi="宋体" w:cs="宋体"/>
              </w:rPr>
              <w:t>有法定代表人</w:t>
            </w:r>
            <w:r>
              <w:rPr>
                <w:rFonts w:hint="eastAsia" w:ascii="宋体" w:hAnsi="宋体" w:cs="宋体"/>
                <w:spacing w:val="2"/>
                <w:kern w:val="0"/>
              </w:rPr>
              <w:t>（单</w:t>
            </w:r>
            <w:r>
              <w:rPr>
                <w:rFonts w:hint="eastAsia" w:ascii="宋体" w:hAnsi="宋体" w:cs="宋体"/>
                <w:kern w:val="0"/>
              </w:rPr>
              <w:t>位</w:t>
            </w:r>
            <w:r>
              <w:rPr>
                <w:rFonts w:hint="eastAsia" w:ascii="宋体" w:hAnsi="宋体" w:cs="宋体"/>
                <w:spacing w:val="2"/>
                <w:kern w:val="0"/>
              </w:rPr>
              <w:t>负</w:t>
            </w:r>
            <w:r>
              <w:rPr>
                <w:rFonts w:hint="eastAsia" w:ascii="宋体" w:hAnsi="宋体" w:cs="宋体"/>
                <w:kern w:val="0"/>
              </w:rPr>
              <w:t>责</w:t>
            </w:r>
            <w:r>
              <w:rPr>
                <w:rFonts w:hint="eastAsia" w:ascii="宋体" w:hAnsi="宋体" w:cs="宋体"/>
                <w:spacing w:val="2"/>
                <w:kern w:val="0"/>
              </w:rPr>
              <w:t>人）</w:t>
            </w:r>
            <w:r>
              <w:rPr>
                <w:rFonts w:hint="eastAsia" w:ascii="宋体" w:hAnsi="宋体" w:cs="宋体"/>
              </w:rPr>
              <w:t>或其委托代理人签字或加盖单位章。</w:t>
            </w:r>
          </w:p>
          <w:p>
            <w:pPr>
              <w:textAlignment w:val="top"/>
              <w:rPr>
                <w:rFonts w:ascii="宋体"/>
              </w:rPr>
            </w:pPr>
            <w:r>
              <w:rPr>
                <w:rFonts w:hint="eastAsia" w:ascii="宋体" w:hAnsi="宋体" w:cs="宋体"/>
              </w:rPr>
              <w:t>由法定代表人</w:t>
            </w:r>
            <w:r>
              <w:rPr>
                <w:rFonts w:hint="eastAsia" w:ascii="宋体" w:hAnsi="宋体" w:cs="宋体"/>
                <w:kern w:val="0"/>
              </w:rPr>
              <w:t>（</w:t>
            </w:r>
            <w:r>
              <w:rPr>
                <w:rFonts w:hint="eastAsia" w:ascii="宋体" w:hAnsi="宋体" w:cs="宋体"/>
                <w:spacing w:val="2"/>
                <w:kern w:val="0"/>
              </w:rPr>
              <w:t>单</w:t>
            </w:r>
            <w:r>
              <w:rPr>
                <w:rFonts w:hint="eastAsia" w:ascii="宋体" w:hAnsi="宋体" w:cs="宋体"/>
                <w:kern w:val="0"/>
              </w:rPr>
              <w:t>位</w:t>
            </w:r>
            <w:r>
              <w:rPr>
                <w:rFonts w:hint="eastAsia" w:ascii="宋体" w:hAnsi="宋体" w:cs="宋体"/>
                <w:spacing w:val="2"/>
                <w:kern w:val="0"/>
              </w:rPr>
              <w:t>负责</w:t>
            </w:r>
            <w:r>
              <w:rPr>
                <w:rFonts w:hint="eastAsia" w:ascii="宋体" w:hAnsi="宋体" w:cs="宋体"/>
                <w:kern w:val="0"/>
              </w:rPr>
              <w:t>人）</w:t>
            </w:r>
            <w:r>
              <w:rPr>
                <w:rFonts w:hint="eastAsia" w:ascii="宋体" w:hAnsi="宋体" w:cs="宋体"/>
              </w:rPr>
              <w:t>签字的，应附法定代表人</w:t>
            </w:r>
            <w:r>
              <w:rPr>
                <w:rFonts w:hint="eastAsia" w:ascii="宋体" w:hAnsi="宋体" w:cs="宋体"/>
                <w:kern w:val="0"/>
              </w:rPr>
              <w:t>（</w:t>
            </w:r>
            <w:r>
              <w:rPr>
                <w:rFonts w:hint="eastAsia" w:ascii="宋体" w:hAnsi="宋体" w:cs="宋体"/>
                <w:spacing w:val="2"/>
                <w:kern w:val="0"/>
              </w:rPr>
              <w:t>单</w:t>
            </w:r>
            <w:r>
              <w:rPr>
                <w:rFonts w:hint="eastAsia" w:ascii="宋体" w:hAnsi="宋体" w:cs="宋体"/>
                <w:kern w:val="0"/>
              </w:rPr>
              <w:t>位</w:t>
            </w:r>
            <w:r>
              <w:rPr>
                <w:rFonts w:hint="eastAsia" w:ascii="宋体" w:hAnsi="宋体" w:cs="宋体"/>
                <w:spacing w:val="2"/>
                <w:kern w:val="0"/>
              </w:rPr>
              <w:t>负责</w:t>
            </w:r>
            <w:r>
              <w:rPr>
                <w:rFonts w:hint="eastAsia" w:ascii="宋体" w:hAnsi="宋体" w:cs="宋体"/>
                <w:kern w:val="0"/>
              </w:rPr>
              <w:t>人）</w:t>
            </w:r>
            <w:r>
              <w:rPr>
                <w:rFonts w:hint="eastAsia" w:ascii="宋体" w:hAnsi="宋体" w:cs="宋体"/>
              </w:rPr>
              <w:t>身份证明；由代理人签字的，应附授权委托书，身份证明或授权委托书应符合第八章</w:t>
            </w:r>
            <w:r>
              <w:rPr>
                <w:rFonts w:hint="eastAsia" w:ascii="宋体" w:cs="宋体"/>
              </w:rPr>
              <w:t>“</w:t>
            </w:r>
            <w:r>
              <w:rPr>
                <w:rFonts w:hint="eastAsia" w:ascii="宋体" w:hAnsi="宋体" w:cs="宋体"/>
              </w:rPr>
              <w:t>投标文件格式</w:t>
            </w:r>
            <w:r>
              <w:rPr>
                <w:rFonts w:hint="eastAsia" w:ascii="宋体" w:cs="宋体"/>
              </w:rPr>
              <w:t>”</w:t>
            </w:r>
            <w:r>
              <w:rPr>
                <w:rFonts w:hint="eastAsia" w:ascii="宋体" w:hAnsi="宋体" w:cs="宋体"/>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pPr>
              <w:jc w:val="center"/>
              <w:rPr>
                <w:rFonts w:ascii="宋体"/>
              </w:rPr>
            </w:pPr>
          </w:p>
        </w:tc>
        <w:tc>
          <w:tcPr>
            <w:tcW w:w="1127" w:type="dxa"/>
            <w:vMerge w:val="continue"/>
            <w:vAlign w:val="center"/>
          </w:tcPr>
          <w:p>
            <w:pPr>
              <w:jc w:val="center"/>
              <w:rPr>
                <w:rFonts w:ascii="宋体"/>
              </w:rPr>
            </w:pPr>
          </w:p>
        </w:tc>
        <w:tc>
          <w:tcPr>
            <w:tcW w:w="2380" w:type="dxa"/>
            <w:vAlign w:val="center"/>
          </w:tcPr>
          <w:p>
            <w:pPr>
              <w:widowControl/>
              <w:jc w:val="center"/>
              <w:textAlignment w:val="top"/>
              <w:rPr>
                <w:rFonts w:ascii="宋体"/>
              </w:rPr>
            </w:pPr>
            <w:r>
              <w:rPr>
                <w:rFonts w:hint="eastAsia" w:ascii="宋体" w:hAnsi="宋体" w:cs="宋体"/>
              </w:rPr>
              <w:t>投标文件格式</w:t>
            </w:r>
          </w:p>
        </w:tc>
        <w:tc>
          <w:tcPr>
            <w:tcW w:w="4862" w:type="dxa"/>
            <w:vAlign w:val="center"/>
          </w:tcPr>
          <w:p>
            <w:pPr>
              <w:widowControl/>
              <w:textAlignment w:val="top"/>
              <w:rPr>
                <w:rFonts w:ascii="宋体"/>
              </w:rPr>
            </w:pPr>
            <w:r>
              <w:rPr>
                <w:rFonts w:hint="eastAsia" w:ascii="宋体" w:hAnsi="宋体" w:cs="宋体"/>
              </w:rPr>
              <w:t>符合第八章</w:t>
            </w:r>
            <w:r>
              <w:rPr>
                <w:rStyle w:val="91"/>
                <w:rFonts w:hint="eastAsia" w:ascii="宋体" w:hAnsi="Calibri" w:cs="宋体"/>
                <w:color w:val="auto"/>
              </w:rPr>
              <w:t>“</w:t>
            </w:r>
            <w:r>
              <w:rPr>
                <w:rStyle w:val="83"/>
                <w:rFonts w:hint="eastAsia"/>
                <w:color w:val="auto"/>
              </w:rPr>
              <w:t>投标文件格式</w:t>
            </w:r>
            <w:r>
              <w:rPr>
                <w:rStyle w:val="91"/>
                <w:rFonts w:hint="eastAsia" w:ascii="宋体" w:hAnsi="Calibri" w:cs="宋体"/>
                <w:color w:val="auto"/>
              </w:rPr>
              <w:t>”</w:t>
            </w:r>
            <w:r>
              <w:rPr>
                <w:rStyle w:val="83"/>
                <w:rFonts w:hint="eastAsia"/>
                <w:color w:val="auto"/>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pPr>
              <w:jc w:val="center"/>
              <w:rPr>
                <w:rFonts w:ascii="宋体"/>
              </w:rPr>
            </w:pPr>
          </w:p>
        </w:tc>
        <w:tc>
          <w:tcPr>
            <w:tcW w:w="1127" w:type="dxa"/>
            <w:vMerge w:val="continue"/>
            <w:vAlign w:val="center"/>
          </w:tcPr>
          <w:p>
            <w:pPr>
              <w:jc w:val="center"/>
              <w:rPr>
                <w:rFonts w:ascii="宋体"/>
              </w:rPr>
            </w:pPr>
          </w:p>
        </w:tc>
        <w:tc>
          <w:tcPr>
            <w:tcW w:w="2380" w:type="dxa"/>
            <w:vAlign w:val="center"/>
          </w:tcPr>
          <w:p>
            <w:pPr>
              <w:widowControl/>
              <w:jc w:val="center"/>
              <w:textAlignment w:val="top"/>
              <w:rPr>
                <w:rFonts w:ascii="宋体"/>
              </w:rPr>
            </w:pPr>
            <w:r>
              <w:rPr>
                <w:rFonts w:hint="eastAsia" w:ascii="宋体" w:hAnsi="宋体" w:cs="宋体"/>
              </w:rPr>
              <w:t>报价唯一</w:t>
            </w:r>
          </w:p>
        </w:tc>
        <w:tc>
          <w:tcPr>
            <w:tcW w:w="4862" w:type="dxa"/>
            <w:vAlign w:val="center"/>
          </w:tcPr>
          <w:p>
            <w:pPr>
              <w:widowControl/>
              <w:textAlignment w:val="top"/>
            </w:pPr>
            <w:r>
              <w:rPr>
                <w:rFonts w:hint="eastAsia" w:cs="宋体"/>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pPr>
              <w:jc w:val="center"/>
              <w:rPr>
                <w:rFonts w:ascii="宋体"/>
              </w:rPr>
            </w:pPr>
          </w:p>
        </w:tc>
        <w:tc>
          <w:tcPr>
            <w:tcW w:w="1127" w:type="dxa"/>
            <w:vMerge w:val="continue"/>
            <w:vAlign w:val="center"/>
          </w:tcPr>
          <w:p>
            <w:pPr>
              <w:jc w:val="center"/>
              <w:rPr>
                <w:rFonts w:ascii="宋体"/>
              </w:rPr>
            </w:pPr>
          </w:p>
        </w:tc>
        <w:tc>
          <w:tcPr>
            <w:tcW w:w="2380" w:type="dxa"/>
            <w:vAlign w:val="center"/>
          </w:tcPr>
          <w:p>
            <w:pPr>
              <w:widowControl/>
              <w:jc w:val="center"/>
              <w:textAlignment w:val="top"/>
              <w:rPr>
                <w:rFonts w:ascii="宋体"/>
              </w:rPr>
            </w:pPr>
            <w:r>
              <w:rPr>
                <w:rFonts w:hint="eastAsia" w:ascii="宋体" w:hAnsi="宋体" w:cs="宋体"/>
              </w:rPr>
              <w:t>备选投标方案</w:t>
            </w:r>
          </w:p>
        </w:tc>
        <w:tc>
          <w:tcPr>
            <w:tcW w:w="4862" w:type="dxa"/>
            <w:vAlign w:val="center"/>
          </w:tcPr>
          <w:p>
            <w:pPr>
              <w:widowControl/>
              <w:textAlignment w:val="top"/>
              <w:rPr>
                <w:rFonts w:ascii="宋体"/>
              </w:rPr>
            </w:pPr>
            <w:r>
              <w:rPr>
                <w:rFonts w:hint="eastAsia" w:ascii="宋体" w:hAnsi="宋体" w:cs="宋体"/>
              </w:rPr>
              <w:t>除招标文件明确允许提交备选投标方案外，投标</w:t>
            </w:r>
          </w:p>
          <w:p>
            <w:pPr>
              <w:widowControl/>
              <w:textAlignment w:val="top"/>
              <w:rPr>
                <w:rFonts w:ascii="宋体"/>
              </w:rPr>
            </w:pPr>
            <w:r>
              <w:rPr>
                <w:rFonts w:hint="eastAsia" w:ascii="宋体" w:hAnsi="宋体" w:cs="宋体"/>
              </w:rPr>
              <w:t>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restart"/>
            <w:vAlign w:val="center"/>
          </w:tcPr>
          <w:p>
            <w:pPr>
              <w:jc w:val="center"/>
              <w:rPr>
                <w:rFonts w:ascii="宋体"/>
              </w:rPr>
            </w:pPr>
            <w:r>
              <w:rPr>
                <w:rFonts w:ascii="宋体" w:hAnsi="宋体" w:cs="宋体"/>
              </w:rPr>
              <w:t xml:space="preserve">2.1.2 </w:t>
            </w:r>
          </w:p>
        </w:tc>
        <w:tc>
          <w:tcPr>
            <w:tcW w:w="1127" w:type="dxa"/>
            <w:vMerge w:val="restart"/>
            <w:vAlign w:val="center"/>
          </w:tcPr>
          <w:p>
            <w:pPr>
              <w:jc w:val="center"/>
              <w:rPr>
                <w:rFonts w:ascii="宋体"/>
              </w:rPr>
            </w:pPr>
            <w:r>
              <w:rPr>
                <w:rFonts w:hint="eastAsia" w:ascii="宋体" w:hAnsi="宋体" w:cs="宋体"/>
              </w:rPr>
              <w:t>资格评审标准</w:t>
            </w:r>
          </w:p>
        </w:tc>
        <w:tc>
          <w:tcPr>
            <w:tcW w:w="2380" w:type="dxa"/>
            <w:vAlign w:val="center"/>
          </w:tcPr>
          <w:p>
            <w:pPr>
              <w:jc w:val="center"/>
              <w:rPr>
                <w:rFonts w:ascii="宋体"/>
              </w:rPr>
            </w:pPr>
            <w:r>
              <w:rPr>
                <w:rFonts w:hint="eastAsia" w:ascii="宋体" w:hAnsi="宋体" w:cs="宋体"/>
              </w:rPr>
              <w:t>营业执照</w:t>
            </w:r>
          </w:p>
        </w:tc>
        <w:tc>
          <w:tcPr>
            <w:tcW w:w="4862" w:type="dxa"/>
            <w:vAlign w:val="center"/>
          </w:tcPr>
          <w:p>
            <w:pPr>
              <w:jc w:val="left"/>
              <w:rPr>
                <w:rFonts w:ascii="宋体"/>
              </w:rPr>
            </w:pPr>
            <w:r>
              <w:rPr>
                <w:rFonts w:hint="eastAsia" w:ascii="宋体" w:hAnsi="宋体" w:cs="宋体"/>
              </w:rPr>
              <w:t>符合第二章“投标人须知”第</w:t>
            </w:r>
            <w:r>
              <w:rPr>
                <w:rFonts w:ascii="宋体" w:hAnsi="宋体" w:cs="宋体"/>
              </w:rPr>
              <w:t xml:space="preserve"> 3.5.1 </w:t>
            </w:r>
            <w:r>
              <w:rPr>
                <w:rFonts w:hint="eastAsia" w:ascii="宋体" w:hAnsi="宋体" w:cs="宋体"/>
              </w:rPr>
              <w:t>项规定，具备有效的营业执照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pPr>
              <w:jc w:val="center"/>
              <w:rPr>
                <w:rFonts w:ascii="宋体"/>
              </w:rPr>
            </w:pPr>
          </w:p>
        </w:tc>
        <w:tc>
          <w:tcPr>
            <w:tcW w:w="1127" w:type="dxa"/>
            <w:vMerge w:val="continue"/>
            <w:vAlign w:val="center"/>
          </w:tcPr>
          <w:p>
            <w:pPr>
              <w:jc w:val="center"/>
              <w:rPr>
                <w:rFonts w:ascii="宋体"/>
              </w:rPr>
            </w:pPr>
          </w:p>
        </w:tc>
        <w:tc>
          <w:tcPr>
            <w:tcW w:w="2380" w:type="dxa"/>
            <w:vAlign w:val="center"/>
          </w:tcPr>
          <w:p>
            <w:pPr>
              <w:widowControl/>
              <w:jc w:val="center"/>
              <w:textAlignment w:val="top"/>
              <w:rPr>
                <w:rFonts w:ascii="宋体"/>
              </w:rPr>
            </w:pPr>
            <w:r>
              <w:rPr>
                <w:rFonts w:hint="eastAsia" w:ascii="宋体" w:hAnsi="宋体" w:cs="宋体"/>
              </w:rPr>
              <w:t>资质要求</w:t>
            </w:r>
          </w:p>
        </w:tc>
        <w:tc>
          <w:tcPr>
            <w:tcW w:w="4862" w:type="dxa"/>
          </w:tcPr>
          <w:p>
            <w:pPr>
              <w:jc w:val="left"/>
              <w:rPr>
                <w:rFonts w:ascii="宋体"/>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 xml:space="preserve"> 1.4.1 </w:t>
            </w:r>
            <w:r>
              <w:rPr>
                <w:rFonts w:hint="eastAsia" w:ascii="宋体" w:hAnsi="宋体" w:cs="宋体"/>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pPr>
              <w:jc w:val="center"/>
              <w:rPr>
                <w:rFonts w:ascii="宋体"/>
              </w:rPr>
            </w:pPr>
          </w:p>
        </w:tc>
        <w:tc>
          <w:tcPr>
            <w:tcW w:w="1127" w:type="dxa"/>
            <w:vMerge w:val="continue"/>
            <w:vAlign w:val="center"/>
          </w:tcPr>
          <w:p>
            <w:pPr>
              <w:jc w:val="center"/>
              <w:rPr>
                <w:rFonts w:ascii="宋体"/>
              </w:rPr>
            </w:pPr>
          </w:p>
        </w:tc>
        <w:tc>
          <w:tcPr>
            <w:tcW w:w="2380" w:type="dxa"/>
            <w:vAlign w:val="center"/>
          </w:tcPr>
          <w:p>
            <w:pPr>
              <w:widowControl/>
              <w:jc w:val="center"/>
              <w:textAlignment w:val="top"/>
              <w:rPr>
                <w:rFonts w:ascii="宋体"/>
              </w:rPr>
            </w:pPr>
            <w:r>
              <w:rPr>
                <w:rFonts w:hint="eastAsia" w:ascii="宋体" w:hAnsi="宋体" w:cs="宋体"/>
              </w:rPr>
              <w:t>财务要求</w:t>
            </w:r>
          </w:p>
        </w:tc>
        <w:tc>
          <w:tcPr>
            <w:tcW w:w="4862" w:type="dxa"/>
          </w:tcPr>
          <w:p>
            <w:pPr>
              <w:jc w:val="left"/>
              <w:rPr>
                <w:rFonts w:ascii="宋体"/>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 xml:space="preserve"> 1.4.1 </w:t>
            </w:r>
            <w:r>
              <w:rPr>
                <w:rFonts w:hint="eastAsia" w:ascii="宋体" w:hAnsi="宋体" w:cs="宋体"/>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pPr>
              <w:jc w:val="center"/>
              <w:rPr>
                <w:rFonts w:ascii="宋体"/>
              </w:rPr>
            </w:pPr>
          </w:p>
        </w:tc>
        <w:tc>
          <w:tcPr>
            <w:tcW w:w="1127" w:type="dxa"/>
            <w:vMerge w:val="continue"/>
            <w:vAlign w:val="center"/>
          </w:tcPr>
          <w:p>
            <w:pPr>
              <w:jc w:val="center"/>
              <w:rPr>
                <w:rFonts w:ascii="宋体"/>
              </w:rPr>
            </w:pPr>
          </w:p>
        </w:tc>
        <w:tc>
          <w:tcPr>
            <w:tcW w:w="2380" w:type="dxa"/>
            <w:vAlign w:val="center"/>
          </w:tcPr>
          <w:p>
            <w:pPr>
              <w:widowControl/>
              <w:jc w:val="center"/>
              <w:textAlignment w:val="top"/>
              <w:rPr>
                <w:rFonts w:ascii="宋体"/>
              </w:rPr>
            </w:pPr>
            <w:r>
              <w:rPr>
                <w:rFonts w:hint="eastAsia" w:ascii="宋体" w:hAnsi="宋体" w:cs="宋体"/>
              </w:rPr>
              <w:t>业绩要求</w:t>
            </w:r>
          </w:p>
        </w:tc>
        <w:tc>
          <w:tcPr>
            <w:tcW w:w="4862" w:type="dxa"/>
          </w:tcPr>
          <w:p>
            <w:pPr>
              <w:jc w:val="left"/>
              <w:rPr>
                <w:rFonts w:ascii="宋体"/>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 xml:space="preserve"> 1.4.1 </w:t>
            </w:r>
            <w:r>
              <w:rPr>
                <w:rFonts w:hint="eastAsia" w:ascii="宋体" w:hAnsi="宋体" w:cs="宋体"/>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pPr>
              <w:jc w:val="center"/>
              <w:rPr>
                <w:rFonts w:ascii="宋体"/>
              </w:rPr>
            </w:pPr>
          </w:p>
        </w:tc>
        <w:tc>
          <w:tcPr>
            <w:tcW w:w="1127" w:type="dxa"/>
            <w:vMerge w:val="continue"/>
            <w:vAlign w:val="center"/>
          </w:tcPr>
          <w:p>
            <w:pPr>
              <w:jc w:val="center"/>
              <w:rPr>
                <w:rFonts w:ascii="宋体"/>
              </w:rPr>
            </w:pPr>
          </w:p>
        </w:tc>
        <w:tc>
          <w:tcPr>
            <w:tcW w:w="2380" w:type="dxa"/>
            <w:vAlign w:val="center"/>
          </w:tcPr>
          <w:p>
            <w:pPr>
              <w:widowControl/>
              <w:jc w:val="center"/>
              <w:textAlignment w:val="top"/>
              <w:rPr>
                <w:rFonts w:ascii="宋体"/>
              </w:rPr>
            </w:pPr>
            <w:r>
              <w:rPr>
                <w:rFonts w:hint="eastAsia" w:ascii="宋体" w:hAnsi="宋体" w:cs="宋体"/>
              </w:rPr>
              <w:t>项目经理要求</w:t>
            </w:r>
          </w:p>
        </w:tc>
        <w:tc>
          <w:tcPr>
            <w:tcW w:w="4862" w:type="dxa"/>
            <w:vAlign w:val="center"/>
          </w:tcPr>
          <w:p>
            <w:pPr>
              <w:widowControl/>
              <w:textAlignment w:val="top"/>
              <w:rPr>
                <w:rFonts w:ascii="宋体"/>
              </w:rPr>
            </w:pPr>
            <w:r>
              <w:rPr>
                <w:rFonts w:hint="eastAsia" w:ascii="宋体" w:hAnsi="宋体" w:cs="宋体"/>
              </w:rPr>
              <w:t>符合第二章</w:t>
            </w:r>
            <w:r>
              <w:rPr>
                <w:rStyle w:val="91"/>
                <w:rFonts w:hint="eastAsia" w:ascii="宋体" w:hAnsi="Calibri" w:cs="宋体"/>
                <w:color w:val="auto"/>
              </w:rPr>
              <w:t>“</w:t>
            </w:r>
            <w:r>
              <w:rPr>
                <w:rStyle w:val="83"/>
                <w:rFonts w:hint="eastAsia"/>
                <w:color w:val="auto"/>
              </w:rPr>
              <w:t>投标人须知</w:t>
            </w:r>
            <w:r>
              <w:rPr>
                <w:rStyle w:val="91"/>
                <w:rFonts w:hint="eastAsia" w:ascii="宋体" w:hAnsi="Calibri" w:cs="宋体"/>
                <w:color w:val="auto"/>
              </w:rPr>
              <w:t>”</w:t>
            </w:r>
            <w:r>
              <w:rPr>
                <w:rStyle w:val="83"/>
                <w:rFonts w:hint="eastAsia"/>
                <w:color w:val="auto"/>
              </w:rPr>
              <w:t>第</w:t>
            </w:r>
            <w:r>
              <w:rPr>
                <w:rStyle w:val="83"/>
                <w:color w:val="auto"/>
              </w:rPr>
              <w:t xml:space="preserve"> </w:t>
            </w:r>
            <w:r>
              <w:rPr>
                <w:rStyle w:val="91"/>
                <w:rFonts w:ascii="宋体" w:hAnsi="宋体" w:cs="宋体"/>
                <w:color w:val="auto"/>
              </w:rPr>
              <w:t xml:space="preserve">1.4.1 </w:t>
            </w:r>
            <w:r>
              <w:rPr>
                <w:rStyle w:val="83"/>
                <w:rFonts w:hint="eastAsia"/>
                <w:color w:val="auto"/>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pPr>
              <w:jc w:val="center"/>
              <w:rPr>
                <w:rFonts w:ascii="宋体"/>
              </w:rPr>
            </w:pPr>
          </w:p>
        </w:tc>
        <w:tc>
          <w:tcPr>
            <w:tcW w:w="1127" w:type="dxa"/>
            <w:vMerge w:val="continue"/>
            <w:vAlign w:val="center"/>
          </w:tcPr>
          <w:p>
            <w:pPr>
              <w:jc w:val="center"/>
              <w:rPr>
                <w:rFonts w:ascii="宋体"/>
              </w:rPr>
            </w:pPr>
          </w:p>
        </w:tc>
        <w:tc>
          <w:tcPr>
            <w:tcW w:w="2380" w:type="dxa"/>
            <w:vAlign w:val="center"/>
          </w:tcPr>
          <w:p>
            <w:pPr>
              <w:widowControl/>
              <w:jc w:val="center"/>
              <w:textAlignment w:val="top"/>
              <w:rPr>
                <w:rFonts w:ascii="宋体" w:hAnsi="宋体" w:cs="宋体"/>
              </w:rPr>
            </w:pPr>
            <w:r>
              <w:rPr>
                <w:rFonts w:hint="eastAsia" w:ascii="宋体" w:hAnsi="宋体" w:cs="宋体"/>
              </w:rPr>
              <w:t>设计负责人要求</w:t>
            </w:r>
          </w:p>
        </w:tc>
        <w:tc>
          <w:tcPr>
            <w:tcW w:w="4862" w:type="dxa"/>
            <w:vAlign w:val="center"/>
          </w:tcPr>
          <w:p>
            <w:pPr>
              <w:widowControl/>
              <w:textAlignment w:val="top"/>
              <w:rPr>
                <w:rFonts w:ascii="宋体" w:hAnsi="宋体" w:cs="宋体"/>
              </w:rPr>
            </w:pPr>
            <w:r>
              <w:rPr>
                <w:rFonts w:hint="eastAsia" w:ascii="宋体" w:hAnsi="宋体" w:cs="宋体"/>
              </w:rPr>
              <w:t>符合第二章</w:t>
            </w:r>
            <w:r>
              <w:rPr>
                <w:rStyle w:val="91"/>
                <w:rFonts w:hint="eastAsia" w:ascii="宋体" w:hAnsi="Calibri" w:cs="宋体"/>
                <w:color w:val="auto"/>
              </w:rPr>
              <w:t>“</w:t>
            </w:r>
            <w:r>
              <w:rPr>
                <w:rStyle w:val="83"/>
                <w:rFonts w:hint="eastAsia"/>
                <w:color w:val="auto"/>
              </w:rPr>
              <w:t>投标人须知</w:t>
            </w:r>
            <w:r>
              <w:rPr>
                <w:rStyle w:val="91"/>
                <w:rFonts w:hint="eastAsia" w:ascii="宋体" w:hAnsi="Calibri" w:cs="宋体"/>
                <w:color w:val="auto"/>
              </w:rPr>
              <w:t>”</w:t>
            </w:r>
            <w:r>
              <w:rPr>
                <w:rStyle w:val="83"/>
                <w:rFonts w:hint="eastAsia"/>
                <w:color w:val="auto"/>
              </w:rPr>
              <w:t>第</w:t>
            </w:r>
            <w:r>
              <w:rPr>
                <w:rStyle w:val="83"/>
                <w:color w:val="auto"/>
              </w:rPr>
              <w:t xml:space="preserve"> </w:t>
            </w:r>
            <w:r>
              <w:rPr>
                <w:rStyle w:val="91"/>
                <w:rFonts w:ascii="宋体" w:hAnsi="宋体" w:cs="宋体"/>
                <w:color w:val="auto"/>
              </w:rPr>
              <w:t xml:space="preserve">1.4.1 </w:t>
            </w:r>
            <w:r>
              <w:rPr>
                <w:rStyle w:val="83"/>
                <w:rFonts w:hint="eastAsia"/>
                <w:color w:val="auto"/>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pPr>
              <w:jc w:val="center"/>
              <w:rPr>
                <w:rFonts w:ascii="宋体"/>
              </w:rPr>
            </w:pPr>
          </w:p>
        </w:tc>
        <w:tc>
          <w:tcPr>
            <w:tcW w:w="1127" w:type="dxa"/>
            <w:vMerge w:val="continue"/>
            <w:vAlign w:val="center"/>
          </w:tcPr>
          <w:p>
            <w:pPr>
              <w:jc w:val="center"/>
              <w:rPr>
                <w:rFonts w:ascii="宋体"/>
              </w:rPr>
            </w:pPr>
          </w:p>
        </w:tc>
        <w:tc>
          <w:tcPr>
            <w:tcW w:w="2380" w:type="dxa"/>
            <w:vAlign w:val="center"/>
          </w:tcPr>
          <w:p>
            <w:pPr>
              <w:widowControl/>
              <w:jc w:val="center"/>
              <w:textAlignment w:val="top"/>
              <w:rPr>
                <w:rFonts w:ascii="宋体"/>
              </w:rPr>
            </w:pPr>
            <w:r>
              <w:rPr>
                <w:rFonts w:hint="eastAsia" w:ascii="宋体" w:hAnsi="宋体" w:cs="宋体"/>
              </w:rPr>
              <w:t>联合体投标人</w:t>
            </w:r>
          </w:p>
        </w:tc>
        <w:tc>
          <w:tcPr>
            <w:tcW w:w="4862" w:type="dxa"/>
            <w:vAlign w:val="center"/>
          </w:tcPr>
          <w:p>
            <w:pPr>
              <w:widowControl/>
              <w:textAlignment w:val="top"/>
              <w:rPr>
                <w:rFonts w:ascii="宋体"/>
              </w:rPr>
            </w:pPr>
            <w:r>
              <w:rPr>
                <w:rFonts w:hint="eastAsia" w:ascii="宋体" w:hAnsi="宋体" w:cs="宋体"/>
              </w:rPr>
              <w:t>符合第二章</w:t>
            </w:r>
            <w:r>
              <w:rPr>
                <w:rStyle w:val="91"/>
                <w:rFonts w:hint="eastAsia" w:ascii="宋体" w:hAnsi="Calibri" w:cs="宋体"/>
                <w:color w:val="auto"/>
              </w:rPr>
              <w:t>“</w:t>
            </w:r>
            <w:r>
              <w:rPr>
                <w:rStyle w:val="83"/>
                <w:rFonts w:hint="eastAsia"/>
                <w:color w:val="auto"/>
              </w:rPr>
              <w:t>投标人须知</w:t>
            </w:r>
            <w:r>
              <w:rPr>
                <w:rStyle w:val="91"/>
                <w:rFonts w:hint="eastAsia" w:ascii="宋体" w:hAnsi="Calibri" w:cs="宋体"/>
                <w:color w:val="auto"/>
              </w:rPr>
              <w:t>”</w:t>
            </w:r>
            <w:r>
              <w:rPr>
                <w:rStyle w:val="83"/>
                <w:rFonts w:hint="eastAsia"/>
                <w:color w:val="auto"/>
              </w:rPr>
              <w:t>第</w:t>
            </w:r>
            <w:r>
              <w:rPr>
                <w:rStyle w:val="83"/>
                <w:color w:val="auto"/>
              </w:rPr>
              <w:t xml:space="preserve"> </w:t>
            </w:r>
            <w:r>
              <w:rPr>
                <w:rStyle w:val="91"/>
                <w:rFonts w:ascii="宋体" w:hAnsi="宋体" w:cs="宋体"/>
                <w:color w:val="auto"/>
              </w:rPr>
              <w:t xml:space="preserve">1.4.2 </w:t>
            </w:r>
            <w:r>
              <w:rPr>
                <w:rStyle w:val="83"/>
                <w:rFonts w:hint="eastAsia"/>
                <w:color w:val="auto"/>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pPr>
              <w:jc w:val="center"/>
              <w:rPr>
                <w:rFonts w:ascii="宋体"/>
              </w:rPr>
            </w:pPr>
          </w:p>
        </w:tc>
        <w:tc>
          <w:tcPr>
            <w:tcW w:w="1127" w:type="dxa"/>
            <w:vMerge w:val="continue"/>
            <w:vAlign w:val="center"/>
          </w:tcPr>
          <w:p>
            <w:pPr>
              <w:jc w:val="center"/>
              <w:rPr>
                <w:rFonts w:ascii="宋体"/>
              </w:rPr>
            </w:pPr>
          </w:p>
        </w:tc>
        <w:tc>
          <w:tcPr>
            <w:tcW w:w="2380" w:type="dxa"/>
            <w:vAlign w:val="center"/>
          </w:tcPr>
          <w:p>
            <w:pPr>
              <w:widowControl/>
              <w:jc w:val="center"/>
              <w:textAlignment w:val="top"/>
              <w:rPr>
                <w:rFonts w:ascii="宋体"/>
              </w:rPr>
            </w:pPr>
            <w:r>
              <w:rPr>
                <w:rFonts w:hint="eastAsia" w:ascii="宋体" w:hAnsi="宋体" w:cs="宋体"/>
              </w:rPr>
              <w:t>不存在禁止投标的情形</w:t>
            </w:r>
          </w:p>
        </w:tc>
        <w:tc>
          <w:tcPr>
            <w:tcW w:w="4862" w:type="dxa"/>
            <w:vAlign w:val="center"/>
          </w:tcPr>
          <w:p>
            <w:pPr>
              <w:widowControl/>
              <w:textAlignment w:val="top"/>
              <w:rPr>
                <w:rFonts w:ascii="宋体"/>
              </w:rPr>
            </w:pPr>
            <w:r>
              <w:rPr>
                <w:rFonts w:hint="eastAsia" w:ascii="宋体" w:hAnsi="宋体" w:cs="宋体"/>
              </w:rPr>
              <w:t>不存在第二章</w:t>
            </w:r>
            <w:r>
              <w:rPr>
                <w:rStyle w:val="91"/>
                <w:rFonts w:hint="eastAsia" w:ascii="宋体" w:hAnsi="Calibri" w:cs="宋体"/>
                <w:color w:val="auto"/>
              </w:rPr>
              <w:t>“</w:t>
            </w:r>
            <w:r>
              <w:rPr>
                <w:rStyle w:val="83"/>
                <w:rFonts w:hint="eastAsia"/>
                <w:color w:val="auto"/>
              </w:rPr>
              <w:t>投标人须知</w:t>
            </w:r>
            <w:r>
              <w:rPr>
                <w:rStyle w:val="91"/>
                <w:rFonts w:hint="eastAsia" w:ascii="宋体" w:hAnsi="Calibri" w:cs="宋体"/>
                <w:color w:val="auto"/>
              </w:rPr>
              <w:t>”</w:t>
            </w:r>
            <w:r>
              <w:rPr>
                <w:rStyle w:val="83"/>
                <w:rFonts w:hint="eastAsia"/>
                <w:color w:val="auto"/>
              </w:rPr>
              <w:t>第</w:t>
            </w:r>
            <w:r>
              <w:rPr>
                <w:rStyle w:val="83"/>
                <w:color w:val="auto"/>
              </w:rPr>
              <w:t xml:space="preserve"> </w:t>
            </w:r>
            <w:r>
              <w:rPr>
                <w:rStyle w:val="91"/>
                <w:rFonts w:ascii="宋体" w:hAnsi="宋体" w:cs="宋体"/>
                <w:color w:val="auto"/>
              </w:rPr>
              <w:t xml:space="preserve">1.4.3 </w:t>
            </w:r>
            <w:r>
              <w:rPr>
                <w:rStyle w:val="83"/>
                <w:rFonts w:hint="eastAsia"/>
                <w:color w:val="auto"/>
              </w:rPr>
              <w:t>项规定的任何</w:t>
            </w:r>
            <w:r>
              <w:rPr>
                <w:rFonts w:hint="eastAsia" w:ascii="宋体" w:hAnsi="宋体" w:cs="宋体"/>
              </w:rPr>
              <w:t>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restart"/>
            <w:vAlign w:val="center"/>
          </w:tcPr>
          <w:p>
            <w:pPr>
              <w:jc w:val="center"/>
              <w:rPr>
                <w:rFonts w:ascii="宋体"/>
              </w:rPr>
            </w:pPr>
            <w:r>
              <w:rPr>
                <w:rFonts w:ascii="宋体" w:hAnsi="宋体" w:cs="宋体"/>
              </w:rPr>
              <w:t>2.1.3</w:t>
            </w:r>
          </w:p>
        </w:tc>
        <w:tc>
          <w:tcPr>
            <w:tcW w:w="1127" w:type="dxa"/>
            <w:vMerge w:val="restart"/>
            <w:vAlign w:val="center"/>
          </w:tcPr>
          <w:p>
            <w:pPr>
              <w:jc w:val="center"/>
              <w:rPr>
                <w:rFonts w:ascii="宋体"/>
              </w:rPr>
            </w:pPr>
            <w:r>
              <w:rPr>
                <w:rFonts w:hint="eastAsia" w:ascii="宋体" w:hAnsi="宋体" w:cs="宋体"/>
              </w:rPr>
              <w:t>响应性评审标准</w:t>
            </w:r>
          </w:p>
        </w:tc>
        <w:tc>
          <w:tcPr>
            <w:tcW w:w="2380" w:type="dxa"/>
            <w:vAlign w:val="center"/>
          </w:tcPr>
          <w:p>
            <w:pPr>
              <w:widowControl/>
              <w:jc w:val="center"/>
              <w:textAlignment w:val="top"/>
              <w:rPr>
                <w:rFonts w:ascii="宋体"/>
              </w:rPr>
            </w:pPr>
            <w:r>
              <w:rPr>
                <w:rFonts w:hint="eastAsia" w:ascii="宋体" w:hAnsi="宋体" w:cs="宋体"/>
              </w:rPr>
              <w:t>投标报价</w:t>
            </w:r>
          </w:p>
        </w:tc>
        <w:tc>
          <w:tcPr>
            <w:tcW w:w="4862" w:type="dxa"/>
            <w:vAlign w:val="center"/>
          </w:tcPr>
          <w:p>
            <w:pPr>
              <w:widowControl/>
              <w:textAlignment w:val="top"/>
              <w:rPr>
                <w:rFonts w:ascii="宋体"/>
              </w:rPr>
            </w:pPr>
            <w:r>
              <w:rPr>
                <w:rFonts w:hint="eastAsia" w:ascii="宋体" w:hAnsi="宋体" w:cs="宋体"/>
              </w:rPr>
              <w:t>符合第二章</w:t>
            </w:r>
            <w:r>
              <w:rPr>
                <w:rStyle w:val="91"/>
                <w:rFonts w:hint="eastAsia" w:ascii="宋体" w:hAnsi="Calibri" w:cs="宋体"/>
                <w:color w:val="auto"/>
              </w:rPr>
              <w:t>“</w:t>
            </w:r>
            <w:r>
              <w:rPr>
                <w:rStyle w:val="83"/>
                <w:rFonts w:hint="eastAsia"/>
                <w:color w:val="auto"/>
              </w:rPr>
              <w:t>投标人须知</w:t>
            </w:r>
            <w:r>
              <w:rPr>
                <w:rStyle w:val="91"/>
                <w:rFonts w:hint="eastAsia" w:ascii="宋体" w:hAnsi="Calibri" w:cs="宋体"/>
                <w:color w:val="auto"/>
              </w:rPr>
              <w:t>”</w:t>
            </w:r>
            <w:r>
              <w:rPr>
                <w:rStyle w:val="83"/>
                <w:rFonts w:hint="eastAsia"/>
                <w:color w:val="auto"/>
              </w:rPr>
              <w:t>第</w:t>
            </w:r>
            <w:r>
              <w:rPr>
                <w:rStyle w:val="83"/>
                <w:color w:val="auto"/>
              </w:rPr>
              <w:t xml:space="preserve"> </w:t>
            </w:r>
            <w:r>
              <w:rPr>
                <w:rStyle w:val="91"/>
                <w:rFonts w:ascii="宋体" w:hAnsi="宋体" w:cs="宋体"/>
                <w:color w:val="auto"/>
              </w:rPr>
              <w:t xml:space="preserve">3.2 </w:t>
            </w:r>
            <w:r>
              <w:rPr>
                <w:rStyle w:val="83"/>
                <w:rFonts w:hint="eastAsia"/>
                <w:color w:val="auto"/>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pPr>
              <w:jc w:val="center"/>
              <w:rPr>
                <w:rFonts w:ascii="宋体"/>
              </w:rPr>
            </w:pPr>
          </w:p>
        </w:tc>
        <w:tc>
          <w:tcPr>
            <w:tcW w:w="1127" w:type="dxa"/>
            <w:vMerge w:val="continue"/>
            <w:vAlign w:val="center"/>
          </w:tcPr>
          <w:p>
            <w:pPr>
              <w:jc w:val="center"/>
              <w:rPr>
                <w:rFonts w:ascii="宋体"/>
              </w:rPr>
            </w:pPr>
          </w:p>
        </w:tc>
        <w:tc>
          <w:tcPr>
            <w:tcW w:w="2380" w:type="dxa"/>
            <w:vAlign w:val="center"/>
          </w:tcPr>
          <w:p>
            <w:pPr>
              <w:widowControl/>
              <w:jc w:val="center"/>
              <w:textAlignment w:val="top"/>
              <w:rPr>
                <w:rFonts w:ascii="宋体"/>
              </w:rPr>
            </w:pPr>
            <w:r>
              <w:rPr>
                <w:rFonts w:hint="eastAsia" w:ascii="宋体" w:hAnsi="宋体" w:cs="宋体"/>
              </w:rPr>
              <w:t>投标内容</w:t>
            </w:r>
          </w:p>
        </w:tc>
        <w:tc>
          <w:tcPr>
            <w:tcW w:w="4862" w:type="dxa"/>
            <w:vAlign w:val="center"/>
          </w:tcPr>
          <w:p>
            <w:pPr>
              <w:widowControl/>
              <w:textAlignment w:val="top"/>
              <w:rPr>
                <w:rFonts w:ascii="宋体"/>
              </w:rPr>
            </w:pPr>
            <w:r>
              <w:rPr>
                <w:rFonts w:hint="eastAsia" w:ascii="宋体" w:hAnsi="宋体" w:cs="宋体"/>
              </w:rPr>
              <w:t>符合第二章</w:t>
            </w:r>
            <w:r>
              <w:rPr>
                <w:rStyle w:val="91"/>
                <w:rFonts w:hint="eastAsia" w:ascii="宋体" w:hAnsi="Calibri" w:cs="宋体"/>
                <w:color w:val="auto"/>
              </w:rPr>
              <w:t>“</w:t>
            </w:r>
            <w:r>
              <w:rPr>
                <w:rStyle w:val="83"/>
                <w:rFonts w:hint="eastAsia"/>
                <w:color w:val="auto"/>
              </w:rPr>
              <w:t>投标人须知</w:t>
            </w:r>
            <w:r>
              <w:rPr>
                <w:rStyle w:val="91"/>
                <w:rFonts w:hint="eastAsia" w:ascii="宋体" w:hAnsi="Calibri" w:cs="宋体"/>
                <w:color w:val="auto"/>
              </w:rPr>
              <w:t>”</w:t>
            </w:r>
            <w:r>
              <w:rPr>
                <w:rStyle w:val="83"/>
                <w:rFonts w:hint="eastAsia"/>
                <w:color w:val="auto"/>
              </w:rPr>
              <w:t>第</w:t>
            </w:r>
            <w:r>
              <w:rPr>
                <w:rStyle w:val="83"/>
                <w:color w:val="auto"/>
              </w:rPr>
              <w:t xml:space="preserve"> </w:t>
            </w:r>
            <w:r>
              <w:rPr>
                <w:rStyle w:val="91"/>
                <w:rFonts w:ascii="宋体" w:hAnsi="宋体" w:cs="宋体"/>
                <w:color w:val="auto"/>
              </w:rPr>
              <w:t xml:space="preserve">1.3.1 </w:t>
            </w:r>
            <w:r>
              <w:rPr>
                <w:rStyle w:val="83"/>
                <w:rFonts w:hint="eastAsia"/>
                <w:color w:val="auto"/>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pPr>
              <w:jc w:val="center"/>
              <w:rPr>
                <w:rFonts w:ascii="宋体"/>
              </w:rPr>
            </w:pPr>
          </w:p>
        </w:tc>
        <w:tc>
          <w:tcPr>
            <w:tcW w:w="1127" w:type="dxa"/>
            <w:vMerge w:val="continue"/>
            <w:vAlign w:val="center"/>
          </w:tcPr>
          <w:p>
            <w:pPr>
              <w:jc w:val="center"/>
              <w:rPr>
                <w:rFonts w:ascii="宋体"/>
              </w:rPr>
            </w:pPr>
          </w:p>
        </w:tc>
        <w:tc>
          <w:tcPr>
            <w:tcW w:w="2380" w:type="dxa"/>
            <w:vAlign w:val="center"/>
          </w:tcPr>
          <w:p>
            <w:pPr>
              <w:widowControl/>
              <w:jc w:val="center"/>
              <w:textAlignment w:val="top"/>
              <w:rPr>
                <w:rFonts w:ascii="宋体"/>
              </w:rPr>
            </w:pPr>
            <w:r>
              <w:rPr>
                <w:rFonts w:hint="eastAsia" w:ascii="宋体" w:hAnsi="宋体" w:cs="宋体"/>
              </w:rPr>
              <w:t>工期</w:t>
            </w:r>
          </w:p>
        </w:tc>
        <w:tc>
          <w:tcPr>
            <w:tcW w:w="4862" w:type="dxa"/>
            <w:vAlign w:val="center"/>
          </w:tcPr>
          <w:p>
            <w:pPr>
              <w:widowControl/>
              <w:textAlignment w:val="top"/>
              <w:rPr>
                <w:rFonts w:ascii="宋体"/>
              </w:rPr>
            </w:pPr>
            <w:r>
              <w:rPr>
                <w:rFonts w:hint="eastAsia" w:cs="宋体"/>
              </w:rPr>
              <w:t>符合第二章“投标人须知”第</w:t>
            </w:r>
            <w:r>
              <w:rPr>
                <w:rStyle w:val="91"/>
                <w:rFonts w:ascii="宋体" w:hAnsi="宋体" w:cs="宋体"/>
                <w:color w:val="auto"/>
              </w:rPr>
              <w:t>1.3.2</w:t>
            </w:r>
            <w:r>
              <w:rPr>
                <w:rFonts w:hint="eastAsia" w:cs="宋体"/>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4" w:type="dxa"/>
            <w:vMerge w:val="continue"/>
            <w:vAlign w:val="center"/>
          </w:tcPr>
          <w:p>
            <w:pPr>
              <w:jc w:val="center"/>
              <w:rPr>
                <w:rFonts w:ascii="宋体"/>
              </w:rPr>
            </w:pPr>
          </w:p>
        </w:tc>
        <w:tc>
          <w:tcPr>
            <w:tcW w:w="1127" w:type="dxa"/>
            <w:vMerge w:val="continue"/>
            <w:vAlign w:val="center"/>
          </w:tcPr>
          <w:p>
            <w:pPr>
              <w:jc w:val="center"/>
              <w:rPr>
                <w:rFonts w:ascii="宋体"/>
              </w:rPr>
            </w:pPr>
          </w:p>
        </w:tc>
        <w:tc>
          <w:tcPr>
            <w:tcW w:w="2380" w:type="dxa"/>
            <w:vAlign w:val="center"/>
          </w:tcPr>
          <w:p>
            <w:pPr>
              <w:widowControl/>
              <w:jc w:val="center"/>
              <w:textAlignment w:val="top"/>
              <w:rPr>
                <w:rFonts w:ascii="宋体"/>
              </w:rPr>
            </w:pPr>
            <w:r>
              <w:rPr>
                <w:rFonts w:hint="eastAsia" w:ascii="宋体" w:hAnsi="宋体" w:cs="宋体"/>
              </w:rPr>
              <w:t>质量标准</w:t>
            </w:r>
          </w:p>
        </w:tc>
        <w:tc>
          <w:tcPr>
            <w:tcW w:w="4862" w:type="dxa"/>
            <w:vAlign w:val="center"/>
          </w:tcPr>
          <w:p>
            <w:pPr>
              <w:widowControl/>
              <w:textAlignment w:val="top"/>
              <w:rPr>
                <w:rFonts w:ascii="宋体"/>
              </w:rPr>
            </w:pPr>
            <w:r>
              <w:rPr>
                <w:rFonts w:hint="eastAsia" w:ascii="宋体" w:hAnsi="宋体" w:cs="宋体"/>
              </w:rPr>
              <w:t>符合第二章</w:t>
            </w:r>
            <w:r>
              <w:rPr>
                <w:rStyle w:val="91"/>
                <w:rFonts w:hint="eastAsia" w:ascii="宋体" w:hAnsi="Calibri" w:cs="宋体"/>
                <w:color w:val="auto"/>
              </w:rPr>
              <w:t>“</w:t>
            </w:r>
            <w:r>
              <w:rPr>
                <w:rStyle w:val="83"/>
                <w:rFonts w:hint="eastAsia"/>
                <w:color w:val="auto"/>
              </w:rPr>
              <w:t>投标人须知</w:t>
            </w:r>
            <w:r>
              <w:rPr>
                <w:rStyle w:val="91"/>
                <w:rFonts w:hint="eastAsia" w:ascii="宋体" w:hAnsi="Calibri" w:cs="宋体"/>
                <w:color w:val="auto"/>
              </w:rPr>
              <w:t>”</w:t>
            </w:r>
            <w:r>
              <w:rPr>
                <w:rStyle w:val="83"/>
                <w:rFonts w:hint="eastAsia"/>
                <w:color w:val="auto"/>
              </w:rPr>
              <w:t>第</w:t>
            </w:r>
            <w:r>
              <w:rPr>
                <w:rStyle w:val="83"/>
                <w:color w:val="auto"/>
              </w:rPr>
              <w:t xml:space="preserve"> </w:t>
            </w:r>
            <w:r>
              <w:rPr>
                <w:rStyle w:val="91"/>
                <w:rFonts w:ascii="宋体" w:hAnsi="宋体" w:cs="宋体"/>
                <w:color w:val="auto"/>
              </w:rPr>
              <w:t xml:space="preserve">1.3.3 </w:t>
            </w:r>
            <w:r>
              <w:rPr>
                <w:rStyle w:val="83"/>
                <w:rFonts w:hint="eastAsia"/>
                <w:color w:val="auto"/>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pPr>
              <w:jc w:val="center"/>
              <w:rPr>
                <w:rFonts w:ascii="宋体"/>
              </w:rPr>
            </w:pPr>
          </w:p>
        </w:tc>
        <w:tc>
          <w:tcPr>
            <w:tcW w:w="1127" w:type="dxa"/>
            <w:vMerge w:val="continue"/>
            <w:vAlign w:val="center"/>
          </w:tcPr>
          <w:p>
            <w:pPr>
              <w:jc w:val="center"/>
              <w:rPr>
                <w:rFonts w:ascii="宋体"/>
              </w:rPr>
            </w:pPr>
          </w:p>
        </w:tc>
        <w:tc>
          <w:tcPr>
            <w:tcW w:w="2380" w:type="dxa"/>
            <w:vAlign w:val="center"/>
          </w:tcPr>
          <w:p>
            <w:pPr>
              <w:widowControl/>
              <w:jc w:val="center"/>
              <w:textAlignment w:val="top"/>
              <w:rPr>
                <w:rFonts w:ascii="宋体"/>
              </w:rPr>
            </w:pPr>
            <w:r>
              <w:rPr>
                <w:rFonts w:hint="eastAsia" w:ascii="宋体" w:hAnsi="宋体" w:cs="宋体"/>
              </w:rPr>
              <w:t>投标有效期</w:t>
            </w:r>
          </w:p>
        </w:tc>
        <w:tc>
          <w:tcPr>
            <w:tcW w:w="4862" w:type="dxa"/>
            <w:vAlign w:val="center"/>
          </w:tcPr>
          <w:p>
            <w:pPr>
              <w:widowControl/>
              <w:textAlignment w:val="top"/>
              <w:rPr>
                <w:rFonts w:ascii="宋体"/>
              </w:rPr>
            </w:pPr>
            <w:r>
              <w:rPr>
                <w:rFonts w:hint="eastAsia" w:ascii="宋体" w:hAnsi="宋体" w:cs="宋体"/>
              </w:rPr>
              <w:t>符合第二章</w:t>
            </w:r>
            <w:r>
              <w:rPr>
                <w:rStyle w:val="91"/>
                <w:rFonts w:hint="eastAsia" w:ascii="宋体" w:hAnsi="Calibri" w:cs="宋体"/>
                <w:color w:val="auto"/>
              </w:rPr>
              <w:t>“</w:t>
            </w:r>
            <w:r>
              <w:rPr>
                <w:rStyle w:val="83"/>
                <w:rFonts w:hint="eastAsia"/>
                <w:color w:val="auto"/>
              </w:rPr>
              <w:t>投标人须知</w:t>
            </w:r>
            <w:r>
              <w:rPr>
                <w:rStyle w:val="91"/>
                <w:rFonts w:hint="eastAsia" w:ascii="宋体" w:hAnsi="Calibri" w:cs="宋体"/>
                <w:color w:val="auto"/>
              </w:rPr>
              <w:t>”</w:t>
            </w:r>
            <w:r>
              <w:rPr>
                <w:rStyle w:val="83"/>
                <w:rFonts w:hint="eastAsia"/>
                <w:color w:val="auto"/>
              </w:rPr>
              <w:t>第</w:t>
            </w:r>
            <w:r>
              <w:rPr>
                <w:rStyle w:val="83"/>
                <w:color w:val="auto"/>
              </w:rPr>
              <w:t xml:space="preserve"> </w:t>
            </w:r>
            <w:r>
              <w:rPr>
                <w:rStyle w:val="91"/>
                <w:rFonts w:ascii="宋体" w:hAnsi="宋体" w:cs="宋体"/>
                <w:color w:val="auto"/>
              </w:rPr>
              <w:t xml:space="preserve">3.3.1 </w:t>
            </w:r>
            <w:r>
              <w:rPr>
                <w:rStyle w:val="83"/>
                <w:rFonts w:hint="eastAsia"/>
                <w:color w:val="auto"/>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pPr>
              <w:jc w:val="center"/>
              <w:rPr>
                <w:rFonts w:ascii="宋体"/>
              </w:rPr>
            </w:pPr>
          </w:p>
        </w:tc>
        <w:tc>
          <w:tcPr>
            <w:tcW w:w="1127" w:type="dxa"/>
            <w:vMerge w:val="continue"/>
            <w:vAlign w:val="center"/>
          </w:tcPr>
          <w:p>
            <w:pPr>
              <w:jc w:val="center"/>
              <w:rPr>
                <w:rFonts w:ascii="宋体"/>
              </w:rPr>
            </w:pPr>
          </w:p>
        </w:tc>
        <w:tc>
          <w:tcPr>
            <w:tcW w:w="2380" w:type="dxa"/>
            <w:vAlign w:val="center"/>
          </w:tcPr>
          <w:p>
            <w:pPr>
              <w:widowControl/>
              <w:jc w:val="center"/>
              <w:textAlignment w:val="top"/>
              <w:rPr>
                <w:rFonts w:ascii="宋体"/>
              </w:rPr>
            </w:pPr>
            <w:r>
              <w:rPr>
                <w:rFonts w:hint="eastAsia" w:ascii="宋体" w:hAnsi="宋体" w:cs="宋体"/>
              </w:rPr>
              <w:t>投标保证金</w:t>
            </w:r>
          </w:p>
        </w:tc>
        <w:tc>
          <w:tcPr>
            <w:tcW w:w="4862" w:type="dxa"/>
            <w:vAlign w:val="center"/>
          </w:tcPr>
          <w:p>
            <w:pPr>
              <w:widowControl/>
              <w:textAlignment w:val="top"/>
              <w:rPr>
                <w:rFonts w:ascii="宋体"/>
              </w:rPr>
            </w:pPr>
            <w:r>
              <w:rPr>
                <w:rFonts w:hint="eastAsia" w:ascii="宋体" w:hAnsi="宋体" w:cs="宋体"/>
              </w:rPr>
              <w:t>符合第二章</w:t>
            </w:r>
            <w:r>
              <w:rPr>
                <w:rStyle w:val="91"/>
                <w:rFonts w:hint="eastAsia" w:ascii="宋体" w:hAnsi="Calibri" w:cs="宋体"/>
                <w:color w:val="auto"/>
              </w:rPr>
              <w:t>“</w:t>
            </w:r>
            <w:r>
              <w:rPr>
                <w:rStyle w:val="83"/>
                <w:rFonts w:hint="eastAsia"/>
                <w:color w:val="auto"/>
              </w:rPr>
              <w:t>投标人须知</w:t>
            </w:r>
            <w:r>
              <w:rPr>
                <w:rStyle w:val="91"/>
                <w:rFonts w:hint="eastAsia" w:ascii="宋体" w:hAnsi="Calibri" w:cs="宋体"/>
                <w:color w:val="auto"/>
              </w:rPr>
              <w:t>”</w:t>
            </w:r>
            <w:r>
              <w:rPr>
                <w:rStyle w:val="83"/>
                <w:rFonts w:hint="eastAsia"/>
                <w:color w:val="auto"/>
              </w:rPr>
              <w:t>第</w:t>
            </w:r>
            <w:r>
              <w:rPr>
                <w:rStyle w:val="83"/>
                <w:color w:val="auto"/>
              </w:rPr>
              <w:t xml:space="preserve"> </w:t>
            </w:r>
            <w:r>
              <w:rPr>
                <w:rStyle w:val="91"/>
                <w:rFonts w:ascii="宋体" w:hAnsi="宋体" w:cs="宋体"/>
                <w:color w:val="auto"/>
              </w:rPr>
              <w:t xml:space="preserve">3.4.1 </w:t>
            </w:r>
            <w:r>
              <w:rPr>
                <w:rStyle w:val="83"/>
                <w:rFonts w:hint="eastAsia"/>
                <w:color w:val="auto"/>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vMerge w:val="continue"/>
            <w:vAlign w:val="center"/>
          </w:tcPr>
          <w:p>
            <w:pPr>
              <w:jc w:val="center"/>
              <w:rPr>
                <w:rFonts w:ascii="宋体"/>
              </w:rPr>
            </w:pPr>
          </w:p>
        </w:tc>
        <w:tc>
          <w:tcPr>
            <w:tcW w:w="1127" w:type="dxa"/>
            <w:vMerge w:val="continue"/>
            <w:vAlign w:val="center"/>
          </w:tcPr>
          <w:p>
            <w:pPr>
              <w:jc w:val="center"/>
              <w:rPr>
                <w:rFonts w:ascii="宋体"/>
              </w:rPr>
            </w:pPr>
          </w:p>
        </w:tc>
        <w:tc>
          <w:tcPr>
            <w:tcW w:w="2380" w:type="dxa"/>
            <w:vAlign w:val="center"/>
          </w:tcPr>
          <w:p>
            <w:pPr>
              <w:widowControl/>
              <w:jc w:val="center"/>
              <w:textAlignment w:val="top"/>
              <w:rPr>
                <w:rFonts w:ascii="宋体"/>
              </w:rPr>
            </w:pPr>
            <w:r>
              <w:rPr>
                <w:rFonts w:hint="eastAsia" w:ascii="宋体" w:hAnsi="宋体" w:cs="宋体"/>
              </w:rPr>
              <w:t>权利义务</w:t>
            </w:r>
          </w:p>
        </w:tc>
        <w:tc>
          <w:tcPr>
            <w:tcW w:w="4862" w:type="dxa"/>
            <w:vAlign w:val="center"/>
          </w:tcPr>
          <w:p>
            <w:pPr>
              <w:widowControl/>
              <w:textAlignment w:val="top"/>
              <w:rPr>
                <w:rFonts w:ascii="宋体"/>
              </w:rPr>
            </w:pPr>
            <w:r>
              <w:rPr>
                <w:rFonts w:hint="eastAsia" w:ascii="宋体" w:hAnsi="宋体" w:cs="宋体"/>
              </w:rPr>
              <w:t>符合</w:t>
            </w:r>
            <w:r>
              <w:rPr>
                <w:rStyle w:val="83"/>
                <w:rFonts w:hint="eastAsia"/>
                <w:color w:val="auto"/>
              </w:rPr>
              <w:t>第四章</w:t>
            </w:r>
            <w:r>
              <w:rPr>
                <w:rStyle w:val="91"/>
                <w:rFonts w:hint="eastAsia" w:ascii="宋体" w:hAnsi="Calibri" w:cs="宋体"/>
                <w:color w:val="auto"/>
              </w:rPr>
              <w:t>“</w:t>
            </w:r>
            <w:r>
              <w:rPr>
                <w:rStyle w:val="83"/>
                <w:rFonts w:hint="eastAsia"/>
                <w:color w:val="auto"/>
              </w:rPr>
              <w:t>合同条款及格式</w:t>
            </w:r>
            <w:r>
              <w:rPr>
                <w:rStyle w:val="91"/>
                <w:rFonts w:hint="eastAsia" w:ascii="宋体" w:hAnsi="Calibri" w:cs="宋体"/>
                <w:color w:val="auto"/>
              </w:rPr>
              <w:t>”</w:t>
            </w:r>
            <w:r>
              <w:rPr>
                <w:rStyle w:val="83"/>
                <w:rFonts w:hint="eastAsia"/>
                <w:color w:val="auto"/>
              </w:rPr>
              <w:t>中的实质性要求和条件</w:t>
            </w:r>
          </w:p>
        </w:tc>
      </w:tr>
    </w:tbl>
    <w:p>
      <w:pPr>
        <w:rPr>
          <w:rFonts w:ascii="宋体"/>
        </w:rPr>
      </w:pPr>
    </w:p>
    <w:p>
      <w:pPr>
        <w:rPr>
          <w:rFonts w:ascii="宋体"/>
        </w:rPr>
      </w:pPr>
    </w:p>
    <w:p>
      <w:pPr>
        <w:rPr>
          <w:rFonts w:ascii="宋体"/>
        </w:rPr>
      </w:pPr>
    </w:p>
    <w:tbl>
      <w:tblPr>
        <w:tblStyle w:val="37"/>
        <w:tblW w:w="941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2371"/>
        <w:gridCol w:w="5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jc w:val="center"/>
              <w:rPr>
                <w:rFonts w:ascii="宋体"/>
                <w:b/>
                <w:bCs/>
              </w:rPr>
            </w:pPr>
            <w:r>
              <w:rPr>
                <w:rFonts w:hint="eastAsia" w:ascii="宋体" w:hAnsi="宋体" w:cs="宋体"/>
                <w:b/>
                <w:bCs/>
              </w:rPr>
              <w:t>条款号</w:t>
            </w:r>
          </w:p>
        </w:tc>
        <w:tc>
          <w:tcPr>
            <w:tcW w:w="2371" w:type="dxa"/>
            <w:vAlign w:val="center"/>
          </w:tcPr>
          <w:p>
            <w:pPr>
              <w:jc w:val="center"/>
              <w:rPr>
                <w:rFonts w:ascii="宋体"/>
                <w:b/>
                <w:bCs/>
              </w:rPr>
            </w:pPr>
            <w:r>
              <w:rPr>
                <w:rFonts w:hint="eastAsia" w:ascii="宋体" w:hAnsi="宋体" w:cs="宋体"/>
                <w:b/>
                <w:bCs/>
              </w:rPr>
              <w:t>条款内容</w:t>
            </w:r>
          </w:p>
        </w:tc>
        <w:tc>
          <w:tcPr>
            <w:tcW w:w="5069" w:type="dxa"/>
            <w:vAlign w:val="center"/>
          </w:tcPr>
          <w:p>
            <w:pPr>
              <w:jc w:val="center"/>
              <w:rPr>
                <w:rFonts w:ascii="宋体"/>
                <w:b/>
                <w:bCs/>
              </w:rPr>
            </w:pPr>
            <w:r>
              <w:rPr>
                <w:rFonts w:hint="eastAsia" w:ascii="宋体" w:hAnsi="宋体" w:cs="宋体"/>
                <w:b/>
                <w:bCs/>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adjustRightInd w:val="0"/>
              <w:snapToGrid w:val="0"/>
              <w:jc w:val="center"/>
              <w:rPr>
                <w:rFonts w:ascii="宋体"/>
              </w:rPr>
            </w:pPr>
            <w:r>
              <w:rPr>
                <w:rFonts w:ascii="宋体" w:hAnsi="宋体" w:cs="宋体"/>
              </w:rPr>
              <w:t>2.2.1</w:t>
            </w:r>
          </w:p>
        </w:tc>
        <w:tc>
          <w:tcPr>
            <w:tcW w:w="2371" w:type="dxa"/>
            <w:vAlign w:val="center"/>
          </w:tcPr>
          <w:p>
            <w:pPr>
              <w:adjustRightInd w:val="0"/>
              <w:snapToGrid w:val="0"/>
              <w:jc w:val="center"/>
              <w:rPr>
                <w:rFonts w:ascii="宋体"/>
              </w:rPr>
            </w:pPr>
            <w:r>
              <w:rPr>
                <w:rFonts w:hint="eastAsia" w:ascii="宋体" w:hAnsi="宋体" w:cs="宋体"/>
              </w:rPr>
              <w:t>分值构成</w:t>
            </w:r>
          </w:p>
          <w:p>
            <w:pPr>
              <w:adjustRightInd w:val="0"/>
              <w:snapToGrid w:val="0"/>
              <w:jc w:val="center"/>
              <w:rPr>
                <w:rFonts w:ascii="宋体"/>
              </w:rPr>
            </w:pPr>
            <w:r>
              <w:rPr>
                <w:rFonts w:hint="eastAsia" w:ascii="宋体" w:hAnsi="宋体" w:cs="宋体"/>
              </w:rPr>
              <w:t>（总分</w:t>
            </w:r>
            <w:r>
              <w:rPr>
                <w:rFonts w:ascii="宋体" w:hAnsi="宋体" w:cs="宋体"/>
              </w:rPr>
              <w:t>100</w:t>
            </w:r>
            <w:r>
              <w:rPr>
                <w:rFonts w:hint="eastAsia" w:ascii="宋体" w:hAnsi="宋体" w:cs="宋体"/>
              </w:rPr>
              <w:t>分）</w:t>
            </w:r>
          </w:p>
        </w:tc>
        <w:tc>
          <w:tcPr>
            <w:tcW w:w="5069" w:type="dxa"/>
            <w:vAlign w:val="center"/>
          </w:tcPr>
          <w:p>
            <w:pPr>
              <w:adjustRightInd w:val="0"/>
              <w:snapToGrid w:val="0"/>
              <w:rPr>
                <w:rFonts w:ascii="宋体"/>
              </w:rPr>
            </w:pPr>
            <w:r>
              <w:rPr>
                <w:rFonts w:hint="eastAsia" w:ascii="宋体" w:hAnsi="宋体" w:cs="宋体"/>
              </w:rPr>
              <w:t>设计施工组织方案：25分</w:t>
            </w:r>
          </w:p>
          <w:p>
            <w:pPr>
              <w:adjustRightInd w:val="0"/>
              <w:snapToGrid w:val="0"/>
              <w:rPr>
                <w:rFonts w:ascii="宋体"/>
              </w:rPr>
            </w:pPr>
            <w:r>
              <w:rPr>
                <w:rFonts w:hint="eastAsia" w:ascii="宋体" w:hAnsi="宋体" w:cs="宋体"/>
              </w:rPr>
              <w:t>项目管理方案：</w:t>
            </w:r>
            <w:r>
              <w:rPr>
                <w:rFonts w:ascii="宋体" w:hAnsi="宋体" w:cs="宋体"/>
              </w:rPr>
              <w:t>1</w:t>
            </w:r>
            <w:r>
              <w:rPr>
                <w:rFonts w:hint="eastAsia" w:ascii="宋体" w:hAnsi="宋体" w:cs="宋体"/>
              </w:rPr>
              <w:t>5分</w:t>
            </w:r>
          </w:p>
          <w:p>
            <w:pPr>
              <w:widowControl/>
              <w:textAlignment w:val="top"/>
              <w:rPr>
                <w:rFonts w:ascii="宋体" w:hAnsi="宋体" w:cs="宋体"/>
              </w:rPr>
            </w:pPr>
            <w:r>
              <w:rPr>
                <w:rFonts w:hint="eastAsia" w:ascii="宋体" w:hAnsi="宋体" w:cs="宋体"/>
              </w:rPr>
              <w:t>投标报价：</w:t>
            </w:r>
            <w:r>
              <w:rPr>
                <w:rFonts w:ascii="宋体" w:hAnsi="宋体" w:cs="宋体"/>
              </w:rPr>
              <w:t>3</w:t>
            </w:r>
            <w:r>
              <w:rPr>
                <w:rFonts w:hint="eastAsia" w:ascii="宋体" w:hAnsi="宋体" w:cs="宋体"/>
              </w:rPr>
              <w:t>5分</w:t>
            </w:r>
          </w:p>
          <w:p>
            <w:pPr>
              <w:widowControl/>
              <w:textAlignment w:val="top"/>
              <w:rPr>
                <w:rFonts w:ascii="宋体"/>
                <w:b/>
                <w:bCs/>
              </w:rPr>
            </w:pPr>
            <w:r>
              <w:rPr>
                <w:rFonts w:hint="eastAsia" w:ascii="宋体" w:hAnsi="宋体" w:cs="宋体"/>
              </w:rPr>
              <w:t>其他因素：25分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adjustRightInd w:val="0"/>
              <w:snapToGrid w:val="0"/>
              <w:jc w:val="center"/>
              <w:rPr>
                <w:rFonts w:ascii="宋体"/>
              </w:rPr>
            </w:pPr>
            <w:r>
              <w:rPr>
                <w:rFonts w:ascii="宋体" w:hAnsi="宋体" w:cs="宋体"/>
              </w:rPr>
              <w:t>2.2.2</w:t>
            </w:r>
          </w:p>
        </w:tc>
        <w:tc>
          <w:tcPr>
            <w:tcW w:w="2371" w:type="dxa"/>
            <w:vAlign w:val="center"/>
          </w:tcPr>
          <w:p>
            <w:pPr>
              <w:adjustRightInd w:val="0"/>
              <w:snapToGrid w:val="0"/>
              <w:jc w:val="center"/>
              <w:rPr>
                <w:rFonts w:ascii="宋体"/>
              </w:rPr>
            </w:pPr>
            <w:r>
              <w:rPr>
                <w:rFonts w:hint="eastAsia" w:cs="宋体"/>
              </w:rPr>
              <w:t>评标基准价计算方法</w:t>
            </w:r>
          </w:p>
        </w:tc>
        <w:tc>
          <w:tcPr>
            <w:tcW w:w="5069" w:type="dxa"/>
            <w:vAlign w:val="center"/>
          </w:tcPr>
          <w:p>
            <w:pPr>
              <w:autoSpaceDE w:val="0"/>
              <w:autoSpaceDN w:val="0"/>
              <w:adjustRightInd w:val="0"/>
              <w:ind w:right="70"/>
              <w:rPr>
                <w:rFonts w:ascii="宋体"/>
                <w:kern w:val="0"/>
                <w:lang w:val="zh-CN"/>
              </w:rPr>
            </w:pPr>
            <w:r>
              <w:rPr>
                <w:rFonts w:hint="eastAsia" w:ascii="宋体" w:hAnsi="宋体" w:cs="宋体"/>
                <w:kern w:val="0"/>
                <w:lang w:val="zh-CN"/>
              </w:rPr>
              <w:t>评标基准价计算方法：</w:t>
            </w:r>
          </w:p>
          <w:p>
            <w:pPr>
              <w:adjustRightInd w:val="0"/>
              <w:snapToGrid w:val="0"/>
              <w:rPr>
                <w:rFonts w:ascii="宋体"/>
              </w:rPr>
            </w:pPr>
            <w:r>
              <w:rPr>
                <w:rFonts w:hint="eastAsia" w:ascii="宋体" w:hAnsi="宋体" w:cs="宋体"/>
                <w:kern w:val="0"/>
              </w:rPr>
              <w:t>当有效投标报价在六个及以上时，去掉一个最高值和一个最低值，剩余报价的平均值作为评标基准价；当有效投标报价在五个及以下时，所有报价的平均值作为评标基准价。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adjustRightInd w:val="0"/>
              <w:snapToGrid w:val="0"/>
              <w:jc w:val="center"/>
              <w:rPr>
                <w:rFonts w:ascii="宋体"/>
              </w:rPr>
            </w:pPr>
            <w:r>
              <w:rPr>
                <w:rFonts w:ascii="宋体" w:hAnsi="宋体" w:cs="宋体"/>
              </w:rPr>
              <w:t>2.2.3</w:t>
            </w:r>
          </w:p>
        </w:tc>
        <w:tc>
          <w:tcPr>
            <w:tcW w:w="2371" w:type="dxa"/>
            <w:vAlign w:val="center"/>
          </w:tcPr>
          <w:p>
            <w:pPr>
              <w:adjustRightInd w:val="0"/>
              <w:snapToGrid w:val="0"/>
              <w:rPr>
                <w:rFonts w:ascii="宋体"/>
              </w:rPr>
            </w:pPr>
            <w:r>
              <w:rPr>
                <w:rFonts w:hint="eastAsia" w:cs="宋体"/>
              </w:rPr>
              <w:t>投标报价的偏差率计算公式</w:t>
            </w:r>
          </w:p>
        </w:tc>
        <w:tc>
          <w:tcPr>
            <w:tcW w:w="5069" w:type="dxa"/>
            <w:vAlign w:val="center"/>
          </w:tcPr>
          <w:p>
            <w:pPr>
              <w:ind w:right="-107" w:rightChars="-51"/>
              <w:jc w:val="left"/>
              <w:rPr>
                <w:rFonts w:ascii="宋体"/>
                <w:kern w:val="0"/>
              </w:rPr>
            </w:pPr>
            <w:r>
              <w:rPr>
                <w:rFonts w:hint="eastAsia" w:ascii="宋体" w:hAnsi="宋体" w:cs="宋体"/>
                <w:kern w:val="0"/>
              </w:rPr>
              <w:t>偏差率</w:t>
            </w:r>
            <w:r>
              <w:rPr>
                <w:rFonts w:ascii="宋体" w:hAnsi="宋体" w:cs="宋体"/>
                <w:kern w:val="0"/>
              </w:rPr>
              <w:t>=100%</w:t>
            </w:r>
            <w:r>
              <w:rPr>
                <w:rFonts w:hint="eastAsia" w:ascii="宋体" w:hAnsi="宋体" w:cs="宋体"/>
                <w:kern w:val="0"/>
              </w:rPr>
              <w:t>×（投标人评标价一评标基准价）／评标基准价</w:t>
            </w:r>
          </w:p>
          <w:p>
            <w:pPr>
              <w:adjustRightInd w:val="0"/>
              <w:snapToGrid w:val="0"/>
              <w:rPr>
                <w:rFonts w:ascii="宋体"/>
              </w:rPr>
            </w:pPr>
            <w:r>
              <w:rPr>
                <w:rFonts w:hint="eastAsia" w:ascii="宋体" w:hAnsi="宋体" w:cs="宋体"/>
                <w:kern w:val="0"/>
              </w:rPr>
              <w:t>偏差率以%表示，计算结果保留小数点后2位，第3位四舍五入</w:t>
            </w:r>
          </w:p>
        </w:tc>
      </w:tr>
    </w:tbl>
    <w:p/>
    <w:tbl>
      <w:tblPr>
        <w:tblStyle w:val="37"/>
        <w:tblW w:w="9462"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9"/>
        <w:gridCol w:w="1100"/>
        <w:gridCol w:w="2268"/>
        <w:gridCol w:w="35"/>
        <w:gridCol w:w="3509"/>
        <w:gridCol w:w="8"/>
        <w:gridCol w:w="16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49" w:type="dxa"/>
            <w:gridSpan w:val="2"/>
            <w:tcBorders>
              <w:top w:val="single" w:color="auto" w:sz="4" w:space="0"/>
              <w:bottom w:val="single" w:color="auto" w:sz="4" w:space="0"/>
              <w:right w:val="single" w:color="auto" w:sz="4" w:space="0"/>
            </w:tcBorders>
            <w:vAlign w:val="center"/>
          </w:tcPr>
          <w:p>
            <w:pPr>
              <w:pStyle w:val="154"/>
              <w:ind w:firstLine="0" w:firstLineChars="0"/>
              <w:jc w:val="center"/>
              <w:rPr>
                <w:rFonts w:cs="Calibri"/>
                <w:b/>
                <w:bCs/>
                <w:sz w:val="21"/>
                <w:szCs w:val="21"/>
              </w:rPr>
            </w:pPr>
            <w:r>
              <w:rPr>
                <w:rFonts w:hint="eastAsia"/>
                <w:b/>
                <w:bCs/>
              </w:rPr>
              <w:t>条款号</w:t>
            </w:r>
          </w:p>
        </w:tc>
        <w:tc>
          <w:tcPr>
            <w:tcW w:w="5820" w:type="dxa"/>
            <w:gridSpan w:val="4"/>
            <w:tcBorders>
              <w:top w:val="single" w:color="auto" w:sz="4" w:space="0"/>
              <w:left w:val="single" w:color="auto" w:sz="4" w:space="0"/>
              <w:bottom w:val="single" w:color="auto" w:sz="4" w:space="0"/>
              <w:right w:val="single" w:color="auto" w:sz="4" w:space="0"/>
            </w:tcBorders>
            <w:vAlign w:val="center"/>
          </w:tcPr>
          <w:p>
            <w:pPr>
              <w:pStyle w:val="154"/>
              <w:ind w:firstLine="0" w:firstLineChars="0"/>
              <w:jc w:val="center"/>
              <w:rPr>
                <w:b/>
                <w:bCs/>
              </w:rPr>
            </w:pPr>
            <w:r>
              <w:rPr>
                <w:rFonts w:hint="eastAsia"/>
                <w:b/>
                <w:bCs/>
              </w:rPr>
              <w:t>评分标准</w:t>
            </w:r>
          </w:p>
        </w:tc>
        <w:tc>
          <w:tcPr>
            <w:tcW w:w="1693" w:type="dxa"/>
            <w:tcBorders>
              <w:top w:val="single" w:color="auto" w:sz="4" w:space="0"/>
              <w:left w:val="single" w:color="auto" w:sz="4" w:space="0"/>
              <w:bottom w:val="single" w:color="auto" w:sz="4" w:space="0"/>
            </w:tcBorders>
            <w:vAlign w:val="center"/>
          </w:tcPr>
          <w:p>
            <w:pPr>
              <w:pStyle w:val="154"/>
              <w:ind w:firstLine="0" w:firstLineChars="0"/>
              <w:jc w:val="center"/>
              <w:rPr>
                <w:b/>
                <w:bCs/>
              </w:rPr>
            </w:pPr>
            <w:r>
              <w:rPr>
                <w:rFonts w:hint="eastAsia"/>
                <w:b/>
                <w:bCs/>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849" w:type="dxa"/>
            <w:vMerge w:val="restart"/>
            <w:tcBorders>
              <w:top w:val="single" w:color="auto" w:sz="4" w:space="0"/>
              <w:bottom w:val="single" w:color="auto" w:sz="4" w:space="0"/>
              <w:right w:val="single" w:color="auto" w:sz="4" w:space="0"/>
            </w:tcBorders>
            <w:vAlign w:val="center"/>
          </w:tcPr>
          <w:p>
            <w:pPr>
              <w:pStyle w:val="107"/>
              <w:jc w:val="center"/>
              <w:rPr>
                <w:rFonts w:ascii="宋体" w:cs="Calibri"/>
                <w:color w:val="auto"/>
                <w:kern w:val="2"/>
                <w:sz w:val="21"/>
                <w:szCs w:val="21"/>
              </w:rPr>
            </w:pPr>
            <w:r>
              <w:rPr>
                <w:rFonts w:ascii="宋体" w:hAnsi="宋体" w:cs="宋体"/>
                <w:color w:val="auto"/>
                <w:kern w:val="2"/>
                <w:sz w:val="21"/>
                <w:szCs w:val="21"/>
              </w:rPr>
              <w:t>2.2.4</w:t>
            </w:r>
          </w:p>
          <w:p>
            <w:pPr>
              <w:pStyle w:val="107"/>
              <w:jc w:val="center"/>
              <w:rPr>
                <w:rFonts w:ascii="宋体" w:cs="Calibri"/>
                <w:color w:val="auto"/>
                <w:kern w:val="2"/>
                <w:sz w:val="21"/>
                <w:szCs w:val="21"/>
              </w:rPr>
            </w:pPr>
            <w:r>
              <w:rPr>
                <w:rFonts w:hint="eastAsia" w:ascii="宋体" w:hAnsi="宋体" w:cs="宋体"/>
                <w:color w:val="auto"/>
                <w:kern w:val="2"/>
                <w:sz w:val="21"/>
                <w:szCs w:val="21"/>
              </w:rPr>
              <w:t>（</w:t>
            </w:r>
            <w:r>
              <w:rPr>
                <w:rFonts w:ascii="宋体" w:hAnsi="宋体" w:cs="宋体"/>
                <w:color w:val="auto"/>
                <w:kern w:val="2"/>
                <w:sz w:val="21"/>
                <w:szCs w:val="21"/>
              </w:rPr>
              <w:t>1</w:t>
            </w:r>
            <w:r>
              <w:rPr>
                <w:rFonts w:hint="eastAsia" w:ascii="宋体" w:hAnsi="宋体" w:cs="宋体"/>
                <w:color w:val="auto"/>
                <w:kern w:val="2"/>
                <w:sz w:val="21"/>
                <w:szCs w:val="21"/>
              </w:rPr>
              <w:t>）</w:t>
            </w:r>
          </w:p>
        </w:tc>
        <w:tc>
          <w:tcPr>
            <w:tcW w:w="1100" w:type="dxa"/>
            <w:vMerge w:val="restart"/>
            <w:tcBorders>
              <w:top w:val="single" w:color="auto" w:sz="4" w:space="0"/>
              <w:left w:val="nil"/>
              <w:bottom w:val="single" w:color="auto" w:sz="4" w:space="0"/>
              <w:right w:val="single" w:color="auto" w:sz="4" w:space="0"/>
            </w:tcBorders>
            <w:vAlign w:val="center"/>
          </w:tcPr>
          <w:p>
            <w:pPr>
              <w:spacing w:line="360" w:lineRule="exact"/>
              <w:rPr>
                <w:rFonts w:ascii="宋体" w:hAnsi="宋体" w:cs="宋体"/>
              </w:rPr>
            </w:pPr>
            <w:r>
              <w:rPr>
                <w:rFonts w:hint="eastAsia" w:ascii="宋体" w:hAnsi="宋体" w:cs="宋体"/>
              </w:rPr>
              <w:t>设计施工组织方案评审标准</w:t>
            </w:r>
          </w:p>
          <w:p>
            <w:pPr>
              <w:pStyle w:val="107"/>
              <w:jc w:val="center"/>
              <w:rPr>
                <w:rFonts w:ascii="宋体" w:cs="Calibri"/>
                <w:color w:val="auto"/>
                <w:kern w:val="2"/>
                <w:sz w:val="21"/>
                <w:szCs w:val="21"/>
              </w:rPr>
            </w:pPr>
            <w:r>
              <w:rPr>
                <w:rFonts w:hint="eastAsia" w:ascii="宋体" w:hAnsi="宋体" w:cs="宋体"/>
                <w:color w:val="auto"/>
                <w:kern w:val="2"/>
                <w:sz w:val="21"/>
                <w:szCs w:val="21"/>
              </w:rPr>
              <w:t>（25分）</w:t>
            </w:r>
          </w:p>
        </w:tc>
        <w:tc>
          <w:tcPr>
            <w:tcW w:w="2303" w:type="dxa"/>
            <w:gridSpan w:val="2"/>
            <w:tcBorders>
              <w:top w:val="single" w:color="auto" w:sz="4" w:space="0"/>
              <w:left w:val="single" w:color="auto" w:sz="4" w:space="0"/>
              <w:bottom w:val="single" w:color="auto" w:sz="4" w:space="0"/>
              <w:right w:val="single" w:color="auto" w:sz="4" w:space="0"/>
            </w:tcBorders>
            <w:vAlign w:val="center"/>
          </w:tcPr>
          <w:p>
            <w:pPr>
              <w:tabs>
                <w:tab w:val="left" w:pos="5669"/>
              </w:tabs>
              <w:spacing w:line="300" w:lineRule="exact"/>
              <w:ind w:left="34" w:firstLine="2"/>
              <w:jc w:val="left"/>
              <w:rPr>
                <w:rFonts w:ascii="宋体" w:hAnsi="宋体" w:cs="宋体"/>
                <w:kern w:val="0"/>
              </w:rPr>
            </w:pPr>
            <w:r>
              <w:rPr>
                <w:rFonts w:hint="eastAsia" w:ascii="宋体" w:hAnsi="宋体" w:cs="宋体"/>
              </w:rPr>
              <w:t>通信、35kV</w:t>
            </w:r>
            <w:r>
              <w:rPr>
                <w:rFonts w:hint="eastAsia" w:ascii="宋体" w:hAnsi="宋体" w:cs="宋体"/>
                <w:bCs/>
                <w:kern w:val="0"/>
              </w:rPr>
              <w:t>及以下电力</w:t>
            </w:r>
            <w:r>
              <w:rPr>
                <w:rFonts w:hint="eastAsia" w:ascii="宋体" w:hAnsi="宋体" w:cs="宋体"/>
              </w:rPr>
              <w:t>、给排水、热力、油气管道等线路和设施的迁改及防护</w:t>
            </w:r>
            <w:r>
              <w:rPr>
                <w:rFonts w:hint="eastAsia" w:ascii="宋体" w:hAnsi="宋体" w:cs="宋体"/>
                <w:bCs/>
                <w:kern w:val="0"/>
              </w:rPr>
              <w:t>实施方案、方法和技术措施</w:t>
            </w:r>
          </w:p>
        </w:tc>
        <w:tc>
          <w:tcPr>
            <w:tcW w:w="3517" w:type="dxa"/>
            <w:gridSpan w:val="2"/>
            <w:tcBorders>
              <w:top w:val="single" w:color="auto" w:sz="4" w:space="0"/>
              <w:left w:val="single" w:color="auto" w:sz="4" w:space="0"/>
              <w:bottom w:val="single" w:color="auto" w:sz="4" w:space="0"/>
              <w:right w:val="single" w:color="auto" w:sz="4" w:space="0"/>
            </w:tcBorders>
            <w:vAlign w:val="center"/>
          </w:tcPr>
          <w:p>
            <w:pPr>
              <w:tabs>
                <w:tab w:val="left" w:pos="5669"/>
              </w:tabs>
              <w:spacing w:line="300" w:lineRule="exact"/>
              <w:ind w:left="34" w:firstLine="2"/>
              <w:rPr>
                <w:rFonts w:ascii="宋体" w:hAnsi="宋体" w:cs="宋体"/>
                <w:kern w:val="0"/>
              </w:rPr>
            </w:pPr>
            <w:r>
              <w:rPr>
                <w:rFonts w:ascii="宋体" w:hAnsi="宋体" w:cs="宋体"/>
                <w:kern w:val="0"/>
              </w:rPr>
              <w:t>根据各投标人</w:t>
            </w:r>
            <w:r>
              <w:rPr>
                <w:rFonts w:hint="eastAsia" w:ascii="宋体" w:hAnsi="宋体" w:cs="宋体"/>
                <w:kern w:val="0"/>
              </w:rPr>
              <w:t>设计及施工的组织方案内容齐全，合理可行，对本工程的重点、难点有充分的认识并提出合理可行的解决方案程度，酌情打分。</w:t>
            </w:r>
          </w:p>
        </w:tc>
        <w:tc>
          <w:tcPr>
            <w:tcW w:w="1693"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kern w:val="0"/>
              </w:rPr>
            </w:pPr>
            <w:r>
              <w:rPr>
                <w:rFonts w:hint="eastAsia" w:ascii="宋体" w:hAnsi="宋体" w:cs="宋体"/>
                <w:kern w:val="0"/>
              </w:rPr>
              <w:t>0-5.0分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849" w:type="dxa"/>
            <w:vMerge w:val="continue"/>
            <w:tcBorders>
              <w:top w:val="single" w:color="auto" w:sz="4" w:space="0"/>
              <w:bottom w:val="single" w:color="auto" w:sz="4" w:space="0"/>
              <w:right w:val="single" w:color="auto" w:sz="4" w:space="0"/>
            </w:tcBorders>
            <w:vAlign w:val="center"/>
          </w:tcPr>
          <w:p>
            <w:pPr>
              <w:pStyle w:val="107"/>
              <w:jc w:val="center"/>
              <w:rPr>
                <w:rFonts w:ascii="宋体" w:hAnsi="宋体" w:cs="宋体"/>
                <w:color w:val="auto"/>
                <w:kern w:val="2"/>
                <w:sz w:val="21"/>
                <w:szCs w:val="21"/>
              </w:rPr>
            </w:pPr>
          </w:p>
        </w:tc>
        <w:tc>
          <w:tcPr>
            <w:tcW w:w="1100" w:type="dxa"/>
            <w:vMerge w:val="continue"/>
            <w:tcBorders>
              <w:top w:val="single" w:color="auto" w:sz="4" w:space="0"/>
              <w:left w:val="nil"/>
              <w:bottom w:val="single" w:color="auto" w:sz="4" w:space="0"/>
              <w:right w:val="single" w:color="auto" w:sz="4" w:space="0"/>
            </w:tcBorders>
            <w:vAlign w:val="center"/>
          </w:tcPr>
          <w:p>
            <w:pPr>
              <w:pStyle w:val="107"/>
              <w:jc w:val="center"/>
              <w:rPr>
                <w:rFonts w:ascii="宋体" w:hAnsi="宋体" w:cs="宋体"/>
                <w:color w:val="auto"/>
                <w:kern w:val="2"/>
                <w:sz w:val="21"/>
                <w:szCs w:val="21"/>
              </w:rPr>
            </w:pPr>
          </w:p>
        </w:tc>
        <w:tc>
          <w:tcPr>
            <w:tcW w:w="230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rPr>
            </w:pPr>
            <w:r>
              <w:rPr>
                <w:rFonts w:hint="eastAsia" w:ascii="宋体" w:hAnsi="宋体" w:cs="宋体"/>
                <w:bCs/>
                <w:kern w:val="0"/>
              </w:rPr>
              <w:t>110KV及以上电力迁改工程组织实施方案、方法和技术措施</w:t>
            </w:r>
          </w:p>
        </w:tc>
        <w:tc>
          <w:tcPr>
            <w:tcW w:w="3517" w:type="dxa"/>
            <w:gridSpan w:val="2"/>
            <w:tcBorders>
              <w:top w:val="single" w:color="auto" w:sz="4" w:space="0"/>
              <w:left w:val="single" w:color="auto" w:sz="4" w:space="0"/>
              <w:bottom w:val="single" w:color="auto" w:sz="4" w:space="0"/>
              <w:right w:val="single" w:color="auto" w:sz="4" w:space="0"/>
            </w:tcBorders>
            <w:vAlign w:val="center"/>
          </w:tcPr>
          <w:p>
            <w:pPr>
              <w:tabs>
                <w:tab w:val="left" w:pos="5669"/>
              </w:tabs>
              <w:spacing w:line="300" w:lineRule="exact"/>
              <w:ind w:left="34" w:firstLine="2"/>
              <w:rPr>
                <w:rFonts w:ascii="宋体" w:hAnsi="宋体" w:cs="宋体"/>
                <w:kern w:val="0"/>
              </w:rPr>
            </w:pPr>
            <w:r>
              <w:rPr>
                <w:rFonts w:ascii="宋体" w:hAnsi="宋体" w:cs="宋体"/>
                <w:kern w:val="0"/>
              </w:rPr>
              <w:t>根据各投标人</w:t>
            </w:r>
            <w:r>
              <w:rPr>
                <w:rFonts w:hint="eastAsia" w:ascii="宋体" w:hAnsi="宋体" w:cs="宋体"/>
                <w:kern w:val="0"/>
              </w:rPr>
              <w:t>管理方案内容齐全，目标明确，可行性较强程度；对高压迁改工程的重点、难点有充分的认识程度，以及是否并提出合理可行的解决方案，酌情打分。</w:t>
            </w:r>
          </w:p>
        </w:tc>
        <w:tc>
          <w:tcPr>
            <w:tcW w:w="1693"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kern w:val="0"/>
              </w:rPr>
            </w:pPr>
            <w:r>
              <w:rPr>
                <w:rFonts w:hint="eastAsia" w:ascii="宋体" w:hAnsi="宋体" w:cs="宋体"/>
                <w:kern w:val="0"/>
              </w:rPr>
              <w:t>0-5.0分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849" w:type="dxa"/>
            <w:vMerge w:val="continue"/>
            <w:tcBorders>
              <w:top w:val="single" w:color="auto" w:sz="4" w:space="0"/>
              <w:bottom w:val="single" w:color="auto" w:sz="4" w:space="0"/>
              <w:right w:val="single" w:color="auto" w:sz="4" w:space="0"/>
            </w:tcBorders>
            <w:vAlign w:val="center"/>
          </w:tcPr>
          <w:p>
            <w:pPr>
              <w:pStyle w:val="107"/>
              <w:jc w:val="center"/>
              <w:rPr>
                <w:rFonts w:ascii="宋体" w:hAnsi="宋体" w:cs="宋体"/>
                <w:color w:val="auto"/>
                <w:kern w:val="2"/>
                <w:sz w:val="21"/>
                <w:szCs w:val="21"/>
              </w:rPr>
            </w:pPr>
          </w:p>
        </w:tc>
        <w:tc>
          <w:tcPr>
            <w:tcW w:w="1100" w:type="dxa"/>
            <w:vMerge w:val="continue"/>
            <w:tcBorders>
              <w:top w:val="single" w:color="auto" w:sz="4" w:space="0"/>
              <w:left w:val="nil"/>
              <w:bottom w:val="single" w:color="auto" w:sz="4" w:space="0"/>
              <w:right w:val="single" w:color="auto" w:sz="4" w:space="0"/>
            </w:tcBorders>
            <w:vAlign w:val="center"/>
          </w:tcPr>
          <w:p>
            <w:pPr>
              <w:pStyle w:val="107"/>
              <w:jc w:val="center"/>
              <w:rPr>
                <w:rFonts w:ascii="宋体" w:hAnsi="宋体" w:cs="宋体"/>
                <w:color w:val="auto"/>
                <w:kern w:val="2"/>
                <w:sz w:val="21"/>
                <w:szCs w:val="21"/>
              </w:rPr>
            </w:pPr>
          </w:p>
        </w:tc>
        <w:tc>
          <w:tcPr>
            <w:tcW w:w="230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rPr>
            </w:pPr>
            <w:r>
              <w:rPr>
                <w:rFonts w:hint="eastAsia" w:ascii="宋体" w:hAnsi="宋体" w:cs="宋体"/>
              </w:rPr>
              <w:t>与产权单位协调配合措施</w:t>
            </w:r>
          </w:p>
        </w:tc>
        <w:tc>
          <w:tcPr>
            <w:tcW w:w="3517" w:type="dxa"/>
            <w:gridSpan w:val="2"/>
            <w:tcBorders>
              <w:top w:val="single" w:color="auto" w:sz="4" w:space="0"/>
              <w:left w:val="single" w:color="auto" w:sz="4" w:space="0"/>
              <w:bottom w:val="single" w:color="auto" w:sz="4" w:space="0"/>
              <w:right w:val="single" w:color="auto" w:sz="4" w:space="0"/>
            </w:tcBorders>
            <w:vAlign w:val="center"/>
          </w:tcPr>
          <w:p>
            <w:pPr>
              <w:tabs>
                <w:tab w:val="left" w:pos="5669"/>
              </w:tabs>
              <w:spacing w:line="300" w:lineRule="exact"/>
              <w:ind w:left="34" w:firstLine="2"/>
              <w:rPr>
                <w:rFonts w:ascii="宋体" w:hAnsi="宋体" w:cs="宋体"/>
                <w:kern w:val="0"/>
                <w:sz w:val="18"/>
                <w:szCs w:val="18"/>
              </w:rPr>
            </w:pPr>
            <w:r>
              <w:rPr>
                <w:rFonts w:ascii="宋体" w:hAnsi="宋体" w:cs="宋体"/>
                <w:kern w:val="0"/>
              </w:rPr>
              <w:t>根据各投标人</w:t>
            </w:r>
            <w:r>
              <w:rPr>
                <w:rFonts w:hint="eastAsia" w:ascii="宋体" w:hAnsi="宋体" w:cs="宋体"/>
              </w:rPr>
              <w:t>与产权单位协调配合措施详细可行程度，针对性程度，</w:t>
            </w:r>
            <w:r>
              <w:rPr>
                <w:rFonts w:hint="eastAsia" w:ascii="宋体" w:hAnsi="宋体" w:cs="宋体"/>
                <w:kern w:val="0"/>
              </w:rPr>
              <w:t>酌情打分。</w:t>
            </w:r>
          </w:p>
        </w:tc>
        <w:tc>
          <w:tcPr>
            <w:tcW w:w="1693"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kern w:val="0"/>
              </w:rPr>
            </w:pPr>
            <w:r>
              <w:rPr>
                <w:rFonts w:hint="eastAsia" w:ascii="宋体" w:hAnsi="宋体" w:cs="宋体"/>
                <w:kern w:val="0"/>
              </w:rPr>
              <w:t>0-3.0分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849" w:type="dxa"/>
            <w:vMerge w:val="continue"/>
            <w:tcBorders>
              <w:top w:val="single" w:color="auto" w:sz="4" w:space="0"/>
              <w:bottom w:val="single" w:color="auto" w:sz="4" w:space="0"/>
              <w:right w:val="single" w:color="auto" w:sz="4" w:space="0"/>
            </w:tcBorders>
            <w:vAlign w:val="center"/>
          </w:tcPr>
          <w:p>
            <w:pPr>
              <w:pStyle w:val="107"/>
              <w:jc w:val="center"/>
              <w:rPr>
                <w:rFonts w:ascii="宋体" w:hAnsi="宋体" w:cs="宋体"/>
                <w:color w:val="auto"/>
                <w:kern w:val="2"/>
                <w:sz w:val="21"/>
                <w:szCs w:val="21"/>
              </w:rPr>
            </w:pPr>
          </w:p>
        </w:tc>
        <w:tc>
          <w:tcPr>
            <w:tcW w:w="1100" w:type="dxa"/>
            <w:vMerge w:val="continue"/>
            <w:tcBorders>
              <w:top w:val="single" w:color="auto" w:sz="4" w:space="0"/>
              <w:left w:val="nil"/>
              <w:bottom w:val="single" w:color="auto" w:sz="4" w:space="0"/>
              <w:right w:val="single" w:color="auto" w:sz="4" w:space="0"/>
            </w:tcBorders>
            <w:vAlign w:val="center"/>
          </w:tcPr>
          <w:p>
            <w:pPr>
              <w:pStyle w:val="107"/>
              <w:jc w:val="center"/>
              <w:rPr>
                <w:rFonts w:ascii="宋体" w:hAnsi="宋体" w:cs="宋体"/>
                <w:color w:val="auto"/>
                <w:kern w:val="2"/>
                <w:sz w:val="21"/>
                <w:szCs w:val="21"/>
              </w:rPr>
            </w:pPr>
          </w:p>
        </w:tc>
        <w:tc>
          <w:tcPr>
            <w:tcW w:w="230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rPr>
            </w:pPr>
            <w:r>
              <w:rPr>
                <w:rFonts w:hint="eastAsia" w:ascii="宋体" w:hAnsi="宋体" w:cs="宋体"/>
              </w:rPr>
              <w:t>质量保证体系与质量保证措施</w:t>
            </w:r>
          </w:p>
        </w:tc>
        <w:tc>
          <w:tcPr>
            <w:tcW w:w="35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rPr>
            </w:pPr>
            <w:r>
              <w:rPr>
                <w:rFonts w:ascii="宋体" w:hAnsi="宋体" w:cs="宋体"/>
                <w:kern w:val="0"/>
              </w:rPr>
              <w:t>根据各投标人</w:t>
            </w:r>
            <w:r>
              <w:rPr>
                <w:rFonts w:hint="eastAsia" w:ascii="宋体" w:hAnsi="宋体" w:cs="宋体"/>
                <w:kern w:val="0"/>
              </w:rPr>
              <w:t>质量目标满足要求，质量保证体系健全，质量保证措施具体可行程度，酌情打分。</w:t>
            </w:r>
          </w:p>
        </w:tc>
        <w:tc>
          <w:tcPr>
            <w:tcW w:w="1693"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kern w:val="0"/>
              </w:rPr>
            </w:pPr>
            <w:r>
              <w:rPr>
                <w:rFonts w:hint="eastAsia" w:ascii="宋体" w:hAnsi="宋体" w:cs="宋体"/>
                <w:kern w:val="0"/>
              </w:rPr>
              <w:t>0-3.0分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849" w:type="dxa"/>
            <w:vMerge w:val="continue"/>
            <w:tcBorders>
              <w:top w:val="single" w:color="auto" w:sz="4" w:space="0"/>
              <w:bottom w:val="single" w:color="auto" w:sz="4" w:space="0"/>
              <w:right w:val="single" w:color="auto" w:sz="4" w:space="0"/>
            </w:tcBorders>
            <w:vAlign w:val="center"/>
          </w:tcPr>
          <w:p>
            <w:pPr>
              <w:pStyle w:val="107"/>
              <w:jc w:val="center"/>
              <w:rPr>
                <w:rFonts w:ascii="宋体" w:hAnsi="宋体" w:cs="宋体"/>
                <w:color w:val="auto"/>
                <w:kern w:val="2"/>
                <w:sz w:val="21"/>
                <w:szCs w:val="21"/>
              </w:rPr>
            </w:pPr>
          </w:p>
        </w:tc>
        <w:tc>
          <w:tcPr>
            <w:tcW w:w="1100" w:type="dxa"/>
            <w:vMerge w:val="continue"/>
            <w:tcBorders>
              <w:top w:val="single" w:color="auto" w:sz="4" w:space="0"/>
              <w:left w:val="nil"/>
              <w:bottom w:val="single" w:color="auto" w:sz="4" w:space="0"/>
              <w:right w:val="single" w:color="auto" w:sz="4" w:space="0"/>
            </w:tcBorders>
            <w:vAlign w:val="center"/>
          </w:tcPr>
          <w:p>
            <w:pPr>
              <w:pStyle w:val="107"/>
              <w:jc w:val="center"/>
              <w:rPr>
                <w:rFonts w:ascii="宋体" w:hAnsi="宋体" w:cs="宋体"/>
                <w:color w:val="auto"/>
                <w:kern w:val="2"/>
                <w:sz w:val="21"/>
                <w:szCs w:val="21"/>
              </w:rPr>
            </w:pPr>
          </w:p>
        </w:tc>
        <w:tc>
          <w:tcPr>
            <w:tcW w:w="230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rPr>
            </w:pPr>
            <w:r>
              <w:rPr>
                <w:rFonts w:hint="eastAsia" w:ascii="宋体" w:hAnsi="宋体" w:cs="宋体"/>
              </w:rPr>
              <w:t>安全保证体系与安全保障措施</w:t>
            </w:r>
          </w:p>
        </w:tc>
        <w:tc>
          <w:tcPr>
            <w:tcW w:w="35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kern w:val="0"/>
              </w:rPr>
            </w:pPr>
            <w:r>
              <w:rPr>
                <w:rFonts w:ascii="宋体" w:hAnsi="宋体" w:cs="宋体"/>
                <w:kern w:val="0"/>
              </w:rPr>
              <w:t>根据各投标人</w:t>
            </w:r>
            <w:r>
              <w:rPr>
                <w:rFonts w:hint="eastAsia" w:ascii="宋体" w:hAnsi="宋体" w:cs="宋体"/>
                <w:kern w:val="0"/>
              </w:rPr>
              <w:t>安全保障措施是否具体、针对性好、是否有安全目标、完善的安全管理组织机构程度、安全保证体系、安全事故抢险应急预案等方面，酌情打分。</w:t>
            </w:r>
          </w:p>
        </w:tc>
        <w:tc>
          <w:tcPr>
            <w:tcW w:w="1693"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kern w:val="0"/>
              </w:rPr>
            </w:pPr>
            <w:r>
              <w:rPr>
                <w:rFonts w:hint="eastAsia" w:ascii="宋体" w:hAnsi="宋体" w:cs="宋体"/>
                <w:kern w:val="0"/>
              </w:rPr>
              <w:t>0-3.0分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849" w:type="dxa"/>
            <w:vMerge w:val="continue"/>
            <w:tcBorders>
              <w:top w:val="single" w:color="auto" w:sz="4" w:space="0"/>
              <w:bottom w:val="single" w:color="auto" w:sz="4" w:space="0"/>
              <w:right w:val="single" w:color="auto" w:sz="4" w:space="0"/>
            </w:tcBorders>
            <w:vAlign w:val="center"/>
          </w:tcPr>
          <w:p>
            <w:pPr>
              <w:pStyle w:val="107"/>
              <w:jc w:val="center"/>
              <w:rPr>
                <w:rFonts w:ascii="宋体" w:hAnsi="宋体" w:cs="宋体"/>
                <w:color w:val="auto"/>
                <w:kern w:val="2"/>
                <w:sz w:val="21"/>
                <w:szCs w:val="21"/>
              </w:rPr>
            </w:pPr>
          </w:p>
        </w:tc>
        <w:tc>
          <w:tcPr>
            <w:tcW w:w="1100" w:type="dxa"/>
            <w:vMerge w:val="continue"/>
            <w:tcBorders>
              <w:top w:val="single" w:color="auto" w:sz="4" w:space="0"/>
              <w:left w:val="nil"/>
              <w:bottom w:val="single" w:color="auto" w:sz="4" w:space="0"/>
              <w:right w:val="single" w:color="auto" w:sz="4" w:space="0"/>
            </w:tcBorders>
            <w:vAlign w:val="center"/>
          </w:tcPr>
          <w:p>
            <w:pPr>
              <w:pStyle w:val="107"/>
              <w:jc w:val="center"/>
              <w:rPr>
                <w:rFonts w:ascii="宋体" w:hAnsi="宋体" w:cs="宋体"/>
                <w:color w:val="auto"/>
                <w:kern w:val="2"/>
                <w:sz w:val="21"/>
                <w:szCs w:val="21"/>
              </w:rPr>
            </w:pPr>
          </w:p>
        </w:tc>
        <w:tc>
          <w:tcPr>
            <w:tcW w:w="230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rPr>
            </w:pPr>
            <w:r>
              <w:rPr>
                <w:rFonts w:hint="eastAsia" w:ascii="宋体" w:hAnsi="宋体" w:cs="宋体"/>
              </w:rPr>
              <w:t>劳、材、机计划</w:t>
            </w:r>
          </w:p>
        </w:tc>
        <w:tc>
          <w:tcPr>
            <w:tcW w:w="35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rPr>
            </w:pPr>
            <w:r>
              <w:rPr>
                <w:rFonts w:ascii="宋体" w:hAnsi="宋体" w:cs="宋体"/>
                <w:kern w:val="0"/>
              </w:rPr>
              <w:t>根据各投标人</w:t>
            </w:r>
            <w:r>
              <w:rPr>
                <w:rFonts w:hint="eastAsia" w:ascii="宋体" w:hAnsi="宋体" w:cs="宋体"/>
              </w:rPr>
              <w:t>劳动组织及劳动力配置计划合理程度，机械、试验设备仪器配置及调配计划合理程度，</w:t>
            </w:r>
            <w:r>
              <w:rPr>
                <w:rFonts w:hint="eastAsia" w:ascii="宋体" w:hAnsi="宋体" w:cs="宋体"/>
                <w:kern w:val="0"/>
              </w:rPr>
              <w:t>酌情打分。</w:t>
            </w:r>
          </w:p>
        </w:tc>
        <w:tc>
          <w:tcPr>
            <w:tcW w:w="1693"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kern w:val="0"/>
              </w:rPr>
            </w:pPr>
            <w:r>
              <w:rPr>
                <w:rFonts w:hint="eastAsia" w:ascii="宋体" w:hAnsi="宋体" w:cs="宋体"/>
                <w:kern w:val="0"/>
              </w:rPr>
              <w:t>0-2.0分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849" w:type="dxa"/>
            <w:vMerge w:val="continue"/>
            <w:tcBorders>
              <w:top w:val="single" w:color="auto" w:sz="4" w:space="0"/>
              <w:bottom w:val="single" w:color="auto" w:sz="4" w:space="0"/>
              <w:right w:val="single" w:color="auto" w:sz="4" w:space="0"/>
            </w:tcBorders>
            <w:textDirection w:val="tbRlV"/>
            <w:vAlign w:val="center"/>
          </w:tcPr>
          <w:p>
            <w:pPr>
              <w:pStyle w:val="147"/>
              <w:rPr>
                <w:rFonts w:cs="Calibri"/>
                <w:sz w:val="21"/>
                <w:szCs w:val="21"/>
              </w:rPr>
            </w:pPr>
          </w:p>
        </w:tc>
        <w:tc>
          <w:tcPr>
            <w:tcW w:w="1100" w:type="dxa"/>
            <w:vMerge w:val="continue"/>
            <w:tcBorders>
              <w:top w:val="single" w:color="auto" w:sz="4" w:space="0"/>
              <w:left w:val="nil"/>
              <w:bottom w:val="single" w:color="auto" w:sz="4" w:space="0"/>
              <w:right w:val="single" w:color="auto" w:sz="4" w:space="0"/>
            </w:tcBorders>
            <w:textDirection w:val="tbRlV"/>
            <w:vAlign w:val="center"/>
          </w:tcPr>
          <w:p>
            <w:pPr>
              <w:pStyle w:val="107"/>
              <w:jc w:val="center"/>
              <w:rPr>
                <w:rFonts w:ascii="宋体" w:cs="Calibri"/>
                <w:color w:val="auto"/>
                <w:spacing w:val="-1"/>
                <w:kern w:val="2"/>
                <w:sz w:val="21"/>
                <w:szCs w:val="21"/>
              </w:rPr>
            </w:pPr>
          </w:p>
        </w:tc>
        <w:tc>
          <w:tcPr>
            <w:tcW w:w="230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rPr>
            </w:pPr>
            <w:r>
              <w:rPr>
                <w:rFonts w:hint="eastAsia" w:ascii="宋体" w:hAnsi="宋体" w:cs="宋体"/>
              </w:rPr>
              <w:t>环境保护与文明施工措施</w:t>
            </w:r>
          </w:p>
        </w:tc>
        <w:tc>
          <w:tcPr>
            <w:tcW w:w="35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rPr>
            </w:pPr>
            <w:r>
              <w:rPr>
                <w:rFonts w:ascii="宋体" w:hAnsi="宋体" w:cs="宋体"/>
                <w:kern w:val="0"/>
              </w:rPr>
              <w:t>根据各投标人是否</w:t>
            </w:r>
            <w:r>
              <w:rPr>
                <w:rFonts w:hint="eastAsia" w:ascii="宋体" w:hAnsi="宋体" w:cs="宋体"/>
              </w:rPr>
              <w:t>有健全的环境保护、文明施工保证措施，措施是否明确、具体、可行、针对性等方面，</w:t>
            </w:r>
            <w:r>
              <w:rPr>
                <w:rFonts w:hint="eastAsia" w:ascii="宋体" w:hAnsi="宋体" w:cs="宋体"/>
                <w:kern w:val="0"/>
              </w:rPr>
              <w:t>酌情打分。</w:t>
            </w:r>
          </w:p>
        </w:tc>
        <w:tc>
          <w:tcPr>
            <w:tcW w:w="1693"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kern w:val="0"/>
              </w:rPr>
            </w:pPr>
            <w:r>
              <w:rPr>
                <w:rFonts w:hint="eastAsia" w:ascii="宋体" w:hAnsi="宋体" w:cs="宋体"/>
                <w:kern w:val="0"/>
              </w:rPr>
              <w:t>0-2.0分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849" w:type="dxa"/>
            <w:vMerge w:val="continue"/>
            <w:tcBorders>
              <w:top w:val="single" w:color="auto" w:sz="4" w:space="0"/>
              <w:bottom w:val="single" w:color="auto" w:sz="4" w:space="0"/>
              <w:right w:val="single" w:color="auto" w:sz="4" w:space="0"/>
            </w:tcBorders>
            <w:textDirection w:val="tbRlV"/>
            <w:vAlign w:val="center"/>
          </w:tcPr>
          <w:p>
            <w:pPr>
              <w:pStyle w:val="147"/>
              <w:rPr>
                <w:rFonts w:cs="Calibri"/>
                <w:sz w:val="21"/>
                <w:szCs w:val="21"/>
              </w:rPr>
            </w:pPr>
          </w:p>
        </w:tc>
        <w:tc>
          <w:tcPr>
            <w:tcW w:w="1100" w:type="dxa"/>
            <w:vMerge w:val="continue"/>
            <w:tcBorders>
              <w:top w:val="single" w:color="auto" w:sz="4" w:space="0"/>
              <w:left w:val="nil"/>
              <w:bottom w:val="single" w:color="auto" w:sz="4" w:space="0"/>
              <w:right w:val="single" w:color="auto" w:sz="4" w:space="0"/>
            </w:tcBorders>
            <w:textDirection w:val="tbRlV"/>
            <w:vAlign w:val="center"/>
          </w:tcPr>
          <w:p>
            <w:pPr>
              <w:pStyle w:val="107"/>
              <w:jc w:val="center"/>
              <w:rPr>
                <w:rFonts w:ascii="宋体" w:cs="Calibri"/>
                <w:color w:val="auto"/>
                <w:spacing w:val="-1"/>
                <w:kern w:val="2"/>
                <w:sz w:val="21"/>
                <w:szCs w:val="21"/>
              </w:rPr>
            </w:pPr>
          </w:p>
        </w:tc>
        <w:tc>
          <w:tcPr>
            <w:tcW w:w="230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rPr>
            </w:pPr>
            <w:r>
              <w:rPr>
                <w:rFonts w:hint="eastAsia" w:ascii="宋体" w:hAnsi="宋体" w:cs="宋体"/>
              </w:rPr>
              <w:t>工期计划及保证措施</w:t>
            </w:r>
          </w:p>
        </w:tc>
        <w:tc>
          <w:tcPr>
            <w:tcW w:w="35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rPr>
            </w:pPr>
            <w:r>
              <w:rPr>
                <w:rFonts w:hint="eastAsia" w:ascii="宋体" w:hAnsi="宋体" w:cs="宋体"/>
              </w:rPr>
              <w:t>根据各投标人工期进度安排是否合理，是否有横道图，关键线路安排是否合理，针对本工程特点（如工期紧，存在交叉施工等）提出措施合理可行程度，与其他专业施工单位的配合措施方面，</w:t>
            </w:r>
            <w:r>
              <w:rPr>
                <w:rFonts w:hint="eastAsia" w:ascii="宋体" w:hAnsi="宋体" w:cs="宋体"/>
                <w:kern w:val="0"/>
              </w:rPr>
              <w:t>酌情打分。</w:t>
            </w:r>
          </w:p>
        </w:tc>
        <w:tc>
          <w:tcPr>
            <w:tcW w:w="1693"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kern w:val="0"/>
              </w:rPr>
            </w:pPr>
            <w:r>
              <w:rPr>
                <w:rFonts w:hint="eastAsia" w:ascii="宋体" w:hAnsi="宋体" w:cs="宋体"/>
                <w:kern w:val="0"/>
              </w:rPr>
              <w:t>0-2.0分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849" w:type="dxa"/>
            <w:vMerge w:val="restart"/>
            <w:tcBorders>
              <w:top w:val="single" w:color="auto" w:sz="4" w:space="0"/>
              <w:right w:val="single" w:color="auto" w:sz="4" w:space="0"/>
            </w:tcBorders>
            <w:vAlign w:val="center"/>
          </w:tcPr>
          <w:p>
            <w:pPr>
              <w:pStyle w:val="147"/>
              <w:rPr>
                <w:sz w:val="21"/>
                <w:szCs w:val="21"/>
              </w:rPr>
            </w:pPr>
            <w:r>
              <w:rPr>
                <w:sz w:val="21"/>
                <w:szCs w:val="21"/>
              </w:rPr>
              <w:t>2.2.4</w:t>
            </w:r>
          </w:p>
          <w:p>
            <w:pPr>
              <w:pStyle w:val="147"/>
              <w:rPr>
                <w:rFonts w:cs="Calibri"/>
                <w:sz w:val="21"/>
                <w:szCs w:val="21"/>
              </w:rPr>
            </w:pPr>
            <w:r>
              <w:rPr>
                <w:rFonts w:hint="eastAsia"/>
                <w:sz w:val="21"/>
                <w:szCs w:val="21"/>
              </w:rPr>
              <w:t>（</w:t>
            </w:r>
            <w:r>
              <w:rPr>
                <w:sz w:val="21"/>
                <w:szCs w:val="21"/>
              </w:rPr>
              <w:t>2</w:t>
            </w:r>
            <w:r>
              <w:rPr>
                <w:rFonts w:hint="eastAsia"/>
                <w:sz w:val="21"/>
                <w:szCs w:val="21"/>
              </w:rPr>
              <w:t>）</w:t>
            </w:r>
          </w:p>
        </w:tc>
        <w:tc>
          <w:tcPr>
            <w:tcW w:w="1100"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项目管理方案评审标准</w:t>
            </w:r>
          </w:p>
          <w:p>
            <w:pPr>
              <w:pStyle w:val="107"/>
              <w:jc w:val="center"/>
              <w:rPr>
                <w:rFonts w:ascii="宋体" w:cs="Calibri"/>
                <w:color w:val="auto"/>
                <w:kern w:val="2"/>
                <w:sz w:val="21"/>
                <w:szCs w:val="21"/>
              </w:rPr>
            </w:pPr>
            <w:r>
              <w:rPr>
                <w:rFonts w:hint="eastAsia" w:ascii="宋体" w:hAnsi="宋体" w:cs="宋体"/>
                <w:color w:val="auto"/>
                <w:kern w:val="2"/>
                <w:sz w:val="21"/>
                <w:szCs w:val="21"/>
              </w:rPr>
              <w:t>（</w:t>
            </w:r>
            <w:r>
              <w:rPr>
                <w:rFonts w:ascii="宋体" w:hAnsi="宋体" w:cs="宋体"/>
                <w:color w:val="auto"/>
                <w:kern w:val="2"/>
                <w:sz w:val="21"/>
                <w:szCs w:val="21"/>
              </w:rPr>
              <w:t>1</w:t>
            </w:r>
            <w:r>
              <w:rPr>
                <w:rFonts w:hint="eastAsia" w:ascii="宋体" w:hAnsi="宋体" w:cs="宋体"/>
                <w:color w:val="auto"/>
                <w:kern w:val="2"/>
                <w:sz w:val="21"/>
                <w:szCs w:val="21"/>
              </w:rPr>
              <w:t>5分）</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rPr>
            </w:pPr>
            <w:r>
              <w:rPr>
                <w:rFonts w:hint="eastAsia" w:ascii="宋体" w:hAnsi="宋体" w:cs="宋体"/>
              </w:rPr>
              <w:t>项目管理机构设置</w:t>
            </w:r>
          </w:p>
        </w:tc>
        <w:tc>
          <w:tcPr>
            <w:tcW w:w="3544" w:type="dxa"/>
            <w:gridSpan w:val="2"/>
            <w:tcBorders>
              <w:top w:val="single" w:color="auto" w:sz="4" w:space="0"/>
              <w:left w:val="single" w:color="auto" w:sz="4" w:space="0"/>
              <w:bottom w:val="single" w:color="auto" w:sz="4" w:space="0"/>
            </w:tcBorders>
            <w:vAlign w:val="center"/>
          </w:tcPr>
          <w:p>
            <w:pPr>
              <w:adjustRightInd w:val="0"/>
              <w:snapToGrid w:val="0"/>
              <w:spacing w:line="264" w:lineRule="auto"/>
            </w:pPr>
            <w:r>
              <w:rPr>
                <w:rFonts w:hint="eastAsia" w:ascii="宋体" w:hAnsi="宋体" w:cs="宋体"/>
              </w:rPr>
              <w:t>根据各投标人项目管理机构设置、人员配备、部门职责划分、管理制度合理可行程度酌情打分。</w:t>
            </w:r>
          </w:p>
        </w:tc>
        <w:tc>
          <w:tcPr>
            <w:tcW w:w="1701" w:type="dxa"/>
            <w:gridSpan w:val="2"/>
            <w:tcBorders>
              <w:top w:val="single" w:color="auto" w:sz="4" w:space="0"/>
              <w:left w:val="single" w:color="auto" w:sz="4" w:space="0"/>
              <w:bottom w:val="single" w:color="auto" w:sz="4" w:space="0"/>
            </w:tcBorders>
            <w:vAlign w:val="center"/>
          </w:tcPr>
          <w:p>
            <w:pPr>
              <w:spacing w:line="360" w:lineRule="exact"/>
              <w:jc w:val="center"/>
              <w:rPr>
                <w:rFonts w:ascii="宋体" w:hAnsi="宋体" w:cs="宋体"/>
                <w:kern w:val="0"/>
              </w:rPr>
            </w:pPr>
            <w:r>
              <w:rPr>
                <w:rFonts w:hint="eastAsia" w:ascii="宋体" w:hAnsi="宋体" w:cs="宋体"/>
                <w:kern w:val="0"/>
              </w:rPr>
              <w:t>0-8.0分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849" w:type="dxa"/>
            <w:vMerge w:val="continue"/>
            <w:tcBorders>
              <w:right w:val="single" w:color="auto" w:sz="4" w:space="0"/>
            </w:tcBorders>
            <w:vAlign w:val="center"/>
          </w:tcPr>
          <w:p>
            <w:pPr>
              <w:pStyle w:val="147"/>
              <w:rPr>
                <w:sz w:val="21"/>
                <w:szCs w:val="21"/>
              </w:rPr>
            </w:pPr>
          </w:p>
        </w:tc>
        <w:tc>
          <w:tcPr>
            <w:tcW w:w="1100" w:type="dxa"/>
            <w:vMerge w:val="continue"/>
            <w:tcBorders>
              <w:left w:val="single" w:color="auto" w:sz="4" w:space="0"/>
              <w:right w:val="single" w:color="auto" w:sz="4" w:space="0"/>
            </w:tcBorders>
            <w:vAlign w:val="center"/>
          </w:tcPr>
          <w:p>
            <w:pPr>
              <w:spacing w:line="360" w:lineRule="exact"/>
              <w:jc w:val="center"/>
              <w:rPr>
                <w:rFonts w:ascii="宋体" w:hAnsi="宋体" w:cs="宋体"/>
              </w:rPr>
            </w:pPr>
          </w:p>
        </w:tc>
        <w:tc>
          <w:tcPr>
            <w:tcW w:w="2268"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项目管理方案</w:t>
            </w:r>
          </w:p>
        </w:tc>
        <w:tc>
          <w:tcPr>
            <w:tcW w:w="3544" w:type="dxa"/>
            <w:gridSpan w:val="2"/>
            <w:tcBorders>
              <w:top w:val="single" w:color="auto" w:sz="4" w:space="0"/>
              <w:left w:val="single" w:color="auto" w:sz="4" w:space="0"/>
              <w:bottom w:val="single" w:color="auto" w:sz="4" w:space="0"/>
            </w:tcBorders>
            <w:vAlign w:val="center"/>
          </w:tcPr>
          <w:p>
            <w:pPr>
              <w:adjustRightInd w:val="0"/>
              <w:snapToGrid w:val="0"/>
              <w:spacing w:line="264" w:lineRule="auto"/>
              <w:rPr>
                <w:rFonts w:ascii="宋体" w:hAnsi="宋体" w:cs="宋体"/>
              </w:rPr>
            </w:pPr>
            <w:r>
              <w:rPr>
                <w:rFonts w:ascii="宋体" w:hAnsi="宋体" w:cs="宋体"/>
              </w:rPr>
              <w:t>根据</w:t>
            </w:r>
            <w:r>
              <w:rPr>
                <w:rFonts w:hint="eastAsia" w:ascii="宋体" w:hAnsi="宋体" w:cs="宋体"/>
              </w:rPr>
              <w:t>各投标人项目管理方案是否全面、完善、有</w:t>
            </w:r>
            <w:r>
              <w:rPr>
                <w:rFonts w:hint="eastAsia" w:ascii="宋体" w:hAnsi="宋体"/>
                <w:shd w:val="clear" w:color="auto" w:fill="FFFFFF"/>
              </w:rPr>
              <w:t>针对性，整体管理方案是否</w:t>
            </w:r>
            <w:r>
              <w:rPr>
                <w:rFonts w:hint="eastAsia" w:ascii="宋体" w:hAnsi="宋体" w:cs="宋体"/>
              </w:rPr>
              <w:t>合理可行，是否能够指导项目具体实施，酌情打分。</w:t>
            </w:r>
          </w:p>
        </w:tc>
        <w:tc>
          <w:tcPr>
            <w:tcW w:w="1701" w:type="dxa"/>
            <w:gridSpan w:val="2"/>
            <w:tcBorders>
              <w:top w:val="single" w:color="auto" w:sz="4" w:space="0"/>
              <w:left w:val="single" w:color="auto" w:sz="4" w:space="0"/>
              <w:bottom w:val="single" w:color="auto" w:sz="4" w:space="0"/>
            </w:tcBorders>
            <w:vAlign w:val="center"/>
          </w:tcPr>
          <w:p>
            <w:pPr>
              <w:spacing w:line="360" w:lineRule="exact"/>
              <w:jc w:val="center"/>
              <w:rPr>
                <w:rFonts w:ascii="宋体" w:hAnsi="宋体" w:cs="宋体"/>
                <w:kern w:val="0"/>
              </w:rPr>
            </w:pPr>
            <w:r>
              <w:rPr>
                <w:rFonts w:hint="eastAsia" w:ascii="宋体" w:hAnsi="宋体" w:cs="宋体"/>
                <w:kern w:val="0"/>
              </w:rPr>
              <w:t>0-4.0分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849" w:type="dxa"/>
            <w:vMerge w:val="continue"/>
            <w:tcBorders>
              <w:bottom w:val="single" w:color="auto" w:sz="4" w:space="0"/>
              <w:right w:val="single" w:color="auto" w:sz="4" w:space="0"/>
            </w:tcBorders>
            <w:vAlign w:val="center"/>
          </w:tcPr>
          <w:p>
            <w:pPr>
              <w:pStyle w:val="147"/>
              <w:rPr>
                <w:sz w:val="21"/>
                <w:szCs w:val="21"/>
              </w:rPr>
            </w:pPr>
          </w:p>
        </w:tc>
        <w:tc>
          <w:tcPr>
            <w:tcW w:w="1100" w:type="dxa"/>
            <w:vMerge w:val="continue"/>
            <w:tcBorders>
              <w:left w:val="single" w:color="auto" w:sz="4" w:space="0"/>
              <w:bottom w:val="single" w:color="auto" w:sz="4" w:space="0"/>
              <w:right w:val="single" w:color="auto" w:sz="4" w:space="0"/>
            </w:tcBorders>
            <w:vAlign w:val="center"/>
          </w:tcPr>
          <w:p>
            <w:pPr>
              <w:spacing w:line="360" w:lineRule="exact"/>
              <w:jc w:val="center"/>
              <w:rPr>
                <w:rFonts w:ascii="宋体" w:hAnsi="宋体" w:cs="宋体"/>
              </w:rPr>
            </w:pPr>
          </w:p>
        </w:tc>
        <w:tc>
          <w:tcPr>
            <w:tcW w:w="2268" w:type="dxa"/>
            <w:vMerge w:val="continue"/>
            <w:tcBorders>
              <w:left w:val="single" w:color="auto" w:sz="4" w:space="0"/>
              <w:bottom w:val="single" w:color="auto" w:sz="4" w:space="0"/>
              <w:right w:val="single" w:color="auto" w:sz="4" w:space="0"/>
            </w:tcBorders>
            <w:vAlign w:val="center"/>
          </w:tcPr>
          <w:p>
            <w:pPr>
              <w:widowControl/>
              <w:jc w:val="left"/>
              <w:rPr>
                <w:rFonts w:ascii="宋体"/>
              </w:rPr>
            </w:pPr>
          </w:p>
        </w:tc>
        <w:tc>
          <w:tcPr>
            <w:tcW w:w="3544" w:type="dxa"/>
            <w:gridSpan w:val="2"/>
            <w:tcBorders>
              <w:top w:val="single" w:color="auto" w:sz="4" w:space="0"/>
              <w:left w:val="single" w:color="auto" w:sz="4" w:space="0"/>
              <w:bottom w:val="single" w:color="auto" w:sz="4" w:space="0"/>
            </w:tcBorders>
            <w:vAlign w:val="center"/>
          </w:tcPr>
          <w:p>
            <w:pPr>
              <w:adjustRightInd w:val="0"/>
              <w:snapToGrid w:val="0"/>
              <w:spacing w:line="264" w:lineRule="auto"/>
              <w:rPr>
                <w:rFonts w:ascii="宋体" w:hAnsi="宋体" w:cs="宋体"/>
              </w:rPr>
            </w:pPr>
            <w:r>
              <w:rPr>
                <w:rFonts w:hint="eastAsia" w:ascii="宋体" w:hAnsi="宋体" w:cs="宋体"/>
              </w:rPr>
              <w:t>根据各投标人项目管理方案中对项目的计划、组织、协调、实施等内容措施是否详细，针对性强，酌情打分。</w:t>
            </w:r>
          </w:p>
        </w:tc>
        <w:tc>
          <w:tcPr>
            <w:tcW w:w="1701" w:type="dxa"/>
            <w:gridSpan w:val="2"/>
            <w:tcBorders>
              <w:top w:val="single" w:color="auto" w:sz="4" w:space="0"/>
              <w:left w:val="single" w:color="auto" w:sz="4" w:space="0"/>
              <w:bottom w:val="single" w:color="auto" w:sz="4" w:space="0"/>
            </w:tcBorders>
            <w:vAlign w:val="center"/>
          </w:tcPr>
          <w:p>
            <w:pPr>
              <w:spacing w:line="360" w:lineRule="auto"/>
              <w:jc w:val="center"/>
              <w:rPr>
                <w:rFonts w:ascii="宋体" w:hAnsi="宋体" w:cs="宋体"/>
              </w:rPr>
            </w:pPr>
            <w:r>
              <w:rPr>
                <w:rFonts w:hint="eastAsia" w:ascii="宋体" w:hAnsi="宋体" w:cs="宋体"/>
                <w:kern w:val="0"/>
              </w:rPr>
              <w:t>0-3.0分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6" w:hRule="atLeast"/>
        </w:trPr>
        <w:tc>
          <w:tcPr>
            <w:tcW w:w="849" w:type="dxa"/>
            <w:tcBorders>
              <w:top w:val="single" w:color="auto" w:sz="4" w:space="0"/>
              <w:bottom w:val="single" w:color="auto" w:sz="4" w:space="0"/>
              <w:right w:val="single" w:color="auto" w:sz="4" w:space="0"/>
            </w:tcBorders>
            <w:vAlign w:val="center"/>
          </w:tcPr>
          <w:p>
            <w:pPr>
              <w:pStyle w:val="147"/>
              <w:rPr>
                <w:sz w:val="21"/>
                <w:szCs w:val="21"/>
              </w:rPr>
            </w:pPr>
            <w:r>
              <w:rPr>
                <w:sz w:val="21"/>
                <w:szCs w:val="21"/>
              </w:rPr>
              <w:t>2.2.4</w:t>
            </w:r>
          </w:p>
          <w:p>
            <w:pPr>
              <w:pStyle w:val="147"/>
              <w:rPr>
                <w:rFonts w:cs="Calibri"/>
                <w:sz w:val="21"/>
                <w:szCs w:val="21"/>
              </w:rPr>
            </w:pPr>
            <w:r>
              <w:rPr>
                <w:rFonts w:hint="eastAsia"/>
                <w:sz w:val="21"/>
                <w:szCs w:val="21"/>
              </w:rPr>
              <w:t>（</w:t>
            </w:r>
            <w:r>
              <w:rPr>
                <w:sz w:val="21"/>
                <w:szCs w:val="21"/>
              </w:rPr>
              <w:t>3</w:t>
            </w:r>
            <w:r>
              <w:rPr>
                <w:rFonts w:hint="eastAsia"/>
                <w:sz w:val="21"/>
                <w:szCs w:val="21"/>
              </w:rPr>
              <w:t>）</w:t>
            </w:r>
          </w:p>
        </w:tc>
        <w:tc>
          <w:tcPr>
            <w:tcW w:w="1100" w:type="dxa"/>
            <w:tcBorders>
              <w:top w:val="single" w:color="auto" w:sz="4" w:space="0"/>
              <w:left w:val="single" w:color="auto" w:sz="4" w:space="0"/>
              <w:bottom w:val="single" w:color="auto" w:sz="4" w:space="0"/>
              <w:right w:val="single" w:color="auto" w:sz="4" w:space="0"/>
            </w:tcBorders>
            <w:vAlign w:val="center"/>
          </w:tcPr>
          <w:p>
            <w:pPr>
              <w:pStyle w:val="107"/>
              <w:jc w:val="center"/>
              <w:rPr>
                <w:rFonts w:ascii="宋体" w:cs="Calibri"/>
                <w:color w:val="auto"/>
                <w:kern w:val="2"/>
                <w:sz w:val="21"/>
                <w:szCs w:val="21"/>
              </w:rPr>
            </w:pPr>
            <w:r>
              <w:rPr>
                <w:rFonts w:hint="eastAsia" w:ascii="宋体" w:hAnsi="宋体" w:cs="宋体"/>
                <w:color w:val="auto"/>
                <w:kern w:val="2"/>
                <w:sz w:val="21"/>
                <w:szCs w:val="21"/>
              </w:rPr>
              <w:t>投标报价评分标准</w:t>
            </w:r>
          </w:p>
          <w:p>
            <w:pPr>
              <w:pStyle w:val="107"/>
              <w:jc w:val="center"/>
              <w:rPr>
                <w:rFonts w:ascii="宋体" w:cs="Calibri"/>
                <w:color w:val="auto"/>
                <w:kern w:val="2"/>
                <w:sz w:val="21"/>
                <w:szCs w:val="21"/>
              </w:rPr>
            </w:pPr>
            <w:r>
              <w:rPr>
                <w:rFonts w:hint="eastAsia" w:ascii="宋体" w:hAnsi="宋体" w:cs="宋体"/>
                <w:color w:val="auto"/>
                <w:kern w:val="2"/>
                <w:sz w:val="21"/>
                <w:szCs w:val="21"/>
              </w:rPr>
              <w:t>（</w:t>
            </w:r>
            <w:r>
              <w:rPr>
                <w:rFonts w:ascii="宋体" w:hAnsi="宋体" w:cs="宋体"/>
                <w:color w:val="auto"/>
                <w:kern w:val="2"/>
                <w:sz w:val="21"/>
                <w:szCs w:val="21"/>
              </w:rPr>
              <w:t>3</w:t>
            </w:r>
            <w:r>
              <w:rPr>
                <w:rFonts w:hint="eastAsia" w:ascii="宋体" w:hAnsi="宋体" w:cs="宋体"/>
                <w:color w:val="auto"/>
                <w:kern w:val="2"/>
                <w:sz w:val="21"/>
                <w:szCs w:val="21"/>
              </w:rPr>
              <w:t>5分）</w:t>
            </w:r>
          </w:p>
        </w:tc>
        <w:tc>
          <w:tcPr>
            <w:tcW w:w="7513" w:type="dxa"/>
            <w:gridSpan w:val="5"/>
            <w:tcBorders>
              <w:top w:val="single" w:color="auto" w:sz="4" w:space="0"/>
              <w:left w:val="single" w:color="auto" w:sz="4" w:space="0"/>
              <w:bottom w:val="single" w:color="auto" w:sz="4" w:space="0"/>
            </w:tcBorders>
            <w:vAlign w:val="center"/>
          </w:tcPr>
          <w:p>
            <w:pPr>
              <w:spacing w:line="440" w:lineRule="exact"/>
              <w:rPr>
                <w:rFonts w:ascii="宋体" w:hAnsi="宋体" w:cs="宋体"/>
              </w:rPr>
            </w:pPr>
            <w:r>
              <w:rPr>
                <w:rFonts w:hint="eastAsia" w:ascii="宋体" w:hAnsi="宋体" w:cs="宋体"/>
              </w:rPr>
              <w:t>有效投标人评标价与评标基准价一致得满分，评标价每比评标基准价高一个百分点减</w:t>
            </w:r>
            <w:r>
              <w:rPr>
                <w:rFonts w:ascii="宋体" w:hAnsi="宋体" w:cs="宋体"/>
              </w:rPr>
              <w:t>0.</w:t>
            </w:r>
            <w:r>
              <w:rPr>
                <w:rFonts w:hint="eastAsia" w:ascii="宋体" w:hAnsi="宋体" w:cs="宋体"/>
              </w:rPr>
              <w:t>1分；评标价每比评标基准价低一个百分点减</w:t>
            </w:r>
            <w:r>
              <w:rPr>
                <w:rFonts w:ascii="宋体" w:hAnsi="宋体" w:cs="宋体"/>
              </w:rPr>
              <w:t>0.</w:t>
            </w:r>
            <w:r>
              <w:rPr>
                <w:rFonts w:hint="eastAsia" w:ascii="宋体" w:hAnsi="宋体" w:cs="宋体"/>
              </w:rPr>
              <w:t>1分；不足一个百分点按插入法计算。（计算得分保留2位小数）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6" w:hRule="atLeast"/>
        </w:trPr>
        <w:tc>
          <w:tcPr>
            <w:tcW w:w="849" w:type="dxa"/>
            <w:tcBorders>
              <w:top w:val="single" w:color="auto" w:sz="4" w:space="0"/>
              <w:bottom w:val="single" w:color="auto" w:sz="4" w:space="0"/>
              <w:right w:val="single" w:color="auto" w:sz="4" w:space="0"/>
            </w:tcBorders>
            <w:vAlign w:val="center"/>
          </w:tcPr>
          <w:p>
            <w:pPr>
              <w:pStyle w:val="147"/>
              <w:rPr>
                <w:sz w:val="21"/>
                <w:szCs w:val="21"/>
              </w:rPr>
            </w:pPr>
            <w:r>
              <w:rPr>
                <w:sz w:val="21"/>
                <w:szCs w:val="21"/>
              </w:rPr>
              <w:t>2.2.4</w:t>
            </w:r>
          </w:p>
          <w:p>
            <w:pPr>
              <w:pStyle w:val="147"/>
              <w:rPr>
                <w:rFonts w:cs="Calibri"/>
                <w:sz w:val="21"/>
                <w:szCs w:val="21"/>
              </w:rPr>
            </w:pPr>
            <w:r>
              <w:rPr>
                <w:rFonts w:hint="eastAsia"/>
                <w:sz w:val="21"/>
                <w:szCs w:val="21"/>
              </w:rPr>
              <w:t>（</w:t>
            </w:r>
            <w:r>
              <w:rPr>
                <w:sz w:val="21"/>
                <w:szCs w:val="21"/>
              </w:rPr>
              <w:t>4</w:t>
            </w:r>
            <w:r>
              <w:rPr>
                <w:rFonts w:hint="eastAsia"/>
                <w:sz w:val="21"/>
                <w:szCs w:val="21"/>
              </w:rPr>
              <w:t>）</w:t>
            </w:r>
          </w:p>
        </w:tc>
        <w:tc>
          <w:tcPr>
            <w:tcW w:w="1100" w:type="dxa"/>
            <w:tcBorders>
              <w:top w:val="single" w:color="auto" w:sz="4" w:space="0"/>
              <w:left w:val="single" w:color="auto" w:sz="4" w:space="0"/>
              <w:bottom w:val="single" w:color="auto" w:sz="4" w:space="0"/>
              <w:right w:val="single" w:color="auto" w:sz="4" w:space="0"/>
            </w:tcBorders>
            <w:vAlign w:val="center"/>
          </w:tcPr>
          <w:p>
            <w:pPr>
              <w:pStyle w:val="107"/>
              <w:jc w:val="center"/>
              <w:rPr>
                <w:rFonts w:ascii="宋体" w:hAnsi="宋体" w:cs="宋体"/>
                <w:color w:val="auto"/>
                <w:kern w:val="2"/>
                <w:sz w:val="21"/>
                <w:szCs w:val="21"/>
              </w:rPr>
            </w:pPr>
            <w:r>
              <w:rPr>
                <w:rFonts w:hint="eastAsia" w:ascii="宋体" w:hAnsi="宋体" w:cs="宋体"/>
                <w:color w:val="auto"/>
                <w:kern w:val="2"/>
                <w:sz w:val="21"/>
                <w:szCs w:val="21"/>
              </w:rPr>
              <w:t>其他因素评分标准</w:t>
            </w:r>
          </w:p>
          <w:p>
            <w:pPr>
              <w:pStyle w:val="107"/>
              <w:jc w:val="center"/>
              <w:rPr>
                <w:rFonts w:ascii="宋体" w:cs="Calibri"/>
                <w:color w:val="auto"/>
                <w:kern w:val="2"/>
                <w:sz w:val="21"/>
                <w:szCs w:val="21"/>
              </w:rPr>
            </w:pPr>
            <w:r>
              <w:rPr>
                <w:rFonts w:hint="eastAsia" w:ascii="宋体" w:hAnsi="宋体" w:cs="宋体"/>
                <w:color w:val="auto"/>
                <w:kern w:val="2"/>
                <w:sz w:val="21"/>
                <w:szCs w:val="21"/>
              </w:rPr>
              <w:t>（25分）</w:t>
            </w:r>
          </w:p>
        </w:tc>
        <w:tc>
          <w:tcPr>
            <w:tcW w:w="7513" w:type="dxa"/>
            <w:gridSpan w:val="5"/>
            <w:tcBorders>
              <w:top w:val="single" w:color="auto" w:sz="4" w:space="0"/>
              <w:left w:val="single" w:color="auto" w:sz="4" w:space="0"/>
              <w:bottom w:val="single" w:color="auto" w:sz="4" w:space="0"/>
            </w:tcBorders>
            <w:vAlign w:val="center"/>
          </w:tcPr>
          <w:p>
            <w:pPr>
              <w:spacing w:line="440" w:lineRule="exact"/>
              <w:rPr>
                <w:rFonts w:ascii="宋体" w:hAnsi="宋体" w:cs="宋体"/>
              </w:rPr>
            </w:pPr>
            <w:r>
              <w:rPr>
                <w:rFonts w:hint="eastAsia" w:ascii="宋体" w:hAnsi="宋体" w:cs="宋体"/>
              </w:rPr>
              <w:t>1、投标人（以联合体投标的为联合体牵头人）</w:t>
            </w:r>
            <w:r>
              <w:fldChar w:fldCharType="begin"/>
            </w:r>
            <w:r>
              <w:instrText xml:space="preserve"> HYPERLINK "http://www.shenkan.com.cn/honourView.asp?id=35" \t "_blank" </w:instrText>
            </w:r>
            <w:r>
              <w:fldChar w:fldCharType="separate"/>
            </w:r>
            <w:r>
              <w:rPr>
                <w:rFonts w:hint="eastAsia"/>
              </w:rPr>
              <w:t>银行资信证明</w:t>
            </w:r>
            <w:r>
              <w:rPr>
                <w:rFonts w:hint="eastAsia"/>
              </w:rPr>
              <w:fldChar w:fldCharType="end"/>
            </w:r>
            <w:r>
              <w:rPr>
                <w:rFonts w:hint="eastAsia" w:ascii="宋体" w:hAnsi="宋体" w:cs="宋体"/>
              </w:rPr>
              <w:t>等级评定为AAA级得1分。</w:t>
            </w:r>
          </w:p>
          <w:p>
            <w:pPr>
              <w:spacing w:line="440" w:lineRule="exact"/>
              <w:rPr>
                <w:rFonts w:ascii="宋体" w:hAnsi="宋体" w:cs="宋体"/>
              </w:rPr>
            </w:pPr>
            <w:r>
              <w:rPr>
                <w:rFonts w:hint="eastAsia" w:ascii="宋体" w:hAnsi="宋体" w:cs="宋体"/>
              </w:rPr>
              <w:t>2投标人（以联合体投标的为联合体牵头人）近五年承揽过铁路工程总承包项目，合同额20亿以上（含20亿）的项目每个得2分，最</w:t>
            </w:r>
            <w:r>
              <w:rPr>
                <w:rFonts w:ascii="宋体" w:hAnsi="宋体" w:cs="宋体"/>
              </w:rPr>
              <w:t>多得</w:t>
            </w:r>
            <w:r>
              <w:rPr>
                <w:rFonts w:hint="eastAsia" w:ascii="宋体" w:hAnsi="宋体" w:cs="宋体"/>
              </w:rPr>
              <w:t>6分</w:t>
            </w:r>
            <w:r>
              <w:rPr>
                <w:rFonts w:ascii="宋体" w:hAnsi="宋体" w:cs="宋体"/>
              </w:rPr>
              <w:t>；</w:t>
            </w:r>
            <w:r>
              <w:rPr>
                <w:rFonts w:hint="eastAsia" w:ascii="宋体" w:hAnsi="宋体" w:cs="宋体"/>
              </w:rPr>
              <w:t>20亿以下的项目每个得1分，最多得3分。本项最高得9分。</w:t>
            </w:r>
          </w:p>
          <w:p>
            <w:pPr>
              <w:spacing w:line="440" w:lineRule="exact"/>
              <w:rPr>
                <w:rFonts w:ascii="宋体" w:hAnsi="宋体" w:cs="宋体"/>
              </w:rPr>
            </w:pPr>
            <w:r>
              <w:rPr>
                <w:rFonts w:hint="eastAsia" w:ascii="宋体" w:hAnsi="宋体" w:cs="宋体"/>
              </w:rPr>
              <w:t>3、投标人（以联合体投标的为联合体牵头人）近五年每提供一项电气化铁路干线工程“三电”迁改工程总承包业绩的得2分，最高得4分。</w:t>
            </w:r>
          </w:p>
          <w:p>
            <w:pPr>
              <w:spacing w:line="440" w:lineRule="exact"/>
              <w:rPr>
                <w:rFonts w:ascii="宋体" w:hAnsi="宋体" w:cs="宋体"/>
              </w:rPr>
            </w:pPr>
            <w:r>
              <w:rPr>
                <w:rFonts w:hint="eastAsia" w:ascii="宋体" w:hAnsi="宋体" w:cs="宋体"/>
              </w:rPr>
              <w:t>4、投标人（以联合体投标的为联合体牵头人）</w:t>
            </w:r>
            <w:r>
              <w:rPr>
                <w:rFonts w:ascii="宋体" w:hAnsi="宋体" w:cs="宋体"/>
              </w:rPr>
              <w:t>近三年</w:t>
            </w:r>
            <w:r>
              <w:rPr>
                <w:rFonts w:hint="eastAsia" w:ascii="宋体" w:hAnsi="宋体" w:cs="宋体"/>
              </w:rPr>
              <w:t>（2019年度、2020年度、2021年度）</w:t>
            </w:r>
            <w:r>
              <w:rPr>
                <w:rFonts w:ascii="宋体" w:hAnsi="宋体" w:cs="宋体"/>
              </w:rPr>
              <w:t>平均营业收入≥100亿元，得</w:t>
            </w:r>
            <w:r>
              <w:rPr>
                <w:rFonts w:hint="eastAsia" w:ascii="宋体" w:hAnsi="宋体" w:cs="宋体"/>
              </w:rPr>
              <w:t>7</w:t>
            </w:r>
            <w:r>
              <w:rPr>
                <w:rFonts w:ascii="宋体" w:hAnsi="宋体" w:cs="宋体"/>
              </w:rPr>
              <w:t>分，100亿元&gt;近三年平均营业收入≥50亿元，得</w:t>
            </w:r>
            <w:r>
              <w:rPr>
                <w:rFonts w:hint="eastAsia" w:ascii="宋体" w:hAnsi="宋体" w:cs="宋体"/>
              </w:rPr>
              <w:t>5</w:t>
            </w:r>
            <w:r>
              <w:rPr>
                <w:rFonts w:ascii="宋体" w:hAnsi="宋体" w:cs="宋体"/>
              </w:rPr>
              <w:t>分，50亿元&gt;近三年平均营业收入≥20亿元，得3分，其余得1分。</w:t>
            </w:r>
            <w:r>
              <w:rPr>
                <w:rFonts w:hint="eastAsia" w:ascii="宋体" w:hAnsi="宋体" w:cs="宋体"/>
              </w:rPr>
              <w:t>（以经会计师事务所或审计机构出具的2019年度、2020年度、2021年度的审计报告中的数据为准）。</w:t>
            </w:r>
          </w:p>
          <w:p>
            <w:pPr>
              <w:spacing w:line="440" w:lineRule="exact"/>
              <w:rPr>
                <w:rFonts w:ascii="宋体" w:hAnsi="宋体" w:cs="宋体"/>
              </w:rPr>
            </w:pPr>
            <w:r>
              <w:rPr>
                <w:rFonts w:hint="eastAsia" w:ascii="宋体" w:hAnsi="宋体" w:cs="宋体"/>
              </w:rPr>
              <w:t>5、投标人（以联合体投标的为联合体牵头人）近五年每提供一项时速350公里及以上电气化铁路设计业绩或总承包业绩的得2分，本项最高得4分。</w:t>
            </w:r>
          </w:p>
          <w:p>
            <w:pPr>
              <w:spacing w:line="440" w:lineRule="exact"/>
              <w:rPr>
                <w:rFonts w:ascii="宋体" w:hAnsi="宋体" w:cs="宋体"/>
                <w:b/>
                <w:bCs/>
              </w:rPr>
            </w:pPr>
          </w:p>
          <w:p>
            <w:pPr>
              <w:spacing w:line="440" w:lineRule="exact"/>
              <w:rPr>
                <w:rFonts w:ascii="宋体" w:hAnsi="宋体" w:cs="宋体"/>
                <w:b/>
                <w:bCs/>
              </w:rPr>
            </w:pPr>
            <w:r>
              <w:rPr>
                <w:rFonts w:hint="eastAsia" w:ascii="宋体" w:hAnsi="宋体" w:cs="宋体"/>
                <w:b/>
                <w:bCs/>
              </w:rPr>
              <w:t>注：</w:t>
            </w:r>
          </w:p>
          <w:p>
            <w:pPr>
              <w:spacing w:line="440" w:lineRule="exact"/>
              <w:rPr>
                <w:rFonts w:ascii="宋体" w:hAnsi="宋体" w:cs="宋体"/>
                <w:b/>
                <w:bCs/>
              </w:rPr>
            </w:pPr>
            <w:r>
              <w:rPr>
                <w:rFonts w:hint="eastAsia" w:ascii="宋体" w:hAnsi="宋体" w:cs="宋体"/>
                <w:b/>
                <w:bCs/>
              </w:rPr>
              <w:t>（1）以上业绩证明材料应提供合同协议书扫描件，合同中不能体现的内容应附业主证明或其他可证明材料；</w:t>
            </w:r>
          </w:p>
          <w:p>
            <w:pPr>
              <w:spacing w:line="440" w:lineRule="exact"/>
              <w:rPr>
                <w:rFonts w:ascii="宋体"/>
              </w:rPr>
            </w:pPr>
            <w:r>
              <w:rPr>
                <w:rFonts w:hint="eastAsia" w:ascii="宋体" w:hAnsi="宋体" w:cs="宋体"/>
                <w:b/>
                <w:bCs/>
              </w:rPr>
              <w:t>（2）近五年为20</w:t>
            </w:r>
            <w:r>
              <w:rPr>
                <w:rFonts w:ascii="宋体" w:hAnsi="宋体" w:cs="宋体"/>
                <w:b/>
                <w:bCs/>
              </w:rPr>
              <w:t>18</w:t>
            </w:r>
            <w:r>
              <w:rPr>
                <w:rFonts w:hint="eastAsia" w:ascii="宋体" w:hAnsi="宋体" w:cs="宋体"/>
                <w:b/>
                <w:bCs/>
              </w:rPr>
              <w:t>年1月1日至今（以合同签订时间为准）。</w:t>
            </w:r>
          </w:p>
        </w:tc>
      </w:tr>
    </w:tbl>
    <w:p>
      <w:pPr>
        <w:spacing w:line="440" w:lineRule="exact"/>
        <w:rPr>
          <w:rFonts w:ascii="宋体"/>
        </w:rPr>
      </w:pPr>
      <w:r>
        <w:rPr>
          <w:rFonts w:hint="eastAsia" w:ascii="宋体" w:hAnsi="宋体" w:cs="宋体"/>
        </w:rPr>
        <w:t>注：</w:t>
      </w:r>
      <w:r>
        <w:rPr>
          <w:rFonts w:ascii="宋体" w:hAnsi="宋体" w:cs="宋体"/>
        </w:rPr>
        <w:t>1</w:t>
      </w:r>
      <w:r>
        <w:rPr>
          <w:rFonts w:hint="eastAsia" w:ascii="宋体" w:hAnsi="宋体" w:cs="宋体"/>
        </w:rPr>
        <w:t>、评委打分最多保留</w:t>
      </w:r>
      <w:r>
        <w:rPr>
          <w:rFonts w:ascii="宋体" w:hAnsi="宋体" w:cs="宋体"/>
        </w:rPr>
        <w:t>1</w:t>
      </w:r>
      <w:r>
        <w:rPr>
          <w:rFonts w:hint="eastAsia" w:ascii="宋体" w:hAnsi="宋体" w:cs="宋体"/>
        </w:rPr>
        <w:t>位小数，计算得分保留2位小数。</w:t>
      </w:r>
    </w:p>
    <w:p>
      <w:pPr>
        <w:spacing w:line="440" w:lineRule="exact"/>
        <w:rPr>
          <w:rFonts w:ascii="宋体"/>
        </w:rPr>
      </w:pPr>
    </w:p>
    <w:p>
      <w:pPr>
        <w:widowControl/>
        <w:jc w:val="left"/>
        <w:rPr>
          <w:rFonts w:ascii="宋体"/>
          <w:b/>
          <w:bCs/>
          <w:sz w:val="24"/>
          <w:szCs w:val="24"/>
        </w:rPr>
      </w:pPr>
      <w:r>
        <w:rPr>
          <w:rFonts w:ascii="宋体"/>
        </w:rPr>
        <w:br w:type="page"/>
      </w:r>
      <w:r>
        <w:rPr>
          <w:rFonts w:ascii="宋体" w:hAnsi="宋体" w:cs="宋体"/>
          <w:b/>
          <w:bCs/>
          <w:sz w:val="24"/>
          <w:szCs w:val="24"/>
        </w:rPr>
        <w:t xml:space="preserve">    1.</w:t>
      </w:r>
      <w:r>
        <w:rPr>
          <w:rFonts w:ascii="宋体" w:hAnsi="宋体" w:cs="宋体"/>
          <w:b/>
          <w:bCs/>
          <w:sz w:val="24"/>
          <w:szCs w:val="24"/>
        </w:rPr>
        <w:tab/>
      </w:r>
      <w:r>
        <w:rPr>
          <w:rFonts w:hint="eastAsia" w:ascii="宋体" w:hAnsi="宋体" w:cs="宋体"/>
          <w:b/>
          <w:bCs/>
          <w:sz w:val="24"/>
          <w:szCs w:val="24"/>
        </w:rPr>
        <w:t>评标方法</w:t>
      </w:r>
    </w:p>
    <w:p>
      <w:pPr>
        <w:spacing w:line="440" w:lineRule="exact"/>
        <w:ind w:firstLine="420" w:firstLineChars="200"/>
        <w:rPr>
          <w:rFonts w:ascii="宋体"/>
        </w:rPr>
      </w:pPr>
      <w:r>
        <w:rPr>
          <w:rFonts w:hint="eastAsia" w:ascii="宋体" w:hAnsi="宋体" w:cs="宋体"/>
        </w:rPr>
        <w:t>本次评标采用综合评估法。评标委员会对满足招标文件实质性要求的投标文件，按照本章第</w:t>
      </w:r>
      <w:r>
        <w:rPr>
          <w:rFonts w:ascii="宋体" w:hAnsi="宋体" w:cs="宋体"/>
        </w:rPr>
        <w:t xml:space="preserve"> 2.2 </w:t>
      </w:r>
      <w:r>
        <w:rPr>
          <w:rFonts w:hint="eastAsia" w:ascii="宋体" w:hAnsi="宋体" w:cs="宋体"/>
        </w:rPr>
        <w:t>款规定的评分标准进行打分，并按得分由高到低顺序推荐中标候选人，或根据招标人授权直接确定中标人，但投标报价低于其成本的除外。综合评分相等时，以投标报价低的优先；</w:t>
      </w:r>
      <w:r>
        <w:rPr>
          <w:rFonts w:ascii="宋体" w:hAnsi="宋体" w:cs="宋体"/>
        </w:rPr>
        <w:t xml:space="preserve"> </w:t>
      </w:r>
      <w:r>
        <w:rPr>
          <w:rFonts w:hint="eastAsia" w:ascii="宋体" w:hAnsi="宋体" w:cs="宋体"/>
        </w:rPr>
        <w:t>投标报价也相等的，按照评标办法前附表的规定确定中标候选人顺序。</w:t>
      </w:r>
    </w:p>
    <w:p>
      <w:pPr>
        <w:spacing w:line="440" w:lineRule="exact"/>
        <w:ind w:firstLine="482" w:firstLineChars="200"/>
        <w:outlineLvl w:val="1"/>
        <w:rPr>
          <w:rFonts w:ascii="宋体"/>
          <w:b/>
          <w:bCs/>
          <w:sz w:val="24"/>
          <w:szCs w:val="24"/>
        </w:rPr>
      </w:pPr>
      <w:bookmarkStart w:id="192" w:name="_Toc84265621"/>
      <w:bookmarkStart w:id="193" w:name="_Toc42001854"/>
      <w:r>
        <w:rPr>
          <w:rFonts w:ascii="宋体" w:hAnsi="宋体" w:cs="宋体"/>
          <w:b/>
          <w:bCs/>
          <w:sz w:val="24"/>
          <w:szCs w:val="24"/>
        </w:rPr>
        <w:t>2.</w:t>
      </w:r>
      <w:r>
        <w:rPr>
          <w:rFonts w:ascii="宋体" w:hAnsi="宋体" w:cs="宋体"/>
          <w:b/>
          <w:bCs/>
          <w:sz w:val="24"/>
          <w:szCs w:val="24"/>
        </w:rPr>
        <w:tab/>
      </w:r>
      <w:r>
        <w:rPr>
          <w:rFonts w:hint="eastAsia" w:ascii="宋体" w:hAnsi="宋体" w:cs="宋体"/>
          <w:b/>
          <w:bCs/>
          <w:sz w:val="24"/>
          <w:szCs w:val="24"/>
        </w:rPr>
        <w:t>评审标准</w:t>
      </w:r>
      <w:bookmarkEnd w:id="192"/>
      <w:bookmarkEnd w:id="193"/>
    </w:p>
    <w:p>
      <w:pPr>
        <w:spacing w:line="440" w:lineRule="exact"/>
        <w:ind w:firstLine="422" w:firstLineChars="200"/>
        <w:outlineLvl w:val="2"/>
        <w:rPr>
          <w:rFonts w:ascii="宋体"/>
          <w:b/>
          <w:bCs/>
        </w:rPr>
      </w:pPr>
      <w:bookmarkStart w:id="194" w:name="_Toc84265622"/>
      <w:bookmarkStart w:id="195" w:name="_Toc42001855"/>
      <w:r>
        <w:rPr>
          <w:rFonts w:ascii="宋体" w:hAnsi="宋体" w:cs="宋体"/>
          <w:b/>
          <w:bCs/>
        </w:rPr>
        <w:t>2.1</w:t>
      </w:r>
      <w:r>
        <w:rPr>
          <w:rFonts w:ascii="宋体" w:hAnsi="宋体" w:cs="宋体"/>
          <w:b/>
          <w:bCs/>
        </w:rPr>
        <w:tab/>
      </w:r>
      <w:r>
        <w:rPr>
          <w:rFonts w:hint="eastAsia" w:ascii="宋体" w:hAnsi="宋体" w:cs="宋体"/>
          <w:b/>
          <w:bCs/>
        </w:rPr>
        <w:t>初步评审标准</w:t>
      </w:r>
      <w:bookmarkEnd w:id="194"/>
      <w:bookmarkEnd w:id="195"/>
    </w:p>
    <w:p>
      <w:pPr>
        <w:spacing w:line="440" w:lineRule="exact"/>
        <w:ind w:firstLine="420" w:firstLineChars="200"/>
        <w:rPr>
          <w:rFonts w:ascii="宋体"/>
        </w:rPr>
      </w:pPr>
      <w:r>
        <w:rPr>
          <w:rFonts w:ascii="宋体" w:hAnsi="宋体" w:cs="宋体"/>
        </w:rPr>
        <w:t>2.1.1</w:t>
      </w:r>
      <w:r>
        <w:rPr>
          <w:rFonts w:ascii="宋体" w:hAnsi="宋体" w:cs="宋体"/>
        </w:rPr>
        <w:tab/>
      </w:r>
      <w:r>
        <w:rPr>
          <w:rFonts w:hint="eastAsia" w:ascii="宋体" w:hAnsi="宋体" w:cs="宋体"/>
        </w:rPr>
        <w:t>形式评审标准：见评标办法前附表。</w:t>
      </w:r>
    </w:p>
    <w:p>
      <w:pPr>
        <w:spacing w:line="440" w:lineRule="exact"/>
        <w:ind w:firstLine="420" w:firstLineChars="200"/>
        <w:rPr>
          <w:rFonts w:ascii="宋体"/>
        </w:rPr>
      </w:pPr>
      <w:r>
        <w:rPr>
          <w:rFonts w:ascii="宋体" w:hAnsi="宋体" w:cs="宋体"/>
        </w:rPr>
        <w:t>2.1.2</w:t>
      </w:r>
      <w:r>
        <w:rPr>
          <w:rFonts w:ascii="宋体" w:hAnsi="宋体" w:cs="宋体"/>
        </w:rPr>
        <w:tab/>
      </w:r>
      <w:r>
        <w:rPr>
          <w:rFonts w:hint="eastAsia" w:ascii="宋体" w:hAnsi="宋体" w:cs="宋体"/>
        </w:rPr>
        <w:t>资格评审标准：见评标办法前附表。</w:t>
      </w:r>
    </w:p>
    <w:p>
      <w:pPr>
        <w:spacing w:line="440" w:lineRule="exact"/>
        <w:ind w:firstLine="420" w:firstLineChars="200"/>
        <w:rPr>
          <w:rFonts w:ascii="宋体"/>
        </w:rPr>
      </w:pPr>
      <w:r>
        <w:rPr>
          <w:rFonts w:ascii="宋体" w:hAnsi="宋体" w:cs="宋体"/>
        </w:rPr>
        <w:t>2.1.3</w:t>
      </w:r>
      <w:r>
        <w:rPr>
          <w:rFonts w:ascii="宋体" w:hAnsi="宋体" w:cs="宋体"/>
        </w:rPr>
        <w:tab/>
      </w:r>
      <w:r>
        <w:rPr>
          <w:rFonts w:hint="eastAsia" w:ascii="宋体" w:hAnsi="宋体" w:cs="宋体"/>
        </w:rPr>
        <w:t>响应性评审标准：见评标办法前附表。</w:t>
      </w:r>
    </w:p>
    <w:p>
      <w:pPr>
        <w:spacing w:line="440" w:lineRule="exact"/>
        <w:ind w:firstLine="422" w:firstLineChars="200"/>
        <w:outlineLvl w:val="2"/>
        <w:rPr>
          <w:rFonts w:ascii="宋体"/>
          <w:b/>
          <w:bCs/>
        </w:rPr>
      </w:pPr>
      <w:bookmarkStart w:id="196" w:name="_Toc84265623"/>
      <w:bookmarkStart w:id="197" w:name="_Toc42001856"/>
      <w:r>
        <w:rPr>
          <w:rFonts w:ascii="宋体" w:hAnsi="宋体" w:cs="宋体"/>
          <w:b/>
          <w:bCs/>
        </w:rPr>
        <w:t>2.2</w:t>
      </w:r>
      <w:r>
        <w:rPr>
          <w:rFonts w:ascii="宋体" w:hAnsi="宋体" w:cs="宋体"/>
          <w:b/>
          <w:bCs/>
        </w:rPr>
        <w:tab/>
      </w:r>
      <w:r>
        <w:rPr>
          <w:rFonts w:hint="eastAsia" w:ascii="宋体" w:hAnsi="宋体" w:cs="宋体"/>
          <w:b/>
          <w:bCs/>
        </w:rPr>
        <w:t>分值构成与评分标准</w:t>
      </w:r>
      <w:bookmarkEnd w:id="196"/>
      <w:bookmarkEnd w:id="197"/>
    </w:p>
    <w:p>
      <w:pPr>
        <w:spacing w:line="440" w:lineRule="exact"/>
        <w:ind w:firstLine="420" w:firstLineChars="200"/>
        <w:rPr>
          <w:rFonts w:ascii="宋体"/>
        </w:rPr>
      </w:pPr>
      <w:r>
        <w:rPr>
          <w:rFonts w:ascii="宋体" w:hAnsi="宋体" w:cs="宋体"/>
        </w:rPr>
        <w:t>2.2.1</w:t>
      </w:r>
      <w:r>
        <w:rPr>
          <w:rFonts w:ascii="宋体" w:hAnsi="宋体" w:cs="宋体"/>
        </w:rPr>
        <w:tab/>
      </w:r>
      <w:r>
        <w:rPr>
          <w:rFonts w:hint="eastAsia" w:ascii="宋体" w:hAnsi="宋体" w:cs="宋体"/>
        </w:rPr>
        <w:t>分值构成</w:t>
      </w:r>
    </w:p>
    <w:p>
      <w:pPr>
        <w:spacing w:line="44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）设计施工组织方案评审：见评标办法前附表；</w:t>
      </w:r>
    </w:p>
    <w:p>
      <w:pPr>
        <w:spacing w:line="440" w:lineRule="exact"/>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rPr>
        <w:t>）项目管理方案评审：见评标办法前附表；</w:t>
      </w:r>
    </w:p>
    <w:p>
      <w:pPr>
        <w:spacing w:line="440" w:lineRule="exact"/>
        <w:ind w:firstLine="420" w:firstLineChars="200"/>
        <w:rPr>
          <w:rFonts w:ascii="宋体"/>
        </w:rPr>
      </w:pPr>
      <w:r>
        <w:rPr>
          <w:rFonts w:hint="eastAsia" w:ascii="宋体" w:hAnsi="宋体" w:cs="宋体"/>
        </w:rPr>
        <w:t>（</w:t>
      </w:r>
      <w:r>
        <w:rPr>
          <w:rFonts w:ascii="宋体" w:hAnsi="宋体" w:cs="宋体"/>
        </w:rPr>
        <w:t>3</w:t>
      </w:r>
      <w:r>
        <w:rPr>
          <w:rFonts w:hint="eastAsia" w:ascii="宋体" w:hAnsi="宋体" w:cs="宋体"/>
        </w:rPr>
        <w:t>）投标报价：见评标办法前附表；</w:t>
      </w:r>
    </w:p>
    <w:p>
      <w:pPr>
        <w:spacing w:line="440" w:lineRule="exact"/>
        <w:ind w:firstLine="420" w:firstLineChars="200"/>
        <w:rPr>
          <w:rFonts w:ascii="宋体"/>
        </w:rPr>
      </w:pPr>
      <w:r>
        <w:rPr>
          <w:rFonts w:hint="eastAsia" w:ascii="宋体" w:hAnsi="宋体" w:cs="宋体"/>
        </w:rPr>
        <w:t>（</w:t>
      </w:r>
      <w:r>
        <w:rPr>
          <w:rFonts w:ascii="宋体" w:hAnsi="宋体" w:cs="宋体"/>
        </w:rPr>
        <w:t>4</w:t>
      </w:r>
      <w:r>
        <w:rPr>
          <w:rFonts w:hint="eastAsia" w:ascii="宋体" w:hAnsi="宋体" w:cs="宋体"/>
        </w:rPr>
        <w:t>）其他评分因素：见评标办法前附表。</w:t>
      </w:r>
    </w:p>
    <w:p>
      <w:pPr>
        <w:spacing w:line="440" w:lineRule="exact"/>
        <w:ind w:firstLine="420" w:firstLineChars="200"/>
        <w:rPr>
          <w:rFonts w:ascii="宋体"/>
        </w:rPr>
      </w:pPr>
      <w:r>
        <w:rPr>
          <w:rFonts w:ascii="宋体" w:hAnsi="宋体" w:cs="宋体"/>
        </w:rPr>
        <w:t>2.2.2</w:t>
      </w:r>
      <w:r>
        <w:rPr>
          <w:rFonts w:ascii="宋体" w:hAnsi="宋体" w:cs="宋体"/>
        </w:rPr>
        <w:tab/>
      </w:r>
      <w:r>
        <w:rPr>
          <w:rFonts w:hint="eastAsia" w:ascii="宋体" w:hAnsi="宋体" w:cs="宋体"/>
        </w:rPr>
        <w:t>评标基准价计算</w:t>
      </w:r>
    </w:p>
    <w:p>
      <w:pPr>
        <w:spacing w:line="440" w:lineRule="exact"/>
        <w:ind w:firstLine="420" w:firstLineChars="200"/>
        <w:rPr>
          <w:rFonts w:ascii="宋体"/>
        </w:rPr>
      </w:pPr>
      <w:r>
        <w:rPr>
          <w:rFonts w:hint="eastAsia" w:ascii="宋体" w:hAnsi="宋体" w:cs="宋体"/>
        </w:rPr>
        <w:t>评标基准价计算方法：见评标办法前附表。</w:t>
      </w:r>
    </w:p>
    <w:p>
      <w:pPr>
        <w:spacing w:line="440" w:lineRule="exact"/>
        <w:ind w:firstLine="420" w:firstLineChars="200"/>
        <w:rPr>
          <w:rFonts w:ascii="宋体"/>
        </w:rPr>
      </w:pPr>
      <w:r>
        <w:rPr>
          <w:rFonts w:ascii="宋体" w:hAnsi="宋体" w:cs="宋体"/>
        </w:rPr>
        <w:t>2.2.3</w:t>
      </w:r>
      <w:r>
        <w:rPr>
          <w:rFonts w:ascii="宋体" w:hAnsi="宋体" w:cs="宋体"/>
        </w:rPr>
        <w:tab/>
      </w:r>
      <w:r>
        <w:rPr>
          <w:rFonts w:hint="eastAsia" w:ascii="宋体" w:hAnsi="宋体" w:cs="宋体"/>
        </w:rPr>
        <w:t>投标报价的偏差率计算</w:t>
      </w:r>
    </w:p>
    <w:p>
      <w:pPr>
        <w:spacing w:line="440" w:lineRule="exact"/>
        <w:ind w:firstLine="420" w:firstLineChars="200"/>
        <w:rPr>
          <w:rFonts w:ascii="宋体"/>
        </w:rPr>
      </w:pPr>
      <w:r>
        <w:rPr>
          <w:rFonts w:hint="eastAsia" w:ascii="宋体" w:hAnsi="宋体" w:cs="宋体"/>
        </w:rPr>
        <w:t>投标报价的偏差率计算公式：见评标办法前附表。</w:t>
      </w:r>
    </w:p>
    <w:p>
      <w:pPr>
        <w:spacing w:line="440" w:lineRule="exact"/>
        <w:ind w:firstLine="420" w:firstLineChars="200"/>
        <w:rPr>
          <w:rFonts w:ascii="宋体"/>
        </w:rPr>
      </w:pPr>
      <w:r>
        <w:rPr>
          <w:rFonts w:ascii="宋体" w:hAnsi="宋体" w:cs="宋体"/>
        </w:rPr>
        <w:t>2.2.4</w:t>
      </w:r>
      <w:r>
        <w:rPr>
          <w:rFonts w:ascii="宋体" w:hAnsi="宋体" w:cs="宋体"/>
        </w:rPr>
        <w:tab/>
      </w:r>
      <w:r>
        <w:rPr>
          <w:rFonts w:hint="eastAsia" w:ascii="宋体" w:hAnsi="宋体" w:cs="宋体"/>
        </w:rPr>
        <w:t>评分标准</w:t>
      </w:r>
    </w:p>
    <w:p>
      <w:pPr>
        <w:spacing w:line="440" w:lineRule="exact"/>
        <w:ind w:firstLine="420" w:firstLineChars="200"/>
        <w:rPr>
          <w:rFonts w:ascii="宋体" w:hAnsi="宋体" w:cs="宋体"/>
        </w:rPr>
      </w:pPr>
      <w:r>
        <w:rPr>
          <w:rFonts w:hint="eastAsia" w:ascii="宋体" w:hAnsi="宋体" w:cs="宋体"/>
        </w:rPr>
        <w:t>（</w:t>
      </w:r>
      <w:r>
        <w:rPr>
          <w:rFonts w:ascii="宋体" w:hAnsi="宋体" w:cs="宋体"/>
        </w:rPr>
        <w:t>1</w:t>
      </w:r>
      <w:r>
        <w:rPr>
          <w:rFonts w:hint="eastAsia" w:ascii="宋体" w:hAnsi="宋体" w:cs="宋体"/>
        </w:rPr>
        <w:t>）设计施工组织方案评审标准：见评标办法前附表；</w:t>
      </w:r>
    </w:p>
    <w:p>
      <w:pPr>
        <w:spacing w:line="440" w:lineRule="exact"/>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rPr>
        <w:t>）项目管理方案评审标准：见评标办法前附表；</w:t>
      </w:r>
    </w:p>
    <w:p>
      <w:pPr>
        <w:spacing w:line="440" w:lineRule="exact"/>
        <w:ind w:firstLine="420" w:firstLineChars="200"/>
        <w:rPr>
          <w:rFonts w:ascii="宋体"/>
        </w:rPr>
      </w:pPr>
      <w:r>
        <w:rPr>
          <w:rFonts w:hint="eastAsia" w:ascii="宋体" w:hAnsi="宋体" w:cs="宋体"/>
        </w:rPr>
        <w:t>（</w:t>
      </w:r>
      <w:r>
        <w:rPr>
          <w:rFonts w:ascii="宋体" w:hAnsi="宋体" w:cs="宋体"/>
        </w:rPr>
        <w:t>3</w:t>
      </w:r>
      <w:r>
        <w:rPr>
          <w:rFonts w:hint="eastAsia" w:ascii="宋体" w:hAnsi="宋体" w:cs="宋体"/>
        </w:rPr>
        <w:t>）投标报价评分标准：见评标办法前附表；</w:t>
      </w:r>
    </w:p>
    <w:p>
      <w:pPr>
        <w:spacing w:line="440" w:lineRule="exact"/>
        <w:ind w:firstLine="420" w:firstLineChars="200"/>
        <w:rPr>
          <w:rFonts w:ascii="宋体"/>
        </w:rPr>
      </w:pPr>
      <w:r>
        <w:rPr>
          <w:rFonts w:hint="eastAsia" w:ascii="宋体" w:hAnsi="宋体" w:cs="宋体"/>
        </w:rPr>
        <w:t>（</w:t>
      </w:r>
      <w:r>
        <w:rPr>
          <w:rFonts w:ascii="宋体" w:hAnsi="宋体" w:cs="宋体"/>
        </w:rPr>
        <w:t>4</w:t>
      </w:r>
      <w:r>
        <w:rPr>
          <w:rFonts w:hint="eastAsia" w:ascii="宋体" w:hAnsi="宋体" w:cs="宋体"/>
        </w:rPr>
        <w:t>）其他因素评分标准：见评标办法前附表。</w:t>
      </w:r>
    </w:p>
    <w:p>
      <w:pPr>
        <w:spacing w:line="440" w:lineRule="exact"/>
        <w:ind w:firstLine="482" w:firstLineChars="200"/>
        <w:outlineLvl w:val="1"/>
        <w:rPr>
          <w:rFonts w:ascii="宋体"/>
          <w:b/>
          <w:bCs/>
          <w:sz w:val="24"/>
          <w:szCs w:val="24"/>
        </w:rPr>
      </w:pPr>
      <w:bookmarkStart w:id="198" w:name="_Toc84265624"/>
      <w:bookmarkStart w:id="199" w:name="_Toc42001857"/>
      <w:r>
        <w:rPr>
          <w:rFonts w:ascii="宋体" w:hAnsi="宋体" w:cs="宋体"/>
          <w:b/>
          <w:bCs/>
          <w:sz w:val="24"/>
          <w:szCs w:val="24"/>
        </w:rPr>
        <w:t>3.</w:t>
      </w:r>
      <w:r>
        <w:rPr>
          <w:rFonts w:ascii="宋体" w:hAnsi="宋体" w:cs="宋体"/>
          <w:b/>
          <w:bCs/>
          <w:sz w:val="24"/>
          <w:szCs w:val="24"/>
        </w:rPr>
        <w:tab/>
      </w:r>
      <w:r>
        <w:rPr>
          <w:rFonts w:hint="eastAsia" w:ascii="宋体" w:hAnsi="宋体" w:cs="宋体"/>
          <w:b/>
          <w:bCs/>
          <w:sz w:val="24"/>
          <w:szCs w:val="24"/>
        </w:rPr>
        <w:t>评标程序</w:t>
      </w:r>
      <w:bookmarkEnd w:id="198"/>
      <w:bookmarkEnd w:id="199"/>
    </w:p>
    <w:p>
      <w:pPr>
        <w:spacing w:line="440" w:lineRule="exact"/>
        <w:ind w:firstLine="422" w:firstLineChars="200"/>
        <w:outlineLvl w:val="2"/>
        <w:rPr>
          <w:rFonts w:ascii="宋体"/>
          <w:b/>
          <w:bCs/>
        </w:rPr>
      </w:pPr>
      <w:bookmarkStart w:id="200" w:name="_Toc42001858"/>
      <w:bookmarkStart w:id="201" w:name="_Toc84265625"/>
      <w:r>
        <w:rPr>
          <w:rFonts w:ascii="宋体" w:hAnsi="宋体" w:cs="宋体"/>
          <w:b/>
          <w:bCs/>
        </w:rPr>
        <w:t>3.1</w:t>
      </w:r>
      <w:r>
        <w:rPr>
          <w:rFonts w:ascii="宋体" w:hAnsi="宋体" w:cs="宋体"/>
          <w:b/>
          <w:bCs/>
        </w:rPr>
        <w:tab/>
      </w:r>
      <w:r>
        <w:rPr>
          <w:rFonts w:hint="eastAsia" w:ascii="宋体" w:hAnsi="宋体" w:cs="宋体"/>
          <w:b/>
          <w:bCs/>
        </w:rPr>
        <w:t>初步评审</w:t>
      </w:r>
      <w:bookmarkEnd w:id="200"/>
      <w:bookmarkEnd w:id="201"/>
    </w:p>
    <w:p>
      <w:pPr>
        <w:spacing w:line="440" w:lineRule="exact"/>
        <w:ind w:firstLine="420" w:firstLineChars="200"/>
        <w:rPr>
          <w:rFonts w:ascii="宋体"/>
        </w:rPr>
      </w:pPr>
      <w:r>
        <w:rPr>
          <w:rFonts w:ascii="宋体" w:hAnsi="宋体" w:cs="宋体"/>
        </w:rPr>
        <w:t>3.1.1</w:t>
      </w:r>
      <w:r>
        <w:rPr>
          <w:rFonts w:ascii="宋体" w:hAnsi="宋体" w:cs="宋体"/>
        </w:rPr>
        <w:tab/>
      </w:r>
      <w:r>
        <w:rPr>
          <w:rFonts w:hint="eastAsia" w:ascii="宋体" w:hAnsi="宋体" w:cs="宋体"/>
        </w:rPr>
        <w:t>评标委员会可以要求投标人提交第二章“投标人须知”规定的有关证明和证件的原件，</w:t>
      </w:r>
      <w:r>
        <w:rPr>
          <w:rFonts w:ascii="宋体" w:hAnsi="宋体" w:cs="宋体"/>
        </w:rPr>
        <w:t xml:space="preserve"> </w:t>
      </w:r>
      <w:r>
        <w:rPr>
          <w:rFonts w:hint="eastAsia" w:ascii="宋体" w:hAnsi="宋体" w:cs="宋体"/>
        </w:rPr>
        <w:t>以便核验。评标委员会依据本章第</w:t>
      </w:r>
      <w:r>
        <w:rPr>
          <w:rFonts w:ascii="宋体" w:hAnsi="宋体" w:cs="宋体"/>
        </w:rPr>
        <w:t xml:space="preserve"> 2.1 </w:t>
      </w:r>
      <w:r>
        <w:rPr>
          <w:rFonts w:hint="eastAsia" w:ascii="宋体" w:hAnsi="宋体" w:cs="宋体"/>
        </w:rPr>
        <w:t>款规定的标准对投标文件进行初步评审。有一项不符合评审标准的，评标委员会应当否决其投标。</w:t>
      </w:r>
    </w:p>
    <w:p>
      <w:pPr>
        <w:spacing w:line="440" w:lineRule="exact"/>
        <w:ind w:firstLine="420" w:firstLineChars="200"/>
        <w:rPr>
          <w:rFonts w:ascii="宋体"/>
        </w:rPr>
      </w:pPr>
      <w:r>
        <w:rPr>
          <w:rFonts w:ascii="宋体" w:hAnsi="宋体" w:cs="宋体"/>
        </w:rPr>
        <w:t>3.1.2</w:t>
      </w:r>
      <w:r>
        <w:rPr>
          <w:rFonts w:ascii="宋体" w:hAnsi="宋体" w:cs="宋体"/>
        </w:rPr>
        <w:tab/>
      </w:r>
      <w:r>
        <w:rPr>
          <w:rFonts w:hint="eastAsia" w:ascii="宋体" w:hAnsi="宋体" w:cs="宋体"/>
        </w:rPr>
        <w:t>投标人有以下情形之一的，评标委员会应当否决其投标：</w:t>
      </w:r>
    </w:p>
    <w:p>
      <w:pPr>
        <w:spacing w:line="44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）投标文件没有对招标文件的实质性要求和条件作出响应，或者对招标文件的偏差超出招标文件规定的偏差范围或最高项数；</w:t>
      </w:r>
    </w:p>
    <w:p>
      <w:pPr>
        <w:spacing w:line="440" w:lineRule="exact"/>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rPr>
        <w:t>）有串通投标、弄虚作假、行贿等违法行为。</w:t>
      </w:r>
    </w:p>
    <w:p>
      <w:pPr>
        <w:spacing w:line="440" w:lineRule="exact"/>
        <w:ind w:firstLine="420" w:firstLineChars="200"/>
        <w:rPr>
          <w:rFonts w:ascii="宋体"/>
        </w:rPr>
      </w:pPr>
      <w:r>
        <w:rPr>
          <w:rFonts w:hint="eastAsia" w:ascii="宋体" w:hAnsi="宋体" w:cs="宋体"/>
        </w:rPr>
        <w:t>（</w:t>
      </w:r>
      <w:r>
        <w:rPr>
          <w:rFonts w:ascii="宋体" w:hAnsi="宋体" w:cs="宋体"/>
        </w:rPr>
        <w:t>3</w:t>
      </w:r>
      <w:r>
        <w:rPr>
          <w:rFonts w:hint="eastAsia" w:ascii="宋体" w:hAnsi="宋体" w:cs="宋体"/>
        </w:rPr>
        <w:t>）</w:t>
      </w:r>
      <w:r>
        <w:rPr>
          <w:rFonts w:hint="eastAsia" w:cs="宋体"/>
        </w:rPr>
        <w:t>不按评标委员会要求澄清、说明或补正的。</w:t>
      </w:r>
    </w:p>
    <w:p>
      <w:pPr>
        <w:spacing w:line="440" w:lineRule="exact"/>
        <w:ind w:firstLine="420" w:firstLineChars="200"/>
        <w:rPr>
          <w:rFonts w:ascii="宋体"/>
        </w:rPr>
      </w:pPr>
      <w:r>
        <w:rPr>
          <w:rFonts w:ascii="宋体" w:hAnsi="宋体" w:cs="宋体"/>
        </w:rPr>
        <w:t>3.1.3</w:t>
      </w:r>
      <w:r>
        <w:rPr>
          <w:rFonts w:ascii="宋体" w:hAnsi="宋体" w:cs="宋体"/>
        </w:rPr>
        <w:tab/>
      </w:r>
      <w:r>
        <w:rPr>
          <w:rFonts w:hint="eastAsia" w:ascii="宋体" w:hAnsi="宋体" w:cs="宋体"/>
        </w:rPr>
        <w:t>投标报价有算术错误及其他错误的，评标委员会按以下原则要求投标人对投标报价进行修正，并要求投标人书面澄清确认。投标人拒不澄清确认的，评标委员会应当否决其投标：</w:t>
      </w:r>
    </w:p>
    <w:p>
      <w:pPr>
        <w:spacing w:line="44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）投标文件中的大写金额与小写金额不一致的，以大写金额为准；</w:t>
      </w:r>
    </w:p>
    <w:p>
      <w:pPr>
        <w:spacing w:line="440" w:lineRule="exact"/>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rPr>
        <w:t>）总价金额与单价金额不一致的，以单价金额为准，但单价金额小数点有明显错误的除外。</w:t>
      </w:r>
    </w:p>
    <w:p>
      <w:pPr>
        <w:spacing w:line="440" w:lineRule="exact"/>
        <w:ind w:firstLine="422" w:firstLineChars="200"/>
        <w:outlineLvl w:val="2"/>
        <w:rPr>
          <w:rFonts w:ascii="宋体"/>
          <w:b/>
          <w:bCs/>
        </w:rPr>
      </w:pPr>
      <w:bookmarkStart w:id="202" w:name="_Toc84265626"/>
      <w:bookmarkStart w:id="203" w:name="_Toc42001859"/>
      <w:r>
        <w:rPr>
          <w:rFonts w:ascii="宋体" w:hAnsi="宋体" w:cs="宋体"/>
          <w:b/>
          <w:bCs/>
        </w:rPr>
        <w:t>3.2</w:t>
      </w:r>
      <w:r>
        <w:rPr>
          <w:rFonts w:ascii="宋体" w:hAnsi="宋体" w:cs="宋体"/>
          <w:b/>
          <w:bCs/>
        </w:rPr>
        <w:tab/>
      </w:r>
      <w:r>
        <w:rPr>
          <w:rFonts w:hint="eastAsia" w:ascii="宋体" w:hAnsi="宋体" w:cs="宋体"/>
          <w:b/>
          <w:bCs/>
        </w:rPr>
        <w:t>详细评审</w:t>
      </w:r>
      <w:bookmarkEnd w:id="202"/>
      <w:bookmarkEnd w:id="203"/>
    </w:p>
    <w:p>
      <w:pPr>
        <w:spacing w:line="440" w:lineRule="exact"/>
        <w:ind w:firstLine="420" w:firstLineChars="200"/>
        <w:rPr>
          <w:rFonts w:ascii="宋体"/>
        </w:rPr>
      </w:pPr>
      <w:r>
        <w:rPr>
          <w:rFonts w:ascii="宋体" w:hAnsi="宋体" w:cs="宋体"/>
        </w:rPr>
        <w:t>3.2.1</w:t>
      </w:r>
      <w:r>
        <w:rPr>
          <w:rFonts w:ascii="宋体" w:hAnsi="宋体" w:cs="宋体"/>
        </w:rPr>
        <w:tab/>
      </w:r>
      <w:r>
        <w:rPr>
          <w:rFonts w:hint="eastAsia" w:ascii="宋体" w:hAnsi="宋体" w:cs="宋体"/>
        </w:rPr>
        <w:t>评标委员会按本章第</w:t>
      </w:r>
      <w:r>
        <w:rPr>
          <w:rFonts w:ascii="宋体" w:hAnsi="宋体" w:cs="宋体"/>
        </w:rPr>
        <w:t xml:space="preserve"> 2.2 </w:t>
      </w:r>
      <w:r>
        <w:rPr>
          <w:rFonts w:hint="eastAsia" w:ascii="宋体" w:hAnsi="宋体" w:cs="宋体"/>
        </w:rPr>
        <w:t>款规定的量化因素和分值进行打分，并计算出综合评估得分。</w:t>
      </w:r>
    </w:p>
    <w:p>
      <w:pPr>
        <w:spacing w:line="44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）按本章第</w:t>
      </w:r>
      <w:r>
        <w:rPr>
          <w:rFonts w:ascii="宋体" w:hAnsi="宋体" w:cs="宋体"/>
        </w:rPr>
        <w:t xml:space="preserve"> 2.2.4</w:t>
      </w:r>
      <w:r>
        <w:rPr>
          <w:rFonts w:hint="eastAsia" w:ascii="宋体" w:hAnsi="宋体" w:cs="宋体"/>
        </w:rPr>
        <w:t>（</w:t>
      </w:r>
      <w:r>
        <w:rPr>
          <w:rFonts w:ascii="宋体" w:hAnsi="宋体" w:cs="宋体"/>
        </w:rPr>
        <w:t>1</w:t>
      </w:r>
      <w:r>
        <w:rPr>
          <w:rFonts w:hint="eastAsia" w:ascii="宋体" w:hAnsi="宋体" w:cs="宋体"/>
        </w:rPr>
        <w:t>）目规定的评审因素和分值计算出得分</w:t>
      </w:r>
      <w:r>
        <w:rPr>
          <w:rFonts w:ascii="宋体" w:hAnsi="宋体" w:cs="宋体"/>
        </w:rPr>
        <w:t xml:space="preserve"> A</w:t>
      </w:r>
      <w:r>
        <w:rPr>
          <w:rFonts w:hint="eastAsia" w:ascii="宋体" w:hAnsi="宋体" w:cs="宋体"/>
        </w:rPr>
        <w:t>；</w:t>
      </w:r>
    </w:p>
    <w:p>
      <w:pPr>
        <w:spacing w:line="440" w:lineRule="exact"/>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rPr>
        <w:t>）按本章第</w:t>
      </w:r>
      <w:r>
        <w:rPr>
          <w:rFonts w:ascii="宋体" w:hAnsi="宋体" w:cs="宋体"/>
        </w:rPr>
        <w:t xml:space="preserve"> 2.2.4</w:t>
      </w:r>
      <w:r>
        <w:rPr>
          <w:rFonts w:hint="eastAsia" w:ascii="宋体" w:hAnsi="宋体" w:cs="宋体"/>
        </w:rPr>
        <w:t>（</w:t>
      </w:r>
      <w:r>
        <w:rPr>
          <w:rFonts w:ascii="宋体" w:hAnsi="宋体" w:cs="宋体"/>
        </w:rPr>
        <w:t>2</w:t>
      </w:r>
      <w:r>
        <w:rPr>
          <w:rFonts w:hint="eastAsia" w:ascii="宋体" w:hAnsi="宋体" w:cs="宋体"/>
        </w:rPr>
        <w:t>）目规定的评审因素和分值计算出得分</w:t>
      </w:r>
      <w:r>
        <w:rPr>
          <w:rFonts w:ascii="宋体" w:hAnsi="宋体" w:cs="宋体"/>
        </w:rPr>
        <w:t xml:space="preserve"> B</w:t>
      </w:r>
      <w:r>
        <w:rPr>
          <w:rFonts w:hint="eastAsia" w:ascii="宋体" w:hAnsi="宋体" w:cs="宋体"/>
        </w:rPr>
        <w:t>；</w:t>
      </w:r>
    </w:p>
    <w:p>
      <w:pPr>
        <w:spacing w:line="440" w:lineRule="exact"/>
        <w:ind w:firstLine="420" w:firstLineChars="200"/>
        <w:rPr>
          <w:rFonts w:ascii="宋体"/>
        </w:rPr>
      </w:pPr>
      <w:r>
        <w:rPr>
          <w:rFonts w:hint="eastAsia" w:ascii="宋体" w:hAnsi="宋体" w:cs="宋体"/>
        </w:rPr>
        <w:t>（</w:t>
      </w:r>
      <w:r>
        <w:rPr>
          <w:rFonts w:ascii="宋体" w:hAnsi="宋体" w:cs="宋体"/>
        </w:rPr>
        <w:t>3</w:t>
      </w:r>
      <w:r>
        <w:rPr>
          <w:rFonts w:hint="eastAsia" w:ascii="宋体" w:hAnsi="宋体" w:cs="宋体"/>
        </w:rPr>
        <w:t>）按本章第</w:t>
      </w:r>
      <w:r>
        <w:rPr>
          <w:rFonts w:ascii="宋体" w:hAnsi="宋体" w:cs="宋体"/>
        </w:rPr>
        <w:t xml:space="preserve"> 2.2.4</w:t>
      </w:r>
      <w:r>
        <w:rPr>
          <w:rFonts w:hint="eastAsia" w:ascii="宋体" w:hAnsi="宋体" w:cs="宋体"/>
        </w:rPr>
        <w:t>（</w:t>
      </w:r>
      <w:r>
        <w:rPr>
          <w:rFonts w:ascii="宋体" w:hAnsi="宋体" w:cs="宋体"/>
        </w:rPr>
        <w:t>3</w:t>
      </w:r>
      <w:r>
        <w:rPr>
          <w:rFonts w:hint="eastAsia" w:ascii="宋体" w:hAnsi="宋体" w:cs="宋体"/>
        </w:rPr>
        <w:t>）目规定的评审因素和分值计算出得分</w:t>
      </w:r>
      <w:r>
        <w:rPr>
          <w:rFonts w:ascii="宋体" w:hAnsi="宋体" w:cs="宋体"/>
        </w:rPr>
        <w:t xml:space="preserve"> C</w:t>
      </w:r>
      <w:r>
        <w:rPr>
          <w:rFonts w:hint="eastAsia" w:ascii="宋体" w:hAnsi="宋体" w:cs="宋体"/>
        </w:rPr>
        <w:t>；</w:t>
      </w:r>
    </w:p>
    <w:p>
      <w:pPr>
        <w:spacing w:line="440" w:lineRule="exact"/>
        <w:ind w:firstLine="420" w:firstLineChars="200"/>
        <w:rPr>
          <w:rFonts w:ascii="宋体"/>
        </w:rPr>
      </w:pPr>
      <w:r>
        <w:rPr>
          <w:rFonts w:hint="eastAsia" w:ascii="宋体" w:hAnsi="宋体" w:cs="宋体"/>
        </w:rPr>
        <w:t>（</w:t>
      </w:r>
      <w:r>
        <w:rPr>
          <w:rFonts w:ascii="宋体" w:hAnsi="宋体" w:cs="宋体"/>
        </w:rPr>
        <w:t>4</w:t>
      </w:r>
      <w:r>
        <w:rPr>
          <w:rFonts w:hint="eastAsia" w:ascii="宋体" w:hAnsi="宋体" w:cs="宋体"/>
        </w:rPr>
        <w:t>）按本章第</w:t>
      </w:r>
      <w:r>
        <w:rPr>
          <w:rFonts w:ascii="宋体" w:hAnsi="宋体" w:cs="宋体"/>
        </w:rPr>
        <w:t xml:space="preserve"> 2.2.4</w:t>
      </w:r>
      <w:r>
        <w:rPr>
          <w:rFonts w:hint="eastAsia" w:ascii="宋体" w:hAnsi="宋体" w:cs="宋体"/>
        </w:rPr>
        <w:t>（</w:t>
      </w:r>
      <w:r>
        <w:rPr>
          <w:rFonts w:ascii="宋体" w:hAnsi="宋体" w:cs="宋体"/>
        </w:rPr>
        <w:t>4</w:t>
      </w:r>
      <w:r>
        <w:rPr>
          <w:rFonts w:hint="eastAsia" w:ascii="宋体" w:hAnsi="宋体" w:cs="宋体"/>
        </w:rPr>
        <w:t>）目规定的评审因素和分值计算出得分</w:t>
      </w:r>
      <w:r>
        <w:rPr>
          <w:rFonts w:ascii="宋体" w:hAnsi="宋体" w:cs="宋体"/>
        </w:rPr>
        <w:t xml:space="preserve"> D</w:t>
      </w:r>
      <w:r>
        <w:rPr>
          <w:rFonts w:hint="eastAsia" w:ascii="宋体" w:hAnsi="宋体" w:cs="宋体"/>
        </w:rPr>
        <w:t>。</w:t>
      </w:r>
    </w:p>
    <w:p>
      <w:pPr>
        <w:spacing w:line="440" w:lineRule="exact"/>
        <w:ind w:firstLine="420" w:firstLineChars="200"/>
        <w:rPr>
          <w:rFonts w:ascii="宋体"/>
        </w:rPr>
      </w:pPr>
      <w:r>
        <w:rPr>
          <w:rFonts w:ascii="宋体" w:hAnsi="宋体" w:cs="宋体"/>
        </w:rPr>
        <w:t>3.2.2</w:t>
      </w:r>
      <w:r>
        <w:rPr>
          <w:rFonts w:ascii="宋体" w:hAnsi="宋体" w:cs="宋体"/>
        </w:rPr>
        <w:tab/>
      </w:r>
      <w:r>
        <w:rPr>
          <w:rFonts w:hint="eastAsia" w:ascii="宋体" w:hAnsi="宋体" w:cs="宋体"/>
        </w:rPr>
        <w:t>评分分值计算保留小数点后一位，小数点后第二位“四舍五入”。</w:t>
      </w:r>
    </w:p>
    <w:p>
      <w:pPr>
        <w:spacing w:line="440" w:lineRule="exact"/>
        <w:ind w:firstLine="420" w:firstLineChars="200"/>
        <w:rPr>
          <w:rFonts w:ascii="宋体"/>
        </w:rPr>
      </w:pPr>
      <w:r>
        <w:rPr>
          <w:rFonts w:ascii="宋体" w:hAnsi="宋体" w:cs="宋体"/>
        </w:rPr>
        <w:t>3.2.3</w:t>
      </w:r>
      <w:r>
        <w:rPr>
          <w:rFonts w:ascii="宋体" w:hAnsi="宋体" w:cs="宋体"/>
        </w:rPr>
        <w:tab/>
      </w:r>
      <w:r>
        <w:rPr>
          <w:rFonts w:hint="eastAsia" w:ascii="宋体" w:hAnsi="宋体" w:cs="宋体"/>
        </w:rPr>
        <w:t>投标人得分</w:t>
      </w:r>
      <w:r>
        <w:rPr>
          <w:rFonts w:ascii="宋体" w:hAnsi="宋体" w:cs="宋体"/>
        </w:rPr>
        <w:t>=A+B+C+D</w:t>
      </w:r>
      <w:r>
        <w:rPr>
          <w:rFonts w:hint="eastAsia" w:ascii="宋体" w:hAnsi="宋体" w:cs="宋体"/>
        </w:rPr>
        <w:t>。</w:t>
      </w:r>
    </w:p>
    <w:p>
      <w:pPr>
        <w:spacing w:line="440" w:lineRule="exact"/>
        <w:ind w:firstLine="420" w:firstLineChars="200"/>
        <w:rPr>
          <w:rFonts w:ascii="宋体"/>
        </w:rPr>
      </w:pPr>
      <w:r>
        <w:rPr>
          <w:rFonts w:ascii="宋体" w:hAnsi="宋体" w:cs="宋体"/>
        </w:rPr>
        <w:t>3.2.4</w:t>
      </w:r>
      <w:r>
        <w:rPr>
          <w:rFonts w:ascii="宋体" w:hAnsi="宋体" w:cs="宋体"/>
        </w:rPr>
        <w:tab/>
      </w:r>
      <w:r>
        <w:rPr>
          <w:rFonts w:hint="eastAsia" w:ascii="宋体" w:hAnsi="宋体" w:cs="宋体"/>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440" w:lineRule="exact"/>
        <w:ind w:firstLine="422" w:firstLineChars="200"/>
        <w:outlineLvl w:val="2"/>
        <w:rPr>
          <w:rFonts w:ascii="宋体"/>
          <w:b/>
          <w:bCs/>
        </w:rPr>
      </w:pPr>
      <w:bookmarkStart w:id="204" w:name="_Toc84265627"/>
      <w:bookmarkStart w:id="205" w:name="_Toc42001860"/>
      <w:r>
        <w:rPr>
          <w:rFonts w:ascii="宋体" w:hAnsi="宋体" w:cs="宋体"/>
          <w:b/>
          <w:bCs/>
        </w:rPr>
        <w:t>3.3</w:t>
      </w:r>
      <w:r>
        <w:rPr>
          <w:rFonts w:ascii="宋体" w:hAnsi="宋体" w:cs="宋体"/>
          <w:b/>
          <w:bCs/>
        </w:rPr>
        <w:tab/>
      </w:r>
      <w:r>
        <w:rPr>
          <w:rFonts w:hint="eastAsia" w:ascii="宋体" w:hAnsi="宋体" w:cs="宋体"/>
          <w:b/>
          <w:bCs/>
        </w:rPr>
        <w:t>投标文件的澄清</w:t>
      </w:r>
      <w:bookmarkEnd w:id="204"/>
      <w:bookmarkEnd w:id="205"/>
    </w:p>
    <w:p>
      <w:pPr>
        <w:spacing w:line="440" w:lineRule="exact"/>
        <w:ind w:firstLine="420" w:firstLineChars="200"/>
        <w:rPr>
          <w:rFonts w:ascii="宋体"/>
        </w:rPr>
      </w:pPr>
      <w:r>
        <w:rPr>
          <w:rFonts w:ascii="宋体" w:hAnsi="宋体" w:cs="宋体"/>
        </w:rPr>
        <w:t>3.3.1</w:t>
      </w:r>
      <w:r>
        <w:rPr>
          <w:rFonts w:ascii="宋体" w:hAnsi="宋体" w:cs="宋体"/>
        </w:rPr>
        <w:tab/>
      </w:r>
      <w:r>
        <w:rPr>
          <w:rFonts w:hint="eastAsia" w:ascii="宋体" w:hAnsi="宋体" w:cs="宋体"/>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40" w:lineRule="exact"/>
        <w:ind w:firstLine="420" w:firstLineChars="200"/>
        <w:rPr>
          <w:rFonts w:ascii="宋体"/>
        </w:rPr>
      </w:pPr>
      <w:r>
        <w:rPr>
          <w:rFonts w:ascii="宋体" w:hAnsi="宋体" w:cs="宋体"/>
        </w:rPr>
        <w:t>3.3.2</w:t>
      </w:r>
      <w:r>
        <w:rPr>
          <w:rFonts w:ascii="宋体" w:hAnsi="宋体" w:cs="宋体"/>
        </w:rPr>
        <w:tab/>
      </w:r>
      <w:r>
        <w:rPr>
          <w:rFonts w:hint="eastAsia" w:ascii="宋体" w:hAnsi="宋体" w:cs="宋体"/>
        </w:rPr>
        <w:t>澄清、说明或补正不得超出投标文件的范围且不得改变投标文件的实质性内容，并构成投标文件的组成部分。</w:t>
      </w:r>
    </w:p>
    <w:p>
      <w:pPr>
        <w:spacing w:line="440" w:lineRule="exact"/>
        <w:ind w:firstLine="420" w:firstLineChars="200"/>
        <w:rPr>
          <w:rFonts w:ascii="宋体"/>
        </w:rPr>
      </w:pPr>
      <w:r>
        <w:rPr>
          <w:rFonts w:ascii="宋体" w:hAnsi="宋体" w:cs="宋体"/>
        </w:rPr>
        <w:t>3.3.3</w:t>
      </w:r>
      <w:r>
        <w:rPr>
          <w:rFonts w:ascii="宋体" w:hAnsi="宋体" w:cs="宋体"/>
        </w:rPr>
        <w:tab/>
      </w:r>
      <w:r>
        <w:rPr>
          <w:rFonts w:hint="eastAsia" w:ascii="宋体" w:hAnsi="宋体" w:cs="宋体"/>
        </w:rPr>
        <w:t>评标委员会对投标人提交的澄清、说明或补正有疑问的，可以要求投标人进一步澄清、说明或补正，直至满足评标委员会的要求。</w:t>
      </w:r>
    </w:p>
    <w:p>
      <w:pPr>
        <w:spacing w:line="440" w:lineRule="exact"/>
        <w:ind w:firstLine="422" w:firstLineChars="200"/>
        <w:outlineLvl w:val="2"/>
        <w:rPr>
          <w:rFonts w:ascii="宋体"/>
          <w:b/>
          <w:bCs/>
        </w:rPr>
      </w:pPr>
      <w:bookmarkStart w:id="206" w:name="_Toc42001861"/>
      <w:bookmarkStart w:id="207" w:name="_Toc84265628"/>
      <w:r>
        <w:rPr>
          <w:rFonts w:ascii="宋体" w:hAnsi="宋体" w:cs="宋体"/>
          <w:b/>
          <w:bCs/>
        </w:rPr>
        <w:t>3.4</w:t>
      </w:r>
      <w:r>
        <w:rPr>
          <w:rFonts w:ascii="宋体" w:hAnsi="宋体" w:cs="宋体"/>
          <w:b/>
          <w:bCs/>
        </w:rPr>
        <w:tab/>
      </w:r>
      <w:r>
        <w:rPr>
          <w:rFonts w:hint="eastAsia" w:ascii="宋体" w:hAnsi="宋体" w:cs="宋体"/>
          <w:b/>
          <w:bCs/>
        </w:rPr>
        <w:t>评标结果</w:t>
      </w:r>
      <w:bookmarkEnd w:id="206"/>
      <w:bookmarkEnd w:id="207"/>
    </w:p>
    <w:p>
      <w:pPr>
        <w:spacing w:line="440" w:lineRule="exact"/>
        <w:ind w:firstLine="420" w:firstLineChars="200"/>
        <w:rPr>
          <w:rFonts w:ascii="宋体"/>
        </w:rPr>
      </w:pPr>
      <w:r>
        <w:rPr>
          <w:rFonts w:ascii="宋体" w:hAnsi="宋体" w:cs="宋体"/>
        </w:rPr>
        <w:t>3.4.1</w:t>
      </w:r>
      <w:r>
        <w:rPr>
          <w:rFonts w:ascii="宋体" w:hAnsi="宋体" w:cs="宋体"/>
        </w:rPr>
        <w:tab/>
      </w:r>
      <w:r>
        <w:rPr>
          <w:rFonts w:hint="eastAsia" w:ascii="宋体" w:hAnsi="宋体" w:cs="宋体"/>
        </w:rPr>
        <w:t>除第二章“投标人须知”前附表授权直接确定中标人外，评标委员会按照得分由高到低的顺序推荐中标候选人，并标明排序。</w:t>
      </w:r>
      <w:r>
        <w:rPr>
          <w:rFonts w:ascii="宋体" w:hAnsi="宋体" w:cs="微软雅黑"/>
          <w:spacing w:val="2"/>
          <w:kern w:val="0"/>
        </w:rPr>
        <w:t>评标委员会对投标文件进行评审后，因有效投标不足3个使得投标明显缺乏竞争的，可以否决全部投标。未否决全部投标的，评标委员会应当在评标报告中阐明理由并推荐中标候选人。</w:t>
      </w:r>
    </w:p>
    <w:p>
      <w:pPr>
        <w:spacing w:line="440" w:lineRule="exact"/>
        <w:ind w:firstLine="420" w:firstLineChars="200"/>
        <w:rPr>
          <w:rFonts w:ascii="宋体"/>
        </w:rPr>
      </w:pPr>
      <w:r>
        <w:rPr>
          <w:rFonts w:ascii="宋体" w:hAnsi="宋体" w:cs="宋体"/>
        </w:rPr>
        <w:t>3.4.2</w:t>
      </w:r>
      <w:r>
        <w:rPr>
          <w:rFonts w:ascii="宋体" w:hAnsi="宋体" w:cs="宋体"/>
        </w:rPr>
        <w:tab/>
      </w:r>
      <w:r>
        <w:rPr>
          <w:rFonts w:hint="eastAsia" w:ascii="宋体" w:hAnsi="宋体" w:cs="宋体"/>
        </w:rPr>
        <w:t>评标委员会完成评标后，应当向招标人提交书面评标报告。</w:t>
      </w:r>
    </w:p>
    <w:p>
      <w:r>
        <w:rPr>
          <w:rFonts w:ascii="宋体"/>
        </w:rPr>
        <w:br w:type="page"/>
      </w:r>
    </w:p>
    <w:p/>
    <w:p>
      <w:pPr>
        <w:pStyle w:val="3"/>
        <w:jc w:val="center"/>
      </w:pPr>
      <w:bookmarkStart w:id="208" w:name="_Toc84265629"/>
      <w:bookmarkStart w:id="209" w:name="_Toc247514232"/>
      <w:bookmarkStart w:id="210" w:name="_Toc247527819"/>
      <w:r>
        <w:rPr>
          <w:rFonts w:hint="eastAsia" w:cs="宋体"/>
        </w:rPr>
        <w:t>第四章 合同条款及格式</w:t>
      </w:r>
      <w:bookmarkEnd w:id="208"/>
    </w:p>
    <w:p>
      <w:pPr>
        <w:spacing w:line="440" w:lineRule="exact"/>
        <w:ind w:firstLine="420" w:firstLineChars="200"/>
        <w:rPr>
          <w:rFonts w:ascii="宋体"/>
        </w:rPr>
      </w:pPr>
    </w:p>
    <w:p>
      <w:pPr>
        <w:spacing w:line="440" w:lineRule="exact"/>
        <w:ind w:firstLine="420" w:firstLineChars="200"/>
        <w:rPr>
          <w:rFonts w:ascii="宋体"/>
        </w:rPr>
      </w:pPr>
    </w:p>
    <w:p>
      <w:pPr>
        <w:spacing w:line="560" w:lineRule="exact"/>
        <w:ind w:firstLine="420" w:firstLineChars="200"/>
        <w:rPr>
          <w:rFonts w:ascii="宋体"/>
        </w:rPr>
      </w:pPr>
    </w:p>
    <w:p>
      <w:pPr>
        <w:widowControl/>
        <w:tabs>
          <w:tab w:val="left" w:pos="0"/>
        </w:tabs>
        <w:spacing w:line="420" w:lineRule="exact"/>
        <w:ind w:firstLine="420" w:firstLineChars="200"/>
        <w:rPr>
          <w:rFonts w:ascii="宋体" w:hAnsi="宋体"/>
          <w:b/>
          <w:snapToGrid w:val="0"/>
          <w:kern w:val="0"/>
          <w:u w:val="single"/>
        </w:rPr>
      </w:pPr>
      <w:r>
        <w:rPr>
          <w:rFonts w:ascii="宋体"/>
        </w:rPr>
        <w:br w:type="page"/>
      </w:r>
      <w:r>
        <w:rPr>
          <w:rFonts w:hint="eastAsia" w:ascii="宋体" w:hAnsi="宋体" w:cs="宋体"/>
          <w:b/>
        </w:rPr>
        <w:t>发包方：</w:t>
      </w:r>
      <w:r>
        <w:rPr>
          <w:rFonts w:hint="eastAsia" w:ascii="宋体" w:hAnsi="宋体"/>
          <w:b/>
          <w:snapToGrid w:val="0"/>
          <w:kern w:val="0"/>
        </w:rPr>
        <w:t>（以下简称“</w:t>
      </w:r>
      <w:r>
        <w:rPr>
          <w:rFonts w:ascii="宋体" w:hAnsi="宋体"/>
          <w:b/>
          <w:snapToGrid w:val="0"/>
          <w:kern w:val="0"/>
        </w:rPr>
        <w:t>发包人</w:t>
      </w:r>
      <w:r>
        <w:rPr>
          <w:rFonts w:hint="eastAsia" w:ascii="宋体" w:hAnsi="宋体"/>
          <w:b/>
          <w:snapToGrid w:val="0"/>
          <w:kern w:val="0"/>
        </w:rPr>
        <w:t>”）</w:t>
      </w:r>
    </w:p>
    <w:p>
      <w:pPr>
        <w:spacing w:line="420" w:lineRule="exact"/>
        <w:ind w:firstLine="426"/>
        <w:rPr>
          <w:rFonts w:ascii="宋体" w:hAnsi="宋体" w:cs="宋体"/>
          <w:b/>
        </w:rPr>
      </w:pPr>
      <w:r>
        <w:rPr>
          <w:rFonts w:hint="eastAsia" w:ascii="宋体" w:hAnsi="宋体" w:cs="宋体"/>
          <w:b/>
        </w:rPr>
        <w:t>承包方：</w:t>
      </w:r>
      <w:r>
        <w:rPr>
          <w:rFonts w:hint="eastAsia" w:ascii="宋体" w:hAnsi="宋体"/>
          <w:b/>
          <w:snapToGrid w:val="0"/>
        </w:rPr>
        <w:t>（以下简称“</w:t>
      </w:r>
      <w:r>
        <w:rPr>
          <w:rFonts w:ascii="宋体" w:hAnsi="宋体"/>
          <w:b/>
          <w:snapToGrid w:val="0"/>
          <w:kern w:val="0"/>
        </w:rPr>
        <w:t>承包人</w:t>
      </w:r>
      <w:r>
        <w:rPr>
          <w:rFonts w:hint="eastAsia" w:ascii="宋体" w:hAnsi="宋体"/>
          <w:b/>
          <w:snapToGrid w:val="0"/>
        </w:rPr>
        <w:t>”）</w:t>
      </w:r>
    </w:p>
    <w:p>
      <w:pPr>
        <w:spacing w:line="440" w:lineRule="exact"/>
        <w:ind w:firstLine="480"/>
        <w:rPr>
          <w:rFonts w:ascii="宋体" w:hAnsi="宋体" w:cs="宋体"/>
        </w:rPr>
      </w:pPr>
      <w:r>
        <w:rPr>
          <w:rFonts w:hint="eastAsia" w:ascii="宋体" w:hAnsi="宋体" w:cs="宋体"/>
        </w:rPr>
        <w:t>本工程按照《中华人民共和国民法典》《中华人民共和国建筑法》及国家、行业相关法律、法规，结合本工程具体情况，双方达成如下协议。</w:t>
      </w:r>
    </w:p>
    <w:p>
      <w:pPr>
        <w:spacing w:before="240" w:after="60" w:line="440" w:lineRule="exact"/>
        <w:ind w:firstLine="422" w:firstLineChars="200"/>
        <w:jc w:val="left"/>
        <w:outlineLvl w:val="1"/>
        <w:rPr>
          <w:rFonts w:ascii="宋体" w:hAnsi="宋体" w:cs="宋体"/>
          <w:b/>
          <w:kern w:val="28"/>
        </w:rPr>
      </w:pPr>
      <w:bookmarkStart w:id="211" w:name="_Toc84265630"/>
      <w:r>
        <w:rPr>
          <w:rFonts w:hint="eastAsia" w:ascii="宋体" w:hAnsi="宋体" w:cs="宋体"/>
          <w:b/>
          <w:kern w:val="28"/>
        </w:rPr>
        <w:t>第1 条 工程概况</w:t>
      </w:r>
      <w:bookmarkEnd w:id="211"/>
    </w:p>
    <w:p>
      <w:pPr>
        <w:numPr>
          <w:ilvl w:val="1"/>
          <w:numId w:val="2"/>
        </w:numPr>
        <w:spacing w:line="440" w:lineRule="exact"/>
        <w:ind w:firstLine="480"/>
        <w:rPr>
          <w:rFonts w:ascii="宋体" w:hAnsi="宋体" w:cs="宋体"/>
        </w:rPr>
      </w:pPr>
      <w:r>
        <w:rPr>
          <w:rFonts w:hint="eastAsia" w:ascii="宋体" w:hAnsi="宋体" w:cs="宋体"/>
        </w:rPr>
        <w:t>建设项目名称：</w:t>
      </w:r>
    </w:p>
    <w:p>
      <w:pPr>
        <w:spacing w:line="440" w:lineRule="exact"/>
        <w:ind w:firstLine="480"/>
        <w:rPr>
          <w:rFonts w:ascii="宋体" w:hAnsi="宋体" w:cs="宋体"/>
          <w:u w:val="single"/>
        </w:rPr>
      </w:pPr>
      <w:r>
        <w:rPr>
          <w:rFonts w:hint="eastAsia" w:ascii="宋体" w:hAnsi="宋体" w:cs="宋体"/>
          <w:u w:val="single"/>
        </w:rPr>
        <w:t>新建天津至潍坊高速铁路滨海段“三电”及地下管线迁改工程设计施工总承包(EPC)</w:t>
      </w:r>
    </w:p>
    <w:p>
      <w:pPr>
        <w:spacing w:line="440" w:lineRule="exact"/>
        <w:ind w:firstLine="480"/>
        <w:rPr>
          <w:rFonts w:ascii="宋体" w:hAnsi="宋体" w:cs="宋体"/>
        </w:rPr>
      </w:pPr>
      <w:r>
        <w:rPr>
          <w:rFonts w:hint="eastAsia" w:ascii="宋体" w:hAnsi="宋体" w:cs="宋体"/>
        </w:rPr>
        <w:t>1.2 工程地点：</w:t>
      </w:r>
      <w:r>
        <w:rPr>
          <w:rFonts w:hint="eastAsia" w:ascii="宋体" w:hAnsi="宋体" w:cs="宋体"/>
          <w:u w:val="single"/>
        </w:rPr>
        <w:t xml:space="preserve">天津市滨海新区  </w:t>
      </w:r>
    </w:p>
    <w:p>
      <w:pPr>
        <w:spacing w:line="440" w:lineRule="exact"/>
        <w:ind w:firstLine="480"/>
        <w:rPr>
          <w:rFonts w:ascii="宋体" w:hAnsi="宋体" w:cs="宋体"/>
        </w:rPr>
      </w:pPr>
      <w:r>
        <w:rPr>
          <w:rFonts w:ascii="宋体" w:hAnsi="宋体" w:cs="宋体"/>
        </w:rPr>
        <w:t xml:space="preserve">1.3 </w:t>
      </w:r>
      <w:r>
        <w:rPr>
          <w:rFonts w:hint="eastAsia" w:ascii="宋体" w:hAnsi="宋体" w:cs="宋体"/>
        </w:rPr>
        <w:t>承包范围：</w:t>
      </w:r>
    </w:p>
    <w:p>
      <w:pPr>
        <w:spacing w:line="440" w:lineRule="exact"/>
        <w:ind w:firstLine="480"/>
        <w:rPr>
          <w:rFonts w:ascii="宋体" w:hAnsi="宋体" w:cs="宋体"/>
          <w:bCs/>
        </w:rPr>
      </w:pPr>
      <w:r>
        <w:rPr>
          <w:rFonts w:hint="eastAsia" w:ascii="宋体" w:hAnsi="宋体" w:cs="宋体"/>
          <w:bCs/>
        </w:rPr>
        <w:t>为满足新建天津至潍坊高速铁路滨海段建设及运营要求而受影响的新建高铁引起的路内外电力线迁改；路内外通信、信号、有线电视线路等迁改；地下给排水、油、气、热力管道的迁改；通信设备、油、气管道、油库等设施电磁防护等工程设计施工总承包(EPC)（包括但不限于工点清单内所有内容）。</w:t>
      </w:r>
    </w:p>
    <w:p>
      <w:pPr>
        <w:spacing w:line="440" w:lineRule="exact"/>
        <w:ind w:firstLine="480"/>
        <w:rPr>
          <w:rFonts w:ascii="宋体" w:hAnsi="宋体" w:cs="宋体"/>
        </w:rPr>
      </w:pPr>
      <w:r>
        <w:rPr>
          <w:rFonts w:ascii="宋体" w:hAnsi="宋体" w:cs="宋体"/>
        </w:rPr>
        <w:t xml:space="preserve">1.4 </w:t>
      </w:r>
      <w:r>
        <w:rPr>
          <w:rFonts w:hint="eastAsia" w:ascii="宋体" w:hAnsi="宋体" w:cs="宋体"/>
        </w:rPr>
        <w:t>工程内容：</w:t>
      </w:r>
    </w:p>
    <w:p>
      <w:pPr>
        <w:spacing w:line="440" w:lineRule="exact"/>
        <w:ind w:firstLine="480"/>
        <w:rPr>
          <w:rFonts w:ascii="宋体" w:hAnsi="宋体" w:cs="宋体"/>
          <w:bCs/>
        </w:rPr>
      </w:pPr>
      <w:r>
        <w:rPr>
          <w:rFonts w:hint="eastAsia" w:ascii="宋体" w:hAnsi="宋体" w:cs="宋体"/>
          <w:bCs/>
        </w:rPr>
        <w:t>影响新建天津至潍坊高速铁路滨海段建设及运营要求的“三电”及管线迁改相关工作，包括：新建高铁引起的路内外电力线迁改；路内外通信、信号、有线电视线路等迁改；地下给排水、油、气、热力管道的迁改；通信设备、油、气管道、油库等设施电磁防护等。</w:t>
      </w:r>
    </w:p>
    <w:p>
      <w:pPr>
        <w:spacing w:line="440" w:lineRule="exact"/>
        <w:ind w:firstLine="480"/>
        <w:rPr>
          <w:rFonts w:ascii="宋体" w:hAnsi="宋体" w:cs="宋体"/>
        </w:rPr>
      </w:pPr>
      <w:r>
        <w:rPr>
          <w:rFonts w:hint="eastAsia" w:ascii="宋体" w:hAnsi="宋体" w:cs="宋体"/>
        </w:rPr>
        <w:t>1.5 承包方式</w:t>
      </w:r>
    </w:p>
    <w:p>
      <w:pPr>
        <w:spacing w:line="440" w:lineRule="exact"/>
        <w:ind w:firstLine="480"/>
        <w:rPr>
          <w:rFonts w:ascii="宋体" w:hAnsi="宋体"/>
          <w:u w:val="single"/>
        </w:rPr>
      </w:pPr>
      <w:r>
        <w:rPr>
          <w:rFonts w:hint="eastAsia" w:ascii="宋体" w:hAnsi="宋体"/>
          <w:u w:val="single"/>
        </w:rPr>
        <w:t>本工程采用设计施工总承包(EPC)方式。</w:t>
      </w:r>
    </w:p>
    <w:p>
      <w:pPr>
        <w:spacing w:before="240" w:after="60" w:line="440" w:lineRule="exact"/>
        <w:ind w:firstLine="422" w:firstLineChars="200"/>
        <w:jc w:val="left"/>
        <w:outlineLvl w:val="1"/>
        <w:rPr>
          <w:rFonts w:ascii="宋体" w:hAnsi="宋体" w:cs="宋体"/>
          <w:b/>
          <w:kern w:val="28"/>
        </w:rPr>
      </w:pPr>
      <w:bookmarkStart w:id="212" w:name="_Toc84265631"/>
      <w:r>
        <w:rPr>
          <w:rFonts w:hint="eastAsia" w:ascii="宋体" w:hAnsi="宋体" w:cs="宋体"/>
          <w:b/>
          <w:kern w:val="28"/>
        </w:rPr>
        <w:t>第2 条 工期</w:t>
      </w:r>
      <w:bookmarkEnd w:id="212"/>
    </w:p>
    <w:p>
      <w:pPr>
        <w:spacing w:line="440" w:lineRule="exact"/>
        <w:ind w:firstLine="480"/>
        <w:rPr>
          <w:rFonts w:ascii="宋体" w:hAnsi="宋体" w:cs="宋体"/>
        </w:rPr>
      </w:pPr>
      <w:r>
        <w:rPr>
          <w:rFonts w:hint="eastAsia" w:ascii="宋体" w:hAnsi="宋体" w:cs="宋体"/>
        </w:rPr>
        <w:t>工期天数为包括星期日和法定节假日在内的总日历天数。</w:t>
      </w:r>
    </w:p>
    <w:p>
      <w:pPr>
        <w:spacing w:line="440" w:lineRule="exact"/>
        <w:ind w:firstLine="480"/>
        <w:rPr>
          <w:rFonts w:ascii="宋体" w:hAnsi="宋体" w:cs="宋体"/>
        </w:rPr>
      </w:pPr>
      <w:r>
        <w:rPr>
          <w:rFonts w:hint="eastAsia" w:ascii="宋体" w:hAnsi="宋体" w:cs="宋体"/>
        </w:rPr>
        <w:t>开工日期： 年 月 日。</w:t>
      </w:r>
    </w:p>
    <w:p>
      <w:pPr>
        <w:spacing w:line="440" w:lineRule="exact"/>
        <w:ind w:firstLine="480"/>
        <w:rPr>
          <w:rFonts w:ascii="宋体" w:hAnsi="宋体" w:cs="宋体"/>
        </w:rPr>
      </w:pPr>
      <w:r>
        <w:rPr>
          <w:rFonts w:hint="eastAsia" w:ascii="宋体" w:hAnsi="宋体" w:cs="宋体"/>
        </w:rPr>
        <w:t>竣工日期： 年 月 日。</w:t>
      </w:r>
    </w:p>
    <w:p>
      <w:pPr>
        <w:spacing w:before="240" w:after="60" w:line="440" w:lineRule="exact"/>
        <w:ind w:firstLine="422" w:firstLineChars="200"/>
        <w:jc w:val="left"/>
        <w:outlineLvl w:val="1"/>
        <w:rPr>
          <w:rFonts w:ascii="宋体" w:hAnsi="宋体" w:cs="宋体"/>
          <w:b/>
          <w:kern w:val="28"/>
        </w:rPr>
      </w:pPr>
      <w:bookmarkStart w:id="213" w:name="_Toc84265632"/>
      <w:r>
        <w:rPr>
          <w:rFonts w:hint="eastAsia" w:ascii="宋体" w:hAnsi="宋体" w:cs="宋体"/>
          <w:b/>
          <w:kern w:val="28"/>
        </w:rPr>
        <w:t>第3 条 合同价款（含税）</w:t>
      </w:r>
      <w:bookmarkEnd w:id="213"/>
    </w:p>
    <w:p>
      <w:pPr>
        <w:spacing w:line="440" w:lineRule="exact"/>
        <w:ind w:firstLine="482"/>
        <w:rPr>
          <w:rFonts w:ascii="宋体" w:hAnsi="宋体"/>
        </w:rPr>
      </w:pPr>
      <w:r>
        <w:rPr>
          <w:rFonts w:hint="eastAsia" w:ascii="宋体" w:hAnsi="宋体" w:cs="宋体"/>
          <w:bCs/>
        </w:rPr>
        <w:t>签约合同价为人民币（大写：</w:t>
      </w:r>
      <w:r>
        <w:rPr>
          <w:rFonts w:hint="eastAsia" w:ascii="宋体" w:hAnsi="宋体" w:cs="宋体"/>
          <w:bCs/>
          <w:u w:val="single"/>
        </w:rPr>
        <w:t xml:space="preserve">    </w:t>
      </w:r>
      <w:r>
        <w:rPr>
          <w:rFonts w:hint="eastAsia" w:ascii="宋体" w:hAnsi="宋体" w:cs="宋体"/>
          <w:bCs/>
        </w:rPr>
        <w:t>）（¥</w:t>
      </w:r>
      <w:r>
        <w:rPr>
          <w:rFonts w:hint="eastAsia" w:ascii="宋体" w:hAnsi="宋体" w:cs="宋体"/>
          <w:bCs/>
          <w:u w:val="single"/>
        </w:rPr>
        <w:t xml:space="preserve">    </w:t>
      </w:r>
      <w:r>
        <w:rPr>
          <w:rFonts w:hint="eastAsia" w:ascii="宋体" w:hAnsi="宋体" w:cs="宋体"/>
          <w:bCs/>
        </w:rPr>
        <w:t>）。</w:t>
      </w:r>
      <w:r>
        <w:rPr>
          <w:rFonts w:hint="eastAsia" w:ascii="宋体" w:hAnsi="宋体"/>
        </w:rPr>
        <w:t>包括设计费、工程费、税费等有关费用。</w:t>
      </w:r>
    </w:p>
    <w:p>
      <w:pPr>
        <w:spacing w:line="440" w:lineRule="exact"/>
        <w:ind w:firstLine="482"/>
        <w:rPr>
          <w:rFonts w:ascii="宋体" w:hAnsi="宋体" w:cs="宋体"/>
          <w:bCs/>
        </w:rPr>
      </w:pPr>
      <w:r>
        <w:rPr>
          <w:rFonts w:hint="eastAsia" w:ascii="宋体" w:hAnsi="宋体"/>
        </w:rPr>
        <w:t>其中：</w:t>
      </w:r>
    </w:p>
    <w:p>
      <w:pPr>
        <w:spacing w:line="440" w:lineRule="exact"/>
        <w:ind w:firstLine="482"/>
        <w:rPr>
          <w:rFonts w:ascii="宋体" w:hAnsi="宋体"/>
        </w:rPr>
      </w:pPr>
      <w:r>
        <w:rPr>
          <w:rFonts w:hint="eastAsia" w:ascii="宋体" w:hAnsi="宋体"/>
        </w:rPr>
        <w:t>（</w:t>
      </w:r>
      <w:r>
        <w:rPr>
          <w:rFonts w:ascii="宋体" w:hAnsi="宋体"/>
        </w:rPr>
        <w:t>1）不含税价格为人民币（大写</w:t>
      </w:r>
      <w:r>
        <w:rPr>
          <w:rFonts w:hint="eastAsia" w:ascii="宋体" w:hAnsi="宋体" w:cs="宋体"/>
          <w:bCs/>
        </w:rPr>
        <w:t>：</w:t>
      </w:r>
      <w:r>
        <w:rPr>
          <w:rFonts w:hint="eastAsia" w:ascii="宋体" w:hAnsi="宋体" w:cs="宋体"/>
          <w:bCs/>
          <w:u w:val="single"/>
        </w:rPr>
        <w:t xml:space="preserve">    </w:t>
      </w:r>
      <w:r>
        <w:rPr>
          <w:rFonts w:hint="eastAsia" w:ascii="宋体" w:hAnsi="宋体" w:cs="宋体"/>
          <w:bCs/>
        </w:rPr>
        <w:t>）（¥</w:t>
      </w:r>
      <w:r>
        <w:rPr>
          <w:rFonts w:hint="eastAsia" w:ascii="宋体" w:hAnsi="宋体" w:cs="宋体"/>
          <w:bCs/>
          <w:u w:val="single"/>
        </w:rPr>
        <w:t xml:space="preserve">    </w:t>
      </w:r>
      <w:r>
        <w:rPr>
          <w:rFonts w:hint="eastAsia" w:ascii="宋体" w:hAnsi="宋体" w:cs="宋体"/>
          <w:bCs/>
        </w:rPr>
        <w:t>）</w:t>
      </w:r>
      <w:r>
        <w:rPr>
          <w:rFonts w:hint="eastAsia" w:ascii="宋体" w:hAnsi="宋体"/>
        </w:rPr>
        <w:t>。</w:t>
      </w:r>
    </w:p>
    <w:p>
      <w:pPr>
        <w:spacing w:line="440" w:lineRule="exact"/>
        <w:ind w:firstLine="482"/>
        <w:rPr>
          <w:rFonts w:ascii="宋体" w:hAnsi="宋体"/>
        </w:rPr>
      </w:pPr>
      <w:r>
        <w:rPr>
          <w:rFonts w:hint="eastAsia" w:ascii="宋体" w:hAnsi="宋体"/>
        </w:rPr>
        <w:t>（</w:t>
      </w:r>
      <w:r>
        <w:rPr>
          <w:rFonts w:ascii="宋体" w:hAnsi="宋体"/>
        </w:rPr>
        <w:t>2）增值税额为人民币（大写</w:t>
      </w:r>
      <w:r>
        <w:rPr>
          <w:rFonts w:hint="eastAsia" w:ascii="宋体" w:hAnsi="宋体" w:cs="宋体"/>
          <w:bCs/>
        </w:rPr>
        <w:t>：</w:t>
      </w:r>
      <w:r>
        <w:rPr>
          <w:rFonts w:hint="eastAsia" w:ascii="宋体" w:hAnsi="宋体" w:cs="宋体"/>
          <w:bCs/>
          <w:u w:val="single"/>
        </w:rPr>
        <w:t xml:space="preserve">    </w:t>
      </w:r>
      <w:r>
        <w:rPr>
          <w:rFonts w:hint="eastAsia" w:ascii="宋体" w:hAnsi="宋体" w:cs="宋体"/>
          <w:bCs/>
        </w:rPr>
        <w:t>）（¥</w:t>
      </w:r>
      <w:r>
        <w:rPr>
          <w:rFonts w:hint="eastAsia" w:ascii="宋体" w:hAnsi="宋体" w:cs="宋体"/>
          <w:bCs/>
          <w:u w:val="single"/>
        </w:rPr>
        <w:t xml:space="preserve">    </w:t>
      </w:r>
      <w:r>
        <w:rPr>
          <w:rFonts w:hint="eastAsia" w:ascii="宋体" w:hAnsi="宋体" w:cs="宋体"/>
          <w:bCs/>
        </w:rPr>
        <w:t>）</w:t>
      </w:r>
      <w:r>
        <w:rPr>
          <w:rFonts w:ascii="宋体" w:hAnsi="宋体"/>
        </w:rPr>
        <w:t>，增值税税率为</w:t>
      </w:r>
      <w:r>
        <w:rPr>
          <w:rFonts w:hint="eastAsia" w:ascii="宋体" w:hAnsi="宋体"/>
          <w:u w:val="single"/>
        </w:rPr>
        <w:t xml:space="preserve">  </w:t>
      </w:r>
      <w:r>
        <w:rPr>
          <w:rFonts w:ascii="宋体" w:hAnsi="宋体"/>
          <w:u w:val="single"/>
        </w:rPr>
        <w:t>%</w:t>
      </w:r>
      <w:r>
        <w:rPr>
          <w:rFonts w:ascii="宋体" w:hAnsi="宋体"/>
        </w:rPr>
        <w:t>。</w:t>
      </w:r>
    </w:p>
    <w:p>
      <w:pPr>
        <w:spacing w:before="240" w:after="60" w:line="440" w:lineRule="exact"/>
        <w:ind w:firstLine="422" w:firstLineChars="200"/>
        <w:jc w:val="left"/>
        <w:outlineLvl w:val="1"/>
        <w:rPr>
          <w:rFonts w:ascii="宋体" w:hAnsi="宋体" w:cs="宋体"/>
          <w:b/>
          <w:kern w:val="28"/>
        </w:rPr>
      </w:pPr>
      <w:bookmarkStart w:id="214" w:name="_Toc84265633"/>
      <w:r>
        <w:rPr>
          <w:rFonts w:hint="eastAsia" w:ascii="宋体" w:hAnsi="宋体" w:cs="宋体"/>
          <w:b/>
          <w:kern w:val="28"/>
        </w:rPr>
        <w:t>第4条 工程质量</w:t>
      </w:r>
      <w:bookmarkEnd w:id="214"/>
    </w:p>
    <w:p>
      <w:pPr>
        <w:spacing w:line="440" w:lineRule="exact"/>
        <w:ind w:firstLine="480"/>
        <w:rPr>
          <w:rFonts w:ascii="宋体" w:hAnsi="宋体" w:cs="宋体"/>
        </w:rPr>
      </w:pPr>
      <w:r>
        <w:rPr>
          <w:rFonts w:hint="eastAsia" w:ascii="宋体" w:hAnsi="宋体" w:cs="宋体"/>
        </w:rPr>
        <w:t>4.1 承包人必须执行国家法律、条例、细则，按照国家和省市现行的技术标准、规范和设计文件进行项目管理及迁改工程。项目在工程验收后1年内，如因本合同迁改工程出现质量问题，由承包人进行整改；造成损失的，则由承包人承担赔偿责任。</w:t>
      </w:r>
    </w:p>
    <w:p>
      <w:pPr>
        <w:spacing w:line="440" w:lineRule="exact"/>
        <w:ind w:firstLine="480"/>
        <w:rPr>
          <w:rFonts w:ascii="宋体" w:hAnsi="宋体" w:cs="宋体"/>
        </w:rPr>
      </w:pPr>
      <w:r>
        <w:rPr>
          <w:rFonts w:hint="eastAsia" w:ascii="宋体" w:hAnsi="宋体" w:cs="宋体"/>
        </w:rPr>
        <w:t>4.2 承包人负责实施的迁改工程必须全部达到国家、国铁集团及相关行业现行的工程质量验收标准。迁改工程不仅应满足建设期主体工程施工需要，同时应满足项目建成启用后运营安全要求。工程一次验收合格率达到100%。</w:t>
      </w:r>
    </w:p>
    <w:p>
      <w:pPr>
        <w:spacing w:line="440" w:lineRule="exact"/>
        <w:ind w:firstLine="480"/>
        <w:rPr>
          <w:rFonts w:ascii="宋体" w:hAnsi="宋体" w:cs="宋体"/>
        </w:rPr>
      </w:pPr>
      <w:r>
        <w:rPr>
          <w:rFonts w:hint="eastAsia" w:ascii="宋体" w:hAnsi="宋体" w:cs="宋体"/>
        </w:rPr>
        <w:t>4.3 质量缺陷及相应的经济责任</w:t>
      </w:r>
    </w:p>
    <w:p>
      <w:pPr>
        <w:spacing w:line="440" w:lineRule="exact"/>
        <w:ind w:firstLine="409" w:firstLineChars="195"/>
        <w:rPr>
          <w:rFonts w:ascii="宋体" w:hAnsi="宋体" w:cs="宋体"/>
        </w:rPr>
      </w:pPr>
      <w:r>
        <w:rPr>
          <w:rFonts w:hint="eastAsia" w:ascii="宋体" w:hAnsi="宋体" w:cs="宋体"/>
        </w:rPr>
        <w:t>凡不符合有关技术标准、设计文件及本合同对工程质量要求的行为或瑕疵、缺陷均视为质量缺陷。质保期内，由于承包人原因引起的质量缺陷，承包人负责质量缺陷的修复工作，并达到工程质量验收标准，其费用由承包人承担；由于非承包人原因引起的质量缺陷，承包人负责质量缺陷的修复工作，并达到工程质量验收标准，其费用由责任方承担。</w:t>
      </w:r>
    </w:p>
    <w:p>
      <w:pPr>
        <w:spacing w:line="440" w:lineRule="exact"/>
        <w:ind w:firstLine="480"/>
        <w:rPr>
          <w:rFonts w:ascii="宋体" w:hAnsi="宋体" w:cs="宋体"/>
        </w:rPr>
      </w:pPr>
      <w:r>
        <w:rPr>
          <w:rFonts w:hint="eastAsia" w:ascii="宋体" w:hAnsi="宋体" w:cs="宋体"/>
        </w:rPr>
        <w:t>4.3.1 承包人未按有关技术标准、设计文件及合同规定的要求施工，造成质量缺陷，由承包人承担全部责任。</w:t>
      </w:r>
    </w:p>
    <w:p>
      <w:pPr>
        <w:spacing w:line="440" w:lineRule="exact"/>
        <w:ind w:firstLine="480"/>
        <w:rPr>
          <w:rFonts w:ascii="宋体" w:hAnsi="宋体" w:cs="宋体"/>
        </w:rPr>
      </w:pPr>
      <w:r>
        <w:rPr>
          <w:rFonts w:hint="eastAsia" w:ascii="宋体" w:hAnsi="宋体" w:cs="宋体"/>
        </w:rPr>
        <w:t>4.3.2由相关第三方造成的质量缺陷，承包人负责质量缺陷的修复工作，并达到工程质量验收标准，其费用由责任方承担。</w:t>
      </w:r>
    </w:p>
    <w:p>
      <w:pPr>
        <w:spacing w:line="440" w:lineRule="exact"/>
        <w:ind w:firstLine="480"/>
        <w:rPr>
          <w:rFonts w:ascii="宋体" w:hAnsi="宋体" w:cs="宋体"/>
        </w:rPr>
      </w:pPr>
      <w:r>
        <w:rPr>
          <w:rFonts w:hint="eastAsia" w:ascii="宋体" w:hAnsi="宋体" w:cs="宋体"/>
        </w:rPr>
        <w:t>4.3.3 因材料、构配件和设备质量不合格引起的质量缺陷，由承包人承担经济责任。</w:t>
      </w:r>
    </w:p>
    <w:p>
      <w:pPr>
        <w:spacing w:line="440" w:lineRule="exact"/>
        <w:ind w:firstLine="480"/>
        <w:rPr>
          <w:rFonts w:ascii="宋体" w:hAnsi="宋体" w:cs="宋体"/>
        </w:rPr>
      </w:pPr>
      <w:r>
        <w:rPr>
          <w:rFonts w:hint="eastAsia" w:ascii="宋体" w:hAnsi="宋体" w:cs="宋体"/>
        </w:rPr>
        <w:t>4.4 因承包人原因,出现质量缺陷时,除承担本协议条款第4.3 规定的经济责任外,还要由发包人对承包人进行相应处罚。</w:t>
      </w:r>
    </w:p>
    <w:p>
      <w:pPr>
        <w:spacing w:line="440" w:lineRule="exact"/>
        <w:ind w:firstLine="480"/>
        <w:rPr>
          <w:rFonts w:ascii="宋体" w:hAnsi="宋体" w:cs="宋体"/>
          <w:u w:val="single"/>
        </w:rPr>
      </w:pPr>
      <w:r>
        <w:rPr>
          <w:rFonts w:ascii="宋体" w:hAnsi="宋体" w:cs="宋体"/>
        </w:rPr>
        <w:t xml:space="preserve">4.4 </w:t>
      </w:r>
      <w:r>
        <w:rPr>
          <w:rFonts w:hint="eastAsia" w:ascii="宋体" w:hAnsi="宋体" w:cs="宋体"/>
        </w:rPr>
        <w:t>质量保修期：每处工点完成迁改并移交产权单位后</w:t>
      </w:r>
      <w:r>
        <w:rPr>
          <w:rFonts w:ascii="宋体" w:hAnsi="宋体" w:cs="宋体"/>
        </w:rPr>
        <w:t>12</w:t>
      </w:r>
      <w:r>
        <w:rPr>
          <w:rFonts w:hint="eastAsia" w:ascii="宋体" w:hAnsi="宋体" w:cs="宋体"/>
        </w:rPr>
        <w:t>个月。</w:t>
      </w:r>
    </w:p>
    <w:p>
      <w:pPr>
        <w:spacing w:before="240" w:after="60" w:line="440" w:lineRule="exact"/>
        <w:ind w:firstLine="422" w:firstLineChars="200"/>
        <w:jc w:val="left"/>
        <w:outlineLvl w:val="1"/>
        <w:rPr>
          <w:rFonts w:ascii="宋体" w:hAnsi="宋体" w:cs="宋体"/>
        </w:rPr>
      </w:pPr>
      <w:bookmarkStart w:id="215" w:name="_Toc84265634"/>
      <w:r>
        <w:rPr>
          <w:rFonts w:hint="eastAsia" w:ascii="宋体" w:hAnsi="宋体" w:cs="宋体"/>
          <w:b/>
          <w:kern w:val="28"/>
        </w:rPr>
        <w:t>第5 条 设计文件</w:t>
      </w:r>
      <w:bookmarkEnd w:id="215"/>
    </w:p>
    <w:p>
      <w:pPr>
        <w:spacing w:line="440" w:lineRule="exact"/>
        <w:ind w:firstLine="480"/>
        <w:rPr>
          <w:rFonts w:ascii="宋体" w:hAnsi="宋体" w:cs="宋体"/>
        </w:rPr>
      </w:pPr>
      <w:r>
        <w:rPr>
          <w:rFonts w:hint="eastAsia" w:ascii="宋体" w:hAnsi="宋体" w:cs="宋体"/>
        </w:rPr>
        <w:t>设计方案经相关主管部门批准和产权单位同意，承包人方可施工。</w:t>
      </w:r>
    </w:p>
    <w:p>
      <w:pPr>
        <w:spacing w:before="240" w:after="60" w:line="440" w:lineRule="exact"/>
        <w:ind w:firstLine="422" w:firstLineChars="200"/>
        <w:jc w:val="left"/>
        <w:outlineLvl w:val="1"/>
        <w:rPr>
          <w:rFonts w:ascii="宋体" w:hAnsi="宋体" w:cs="宋体"/>
          <w:b/>
          <w:kern w:val="28"/>
        </w:rPr>
      </w:pPr>
      <w:bookmarkStart w:id="216" w:name="_Toc84265635"/>
      <w:r>
        <w:rPr>
          <w:rFonts w:hint="eastAsia" w:ascii="宋体" w:hAnsi="宋体" w:cs="宋体"/>
          <w:b/>
          <w:kern w:val="28"/>
        </w:rPr>
        <w:t>第6条 发包人</w:t>
      </w:r>
      <w:bookmarkEnd w:id="216"/>
    </w:p>
    <w:p>
      <w:pPr>
        <w:spacing w:line="440" w:lineRule="exact"/>
        <w:ind w:firstLine="480"/>
        <w:rPr>
          <w:rFonts w:ascii="宋体" w:hAnsi="宋体" w:cs="宋体"/>
          <w:u w:val="single"/>
        </w:rPr>
      </w:pPr>
      <w:r>
        <w:rPr>
          <w:rFonts w:hint="eastAsia" w:ascii="宋体" w:hAnsi="宋体" w:cs="宋体"/>
        </w:rPr>
        <w:t>发包人代表姓名：</w:t>
      </w:r>
    </w:p>
    <w:p>
      <w:pPr>
        <w:spacing w:before="240" w:after="60" w:line="440" w:lineRule="exact"/>
        <w:ind w:firstLine="422" w:firstLineChars="200"/>
        <w:jc w:val="left"/>
        <w:outlineLvl w:val="1"/>
        <w:rPr>
          <w:rFonts w:ascii="宋体" w:hAnsi="宋体" w:cs="宋体"/>
          <w:b/>
          <w:kern w:val="28"/>
        </w:rPr>
      </w:pPr>
      <w:bookmarkStart w:id="217" w:name="_Toc84265636"/>
      <w:r>
        <w:rPr>
          <w:rFonts w:hint="eastAsia" w:ascii="宋体" w:hAnsi="宋体" w:cs="宋体"/>
          <w:b/>
          <w:kern w:val="28"/>
        </w:rPr>
        <w:t>第7条 承包人</w:t>
      </w:r>
      <w:bookmarkEnd w:id="217"/>
    </w:p>
    <w:p>
      <w:pPr>
        <w:spacing w:line="440" w:lineRule="exact"/>
        <w:ind w:firstLine="480"/>
        <w:rPr>
          <w:rFonts w:ascii="宋体" w:hAnsi="宋体" w:cs="宋体"/>
          <w:u w:val="single"/>
        </w:rPr>
      </w:pPr>
      <w:r>
        <w:rPr>
          <w:rFonts w:hint="eastAsia" w:ascii="宋体" w:hAnsi="宋体" w:cs="宋体"/>
        </w:rPr>
        <w:t>承包人项目经理姓名：</w:t>
      </w:r>
    </w:p>
    <w:p>
      <w:pPr>
        <w:spacing w:line="440" w:lineRule="exact"/>
        <w:ind w:firstLine="480"/>
        <w:rPr>
          <w:rFonts w:ascii="宋体" w:hAnsi="宋体" w:cs="宋体"/>
        </w:rPr>
      </w:pPr>
      <w:r>
        <w:rPr>
          <w:rFonts w:hint="eastAsia" w:ascii="宋体" w:hAnsi="宋体" w:cs="宋体"/>
        </w:rPr>
        <w:t>承包人应在项目现场组建项目管理机构，如有调整需经发包人同意并办理备案。</w:t>
      </w:r>
    </w:p>
    <w:p>
      <w:pPr>
        <w:spacing w:before="240" w:after="60" w:line="440" w:lineRule="exact"/>
        <w:ind w:firstLine="422" w:firstLineChars="200"/>
        <w:jc w:val="left"/>
        <w:outlineLvl w:val="1"/>
        <w:rPr>
          <w:rFonts w:ascii="宋体" w:hAnsi="宋体" w:cs="宋体"/>
          <w:b/>
          <w:kern w:val="28"/>
        </w:rPr>
      </w:pPr>
      <w:bookmarkStart w:id="218" w:name="_Toc84265637"/>
      <w:r>
        <w:rPr>
          <w:rFonts w:hint="eastAsia" w:ascii="宋体" w:hAnsi="宋体" w:cs="宋体"/>
          <w:b/>
          <w:kern w:val="28"/>
        </w:rPr>
        <w:t>第8条 发包人工作</w:t>
      </w:r>
      <w:bookmarkEnd w:id="218"/>
    </w:p>
    <w:p>
      <w:pPr>
        <w:spacing w:line="440" w:lineRule="exact"/>
        <w:ind w:firstLine="480"/>
        <w:rPr>
          <w:rFonts w:ascii="宋体" w:hAnsi="宋体" w:cs="宋体"/>
        </w:rPr>
      </w:pPr>
      <w:r>
        <w:rPr>
          <w:rFonts w:hint="eastAsia" w:ascii="宋体" w:hAnsi="宋体" w:cs="宋体"/>
        </w:rPr>
        <w:t>8.1 按本合同约定及时提供所需建设资金。待专项资金拨付发包人后</w:t>
      </w:r>
      <w:r>
        <w:rPr>
          <w:rFonts w:hint="eastAsia" w:ascii="宋体" w:hAnsi="宋体" w:cs="宋体"/>
          <w:u w:val="single"/>
        </w:rPr>
        <w:t xml:space="preserve">  </w:t>
      </w:r>
      <w:r>
        <w:rPr>
          <w:rFonts w:hint="eastAsia" w:ascii="宋体" w:hAnsi="宋体" w:cs="宋体"/>
        </w:rPr>
        <w:t>日内，再行支付给承包人建设资金。</w:t>
      </w:r>
    </w:p>
    <w:p>
      <w:pPr>
        <w:spacing w:line="440" w:lineRule="exact"/>
        <w:ind w:firstLine="480"/>
        <w:rPr>
          <w:rFonts w:ascii="宋体" w:hAnsi="宋体" w:cs="宋体"/>
        </w:rPr>
      </w:pPr>
      <w:r>
        <w:rPr>
          <w:rFonts w:hint="eastAsia" w:ascii="宋体" w:hAnsi="宋体" w:cs="宋体"/>
        </w:rPr>
        <w:t>8.2 按本合同约定，提供迁改相关基础性资料。</w:t>
      </w:r>
    </w:p>
    <w:p>
      <w:pPr>
        <w:spacing w:line="440" w:lineRule="exact"/>
        <w:ind w:firstLine="480"/>
        <w:rPr>
          <w:rFonts w:ascii="宋体" w:hAnsi="宋体" w:cs="宋体"/>
        </w:rPr>
      </w:pPr>
      <w:r>
        <w:rPr>
          <w:rFonts w:hint="eastAsia" w:ascii="宋体" w:hAnsi="宋体" w:cs="宋体"/>
        </w:rPr>
        <w:t>8.3 审查承包人报送的设计文件和施工组织方案，并督促实施。</w:t>
      </w:r>
    </w:p>
    <w:p>
      <w:pPr>
        <w:spacing w:line="440" w:lineRule="exact"/>
        <w:ind w:firstLine="480"/>
        <w:rPr>
          <w:rFonts w:ascii="宋体" w:hAnsi="宋体" w:cs="宋体"/>
        </w:rPr>
      </w:pPr>
      <w:r>
        <w:rPr>
          <w:rFonts w:hint="eastAsia" w:ascii="宋体" w:hAnsi="宋体" w:cs="宋体"/>
        </w:rPr>
        <w:t>8.4 申请项目开工报告，审批单位工程开工报告。</w:t>
      </w:r>
    </w:p>
    <w:p>
      <w:pPr>
        <w:spacing w:line="440" w:lineRule="exact"/>
        <w:ind w:firstLine="480"/>
        <w:rPr>
          <w:rFonts w:ascii="宋体" w:hAnsi="宋体" w:cs="宋体"/>
        </w:rPr>
      </w:pPr>
      <w:r>
        <w:rPr>
          <w:rFonts w:hint="eastAsia" w:ascii="宋体" w:hAnsi="宋体" w:cs="宋体"/>
        </w:rPr>
        <w:t>8.5 按权限审批设计变更。</w:t>
      </w:r>
    </w:p>
    <w:p>
      <w:pPr>
        <w:spacing w:line="440" w:lineRule="exact"/>
        <w:ind w:firstLine="480"/>
        <w:rPr>
          <w:rFonts w:ascii="宋体" w:hAnsi="宋体" w:cs="宋体"/>
        </w:rPr>
      </w:pPr>
      <w:r>
        <w:rPr>
          <w:rFonts w:hint="eastAsia" w:ascii="宋体" w:hAnsi="宋体" w:cs="宋体"/>
        </w:rPr>
        <w:t>8.6 按本合同约定办理验工计价手续，拨付和结算工程价款。</w:t>
      </w:r>
    </w:p>
    <w:p>
      <w:pPr>
        <w:spacing w:line="440" w:lineRule="exact"/>
        <w:ind w:firstLine="480"/>
        <w:rPr>
          <w:rFonts w:ascii="宋体" w:hAnsi="宋体" w:cs="宋体"/>
        </w:rPr>
      </w:pPr>
      <w:r>
        <w:rPr>
          <w:rFonts w:hint="eastAsia" w:ascii="宋体" w:hAnsi="宋体" w:cs="宋体"/>
        </w:rPr>
        <w:t>8.7 按有关规定组织竣工验收交接工作。</w:t>
      </w:r>
    </w:p>
    <w:p>
      <w:pPr>
        <w:spacing w:before="240" w:after="60" w:line="440" w:lineRule="exact"/>
        <w:ind w:firstLine="422" w:firstLineChars="200"/>
        <w:jc w:val="left"/>
        <w:outlineLvl w:val="1"/>
        <w:rPr>
          <w:rFonts w:ascii="宋体" w:hAnsi="宋体" w:cs="宋体"/>
          <w:b/>
          <w:kern w:val="28"/>
        </w:rPr>
      </w:pPr>
      <w:bookmarkStart w:id="219" w:name="_Toc84265638"/>
      <w:r>
        <w:rPr>
          <w:rFonts w:hint="eastAsia" w:ascii="宋体" w:hAnsi="宋体" w:cs="宋体"/>
          <w:b/>
          <w:kern w:val="28"/>
        </w:rPr>
        <w:t>第9 条 承包人工作</w:t>
      </w:r>
      <w:bookmarkEnd w:id="219"/>
    </w:p>
    <w:p>
      <w:pPr>
        <w:spacing w:line="440" w:lineRule="exact"/>
        <w:ind w:firstLine="480"/>
        <w:rPr>
          <w:rFonts w:ascii="宋体" w:hAnsi="宋体" w:cs="宋体"/>
        </w:rPr>
      </w:pPr>
      <w:r>
        <w:rPr>
          <w:rFonts w:hint="eastAsia" w:ascii="宋体" w:hAnsi="宋体" w:cs="宋体"/>
        </w:rPr>
        <w:t>9.1 负责本合同项下所有工作。</w:t>
      </w:r>
    </w:p>
    <w:p>
      <w:pPr>
        <w:spacing w:line="440" w:lineRule="exact"/>
        <w:ind w:firstLine="480"/>
        <w:rPr>
          <w:rFonts w:ascii="宋体" w:hAnsi="宋体" w:cs="宋体"/>
        </w:rPr>
      </w:pPr>
      <w:r>
        <w:rPr>
          <w:rFonts w:hint="eastAsia" w:ascii="宋体" w:hAnsi="宋体" w:cs="宋体"/>
        </w:rPr>
        <w:t>9.2 迁改设计方案审查时，承包人应通知发包人及相关单位参与审查。</w:t>
      </w:r>
    </w:p>
    <w:p>
      <w:pPr>
        <w:spacing w:line="440" w:lineRule="exact"/>
        <w:ind w:firstLine="480"/>
        <w:rPr>
          <w:rFonts w:ascii="宋体" w:hAnsi="宋体" w:cs="宋体"/>
        </w:rPr>
      </w:pPr>
      <w:r>
        <w:rPr>
          <w:rFonts w:hint="eastAsia" w:ascii="宋体" w:hAnsi="宋体" w:cs="宋体"/>
        </w:rPr>
        <w:t>9.3 按投标承诺，如期配足工程所需施工劳动力和机具设备。项目经理、设计负责人、技术负责人等重要岗位人员更换，必须事先向发包人报告，经批准后方可实施。</w:t>
      </w:r>
    </w:p>
    <w:p>
      <w:pPr>
        <w:spacing w:line="440" w:lineRule="exact"/>
        <w:ind w:firstLine="480"/>
        <w:rPr>
          <w:rFonts w:ascii="宋体" w:hAnsi="宋体" w:cs="宋体"/>
        </w:rPr>
      </w:pPr>
      <w:r>
        <w:rPr>
          <w:rFonts w:hint="eastAsia" w:ascii="宋体" w:hAnsi="宋体" w:cs="宋体"/>
        </w:rPr>
        <w:t>9.4 按期向发包人报送设计、施工计划、用款计划、工程统计报表、质量安全事故报表。</w:t>
      </w:r>
    </w:p>
    <w:p>
      <w:pPr>
        <w:spacing w:line="440" w:lineRule="exact"/>
        <w:ind w:firstLine="480"/>
        <w:rPr>
          <w:rFonts w:ascii="宋体" w:hAnsi="宋体" w:cs="宋体"/>
        </w:rPr>
      </w:pPr>
      <w:r>
        <w:rPr>
          <w:rFonts w:hint="eastAsia" w:ascii="宋体" w:hAnsi="宋体" w:cs="宋体"/>
        </w:rPr>
        <w:t>9.5 按本合同约定的范围，做好材料和设备的采购、检验、加工和管理。</w:t>
      </w:r>
    </w:p>
    <w:p>
      <w:pPr>
        <w:spacing w:line="440" w:lineRule="exact"/>
        <w:ind w:firstLine="480"/>
        <w:rPr>
          <w:rFonts w:ascii="宋体" w:hAnsi="宋体" w:cs="宋体"/>
        </w:rPr>
      </w:pPr>
      <w:r>
        <w:rPr>
          <w:rFonts w:hint="eastAsia" w:ascii="宋体" w:hAnsi="宋体" w:cs="宋体"/>
        </w:rPr>
        <w:t>9.6 严格按照设计文件要求进行施工，确保工程质量，按合同约定时间完工和交付使用。</w:t>
      </w:r>
    </w:p>
    <w:p>
      <w:pPr>
        <w:spacing w:line="440" w:lineRule="exact"/>
        <w:ind w:firstLine="480"/>
        <w:rPr>
          <w:rFonts w:ascii="宋体" w:hAnsi="宋体" w:cs="宋体"/>
        </w:rPr>
      </w:pPr>
      <w:r>
        <w:rPr>
          <w:rFonts w:hint="eastAsia" w:ascii="宋体" w:hAnsi="宋体" w:cs="宋体"/>
        </w:rPr>
        <w:t>9.7 坚持文明施工，做好施工现场环境保护、劳动保护和安全生产。</w:t>
      </w:r>
    </w:p>
    <w:p>
      <w:pPr>
        <w:spacing w:line="440" w:lineRule="exact"/>
        <w:ind w:firstLine="480"/>
        <w:rPr>
          <w:rFonts w:ascii="宋体" w:hAnsi="宋体" w:cs="宋体"/>
        </w:rPr>
      </w:pPr>
      <w:r>
        <w:rPr>
          <w:rFonts w:hint="eastAsia" w:ascii="宋体" w:hAnsi="宋体" w:cs="宋体"/>
        </w:rPr>
        <w:t>9.8 按规定参加竣工验收工作，提交竣工文件，并将相关资料报发包人备案。</w:t>
      </w:r>
    </w:p>
    <w:p>
      <w:pPr>
        <w:spacing w:line="440" w:lineRule="exact"/>
        <w:ind w:firstLine="480"/>
        <w:rPr>
          <w:rFonts w:ascii="宋体" w:hAnsi="宋体" w:cs="宋体"/>
        </w:rPr>
      </w:pPr>
      <w:r>
        <w:rPr>
          <w:rFonts w:hint="eastAsia" w:ascii="宋体" w:hAnsi="宋体" w:cs="宋体"/>
        </w:rPr>
        <w:t>9.9 及时提报验工计价资料、办理工程价款结算和竣工结算。</w:t>
      </w:r>
    </w:p>
    <w:p>
      <w:pPr>
        <w:spacing w:line="440" w:lineRule="exact"/>
        <w:ind w:firstLine="480"/>
        <w:rPr>
          <w:rFonts w:ascii="宋体" w:hAnsi="宋体" w:cs="宋体"/>
        </w:rPr>
      </w:pPr>
      <w:r>
        <w:rPr>
          <w:rFonts w:hint="eastAsia" w:ascii="宋体" w:hAnsi="宋体" w:cs="宋体"/>
        </w:rPr>
        <w:t>9.10 对已完工的工程和安装的设备，验交前应负责保管，保证其完好状态。</w:t>
      </w:r>
    </w:p>
    <w:p>
      <w:pPr>
        <w:spacing w:line="440" w:lineRule="exact"/>
        <w:ind w:firstLine="480"/>
        <w:rPr>
          <w:rFonts w:ascii="宋体" w:hAnsi="宋体" w:cs="宋体"/>
        </w:rPr>
      </w:pPr>
      <w:r>
        <w:rPr>
          <w:rFonts w:hint="eastAsia" w:ascii="宋体" w:hAnsi="宋体" w:cs="宋体"/>
        </w:rPr>
        <w:t>9.11 按发包人要求，及时参加协调会议，遵守有关工程现场管理的管理制度。</w:t>
      </w:r>
    </w:p>
    <w:p>
      <w:pPr>
        <w:spacing w:line="440" w:lineRule="exact"/>
        <w:ind w:firstLine="480"/>
        <w:rPr>
          <w:rFonts w:ascii="宋体" w:hAnsi="宋体" w:cs="宋体"/>
        </w:rPr>
      </w:pPr>
      <w:r>
        <w:rPr>
          <w:rFonts w:hint="eastAsia" w:ascii="宋体" w:hAnsi="宋体" w:cs="宋体"/>
        </w:rPr>
        <w:t>9.12 按发包人要求，做好项目迁改资料组卷，配合做好审计、第三方审价等工作</w:t>
      </w:r>
    </w:p>
    <w:p>
      <w:pPr>
        <w:spacing w:line="440" w:lineRule="exact"/>
        <w:ind w:firstLine="420" w:firstLineChars="200"/>
        <w:rPr>
          <w:rFonts w:ascii="宋体" w:hAnsi="宋体" w:cs="宋体"/>
        </w:rPr>
      </w:pPr>
      <w:r>
        <w:rPr>
          <w:rFonts w:hint="eastAsia" w:ascii="宋体" w:hAnsi="宋体" w:cs="宋体"/>
        </w:rPr>
        <w:t>9.13 承包人负责依法对本项目的自身不能完成的后续施工工程进行招标</w:t>
      </w:r>
      <w:r>
        <w:rPr>
          <w:rFonts w:hint="eastAsia" w:ascii="宋体" w:hAnsi="宋体"/>
        </w:rPr>
        <w:t>，由总承包单位负责组织招标，发包人监督招标过程。</w:t>
      </w:r>
    </w:p>
    <w:p>
      <w:pPr>
        <w:spacing w:before="240" w:after="60" w:line="440" w:lineRule="exact"/>
        <w:ind w:firstLine="422" w:firstLineChars="200"/>
        <w:jc w:val="left"/>
        <w:outlineLvl w:val="1"/>
        <w:rPr>
          <w:rFonts w:ascii="宋体" w:hAnsi="宋体" w:cs="宋体"/>
          <w:b/>
          <w:kern w:val="28"/>
        </w:rPr>
      </w:pPr>
      <w:bookmarkStart w:id="220" w:name="_Toc84265639"/>
      <w:r>
        <w:rPr>
          <w:rFonts w:hint="eastAsia" w:ascii="宋体" w:hAnsi="宋体" w:cs="宋体"/>
          <w:b/>
          <w:kern w:val="28"/>
        </w:rPr>
        <w:t>第10条 进度计划</w:t>
      </w:r>
      <w:bookmarkEnd w:id="220"/>
    </w:p>
    <w:p>
      <w:pPr>
        <w:spacing w:line="440" w:lineRule="exact"/>
        <w:ind w:firstLine="480"/>
        <w:rPr>
          <w:rFonts w:ascii="宋体" w:hAnsi="宋体"/>
        </w:rPr>
      </w:pPr>
      <w:r>
        <w:rPr>
          <w:rFonts w:hint="eastAsia" w:ascii="宋体" w:hAnsi="宋体"/>
        </w:rPr>
        <w:t>10.1 承包人</w:t>
      </w:r>
      <w:r>
        <w:rPr>
          <w:rFonts w:ascii="宋体" w:hAnsi="宋体"/>
        </w:rPr>
        <w:t>应根据</w:t>
      </w:r>
      <w:r>
        <w:rPr>
          <w:rFonts w:hint="eastAsia" w:ascii="宋体" w:hAnsi="宋体"/>
        </w:rPr>
        <w:t>发包人提供的建设进度计划</w:t>
      </w:r>
      <w:r>
        <w:rPr>
          <w:rFonts w:ascii="宋体" w:hAnsi="宋体"/>
        </w:rPr>
        <w:t>，以书面形式向</w:t>
      </w:r>
      <w:r>
        <w:rPr>
          <w:rFonts w:hint="eastAsia" w:ascii="宋体" w:hAnsi="宋体"/>
        </w:rPr>
        <w:t>发包人</w:t>
      </w:r>
      <w:r>
        <w:rPr>
          <w:rFonts w:ascii="宋体" w:hAnsi="宋体"/>
        </w:rPr>
        <w:t>提</w:t>
      </w:r>
      <w:r>
        <w:rPr>
          <w:rFonts w:hint="eastAsia" w:ascii="宋体" w:hAnsi="宋体"/>
        </w:rPr>
        <w:t>报年度施工进度</w:t>
      </w:r>
      <w:r>
        <w:rPr>
          <w:rFonts w:ascii="宋体" w:hAnsi="宋体"/>
        </w:rPr>
        <w:t>计划。</w:t>
      </w:r>
      <w:r>
        <w:rPr>
          <w:rFonts w:hint="eastAsia" w:ascii="宋体" w:hAnsi="宋体"/>
          <w:snapToGrid w:val="0"/>
          <w:kern w:val="0"/>
        </w:rPr>
        <w:t>若</w:t>
      </w:r>
      <w:r>
        <w:rPr>
          <w:rFonts w:hint="eastAsia" w:ascii="宋体" w:hAnsi="宋体"/>
        </w:rPr>
        <w:t>建设进度计划</w:t>
      </w:r>
      <w:r>
        <w:rPr>
          <w:rFonts w:hint="eastAsia" w:ascii="宋体" w:hAnsi="宋体"/>
          <w:snapToGrid w:val="0"/>
          <w:kern w:val="0"/>
        </w:rPr>
        <w:t>发生变化或当年</w:t>
      </w:r>
      <w:r>
        <w:rPr>
          <w:rFonts w:hint="eastAsia" w:ascii="宋体" w:hAnsi="宋体"/>
        </w:rPr>
        <w:t>施工进度</w:t>
      </w:r>
      <w:r>
        <w:rPr>
          <w:rFonts w:ascii="宋体" w:hAnsi="宋体"/>
        </w:rPr>
        <w:t>计划</w:t>
      </w:r>
      <w:r>
        <w:rPr>
          <w:rFonts w:hint="eastAsia" w:ascii="宋体" w:hAnsi="宋体"/>
          <w:snapToGrid w:val="0"/>
          <w:kern w:val="0"/>
        </w:rPr>
        <w:t>提前完成，承包人可申报补充</w:t>
      </w:r>
      <w:r>
        <w:rPr>
          <w:rFonts w:hint="eastAsia" w:ascii="宋体" w:hAnsi="宋体"/>
        </w:rPr>
        <w:t>施工进度</w:t>
      </w:r>
      <w:r>
        <w:rPr>
          <w:rFonts w:hint="eastAsia" w:ascii="宋体" w:hAnsi="宋体"/>
          <w:snapToGrid w:val="0"/>
          <w:kern w:val="0"/>
        </w:rPr>
        <w:t>计划。</w:t>
      </w:r>
    </w:p>
    <w:p>
      <w:pPr>
        <w:spacing w:line="440" w:lineRule="exact"/>
        <w:ind w:firstLine="480"/>
        <w:rPr>
          <w:rFonts w:ascii="宋体" w:hAnsi="宋体"/>
        </w:rPr>
      </w:pPr>
      <w:r>
        <w:rPr>
          <w:rFonts w:hint="eastAsia" w:ascii="宋体" w:hAnsi="宋体" w:cs="宋体"/>
        </w:rPr>
        <w:t xml:space="preserve">10.2 </w:t>
      </w:r>
      <w:r>
        <w:rPr>
          <w:rFonts w:hint="eastAsia" w:ascii="宋体" w:hAnsi="宋体"/>
        </w:rPr>
        <w:t>发包人应在收到承包人施工进度计划7天内，以书面形式予以批准或提出修改意见通知承包人。逾期未批复，可视为同意承包人报告，承包人可据此施工。</w:t>
      </w:r>
    </w:p>
    <w:p>
      <w:pPr>
        <w:spacing w:line="440" w:lineRule="exact"/>
        <w:ind w:firstLine="480"/>
        <w:rPr>
          <w:rFonts w:ascii="宋体" w:hAnsi="宋体"/>
        </w:rPr>
      </w:pPr>
      <w:r>
        <w:rPr>
          <w:rFonts w:hint="eastAsia" w:ascii="宋体" w:hAnsi="宋体" w:cs="宋体"/>
        </w:rPr>
        <w:t xml:space="preserve">10.3 </w:t>
      </w:r>
      <w:r>
        <w:rPr>
          <w:rFonts w:hint="eastAsia" w:ascii="宋体" w:hAnsi="宋体"/>
        </w:rPr>
        <w:t>经发包人同意的施工进度计划，是本合同的组成部分，双方必须遵守。</w:t>
      </w:r>
    </w:p>
    <w:p>
      <w:pPr>
        <w:spacing w:line="440" w:lineRule="exact"/>
        <w:ind w:firstLine="480"/>
        <w:rPr>
          <w:rFonts w:ascii="宋体" w:hAnsi="宋体" w:cs="宋体"/>
        </w:rPr>
      </w:pPr>
      <w:r>
        <w:rPr>
          <w:rFonts w:hint="eastAsia" w:ascii="宋体" w:hAnsi="宋体" w:cs="宋体"/>
        </w:rPr>
        <w:t xml:space="preserve">10.4 </w:t>
      </w:r>
      <w:r>
        <w:rPr>
          <w:rFonts w:hint="eastAsia" w:ascii="宋体" w:hAnsi="宋体"/>
        </w:rPr>
        <w:t>由于非承包人原因造成进度滞后，承包人应以书面形式报发包人备案，进度计划在总工期内调整。</w:t>
      </w:r>
    </w:p>
    <w:p>
      <w:pPr>
        <w:spacing w:before="240" w:after="60" w:line="440" w:lineRule="exact"/>
        <w:ind w:firstLine="422" w:firstLineChars="200"/>
        <w:jc w:val="left"/>
        <w:outlineLvl w:val="1"/>
        <w:rPr>
          <w:rFonts w:ascii="宋体" w:hAnsi="宋体" w:cs="宋体"/>
          <w:b/>
          <w:kern w:val="28"/>
        </w:rPr>
      </w:pPr>
      <w:bookmarkStart w:id="221" w:name="_Toc84265640"/>
      <w:r>
        <w:rPr>
          <w:rFonts w:hint="eastAsia" w:ascii="宋体" w:hAnsi="宋体" w:cs="宋体"/>
          <w:b/>
          <w:kern w:val="28"/>
        </w:rPr>
        <w:t>第11条 延期开工</w:t>
      </w:r>
      <w:bookmarkEnd w:id="221"/>
    </w:p>
    <w:p>
      <w:pPr>
        <w:spacing w:line="440" w:lineRule="exact"/>
        <w:ind w:firstLine="480"/>
        <w:rPr>
          <w:rFonts w:ascii="宋体" w:hAnsi="宋体" w:cs="宋体"/>
        </w:rPr>
      </w:pPr>
      <w:r>
        <w:rPr>
          <w:rFonts w:hint="eastAsia" w:ascii="宋体" w:hAnsi="宋体" w:cs="宋体"/>
        </w:rPr>
        <w:t>11.1 承包人应按本合同规定的开工日期开始施工。如承包人不能按时开工，应在合同开工日期前</w:t>
      </w:r>
      <w:r>
        <w:rPr>
          <w:rFonts w:ascii="宋体" w:hAnsi="宋体" w:cs="宋体"/>
        </w:rPr>
        <w:t>10</w:t>
      </w:r>
      <w:r>
        <w:rPr>
          <w:rFonts w:hint="eastAsia" w:ascii="宋体" w:hAnsi="宋体" w:cs="宋体"/>
        </w:rPr>
        <w:t>天，书面向发包人代表提出延期开工理由和要求的报告。发包人应在接到承包人报告后7天内答复。如发包人在7天内未予答复，可视为同意承包人要求，工期相应顺延。</w:t>
      </w:r>
    </w:p>
    <w:p>
      <w:pPr>
        <w:spacing w:line="440" w:lineRule="exact"/>
        <w:ind w:firstLine="480"/>
        <w:rPr>
          <w:rFonts w:ascii="宋体" w:hAnsi="宋体" w:cs="宋体"/>
        </w:rPr>
      </w:pPr>
      <w:r>
        <w:rPr>
          <w:rFonts w:hint="eastAsia" w:ascii="宋体" w:hAnsi="宋体" w:cs="宋体"/>
        </w:rPr>
        <w:t>11.2 发包人不同意延期开工要求或承包人未在规定时间内提出延期开工要求，竣工日期不予顺延。</w:t>
      </w:r>
    </w:p>
    <w:p>
      <w:pPr>
        <w:spacing w:line="440" w:lineRule="exact"/>
        <w:ind w:firstLine="480"/>
        <w:rPr>
          <w:rFonts w:ascii="宋体" w:hAnsi="宋体" w:cs="宋体"/>
        </w:rPr>
      </w:pPr>
      <w:r>
        <w:rPr>
          <w:rFonts w:hint="eastAsia" w:ascii="宋体" w:hAnsi="宋体" w:cs="宋体"/>
        </w:rPr>
        <w:t>11.3 由于发包人原因不能按时开工，发包人应在合同开工日期前</w:t>
      </w:r>
      <w:r>
        <w:rPr>
          <w:rFonts w:ascii="宋体" w:hAnsi="宋体" w:cs="宋体"/>
        </w:rPr>
        <w:t>10</w:t>
      </w:r>
      <w:r>
        <w:rPr>
          <w:rFonts w:hint="eastAsia" w:ascii="宋体" w:hAnsi="宋体" w:cs="宋体"/>
        </w:rPr>
        <w:t>天，以书面形式通知承包人推迟开工日期，可顺延工期。</w:t>
      </w:r>
    </w:p>
    <w:p>
      <w:pPr>
        <w:spacing w:before="240" w:after="60" w:line="440" w:lineRule="exact"/>
        <w:ind w:firstLine="422" w:firstLineChars="200"/>
        <w:jc w:val="left"/>
        <w:outlineLvl w:val="1"/>
        <w:rPr>
          <w:rFonts w:ascii="宋体" w:hAnsi="宋体" w:cs="宋体"/>
          <w:b/>
          <w:kern w:val="28"/>
        </w:rPr>
      </w:pPr>
      <w:bookmarkStart w:id="222" w:name="_Toc84265641"/>
      <w:r>
        <w:rPr>
          <w:rFonts w:hint="eastAsia" w:ascii="宋体" w:hAnsi="宋体" w:cs="宋体"/>
          <w:b/>
          <w:kern w:val="28"/>
        </w:rPr>
        <w:t>第12 条 暂停施工</w:t>
      </w:r>
      <w:bookmarkEnd w:id="222"/>
    </w:p>
    <w:p>
      <w:pPr>
        <w:spacing w:line="440" w:lineRule="exact"/>
        <w:ind w:firstLine="480"/>
        <w:rPr>
          <w:rFonts w:ascii="宋体" w:hAnsi="宋体" w:cs="宋体"/>
        </w:rPr>
      </w:pPr>
      <w:r>
        <w:rPr>
          <w:rFonts w:hint="eastAsia" w:ascii="宋体" w:hAnsi="宋体" w:cs="宋体"/>
        </w:rPr>
        <w:t>12.1 发包人认为确有必要时，发包人可书面要求承包人暂停施工，并在7天内提出处理意见。</w:t>
      </w:r>
    </w:p>
    <w:p>
      <w:pPr>
        <w:spacing w:line="440" w:lineRule="exact"/>
        <w:ind w:firstLine="480"/>
        <w:rPr>
          <w:rFonts w:ascii="宋体" w:hAnsi="宋体" w:cs="宋体"/>
        </w:rPr>
      </w:pPr>
      <w:r>
        <w:rPr>
          <w:rFonts w:hint="eastAsia" w:ascii="宋体" w:hAnsi="宋体" w:cs="宋体"/>
        </w:rPr>
        <w:t>12.2 承包人按发包人要求停止施工时，承包人要妥善保护已完工程。</w:t>
      </w:r>
    </w:p>
    <w:p>
      <w:pPr>
        <w:spacing w:line="440" w:lineRule="exact"/>
        <w:ind w:firstLine="480"/>
        <w:rPr>
          <w:rFonts w:ascii="宋体" w:hAnsi="宋体" w:cs="宋体"/>
        </w:rPr>
      </w:pPr>
      <w:r>
        <w:rPr>
          <w:rFonts w:hint="eastAsia" w:ascii="宋体" w:hAnsi="宋体" w:cs="宋体"/>
        </w:rPr>
        <w:t>12.3 承包人在接到发包人书面复工通知后，要立即组织复工。</w:t>
      </w:r>
    </w:p>
    <w:p>
      <w:pPr>
        <w:spacing w:line="440" w:lineRule="exact"/>
        <w:ind w:firstLine="480"/>
        <w:rPr>
          <w:rFonts w:ascii="宋体" w:hAnsi="宋体" w:cs="宋体"/>
        </w:rPr>
      </w:pPr>
      <w:r>
        <w:rPr>
          <w:rFonts w:hint="eastAsia" w:ascii="宋体" w:hAnsi="宋体" w:cs="宋体"/>
        </w:rPr>
        <w:t>12.4 停工责任在发包人，可顺延工期，视情况对承包人因停工造成的经济损失给予费用补偿；停工责任在承包人，承包人负违约责任，并承担所发生的费用。</w:t>
      </w:r>
    </w:p>
    <w:p>
      <w:pPr>
        <w:spacing w:before="240" w:after="60" w:line="440" w:lineRule="exact"/>
        <w:ind w:firstLine="422" w:firstLineChars="200"/>
        <w:jc w:val="left"/>
        <w:outlineLvl w:val="1"/>
        <w:rPr>
          <w:rFonts w:ascii="宋体" w:hAnsi="宋体" w:cs="宋体"/>
          <w:b/>
          <w:kern w:val="28"/>
        </w:rPr>
      </w:pPr>
      <w:bookmarkStart w:id="223" w:name="_Toc84265642"/>
      <w:r>
        <w:rPr>
          <w:rFonts w:hint="eastAsia" w:ascii="宋体" w:hAnsi="宋体" w:cs="宋体"/>
          <w:b/>
          <w:kern w:val="28"/>
        </w:rPr>
        <w:t>第13 条 工期提前及延误</w:t>
      </w:r>
      <w:bookmarkEnd w:id="223"/>
    </w:p>
    <w:p>
      <w:pPr>
        <w:spacing w:line="440" w:lineRule="exact"/>
        <w:ind w:firstLine="480"/>
        <w:rPr>
          <w:rFonts w:ascii="宋体" w:hAnsi="宋体" w:cs="宋体"/>
        </w:rPr>
      </w:pPr>
      <w:r>
        <w:rPr>
          <w:rFonts w:hint="eastAsia" w:ascii="宋体" w:hAnsi="宋体" w:cs="宋体"/>
        </w:rPr>
        <w:t xml:space="preserve">13.1工期提前  </w:t>
      </w:r>
    </w:p>
    <w:p>
      <w:pPr>
        <w:spacing w:line="440" w:lineRule="exact"/>
        <w:ind w:firstLine="480"/>
        <w:rPr>
          <w:rFonts w:ascii="宋体" w:hAnsi="宋体"/>
        </w:rPr>
      </w:pPr>
      <w:r>
        <w:rPr>
          <w:rFonts w:hint="eastAsia" w:ascii="宋体" w:hAnsi="宋体" w:cs="宋体"/>
          <w:bCs/>
        </w:rPr>
        <w:t>如提前工期，发包人应以书面形式通知承包人，提前的时间视情况由发包人支付承包人赶工费用；承包人修改进度计划报发包人，并明确采取的赶工措施；发包人应在5天内给予批复，并为赶工提供赶工方便条件。</w:t>
      </w:r>
    </w:p>
    <w:p>
      <w:pPr>
        <w:spacing w:line="440" w:lineRule="exact"/>
        <w:ind w:firstLine="480"/>
        <w:rPr>
          <w:rFonts w:ascii="宋体" w:hAnsi="宋体" w:cs="宋体"/>
        </w:rPr>
      </w:pPr>
      <w:r>
        <w:rPr>
          <w:rFonts w:hint="eastAsia" w:ascii="宋体" w:hAnsi="宋体" w:cs="宋体"/>
        </w:rPr>
        <w:t>13.2 工期延误原因及责任</w:t>
      </w:r>
    </w:p>
    <w:p>
      <w:pPr>
        <w:spacing w:line="440" w:lineRule="exact"/>
        <w:ind w:firstLine="480"/>
        <w:rPr>
          <w:rFonts w:ascii="宋体" w:hAnsi="宋体" w:cs="宋体"/>
        </w:rPr>
      </w:pPr>
      <w:r>
        <w:rPr>
          <w:rFonts w:hint="eastAsia" w:ascii="宋体" w:hAnsi="宋体" w:cs="宋体"/>
        </w:rPr>
        <w:t>13.2.1 不可抗力属非发包人、承包人责任。</w:t>
      </w:r>
    </w:p>
    <w:p>
      <w:pPr>
        <w:spacing w:line="440" w:lineRule="exact"/>
        <w:ind w:firstLine="480"/>
        <w:rPr>
          <w:rFonts w:ascii="宋体" w:hAnsi="宋体" w:cs="宋体"/>
        </w:rPr>
      </w:pPr>
      <w:r>
        <w:rPr>
          <w:rFonts w:hint="eastAsia" w:ascii="宋体" w:hAnsi="宋体" w:cs="宋体"/>
        </w:rPr>
        <w:t>13.2.2 发生重大工程质量事故，责任方为造成事故者。重大工程质量事故是指依据《铁路建设工程质量事故调查处理规定》(铁建设[2009]171 号)划分的四个等级的重大工程质量事故。</w:t>
      </w:r>
    </w:p>
    <w:p>
      <w:pPr>
        <w:spacing w:line="440" w:lineRule="exact"/>
        <w:ind w:firstLine="480"/>
        <w:rPr>
          <w:rFonts w:ascii="宋体" w:hAnsi="宋体" w:cs="宋体"/>
        </w:rPr>
      </w:pPr>
      <w:r>
        <w:rPr>
          <w:rFonts w:hint="eastAsia" w:ascii="宋体" w:hAnsi="宋体" w:cs="宋体"/>
        </w:rPr>
        <w:t>13.2.3 主要材料、设备推迟到货，属承包人责任。</w:t>
      </w:r>
    </w:p>
    <w:p>
      <w:pPr>
        <w:spacing w:line="440" w:lineRule="exact"/>
        <w:ind w:firstLine="480"/>
        <w:rPr>
          <w:rFonts w:ascii="宋体" w:hAnsi="宋体" w:cs="宋体"/>
        </w:rPr>
      </w:pPr>
      <w:r>
        <w:rPr>
          <w:rFonts w:hint="eastAsia" w:ascii="宋体" w:hAnsi="宋体" w:cs="宋体"/>
        </w:rPr>
        <w:t>13.2.4 建设资金不到位，属发包人责任。</w:t>
      </w:r>
    </w:p>
    <w:p>
      <w:pPr>
        <w:spacing w:line="440" w:lineRule="exact"/>
        <w:ind w:firstLine="480"/>
        <w:rPr>
          <w:rFonts w:ascii="宋体" w:hAnsi="宋体" w:cs="宋体"/>
        </w:rPr>
      </w:pPr>
      <w:r>
        <w:rPr>
          <w:rFonts w:hint="eastAsia" w:ascii="宋体" w:hAnsi="宋体" w:cs="宋体"/>
        </w:rPr>
        <w:t>13.2.5 其它原因，依其性质确定责任方。</w:t>
      </w:r>
    </w:p>
    <w:p>
      <w:pPr>
        <w:spacing w:line="440" w:lineRule="exact"/>
        <w:ind w:firstLine="480"/>
        <w:rPr>
          <w:rFonts w:ascii="宋体" w:hAnsi="宋体" w:cs="宋体"/>
        </w:rPr>
      </w:pPr>
      <w:r>
        <w:rPr>
          <w:rFonts w:hint="eastAsia" w:ascii="宋体" w:hAnsi="宋体" w:cs="宋体"/>
        </w:rPr>
        <w:t>13.3 工期延误后果及处理</w:t>
      </w:r>
    </w:p>
    <w:p>
      <w:pPr>
        <w:spacing w:line="440" w:lineRule="exact"/>
        <w:ind w:firstLine="480"/>
        <w:rPr>
          <w:rFonts w:ascii="宋体" w:hAnsi="宋体" w:cs="宋体"/>
        </w:rPr>
      </w:pPr>
      <w:r>
        <w:rPr>
          <w:rFonts w:hint="eastAsia" w:ascii="宋体" w:hAnsi="宋体" w:cs="宋体"/>
        </w:rPr>
        <w:t>13.3.1 发包人原因造成工期延误，工期相应顺延，视情况对承包人因工程延期造成的经济损失给予费用补偿。</w:t>
      </w:r>
    </w:p>
    <w:p>
      <w:pPr>
        <w:spacing w:line="440" w:lineRule="exact"/>
        <w:ind w:firstLine="480"/>
        <w:rPr>
          <w:rFonts w:ascii="宋体" w:hAnsi="宋体" w:cs="宋体"/>
        </w:rPr>
      </w:pPr>
      <w:r>
        <w:rPr>
          <w:rFonts w:hint="eastAsia" w:ascii="宋体" w:hAnsi="宋体" w:cs="宋体"/>
        </w:rPr>
        <w:t>13.3.2 承包人原因造成工程不能按合同工期竣工，承包人承担违约责任。</w:t>
      </w:r>
    </w:p>
    <w:p>
      <w:pPr>
        <w:spacing w:line="440" w:lineRule="exact"/>
        <w:ind w:firstLine="480"/>
        <w:rPr>
          <w:rFonts w:ascii="宋体" w:hAnsi="宋体" w:cs="宋体"/>
        </w:rPr>
      </w:pPr>
      <w:r>
        <w:rPr>
          <w:rFonts w:hint="eastAsia" w:ascii="宋体" w:hAnsi="宋体" w:cs="宋体"/>
        </w:rPr>
        <w:t>13.3.3 本合同规定的工期，除因国家计划的重大调整，并经国家和天津市批准项目总工期可以顺延调整外，无论何种原因引起的对局部工期的影响，承包人均应在确保工期和工程衔接的前提下，进行调整安排，不得拖延。</w:t>
      </w:r>
    </w:p>
    <w:p>
      <w:pPr>
        <w:spacing w:before="240" w:after="60" w:line="440" w:lineRule="exact"/>
        <w:ind w:firstLine="422" w:firstLineChars="200"/>
        <w:jc w:val="left"/>
        <w:outlineLvl w:val="1"/>
        <w:rPr>
          <w:rFonts w:ascii="宋体" w:hAnsi="宋体" w:cs="宋体"/>
          <w:b/>
          <w:kern w:val="28"/>
        </w:rPr>
      </w:pPr>
      <w:bookmarkStart w:id="224" w:name="_Toc84265643"/>
      <w:r>
        <w:rPr>
          <w:rFonts w:hint="eastAsia" w:ascii="宋体" w:hAnsi="宋体" w:cs="宋体"/>
          <w:b/>
          <w:kern w:val="28"/>
        </w:rPr>
        <w:t>第14 条 工程质量检查</w:t>
      </w:r>
      <w:bookmarkEnd w:id="224"/>
    </w:p>
    <w:p>
      <w:pPr>
        <w:spacing w:line="440" w:lineRule="exact"/>
        <w:ind w:firstLine="480"/>
        <w:rPr>
          <w:rFonts w:ascii="宋体" w:hAnsi="宋体" w:cs="宋体"/>
        </w:rPr>
      </w:pPr>
      <w:r>
        <w:rPr>
          <w:rFonts w:hint="eastAsia" w:ascii="宋体" w:hAnsi="宋体" w:cs="宋体"/>
        </w:rPr>
        <w:t>14.1 承包人在施工现场必须建立完善的质量保证体系，并设立专职质检人员，负责施工过程工程质量的管理和检查。</w:t>
      </w:r>
    </w:p>
    <w:p>
      <w:pPr>
        <w:spacing w:line="440" w:lineRule="exact"/>
        <w:ind w:firstLine="480"/>
        <w:rPr>
          <w:rFonts w:ascii="宋体" w:hAnsi="宋体" w:cs="宋体"/>
        </w:rPr>
      </w:pPr>
      <w:r>
        <w:rPr>
          <w:rFonts w:hint="eastAsia" w:ascii="宋体" w:hAnsi="宋体" w:cs="宋体"/>
        </w:rPr>
        <w:t>14.1.1 质量保证体系是指承包人为了实现合同对工程质量的要求，建立的质量管理组织机构、制度和措施等。</w:t>
      </w:r>
    </w:p>
    <w:p>
      <w:pPr>
        <w:spacing w:line="440" w:lineRule="exact"/>
        <w:ind w:firstLine="480"/>
        <w:rPr>
          <w:rFonts w:ascii="宋体" w:hAnsi="宋体"/>
        </w:rPr>
      </w:pPr>
      <w:r>
        <w:rPr>
          <w:rFonts w:hint="eastAsia" w:ascii="宋体" w:hAnsi="宋体" w:cs="宋体"/>
        </w:rPr>
        <w:t xml:space="preserve">14.1.2 </w:t>
      </w:r>
      <w:r>
        <w:rPr>
          <w:rFonts w:hint="eastAsia" w:ascii="宋体" w:hAnsi="宋体"/>
        </w:rPr>
        <w:t>工程质量：按国家和天津市现行的有关法律、法规、技术标准、设计文件，以及合同中对工程的安全、适用、经济、美观等特性的综合要求。</w:t>
      </w:r>
    </w:p>
    <w:p>
      <w:pPr>
        <w:spacing w:line="440" w:lineRule="exact"/>
        <w:ind w:firstLine="480"/>
        <w:jc w:val="left"/>
        <w:rPr>
          <w:rFonts w:ascii="宋体" w:hAnsi="宋体"/>
        </w:rPr>
      </w:pPr>
      <w:r>
        <w:rPr>
          <w:rFonts w:hint="eastAsia" w:ascii="宋体" w:hAnsi="宋体" w:cs="宋体"/>
        </w:rPr>
        <w:t xml:space="preserve">14.2 </w:t>
      </w:r>
      <w:r>
        <w:rPr>
          <w:rFonts w:hint="eastAsia" w:ascii="宋体" w:hAnsi="宋体"/>
        </w:rPr>
        <w:t>承包人应随时接受发包人的检查、检验。设定合理的检验时间和程序，超出程序时间的，工程合格由发包人承担相应费用，工程不合格的工程按要求返工或修改并由承包人承担相应费用。</w:t>
      </w:r>
    </w:p>
    <w:p>
      <w:pPr>
        <w:spacing w:line="440" w:lineRule="exact"/>
        <w:ind w:firstLine="480"/>
        <w:rPr>
          <w:rFonts w:ascii="宋体" w:hAnsi="宋体"/>
        </w:rPr>
      </w:pPr>
      <w:r>
        <w:rPr>
          <w:rFonts w:hint="eastAsia" w:ascii="宋体" w:hAnsi="宋体" w:cs="宋体"/>
        </w:rPr>
        <w:t xml:space="preserve">14.3 </w:t>
      </w:r>
      <w:r>
        <w:rPr>
          <w:rFonts w:hint="eastAsia" w:ascii="宋体" w:hAnsi="宋体"/>
        </w:rPr>
        <w:t>承包人必须认真履行发包人制订的相关管理办法的各项规定。</w:t>
      </w:r>
    </w:p>
    <w:p>
      <w:pPr>
        <w:spacing w:before="240" w:after="60" w:line="440" w:lineRule="exact"/>
        <w:ind w:firstLine="422" w:firstLineChars="200"/>
        <w:jc w:val="left"/>
        <w:outlineLvl w:val="1"/>
        <w:rPr>
          <w:rFonts w:ascii="宋体" w:hAnsi="宋体" w:cs="宋体"/>
          <w:b/>
          <w:kern w:val="28"/>
        </w:rPr>
      </w:pPr>
      <w:bookmarkStart w:id="225" w:name="_Toc84265644"/>
      <w:r>
        <w:rPr>
          <w:rFonts w:hint="eastAsia" w:ascii="宋体" w:hAnsi="宋体" w:cs="宋体"/>
          <w:b/>
          <w:kern w:val="28"/>
        </w:rPr>
        <w:t>第15 条 隐蔽工程检查和签证</w:t>
      </w:r>
      <w:bookmarkEnd w:id="225"/>
    </w:p>
    <w:p>
      <w:pPr>
        <w:spacing w:line="440" w:lineRule="exact"/>
        <w:ind w:firstLine="480"/>
        <w:rPr>
          <w:rFonts w:ascii="宋体" w:hAnsi="宋体" w:cs="宋体"/>
        </w:rPr>
      </w:pPr>
      <w:r>
        <w:rPr>
          <w:rFonts w:hint="eastAsia" w:ascii="宋体" w:hAnsi="宋体" w:cs="宋体"/>
        </w:rPr>
        <w:t>隐蔽工程系指一项工程主体结构中必不可少的，竣工后无法观察检查的，需被复、掩盖的分部、分项工程。</w:t>
      </w:r>
    </w:p>
    <w:p>
      <w:pPr>
        <w:spacing w:line="440" w:lineRule="exact"/>
        <w:ind w:firstLine="480"/>
        <w:rPr>
          <w:rFonts w:ascii="宋体" w:hAnsi="宋体" w:cs="宋体"/>
        </w:rPr>
      </w:pPr>
      <w:r>
        <w:rPr>
          <w:rFonts w:hint="eastAsia" w:ascii="宋体" w:hAnsi="宋体" w:cs="宋体"/>
        </w:rPr>
        <w:t>15.1 承包人对隐蔽工程进行自检合格后通知监理单位。</w:t>
      </w:r>
    </w:p>
    <w:p>
      <w:pPr>
        <w:spacing w:line="440" w:lineRule="exact"/>
        <w:ind w:firstLine="420" w:firstLineChars="200"/>
        <w:rPr>
          <w:rFonts w:ascii="宋体" w:hAnsi="宋体" w:cs="宋体"/>
        </w:rPr>
      </w:pPr>
      <w:r>
        <w:rPr>
          <w:rFonts w:hint="eastAsia" w:ascii="宋体" w:hAnsi="宋体" w:cs="宋体"/>
        </w:rPr>
        <w:t>15.2 承包人未按规定书面通知监理单位进行现场检查的项目，需重做检查的，承包人承担全部经济、技术责任。</w:t>
      </w:r>
    </w:p>
    <w:p>
      <w:pPr>
        <w:spacing w:line="440" w:lineRule="exact"/>
        <w:ind w:firstLine="480"/>
        <w:rPr>
          <w:rFonts w:ascii="宋体" w:hAnsi="宋体" w:cs="宋体"/>
        </w:rPr>
      </w:pPr>
      <w:r>
        <w:rPr>
          <w:rFonts w:hint="eastAsia" w:ascii="宋体" w:hAnsi="宋体" w:cs="宋体"/>
        </w:rPr>
        <w:t>15.3 与设计资料差异较大的隐蔽工程，承包人按相关规定及要求通知相关方参加检查、签证。</w:t>
      </w:r>
    </w:p>
    <w:p>
      <w:pPr>
        <w:spacing w:line="440" w:lineRule="exact"/>
        <w:ind w:firstLine="480"/>
        <w:rPr>
          <w:rFonts w:ascii="宋体" w:hAnsi="宋体" w:cs="宋体"/>
        </w:rPr>
      </w:pPr>
      <w:r>
        <w:rPr>
          <w:rFonts w:hint="eastAsia" w:ascii="宋体" w:hAnsi="宋体" w:cs="宋体"/>
        </w:rPr>
        <w:t>15.4 承包人应接受发包人、监理单位的随时抽查和重点检查，并提供必要的检查条件。</w:t>
      </w:r>
    </w:p>
    <w:p>
      <w:pPr>
        <w:spacing w:before="240" w:after="60" w:line="440" w:lineRule="exact"/>
        <w:ind w:firstLine="422" w:firstLineChars="200"/>
        <w:jc w:val="left"/>
        <w:outlineLvl w:val="1"/>
        <w:rPr>
          <w:rFonts w:ascii="宋体" w:hAnsi="宋体" w:cs="宋体"/>
          <w:b/>
          <w:kern w:val="28"/>
        </w:rPr>
      </w:pPr>
      <w:bookmarkStart w:id="226" w:name="_Toc84265645"/>
      <w:r>
        <w:rPr>
          <w:rFonts w:hint="eastAsia" w:ascii="宋体" w:hAnsi="宋体" w:cs="宋体"/>
          <w:b/>
          <w:kern w:val="28"/>
        </w:rPr>
        <w:t>第16 条 工程供应的材料、设备</w:t>
      </w:r>
      <w:bookmarkEnd w:id="226"/>
    </w:p>
    <w:p>
      <w:pPr>
        <w:spacing w:line="440" w:lineRule="exact"/>
        <w:ind w:firstLine="480"/>
        <w:rPr>
          <w:rFonts w:ascii="宋体" w:hAnsi="宋体" w:cs="宋体"/>
        </w:rPr>
      </w:pPr>
      <w:r>
        <w:rPr>
          <w:rFonts w:hint="eastAsia" w:ascii="宋体" w:hAnsi="宋体" w:cs="宋体"/>
        </w:rPr>
        <w:t>16.1 本工程所需材料、设备全部由承包人组织供应。</w:t>
      </w:r>
    </w:p>
    <w:p>
      <w:pPr>
        <w:spacing w:line="440" w:lineRule="exact"/>
        <w:ind w:firstLine="420" w:firstLineChars="200"/>
        <w:rPr>
          <w:rFonts w:ascii="宋体" w:hAnsi="宋体"/>
          <w:snapToGrid w:val="0"/>
          <w:kern w:val="0"/>
        </w:rPr>
      </w:pPr>
      <w:r>
        <w:rPr>
          <w:rFonts w:hint="eastAsia" w:ascii="宋体" w:hAnsi="宋体"/>
          <w:snapToGrid w:val="0"/>
          <w:kern w:val="0"/>
        </w:rPr>
        <w:t>16.2 承包人采购的物资、设备要满足设计和规范的要求，必须具备产品合格证，并按规定做好检验、试验、验收、保管工作，与此相关的费用均由承包人承担。</w:t>
      </w:r>
    </w:p>
    <w:p>
      <w:pPr>
        <w:spacing w:line="440" w:lineRule="exact"/>
        <w:ind w:firstLine="420" w:firstLineChars="200"/>
        <w:rPr>
          <w:rFonts w:ascii="宋体" w:hAnsi="宋体"/>
          <w:snapToGrid w:val="0"/>
          <w:kern w:val="0"/>
        </w:rPr>
      </w:pPr>
      <w:r>
        <w:rPr>
          <w:rFonts w:hint="eastAsia" w:ascii="宋体" w:hAnsi="宋体"/>
          <w:snapToGrid w:val="0"/>
          <w:kern w:val="0"/>
        </w:rPr>
        <w:t>16.3 监理单位应对工程所使用的各种材料、设备进行监督、检查。</w:t>
      </w:r>
    </w:p>
    <w:p>
      <w:pPr>
        <w:spacing w:before="240" w:after="60" w:line="440" w:lineRule="exact"/>
        <w:ind w:firstLine="422" w:firstLineChars="200"/>
        <w:jc w:val="left"/>
        <w:outlineLvl w:val="1"/>
        <w:rPr>
          <w:rFonts w:ascii="宋体" w:hAnsi="宋体" w:cs="宋体"/>
          <w:b/>
          <w:kern w:val="28"/>
        </w:rPr>
      </w:pPr>
      <w:bookmarkStart w:id="227" w:name="_Toc84265646"/>
      <w:r>
        <w:rPr>
          <w:rFonts w:hint="eastAsia" w:ascii="宋体" w:hAnsi="宋体" w:cs="宋体"/>
          <w:b/>
          <w:kern w:val="28"/>
        </w:rPr>
        <w:t>第17条</w:t>
      </w:r>
      <w:bookmarkEnd w:id="227"/>
      <w:r>
        <w:rPr>
          <w:rFonts w:hint="eastAsia" w:ascii="宋体" w:hAnsi="宋体" w:cs="宋体"/>
          <w:b/>
          <w:kern w:val="28"/>
        </w:rPr>
        <w:t>合同价款的确认及调整</w:t>
      </w:r>
    </w:p>
    <w:p>
      <w:pPr>
        <w:spacing w:line="440" w:lineRule="exact"/>
        <w:ind w:firstLine="420" w:firstLineChars="200"/>
        <w:rPr>
          <w:rFonts w:ascii="宋体" w:hAnsi="宋体"/>
          <w:snapToGrid w:val="0"/>
          <w:kern w:val="0"/>
        </w:rPr>
      </w:pPr>
      <w:r>
        <w:rPr>
          <w:rFonts w:ascii="宋体" w:hAnsi="宋体"/>
          <w:snapToGrid w:val="0"/>
          <w:kern w:val="0"/>
        </w:rPr>
        <w:t>17.1  合同价款的确认</w:t>
      </w:r>
    </w:p>
    <w:p>
      <w:pPr>
        <w:spacing w:line="440" w:lineRule="exact"/>
        <w:ind w:firstLine="420" w:firstLineChars="200"/>
        <w:rPr>
          <w:rFonts w:ascii="宋体" w:hAnsi="宋体"/>
          <w:snapToGrid w:val="0"/>
          <w:kern w:val="0"/>
        </w:rPr>
      </w:pPr>
      <w:r>
        <w:rPr>
          <w:rFonts w:ascii="宋体" w:hAnsi="宋体"/>
          <w:snapToGrid w:val="0"/>
          <w:kern w:val="0"/>
        </w:rPr>
        <w:t xml:space="preserve">17.1.1 </w:t>
      </w:r>
      <w:r>
        <w:rPr>
          <w:rFonts w:hint="eastAsia" w:ascii="宋体" w:hAnsi="宋体"/>
          <w:snapToGrid w:val="0"/>
          <w:kern w:val="0"/>
          <w:highlight w:val="yellow"/>
        </w:rPr>
        <w:t>招标工点清单</w:t>
      </w:r>
      <w:r>
        <w:rPr>
          <w:rFonts w:ascii="宋体" w:hAnsi="宋体"/>
          <w:snapToGrid w:val="0"/>
          <w:kern w:val="0"/>
          <w:highlight w:val="yellow"/>
        </w:rPr>
        <w:t>内</w:t>
      </w:r>
      <w:r>
        <w:rPr>
          <w:rFonts w:hint="eastAsia" w:ascii="宋体" w:hAnsi="宋体"/>
          <w:snapToGrid w:val="0"/>
          <w:kern w:val="0"/>
          <w:highlight w:val="yellow"/>
        </w:rPr>
        <w:t>的</w:t>
      </w:r>
      <w:r>
        <w:rPr>
          <w:rFonts w:ascii="宋体" w:hAnsi="宋体"/>
          <w:snapToGrid w:val="0"/>
          <w:kern w:val="0"/>
          <w:highlight w:val="yellow"/>
        </w:rPr>
        <w:t>项目迁改</w:t>
      </w:r>
      <w:r>
        <w:rPr>
          <w:rFonts w:hint="eastAsia" w:ascii="宋体" w:hAnsi="宋体"/>
          <w:snapToGrid w:val="0"/>
          <w:kern w:val="0"/>
          <w:highlight w:val="yellow"/>
        </w:rPr>
        <w:t>：除10KV及以上电力迁改项目外，其他迁改项目</w:t>
      </w:r>
      <w:r>
        <w:rPr>
          <w:rFonts w:ascii="宋体" w:hAnsi="宋体"/>
          <w:snapToGrid w:val="0"/>
          <w:kern w:val="0"/>
          <w:highlight w:val="yellow"/>
        </w:rPr>
        <w:t>由</w:t>
      </w:r>
      <w:r>
        <w:rPr>
          <w:rFonts w:hint="eastAsia" w:ascii="宋体" w:hAnsi="宋体"/>
          <w:snapToGrid w:val="0"/>
          <w:kern w:val="0"/>
          <w:highlight w:val="yellow"/>
        </w:rPr>
        <w:t>项目发包人、承包人、监理等各方</w:t>
      </w:r>
      <w:r>
        <w:rPr>
          <w:rFonts w:ascii="宋体" w:hAnsi="宋体"/>
          <w:snapToGrid w:val="0"/>
          <w:kern w:val="0"/>
          <w:highlight w:val="yellow"/>
        </w:rPr>
        <w:t>进行现场确认，根据确认的实际数量，按照</w:t>
      </w:r>
      <w:r>
        <w:rPr>
          <w:rFonts w:hint="eastAsia" w:ascii="宋体" w:hAnsi="宋体"/>
          <w:snapToGrid w:val="0"/>
          <w:kern w:val="0"/>
          <w:highlight w:val="yellow"/>
        </w:rPr>
        <w:t>承包人</w:t>
      </w:r>
      <w:r>
        <w:rPr>
          <w:rFonts w:ascii="宋体" w:hAnsi="宋体"/>
          <w:snapToGrid w:val="0"/>
          <w:kern w:val="0"/>
          <w:highlight w:val="yellow"/>
        </w:rPr>
        <w:t>投标书中的</w:t>
      </w:r>
      <w:r>
        <w:rPr>
          <w:rFonts w:hint="eastAsia" w:ascii="宋体" w:hAnsi="宋体"/>
          <w:snapToGrid w:val="0"/>
          <w:kern w:val="0"/>
          <w:highlight w:val="yellow"/>
        </w:rPr>
        <w:t>工点清单</w:t>
      </w:r>
      <w:r>
        <w:rPr>
          <w:rFonts w:ascii="宋体" w:hAnsi="宋体"/>
          <w:snapToGrid w:val="0"/>
          <w:kern w:val="0"/>
          <w:highlight w:val="yellow"/>
        </w:rPr>
        <w:t>的综合单价，计算迁改费用</w:t>
      </w:r>
      <w:r>
        <w:rPr>
          <w:rFonts w:hint="eastAsia" w:ascii="宋体" w:hAnsi="宋体"/>
          <w:snapToGrid w:val="0"/>
          <w:kern w:val="0"/>
          <w:highlight w:val="yellow"/>
        </w:rPr>
        <w:t>。10KV及以上电力迁改项目依据经发包人审核的电力部门出具的迁改方案及概算为基准，结合中标下浮率进行确认，中标下浮率=（1-中标总价/招标概算）*100%。因迁改引起的占地、拆迁及青苗补偿等费用，经发包人审核后据实结算，并按实际补偿费的5</w:t>
      </w:r>
      <w:r>
        <w:rPr>
          <w:rFonts w:ascii="宋体" w:hAnsi="宋体"/>
          <w:snapToGrid w:val="0"/>
          <w:kern w:val="0"/>
          <w:highlight w:val="yellow"/>
        </w:rPr>
        <w:t>%</w:t>
      </w:r>
      <w:r>
        <w:rPr>
          <w:rFonts w:hint="eastAsia" w:ascii="宋体" w:hAnsi="宋体"/>
          <w:snapToGrid w:val="0"/>
          <w:kern w:val="0"/>
          <w:highlight w:val="yellow"/>
        </w:rPr>
        <w:t>计列承包人的管理费。</w:t>
      </w:r>
    </w:p>
    <w:p>
      <w:pPr>
        <w:spacing w:line="440" w:lineRule="exact"/>
        <w:ind w:firstLine="420" w:firstLineChars="200"/>
        <w:rPr>
          <w:rFonts w:ascii="宋体" w:hAnsi="宋体"/>
          <w:snapToGrid w:val="0"/>
          <w:kern w:val="0"/>
        </w:rPr>
      </w:pPr>
      <w:r>
        <w:rPr>
          <w:rFonts w:ascii="宋体" w:hAnsi="宋体"/>
          <w:snapToGrid w:val="0"/>
          <w:kern w:val="0"/>
        </w:rPr>
        <w:t>17.2 出现以下情况时，调整迁改工程项目合同总价，并签</w:t>
      </w:r>
      <w:r>
        <w:rPr>
          <w:rFonts w:hint="eastAsia" w:ascii="宋体" w:hAnsi="宋体"/>
          <w:snapToGrid w:val="0"/>
          <w:kern w:val="0"/>
        </w:rPr>
        <w:t>订</w:t>
      </w:r>
      <w:r>
        <w:rPr>
          <w:rFonts w:ascii="宋体" w:hAnsi="宋体"/>
          <w:snapToGrid w:val="0"/>
          <w:kern w:val="0"/>
        </w:rPr>
        <w:t>补充合同：</w:t>
      </w:r>
    </w:p>
    <w:p>
      <w:pPr>
        <w:spacing w:line="440" w:lineRule="exact"/>
        <w:ind w:firstLine="420" w:firstLineChars="200"/>
        <w:rPr>
          <w:rFonts w:ascii="宋体" w:hAnsi="宋体"/>
          <w:snapToGrid w:val="0"/>
          <w:kern w:val="0"/>
        </w:rPr>
      </w:pPr>
      <w:r>
        <w:rPr>
          <w:rFonts w:ascii="宋体" w:hAnsi="宋体"/>
          <w:snapToGrid w:val="0"/>
          <w:kern w:val="0"/>
        </w:rPr>
        <w:t>17.2.</w:t>
      </w:r>
      <w:r>
        <w:rPr>
          <w:rFonts w:hint="eastAsia" w:ascii="宋体" w:hAnsi="宋体"/>
          <w:snapToGrid w:val="0"/>
          <w:kern w:val="0"/>
        </w:rPr>
        <w:t>1</w:t>
      </w:r>
      <w:r>
        <w:rPr>
          <w:rFonts w:ascii="宋体" w:hAnsi="宋体"/>
          <w:snapToGrid w:val="0"/>
          <w:kern w:val="0"/>
        </w:rPr>
        <w:t xml:space="preserve"> 经</w:t>
      </w:r>
      <w:r>
        <w:rPr>
          <w:rFonts w:hint="eastAsia" w:ascii="宋体" w:hAnsi="宋体"/>
          <w:snapToGrid w:val="0"/>
          <w:kern w:val="0"/>
        </w:rPr>
        <w:t>项目发包人、承包人、监理等各方</w:t>
      </w:r>
      <w:r>
        <w:rPr>
          <w:rFonts w:ascii="宋体" w:hAnsi="宋体"/>
          <w:snapToGrid w:val="0"/>
          <w:kern w:val="0"/>
        </w:rPr>
        <w:t>进行现场调查后的迁改数量增减；</w:t>
      </w:r>
    </w:p>
    <w:p>
      <w:pPr>
        <w:spacing w:line="440" w:lineRule="exact"/>
        <w:ind w:firstLine="420" w:firstLineChars="200"/>
        <w:rPr>
          <w:rFonts w:ascii="宋体" w:hAnsi="宋体"/>
          <w:strike/>
          <w:snapToGrid w:val="0"/>
          <w:kern w:val="0"/>
          <w:highlight w:val="yellow"/>
        </w:rPr>
      </w:pPr>
      <w:r>
        <w:rPr>
          <w:rFonts w:ascii="宋体" w:hAnsi="宋体"/>
          <w:snapToGrid w:val="0"/>
          <w:kern w:val="0"/>
          <w:highlight w:val="yellow"/>
        </w:rPr>
        <w:t>17.2.</w:t>
      </w:r>
      <w:r>
        <w:rPr>
          <w:rFonts w:hint="eastAsia" w:ascii="宋体" w:hAnsi="宋体"/>
          <w:snapToGrid w:val="0"/>
          <w:kern w:val="0"/>
          <w:highlight w:val="yellow"/>
        </w:rPr>
        <w:t>2非承包人原因引起工点的迁改方案、标准等变化，造成迁改费用增减超5%时，承包人按调整后的迁改方案、标准组织编制概算，经发包人审核同意后确定费用；</w:t>
      </w:r>
    </w:p>
    <w:p>
      <w:pPr>
        <w:spacing w:line="440" w:lineRule="exact"/>
        <w:ind w:firstLine="420" w:firstLineChars="200"/>
        <w:rPr>
          <w:rFonts w:ascii="宋体" w:hAnsi="宋体"/>
          <w:snapToGrid w:val="0"/>
          <w:kern w:val="0"/>
        </w:rPr>
      </w:pPr>
      <w:r>
        <w:rPr>
          <w:rFonts w:hint="eastAsia" w:ascii="宋体" w:hAnsi="宋体"/>
          <w:snapToGrid w:val="0"/>
          <w:kern w:val="0"/>
        </w:rPr>
        <w:t>17.2.3</w:t>
      </w:r>
      <w:r>
        <w:rPr>
          <w:rFonts w:ascii="宋体" w:hAnsi="宋体"/>
          <w:snapToGrid w:val="0"/>
          <w:kern w:val="0"/>
        </w:rPr>
        <w:t>为保证土建工期而发生的经</w:t>
      </w:r>
      <w:r>
        <w:rPr>
          <w:rFonts w:hint="eastAsia" w:ascii="宋体" w:hAnsi="宋体"/>
          <w:snapToGrid w:val="0"/>
          <w:kern w:val="0"/>
        </w:rPr>
        <w:t>发包人</w:t>
      </w:r>
      <w:r>
        <w:rPr>
          <w:rFonts w:ascii="宋体" w:hAnsi="宋体"/>
          <w:snapToGrid w:val="0"/>
          <w:kern w:val="0"/>
        </w:rPr>
        <w:t>同意实施的临时过渡迁改工程费用</w:t>
      </w:r>
      <w:r>
        <w:rPr>
          <w:rFonts w:hint="eastAsia" w:ascii="宋体" w:hAnsi="宋体"/>
          <w:snapToGrid w:val="0"/>
          <w:kern w:val="0"/>
        </w:rPr>
        <w:t>，</w:t>
      </w:r>
      <w:r>
        <w:rPr>
          <w:rFonts w:ascii="宋体" w:hAnsi="宋体"/>
          <w:snapToGrid w:val="0"/>
          <w:kern w:val="0"/>
        </w:rPr>
        <w:t>据实结算</w:t>
      </w:r>
      <w:r>
        <w:rPr>
          <w:rFonts w:hint="eastAsia" w:ascii="宋体" w:hAnsi="宋体"/>
          <w:snapToGrid w:val="0"/>
          <w:kern w:val="0"/>
        </w:rPr>
        <w:t>；</w:t>
      </w:r>
    </w:p>
    <w:p>
      <w:pPr>
        <w:spacing w:line="440" w:lineRule="exact"/>
        <w:ind w:firstLine="420" w:firstLineChars="200"/>
        <w:rPr>
          <w:rFonts w:ascii="宋体" w:hAnsi="宋体"/>
          <w:snapToGrid w:val="0"/>
          <w:kern w:val="0"/>
        </w:rPr>
      </w:pPr>
      <w:r>
        <w:rPr>
          <w:rFonts w:ascii="宋体" w:hAnsi="宋体"/>
          <w:snapToGrid w:val="0"/>
          <w:kern w:val="0"/>
        </w:rPr>
        <w:t>17.2.</w:t>
      </w:r>
      <w:r>
        <w:rPr>
          <w:rFonts w:hint="eastAsia" w:ascii="宋体" w:hAnsi="宋体"/>
          <w:snapToGrid w:val="0"/>
          <w:kern w:val="0"/>
        </w:rPr>
        <w:t>4</w:t>
      </w:r>
      <w:r>
        <w:rPr>
          <w:rFonts w:hint="eastAsia" w:ascii="宋体" w:hAnsi="宋体" w:cs="Times New Roman"/>
          <w:snapToGrid w:val="0"/>
          <w:kern w:val="0"/>
          <w:szCs w:val="22"/>
        </w:rPr>
        <w:t>非承包人原因引起本工程的二次或多次迁改，按变更程序办理；</w:t>
      </w:r>
    </w:p>
    <w:p>
      <w:pPr>
        <w:spacing w:line="440" w:lineRule="exact"/>
        <w:ind w:firstLine="420" w:firstLineChars="200"/>
        <w:rPr>
          <w:rFonts w:ascii="宋体" w:hAnsi="宋体"/>
          <w:snapToGrid w:val="0"/>
          <w:kern w:val="0"/>
        </w:rPr>
      </w:pPr>
      <w:r>
        <w:rPr>
          <w:rFonts w:ascii="宋体" w:hAnsi="宋体"/>
          <w:snapToGrid w:val="0"/>
          <w:kern w:val="0"/>
        </w:rPr>
        <w:t>17.2.</w:t>
      </w:r>
      <w:r>
        <w:rPr>
          <w:rFonts w:hint="eastAsia" w:ascii="宋体" w:hAnsi="宋体"/>
          <w:snapToGrid w:val="0"/>
          <w:kern w:val="0"/>
        </w:rPr>
        <w:t>5不可抗力</w:t>
      </w:r>
      <w:r>
        <w:rPr>
          <w:rFonts w:ascii="宋体" w:hAnsi="宋体"/>
          <w:snapToGrid w:val="0"/>
          <w:kern w:val="0"/>
        </w:rPr>
        <w:t>的损失</w:t>
      </w:r>
      <w:r>
        <w:rPr>
          <w:rFonts w:hint="eastAsia" w:ascii="宋体" w:hAnsi="宋体"/>
          <w:snapToGrid w:val="0"/>
          <w:kern w:val="0"/>
        </w:rPr>
        <w:t>；</w:t>
      </w:r>
    </w:p>
    <w:p>
      <w:pPr>
        <w:spacing w:line="440" w:lineRule="exact"/>
        <w:ind w:firstLine="420" w:firstLineChars="200"/>
        <w:rPr>
          <w:rFonts w:ascii="宋体" w:hAnsi="宋体"/>
          <w:snapToGrid w:val="0"/>
          <w:kern w:val="0"/>
        </w:rPr>
      </w:pPr>
      <w:r>
        <w:rPr>
          <w:rFonts w:ascii="宋体" w:hAnsi="宋体"/>
          <w:snapToGrid w:val="0"/>
          <w:kern w:val="0"/>
        </w:rPr>
        <w:t>17.2.</w:t>
      </w:r>
      <w:r>
        <w:rPr>
          <w:rFonts w:hint="eastAsia" w:ascii="宋体" w:hAnsi="宋体"/>
          <w:snapToGrid w:val="0"/>
          <w:kern w:val="0"/>
        </w:rPr>
        <w:t>6</w:t>
      </w:r>
      <w:r>
        <w:rPr>
          <w:rFonts w:ascii="宋体" w:hAnsi="宋体"/>
          <w:snapToGrid w:val="0"/>
          <w:kern w:val="0"/>
        </w:rPr>
        <w:t xml:space="preserve"> 除合同约定外，因国家、行业有关政策法规变化允许的调整费用。</w:t>
      </w:r>
    </w:p>
    <w:p>
      <w:pPr>
        <w:spacing w:line="440" w:lineRule="exact"/>
        <w:ind w:firstLine="420" w:firstLineChars="200"/>
        <w:rPr>
          <w:rFonts w:ascii="宋体" w:hAnsi="宋体"/>
          <w:snapToGrid w:val="0"/>
          <w:kern w:val="0"/>
        </w:rPr>
      </w:pPr>
      <w:r>
        <w:rPr>
          <w:rFonts w:ascii="宋体" w:hAnsi="宋体"/>
          <w:snapToGrid w:val="0"/>
          <w:kern w:val="0"/>
        </w:rPr>
        <w:t>17.3  因以上 17.2 款情况引起费用变化按以下原则计算</w:t>
      </w:r>
    </w:p>
    <w:p>
      <w:pPr>
        <w:spacing w:line="440" w:lineRule="exact"/>
        <w:ind w:firstLine="420" w:firstLineChars="200"/>
        <w:rPr>
          <w:rFonts w:ascii="宋体" w:hAnsi="宋体"/>
          <w:snapToGrid w:val="0"/>
          <w:kern w:val="0"/>
        </w:rPr>
      </w:pPr>
      <w:r>
        <w:rPr>
          <w:rFonts w:ascii="宋体" w:hAnsi="宋体"/>
          <w:snapToGrid w:val="0"/>
          <w:kern w:val="0"/>
        </w:rPr>
        <w:t>17.3.1 已标价</w:t>
      </w:r>
      <w:r>
        <w:rPr>
          <w:rFonts w:hint="eastAsia" w:ascii="宋体" w:hAnsi="宋体"/>
          <w:snapToGrid w:val="0"/>
          <w:kern w:val="0"/>
        </w:rPr>
        <w:t>工点清单</w:t>
      </w:r>
      <w:r>
        <w:rPr>
          <w:rFonts w:ascii="宋体" w:hAnsi="宋体"/>
          <w:snapToGrid w:val="0"/>
          <w:kern w:val="0"/>
        </w:rPr>
        <w:t>中有适用子目的，采用该子目的单价。</w:t>
      </w:r>
    </w:p>
    <w:p>
      <w:pPr>
        <w:spacing w:line="440" w:lineRule="exact"/>
        <w:ind w:firstLine="420" w:firstLineChars="200"/>
        <w:rPr>
          <w:rFonts w:ascii="宋体" w:hAnsi="宋体"/>
          <w:snapToGrid w:val="0"/>
          <w:kern w:val="0"/>
        </w:rPr>
      </w:pPr>
      <w:r>
        <w:rPr>
          <w:rFonts w:ascii="宋体" w:hAnsi="宋体"/>
          <w:snapToGrid w:val="0"/>
          <w:kern w:val="0"/>
        </w:rPr>
        <w:t>17.3.2 已标价</w:t>
      </w:r>
      <w:r>
        <w:rPr>
          <w:rFonts w:hint="eastAsia" w:ascii="宋体" w:hAnsi="宋体"/>
          <w:snapToGrid w:val="0"/>
          <w:kern w:val="0"/>
        </w:rPr>
        <w:t>工点清单</w:t>
      </w:r>
      <w:r>
        <w:rPr>
          <w:rFonts w:ascii="宋体" w:hAnsi="宋体"/>
          <w:snapToGrid w:val="0"/>
          <w:kern w:val="0"/>
        </w:rPr>
        <w:t>中无适用子目，但有类似子目的，可参照类似子目的单价，经发包人核准后执行。</w:t>
      </w:r>
    </w:p>
    <w:p>
      <w:pPr>
        <w:spacing w:line="440" w:lineRule="exact"/>
        <w:ind w:firstLine="420" w:firstLineChars="200"/>
        <w:rPr>
          <w:rFonts w:ascii="宋体" w:hAnsi="宋体"/>
          <w:snapToGrid w:val="0"/>
          <w:kern w:val="0"/>
        </w:rPr>
      </w:pPr>
      <w:r>
        <w:rPr>
          <w:rFonts w:ascii="宋体" w:hAnsi="宋体"/>
          <w:snapToGrid w:val="0"/>
          <w:kern w:val="0"/>
        </w:rPr>
        <w:t>17.3.3 已标价</w:t>
      </w:r>
      <w:r>
        <w:rPr>
          <w:rFonts w:hint="eastAsia" w:ascii="宋体" w:hAnsi="宋体"/>
          <w:snapToGrid w:val="0"/>
          <w:kern w:val="0"/>
        </w:rPr>
        <w:t>工点清单</w:t>
      </w:r>
      <w:r>
        <w:rPr>
          <w:rFonts w:ascii="宋体" w:hAnsi="宋体"/>
          <w:snapToGrid w:val="0"/>
          <w:kern w:val="0"/>
        </w:rPr>
        <w:t>中无适用子目的，由</w:t>
      </w:r>
      <w:r>
        <w:rPr>
          <w:rFonts w:hint="eastAsia" w:ascii="宋体" w:hAnsi="宋体"/>
          <w:snapToGrid w:val="0"/>
          <w:kern w:val="0"/>
        </w:rPr>
        <w:t>承包人</w:t>
      </w:r>
      <w:r>
        <w:rPr>
          <w:rFonts w:ascii="宋体" w:hAnsi="宋体"/>
          <w:snapToGrid w:val="0"/>
          <w:kern w:val="0"/>
        </w:rPr>
        <w:t>按原投标编制原则编制预算，按规定程序申报，计算迁改费用。</w:t>
      </w:r>
    </w:p>
    <w:p>
      <w:pPr>
        <w:spacing w:line="440" w:lineRule="exact"/>
        <w:ind w:firstLine="420" w:firstLineChars="200"/>
        <w:rPr>
          <w:rFonts w:ascii="宋体" w:hAnsi="宋体"/>
          <w:snapToGrid w:val="0"/>
          <w:kern w:val="0"/>
        </w:rPr>
      </w:pPr>
      <w:r>
        <w:rPr>
          <w:rFonts w:hint="eastAsia" w:ascii="宋体" w:hAnsi="宋体"/>
          <w:snapToGrid w:val="0"/>
          <w:kern w:val="0"/>
          <w:highlight w:val="yellow"/>
        </w:rPr>
        <w:t>1</w:t>
      </w:r>
      <w:r>
        <w:rPr>
          <w:rFonts w:ascii="宋体" w:hAnsi="宋体"/>
          <w:snapToGrid w:val="0"/>
          <w:kern w:val="0"/>
          <w:highlight w:val="yellow"/>
        </w:rPr>
        <w:t xml:space="preserve">7.3.4 </w:t>
      </w:r>
      <w:r>
        <w:rPr>
          <w:rFonts w:hint="eastAsia" w:ascii="宋体" w:hAnsi="宋体"/>
          <w:snapToGrid w:val="0"/>
          <w:kern w:val="0"/>
          <w:highlight w:val="yellow"/>
        </w:rPr>
        <w:t>因迁改引起的占地、拆迁及青苗补偿等费用，经发包人审核后据实结算，并按实际补偿费的5%计列承包人的管理费。</w:t>
      </w:r>
    </w:p>
    <w:p>
      <w:pPr>
        <w:spacing w:line="440" w:lineRule="exact"/>
        <w:ind w:firstLine="420" w:firstLineChars="200"/>
        <w:rPr>
          <w:rFonts w:ascii="宋体" w:hAnsi="宋体" w:cs="Times New Roman"/>
          <w:snapToGrid w:val="0"/>
          <w:kern w:val="0"/>
          <w:szCs w:val="22"/>
        </w:rPr>
      </w:pPr>
      <w:r>
        <w:rPr>
          <w:rFonts w:hint="eastAsia" w:ascii="宋体" w:hAnsi="宋体" w:cs="Times New Roman"/>
          <w:snapToGrid w:val="0"/>
          <w:kern w:val="0"/>
          <w:szCs w:val="22"/>
        </w:rPr>
        <w:t>17.4 变更均以书面形式办理。</w:t>
      </w:r>
    </w:p>
    <w:p>
      <w:pPr>
        <w:spacing w:before="240" w:after="60" w:line="440" w:lineRule="exact"/>
        <w:ind w:firstLine="422" w:firstLineChars="200"/>
        <w:jc w:val="left"/>
        <w:outlineLvl w:val="1"/>
        <w:rPr>
          <w:rFonts w:ascii="宋体" w:hAnsi="宋体" w:cs="宋体"/>
          <w:b/>
          <w:kern w:val="28"/>
        </w:rPr>
      </w:pPr>
      <w:bookmarkStart w:id="228" w:name="_Toc84265647"/>
      <w:r>
        <w:rPr>
          <w:rFonts w:hint="eastAsia" w:ascii="宋体" w:hAnsi="宋体" w:cs="宋体"/>
          <w:b/>
          <w:kern w:val="28"/>
        </w:rPr>
        <w:t>第18 条 工程预付款</w:t>
      </w:r>
      <w:bookmarkEnd w:id="228"/>
    </w:p>
    <w:p>
      <w:pPr>
        <w:spacing w:line="440" w:lineRule="exact"/>
        <w:ind w:firstLine="480"/>
        <w:rPr>
          <w:rFonts w:ascii="宋体" w:hAnsi="宋体"/>
          <w:snapToGrid w:val="0"/>
          <w:kern w:val="0"/>
        </w:rPr>
      </w:pPr>
      <w:r>
        <w:rPr>
          <w:rFonts w:hint="eastAsia" w:ascii="宋体" w:hAnsi="宋体"/>
          <w:snapToGrid w:val="0"/>
          <w:kern w:val="0"/>
        </w:rPr>
        <w:t>18.1 预付款的支付</w:t>
      </w:r>
    </w:p>
    <w:p>
      <w:pPr>
        <w:spacing w:line="440" w:lineRule="exact"/>
        <w:ind w:firstLine="480"/>
        <w:rPr>
          <w:rFonts w:ascii="宋体" w:hAnsi="宋体"/>
          <w:snapToGrid w:val="0"/>
          <w:kern w:val="0"/>
        </w:rPr>
      </w:pPr>
      <w:r>
        <w:rPr>
          <w:rFonts w:hint="eastAsia" w:ascii="宋体" w:hAnsi="宋体"/>
          <w:snapToGrid w:val="0"/>
          <w:kern w:val="0"/>
          <w:highlight w:val="yellow"/>
        </w:rPr>
        <w:t>预付款按发包人下达的年度计划的30%减去上年度未扣回的预付款后逐年预付。</w:t>
      </w:r>
    </w:p>
    <w:p>
      <w:pPr>
        <w:spacing w:line="440" w:lineRule="exact"/>
        <w:ind w:firstLine="420" w:firstLineChars="200"/>
        <w:jc w:val="left"/>
        <w:rPr>
          <w:rFonts w:ascii="宋体" w:hAnsi="宋体"/>
          <w:snapToGrid w:val="0"/>
          <w:kern w:val="0"/>
        </w:rPr>
      </w:pPr>
      <w:r>
        <w:rPr>
          <w:rFonts w:ascii="宋体" w:hAnsi="宋体"/>
          <w:snapToGrid w:val="0"/>
          <w:kern w:val="0"/>
        </w:rPr>
        <w:t>18.1.1每次预付款按</w:t>
      </w:r>
      <w:r>
        <w:rPr>
          <w:rFonts w:hint="eastAsia" w:ascii="宋体" w:hAnsi="宋体"/>
          <w:snapToGrid w:val="0"/>
          <w:kern w:val="0"/>
        </w:rPr>
        <w:t>进度计划的3</w:t>
      </w:r>
      <w:r>
        <w:rPr>
          <w:rFonts w:ascii="宋体" w:hAnsi="宋体"/>
          <w:snapToGrid w:val="0"/>
          <w:kern w:val="0"/>
        </w:rPr>
        <w:t>0%支付，自承包人提交预付款申请后15天内完成支付。上次预付款全部扣回后方可申请支付下次的预付款。</w:t>
      </w:r>
    </w:p>
    <w:p>
      <w:pPr>
        <w:spacing w:line="440" w:lineRule="exact"/>
        <w:ind w:firstLine="420" w:firstLineChars="200"/>
        <w:jc w:val="left"/>
        <w:rPr>
          <w:rFonts w:ascii="宋体" w:hAnsi="宋体"/>
          <w:snapToGrid w:val="0"/>
          <w:kern w:val="0"/>
        </w:rPr>
      </w:pPr>
      <w:r>
        <w:rPr>
          <w:rFonts w:ascii="宋体" w:hAnsi="宋体"/>
          <w:snapToGrid w:val="0"/>
          <w:kern w:val="0"/>
        </w:rPr>
        <w:t>18.1.2产权单位有特殊付款要求时，按产权单位要求支付预付款（国防光缆，通信基站，35KV及以上电力线路，给排水、热力、油气管道等）。</w:t>
      </w:r>
    </w:p>
    <w:p>
      <w:pPr>
        <w:spacing w:line="440" w:lineRule="exact"/>
        <w:ind w:firstLine="420" w:firstLineChars="200"/>
        <w:jc w:val="left"/>
        <w:rPr>
          <w:rFonts w:ascii="宋体" w:hAnsi="宋体"/>
          <w:snapToGrid w:val="0"/>
          <w:kern w:val="0"/>
        </w:rPr>
      </w:pPr>
      <w:r>
        <w:rPr>
          <w:rFonts w:hint="eastAsia" w:ascii="宋体" w:hAnsi="宋体"/>
          <w:snapToGrid w:val="0"/>
          <w:kern w:val="0"/>
        </w:rPr>
        <w:t>18.1.3上述预付款的支付，</w:t>
      </w:r>
      <w:r>
        <w:rPr>
          <w:rFonts w:hint="eastAsia" w:ascii="宋体" w:hAnsi="宋体" w:cs="宋体"/>
        </w:rPr>
        <w:t>待专项资金拨付发包人后</w:t>
      </w:r>
      <w:r>
        <w:rPr>
          <w:rFonts w:hint="eastAsia" w:ascii="宋体" w:hAnsi="宋体" w:cs="宋体"/>
          <w:u w:val="single"/>
        </w:rPr>
        <w:t xml:space="preserve">  </w:t>
      </w:r>
      <w:r>
        <w:rPr>
          <w:rFonts w:hint="eastAsia" w:ascii="宋体" w:hAnsi="宋体" w:cs="宋体"/>
        </w:rPr>
        <w:t>日内，再行支付给承包人。</w:t>
      </w:r>
    </w:p>
    <w:p>
      <w:pPr>
        <w:spacing w:line="440" w:lineRule="exact"/>
        <w:ind w:left="479" w:leftChars="228"/>
        <w:jc w:val="left"/>
        <w:rPr>
          <w:rFonts w:ascii="宋体" w:hAnsi="宋体" w:cs="宋体"/>
        </w:rPr>
      </w:pPr>
      <w:r>
        <w:rPr>
          <w:rFonts w:hint="eastAsia" w:ascii="宋体" w:hAnsi="宋体" w:cs="宋体"/>
        </w:rPr>
        <w:t>18.2 预付款的扣回</w:t>
      </w:r>
    </w:p>
    <w:p>
      <w:pPr>
        <w:spacing w:line="440" w:lineRule="exact"/>
        <w:ind w:firstLine="480"/>
        <w:rPr>
          <w:rFonts w:ascii="宋体" w:hAnsi="宋体"/>
          <w:snapToGrid w:val="0"/>
          <w:kern w:val="0"/>
        </w:rPr>
      </w:pPr>
      <w:r>
        <w:rPr>
          <w:rFonts w:ascii="宋体" w:hAnsi="宋体"/>
          <w:snapToGrid w:val="0"/>
          <w:kern w:val="0"/>
        </w:rPr>
        <w:t>18.2.1</w:t>
      </w:r>
      <w:r>
        <w:rPr>
          <w:rFonts w:hint="eastAsia" w:ascii="宋体" w:hAnsi="宋体"/>
          <w:snapToGrid w:val="0"/>
          <w:highlight w:val="yellow"/>
        </w:rPr>
        <w:t>每年1月份开始施工的项目，从7月份至12月份支付月份工程款中，每月抵扣预付工程款的六分之一；年度中间开始施工的项目，从预付工程款后第7个月支付月份工程款开始抵扣预付工程款，至次年1月份支付上年度工程进度款时全部抵扣完毕；年度施工期不足7个月的项目，当年不抵扣预付工程款，从次年1月份支付上年度工程进度款中一次性抵扣上年全部预付工程款。</w:t>
      </w:r>
    </w:p>
    <w:p>
      <w:pPr>
        <w:spacing w:line="440" w:lineRule="exact"/>
        <w:ind w:firstLine="480"/>
        <w:rPr>
          <w:rFonts w:ascii="宋体" w:hAnsi="宋体"/>
          <w:snapToGrid w:val="0"/>
          <w:kern w:val="0"/>
        </w:rPr>
      </w:pPr>
      <w:r>
        <w:rPr>
          <w:rFonts w:ascii="宋体" w:hAnsi="宋体"/>
          <w:snapToGrid w:val="0"/>
          <w:kern w:val="0"/>
        </w:rPr>
        <w:t>18.2.2产权单位有特殊付款要求的预付款的扣回：在相关工点验工计价时按工点扣回相应预付款。</w:t>
      </w:r>
    </w:p>
    <w:p>
      <w:pPr>
        <w:spacing w:before="240" w:after="60" w:line="440" w:lineRule="exact"/>
        <w:ind w:firstLine="422" w:firstLineChars="200"/>
        <w:jc w:val="left"/>
        <w:outlineLvl w:val="1"/>
        <w:rPr>
          <w:rFonts w:ascii="宋体" w:hAnsi="宋体" w:cs="宋体"/>
          <w:b/>
          <w:kern w:val="28"/>
        </w:rPr>
      </w:pPr>
      <w:bookmarkStart w:id="229" w:name="_Toc84265648"/>
      <w:r>
        <w:rPr>
          <w:rFonts w:hint="eastAsia" w:ascii="宋体" w:hAnsi="宋体" w:cs="宋体"/>
          <w:b/>
          <w:kern w:val="28"/>
        </w:rPr>
        <w:t>第19条 质量保证金</w:t>
      </w:r>
      <w:bookmarkEnd w:id="229"/>
    </w:p>
    <w:p>
      <w:pPr>
        <w:spacing w:line="440" w:lineRule="exact"/>
        <w:ind w:firstLine="480"/>
        <w:rPr>
          <w:rFonts w:ascii="宋体" w:hAnsi="宋体" w:cs="宋体"/>
          <w:u w:val="single"/>
        </w:rPr>
      </w:pPr>
      <w:r>
        <w:rPr>
          <w:rFonts w:hint="eastAsia" w:ascii="宋体" w:hAnsi="宋体" w:cs="宋体"/>
        </w:rPr>
        <w:t>19.1本项目验收合格后，发包人退还承包人的履约担保；同时，承包人向发包人提交质量保证金银行保函，质量保证金为合同价款的3%。质量保修期满后保函自动失效。</w:t>
      </w:r>
    </w:p>
    <w:p>
      <w:pPr>
        <w:spacing w:before="240" w:after="60" w:line="440" w:lineRule="exact"/>
        <w:ind w:firstLine="422" w:firstLineChars="200"/>
        <w:jc w:val="left"/>
        <w:outlineLvl w:val="1"/>
        <w:rPr>
          <w:rFonts w:ascii="宋体" w:hAnsi="宋体" w:cs="宋体"/>
          <w:b/>
          <w:kern w:val="28"/>
        </w:rPr>
      </w:pPr>
      <w:bookmarkStart w:id="230" w:name="_Toc84265649"/>
      <w:r>
        <w:rPr>
          <w:rFonts w:hint="eastAsia" w:ascii="宋体" w:hAnsi="宋体" w:cs="宋体"/>
          <w:b/>
          <w:kern w:val="28"/>
        </w:rPr>
        <w:t>第20条 计量与支付</w:t>
      </w:r>
      <w:bookmarkEnd w:id="230"/>
    </w:p>
    <w:p>
      <w:pPr>
        <w:spacing w:line="440" w:lineRule="exact"/>
        <w:ind w:firstLine="480"/>
        <w:rPr>
          <w:rFonts w:ascii="宋体" w:hAnsi="宋体"/>
          <w:snapToGrid w:val="0"/>
          <w:kern w:val="0"/>
        </w:rPr>
      </w:pPr>
      <w:r>
        <w:rPr>
          <w:rFonts w:hint="eastAsia" w:ascii="宋体" w:hAnsi="宋体"/>
          <w:snapToGrid w:val="0"/>
          <w:kern w:val="0"/>
        </w:rPr>
        <w:t>20.1 计量：验工计价按月进行，承包人在每月25日递交本月验工计价表和付款申请表，经相关单位和发包人签字盖章确认后作为工程款支付的依据。</w:t>
      </w:r>
    </w:p>
    <w:p>
      <w:pPr>
        <w:spacing w:line="440" w:lineRule="exact"/>
        <w:ind w:firstLine="480"/>
        <w:rPr>
          <w:rFonts w:ascii="宋体" w:hAnsi="宋体"/>
          <w:snapToGrid w:val="0"/>
          <w:kern w:val="0"/>
          <w:highlight w:val="yellow"/>
        </w:rPr>
      </w:pPr>
      <w:r>
        <w:rPr>
          <w:rFonts w:ascii="宋体" w:hAnsi="宋体"/>
          <w:snapToGrid w:val="0"/>
          <w:kern w:val="0"/>
          <w:highlight w:val="yellow"/>
        </w:rPr>
        <w:t xml:space="preserve">20.1.1 </w:t>
      </w:r>
      <w:r>
        <w:rPr>
          <w:rFonts w:hint="eastAsia" w:ascii="宋体" w:hAnsi="宋体"/>
          <w:snapToGrid w:val="0"/>
          <w:kern w:val="0"/>
          <w:highlight w:val="yellow"/>
        </w:rPr>
        <w:t xml:space="preserve">迁改方案及设计图纸经产权单位、发包人同意实施后，发包人应支付迁改工程项目清单中该项目费用总额的 </w:t>
      </w:r>
      <w:r>
        <w:rPr>
          <w:rFonts w:ascii="宋体" w:hAnsi="宋体"/>
          <w:snapToGrid w:val="0"/>
          <w:kern w:val="0"/>
          <w:highlight w:val="yellow"/>
        </w:rPr>
        <w:t>10%</w:t>
      </w:r>
      <w:r>
        <w:rPr>
          <w:rFonts w:hint="eastAsia" w:ascii="宋体" w:hAnsi="宋体"/>
          <w:snapToGrid w:val="0"/>
          <w:kern w:val="0"/>
          <w:highlight w:val="yellow"/>
        </w:rPr>
        <w:t xml:space="preserve">作为工程进度款。 </w:t>
      </w:r>
    </w:p>
    <w:p>
      <w:pPr>
        <w:spacing w:line="440" w:lineRule="exact"/>
        <w:ind w:firstLine="480"/>
        <w:rPr>
          <w:rFonts w:ascii="宋体" w:hAnsi="宋体"/>
          <w:snapToGrid w:val="0"/>
          <w:kern w:val="0"/>
          <w:highlight w:val="yellow"/>
        </w:rPr>
      </w:pPr>
      <w:r>
        <w:rPr>
          <w:rFonts w:ascii="宋体" w:hAnsi="宋体"/>
          <w:snapToGrid w:val="0"/>
          <w:kern w:val="0"/>
          <w:highlight w:val="yellow"/>
        </w:rPr>
        <w:t xml:space="preserve">20.1.2 </w:t>
      </w:r>
      <w:r>
        <w:rPr>
          <w:rFonts w:hint="eastAsia" w:ascii="宋体" w:hAnsi="宋体"/>
          <w:snapToGrid w:val="0"/>
          <w:kern w:val="0"/>
          <w:highlight w:val="yellow"/>
        </w:rPr>
        <w:t>对于3</w:t>
      </w:r>
      <w:r>
        <w:rPr>
          <w:rFonts w:ascii="宋体" w:hAnsi="宋体"/>
          <w:snapToGrid w:val="0"/>
          <w:kern w:val="0"/>
          <w:highlight w:val="yellow"/>
        </w:rPr>
        <w:t>5</w:t>
      </w:r>
      <w:r>
        <w:rPr>
          <w:rFonts w:hint="eastAsia" w:ascii="宋体" w:hAnsi="宋体"/>
          <w:snapToGrid w:val="0"/>
          <w:kern w:val="0"/>
          <w:highlight w:val="yellow"/>
        </w:rPr>
        <w:t xml:space="preserve">kv以上的电力迁改工程，承包人完成迁改项目的基础施工，具备转接条件时，发包人应再支付迁改工程项目清单中该项目费用总额的 </w:t>
      </w:r>
      <w:r>
        <w:rPr>
          <w:rFonts w:ascii="宋体" w:hAnsi="宋体"/>
          <w:snapToGrid w:val="0"/>
          <w:kern w:val="0"/>
          <w:highlight w:val="yellow"/>
        </w:rPr>
        <w:t>50%</w:t>
      </w:r>
      <w:r>
        <w:rPr>
          <w:rFonts w:hint="eastAsia" w:ascii="宋体" w:hAnsi="宋体"/>
          <w:snapToGrid w:val="0"/>
          <w:kern w:val="0"/>
          <w:highlight w:val="yellow"/>
        </w:rPr>
        <w:t xml:space="preserve">作为工程进度款；对于其他迁改工程，承包人完成迁改项目的主体施工，具备移交条件时，发包人应再支付迁改工程项目清单中该项目费用总额的 </w:t>
      </w:r>
      <w:r>
        <w:rPr>
          <w:rFonts w:ascii="宋体" w:hAnsi="宋体"/>
          <w:snapToGrid w:val="0"/>
          <w:kern w:val="0"/>
          <w:highlight w:val="yellow"/>
        </w:rPr>
        <w:t>70</w:t>
      </w:r>
      <w:r>
        <w:rPr>
          <w:rFonts w:hint="eastAsia" w:ascii="宋体" w:hAnsi="宋体"/>
          <w:snapToGrid w:val="0"/>
          <w:kern w:val="0"/>
          <w:highlight w:val="yellow"/>
        </w:rPr>
        <w:t>%作为工程进度款。</w:t>
      </w:r>
    </w:p>
    <w:p>
      <w:pPr>
        <w:spacing w:line="440" w:lineRule="exact"/>
        <w:ind w:firstLine="480"/>
        <w:rPr>
          <w:rFonts w:ascii="宋体" w:hAnsi="宋体"/>
          <w:snapToGrid w:val="0"/>
          <w:kern w:val="0"/>
          <w:highlight w:val="yellow"/>
        </w:rPr>
      </w:pPr>
      <w:r>
        <w:rPr>
          <w:rFonts w:ascii="宋体" w:hAnsi="宋体"/>
          <w:snapToGrid w:val="0"/>
          <w:kern w:val="0"/>
          <w:highlight w:val="yellow"/>
        </w:rPr>
        <w:t xml:space="preserve">20.1.3 </w:t>
      </w:r>
      <w:r>
        <w:rPr>
          <w:rFonts w:hint="eastAsia" w:ascii="宋体" w:hAnsi="宋体"/>
          <w:snapToGrid w:val="0"/>
          <w:kern w:val="0"/>
          <w:highlight w:val="yellow"/>
        </w:rPr>
        <w:t>对于3</w:t>
      </w:r>
      <w:r>
        <w:rPr>
          <w:rFonts w:ascii="宋体" w:hAnsi="宋体"/>
          <w:snapToGrid w:val="0"/>
          <w:kern w:val="0"/>
          <w:highlight w:val="yellow"/>
        </w:rPr>
        <w:t>5</w:t>
      </w:r>
      <w:r>
        <w:rPr>
          <w:rFonts w:hint="eastAsia" w:ascii="宋体" w:hAnsi="宋体"/>
          <w:snapToGrid w:val="0"/>
          <w:kern w:val="0"/>
          <w:highlight w:val="yellow"/>
        </w:rPr>
        <w:t xml:space="preserve">kv以上的电力迁改工程，单项迁改工程验收合格并移交产权单位，发包人应再支付迁改工程项目清单中该项目费用总额的 </w:t>
      </w:r>
      <w:r>
        <w:rPr>
          <w:rFonts w:ascii="宋体" w:hAnsi="宋体"/>
          <w:snapToGrid w:val="0"/>
          <w:kern w:val="0"/>
          <w:highlight w:val="yellow"/>
        </w:rPr>
        <w:t>30%</w:t>
      </w:r>
      <w:r>
        <w:rPr>
          <w:rFonts w:hint="eastAsia" w:ascii="宋体" w:hAnsi="宋体"/>
          <w:snapToGrid w:val="0"/>
          <w:kern w:val="0"/>
          <w:highlight w:val="yellow"/>
        </w:rPr>
        <w:t>作为工程进度款；对于其他迁改工程，单项迁改工程验收合格并移交产权单位，发包人应再支付迁改工程项目清单中该项目费用总额的</w:t>
      </w:r>
      <w:r>
        <w:rPr>
          <w:rFonts w:ascii="宋体" w:hAnsi="宋体"/>
          <w:snapToGrid w:val="0"/>
          <w:kern w:val="0"/>
          <w:highlight w:val="yellow"/>
        </w:rPr>
        <w:t>10%</w:t>
      </w:r>
      <w:r>
        <w:rPr>
          <w:rFonts w:hint="eastAsia" w:ascii="宋体" w:hAnsi="宋体"/>
          <w:snapToGrid w:val="0"/>
          <w:kern w:val="0"/>
          <w:highlight w:val="yellow"/>
        </w:rPr>
        <w:t>作为工程进度款。</w:t>
      </w:r>
    </w:p>
    <w:p>
      <w:pPr>
        <w:spacing w:line="440" w:lineRule="exact"/>
        <w:ind w:firstLine="480"/>
        <w:rPr>
          <w:rFonts w:ascii="宋体" w:hAnsi="宋体"/>
          <w:snapToGrid w:val="0"/>
          <w:kern w:val="0"/>
          <w:highlight w:val="yellow"/>
        </w:rPr>
      </w:pPr>
      <w:r>
        <w:rPr>
          <w:rFonts w:ascii="宋体" w:hAnsi="宋体"/>
          <w:snapToGrid w:val="0"/>
          <w:kern w:val="0"/>
          <w:highlight w:val="yellow"/>
        </w:rPr>
        <w:t xml:space="preserve">20.1.4 </w:t>
      </w:r>
      <w:r>
        <w:rPr>
          <w:rFonts w:hint="eastAsia" w:ascii="宋体" w:hAnsi="宋体"/>
          <w:snapToGrid w:val="0"/>
          <w:kern w:val="0"/>
          <w:highlight w:val="yellow"/>
        </w:rPr>
        <w:t xml:space="preserve">单项迁改工程竣工资料按发包人管理办法归档后，发包人应再支付迁改工程项目清单中该项目费用总额的 </w:t>
      </w:r>
      <w:r>
        <w:rPr>
          <w:rFonts w:ascii="宋体" w:hAnsi="宋体"/>
          <w:snapToGrid w:val="0"/>
          <w:kern w:val="0"/>
          <w:highlight w:val="yellow"/>
        </w:rPr>
        <w:t>10%</w:t>
      </w:r>
      <w:r>
        <w:rPr>
          <w:rFonts w:hint="eastAsia" w:ascii="宋体" w:hAnsi="宋体"/>
          <w:snapToGrid w:val="0"/>
          <w:kern w:val="0"/>
          <w:highlight w:val="yellow"/>
        </w:rPr>
        <w:t>。</w:t>
      </w:r>
    </w:p>
    <w:p>
      <w:pPr>
        <w:spacing w:line="440" w:lineRule="exact"/>
        <w:ind w:firstLine="210" w:firstLineChars="100"/>
        <w:jc w:val="left"/>
        <w:rPr>
          <w:rFonts w:ascii="宋体" w:hAnsi="宋体"/>
          <w:snapToGrid w:val="0"/>
          <w:kern w:val="0"/>
        </w:rPr>
      </w:pPr>
      <w:r>
        <w:rPr>
          <w:rFonts w:hint="eastAsia" w:ascii="宋体" w:hAnsi="宋体"/>
          <w:snapToGrid w:val="0"/>
          <w:kern w:val="0"/>
        </w:rPr>
        <w:t>20.2 支付：工程进度款按月拨付。每月15日前，发包人应按上月批准的验工计价扣除应抵扣的预付款后的</w:t>
      </w:r>
      <w:r>
        <w:rPr>
          <w:rFonts w:hint="eastAsia" w:ascii="宋体" w:hAnsi="宋体"/>
          <w:snapToGrid w:val="0"/>
          <w:kern w:val="0"/>
          <w:highlight w:val="yellow"/>
        </w:rPr>
        <w:t>97%</w:t>
      </w:r>
      <w:r>
        <w:rPr>
          <w:rFonts w:hint="eastAsia" w:ascii="宋体" w:hAnsi="宋体"/>
          <w:snapToGrid w:val="0"/>
          <w:kern w:val="0"/>
        </w:rPr>
        <w:t>办理支付。发包人所支付的工程款，</w:t>
      </w:r>
      <w:r>
        <w:rPr>
          <w:rFonts w:hint="eastAsia" w:ascii="宋体" w:hAnsi="宋体" w:cs="宋体"/>
        </w:rPr>
        <w:t>待专项资金拨付发包人后</w:t>
      </w:r>
      <w:r>
        <w:rPr>
          <w:rFonts w:hint="eastAsia" w:ascii="宋体" w:hAnsi="宋体" w:cs="宋体"/>
          <w:u w:val="single"/>
        </w:rPr>
        <w:t xml:space="preserve">  </w:t>
      </w:r>
      <w:r>
        <w:rPr>
          <w:rFonts w:hint="eastAsia" w:ascii="宋体" w:hAnsi="宋体" w:cs="宋体"/>
        </w:rPr>
        <w:t>日内，再行支付给承包人。</w:t>
      </w:r>
      <w:r>
        <w:rPr>
          <w:rFonts w:hint="eastAsia" w:ascii="宋体" w:hAnsi="宋体" w:cs="宋体"/>
          <w:highlight w:val="yellow"/>
        </w:rPr>
        <w:t>产权单位有特殊付款要求时，按产权单位（国防光缆，通信基站，35KV及以上电力线路，给排水、热力、油气管道等）要求，依据产权单位开具的缴费通知单或补偿协议金额计量并支付进度款。款项就位后承包人组织迁改工程实施。</w:t>
      </w:r>
    </w:p>
    <w:p>
      <w:pPr>
        <w:spacing w:line="440" w:lineRule="exact"/>
        <w:ind w:firstLine="480"/>
        <w:rPr>
          <w:rFonts w:ascii="宋体" w:hAnsi="宋体"/>
        </w:rPr>
      </w:pPr>
      <w:r>
        <w:rPr>
          <w:rFonts w:hint="eastAsia" w:ascii="宋体" w:hAnsi="宋体" w:cs="宋体"/>
        </w:rPr>
        <w:t xml:space="preserve">20.3 </w:t>
      </w:r>
      <w:r>
        <w:rPr>
          <w:rFonts w:hint="eastAsia" w:ascii="宋体" w:hAnsi="宋体"/>
          <w:snapToGrid w:val="0"/>
          <w:kern w:val="0"/>
        </w:rPr>
        <w:t>特殊情况需提前计价或付款时，承包人需向发包人提出书面申请。</w:t>
      </w:r>
    </w:p>
    <w:p>
      <w:pPr>
        <w:spacing w:line="440" w:lineRule="exact"/>
        <w:ind w:firstLine="420" w:firstLineChars="200"/>
        <w:jc w:val="left"/>
        <w:rPr>
          <w:rFonts w:ascii="宋体" w:hAnsi="宋体" w:cs="宋体"/>
        </w:rPr>
      </w:pPr>
      <w:r>
        <w:rPr>
          <w:rFonts w:hint="eastAsia" w:ascii="宋体" w:hAnsi="宋体" w:cs="宋体"/>
        </w:rPr>
        <w:t>20.</w:t>
      </w:r>
      <w:r>
        <w:rPr>
          <w:rFonts w:ascii="宋体" w:hAnsi="宋体" w:cs="宋体"/>
        </w:rPr>
        <w:t>4</w:t>
      </w:r>
      <w:r>
        <w:rPr>
          <w:rFonts w:hint="eastAsia" w:ascii="宋体" w:hAnsi="宋体" w:cs="宋体"/>
        </w:rPr>
        <w:t xml:space="preserve"> 各相关单位应在接到承包人申请后5个工作日内完成验工计价和工程款支付申请审批手续。发包人应在接到相关单位申请后5个工作日内完成验工计价和工程款支付申请审批手续。</w:t>
      </w:r>
    </w:p>
    <w:p>
      <w:pPr>
        <w:spacing w:line="440" w:lineRule="exact"/>
        <w:ind w:firstLine="480"/>
        <w:rPr>
          <w:rFonts w:ascii="宋体" w:hAnsi="宋体" w:cs="宋体"/>
        </w:rPr>
      </w:pPr>
      <w:r>
        <w:rPr>
          <w:rFonts w:hint="eastAsia" w:ascii="宋体" w:hAnsi="宋体" w:cs="宋体"/>
        </w:rPr>
        <w:t>20.</w:t>
      </w:r>
      <w:r>
        <w:rPr>
          <w:rFonts w:ascii="宋体" w:hAnsi="宋体" w:cs="宋体"/>
        </w:rPr>
        <w:t>5</w:t>
      </w:r>
      <w:r>
        <w:rPr>
          <w:rFonts w:hint="eastAsia" w:ascii="宋体" w:hAnsi="宋体" w:cs="宋体"/>
        </w:rPr>
        <w:t xml:space="preserve"> 竣工结算工程款:按审核后的竣工结算值扣除已拨付工程款后，拨付剩余款项，竣工结算在末次验工计价时完成。待专项资金拨付发包人后</w:t>
      </w:r>
      <w:r>
        <w:rPr>
          <w:rFonts w:hint="eastAsia" w:ascii="宋体" w:hAnsi="宋体" w:cs="宋体"/>
          <w:u w:val="single"/>
        </w:rPr>
        <w:t xml:space="preserve">  </w:t>
      </w:r>
      <w:r>
        <w:rPr>
          <w:rFonts w:hint="eastAsia" w:ascii="宋体" w:hAnsi="宋体" w:cs="宋体"/>
        </w:rPr>
        <w:t>日内，再行支付给承包人。</w:t>
      </w:r>
    </w:p>
    <w:p>
      <w:pPr>
        <w:spacing w:line="440" w:lineRule="exact"/>
        <w:ind w:firstLine="480"/>
        <w:rPr>
          <w:rFonts w:ascii="宋体" w:hAnsi="宋体" w:cs="宋体"/>
        </w:rPr>
      </w:pPr>
      <w:r>
        <w:rPr>
          <w:rFonts w:hint="eastAsia" w:ascii="宋体" w:hAnsi="宋体" w:cs="宋体"/>
        </w:rPr>
        <w:t>20.</w:t>
      </w:r>
      <w:r>
        <w:rPr>
          <w:rFonts w:ascii="宋体" w:hAnsi="宋体" w:cs="宋体"/>
        </w:rPr>
        <w:t>6</w:t>
      </w:r>
      <w:r>
        <w:rPr>
          <w:rFonts w:hint="eastAsia" w:ascii="宋体" w:hAnsi="宋体" w:cs="宋体"/>
        </w:rPr>
        <w:t xml:space="preserve"> 计价后付款前承包人按照实际支付金额向发包人开具增值税专用发票。</w:t>
      </w:r>
    </w:p>
    <w:p>
      <w:pPr>
        <w:spacing w:before="240" w:after="60" w:line="440" w:lineRule="exact"/>
        <w:ind w:firstLine="422" w:firstLineChars="200"/>
        <w:jc w:val="left"/>
        <w:outlineLvl w:val="1"/>
        <w:rPr>
          <w:rFonts w:ascii="宋体" w:hAnsi="宋体" w:cs="宋体"/>
          <w:b/>
          <w:kern w:val="28"/>
        </w:rPr>
      </w:pPr>
      <w:bookmarkStart w:id="231" w:name="_Toc84265650"/>
      <w:r>
        <w:rPr>
          <w:rFonts w:hint="eastAsia" w:ascii="宋体" w:hAnsi="宋体" w:cs="宋体"/>
          <w:b/>
          <w:kern w:val="28"/>
        </w:rPr>
        <w:t>第21 条 竣工验收</w:t>
      </w:r>
      <w:bookmarkEnd w:id="231"/>
    </w:p>
    <w:p>
      <w:pPr>
        <w:spacing w:line="440" w:lineRule="exact"/>
        <w:ind w:firstLine="480"/>
        <w:rPr>
          <w:rFonts w:ascii="宋体" w:hAnsi="宋体" w:cs="宋体"/>
        </w:rPr>
      </w:pPr>
      <w:r>
        <w:rPr>
          <w:rFonts w:hint="eastAsia" w:ascii="宋体" w:hAnsi="宋体" w:cs="宋体"/>
        </w:rPr>
        <w:t>21.1 本工程的竣工验收按国家、国铁集团及相关行业竣工验收办法执行。</w:t>
      </w:r>
    </w:p>
    <w:p>
      <w:pPr>
        <w:spacing w:line="440" w:lineRule="exact"/>
        <w:ind w:firstLine="480"/>
        <w:rPr>
          <w:rFonts w:ascii="宋体" w:hAnsi="宋体" w:cs="宋体"/>
        </w:rPr>
      </w:pPr>
      <w:r>
        <w:rPr>
          <w:rFonts w:hint="eastAsia" w:ascii="宋体" w:hAnsi="宋体" w:cs="宋体"/>
        </w:rPr>
        <w:t>21.2 竣工验收交接依据：</w:t>
      </w:r>
    </w:p>
    <w:p>
      <w:pPr>
        <w:spacing w:line="440" w:lineRule="exact"/>
        <w:ind w:firstLine="480"/>
        <w:rPr>
          <w:rFonts w:ascii="宋体" w:hAnsi="宋体" w:cs="宋体"/>
        </w:rPr>
      </w:pPr>
      <w:r>
        <w:rPr>
          <w:rFonts w:hint="eastAsia" w:ascii="宋体" w:hAnsi="宋体" w:cs="宋体"/>
        </w:rPr>
        <w:t>21.2.1 批准的设计文件(包括经批准的变更设计文件)；</w:t>
      </w:r>
    </w:p>
    <w:p>
      <w:pPr>
        <w:spacing w:line="440" w:lineRule="exact"/>
        <w:ind w:firstLine="480"/>
        <w:rPr>
          <w:rFonts w:ascii="宋体" w:hAnsi="宋体" w:cs="宋体"/>
        </w:rPr>
      </w:pPr>
      <w:r>
        <w:rPr>
          <w:rFonts w:hint="eastAsia" w:ascii="宋体" w:hAnsi="宋体" w:cs="宋体"/>
        </w:rPr>
        <w:t>21.2.2 国家、国铁集团、天津市批准的有关本工程建设的文件；</w:t>
      </w:r>
    </w:p>
    <w:p>
      <w:pPr>
        <w:spacing w:line="440" w:lineRule="exact"/>
        <w:ind w:firstLine="480"/>
        <w:rPr>
          <w:rFonts w:ascii="宋体" w:hAnsi="宋体" w:cs="宋体"/>
        </w:rPr>
      </w:pPr>
      <w:r>
        <w:rPr>
          <w:rFonts w:hint="eastAsia" w:ascii="宋体" w:hAnsi="宋体" w:cs="宋体"/>
        </w:rPr>
        <w:t>21.2.3 设计时采用的规程、规范(维修规范不作为验收依据)；</w:t>
      </w:r>
    </w:p>
    <w:p>
      <w:pPr>
        <w:spacing w:line="440" w:lineRule="exact"/>
        <w:ind w:firstLine="480"/>
        <w:rPr>
          <w:rFonts w:ascii="宋体" w:hAnsi="宋体" w:cs="宋体"/>
        </w:rPr>
      </w:pPr>
      <w:r>
        <w:rPr>
          <w:rFonts w:hint="eastAsia" w:ascii="宋体" w:hAnsi="宋体" w:cs="宋体"/>
        </w:rPr>
        <w:t>21.2.4 国家、国铁集团及相关行业工程质量评定验收标准。</w:t>
      </w:r>
    </w:p>
    <w:p>
      <w:pPr>
        <w:spacing w:line="440" w:lineRule="exact"/>
        <w:ind w:firstLine="480"/>
        <w:rPr>
          <w:rFonts w:ascii="宋体" w:hAnsi="宋体" w:cs="宋体"/>
        </w:rPr>
      </w:pPr>
      <w:r>
        <w:rPr>
          <w:rFonts w:hint="eastAsia" w:ascii="宋体" w:hAnsi="宋体" w:cs="宋体"/>
        </w:rPr>
        <w:t>21.3 竣工验收中承包人的工作：</w:t>
      </w:r>
    </w:p>
    <w:p>
      <w:pPr>
        <w:spacing w:line="440" w:lineRule="exact"/>
        <w:ind w:firstLine="480"/>
        <w:rPr>
          <w:rFonts w:ascii="宋体" w:hAnsi="宋体" w:cs="宋体"/>
        </w:rPr>
      </w:pPr>
      <w:r>
        <w:rPr>
          <w:rFonts w:hint="eastAsia" w:ascii="宋体" w:hAnsi="宋体" w:cs="宋体"/>
        </w:rPr>
        <w:t>21.3.1本工程正式验收10天前，承包人应编制好全部竣工文件。竣工文件中应包含迁改的线路、设备的产权单位签署的竣工验收报告和有关确认性文件。竣工文件的编制和提交的份数必须满足国家、国铁集团及相关行业竣工文件编制移交办法的规定。</w:t>
      </w:r>
    </w:p>
    <w:p>
      <w:pPr>
        <w:spacing w:before="240" w:after="60" w:line="440" w:lineRule="exact"/>
        <w:ind w:firstLine="422" w:firstLineChars="200"/>
        <w:jc w:val="left"/>
        <w:outlineLvl w:val="1"/>
        <w:rPr>
          <w:rFonts w:ascii="宋体" w:hAnsi="宋体" w:cs="宋体"/>
          <w:b/>
          <w:kern w:val="28"/>
        </w:rPr>
      </w:pPr>
      <w:bookmarkStart w:id="232" w:name="_Toc84265651"/>
      <w:r>
        <w:rPr>
          <w:rFonts w:hint="eastAsia" w:ascii="宋体" w:hAnsi="宋体" w:cs="宋体"/>
          <w:b/>
          <w:kern w:val="28"/>
        </w:rPr>
        <w:t>第</w:t>
      </w:r>
      <w:r>
        <w:rPr>
          <w:rFonts w:ascii="宋体" w:hAnsi="宋体" w:cs="宋体"/>
          <w:b/>
          <w:kern w:val="28"/>
        </w:rPr>
        <w:t xml:space="preserve">22条 </w:t>
      </w:r>
      <w:r>
        <w:rPr>
          <w:rFonts w:hint="eastAsia" w:ascii="宋体" w:hAnsi="宋体" w:cs="宋体"/>
          <w:b/>
          <w:kern w:val="28"/>
        </w:rPr>
        <w:t>竣工结算</w:t>
      </w:r>
      <w:bookmarkEnd w:id="232"/>
    </w:p>
    <w:p>
      <w:pPr>
        <w:spacing w:line="440" w:lineRule="exact"/>
        <w:ind w:firstLine="480"/>
        <w:rPr>
          <w:rFonts w:ascii="宋体" w:hAnsi="宋体" w:cs="宋体"/>
          <w:u w:val="single"/>
        </w:rPr>
      </w:pPr>
      <w:r>
        <w:rPr>
          <w:rFonts w:hint="eastAsia" w:ascii="宋体" w:hAnsi="宋体" w:cs="宋体"/>
        </w:rPr>
        <w:t>22.1 竣工结算资料：由承包人按相关要求负责编制，发包人审核。</w:t>
      </w:r>
    </w:p>
    <w:p>
      <w:pPr>
        <w:spacing w:before="240" w:after="60" w:line="440" w:lineRule="exact"/>
        <w:ind w:firstLine="422" w:firstLineChars="200"/>
        <w:jc w:val="left"/>
        <w:outlineLvl w:val="1"/>
        <w:rPr>
          <w:rFonts w:ascii="宋体" w:hAnsi="宋体" w:cs="宋体"/>
          <w:b/>
          <w:kern w:val="28"/>
        </w:rPr>
      </w:pPr>
      <w:bookmarkStart w:id="233" w:name="_Toc84265652"/>
      <w:r>
        <w:rPr>
          <w:rFonts w:hint="eastAsia" w:ascii="宋体" w:hAnsi="宋体" w:cs="宋体"/>
          <w:b/>
          <w:kern w:val="28"/>
        </w:rPr>
        <w:t>第23条 工程分包</w:t>
      </w:r>
      <w:bookmarkEnd w:id="233"/>
    </w:p>
    <w:p>
      <w:pPr>
        <w:spacing w:line="440" w:lineRule="exact"/>
        <w:ind w:firstLine="480"/>
        <w:rPr>
          <w:rFonts w:ascii="宋体" w:hAnsi="宋体" w:cs="宋体"/>
        </w:rPr>
      </w:pPr>
      <w:r>
        <w:rPr>
          <w:rFonts w:hint="eastAsia" w:ascii="宋体" w:hAnsi="宋体" w:cs="宋体"/>
        </w:rPr>
        <w:t>23.1 承包人不得将其承包的全部工程转包给第三人。</w:t>
      </w:r>
    </w:p>
    <w:p>
      <w:pPr>
        <w:spacing w:line="440" w:lineRule="exact"/>
        <w:ind w:firstLine="480"/>
        <w:rPr>
          <w:rFonts w:ascii="宋体" w:hAnsi="宋体" w:cs="宋体"/>
        </w:rPr>
      </w:pPr>
      <w:r>
        <w:rPr>
          <w:rFonts w:hint="eastAsia" w:ascii="宋体" w:hAnsi="宋体" w:cs="宋体"/>
        </w:rPr>
        <w:t>23.2 因行业有特殊管理规定的，可依相关规定分包。</w:t>
      </w:r>
    </w:p>
    <w:p>
      <w:pPr>
        <w:spacing w:line="440" w:lineRule="exact"/>
        <w:ind w:firstLine="480"/>
        <w:rPr>
          <w:rFonts w:ascii="宋体" w:hAnsi="宋体"/>
        </w:rPr>
      </w:pPr>
      <w:r>
        <w:rPr>
          <w:rFonts w:hint="eastAsia" w:ascii="宋体" w:hAnsi="宋体" w:cs="宋体"/>
        </w:rPr>
        <w:t>23.3 承包人与分包单位签订分包合同，要明确双方职责，分包合同不能解除承包人对工程质量和竣工交付使用应承担的义务和责任。分包单位的任何违约或疏忽，均应视为承包人的违约或疏忽。分包合同与本合同发生抵触时，以本合同为准。</w:t>
      </w:r>
    </w:p>
    <w:p>
      <w:pPr>
        <w:spacing w:before="240" w:after="60" w:line="440" w:lineRule="exact"/>
        <w:ind w:firstLine="422" w:firstLineChars="200"/>
        <w:jc w:val="left"/>
        <w:outlineLvl w:val="1"/>
        <w:rPr>
          <w:rFonts w:ascii="宋体" w:hAnsi="宋体" w:cs="宋体"/>
          <w:b/>
          <w:kern w:val="28"/>
        </w:rPr>
      </w:pPr>
      <w:bookmarkStart w:id="234" w:name="_Toc84265653"/>
      <w:r>
        <w:rPr>
          <w:rFonts w:hint="eastAsia" w:ascii="宋体" w:hAnsi="宋体" w:cs="宋体"/>
          <w:b/>
          <w:kern w:val="28"/>
        </w:rPr>
        <w:t>第24 条 安全施工</w:t>
      </w:r>
      <w:bookmarkEnd w:id="234"/>
    </w:p>
    <w:p>
      <w:pPr>
        <w:spacing w:line="440" w:lineRule="exact"/>
        <w:ind w:firstLine="480"/>
        <w:rPr>
          <w:rFonts w:ascii="宋体" w:hAnsi="宋体" w:cs="宋体"/>
        </w:rPr>
      </w:pPr>
      <w:r>
        <w:rPr>
          <w:rFonts w:hint="eastAsia" w:ascii="宋体" w:hAnsi="宋体" w:cs="宋体"/>
        </w:rPr>
        <w:t>24.1 承包人应严格执行国家有关安全生产的法律、法规，严格执行天津市和地方政府各项安全生产的规章制度。</w:t>
      </w:r>
    </w:p>
    <w:p>
      <w:pPr>
        <w:spacing w:line="440" w:lineRule="exact"/>
        <w:ind w:firstLine="480"/>
        <w:rPr>
          <w:rFonts w:ascii="宋体" w:hAnsi="宋体" w:cs="宋体"/>
        </w:rPr>
      </w:pPr>
      <w:r>
        <w:rPr>
          <w:rFonts w:hint="eastAsia" w:ascii="宋体" w:hAnsi="宋体" w:cs="宋体"/>
        </w:rPr>
        <w:t>24.2 承包人应在建立安全管理网络，制定和完善施工安全实施细则和各项安全管理制度。</w:t>
      </w:r>
    </w:p>
    <w:p>
      <w:pPr>
        <w:spacing w:line="440" w:lineRule="exact"/>
        <w:ind w:firstLine="480"/>
        <w:rPr>
          <w:rFonts w:ascii="宋体" w:hAnsi="宋体" w:cs="宋体"/>
        </w:rPr>
      </w:pPr>
      <w:r>
        <w:rPr>
          <w:rFonts w:hint="eastAsia" w:ascii="宋体" w:hAnsi="宋体" w:cs="宋体"/>
        </w:rPr>
        <w:t>24.3 承包人应加强对从业人员的安全教育和管理。开工前应举办专门的施工安全学习班，对其进行电力等施工基本常识、安全操作规程和职业道德、法制教育，未经安全教育培训并考试合格，不得从事有关施工作业。</w:t>
      </w:r>
    </w:p>
    <w:p>
      <w:pPr>
        <w:spacing w:line="440" w:lineRule="exact"/>
        <w:ind w:firstLine="480"/>
        <w:rPr>
          <w:rFonts w:ascii="宋体" w:hAnsi="宋体" w:cs="宋体"/>
        </w:rPr>
      </w:pPr>
      <w:r>
        <w:rPr>
          <w:rFonts w:hint="eastAsia" w:ascii="宋体" w:hAnsi="宋体" w:cs="宋体"/>
        </w:rPr>
        <w:t>23.4 监理人员是对工地安全、质量负有监督责任的管理人员，承包人应服从其在安全、质量方面的监督检查，认真落实监理人员的安全检查意见，监理单位在授权范围内有权对承包人的违规行为进行处罚。</w:t>
      </w:r>
    </w:p>
    <w:p>
      <w:pPr>
        <w:spacing w:line="440" w:lineRule="exact"/>
        <w:ind w:firstLine="480"/>
        <w:rPr>
          <w:rFonts w:ascii="宋体" w:hAnsi="宋体" w:cs="宋体"/>
        </w:rPr>
      </w:pPr>
      <w:r>
        <w:rPr>
          <w:rFonts w:hint="eastAsia" w:ascii="宋体" w:hAnsi="宋体" w:cs="宋体"/>
        </w:rPr>
        <w:t>24.5 设备管理单位派驻工地的安全监督员是为保证施工和设备安全的安全监督人员，承包人应严格遵守签订的施工安全协议，接受检查监督，保证施工安全。</w:t>
      </w:r>
    </w:p>
    <w:p>
      <w:pPr>
        <w:spacing w:line="440" w:lineRule="exact"/>
        <w:ind w:firstLine="480"/>
        <w:rPr>
          <w:rFonts w:ascii="宋体" w:hAnsi="宋体" w:cs="宋体"/>
        </w:rPr>
      </w:pPr>
      <w:r>
        <w:rPr>
          <w:rFonts w:hint="eastAsia" w:ascii="宋体" w:hAnsi="宋体" w:cs="宋体"/>
        </w:rPr>
        <w:t>24.6 承包人应加强对聘用的施工人员和其他工作人员的安全生产教育，杜绝安全事故的发生。本合同履行过程中若承包人的工作人员发生安全事故或遭受人身财产损害的，相应的责任和费用应由承包人承担。如在本合同履行过程中承包人的工作人员、设备或承包人完成的工作成果造成其他任何第三方人身财产损害的，相应的责任和费用由承包人承担，给发包人造成损失的，承包人应予以赔偿（包括但不限于发包人向第三方支付的费用及发包人维护权利支出的规定范围内的律师费、诉讼费等），并及时报告相关部门。</w:t>
      </w:r>
    </w:p>
    <w:p>
      <w:pPr>
        <w:spacing w:line="440" w:lineRule="exact"/>
        <w:ind w:firstLine="480"/>
        <w:rPr>
          <w:rFonts w:ascii="宋体" w:hAnsi="宋体" w:cs="宋体"/>
        </w:rPr>
      </w:pPr>
      <w:r>
        <w:rPr>
          <w:rFonts w:hint="eastAsia" w:ascii="宋体" w:hAnsi="宋体" w:cs="宋体"/>
        </w:rPr>
        <w:t>24.7 承包人安全管理不严，措施不力，多次造成事故和严重事故苗头，发包人将予以全线通报批评，造成重大事故，发包人有权终止其合同，由此造成的损失由承包人自行承担。</w:t>
      </w:r>
    </w:p>
    <w:p>
      <w:pPr>
        <w:spacing w:before="240" w:after="60" w:line="440" w:lineRule="exact"/>
        <w:ind w:firstLine="422" w:firstLineChars="200"/>
        <w:jc w:val="left"/>
        <w:outlineLvl w:val="1"/>
        <w:rPr>
          <w:rFonts w:ascii="宋体" w:hAnsi="宋体" w:cs="宋体"/>
          <w:b/>
          <w:kern w:val="28"/>
        </w:rPr>
      </w:pPr>
      <w:bookmarkStart w:id="235" w:name="_Toc84265654"/>
      <w:r>
        <w:rPr>
          <w:rFonts w:hint="eastAsia" w:ascii="宋体" w:hAnsi="宋体" w:cs="宋体"/>
          <w:b/>
          <w:kern w:val="28"/>
        </w:rPr>
        <w:t>第25 条 不可抗力</w:t>
      </w:r>
      <w:bookmarkEnd w:id="235"/>
    </w:p>
    <w:p>
      <w:pPr>
        <w:spacing w:line="440" w:lineRule="exact"/>
        <w:ind w:firstLine="480"/>
        <w:rPr>
          <w:rFonts w:ascii="宋体" w:hAnsi="宋体" w:cs="宋体"/>
        </w:rPr>
      </w:pPr>
      <w:r>
        <w:rPr>
          <w:rFonts w:hint="eastAsia" w:ascii="宋体" w:hAnsi="宋体" w:cs="宋体"/>
        </w:rPr>
        <w:t>25.1所谓不可抗力，是指合同订立时不能预见、不能避免并不能克服的客观情况。包括重大的自然灾害（如台风、地震、洪水、冰雹、</w:t>
      </w:r>
      <w:r>
        <w:rPr>
          <w:rFonts w:ascii="宋体" w:hAnsi="宋体" w:cs="宋体"/>
        </w:rPr>
        <w:t>海啸、</w:t>
      </w:r>
      <w:r>
        <w:rPr>
          <w:rFonts w:hint="eastAsia" w:ascii="宋体" w:hAnsi="宋体" w:cs="宋体"/>
        </w:rPr>
        <w:t>泥石流、火山喷发）；社会异常事件（如罢工、骚乱</w:t>
      </w:r>
      <w:r>
        <w:rPr>
          <w:rFonts w:ascii="宋体" w:hAnsi="宋体" w:cs="宋体"/>
        </w:rPr>
        <w:t>、暴动、战争</w:t>
      </w:r>
      <w:r>
        <w:rPr>
          <w:rFonts w:hint="eastAsia" w:ascii="宋体" w:hAnsi="宋体" w:cs="宋体"/>
        </w:rPr>
        <w:t>）等方面。</w:t>
      </w:r>
    </w:p>
    <w:p>
      <w:pPr>
        <w:spacing w:line="440" w:lineRule="exact"/>
        <w:ind w:firstLine="480"/>
        <w:rPr>
          <w:rFonts w:ascii="宋体" w:hAnsi="宋体" w:cs="宋体"/>
        </w:rPr>
      </w:pPr>
      <w:r>
        <w:rPr>
          <w:rFonts w:hint="eastAsia" w:ascii="宋体" w:hAnsi="宋体" w:cs="宋体"/>
        </w:rPr>
        <w:t>25.2不可抗力发生后，承包人应迅速采取措施，尽力减少损失，并在24 小时内向发包人代表及监理单位通报受害情况，发包人、监理单位和相关单位应及时赴施工现场进行处理。承包人应及时向发包人报告损失情况和清理、修复费用。</w:t>
      </w:r>
    </w:p>
    <w:p>
      <w:pPr>
        <w:spacing w:before="240" w:after="60" w:line="440" w:lineRule="exact"/>
        <w:ind w:firstLine="422" w:firstLineChars="200"/>
        <w:jc w:val="left"/>
        <w:outlineLvl w:val="1"/>
        <w:rPr>
          <w:rFonts w:ascii="宋体" w:hAnsi="宋体" w:cs="宋体"/>
          <w:b/>
          <w:kern w:val="28"/>
        </w:rPr>
      </w:pPr>
      <w:bookmarkStart w:id="236" w:name="_Toc84265655"/>
      <w:r>
        <w:rPr>
          <w:rFonts w:hint="eastAsia" w:ascii="宋体" w:hAnsi="宋体" w:cs="宋体"/>
          <w:b/>
          <w:kern w:val="28"/>
        </w:rPr>
        <w:t>第26 条 违约</w:t>
      </w:r>
      <w:bookmarkEnd w:id="236"/>
    </w:p>
    <w:p>
      <w:pPr>
        <w:spacing w:line="440" w:lineRule="exact"/>
        <w:ind w:firstLine="480"/>
        <w:rPr>
          <w:rFonts w:ascii="宋体" w:hAnsi="宋体" w:cs="宋体"/>
        </w:rPr>
      </w:pPr>
      <w:r>
        <w:rPr>
          <w:rFonts w:hint="eastAsia" w:ascii="宋体" w:hAnsi="宋体" w:cs="宋体"/>
        </w:rPr>
        <w:t>26.1 发包人的违约责任</w:t>
      </w:r>
    </w:p>
    <w:p>
      <w:pPr>
        <w:spacing w:line="440" w:lineRule="exact"/>
        <w:ind w:firstLine="480"/>
        <w:rPr>
          <w:rFonts w:ascii="宋体" w:hAnsi="宋体" w:cs="宋体"/>
        </w:rPr>
      </w:pPr>
      <w:r>
        <w:rPr>
          <w:rFonts w:hint="eastAsia" w:ascii="宋体" w:hAnsi="宋体" w:cs="宋体"/>
        </w:rPr>
        <w:t>26.1.1 因发包人责任而造成工程延期的，合同工期顺延。视情况对承包人因工程延期造成的经济损失给予费用补偿。</w:t>
      </w:r>
    </w:p>
    <w:p>
      <w:pPr>
        <w:spacing w:line="440" w:lineRule="exact"/>
        <w:ind w:firstLine="420" w:firstLineChars="200"/>
        <w:rPr>
          <w:rFonts w:ascii="宋体" w:hAnsi="宋体"/>
          <w:snapToGrid w:val="0"/>
          <w:kern w:val="0"/>
        </w:rPr>
      </w:pPr>
      <w:r>
        <w:rPr>
          <w:rFonts w:hint="eastAsia" w:ascii="宋体" w:hAnsi="宋体" w:cs="宋体"/>
        </w:rPr>
        <w:t>26.1.2 发包人</w:t>
      </w:r>
      <w:r>
        <w:rPr>
          <w:rFonts w:ascii="宋体" w:hAnsi="宋体" w:cs="宋体"/>
        </w:rPr>
        <w:t>未能按照</w:t>
      </w:r>
      <w:r>
        <w:rPr>
          <w:rFonts w:hint="eastAsia" w:ascii="宋体" w:hAnsi="宋体" w:cs="宋体"/>
        </w:rPr>
        <w:t>合同约定及时支付价款的，承包人可向发包人发出通知，要求发包人及时办理款项审批和拨付。发包人收到承包人通知后的28天内仍不履行合同义务，承包人有权暂停施工，并要求发包人</w:t>
      </w:r>
      <w:r>
        <w:rPr>
          <w:rFonts w:ascii="宋体" w:hAnsi="宋体" w:cs="宋体"/>
        </w:rPr>
        <w:t>向</w:t>
      </w:r>
      <w:r>
        <w:rPr>
          <w:rFonts w:hint="eastAsia" w:ascii="宋体" w:hAnsi="宋体" w:cs="宋体"/>
        </w:rPr>
        <w:t>承包人</w:t>
      </w:r>
      <w:r>
        <w:rPr>
          <w:rFonts w:ascii="宋体" w:hAnsi="宋体" w:cs="宋体"/>
        </w:rPr>
        <w:t>支付滞纳金。滞纳金应从规定支付期限最后一日次日起计算，并按当期中国人民银行公布的人民币短期贷款利率计算</w:t>
      </w:r>
      <w:r>
        <w:rPr>
          <w:rFonts w:hint="eastAsia" w:ascii="宋体" w:hAnsi="宋体" w:cs="宋体"/>
        </w:rPr>
        <w:t>（非主观原因和不可抗力因素除外）。</w:t>
      </w:r>
    </w:p>
    <w:p>
      <w:pPr>
        <w:spacing w:line="440" w:lineRule="exact"/>
        <w:ind w:firstLine="480"/>
        <w:rPr>
          <w:rFonts w:ascii="宋体" w:hAnsi="宋体" w:cs="宋体"/>
        </w:rPr>
      </w:pPr>
      <w:r>
        <w:rPr>
          <w:rFonts w:hint="eastAsia" w:ascii="宋体" w:hAnsi="宋体" w:cs="宋体"/>
        </w:rPr>
        <w:t>26.2 承包人的违约责任</w:t>
      </w:r>
    </w:p>
    <w:p>
      <w:pPr>
        <w:spacing w:line="440" w:lineRule="exact"/>
        <w:ind w:firstLine="480"/>
        <w:rPr>
          <w:rFonts w:ascii="宋体" w:hAnsi="宋体" w:cs="宋体"/>
        </w:rPr>
      </w:pPr>
      <w:r>
        <w:rPr>
          <w:rFonts w:ascii="宋体" w:hAnsi="宋体" w:cs="宋体"/>
        </w:rPr>
        <w:t xml:space="preserve">26.2.1 </w:t>
      </w:r>
      <w:r>
        <w:rPr>
          <w:rFonts w:hint="eastAsia" w:ascii="宋体" w:hAnsi="宋体" w:cs="宋体"/>
        </w:rPr>
        <w:t>因承包人原因，不能按双方约定的期限，完成与产权单位签订迁改方案协议，原则上每延期一项迁改方案协议支付违约金</w:t>
      </w:r>
      <w:r>
        <w:rPr>
          <w:rFonts w:ascii="宋体" w:hAnsi="宋体" w:cs="宋体"/>
        </w:rPr>
        <w:t>1万元</w:t>
      </w:r>
      <w:r>
        <w:rPr>
          <w:rFonts w:hint="eastAsia" w:ascii="宋体" w:hAnsi="宋体" w:cs="宋体"/>
        </w:rPr>
        <w:t>（非主观原因和不可抗力因素除外）</w:t>
      </w:r>
      <w:r>
        <w:rPr>
          <w:rFonts w:ascii="宋体" w:hAnsi="宋体" w:cs="宋体"/>
        </w:rPr>
        <w:t>。</w:t>
      </w:r>
    </w:p>
    <w:p>
      <w:pPr>
        <w:spacing w:line="440" w:lineRule="exact"/>
        <w:ind w:firstLine="480"/>
        <w:rPr>
          <w:rFonts w:ascii="宋体" w:hAnsi="宋体" w:cs="宋体"/>
        </w:rPr>
      </w:pPr>
      <w:r>
        <w:rPr>
          <w:rFonts w:hint="eastAsia" w:ascii="宋体" w:hAnsi="宋体" w:cs="宋体"/>
        </w:rPr>
        <w:t>26.2.2 施工质量达不到设计和规范要求的，发包人有权要求承包人返工或返修，其费用由承包人承担，影响工期的，由承包人承担违约责任。</w:t>
      </w:r>
    </w:p>
    <w:p>
      <w:pPr>
        <w:spacing w:line="440" w:lineRule="exact"/>
        <w:ind w:firstLine="480"/>
        <w:rPr>
          <w:rFonts w:ascii="宋体" w:hAnsi="宋体" w:cs="宋体"/>
        </w:rPr>
      </w:pPr>
      <w:r>
        <w:rPr>
          <w:rFonts w:hint="eastAsia" w:ascii="宋体" w:hAnsi="宋体" w:cs="宋体"/>
        </w:rPr>
        <w:t>26.2.3 承包人发生安全质量事故，或发生严重质量问题，发包人有权要求承包人整改，若承包人未按发包人要求整改，发包人有权提出解除合同或部分解除合同，由此造成的经济损失，由承包人承担。</w:t>
      </w:r>
    </w:p>
    <w:p>
      <w:pPr>
        <w:spacing w:line="440" w:lineRule="exact"/>
        <w:ind w:firstLine="480"/>
        <w:rPr>
          <w:rFonts w:ascii="宋体" w:hAnsi="宋体" w:cs="宋体"/>
        </w:rPr>
      </w:pPr>
      <w:r>
        <w:rPr>
          <w:rFonts w:hint="eastAsia" w:ascii="宋体" w:hAnsi="宋体" w:cs="宋体"/>
        </w:rPr>
        <w:t>26.3违约处理</w:t>
      </w:r>
    </w:p>
    <w:p>
      <w:pPr>
        <w:spacing w:line="440" w:lineRule="exact"/>
        <w:ind w:firstLine="480"/>
        <w:rPr>
          <w:rFonts w:ascii="宋体" w:hAnsi="宋体" w:cs="宋体"/>
        </w:rPr>
      </w:pPr>
      <w:r>
        <w:rPr>
          <w:rFonts w:hint="eastAsia" w:ascii="宋体" w:hAnsi="宋体" w:cs="宋体"/>
        </w:rPr>
        <w:t>一方违约使合同不能继续履行的，另一方可以提出终止或解除合同，但必须以书面形式提前14 天通知对方。当合同终止或解除时，承包人应在30 天内保护好施工现场。因承包人保管不善而造成工程损失的，由承包人承担责任。如因一方违约而未能履行合同的，违约方在承担违约责任后，仍应继续履行合同。</w:t>
      </w:r>
    </w:p>
    <w:p>
      <w:pPr>
        <w:spacing w:before="240" w:after="60" w:line="440" w:lineRule="exact"/>
        <w:ind w:firstLine="422" w:firstLineChars="200"/>
        <w:jc w:val="left"/>
        <w:outlineLvl w:val="1"/>
        <w:rPr>
          <w:rFonts w:ascii="宋体" w:hAnsi="宋体" w:cs="宋体"/>
          <w:b/>
          <w:kern w:val="28"/>
        </w:rPr>
      </w:pPr>
      <w:bookmarkStart w:id="237" w:name="_Toc84265656"/>
      <w:r>
        <w:rPr>
          <w:rFonts w:hint="eastAsia" w:ascii="宋体" w:hAnsi="宋体" w:cs="宋体"/>
          <w:b/>
          <w:kern w:val="28"/>
        </w:rPr>
        <w:t>第27条 争议解决</w:t>
      </w:r>
      <w:bookmarkEnd w:id="237"/>
    </w:p>
    <w:p>
      <w:pPr>
        <w:spacing w:line="440" w:lineRule="exact"/>
        <w:ind w:firstLine="480"/>
        <w:rPr>
          <w:rFonts w:ascii="宋体" w:hAnsi="宋体" w:cs="宋体"/>
        </w:rPr>
      </w:pPr>
      <w:r>
        <w:rPr>
          <w:rFonts w:hint="eastAsia" w:ascii="宋体" w:hAnsi="宋体" w:cs="宋体"/>
        </w:rPr>
        <w:t>因执行本合同所发生的或与本合同有关的一切争议，双方应通过友好协商解决。如果协商不成，任何一方均可向项目所在地人民法院提请诉讼解决。</w:t>
      </w:r>
    </w:p>
    <w:p>
      <w:pPr>
        <w:spacing w:before="240" w:after="60" w:line="440" w:lineRule="exact"/>
        <w:ind w:firstLine="422" w:firstLineChars="200"/>
        <w:jc w:val="left"/>
        <w:outlineLvl w:val="1"/>
        <w:rPr>
          <w:rFonts w:ascii="宋体" w:hAnsi="宋体" w:cs="宋体"/>
          <w:b/>
          <w:kern w:val="28"/>
        </w:rPr>
      </w:pPr>
      <w:bookmarkStart w:id="238" w:name="_Toc84265657"/>
      <w:r>
        <w:rPr>
          <w:rFonts w:hint="eastAsia" w:ascii="宋体" w:hAnsi="宋体" w:cs="宋体"/>
          <w:b/>
          <w:kern w:val="28"/>
        </w:rPr>
        <w:t>第28条 送达</w:t>
      </w:r>
      <w:bookmarkEnd w:id="238"/>
    </w:p>
    <w:p>
      <w:pPr>
        <w:spacing w:line="440" w:lineRule="exact"/>
        <w:ind w:firstLine="480"/>
        <w:rPr>
          <w:rFonts w:ascii="宋体" w:hAnsi="宋体" w:cs="宋体"/>
        </w:rPr>
      </w:pPr>
      <w:r>
        <w:rPr>
          <w:rFonts w:hint="eastAsia" w:ascii="宋体" w:hAnsi="宋体" w:cs="宋体"/>
        </w:rPr>
        <w:t>发包人指定如下地址：为接受本合同项下文件资料的地址；</w:t>
      </w:r>
    </w:p>
    <w:p>
      <w:pPr>
        <w:spacing w:line="440" w:lineRule="exact"/>
        <w:ind w:firstLine="480"/>
        <w:rPr>
          <w:rFonts w:ascii="宋体" w:hAnsi="宋体" w:cs="宋体"/>
        </w:rPr>
      </w:pPr>
      <w:r>
        <w:rPr>
          <w:rFonts w:hint="eastAsia" w:ascii="宋体" w:hAnsi="宋体" w:cs="宋体"/>
        </w:rPr>
        <w:t>承包人指定如下地址</w:t>
      </w:r>
      <w:bookmarkStart w:id="239" w:name="_Hlk83630697"/>
      <w:r>
        <w:rPr>
          <w:rFonts w:hint="eastAsia" w:ascii="宋体" w:hAnsi="宋体" w:cs="宋体"/>
        </w:rPr>
        <w:t>：</w:t>
      </w:r>
      <w:bookmarkEnd w:id="239"/>
      <w:r>
        <w:rPr>
          <w:rFonts w:hint="eastAsia" w:ascii="宋体" w:hAnsi="宋体" w:cs="宋体"/>
        </w:rPr>
        <w:t>为接受本合同项下文件资料的地址。</w:t>
      </w:r>
    </w:p>
    <w:p>
      <w:pPr>
        <w:spacing w:line="440" w:lineRule="exact"/>
        <w:ind w:firstLine="420" w:firstLineChars="200"/>
        <w:rPr>
          <w:rFonts w:ascii="宋体" w:hAnsi="宋体" w:cs="宋体"/>
        </w:rPr>
      </w:pPr>
      <w:r>
        <w:rPr>
          <w:rFonts w:hint="eastAsia" w:ascii="宋体" w:hAnsi="宋体" w:cs="宋体"/>
        </w:rPr>
        <w:t xml:space="preserve">双方因履行本合同而相互发出或者提供的所有通知、文件、资料，均应送到上述地址。当面交付的，在交付之时视为送达；通过中国邮政EMS特快专递邮寄交付的，无论是否被签收，自寄出之日起第三日即视为送达。上述约定通知联系方式发生变更的，应自变更之日起三日内，以书面形式通知其他方，否则，由未通知方承担由此而引起的相关责任。 </w:t>
      </w:r>
    </w:p>
    <w:p>
      <w:pPr>
        <w:spacing w:before="240" w:after="60" w:line="440" w:lineRule="exact"/>
        <w:ind w:firstLine="422" w:firstLineChars="200"/>
        <w:jc w:val="left"/>
        <w:outlineLvl w:val="1"/>
        <w:rPr>
          <w:rFonts w:ascii="宋体" w:hAnsi="宋体" w:cs="宋体"/>
          <w:b/>
          <w:kern w:val="28"/>
        </w:rPr>
      </w:pPr>
      <w:bookmarkStart w:id="240" w:name="_Toc84265658"/>
      <w:r>
        <w:rPr>
          <w:rFonts w:hint="eastAsia" w:ascii="宋体" w:hAnsi="宋体" w:cs="宋体"/>
          <w:b/>
          <w:kern w:val="28"/>
        </w:rPr>
        <w:t>第29 条 合同生效与终止</w:t>
      </w:r>
      <w:bookmarkEnd w:id="240"/>
    </w:p>
    <w:p>
      <w:pPr>
        <w:spacing w:line="440" w:lineRule="exact"/>
        <w:ind w:firstLine="480"/>
        <w:rPr>
          <w:rFonts w:ascii="宋体" w:hAnsi="宋体" w:cs="宋体"/>
        </w:rPr>
      </w:pPr>
      <w:r>
        <w:rPr>
          <w:rFonts w:hint="eastAsia" w:ascii="宋体" w:hAnsi="宋体" w:cs="宋体"/>
        </w:rPr>
        <w:t>合同正本份，双方各份。副本份，发包人份，承包人份。本合同自双方签章之日起生效。工程正式验交且质量保修期满后，相关合同费用支付完毕即告终止。</w:t>
      </w:r>
    </w:p>
    <w:p>
      <w:pPr>
        <w:spacing w:before="240" w:after="60" w:line="440" w:lineRule="exact"/>
        <w:ind w:firstLine="422" w:firstLineChars="200"/>
        <w:jc w:val="left"/>
        <w:outlineLvl w:val="1"/>
        <w:rPr>
          <w:rFonts w:ascii="宋体" w:hAnsi="宋体" w:cs="宋体"/>
          <w:b/>
          <w:kern w:val="28"/>
        </w:rPr>
      </w:pPr>
      <w:bookmarkStart w:id="241" w:name="_Toc84265659"/>
      <w:r>
        <w:rPr>
          <w:rFonts w:hint="eastAsia" w:ascii="宋体" w:hAnsi="宋体" w:cs="宋体"/>
          <w:b/>
          <w:kern w:val="28"/>
        </w:rPr>
        <w:t>第30 条 其他</w:t>
      </w:r>
      <w:bookmarkEnd w:id="241"/>
    </w:p>
    <w:p>
      <w:pPr>
        <w:spacing w:line="440" w:lineRule="exact"/>
        <w:ind w:firstLine="480"/>
        <w:rPr>
          <w:rFonts w:ascii="宋体" w:hAnsi="宋体" w:cs="宋体"/>
        </w:rPr>
      </w:pPr>
      <w:r>
        <w:rPr>
          <w:rFonts w:hint="eastAsia" w:ascii="宋体" w:hAnsi="宋体" w:cs="宋体"/>
        </w:rPr>
        <w:t>本合同未尽事宜，双方可签订补充协议，补充协议与本合同具有同等的法律效力。经双方确认的电报、会议纪要、图表都是合同的组成部分。</w:t>
      </w:r>
    </w:p>
    <w:p>
      <w:pPr>
        <w:spacing w:line="440" w:lineRule="exact"/>
        <w:ind w:firstLine="480"/>
        <w:rPr>
          <w:rFonts w:ascii="宋体" w:hAnsi="宋体" w:cs="宋体"/>
        </w:rPr>
      </w:pPr>
      <w:r>
        <w:rPr>
          <w:rFonts w:hint="eastAsia" w:ascii="宋体" w:hAnsi="宋体" w:cs="宋体"/>
        </w:rPr>
        <w:t>本合同附件目录附表是本合同不可缺少的组成部分。</w:t>
      </w:r>
    </w:p>
    <w:p>
      <w:pPr>
        <w:pStyle w:val="9"/>
        <w:spacing w:line="440" w:lineRule="exact"/>
        <w:rPr>
          <w:rFonts w:ascii="宋体" w:hAnsi="宋体" w:eastAsia="宋体"/>
        </w:rPr>
      </w:pPr>
    </w:p>
    <w:p>
      <w:pPr>
        <w:spacing w:line="440" w:lineRule="exact"/>
        <w:ind w:firstLine="482"/>
        <w:rPr>
          <w:rFonts w:ascii="宋体" w:hAnsi="宋体" w:cs="宋体"/>
        </w:rPr>
      </w:pPr>
      <w:r>
        <w:rPr>
          <w:rFonts w:hint="eastAsia" w:ascii="宋体" w:hAnsi="宋体" w:cs="宋体"/>
        </w:rPr>
        <w:t>附件一：履约保函格式</w:t>
      </w:r>
    </w:p>
    <w:p>
      <w:pPr>
        <w:spacing w:line="440" w:lineRule="exact"/>
        <w:ind w:firstLine="482"/>
        <w:rPr>
          <w:rFonts w:ascii="宋体" w:hAnsi="宋体" w:cs="宋体"/>
        </w:rPr>
      </w:pPr>
      <w:r>
        <w:rPr>
          <w:rFonts w:hint="eastAsia" w:ascii="宋体" w:hAnsi="宋体" w:cs="宋体"/>
        </w:rPr>
        <w:t>附件二：廉政责任书</w:t>
      </w:r>
    </w:p>
    <w:p>
      <w:pPr>
        <w:spacing w:line="440" w:lineRule="exact"/>
        <w:ind w:firstLine="482"/>
        <w:rPr>
          <w:rFonts w:ascii="宋体" w:hAnsi="宋体" w:cs="宋体"/>
        </w:rPr>
      </w:pPr>
      <w:r>
        <w:rPr>
          <w:rFonts w:hint="eastAsia" w:ascii="宋体" w:hAnsi="宋体" w:cs="宋体"/>
        </w:rPr>
        <w:t>附件三：安全生产协议书</w:t>
      </w:r>
    </w:p>
    <w:p>
      <w:pPr>
        <w:spacing w:line="440" w:lineRule="exact"/>
        <w:ind w:firstLine="482"/>
        <w:rPr>
          <w:rFonts w:ascii="宋体" w:hAnsi="宋体" w:cs="宋体"/>
        </w:rPr>
      </w:pPr>
      <w:r>
        <w:rPr>
          <w:rFonts w:hint="eastAsia" w:ascii="宋体" w:hAnsi="宋体" w:cs="宋体"/>
        </w:rPr>
        <w:t>附件四：已标价工点清单</w:t>
      </w:r>
    </w:p>
    <w:p>
      <w:pPr>
        <w:spacing w:line="420" w:lineRule="exact"/>
        <w:ind w:firstLine="480"/>
        <w:rPr>
          <w:rFonts w:ascii="宋体" w:hAnsi="宋体" w:cs="宋体"/>
        </w:rPr>
      </w:pPr>
    </w:p>
    <w:p>
      <w:pPr>
        <w:spacing w:line="420" w:lineRule="exact"/>
        <w:ind w:firstLine="480"/>
      </w:pPr>
      <w:r>
        <w:rPr>
          <w:rFonts w:hint="eastAsia" w:ascii="宋体" w:hAnsi="宋体" w:cs="宋体"/>
        </w:rPr>
        <w:t>以下无正文</w:t>
      </w:r>
    </w:p>
    <w:p>
      <w:r>
        <w:br w:type="page"/>
      </w:r>
    </w:p>
    <w:tbl>
      <w:tblPr>
        <w:tblStyle w:val="37"/>
        <w:tblW w:w="8522" w:type="dxa"/>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2543" w:hRule="atLeast"/>
        </w:trPr>
        <w:tc>
          <w:tcPr>
            <w:tcW w:w="4261" w:type="dxa"/>
            <w:tcBorders>
              <w:tl2br w:val="nil"/>
              <w:tr2bl w:val="nil"/>
            </w:tcBorders>
            <w:shd w:val="clear" w:color="auto" w:fill="auto"/>
          </w:tcPr>
          <w:p>
            <w:pPr>
              <w:spacing w:line="420" w:lineRule="exact"/>
              <w:rPr>
                <w:rFonts w:ascii="宋体" w:hAnsi="宋体"/>
              </w:rPr>
            </w:pPr>
            <w:r>
              <w:br w:type="page"/>
            </w:r>
            <w:r>
              <w:rPr>
                <w:bCs/>
                <w:snapToGrid w:val="0"/>
              </w:rPr>
              <w:br w:type="page"/>
            </w:r>
          </w:p>
          <w:p>
            <w:pPr>
              <w:spacing w:line="420" w:lineRule="exact"/>
              <w:rPr>
                <w:rFonts w:ascii="宋体" w:hAnsi="宋体"/>
              </w:rPr>
            </w:pPr>
          </w:p>
          <w:p>
            <w:pPr>
              <w:spacing w:line="420" w:lineRule="exact"/>
              <w:rPr>
                <w:rFonts w:ascii="宋体" w:hAnsi="宋体"/>
              </w:rPr>
            </w:pPr>
            <w:r>
              <w:rPr>
                <w:rFonts w:hint="eastAsia" w:ascii="宋体" w:hAnsi="宋体"/>
              </w:rPr>
              <w:t>发包人</w:t>
            </w:r>
          </w:p>
          <w:p>
            <w:pPr>
              <w:spacing w:line="420" w:lineRule="exact"/>
              <w:rPr>
                <w:rFonts w:ascii="宋体" w:hAnsi="宋体"/>
              </w:rPr>
            </w:pPr>
          </w:p>
          <w:p>
            <w:pPr>
              <w:spacing w:line="420" w:lineRule="exact"/>
            </w:pPr>
            <w:r>
              <w:rPr>
                <w:rFonts w:hint="eastAsia" w:ascii="宋体" w:hAnsi="宋体"/>
              </w:rPr>
              <w:t>（公章或合同专用章）</w:t>
            </w:r>
          </w:p>
          <w:p>
            <w:pPr>
              <w:spacing w:after="120" w:line="420" w:lineRule="exact"/>
            </w:pPr>
          </w:p>
        </w:tc>
        <w:tc>
          <w:tcPr>
            <w:tcW w:w="4261" w:type="dxa"/>
            <w:tcBorders>
              <w:tl2br w:val="nil"/>
              <w:tr2bl w:val="nil"/>
            </w:tcBorders>
            <w:shd w:val="clear" w:color="auto" w:fill="auto"/>
          </w:tcPr>
          <w:p>
            <w:pPr>
              <w:spacing w:line="420" w:lineRule="exact"/>
              <w:rPr>
                <w:rFonts w:ascii="宋体" w:hAnsi="宋体"/>
              </w:rPr>
            </w:pPr>
          </w:p>
          <w:p>
            <w:pPr>
              <w:spacing w:line="420" w:lineRule="exact"/>
              <w:rPr>
                <w:rFonts w:ascii="宋体" w:hAnsi="宋体"/>
              </w:rPr>
            </w:pPr>
          </w:p>
          <w:p>
            <w:pPr>
              <w:spacing w:line="420" w:lineRule="exact"/>
              <w:rPr>
                <w:rFonts w:ascii="宋体" w:hAnsi="宋体"/>
              </w:rPr>
            </w:pPr>
            <w:r>
              <w:rPr>
                <w:rFonts w:hint="eastAsia" w:ascii="宋体" w:hAnsi="宋体"/>
              </w:rPr>
              <w:t>承包人</w:t>
            </w:r>
          </w:p>
          <w:p>
            <w:pPr>
              <w:spacing w:line="420" w:lineRule="exact"/>
              <w:rPr>
                <w:rFonts w:ascii="宋体" w:hAnsi="宋体"/>
              </w:rPr>
            </w:pPr>
          </w:p>
          <w:p>
            <w:pPr>
              <w:spacing w:line="420" w:lineRule="exact"/>
            </w:pPr>
            <w:r>
              <w:rPr>
                <w:rFonts w:hint="eastAsia" w:ascii="宋体" w:hAnsi="宋体"/>
              </w:rPr>
              <w:t>（公章或合同专用章）</w:t>
            </w:r>
          </w:p>
          <w:p>
            <w:pPr>
              <w:spacing w:line="420" w:lineRule="exact"/>
              <w:jc w:val="left"/>
              <w:rPr>
                <w:rFonts w:ascii="宋体" w:hAnsi="宋体"/>
              </w:rPr>
            </w:pPr>
          </w:p>
          <w:p>
            <w:pPr>
              <w:spacing w:line="420" w:lineRule="exact"/>
              <w:rPr>
                <w:rFonts w:ascii="宋体" w:hAnsi="宋体"/>
              </w:rPr>
            </w:pPr>
          </w:p>
        </w:tc>
      </w:tr>
      <w:tr>
        <w:tblPrEx>
          <w:tblCellMar>
            <w:top w:w="0" w:type="dxa"/>
            <w:left w:w="108" w:type="dxa"/>
            <w:bottom w:w="0" w:type="dxa"/>
            <w:right w:w="108" w:type="dxa"/>
          </w:tblCellMar>
        </w:tblPrEx>
        <w:trPr>
          <w:trHeight w:val="1459" w:hRule="atLeast"/>
        </w:trPr>
        <w:tc>
          <w:tcPr>
            <w:tcW w:w="4261" w:type="dxa"/>
            <w:tcBorders>
              <w:tl2br w:val="nil"/>
              <w:tr2bl w:val="nil"/>
            </w:tcBorders>
            <w:shd w:val="clear" w:color="auto" w:fill="auto"/>
          </w:tcPr>
          <w:p>
            <w:pPr>
              <w:spacing w:line="420" w:lineRule="exact"/>
              <w:rPr>
                <w:rFonts w:ascii="宋体" w:hAnsi="宋体"/>
              </w:rPr>
            </w:pPr>
            <w:r>
              <w:rPr>
                <w:rFonts w:hint="eastAsia" w:ascii="宋体" w:hAnsi="宋体"/>
              </w:rPr>
              <w:t>法定代表人</w:t>
            </w:r>
          </w:p>
          <w:p>
            <w:pPr>
              <w:spacing w:line="420" w:lineRule="exact"/>
              <w:rPr>
                <w:rFonts w:ascii="宋体" w:hAnsi="宋体"/>
              </w:rPr>
            </w:pPr>
            <w:r>
              <w:rPr>
                <w:rFonts w:hint="eastAsia" w:ascii="宋体" w:hAnsi="宋体"/>
              </w:rPr>
              <w:t>或授权委托代理人</w:t>
            </w:r>
          </w:p>
        </w:tc>
        <w:tc>
          <w:tcPr>
            <w:tcW w:w="4261" w:type="dxa"/>
            <w:tcBorders>
              <w:tl2br w:val="nil"/>
              <w:tr2bl w:val="nil"/>
            </w:tcBorders>
            <w:shd w:val="clear" w:color="auto" w:fill="auto"/>
          </w:tcPr>
          <w:p>
            <w:pPr>
              <w:spacing w:line="420" w:lineRule="exact"/>
              <w:rPr>
                <w:rFonts w:ascii="宋体" w:hAnsi="宋体"/>
              </w:rPr>
            </w:pPr>
            <w:r>
              <w:rPr>
                <w:rFonts w:hint="eastAsia" w:ascii="宋体" w:hAnsi="宋体"/>
              </w:rPr>
              <w:t>法定代表人</w:t>
            </w:r>
          </w:p>
          <w:p>
            <w:pPr>
              <w:spacing w:line="420" w:lineRule="exact"/>
              <w:rPr>
                <w:rFonts w:ascii="宋体" w:hAnsi="宋体"/>
              </w:rPr>
            </w:pPr>
            <w:r>
              <w:rPr>
                <w:rFonts w:hint="eastAsia" w:ascii="宋体" w:hAnsi="宋体"/>
              </w:rPr>
              <w:t>或授权委托代理人</w:t>
            </w:r>
          </w:p>
        </w:tc>
      </w:tr>
      <w:tr>
        <w:tblPrEx>
          <w:tblCellMar>
            <w:top w:w="0" w:type="dxa"/>
            <w:left w:w="108" w:type="dxa"/>
            <w:bottom w:w="0" w:type="dxa"/>
            <w:right w:w="108" w:type="dxa"/>
          </w:tblCellMar>
        </w:tblPrEx>
        <w:trPr>
          <w:trHeight w:val="803" w:hRule="atLeast"/>
        </w:trPr>
        <w:tc>
          <w:tcPr>
            <w:tcW w:w="4261" w:type="dxa"/>
            <w:tcBorders>
              <w:tl2br w:val="nil"/>
              <w:tr2bl w:val="nil"/>
            </w:tcBorders>
            <w:shd w:val="clear" w:color="auto" w:fill="auto"/>
          </w:tcPr>
          <w:p>
            <w:pPr>
              <w:spacing w:line="420" w:lineRule="exact"/>
              <w:rPr>
                <w:rFonts w:ascii="宋体" w:hAnsi="宋体"/>
              </w:rPr>
            </w:pPr>
            <w:r>
              <w:rPr>
                <w:rFonts w:hint="eastAsia" w:ascii="宋体" w:hAnsi="宋体"/>
              </w:rPr>
              <w:t>工商注册住所</w:t>
            </w:r>
          </w:p>
        </w:tc>
        <w:tc>
          <w:tcPr>
            <w:tcW w:w="4261" w:type="dxa"/>
            <w:tcBorders>
              <w:tl2br w:val="nil"/>
              <w:tr2bl w:val="nil"/>
            </w:tcBorders>
            <w:shd w:val="clear" w:color="auto" w:fill="auto"/>
          </w:tcPr>
          <w:p>
            <w:pPr>
              <w:spacing w:line="420" w:lineRule="exact"/>
              <w:rPr>
                <w:rFonts w:ascii="宋体" w:hAnsi="宋体"/>
              </w:rPr>
            </w:pPr>
            <w:r>
              <w:rPr>
                <w:rFonts w:hint="eastAsia" w:ascii="宋体" w:hAnsi="宋体"/>
              </w:rPr>
              <w:t>工商注册住所</w:t>
            </w:r>
          </w:p>
        </w:tc>
      </w:tr>
      <w:tr>
        <w:tblPrEx>
          <w:tblCellMar>
            <w:top w:w="0" w:type="dxa"/>
            <w:left w:w="108" w:type="dxa"/>
            <w:bottom w:w="0" w:type="dxa"/>
            <w:right w:w="108" w:type="dxa"/>
          </w:tblCellMar>
        </w:tblPrEx>
        <w:trPr>
          <w:trHeight w:val="859" w:hRule="atLeast"/>
        </w:trPr>
        <w:tc>
          <w:tcPr>
            <w:tcW w:w="4261" w:type="dxa"/>
            <w:tcBorders>
              <w:tl2br w:val="nil"/>
              <w:tr2bl w:val="nil"/>
            </w:tcBorders>
            <w:shd w:val="clear" w:color="auto" w:fill="auto"/>
          </w:tcPr>
          <w:p>
            <w:pPr>
              <w:spacing w:line="420" w:lineRule="exact"/>
              <w:rPr>
                <w:rFonts w:ascii="宋体" w:hAnsi="宋体"/>
              </w:rPr>
            </w:pPr>
            <w:r>
              <w:rPr>
                <w:rFonts w:hint="eastAsia" w:ascii="宋体" w:hAnsi="宋体"/>
              </w:rPr>
              <w:t>企业组织机构代码</w:t>
            </w:r>
          </w:p>
        </w:tc>
        <w:tc>
          <w:tcPr>
            <w:tcW w:w="4261" w:type="dxa"/>
            <w:tcBorders>
              <w:tl2br w:val="nil"/>
              <w:tr2bl w:val="nil"/>
            </w:tcBorders>
            <w:shd w:val="clear" w:color="auto" w:fill="auto"/>
          </w:tcPr>
          <w:p>
            <w:pPr>
              <w:spacing w:line="420" w:lineRule="exact"/>
              <w:rPr>
                <w:rFonts w:ascii="宋体" w:hAnsi="宋体"/>
              </w:rPr>
            </w:pPr>
            <w:r>
              <w:rPr>
                <w:rFonts w:hint="eastAsia" w:ascii="宋体" w:hAnsi="宋体"/>
              </w:rPr>
              <w:t>企业组织机构代码</w:t>
            </w:r>
          </w:p>
        </w:tc>
      </w:tr>
      <w:tr>
        <w:tblPrEx>
          <w:tblCellMar>
            <w:top w:w="0" w:type="dxa"/>
            <w:left w:w="108" w:type="dxa"/>
            <w:bottom w:w="0" w:type="dxa"/>
            <w:right w:w="108" w:type="dxa"/>
          </w:tblCellMar>
        </w:tblPrEx>
        <w:trPr>
          <w:trHeight w:val="691" w:hRule="atLeast"/>
        </w:trPr>
        <w:tc>
          <w:tcPr>
            <w:tcW w:w="4261" w:type="dxa"/>
            <w:tcBorders>
              <w:tl2br w:val="nil"/>
              <w:tr2bl w:val="nil"/>
            </w:tcBorders>
            <w:shd w:val="clear" w:color="auto" w:fill="auto"/>
          </w:tcPr>
          <w:p>
            <w:pPr>
              <w:spacing w:line="420" w:lineRule="exact"/>
              <w:rPr>
                <w:rFonts w:ascii="宋体" w:hAnsi="宋体"/>
              </w:rPr>
            </w:pPr>
            <w:r>
              <w:rPr>
                <w:rFonts w:hint="eastAsia" w:ascii="宋体" w:hAnsi="宋体"/>
              </w:rPr>
              <w:t>邮政编码</w:t>
            </w:r>
          </w:p>
        </w:tc>
        <w:tc>
          <w:tcPr>
            <w:tcW w:w="4261" w:type="dxa"/>
            <w:tcBorders>
              <w:tl2br w:val="nil"/>
              <w:tr2bl w:val="nil"/>
            </w:tcBorders>
            <w:shd w:val="clear" w:color="auto" w:fill="auto"/>
          </w:tcPr>
          <w:p>
            <w:pPr>
              <w:spacing w:line="420" w:lineRule="exact"/>
              <w:rPr>
                <w:rFonts w:ascii="宋体" w:hAnsi="宋体"/>
              </w:rPr>
            </w:pPr>
            <w:r>
              <w:rPr>
                <w:rFonts w:hint="eastAsia" w:ascii="宋体" w:hAnsi="宋体"/>
              </w:rPr>
              <w:t>邮政编码</w:t>
            </w:r>
          </w:p>
        </w:tc>
      </w:tr>
      <w:tr>
        <w:tblPrEx>
          <w:tblCellMar>
            <w:top w:w="0" w:type="dxa"/>
            <w:left w:w="108" w:type="dxa"/>
            <w:bottom w:w="0" w:type="dxa"/>
            <w:right w:w="108" w:type="dxa"/>
          </w:tblCellMar>
        </w:tblPrEx>
        <w:trPr>
          <w:trHeight w:val="765" w:hRule="atLeast"/>
        </w:trPr>
        <w:tc>
          <w:tcPr>
            <w:tcW w:w="4261" w:type="dxa"/>
            <w:tcBorders>
              <w:tl2br w:val="nil"/>
              <w:tr2bl w:val="nil"/>
            </w:tcBorders>
            <w:shd w:val="clear" w:color="auto" w:fill="auto"/>
          </w:tcPr>
          <w:p>
            <w:pPr>
              <w:spacing w:line="420" w:lineRule="exact"/>
              <w:rPr>
                <w:rFonts w:ascii="宋体" w:hAnsi="宋体"/>
              </w:rPr>
            </w:pPr>
            <w:r>
              <w:rPr>
                <w:rFonts w:hint="eastAsia" w:ascii="宋体" w:hAnsi="宋体"/>
              </w:rPr>
              <w:t>电话</w:t>
            </w:r>
          </w:p>
        </w:tc>
        <w:tc>
          <w:tcPr>
            <w:tcW w:w="4261" w:type="dxa"/>
            <w:tcBorders>
              <w:tl2br w:val="nil"/>
              <w:tr2bl w:val="nil"/>
            </w:tcBorders>
            <w:shd w:val="clear" w:color="auto" w:fill="auto"/>
          </w:tcPr>
          <w:p>
            <w:pPr>
              <w:spacing w:line="420" w:lineRule="exact"/>
              <w:rPr>
                <w:rFonts w:ascii="宋体" w:hAnsi="宋体"/>
              </w:rPr>
            </w:pPr>
            <w:r>
              <w:rPr>
                <w:rFonts w:hint="eastAsia" w:ascii="宋体" w:hAnsi="宋体"/>
              </w:rPr>
              <w:t>电话</w:t>
            </w:r>
          </w:p>
        </w:tc>
      </w:tr>
      <w:tr>
        <w:tblPrEx>
          <w:tblCellMar>
            <w:top w:w="0" w:type="dxa"/>
            <w:left w:w="108" w:type="dxa"/>
            <w:bottom w:w="0" w:type="dxa"/>
            <w:right w:w="108" w:type="dxa"/>
          </w:tblCellMar>
        </w:tblPrEx>
        <w:trPr>
          <w:trHeight w:val="464" w:hRule="atLeast"/>
        </w:trPr>
        <w:tc>
          <w:tcPr>
            <w:tcW w:w="4261" w:type="dxa"/>
            <w:tcBorders>
              <w:tl2br w:val="nil"/>
              <w:tr2bl w:val="nil"/>
            </w:tcBorders>
            <w:shd w:val="clear" w:color="auto" w:fill="auto"/>
          </w:tcPr>
          <w:p>
            <w:pPr>
              <w:spacing w:line="420" w:lineRule="exact"/>
              <w:rPr>
                <w:rFonts w:ascii="宋体" w:hAnsi="宋体"/>
              </w:rPr>
            </w:pPr>
            <w:r>
              <w:rPr>
                <w:rFonts w:hint="eastAsia" w:ascii="宋体" w:hAnsi="宋体"/>
              </w:rPr>
              <w:t>传真</w:t>
            </w:r>
          </w:p>
        </w:tc>
        <w:tc>
          <w:tcPr>
            <w:tcW w:w="4261" w:type="dxa"/>
            <w:tcBorders>
              <w:tl2br w:val="nil"/>
              <w:tr2bl w:val="nil"/>
            </w:tcBorders>
            <w:shd w:val="clear" w:color="auto" w:fill="auto"/>
          </w:tcPr>
          <w:p>
            <w:pPr>
              <w:spacing w:line="420" w:lineRule="exact"/>
              <w:rPr>
                <w:rFonts w:ascii="宋体" w:hAnsi="宋体"/>
              </w:rPr>
            </w:pPr>
            <w:r>
              <w:rPr>
                <w:rFonts w:hint="eastAsia" w:ascii="宋体" w:hAnsi="宋体"/>
              </w:rPr>
              <w:t>传真</w:t>
            </w:r>
          </w:p>
        </w:tc>
      </w:tr>
      <w:tr>
        <w:tblPrEx>
          <w:tblCellMar>
            <w:top w:w="0" w:type="dxa"/>
            <w:left w:w="108" w:type="dxa"/>
            <w:bottom w:w="0" w:type="dxa"/>
            <w:right w:w="108" w:type="dxa"/>
          </w:tblCellMar>
        </w:tblPrEx>
        <w:trPr>
          <w:trHeight w:val="428" w:hRule="atLeast"/>
        </w:trPr>
        <w:tc>
          <w:tcPr>
            <w:tcW w:w="4261" w:type="dxa"/>
            <w:tcBorders>
              <w:tl2br w:val="nil"/>
              <w:tr2bl w:val="nil"/>
            </w:tcBorders>
            <w:shd w:val="clear" w:color="auto" w:fill="auto"/>
          </w:tcPr>
          <w:p>
            <w:pPr>
              <w:spacing w:line="420" w:lineRule="exact"/>
              <w:rPr>
                <w:rFonts w:ascii="宋体" w:hAnsi="宋体"/>
              </w:rPr>
            </w:pPr>
            <w:r>
              <w:rPr>
                <w:rFonts w:hint="eastAsia" w:ascii="宋体" w:hAnsi="宋体"/>
              </w:rPr>
              <w:t>电子邮箱</w:t>
            </w:r>
          </w:p>
        </w:tc>
        <w:tc>
          <w:tcPr>
            <w:tcW w:w="4261" w:type="dxa"/>
            <w:tcBorders>
              <w:tl2br w:val="nil"/>
              <w:tr2bl w:val="nil"/>
            </w:tcBorders>
            <w:shd w:val="clear" w:color="auto" w:fill="auto"/>
          </w:tcPr>
          <w:p>
            <w:pPr>
              <w:spacing w:line="420" w:lineRule="exact"/>
              <w:rPr>
                <w:rFonts w:ascii="宋体" w:hAnsi="宋体"/>
              </w:rPr>
            </w:pPr>
            <w:r>
              <w:rPr>
                <w:rFonts w:hint="eastAsia" w:ascii="宋体" w:hAnsi="宋体"/>
              </w:rPr>
              <w:t>电子邮箱</w:t>
            </w:r>
          </w:p>
        </w:tc>
      </w:tr>
      <w:tr>
        <w:tblPrEx>
          <w:tblCellMar>
            <w:top w:w="0" w:type="dxa"/>
            <w:left w:w="108" w:type="dxa"/>
            <w:bottom w:w="0" w:type="dxa"/>
            <w:right w:w="108" w:type="dxa"/>
          </w:tblCellMar>
        </w:tblPrEx>
        <w:trPr>
          <w:trHeight w:val="465" w:hRule="atLeast"/>
        </w:trPr>
        <w:tc>
          <w:tcPr>
            <w:tcW w:w="4261" w:type="dxa"/>
            <w:tcBorders>
              <w:tl2br w:val="nil"/>
              <w:tr2bl w:val="nil"/>
            </w:tcBorders>
            <w:shd w:val="clear" w:color="auto" w:fill="auto"/>
          </w:tcPr>
          <w:p>
            <w:pPr>
              <w:spacing w:line="420" w:lineRule="exact"/>
              <w:rPr>
                <w:rFonts w:ascii="宋体" w:hAnsi="宋体"/>
              </w:rPr>
            </w:pPr>
            <w:r>
              <w:rPr>
                <w:rFonts w:hint="eastAsia" w:ascii="宋体" w:hAnsi="宋体"/>
              </w:rPr>
              <w:t>开户银行</w:t>
            </w:r>
          </w:p>
        </w:tc>
        <w:tc>
          <w:tcPr>
            <w:tcW w:w="4261" w:type="dxa"/>
            <w:tcBorders>
              <w:tl2br w:val="nil"/>
              <w:tr2bl w:val="nil"/>
            </w:tcBorders>
            <w:shd w:val="clear" w:color="auto" w:fill="auto"/>
          </w:tcPr>
          <w:p>
            <w:pPr>
              <w:spacing w:line="420" w:lineRule="exact"/>
              <w:rPr>
                <w:rFonts w:ascii="宋体" w:hAnsi="宋体"/>
              </w:rPr>
            </w:pPr>
            <w:r>
              <w:rPr>
                <w:rFonts w:hint="eastAsia" w:ascii="宋体" w:hAnsi="宋体"/>
              </w:rPr>
              <w:t>开户银行</w:t>
            </w:r>
          </w:p>
        </w:tc>
      </w:tr>
      <w:tr>
        <w:tblPrEx>
          <w:tblCellMar>
            <w:top w:w="0" w:type="dxa"/>
            <w:left w:w="108" w:type="dxa"/>
            <w:bottom w:w="0" w:type="dxa"/>
            <w:right w:w="108" w:type="dxa"/>
          </w:tblCellMar>
        </w:tblPrEx>
        <w:trPr>
          <w:trHeight w:val="522" w:hRule="atLeast"/>
        </w:trPr>
        <w:tc>
          <w:tcPr>
            <w:tcW w:w="4261" w:type="dxa"/>
            <w:tcBorders>
              <w:tl2br w:val="nil"/>
              <w:tr2bl w:val="nil"/>
            </w:tcBorders>
            <w:shd w:val="clear" w:color="auto" w:fill="auto"/>
          </w:tcPr>
          <w:p>
            <w:pPr>
              <w:spacing w:line="420" w:lineRule="exact"/>
              <w:rPr>
                <w:rFonts w:ascii="宋体" w:hAnsi="宋体"/>
              </w:rPr>
            </w:pPr>
            <w:r>
              <w:rPr>
                <w:rFonts w:hint="eastAsia" w:ascii="宋体" w:hAnsi="宋体"/>
              </w:rPr>
              <w:t>账号</w:t>
            </w:r>
          </w:p>
        </w:tc>
        <w:tc>
          <w:tcPr>
            <w:tcW w:w="4261" w:type="dxa"/>
            <w:tcBorders>
              <w:tl2br w:val="nil"/>
              <w:tr2bl w:val="nil"/>
            </w:tcBorders>
            <w:shd w:val="clear" w:color="auto" w:fill="auto"/>
          </w:tcPr>
          <w:p>
            <w:pPr>
              <w:spacing w:line="420" w:lineRule="exact"/>
              <w:rPr>
                <w:rFonts w:ascii="宋体" w:hAnsi="宋体"/>
              </w:rPr>
            </w:pPr>
            <w:r>
              <w:rPr>
                <w:rFonts w:hint="eastAsia" w:ascii="宋体" w:hAnsi="宋体"/>
              </w:rPr>
              <w:t>账号</w:t>
            </w:r>
          </w:p>
        </w:tc>
      </w:tr>
    </w:tbl>
    <w:p>
      <w:pPr>
        <w:spacing w:line="420" w:lineRule="exact"/>
      </w:pPr>
    </w:p>
    <w:p>
      <w:pPr>
        <w:spacing w:line="420" w:lineRule="exact"/>
      </w:pPr>
      <w:r>
        <w:rPr>
          <w:rFonts w:hint="eastAsia"/>
        </w:rPr>
        <w:t>签订时间：年月日</w:t>
      </w:r>
    </w:p>
    <w:p>
      <w:pPr>
        <w:spacing w:line="420" w:lineRule="exact"/>
      </w:pPr>
    </w:p>
    <w:p>
      <w:pPr>
        <w:spacing w:line="420" w:lineRule="exact"/>
        <w:rPr>
          <w:u w:val="single"/>
        </w:rPr>
      </w:pPr>
      <w:r>
        <w:rPr>
          <w:rFonts w:hint="eastAsia"/>
        </w:rPr>
        <w:t>签订地点：</w:t>
      </w:r>
    </w:p>
    <w:p>
      <w:pPr>
        <w:widowControl/>
        <w:jc w:val="left"/>
        <w:rPr>
          <w:rFonts w:ascii="宋体" w:cs="宋体"/>
        </w:rPr>
      </w:pPr>
      <w:bookmarkStart w:id="242" w:name="_Toc8012"/>
      <w:bookmarkStart w:id="243" w:name="_Toc5824"/>
      <w:r>
        <w:rPr>
          <w:rFonts w:ascii="宋体" w:cs="宋体"/>
        </w:rPr>
        <w:br w:type="page"/>
      </w:r>
    </w:p>
    <w:p>
      <w:pPr>
        <w:widowControl/>
        <w:spacing w:line="420" w:lineRule="exact"/>
        <w:jc w:val="left"/>
        <w:rPr>
          <w:rFonts w:ascii="宋体" w:cs="宋体"/>
        </w:rPr>
      </w:pPr>
    </w:p>
    <w:p>
      <w:pPr>
        <w:spacing w:after="120" w:line="420" w:lineRule="exact"/>
        <w:ind w:firstLine="514" w:firstLineChars="245"/>
        <w:outlineLvl w:val="2"/>
        <w:rPr>
          <w:rFonts w:ascii="宋体" w:cs="宋体"/>
        </w:rPr>
      </w:pPr>
      <w:bookmarkStart w:id="244" w:name="_Toc84265660"/>
      <w:r>
        <w:rPr>
          <w:rFonts w:hint="eastAsia" w:ascii="宋体" w:cs="宋体"/>
        </w:rPr>
        <w:t>附件一：履约保函格式</w:t>
      </w:r>
      <w:bookmarkEnd w:id="242"/>
      <w:bookmarkEnd w:id="243"/>
      <w:bookmarkEnd w:id="244"/>
    </w:p>
    <w:p>
      <w:pPr>
        <w:spacing w:line="420" w:lineRule="exact"/>
        <w:ind w:firstLine="562"/>
        <w:jc w:val="center"/>
        <w:rPr>
          <w:rFonts w:ascii="宋体" w:hAnsi="宋体" w:cs="宋体"/>
          <w:b/>
        </w:rPr>
      </w:pPr>
      <w:r>
        <w:rPr>
          <w:rFonts w:hint="eastAsia" w:ascii="宋体" w:hAnsi="宋体" w:cs="宋体"/>
          <w:b/>
        </w:rPr>
        <w:t>履约保函</w:t>
      </w:r>
    </w:p>
    <w:p>
      <w:pPr>
        <w:spacing w:line="420" w:lineRule="exact"/>
        <w:ind w:firstLine="480"/>
        <w:rPr>
          <w:rFonts w:ascii="宋体" w:hAnsi="宋体" w:cs="宋体"/>
        </w:rPr>
      </w:pPr>
      <w:r>
        <w:rPr>
          <w:rFonts w:hint="eastAsia" w:ascii="宋体" w:hAnsi="宋体" w:cs="宋体"/>
        </w:rPr>
        <w:t>致：</w:t>
      </w:r>
    </w:p>
    <w:p>
      <w:pPr>
        <w:spacing w:line="420" w:lineRule="exact"/>
        <w:ind w:firstLine="480"/>
        <w:rPr>
          <w:rFonts w:ascii="宋体" w:hAnsi="宋体" w:cs="宋体"/>
        </w:rPr>
      </w:pPr>
      <w:r>
        <w:rPr>
          <w:rFonts w:hint="eastAsia" w:ascii="宋体" w:hAnsi="宋体" w:cs="宋体"/>
        </w:rPr>
        <w:t>鉴于(下称“发包人”) 接受</w:t>
      </w:r>
      <w:r>
        <w:rPr>
          <w:rFonts w:hint="eastAsia" w:ascii="宋体" w:hAnsi="宋体" w:cs="宋体"/>
          <w:u w:val="single"/>
        </w:rPr>
        <w:t>(承包人全称)</w:t>
      </w:r>
      <w:r>
        <w:rPr>
          <w:rFonts w:hint="eastAsia" w:ascii="宋体" w:hAnsi="宋体" w:cs="宋体"/>
        </w:rPr>
        <w:t>(下称“承包人”)作为</w:t>
      </w:r>
      <w:r>
        <w:rPr>
          <w:rFonts w:hint="eastAsia" w:ascii="宋体" w:hAnsi="宋体" w:cs="宋体"/>
          <w:u w:val="single"/>
        </w:rPr>
        <w:t xml:space="preserve">     （项目名称）     </w:t>
      </w:r>
      <w:r>
        <w:rPr>
          <w:rFonts w:hint="eastAsia" w:ascii="宋体" w:hAnsi="宋体" w:cs="宋体"/>
        </w:rPr>
        <w:t>的中标人并签发了中标通知书，我行愿意无条件地、不可撤销地就承包人全面履行与贵方订立的合同向贵方提供担保。保函金额人民币（大写）元（¥ ）。</w:t>
      </w:r>
    </w:p>
    <w:p>
      <w:pPr>
        <w:spacing w:line="420" w:lineRule="exact"/>
        <w:ind w:firstLine="480"/>
        <w:rPr>
          <w:rFonts w:ascii="宋体" w:hAnsi="宋体" w:cs="宋体"/>
        </w:rPr>
      </w:pPr>
      <w:r>
        <w:rPr>
          <w:rFonts w:hint="eastAsia" w:ascii="宋体" w:hAnsi="宋体" w:cs="宋体"/>
        </w:rPr>
        <w:t>本保函的义务是：我行在接到发包人提出的因承包人在履行合同过程中未能履约或违背合同规定的义务而要求索赔的书面通知后14 日内，在上述保函金额的限额内无条件和不可改变地向发包人支付任何数额的款项，并放弃任何向发包人提出异议和追索的权利。</w:t>
      </w:r>
    </w:p>
    <w:p>
      <w:pPr>
        <w:spacing w:line="420" w:lineRule="exact"/>
        <w:ind w:firstLine="480"/>
        <w:rPr>
          <w:rFonts w:ascii="宋体" w:hAnsi="宋体" w:cs="宋体"/>
        </w:rPr>
      </w:pPr>
      <w:r>
        <w:rPr>
          <w:rFonts w:hint="eastAsia" w:ascii="宋体" w:hAnsi="宋体" w:cs="宋体"/>
        </w:rPr>
        <w:t>在向我行提出要求前，我行将不坚持要求发包人首先向承包人索要上述款项。</w:t>
      </w:r>
    </w:p>
    <w:p>
      <w:pPr>
        <w:spacing w:line="420" w:lineRule="exact"/>
        <w:ind w:firstLine="480"/>
        <w:rPr>
          <w:rFonts w:ascii="宋体" w:hAnsi="宋体" w:cs="宋体"/>
        </w:rPr>
      </w:pPr>
      <w:r>
        <w:rPr>
          <w:rFonts w:hint="eastAsia" w:ascii="宋体" w:hAnsi="宋体" w:cs="宋体"/>
        </w:rPr>
        <w:t>我行确认并同意：本行受本保函的制约责任是连续的，任何发包人与承包人之间可能对合同的修改、变更或补充都丝毫不减轻或免除我行按本保函所应承担的义务，因此，有关上述修改、变更或补充无须通知我行。</w:t>
      </w:r>
    </w:p>
    <w:p>
      <w:pPr>
        <w:spacing w:line="420" w:lineRule="exact"/>
        <w:ind w:firstLine="480"/>
        <w:rPr>
          <w:rFonts w:ascii="宋体" w:hAnsi="宋体" w:cs="宋体"/>
        </w:rPr>
      </w:pPr>
      <w:r>
        <w:rPr>
          <w:rFonts w:hint="eastAsia" w:ascii="宋体" w:hAnsi="宋体" w:cs="宋体"/>
        </w:rPr>
        <w:t>本保函自发包人与承包人签订合同生效之日起至发包人向承包人发出接收证书后28 天之前，一直保持有效，并且不可撤销，最迟不晚于202x年X月X日。</w:t>
      </w:r>
    </w:p>
    <w:p>
      <w:pPr>
        <w:spacing w:line="420" w:lineRule="exact"/>
        <w:ind w:firstLine="480"/>
        <w:rPr>
          <w:rFonts w:ascii="宋体" w:hAnsi="宋体" w:cs="宋体"/>
        </w:rPr>
      </w:pPr>
      <w:r>
        <w:rPr>
          <w:rFonts w:hint="eastAsia" w:ascii="宋体" w:hAnsi="宋体" w:cs="宋体"/>
        </w:rPr>
        <w:t>我方亦获知，在本保函的有效期期满日期28 天前贵方可要求承包人延长本保函的有效期。</w:t>
      </w:r>
    </w:p>
    <w:p>
      <w:pPr>
        <w:spacing w:line="420" w:lineRule="exact"/>
        <w:ind w:firstLine="480"/>
        <w:rPr>
          <w:rFonts w:ascii="宋体" w:hAnsi="宋体" w:cs="宋体"/>
        </w:rPr>
      </w:pPr>
      <w:r>
        <w:rPr>
          <w:rFonts w:hint="eastAsia" w:ascii="宋体" w:hAnsi="宋体" w:cs="宋体"/>
        </w:rPr>
        <w:t>任何有关索款函和说明，须在本保函有效期终止前提交银行。</w:t>
      </w:r>
    </w:p>
    <w:p>
      <w:pPr>
        <w:spacing w:line="420" w:lineRule="exact"/>
        <w:ind w:firstLine="480"/>
        <w:rPr>
          <w:rFonts w:ascii="宋体" w:hAnsi="宋体" w:cs="宋体"/>
        </w:rPr>
      </w:pPr>
      <w:r>
        <w:rPr>
          <w:rFonts w:hint="eastAsia" w:ascii="宋体" w:hAnsi="宋体" w:cs="宋体"/>
        </w:rPr>
        <w:t>银行/金融机构名称：［银行名称］（公章）</w:t>
      </w:r>
    </w:p>
    <w:p>
      <w:pPr>
        <w:spacing w:line="420" w:lineRule="exact"/>
        <w:ind w:firstLine="480"/>
        <w:rPr>
          <w:rFonts w:ascii="宋体" w:hAnsi="宋体" w:cs="宋体"/>
        </w:rPr>
      </w:pPr>
      <w:r>
        <w:rPr>
          <w:rFonts w:hint="eastAsia" w:ascii="宋体" w:hAnsi="宋体" w:cs="宋体"/>
        </w:rPr>
        <w:t>法定代表人</w:t>
      </w:r>
    </w:p>
    <w:p>
      <w:pPr>
        <w:spacing w:line="420" w:lineRule="exact"/>
        <w:ind w:firstLine="480"/>
        <w:rPr>
          <w:rFonts w:ascii="宋体" w:hAnsi="宋体" w:cs="宋体"/>
        </w:rPr>
      </w:pPr>
      <w:r>
        <w:rPr>
          <w:rFonts w:hint="eastAsia" w:ascii="宋体" w:hAnsi="宋体" w:cs="宋体"/>
        </w:rPr>
        <w:t>或授权代理人：［姓名］（签字）</w:t>
      </w:r>
    </w:p>
    <w:p>
      <w:pPr>
        <w:spacing w:line="420" w:lineRule="exact"/>
        <w:ind w:firstLine="480"/>
        <w:rPr>
          <w:rFonts w:ascii="宋体" w:hAnsi="宋体" w:cs="宋体"/>
        </w:rPr>
      </w:pPr>
      <w:r>
        <w:rPr>
          <w:rFonts w:hint="eastAsia" w:ascii="宋体" w:hAnsi="宋体" w:cs="宋体"/>
        </w:rPr>
        <w:t>职务：                   日期：    年    月    日</w:t>
      </w:r>
    </w:p>
    <w:p>
      <w:pPr>
        <w:spacing w:line="420" w:lineRule="exact"/>
        <w:ind w:firstLine="480"/>
        <w:rPr>
          <w:rFonts w:ascii="宋体" w:hAnsi="宋体" w:cs="宋体"/>
        </w:rPr>
      </w:pPr>
      <w:r>
        <w:rPr>
          <w:rFonts w:hint="eastAsia" w:ascii="宋体" w:hAnsi="宋体" w:cs="宋体"/>
        </w:rPr>
        <w:t>地址：</w:t>
      </w:r>
    </w:p>
    <w:p>
      <w:pPr>
        <w:spacing w:line="420" w:lineRule="exact"/>
        <w:ind w:firstLine="480"/>
        <w:rPr>
          <w:rFonts w:ascii="宋体" w:hAnsi="宋体" w:cs="宋体"/>
        </w:rPr>
      </w:pPr>
      <w:r>
        <w:rPr>
          <w:rFonts w:hint="eastAsia" w:ascii="宋体" w:hAnsi="宋体" w:cs="宋体"/>
        </w:rPr>
        <w:t>邮编：                   电话：</w:t>
      </w:r>
    </w:p>
    <w:p>
      <w:pPr>
        <w:spacing w:line="420" w:lineRule="exact"/>
        <w:ind w:firstLine="482"/>
        <w:outlineLvl w:val="2"/>
        <w:rPr>
          <w:rFonts w:ascii="宋体" w:cs="宋体"/>
        </w:rPr>
      </w:pPr>
      <w:r>
        <w:rPr>
          <w:rFonts w:hint="eastAsia" w:ascii="宋体" w:hAnsi="宋体" w:cs="宋体"/>
        </w:rPr>
        <w:br w:type="page"/>
      </w:r>
      <w:bookmarkStart w:id="245" w:name="_Toc84265661"/>
      <w:bookmarkStart w:id="246" w:name="_Toc26008"/>
      <w:bookmarkStart w:id="247" w:name="_Toc13374"/>
      <w:r>
        <w:rPr>
          <w:rFonts w:hint="eastAsia" w:ascii="宋体" w:cs="宋体"/>
        </w:rPr>
        <w:t>附件二：廉政责任书</w:t>
      </w:r>
      <w:bookmarkEnd w:id="245"/>
      <w:bookmarkEnd w:id="246"/>
      <w:bookmarkEnd w:id="247"/>
    </w:p>
    <w:p>
      <w:pPr>
        <w:spacing w:line="420" w:lineRule="exact"/>
        <w:ind w:firstLine="562"/>
        <w:jc w:val="center"/>
        <w:rPr>
          <w:rFonts w:ascii="宋体" w:hAnsi="宋体" w:cs="宋体"/>
          <w:b/>
          <w:bCs/>
        </w:rPr>
      </w:pPr>
      <w:r>
        <w:rPr>
          <w:rFonts w:hint="eastAsia" w:ascii="宋体" w:hAnsi="宋体" w:cs="宋体"/>
          <w:b/>
          <w:bCs/>
        </w:rPr>
        <w:t>廉政责任书</w:t>
      </w:r>
    </w:p>
    <w:p>
      <w:pPr>
        <w:spacing w:line="420" w:lineRule="exact"/>
        <w:ind w:firstLine="480"/>
        <w:rPr>
          <w:rFonts w:ascii="宋体" w:hAnsi="宋体" w:cs="宋体"/>
        </w:rPr>
      </w:pPr>
      <w:r>
        <w:rPr>
          <w:rFonts w:hint="eastAsia" w:ascii="宋体" w:hAnsi="宋体" w:cs="宋体"/>
        </w:rPr>
        <w:t>发包人：</w:t>
      </w:r>
    </w:p>
    <w:p>
      <w:pPr>
        <w:spacing w:line="420" w:lineRule="exact"/>
        <w:ind w:firstLine="480"/>
        <w:rPr>
          <w:rFonts w:ascii="宋体" w:hAnsi="宋体" w:cs="宋体"/>
        </w:rPr>
      </w:pPr>
      <w:r>
        <w:rPr>
          <w:rFonts w:hint="eastAsia" w:ascii="宋体" w:hAnsi="宋体" w:cs="宋体"/>
        </w:rPr>
        <w:t>承包人：</w:t>
      </w:r>
    </w:p>
    <w:p>
      <w:pPr>
        <w:spacing w:line="420" w:lineRule="exact"/>
        <w:ind w:firstLine="480"/>
        <w:rPr>
          <w:rFonts w:ascii="宋体" w:hAnsi="宋体" w:cs="宋体"/>
        </w:rPr>
      </w:pPr>
      <w:r>
        <w:rPr>
          <w:rFonts w:hint="eastAsia" w:ascii="宋体" w:hAnsi="宋体" w:cs="宋体"/>
        </w:rPr>
        <w:t>工程项目名称：</w:t>
      </w:r>
    </w:p>
    <w:p>
      <w:pPr>
        <w:spacing w:line="420" w:lineRule="exact"/>
        <w:ind w:firstLine="480"/>
        <w:rPr>
          <w:rFonts w:ascii="宋体" w:hAnsi="宋体" w:cs="宋体"/>
        </w:rPr>
      </w:pPr>
      <w:r>
        <w:rPr>
          <w:rFonts w:hint="eastAsia" w:ascii="宋体" w:hAnsi="宋体" w:cs="宋体"/>
        </w:rPr>
        <w:t>工程项目地点：</w:t>
      </w:r>
    </w:p>
    <w:p>
      <w:pPr>
        <w:spacing w:line="420" w:lineRule="exact"/>
        <w:ind w:firstLine="480"/>
        <w:rPr>
          <w:rFonts w:ascii="宋体" w:hAnsi="宋体" w:cs="宋体"/>
        </w:rPr>
      </w:pPr>
      <w:r>
        <w:rPr>
          <w:rFonts w:hint="eastAsia" w:ascii="宋体" w:hAnsi="宋体" w:cs="宋体"/>
        </w:rPr>
        <w:t>为加强工程建设中的廉政行为，规范、约束双方在工程建设中的行为，防止违法、违纪和不廉洁情况的发生，保护国家、集体和当事人的合法权益，根据国家有关工程建设的法律法规和廉政建设责任制规定，特订立本廉政责任书。</w:t>
      </w:r>
    </w:p>
    <w:p>
      <w:pPr>
        <w:spacing w:line="420" w:lineRule="exact"/>
        <w:ind w:firstLine="480"/>
        <w:rPr>
          <w:rFonts w:ascii="宋体" w:hAnsi="宋体" w:cs="宋体"/>
        </w:rPr>
      </w:pPr>
      <w:r>
        <w:rPr>
          <w:rFonts w:hint="eastAsia" w:ascii="宋体" w:hAnsi="宋体" w:cs="宋体"/>
        </w:rPr>
        <w:t>第一条 双方的责任</w:t>
      </w:r>
    </w:p>
    <w:p>
      <w:pPr>
        <w:spacing w:line="420" w:lineRule="exact"/>
        <w:ind w:firstLine="480"/>
        <w:rPr>
          <w:rFonts w:ascii="宋体" w:hAnsi="宋体" w:cs="宋体"/>
        </w:rPr>
      </w:pPr>
      <w:r>
        <w:rPr>
          <w:rFonts w:hint="eastAsia" w:ascii="宋体" w:hAnsi="宋体" w:cs="宋体"/>
        </w:rPr>
        <w:t>一、应严格遵守国家、天津市有关市场准入、项目招标投标、工程建设、施工安装和市场活动的有关法律、法规、相关政策，以及廉政建设的各项规定。</w:t>
      </w:r>
    </w:p>
    <w:p>
      <w:pPr>
        <w:spacing w:line="420" w:lineRule="exact"/>
        <w:ind w:firstLine="480"/>
        <w:rPr>
          <w:rFonts w:ascii="宋体" w:hAnsi="宋体" w:cs="宋体"/>
        </w:rPr>
      </w:pPr>
      <w:r>
        <w:rPr>
          <w:rFonts w:hint="eastAsia" w:ascii="宋体" w:hAnsi="宋体" w:cs="宋体"/>
        </w:rPr>
        <w:t>二、严格执行建设工程施工合同文件，自觉按合同办事。</w:t>
      </w:r>
    </w:p>
    <w:p>
      <w:pPr>
        <w:spacing w:line="420" w:lineRule="exact"/>
        <w:ind w:firstLine="480"/>
        <w:rPr>
          <w:rFonts w:ascii="宋体" w:hAnsi="宋体" w:cs="宋体"/>
        </w:rPr>
      </w:pPr>
      <w:r>
        <w:rPr>
          <w:rFonts w:hint="eastAsia" w:ascii="宋体" w:hAnsi="宋体" w:cs="宋体"/>
        </w:rPr>
        <w:t>三、业务活动必须坚持公开、公平、公正、诚信、透明的原则(除法律、法规另有规定外)，不得为获取不正当的利益，损害国家、集体和对方利益，不得违反工程建设管理、建设施工的规章制度。</w:t>
      </w:r>
    </w:p>
    <w:p>
      <w:pPr>
        <w:spacing w:line="420" w:lineRule="exact"/>
        <w:ind w:firstLine="480"/>
        <w:rPr>
          <w:rFonts w:ascii="宋体" w:hAnsi="宋体" w:cs="宋体"/>
        </w:rPr>
      </w:pPr>
      <w:r>
        <w:rPr>
          <w:rFonts w:hint="eastAsia" w:ascii="宋体" w:hAnsi="宋体" w:cs="宋体"/>
        </w:rPr>
        <w:t>四、发现对方在业务活动中有违规、违纪、违法行为的，应及时提醒对方，情节严重的，应向上级主管部门或纪检监察、司法等有关机关举报。</w:t>
      </w:r>
    </w:p>
    <w:p>
      <w:pPr>
        <w:spacing w:line="420" w:lineRule="exact"/>
        <w:ind w:firstLine="480"/>
        <w:rPr>
          <w:rFonts w:ascii="宋体" w:hAnsi="宋体" w:cs="宋体"/>
        </w:rPr>
      </w:pPr>
      <w:r>
        <w:rPr>
          <w:rFonts w:hint="eastAsia" w:ascii="宋体" w:hAnsi="宋体" w:cs="宋体"/>
        </w:rPr>
        <w:t>第二条 发包人的责任</w:t>
      </w:r>
    </w:p>
    <w:p>
      <w:pPr>
        <w:spacing w:line="420" w:lineRule="exact"/>
        <w:ind w:firstLine="480"/>
        <w:rPr>
          <w:rFonts w:ascii="宋体" w:hAnsi="宋体" w:cs="宋体"/>
        </w:rPr>
      </w:pPr>
      <w:r>
        <w:rPr>
          <w:rFonts w:hint="eastAsia" w:ascii="宋体" w:hAnsi="宋体" w:cs="宋体"/>
        </w:rPr>
        <w:t>发包人的领导和从事该建设工程项目的工作人员在工程建设的事前、事中、事后应遵守以下规定：</w:t>
      </w:r>
    </w:p>
    <w:p>
      <w:pPr>
        <w:spacing w:line="420" w:lineRule="exact"/>
        <w:ind w:firstLine="480"/>
        <w:rPr>
          <w:rFonts w:ascii="宋体" w:hAnsi="宋体" w:cs="宋体"/>
        </w:rPr>
      </w:pPr>
      <w:r>
        <w:rPr>
          <w:rFonts w:hint="eastAsia" w:ascii="宋体" w:hAnsi="宋体" w:cs="宋体"/>
        </w:rPr>
        <w:t>一、不准向承包人和相关单位索要或接受回扣、礼金、有价证券、贵重物品和好处费、感谢费等。</w:t>
      </w:r>
    </w:p>
    <w:p>
      <w:pPr>
        <w:spacing w:line="420" w:lineRule="exact"/>
        <w:ind w:firstLine="480"/>
        <w:rPr>
          <w:rFonts w:ascii="宋体" w:hAnsi="宋体" w:cs="宋体"/>
        </w:rPr>
      </w:pPr>
      <w:r>
        <w:rPr>
          <w:rFonts w:hint="eastAsia" w:ascii="宋体" w:hAnsi="宋体" w:cs="宋体"/>
        </w:rPr>
        <w:t>二、不准在承包人和相关单位报销任何由发包人或个人支付的费用。</w:t>
      </w:r>
    </w:p>
    <w:p>
      <w:pPr>
        <w:spacing w:line="420" w:lineRule="exact"/>
        <w:ind w:firstLine="480"/>
        <w:rPr>
          <w:rFonts w:ascii="宋体" w:hAnsi="宋体" w:cs="宋体"/>
        </w:rPr>
      </w:pPr>
      <w:r>
        <w:rPr>
          <w:rFonts w:hint="eastAsia" w:ascii="宋体" w:hAnsi="宋体" w:cs="宋体"/>
        </w:rPr>
        <w:t>三、不准要求、暗示或接受承包人和相关单位为个人装修住房、婚丧嫁娶、配偶子女的工作安排以及出国(境)、旅游等提供方便。</w:t>
      </w:r>
    </w:p>
    <w:p>
      <w:pPr>
        <w:spacing w:line="420" w:lineRule="exact"/>
        <w:ind w:firstLine="480"/>
        <w:rPr>
          <w:rFonts w:ascii="宋体" w:hAnsi="宋体" w:cs="宋体"/>
        </w:rPr>
      </w:pPr>
      <w:r>
        <w:rPr>
          <w:rFonts w:hint="eastAsia" w:ascii="宋体" w:hAnsi="宋体" w:cs="宋体"/>
        </w:rPr>
        <w:t>四、不准参加有可能影响公正执行公务的承包人和相关单位的宴请、健身、娱乐等活动。</w:t>
      </w:r>
    </w:p>
    <w:p>
      <w:pPr>
        <w:spacing w:line="420" w:lineRule="exact"/>
        <w:ind w:firstLine="480"/>
        <w:rPr>
          <w:rFonts w:ascii="宋体" w:hAnsi="宋体" w:cs="宋体"/>
        </w:rPr>
      </w:pPr>
      <w:r>
        <w:rPr>
          <w:rFonts w:hint="eastAsia" w:ascii="宋体" w:hAnsi="宋体" w:cs="宋体"/>
        </w:rPr>
        <w:t>五、不准向承包人介绍或为配偶、子女、亲属参与同发包人项目工程施工合同有关的设备、材料、工程分包、劳务等经济活动。不得以任何理由向承包人和相关单位推荐分包单位和要求承包人购买项目工程施工合同规定以外的材料、设备等。</w:t>
      </w:r>
    </w:p>
    <w:p>
      <w:pPr>
        <w:spacing w:line="420" w:lineRule="exact"/>
        <w:ind w:firstLine="480"/>
        <w:rPr>
          <w:rFonts w:ascii="宋体" w:hAnsi="宋体" w:cs="宋体"/>
        </w:rPr>
      </w:pPr>
      <w:r>
        <w:rPr>
          <w:rFonts w:hint="eastAsia" w:ascii="宋体" w:hAnsi="宋体" w:cs="宋体"/>
        </w:rPr>
        <w:t>第三条 承包人的责任</w:t>
      </w:r>
    </w:p>
    <w:p>
      <w:pPr>
        <w:spacing w:line="420" w:lineRule="exact"/>
        <w:ind w:firstLine="480"/>
        <w:rPr>
          <w:rFonts w:ascii="宋体" w:hAnsi="宋体" w:cs="宋体"/>
        </w:rPr>
      </w:pPr>
      <w:r>
        <w:rPr>
          <w:rFonts w:hint="eastAsia" w:ascii="宋体" w:hAnsi="宋体" w:cs="宋体"/>
        </w:rPr>
        <w:t>应与发包人和相关单位保持正常的业务交往，按照有关法律法规和程序开展业务工作，严格执行工程建设的方针、政策，尤其是有关勘察设计、建筑施工安装的强制性标准和规范，以及相关法规，认真履行职责，并遵守以下规定：</w:t>
      </w:r>
    </w:p>
    <w:p>
      <w:pPr>
        <w:spacing w:line="420" w:lineRule="exact"/>
        <w:ind w:firstLine="480"/>
        <w:rPr>
          <w:rFonts w:ascii="宋体" w:hAnsi="宋体" w:cs="宋体"/>
        </w:rPr>
      </w:pPr>
      <w:r>
        <w:rPr>
          <w:rFonts w:hint="eastAsia" w:ascii="宋体" w:hAnsi="宋体" w:cs="宋体"/>
        </w:rPr>
        <w:t>（一）不准以任何理由向发包人、相关单位及其工作人员索要、接受或赠送礼金、有价证券、贵重物品和回扣、好处费、感谢费等。</w:t>
      </w:r>
    </w:p>
    <w:p>
      <w:pPr>
        <w:spacing w:line="420" w:lineRule="exact"/>
        <w:ind w:firstLine="480"/>
        <w:rPr>
          <w:rFonts w:ascii="宋体" w:hAnsi="宋体" w:cs="宋体"/>
        </w:rPr>
      </w:pPr>
      <w:r>
        <w:rPr>
          <w:rFonts w:hint="eastAsia" w:ascii="宋体" w:hAnsi="宋体" w:cs="宋体"/>
        </w:rPr>
        <w:t>（二）不准以任何理由为发包人和相关单位报销应由对方或个人支付的费用。</w:t>
      </w:r>
    </w:p>
    <w:p>
      <w:pPr>
        <w:spacing w:line="420" w:lineRule="exact"/>
        <w:ind w:firstLine="480"/>
        <w:rPr>
          <w:rFonts w:ascii="宋体" w:hAnsi="宋体" w:cs="宋体"/>
        </w:rPr>
      </w:pPr>
      <w:r>
        <w:rPr>
          <w:rFonts w:hint="eastAsia" w:ascii="宋体" w:hAnsi="宋体" w:cs="宋体"/>
        </w:rPr>
        <w:t>（三）不准接受或暗示为发包人、相关单位或个人装修住房、婚丧嫁娶、配偶子女的工作安排以及出国（境）、旅游等提供方便。</w:t>
      </w:r>
    </w:p>
    <w:p>
      <w:pPr>
        <w:spacing w:line="420" w:lineRule="exact"/>
        <w:ind w:firstLine="480"/>
        <w:rPr>
          <w:rFonts w:ascii="宋体" w:hAnsi="宋体" w:cs="宋体"/>
        </w:rPr>
      </w:pPr>
      <w:r>
        <w:rPr>
          <w:rFonts w:hint="eastAsia" w:ascii="宋体" w:hAnsi="宋体" w:cs="宋体"/>
        </w:rPr>
        <w:t>（四）不准以任何理由为发包人、相关单位或个人组织有可能影响公正执行公务的宴请、健身、娱乐等活动。</w:t>
      </w:r>
    </w:p>
    <w:p>
      <w:pPr>
        <w:spacing w:line="420" w:lineRule="exact"/>
        <w:ind w:firstLine="480"/>
        <w:rPr>
          <w:rFonts w:ascii="宋体" w:hAnsi="宋体" w:cs="宋体"/>
        </w:rPr>
      </w:pPr>
      <w:r>
        <w:rPr>
          <w:rFonts w:hint="eastAsia" w:ascii="宋体" w:hAnsi="宋体" w:cs="宋体"/>
        </w:rPr>
        <w:t>第四条 违约责任</w:t>
      </w:r>
    </w:p>
    <w:p>
      <w:pPr>
        <w:spacing w:line="420" w:lineRule="exact"/>
        <w:ind w:firstLine="480"/>
        <w:rPr>
          <w:rFonts w:ascii="宋体" w:hAnsi="宋体" w:cs="宋体"/>
        </w:rPr>
      </w:pPr>
      <w:r>
        <w:rPr>
          <w:rFonts w:hint="eastAsia" w:ascii="宋体" w:hAnsi="宋体" w:cs="宋体"/>
        </w:rPr>
        <w:t>（一）发包人工作人员有违反本责任书第一、二条责任行为的，按照管理权限，依据有关法律法规和规定给予党纪、政纪处分或组织处理；涉嫌犯罪的，移交司法机关追究刑事责任；由此造成承包人单位经济损失的，应予以赔偿。</w:t>
      </w:r>
    </w:p>
    <w:p>
      <w:pPr>
        <w:spacing w:line="420" w:lineRule="exact"/>
        <w:ind w:firstLine="480"/>
        <w:rPr>
          <w:rFonts w:ascii="宋体" w:hAnsi="宋体" w:cs="宋体"/>
        </w:rPr>
      </w:pPr>
      <w:r>
        <w:rPr>
          <w:rFonts w:hint="eastAsia" w:ascii="宋体" w:hAnsi="宋体" w:cs="宋体"/>
        </w:rPr>
        <w:t>（二）承包人工作人员有违反本责任书第一、三条责任行为的，按照管理权限，依据有关法律法规和规定给予党纪、政纪处分或组织处理；涉嫌犯罪的，移交司法机关追究刑事责任；给发包人单位造成经济损失的，应予以赔偿。</w:t>
      </w:r>
    </w:p>
    <w:p>
      <w:pPr>
        <w:spacing w:line="420" w:lineRule="exact"/>
        <w:ind w:firstLine="480"/>
        <w:rPr>
          <w:rFonts w:ascii="宋体" w:hAnsi="宋体" w:cs="宋体"/>
        </w:rPr>
      </w:pPr>
      <w:r>
        <w:rPr>
          <w:rFonts w:hint="eastAsia" w:ascii="宋体" w:hAnsi="宋体" w:cs="宋体"/>
        </w:rPr>
        <w:t>第五条 本责任书作为合同协议书的组成部分并具有同等法律效果，附在每份合同文件中。经双方及各自监督单位签署后立即生效。</w:t>
      </w:r>
    </w:p>
    <w:p>
      <w:pPr>
        <w:spacing w:line="420" w:lineRule="exact"/>
        <w:ind w:firstLine="480"/>
        <w:rPr>
          <w:rFonts w:ascii="宋体" w:hAnsi="宋体" w:cs="宋体"/>
        </w:rPr>
      </w:pPr>
      <w:r>
        <w:rPr>
          <w:rFonts w:hint="eastAsia" w:ascii="宋体" w:hAnsi="宋体" w:cs="宋体"/>
        </w:rPr>
        <w:t>第六条 本责任书的有效期为双方签署之日起至合同履行完毕止。</w:t>
      </w:r>
    </w:p>
    <w:p>
      <w:pPr>
        <w:spacing w:line="420" w:lineRule="exact"/>
        <w:ind w:firstLine="480"/>
        <w:rPr>
          <w:rFonts w:ascii="宋体" w:hAnsi="宋体" w:cs="宋体"/>
        </w:rPr>
      </w:pPr>
    </w:p>
    <w:p>
      <w:pPr>
        <w:spacing w:line="420" w:lineRule="exact"/>
        <w:ind w:firstLine="480"/>
        <w:rPr>
          <w:rFonts w:ascii="宋体" w:hAnsi="宋体" w:cs="宋体"/>
        </w:rPr>
      </w:pPr>
    </w:p>
    <w:p>
      <w:pPr>
        <w:keepNext/>
        <w:keepLines/>
        <w:tabs>
          <w:tab w:val="left" w:pos="1440"/>
        </w:tabs>
        <w:spacing w:before="240" w:after="64" w:line="420" w:lineRule="exact"/>
        <w:ind w:left="1152" w:hanging="1152"/>
        <w:jc w:val="left"/>
        <w:outlineLvl w:val="5"/>
        <w:rPr>
          <w:rFonts w:ascii="Arial" w:hAnsi="Arial" w:eastAsia="黑体"/>
          <w:b/>
          <w:bCs/>
          <w:kern w:val="0"/>
        </w:rPr>
      </w:pPr>
    </w:p>
    <w:p>
      <w:pPr>
        <w:spacing w:line="420" w:lineRule="exact"/>
        <w:ind w:firstLine="480"/>
        <w:rPr>
          <w:rFonts w:ascii="宋体" w:hAnsi="宋体" w:cs="宋体"/>
        </w:rPr>
      </w:pPr>
      <w:r>
        <w:rPr>
          <w:rFonts w:hint="eastAsia" w:ascii="宋体" w:hAnsi="宋体" w:cs="宋体"/>
        </w:rPr>
        <w:t>发包人：                              承包人：</w:t>
      </w:r>
    </w:p>
    <w:p>
      <w:pPr>
        <w:spacing w:line="420" w:lineRule="exact"/>
        <w:ind w:firstLine="480"/>
        <w:rPr>
          <w:rFonts w:ascii="宋体" w:hAnsi="宋体" w:cs="宋体"/>
        </w:rPr>
      </w:pPr>
      <w:r>
        <w:rPr>
          <w:rFonts w:hint="eastAsia" w:ascii="宋体" w:hAnsi="宋体" w:cs="宋体"/>
        </w:rPr>
        <w:t>法定代表人：                          法定代表人：</w:t>
      </w:r>
    </w:p>
    <w:p>
      <w:pPr>
        <w:spacing w:line="420" w:lineRule="exact"/>
        <w:ind w:firstLine="480"/>
        <w:rPr>
          <w:rFonts w:ascii="宋体" w:hAnsi="宋体" w:cs="宋体"/>
        </w:rPr>
      </w:pPr>
      <w:r>
        <w:rPr>
          <w:rFonts w:hint="eastAsia" w:ascii="宋体" w:hAnsi="宋体" w:cs="宋体"/>
        </w:rPr>
        <w:t>或                                    或</w:t>
      </w:r>
    </w:p>
    <w:p>
      <w:pPr>
        <w:spacing w:line="420" w:lineRule="exact"/>
        <w:ind w:firstLine="480"/>
        <w:rPr>
          <w:rFonts w:ascii="宋体" w:hAnsi="宋体" w:cs="宋体"/>
        </w:rPr>
      </w:pPr>
      <w:r>
        <w:rPr>
          <w:rFonts w:hint="eastAsia" w:ascii="宋体" w:hAnsi="宋体" w:cs="宋体"/>
        </w:rPr>
        <w:t>委托代理人：                          委托代理人：</w:t>
      </w:r>
    </w:p>
    <w:p>
      <w:pPr>
        <w:spacing w:line="420" w:lineRule="exact"/>
        <w:ind w:firstLine="480"/>
        <w:rPr>
          <w:rFonts w:ascii="宋体" w:hAnsi="宋体" w:cs="宋体"/>
        </w:rPr>
      </w:pPr>
      <w:r>
        <w:rPr>
          <w:rFonts w:hint="eastAsia" w:ascii="宋体" w:hAnsi="宋体" w:cs="宋体"/>
        </w:rPr>
        <w:t>联系人：                              联系人：</w:t>
      </w:r>
    </w:p>
    <w:p>
      <w:pPr>
        <w:spacing w:line="420" w:lineRule="exact"/>
        <w:ind w:firstLine="480"/>
        <w:rPr>
          <w:rFonts w:ascii="宋体" w:hAnsi="宋体" w:cs="宋体"/>
        </w:rPr>
      </w:pPr>
      <w:r>
        <w:rPr>
          <w:rFonts w:hint="eastAsia" w:ascii="宋体" w:hAnsi="宋体" w:cs="宋体"/>
        </w:rPr>
        <w:t>电话：                                电话：</w:t>
      </w:r>
    </w:p>
    <w:p>
      <w:pPr>
        <w:spacing w:line="420" w:lineRule="exact"/>
        <w:ind w:firstLine="480"/>
        <w:rPr>
          <w:rFonts w:ascii="宋体" w:hAnsi="宋体" w:cs="宋体"/>
        </w:rPr>
      </w:pPr>
      <w:r>
        <w:rPr>
          <w:rFonts w:hint="eastAsia" w:ascii="宋体" w:hAnsi="宋体" w:cs="宋体"/>
        </w:rPr>
        <w:t>时间：     年  月  日                 时间： 年  月  日</w:t>
      </w:r>
    </w:p>
    <w:p>
      <w:pPr>
        <w:spacing w:line="420" w:lineRule="exact"/>
        <w:ind w:firstLine="482"/>
        <w:outlineLvl w:val="2"/>
        <w:rPr>
          <w:rFonts w:ascii="宋体" w:cs="宋体"/>
        </w:rPr>
      </w:pPr>
      <w:r>
        <w:rPr>
          <w:rFonts w:hint="eastAsia" w:ascii="宋体" w:hAnsi="宋体" w:cs="宋体"/>
        </w:rPr>
        <w:br w:type="page"/>
      </w:r>
      <w:bookmarkStart w:id="248" w:name="_Toc84265662"/>
      <w:bookmarkStart w:id="249" w:name="_Toc25009"/>
      <w:bookmarkStart w:id="250" w:name="_Toc10873"/>
      <w:r>
        <w:rPr>
          <w:rFonts w:hint="eastAsia" w:ascii="宋体" w:cs="宋体"/>
        </w:rPr>
        <w:t>附件三：安全生产协议书</w:t>
      </w:r>
      <w:bookmarkEnd w:id="248"/>
      <w:bookmarkEnd w:id="249"/>
      <w:bookmarkEnd w:id="250"/>
    </w:p>
    <w:p>
      <w:pPr>
        <w:spacing w:line="420" w:lineRule="exact"/>
        <w:ind w:firstLine="562"/>
        <w:jc w:val="center"/>
        <w:rPr>
          <w:rFonts w:ascii="宋体" w:hAnsi="宋体" w:cs="宋体"/>
          <w:b/>
          <w:bCs/>
        </w:rPr>
      </w:pPr>
      <w:r>
        <w:rPr>
          <w:rFonts w:hint="eastAsia" w:ascii="宋体" w:hAnsi="宋体" w:cs="宋体"/>
          <w:b/>
          <w:bCs/>
        </w:rPr>
        <w:t>安全生产协议书</w:t>
      </w:r>
    </w:p>
    <w:p>
      <w:pPr>
        <w:spacing w:line="420" w:lineRule="exact"/>
        <w:ind w:firstLine="480"/>
        <w:rPr>
          <w:rFonts w:ascii="宋体" w:hAnsi="宋体" w:cs="宋体"/>
        </w:rPr>
      </w:pPr>
      <w:r>
        <w:rPr>
          <w:rFonts w:hint="eastAsia" w:ascii="宋体" w:hAnsi="宋体" w:cs="宋体"/>
        </w:rPr>
        <w:t>为保证</w:t>
      </w:r>
      <w:r>
        <w:rPr>
          <w:rFonts w:hint="eastAsia" w:ascii="宋体" w:hAnsi="宋体" w:cs="宋体"/>
          <w:u w:val="single"/>
        </w:rPr>
        <w:t xml:space="preserve">     （工程名称）      </w:t>
      </w:r>
      <w:r>
        <w:rPr>
          <w:rFonts w:hint="eastAsia" w:ascii="宋体" w:hAnsi="宋体" w:cs="宋体"/>
        </w:rPr>
        <w:t>建设的顺利进行，切实做好安全生产管理工作，使工程建设始终保持安全、优质、高效的施工环境，确保本项目的安全目标，本项目发包人</w:t>
      </w:r>
      <w:r>
        <w:rPr>
          <w:rFonts w:hint="eastAsia" w:ascii="宋体" w:hAnsi="宋体" w:cs="宋体"/>
          <w:u w:val="single"/>
        </w:rPr>
        <w:t xml:space="preserve">          （</w:t>
      </w:r>
      <w:r>
        <w:rPr>
          <w:rFonts w:hint="eastAsia" w:ascii="宋体" w:hAnsi="宋体" w:cs="宋体"/>
        </w:rPr>
        <w:t>以下简称“发包人”）与承包人（以下简称“承包人”）特签订安全生产协议。</w:t>
      </w:r>
    </w:p>
    <w:p>
      <w:pPr>
        <w:spacing w:line="420" w:lineRule="exact"/>
        <w:ind w:firstLine="480"/>
        <w:rPr>
          <w:rFonts w:ascii="宋体" w:hAnsi="宋体" w:cs="宋体"/>
        </w:rPr>
      </w:pPr>
      <w:r>
        <w:rPr>
          <w:rFonts w:hint="eastAsia" w:ascii="宋体" w:hAnsi="宋体" w:cs="宋体"/>
        </w:rPr>
        <w:t>一、发包人职责</w:t>
      </w:r>
    </w:p>
    <w:p>
      <w:pPr>
        <w:spacing w:line="420" w:lineRule="exact"/>
        <w:ind w:firstLine="480"/>
        <w:rPr>
          <w:rFonts w:ascii="宋体" w:hAnsi="宋体" w:cs="宋体"/>
        </w:rPr>
      </w:pPr>
      <w:r>
        <w:rPr>
          <w:rFonts w:hint="eastAsia" w:ascii="宋体" w:hAnsi="宋体" w:cs="宋体"/>
        </w:rPr>
        <w:t>1、严格遵守国家有关安全生产的法律法规的规定，认真执行施工总承包合同中的有关安全管理的要求。</w:t>
      </w:r>
    </w:p>
    <w:p>
      <w:pPr>
        <w:spacing w:line="420" w:lineRule="exact"/>
        <w:ind w:firstLine="480"/>
        <w:rPr>
          <w:rFonts w:ascii="宋体" w:hAnsi="宋体" w:cs="宋体"/>
        </w:rPr>
      </w:pPr>
      <w:r>
        <w:rPr>
          <w:rFonts w:hint="eastAsia" w:ascii="宋体" w:hAnsi="宋体" w:cs="宋体"/>
        </w:rPr>
        <w:t>2、坚持“安全第一、预防为主、综合治理”的方针和“管生产必须管安全”的原则进行安全生产管理，做到生产与安全工作同时计划、布置、检查、总结和评比。</w:t>
      </w:r>
    </w:p>
    <w:p>
      <w:pPr>
        <w:spacing w:line="420" w:lineRule="exact"/>
        <w:ind w:firstLine="480"/>
        <w:rPr>
          <w:rFonts w:ascii="宋体" w:hAnsi="宋体" w:cs="宋体"/>
        </w:rPr>
      </w:pPr>
      <w:r>
        <w:rPr>
          <w:rFonts w:hint="eastAsia" w:ascii="宋体" w:hAnsi="宋体" w:cs="宋体"/>
        </w:rPr>
        <w:t>3、定期召开安全生产例会，及时传达国家、中国国家铁路集团有限公司、天津市及铁路沿线地方政府有关安全生产的精神。</w:t>
      </w:r>
    </w:p>
    <w:p>
      <w:pPr>
        <w:spacing w:line="420" w:lineRule="exact"/>
        <w:ind w:firstLine="480"/>
        <w:rPr>
          <w:rFonts w:ascii="宋体" w:hAnsi="宋体" w:cs="宋体"/>
        </w:rPr>
      </w:pPr>
      <w:r>
        <w:rPr>
          <w:rFonts w:hint="eastAsia" w:ascii="宋体" w:hAnsi="宋体" w:cs="宋体"/>
        </w:rPr>
        <w:t>4、组织承包人对施工现场进行安全生产检查，监督承包人及时处理发现的各项安全隐患。</w:t>
      </w:r>
    </w:p>
    <w:p>
      <w:pPr>
        <w:spacing w:line="420" w:lineRule="exact"/>
        <w:ind w:firstLine="480"/>
        <w:rPr>
          <w:rFonts w:ascii="宋体" w:hAnsi="宋体" w:cs="宋体"/>
        </w:rPr>
      </w:pPr>
      <w:r>
        <w:rPr>
          <w:rFonts w:hint="eastAsia" w:ascii="宋体" w:hAnsi="宋体" w:cs="宋体"/>
        </w:rPr>
        <w:t>二、承包人职责</w:t>
      </w:r>
    </w:p>
    <w:p>
      <w:pPr>
        <w:spacing w:line="420" w:lineRule="exact"/>
        <w:ind w:firstLine="480"/>
        <w:rPr>
          <w:rFonts w:ascii="宋体" w:hAnsi="宋体" w:cs="宋体"/>
        </w:rPr>
      </w:pPr>
      <w:r>
        <w:rPr>
          <w:rFonts w:hint="eastAsia" w:ascii="宋体" w:hAnsi="宋体" w:cs="宋体"/>
        </w:rPr>
        <w:t>1、贯彻执行《中华人民共和国安全生产法》、《建设工程安全生产管理条例》及国家、国铁集团、天津市及铁路沿线地方政府和发包人关于安全生产的有关法律、法规、规章、标准和管理办法，履行施工总承包合同中的安全生产职责。</w:t>
      </w:r>
    </w:p>
    <w:p>
      <w:pPr>
        <w:spacing w:line="420" w:lineRule="exact"/>
        <w:ind w:firstLine="480"/>
        <w:rPr>
          <w:rFonts w:ascii="宋体" w:hAnsi="宋体" w:cs="宋体"/>
        </w:rPr>
      </w:pPr>
      <w:r>
        <w:rPr>
          <w:rFonts w:hint="eastAsia" w:ascii="宋体" w:hAnsi="宋体" w:cs="宋体"/>
        </w:rPr>
        <w:t>2、贯彻执行项目管理单位有关安全生产规章制度。</w:t>
      </w:r>
    </w:p>
    <w:p>
      <w:pPr>
        <w:spacing w:line="420" w:lineRule="exact"/>
        <w:ind w:firstLine="480"/>
        <w:rPr>
          <w:rFonts w:ascii="宋体" w:hAnsi="宋体" w:cs="宋体"/>
        </w:rPr>
      </w:pPr>
      <w:r>
        <w:rPr>
          <w:rFonts w:hint="eastAsia" w:ascii="宋体" w:hAnsi="宋体" w:cs="宋体"/>
        </w:rPr>
        <w:t>3、建立健全本工程项目部的安全生产管理组织，负责本项目部的安全生产和管理控制工作。在施工现场配备与其生产规模相适应、具有工程系列技术职称的专职安全生产管理人员。</w:t>
      </w:r>
    </w:p>
    <w:p>
      <w:pPr>
        <w:spacing w:line="420" w:lineRule="exact"/>
        <w:ind w:firstLine="480"/>
        <w:rPr>
          <w:rFonts w:ascii="宋体" w:hAnsi="宋体" w:cs="宋体"/>
        </w:rPr>
      </w:pPr>
      <w:r>
        <w:rPr>
          <w:rFonts w:hint="eastAsia" w:ascii="宋体" w:hAnsi="宋体" w:cs="宋体"/>
        </w:rPr>
        <w:t>4、制定安全生产规章制度及安全管理实施细则，并组织实施。</w:t>
      </w:r>
    </w:p>
    <w:p>
      <w:pPr>
        <w:spacing w:line="420" w:lineRule="exact"/>
        <w:ind w:firstLine="480"/>
        <w:rPr>
          <w:rFonts w:ascii="宋体" w:hAnsi="宋体" w:cs="宋体"/>
        </w:rPr>
      </w:pPr>
      <w:r>
        <w:rPr>
          <w:rFonts w:hint="eastAsia" w:ascii="宋体" w:hAnsi="宋体" w:cs="宋体"/>
        </w:rPr>
        <w:t>5、制定安全生产保证体系、安全生产技术保证措施、劳动保护安全措施及行政安全管理措施，并负责组织实施。</w:t>
      </w:r>
    </w:p>
    <w:p>
      <w:pPr>
        <w:spacing w:line="420" w:lineRule="exact"/>
        <w:ind w:firstLine="480"/>
        <w:rPr>
          <w:rFonts w:ascii="宋体" w:hAnsi="宋体" w:cs="宋体"/>
        </w:rPr>
      </w:pPr>
      <w:r>
        <w:rPr>
          <w:rFonts w:hint="eastAsia" w:ascii="宋体" w:hAnsi="宋体" w:cs="宋体"/>
        </w:rPr>
        <w:t>6、制定并组织实施本工程项目部的安全生产管理考核奖惩办法，并负责组织实施。</w:t>
      </w:r>
    </w:p>
    <w:p>
      <w:pPr>
        <w:spacing w:line="420" w:lineRule="exact"/>
        <w:ind w:firstLine="480"/>
        <w:rPr>
          <w:rFonts w:ascii="宋体" w:hAnsi="宋体" w:cs="宋体"/>
        </w:rPr>
      </w:pPr>
      <w:r>
        <w:rPr>
          <w:rFonts w:hint="eastAsia" w:ascii="宋体" w:hAnsi="宋体" w:cs="宋体"/>
        </w:rPr>
        <w:t>7、建立、健全安全保证体系，安全技术措施或专项施工方案必须符合工程安全管理强制性标准。</w:t>
      </w:r>
    </w:p>
    <w:p>
      <w:pPr>
        <w:spacing w:line="420" w:lineRule="exact"/>
        <w:ind w:firstLine="480"/>
        <w:rPr>
          <w:rFonts w:ascii="宋体" w:hAnsi="宋体" w:cs="宋体"/>
        </w:rPr>
      </w:pPr>
      <w:r>
        <w:rPr>
          <w:rFonts w:hint="eastAsia" w:ascii="宋体" w:hAnsi="宋体" w:cs="宋体"/>
        </w:rPr>
        <w:t>8、抓好安全生产的投入及安全防护措施的落实，对纳入合同的安全作业环境及安全施工措施费用，应当用于安全生产，不得挪作他用。</w:t>
      </w:r>
    </w:p>
    <w:p>
      <w:pPr>
        <w:spacing w:line="420" w:lineRule="exact"/>
        <w:ind w:firstLine="480"/>
        <w:rPr>
          <w:rFonts w:ascii="宋体" w:hAnsi="宋体" w:cs="宋体"/>
        </w:rPr>
      </w:pPr>
      <w:r>
        <w:rPr>
          <w:rFonts w:hint="eastAsia" w:ascii="宋体" w:hAnsi="宋体" w:cs="宋体"/>
        </w:rPr>
        <w:t>9、定期召开安全生产会议，每月一次向监理人、发包人提交安全生产情况及安全生产文明施工总结。</w:t>
      </w:r>
    </w:p>
    <w:p>
      <w:pPr>
        <w:spacing w:line="420" w:lineRule="exact"/>
        <w:ind w:firstLine="480"/>
        <w:rPr>
          <w:rFonts w:ascii="宋体" w:hAnsi="宋体" w:cs="宋体"/>
        </w:rPr>
      </w:pPr>
      <w:r>
        <w:rPr>
          <w:rFonts w:hint="eastAsia" w:ascii="宋体" w:hAnsi="宋体" w:cs="宋体"/>
        </w:rPr>
        <w:t>10、杜绝较大以上安全责任事故，特别是人身伤亡事故、铁路交通事故、特种设备事故及火灾、爆炸事故，重伤率控制在0.5‰以下，轻伤率控制在3‰以下。</w:t>
      </w:r>
    </w:p>
    <w:p>
      <w:pPr>
        <w:spacing w:line="420" w:lineRule="exact"/>
        <w:ind w:firstLine="480"/>
        <w:rPr>
          <w:rFonts w:ascii="宋体" w:hAnsi="宋体" w:cs="宋体"/>
        </w:rPr>
      </w:pPr>
      <w:r>
        <w:rPr>
          <w:rFonts w:hint="eastAsia" w:ascii="宋体" w:hAnsi="宋体" w:cs="宋体"/>
        </w:rPr>
        <w:t>施工现场必须符合天津市及铁路沿线地方政府文明施工的要求，创建文明工地。</w:t>
      </w:r>
    </w:p>
    <w:p>
      <w:pPr>
        <w:spacing w:line="420" w:lineRule="exact"/>
        <w:ind w:firstLine="480"/>
        <w:rPr>
          <w:rFonts w:ascii="宋体" w:hAnsi="宋体" w:cs="宋体"/>
        </w:rPr>
      </w:pPr>
      <w:r>
        <w:rPr>
          <w:rFonts w:hint="eastAsia" w:ascii="宋体" w:hAnsi="宋体" w:cs="宋体"/>
        </w:rPr>
        <w:t>11、发现存在安全隐患的，及时整改；情况严重的，在采取必要措施确保安全前提下，并及时报告监理人和发包人。对发生的安全生产事故应按规定及时、如实按程序向发包人报告，并提交相关的工程事故信息资料，积极负责调查、处理。</w:t>
      </w:r>
    </w:p>
    <w:p>
      <w:pPr>
        <w:spacing w:line="420" w:lineRule="exact"/>
        <w:ind w:firstLine="480"/>
        <w:rPr>
          <w:rFonts w:ascii="宋体" w:hAnsi="宋体" w:cs="宋体"/>
        </w:rPr>
      </w:pPr>
      <w:r>
        <w:rPr>
          <w:rFonts w:hint="eastAsia" w:ascii="宋体" w:hAnsi="宋体" w:cs="宋体"/>
        </w:rPr>
        <w:t>三、违约责任</w:t>
      </w:r>
    </w:p>
    <w:p>
      <w:pPr>
        <w:spacing w:line="420" w:lineRule="exact"/>
        <w:ind w:firstLine="480"/>
        <w:rPr>
          <w:rFonts w:ascii="宋体" w:hAnsi="宋体" w:cs="宋体"/>
        </w:rPr>
      </w:pPr>
      <w:r>
        <w:rPr>
          <w:rFonts w:hint="eastAsia" w:ascii="宋体" w:hAnsi="宋体" w:cs="宋体"/>
        </w:rPr>
        <w:t>如因发包人或承包人违约造成安全事故，将依法追究责任。</w:t>
      </w:r>
    </w:p>
    <w:p>
      <w:pPr>
        <w:spacing w:line="420" w:lineRule="exact"/>
        <w:ind w:firstLine="480"/>
        <w:rPr>
          <w:rFonts w:ascii="宋体" w:hAnsi="宋体" w:cs="宋体"/>
        </w:rPr>
      </w:pPr>
      <w:r>
        <w:rPr>
          <w:rFonts w:hint="eastAsia" w:ascii="宋体" w:hAnsi="宋体" w:cs="宋体"/>
        </w:rPr>
        <w:t>四、考核</w:t>
      </w:r>
    </w:p>
    <w:p>
      <w:pPr>
        <w:spacing w:line="420" w:lineRule="exact"/>
        <w:ind w:firstLine="480"/>
        <w:rPr>
          <w:rFonts w:ascii="宋体" w:hAnsi="宋体" w:cs="宋体"/>
        </w:rPr>
      </w:pPr>
      <w:r>
        <w:rPr>
          <w:rFonts w:hint="eastAsia" w:ascii="宋体" w:hAnsi="宋体" w:cs="宋体"/>
        </w:rPr>
        <w:t>发包人定期或不定期对承包人安全生产管理分期进行综合考核，原则上，施工阶段每3 个月考核一次，准备阶段及竣工验收及缺陷期阶段各考核一次。</w:t>
      </w:r>
    </w:p>
    <w:p>
      <w:pPr>
        <w:spacing w:line="420" w:lineRule="exact"/>
        <w:ind w:firstLine="480"/>
        <w:rPr>
          <w:rFonts w:ascii="宋体" w:hAnsi="宋体" w:cs="宋体"/>
        </w:rPr>
      </w:pPr>
      <w:r>
        <w:rPr>
          <w:rFonts w:hint="eastAsia" w:ascii="宋体" w:hAnsi="宋体" w:cs="宋体"/>
        </w:rPr>
        <w:t>1、考核机构</w:t>
      </w:r>
    </w:p>
    <w:p>
      <w:pPr>
        <w:spacing w:line="420" w:lineRule="exact"/>
        <w:ind w:firstLine="480"/>
        <w:rPr>
          <w:rFonts w:ascii="宋体" w:hAnsi="宋体" w:cs="宋体"/>
        </w:rPr>
      </w:pPr>
      <w:r>
        <w:rPr>
          <w:rFonts w:hint="eastAsia" w:ascii="宋体" w:hAnsi="宋体" w:cs="宋体"/>
        </w:rPr>
        <w:t>发包人组成安全考核小组负责工程安全考核，小组人数为3～5人。</w:t>
      </w:r>
    </w:p>
    <w:p>
      <w:pPr>
        <w:spacing w:line="420" w:lineRule="exact"/>
        <w:ind w:firstLine="480"/>
        <w:rPr>
          <w:rFonts w:ascii="宋体" w:hAnsi="宋体" w:cs="宋体"/>
        </w:rPr>
      </w:pPr>
      <w:r>
        <w:rPr>
          <w:rFonts w:hint="eastAsia" w:ascii="宋体" w:hAnsi="宋体" w:cs="宋体"/>
        </w:rPr>
        <w:t>2、安全考核程序</w:t>
      </w:r>
    </w:p>
    <w:p>
      <w:pPr>
        <w:spacing w:line="420" w:lineRule="exact"/>
        <w:ind w:firstLine="480"/>
        <w:rPr>
          <w:rFonts w:ascii="宋体" w:hAnsi="宋体" w:cs="宋体"/>
        </w:rPr>
      </w:pPr>
      <w:r>
        <w:rPr>
          <w:rFonts w:hint="eastAsia" w:ascii="宋体" w:hAnsi="宋体" w:cs="宋体"/>
        </w:rPr>
        <w:t>发包人发出《工程安全考核通知书》→承包人自评并填写《工程安全检查评分表》→安全考核小组考核→通知承包人安全考核结果→解决争议→无争议→发包人签署安全考核结果→发出《工程安全考核结果通知书》。</w:t>
      </w:r>
    </w:p>
    <w:p>
      <w:pPr>
        <w:spacing w:line="420" w:lineRule="exact"/>
        <w:ind w:firstLine="480"/>
        <w:rPr>
          <w:rFonts w:ascii="宋体" w:hAnsi="宋体" w:cs="宋体"/>
        </w:rPr>
      </w:pPr>
      <w:r>
        <w:rPr>
          <w:rFonts w:hint="eastAsia" w:ascii="宋体" w:hAnsi="宋体" w:cs="宋体"/>
        </w:rPr>
        <w:t>3、考核内容</w:t>
      </w:r>
    </w:p>
    <w:p>
      <w:pPr>
        <w:spacing w:line="420" w:lineRule="exact"/>
        <w:ind w:firstLine="480"/>
        <w:rPr>
          <w:rFonts w:ascii="宋体" w:hAnsi="宋体" w:cs="宋体"/>
        </w:rPr>
      </w:pPr>
      <w:r>
        <w:rPr>
          <w:rFonts w:hint="eastAsia" w:ascii="宋体" w:hAnsi="宋体" w:cs="宋体"/>
        </w:rPr>
        <w:t>安全管理制度是否健全，是否对施工组织或施工方案中的安全措施进行审查，是否定期对施工现场进行安全检查、对存在的安全隐患是否下达整改通知书、安全档案资料管理等。</w:t>
      </w:r>
    </w:p>
    <w:p>
      <w:pPr>
        <w:spacing w:line="420" w:lineRule="exact"/>
        <w:ind w:firstLine="480"/>
        <w:rPr>
          <w:rFonts w:ascii="宋体" w:hAnsi="宋体" w:cs="宋体"/>
        </w:rPr>
      </w:pPr>
      <w:r>
        <w:rPr>
          <w:rFonts w:hint="eastAsia" w:ascii="宋体" w:hAnsi="宋体" w:cs="宋体"/>
        </w:rPr>
        <w:t>4、考核标准</w:t>
      </w:r>
    </w:p>
    <w:p>
      <w:pPr>
        <w:spacing w:line="420" w:lineRule="exact"/>
        <w:ind w:firstLine="480"/>
        <w:rPr>
          <w:rFonts w:ascii="宋体" w:hAnsi="宋体" w:cs="宋体"/>
        </w:rPr>
      </w:pPr>
      <w:r>
        <w:rPr>
          <w:rFonts w:hint="eastAsia" w:ascii="宋体" w:hAnsi="宋体" w:cs="宋体"/>
        </w:rPr>
        <w:t>另行制定。考核分合格、不合格二个档次。</w:t>
      </w:r>
    </w:p>
    <w:p>
      <w:pPr>
        <w:spacing w:line="420" w:lineRule="exact"/>
        <w:ind w:firstLine="480"/>
        <w:rPr>
          <w:rFonts w:ascii="宋体" w:hAnsi="宋体" w:cs="宋体"/>
        </w:rPr>
      </w:pPr>
      <w:r>
        <w:rPr>
          <w:rFonts w:hint="eastAsia" w:ascii="宋体" w:hAnsi="宋体" w:cs="宋体"/>
        </w:rPr>
        <w:t>五、本协议书是施工总承包合同协议书的组成部分并具有同等法律效果，附在每份合同文件中。本协议书的有效期为双方签署之日起至工程项目保修期结束时止。</w:t>
      </w:r>
    </w:p>
    <w:p>
      <w:pPr>
        <w:spacing w:line="420" w:lineRule="exact"/>
        <w:ind w:firstLine="480"/>
        <w:rPr>
          <w:rFonts w:ascii="宋体" w:hAnsi="宋体" w:cs="宋体"/>
        </w:rPr>
      </w:pPr>
    </w:p>
    <w:p>
      <w:pPr>
        <w:spacing w:line="420" w:lineRule="exact"/>
        <w:ind w:firstLine="480"/>
        <w:rPr>
          <w:rFonts w:ascii="宋体" w:hAnsi="宋体" w:cs="宋体"/>
        </w:rPr>
      </w:pPr>
      <w:r>
        <w:rPr>
          <w:rFonts w:hint="eastAsia" w:ascii="宋体" w:hAnsi="宋体" w:cs="宋体"/>
        </w:rPr>
        <w:t>发包人：                                承包人：</w:t>
      </w:r>
    </w:p>
    <w:p>
      <w:pPr>
        <w:spacing w:line="420" w:lineRule="exact"/>
        <w:ind w:firstLine="480"/>
        <w:rPr>
          <w:rFonts w:ascii="宋体" w:hAnsi="宋体" w:cs="宋体"/>
        </w:rPr>
      </w:pPr>
    </w:p>
    <w:p>
      <w:pPr>
        <w:spacing w:line="420" w:lineRule="exact"/>
        <w:ind w:firstLine="480"/>
        <w:rPr>
          <w:rFonts w:ascii="宋体" w:hAnsi="宋体" w:cs="宋体"/>
        </w:rPr>
      </w:pPr>
      <w:r>
        <w:rPr>
          <w:rFonts w:hint="eastAsia" w:ascii="宋体" w:hAnsi="宋体" w:cs="宋体"/>
        </w:rPr>
        <w:t>法定代表人：                            法定代表人：</w:t>
      </w:r>
    </w:p>
    <w:p>
      <w:pPr>
        <w:spacing w:line="420" w:lineRule="exact"/>
        <w:ind w:firstLine="480"/>
        <w:rPr>
          <w:rFonts w:ascii="宋体" w:hAnsi="宋体" w:cs="宋体"/>
        </w:rPr>
      </w:pPr>
      <w:r>
        <w:rPr>
          <w:rFonts w:hint="eastAsia" w:ascii="宋体" w:hAnsi="宋体" w:cs="宋体"/>
        </w:rPr>
        <w:t>或                                      或</w:t>
      </w:r>
    </w:p>
    <w:p>
      <w:pPr>
        <w:spacing w:line="420" w:lineRule="exact"/>
        <w:ind w:firstLine="480"/>
        <w:rPr>
          <w:rFonts w:ascii="宋体" w:hAnsi="宋体" w:cs="宋体"/>
        </w:rPr>
      </w:pPr>
      <w:r>
        <w:rPr>
          <w:rFonts w:hint="eastAsia" w:ascii="宋体" w:hAnsi="宋体" w:cs="宋体"/>
        </w:rPr>
        <w:t>委托代理人：                            委托代理人：</w:t>
      </w:r>
    </w:p>
    <w:p>
      <w:pPr>
        <w:spacing w:line="420" w:lineRule="exact"/>
        <w:ind w:firstLine="480"/>
        <w:rPr>
          <w:rFonts w:ascii="宋体" w:hAnsi="宋体" w:cs="宋体"/>
        </w:rPr>
      </w:pPr>
      <w:r>
        <w:rPr>
          <w:rFonts w:hint="eastAsia" w:ascii="宋体" w:hAnsi="宋体" w:cs="宋体"/>
        </w:rPr>
        <w:t>联系人：                                联系人：</w:t>
      </w:r>
    </w:p>
    <w:p>
      <w:pPr>
        <w:spacing w:line="420" w:lineRule="exact"/>
        <w:ind w:firstLine="480"/>
        <w:rPr>
          <w:rFonts w:ascii="宋体" w:hAnsi="宋体" w:cs="宋体"/>
        </w:rPr>
      </w:pPr>
      <w:r>
        <w:rPr>
          <w:rFonts w:hint="eastAsia" w:ascii="宋体" w:hAnsi="宋体" w:cs="宋体"/>
        </w:rPr>
        <w:t>电话：                                  电话：</w:t>
      </w:r>
    </w:p>
    <w:p>
      <w:pPr>
        <w:spacing w:line="420" w:lineRule="exact"/>
        <w:ind w:firstLine="480"/>
        <w:rPr>
          <w:rFonts w:ascii="宋体" w:hAnsi="宋体" w:cs="宋体"/>
        </w:rPr>
      </w:pPr>
      <w:r>
        <w:rPr>
          <w:rFonts w:hint="eastAsia" w:ascii="宋体" w:hAnsi="宋体" w:cs="宋体"/>
        </w:rPr>
        <w:t>时间：  年  月  日                      时间：  年  月  日</w:t>
      </w:r>
    </w:p>
    <w:p>
      <w:pPr>
        <w:spacing w:line="420" w:lineRule="exact"/>
        <w:rPr>
          <w:rFonts w:ascii="宋体" w:hAnsi="宋体" w:cs="宋体"/>
        </w:rPr>
      </w:pPr>
    </w:p>
    <w:p>
      <w:pPr>
        <w:keepNext/>
        <w:keepLines/>
        <w:spacing w:before="260" w:after="260" w:line="420" w:lineRule="exact"/>
        <w:ind w:firstLine="102" w:firstLineChars="49"/>
        <w:outlineLvl w:val="2"/>
        <w:rPr>
          <w:rFonts w:ascii="宋体" w:hAnsi="宋体" w:cs="宋体"/>
          <w:bCs/>
        </w:rPr>
      </w:pPr>
      <w:r>
        <w:rPr>
          <w:rFonts w:hint="eastAsia" w:ascii="宋体" w:hAnsi="宋体" w:cs="宋体"/>
          <w:bCs/>
        </w:rPr>
        <w:br w:type="page"/>
      </w:r>
      <w:bookmarkStart w:id="251" w:name="_Toc84265663"/>
      <w:r>
        <w:rPr>
          <w:rFonts w:hint="eastAsia" w:ascii="宋体" w:hAnsi="宋体" w:cs="宋体"/>
          <w:bCs/>
        </w:rPr>
        <w:t>附件四：已标价工点清单</w:t>
      </w:r>
      <w:bookmarkEnd w:id="251"/>
    </w:p>
    <w:p>
      <w:pPr>
        <w:keepNext/>
        <w:keepLines/>
        <w:spacing w:before="260" w:after="260" w:line="415" w:lineRule="auto"/>
        <w:ind w:firstLine="117" w:firstLineChars="49"/>
        <w:outlineLvl w:val="2"/>
        <w:rPr>
          <w:rFonts w:ascii="宋体" w:hAnsi="宋体" w:cs="宋体"/>
          <w:bCs/>
          <w:sz w:val="24"/>
        </w:rPr>
      </w:pPr>
      <w:r>
        <w:rPr>
          <w:rFonts w:ascii="宋体" w:hAnsi="宋体" w:cs="宋体"/>
          <w:bCs/>
          <w:sz w:val="24"/>
        </w:rPr>
        <w:br w:type="page"/>
      </w:r>
    </w:p>
    <w:p>
      <w:pPr>
        <w:spacing w:line="560" w:lineRule="exact"/>
        <w:ind w:firstLine="480" w:firstLineChars="200"/>
        <w:rPr>
          <w:rFonts w:ascii="宋体"/>
          <w:sz w:val="24"/>
          <w:szCs w:val="24"/>
        </w:rPr>
      </w:pPr>
    </w:p>
    <w:bookmarkEnd w:id="209"/>
    <w:bookmarkEnd w:id="210"/>
    <w:p>
      <w:pPr>
        <w:rPr>
          <w:rFonts w:ascii="宋体"/>
        </w:rPr>
      </w:pPr>
    </w:p>
    <w:p>
      <w:pPr>
        <w:widowControl/>
        <w:jc w:val="left"/>
        <w:rPr>
          <w:rFonts w:ascii="宋体"/>
        </w:rPr>
      </w:pPr>
      <w:bookmarkStart w:id="252" w:name="BM35"/>
      <w:bookmarkEnd w:id="252"/>
      <w:bookmarkStart w:id="253" w:name="BM27"/>
      <w:bookmarkEnd w:id="253"/>
      <w:bookmarkStart w:id="254" w:name="_bookmark95"/>
      <w:bookmarkEnd w:id="254"/>
      <w:bookmarkStart w:id="255" w:name="BM25"/>
      <w:bookmarkEnd w:id="255"/>
      <w:bookmarkStart w:id="256" w:name="_bookmark91"/>
      <w:bookmarkEnd w:id="256"/>
      <w:bookmarkStart w:id="257" w:name="BM23"/>
      <w:bookmarkEnd w:id="257"/>
      <w:bookmarkStart w:id="258" w:name="_bookmark90"/>
      <w:bookmarkEnd w:id="258"/>
      <w:bookmarkStart w:id="259" w:name="BM29"/>
      <w:bookmarkEnd w:id="259"/>
      <w:bookmarkStart w:id="260" w:name="BM31"/>
      <w:bookmarkEnd w:id="260"/>
      <w:bookmarkStart w:id="261" w:name="BM26"/>
      <w:bookmarkEnd w:id="261"/>
      <w:bookmarkStart w:id="262" w:name="_bookmark93"/>
      <w:bookmarkEnd w:id="262"/>
      <w:bookmarkStart w:id="263" w:name="BM24"/>
      <w:bookmarkEnd w:id="263"/>
      <w:bookmarkStart w:id="264" w:name="BM28"/>
      <w:bookmarkEnd w:id="264"/>
      <w:bookmarkStart w:id="265" w:name="_bookmark89"/>
      <w:bookmarkEnd w:id="265"/>
      <w:bookmarkStart w:id="266" w:name="BM32"/>
      <w:bookmarkEnd w:id="266"/>
      <w:bookmarkStart w:id="267" w:name="_bookmark92"/>
      <w:bookmarkEnd w:id="267"/>
      <w:bookmarkStart w:id="268" w:name="_bookmark94"/>
      <w:bookmarkEnd w:id="268"/>
      <w:bookmarkStart w:id="269" w:name="_bookmark87"/>
      <w:bookmarkEnd w:id="269"/>
      <w:bookmarkStart w:id="270" w:name="_bookmark88"/>
      <w:bookmarkEnd w:id="270"/>
    </w:p>
    <w:p>
      <w:pPr>
        <w:pStyle w:val="3"/>
        <w:jc w:val="center"/>
        <w:rPr>
          <w:rFonts w:ascii="宋体"/>
        </w:rPr>
      </w:pPr>
      <w:bookmarkStart w:id="271" w:name="_Toc84265664"/>
      <w:r>
        <w:rPr>
          <w:rFonts w:hint="eastAsia" w:ascii="宋体" w:hAnsi="宋体" w:cs="宋体"/>
        </w:rPr>
        <w:t>第五章</w:t>
      </w:r>
      <w:r>
        <w:rPr>
          <w:rFonts w:ascii="宋体" w:hAnsi="宋体" w:cs="宋体"/>
        </w:rPr>
        <w:t xml:space="preserve"> </w:t>
      </w:r>
      <w:r>
        <w:rPr>
          <w:rFonts w:hint="eastAsia" w:ascii="宋体" w:hAnsi="宋体" w:cs="宋体"/>
        </w:rPr>
        <w:t>发包人要求</w:t>
      </w:r>
      <w:bookmarkEnd w:id="271"/>
    </w:p>
    <w:p>
      <w:pPr>
        <w:spacing w:line="440" w:lineRule="exact"/>
        <w:rPr>
          <w:rFonts w:ascii="宋体"/>
        </w:rPr>
      </w:pPr>
    </w:p>
    <w:p>
      <w:pPr>
        <w:spacing w:line="440" w:lineRule="exact"/>
        <w:rPr>
          <w:rFonts w:ascii="宋体"/>
        </w:rPr>
      </w:pPr>
    </w:p>
    <w:p>
      <w:pPr>
        <w:widowControl/>
        <w:jc w:val="left"/>
        <w:rPr>
          <w:rFonts w:ascii="宋体"/>
        </w:rPr>
      </w:pPr>
      <w:r>
        <w:rPr>
          <w:rFonts w:ascii="宋体"/>
        </w:rPr>
        <w:br w:type="page"/>
      </w:r>
    </w:p>
    <w:p>
      <w:pPr>
        <w:spacing w:line="420" w:lineRule="exact"/>
        <w:ind w:firstLine="422" w:firstLineChars="200"/>
        <w:outlineLvl w:val="1"/>
        <w:rPr>
          <w:rFonts w:ascii="宋体" w:cs="宋体"/>
          <w:b/>
          <w:bCs/>
        </w:rPr>
      </w:pPr>
      <w:bookmarkStart w:id="272" w:name="_Toc448073639"/>
      <w:bookmarkStart w:id="273" w:name="_Toc449366081"/>
      <w:bookmarkStart w:id="274" w:name="_Toc22286"/>
      <w:bookmarkStart w:id="275" w:name="_Toc11783"/>
      <w:bookmarkStart w:id="276" w:name="_Toc84265665"/>
      <w:bookmarkStart w:id="277" w:name="_Toc19224"/>
      <w:r>
        <w:rPr>
          <w:rFonts w:hint="eastAsia" w:ascii="宋体" w:cs="宋体"/>
          <w:b/>
          <w:bCs/>
        </w:rPr>
        <w:t>一、</w:t>
      </w:r>
      <w:bookmarkEnd w:id="272"/>
      <w:bookmarkEnd w:id="273"/>
      <w:r>
        <w:rPr>
          <w:rFonts w:hint="eastAsia" w:ascii="宋体" w:cs="宋体"/>
          <w:b/>
          <w:bCs/>
        </w:rPr>
        <w:t>招标内容</w:t>
      </w:r>
      <w:bookmarkEnd w:id="274"/>
      <w:bookmarkEnd w:id="275"/>
      <w:bookmarkEnd w:id="276"/>
    </w:p>
    <w:bookmarkEnd w:id="277"/>
    <w:p>
      <w:pPr>
        <w:spacing w:line="420" w:lineRule="exact"/>
        <w:ind w:firstLine="840" w:firstLineChars="400"/>
        <w:outlineLvl w:val="1"/>
        <w:rPr>
          <w:rFonts w:ascii="宋体" w:cs="宋体"/>
        </w:rPr>
      </w:pPr>
      <w:bookmarkStart w:id="278" w:name="_Toc84265666"/>
      <w:bookmarkStart w:id="279" w:name="_Toc6624"/>
      <w:bookmarkStart w:id="280" w:name="_Toc1918"/>
      <w:bookmarkStart w:id="281" w:name="_Toc448073640"/>
      <w:bookmarkStart w:id="282" w:name="_Toc30571"/>
      <w:bookmarkStart w:id="283" w:name="_Toc449366082"/>
      <w:r>
        <w:rPr>
          <w:rFonts w:hint="eastAsia" w:ascii="宋体" w:cs="宋体"/>
        </w:rPr>
        <w:t>详招标公告。</w:t>
      </w:r>
      <w:bookmarkEnd w:id="278"/>
    </w:p>
    <w:p>
      <w:pPr>
        <w:pStyle w:val="169"/>
        <w:spacing w:line="420" w:lineRule="exact"/>
        <w:ind w:firstLine="422"/>
        <w:outlineLvl w:val="1"/>
        <w:rPr>
          <w:rFonts w:ascii="宋体" w:cs="宋体"/>
          <w:b/>
          <w:bCs/>
          <w:szCs w:val="21"/>
        </w:rPr>
      </w:pPr>
      <w:bookmarkStart w:id="284" w:name="_Toc84265667"/>
      <w:r>
        <w:rPr>
          <w:rFonts w:hint="eastAsia" w:ascii="宋体" w:cs="宋体"/>
          <w:b/>
          <w:bCs/>
          <w:szCs w:val="21"/>
        </w:rPr>
        <w:t>二、工程范围</w:t>
      </w:r>
      <w:bookmarkEnd w:id="279"/>
      <w:bookmarkEnd w:id="280"/>
      <w:bookmarkEnd w:id="281"/>
      <w:bookmarkEnd w:id="282"/>
      <w:bookmarkEnd w:id="283"/>
      <w:bookmarkEnd w:id="284"/>
    </w:p>
    <w:p>
      <w:pPr>
        <w:spacing w:line="420" w:lineRule="exact"/>
        <w:ind w:firstLine="840" w:firstLineChars="400"/>
        <w:outlineLvl w:val="1"/>
        <w:rPr>
          <w:rFonts w:ascii="宋体" w:cs="宋体"/>
        </w:rPr>
      </w:pPr>
      <w:bookmarkStart w:id="285" w:name="_Toc84265668"/>
      <w:bookmarkStart w:id="286" w:name="_Toc24212"/>
      <w:bookmarkStart w:id="287" w:name="_Toc30775"/>
      <w:bookmarkStart w:id="288" w:name="_Toc448073642"/>
      <w:bookmarkStart w:id="289" w:name="_Toc19887"/>
      <w:bookmarkStart w:id="290" w:name="_Toc449366084"/>
      <w:r>
        <w:rPr>
          <w:rFonts w:hint="eastAsia" w:ascii="宋体" w:cs="宋体"/>
        </w:rPr>
        <w:t>详招标公告。</w:t>
      </w:r>
      <w:bookmarkEnd w:id="285"/>
    </w:p>
    <w:p>
      <w:pPr>
        <w:spacing w:line="420" w:lineRule="exact"/>
        <w:ind w:firstLine="422" w:firstLineChars="200"/>
        <w:outlineLvl w:val="1"/>
        <w:rPr>
          <w:rFonts w:ascii="宋体" w:cs="宋体"/>
          <w:b/>
          <w:bCs/>
        </w:rPr>
      </w:pPr>
      <w:bookmarkStart w:id="291" w:name="_Toc84265669"/>
      <w:r>
        <w:rPr>
          <w:rFonts w:hint="eastAsia" w:ascii="宋体" w:cs="宋体"/>
          <w:b/>
          <w:bCs/>
        </w:rPr>
        <w:t>三、时间要求</w:t>
      </w:r>
      <w:bookmarkEnd w:id="286"/>
      <w:bookmarkEnd w:id="287"/>
      <w:bookmarkEnd w:id="288"/>
      <w:bookmarkEnd w:id="289"/>
      <w:bookmarkEnd w:id="290"/>
      <w:bookmarkEnd w:id="291"/>
    </w:p>
    <w:p>
      <w:pPr>
        <w:spacing w:line="420" w:lineRule="exact"/>
        <w:ind w:left="479" w:leftChars="228" w:firstLine="420" w:firstLineChars="200"/>
        <w:rPr>
          <w:rFonts w:ascii="宋体" w:cs="宋体"/>
        </w:rPr>
      </w:pPr>
      <w:r>
        <w:rPr>
          <w:rFonts w:hint="eastAsia" w:ascii="宋体" w:cs="宋体"/>
        </w:rPr>
        <w:t>（一）开始时间：详合同条款。</w:t>
      </w:r>
    </w:p>
    <w:p>
      <w:pPr>
        <w:spacing w:line="420" w:lineRule="exact"/>
        <w:ind w:left="479" w:leftChars="228" w:firstLine="420" w:firstLineChars="200"/>
        <w:rPr>
          <w:rFonts w:ascii="宋体" w:cs="宋体"/>
        </w:rPr>
      </w:pPr>
      <w:r>
        <w:rPr>
          <w:rFonts w:hint="eastAsia" w:ascii="宋体" w:cs="宋体"/>
        </w:rPr>
        <w:t>（二）完成时间：详合同条款。</w:t>
      </w:r>
    </w:p>
    <w:p>
      <w:pPr>
        <w:spacing w:line="420" w:lineRule="exact"/>
        <w:ind w:left="479" w:leftChars="228" w:firstLine="420" w:firstLineChars="200"/>
        <w:rPr>
          <w:rFonts w:ascii="宋体" w:cs="宋体"/>
        </w:rPr>
      </w:pPr>
      <w:r>
        <w:rPr>
          <w:rFonts w:hint="eastAsia" w:ascii="宋体" w:cs="宋体"/>
        </w:rPr>
        <w:t>（三）质量保修期：详合同条款。</w:t>
      </w:r>
    </w:p>
    <w:p>
      <w:pPr>
        <w:spacing w:line="420" w:lineRule="exact"/>
        <w:ind w:firstLine="422" w:firstLineChars="200"/>
        <w:outlineLvl w:val="1"/>
        <w:rPr>
          <w:rFonts w:ascii="宋体" w:cs="宋体"/>
        </w:rPr>
      </w:pPr>
      <w:bookmarkStart w:id="292" w:name="_Toc448073643"/>
      <w:bookmarkStart w:id="293" w:name="_Toc449366085"/>
      <w:bookmarkStart w:id="294" w:name="_Toc25058"/>
      <w:bookmarkStart w:id="295" w:name="_Toc30332"/>
      <w:bookmarkStart w:id="296" w:name="_Toc84265670"/>
      <w:bookmarkStart w:id="297" w:name="_Toc15521"/>
      <w:r>
        <w:rPr>
          <w:rFonts w:hint="eastAsia" w:ascii="宋体" w:cs="宋体"/>
          <w:b/>
          <w:bCs/>
        </w:rPr>
        <w:t>四、技术要求</w:t>
      </w:r>
      <w:bookmarkEnd w:id="292"/>
      <w:bookmarkEnd w:id="293"/>
      <w:r>
        <w:rPr>
          <w:rFonts w:hint="eastAsia" w:ascii="宋体" w:cs="宋体"/>
        </w:rPr>
        <w:t>：</w:t>
      </w:r>
      <w:bookmarkEnd w:id="294"/>
      <w:r>
        <w:rPr>
          <w:rFonts w:hint="eastAsia" w:ascii="宋体" w:cs="宋体"/>
        </w:rPr>
        <w:t>详见第七章技术标准和要求。</w:t>
      </w:r>
      <w:bookmarkEnd w:id="295"/>
      <w:bookmarkEnd w:id="296"/>
    </w:p>
    <w:bookmarkEnd w:id="297"/>
    <w:p>
      <w:pPr>
        <w:spacing w:line="420" w:lineRule="exact"/>
        <w:ind w:firstLine="422" w:firstLineChars="200"/>
        <w:outlineLvl w:val="1"/>
        <w:rPr>
          <w:rFonts w:ascii="宋体" w:cs="宋体"/>
        </w:rPr>
      </w:pPr>
      <w:bookmarkStart w:id="298" w:name="_Toc448073644"/>
      <w:bookmarkStart w:id="299" w:name="_Toc436933302"/>
      <w:bookmarkStart w:id="300" w:name="_Toc454791865"/>
      <w:bookmarkStart w:id="301" w:name="_Toc437353120"/>
      <w:bookmarkStart w:id="302" w:name="_Toc449366086"/>
      <w:bookmarkStart w:id="303" w:name="_Toc28460"/>
      <w:bookmarkStart w:id="304" w:name="_Toc84265671"/>
      <w:bookmarkStart w:id="305" w:name="_Toc21220"/>
      <w:bookmarkStart w:id="306" w:name="_Toc449366087"/>
      <w:bookmarkStart w:id="307" w:name="_Toc448073645"/>
      <w:bookmarkStart w:id="308" w:name="_Toc973"/>
      <w:bookmarkStart w:id="309" w:name="_Toc7979"/>
      <w:r>
        <w:rPr>
          <w:rFonts w:hint="eastAsia" w:ascii="宋体" w:cs="宋体"/>
          <w:b/>
          <w:bCs/>
        </w:rPr>
        <w:t>五、BIM技术运用</w:t>
      </w:r>
      <w:bookmarkEnd w:id="298"/>
      <w:bookmarkEnd w:id="299"/>
      <w:bookmarkEnd w:id="300"/>
      <w:bookmarkEnd w:id="301"/>
      <w:bookmarkEnd w:id="302"/>
      <w:bookmarkStart w:id="310" w:name="_Toc436933303"/>
      <w:bookmarkStart w:id="311" w:name="_Toc437353121"/>
      <w:r>
        <w:rPr>
          <w:rFonts w:hint="eastAsia" w:ascii="宋体" w:cs="宋体"/>
        </w:rPr>
        <w:t>：无</w:t>
      </w:r>
      <w:bookmarkEnd w:id="303"/>
      <w:r>
        <w:rPr>
          <w:rFonts w:hint="eastAsia" w:ascii="宋体" w:cs="宋体"/>
        </w:rPr>
        <w:t>。</w:t>
      </w:r>
      <w:bookmarkEnd w:id="304"/>
    </w:p>
    <w:bookmarkEnd w:id="310"/>
    <w:bookmarkEnd w:id="311"/>
    <w:p>
      <w:pPr>
        <w:spacing w:line="420" w:lineRule="exact"/>
        <w:ind w:firstLine="422" w:firstLineChars="200"/>
        <w:outlineLvl w:val="1"/>
        <w:rPr>
          <w:rFonts w:ascii="宋体"/>
        </w:rPr>
      </w:pPr>
      <w:bookmarkStart w:id="312" w:name="_Toc84265672"/>
      <w:r>
        <w:rPr>
          <w:rFonts w:hint="eastAsia" w:ascii="宋体"/>
          <w:b/>
          <w:bCs/>
        </w:rPr>
        <w:t>六、竣工验收</w:t>
      </w:r>
      <w:r>
        <w:rPr>
          <w:rFonts w:hint="eastAsia" w:ascii="宋体"/>
        </w:rPr>
        <w:t>：</w:t>
      </w:r>
      <w:r>
        <w:rPr>
          <w:rFonts w:hint="eastAsia" w:ascii="宋体" w:cs="宋体"/>
        </w:rPr>
        <w:t>详合同条款。</w:t>
      </w:r>
      <w:bookmarkEnd w:id="312"/>
    </w:p>
    <w:bookmarkEnd w:id="305"/>
    <w:bookmarkEnd w:id="306"/>
    <w:bookmarkEnd w:id="307"/>
    <w:bookmarkEnd w:id="308"/>
    <w:bookmarkEnd w:id="309"/>
    <w:p>
      <w:pPr>
        <w:spacing w:line="420" w:lineRule="exact"/>
        <w:ind w:firstLine="422" w:firstLineChars="200"/>
        <w:outlineLvl w:val="1"/>
        <w:rPr>
          <w:rFonts w:ascii="宋体"/>
          <w:b/>
          <w:bCs/>
        </w:rPr>
      </w:pPr>
      <w:bookmarkStart w:id="313" w:name="_Toc31256"/>
      <w:bookmarkStart w:id="314" w:name="_Toc84265673"/>
      <w:bookmarkStart w:id="315" w:name="_Toc23945"/>
      <w:bookmarkStart w:id="316" w:name="_Toc449366089"/>
      <w:bookmarkStart w:id="317" w:name="_Toc5927"/>
      <w:bookmarkStart w:id="318" w:name="_Toc448073647"/>
      <w:r>
        <w:rPr>
          <w:rFonts w:hint="eastAsia" w:ascii="宋体"/>
          <w:b/>
          <w:bCs/>
        </w:rPr>
        <w:t>七、文件要求</w:t>
      </w:r>
      <w:bookmarkEnd w:id="313"/>
      <w:bookmarkEnd w:id="314"/>
      <w:bookmarkEnd w:id="315"/>
      <w:bookmarkEnd w:id="316"/>
      <w:bookmarkEnd w:id="317"/>
      <w:bookmarkEnd w:id="318"/>
    </w:p>
    <w:p>
      <w:pPr>
        <w:spacing w:line="420" w:lineRule="exact"/>
        <w:ind w:firstLine="840" w:firstLineChars="400"/>
        <w:rPr>
          <w:rFonts w:ascii="宋体"/>
        </w:rPr>
      </w:pPr>
      <w:r>
        <w:rPr>
          <w:rFonts w:hint="eastAsia" w:ascii="宋体"/>
        </w:rPr>
        <w:t>（一）设计文件及其相关审批、核准、备案要求。</w:t>
      </w:r>
    </w:p>
    <w:p>
      <w:pPr>
        <w:spacing w:line="420" w:lineRule="exact"/>
        <w:ind w:firstLine="840" w:firstLineChars="400"/>
        <w:rPr>
          <w:rFonts w:ascii="宋体"/>
        </w:rPr>
      </w:pPr>
      <w:r>
        <w:rPr>
          <w:rFonts w:hint="eastAsia" w:ascii="宋体"/>
        </w:rPr>
        <w:t>（二）竣工文件和工程的其他记录。</w:t>
      </w:r>
    </w:p>
    <w:p>
      <w:pPr>
        <w:spacing w:line="420" w:lineRule="exact"/>
        <w:ind w:firstLine="840" w:firstLineChars="400"/>
        <w:rPr>
          <w:rFonts w:ascii="宋体"/>
        </w:rPr>
      </w:pPr>
      <w:r>
        <w:rPr>
          <w:rFonts w:hint="eastAsia" w:ascii="宋体"/>
        </w:rPr>
        <w:t>（三）其他承包人文件。</w:t>
      </w:r>
    </w:p>
    <w:p>
      <w:pPr>
        <w:spacing w:line="420" w:lineRule="exact"/>
        <w:ind w:firstLine="422" w:firstLineChars="200"/>
        <w:outlineLvl w:val="1"/>
        <w:rPr>
          <w:rFonts w:ascii="宋体"/>
          <w:b/>
          <w:bCs/>
        </w:rPr>
      </w:pPr>
      <w:bookmarkStart w:id="319" w:name="_Toc449366090"/>
      <w:bookmarkStart w:id="320" w:name="_Toc84265674"/>
      <w:bookmarkStart w:id="321" w:name="_Toc22226"/>
      <w:bookmarkStart w:id="322" w:name="_Toc14031"/>
      <w:bookmarkStart w:id="323" w:name="_Toc448073648"/>
      <w:bookmarkStart w:id="324" w:name="_Toc28709"/>
      <w:r>
        <w:rPr>
          <w:rFonts w:hint="eastAsia" w:ascii="宋体"/>
          <w:b/>
          <w:bCs/>
        </w:rPr>
        <w:t>八、工程项目管理规定</w:t>
      </w:r>
      <w:bookmarkEnd w:id="319"/>
      <w:bookmarkEnd w:id="320"/>
      <w:bookmarkEnd w:id="321"/>
      <w:bookmarkEnd w:id="322"/>
      <w:bookmarkEnd w:id="323"/>
      <w:bookmarkEnd w:id="324"/>
    </w:p>
    <w:p>
      <w:pPr>
        <w:spacing w:line="420" w:lineRule="exact"/>
        <w:ind w:firstLine="630" w:firstLineChars="300"/>
        <w:rPr>
          <w:rFonts w:ascii="宋体"/>
        </w:rPr>
      </w:pPr>
      <w:r>
        <w:rPr>
          <w:rFonts w:hint="eastAsia" w:ascii="宋体"/>
        </w:rPr>
        <w:t>（一）质量：</w:t>
      </w:r>
      <w:r>
        <w:rPr>
          <w:rFonts w:hint="eastAsia" w:ascii="宋体" w:cs="宋体"/>
        </w:rPr>
        <w:t>详见合同</w:t>
      </w:r>
      <w:r>
        <w:rPr>
          <w:rFonts w:hint="eastAsia" w:ascii="宋体"/>
        </w:rPr>
        <w:t>。</w:t>
      </w:r>
    </w:p>
    <w:p>
      <w:pPr>
        <w:spacing w:line="420" w:lineRule="exact"/>
        <w:ind w:firstLine="630" w:firstLineChars="300"/>
        <w:rPr>
          <w:rFonts w:ascii="宋体"/>
        </w:rPr>
      </w:pPr>
      <w:r>
        <w:rPr>
          <w:rFonts w:hint="eastAsia" w:ascii="宋体"/>
        </w:rPr>
        <w:t>（二）进度，包括里程碑进度计划（如有）：科学合理安排施工进度，组织实施与控制。</w:t>
      </w:r>
    </w:p>
    <w:p>
      <w:pPr>
        <w:adjustRightInd w:val="0"/>
        <w:snapToGrid w:val="0"/>
        <w:spacing w:line="420" w:lineRule="exact"/>
        <w:ind w:firstLine="630" w:firstLineChars="300"/>
        <w:rPr>
          <w:rFonts w:ascii="宋体"/>
          <w:b/>
        </w:rPr>
      </w:pPr>
      <w:r>
        <w:rPr>
          <w:rFonts w:hint="eastAsia" w:ascii="宋体"/>
        </w:rPr>
        <w:t>（三）支付：详见合同。</w:t>
      </w:r>
    </w:p>
    <w:p>
      <w:pPr>
        <w:spacing w:line="420" w:lineRule="exact"/>
        <w:ind w:firstLine="657" w:firstLineChars="313"/>
        <w:rPr>
          <w:rFonts w:ascii="宋体"/>
        </w:rPr>
      </w:pPr>
      <w:r>
        <w:rPr>
          <w:rFonts w:hint="eastAsia" w:ascii="宋体"/>
        </w:rPr>
        <w:t>（四）HSE（健康、安全与环境管理体系）：建立HSE管理体系制度，明确责任，坚持“安全第一，预防为主、以人为本”，落实HSE管理目标。</w:t>
      </w:r>
    </w:p>
    <w:p>
      <w:pPr>
        <w:spacing w:line="420" w:lineRule="exact"/>
        <w:ind w:firstLine="630" w:firstLineChars="300"/>
        <w:rPr>
          <w:rFonts w:ascii="宋体"/>
        </w:rPr>
      </w:pPr>
      <w:r>
        <w:rPr>
          <w:rFonts w:hint="eastAsia" w:ascii="宋体"/>
        </w:rPr>
        <w:t>（五）沟通：必须建立沟通体制，完善各部门联络体系。</w:t>
      </w:r>
    </w:p>
    <w:p>
      <w:pPr>
        <w:spacing w:line="420" w:lineRule="exact"/>
        <w:ind w:firstLine="422" w:firstLineChars="200"/>
        <w:outlineLvl w:val="1"/>
        <w:rPr>
          <w:rFonts w:ascii="宋体"/>
        </w:rPr>
      </w:pPr>
      <w:bookmarkStart w:id="325" w:name="_Toc449366093"/>
      <w:bookmarkStart w:id="326" w:name="_Toc448073651"/>
      <w:bookmarkStart w:id="327" w:name="_Toc9011"/>
      <w:bookmarkStart w:id="328" w:name="_Toc2387"/>
      <w:bookmarkStart w:id="329" w:name="_Toc84265675"/>
      <w:r>
        <w:rPr>
          <w:rFonts w:hint="eastAsia" w:ascii="宋体"/>
          <w:b/>
          <w:bCs/>
        </w:rPr>
        <w:t>九、付款方式</w:t>
      </w:r>
      <w:bookmarkEnd w:id="325"/>
      <w:bookmarkEnd w:id="326"/>
      <w:r>
        <w:rPr>
          <w:rFonts w:hint="eastAsia" w:ascii="宋体"/>
        </w:rPr>
        <w:t>：按合同约定条款</w:t>
      </w:r>
      <w:bookmarkEnd w:id="327"/>
      <w:bookmarkEnd w:id="328"/>
      <w:r>
        <w:rPr>
          <w:rFonts w:hint="eastAsia" w:ascii="宋体"/>
        </w:rPr>
        <w:t>。</w:t>
      </w:r>
      <w:bookmarkEnd w:id="329"/>
    </w:p>
    <w:p>
      <w:pPr>
        <w:spacing w:line="420" w:lineRule="exact"/>
        <w:ind w:firstLine="420" w:firstLineChars="200"/>
        <w:outlineLvl w:val="1"/>
        <w:rPr>
          <w:rFonts w:ascii="宋体"/>
        </w:rPr>
      </w:pPr>
      <w:r>
        <w:rPr>
          <w:rFonts w:ascii="宋体"/>
        </w:rPr>
        <w:br w:type="page"/>
      </w:r>
    </w:p>
    <w:p>
      <w:pPr>
        <w:pStyle w:val="3"/>
        <w:jc w:val="center"/>
        <w:rPr>
          <w:rFonts w:ascii="宋体" w:hAnsi="宋体" w:cs="宋体"/>
        </w:rPr>
      </w:pPr>
      <w:bookmarkStart w:id="330" w:name="_Toc84265676"/>
      <w:r>
        <w:rPr>
          <w:rFonts w:hint="eastAsia" w:ascii="宋体" w:hAnsi="宋体" w:cs="宋体"/>
        </w:rPr>
        <w:t>第六章 发包人提供的资料</w:t>
      </w:r>
      <w:bookmarkEnd w:id="330"/>
    </w:p>
    <w:p>
      <w:pPr>
        <w:spacing w:line="400" w:lineRule="exact"/>
        <w:rPr>
          <w:rFonts w:ascii="宋体" w:hAnsi="宋体" w:cs="宋体"/>
        </w:rPr>
      </w:pPr>
      <w:bookmarkStart w:id="331" w:name="_Toc482371506"/>
    </w:p>
    <w:p>
      <w:pPr>
        <w:spacing w:line="500" w:lineRule="exact"/>
        <w:outlineLvl w:val="2"/>
        <w:rPr>
          <w:rFonts w:ascii="宋体" w:hAnsi="宋体"/>
          <w:b/>
          <w:bCs/>
          <w:sz w:val="24"/>
          <w:szCs w:val="24"/>
        </w:rPr>
      </w:pPr>
      <w:r>
        <w:rPr>
          <w:rFonts w:hint="eastAsia" w:ascii="宋体" w:hAnsi="宋体"/>
          <w:b/>
          <w:bCs/>
          <w:sz w:val="24"/>
          <w:szCs w:val="24"/>
        </w:rPr>
        <w:t>1．可行性研究报告批复相关文件</w:t>
      </w:r>
    </w:p>
    <w:p>
      <w:pPr>
        <w:spacing w:line="500" w:lineRule="exact"/>
        <w:outlineLvl w:val="2"/>
        <w:rPr>
          <w:rFonts w:ascii="宋体" w:hAnsi="宋体"/>
          <w:b/>
          <w:bCs/>
          <w:sz w:val="24"/>
          <w:szCs w:val="24"/>
        </w:rPr>
      </w:pPr>
      <w:r>
        <w:rPr>
          <w:rFonts w:hint="eastAsia" w:ascii="宋体" w:hAnsi="宋体"/>
          <w:b/>
          <w:bCs/>
          <w:sz w:val="24"/>
          <w:szCs w:val="24"/>
        </w:rPr>
        <w:t>2. 初步设计批复文件</w:t>
      </w:r>
      <w:bookmarkEnd w:id="331"/>
    </w:p>
    <w:p>
      <w:pPr>
        <w:spacing w:line="500" w:lineRule="exact"/>
        <w:outlineLvl w:val="2"/>
        <w:rPr>
          <w:rFonts w:ascii="宋体" w:hAnsi="宋体"/>
          <w:b/>
          <w:bCs/>
          <w:sz w:val="24"/>
          <w:szCs w:val="24"/>
        </w:rPr>
      </w:pPr>
      <w:bookmarkStart w:id="332" w:name="_Toc482371507"/>
      <w:bookmarkStart w:id="333" w:name="_Toc84265677"/>
      <w:r>
        <w:rPr>
          <w:rFonts w:hint="eastAsia" w:ascii="宋体" w:hAnsi="宋体"/>
          <w:b/>
          <w:bCs/>
          <w:sz w:val="24"/>
          <w:szCs w:val="24"/>
        </w:rPr>
        <w:t>3</w:t>
      </w:r>
      <w:r>
        <w:rPr>
          <w:rFonts w:ascii="宋体" w:hAnsi="宋体"/>
          <w:b/>
          <w:bCs/>
          <w:sz w:val="24"/>
          <w:szCs w:val="24"/>
        </w:rPr>
        <w:t>．</w:t>
      </w:r>
      <w:bookmarkEnd w:id="332"/>
      <w:r>
        <w:rPr>
          <w:rFonts w:hint="eastAsia" w:ascii="宋体" w:hAnsi="宋体"/>
          <w:b/>
          <w:bCs/>
          <w:sz w:val="24"/>
          <w:szCs w:val="24"/>
        </w:rPr>
        <w:t>工点清单</w:t>
      </w:r>
      <w:bookmarkEnd w:id="333"/>
    </w:p>
    <w:p>
      <w:pPr>
        <w:pStyle w:val="3"/>
        <w:jc w:val="center"/>
        <w:rPr>
          <w:rFonts w:ascii="宋体"/>
          <w:b w:val="0"/>
          <w:bCs w:val="0"/>
          <w:sz w:val="28"/>
          <w:szCs w:val="28"/>
        </w:rPr>
      </w:pPr>
      <w:r>
        <w:rPr>
          <w:rFonts w:ascii="宋体" w:hAnsi="宋体" w:cs="宋体"/>
        </w:rPr>
        <w:br w:type="page"/>
      </w:r>
    </w:p>
    <w:p>
      <w:pPr>
        <w:pStyle w:val="3"/>
        <w:jc w:val="center"/>
        <w:rPr>
          <w:rFonts w:ascii="宋体" w:hAnsi="宋体" w:cs="宋体"/>
        </w:rPr>
      </w:pPr>
      <w:bookmarkStart w:id="334" w:name="_Toc84265678"/>
      <w:r>
        <w:rPr>
          <w:rFonts w:hint="eastAsia" w:ascii="宋体" w:hAnsi="宋体" w:cs="宋体"/>
        </w:rPr>
        <w:t>第七章</w:t>
      </w:r>
      <w:r>
        <w:rPr>
          <w:rFonts w:ascii="宋体" w:hAnsi="宋体" w:cs="宋体"/>
        </w:rPr>
        <w:t xml:space="preserve"> </w:t>
      </w:r>
      <w:r>
        <w:rPr>
          <w:rFonts w:hint="eastAsia" w:ascii="宋体" w:hAnsi="宋体" w:cs="宋体"/>
        </w:rPr>
        <w:t>技术标准和要求</w:t>
      </w:r>
      <w:bookmarkEnd w:id="334"/>
    </w:p>
    <w:p>
      <w:pPr>
        <w:snapToGrid w:val="0"/>
        <w:spacing w:line="420" w:lineRule="exact"/>
        <w:ind w:firstLine="420" w:firstLineChars="200"/>
        <w:outlineLvl w:val="1"/>
        <w:rPr>
          <w:rFonts w:ascii="宋体" w:hAnsi="宋体" w:cs="宋体"/>
          <w:b/>
        </w:rPr>
      </w:pPr>
      <w:r>
        <w:rPr>
          <w:rFonts w:ascii="宋体" w:hAnsi="宋体" w:cs="宋体"/>
        </w:rPr>
        <w:br w:type="page"/>
      </w:r>
      <w:bookmarkStart w:id="335" w:name="_Toc84265679"/>
      <w:r>
        <w:rPr>
          <w:rFonts w:hint="eastAsia" w:ascii="宋体" w:hAnsi="宋体" w:cs="宋体"/>
          <w:b/>
        </w:rPr>
        <w:t>一、设计依据</w:t>
      </w:r>
      <w:bookmarkEnd w:id="335"/>
    </w:p>
    <w:p>
      <w:pPr>
        <w:snapToGrid w:val="0"/>
        <w:spacing w:line="420" w:lineRule="exact"/>
        <w:ind w:firstLine="420" w:firstLineChars="200"/>
        <w:rPr>
          <w:rFonts w:ascii="宋体" w:hAnsi="宋体" w:cs="宋体"/>
          <w:bCs/>
        </w:rPr>
      </w:pPr>
      <w:r>
        <w:rPr>
          <w:rFonts w:hint="eastAsia" w:ascii="宋体" w:hAnsi="宋体" w:cs="宋体"/>
          <w:bCs/>
        </w:rPr>
        <w:t>现行国家、行业、地方法律、法规、规范、规定等。</w:t>
      </w:r>
    </w:p>
    <w:p>
      <w:pPr>
        <w:snapToGrid w:val="0"/>
        <w:spacing w:line="420" w:lineRule="exact"/>
        <w:ind w:firstLine="420"/>
        <w:outlineLvl w:val="1"/>
        <w:rPr>
          <w:rFonts w:ascii="宋体" w:hAnsi="宋体"/>
          <w:b/>
          <w:bCs/>
          <w:kern w:val="0"/>
        </w:rPr>
      </w:pPr>
      <w:bookmarkStart w:id="336" w:name="_Toc84265680"/>
      <w:bookmarkStart w:id="337" w:name="_Toc19316"/>
      <w:r>
        <w:rPr>
          <w:rFonts w:hint="eastAsia" w:ascii="宋体" w:hAnsi="宋体"/>
          <w:b/>
          <w:bCs/>
          <w:kern w:val="0"/>
        </w:rPr>
        <w:t>二、影响铁路建设的电力线路的处理</w:t>
      </w:r>
      <w:bookmarkEnd w:id="336"/>
      <w:bookmarkEnd w:id="337"/>
    </w:p>
    <w:p>
      <w:pPr>
        <w:snapToGrid w:val="0"/>
        <w:spacing w:line="420" w:lineRule="exact"/>
        <w:ind w:firstLine="420" w:firstLineChars="200"/>
        <w:rPr>
          <w:rFonts w:ascii="宋体" w:hAnsi="宋体" w:cs="宋体"/>
          <w:bCs/>
        </w:rPr>
      </w:pPr>
      <w:r>
        <w:rPr>
          <w:rFonts w:hint="eastAsia" w:ascii="宋体" w:hAnsi="宋体" w:cs="宋体"/>
          <w:bCs/>
        </w:rPr>
        <w:t>（一）</w:t>
      </w:r>
      <w:r>
        <w:rPr>
          <w:rFonts w:ascii="宋体" w:hAnsi="宋体" w:cs="宋体"/>
          <w:bCs/>
        </w:rPr>
        <w:t>迁改原则</w:t>
      </w:r>
    </w:p>
    <w:p>
      <w:pPr>
        <w:snapToGrid w:val="0"/>
        <w:spacing w:line="420" w:lineRule="exact"/>
        <w:ind w:firstLine="420" w:firstLineChars="200"/>
        <w:rPr>
          <w:rFonts w:ascii="宋体" w:hAnsi="宋体" w:cs="宋体"/>
          <w:bCs/>
        </w:rPr>
      </w:pPr>
      <w:r>
        <w:rPr>
          <w:rFonts w:hint="eastAsia" w:ascii="宋体" w:hAnsi="宋体" w:cs="宋体"/>
          <w:bCs/>
        </w:rPr>
        <w:t>由于铁路土建及电气化铁路工程的实施，导致既有电力线路及变电站、开关站等设施不符合规范要求的，对其进行迁改。</w:t>
      </w:r>
    </w:p>
    <w:p>
      <w:pPr>
        <w:snapToGrid w:val="0"/>
        <w:spacing w:line="420" w:lineRule="exact"/>
        <w:ind w:firstLine="420" w:firstLineChars="200"/>
        <w:rPr>
          <w:rFonts w:ascii="宋体" w:hAnsi="宋体" w:cs="宋体"/>
          <w:bCs/>
        </w:rPr>
      </w:pPr>
      <w:r>
        <w:rPr>
          <w:rFonts w:hint="eastAsia" w:ascii="宋体" w:hAnsi="宋体" w:cs="宋体"/>
          <w:bCs/>
        </w:rPr>
        <w:t>影响本工程需要迁改的电力线路，按电气化标准一次迁改到位；不影响本次工程的，不迁改。</w:t>
      </w:r>
    </w:p>
    <w:p>
      <w:pPr>
        <w:snapToGrid w:val="0"/>
        <w:spacing w:line="420" w:lineRule="exact"/>
        <w:ind w:firstLine="420" w:firstLineChars="200"/>
        <w:rPr>
          <w:rFonts w:ascii="宋体" w:hAnsi="宋体" w:cs="宋体"/>
          <w:bCs/>
        </w:rPr>
      </w:pPr>
      <w:r>
        <w:rPr>
          <w:rFonts w:hint="eastAsia" w:ascii="宋体" w:hAnsi="宋体" w:cs="宋体"/>
          <w:bCs/>
        </w:rPr>
        <w:t>与铁路交叉接近距离能满足要求，但耐张段设置、导线悬挂或固定方式不满足要求的，亦按迁改考虑。</w:t>
      </w:r>
    </w:p>
    <w:p>
      <w:pPr>
        <w:snapToGrid w:val="0"/>
        <w:spacing w:line="420" w:lineRule="exact"/>
        <w:ind w:firstLine="420" w:firstLineChars="200"/>
        <w:rPr>
          <w:rFonts w:ascii="宋体" w:hAnsi="宋体" w:cs="宋体"/>
          <w:bCs/>
        </w:rPr>
      </w:pPr>
      <w:r>
        <w:rPr>
          <w:rFonts w:hint="eastAsia" w:ascii="宋体" w:hAnsi="宋体" w:cs="宋体"/>
          <w:bCs/>
        </w:rPr>
        <w:t>变电站、开关站等工点类设施的迁改，原则上包含其受迁改影响需要连带动迁的引入、引出电力线路。</w:t>
      </w:r>
    </w:p>
    <w:p>
      <w:pPr>
        <w:snapToGrid w:val="0"/>
        <w:spacing w:line="420" w:lineRule="exact"/>
        <w:ind w:firstLine="420" w:firstLineChars="200"/>
        <w:rPr>
          <w:rFonts w:ascii="宋体" w:hAnsi="宋体" w:cs="宋体"/>
          <w:bCs/>
        </w:rPr>
      </w:pPr>
      <w:r>
        <w:rPr>
          <w:rFonts w:hint="eastAsia" w:ascii="宋体" w:hAnsi="宋体" w:cs="宋体"/>
          <w:bCs/>
        </w:rPr>
        <w:t>在符合国家和行业标准的前提下，严格限制、把握相关方利益导致的标准或造价提高，原则上按电力线路现状技术标准进行迁改，同时可注意了解产权部门已列入近期（五年内）规划改造线路的标准，以及当地的有关要求和规定。超标准迁改的，承包人应索取省级及以上电力公司的技术规章、函件等依据。</w:t>
      </w:r>
    </w:p>
    <w:p>
      <w:pPr>
        <w:snapToGrid w:val="0"/>
        <w:spacing w:line="420" w:lineRule="exact"/>
        <w:ind w:firstLine="420" w:firstLineChars="200"/>
        <w:rPr>
          <w:rFonts w:ascii="宋体" w:hAnsi="宋体" w:cs="宋体"/>
          <w:bCs/>
        </w:rPr>
      </w:pPr>
      <w:r>
        <w:rPr>
          <w:rFonts w:hint="eastAsia" w:ascii="宋体" w:hAnsi="宋体" w:cs="宋体"/>
          <w:bCs/>
        </w:rPr>
        <w:t>与铁路交叉的35 kV及以下电力线路，均按电缆穿管过轨方式处理。对于深路堑等极为特殊的情况，当电缆过轨不可行时，考虑按110kV线路的杆塔和导线标准架空跨越，并报请特别审查。</w:t>
      </w:r>
    </w:p>
    <w:p>
      <w:pPr>
        <w:snapToGrid w:val="0"/>
        <w:spacing w:line="420" w:lineRule="exact"/>
        <w:ind w:firstLine="420" w:firstLineChars="200"/>
        <w:rPr>
          <w:rFonts w:ascii="宋体" w:hAnsi="宋体" w:cs="宋体"/>
          <w:bCs/>
        </w:rPr>
      </w:pPr>
      <w:r>
        <w:rPr>
          <w:rFonts w:hint="eastAsia" w:ascii="宋体" w:hAnsi="宋体" w:cs="宋体"/>
          <w:bCs/>
        </w:rPr>
        <w:t>与铁路交叉的110</w:t>
      </w:r>
      <w:r>
        <w:rPr>
          <w:rFonts w:ascii="宋体" w:hAnsi="宋体" w:cs="宋体"/>
          <w:bCs/>
        </w:rPr>
        <w:t>kV</w:t>
      </w:r>
      <w:r>
        <w:rPr>
          <w:rFonts w:hint="eastAsia" w:ascii="宋体" w:hAnsi="宋体" w:cs="宋体"/>
          <w:bCs/>
        </w:rPr>
        <w:t>及</w:t>
      </w:r>
      <w:r>
        <w:rPr>
          <w:rFonts w:ascii="宋体" w:hAnsi="宋体" w:cs="宋体"/>
          <w:bCs/>
        </w:rPr>
        <w:t>以上架空</w:t>
      </w:r>
      <w:r>
        <w:rPr>
          <w:rFonts w:hint="eastAsia" w:ascii="宋体" w:hAnsi="宋体" w:cs="宋体"/>
          <w:bCs/>
        </w:rPr>
        <w:t>电力</w:t>
      </w:r>
      <w:r>
        <w:rPr>
          <w:rFonts w:ascii="宋体" w:hAnsi="宋体" w:cs="宋体"/>
          <w:bCs/>
        </w:rPr>
        <w:t>线路，</w:t>
      </w:r>
      <w:r>
        <w:rPr>
          <w:rFonts w:hint="eastAsia" w:ascii="宋体" w:hAnsi="宋体" w:cs="宋体"/>
          <w:bCs/>
        </w:rPr>
        <w:t>原则上</w:t>
      </w:r>
      <w:r>
        <w:rPr>
          <w:rFonts w:ascii="宋体" w:hAnsi="宋体" w:cs="宋体"/>
          <w:bCs/>
        </w:rPr>
        <w:t>采用升高跨越方式</w:t>
      </w:r>
      <w:r>
        <w:rPr>
          <w:rFonts w:hint="eastAsia" w:ascii="宋体" w:hAnsi="宋体" w:cs="宋体"/>
          <w:bCs/>
        </w:rPr>
        <w:t>，并优先采用自立型铁塔；</w:t>
      </w:r>
      <w:r>
        <w:rPr>
          <w:rFonts w:ascii="宋体" w:hAnsi="宋体" w:cs="宋体"/>
          <w:bCs/>
        </w:rPr>
        <w:t>技术经济极不合理</w:t>
      </w:r>
      <w:r>
        <w:rPr>
          <w:rFonts w:hint="eastAsia" w:ascii="宋体" w:hAnsi="宋体" w:cs="宋体"/>
          <w:bCs/>
        </w:rPr>
        <w:t>或电力行业和铁路行业另有规定时</w:t>
      </w:r>
      <w:r>
        <w:rPr>
          <w:rFonts w:ascii="宋体" w:hAnsi="宋体" w:cs="宋体"/>
          <w:bCs/>
        </w:rPr>
        <w:t>，110kV</w:t>
      </w:r>
      <w:r>
        <w:rPr>
          <w:rFonts w:hint="eastAsia" w:ascii="宋体" w:hAnsi="宋体" w:cs="宋体"/>
          <w:bCs/>
        </w:rPr>
        <w:t>电力</w:t>
      </w:r>
      <w:r>
        <w:rPr>
          <w:rFonts w:ascii="宋体" w:hAnsi="宋体" w:cs="宋体"/>
          <w:bCs/>
        </w:rPr>
        <w:t>线路可考虑电缆穿越的可能性。</w:t>
      </w:r>
    </w:p>
    <w:p>
      <w:pPr>
        <w:snapToGrid w:val="0"/>
        <w:spacing w:line="420" w:lineRule="exact"/>
        <w:ind w:firstLine="420" w:firstLineChars="200"/>
        <w:rPr>
          <w:rFonts w:ascii="宋体" w:hAnsi="宋体" w:cs="宋体"/>
          <w:bCs/>
        </w:rPr>
      </w:pPr>
      <w:r>
        <w:rPr>
          <w:rFonts w:hint="eastAsia" w:ascii="宋体" w:hAnsi="宋体" w:cs="宋体"/>
          <w:bCs/>
        </w:rPr>
        <w:t>平行接近的架空电力线路，10kV以上仍采用架空线路进行迁改；10kV及以下线路以综合造价最低为原则，根据地形地貌及用地界等情况确定具体迁改方案。</w:t>
      </w:r>
    </w:p>
    <w:p>
      <w:pPr>
        <w:snapToGrid w:val="0"/>
        <w:spacing w:line="420" w:lineRule="exact"/>
        <w:ind w:firstLine="420" w:firstLineChars="200"/>
        <w:rPr>
          <w:rFonts w:ascii="宋体" w:hAnsi="宋体" w:cs="宋体"/>
          <w:bCs/>
        </w:rPr>
      </w:pPr>
      <w:r>
        <w:rPr>
          <w:rFonts w:hint="eastAsia" w:ascii="宋体" w:hAnsi="宋体" w:cs="宋体"/>
          <w:bCs/>
        </w:rPr>
        <w:t>以造价最低为原则，慎重采用修建过渡线路的方案，应尽可能与产权单位协商谈判，采取可行措施，优先考虑停电迁改。</w:t>
      </w:r>
    </w:p>
    <w:p>
      <w:pPr>
        <w:snapToGrid w:val="0"/>
        <w:spacing w:line="420" w:lineRule="exact"/>
        <w:ind w:firstLine="420" w:firstLineChars="200"/>
        <w:rPr>
          <w:rFonts w:ascii="宋体" w:hAnsi="宋体" w:cs="宋体"/>
          <w:bCs/>
        </w:rPr>
      </w:pPr>
      <w:r>
        <w:rPr>
          <w:rFonts w:hint="eastAsia" w:ascii="宋体" w:hAnsi="宋体" w:cs="宋体"/>
          <w:bCs/>
        </w:rPr>
        <w:t>迁改方案的设计，需考虑铁路保护区禁入等限制因素，体现利于产权方维护、维修的原则。</w:t>
      </w:r>
    </w:p>
    <w:p>
      <w:pPr>
        <w:pStyle w:val="17"/>
        <w:spacing w:line="420" w:lineRule="exact"/>
        <w:ind w:firstLine="210" w:firstLineChars="100"/>
        <w:rPr>
          <w:rFonts w:hAnsi="宋体"/>
          <w:sz w:val="21"/>
          <w:szCs w:val="21"/>
        </w:rPr>
      </w:pPr>
      <w:r>
        <w:rPr>
          <w:rFonts w:hint="eastAsia" w:hAnsi="宋体"/>
          <w:sz w:val="21"/>
          <w:szCs w:val="21"/>
        </w:rPr>
        <w:t>（二）</w:t>
      </w:r>
      <w:r>
        <w:rPr>
          <w:rFonts w:hAnsi="宋体"/>
          <w:sz w:val="21"/>
          <w:szCs w:val="21"/>
        </w:rPr>
        <w:t>技术要求</w:t>
      </w:r>
    </w:p>
    <w:p>
      <w:pPr>
        <w:snapToGrid w:val="0"/>
        <w:spacing w:line="420" w:lineRule="exact"/>
        <w:ind w:firstLine="420" w:firstLineChars="200"/>
        <w:rPr>
          <w:rFonts w:ascii="宋体" w:hAnsi="宋体" w:cs="宋体"/>
          <w:bCs/>
        </w:rPr>
      </w:pPr>
      <w:r>
        <w:rPr>
          <w:rFonts w:hint="eastAsia" w:ascii="宋体" w:hAnsi="宋体" w:cs="宋体"/>
          <w:bCs/>
        </w:rPr>
        <w:t>以下所给出的技术标准、规范不认为是最全面的，投标人应按国家、行业及天津市现行的有关工程建设标准、规范、规程及相关的法律、法规执行。</w:t>
      </w:r>
    </w:p>
    <w:p>
      <w:pPr>
        <w:spacing w:line="420" w:lineRule="exact"/>
        <w:ind w:left="6" w:leftChars="3" w:firstLine="413" w:firstLineChars="197"/>
        <w:rPr>
          <w:rFonts w:ascii="宋体" w:hAnsi="宋体"/>
        </w:rPr>
      </w:pPr>
      <w:r>
        <w:rPr>
          <w:rFonts w:hint="eastAsia" w:ascii="宋体" w:hAnsi="宋体"/>
        </w:rPr>
        <w:t>《66kV及以下架空电力线路设计规范》</w:t>
      </w:r>
      <w:r>
        <w:rPr>
          <w:rFonts w:hint="eastAsia" w:ascii="宋体" w:hAnsi="宋体"/>
        </w:rPr>
        <w:tab/>
      </w:r>
      <w:r>
        <w:rPr>
          <w:rFonts w:hint="eastAsia" w:ascii="宋体" w:hAnsi="宋体"/>
        </w:rPr>
        <w:t>GB 50061-2010</w:t>
      </w:r>
    </w:p>
    <w:p>
      <w:pPr>
        <w:spacing w:line="420" w:lineRule="exact"/>
        <w:ind w:left="6" w:leftChars="3" w:firstLine="413" w:firstLineChars="197"/>
        <w:rPr>
          <w:rFonts w:ascii="宋体" w:hAnsi="宋体"/>
        </w:rPr>
      </w:pPr>
      <w:r>
        <w:rPr>
          <w:rFonts w:hint="eastAsia" w:ascii="宋体" w:hAnsi="宋体"/>
        </w:rPr>
        <w:t>《110kV～750kV架空输电线路设计规范》</w:t>
      </w:r>
      <w:r>
        <w:rPr>
          <w:rFonts w:hint="eastAsia" w:ascii="宋体" w:hAnsi="宋体"/>
        </w:rPr>
        <w:tab/>
      </w:r>
      <w:r>
        <w:rPr>
          <w:rFonts w:hint="eastAsia" w:ascii="宋体" w:hAnsi="宋体"/>
        </w:rPr>
        <w:t>GB 50545-2010</w:t>
      </w:r>
    </w:p>
    <w:p>
      <w:pPr>
        <w:spacing w:line="420" w:lineRule="exact"/>
        <w:ind w:left="6" w:leftChars="3" w:firstLine="413" w:firstLineChars="197"/>
        <w:rPr>
          <w:rFonts w:ascii="宋体" w:hAnsi="宋体"/>
        </w:rPr>
      </w:pPr>
      <w:r>
        <w:rPr>
          <w:rFonts w:hint="eastAsia" w:ascii="宋体" w:hAnsi="宋体"/>
        </w:rPr>
        <w:t>《1000kV架空输电线路设计规范》</w:t>
      </w:r>
      <w:r>
        <w:rPr>
          <w:rFonts w:hint="eastAsia" w:ascii="宋体" w:hAnsi="宋体"/>
        </w:rPr>
        <w:tab/>
      </w:r>
      <w:r>
        <w:rPr>
          <w:rFonts w:hint="eastAsia" w:ascii="宋体" w:hAnsi="宋体"/>
        </w:rPr>
        <w:t>GB 50665-2011</w:t>
      </w:r>
    </w:p>
    <w:p>
      <w:pPr>
        <w:spacing w:line="420" w:lineRule="exact"/>
        <w:ind w:left="6" w:leftChars="3" w:firstLine="413" w:firstLineChars="197"/>
        <w:rPr>
          <w:rFonts w:ascii="宋体" w:hAnsi="宋体"/>
        </w:rPr>
      </w:pPr>
      <w:r>
        <w:rPr>
          <w:rFonts w:hint="eastAsia" w:ascii="宋体" w:hAnsi="宋体"/>
        </w:rPr>
        <w:t>《±800kV直流架空输电线路设计规范》</w:t>
      </w:r>
      <w:r>
        <w:rPr>
          <w:rFonts w:hint="eastAsia" w:ascii="宋体" w:hAnsi="宋体"/>
        </w:rPr>
        <w:tab/>
      </w:r>
      <w:r>
        <w:rPr>
          <w:rFonts w:hint="eastAsia" w:ascii="宋体" w:hAnsi="宋体"/>
        </w:rPr>
        <w:t>GB 50790-2013</w:t>
      </w:r>
    </w:p>
    <w:p>
      <w:pPr>
        <w:spacing w:line="420" w:lineRule="exact"/>
        <w:ind w:left="6" w:leftChars="3" w:firstLine="413" w:firstLineChars="197"/>
        <w:rPr>
          <w:rFonts w:ascii="宋体" w:hAnsi="宋体"/>
        </w:rPr>
      </w:pPr>
      <w:r>
        <w:rPr>
          <w:rFonts w:hint="eastAsia" w:ascii="宋体" w:hAnsi="宋体"/>
        </w:rPr>
        <w:t>《输电线路铁塔制造技术条件》</w:t>
      </w:r>
      <w:r>
        <w:rPr>
          <w:rFonts w:hint="eastAsia" w:ascii="宋体" w:hAnsi="宋体"/>
        </w:rPr>
        <w:tab/>
      </w:r>
      <w:r>
        <w:rPr>
          <w:rFonts w:hint="eastAsia" w:ascii="宋体" w:hAnsi="宋体"/>
        </w:rPr>
        <w:t>GB/T 2694-2010</w:t>
      </w:r>
    </w:p>
    <w:p>
      <w:pPr>
        <w:spacing w:line="420" w:lineRule="exact"/>
        <w:ind w:left="6" w:leftChars="3" w:firstLine="413" w:firstLineChars="197"/>
        <w:rPr>
          <w:rFonts w:ascii="宋体" w:hAnsi="宋体"/>
        </w:rPr>
      </w:pPr>
      <w:r>
        <w:rPr>
          <w:rFonts w:hint="eastAsia" w:ascii="宋体" w:hAnsi="宋体"/>
        </w:rPr>
        <w:t>《架空送电线路钢管杆设计技术规定》</w:t>
      </w:r>
      <w:r>
        <w:rPr>
          <w:rFonts w:hint="eastAsia" w:ascii="宋体" w:hAnsi="宋体"/>
        </w:rPr>
        <w:tab/>
      </w:r>
      <w:r>
        <w:rPr>
          <w:rFonts w:hint="eastAsia" w:ascii="宋体" w:hAnsi="宋体"/>
        </w:rPr>
        <w:t>DL/T 5130-2001</w:t>
      </w:r>
    </w:p>
    <w:p>
      <w:pPr>
        <w:spacing w:line="420" w:lineRule="exact"/>
        <w:ind w:left="6" w:leftChars="3" w:firstLine="413" w:firstLineChars="197"/>
        <w:rPr>
          <w:rFonts w:ascii="宋体" w:hAnsi="宋体"/>
        </w:rPr>
      </w:pPr>
      <w:r>
        <w:rPr>
          <w:rFonts w:hint="eastAsia" w:ascii="宋体" w:hAnsi="宋体"/>
        </w:rPr>
        <w:t>《架空输电线路钢管塔设计技术规定》</w:t>
      </w:r>
      <w:r>
        <w:rPr>
          <w:rFonts w:hint="eastAsia" w:ascii="宋体" w:hAnsi="宋体"/>
        </w:rPr>
        <w:tab/>
      </w:r>
      <w:r>
        <w:rPr>
          <w:rFonts w:hint="eastAsia" w:ascii="宋体" w:hAnsi="宋体"/>
        </w:rPr>
        <w:t>DL/T 5254-2010</w:t>
      </w:r>
    </w:p>
    <w:p>
      <w:pPr>
        <w:spacing w:line="420" w:lineRule="exact"/>
        <w:ind w:left="6" w:leftChars="3" w:firstLine="413" w:firstLineChars="197"/>
        <w:rPr>
          <w:rFonts w:ascii="宋体" w:hAnsi="宋体"/>
        </w:rPr>
      </w:pPr>
      <w:r>
        <w:rPr>
          <w:rFonts w:hint="eastAsia" w:ascii="宋体" w:hAnsi="宋体"/>
        </w:rPr>
        <w:t>《架空输电线路杆塔结构设计技术规定》</w:t>
      </w:r>
      <w:r>
        <w:rPr>
          <w:rFonts w:hint="eastAsia" w:ascii="宋体" w:hAnsi="宋体"/>
        </w:rPr>
        <w:tab/>
      </w:r>
      <w:r>
        <w:rPr>
          <w:rFonts w:hint="eastAsia" w:ascii="宋体" w:hAnsi="宋体"/>
        </w:rPr>
        <w:t>DL/T 5154-2012</w:t>
      </w:r>
    </w:p>
    <w:p>
      <w:pPr>
        <w:spacing w:line="420" w:lineRule="exact"/>
        <w:ind w:left="6" w:leftChars="3" w:firstLine="413" w:firstLineChars="197"/>
        <w:rPr>
          <w:rFonts w:ascii="宋体" w:hAnsi="宋体"/>
        </w:rPr>
      </w:pPr>
      <w:r>
        <w:rPr>
          <w:rFonts w:hint="eastAsia" w:ascii="宋体" w:hAnsi="宋体"/>
        </w:rPr>
        <w:t>《铁路电力设计规范》  TB10008_2015</w:t>
      </w:r>
    </w:p>
    <w:p>
      <w:pPr>
        <w:spacing w:line="420" w:lineRule="exact"/>
        <w:ind w:left="6" w:leftChars="3" w:firstLine="413" w:firstLineChars="197"/>
        <w:rPr>
          <w:rFonts w:ascii="宋体" w:hAnsi="宋体"/>
        </w:rPr>
      </w:pPr>
      <w:r>
        <w:rPr>
          <w:rFonts w:hint="eastAsia" w:ascii="宋体" w:hAnsi="宋体"/>
        </w:rPr>
        <w:t>《铁路技术管理规程》  TG/01-2014（铁总科技[2014]172号）</w:t>
      </w:r>
    </w:p>
    <w:p>
      <w:pPr>
        <w:spacing w:line="420" w:lineRule="exact"/>
        <w:ind w:left="6" w:leftChars="3" w:firstLine="413" w:firstLineChars="197"/>
        <w:rPr>
          <w:rFonts w:ascii="宋体" w:hAnsi="宋体"/>
        </w:rPr>
      </w:pPr>
      <w:r>
        <w:rPr>
          <w:rFonts w:hint="eastAsia" w:ascii="宋体" w:hAnsi="宋体"/>
        </w:rPr>
        <w:t>《中国铁路总公司关于印发&lt;铁路技术管理规程&gt;第一次修订内容的通知》（铁总科技〔2017〕221号）</w:t>
      </w:r>
    </w:p>
    <w:p>
      <w:pPr>
        <w:spacing w:line="420" w:lineRule="exact"/>
        <w:ind w:left="6" w:leftChars="3" w:firstLine="413" w:firstLineChars="197"/>
        <w:rPr>
          <w:rFonts w:ascii="宋体" w:hAnsi="宋体"/>
        </w:rPr>
      </w:pPr>
      <w:r>
        <w:rPr>
          <w:rFonts w:hint="eastAsia" w:ascii="宋体" w:hAnsi="宋体"/>
        </w:rPr>
        <w:t>1、</w:t>
      </w:r>
      <w:r>
        <w:rPr>
          <w:rFonts w:ascii="宋体" w:hAnsi="宋体"/>
        </w:rPr>
        <w:t>架空线路</w:t>
      </w:r>
    </w:p>
    <w:p>
      <w:pPr>
        <w:spacing w:line="420" w:lineRule="exact"/>
        <w:ind w:left="6" w:leftChars="3" w:firstLine="413" w:firstLineChars="197"/>
        <w:rPr>
          <w:rFonts w:ascii="宋体" w:hAnsi="宋体"/>
        </w:rPr>
      </w:pPr>
      <w:r>
        <w:rPr>
          <w:rFonts w:hint="eastAsia" w:ascii="宋体" w:hAnsi="宋体"/>
        </w:rPr>
        <w:t>（</w:t>
      </w:r>
      <w:r>
        <w:rPr>
          <w:rFonts w:ascii="宋体" w:hAnsi="宋体"/>
        </w:rPr>
        <w:t>1）非铁路管辖的架空电力线路不宜在上下行出站信号机之间的站场范围内跨越铁路。</w:t>
      </w:r>
    </w:p>
    <w:p>
      <w:pPr>
        <w:spacing w:line="420" w:lineRule="exact"/>
        <w:ind w:left="6" w:leftChars="3" w:firstLine="413" w:firstLineChars="197"/>
        <w:rPr>
          <w:rFonts w:ascii="宋体" w:hAnsi="宋体"/>
        </w:rPr>
      </w:pPr>
      <w:r>
        <w:rPr>
          <w:rFonts w:hint="eastAsia" w:ascii="宋体" w:hAnsi="宋体"/>
        </w:rPr>
        <w:t>（</w:t>
      </w:r>
      <w:r>
        <w:rPr>
          <w:rFonts w:ascii="宋体" w:hAnsi="宋体"/>
        </w:rPr>
        <w:t>2）跨越铁路干线正线的架空电力线路应采用独立耐张段。</w:t>
      </w:r>
    </w:p>
    <w:p>
      <w:pPr>
        <w:spacing w:line="420" w:lineRule="exact"/>
        <w:ind w:left="6" w:leftChars="3" w:firstLine="413" w:firstLineChars="197"/>
        <w:rPr>
          <w:rFonts w:ascii="宋体" w:hAnsi="宋体"/>
        </w:rPr>
      </w:pPr>
      <w:r>
        <w:rPr>
          <w:rFonts w:hint="eastAsia" w:ascii="宋体" w:hAnsi="宋体"/>
        </w:rPr>
        <w:t>（3）</w:t>
      </w:r>
      <w:r>
        <w:rPr>
          <w:rFonts w:ascii="宋体" w:hAnsi="宋体"/>
        </w:rPr>
        <w:t>架空电力线路与铁路交叉或接近时，应符合表1的要求和以下规定：</w:t>
      </w:r>
    </w:p>
    <w:p>
      <w:pPr>
        <w:spacing w:line="420" w:lineRule="exact"/>
        <w:ind w:left="6" w:leftChars="3" w:firstLine="413" w:firstLineChars="197"/>
        <w:rPr>
          <w:rFonts w:ascii="宋体" w:hAnsi="宋体"/>
        </w:rPr>
      </w:pPr>
      <w:r>
        <w:rPr>
          <w:rFonts w:hint="eastAsia" w:ascii="宋体" w:hAnsi="宋体"/>
        </w:rPr>
        <w:t>①66kV及以下架空线路与铁路交叉，应根据最高气温或覆冰情况计算最大弧垂。</w:t>
      </w:r>
    </w:p>
    <w:p>
      <w:pPr>
        <w:spacing w:line="420" w:lineRule="exact"/>
        <w:ind w:left="6" w:leftChars="3" w:firstLine="413" w:firstLineChars="197"/>
        <w:rPr>
          <w:rFonts w:ascii="宋体" w:hAnsi="宋体"/>
        </w:rPr>
      </w:pPr>
      <w:r>
        <w:rPr>
          <w:rFonts w:hint="eastAsia" w:ascii="宋体" w:hAnsi="宋体" w:cs="宋体"/>
        </w:rPr>
        <w:t>②</w:t>
      </w:r>
      <w:r>
        <w:rPr>
          <w:rFonts w:ascii="宋体" w:hAnsi="宋体"/>
        </w:rPr>
        <w:t xml:space="preserve"> 110kV及以上架空线路与铁路交叉，应根据导线运行温度为+40oC（导线允许温度按+80</w:t>
      </w:r>
      <w:r>
        <w:rPr>
          <w:rFonts w:hint="eastAsia" w:ascii="宋体" w:hAnsi="宋体" w:cs="宋体"/>
        </w:rPr>
        <w:t>℃</w:t>
      </w:r>
      <w:r>
        <w:rPr>
          <w:rFonts w:ascii="宋体" w:hAnsi="宋体"/>
        </w:rPr>
        <w:t>设计时，运行温度取+50</w:t>
      </w:r>
      <w:r>
        <w:rPr>
          <w:rFonts w:hint="eastAsia" w:ascii="宋体" w:hAnsi="宋体" w:cs="宋体"/>
        </w:rPr>
        <w:t>℃</w:t>
      </w:r>
      <w:r>
        <w:rPr>
          <w:rFonts w:ascii="宋体" w:hAnsi="宋体"/>
        </w:rPr>
        <w:t>）计算最大弧垂，重覆冰区还应校验不均匀覆冰和验算覆冰情况下的弧垂增大。</w:t>
      </w:r>
    </w:p>
    <w:p>
      <w:pPr>
        <w:spacing w:line="420" w:lineRule="exact"/>
        <w:ind w:left="6" w:leftChars="3" w:firstLine="413" w:firstLineChars="197"/>
        <w:rPr>
          <w:rFonts w:ascii="宋体" w:hAnsi="宋体"/>
        </w:rPr>
      </w:pPr>
      <w:r>
        <w:rPr>
          <w:rFonts w:hint="eastAsia" w:ascii="宋体" w:hAnsi="宋体" w:cs="宋体"/>
        </w:rPr>
        <w:t>③</w:t>
      </w:r>
      <w:r>
        <w:rPr>
          <w:rFonts w:ascii="宋体" w:hAnsi="宋体"/>
        </w:rPr>
        <w:t>当跨越铁路的架空线路档距超过200m时，应按导线允许温度计算最大弧垂，导线允许温度应按不同要求取+70</w:t>
      </w:r>
      <w:r>
        <w:rPr>
          <w:rFonts w:hint="eastAsia" w:ascii="宋体" w:hAnsi="宋体" w:cs="宋体"/>
        </w:rPr>
        <w:t>℃</w:t>
      </w:r>
      <w:r>
        <w:rPr>
          <w:rFonts w:ascii="宋体" w:hAnsi="宋体"/>
        </w:rPr>
        <w:t>或+80</w:t>
      </w:r>
      <w:r>
        <w:rPr>
          <w:rFonts w:hint="eastAsia" w:ascii="宋体" w:hAnsi="宋体" w:cs="宋体"/>
        </w:rPr>
        <w:t>℃</w:t>
      </w:r>
      <w:r>
        <w:rPr>
          <w:rFonts w:ascii="宋体" w:hAnsi="宋体"/>
        </w:rPr>
        <w:t>。</w:t>
      </w:r>
    </w:p>
    <w:p>
      <w:pPr>
        <w:spacing w:line="420" w:lineRule="exact"/>
        <w:ind w:left="6" w:leftChars="3" w:firstLine="413" w:firstLineChars="197"/>
        <w:rPr>
          <w:rFonts w:ascii="宋体" w:hAnsi="宋体"/>
        </w:rPr>
      </w:pPr>
      <w:r>
        <w:rPr>
          <w:rFonts w:hint="eastAsia" w:ascii="宋体" w:hAnsi="宋体" w:cs="宋体"/>
        </w:rPr>
        <w:t>④</w:t>
      </w:r>
      <w:r>
        <w:rPr>
          <w:rFonts w:ascii="宋体" w:hAnsi="宋体"/>
        </w:rPr>
        <w:t>交流1000kV、直流±800kV架空线路与铁路交叉时，导线验算覆冰厚度应比同区域常规线路增加10mm，架空地线覆冰厚度增加15mm。</w:t>
      </w:r>
    </w:p>
    <w:p>
      <w:pPr>
        <w:spacing w:line="420" w:lineRule="exact"/>
        <w:ind w:left="6" w:leftChars="3" w:firstLine="413" w:firstLineChars="197"/>
        <w:rPr>
          <w:rFonts w:ascii="宋体" w:hAnsi="宋体"/>
        </w:rPr>
      </w:pPr>
      <w:r>
        <w:rPr>
          <w:rFonts w:hint="eastAsia" w:ascii="宋体" w:hAnsi="宋体" w:cs="宋体"/>
        </w:rPr>
        <w:t>⑤</w:t>
      </w:r>
      <w:r>
        <w:rPr>
          <w:rFonts w:ascii="宋体" w:hAnsi="宋体"/>
        </w:rPr>
        <w:t>架空线路与铁路平行时，导线最大风偏时至铁路建筑扩大货物限界的距离，10(6)kV不应小于1.5m，0.38kV不应小于1m。</w:t>
      </w:r>
    </w:p>
    <w:p>
      <w:pPr>
        <w:spacing w:line="420" w:lineRule="exact"/>
        <w:ind w:left="6" w:leftChars="3" w:firstLine="413" w:firstLineChars="197"/>
        <w:rPr>
          <w:rFonts w:ascii="宋体" w:hAnsi="宋体"/>
        </w:rPr>
      </w:pPr>
      <w:r>
        <w:rPr>
          <w:rFonts w:hint="eastAsia" w:ascii="宋体" w:hAnsi="宋体" w:cs="宋体"/>
        </w:rPr>
        <w:t>⑥</w:t>
      </w:r>
      <w:r>
        <w:rPr>
          <w:rFonts w:ascii="宋体" w:hAnsi="宋体"/>
        </w:rPr>
        <w:t>架空线路在跨越货场、煤场时，其导体对门型吊车、卸煤机等移动设备的外部应保持安全距离：35kV为3m，10（6）kV为2m，0.38 kV及以下为1.5m。</w:t>
      </w:r>
    </w:p>
    <w:p>
      <w:pPr>
        <w:spacing w:line="420" w:lineRule="exact"/>
        <w:ind w:left="6" w:leftChars="3" w:firstLine="413" w:firstLineChars="197"/>
        <w:rPr>
          <w:rFonts w:ascii="宋体" w:hAnsi="宋体"/>
        </w:rPr>
      </w:pPr>
      <w:r>
        <w:rPr>
          <w:rFonts w:hint="eastAsia" w:ascii="宋体" w:hAnsi="宋体" w:cs="宋体"/>
        </w:rPr>
        <w:t>⑦</w:t>
      </w:r>
      <w:r>
        <w:rPr>
          <w:rFonts w:ascii="宋体" w:hAnsi="宋体"/>
        </w:rPr>
        <w:t>架空线路在灯桥、门型吊车、卸煤机等铁路设施上方跨越时，其导体与上述设施被跨越部位的最小垂直距离，应参照相应的导体对交通困难地区对地距离的国家标准确定。</w:t>
      </w:r>
    </w:p>
    <w:p>
      <w:pPr>
        <w:spacing w:line="420" w:lineRule="exact"/>
        <w:ind w:left="6" w:leftChars="3" w:firstLine="413" w:firstLineChars="197"/>
        <w:rPr>
          <w:rFonts w:ascii="宋体" w:hAnsi="宋体"/>
        </w:rPr>
      </w:pPr>
      <w:r>
        <w:rPr>
          <w:rFonts w:hint="eastAsia" w:ascii="宋体" w:hAnsi="宋体" w:cs="宋体"/>
        </w:rPr>
        <w:t>⑧</w:t>
      </w:r>
      <w:r>
        <w:rPr>
          <w:rFonts w:ascii="宋体" w:hAnsi="宋体"/>
        </w:rPr>
        <w:t xml:space="preserve"> 500kV及以下架空电力线路与铁路交叉角度不宜小于30°；500kV以上及直流输电架空电力线路与铁路交叉角度不宜小于45°，困难情况下可协商确定。</w:t>
      </w:r>
    </w:p>
    <w:p>
      <w:pPr>
        <w:adjustRightInd w:val="0"/>
        <w:jc w:val="center"/>
        <w:rPr>
          <w:rFonts w:ascii="Arial" w:hAnsi="Arial" w:eastAsia="黑体" w:cs="Arial"/>
          <w:sz w:val="24"/>
        </w:rPr>
      </w:pPr>
      <w:r>
        <w:rPr>
          <w:rFonts w:hint="eastAsia" w:ascii="Arial" w:hAnsi="Arial" w:eastAsia="黑体" w:cs="Arial"/>
          <w:sz w:val="24"/>
        </w:rPr>
        <w:t>表1与铁路交叉接近的电力线路迁改标准</w:t>
      </w:r>
    </w:p>
    <w:tbl>
      <w:tblPr>
        <w:tblStyle w:val="3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57" w:type="dxa"/>
          <w:bottom w:w="0" w:type="dxa"/>
          <w:right w:w="57" w:type="dxa"/>
        </w:tblCellMar>
      </w:tblPr>
      <w:tblGrid>
        <w:gridCol w:w="2081"/>
        <w:gridCol w:w="2049"/>
        <w:gridCol w:w="42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236" w:type="pct"/>
            <w:shd w:val="clear" w:color="auto" w:fill="auto"/>
            <w:vAlign w:val="center"/>
          </w:tcPr>
          <w:p>
            <w:pPr>
              <w:adjustRightInd w:val="0"/>
              <w:snapToGrid w:val="0"/>
              <w:jc w:val="center"/>
            </w:pPr>
            <w:r>
              <w:rPr>
                <w:rFonts w:hint="eastAsia"/>
              </w:rPr>
              <w:t>交叉档导线最小截面</w:t>
            </w:r>
          </w:p>
        </w:tc>
        <w:tc>
          <w:tcPr>
            <w:tcW w:w="3764" w:type="pct"/>
            <w:gridSpan w:val="2"/>
            <w:shd w:val="clear" w:color="auto" w:fill="auto"/>
            <w:vAlign w:val="center"/>
          </w:tcPr>
          <w:p>
            <w:pPr>
              <w:adjustRightInd w:val="0"/>
              <w:snapToGrid w:val="0"/>
              <w:jc w:val="center"/>
            </w:pPr>
            <w:r>
              <w:rPr>
                <w:rFonts w:hint="eastAsia"/>
              </w:rPr>
              <w:t>35kV及以上采用钢芯铝绞线35 mm</w:t>
            </w:r>
            <w:r>
              <w:rPr>
                <w:rFonts w:hint="eastAsia"/>
                <w:vertAlign w:val="superscript"/>
              </w:rPr>
              <w:t>2</w:t>
            </w:r>
          </w:p>
          <w:p>
            <w:pPr>
              <w:adjustRightInd w:val="0"/>
              <w:snapToGrid w:val="0"/>
              <w:jc w:val="center"/>
            </w:pPr>
            <w:r>
              <w:rPr>
                <w:rFonts w:hint="eastAsia"/>
              </w:rPr>
              <w:t>10（6）kV及以下采用钢芯铝绞线、铝绞线、铝合金线或铜导线35 mm</w:t>
            </w:r>
            <w:r>
              <w:rPr>
                <w:rFonts w:hint="eastAsia"/>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236" w:type="pct"/>
            <w:shd w:val="clear" w:color="auto" w:fill="auto"/>
            <w:vAlign w:val="center"/>
          </w:tcPr>
          <w:p>
            <w:pPr>
              <w:adjustRightInd w:val="0"/>
              <w:snapToGrid w:val="0"/>
              <w:jc w:val="center"/>
            </w:pPr>
            <w:r>
              <w:rPr>
                <w:rFonts w:hint="eastAsia"/>
              </w:rPr>
              <w:t>导线在交叉档内接头</w:t>
            </w:r>
          </w:p>
        </w:tc>
        <w:tc>
          <w:tcPr>
            <w:tcW w:w="3764" w:type="pct"/>
            <w:gridSpan w:val="2"/>
            <w:shd w:val="clear" w:color="auto" w:fill="auto"/>
            <w:vAlign w:val="center"/>
          </w:tcPr>
          <w:p>
            <w:pPr>
              <w:adjustRightInd w:val="0"/>
              <w:snapToGrid w:val="0"/>
              <w:jc w:val="center"/>
            </w:pPr>
            <w:r>
              <w:rPr>
                <w:rFonts w:hint="eastAsia"/>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236" w:type="pct"/>
            <w:shd w:val="clear" w:color="auto" w:fill="auto"/>
            <w:vAlign w:val="center"/>
          </w:tcPr>
          <w:p>
            <w:pPr>
              <w:adjustRightInd w:val="0"/>
              <w:snapToGrid w:val="0"/>
              <w:jc w:val="center"/>
            </w:pPr>
            <w:r>
              <w:rPr>
                <w:rFonts w:hint="eastAsia"/>
              </w:rPr>
              <w:t>交叉档导线支持方式</w:t>
            </w:r>
          </w:p>
          <w:p>
            <w:pPr>
              <w:adjustRightInd w:val="0"/>
              <w:snapToGrid w:val="0"/>
              <w:jc w:val="center"/>
            </w:pPr>
            <w:r>
              <w:rPr>
                <w:rFonts w:hint="eastAsia"/>
              </w:rPr>
              <w:t>（针式绝缘子或瓷横担）</w:t>
            </w:r>
          </w:p>
        </w:tc>
        <w:tc>
          <w:tcPr>
            <w:tcW w:w="3764" w:type="pct"/>
            <w:gridSpan w:val="2"/>
            <w:shd w:val="clear" w:color="auto" w:fill="auto"/>
            <w:vAlign w:val="center"/>
          </w:tcPr>
          <w:p>
            <w:pPr>
              <w:adjustRightInd w:val="0"/>
              <w:snapToGrid w:val="0"/>
              <w:jc w:val="center"/>
            </w:pPr>
            <w:r>
              <w:rPr>
                <w:rFonts w:hint="eastAsia"/>
              </w:rPr>
              <w:t>独立耐张段（干线处）</w:t>
            </w:r>
          </w:p>
          <w:p>
            <w:pPr>
              <w:adjustRightInd w:val="0"/>
              <w:snapToGrid w:val="0"/>
              <w:jc w:val="center"/>
            </w:pPr>
            <w:r>
              <w:rPr>
                <w:rFonts w:hint="eastAsia"/>
              </w:rPr>
              <w:t>双固定、双挂点、双联串等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000" w:type="pct"/>
            <w:gridSpan w:val="3"/>
            <w:shd w:val="clear" w:color="auto" w:fill="auto"/>
            <w:vAlign w:val="center"/>
          </w:tcPr>
          <w:p>
            <w:pPr>
              <w:adjustRightInd w:val="0"/>
              <w:snapToGrid w:val="0"/>
              <w:jc w:val="center"/>
            </w:pPr>
            <w:r>
              <w:rPr>
                <w:rFonts w:hint="eastAsia"/>
              </w:rPr>
              <w:t>导线最大弧垂时最小垂直距离（m）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236" w:type="pct"/>
            <w:shd w:val="clear" w:color="auto" w:fill="auto"/>
            <w:vAlign w:val="center"/>
          </w:tcPr>
          <w:p>
            <w:pPr>
              <w:adjustRightInd w:val="0"/>
              <w:snapToGrid w:val="0"/>
              <w:jc w:val="center"/>
            </w:pPr>
            <w:r>
              <w:rPr>
                <w:rFonts w:hint="eastAsia"/>
              </w:rPr>
              <w:t>线路电压（kV）</w:t>
            </w:r>
          </w:p>
        </w:tc>
        <w:tc>
          <w:tcPr>
            <w:tcW w:w="1217" w:type="pct"/>
            <w:shd w:val="clear" w:color="auto" w:fill="auto"/>
            <w:vAlign w:val="center"/>
          </w:tcPr>
          <w:p>
            <w:pPr>
              <w:adjustRightInd w:val="0"/>
              <w:snapToGrid w:val="0"/>
              <w:jc w:val="center"/>
            </w:pPr>
            <w:r>
              <w:rPr>
                <w:rFonts w:hint="eastAsia"/>
              </w:rPr>
              <w:t>至轨顶</w:t>
            </w:r>
          </w:p>
        </w:tc>
        <w:tc>
          <w:tcPr>
            <w:tcW w:w="2547" w:type="pct"/>
            <w:shd w:val="clear" w:color="auto" w:fill="auto"/>
            <w:vAlign w:val="center"/>
          </w:tcPr>
          <w:p>
            <w:pPr>
              <w:adjustRightInd w:val="0"/>
              <w:snapToGrid w:val="0"/>
              <w:jc w:val="center"/>
            </w:pPr>
            <w:r>
              <w:rPr>
                <w:rFonts w:hint="eastAsia"/>
              </w:rPr>
              <w:t>至接触网最上部导体或至架桥机顶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236" w:type="pct"/>
            <w:shd w:val="clear" w:color="auto" w:fill="auto"/>
            <w:vAlign w:val="center"/>
          </w:tcPr>
          <w:p>
            <w:pPr>
              <w:adjustRightInd w:val="0"/>
              <w:snapToGrid w:val="0"/>
              <w:jc w:val="center"/>
            </w:pPr>
            <w:r>
              <w:rPr>
                <w:rFonts w:hint="eastAsia"/>
              </w:rPr>
              <w:t>0.38及以下</w:t>
            </w:r>
          </w:p>
        </w:tc>
        <w:tc>
          <w:tcPr>
            <w:tcW w:w="1217" w:type="pct"/>
            <w:shd w:val="clear" w:color="auto" w:fill="auto"/>
            <w:vAlign w:val="center"/>
          </w:tcPr>
          <w:p>
            <w:pPr>
              <w:adjustRightInd w:val="0"/>
              <w:snapToGrid w:val="0"/>
              <w:jc w:val="center"/>
            </w:pPr>
            <w:r>
              <w:rPr>
                <w:rFonts w:hint="eastAsia"/>
              </w:rPr>
              <w:t>7.5</w:t>
            </w:r>
          </w:p>
        </w:tc>
        <w:tc>
          <w:tcPr>
            <w:tcW w:w="2547" w:type="pct"/>
            <w:shd w:val="clear" w:color="auto" w:fill="auto"/>
            <w:vAlign w:val="center"/>
          </w:tcPr>
          <w:p>
            <w:pPr>
              <w:adjustRightInd w:val="0"/>
              <w:snapToGrid w:val="0"/>
              <w:jc w:val="center"/>
            </w:pPr>
            <w:r>
              <w:rPr>
                <w:rFonts w:hint="eastAsia"/>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236" w:type="pct"/>
            <w:shd w:val="clear" w:color="auto" w:fill="auto"/>
            <w:vAlign w:val="center"/>
          </w:tcPr>
          <w:p>
            <w:pPr>
              <w:adjustRightInd w:val="0"/>
              <w:snapToGrid w:val="0"/>
              <w:jc w:val="center"/>
            </w:pPr>
            <w:r>
              <w:rPr>
                <w:rFonts w:hint="eastAsia"/>
              </w:rPr>
              <w:t>10（6）</w:t>
            </w:r>
          </w:p>
        </w:tc>
        <w:tc>
          <w:tcPr>
            <w:tcW w:w="1217" w:type="pct"/>
            <w:shd w:val="clear" w:color="auto" w:fill="auto"/>
            <w:vAlign w:val="center"/>
          </w:tcPr>
          <w:p>
            <w:pPr>
              <w:adjustRightInd w:val="0"/>
              <w:snapToGrid w:val="0"/>
              <w:jc w:val="center"/>
            </w:pPr>
            <w:r>
              <w:rPr>
                <w:rFonts w:hint="eastAsia"/>
              </w:rPr>
              <w:t>7.5</w:t>
            </w:r>
          </w:p>
        </w:tc>
        <w:tc>
          <w:tcPr>
            <w:tcW w:w="2547" w:type="pct"/>
            <w:shd w:val="clear" w:color="auto" w:fill="auto"/>
            <w:vAlign w:val="center"/>
          </w:tcPr>
          <w:p>
            <w:pPr>
              <w:adjustRightInd w:val="0"/>
              <w:snapToGrid w:val="0"/>
              <w:jc w:val="center"/>
            </w:pPr>
            <w:r>
              <w:rPr>
                <w:rFonts w:hint="eastAsia"/>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236" w:type="pct"/>
            <w:shd w:val="clear" w:color="auto" w:fill="auto"/>
            <w:vAlign w:val="center"/>
          </w:tcPr>
          <w:p>
            <w:pPr>
              <w:adjustRightInd w:val="0"/>
              <w:snapToGrid w:val="0"/>
              <w:jc w:val="center"/>
            </w:pPr>
            <w:r>
              <w:rPr>
                <w:rFonts w:hint="eastAsia"/>
              </w:rPr>
              <w:t>35</w:t>
            </w:r>
          </w:p>
        </w:tc>
        <w:tc>
          <w:tcPr>
            <w:tcW w:w="1217" w:type="pct"/>
            <w:shd w:val="clear" w:color="auto" w:fill="auto"/>
            <w:vAlign w:val="center"/>
          </w:tcPr>
          <w:p>
            <w:pPr>
              <w:adjustRightInd w:val="0"/>
              <w:snapToGrid w:val="0"/>
              <w:jc w:val="center"/>
            </w:pPr>
            <w:r>
              <w:rPr>
                <w:rFonts w:hint="eastAsia"/>
              </w:rPr>
              <w:t>7.5</w:t>
            </w:r>
          </w:p>
        </w:tc>
        <w:tc>
          <w:tcPr>
            <w:tcW w:w="2547" w:type="pct"/>
            <w:shd w:val="clear" w:color="auto" w:fill="auto"/>
            <w:vAlign w:val="center"/>
          </w:tcPr>
          <w:p>
            <w:pPr>
              <w:adjustRightInd w:val="0"/>
              <w:snapToGrid w:val="0"/>
              <w:jc w:val="center"/>
            </w:pPr>
            <w:r>
              <w:rPr>
                <w:rFonts w:hint="eastAsia"/>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236" w:type="pct"/>
            <w:shd w:val="clear" w:color="auto" w:fill="auto"/>
            <w:vAlign w:val="center"/>
          </w:tcPr>
          <w:p>
            <w:pPr>
              <w:adjustRightInd w:val="0"/>
              <w:snapToGrid w:val="0"/>
              <w:jc w:val="center"/>
            </w:pPr>
            <w:r>
              <w:rPr>
                <w:rFonts w:hint="eastAsia"/>
              </w:rPr>
              <w:t>66</w:t>
            </w:r>
          </w:p>
        </w:tc>
        <w:tc>
          <w:tcPr>
            <w:tcW w:w="1217" w:type="pct"/>
            <w:shd w:val="clear" w:color="auto" w:fill="auto"/>
            <w:vAlign w:val="center"/>
          </w:tcPr>
          <w:p>
            <w:pPr>
              <w:adjustRightInd w:val="0"/>
              <w:snapToGrid w:val="0"/>
              <w:jc w:val="center"/>
            </w:pPr>
            <w:r>
              <w:rPr>
                <w:rFonts w:hint="eastAsia"/>
              </w:rPr>
              <w:t>7.5</w:t>
            </w:r>
          </w:p>
        </w:tc>
        <w:tc>
          <w:tcPr>
            <w:tcW w:w="2547" w:type="pct"/>
            <w:shd w:val="clear" w:color="auto" w:fill="auto"/>
            <w:vAlign w:val="center"/>
          </w:tcPr>
          <w:p>
            <w:pPr>
              <w:adjustRightInd w:val="0"/>
              <w:snapToGrid w:val="0"/>
              <w:jc w:val="center"/>
            </w:pPr>
            <w:r>
              <w:rPr>
                <w:rFonts w:hint="eastAsia"/>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236" w:type="pct"/>
            <w:shd w:val="clear" w:color="auto" w:fill="auto"/>
            <w:vAlign w:val="center"/>
          </w:tcPr>
          <w:p>
            <w:pPr>
              <w:adjustRightInd w:val="0"/>
              <w:snapToGrid w:val="0"/>
              <w:jc w:val="center"/>
            </w:pPr>
            <w:r>
              <w:rPr>
                <w:rFonts w:hint="eastAsia"/>
              </w:rPr>
              <w:t>110</w:t>
            </w:r>
          </w:p>
        </w:tc>
        <w:tc>
          <w:tcPr>
            <w:tcW w:w="1217" w:type="pct"/>
            <w:shd w:val="clear" w:color="auto" w:fill="auto"/>
            <w:vAlign w:val="center"/>
          </w:tcPr>
          <w:p>
            <w:pPr>
              <w:adjustRightInd w:val="0"/>
              <w:snapToGrid w:val="0"/>
              <w:jc w:val="center"/>
            </w:pPr>
            <w:r>
              <w:rPr>
                <w:rFonts w:hint="eastAsia"/>
              </w:rPr>
              <w:t>7.5</w:t>
            </w:r>
          </w:p>
        </w:tc>
        <w:tc>
          <w:tcPr>
            <w:tcW w:w="2547" w:type="pct"/>
            <w:shd w:val="clear" w:color="auto" w:fill="auto"/>
            <w:vAlign w:val="center"/>
          </w:tcPr>
          <w:p>
            <w:pPr>
              <w:adjustRightInd w:val="0"/>
              <w:snapToGrid w:val="0"/>
              <w:jc w:val="center"/>
            </w:pPr>
            <w:r>
              <w:rPr>
                <w:rFonts w:hint="eastAsia"/>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236" w:type="pct"/>
            <w:shd w:val="clear" w:color="auto" w:fill="auto"/>
            <w:vAlign w:val="center"/>
          </w:tcPr>
          <w:p>
            <w:pPr>
              <w:adjustRightInd w:val="0"/>
              <w:snapToGrid w:val="0"/>
              <w:jc w:val="center"/>
            </w:pPr>
            <w:r>
              <w:rPr>
                <w:rFonts w:hint="eastAsia"/>
              </w:rPr>
              <w:t>220</w:t>
            </w:r>
          </w:p>
        </w:tc>
        <w:tc>
          <w:tcPr>
            <w:tcW w:w="1217" w:type="pct"/>
            <w:shd w:val="clear" w:color="auto" w:fill="auto"/>
            <w:vAlign w:val="center"/>
          </w:tcPr>
          <w:p>
            <w:pPr>
              <w:adjustRightInd w:val="0"/>
              <w:snapToGrid w:val="0"/>
              <w:jc w:val="center"/>
            </w:pPr>
            <w:r>
              <w:rPr>
                <w:rFonts w:hint="eastAsia"/>
              </w:rPr>
              <w:t>8.5</w:t>
            </w:r>
          </w:p>
        </w:tc>
        <w:tc>
          <w:tcPr>
            <w:tcW w:w="2547" w:type="pct"/>
            <w:shd w:val="clear" w:color="auto" w:fill="auto"/>
            <w:vAlign w:val="center"/>
          </w:tcPr>
          <w:p>
            <w:pPr>
              <w:adjustRightInd w:val="0"/>
              <w:snapToGrid w:val="0"/>
              <w:jc w:val="center"/>
            </w:pPr>
            <w:r>
              <w:rPr>
                <w:rFonts w:hint="eastAsia"/>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236" w:type="pct"/>
            <w:shd w:val="clear" w:color="auto" w:fill="auto"/>
            <w:vAlign w:val="center"/>
          </w:tcPr>
          <w:p>
            <w:pPr>
              <w:adjustRightInd w:val="0"/>
              <w:snapToGrid w:val="0"/>
              <w:jc w:val="center"/>
            </w:pPr>
            <w:r>
              <w:rPr>
                <w:rFonts w:hint="eastAsia"/>
              </w:rPr>
              <w:t>330</w:t>
            </w:r>
          </w:p>
        </w:tc>
        <w:tc>
          <w:tcPr>
            <w:tcW w:w="1217" w:type="pct"/>
            <w:shd w:val="clear" w:color="auto" w:fill="auto"/>
            <w:vAlign w:val="center"/>
          </w:tcPr>
          <w:p>
            <w:pPr>
              <w:adjustRightInd w:val="0"/>
              <w:snapToGrid w:val="0"/>
              <w:jc w:val="center"/>
            </w:pPr>
            <w:r>
              <w:rPr>
                <w:rFonts w:hint="eastAsia"/>
              </w:rPr>
              <w:t>9.5</w:t>
            </w:r>
          </w:p>
        </w:tc>
        <w:tc>
          <w:tcPr>
            <w:tcW w:w="2547" w:type="pct"/>
            <w:shd w:val="clear" w:color="auto" w:fill="auto"/>
            <w:vAlign w:val="center"/>
          </w:tcPr>
          <w:p>
            <w:pPr>
              <w:adjustRightInd w:val="0"/>
              <w:snapToGrid w:val="0"/>
              <w:jc w:val="center"/>
            </w:pPr>
            <w:r>
              <w:rPr>
                <w:rFonts w:hint="eastAsia"/>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236" w:type="pct"/>
            <w:shd w:val="clear" w:color="auto" w:fill="auto"/>
            <w:vAlign w:val="center"/>
          </w:tcPr>
          <w:p>
            <w:pPr>
              <w:adjustRightInd w:val="0"/>
              <w:snapToGrid w:val="0"/>
              <w:jc w:val="center"/>
            </w:pPr>
            <w:r>
              <w:rPr>
                <w:rFonts w:hint="eastAsia"/>
              </w:rPr>
              <w:t>500</w:t>
            </w:r>
          </w:p>
        </w:tc>
        <w:tc>
          <w:tcPr>
            <w:tcW w:w="1217" w:type="pct"/>
            <w:shd w:val="clear" w:color="auto" w:fill="auto"/>
            <w:vAlign w:val="center"/>
          </w:tcPr>
          <w:p>
            <w:pPr>
              <w:adjustRightInd w:val="0"/>
              <w:snapToGrid w:val="0"/>
              <w:jc w:val="center"/>
            </w:pPr>
            <w:r>
              <w:rPr>
                <w:rFonts w:hint="eastAsia"/>
              </w:rPr>
              <w:t>14.0</w:t>
            </w:r>
          </w:p>
        </w:tc>
        <w:tc>
          <w:tcPr>
            <w:tcW w:w="2547" w:type="pct"/>
            <w:shd w:val="clear" w:color="auto" w:fill="auto"/>
            <w:vAlign w:val="center"/>
          </w:tcPr>
          <w:p>
            <w:pPr>
              <w:adjustRightInd w:val="0"/>
              <w:snapToGrid w:val="0"/>
              <w:jc w:val="center"/>
            </w:pPr>
            <w:r>
              <w:rPr>
                <w:rFonts w:hint="eastAsia"/>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236" w:type="pct"/>
            <w:shd w:val="clear" w:color="auto" w:fill="auto"/>
            <w:vAlign w:val="center"/>
          </w:tcPr>
          <w:p>
            <w:pPr>
              <w:adjustRightInd w:val="0"/>
              <w:snapToGrid w:val="0"/>
              <w:jc w:val="center"/>
            </w:pPr>
            <w:r>
              <w:rPr>
                <w:rFonts w:hint="eastAsia"/>
              </w:rPr>
              <w:t>750</w:t>
            </w:r>
          </w:p>
        </w:tc>
        <w:tc>
          <w:tcPr>
            <w:tcW w:w="1217" w:type="pct"/>
            <w:shd w:val="clear" w:color="auto" w:fill="auto"/>
            <w:vAlign w:val="center"/>
          </w:tcPr>
          <w:p>
            <w:pPr>
              <w:adjustRightInd w:val="0"/>
              <w:snapToGrid w:val="0"/>
              <w:jc w:val="center"/>
            </w:pPr>
            <w:r>
              <w:rPr>
                <w:rFonts w:hint="eastAsia"/>
              </w:rPr>
              <w:t>19.5</w:t>
            </w:r>
          </w:p>
        </w:tc>
        <w:tc>
          <w:tcPr>
            <w:tcW w:w="2547" w:type="pct"/>
            <w:shd w:val="clear" w:color="auto" w:fill="auto"/>
            <w:vAlign w:val="center"/>
          </w:tcPr>
          <w:p>
            <w:pPr>
              <w:adjustRightInd w:val="0"/>
              <w:snapToGrid w:val="0"/>
              <w:jc w:val="center"/>
            </w:pPr>
            <w:r>
              <w:rPr>
                <w:rFonts w:hint="eastAsia"/>
              </w:rPr>
              <w:t>7.0（10.0）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236" w:type="pct"/>
            <w:shd w:val="clear" w:color="auto" w:fill="auto"/>
            <w:vAlign w:val="center"/>
          </w:tcPr>
          <w:p>
            <w:pPr>
              <w:adjustRightInd w:val="0"/>
              <w:snapToGrid w:val="0"/>
              <w:jc w:val="center"/>
            </w:pPr>
            <w:r>
              <w:rPr>
                <w:rFonts w:hint="eastAsia"/>
              </w:rPr>
              <w:t>1000单回</w:t>
            </w:r>
          </w:p>
        </w:tc>
        <w:tc>
          <w:tcPr>
            <w:tcW w:w="1217" w:type="pct"/>
            <w:shd w:val="clear" w:color="auto" w:fill="auto"/>
            <w:vAlign w:val="center"/>
          </w:tcPr>
          <w:p>
            <w:pPr>
              <w:adjustRightInd w:val="0"/>
              <w:snapToGrid w:val="0"/>
              <w:jc w:val="center"/>
            </w:pPr>
            <w:r>
              <w:rPr>
                <w:rFonts w:hint="eastAsia"/>
              </w:rPr>
              <w:t>27.0</w:t>
            </w:r>
          </w:p>
        </w:tc>
        <w:tc>
          <w:tcPr>
            <w:tcW w:w="2547" w:type="pct"/>
            <w:shd w:val="clear" w:color="auto" w:fill="auto"/>
            <w:vAlign w:val="center"/>
          </w:tcPr>
          <w:p>
            <w:pPr>
              <w:adjustRightInd w:val="0"/>
              <w:snapToGrid w:val="0"/>
              <w:jc w:val="center"/>
            </w:pPr>
            <w:r>
              <w:rPr>
                <w:rFonts w:hint="eastAsia"/>
              </w:rPr>
              <w:t>10.0（16.0）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236" w:type="pct"/>
            <w:shd w:val="clear" w:color="auto" w:fill="auto"/>
            <w:vAlign w:val="center"/>
          </w:tcPr>
          <w:p>
            <w:pPr>
              <w:adjustRightInd w:val="0"/>
              <w:snapToGrid w:val="0"/>
              <w:jc w:val="center"/>
            </w:pPr>
            <w:r>
              <w:rPr>
                <w:rFonts w:hint="eastAsia"/>
              </w:rPr>
              <w:t>1000双回</w:t>
            </w:r>
          </w:p>
        </w:tc>
        <w:tc>
          <w:tcPr>
            <w:tcW w:w="1217" w:type="pct"/>
            <w:shd w:val="clear" w:color="auto" w:fill="auto"/>
            <w:vAlign w:val="center"/>
          </w:tcPr>
          <w:p>
            <w:pPr>
              <w:adjustRightInd w:val="0"/>
              <w:snapToGrid w:val="0"/>
              <w:jc w:val="center"/>
            </w:pPr>
            <w:r>
              <w:rPr>
                <w:rFonts w:hint="eastAsia"/>
              </w:rPr>
              <w:t>25.0</w:t>
            </w:r>
          </w:p>
        </w:tc>
        <w:tc>
          <w:tcPr>
            <w:tcW w:w="2547" w:type="pct"/>
            <w:shd w:val="clear" w:color="auto" w:fill="auto"/>
            <w:vAlign w:val="center"/>
          </w:tcPr>
          <w:p>
            <w:pPr>
              <w:adjustRightInd w:val="0"/>
              <w:snapToGrid w:val="0"/>
              <w:jc w:val="center"/>
            </w:pPr>
            <w:r>
              <w:rPr>
                <w:rFonts w:hint="eastAsia"/>
              </w:rPr>
              <w:t>10（14.0）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236" w:type="pct"/>
            <w:shd w:val="clear" w:color="auto" w:fill="auto"/>
            <w:vAlign w:val="center"/>
          </w:tcPr>
          <w:p>
            <w:pPr>
              <w:adjustRightInd w:val="0"/>
              <w:snapToGrid w:val="0"/>
              <w:jc w:val="center"/>
            </w:pPr>
            <w:r>
              <w:rPr>
                <w:rFonts w:hint="eastAsia"/>
              </w:rPr>
              <w:t>±500</w:t>
            </w:r>
          </w:p>
        </w:tc>
        <w:tc>
          <w:tcPr>
            <w:tcW w:w="1217" w:type="pct"/>
            <w:shd w:val="clear" w:color="auto" w:fill="auto"/>
            <w:vAlign w:val="center"/>
          </w:tcPr>
          <w:p>
            <w:pPr>
              <w:adjustRightInd w:val="0"/>
              <w:snapToGrid w:val="0"/>
              <w:jc w:val="center"/>
            </w:pPr>
            <w:r>
              <w:rPr>
                <w:rFonts w:hint="eastAsia"/>
              </w:rPr>
              <w:t>16.0</w:t>
            </w:r>
          </w:p>
        </w:tc>
        <w:tc>
          <w:tcPr>
            <w:tcW w:w="2547" w:type="pct"/>
            <w:shd w:val="clear" w:color="auto" w:fill="auto"/>
            <w:vAlign w:val="center"/>
          </w:tcPr>
          <w:p>
            <w:pPr>
              <w:adjustRightInd w:val="0"/>
              <w:snapToGrid w:val="0"/>
              <w:jc w:val="center"/>
            </w:pPr>
            <w:r>
              <w:rPr>
                <w:rFonts w:hint="eastAsia"/>
              </w:rPr>
              <w:t>7.6（8.5）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236" w:type="pct"/>
            <w:shd w:val="clear" w:color="auto" w:fill="auto"/>
            <w:vAlign w:val="center"/>
          </w:tcPr>
          <w:p>
            <w:pPr>
              <w:adjustRightInd w:val="0"/>
              <w:snapToGrid w:val="0"/>
              <w:jc w:val="center"/>
            </w:pPr>
            <w:r>
              <w:rPr>
                <w:rFonts w:hint="eastAsia"/>
              </w:rPr>
              <w:t>±660单回</w:t>
            </w:r>
          </w:p>
        </w:tc>
        <w:tc>
          <w:tcPr>
            <w:tcW w:w="1217" w:type="pct"/>
            <w:vMerge w:val="restart"/>
            <w:shd w:val="clear" w:color="auto" w:fill="auto"/>
            <w:vAlign w:val="center"/>
          </w:tcPr>
          <w:p>
            <w:pPr>
              <w:adjustRightInd w:val="0"/>
              <w:snapToGrid w:val="0"/>
              <w:jc w:val="center"/>
            </w:pPr>
            <w:r>
              <w:rPr>
                <w:rFonts w:hint="eastAsia"/>
              </w:rPr>
              <w:t>18.0</w:t>
            </w:r>
          </w:p>
        </w:tc>
        <w:tc>
          <w:tcPr>
            <w:tcW w:w="2547" w:type="pct"/>
            <w:shd w:val="clear" w:color="auto" w:fill="auto"/>
            <w:vAlign w:val="center"/>
          </w:tcPr>
          <w:p>
            <w:pPr>
              <w:adjustRightInd w:val="0"/>
              <w:snapToGrid w:val="0"/>
              <w:jc w:val="center"/>
            </w:pPr>
            <w:r>
              <w:rPr>
                <w:rFonts w:hint="eastAsia"/>
              </w:rPr>
              <w:t>10.0（12.5）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236" w:type="pct"/>
            <w:shd w:val="clear" w:color="auto" w:fill="auto"/>
            <w:vAlign w:val="center"/>
          </w:tcPr>
          <w:p>
            <w:pPr>
              <w:adjustRightInd w:val="0"/>
              <w:snapToGrid w:val="0"/>
              <w:jc w:val="center"/>
            </w:pPr>
            <w:r>
              <w:rPr>
                <w:rFonts w:hint="eastAsia"/>
              </w:rPr>
              <w:t>±660双回</w:t>
            </w:r>
          </w:p>
        </w:tc>
        <w:tc>
          <w:tcPr>
            <w:tcW w:w="1217" w:type="pct"/>
            <w:vMerge w:val="continue"/>
            <w:shd w:val="clear" w:color="auto" w:fill="auto"/>
            <w:vAlign w:val="center"/>
          </w:tcPr>
          <w:p>
            <w:pPr>
              <w:adjustRightInd w:val="0"/>
              <w:snapToGrid w:val="0"/>
              <w:jc w:val="center"/>
            </w:pPr>
          </w:p>
        </w:tc>
        <w:tc>
          <w:tcPr>
            <w:tcW w:w="2547" w:type="pct"/>
            <w:shd w:val="clear" w:color="auto" w:fill="auto"/>
            <w:vAlign w:val="center"/>
          </w:tcPr>
          <w:p>
            <w:pPr>
              <w:adjustRightInd w:val="0"/>
              <w:snapToGrid w:val="0"/>
              <w:jc w:val="center"/>
            </w:pPr>
            <w:r>
              <w:rPr>
                <w:rFonts w:hint="eastAsia"/>
              </w:rPr>
              <w:t>10.5（12.5）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236" w:type="pct"/>
            <w:shd w:val="clear" w:color="auto" w:fill="auto"/>
            <w:vAlign w:val="center"/>
          </w:tcPr>
          <w:p>
            <w:pPr>
              <w:adjustRightInd w:val="0"/>
              <w:snapToGrid w:val="0"/>
              <w:jc w:val="center"/>
            </w:pPr>
            <w:r>
              <w:rPr>
                <w:rFonts w:hint="eastAsia"/>
              </w:rPr>
              <w:t>±800</w:t>
            </w:r>
          </w:p>
        </w:tc>
        <w:tc>
          <w:tcPr>
            <w:tcW w:w="1217" w:type="pct"/>
            <w:shd w:val="clear" w:color="auto" w:fill="auto"/>
            <w:vAlign w:val="center"/>
          </w:tcPr>
          <w:p>
            <w:pPr>
              <w:adjustRightInd w:val="0"/>
              <w:snapToGrid w:val="0"/>
              <w:jc w:val="center"/>
            </w:pPr>
            <w:r>
              <w:rPr>
                <w:rFonts w:hint="eastAsia"/>
              </w:rPr>
              <w:t>21.5</w:t>
            </w:r>
          </w:p>
        </w:tc>
        <w:tc>
          <w:tcPr>
            <w:tcW w:w="2547" w:type="pct"/>
            <w:shd w:val="clear" w:color="auto" w:fill="auto"/>
            <w:vAlign w:val="center"/>
          </w:tcPr>
          <w:p>
            <w:pPr>
              <w:adjustRightInd w:val="0"/>
              <w:snapToGrid w:val="0"/>
              <w:jc w:val="center"/>
            </w:pPr>
            <w:r>
              <w:rPr>
                <w:rFonts w:hint="eastAsia"/>
              </w:rPr>
              <w:t>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000" w:type="pct"/>
            <w:gridSpan w:val="3"/>
            <w:shd w:val="clear" w:color="auto" w:fill="auto"/>
            <w:vAlign w:val="center"/>
          </w:tcPr>
          <w:p>
            <w:pPr>
              <w:adjustRightInd w:val="0"/>
              <w:snapToGrid w:val="0"/>
              <w:jc w:val="center"/>
            </w:pPr>
            <w:r>
              <w:rPr>
                <w:rFonts w:hint="eastAsia"/>
              </w:rPr>
              <w:t>最小水平距离（m）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000" w:type="pct"/>
            <w:gridSpan w:val="3"/>
            <w:shd w:val="clear" w:color="auto" w:fill="auto"/>
            <w:vAlign w:val="center"/>
          </w:tcPr>
          <w:p>
            <w:pPr>
              <w:adjustRightInd w:val="0"/>
              <w:snapToGrid w:val="0"/>
              <w:jc w:val="center"/>
            </w:pPr>
            <w:r>
              <w:rPr>
                <w:rFonts w:hint="eastAsia"/>
              </w:rPr>
              <w:t>路内线路杆塔外缘至轨道中心为杆塔高加3.1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236" w:type="pct"/>
            <w:shd w:val="clear" w:color="auto" w:fill="auto"/>
            <w:vAlign w:val="center"/>
          </w:tcPr>
          <w:p>
            <w:pPr>
              <w:adjustRightInd w:val="0"/>
              <w:snapToGrid w:val="0"/>
              <w:jc w:val="center"/>
            </w:pPr>
            <w:r>
              <w:rPr>
                <w:rFonts w:hint="eastAsia"/>
              </w:rPr>
              <w:t>线路电压（kV）</w:t>
            </w:r>
          </w:p>
        </w:tc>
        <w:tc>
          <w:tcPr>
            <w:tcW w:w="3764" w:type="pct"/>
            <w:gridSpan w:val="2"/>
            <w:shd w:val="clear" w:color="auto" w:fill="auto"/>
            <w:vAlign w:val="center"/>
          </w:tcPr>
          <w:p>
            <w:pPr>
              <w:adjustRightInd w:val="0"/>
              <w:snapToGrid w:val="0"/>
              <w:jc w:val="center"/>
            </w:pPr>
            <w:r>
              <w:rPr>
                <w:rFonts w:hint="eastAsia"/>
              </w:rPr>
              <w:t>路外杆塔外缘至轨道中心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236" w:type="pct"/>
            <w:shd w:val="clear" w:color="auto" w:fill="auto"/>
            <w:vAlign w:val="center"/>
          </w:tcPr>
          <w:p>
            <w:pPr>
              <w:adjustRightInd w:val="0"/>
              <w:snapToGrid w:val="0"/>
              <w:jc w:val="center"/>
            </w:pPr>
            <w:r>
              <w:rPr>
                <w:rFonts w:hint="eastAsia"/>
              </w:rPr>
              <w:t>0.38及以下</w:t>
            </w:r>
          </w:p>
        </w:tc>
        <w:tc>
          <w:tcPr>
            <w:tcW w:w="3764" w:type="pct"/>
            <w:gridSpan w:val="2"/>
            <w:vMerge w:val="restart"/>
            <w:shd w:val="clear" w:color="auto" w:fill="auto"/>
            <w:vAlign w:val="center"/>
          </w:tcPr>
          <w:p>
            <w:pPr>
              <w:adjustRightInd w:val="0"/>
              <w:snapToGrid w:val="0"/>
              <w:jc w:val="center"/>
            </w:pPr>
            <w:r>
              <w:rPr>
                <w:rFonts w:hint="eastAsia"/>
              </w:rPr>
              <w:t>平行时杆塔高加3</w:t>
            </w:r>
            <w: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236" w:type="pct"/>
            <w:shd w:val="clear" w:color="auto" w:fill="auto"/>
            <w:vAlign w:val="center"/>
          </w:tcPr>
          <w:p>
            <w:pPr>
              <w:adjustRightInd w:val="0"/>
              <w:snapToGrid w:val="0"/>
              <w:jc w:val="center"/>
            </w:pPr>
            <w:r>
              <w:rPr>
                <w:rFonts w:hint="eastAsia"/>
              </w:rPr>
              <w:t>10（6）</w:t>
            </w:r>
          </w:p>
        </w:tc>
        <w:tc>
          <w:tcPr>
            <w:tcW w:w="3764" w:type="pct"/>
            <w:gridSpan w:val="2"/>
            <w:vMerge w:val="continue"/>
            <w:shd w:val="clear" w:color="auto" w:fill="auto"/>
            <w:vAlign w:val="center"/>
          </w:tcPr>
          <w:p>
            <w:pPr>
              <w:adjustRightInd w:val="0"/>
              <w:snapToGrid w:val="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236" w:type="pct"/>
            <w:shd w:val="clear" w:color="auto" w:fill="auto"/>
            <w:vAlign w:val="center"/>
          </w:tcPr>
          <w:p>
            <w:pPr>
              <w:adjustRightInd w:val="0"/>
              <w:snapToGrid w:val="0"/>
              <w:jc w:val="center"/>
            </w:pPr>
            <w:r>
              <w:rPr>
                <w:rFonts w:hint="eastAsia"/>
              </w:rPr>
              <w:t>35～66</w:t>
            </w:r>
          </w:p>
        </w:tc>
        <w:tc>
          <w:tcPr>
            <w:tcW w:w="3764" w:type="pct"/>
            <w:gridSpan w:val="2"/>
            <w:shd w:val="clear" w:color="auto" w:fill="auto"/>
            <w:vAlign w:val="center"/>
          </w:tcPr>
          <w:p>
            <w:pPr>
              <w:adjustRightInd w:val="0"/>
              <w:snapToGrid w:val="0"/>
              <w:jc w:val="center"/>
            </w:pPr>
            <w:r>
              <w:rPr>
                <w:rFonts w:hint="eastAsia"/>
              </w:rPr>
              <w:t>杆塔高加3.1</w:t>
            </w:r>
          </w:p>
          <w:p>
            <w:pPr>
              <w:adjustRightInd w:val="0"/>
              <w:snapToGrid w:val="0"/>
              <w:jc w:val="center"/>
            </w:pPr>
            <w:r>
              <w:rPr>
                <w:rFonts w:hint="eastAsia"/>
              </w:rPr>
              <w:t>交叉：30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236" w:type="pct"/>
            <w:shd w:val="clear" w:color="auto" w:fill="auto"/>
            <w:vAlign w:val="center"/>
          </w:tcPr>
          <w:p>
            <w:pPr>
              <w:adjustRightInd w:val="0"/>
              <w:snapToGrid w:val="0"/>
              <w:jc w:val="center"/>
            </w:pPr>
            <w:r>
              <w:rPr>
                <w:rFonts w:hint="eastAsia"/>
              </w:rPr>
              <w:t>110</w:t>
            </w:r>
          </w:p>
        </w:tc>
        <w:tc>
          <w:tcPr>
            <w:tcW w:w="3764" w:type="pct"/>
            <w:gridSpan w:val="2"/>
            <w:vMerge w:val="restart"/>
            <w:shd w:val="clear" w:color="auto" w:fill="auto"/>
            <w:vAlign w:val="center"/>
          </w:tcPr>
          <w:p>
            <w:pPr>
              <w:adjustRightInd w:val="0"/>
              <w:snapToGrid w:val="0"/>
              <w:jc w:val="left"/>
            </w:pPr>
            <w:r>
              <w:rPr>
                <w:rFonts w:hint="eastAsia"/>
              </w:rPr>
              <w:t>平行：杆塔高加3.1，无法满足时可通过双方协商确定</w:t>
            </w:r>
          </w:p>
          <w:p>
            <w:pPr>
              <w:adjustRightInd w:val="0"/>
              <w:snapToGrid w:val="0"/>
              <w:jc w:val="left"/>
            </w:pPr>
            <w:r>
              <w:rPr>
                <w:rFonts w:hint="eastAsia"/>
              </w:rPr>
              <w:t>交叉：杆塔高加3.1，无法满足时可通过双方协商，适当减少，但不得小于30。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236" w:type="pct"/>
            <w:shd w:val="clear" w:color="auto" w:fill="auto"/>
            <w:vAlign w:val="center"/>
          </w:tcPr>
          <w:p>
            <w:pPr>
              <w:adjustRightInd w:val="0"/>
              <w:snapToGrid w:val="0"/>
              <w:jc w:val="center"/>
            </w:pPr>
            <w:r>
              <w:rPr>
                <w:rFonts w:hint="eastAsia"/>
              </w:rPr>
              <w:t>220</w:t>
            </w:r>
          </w:p>
        </w:tc>
        <w:tc>
          <w:tcPr>
            <w:tcW w:w="3764" w:type="pct"/>
            <w:gridSpan w:val="2"/>
            <w:vMerge w:val="continue"/>
            <w:shd w:val="clear" w:color="auto" w:fill="auto"/>
            <w:vAlign w:val="center"/>
          </w:tcPr>
          <w:p>
            <w:pPr>
              <w:adjustRightInd w:val="0"/>
              <w:snapToGrid w:val="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236" w:type="pct"/>
            <w:shd w:val="clear" w:color="auto" w:fill="auto"/>
            <w:vAlign w:val="center"/>
          </w:tcPr>
          <w:p>
            <w:pPr>
              <w:adjustRightInd w:val="0"/>
              <w:snapToGrid w:val="0"/>
              <w:jc w:val="center"/>
            </w:pPr>
            <w:r>
              <w:rPr>
                <w:rFonts w:hint="eastAsia"/>
              </w:rPr>
              <w:t>330</w:t>
            </w:r>
          </w:p>
        </w:tc>
        <w:tc>
          <w:tcPr>
            <w:tcW w:w="3764" w:type="pct"/>
            <w:gridSpan w:val="2"/>
            <w:vMerge w:val="continue"/>
            <w:shd w:val="clear" w:color="auto" w:fill="auto"/>
            <w:vAlign w:val="center"/>
          </w:tcPr>
          <w:p>
            <w:pPr>
              <w:adjustRightInd w:val="0"/>
              <w:snapToGrid w:val="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236" w:type="pct"/>
            <w:shd w:val="clear" w:color="auto" w:fill="auto"/>
            <w:vAlign w:val="center"/>
          </w:tcPr>
          <w:p>
            <w:pPr>
              <w:adjustRightInd w:val="0"/>
              <w:snapToGrid w:val="0"/>
              <w:jc w:val="center"/>
            </w:pPr>
            <w:r>
              <w:rPr>
                <w:rFonts w:hint="eastAsia"/>
              </w:rPr>
              <w:t>500</w:t>
            </w:r>
          </w:p>
        </w:tc>
        <w:tc>
          <w:tcPr>
            <w:tcW w:w="3764" w:type="pct"/>
            <w:gridSpan w:val="2"/>
            <w:vMerge w:val="continue"/>
            <w:shd w:val="clear" w:color="auto" w:fill="auto"/>
            <w:vAlign w:val="center"/>
          </w:tcPr>
          <w:p>
            <w:pPr>
              <w:adjustRightInd w:val="0"/>
              <w:snapToGrid w:val="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1236" w:type="pct"/>
            <w:shd w:val="clear" w:color="auto" w:fill="auto"/>
            <w:vAlign w:val="center"/>
          </w:tcPr>
          <w:p>
            <w:pPr>
              <w:adjustRightInd w:val="0"/>
              <w:snapToGrid w:val="0"/>
              <w:jc w:val="center"/>
            </w:pPr>
            <w:r>
              <w:rPr>
                <w:rFonts w:hint="eastAsia"/>
              </w:rPr>
              <w:t>750</w:t>
            </w:r>
          </w:p>
        </w:tc>
        <w:tc>
          <w:tcPr>
            <w:tcW w:w="3764" w:type="pct"/>
            <w:gridSpan w:val="2"/>
            <w:vMerge w:val="continue"/>
            <w:shd w:val="clear" w:color="auto" w:fill="auto"/>
            <w:vAlign w:val="center"/>
          </w:tcPr>
          <w:p>
            <w:pPr>
              <w:adjustRightInd w:val="0"/>
              <w:snapToGrid w:val="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236" w:type="pct"/>
            <w:shd w:val="clear" w:color="auto" w:fill="auto"/>
            <w:vAlign w:val="center"/>
          </w:tcPr>
          <w:p>
            <w:pPr>
              <w:adjustRightInd w:val="0"/>
              <w:snapToGrid w:val="0"/>
              <w:jc w:val="center"/>
            </w:pPr>
            <w:r>
              <w:rPr>
                <w:rFonts w:hint="eastAsia"/>
              </w:rPr>
              <w:t>1000</w:t>
            </w:r>
          </w:p>
        </w:tc>
        <w:tc>
          <w:tcPr>
            <w:tcW w:w="3764" w:type="pct"/>
            <w:gridSpan w:val="2"/>
            <w:vMerge w:val="restart"/>
            <w:shd w:val="clear" w:color="auto" w:fill="auto"/>
            <w:vAlign w:val="center"/>
          </w:tcPr>
          <w:p>
            <w:pPr>
              <w:adjustRightInd w:val="0"/>
              <w:snapToGrid w:val="0"/>
              <w:jc w:val="left"/>
            </w:pPr>
            <w:r>
              <w:rPr>
                <w:rFonts w:hint="eastAsia"/>
              </w:rPr>
              <w:t>平行：杆塔高加3.1，无法满足时可通过双方协商确定</w:t>
            </w:r>
          </w:p>
          <w:p>
            <w:pPr>
              <w:adjustRightInd w:val="0"/>
              <w:snapToGrid w:val="0"/>
              <w:jc w:val="left"/>
            </w:pPr>
            <w:r>
              <w:rPr>
                <w:rFonts w:hint="eastAsia"/>
              </w:rPr>
              <w:t>交叉：杆塔高加3.1，无法满足时可通过双方协商，适当减少，但不得小于40。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236" w:type="pct"/>
            <w:shd w:val="clear" w:color="auto" w:fill="auto"/>
            <w:vAlign w:val="center"/>
          </w:tcPr>
          <w:p>
            <w:pPr>
              <w:adjustRightInd w:val="0"/>
              <w:snapToGrid w:val="0"/>
              <w:jc w:val="center"/>
            </w:pPr>
            <w:r>
              <w:rPr>
                <w:rFonts w:hint="eastAsia"/>
              </w:rPr>
              <w:t>±500</w:t>
            </w:r>
          </w:p>
        </w:tc>
        <w:tc>
          <w:tcPr>
            <w:tcW w:w="3764" w:type="pct"/>
            <w:gridSpan w:val="2"/>
            <w:vMerge w:val="continue"/>
            <w:shd w:val="clear" w:color="auto" w:fill="auto"/>
            <w:vAlign w:val="center"/>
          </w:tcPr>
          <w:p>
            <w:pPr>
              <w:adjustRightInd w:val="0"/>
              <w:snapToGrid w:val="0"/>
              <w:jc w:val="center"/>
              <w:rPr>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236" w:type="pct"/>
            <w:shd w:val="clear" w:color="auto" w:fill="auto"/>
            <w:vAlign w:val="center"/>
          </w:tcPr>
          <w:p>
            <w:pPr>
              <w:adjustRightInd w:val="0"/>
              <w:snapToGrid w:val="0"/>
              <w:jc w:val="center"/>
            </w:pPr>
            <w:r>
              <w:rPr>
                <w:rFonts w:hint="eastAsia"/>
              </w:rPr>
              <w:t>±660</w:t>
            </w:r>
          </w:p>
        </w:tc>
        <w:tc>
          <w:tcPr>
            <w:tcW w:w="3764" w:type="pct"/>
            <w:gridSpan w:val="2"/>
            <w:vMerge w:val="continue"/>
            <w:shd w:val="clear" w:color="auto" w:fill="auto"/>
            <w:vAlign w:val="center"/>
          </w:tcPr>
          <w:p>
            <w:pPr>
              <w:adjustRightInd w:val="0"/>
              <w:snapToGrid w:val="0"/>
              <w:jc w:val="center"/>
              <w:rPr>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236" w:type="pct"/>
            <w:shd w:val="clear" w:color="auto" w:fill="auto"/>
            <w:vAlign w:val="center"/>
          </w:tcPr>
          <w:p>
            <w:pPr>
              <w:adjustRightInd w:val="0"/>
              <w:snapToGrid w:val="0"/>
              <w:jc w:val="center"/>
            </w:pPr>
            <w:r>
              <w:rPr>
                <w:rFonts w:hint="eastAsia"/>
              </w:rPr>
              <w:t>±800</w:t>
            </w:r>
          </w:p>
        </w:tc>
        <w:tc>
          <w:tcPr>
            <w:tcW w:w="3764" w:type="pct"/>
            <w:gridSpan w:val="2"/>
            <w:vMerge w:val="continue"/>
            <w:shd w:val="clear" w:color="auto" w:fill="auto"/>
            <w:vAlign w:val="center"/>
          </w:tcPr>
          <w:p>
            <w:pPr>
              <w:adjustRightInd w:val="0"/>
              <w:snapToGrid w:val="0"/>
              <w:jc w:val="center"/>
              <w:rPr>
                <w:bCs/>
              </w:rPr>
            </w:pPr>
          </w:p>
        </w:tc>
      </w:tr>
    </w:tbl>
    <w:p>
      <w:pPr>
        <w:spacing w:line="360" w:lineRule="exact"/>
        <w:ind w:left="420" w:hanging="420" w:hangingChars="200"/>
        <w:rPr>
          <w:rFonts w:ascii="宋体" w:hAnsi="宋体"/>
          <w:bCs/>
        </w:rPr>
      </w:pPr>
      <w:r>
        <w:rPr>
          <w:rFonts w:hint="eastAsia" w:ascii="宋体" w:hAnsi="宋体"/>
          <w:bCs/>
        </w:rPr>
        <w:t>注：1、括号内的数据表示架空电力线路跨越接触网杆（塔）时，导线最大弧垂时距杆（塔）顶的垂直距离。</w:t>
      </w:r>
    </w:p>
    <w:p>
      <w:pPr>
        <w:spacing w:line="360" w:lineRule="exact"/>
        <w:ind w:firstLine="420" w:firstLineChars="200"/>
        <w:rPr>
          <w:rFonts w:ascii="宋体" w:hAnsi="宋体"/>
          <w:bCs/>
        </w:rPr>
      </w:pPr>
      <w:r>
        <w:rPr>
          <w:rFonts w:hint="eastAsia" w:ascii="宋体" w:hAnsi="宋体"/>
          <w:bCs/>
        </w:rPr>
        <w:t>2、</w:t>
      </w:r>
      <w:r>
        <w:rPr>
          <w:rFonts w:ascii="宋体" w:hAnsi="宋体"/>
          <w:bCs/>
        </w:rPr>
        <w:t>导线距架桥机顶的最小垂直距离要求也适用于非电气化铁路。</w:t>
      </w:r>
    </w:p>
    <w:p>
      <w:pPr>
        <w:spacing w:line="360" w:lineRule="exact"/>
        <w:ind w:firstLine="420" w:firstLineChars="200"/>
        <w:rPr>
          <w:rFonts w:ascii="宋体" w:hAnsi="宋体"/>
          <w:bCs/>
        </w:rPr>
      </w:pPr>
      <w:r>
        <w:rPr>
          <w:rFonts w:hint="eastAsia" w:ascii="宋体" w:hAnsi="宋体"/>
          <w:bCs/>
        </w:rPr>
        <w:t>3、</w:t>
      </w:r>
      <w:r>
        <w:rPr>
          <w:rFonts w:ascii="宋体" w:hAnsi="宋体"/>
          <w:bCs/>
        </w:rPr>
        <w:t>考虑架桥机施工作业的安全距离要求时，一般按架桥机高度与导线至架桥机顶最小距离要求的数值相加，推算距轨顶的最小距离值。</w:t>
      </w:r>
    </w:p>
    <w:p>
      <w:pPr>
        <w:spacing w:line="360" w:lineRule="exact"/>
        <w:ind w:firstLine="420" w:firstLineChars="200"/>
        <w:rPr>
          <w:rFonts w:ascii="宋体" w:hAnsi="宋体"/>
          <w:bCs/>
        </w:rPr>
      </w:pPr>
      <w:r>
        <w:rPr>
          <w:rFonts w:hint="eastAsia" w:ascii="宋体" w:hAnsi="宋体"/>
          <w:bCs/>
        </w:rPr>
        <w:t>4、</w:t>
      </w:r>
      <w:r>
        <w:rPr>
          <w:rFonts w:ascii="宋体" w:hAnsi="宋体"/>
          <w:bCs/>
        </w:rPr>
        <w:t>使用本表确定最小垂直距离时，应按至接触网和至架桥机计算后，与至轨顶距离的规定值相比，取其中较大者。</w:t>
      </w:r>
    </w:p>
    <w:p>
      <w:pPr>
        <w:spacing w:line="360" w:lineRule="exact"/>
        <w:ind w:firstLine="420" w:firstLineChars="200"/>
        <w:rPr>
          <w:rFonts w:ascii="宋体" w:hAnsi="宋体"/>
          <w:bCs/>
        </w:rPr>
      </w:pPr>
      <w:r>
        <w:rPr>
          <w:rFonts w:ascii="宋体" w:hAnsi="宋体"/>
          <w:bCs/>
        </w:rPr>
        <w:t>*：±800kV输电线路跨越铁路桥梁地段，考虑架桥机施工作业的安全距离要求时，导线距轨顶的最小垂直距离不应小于24m。</w:t>
      </w:r>
    </w:p>
    <w:p>
      <w:pPr>
        <w:pStyle w:val="9"/>
      </w:pPr>
    </w:p>
    <w:p>
      <w:pPr>
        <w:spacing w:line="420" w:lineRule="exact"/>
        <w:ind w:left="6" w:leftChars="3" w:firstLine="413" w:firstLineChars="197"/>
        <w:rPr>
          <w:rFonts w:ascii="宋体" w:hAnsi="宋体"/>
        </w:rPr>
      </w:pPr>
      <w:r>
        <w:rPr>
          <w:rFonts w:hint="eastAsia" w:ascii="宋体" w:hAnsi="宋体"/>
        </w:rPr>
        <w:t>2、</w:t>
      </w:r>
      <w:r>
        <w:rPr>
          <w:rFonts w:ascii="宋体" w:hAnsi="宋体"/>
        </w:rPr>
        <w:t>电缆线路</w:t>
      </w:r>
    </w:p>
    <w:p>
      <w:pPr>
        <w:spacing w:line="420" w:lineRule="exact"/>
        <w:ind w:left="6" w:leftChars="3" w:firstLine="413" w:firstLineChars="197"/>
        <w:rPr>
          <w:rFonts w:ascii="宋体" w:hAnsi="宋体"/>
        </w:rPr>
      </w:pPr>
      <w:r>
        <w:rPr>
          <w:rFonts w:hint="eastAsia" w:ascii="宋体" w:hAnsi="宋体"/>
        </w:rPr>
        <w:t>穿越铁路的电缆应充分利用附近的桥涵，或结合桥涵设计考虑电缆通过的条件，慎重采取修建专用涵道的方案。</w:t>
      </w:r>
    </w:p>
    <w:p>
      <w:pPr>
        <w:spacing w:line="420" w:lineRule="exact"/>
        <w:ind w:left="6" w:leftChars="3" w:firstLine="413" w:firstLineChars="197"/>
        <w:rPr>
          <w:rFonts w:ascii="宋体" w:hAnsi="宋体"/>
        </w:rPr>
      </w:pPr>
      <w:r>
        <w:rPr>
          <w:rFonts w:hint="eastAsia" w:ascii="宋体" w:hAnsi="宋体"/>
        </w:rPr>
        <w:t>距离桥涵较远的电缆，根据综合技术经济比较，合理时可采用穿钢管就地过轨方式，有发展可能的线路可考虑设置口径较大的涵管。</w:t>
      </w:r>
    </w:p>
    <w:p>
      <w:pPr>
        <w:spacing w:line="420" w:lineRule="exact"/>
        <w:ind w:left="6" w:leftChars="3" w:firstLine="413" w:firstLineChars="197"/>
        <w:rPr>
          <w:rFonts w:ascii="宋体" w:hAnsi="宋体"/>
        </w:rPr>
      </w:pPr>
      <w:r>
        <w:rPr>
          <w:rFonts w:hint="eastAsia" w:ascii="宋体" w:hAnsi="宋体"/>
        </w:rPr>
        <w:t>直埋在路基下的保护管应符合环钢度要求（通常不宜小于6.3kN/m2，以路基计算为准），一般情况下，优先采用热镀锌直缝钢管，内径应不小于管内电缆外径的1.5倍，管壁厚度≥4mm，路基以下不应设置电缆接头。</w:t>
      </w:r>
    </w:p>
    <w:p>
      <w:pPr>
        <w:spacing w:line="420" w:lineRule="exact"/>
        <w:ind w:left="6" w:leftChars="3" w:firstLine="413" w:firstLineChars="197"/>
        <w:rPr>
          <w:rFonts w:ascii="宋体" w:hAnsi="宋体"/>
        </w:rPr>
      </w:pPr>
      <w:r>
        <w:rPr>
          <w:rFonts w:hint="eastAsia" w:ascii="宋体" w:hAnsi="宋体"/>
        </w:rPr>
        <w:t>如果是单芯电缆且单根穿金属管时，钢管应做防涡流处理（例如顺钢管开槽，切断闭合磁路等）。</w:t>
      </w:r>
    </w:p>
    <w:p>
      <w:pPr>
        <w:spacing w:line="420" w:lineRule="exact"/>
        <w:ind w:left="6" w:leftChars="3" w:firstLine="413" w:firstLineChars="197"/>
        <w:rPr>
          <w:rFonts w:ascii="宋体" w:hAnsi="宋体"/>
        </w:rPr>
      </w:pPr>
      <w:r>
        <w:rPr>
          <w:rFonts w:ascii="宋体" w:hAnsi="宋体"/>
        </w:rPr>
        <w:t>保护管至少应延长至边坡下排水沟和铁路“四电”电缆沟以外不少于2.0m；不得小于线路中心外5.0m；当同时需穿越有机动车辆通过的道路时应延至道路外侧大于3.0m处。区间路基地段电缆井应设置在铁路用地界外。</w:t>
      </w:r>
    </w:p>
    <w:p>
      <w:pPr>
        <w:spacing w:line="420" w:lineRule="exact"/>
        <w:ind w:left="6" w:leftChars="3" w:firstLine="413" w:firstLineChars="197"/>
        <w:rPr>
          <w:rFonts w:ascii="宋体" w:hAnsi="宋体"/>
        </w:rPr>
      </w:pPr>
      <w:r>
        <w:rPr>
          <w:rFonts w:ascii="宋体" w:hAnsi="宋体"/>
        </w:rPr>
        <w:t>路基下钢管、涵管埋深距轨枕底面不得小于2.5m（或按路基专业要求），若需同时穿越排水沟，其埋深不得小于沟底面0.5m；路基外电缆直埋部分其电缆外皮距地面的深度：一般地段不得小于0.7m，耕地不得小于1.0m。</w:t>
      </w:r>
    </w:p>
    <w:p>
      <w:pPr>
        <w:spacing w:line="420" w:lineRule="exact"/>
        <w:ind w:left="6" w:leftChars="3" w:firstLine="413" w:firstLineChars="197"/>
        <w:rPr>
          <w:rFonts w:ascii="宋体" w:hAnsi="宋体"/>
        </w:rPr>
      </w:pPr>
      <w:r>
        <w:rPr>
          <w:rFonts w:hint="eastAsia" w:ascii="宋体" w:hAnsi="宋体"/>
        </w:rPr>
        <w:t>规划区内</w:t>
      </w:r>
      <w:r>
        <w:rPr>
          <w:rFonts w:ascii="宋体" w:hAnsi="宋体"/>
        </w:rPr>
        <w:t>的电缆径路和敷设方式应符合规划部门要求。</w:t>
      </w:r>
    </w:p>
    <w:p>
      <w:pPr>
        <w:spacing w:line="420" w:lineRule="exact"/>
        <w:ind w:firstLine="482"/>
        <w:outlineLvl w:val="1"/>
        <w:rPr>
          <w:rFonts w:ascii="宋体" w:hAnsi="宋体"/>
          <w:b/>
          <w:bCs/>
        </w:rPr>
      </w:pPr>
      <w:bookmarkStart w:id="338" w:name="_Toc14740"/>
      <w:bookmarkStart w:id="339" w:name="_Toc84265681"/>
      <w:r>
        <w:rPr>
          <w:rFonts w:hint="eastAsia" w:ascii="宋体" w:hAnsi="宋体"/>
          <w:b/>
        </w:rPr>
        <w:t>三、影响铁路建设的通信、广播及其他设施的迁改或防护</w:t>
      </w:r>
      <w:bookmarkEnd w:id="338"/>
      <w:bookmarkEnd w:id="339"/>
    </w:p>
    <w:p>
      <w:pPr>
        <w:spacing w:line="420" w:lineRule="exact"/>
        <w:ind w:firstLine="560"/>
        <w:rPr>
          <w:rFonts w:ascii="宋体" w:hAnsi="宋体"/>
        </w:rPr>
      </w:pPr>
      <w:r>
        <w:rPr>
          <w:rFonts w:hint="eastAsia" w:ascii="宋体" w:hAnsi="宋体"/>
        </w:rPr>
        <w:t>针对本工程受影响的通信线路及管道，迁改原则如下：</w:t>
      </w:r>
    </w:p>
    <w:p>
      <w:pPr>
        <w:spacing w:line="420" w:lineRule="exact"/>
        <w:ind w:firstLine="560"/>
        <w:rPr>
          <w:rFonts w:ascii="宋体" w:hAnsi="宋体"/>
        </w:rPr>
      </w:pPr>
      <w:r>
        <w:rPr>
          <w:rFonts w:hint="eastAsia" w:ascii="宋体" w:hAnsi="宋体"/>
        </w:rPr>
        <w:t>1、迁改光、电缆类型、芯线容量等应与既有线路的类型、容量一致。既有光、电缆型号不再生产时，应选择种类、容量标准相近的光、电缆类型。</w:t>
      </w:r>
    </w:p>
    <w:p>
      <w:pPr>
        <w:spacing w:line="420" w:lineRule="exact"/>
        <w:ind w:firstLine="560"/>
        <w:rPr>
          <w:rFonts w:ascii="宋体" w:hAnsi="宋体"/>
        </w:rPr>
      </w:pPr>
      <w:r>
        <w:rPr>
          <w:rFonts w:hint="eastAsia" w:ascii="宋体" w:hAnsi="宋体"/>
        </w:rPr>
        <w:t>2、与铁路平行的通信线路：</w:t>
      </w:r>
    </w:p>
    <w:p>
      <w:pPr>
        <w:spacing w:line="420" w:lineRule="exact"/>
        <w:ind w:firstLine="560"/>
        <w:rPr>
          <w:rFonts w:ascii="宋体" w:hAnsi="宋体"/>
        </w:rPr>
      </w:pPr>
      <w:r>
        <w:rPr>
          <w:rFonts w:hint="eastAsia" w:ascii="宋体" w:hAnsi="宋体"/>
        </w:rPr>
        <w:t>（1）迁改长度：</w:t>
      </w:r>
    </w:p>
    <w:p>
      <w:pPr>
        <w:spacing w:line="420" w:lineRule="exact"/>
        <w:ind w:firstLine="560"/>
        <w:rPr>
          <w:rFonts w:ascii="宋体" w:hAnsi="宋体"/>
        </w:rPr>
      </w:pPr>
      <w:r>
        <w:rPr>
          <w:rFonts w:hint="eastAsia" w:ascii="宋体" w:hAnsi="宋体"/>
        </w:rPr>
        <w:t>光、电缆迁改长度依据现场实际受影响长度的1.2倍计算，当光缆迁改长度不足1km时按照1km计列，电缆迁改长度不足250m时按照250m计列。管道迁改长度按实际受影响长度的1.2倍考虑。</w:t>
      </w:r>
    </w:p>
    <w:p>
      <w:pPr>
        <w:spacing w:line="420" w:lineRule="exact"/>
        <w:ind w:firstLine="560"/>
        <w:rPr>
          <w:rFonts w:ascii="宋体" w:hAnsi="宋体"/>
        </w:rPr>
      </w:pPr>
      <w:bookmarkStart w:id="340" w:name="OLE_LINK2"/>
      <w:bookmarkEnd w:id="340"/>
      <w:bookmarkStart w:id="341" w:name="OLE_LINK1"/>
      <w:bookmarkEnd w:id="341"/>
      <w:r>
        <w:rPr>
          <w:rFonts w:hint="eastAsia" w:ascii="宋体" w:hAnsi="宋体"/>
        </w:rPr>
        <w:t>（2）防护原则：</w:t>
      </w:r>
    </w:p>
    <w:p>
      <w:pPr>
        <w:spacing w:line="420" w:lineRule="exact"/>
        <w:ind w:firstLine="560"/>
        <w:rPr>
          <w:rFonts w:ascii="宋体" w:hAnsi="宋体"/>
        </w:rPr>
      </w:pPr>
      <w:r>
        <w:rPr>
          <w:rFonts w:hint="eastAsia" w:ascii="宋体" w:hAnsi="宋体"/>
        </w:rPr>
        <w:t>埋式光、电缆防护量按原通信定额比例计列。</w:t>
      </w:r>
    </w:p>
    <w:p>
      <w:pPr>
        <w:spacing w:line="420" w:lineRule="exact"/>
        <w:ind w:firstLine="560"/>
        <w:rPr>
          <w:rFonts w:ascii="宋体" w:hAnsi="宋体"/>
        </w:rPr>
      </w:pPr>
      <w:r>
        <w:rPr>
          <w:rFonts w:hint="eastAsia" w:ascii="宋体" w:hAnsi="宋体"/>
        </w:rPr>
        <w:t>（3）架空光、电缆电杆均按40m间距进行设置，电杆根数按照实际受影响长度计算。另外需要考虑既有杆路拆除。</w:t>
      </w:r>
    </w:p>
    <w:p>
      <w:pPr>
        <w:spacing w:line="420" w:lineRule="exact"/>
        <w:ind w:firstLine="560"/>
        <w:rPr>
          <w:rFonts w:ascii="宋体" w:hAnsi="宋体"/>
        </w:rPr>
      </w:pPr>
      <w:r>
        <w:rPr>
          <w:rFonts w:hint="eastAsia" w:ascii="宋体" w:hAnsi="宋体"/>
        </w:rPr>
        <w:t>3、与铁路交越的通信线路：</w:t>
      </w:r>
    </w:p>
    <w:p>
      <w:pPr>
        <w:spacing w:line="420" w:lineRule="exact"/>
        <w:ind w:firstLine="560"/>
        <w:rPr>
          <w:rFonts w:ascii="宋体" w:hAnsi="宋体"/>
        </w:rPr>
      </w:pPr>
      <w:r>
        <w:rPr>
          <w:rFonts w:hint="eastAsia" w:ascii="宋体" w:hAnsi="宋体"/>
        </w:rPr>
        <w:t>（1）迁改长度：</w:t>
      </w:r>
    </w:p>
    <w:p>
      <w:pPr>
        <w:spacing w:line="420" w:lineRule="exact"/>
        <w:ind w:firstLine="560"/>
        <w:rPr>
          <w:rFonts w:ascii="宋体" w:hAnsi="宋体"/>
        </w:rPr>
      </w:pPr>
      <w:r>
        <w:rPr>
          <w:rFonts w:hint="eastAsia" w:ascii="宋体" w:hAnsi="宋体"/>
        </w:rPr>
        <w:t>非干线光缆</w:t>
      </w:r>
      <w:r>
        <w:rPr>
          <w:rFonts w:hint="eastAsia" w:ascii="宋体" w:hAnsi="宋体"/>
          <w:snapToGrid w:val="0"/>
        </w:rPr>
        <w:t>（12芯及以下）</w:t>
      </w:r>
      <w:r>
        <w:rPr>
          <w:rFonts w:hint="eastAsia" w:ascii="宋体" w:hAnsi="宋体"/>
        </w:rPr>
        <w:t>迁改长度按照1km/处计列，干线光缆</w:t>
      </w:r>
      <w:r>
        <w:rPr>
          <w:rFonts w:hint="eastAsia" w:ascii="宋体" w:hAnsi="宋体"/>
          <w:snapToGrid w:val="0"/>
        </w:rPr>
        <w:t>（12芯以上）</w:t>
      </w:r>
      <w:r>
        <w:rPr>
          <w:rFonts w:hint="eastAsia" w:ascii="宋体" w:hAnsi="宋体"/>
        </w:rPr>
        <w:t>和军用光缆，迁改长度按照2km/处计列。</w:t>
      </w:r>
    </w:p>
    <w:p>
      <w:pPr>
        <w:spacing w:line="420" w:lineRule="exact"/>
        <w:ind w:firstLine="560"/>
        <w:rPr>
          <w:rFonts w:ascii="宋体" w:hAnsi="宋体"/>
        </w:rPr>
      </w:pPr>
      <w:r>
        <w:rPr>
          <w:rFonts w:hint="eastAsia" w:ascii="宋体" w:hAnsi="宋体"/>
        </w:rPr>
        <w:t>市话电缆，迁改长度按照250m/处计列，低频对称电缆及同轴电缆，迁改长度按照500m/处计列。</w:t>
      </w:r>
    </w:p>
    <w:p>
      <w:pPr>
        <w:spacing w:line="420" w:lineRule="exact"/>
        <w:ind w:firstLine="560"/>
        <w:rPr>
          <w:rFonts w:ascii="宋体" w:hAnsi="宋体"/>
        </w:rPr>
      </w:pPr>
      <w:r>
        <w:rPr>
          <w:rFonts w:hint="eastAsia" w:ascii="宋体" w:hAnsi="宋体"/>
        </w:rPr>
        <w:t>当实际迁改长度不满足上述确定的迁改长度时，应按以上规定计列迁改长度，同时结合通信防干扰要求统筹考虑，一次迁改到位。</w:t>
      </w:r>
    </w:p>
    <w:p>
      <w:pPr>
        <w:spacing w:line="420" w:lineRule="exact"/>
        <w:ind w:firstLine="560"/>
        <w:rPr>
          <w:rFonts w:ascii="宋体" w:hAnsi="宋体"/>
        </w:rPr>
      </w:pPr>
      <w:r>
        <w:rPr>
          <w:rFonts w:hint="eastAsia" w:ascii="宋体" w:hAnsi="宋体"/>
        </w:rPr>
        <w:t>（2）防护原则：</w:t>
      </w:r>
    </w:p>
    <w:p>
      <w:pPr>
        <w:snapToGrid w:val="0"/>
        <w:spacing w:line="420" w:lineRule="exact"/>
        <w:ind w:firstLine="420" w:firstLineChars="200"/>
        <w:rPr>
          <w:rFonts w:ascii="宋体" w:hAnsi="宋体"/>
        </w:rPr>
      </w:pPr>
      <w:r>
        <w:rPr>
          <w:rFonts w:hint="eastAsia" w:ascii="宋体" w:hAnsi="宋体"/>
        </w:rPr>
        <w:t>所有通信线路都不允许在电气化铁路上方跨越，凡跨越铁路的光电缆，必须改为在铁路下穿管埋设通过；也可以利用地形，在隧道顶、桥下、上跨立交桥的桥面上埋管、涵洞埋设等方式过轨；必要时也可根据现场情况以及产权单位要求考虑新设专门的缆线过轨涵洞。</w:t>
      </w:r>
    </w:p>
    <w:p>
      <w:pPr>
        <w:snapToGrid w:val="0"/>
        <w:spacing w:line="420" w:lineRule="exact"/>
        <w:ind w:firstLine="420" w:firstLineChars="200"/>
        <w:rPr>
          <w:rFonts w:ascii="宋体" w:hAnsi="宋体"/>
        </w:rPr>
      </w:pPr>
      <w:r>
        <w:rPr>
          <w:rFonts w:hint="eastAsia" w:ascii="宋体" w:hAnsi="宋体"/>
        </w:rPr>
        <w:t>对于在新建铁路桥下穿过的通信线路，过轨部分采用钢管防护，按普通直埋考虑；对于在新建铁路路基下穿过的通信线路，过轨部分采用钢管防护，按特殊埋深直埋考虑。对于同一产权单位，当光、电缆根数≤4根时，钢管防护按照每根缆1根钢管计列；当光、电缆根数超过4根时，按照每增加2根缆增加1根防护钢管计列，不同产权单位的光电缆防护钢管应单独考虑。备用钢管按照实际钢管防护量的30%计列。</w:t>
      </w:r>
    </w:p>
    <w:p>
      <w:pPr>
        <w:snapToGrid w:val="0"/>
        <w:spacing w:line="420" w:lineRule="exact"/>
        <w:ind w:firstLine="420" w:firstLineChars="200"/>
        <w:rPr>
          <w:rFonts w:ascii="宋体" w:hAnsi="宋体"/>
        </w:rPr>
      </w:pPr>
      <w:r>
        <w:rPr>
          <w:rFonts w:hint="eastAsia" w:ascii="宋体" w:hAnsi="宋体"/>
        </w:rPr>
        <w:t>架空光、电缆线路穿越铁路，两端终端杆应立在铁路用地界外，两端设手孔，光、电缆引上杆处，采用钢管防护，并预留备用钢管。</w:t>
      </w:r>
    </w:p>
    <w:p>
      <w:pPr>
        <w:snapToGrid w:val="0"/>
        <w:spacing w:line="420" w:lineRule="exact"/>
        <w:ind w:firstLine="420" w:firstLineChars="200"/>
        <w:rPr>
          <w:rFonts w:ascii="宋体" w:hAnsi="宋体"/>
        </w:rPr>
      </w:pPr>
      <w:r>
        <w:rPr>
          <w:rFonts w:hint="eastAsia" w:ascii="宋体" w:hAnsi="宋体"/>
        </w:rPr>
        <w:t>埋式及管道光、电缆线路穿越铁路，过轨部分两端需加设人孔或手孔，以便于检查维护，人孔或手孔应设在铁路用地界外。</w:t>
      </w:r>
    </w:p>
    <w:p>
      <w:pPr>
        <w:spacing w:line="420" w:lineRule="exact"/>
        <w:ind w:firstLine="422" w:firstLineChars="200"/>
        <w:outlineLvl w:val="1"/>
        <w:rPr>
          <w:rFonts w:ascii="宋体" w:hAnsi="宋体"/>
          <w:b/>
          <w:bCs/>
        </w:rPr>
      </w:pPr>
      <w:bookmarkStart w:id="342" w:name="_Toc23435"/>
      <w:bookmarkStart w:id="343" w:name="_Toc84265682"/>
      <w:r>
        <w:rPr>
          <w:rFonts w:hint="eastAsia" w:ascii="宋体" w:hAnsi="宋体"/>
          <w:b/>
        </w:rPr>
        <w:t>四、油气管</w:t>
      </w:r>
      <w:bookmarkEnd w:id="342"/>
      <w:r>
        <w:rPr>
          <w:rFonts w:hint="eastAsia" w:ascii="宋体" w:hAnsi="宋体"/>
          <w:b/>
        </w:rPr>
        <w:t>线迁改</w:t>
      </w:r>
      <w:bookmarkEnd w:id="343"/>
    </w:p>
    <w:p>
      <w:pPr>
        <w:snapToGrid w:val="0"/>
        <w:spacing w:line="420" w:lineRule="exact"/>
        <w:ind w:firstLine="420" w:firstLineChars="200"/>
        <w:rPr>
          <w:rFonts w:ascii="宋体" w:hAnsi="宋体"/>
        </w:rPr>
      </w:pPr>
      <w:r>
        <w:rPr>
          <w:rFonts w:hint="eastAsia" w:ascii="宋体" w:hAnsi="宋体"/>
        </w:rPr>
        <w:t>（一）迁改依据</w:t>
      </w:r>
    </w:p>
    <w:p>
      <w:pPr>
        <w:spacing w:line="420" w:lineRule="exact"/>
        <w:ind w:firstLine="411" w:firstLineChars="196"/>
        <w:rPr>
          <w:rFonts w:ascii="宋体" w:hAnsi="宋体"/>
          <w:bCs/>
        </w:rPr>
      </w:pPr>
      <w:r>
        <w:rPr>
          <w:rFonts w:hint="eastAsia" w:ascii="宋体" w:hAnsi="宋体"/>
          <w:bCs/>
        </w:rPr>
        <w:t>《油气输送管道与铁路交汇工程技术及管理规定》国能油气[2015]392号</w:t>
      </w:r>
    </w:p>
    <w:p>
      <w:pPr>
        <w:spacing w:line="420" w:lineRule="exact"/>
        <w:ind w:firstLine="411" w:firstLineChars="196"/>
        <w:rPr>
          <w:rFonts w:ascii="宋体" w:hAnsi="宋体"/>
          <w:bCs/>
        </w:rPr>
      </w:pPr>
      <w:r>
        <w:rPr>
          <w:rFonts w:hint="eastAsia" w:ascii="宋体" w:hAnsi="宋体"/>
          <w:bCs/>
        </w:rPr>
        <w:t>《输气管道工程设计规范》GB50251-2015</w:t>
      </w:r>
    </w:p>
    <w:p>
      <w:pPr>
        <w:spacing w:line="420" w:lineRule="exact"/>
        <w:ind w:firstLine="411" w:firstLineChars="196"/>
        <w:rPr>
          <w:rFonts w:ascii="宋体" w:hAnsi="宋体"/>
          <w:bCs/>
        </w:rPr>
      </w:pPr>
      <w:r>
        <w:rPr>
          <w:rFonts w:hint="eastAsia" w:ascii="宋体" w:hAnsi="宋体"/>
          <w:bCs/>
        </w:rPr>
        <w:t>《输油管道工程设计规范》GB50253-2014</w:t>
      </w:r>
    </w:p>
    <w:p>
      <w:pPr>
        <w:spacing w:line="420" w:lineRule="exact"/>
        <w:ind w:firstLine="411" w:firstLineChars="196"/>
        <w:rPr>
          <w:rFonts w:ascii="宋体" w:hAnsi="宋体"/>
          <w:bCs/>
        </w:rPr>
      </w:pPr>
      <w:r>
        <w:rPr>
          <w:rFonts w:hint="eastAsia" w:ascii="宋体" w:hAnsi="宋体"/>
          <w:bCs/>
        </w:rPr>
        <w:t>《城镇燃气设计规范》    GB50028-2006</w:t>
      </w:r>
    </w:p>
    <w:p>
      <w:pPr>
        <w:spacing w:line="420" w:lineRule="exact"/>
        <w:ind w:firstLine="411" w:firstLineChars="196"/>
        <w:rPr>
          <w:rFonts w:ascii="宋体" w:hAnsi="宋体"/>
          <w:bCs/>
        </w:rPr>
      </w:pPr>
      <w:r>
        <w:rPr>
          <w:rFonts w:hint="eastAsia" w:ascii="宋体" w:hAnsi="宋体"/>
          <w:bCs/>
        </w:rPr>
        <w:t>《油气输送管道穿越工程设计规范》GB50423-2013</w:t>
      </w:r>
    </w:p>
    <w:p>
      <w:pPr>
        <w:spacing w:line="420" w:lineRule="exact"/>
        <w:ind w:firstLine="411" w:firstLineChars="196"/>
        <w:rPr>
          <w:rFonts w:ascii="宋体" w:hAnsi="宋体"/>
          <w:bCs/>
        </w:rPr>
      </w:pPr>
      <w:r>
        <w:rPr>
          <w:rFonts w:hint="eastAsia" w:ascii="宋体" w:hAnsi="宋体"/>
          <w:bCs/>
        </w:rPr>
        <w:t>《铁路工程设计防火规范》TB10063-2016</w:t>
      </w:r>
    </w:p>
    <w:p>
      <w:pPr>
        <w:spacing w:line="420" w:lineRule="exact"/>
        <w:ind w:firstLine="411" w:firstLineChars="196"/>
        <w:rPr>
          <w:rFonts w:ascii="宋体" w:hAnsi="宋体"/>
          <w:bCs/>
        </w:rPr>
      </w:pPr>
      <w:r>
        <w:rPr>
          <w:rFonts w:hint="eastAsia" w:ascii="宋体" w:hAnsi="宋体"/>
          <w:bCs/>
        </w:rPr>
        <w:t>天津至潍坊高速铁路工程的线路平面图、站场平面图</w:t>
      </w:r>
    </w:p>
    <w:p>
      <w:pPr>
        <w:snapToGrid w:val="0"/>
        <w:spacing w:line="420" w:lineRule="exact"/>
        <w:ind w:firstLine="420" w:firstLineChars="200"/>
        <w:rPr>
          <w:rFonts w:ascii="宋体" w:hAnsi="宋体"/>
        </w:rPr>
      </w:pPr>
      <w:r>
        <w:rPr>
          <w:rFonts w:hint="eastAsia" w:ascii="宋体" w:hAnsi="宋体"/>
        </w:rPr>
        <w:t>（二）</w:t>
      </w:r>
      <w:r>
        <w:rPr>
          <w:rFonts w:hint="eastAsia" w:ascii="宋体" w:hAnsi="宋体"/>
          <w:bCs/>
        </w:rPr>
        <w:t>迁改原则</w:t>
      </w:r>
    </w:p>
    <w:p>
      <w:pPr>
        <w:spacing w:line="420" w:lineRule="exact"/>
        <w:ind w:firstLine="560"/>
        <w:rPr>
          <w:rFonts w:ascii="宋体" w:hAnsi="宋体"/>
          <w:bCs/>
        </w:rPr>
      </w:pPr>
      <w:r>
        <w:rPr>
          <w:rFonts w:hint="eastAsia" w:ascii="宋体" w:hAnsi="宋体"/>
          <w:bCs/>
        </w:rPr>
        <w:t>1、穿跨越铁路的工程可局部调整管道线路走向，但应符合管线的总走向。</w:t>
      </w:r>
    </w:p>
    <w:p>
      <w:pPr>
        <w:spacing w:line="420" w:lineRule="exact"/>
        <w:ind w:firstLine="560"/>
        <w:rPr>
          <w:rFonts w:ascii="宋体" w:hAnsi="宋体"/>
          <w:bCs/>
        </w:rPr>
      </w:pPr>
      <w:r>
        <w:rPr>
          <w:rFonts w:hint="eastAsia" w:ascii="宋体" w:hAnsi="宋体"/>
          <w:bCs/>
        </w:rPr>
        <w:t>2、管道的铺设应避开滑坡、崩塌、沉陷、泥石流等不良工程地质区、矿产资源区、严重危及管道安全的地震区。</w:t>
      </w:r>
    </w:p>
    <w:p>
      <w:pPr>
        <w:spacing w:line="420" w:lineRule="exact"/>
        <w:ind w:firstLine="560"/>
        <w:rPr>
          <w:rFonts w:ascii="宋体" w:hAnsi="宋体"/>
          <w:bCs/>
        </w:rPr>
      </w:pPr>
      <w:r>
        <w:rPr>
          <w:rFonts w:hint="eastAsia" w:ascii="宋体" w:hAnsi="宋体"/>
          <w:bCs/>
        </w:rPr>
        <w:t>3、管道宜选择在铁路桥梁、预留管道涵洞等设施处穿越，尽量减少在路基地段直接穿越。</w:t>
      </w:r>
    </w:p>
    <w:p>
      <w:pPr>
        <w:spacing w:line="420" w:lineRule="exact"/>
        <w:ind w:firstLine="560"/>
        <w:rPr>
          <w:rFonts w:ascii="宋体" w:hAnsi="宋体"/>
          <w:bCs/>
        </w:rPr>
      </w:pPr>
      <w:r>
        <w:rPr>
          <w:rFonts w:hint="eastAsia" w:ascii="宋体" w:hAnsi="宋体"/>
          <w:bCs/>
        </w:rPr>
        <w:t>4、管道与铁路交叉宜采用垂直交叉或大角度斜交，交叉角度不宜小于30°。</w:t>
      </w:r>
    </w:p>
    <w:p>
      <w:pPr>
        <w:spacing w:line="420" w:lineRule="exact"/>
        <w:ind w:firstLine="560"/>
        <w:rPr>
          <w:rFonts w:ascii="宋体" w:hAnsi="宋体"/>
          <w:bCs/>
        </w:rPr>
      </w:pPr>
      <w:r>
        <w:rPr>
          <w:rFonts w:hint="eastAsia" w:ascii="宋体" w:hAnsi="宋体"/>
          <w:bCs/>
        </w:rPr>
        <w:t>5、铁路跨越既有管道时，管道方应对跨越管段进行完整性评价。铁路跨越段应设置保护涵或桥梁，并应对施工区域内的管道采取防护措施。</w:t>
      </w:r>
    </w:p>
    <w:p>
      <w:pPr>
        <w:spacing w:line="420" w:lineRule="exact"/>
        <w:ind w:firstLine="560"/>
        <w:rPr>
          <w:rFonts w:ascii="宋体" w:hAnsi="宋体"/>
          <w:bCs/>
        </w:rPr>
      </w:pPr>
      <w:r>
        <w:rPr>
          <w:rFonts w:hint="eastAsia" w:ascii="宋体" w:hAnsi="宋体"/>
          <w:bCs/>
        </w:rPr>
        <w:t>6、管道和铁路不应在旅客车站、编组站两端咽喉区范围内交叉，不应在牵引变电所、动车段（所）、机务段（所）、车辆段（所）围墙内交叉。</w:t>
      </w:r>
    </w:p>
    <w:p>
      <w:pPr>
        <w:spacing w:line="420" w:lineRule="exact"/>
        <w:ind w:firstLine="560"/>
        <w:rPr>
          <w:rFonts w:ascii="宋体" w:hAnsi="宋体"/>
          <w:bCs/>
        </w:rPr>
      </w:pPr>
      <w:r>
        <w:rPr>
          <w:rFonts w:hint="eastAsia" w:ascii="宋体" w:hAnsi="宋体"/>
          <w:bCs/>
        </w:rPr>
        <w:t>7、当铁路桥梁跨越既有管道时，应同时满足以下要求：</w:t>
      </w:r>
    </w:p>
    <w:p>
      <w:pPr>
        <w:spacing w:line="420" w:lineRule="exact"/>
        <w:ind w:firstLine="560"/>
        <w:rPr>
          <w:rFonts w:ascii="宋体" w:hAnsi="宋体"/>
          <w:bCs/>
        </w:rPr>
      </w:pPr>
      <w:r>
        <w:rPr>
          <w:rFonts w:hint="eastAsia" w:ascii="宋体" w:hAnsi="宋体"/>
          <w:bCs/>
        </w:rPr>
        <w:t>①铁路桥梁（非跨主河道区段）下方管道可直接埋设通过，管顶在桥梁下方埋深不宜小于1.2m，管道上方应埋设钢筋混凝土板。</w:t>
      </w:r>
    </w:p>
    <w:p>
      <w:pPr>
        <w:spacing w:line="420" w:lineRule="exact"/>
        <w:ind w:firstLine="560"/>
        <w:rPr>
          <w:rFonts w:ascii="宋体" w:hAnsi="宋体"/>
          <w:bCs/>
        </w:rPr>
      </w:pPr>
      <w:r>
        <w:rPr>
          <w:rFonts w:hint="eastAsia" w:ascii="宋体" w:hAnsi="宋体"/>
          <w:bCs/>
        </w:rPr>
        <w:t>②铁路桥梁底面至自然地面的净空高度不应小于2.0m。</w:t>
      </w:r>
    </w:p>
    <w:p>
      <w:pPr>
        <w:spacing w:line="420" w:lineRule="exact"/>
        <w:ind w:firstLine="560"/>
        <w:rPr>
          <w:rFonts w:ascii="宋体" w:hAnsi="宋体"/>
          <w:bCs/>
        </w:rPr>
      </w:pPr>
      <w:r>
        <w:rPr>
          <w:rFonts w:hint="eastAsia" w:ascii="宋体" w:hAnsi="宋体"/>
          <w:bCs/>
        </w:rPr>
        <w:t>③管道与铁路桥梁墩台基础边缘的水平净距不应小于5m，且不影响管道安全。</w:t>
      </w:r>
    </w:p>
    <w:p>
      <w:pPr>
        <w:spacing w:line="420" w:lineRule="exact"/>
        <w:ind w:firstLine="560"/>
        <w:rPr>
          <w:rFonts w:ascii="宋体" w:hAnsi="宋体"/>
          <w:bCs/>
        </w:rPr>
      </w:pPr>
      <w:r>
        <w:rPr>
          <w:rFonts w:hint="eastAsia" w:ascii="宋体" w:hAnsi="宋体"/>
          <w:bCs/>
        </w:rPr>
        <w:t>8、管道与铁路平行布置时，应同时满足以下要求：</w:t>
      </w:r>
    </w:p>
    <w:p>
      <w:pPr>
        <w:spacing w:line="420" w:lineRule="exact"/>
        <w:ind w:firstLine="560"/>
        <w:rPr>
          <w:rFonts w:ascii="宋体" w:hAnsi="宋体"/>
          <w:bCs/>
        </w:rPr>
      </w:pPr>
      <w:r>
        <w:rPr>
          <w:rFonts w:hint="eastAsia" w:ascii="宋体" w:hAnsi="宋体"/>
          <w:bCs/>
        </w:rPr>
        <w:t>①管道距铁路用地界的净距不应小于3m。</w:t>
      </w:r>
    </w:p>
    <w:p>
      <w:pPr>
        <w:spacing w:line="420" w:lineRule="exact"/>
        <w:ind w:firstLine="560"/>
        <w:rPr>
          <w:rFonts w:ascii="宋体" w:hAnsi="宋体"/>
          <w:bCs/>
        </w:rPr>
      </w:pPr>
      <w:r>
        <w:rPr>
          <w:rFonts w:hint="eastAsia" w:ascii="宋体" w:hAnsi="宋体"/>
          <w:bCs/>
        </w:rPr>
        <w:t>②埋地管道距临近铁路线路轨道中心的净距不应小于25m，其中液化石油气管道距铁路线不应小于50m。</w:t>
      </w:r>
    </w:p>
    <w:p>
      <w:pPr>
        <w:spacing w:line="420" w:lineRule="exact"/>
        <w:ind w:firstLine="560"/>
        <w:rPr>
          <w:rFonts w:ascii="宋体" w:hAnsi="宋体"/>
          <w:bCs/>
        </w:rPr>
      </w:pPr>
      <w:r>
        <w:rPr>
          <w:rFonts w:hint="eastAsia" w:ascii="宋体" w:hAnsi="宋体"/>
          <w:bCs/>
        </w:rPr>
        <w:t>③地上管道与临近铁路线路轨道中心线的水平净距不应小于50m。</w:t>
      </w:r>
    </w:p>
    <w:p>
      <w:pPr>
        <w:spacing w:line="420" w:lineRule="exact"/>
        <w:ind w:firstLine="560"/>
        <w:rPr>
          <w:rFonts w:ascii="宋体" w:hAnsi="宋体"/>
          <w:bCs/>
        </w:rPr>
      </w:pPr>
      <w:r>
        <w:rPr>
          <w:rFonts w:hint="eastAsia" w:ascii="宋体" w:hAnsi="宋体"/>
          <w:bCs/>
        </w:rPr>
        <w:t>9、管道和铁路隧道不应在隧道洞门及洞口截水天沟范围内交叉。当埋地管道或管道隧道与铁路隧道洞身交叉时应符合：新建管道可在既有铁路隧道洞身上方挖沟敷设。当采取非爆破方式开挖管沟时，管沟底部与铁路隧道结构顶部外缘的垂直间距不应小于10m。新建铁路隧道在埋地管道下方采用控制爆破开挖时，隧道顶部与埋地管道底部的垂直高度不应小于20m，同时应考虑铁路隧道断面大小、围岩条件、地面沉降变形及管道结构安全性等因素。</w:t>
      </w:r>
    </w:p>
    <w:p>
      <w:pPr>
        <w:snapToGrid w:val="0"/>
        <w:spacing w:line="420" w:lineRule="exact"/>
        <w:ind w:firstLine="420" w:firstLineChars="200"/>
        <w:rPr>
          <w:rFonts w:ascii="宋体" w:hAnsi="宋体"/>
        </w:rPr>
      </w:pPr>
      <w:r>
        <w:rPr>
          <w:rFonts w:hint="eastAsia" w:ascii="宋体" w:hAnsi="宋体"/>
        </w:rPr>
        <w:t>（三）</w:t>
      </w:r>
      <w:r>
        <w:rPr>
          <w:rFonts w:hint="eastAsia" w:ascii="宋体" w:hAnsi="宋体"/>
          <w:bCs/>
        </w:rPr>
        <w:t>油气管线迁改类型及方案</w:t>
      </w:r>
    </w:p>
    <w:p>
      <w:pPr>
        <w:spacing w:line="420" w:lineRule="exact"/>
        <w:ind w:firstLine="560"/>
        <w:rPr>
          <w:rFonts w:ascii="宋体" w:hAnsi="宋体"/>
          <w:bCs/>
        </w:rPr>
      </w:pPr>
      <w:r>
        <w:rPr>
          <w:rFonts w:hint="eastAsia" w:ascii="宋体" w:hAnsi="宋体"/>
          <w:bCs/>
        </w:rPr>
        <w:t>本工程油气管线拆改类型分为六种：</w:t>
      </w:r>
    </w:p>
    <w:p>
      <w:pPr>
        <w:spacing w:line="420" w:lineRule="exact"/>
        <w:ind w:firstLine="560"/>
        <w:rPr>
          <w:rFonts w:ascii="宋体" w:hAnsi="宋体"/>
          <w:bCs/>
        </w:rPr>
      </w:pPr>
      <w:r>
        <w:rPr>
          <w:rFonts w:hint="eastAsia" w:ascii="宋体" w:hAnsi="宋体"/>
          <w:bCs/>
        </w:rPr>
        <w:t>1、油（气）管道与铁路线路交叉，且小于30º。</w:t>
      </w:r>
    </w:p>
    <w:p>
      <w:pPr>
        <w:spacing w:line="420" w:lineRule="exact"/>
        <w:ind w:firstLine="560"/>
        <w:rPr>
          <w:rFonts w:ascii="宋体" w:hAnsi="宋体"/>
          <w:bCs/>
        </w:rPr>
      </w:pPr>
      <w:r>
        <w:rPr>
          <w:rFonts w:hint="eastAsia" w:ascii="宋体" w:hAnsi="宋体"/>
          <w:bCs/>
        </w:rPr>
        <w:t>拆改方案：迁改管线的路径，使改移后的管路垂直交叉穿过铁路线路。交叉部分若为路基工程应设置防护涵洞，防护涵洞的设置要求应满足《铁路工程设计防火规范》（TB100063-2017）。</w:t>
      </w:r>
    </w:p>
    <w:p>
      <w:pPr>
        <w:spacing w:line="420" w:lineRule="exact"/>
        <w:ind w:firstLine="560"/>
        <w:rPr>
          <w:rFonts w:ascii="宋体" w:hAnsi="宋体"/>
          <w:bCs/>
        </w:rPr>
      </w:pPr>
      <w:r>
        <w:rPr>
          <w:rFonts w:hint="eastAsia" w:ascii="宋体" w:hAnsi="宋体"/>
          <w:bCs/>
        </w:rPr>
        <w:t>2、油（气）管道与铁路线平行敷设，管道中心线与铁路线中心线之间的距离，不符合规范要求。</w:t>
      </w:r>
    </w:p>
    <w:p>
      <w:pPr>
        <w:spacing w:line="420" w:lineRule="exact"/>
        <w:ind w:firstLine="560"/>
        <w:rPr>
          <w:rFonts w:ascii="宋体" w:hAnsi="宋体"/>
        </w:rPr>
      </w:pPr>
      <w:r>
        <w:rPr>
          <w:rFonts w:hint="eastAsia" w:ascii="宋体" w:hAnsi="宋体"/>
          <w:bCs/>
        </w:rPr>
        <w:t>拆改方案：迁改管线的路径，使埋地管道距临近铁路线路轨道中心的净距不小于25m。</w:t>
      </w:r>
    </w:p>
    <w:p>
      <w:pPr>
        <w:spacing w:line="420" w:lineRule="exact"/>
        <w:ind w:firstLine="560"/>
        <w:rPr>
          <w:rFonts w:ascii="宋体" w:hAnsi="宋体"/>
          <w:bCs/>
        </w:rPr>
      </w:pPr>
      <w:r>
        <w:rPr>
          <w:rFonts w:hint="eastAsia" w:ascii="宋体" w:hAnsi="宋体"/>
          <w:bCs/>
        </w:rPr>
        <w:t>3、油（气）管道与铁路线在旅客车站咽喉区范围内交叉。</w:t>
      </w:r>
    </w:p>
    <w:p>
      <w:pPr>
        <w:spacing w:line="420" w:lineRule="exact"/>
        <w:ind w:firstLine="560"/>
        <w:rPr>
          <w:rFonts w:ascii="宋体" w:hAnsi="宋体"/>
          <w:bCs/>
        </w:rPr>
      </w:pPr>
      <w:r>
        <w:rPr>
          <w:rFonts w:hint="eastAsia" w:ascii="宋体" w:hAnsi="宋体"/>
          <w:bCs/>
        </w:rPr>
        <w:t>拆改方案：迁改管线的路径，使改移后的管道位于车站范围以外。</w:t>
      </w:r>
    </w:p>
    <w:p>
      <w:pPr>
        <w:spacing w:line="420" w:lineRule="exact"/>
        <w:ind w:firstLine="560"/>
        <w:rPr>
          <w:rFonts w:ascii="宋体" w:hAnsi="宋体"/>
          <w:bCs/>
        </w:rPr>
      </w:pPr>
      <w:r>
        <w:rPr>
          <w:rFonts w:hint="eastAsia" w:ascii="宋体" w:hAnsi="宋体"/>
          <w:bCs/>
        </w:rPr>
        <w:t>4、油（气）管道与桥梁承台边缘之间的距离，不符合规范要求。</w:t>
      </w:r>
    </w:p>
    <w:p>
      <w:pPr>
        <w:spacing w:line="420" w:lineRule="exact"/>
        <w:ind w:firstLine="560"/>
        <w:rPr>
          <w:rFonts w:ascii="宋体" w:hAnsi="宋体"/>
          <w:bCs/>
        </w:rPr>
      </w:pPr>
      <w:r>
        <w:rPr>
          <w:rFonts w:hint="eastAsia" w:ascii="宋体" w:hAnsi="宋体"/>
          <w:bCs/>
        </w:rPr>
        <w:t>拆改方案：迁改管线的路径，使改移后的管道外缘距桥梁承台基础外缘的水平净距不小于5m。</w:t>
      </w:r>
    </w:p>
    <w:p>
      <w:pPr>
        <w:spacing w:line="420" w:lineRule="exact"/>
        <w:ind w:firstLine="560"/>
        <w:rPr>
          <w:rFonts w:ascii="宋体" w:hAnsi="宋体"/>
          <w:bCs/>
        </w:rPr>
      </w:pPr>
      <w:r>
        <w:rPr>
          <w:rFonts w:hint="eastAsia" w:ascii="宋体" w:hAnsi="宋体"/>
          <w:bCs/>
        </w:rPr>
        <w:t>5、油（气）管道在铁路桥梁段穿越铁路，埋深不足1.2m。</w:t>
      </w:r>
    </w:p>
    <w:p>
      <w:pPr>
        <w:spacing w:line="420" w:lineRule="exact"/>
        <w:ind w:firstLine="560"/>
        <w:rPr>
          <w:rFonts w:ascii="宋体" w:hAnsi="宋体"/>
          <w:bCs/>
        </w:rPr>
      </w:pPr>
      <w:r>
        <w:rPr>
          <w:rFonts w:hint="eastAsia" w:ascii="宋体" w:hAnsi="宋体"/>
          <w:bCs/>
        </w:rPr>
        <w:t>拆改方案：增加交叉段管线埋深。</w:t>
      </w:r>
    </w:p>
    <w:p>
      <w:pPr>
        <w:spacing w:line="420" w:lineRule="exact"/>
        <w:ind w:firstLine="560"/>
        <w:rPr>
          <w:rFonts w:ascii="宋体" w:hAnsi="宋体"/>
          <w:bCs/>
        </w:rPr>
      </w:pPr>
      <w:r>
        <w:rPr>
          <w:rFonts w:hint="eastAsia" w:ascii="宋体" w:hAnsi="宋体"/>
          <w:bCs/>
        </w:rPr>
        <w:t>6、油（气）管道在隧道范围内交叉，交叉位置或管道底部与铁路隧道顶部的垂直高度，不符合规范要求。</w:t>
      </w:r>
    </w:p>
    <w:p>
      <w:pPr>
        <w:spacing w:line="420" w:lineRule="exact"/>
        <w:ind w:firstLine="560"/>
        <w:rPr>
          <w:rFonts w:ascii="宋体" w:hAnsi="宋体"/>
          <w:bCs/>
        </w:rPr>
      </w:pPr>
      <w:r>
        <w:rPr>
          <w:rFonts w:hint="eastAsia" w:ascii="宋体" w:hAnsi="宋体"/>
          <w:bCs/>
        </w:rPr>
        <w:t>拆改方案：迁改管线的路径，使改移后的管道底部与铁路隧道顶部的垂直高度大于10m。</w:t>
      </w:r>
    </w:p>
    <w:p>
      <w:pPr>
        <w:spacing w:line="420" w:lineRule="exact"/>
        <w:ind w:firstLine="413" w:firstLineChars="196"/>
        <w:outlineLvl w:val="1"/>
        <w:rPr>
          <w:rFonts w:ascii="宋体" w:hAnsi="宋体"/>
          <w:b/>
          <w:bCs/>
        </w:rPr>
      </w:pPr>
      <w:bookmarkStart w:id="344" w:name="_Toc84265683"/>
      <w:bookmarkStart w:id="345" w:name="_Toc26263"/>
      <w:r>
        <w:rPr>
          <w:rFonts w:hint="eastAsia" w:ascii="宋体" w:hAnsi="宋体"/>
          <w:b/>
        </w:rPr>
        <w:t>五、给排水管线迁改</w:t>
      </w:r>
      <w:bookmarkEnd w:id="344"/>
      <w:bookmarkEnd w:id="345"/>
    </w:p>
    <w:p>
      <w:pPr>
        <w:pStyle w:val="171"/>
        <w:autoSpaceDE w:val="0"/>
        <w:autoSpaceDN w:val="0"/>
        <w:adjustRightInd w:val="0"/>
        <w:snapToGrid w:val="0"/>
        <w:spacing w:line="420" w:lineRule="exact"/>
        <w:jc w:val="left"/>
        <w:rPr>
          <w:rFonts w:ascii="宋体" w:hAnsi="宋体"/>
          <w:kern w:val="10"/>
          <w:szCs w:val="21"/>
        </w:rPr>
      </w:pPr>
      <w:r>
        <w:rPr>
          <w:rFonts w:hint="eastAsia" w:ascii="宋体" w:hAnsi="宋体"/>
          <w:kern w:val="10"/>
          <w:szCs w:val="21"/>
        </w:rPr>
        <w:t>（一）给排水管线迁改原则及要求</w:t>
      </w:r>
    </w:p>
    <w:p>
      <w:pPr>
        <w:pStyle w:val="171"/>
        <w:autoSpaceDE w:val="0"/>
        <w:autoSpaceDN w:val="0"/>
        <w:adjustRightInd w:val="0"/>
        <w:snapToGrid w:val="0"/>
        <w:spacing w:line="420" w:lineRule="exact"/>
        <w:jc w:val="left"/>
        <w:rPr>
          <w:rFonts w:ascii="宋体" w:hAnsi="宋体"/>
          <w:kern w:val="10"/>
          <w:szCs w:val="21"/>
        </w:rPr>
      </w:pPr>
      <w:r>
        <w:rPr>
          <w:rFonts w:hint="eastAsia" w:ascii="宋体" w:hAnsi="宋体"/>
          <w:kern w:val="10"/>
          <w:szCs w:val="21"/>
        </w:rPr>
        <w:t>高速铁路给水管道穿正线时设置在过轨防护涵洞内或结合框构涵洞设置，与站前工程同步实施。</w:t>
      </w:r>
    </w:p>
    <w:p>
      <w:pPr>
        <w:pStyle w:val="171"/>
        <w:autoSpaceDE w:val="0"/>
        <w:autoSpaceDN w:val="0"/>
        <w:adjustRightInd w:val="0"/>
        <w:snapToGrid w:val="0"/>
        <w:spacing w:line="420" w:lineRule="exact"/>
        <w:jc w:val="left"/>
        <w:rPr>
          <w:rFonts w:ascii="宋体" w:hAnsi="宋体"/>
          <w:kern w:val="10"/>
          <w:szCs w:val="21"/>
        </w:rPr>
      </w:pPr>
      <w:r>
        <w:rPr>
          <w:rFonts w:hint="eastAsia" w:ascii="宋体" w:hAnsi="宋体"/>
          <w:kern w:val="10"/>
          <w:szCs w:val="21"/>
        </w:rPr>
        <w:t>管线拆改应结合业主、管线产权单位的意见，根据管线实际使用情况及经地段地形、冻土深度、地面车辆所施加的荷载及管道稳定性的要求等因素进行。</w:t>
      </w:r>
    </w:p>
    <w:p>
      <w:pPr>
        <w:pStyle w:val="171"/>
        <w:autoSpaceDE w:val="0"/>
        <w:autoSpaceDN w:val="0"/>
        <w:adjustRightInd w:val="0"/>
        <w:snapToGrid w:val="0"/>
        <w:spacing w:line="420" w:lineRule="exact"/>
        <w:jc w:val="left"/>
        <w:rPr>
          <w:rFonts w:ascii="宋体" w:hAnsi="宋体"/>
          <w:kern w:val="10"/>
          <w:szCs w:val="21"/>
        </w:rPr>
      </w:pPr>
      <w:r>
        <w:rPr>
          <w:rFonts w:hint="eastAsia" w:ascii="宋体" w:hAnsi="宋体"/>
          <w:kern w:val="10"/>
          <w:szCs w:val="21"/>
        </w:rPr>
        <w:t>迁改设计应根据现场实际影响情况进行，并考虑迁改工点施工条件及过渡方案，管道拆改方案应符合城市给排水总体规划要求。</w:t>
      </w:r>
    </w:p>
    <w:p>
      <w:pPr>
        <w:pStyle w:val="171"/>
        <w:autoSpaceDE w:val="0"/>
        <w:autoSpaceDN w:val="0"/>
        <w:adjustRightInd w:val="0"/>
        <w:snapToGrid w:val="0"/>
        <w:spacing w:line="420" w:lineRule="exact"/>
        <w:jc w:val="left"/>
        <w:rPr>
          <w:rFonts w:ascii="宋体" w:hAnsi="宋体"/>
          <w:kern w:val="10"/>
          <w:szCs w:val="21"/>
        </w:rPr>
      </w:pPr>
      <w:r>
        <w:rPr>
          <w:rFonts w:hint="eastAsia" w:ascii="宋体" w:hAnsi="宋体"/>
          <w:kern w:val="10"/>
          <w:szCs w:val="21"/>
        </w:rPr>
        <w:t>迁改长度视现场情况涉及到的影响范围内计算，并考虑迁改工点施工条件及过渡方案等因素，原则上采用既有管道标准，增加相应的给排水附属构筑物（如必要的阀门井、检查井等）。</w:t>
      </w:r>
    </w:p>
    <w:p>
      <w:pPr>
        <w:pStyle w:val="171"/>
        <w:autoSpaceDE w:val="0"/>
        <w:autoSpaceDN w:val="0"/>
        <w:adjustRightInd w:val="0"/>
        <w:snapToGrid w:val="0"/>
        <w:spacing w:line="420" w:lineRule="exact"/>
        <w:jc w:val="left"/>
        <w:rPr>
          <w:rFonts w:ascii="宋体" w:hAnsi="宋体"/>
          <w:kern w:val="10"/>
          <w:szCs w:val="21"/>
        </w:rPr>
      </w:pPr>
      <w:r>
        <w:rPr>
          <w:rFonts w:hint="eastAsia" w:ascii="宋体" w:hAnsi="宋体"/>
          <w:kern w:val="10"/>
          <w:szCs w:val="21"/>
        </w:rPr>
        <w:t>1</w:t>
      </w:r>
      <w:r>
        <w:rPr>
          <w:rFonts w:hint="eastAsia" w:ascii="宋体" w:hAnsi="宋体"/>
          <w:kern w:val="0"/>
          <w:szCs w:val="21"/>
        </w:rPr>
        <w:t>、</w:t>
      </w:r>
      <w:r>
        <w:rPr>
          <w:rFonts w:ascii="宋体" w:hAnsi="宋体"/>
          <w:kern w:val="10"/>
          <w:szCs w:val="21"/>
        </w:rPr>
        <w:t>路基平行地段</w:t>
      </w:r>
    </w:p>
    <w:p>
      <w:pPr>
        <w:pStyle w:val="171"/>
        <w:autoSpaceDE w:val="0"/>
        <w:autoSpaceDN w:val="0"/>
        <w:adjustRightInd w:val="0"/>
        <w:snapToGrid w:val="0"/>
        <w:spacing w:line="420" w:lineRule="exact"/>
        <w:jc w:val="left"/>
        <w:rPr>
          <w:rFonts w:ascii="宋体" w:hAnsi="宋体"/>
          <w:kern w:val="10"/>
          <w:szCs w:val="21"/>
        </w:rPr>
      </w:pPr>
      <w:r>
        <w:rPr>
          <w:rFonts w:ascii="宋体" w:hAnsi="宋体"/>
          <w:kern w:val="10"/>
          <w:szCs w:val="21"/>
        </w:rPr>
        <w:t>结合路基横断面及线路纵断面，对占压的管线均须按照原标准平行外移，改移的管道布置在距离不小于路基边坡（或路堑坡顶）外10m，并宜布置在铁路征地界以外。</w:t>
      </w:r>
    </w:p>
    <w:p>
      <w:pPr>
        <w:pStyle w:val="171"/>
        <w:autoSpaceDE w:val="0"/>
        <w:autoSpaceDN w:val="0"/>
        <w:adjustRightInd w:val="0"/>
        <w:snapToGrid w:val="0"/>
        <w:spacing w:line="420" w:lineRule="exact"/>
        <w:jc w:val="left"/>
        <w:rPr>
          <w:rFonts w:ascii="宋体" w:hAnsi="宋体"/>
          <w:kern w:val="10"/>
          <w:szCs w:val="21"/>
        </w:rPr>
      </w:pPr>
      <w:r>
        <w:rPr>
          <w:rFonts w:hint="eastAsia" w:ascii="宋体" w:hAnsi="宋体"/>
          <w:kern w:val="10"/>
          <w:szCs w:val="21"/>
        </w:rPr>
        <w:t>2</w:t>
      </w:r>
      <w:r>
        <w:rPr>
          <w:rFonts w:hint="eastAsia" w:ascii="宋体" w:hAnsi="宋体"/>
          <w:kern w:val="0"/>
          <w:szCs w:val="21"/>
        </w:rPr>
        <w:t>、</w:t>
      </w:r>
      <w:r>
        <w:rPr>
          <w:rFonts w:ascii="宋体" w:hAnsi="宋体"/>
          <w:kern w:val="10"/>
          <w:szCs w:val="21"/>
        </w:rPr>
        <w:t>与路基交叉过轨</w:t>
      </w:r>
    </w:p>
    <w:p>
      <w:pPr>
        <w:pStyle w:val="171"/>
        <w:autoSpaceDE w:val="0"/>
        <w:autoSpaceDN w:val="0"/>
        <w:adjustRightInd w:val="0"/>
        <w:snapToGrid w:val="0"/>
        <w:spacing w:line="420" w:lineRule="exact"/>
        <w:jc w:val="left"/>
        <w:rPr>
          <w:rFonts w:ascii="宋体" w:hAnsi="宋体"/>
          <w:kern w:val="10"/>
          <w:szCs w:val="21"/>
        </w:rPr>
      </w:pPr>
      <w:r>
        <w:rPr>
          <w:rFonts w:hint="eastAsia" w:ascii="宋体" w:hAnsi="宋体"/>
          <w:kern w:val="10"/>
          <w:szCs w:val="21"/>
        </w:rPr>
        <w:t>根据地下管线实际位置及走向，结合业主、管线产权单位的意见进行迁改。对于直径大于300mm的给水、输配水干管及直径大于500mm雨、污水排水干管，原则上不改移，采用原位防护措施，管道过轨宜采用正交形式（管道防护涵洞由桥梁专业负责设计）。</w:t>
      </w:r>
    </w:p>
    <w:p>
      <w:pPr>
        <w:pStyle w:val="171"/>
        <w:autoSpaceDE w:val="0"/>
        <w:autoSpaceDN w:val="0"/>
        <w:adjustRightInd w:val="0"/>
        <w:snapToGrid w:val="0"/>
        <w:spacing w:line="420" w:lineRule="exact"/>
        <w:jc w:val="left"/>
        <w:rPr>
          <w:rFonts w:ascii="宋体" w:hAnsi="宋体"/>
          <w:kern w:val="10"/>
          <w:szCs w:val="21"/>
        </w:rPr>
      </w:pPr>
      <w:r>
        <w:rPr>
          <w:rFonts w:hint="eastAsia" w:ascii="宋体" w:hAnsi="宋体"/>
          <w:kern w:val="10"/>
          <w:szCs w:val="21"/>
        </w:rPr>
        <w:t>3</w:t>
      </w:r>
      <w:r>
        <w:rPr>
          <w:rFonts w:hint="eastAsia" w:ascii="宋体" w:hAnsi="宋体"/>
          <w:kern w:val="0"/>
          <w:szCs w:val="21"/>
        </w:rPr>
        <w:t>、</w:t>
      </w:r>
      <w:r>
        <w:rPr>
          <w:rFonts w:ascii="宋体" w:hAnsi="宋体"/>
          <w:kern w:val="10"/>
          <w:szCs w:val="21"/>
        </w:rPr>
        <w:t>桥梁基础占压</w:t>
      </w:r>
    </w:p>
    <w:p>
      <w:pPr>
        <w:pStyle w:val="171"/>
        <w:autoSpaceDE w:val="0"/>
        <w:autoSpaceDN w:val="0"/>
        <w:adjustRightInd w:val="0"/>
        <w:snapToGrid w:val="0"/>
        <w:spacing w:line="420" w:lineRule="exact"/>
        <w:jc w:val="left"/>
        <w:rPr>
          <w:rFonts w:ascii="宋体" w:hAnsi="宋体"/>
          <w:kern w:val="10"/>
          <w:szCs w:val="21"/>
        </w:rPr>
      </w:pPr>
      <w:r>
        <w:rPr>
          <w:rFonts w:hint="eastAsia" w:ascii="宋体" w:hAnsi="宋体"/>
          <w:kern w:val="10"/>
          <w:szCs w:val="21"/>
        </w:rPr>
        <w:t>桥梁设计前，核实桥梁范围内管线的具体位置，避免遗漏。管道穿越铁路桥下时，桥墩基础边线与管线间水平净距不小于5m。</w:t>
      </w:r>
    </w:p>
    <w:p>
      <w:pPr>
        <w:pStyle w:val="171"/>
        <w:autoSpaceDE w:val="0"/>
        <w:autoSpaceDN w:val="0"/>
        <w:adjustRightInd w:val="0"/>
        <w:snapToGrid w:val="0"/>
        <w:spacing w:line="420" w:lineRule="exact"/>
        <w:jc w:val="left"/>
        <w:rPr>
          <w:rFonts w:ascii="宋体" w:hAnsi="宋体"/>
          <w:kern w:val="10"/>
          <w:szCs w:val="21"/>
        </w:rPr>
      </w:pPr>
      <w:r>
        <w:rPr>
          <w:rFonts w:hint="eastAsia" w:ascii="宋体" w:hAnsi="宋体"/>
          <w:kern w:val="10"/>
          <w:szCs w:val="21"/>
        </w:rPr>
        <w:t>对于直径大于300mm的给水、输配水干管及直径大于500mm雨、污水排水干管，与线路交叉的应作为桥梁孔跨布置的控制点，如无法跨越纳入管道拆改工点。</w:t>
      </w:r>
    </w:p>
    <w:p>
      <w:pPr>
        <w:pStyle w:val="171"/>
        <w:autoSpaceDE w:val="0"/>
        <w:autoSpaceDN w:val="0"/>
        <w:adjustRightInd w:val="0"/>
        <w:snapToGrid w:val="0"/>
        <w:spacing w:line="420" w:lineRule="exact"/>
        <w:jc w:val="left"/>
        <w:rPr>
          <w:rFonts w:ascii="宋体" w:hAnsi="宋体"/>
          <w:kern w:val="10"/>
          <w:szCs w:val="21"/>
        </w:rPr>
      </w:pPr>
      <w:r>
        <w:rPr>
          <w:rFonts w:hint="eastAsia" w:ascii="宋体" w:hAnsi="宋体"/>
          <w:kern w:val="10"/>
          <w:szCs w:val="21"/>
        </w:rPr>
        <w:t>4、防护涵洞设置要求：</w:t>
      </w:r>
    </w:p>
    <w:p>
      <w:pPr>
        <w:pStyle w:val="171"/>
        <w:autoSpaceDE w:val="0"/>
        <w:autoSpaceDN w:val="0"/>
        <w:adjustRightInd w:val="0"/>
        <w:snapToGrid w:val="0"/>
        <w:spacing w:line="420" w:lineRule="exact"/>
        <w:jc w:val="left"/>
        <w:rPr>
          <w:rFonts w:ascii="宋体" w:hAnsi="宋体"/>
          <w:kern w:val="10"/>
          <w:szCs w:val="21"/>
        </w:rPr>
      </w:pPr>
      <w:r>
        <w:rPr>
          <w:rFonts w:hint="eastAsia" w:ascii="宋体" w:hAnsi="宋体"/>
          <w:kern w:val="10"/>
          <w:szCs w:val="21"/>
        </w:rPr>
        <w:t>①管道在路基段穿过时设涵保护，防护涵内径2～4m（视迁改管线管径而定），净高不小于2.0m。</w:t>
      </w:r>
    </w:p>
    <w:p>
      <w:pPr>
        <w:pStyle w:val="171"/>
        <w:autoSpaceDE w:val="0"/>
        <w:autoSpaceDN w:val="0"/>
        <w:adjustRightInd w:val="0"/>
        <w:snapToGrid w:val="0"/>
        <w:spacing w:line="420" w:lineRule="exact"/>
        <w:jc w:val="left"/>
        <w:rPr>
          <w:rFonts w:ascii="宋体" w:hAnsi="宋体"/>
          <w:kern w:val="10"/>
          <w:szCs w:val="21"/>
        </w:rPr>
      </w:pPr>
      <w:r>
        <w:rPr>
          <w:rFonts w:hint="eastAsia" w:ascii="宋体" w:hAnsi="宋体"/>
          <w:kern w:val="10"/>
          <w:szCs w:val="21"/>
        </w:rPr>
        <w:t>②过轨管线均与线路垂交。防护涵两端做至东西两侧线路坡脚（或路堑）以外5m处。</w:t>
      </w:r>
    </w:p>
    <w:p>
      <w:pPr>
        <w:pStyle w:val="171"/>
        <w:autoSpaceDE w:val="0"/>
        <w:autoSpaceDN w:val="0"/>
        <w:adjustRightInd w:val="0"/>
        <w:snapToGrid w:val="0"/>
        <w:spacing w:line="420" w:lineRule="exact"/>
        <w:jc w:val="left"/>
        <w:rPr>
          <w:rFonts w:ascii="宋体" w:hAnsi="宋体"/>
          <w:kern w:val="10"/>
          <w:szCs w:val="21"/>
        </w:rPr>
      </w:pPr>
      <w:r>
        <w:rPr>
          <w:rFonts w:hint="eastAsia" w:ascii="宋体" w:hAnsi="宋体"/>
          <w:kern w:val="10"/>
          <w:szCs w:val="21"/>
        </w:rPr>
        <w:t>③防护涵顶距轨底要求不少于1.5m。至路基坡脚以外地面的距离不少于0.7m。</w:t>
      </w:r>
    </w:p>
    <w:p>
      <w:pPr>
        <w:pStyle w:val="171"/>
        <w:autoSpaceDE w:val="0"/>
        <w:autoSpaceDN w:val="0"/>
        <w:adjustRightInd w:val="0"/>
        <w:snapToGrid w:val="0"/>
        <w:spacing w:line="420" w:lineRule="exact"/>
        <w:jc w:val="left"/>
        <w:rPr>
          <w:rFonts w:ascii="宋体" w:hAnsi="宋体"/>
          <w:kern w:val="10"/>
          <w:szCs w:val="21"/>
        </w:rPr>
      </w:pPr>
      <w:r>
        <w:rPr>
          <w:rFonts w:hint="eastAsia" w:ascii="宋体" w:hAnsi="宋体"/>
          <w:kern w:val="10"/>
          <w:szCs w:val="21"/>
        </w:rPr>
        <w:t>④防护涵内沿纵向设5‰的坡。</w:t>
      </w:r>
    </w:p>
    <w:p>
      <w:pPr>
        <w:pStyle w:val="171"/>
        <w:autoSpaceDE w:val="0"/>
        <w:autoSpaceDN w:val="0"/>
        <w:adjustRightInd w:val="0"/>
        <w:snapToGrid w:val="0"/>
        <w:spacing w:line="420" w:lineRule="exact"/>
        <w:jc w:val="left"/>
        <w:rPr>
          <w:rFonts w:ascii="宋体" w:hAnsi="宋体"/>
          <w:kern w:val="10"/>
          <w:szCs w:val="21"/>
        </w:rPr>
      </w:pPr>
      <w:r>
        <w:rPr>
          <w:rFonts w:hint="eastAsia" w:ascii="宋体" w:hAnsi="宋体"/>
          <w:kern w:val="10"/>
          <w:szCs w:val="21"/>
        </w:rPr>
        <w:t>⑤防护涵两端各设钢筋砼检修井一座。防护涵途径站台延长线时加设检修井。检修井平面尺寸为2.6×1.8，井深：浅端井深同防护涵底；深端井深为防护涵底加0.5m。检修井井外壁距路基坡脚不小于5m。</w:t>
      </w:r>
    </w:p>
    <w:p>
      <w:pPr>
        <w:spacing w:line="420" w:lineRule="exact"/>
        <w:ind w:firstLine="413" w:firstLineChars="196"/>
        <w:outlineLvl w:val="1"/>
        <w:rPr>
          <w:rFonts w:ascii="宋体" w:hAnsi="宋体"/>
          <w:b/>
        </w:rPr>
      </w:pPr>
      <w:bookmarkStart w:id="346" w:name="_Toc84265684"/>
      <w:bookmarkStart w:id="347" w:name="_Toc4300"/>
      <w:r>
        <w:rPr>
          <w:rFonts w:hint="eastAsia" w:ascii="宋体" w:hAnsi="宋体"/>
          <w:b/>
        </w:rPr>
        <w:t>六、热力管道迁改</w:t>
      </w:r>
      <w:bookmarkEnd w:id="346"/>
      <w:bookmarkEnd w:id="347"/>
    </w:p>
    <w:p>
      <w:pPr>
        <w:pStyle w:val="171"/>
        <w:autoSpaceDE w:val="0"/>
        <w:autoSpaceDN w:val="0"/>
        <w:adjustRightInd w:val="0"/>
        <w:snapToGrid w:val="0"/>
        <w:spacing w:line="420" w:lineRule="exact"/>
        <w:jc w:val="left"/>
        <w:rPr>
          <w:rFonts w:ascii="宋体" w:hAnsi="宋体"/>
          <w:kern w:val="10"/>
          <w:szCs w:val="21"/>
        </w:rPr>
      </w:pPr>
      <w:r>
        <w:rPr>
          <w:rFonts w:hint="eastAsia" w:ascii="宋体" w:hAnsi="宋体"/>
          <w:kern w:val="10"/>
          <w:szCs w:val="21"/>
        </w:rPr>
        <w:t>（一）迁改原则及要求</w:t>
      </w:r>
    </w:p>
    <w:p>
      <w:pPr>
        <w:spacing w:line="420" w:lineRule="exact"/>
        <w:ind w:firstLine="420" w:firstLineChars="200"/>
        <w:rPr>
          <w:rFonts w:ascii="宋体" w:hAnsi="宋体"/>
        </w:rPr>
      </w:pPr>
      <w:r>
        <w:rPr>
          <w:rFonts w:hint="eastAsia" w:ascii="宋体" w:hAnsi="宋体"/>
        </w:rPr>
        <w:t>1、应依据《城市热力网设计规范》（CJJ34-2002）和《城镇直埋供热管道工程及技术规程》（CJJ/T81-98）进行拆改迁移。</w:t>
      </w:r>
    </w:p>
    <w:p>
      <w:pPr>
        <w:spacing w:line="420" w:lineRule="exact"/>
        <w:ind w:firstLine="420" w:firstLineChars="200"/>
        <w:rPr>
          <w:rFonts w:ascii="宋体" w:hAnsi="宋体"/>
        </w:rPr>
      </w:pPr>
      <w:r>
        <w:rPr>
          <w:rFonts w:hint="eastAsia" w:ascii="宋体" w:hAnsi="宋体"/>
        </w:rPr>
        <w:t>2、管道的铺设应避开滑坡、崩塌、沉陷、泥石流等不良工程地质区、矿产资源区、严重危及管道安全的地震区。当受条件限制时，应采取防护措施并选择合适位置，缩小通过距离。</w:t>
      </w:r>
    </w:p>
    <w:p>
      <w:pPr>
        <w:spacing w:line="420" w:lineRule="exact"/>
        <w:ind w:firstLine="420" w:firstLineChars="200"/>
        <w:rPr>
          <w:rFonts w:ascii="宋体" w:hAnsi="宋体"/>
        </w:rPr>
      </w:pPr>
      <w:r>
        <w:rPr>
          <w:rFonts w:hint="eastAsia" w:ascii="宋体" w:hAnsi="宋体"/>
        </w:rPr>
        <w:t>3、热力管线与铁路线平行敷设时，管道外皮与国家铁路干线、支线（单线）钢轨外侧及建筑物基础之间的距离分别不应小于3m。</w:t>
      </w:r>
    </w:p>
    <w:p>
      <w:pPr>
        <w:spacing w:line="420" w:lineRule="exact"/>
        <w:ind w:firstLine="420" w:firstLineChars="200"/>
        <w:rPr>
          <w:rFonts w:ascii="宋体" w:hAnsi="宋体"/>
        </w:rPr>
      </w:pPr>
      <w:r>
        <w:rPr>
          <w:rFonts w:hint="eastAsia" w:ascii="宋体" w:hAnsi="宋体"/>
        </w:rPr>
        <w:t>4、埋地热力管线的埋设深度，应根据管道所经地段的农田耕作深度、冻土深度、地形和地质条件、地下水深度、地面车辆所施加的荷载及管道稳定性的要求等因素，经综合分析后确定。一般情况下管顶的覆土层厚度不应小于0.8米，与铁路轨道底不小于1.2米。</w:t>
      </w:r>
    </w:p>
    <w:p>
      <w:pPr>
        <w:spacing w:line="420" w:lineRule="exact"/>
        <w:ind w:firstLine="420" w:firstLineChars="200"/>
        <w:rPr>
          <w:rFonts w:ascii="宋体" w:hAnsi="宋体"/>
        </w:rPr>
      </w:pPr>
      <w:r>
        <w:rPr>
          <w:rFonts w:hint="eastAsia" w:ascii="宋体" w:hAnsi="宋体"/>
        </w:rPr>
        <w:t>5、跨越公路的铁路桥施工时，如果公路上的架空或埋地的暖通管线不在桥墩开挖范围内，一般不予迁改，但应注意施工保护，防止破坏暖通管线，必要时可对架空线路采取保护措施及在埋地线路上敷设钢板保护等。</w:t>
      </w:r>
    </w:p>
    <w:p>
      <w:pPr>
        <w:spacing w:line="420" w:lineRule="exact"/>
        <w:ind w:firstLine="420" w:firstLineChars="200"/>
        <w:rPr>
          <w:rFonts w:ascii="宋体" w:hAnsi="宋体"/>
        </w:rPr>
      </w:pPr>
      <w:r>
        <w:rPr>
          <w:rFonts w:hint="eastAsia" w:ascii="宋体" w:hAnsi="宋体"/>
        </w:rPr>
        <w:t>6、在本工程上方跨越的暖通管线尽量改走附近的桥涵下通过，在无桥涵地段则必须改为地埋从路基下通过，原则上管道过轨宜设涵保护，如由于角度关系在原位设涵困难，可结合周边涵洞设置情况，改角度布置在附近涵洞内保护过轨。交叉角度小于45°或大于135°的直线地段按平行改移考虑部分迁改数量，管道过轨宜采用正交形式（管道防护涵洞由桥梁专业负责设计）。设涵保护的管道或由于既有涵洞接长、基础下挖（或涵洞基础处理）引起的管道迁改原则上在涵洞设计中考虑管道保护措施（或过渡方案）。</w:t>
      </w:r>
    </w:p>
    <w:p>
      <w:pPr>
        <w:spacing w:line="420" w:lineRule="exact"/>
        <w:ind w:firstLine="420" w:firstLineChars="200"/>
        <w:rPr>
          <w:rFonts w:ascii="宋体" w:hAnsi="宋体"/>
        </w:rPr>
      </w:pPr>
      <w:r>
        <w:rPr>
          <w:rFonts w:hint="eastAsia" w:ascii="宋体" w:hAnsi="宋体"/>
        </w:rPr>
        <w:t>7、迁改数量计算原则</w:t>
      </w:r>
    </w:p>
    <w:p>
      <w:pPr>
        <w:spacing w:line="420" w:lineRule="exact"/>
        <w:ind w:firstLine="420" w:firstLineChars="200"/>
        <w:rPr>
          <w:rFonts w:ascii="宋体" w:hAnsi="宋体"/>
        </w:rPr>
      </w:pPr>
      <w:r>
        <w:rPr>
          <w:rFonts w:hint="eastAsia" w:ascii="宋体" w:hAnsi="宋体"/>
        </w:rPr>
        <w:t>迁改长度视现场情况涉及到的影响范围内计算，并考虑迁改工点施工条件及过渡方案等因素，原则上采用既有管道标准，增加相应的热力管附属构筑物（如必要的阀门井（含阀门）、检查井等）。</w:t>
      </w:r>
    </w:p>
    <w:p>
      <w:pPr>
        <w:spacing w:line="420" w:lineRule="exact"/>
        <w:ind w:firstLine="420" w:firstLineChars="200"/>
        <w:rPr>
          <w:rFonts w:ascii="宋体" w:hAnsi="宋体"/>
        </w:rPr>
      </w:pPr>
      <w:r>
        <w:rPr>
          <w:rFonts w:hint="eastAsia" w:ascii="宋体" w:hAnsi="宋体"/>
        </w:rPr>
        <w:t>路基或桥台占压的管道分别迁改至路基或桥台以外；涵洞延长占压且管道在涵洞口拐弯的将管道迁改至新涵洞口以外，管道在涵洞口不拐弯的采用管道防护措施；由于路基引起道路改移的将道路下的管道作相应外移；路基平行地段改移至征地界外。</w:t>
      </w:r>
    </w:p>
    <w:p>
      <w:pPr>
        <w:pStyle w:val="3"/>
        <w:jc w:val="center"/>
        <w:rPr>
          <w:rFonts w:ascii="宋体"/>
        </w:rPr>
      </w:pPr>
      <w:r>
        <w:rPr>
          <w:rFonts w:ascii="宋体" w:hAnsi="宋体" w:cs="宋体"/>
        </w:rPr>
        <w:br w:type="page"/>
      </w:r>
      <w:bookmarkStart w:id="348" w:name="_Toc84265685"/>
      <w:r>
        <w:rPr>
          <w:rFonts w:hint="eastAsia" w:ascii="宋体" w:hAnsi="宋体" w:cs="宋体"/>
        </w:rPr>
        <w:t>第八章</w:t>
      </w:r>
      <w:r>
        <w:rPr>
          <w:rFonts w:ascii="宋体" w:hAnsi="宋体" w:cs="宋体"/>
        </w:rPr>
        <w:t xml:space="preserve"> </w:t>
      </w:r>
      <w:r>
        <w:rPr>
          <w:rFonts w:hint="eastAsia" w:ascii="宋体" w:hAnsi="宋体" w:cs="宋体"/>
        </w:rPr>
        <w:t>投标文件格式</w:t>
      </w:r>
      <w:bookmarkEnd w:id="348"/>
    </w:p>
    <w:p>
      <w:pPr>
        <w:spacing w:line="440" w:lineRule="exact"/>
        <w:rPr>
          <w:rFonts w:ascii="宋体"/>
        </w:rPr>
      </w:pPr>
    </w:p>
    <w:p>
      <w:pPr>
        <w:spacing w:line="440" w:lineRule="exact"/>
        <w:rPr>
          <w:rFonts w:ascii="宋体"/>
        </w:rPr>
      </w:pPr>
    </w:p>
    <w:p>
      <w:pPr>
        <w:widowControl/>
        <w:jc w:val="left"/>
        <w:rPr>
          <w:rFonts w:ascii="宋体"/>
        </w:rPr>
      </w:pPr>
      <w:r>
        <w:rPr>
          <w:rFonts w:ascii="宋体"/>
        </w:rPr>
        <w:br w:type="page"/>
      </w:r>
    </w:p>
    <w:p>
      <w:pPr>
        <w:spacing w:line="440" w:lineRule="exact"/>
        <w:rPr>
          <w:rFonts w:ascii="宋体"/>
        </w:rPr>
      </w:pPr>
    </w:p>
    <w:p>
      <w:pPr>
        <w:jc w:val="center"/>
        <w:rPr>
          <w:rFonts w:ascii="宋体" w:hAnsi="宋体" w:cs="宋体"/>
          <w:sz w:val="32"/>
          <w:szCs w:val="32"/>
        </w:rPr>
      </w:pPr>
      <w:r>
        <w:rPr>
          <w:rFonts w:hint="eastAsia" w:ascii="宋体" w:hAnsi="宋体" w:cs="宋体"/>
          <w:sz w:val="32"/>
          <w:szCs w:val="32"/>
        </w:rPr>
        <w:t>新建天津至潍坊高速铁路滨海段三电及地下管线迁改工程</w:t>
      </w:r>
    </w:p>
    <w:p>
      <w:pPr>
        <w:jc w:val="center"/>
        <w:rPr>
          <w:rFonts w:ascii="宋体"/>
          <w:sz w:val="32"/>
          <w:szCs w:val="32"/>
        </w:rPr>
      </w:pPr>
      <w:r>
        <w:rPr>
          <w:rFonts w:hint="eastAsia" w:ascii="宋体" w:hAnsi="宋体" w:cs="宋体"/>
          <w:sz w:val="32"/>
          <w:szCs w:val="32"/>
        </w:rPr>
        <w:t>设计施工总承包(EPC)（EPC）</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jc w:val="center"/>
        <w:rPr>
          <w:rFonts w:ascii="宋体"/>
          <w:sz w:val="72"/>
          <w:szCs w:val="72"/>
        </w:rPr>
      </w:pPr>
      <w:r>
        <w:rPr>
          <w:rFonts w:hint="eastAsia" w:ascii="宋体" w:hAnsi="宋体" w:cs="宋体"/>
          <w:sz w:val="72"/>
          <w:szCs w:val="72"/>
        </w:rPr>
        <w:t>投</w:t>
      </w:r>
      <w:r>
        <w:rPr>
          <w:rFonts w:ascii="宋体" w:hAnsi="宋体" w:cs="宋体"/>
          <w:sz w:val="72"/>
          <w:szCs w:val="72"/>
        </w:rPr>
        <w:t xml:space="preserve"> </w:t>
      </w:r>
      <w:r>
        <w:rPr>
          <w:rFonts w:hint="eastAsia" w:ascii="宋体" w:hAnsi="宋体" w:cs="宋体"/>
          <w:sz w:val="72"/>
          <w:szCs w:val="72"/>
        </w:rPr>
        <w:t>标</w:t>
      </w:r>
      <w:r>
        <w:rPr>
          <w:rFonts w:ascii="宋体" w:hAnsi="宋体" w:cs="宋体"/>
          <w:sz w:val="72"/>
          <w:szCs w:val="72"/>
        </w:rPr>
        <w:t xml:space="preserve"> </w:t>
      </w:r>
      <w:r>
        <w:rPr>
          <w:rFonts w:hint="eastAsia" w:ascii="宋体" w:hAnsi="宋体" w:cs="宋体"/>
          <w:sz w:val="72"/>
          <w:szCs w:val="72"/>
        </w:rPr>
        <w:t>文</w:t>
      </w:r>
      <w:r>
        <w:rPr>
          <w:rFonts w:ascii="宋体" w:hAnsi="宋体" w:cs="宋体"/>
          <w:sz w:val="72"/>
          <w:szCs w:val="72"/>
        </w:rPr>
        <w:t xml:space="preserve"> </w:t>
      </w:r>
      <w:r>
        <w:rPr>
          <w:rFonts w:hint="eastAsia" w:ascii="宋体" w:hAnsi="宋体" w:cs="宋体"/>
          <w:sz w:val="72"/>
          <w:szCs w:val="72"/>
        </w:rPr>
        <w:t>件</w:t>
      </w:r>
    </w:p>
    <w:p>
      <w:pPr>
        <w:rPr>
          <w:rFonts w:ascii="宋体"/>
          <w:sz w:val="48"/>
          <w:szCs w:val="48"/>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wordWrap w:val="0"/>
        <w:adjustRightInd w:val="0"/>
        <w:snapToGrid w:val="0"/>
        <w:spacing w:line="360" w:lineRule="auto"/>
        <w:jc w:val="center"/>
        <w:rPr>
          <w:rFonts w:ascii="宋体"/>
          <w:snapToGrid w:val="0"/>
          <w:kern w:val="0"/>
          <w:sz w:val="28"/>
          <w:szCs w:val="28"/>
        </w:rPr>
      </w:pPr>
      <w:r>
        <w:rPr>
          <w:rFonts w:hint="eastAsia" w:ascii="宋体" w:hAnsi="宋体" w:cs="宋体"/>
          <w:snapToGrid w:val="0"/>
          <w:kern w:val="0"/>
          <w:sz w:val="28"/>
          <w:szCs w:val="28"/>
        </w:rPr>
        <w:t>投标人：</w:t>
      </w:r>
      <w:r>
        <w:rPr>
          <w:rFonts w:ascii="宋体" w:hAnsi="宋体" w:cs="宋体"/>
          <w:snapToGrid w:val="0"/>
          <w:kern w:val="0"/>
          <w:sz w:val="28"/>
          <w:szCs w:val="28"/>
          <w:u w:val="single"/>
        </w:rPr>
        <w:t xml:space="preserve">                         </w:t>
      </w:r>
      <w:r>
        <w:rPr>
          <w:rFonts w:hint="eastAsia" w:ascii="宋体" w:hAnsi="宋体" w:cs="宋体"/>
          <w:snapToGrid w:val="0"/>
          <w:kern w:val="0"/>
          <w:sz w:val="28"/>
          <w:szCs w:val="28"/>
        </w:rPr>
        <w:t>（盖单位章）</w:t>
      </w:r>
    </w:p>
    <w:p>
      <w:pPr>
        <w:wordWrap w:val="0"/>
        <w:adjustRightInd w:val="0"/>
        <w:snapToGrid w:val="0"/>
        <w:spacing w:line="360" w:lineRule="auto"/>
        <w:jc w:val="center"/>
        <w:rPr>
          <w:rFonts w:ascii="宋体"/>
          <w:snapToGrid w:val="0"/>
          <w:kern w:val="0"/>
          <w:sz w:val="28"/>
          <w:szCs w:val="28"/>
        </w:rPr>
      </w:pPr>
      <w:r>
        <w:rPr>
          <w:rFonts w:hint="eastAsia" w:ascii="宋体" w:hAnsi="宋体" w:cs="宋体"/>
          <w:snapToGrid w:val="0"/>
          <w:kern w:val="0"/>
          <w:sz w:val="28"/>
          <w:szCs w:val="28"/>
        </w:rPr>
        <w:t>法定代表人或其委托代理人：</w:t>
      </w:r>
      <w:r>
        <w:rPr>
          <w:rFonts w:ascii="宋体" w:hAnsi="宋体" w:cs="宋体"/>
          <w:snapToGrid w:val="0"/>
          <w:kern w:val="0"/>
          <w:sz w:val="28"/>
          <w:szCs w:val="28"/>
          <w:u w:val="single"/>
        </w:rPr>
        <w:t xml:space="preserve">           </w:t>
      </w:r>
      <w:r>
        <w:rPr>
          <w:rFonts w:hint="eastAsia" w:ascii="宋体" w:hAnsi="宋体" w:cs="宋体"/>
          <w:snapToGrid w:val="0"/>
          <w:kern w:val="0"/>
          <w:sz w:val="28"/>
          <w:szCs w:val="28"/>
        </w:rPr>
        <w:t>（签字）</w:t>
      </w:r>
    </w:p>
    <w:p>
      <w:pPr>
        <w:wordWrap w:val="0"/>
        <w:adjustRightInd w:val="0"/>
        <w:snapToGrid w:val="0"/>
        <w:spacing w:line="360" w:lineRule="auto"/>
        <w:jc w:val="center"/>
        <w:rPr>
          <w:rFonts w:ascii="宋体"/>
          <w:snapToGrid w:val="0"/>
          <w:kern w:val="0"/>
          <w:sz w:val="28"/>
          <w:szCs w:val="28"/>
        </w:rPr>
      </w:pPr>
    </w:p>
    <w:p>
      <w:pPr>
        <w:wordWrap w:val="0"/>
        <w:adjustRightInd w:val="0"/>
        <w:snapToGrid w:val="0"/>
        <w:spacing w:line="360" w:lineRule="auto"/>
        <w:jc w:val="center"/>
        <w:rPr>
          <w:rFonts w:ascii="宋体"/>
          <w:snapToGrid w:val="0"/>
          <w:kern w:val="0"/>
          <w:sz w:val="28"/>
          <w:szCs w:val="28"/>
        </w:rPr>
      </w:pPr>
      <w:r>
        <w:rPr>
          <w:rFonts w:hint="eastAsia" w:ascii="宋体" w:hAnsi="宋体" w:cs="宋体"/>
          <w:snapToGrid w:val="0"/>
          <w:kern w:val="0"/>
          <w:sz w:val="28"/>
          <w:szCs w:val="28"/>
        </w:rPr>
        <w:t>年</w:t>
      </w:r>
      <w:r>
        <w:rPr>
          <w:rFonts w:ascii="宋体" w:hAnsi="宋体" w:cs="宋体"/>
          <w:snapToGrid w:val="0"/>
          <w:kern w:val="0"/>
          <w:sz w:val="28"/>
          <w:szCs w:val="28"/>
        </w:rPr>
        <w:t xml:space="preserve">    </w:t>
      </w:r>
      <w:r>
        <w:rPr>
          <w:rFonts w:hint="eastAsia" w:ascii="宋体" w:hAnsi="宋体" w:cs="宋体"/>
          <w:snapToGrid w:val="0"/>
          <w:kern w:val="0"/>
          <w:sz w:val="28"/>
          <w:szCs w:val="28"/>
        </w:rPr>
        <w:t>月</w:t>
      </w:r>
      <w:r>
        <w:rPr>
          <w:rFonts w:ascii="宋体" w:hAnsi="宋体" w:cs="宋体"/>
          <w:snapToGrid w:val="0"/>
          <w:kern w:val="0"/>
          <w:sz w:val="28"/>
          <w:szCs w:val="28"/>
        </w:rPr>
        <w:t xml:space="preserve">    </w:t>
      </w:r>
      <w:r>
        <w:rPr>
          <w:rFonts w:hint="eastAsia" w:ascii="宋体" w:hAnsi="宋体" w:cs="宋体"/>
          <w:snapToGrid w:val="0"/>
          <w:kern w:val="0"/>
          <w:sz w:val="28"/>
          <w:szCs w:val="28"/>
        </w:rPr>
        <w:t>日</w:t>
      </w:r>
    </w:p>
    <w:p>
      <w:pPr>
        <w:rPr>
          <w:rFonts w:ascii="宋体"/>
        </w:rPr>
      </w:pPr>
    </w:p>
    <w:p>
      <w:pPr>
        <w:widowControl/>
        <w:jc w:val="left"/>
        <w:rPr>
          <w:rFonts w:ascii="宋体"/>
        </w:rPr>
      </w:pPr>
      <w:r>
        <w:rPr>
          <w:rFonts w:ascii="宋体"/>
        </w:rPr>
        <w:br w:type="page"/>
      </w:r>
    </w:p>
    <w:p>
      <w:pPr>
        <w:spacing w:line="540" w:lineRule="exact"/>
        <w:jc w:val="center"/>
        <w:rPr>
          <w:rFonts w:ascii="宋体"/>
          <w:b/>
          <w:bCs/>
          <w:sz w:val="30"/>
          <w:szCs w:val="30"/>
        </w:rPr>
      </w:pPr>
      <w:bookmarkStart w:id="349" w:name="_Toc152045787"/>
      <w:bookmarkStart w:id="350" w:name="_Toc2878185"/>
      <w:bookmarkStart w:id="351" w:name="_Toc384308375"/>
      <w:bookmarkStart w:id="352" w:name="_Toc6902713"/>
      <w:bookmarkStart w:id="353" w:name="_Toc2890230"/>
      <w:bookmarkStart w:id="354" w:name="_Toc390409684"/>
      <w:bookmarkStart w:id="355" w:name="_Toc247514246"/>
      <w:bookmarkStart w:id="356" w:name="_Toc144974856"/>
      <w:bookmarkStart w:id="357" w:name="_Toc152042576"/>
      <w:bookmarkStart w:id="358" w:name="_Toc361508752"/>
      <w:bookmarkStart w:id="359" w:name="_Toc300835209"/>
      <w:bookmarkStart w:id="360" w:name="_Toc247527827"/>
      <w:r>
        <w:rPr>
          <w:rFonts w:hint="eastAsia" w:ascii="宋体" w:hAnsi="宋体" w:cs="宋体"/>
          <w:b/>
          <w:bCs/>
          <w:sz w:val="30"/>
          <w:szCs w:val="30"/>
        </w:rPr>
        <w:t>目</w:t>
      </w:r>
      <w:r>
        <w:rPr>
          <w:rFonts w:ascii="宋体" w:hAnsi="宋体" w:cs="宋体"/>
          <w:b/>
          <w:bCs/>
          <w:sz w:val="30"/>
          <w:szCs w:val="30"/>
        </w:rPr>
        <w:t xml:space="preserve">  </w:t>
      </w:r>
      <w:r>
        <w:rPr>
          <w:rFonts w:hint="eastAsia" w:ascii="宋体" w:hAnsi="宋体" w:cs="宋体"/>
          <w:b/>
          <w:bCs/>
          <w:sz w:val="30"/>
          <w:szCs w:val="30"/>
        </w:rPr>
        <w:t>录</w:t>
      </w:r>
      <w:bookmarkEnd w:id="349"/>
      <w:bookmarkEnd w:id="350"/>
      <w:bookmarkEnd w:id="351"/>
      <w:bookmarkEnd w:id="352"/>
      <w:bookmarkEnd w:id="353"/>
      <w:bookmarkEnd w:id="354"/>
      <w:bookmarkEnd w:id="355"/>
      <w:bookmarkEnd w:id="356"/>
      <w:bookmarkEnd w:id="357"/>
      <w:bookmarkEnd w:id="358"/>
      <w:bookmarkEnd w:id="359"/>
      <w:bookmarkEnd w:id="360"/>
    </w:p>
    <w:p>
      <w:pPr>
        <w:wordWrap w:val="0"/>
        <w:adjustRightInd w:val="0"/>
        <w:snapToGrid w:val="0"/>
        <w:spacing w:line="360" w:lineRule="auto"/>
        <w:jc w:val="center"/>
        <w:rPr>
          <w:rFonts w:ascii="宋体"/>
          <w:snapToGrid w:val="0"/>
          <w:kern w:val="0"/>
          <w:sz w:val="28"/>
          <w:szCs w:val="28"/>
        </w:rPr>
      </w:pPr>
    </w:p>
    <w:p>
      <w:pPr>
        <w:spacing w:line="540" w:lineRule="exact"/>
        <w:ind w:left="424" w:leftChars="202"/>
        <w:rPr>
          <w:rFonts w:ascii="宋体"/>
        </w:rPr>
      </w:pPr>
      <w:r>
        <w:rPr>
          <w:rFonts w:hint="eastAsia" w:ascii="宋体" w:hAnsi="宋体" w:cs="宋体"/>
        </w:rPr>
        <w:t>一、投标函及投标函附录</w:t>
      </w:r>
    </w:p>
    <w:p>
      <w:pPr>
        <w:spacing w:line="540" w:lineRule="exact"/>
        <w:ind w:left="424" w:leftChars="202"/>
        <w:rPr>
          <w:rFonts w:ascii="宋体"/>
        </w:rPr>
      </w:pPr>
      <w:r>
        <w:rPr>
          <w:rFonts w:hint="eastAsia" w:ascii="宋体" w:hAnsi="宋体" w:cs="宋体"/>
        </w:rPr>
        <w:t>二、法定代表人身份证明（适用于无委托代理人的情况）</w:t>
      </w:r>
    </w:p>
    <w:p>
      <w:pPr>
        <w:spacing w:line="540" w:lineRule="exact"/>
        <w:ind w:left="424" w:leftChars="202"/>
        <w:rPr>
          <w:rFonts w:ascii="宋体"/>
        </w:rPr>
      </w:pPr>
      <w:r>
        <w:rPr>
          <w:rFonts w:hint="eastAsia" w:ascii="宋体" w:hAnsi="宋体" w:cs="宋体"/>
        </w:rPr>
        <w:t>二、授权委托书（适用于有委托代理人的情况）</w:t>
      </w:r>
    </w:p>
    <w:p>
      <w:pPr>
        <w:spacing w:line="540" w:lineRule="exact"/>
        <w:ind w:left="424" w:leftChars="202"/>
        <w:rPr>
          <w:rFonts w:ascii="宋体" w:hAnsi="宋体" w:cs="宋体"/>
        </w:rPr>
      </w:pPr>
      <w:r>
        <w:rPr>
          <w:rFonts w:hint="eastAsia" w:ascii="宋体" w:hAnsi="宋体" w:cs="宋体"/>
        </w:rPr>
        <w:t>三、投标保证金</w:t>
      </w:r>
    </w:p>
    <w:p>
      <w:pPr>
        <w:spacing w:line="540" w:lineRule="exact"/>
        <w:ind w:left="424" w:leftChars="202"/>
        <w:rPr>
          <w:rFonts w:ascii="宋体"/>
        </w:rPr>
      </w:pPr>
      <w:r>
        <w:rPr>
          <w:rFonts w:hint="eastAsia" w:ascii="宋体" w:hAnsi="宋体" w:cs="宋体"/>
        </w:rPr>
        <w:t>四、已标价工点清单</w:t>
      </w:r>
    </w:p>
    <w:p>
      <w:pPr>
        <w:spacing w:line="540" w:lineRule="exact"/>
        <w:ind w:left="424" w:leftChars="202"/>
        <w:rPr>
          <w:rFonts w:ascii="宋体"/>
        </w:rPr>
      </w:pPr>
      <w:r>
        <w:rPr>
          <w:rFonts w:hint="eastAsia" w:ascii="宋体" w:hAnsi="宋体" w:cs="宋体"/>
        </w:rPr>
        <w:t>五、资格审查资料</w:t>
      </w:r>
    </w:p>
    <w:p>
      <w:pPr>
        <w:spacing w:line="540" w:lineRule="exact"/>
        <w:ind w:left="424" w:leftChars="202"/>
        <w:rPr>
          <w:rFonts w:ascii="宋体" w:hAnsi="宋体" w:cs="宋体"/>
        </w:rPr>
      </w:pPr>
      <w:r>
        <w:rPr>
          <w:rFonts w:hint="eastAsia" w:ascii="宋体" w:hAnsi="宋体" w:cs="宋体"/>
        </w:rPr>
        <w:t>六、</w:t>
      </w:r>
      <w:r>
        <w:rPr>
          <w:rFonts w:ascii="宋体" w:hAnsi="宋体" w:cs="宋体"/>
        </w:rPr>
        <w:t>承包人</w:t>
      </w:r>
      <w:r>
        <w:rPr>
          <w:rFonts w:hint="eastAsia" w:ascii="宋体" w:hAnsi="宋体" w:cs="宋体"/>
        </w:rPr>
        <w:t>实施方案</w:t>
      </w:r>
    </w:p>
    <w:p>
      <w:pPr>
        <w:spacing w:line="540" w:lineRule="exact"/>
        <w:ind w:left="424" w:leftChars="202"/>
        <w:rPr>
          <w:rFonts w:ascii="宋体"/>
        </w:rPr>
      </w:pPr>
      <w:r>
        <w:rPr>
          <w:rFonts w:hint="eastAsia" w:ascii="宋体" w:hAnsi="宋体" w:cs="宋体"/>
        </w:rPr>
        <w:t>七、项目管理方案</w:t>
      </w:r>
    </w:p>
    <w:p>
      <w:pPr>
        <w:spacing w:line="540" w:lineRule="exact"/>
        <w:ind w:left="424" w:leftChars="202"/>
        <w:rPr>
          <w:rFonts w:ascii="宋体"/>
        </w:rPr>
      </w:pPr>
      <w:r>
        <w:rPr>
          <w:rFonts w:hint="eastAsia" w:ascii="宋体" w:hAnsi="宋体" w:cs="宋体"/>
        </w:rPr>
        <w:t>八、其他资料</w:t>
      </w:r>
    </w:p>
    <w:p>
      <w:pPr>
        <w:spacing w:line="540" w:lineRule="exact"/>
        <w:ind w:left="424" w:leftChars="202"/>
        <w:rPr>
          <w:rFonts w:ascii="宋体"/>
        </w:rPr>
      </w:pPr>
    </w:p>
    <w:p>
      <w:pPr>
        <w:spacing w:line="540" w:lineRule="exact"/>
        <w:ind w:left="424" w:leftChars="202"/>
        <w:rPr>
          <w:rFonts w:ascii="宋体"/>
        </w:rPr>
      </w:pPr>
    </w:p>
    <w:p>
      <w:pPr>
        <w:rPr>
          <w:rFonts w:ascii="宋体"/>
        </w:rPr>
      </w:pPr>
    </w:p>
    <w:p>
      <w:pPr>
        <w:rPr>
          <w:rFonts w:ascii="宋体"/>
        </w:rPr>
      </w:pPr>
    </w:p>
    <w:p>
      <w:pPr>
        <w:widowControl/>
        <w:jc w:val="center"/>
        <w:rPr>
          <w:rFonts w:ascii="宋体"/>
          <w:sz w:val="36"/>
          <w:szCs w:val="36"/>
        </w:rPr>
      </w:pPr>
      <w:r>
        <w:rPr>
          <w:rFonts w:ascii="宋体"/>
        </w:rPr>
        <w:br w:type="page"/>
      </w:r>
      <w:bookmarkStart w:id="361" w:name="_Toc6902714"/>
      <w:bookmarkStart w:id="362" w:name="_Toc152042577"/>
      <w:bookmarkStart w:id="363" w:name="_Toc384308376"/>
      <w:bookmarkStart w:id="364" w:name="_Toc300835210"/>
      <w:bookmarkStart w:id="365" w:name="_Toc247514247"/>
      <w:bookmarkStart w:id="366" w:name="_Toc390409685"/>
      <w:bookmarkStart w:id="367" w:name="_Toc144974857"/>
      <w:bookmarkStart w:id="368" w:name="_Toc247527828"/>
      <w:bookmarkStart w:id="369" w:name="_Toc152045788"/>
      <w:bookmarkStart w:id="370" w:name="_Toc361508753"/>
      <w:r>
        <w:rPr>
          <w:rFonts w:hint="eastAsia" w:ascii="宋体" w:hAnsi="宋体" w:cs="宋体"/>
          <w:sz w:val="36"/>
          <w:szCs w:val="36"/>
        </w:rPr>
        <w:t>一、投标函及投标函附录</w:t>
      </w:r>
      <w:bookmarkEnd w:id="361"/>
      <w:bookmarkEnd w:id="362"/>
      <w:bookmarkEnd w:id="363"/>
      <w:bookmarkEnd w:id="364"/>
      <w:bookmarkEnd w:id="365"/>
      <w:bookmarkEnd w:id="366"/>
      <w:bookmarkEnd w:id="367"/>
      <w:bookmarkEnd w:id="368"/>
      <w:bookmarkEnd w:id="369"/>
      <w:bookmarkEnd w:id="370"/>
    </w:p>
    <w:p>
      <w:pPr>
        <w:jc w:val="center"/>
        <w:outlineLvl w:val="2"/>
        <w:rPr>
          <w:rFonts w:ascii="宋体"/>
          <w:b/>
          <w:bCs/>
          <w:sz w:val="32"/>
          <w:szCs w:val="32"/>
        </w:rPr>
      </w:pPr>
      <w:bookmarkStart w:id="371" w:name="_Toc42001875"/>
      <w:bookmarkStart w:id="372" w:name="_Toc84265686"/>
      <w:bookmarkStart w:id="373" w:name="_Toc361508754"/>
      <w:bookmarkStart w:id="374" w:name="_Toc384308377"/>
      <w:bookmarkStart w:id="375" w:name="_Toc390409686"/>
      <w:r>
        <w:rPr>
          <w:rFonts w:hint="eastAsia" w:ascii="宋体" w:hAnsi="宋体" w:cs="宋体"/>
          <w:b/>
          <w:bCs/>
          <w:sz w:val="32"/>
          <w:szCs w:val="32"/>
        </w:rPr>
        <w:t>（一）投标函</w:t>
      </w:r>
      <w:bookmarkEnd w:id="371"/>
      <w:bookmarkEnd w:id="372"/>
    </w:p>
    <w:p>
      <w:pPr>
        <w:adjustRightInd w:val="0"/>
        <w:snapToGrid w:val="0"/>
        <w:spacing w:line="360" w:lineRule="exact"/>
        <w:jc w:val="left"/>
        <w:rPr>
          <w:rFonts w:ascii="宋体"/>
          <w:snapToGrid w:val="0"/>
          <w:kern w:val="0"/>
          <w:sz w:val="24"/>
          <w:szCs w:val="24"/>
        </w:rPr>
      </w:pPr>
      <w:r>
        <w:rPr>
          <w:rFonts w:hint="eastAsia" w:ascii="宋体" w:hAnsi="宋体" w:cs="宋体"/>
          <w:snapToGrid w:val="0"/>
          <w:kern w:val="0"/>
          <w:sz w:val="24"/>
          <w:szCs w:val="24"/>
          <w:u w:val="single"/>
        </w:rPr>
        <w:t>天津市滨海新区城投建设发展有限公司</w:t>
      </w:r>
      <w:r>
        <w:rPr>
          <w:rFonts w:hint="eastAsia" w:ascii="宋体" w:hAnsi="宋体" w:cs="宋体"/>
          <w:snapToGrid w:val="0"/>
          <w:kern w:val="0"/>
          <w:sz w:val="24"/>
          <w:szCs w:val="24"/>
        </w:rPr>
        <w:t>：</w:t>
      </w:r>
    </w:p>
    <w:p>
      <w:pPr>
        <w:spacing w:line="360" w:lineRule="exact"/>
        <w:ind w:firstLine="480" w:firstLineChars="200"/>
        <w:rPr>
          <w:rFonts w:ascii="宋体" w:hAnsi="宋体" w:cs="宋体"/>
          <w:sz w:val="24"/>
          <w:szCs w:val="24"/>
        </w:rPr>
      </w:pPr>
      <w:r>
        <w:rPr>
          <w:rFonts w:ascii="宋体" w:hAnsi="宋体" w:cs="宋体"/>
          <w:snapToGrid w:val="0"/>
          <w:kern w:val="0"/>
          <w:sz w:val="24"/>
          <w:szCs w:val="24"/>
        </w:rPr>
        <w:t xml:space="preserve"> </w:t>
      </w:r>
      <w:r>
        <w:rPr>
          <w:rFonts w:ascii="宋体" w:hAnsi="宋体" w:cs="宋体"/>
          <w:sz w:val="24"/>
          <w:szCs w:val="24"/>
        </w:rPr>
        <w:t>1</w:t>
      </w:r>
      <w:r>
        <w:rPr>
          <w:rFonts w:hint="eastAsia" w:ascii="宋体" w:hAnsi="宋体" w:cs="宋体"/>
          <w:sz w:val="24"/>
          <w:szCs w:val="24"/>
        </w:rPr>
        <w:t>．我方已仔细研究了</w:t>
      </w:r>
      <w:r>
        <w:rPr>
          <w:rFonts w:hint="eastAsia" w:ascii="宋体" w:hAnsi="宋体" w:cs="宋体"/>
          <w:sz w:val="24"/>
          <w:szCs w:val="24"/>
          <w:u w:val="single"/>
        </w:rPr>
        <w:t>新建天津至潍坊高速铁路滨海段“三电”及地下管线迁改工程设计施工总承包(EPC)（EPC）</w:t>
      </w:r>
      <w:r>
        <w:rPr>
          <w:rFonts w:hint="eastAsia" w:ascii="宋体" w:hAnsi="宋体" w:cs="宋体"/>
          <w:sz w:val="24"/>
          <w:szCs w:val="24"/>
        </w:rPr>
        <w:t>（项目名称）招标文件的全部内容，</w:t>
      </w:r>
    </w:p>
    <w:p>
      <w:pPr>
        <w:spacing w:line="360" w:lineRule="exact"/>
        <w:ind w:firstLine="480" w:firstLineChars="200"/>
        <w:rPr>
          <w:rFonts w:ascii="宋体"/>
          <w:sz w:val="24"/>
          <w:szCs w:val="24"/>
        </w:rPr>
      </w:pPr>
      <w:r>
        <w:rPr>
          <w:rFonts w:hint="eastAsia" w:ascii="宋体" w:hAnsi="宋体" w:cs="宋体"/>
          <w:sz w:val="24"/>
          <w:szCs w:val="24"/>
        </w:rPr>
        <w:t>愿意以含税人民币（大写）</w:t>
      </w:r>
      <w:r>
        <w:rPr>
          <w:rFonts w:ascii="宋体" w:hAnsi="宋体" w:cs="宋体"/>
          <w:sz w:val="24"/>
          <w:szCs w:val="24"/>
          <w:u w:val="single"/>
        </w:rPr>
        <w:t xml:space="preserve">                       </w:t>
      </w:r>
      <w:r>
        <w:rPr>
          <w:rFonts w:hint="eastAsia" w:ascii="宋体" w:hAnsi="宋体" w:cs="宋体"/>
          <w:sz w:val="24"/>
          <w:szCs w:val="24"/>
        </w:rPr>
        <w:t>（</w:t>
      </w:r>
      <w:r>
        <w:rPr>
          <w:rFonts w:hint="eastAsia" w:ascii="宋体" w:cs="宋体"/>
          <w:sz w:val="24"/>
          <w:szCs w:val="24"/>
        </w:rPr>
        <w:t>￥</w:t>
      </w:r>
      <w:r>
        <w:rPr>
          <w:rFonts w:ascii="宋体" w:hAnsi="宋体" w:cs="宋体"/>
          <w:sz w:val="24"/>
          <w:szCs w:val="24"/>
          <w:u w:val="single"/>
        </w:rPr>
        <w:t xml:space="preserve">              </w:t>
      </w:r>
      <w:r>
        <w:rPr>
          <w:rFonts w:hint="eastAsia" w:ascii="宋体" w:hAnsi="宋体" w:cs="宋体"/>
          <w:sz w:val="24"/>
          <w:szCs w:val="24"/>
        </w:rPr>
        <w:t>）的投标总报价，工期：</w:t>
      </w:r>
      <w:r>
        <w:rPr>
          <w:rFonts w:ascii="宋体" w:hAnsi="宋体" w:cs="宋体"/>
          <w:sz w:val="24"/>
          <w:szCs w:val="24"/>
          <w:u w:val="single"/>
        </w:rPr>
        <w:t xml:space="preserve">      </w:t>
      </w:r>
      <w:r>
        <w:rPr>
          <w:rFonts w:hint="eastAsia" w:ascii="宋体" w:hAnsi="宋体" w:cs="宋体"/>
          <w:sz w:val="24"/>
          <w:szCs w:val="24"/>
        </w:rPr>
        <w:t>，按合同约定进行设计、实施和竣工承包工程，修补工程中的任何缺陷，实现工程目的。</w:t>
      </w:r>
    </w:p>
    <w:p>
      <w:pPr>
        <w:adjustRightInd w:val="0"/>
        <w:snapToGrid w:val="0"/>
        <w:spacing w:line="360" w:lineRule="exact"/>
        <w:ind w:firstLine="480" w:firstLineChars="200"/>
        <w:jc w:val="left"/>
        <w:rPr>
          <w:rFonts w:ascii="宋体"/>
          <w:snapToGrid w:val="0"/>
          <w:kern w:val="0"/>
          <w:sz w:val="24"/>
          <w:szCs w:val="24"/>
        </w:rPr>
      </w:pPr>
      <w:r>
        <w:rPr>
          <w:rFonts w:ascii="宋体" w:hAnsi="宋体" w:cs="宋体"/>
          <w:snapToGrid w:val="0"/>
          <w:kern w:val="0"/>
          <w:sz w:val="24"/>
          <w:szCs w:val="24"/>
        </w:rPr>
        <w:t>2</w:t>
      </w:r>
      <w:r>
        <w:rPr>
          <w:rFonts w:hint="eastAsia" w:ascii="宋体" w:hAnsi="宋体" w:cs="宋体"/>
          <w:snapToGrid w:val="0"/>
          <w:kern w:val="0"/>
          <w:sz w:val="24"/>
          <w:szCs w:val="24"/>
        </w:rPr>
        <w:t>．我方的投标文件包括下列内容：</w:t>
      </w:r>
    </w:p>
    <w:p>
      <w:pPr>
        <w:adjustRightInd w:val="0"/>
        <w:snapToGrid w:val="0"/>
        <w:spacing w:line="36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）投标函及投标函附录</w:t>
      </w:r>
    </w:p>
    <w:p>
      <w:pPr>
        <w:adjustRightInd w:val="0"/>
        <w:snapToGrid w:val="0"/>
        <w:spacing w:line="360" w:lineRule="exact"/>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）法定代表人身份证明或授权委托书；</w:t>
      </w:r>
    </w:p>
    <w:p>
      <w:pPr>
        <w:adjustRightInd w:val="0"/>
        <w:snapToGrid w:val="0"/>
        <w:spacing w:line="360" w:lineRule="exact"/>
        <w:ind w:firstLine="480" w:firstLineChars="200"/>
        <w:rPr>
          <w:rFonts w:ascii="宋体"/>
          <w:sz w:val="24"/>
          <w:szCs w:val="24"/>
        </w:rPr>
      </w:pPr>
      <w:r>
        <w:rPr>
          <w:rFonts w:hint="eastAsia" w:ascii="宋体" w:hAnsi="宋体" w:cs="宋体"/>
          <w:sz w:val="24"/>
          <w:szCs w:val="24"/>
        </w:rPr>
        <w:t>（3）投标保证金；</w:t>
      </w:r>
    </w:p>
    <w:p>
      <w:pPr>
        <w:adjustRightInd w:val="0"/>
        <w:snapToGrid w:val="0"/>
        <w:spacing w:line="360" w:lineRule="exact"/>
        <w:ind w:firstLine="480" w:firstLineChars="200"/>
        <w:rPr>
          <w:rFonts w:ascii="宋体"/>
          <w:sz w:val="24"/>
          <w:szCs w:val="24"/>
        </w:rPr>
      </w:pPr>
      <w:r>
        <w:rPr>
          <w:rFonts w:hint="eastAsia" w:ascii="宋体" w:hAnsi="宋体" w:cs="宋体"/>
          <w:sz w:val="24"/>
          <w:szCs w:val="24"/>
        </w:rPr>
        <w:t>（4）已标价工点清单；</w:t>
      </w:r>
    </w:p>
    <w:p>
      <w:pPr>
        <w:adjustRightInd w:val="0"/>
        <w:snapToGrid w:val="0"/>
        <w:spacing w:line="360" w:lineRule="exact"/>
        <w:ind w:firstLine="480" w:firstLineChars="200"/>
        <w:rPr>
          <w:rFonts w:ascii="宋体"/>
          <w:sz w:val="24"/>
          <w:szCs w:val="24"/>
        </w:rPr>
      </w:pPr>
      <w:r>
        <w:rPr>
          <w:rFonts w:hint="eastAsia" w:ascii="宋体" w:hAnsi="宋体" w:cs="宋体"/>
          <w:sz w:val="24"/>
          <w:szCs w:val="24"/>
        </w:rPr>
        <w:t>（5）资格审查资料；</w:t>
      </w:r>
    </w:p>
    <w:p>
      <w:pPr>
        <w:adjustRightInd w:val="0"/>
        <w:snapToGrid w:val="0"/>
        <w:spacing w:line="360" w:lineRule="exact"/>
        <w:ind w:firstLine="480" w:firstLineChars="200"/>
        <w:rPr>
          <w:rFonts w:ascii="宋体"/>
          <w:sz w:val="24"/>
          <w:szCs w:val="24"/>
        </w:rPr>
      </w:pPr>
      <w:r>
        <w:rPr>
          <w:rFonts w:hint="eastAsia" w:ascii="宋体" w:hAnsi="宋体" w:cs="宋体"/>
          <w:sz w:val="24"/>
          <w:szCs w:val="24"/>
        </w:rPr>
        <w:t>（6）</w:t>
      </w:r>
      <w:r>
        <w:rPr>
          <w:rFonts w:ascii="宋体" w:hAnsi="宋体" w:cs="宋体"/>
          <w:sz w:val="24"/>
          <w:szCs w:val="24"/>
        </w:rPr>
        <w:t>承包人</w:t>
      </w:r>
      <w:r>
        <w:rPr>
          <w:rFonts w:hint="eastAsia" w:ascii="宋体" w:hAnsi="宋体" w:cs="宋体"/>
          <w:sz w:val="24"/>
          <w:szCs w:val="24"/>
        </w:rPr>
        <w:t>实施方案；</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（7）项目管理方案；</w:t>
      </w:r>
    </w:p>
    <w:p>
      <w:pPr>
        <w:adjustRightInd w:val="0"/>
        <w:snapToGrid w:val="0"/>
        <w:spacing w:line="360" w:lineRule="exact"/>
        <w:ind w:firstLine="480" w:firstLineChars="200"/>
        <w:rPr>
          <w:rFonts w:ascii="宋体"/>
          <w:sz w:val="24"/>
          <w:szCs w:val="24"/>
        </w:rPr>
      </w:pPr>
      <w:r>
        <w:rPr>
          <w:rFonts w:hint="eastAsia" w:ascii="宋体" w:hAnsi="宋体" w:cs="宋体"/>
          <w:sz w:val="24"/>
          <w:szCs w:val="24"/>
        </w:rPr>
        <w:t>（8）其他资料；</w:t>
      </w:r>
    </w:p>
    <w:p>
      <w:pPr>
        <w:adjustRightInd w:val="0"/>
        <w:snapToGrid w:val="0"/>
        <w:spacing w:line="360" w:lineRule="exact"/>
        <w:ind w:firstLine="480" w:firstLineChars="200"/>
        <w:jc w:val="left"/>
        <w:rPr>
          <w:rFonts w:ascii="宋体"/>
          <w:snapToGrid w:val="0"/>
          <w:kern w:val="0"/>
          <w:sz w:val="24"/>
          <w:szCs w:val="24"/>
        </w:rPr>
      </w:pPr>
      <w:r>
        <w:rPr>
          <w:rFonts w:hint="eastAsia" w:ascii="宋体" w:hAnsi="宋体" w:cs="宋体"/>
          <w:snapToGrid w:val="0"/>
          <w:kern w:val="0"/>
          <w:sz w:val="24"/>
          <w:szCs w:val="24"/>
        </w:rPr>
        <w:t>投标文件的上述组成部分如存在内容不一致的，以投标函为准。</w:t>
      </w:r>
      <w:r>
        <w:rPr>
          <w:rFonts w:ascii="宋体" w:hAnsi="宋体" w:cs="宋体"/>
          <w:snapToGrid w:val="0"/>
          <w:kern w:val="0"/>
          <w:sz w:val="24"/>
          <w:szCs w:val="24"/>
        </w:rPr>
        <w:t xml:space="preserve"> </w:t>
      </w:r>
    </w:p>
    <w:p>
      <w:pPr>
        <w:adjustRightInd w:val="0"/>
        <w:snapToGrid w:val="0"/>
        <w:spacing w:line="360" w:lineRule="exact"/>
        <w:ind w:firstLine="480" w:firstLineChars="200"/>
        <w:jc w:val="left"/>
        <w:rPr>
          <w:rFonts w:ascii="宋体"/>
          <w:snapToGrid w:val="0"/>
          <w:kern w:val="0"/>
          <w:sz w:val="24"/>
          <w:szCs w:val="24"/>
        </w:rPr>
      </w:pPr>
      <w:r>
        <w:rPr>
          <w:rFonts w:ascii="宋体" w:hAnsi="宋体" w:cs="宋体"/>
          <w:snapToGrid w:val="0"/>
          <w:kern w:val="0"/>
          <w:sz w:val="24"/>
          <w:szCs w:val="24"/>
        </w:rPr>
        <w:t>3</w:t>
      </w:r>
      <w:r>
        <w:rPr>
          <w:rFonts w:hint="eastAsia" w:ascii="宋体" w:hAnsi="宋体" w:cs="宋体"/>
          <w:snapToGrid w:val="0"/>
          <w:kern w:val="0"/>
          <w:sz w:val="24"/>
          <w:szCs w:val="24"/>
        </w:rPr>
        <w:t>．我方承诺在招标文件规定的投标有效期内不撤销投标文件。</w:t>
      </w:r>
    </w:p>
    <w:p>
      <w:pPr>
        <w:adjustRightInd w:val="0"/>
        <w:snapToGrid w:val="0"/>
        <w:spacing w:line="360" w:lineRule="exact"/>
        <w:ind w:firstLine="480" w:firstLineChars="200"/>
        <w:jc w:val="left"/>
        <w:rPr>
          <w:rFonts w:ascii="宋体"/>
          <w:snapToGrid w:val="0"/>
          <w:kern w:val="0"/>
          <w:sz w:val="24"/>
          <w:szCs w:val="24"/>
        </w:rPr>
      </w:pPr>
      <w:r>
        <w:rPr>
          <w:rFonts w:ascii="宋体" w:hAnsi="宋体" w:cs="宋体"/>
          <w:snapToGrid w:val="0"/>
          <w:kern w:val="0"/>
          <w:sz w:val="24"/>
          <w:szCs w:val="24"/>
        </w:rPr>
        <w:t>4</w:t>
      </w:r>
      <w:r>
        <w:rPr>
          <w:rFonts w:hint="eastAsia" w:ascii="宋体" w:hAnsi="宋体" w:cs="宋体"/>
          <w:snapToGrid w:val="0"/>
          <w:kern w:val="0"/>
          <w:sz w:val="24"/>
          <w:szCs w:val="24"/>
        </w:rPr>
        <w:t>．如我方中标，我方承诺：</w:t>
      </w:r>
    </w:p>
    <w:p>
      <w:pPr>
        <w:adjustRightInd w:val="0"/>
        <w:snapToGrid w:val="0"/>
        <w:spacing w:line="360" w:lineRule="exact"/>
        <w:ind w:firstLine="480" w:firstLineChars="200"/>
        <w:jc w:val="left"/>
        <w:rPr>
          <w:rFonts w:ascii="宋体"/>
          <w:snapToGrid w:val="0"/>
          <w:kern w:val="0"/>
          <w:sz w:val="24"/>
          <w:szCs w:val="24"/>
        </w:rPr>
      </w:pPr>
      <w:r>
        <w:rPr>
          <w:rFonts w:hint="eastAsia" w:ascii="宋体" w:hAnsi="宋体" w:cs="宋体"/>
          <w:snapToGrid w:val="0"/>
          <w:kern w:val="0"/>
          <w:sz w:val="24"/>
          <w:szCs w:val="24"/>
        </w:rPr>
        <w:t>（</w:t>
      </w:r>
      <w:r>
        <w:rPr>
          <w:rFonts w:ascii="宋体" w:hAnsi="宋体" w:cs="宋体"/>
          <w:snapToGrid w:val="0"/>
          <w:kern w:val="0"/>
          <w:sz w:val="24"/>
          <w:szCs w:val="24"/>
        </w:rPr>
        <w:t>1</w:t>
      </w:r>
      <w:r>
        <w:rPr>
          <w:rFonts w:hint="eastAsia" w:ascii="宋体" w:hAnsi="宋体" w:cs="宋体"/>
          <w:snapToGrid w:val="0"/>
          <w:kern w:val="0"/>
          <w:sz w:val="24"/>
          <w:szCs w:val="24"/>
        </w:rPr>
        <w:t>）在收到中标通知书后，在中标通知书规定的期限内与你方签订合同；</w:t>
      </w:r>
    </w:p>
    <w:p>
      <w:pPr>
        <w:adjustRightInd w:val="0"/>
        <w:snapToGrid w:val="0"/>
        <w:spacing w:line="360" w:lineRule="exact"/>
        <w:ind w:firstLine="480" w:firstLineChars="200"/>
        <w:jc w:val="left"/>
        <w:rPr>
          <w:rFonts w:ascii="宋体"/>
          <w:snapToGrid w:val="0"/>
          <w:kern w:val="0"/>
          <w:sz w:val="24"/>
          <w:szCs w:val="24"/>
        </w:rPr>
      </w:pPr>
      <w:r>
        <w:rPr>
          <w:rFonts w:hint="eastAsia" w:ascii="宋体" w:hAnsi="宋体" w:cs="宋体"/>
          <w:snapToGrid w:val="0"/>
          <w:kern w:val="0"/>
          <w:sz w:val="24"/>
          <w:szCs w:val="24"/>
        </w:rPr>
        <w:t>（</w:t>
      </w:r>
      <w:r>
        <w:rPr>
          <w:rFonts w:ascii="宋体" w:hAnsi="宋体" w:cs="宋体"/>
          <w:snapToGrid w:val="0"/>
          <w:kern w:val="0"/>
          <w:sz w:val="24"/>
          <w:szCs w:val="24"/>
        </w:rPr>
        <w:t>2</w:t>
      </w:r>
      <w:r>
        <w:rPr>
          <w:rFonts w:hint="eastAsia" w:ascii="宋体" w:hAnsi="宋体" w:cs="宋体"/>
          <w:snapToGrid w:val="0"/>
          <w:kern w:val="0"/>
          <w:sz w:val="24"/>
          <w:szCs w:val="24"/>
        </w:rPr>
        <w:t>）在签订合同时不向你方提出附加条件；</w:t>
      </w:r>
    </w:p>
    <w:p>
      <w:pPr>
        <w:adjustRightInd w:val="0"/>
        <w:snapToGrid w:val="0"/>
        <w:spacing w:line="360" w:lineRule="exact"/>
        <w:ind w:firstLine="480" w:firstLineChars="200"/>
        <w:jc w:val="left"/>
        <w:rPr>
          <w:rFonts w:ascii="宋体"/>
          <w:snapToGrid w:val="0"/>
          <w:kern w:val="0"/>
          <w:sz w:val="24"/>
          <w:szCs w:val="24"/>
        </w:rPr>
      </w:pPr>
      <w:r>
        <w:rPr>
          <w:rFonts w:hint="eastAsia" w:ascii="宋体" w:hAnsi="宋体" w:cs="宋体"/>
          <w:snapToGrid w:val="0"/>
          <w:kern w:val="0"/>
          <w:sz w:val="24"/>
          <w:szCs w:val="24"/>
        </w:rPr>
        <w:t>（</w:t>
      </w:r>
      <w:r>
        <w:rPr>
          <w:rFonts w:ascii="宋体" w:hAnsi="宋体" w:cs="宋体"/>
          <w:snapToGrid w:val="0"/>
          <w:kern w:val="0"/>
          <w:sz w:val="24"/>
          <w:szCs w:val="24"/>
        </w:rPr>
        <w:t>3</w:t>
      </w:r>
      <w:r>
        <w:rPr>
          <w:rFonts w:hint="eastAsia" w:ascii="宋体" w:hAnsi="宋体" w:cs="宋体"/>
          <w:snapToGrid w:val="0"/>
          <w:kern w:val="0"/>
          <w:sz w:val="24"/>
          <w:szCs w:val="24"/>
        </w:rPr>
        <w:t>）按照招标文件要求提交履约保证金；</w:t>
      </w:r>
    </w:p>
    <w:p>
      <w:pPr>
        <w:adjustRightInd w:val="0"/>
        <w:snapToGrid w:val="0"/>
        <w:spacing w:line="360" w:lineRule="exact"/>
        <w:ind w:firstLine="480" w:firstLineChars="200"/>
        <w:jc w:val="left"/>
        <w:rPr>
          <w:rFonts w:ascii="宋体"/>
          <w:snapToGrid w:val="0"/>
          <w:kern w:val="0"/>
          <w:sz w:val="24"/>
          <w:szCs w:val="24"/>
        </w:rPr>
      </w:pPr>
      <w:r>
        <w:rPr>
          <w:rFonts w:hint="eastAsia" w:ascii="宋体" w:hAnsi="宋体" w:cs="宋体"/>
          <w:snapToGrid w:val="0"/>
          <w:kern w:val="0"/>
          <w:sz w:val="24"/>
          <w:szCs w:val="24"/>
        </w:rPr>
        <w:t>（</w:t>
      </w:r>
      <w:r>
        <w:rPr>
          <w:rFonts w:ascii="宋体" w:hAnsi="宋体" w:cs="宋体"/>
          <w:snapToGrid w:val="0"/>
          <w:kern w:val="0"/>
          <w:sz w:val="24"/>
          <w:szCs w:val="24"/>
        </w:rPr>
        <w:t>4</w:t>
      </w:r>
      <w:r>
        <w:rPr>
          <w:rFonts w:hint="eastAsia" w:ascii="宋体" w:hAnsi="宋体" w:cs="宋体"/>
          <w:snapToGrid w:val="0"/>
          <w:kern w:val="0"/>
          <w:sz w:val="24"/>
          <w:szCs w:val="24"/>
        </w:rPr>
        <w:t>）我方承诺在合同约定的期限内完成并移交全部合同工程。</w:t>
      </w:r>
    </w:p>
    <w:p>
      <w:pPr>
        <w:adjustRightInd w:val="0"/>
        <w:snapToGrid w:val="0"/>
        <w:spacing w:line="360" w:lineRule="exact"/>
        <w:ind w:firstLine="480" w:firstLineChars="200"/>
        <w:jc w:val="left"/>
        <w:rPr>
          <w:rFonts w:ascii="宋体"/>
          <w:snapToGrid w:val="0"/>
          <w:kern w:val="0"/>
          <w:sz w:val="24"/>
          <w:szCs w:val="24"/>
        </w:rPr>
      </w:pPr>
      <w:r>
        <w:rPr>
          <w:rFonts w:ascii="宋体" w:hAnsi="宋体" w:cs="宋体"/>
          <w:snapToGrid w:val="0"/>
          <w:kern w:val="0"/>
          <w:sz w:val="24"/>
          <w:szCs w:val="24"/>
        </w:rPr>
        <w:t>5</w:t>
      </w:r>
      <w:r>
        <w:rPr>
          <w:rFonts w:hint="eastAsia" w:ascii="宋体" w:hAnsi="宋体" w:cs="宋体"/>
          <w:snapToGrid w:val="0"/>
          <w:kern w:val="0"/>
          <w:sz w:val="24"/>
          <w:szCs w:val="24"/>
        </w:rPr>
        <w:t>．我方在此声明，所递交的投标文件及有关资料内容完整、真实和准确，且不存在第二章“投标人须知”第</w:t>
      </w:r>
      <w:r>
        <w:rPr>
          <w:rFonts w:ascii="宋体" w:hAnsi="宋体" w:cs="宋体"/>
          <w:snapToGrid w:val="0"/>
          <w:kern w:val="0"/>
          <w:sz w:val="24"/>
          <w:szCs w:val="24"/>
        </w:rPr>
        <w:t>1.4.3</w:t>
      </w:r>
      <w:r>
        <w:rPr>
          <w:rFonts w:hint="eastAsia" w:ascii="宋体" w:hAnsi="宋体" w:cs="宋体"/>
          <w:snapToGrid w:val="0"/>
          <w:kern w:val="0"/>
          <w:sz w:val="24"/>
          <w:szCs w:val="24"/>
        </w:rPr>
        <w:t>项规定的任何一种情形。</w:t>
      </w:r>
    </w:p>
    <w:p>
      <w:pPr>
        <w:adjustRightInd w:val="0"/>
        <w:snapToGrid w:val="0"/>
        <w:spacing w:line="360" w:lineRule="exact"/>
        <w:ind w:firstLine="480" w:firstLineChars="200"/>
        <w:jc w:val="left"/>
        <w:rPr>
          <w:rFonts w:ascii="宋体"/>
          <w:snapToGrid w:val="0"/>
          <w:kern w:val="0"/>
          <w:sz w:val="24"/>
          <w:szCs w:val="24"/>
          <w:u w:val="single"/>
        </w:rPr>
      </w:pPr>
    </w:p>
    <w:p>
      <w:pPr>
        <w:adjustRightInd w:val="0"/>
        <w:snapToGrid w:val="0"/>
        <w:spacing w:line="360" w:lineRule="exact"/>
        <w:ind w:firstLine="3840" w:firstLineChars="1600"/>
        <w:jc w:val="left"/>
        <w:rPr>
          <w:rFonts w:ascii="宋体"/>
          <w:snapToGrid w:val="0"/>
          <w:kern w:val="0"/>
          <w:sz w:val="24"/>
          <w:szCs w:val="24"/>
        </w:rPr>
      </w:pPr>
      <w:r>
        <w:rPr>
          <w:rFonts w:hint="eastAsia" w:ascii="宋体" w:hAnsi="宋体" w:cs="宋体"/>
          <w:snapToGrid w:val="0"/>
          <w:kern w:val="0"/>
          <w:sz w:val="24"/>
          <w:szCs w:val="24"/>
        </w:rPr>
        <w:t>投标人：</w:t>
      </w:r>
      <w:r>
        <w:rPr>
          <w:rFonts w:ascii="宋体" w:hAnsi="宋体" w:cs="宋体"/>
          <w:snapToGrid w:val="0"/>
          <w:kern w:val="0"/>
          <w:sz w:val="24"/>
          <w:szCs w:val="24"/>
          <w:u w:val="single"/>
        </w:rPr>
        <w:t xml:space="preserve">                    </w:t>
      </w:r>
      <w:r>
        <w:rPr>
          <w:rFonts w:hint="eastAsia" w:ascii="宋体" w:hAnsi="宋体" w:cs="宋体"/>
          <w:snapToGrid w:val="0"/>
          <w:kern w:val="0"/>
          <w:sz w:val="24"/>
          <w:szCs w:val="24"/>
          <w:u w:val="single"/>
        </w:rPr>
        <w:t>（盖单位章）</w:t>
      </w:r>
    </w:p>
    <w:p>
      <w:pPr>
        <w:adjustRightInd w:val="0"/>
        <w:snapToGrid w:val="0"/>
        <w:spacing w:line="360" w:lineRule="exact"/>
        <w:ind w:firstLine="3840" w:firstLineChars="1600"/>
        <w:jc w:val="left"/>
        <w:rPr>
          <w:rFonts w:ascii="宋体"/>
          <w:snapToGrid w:val="0"/>
          <w:kern w:val="0"/>
          <w:sz w:val="24"/>
          <w:szCs w:val="24"/>
        </w:rPr>
      </w:pPr>
      <w:r>
        <w:rPr>
          <w:rFonts w:hint="eastAsia" w:ascii="宋体" w:hAnsi="宋体" w:cs="宋体"/>
          <w:snapToGrid w:val="0"/>
          <w:kern w:val="0"/>
          <w:sz w:val="24"/>
          <w:szCs w:val="24"/>
        </w:rPr>
        <w:t>法定代表人或其委托代理人：</w:t>
      </w:r>
      <w:r>
        <w:rPr>
          <w:rFonts w:ascii="宋体" w:hAnsi="宋体" w:cs="宋体"/>
          <w:snapToGrid w:val="0"/>
          <w:kern w:val="0"/>
          <w:sz w:val="24"/>
          <w:szCs w:val="24"/>
          <w:u w:val="single"/>
        </w:rPr>
        <w:t xml:space="preserve">      </w:t>
      </w:r>
      <w:r>
        <w:rPr>
          <w:rFonts w:hint="eastAsia" w:ascii="宋体" w:hAnsi="宋体" w:cs="宋体"/>
          <w:snapToGrid w:val="0"/>
          <w:kern w:val="0"/>
          <w:sz w:val="24"/>
          <w:szCs w:val="24"/>
          <w:u w:val="single"/>
        </w:rPr>
        <w:t>（签字）</w:t>
      </w:r>
    </w:p>
    <w:p>
      <w:pPr>
        <w:adjustRightInd w:val="0"/>
        <w:snapToGrid w:val="0"/>
        <w:spacing w:line="360" w:lineRule="exact"/>
        <w:ind w:firstLine="3840" w:firstLineChars="1600"/>
        <w:jc w:val="left"/>
        <w:rPr>
          <w:rFonts w:ascii="宋体"/>
          <w:snapToGrid w:val="0"/>
          <w:kern w:val="0"/>
          <w:sz w:val="24"/>
          <w:szCs w:val="24"/>
          <w:u w:val="single"/>
        </w:rPr>
      </w:pPr>
      <w:r>
        <w:rPr>
          <w:rFonts w:hint="eastAsia" w:ascii="宋体" w:hAnsi="宋体" w:cs="宋体"/>
          <w:snapToGrid w:val="0"/>
          <w:kern w:val="0"/>
          <w:sz w:val="24"/>
          <w:szCs w:val="24"/>
        </w:rPr>
        <w:t>地址：</w:t>
      </w:r>
      <w:r>
        <w:rPr>
          <w:rFonts w:ascii="宋体" w:hAnsi="宋体" w:cs="宋体"/>
          <w:snapToGrid w:val="0"/>
          <w:kern w:val="0"/>
          <w:sz w:val="24"/>
          <w:szCs w:val="24"/>
          <w:u w:val="single"/>
        </w:rPr>
        <w:t xml:space="preserve">                                  </w:t>
      </w:r>
    </w:p>
    <w:p>
      <w:pPr>
        <w:adjustRightInd w:val="0"/>
        <w:snapToGrid w:val="0"/>
        <w:spacing w:line="360" w:lineRule="exact"/>
        <w:ind w:firstLine="3840" w:firstLineChars="1600"/>
        <w:jc w:val="left"/>
        <w:rPr>
          <w:rFonts w:ascii="宋体"/>
          <w:snapToGrid w:val="0"/>
          <w:kern w:val="0"/>
          <w:sz w:val="24"/>
          <w:szCs w:val="24"/>
        </w:rPr>
      </w:pPr>
      <w:r>
        <w:rPr>
          <w:rFonts w:hint="eastAsia" w:ascii="宋体" w:hAnsi="宋体" w:cs="宋体"/>
          <w:snapToGrid w:val="0"/>
          <w:kern w:val="0"/>
          <w:sz w:val="24"/>
          <w:szCs w:val="24"/>
        </w:rPr>
        <w:t>网址：</w:t>
      </w:r>
      <w:r>
        <w:rPr>
          <w:rFonts w:ascii="宋体" w:hAnsi="宋体" w:cs="宋体"/>
          <w:snapToGrid w:val="0"/>
          <w:kern w:val="0"/>
          <w:sz w:val="24"/>
          <w:szCs w:val="24"/>
          <w:u w:val="single"/>
        </w:rPr>
        <w:t xml:space="preserve">                                  </w:t>
      </w:r>
    </w:p>
    <w:p>
      <w:pPr>
        <w:adjustRightInd w:val="0"/>
        <w:snapToGrid w:val="0"/>
        <w:spacing w:line="360" w:lineRule="exact"/>
        <w:ind w:firstLine="3840" w:firstLineChars="1600"/>
        <w:jc w:val="left"/>
        <w:rPr>
          <w:rFonts w:ascii="宋体"/>
          <w:snapToGrid w:val="0"/>
          <w:kern w:val="0"/>
          <w:sz w:val="24"/>
          <w:szCs w:val="24"/>
        </w:rPr>
      </w:pPr>
      <w:r>
        <w:rPr>
          <w:rFonts w:hint="eastAsia" w:ascii="宋体" w:hAnsi="宋体" w:cs="宋体"/>
          <w:snapToGrid w:val="0"/>
          <w:kern w:val="0"/>
          <w:sz w:val="24"/>
          <w:szCs w:val="24"/>
        </w:rPr>
        <w:t>电话：</w:t>
      </w:r>
      <w:r>
        <w:rPr>
          <w:rFonts w:ascii="宋体" w:hAnsi="宋体" w:cs="宋体"/>
          <w:snapToGrid w:val="0"/>
          <w:kern w:val="0"/>
          <w:sz w:val="24"/>
          <w:szCs w:val="24"/>
          <w:u w:val="single"/>
        </w:rPr>
        <w:t xml:space="preserve">                                  </w:t>
      </w:r>
    </w:p>
    <w:p>
      <w:pPr>
        <w:adjustRightInd w:val="0"/>
        <w:snapToGrid w:val="0"/>
        <w:spacing w:line="360" w:lineRule="exact"/>
        <w:ind w:firstLine="3840" w:firstLineChars="1600"/>
        <w:jc w:val="left"/>
        <w:rPr>
          <w:rFonts w:ascii="宋体"/>
          <w:snapToGrid w:val="0"/>
          <w:kern w:val="0"/>
          <w:sz w:val="24"/>
          <w:szCs w:val="24"/>
        </w:rPr>
      </w:pPr>
      <w:r>
        <w:rPr>
          <w:rFonts w:hint="eastAsia" w:ascii="宋体" w:hAnsi="宋体" w:cs="宋体"/>
          <w:snapToGrid w:val="0"/>
          <w:kern w:val="0"/>
          <w:sz w:val="24"/>
          <w:szCs w:val="24"/>
        </w:rPr>
        <w:t>传真：</w:t>
      </w:r>
      <w:r>
        <w:rPr>
          <w:rFonts w:ascii="宋体" w:hAnsi="宋体" w:cs="宋体"/>
          <w:snapToGrid w:val="0"/>
          <w:kern w:val="0"/>
          <w:sz w:val="24"/>
          <w:szCs w:val="24"/>
          <w:u w:val="single"/>
        </w:rPr>
        <w:t xml:space="preserve">                                  </w:t>
      </w:r>
    </w:p>
    <w:p>
      <w:pPr>
        <w:adjustRightInd w:val="0"/>
        <w:snapToGrid w:val="0"/>
        <w:spacing w:line="360" w:lineRule="exact"/>
        <w:ind w:firstLine="3840" w:firstLineChars="1600"/>
        <w:jc w:val="left"/>
        <w:rPr>
          <w:rFonts w:ascii="宋体"/>
          <w:snapToGrid w:val="0"/>
          <w:kern w:val="0"/>
          <w:sz w:val="24"/>
          <w:szCs w:val="24"/>
          <w:u w:val="single"/>
        </w:rPr>
      </w:pPr>
      <w:r>
        <w:rPr>
          <w:rFonts w:hint="eastAsia" w:ascii="宋体" w:hAnsi="宋体" w:cs="宋体"/>
          <w:snapToGrid w:val="0"/>
          <w:kern w:val="0"/>
          <w:sz w:val="24"/>
          <w:szCs w:val="24"/>
        </w:rPr>
        <w:t>邮政编码：</w:t>
      </w:r>
      <w:r>
        <w:rPr>
          <w:rFonts w:ascii="宋体" w:hAnsi="宋体" w:cs="宋体"/>
          <w:snapToGrid w:val="0"/>
          <w:kern w:val="0"/>
          <w:sz w:val="24"/>
          <w:szCs w:val="24"/>
          <w:u w:val="single"/>
        </w:rPr>
        <w:t xml:space="preserve">                              </w:t>
      </w:r>
    </w:p>
    <w:p>
      <w:pPr>
        <w:adjustRightInd w:val="0"/>
        <w:snapToGrid w:val="0"/>
        <w:spacing w:line="360" w:lineRule="exact"/>
        <w:ind w:firstLine="3967" w:firstLineChars="1653"/>
        <w:jc w:val="left"/>
        <w:rPr>
          <w:rFonts w:ascii="宋体"/>
          <w:snapToGrid w:val="0"/>
          <w:kern w:val="0"/>
          <w:sz w:val="24"/>
          <w:szCs w:val="24"/>
        </w:rPr>
      </w:pPr>
      <w:r>
        <w:rPr>
          <w:rFonts w:ascii="宋体" w:hAnsi="宋体" w:cs="宋体"/>
          <w:snapToGrid w:val="0"/>
          <w:kern w:val="0"/>
          <w:sz w:val="24"/>
          <w:szCs w:val="24"/>
        </w:rPr>
        <w:t xml:space="preserve">         </w:t>
      </w:r>
      <w:r>
        <w:rPr>
          <w:rFonts w:ascii="宋体" w:hAnsi="宋体" w:cs="宋体"/>
          <w:snapToGrid w:val="0"/>
          <w:kern w:val="0"/>
          <w:sz w:val="24"/>
          <w:szCs w:val="24"/>
          <w:u w:val="single"/>
        </w:rPr>
        <w:t xml:space="preserve">         </w:t>
      </w:r>
      <w:r>
        <w:rPr>
          <w:rFonts w:hint="eastAsia" w:ascii="宋体" w:hAnsi="宋体" w:cs="宋体"/>
          <w:snapToGrid w:val="0"/>
          <w:kern w:val="0"/>
          <w:sz w:val="24"/>
          <w:szCs w:val="24"/>
        </w:rPr>
        <w:t>年</w:t>
      </w:r>
      <w:r>
        <w:rPr>
          <w:rFonts w:ascii="宋体" w:hAnsi="宋体" w:cs="宋体"/>
          <w:snapToGrid w:val="0"/>
          <w:kern w:val="0"/>
          <w:sz w:val="24"/>
          <w:szCs w:val="24"/>
          <w:u w:val="single"/>
        </w:rPr>
        <w:t xml:space="preserve">      </w:t>
      </w:r>
      <w:r>
        <w:rPr>
          <w:rFonts w:hint="eastAsia" w:ascii="宋体" w:hAnsi="宋体" w:cs="宋体"/>
          <w:snapToGrid w:val="0"/>
          <w:kern w:val="0"/>
          <w:sz w:val="24"/>
          <w:szCs w:val="24"/>
        </w:rPr>
        <w:t>月</w:t>
      </w:r>
      <w:r>
        <w:rPr>
          <w:rFonts w:ascii="宋体" w:hAnsi="宋体" w:cs="宋体"/>
          <w:snapToGrid w:val="0"/>
          <w:kern w:val="0"/>
          <w:sz w:val="24"/>
          <w:szCs w:val="24"/>
          <w:u w:val="single"/>
        </w:rPr>
        <w:t xml:space="preserve">      </w:t>
      </w:r>
      <w:r>
        <w:rPr>
          <w:rFonts w:hint="eastAsia" w:ascii="宋体" w:hAnsi="宋体" w:cs="宋体"/>
          <w:snapToGrid w:val="0"/>
          <w:kern w:val="0"/>
          <w:sz w:val="24"/>
          <w:szCs w:val="24"/>
        </w:rPr>
        <w:t>日</w:t>
      </w:r>
    </w:p>
    <w:p>
      <w:pPr>
        <w:widowControl/>
        <w:jc w:val="left"/>
        <w:rPr>
          <w:rFonts w:ascii="宋体"/>
        </w:rPr>
      </w:pPr>
      <w:r>
        <w:rPr>
          <w:rFonts w:ascii="宋体"/>
        </w:rPr>
        <w:br w:type="page"/>
      </w:r>
    </w:p>
    <w:bookmarkEnd w:id="373"/>
    <w:bookmarkEnd w:id="374"/>
    <w:bookmarkEnd w:id="375"/>
    <w:p>
      <w:pPr>
        <w:jc w:val="center"/>
        <w:outlineLvl w:val="2"/>
        <w:rPr>
          <w:rFonts w:ascii="宋体"/>
          <w:b/>
          <w:bCs/>
          <w:sz w:val="32"/>
          <w:szCs w:val="32"/>
        </w:rPr>
      </w:pPr>
      <w:bookmarkStart w:id="376" w:name="_Toc42001876"/>
      <w:bookmarkStart w:id="377" w:name="_Toc482188652"/>
      <w:bookmarkStart w:id="378" w:name="_Toc370676427"/>
      <w:bookmarkStart w:id="379" w:name="_Toc391394112"/>
      <w:bookmarkStart w:id="380" w:name="_Toc385943066"/>
      <w:bookmarkStart w:id="381" w:name="_Toc492300528"/>
      <w:bookmarkStart w:id="382" w:name="_Toc359594236"/>
      <w:bookmarkStart w:id="383" w:name="_Toc84265687"/>
      <w:r>
        <w:rPr>
          <w:rFonts w:hint="eastAsia" w:ascii="宋体" w:hAnsi="宋体" w:cs="宋体"/>
          <w:b/>
          <w:bCs/>
          <w:sz w:val="32"/>
          <w:szCs w:val="32"/>
        </w:rPr>
        <w:t>（二）投标函附录</w:t>
      </w:r>
      <w:bookmarkEnd w:id="376"/>
      <w:bookmarkEnd w:id="377"/>
      <w:bookmarkEnd w:id="378"/>
      <w:bookmarkEnd w:id="379"/>
      <w:bookmarkEnd w:id="380"/>
      <w:bookmarkEnd w:id="381"/>
      <w:bookmarkEnd w:id="382"/>
      <w:bookmarkEnd w:id="383"/>
    </w:p>
    <w:tbl>
      <w:tblPr>
        <w:tblStyle w:val="37"/>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127"/>
        <w:gridCol w:w="4110"/>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05" w:type="dxa"/>
            <w:vAlign w:val="center"/>
          </w:tcPr>
          <w:p>
            <w:pPr>
              <w:jc w:val="center"/>
              <w:rPr>
                <w:rFonts w:ascii="宋体"/>
                <w:b/>
                <w:bCs/>
              </w:rPr>
            </w:pPr>
            <w:r>
              <w:rPr>
                <w:rFonts w:hint="eastAsia" w:ascii="宋体" w:hAnsi="宋体" w:cs="宋体"/>
                <w:b/>
                <w:bCs/>
              </w:rPr>
              <w:t>序号</w:t>
            </w:r>
          </w:p>
        </w:tc>
        <w:tc>
          <w:tcPr>
            <w:tcW w:w="2127" w:type="dxa"/>
            <w:vAlign w:val="center"/>
          </w:tcPr>
          <w:p>
            <w:pPr>
              <w:jc w:val="center"/>
              <w:rPr>
                <w:rFonts w:ascii="宋体"/>
                <w:b/>
                <w:bCs/>
              </w:rPr>
            </w:pPr>
            <w:r>
              <w:rPr>
                <w:rFonts w:hint="eastAsia" w:ascii="宋体" w:hAnsi="宋体" w:cs="宋体"/>
                <w:b/>
                <w:bCs/>
              </w:rPr>
              <w:t>条款名称</w:t>
            </w:r>
          </w:p>
        </w:tc>
        <w:tc>
          <w:tcPr>
            <w:tcW w:w="4110" w:type="dxa"/>
            <w:vAlign w:val="center"/>
          </w:tcPr>
          <w:p>
            <w:pPr>
              <w:jc w:val="center"/>
              <w:rPr>
                <w:rFonts w:ascii="宋体"/>
                <w:b/>
                <w:bCs/>
              </w:rPr>
            </w:pPr>
            <w:r>
              <w:rPr>
                <w:rFonts w:hint="eastAsia" w:ascii="宋体" w:hAnsi="宋体" w:cs="宋体"/>
                <w:b/>
                <w:bCs/>
              </w:rPr>
              <w:t>约定内容</w:t>
            </w:r>
          </w:p>
        </w:tc>
        <w:tc>
          <w:tcPr>
            <w:tcW w:w="1570" w:type="dxa"/>
            <w:vAlign w:val="center"/>
          </w:tcPr>
          <w:p>
            <w:pPr>
              <w:jc w:val="center"/>
              <w:rPr>
                <w:rFonts w:ascii="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1005" w:type="dxa"/>
            <w:vAlign w:val="center"/>
          </w:tcPr>
          <w:p>
            <w:pPr>
              <w:spacing w:before="100" w:beforeAutospacing="1" w:after="100" w:afterAutospacing="1"/>
              <w:jc w:val="center"/>
              <w:rPr>
                <w:rFonts w:ascii="宋体"/>
              </w:rPr>
            </w:pPr>
            <w:r>
              <w:rPr>
                <w:rFonts w:ascii="宋体" w:hAnsi="宋体" w:cs="宋体"/>
              </w:rPr>
              <w:t>1</w:t>
            </w:r>
          </w:p>
        </w:tc>
        <w:tc>
          <w:tcPr>
            <w:tcW w:w="2127" w:type="dxa"/>
            <w:vAlign w:val="center"/>
          </w:tcPr>
          <w:p>
            <w:pPr>
              <w:spacing w:before="100" w:beforeAutospacing="1" w:after="100" w:afterAutospacing="1"/>
              <w:jc w:val="center"/>
              <w:rPr>
                <w:rFonts w:ascii="宋体"/>
              </w:rPr>
            </w:pPr>
            <w:r>
              <w:rPr>
                <w:rFonts w:hint="eastAsia" w:ascii="宋体" w:hAnsi="宋体" w:cs="宋体"/>
              </w:rPr>
              <w:t>项目经理</w:t>
            </w:r>
          </w:p>
        </w:tc>
        <w:tc>
          <w:tcPr>
            <w:tcW w:w="4110" w:type="dxa"/>
            <w:vAlign w:val="center"/>
          </w:tcPr>
          <w:p>
            <w:pPr>
              <w:pStyle w:val="74"/>
              <w:topLinePunct/>
              <w:spacing w:line="400" w:lineRule="exact"/>
              <w:rPr>
                <w:rFonts w:hAnsi="宋体"/>
                <w:kern w:val="2"/>
                <w:sz w:val="21"/>
                <w:szCs w:val="21"/>
              </w:rPr>
            </w:pPr>
            <w:r>
              <w:rPr>
                <w:rFonts w:hint="eastAsia" w:hAnsi="宋体"/>
                <w:kern w:val="2"/>
                <w:sz w:val="21"/>
                <w:szCs w:val="21"/>
              </w:rPr>
              <w:t>姓名：</w:t>
            </w:r>
            <w:r>
              <w:rPr>
                <w:rFonts w:hAnsi="宋体"/>
                <w:kern w:val="2"/>
                <w:sz w:val="21"/>
                <w:szCs w:val="21"/>
              </w:rPr>
              <w:t xml:space="preserve"> </w:t>
            </w:r>
          </w:p>
          <w:p>
            <w:pPr>
              <w:pStyle w:val="74"/>
              <w:topLinePunct/>
              <w:spacing w:line="400" w:lineRule="exact"/>
              <w:rPr>
                <w:rFonts w:hAnsi="宋体" w:cs="Calibri"/>
                <w:kern w:val="2"/>
                <w:sz w:val="21"/>
                <w:szCs w:val="21"/>
              </w:rPr>
            </w:pPr>
            <w:r>
              <w:rPr>
                <w:rFonts w:hint="eastAsia" w:hAnsi="宋体"/>
                <w:kern w:val="2"/>
                <w:sz w:val="21"/>
                <w:szCs w:val="21"/>
              </w:rPr>
              <w:t>身份证号：</w:t>
            </w:r>
          </w:p>
          <w:p>
            <w:pPr>
              <w:pStyle w:val="74"/>
              <w:topLinePunct/>
              <w:spacing w:line="400" w:lineRule="exact"/>
              <w:rPr>
                <w:rFonts w:hAnsi="宋体" w:cs="Calibri"/>
                <w:kern w:val="2"/>
                <w:sz w:val="21"/>
                <w:szCs w:val="21"/>
              </w:rPr>
            </w:pPr>
            <w:r>
              <w:rPr>
                <w:rFonts w:hint="eastAsia" w:hAnsi="宋体"/>
                <w:kern w:val="2"/>
                <w:sz w:val="21"/>
                <w:szCs w:val="21"/>
              </w:rPr>
              <w:t>职称：</w:t>
            </w:r>
          </w:p>
          <w:p>
            <w:pPr>
              <w:pStyle w:val="74"/>
              <w:topLinePunct/>
              <w:spacing w:line="400" w:lineRule="exact"/>
              <w:rPr>
                <w:rFonts w:hAnsi="宋体"/>
                <w:kern w:val="2"/>
                <w:sz w:val="21"/>
                <w:szCs w:val="21"/>
              </w:rPr>
            </w:pPr>
            <w:r>
              <w:rPr>
                <w:rFonts w:hint="eastAsia" w:hAnsi="宋体"/>
                <w:kern w:val="2"/>
                <w:sz w:val="21"/>
                <w:szCs w:val="21"/>
              </w:rPr>
              <w:t>一级注册建造师执业资格证书号：</w:t>
            </w:r>
          </w:p>
          <w:p>
            <w:pPr>
              <w:pStyle w:val="74"/>
              <w:topLinePunct/>
              <w:spacing w:line="400" w:lineRule="exact"/>
              <w:rPr>
                <w:rFonts w:hAnsi="宋体" w:cs="Calibri"/>
                <w:kern w:val="2"/>
                <w:sz w:val="21"/>
                <w:szCs w:val="21"/>
              </w:rPr>
            </w:pPr>
            <w:r>
              <w:rPr>
                <w:rFonts w:hint="eastAsia" w:hAnsi="宋体"/>
                <w:kern w:val="2"/>
                <w:sz w:val="21"/>
                <w:szCs w:val="21"/>
              </w:rPr>
              <w:t>一级注册建造师专业：</w:t>
            </w:r>
          </w:p>
        </w:tc>
        <w:tc>
          <w:tcPr>
            <w:tcW w:w="1570" w:type="dxa"/>
            <w:vAlign w:val="center"/>
          </w:tcPr>
          <w:p>
            <w:pPr>
              <w:spacing w:line="440" w:lineRule="exact"/>
              <w:ind w:firstLine="718" w:firstLineChars="342"/>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005" w:type="dxa"/>
            <w:vAlign w:val="center"/>
          </w:tcPr>
          <w:p>
            <w:pPr>
              <w:jc w:val="center"/>
              <w:rPr>
                <w:rFonts w:ascii="宋体"/>
              </w:rPr>
            </w:pPr>
            <w:r>
              <w:rPr>
                <w:rFonts w:ascii="宋体" w:hAnsi="宋体" w:cs="宋体"/>
              </w:rPr>
              <w:t>2</w:t>
            </w:r>
          </w:p>
        </w:tc>
        <w:tc>
          <w:tcPr>
            <w:tcW w:w="2127" w:type="dxa"/>
            <w:vAlign w:val="center"/>
          </w:tcPr>
          <w:p>
            <w:pPr>
              <w:spacing w:before="100" w:beforeAutospacing="1" w:after="100" w:afterAutospacing="1"/>
              <w:jc w:val="center"/>
              <w:rPr>
                <w:rFonts w:ascii="宋体"/>
              </w:rPr>
            </w:pPr>
            <w:r>
              <w:rPr>
                <w:rFonts w:hint="eastAsia" w:ascii="宋体" w:hAnsi="宋体" w:cs="宋体"/>
              </w:rPr>
              <w:t>设计负责人</w:t>
            </w:r>
          </w:p>
        </w:tc>
        <w:tc>
          <w:tcPr>
            <w:tcW w:w="4110" w:type="dxa"/>
            <w:vAlign w:val="center"/>
          </w:tcPr>
          <w:p>
            <w:pPr>
              <w:pStyle w:val="74"/>
              <w:topLinePunct/>
              <w:spacing w:line="400" w:lineRule="exact"/>
              <w:rPr>
                <w:rFonts w:hAnsi="宋体"/>
                <w:kern w:val="2"/>
                <w:sz w:val="21"/>
                <w:szCs w:val="21"/>
              </w:rPr>
            </w:pPr>
            <w:r>
              <w:rPr>
                <w:rFonts w:hint="eastAsia" w:hAnsi="宋体"/>
                <w:kern w:val="2"/>
                <w:sz w:val="21"/>
                <w:szCs w:val="21"/>
              </w:rPr>
              <w:t>姓名：</w:t>
            </w:r>
            <w:r>
              <w:rPr>
                <w:rFonts w:hAnsi="宋体"/>
                <w:kern w:val="2"/>
                <w:sz w:val="21"/>
                <w:szCs w:val="21"/>
              </w:rPr>
              <w:t xml:space="preserve"> </w:t>
            </w:r>
          </w:p>
          <w:p>
            <w:pPr>
              <w:pStyle w:val="74"/>
              <w:topLinePunct/>
              <w:spacing w:line="400" w:lineRule="exact"/>
              <w:rPr>
                <w:rFonts w:hAnsi="宋体" w:cs="Calibri"/>
                <w:kern w:val="2"/>
                <w:sz w:val="21"/>
                <w:szCs w:val="21"/>
              </w:rPr>
            </w:pPr>
            <w:r>
              <w:rPr>
                <w:rFonts w:hint="eastAsia" w:hAnsi="宋体"/>
                <w:kern w:val="2"/>
                <w:sz w:val="21"/>
                <w:szCs w:val="21"/>
              </w:rPr>
              <w:t>身份证号：</w:t>
            </w:r>
          </w:p>
          <w:p>
            <w:pPr>
              <w:pStyle w:val="74"/>
              <w:topLinePunct/>
              <w:spacing w:line="400" w:lineRule="exact"/>
              <w:rPr>
                <w:rFonts w:hAnsi="宋体" w:cs="Calibri"/>
                <w:kern w:val="2"/>
                <w:sz w:val="21"/>
                <w:szCs w:val="21"/>
              </w:rPr>
            </w:pPr>
            <w:r>
              <w:rPr>
                <w:rFonts w:hint="eastAsia" w:hAnsi="宋体"/>
                <w:kern w:val="2"/>
                <w:sz w:val="21"/>
                <w:szCs w:val="21"/>
              </w:rPr>
              <w:t>职称：</w:t>
            </w:r>
          </w:p>
        </w:tc>
        <w:tc>
          <w:tcPr>
            <w:tcW w:w="1570" w:type="dxa"/>
            <w:vAlign w:val="center"/>
          </w:tcPr>
          <w:p>
            <w:pPr>
              <w:spacing w:line="440" w:lineRule="exact"/>
              <w:ind w:firstLine="718" w:firstLineChars="342"/>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05" w:type="dxa"/>
            <w:vAlign w:val="center"/>
          </w:tcPr>
          <w:p>
            <w:pPr>
              <w:tabs>
                <w:tab w:val="left" w:pos="360"/>
              </w:tabs>
              <w:jc w:val="center"/>
              <w:rPr>
                <w:rFonts w:ascii="宋体"/>
              </w:rPr>
            </w:pPr>
            <w:r>
              <w:rPr>
                <w:rFonts w:hint="eastAsia" w:ascii="宋体" w:hAnsi="宋体" w:cs="宋体"/>
              </w:rPr>
              <w:t>3</w:t>
            </w:r>
          </w:p>
        </w:tc>
        <w:tc>
          <w:tcPr>
            <w:tcW w:w="2127" w:type="dxa"/>
            <w:vAlign w:val="center"/>
          </w:tcPr>
          <w:p>
            <w:pPr>
              <w:spacing w:before="100" w:beforeAutospacing="1" w:after="100" w:afterAutospacing="1"/>
              <w:jc w:val="center"/>
              <w:rPr>
                <w:rFonts w:ascii="宋体"/>
              </w:rPr>
            </w:pPr>
            <w:r>
              <w:rPr>
                <w:rFonts w:hint="eastAsia" w:ascii="宋体" w:hAnsi="宋体" w:cs="宋体"/>
              </w:rPr>
              <w:t>工期</w:t>
            </w:r>
          </w:p>
        </w:tc>
        <w:tc>
          <w:tcPr>
            <w:tcW w:w="4110" w:type="dxa"/>
            <w:vAlign w:val="center"/>
          </w:tcPr>
          <w:p>
            <w:pPr>
              <w:pStyle w:val="74"/>
              <w:topLinePunct/>
              <w:rPr>
                <w:rFonts w:hAnsi="宋体" w:cs="Calibri"/>
                <w:kern w:val="2"/>
                <w:sz w:val="21"/>
                <w:szCs w:val="21"/>
              </w:rPr>
            </w:pPr>
          </w:p>
        </w:tc>
        <w:tc>
          <w:tcPr>
            <w:tcW w:w="1570" w:type="dxa"/>
            <w:vAlign w:val="center"/>
          </w:tcPr>
          <w:p>
            <w:pPr>
              <w:tabs>
                <w:tab w:val="left" w:pos="360"/>
              </w:tabs>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05" w:type="dxa"/>
            <w:vAlign w:val="center"/>
          </w:tcPr>
          <w:p>
            <w:pPr>
              <w:tabs>
                <w:tab w:val="left" w:pos="360"/>
              </w:tabs>
              <w:jc w:val="center"/>
              <w:rPr>
                <w:rFonts w:ascii="宋体"/>
              </w:rPr>
            </w:pPr>
            <w:r>
              <w:rPr>
                <w:rFonts w:hint="eastAsia" w:ascii="宋体" w:hAnsi="宋体" w:cs="宋体"/>
              </w:rPr>
              <w:t>4</w:t>
            </w:r>
          </w:p>
        </w:tc>
        <w:tc>
          <w:tcPr>
            <w:tcW w:w="2127" w:type="dxa"/>
            <w:vAlign w:val="center"/>
          </w:tcPr>
          <w:p>
            <w:pPr>
              <w:spacing w:before="100" w:beforeAutospacing="1" w:after="100" w:afterAutospacing="1"/>
              <w:jc w:val="center"/>
              <w:rPr>
                <w:rFonts w:ascii="宋体"/>
              </w:rPr>
            </w:pPr>
            <w:r>
              <w:rPr>
                <w:rFonts w:hint="eastAsia" w:ascii="宋体" w:hAnsi="宋体" w:cs="宋体"/>
              </w:rPr>
              <w:t>质量标准</w:t>
            </w:r>
          </w:p>
        </w:tc>
        <w:tc>
          <w:tcPr>
            <w:tcW w:w="4110" w:type="dxa"/>
            <w:vAlign w:val="center"/>
          </w:tcPr>
          <w:p>
            <w:pPr>
              <w:pStyle w:val="74"/>
              <w:topLinePunct/>
              <w:rPr>
                <w:rFonts w:hAnsi="宋体" w:cs="Calibri"/>
                <w:kern w:val="2"/>
                <w:sz w:val="21"/>
                <w:szCs w:val="21"/>
              </w:rPr>
            </w:pPr>
          </w:p>
        </w:tc>
        <w:tc>
          <w:tcPr>
            <w:tcW w:w="1570" w:type="dxa"/>
            <w:vAlign w:val="center"/>
          </w:tcPr>
          <w:p>
            <w:pPr>
              <w:tabs>
                <w:tab w:val="left" w:pos="360"/>
              </w:tabs>
              <w:jc w:val="center"/>
              <w:rPr>
                <w:rFonts w:ascii="宋体"/>
              </w:rPr>
            </w:pPr>
          </w:p>
        </w:tc>
      </w:tr>
    </w:tbl>
    <w:p>
      <w:pPr>
        <w:spacing w:line="440" w:lineRule="exact"/>
        <w:ind w:firstLine="2520" w:firstLineChars="1200"/>
        <w:jc w:val="left"/>
        <w:rPr>
          <w:rFonts w:ascii="宋体"/>
        </w:rPr>
      </w:pPr>
    </w:p>
    <w:p>
      <w:pPr>
        <w:spacing w:line="440" w:lineRule="exact"/>
        <w:ind w:firstLine="2520" w:firstLineChars="1200"/>
        <w:jc w:val="left"/>
        <w:rPr>
          <w:rFonts w:ascii="宋体"/>
        </w:rPr>
      </w:pPr>
      <w:r>
        <w:rPr>
          <w:rFonts w:hint="eastAsia" w:ascii="宋体" w:hAnsi="宋体" w:cs="宋体"/>
        </w:rPr>
        <w:t>投</w:t>
      </w:r>
      <w:r>
        <w:rPr>
          <w:rFonts w:ascii="宋体" w:hAnsi="宋体" w:cs="宋体"/>
        </w:rPr>
        <w:t xml:space="preserve"> </w:t>
      </w:r>
      <w:r>
        <w:rPr>
          <w:rFonts w:hint="eastAsia" w:ascii="宋体" w:hAnsi="宋体" w:cs="宋体"/>
        </w:rPr>
        <w:t>标</w:t>
      </w:r>
      <w:r>
        <w:rPr>
          <w:rFonts w:ascii="宋体" w:hAnsi="宋体" w:cs="宋体"/>
        </w:rPr>
        <w:t xml:space="preserve"> </w:t>
      </w:r>
      <w:r>
        <w:rPr>
          <w:rFonts w:hint="eastAsia" w:ascii="宋体" w:hAnsi="宋体" w:cs="宋体"/>
        </w:rPr>
        <w:t>人：</w:t>
      </w:r>
      <w:r>
        <w:rPr>
          <w:rFonts w:ascii="宋体" w:hAnsi="宋体" w:cs="宋体"/>
          <w:u w:val="single"/>
        </w:rPr>
        <w:t xml:space="preserve">                                </w:t>
      </w:r>
      <w:r>
        <w:rPr>
          <w:rFonts w:ascii="宋体" w:hAnsi="宋体" w:cs="宋体"/>
          <w:u w:val="single"/>
        </w:rPr>
        <w:tab/>
      </w:r>
      <w:r>
        <w:rPr>
          <w:rFonts w:hint="eastAsia" w:ascii="宋体" w:hAnsi="宋体" w:cs="宋体"/>
        </w:rPr>
        <w:t>（盖单位章）</w:t>
      </w:r>
    </w:p>
    <w:p>
      <w:pPr>
        <w:spacing w:line="440" w:lineRule="exact"/>
        <w:jc w:val="left"/>
        <w:rPr>
          <w:rFonts w:ascii="宋体"/>
        </w:rPr>
      </w:pPr>
      <w:r>
        <w:rPr>
          <w:rFonts w:ascii="宋体" w:hAnsi="宋体" w:cs="宋体"/>
        </w:rPr>
        <w:t xml:space="preserve">                        </w:t>
      </w:r>
      <w:r>
        <w:rPr>
          <w:rFonts w:hint="eastAsia" w:ascii="宋体" w:hAnsi="宋体" w:cs="宋体"/>
        </w:rPr>
        <w:t>法定代表人或其委托代理人：</w:t>
      </w:r>
      <w:r>
        <w:rPr>
          <w:rFonts w:ascii="宋体" w:hAnsi="宋体" w:cs="宋体"/>
          <w:u w:val="single"/>
        </w:rPr>
        <w:t xml:space="preserve">               </w:t>
      </w:r>
      <w:r>
        <w:rPr>
          <w:rFonts w:ascii="宋体" w:hAnsi="宋体" w:cs="宋体"/>
          <w:u w:val="single"/>
        </w:rPr>
        <w:tab/>
      </w:r>
      <w:r>
        <w:rPr>
          <w:rFonts w:hint="eastAsia" w:ascii="宋体" w:hAnsi="宋体" w:cs="宋体"/>
        </w:rPr>
        <w:t>（签字）</w:t>
      </w:r>
    </w:p>
    <w:p>
      <w:pPr>
        <w:spacing w:line="440" w:lineRule="exact"/>
        <w:ind w:firstLine="4725" w:firstLineChars="2250"/>
        <w:jc w:val="right"/>
        <w:rPr>
          <w:rFonts w:ascii="宋体"/>
          <w:u w:val="single"/>
        </w:rPr>
      </w:pPr>
    </w:p>
    <w:p>
      <w:pPr>
        <w:spacing w:line="440" w:lineRule="exact"/>
        <w:ind w:firstLine="4725" w:firstLineChars="2250"/>
        <w:jc w:val="right"/>
        <w:rPr>
          <w:rFonts w:ascii="宋体"/>
        </w:rPr>
      </w:pP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w:t>
      </w:r>
    </w:p>
    <w:p>
      <w:pPr>
        <w:rPr>
          <w:rFonts w:ascii="宋体"/>
        </w:rPr>
      </w:pPr>
    </w:p>
    <w:p>
      <w:pPr>
        <w:widowControl/>
        <w:jc w:val="left"/>
        <w:rPr>
          <w:rFonts w:ascii="宋体"/>
        </w:rPr>
      </w:pPr>
      <w:r>
        <w:rPr>
          <w:rFonts w:ascii="宋体"/>
        </w:rPr>
        <w:br w:type="page"/>
      </w:r>
    </w:p>
    <w:p>
      <w:pPr>
        <w:jc w:val="center"/>
        <w:outlineLvl w:val="1"/>
        <w:rPr>
          <w:rFonts w:ascii="宋体"/>
        </w:rPr>
      </w:pPr>
      <w:bookmarkStart w:id="384" w:name="_Toc84265688"/>
      <w:bookmarkStart w:id="385" w:name="_Toc42001877"/>
      <w:r>
        <w:rPr>
          <w:rFonts w:hint="eastAsia" w:ascii="宋体" w:hAnsi="宋体" w:cs="宋体"/>
          <w:sz w:val="36"/>
          <w:szCs w:val="36"/>
        </w:rPr>
        <w:t>二、法定代表人身份证明</w:t>
      </w:r>
      <w:bookmarkEnd w:id="384"/>
      <w:bookmarkEnd w:id="385"/>
    </w:p>
    <w:p>
      <w:pPr>
        <w:rPr>
          <w:rFonts w:ascii="宋体"/>
        </w:rPr>
      </w:pPr>
    </w:p>
    <w:p>
      <w:pPr>
        <w:spacing w:line="440" w:lineRule="exact"/>
        <w:rPr>
          <w:rFonts w:ascii="宋体"/>
          <w:sz w:val="24"/>
          <w:szCs w:val="24"/>
        </w:rPr>
      </w:pPr>
      <w:r>
        <w:rPr>
          <w:rFonts w:hint="eastAsia" w:ascii="宋体" w:hAnsi="宋体" w:cs="宋体"/>
          <w:sz w:val="24"/>
          <w:szCs w:val="24"/>
        </w:rPr>
        <w:t>投标人名称：</w:t>
      </w:r>
      <w:r>
        <w:rPr>
          <w:rFonts w:ascii="宋体" w:hAnsi="宋体" w:cs="宋体"/>
          <w:sz w:val="24"/>
          <w:szCs w:val="24"/>
          <w:u w:val="single"/>
        </w:rPr>
        <w:t xml:space="preserve">                        </w:t>
      </w:r>
    </w:p>
    <w:p>
      <w:pPr>
        <w:spacing w:line="440" w:lineRule="exact"/>
        <w:rPr>
          <w:rFonts w:ascii="宋体"/>
          <w:sz w:val="24"/>
          <w:szCs w:val="24"/>
        </w:rPr>
      </w:pPr>
      <w:r>
        <w:rPr>
          <w:rFonts w:hint="eastAsia" w:ascii="宋体" w:hAnsi="宋体" w:cs="宋体"/>
          <w:sz w:val="24"/>
          <w:szCs w:val="24"/>
        </w:rPr>
        <w:t>姓名：</w:t>
      </w:r>
      <w:r>
        <w:rPr>
          <w:rFonts w:ascii="宋体" w:hAnsi="宋体" w:cs="宋体"/>
          <w:sz w:val="24"/>
          <w:szCs w:val="24"/>
          <w:u w:val="single"/>
        </w:rPr>
        <w:t xml:space="preserve">                </w:t>
      </w:r>
      <w:r>
        <w:rPr>
          <w:rFonts w:hint="eastAsia" w:ascii="宋体" w:hAnsi="宋体" w:cs="宋体"/>
          <w:sz w:val="24"/>
          <w:szCs w:val="24"/>
        </w:rPr>
        <w:t>性别：</w:t>
      </w:r>
      <w:bookmarkStart w:id="386" w:name="_Toc352691662"/>
      <w:bookmarkStart w:id="387" w:name="_Toc369531698"/>
      <w:bookmarkStart w:id="388" w:name="_Toc27897"/>
      <w:r>
        <w:rPr>
          <w:rFonts w:ascii="宋体" w:hAnsi="宋体" w:cs="宋体"/>
          <w:sz w:val="24"/>
          <w:szCs w:val="24"/>
          <w:u w:val="single"/>
        </w:rPr>
        <w:t xml:space="preserve">        </w:t>
      </w:r>
      <w:r>
        <w:rPr>
          <w:rFonts w:hint="eastAsia" w:ascii="宋体" w:hAnsi="宋体" w:cs="宋体"/>
          <w:sz w:val="24"/>
          <w:szCs w:val="24"/>
        </w:rPr>
        <w:t>年</w:t>
      </w:r>
      <w:bookmarkEnd w:id="386"/>
      <w:bookmarkEnd w:id="387"/>
      <w:bookmarkEnd w:id="388"/>
      <w:r>
        <w:rPr>
          <w:rFonts w:hint="eastAsia" w:ascii="宋体" w:hAnsi="宋体" w:cs="宋体"/>
          <w:sz w:val="24"/>
          <w:szCs w:val="24"/>
        </w:rPr>
        <w:t>龄</w:t>
      </w:r>
      <w:bookmarkStart w:id="389" w:name="_Toc369531699"/>
      <w:bookmarkStart w:id="390" w:name="_Toc152042578"/>
      <w:bookmarkStart w:id="391" w:name="_Toc15573"/>
      <w:bookmarkStart w:id="392" w:name="_Toc144974858"/>
      <w:bookmarkStart w:id="393" w:name="_Toc300835211"/>
      <w:bookmarkStart w:id="394" w:name="_Toc152045789"/>
      <w:bookmarkStart w:id="395" w:name="_Toc247514248"/>
      <w:bookmarkStart w:id="396" w:name="_Toc352691663"/>
      <w:bookmarkStart w:id="397" w:name="_Toc247527829"/>
      <w:r>
        <w:rPr>
          <w:rFonts w:hint="eastAsia" w:ascii="宋体" w:hAnsi="宋体" w:cs="宋体"/>
          <w:sz w:val="24"/>
          <w:szCs w:val="24"/>
        </w:rPr>
        <w:t>：</w:t>
      </w:r>
      <w:bookmarkEnd w:id="389"/>
      <w:bookmarkEnd w:id="390"/>
      <w:bookmarkEnd w:id="391"/>
      <w:bookmarkEnd w:id="392"/>
      <w:bookmarkEnd w:id="393"/>
      <w:bookmarkEnd w:id="394"/>
      <w:bookmarkEnd w:id="395"/>
      <w:bookmarkEnd w:id="396"/>
      <w:bookmarkEnd w:id="397"/>
      <w:r>
        <w:rPr>
          <w:rFonts w:ascii="宋体" w:hAnsi="宋体" w:cs="宋体"/>
          <w:sz w:val="24"/>
          <w:szCs w:val="24"/>
          <w:u w:val="single"/>
        </w:rPr>
        <w:t xml:space="preserve">        </w:t>
      </w:r>
      <w:r>
        <w:rPr>
          <w:rFonts w:hint="eastAsia" w:ascii="宋体" w:hAnsi="宋体" w:cs="宋体"/>
          <w:sz w:val="24"/>
          <w:szCs w:val="24"/>
        </w:rPr>
        <w:t>职务：</w:t>
      </w:r>
      <w:r>
        <w:rPr>
          <w:rFonts w:ascii="宋体" w:hAnsi="宋体" w:cs="宋体"/>
          <w:sz w:val="24"/>
          <w:szCs w:val="24"/>
          <w:u w:val="single"/>
        </w:rPr>
        <w:t xml:space="preserve">        </w:t>
      </w:r>
    </w:p>
    <w:p>
      <w:pPr>
        <w:spacing w:line="440" w:lineRule="exact"/>
        <w:rPr>
          <w:rFonts w:ascii="宋体"/>
          <w:sz w:val="24"/>
          <w:szCs w:val="24"/>
        </w:rPr>
      </w:pPr>
      <w:r>
        <w:rPr>
          <w:rFonts w:hint="eastAsia" w:ascii="宋体" w:hAnsi="宋体" w:cs="宋体"/>
          <w:sz w:val="24"/>
          <w:szCs w:val="24"/>
        </w:rPr>
        <w:t>系</w:t>
      </w:r>
      <w:r>
        <w:rPr>
          <w:rFonts w:ascii="宋体" w:hAnsi="宋体" w:cs="宋体"/>
          <w:sz w:val="24"/>
          <w:szCs w:val="24"/>
          <w:u w:val="single"/>
        </w:rPr>
        <w:t xml:space="preserve">                        </w:t>
      </w:r>
      <w:r>
        <w:rPr>
          <w:rFonts w:hint="eastAsia" w:ascii="宋体" w:hAnsi="宋体" w:cs="宋体"/>
          <w:sz w:val="24"/>
          <w:szCs w:val="24"/>
        </w:rPr>
        <w:t>（投标人名称）的法定代表人。</w:t>
      </w:r>
    </w:p>
    <w:p>
      <w:pPr>
        <w:spacing w:line="440" w:lineRule="exact"/>
        <w:ind w:firstLine="480" w:firstLineChars="200"/>
        <w:rPr>
          <w:rFonts w:ascii="宋体"/>
          <w:sz w:val="24"/>
          <w:szCs w:val="24"/>
        </w:rPr>
      </w:pPr>
      <w:r>
        <w:rPr>
          <w:rFonts w:hint="eastAsia" w:ascii="宋体" w:hAnsi="宋体" w:cs="宋体"/>
          <w:sz w:val="24"/>
          <w:szCs w:val="24"/>
        </w:rPr>
        <w:t>特此证明。</w:t>
      </w:r>
    </w:p>
    <w:p>
      <w:pPr>
        <w:spacing w:line="440" w:lineRule="exact"/>
        <w:rPr>
          <w:rFonts w:ascii="宋体"/>
          <w:sz w:val="24"/>
          <w:szCs w:val="24"/>
        </w:rPr>
      </w:pPr>
    </w:p>
    <w:p>
      <w:pPr>
        <w:spacing w:line="440" w:lineRule="exact"/>
        <w:rPr>
          <w:rFonts w:ascii="宋体"/>
          <w:sz w:val="24"/>
          <w:szCs w:val="24"/>
        </w:rPr>
      </w:pPr>
      <w:r>
        <w:rPr>
          <w:rFonts w:hint="eastAsia" w:ascii="宋体" w:hAnsi="宋体" w:cs="宋体"/>
          <w:sz w:val="24"/>
          <w:szCs w:val="24"/>
        </w:rPr>
        <w:t>附：法定代表人身份证复印件（正反面）。</w:t>
      </w:r>
    </w:p>
    <w:p>
      <w:pPr>
        <w:spacing w:line="440" w:lineRule="exact"/>
        <w:rPr>
          <w:rFonts w:ascii="宋体"/>
          <w:sz w:val="24"/>
          <w:szCs w:val="24"/>
        </w:rPr>
      </w:pPr>
    </w:p>
    <w:p>
      <w:pPr>
        <w:spacing w:line="440" w:lineRule="exact"/>
        <w:rPr>
          <w:rFonts w:ascii="宋体"/>
          <w:sz w:val="24"/>
          <w:szCs w:val="24"/>
        </w:rPr>
      </w:pPr>
      <w:r>
        <w:rPr>
          <w:rFonts w:hint="eastAsia" w:ascii="宋体" w:hAnsi="宋体" w:cs="宋体"/>
          <w:sz w:val="24"/>
          <w:szCs w:val="24"/>
        </w:rPr>
        <w:t>注：本身份证明需由投标人加盖单位公章。</w:t>
      </w:r>
    </w:p>
    <w:p>
      <w:pPr>
        <w:spacing w:line="440" w:lineRule="exact"/>
        <w:rPr>
          <w:rFonts w:ascii="宋体"/>
          <w:sz w:val="24"/>
          <w:szCs w:val="24"/>
        </w:rPr>
      </w:pPr>
    </w:p>
    <w:p>
      <w:pPr>
        <w:spacing w:line="440" w:lineRule="exact"/>
        <w:rPr>
          <w:rFonts w:ascii="宋体"/>
          <w:sz w:val="24"/>
          <w:szCs w:val="24"/>
        </w:rPr>
      </w:pPr>
    </w:p>
    <w:p>
      <w:pPr>
        <w:spacing w:line="440" w:lineRule="exact"/>
        <w:jc w:val="center"/>
        <w:rPr>
          <w:rFonts w:ascii="宋体"/>
          <w:sz w:val="24"/>
          <w:szCs w:val="24"/>
        </w:rPr>
      </w:pPr>
      <w:r>
        <w:rPr>
          <w:rFonts w:ascii="宋体" w:hAnsi="宋体" w:cs="宋体"/>
          <w:sz w:val="24"/>
          <w:szCs w:val="24"/>
        </w:rPr>
        <w:t xml:space="preserve">                              </w:t>
      </w:r>
      <w:r>
        <w:rPr>
          <w:rFonts w:hint="eastAsia" w:ascii="宋体" w:hAnsi="宋体" w:cs="宋体"/>
          <w:sz w:val="24"/>
          <w:szCs w:val="24"/>
        </w:rPr>
        <w:t>投标人：</w:t>
      </w:r>
      <w:r>
        <w:rPr>
          <w:rFonts w:ascii="宋体" w:hAnsi="宋体" w:cs="宋体"/>
          <w:sz w:val="24"/>
          <w:szCs w:val="24"/>
          <w:u w:val="single"/>
        </w:rPr>
        <w:t xml:space="preserve">          </w:t>
      </w:r>
      <w:r>
        <w:rPr>
          <w:rFonts w:ascii="宋体" w:hAnsi="宋体" w:cs="宋体"/>
          <w:sz w:val="24"/>
          <w:szCs w:val="24"/>
          <w:u w:val="single"/>
        </w:rPr>
        <w:tab/>
      </w:r>
      <w:r>
        <w:rPr>
          <w:rFonts w:hint="eastAsia" w:ascii="宋体" w:hAnsi="宋体" w:cs="宋体"/>
          <w:sz w:val="24"/>
          <w:szCs w:val="24"/>
        </w:rPr>
        <w:t>（盖单位章）</w:t>
      </w:r>
    </w:p>
    <w:p>
      <w:pPr>
        <w:spacing w:line="440" w:lineRule="exact"/>
        <w:rPr>
          <w:rFonts w:ascii="宋体"/>
          <w:sz w:val="24"/>
          <w:szCs w:val="24"/>
        </w:rPr>
      </w:pPr>
    </w:p>
    <w:p>
      <w:pPr>
        <w:spacing w:line="440" w:lineRule="exact"/>
        <w:ind w:firstLine="5280" w:firstLineChars="2200"/>
        <w:rPr>
          <w:rFonts w:ascii="宋体"/>
          <w:sz w:val="24"/>
          <w:szCs w:val="24"/>
        </w:rPr>
      </w:pP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pPr>
        <w:spacing w:line="440" w:lineRule="exact"/>
        <w:rPr>
          <w:rFonts w:ascii="宋体"/>
          <w:sz w:val="20"/>
          <w:szCs w:val="20"/>
        </w:rPr>
      </w:pPr>
    </w:p>
    <w:p>
      <w:pPr>
        <w:rPr>
          <w:rFonts w:ascii="宋体"/>
        </w:rPr>
      </w:pPr>
    </w:p>
    <w:p>
      <w:pPr>
        <w:widowControl/>
        <w:jc w:val="left"/>
        <w:rPr>
          <w:rFonts w:ascii="宋体"/>
        </w:rPr>
      </w:pPr>
      <w:r>
        <w:rPr>
          <w:rFonts w:ascii="宋体"/>
        </w:rPr>
        <w:br w:type="page"/>
      </w:r>
    </w:p>
    <w:p>
      <w:pPr>
        <w:jc w:val="center"/>
        <w:outlineLvl w:val="1"/>
        <w:rPr>
          <w:rFonts w:ascii="宋体"/>
        </w:rPr>
      </w:pPr>
      <w:bookmarkStart w:id="398" w:name="_Toc42001878"/>
      <w:bookmarkStart w:id="399" w:name="_Toc84265689"/>
      <w:r>
        <w:rPr>
          <w:rFonts w:hint="eastAsia" w:ascii="宋体" w:hAnsi="宋体" w:cs="宋体"/>
          <w:sz w:val="36"/>
          <w:szCs w:val="36"/>
        </w:rPr>
        <w:t>二、授权委托书</w:t>
      </w:r>
      <w:bookmarkEnd w:id="398"/>
      <w:bookmarkEnd w:id="399"/>
    </w:p>
    <w:p>
      <w:pPr>
        <w:rPr>
          <w:rFonts w:ascii="宋体"/>
        </w:rPr>
      </w:pPr>
    </w:p>
    <w:p>
      <w:pPr>
        <w:wordWrap w:val="0"/>
        <w:topLinePunct/>
        <w:adjustRightInd w:val="0"/>
        <w:snapToGrid w:val="0"/>
        <w:spacing w:line="360" w:lineRule="auto"/>
        <w:ind w:firstLine="480" w:firstLineChars="200"/>
        <w:jc w:val="left"/>
        <w:rPr>
          <w:rFonts w:ascii="宋体"/>
          <w:snapToGrid w:val="0"/>
          <w:kern w:val="0"/>
          <w:sz w:val="24"/>
          <w:szCs w:val="24"/>
        </w:rPr>
      </w:pPr>
      <w:r>
        <w:rPr>
          <w:rFonts w:hint="eastAsia" w:ascii="宋体" w:hAnsi="宋体" w:cs="宋体"/>
          <w:snapToGrid w:val="0"/>
          <w:kern w:val="0"/>
          <w:sz w:val="24"/>
          <w:szCs w:val="24"/>
        </w:rPr>
        <w:t>本人</w:t>
      </w:r>
      <w:r>
        <w:rPr>
          <w:rFonts w:ascii="宋体" w:hAnsi="宋体" w:cs="宋体"/>
          <w:snapToGrid w:val="0"/>
          <w:kern w:val="0"/>
          <w:sz w:val="24"/>
          <w:szCs w:val="24"/>
          <w:u w:val="single"/>
        </w:rPr>
        <w:t xml:space="preserve">      </w:t>
      </w:r>
      <w:r>
        <w:rPr>
          <w:rFonts w:hint="eastAsia" w:ascii="宋体" w:hAnsi="宋体" w:cs="宋体"/>
          <w:snapToGrid w:val="0"/>
          <w:kern w:val="0"/>
          <w:sz w:val="24"/>
          <w:szCs w:val="24"/>
        </w:rPr>
        <w:t>（姓名）系</w:t>
      </w:r>
      <w:r>
        <w:rPr>
          <w:rFonts w:ascii="宋体" w:hAnsi="宋体" w:cs="宋体"/>
          <w:snapToGrid w:val="0"/>
          <w:kern w:val="0"/>
          <w:sz w:val="24"/>
          <w:szCs w:val="24"/>
          <w:u w:val="single"/>
        </w:rPr>
        <w:t xml:space="preserve">          </w:t>
      </w:r>
      <w:r>
        <w:rPr>
          <w:rFonts w:hint="eastAsia" w:ascii="宋体" w:hAnsi="宋体" w:cs="宋体"/>
          <w:snapToGrid w:val="0"/>
          <w:kern w:val="0"/>
          <w:sz w:val="24"/>
          <w:szCs w:val="24"/>
        </w:rPr>
        <w:t>（投标人名称）的法定代表人，现委托</w:t>
      </w:r>
      <w:r>
        <w:rPr>
          <w:rFonts w:ascii="宋体" w:hAnsi="宋体" w:cs="宋体"/>
          <w:snapToGrid w:val="0"/>
          <w:kern w:val="0"/>
          <w:sz w:val="24"/>
          <w:szCs w:val="24"/>
          <w:u w:val="single"/>
        </w:rPr>
        <w:t xml:space="preserve">      </w:t>
      </w:r>
      <w:r>
        <w:rPr>
          <w:rFonts w:hint="eastAsia" w:ascii="宋体" w:hAnsi="宋体" w:cs="宋体"/>
          <w:snapToGrid w:val="0"/>
          <w:kern w:val="0"/>
          <w:sz w:val="24"/>
          <w:szCs w:val="24"/>
        </w:rPr>
        <w:t>（姓名）为我方代理人。代理人根据授权，以我方名义签署、澄清确认、递交、撤回、修改</w:t>
      </w:r>
      <w:r>
        <w:rPr>
          <w:rFonts w:hint="eastAsia" w:ascii="宋体" w:hAnsi="宋体" w:cs="宋体"/>
          <w:snapToGrid w:val="0"/>
          <w:kern w:val="0"/>
          <w:sz w:val="24"/>
          <w:szCs w:val="24"/>
          <w:u w:val="single"/>
        </w:rPr>
        <w:t xml:space="preserve"> </w:t>
      </w:r>
      <w:r>
        <w:rPr>
          <w:rFonts w:ascii="宋体" w:hAnsi="宋体" w:cs="宋体"/>
          <w:snapToGrid w:val="0"/>
          <w:kern w:val="0"/>
          <w:sz w:val="24"/>
          <w:szCs w:val="24"/>
          <w:u w:val="single"/>
        </w:rPr>
        <w:t xml:space="preserve">                                   </w:t>
      </w:r>
      <w:r>
        <w:rPr>
          <w:rFonts w:hint="eastAsia" w:ascii="宋体" w:hAnsi="宋体" w:cs="宋体"/>
          <w:snapToGrid w:val="0"/>
          <w:kern w:val="0"/>
          <w:sz w:val="24"/>
          <w:szCs w:val="24"/>
        </w:rPr>
        <w:t>（项目名称）项目投标文件、签订合同和处理有关事宜，其法律后果由我方承担。</w:t>
      </w:r>
    </w:p>
    <w:p>
      <w:pPr>
        <w:wordWrap w:val="0"/>
        <w:topLinePunct/>
        <w:adjustRightInd w:val="0"/>
        <w:snapToGrid w:val="0"/>
        <w:spacing w:line="360" w:lineRule="auto"/>
        <w:ind w:firstLine="480" w:firstLineChars="200"/>
        <w:jc w:val="left"/>
        <w:rPr>
          <w:rFonts w:ascii="宋体"/>
          <w:snapToGrid w:val="0"/>
          <w:kern w:val="0"/>
          <w:sz w:val="24"/>
          <w:szCs w:val="24"/>
        </w:rPr>
      </w:pPr>
      <w:r>
        <w:rPr>
          <w:rFonts w:hint="eastAsia" w:ascii="宋体" w:hAnsi="宋体" w:cs="宋体"/>
          <w:snapToGrid w:val="0"/>
          <w:kern w:val="0"/>
          <w:sz w:val="24"/>
          <w:szCs w:val="24"/>
        </w:rPr>
        <w:t>委托期限：</w:t>
      </w:r>
      <w:r>
        <w:rPr>
          <w:rFonts w:hint="eastAsia" w:ascii="宋体" w:hAnsi="宋体" w:cs="宋体"/>
          <w:snapToGrid w:val="0"/>
          <w:kern w:val="0"/>
          <w:sz w:val="24"/>
          <w:szCs w:val="24"/>
          <w:u w:val="single"/>
        </w:rPr>
        <w:t>自本委托书签署之日起至投标有效期满</w:t>
      </w:r>
      <w:r>
        <w:rPr>
          <w:rFonts w:hint="eastAsia" w:ascii="宋体" w:hAnsi="宋体" w:cs="宋体"/>
          <w:snapToGrid w:val="0"/>
          <w:kern w:val="0"/>
          <w:sz w:val="24"/>
          <w:szCs w:val="24"/>
        </w:rPr>
        <w:t>。</w:t>
      </w:r>
    </w:p>
    <w:p>
      <w:pPr>
        <w:wordWrap w:val="0"/>
        <w:adjustRightInd w:val="0"/>
        <w:snapToGrid w:val="0"/>
        <w:spacing w:line="360" w:lineRule="auto"/>
        <w:ind w:firstLine="480" w:firstLineChars="200"/>
        <w:jc w:val="left"/>
        <w:rPr>
          <w:rFonts w:ascii="宋体"/>
          <w:snapToGrid w:val="0"/>
          <w:kern w:val="0"/>
          <w:sz w:val="24"/>
          <w:szCs w:val="24"/>
        </w:rPr>
      </w:pPr>
      <w:r>
        <w:rPr>
          <w:rFonts w:hint="eastAsia" w:ascii="宋体" w:hAnsi="宋体" w:cs="宋体"/>
          <w:snapToGrid w:val="0"/>
          <w:kern w:val="0"/>
          <w:sz w:val="24"/>
          <w:szCs w:val="24"/>
        </w:rPr>
        <w:t>代理人无转委托权。</w:t>
      </w:r>
    </w:p>
    <w:p>
      <w:pPr>
        <w:wordWrap w:val="0"/>
        <w:adjustRightInd w:val="0"/>
        <w:snapToGrid w:val="0"/>
        <w:spacing w:line="360" w:lineRule="auto"/>
        <w:jc w:val="left"/>
        <w:rPr>
          <w:rFonts w:ascii="宋体"/>
          <w:snapToGrid w:val="0"/>
          <w:kern w:val="0"/>
          <w:sz w:val="24"/>
          <w:szCs w:val="24"/>
        </w:rPr>
      </w:pPr>
    </w:p>
    <w:p>
      <w:pPr>
        <w:wordWrap w:val="0"/>
        <w:adjustRightInd w:val="0"/>
        <w:snapToGrid w:val="0"/>
        <w:spacing w:line="360" w:lineRule="auto"/>
        <w:jc w:val="left"/>
        <w:rPr>
          <w:rFonts w:ascii="宋体"/>
          <w:snapToGrid w:val="0"/>
          <w:kern w:val="0"/>
          <w:sz w:val="24"/>
          <w:szCs w:val="24"/>
        </w:rPr>
      </w:pPr>
    </w:p>
    <w:p>
      <w:pPr>
        <w:wordWrap w:val="0"/>
        <w:adjustRightInd w:val="0"/>
        <w:snapToGrid w:val="0"/>
        <w:spacing w:line="360" w:lineRule="auto"/>
        <w:jc w:val="left"/>
        <w:rPr>
          <w:rFonts w:ascii="宋体"/>
          <w:snapToGrid w:val="0"/>
          <w:kern w:val="0"/>
          <w:sz w:val="24"/>
          <w:szCs w:val="24"/>
        </w:rPr>
      </w:pPr>
      <w:r>
        <w:rPr>
          <w:rFonts w:hint="eastAsia" w:ascii="宋体" w:hAnsi="宋体" w:cs="宋体"/>
          <w:snapToGrid w:val="0"/>
          <w:kern w:val="0"/>
          <w:sz w:val="24"/>
          <w:szCs w:val="24"/>
        </w:rPr>
        <w:t>附：法定代表人身份证复印件 及 委托代理人身份证复印件（正反面）。</w:t>
      </w:r>
    </w:p>
    <w:p>
      <w:pPr>
        <w:wordWrap w:val="0"/>
        <w:topLinePunct/>
        <w:adjustRightInd w:val="0"/>
        <w:snapToGrid w:val="0"/>
        <w:spacing w:line="360" w:lineRule="auto"/>
        <w:jc w:val="left"/>
        <w:rPr>
          <w:rFonts w:ascii="宋体"/>
          <w:snapToGrid w:val="0"/>
          <w:kern w:val="0"/>
          <w:sz w:val="24"/>
          <w:szCs w:val="24"/>
        </w:rPr>
      </w:pPr>
    </w:p>
    <w:p>
      <w:pPr>
        <w:wordWrap w:val="0"/>
        <w:topLinePunct/>
        <w:adjustRightInd w:val="0"/>
        <w:snapToGrid w:val="0"/>
        <w:spacing w:line="360" w:lineRule="auto"/>
        <w:jc w:val="left"/>
        <w:rPr>
          <w:rFonts w:ascii="宋体"/>
          <w:snapToGrid w:val="0"/>
          <w:kern w:val="0"/>
          <w:sz w:val="24"/>
          <w:szCs w:val="24"/>
        </w:rPr>
      </w:pPr>
    </w:p>
    <w:p>
      <w:pPr>
        <w:wordWrap w:val="0"/>
        <w:topLinePunct/>
        <w:adjustRightInd w:val="0"/>
        <w:snapToGrid w:val="0"/>
        <w:spacing w:line="360" w:lineRule="auto"/>
        <w:jc w:val="left"/>
        <w:rPr>
          <w:rFonts w:ascii="宋体"/>
          <w:snapToGrid w:val="0"/>
          <w:kern w:val="0"/>
          <w:sz w:val="24"/>
          <w:szCs w:val="24"/>
        </w:rPr>
      </w:pPr>
      <w:r>
        <w:rPr>
          <w:rFonts w:hint="eastAsia" w:ascii="宋体" w:hAnsi="宋体" w:cs="宋体"/>
          <w:snapToGrid w:val="0"/>
          <w:kern w:val="0"/>
          <w:sz w:val="24"/>
          <w:szCs w:val="24"/>
        </w:rPr>
        <w:t>注：本授权委托书需由投标人加盖单位公章并由其法定代表人和委托代理人签字。</w:t>
      </w:r>
    </w:p>
    <w:p>
      <w:pPr>
        <w:wordWrap w:val="0"/>
        <w:topLinePunct/>
        <w:adjustRightInd w:val="0"/>
        <w:snapToGrid w:val="0"/>
        <w:spacing w:line="360" w:lineRule="auto"/>
        <w:ind w:firstLine="480" w:firstLineChars="200"/>
        <w:jc w:val="left"/>
        <w:rPr>
          <w:rFonts w:ascii="宋体"/>
          <w:snapToGrid w:val="0"/>
          <w:kern w:val="0"/>
          <w:sz w:val="24"/>
          <w:szCs w:val="24"/>
        </w:rPr>
      </w:pPr>
    </w:p>
    <w:p>
      <w:pPr>
        <w:wordWrap w:val="0"/>
        <w:topLinePunct/>
        <w:adjustRightInd w:val="0"/>
        <w:snapToGrid w:val="0"/>
        <w:spacing w:line="360" w:lineRule="auto"/>
        <w:jc w:val="left"/>
        <w:rPr>
          <w:rFonts w:ascii="宋体"/>
          <w:snapToGrid w:val="0"/>
          <w:kern w:val="0"/>
          <w:sz w:val="24"/>
          <w:szCs w:val="24"/>
        </w:rPr>
      </w:pPr>
      <w:r>
        <w:rPr>
          <w:rFonts w:hint="eastAsia" w:ascii="宋体" w:hAnsi="宋体" w:cs="宋体"/>
          <w:snapToGrid w:val="0"/>
          <w:kern w:val="0"/>
          <w:sz w:val="24"/>
          <w:szCs w:val="24"/>
        </w:rPr>
        <w:t>投标人：</w:t>
      </w:r>
      <w:r>
        <w:rPr>
          <w:rFonts w:ascii="宋体" w:hAnsi="宋体" w:cs="宋体"/>
          <w:snapToGrid w:val="0"/>
          <w:kern w:val="0"/>
          <w:sz w:val="24"/>
          <w:szCs w:val="24"/>
          <w:u w:val="single"/>
        </w:rPr>
        <w:t xml:space="preserve">                              </w:t>
      </w:r>
      <w:r>
        <w:rPr>
          <w:rFonts w:hint="eastAsia" w:ascii="宋体" w:hAnsi="宋体" w:cs="宋体"/>
          <w:snapToGrid w:val="0"/>
          <w:kern w:val="0"/>
          <w:sz w:val="24"/>
          <w:szCs w:val="24"/>
        </w:rPr>
        <w:t>（盖单位公章）</w:t>
      </w:r>
    </w:p>
    <w:p>
      <w:pPr>
        <w:wordWrap w:val="0"/>
        <w:topLinePunct/>
        <w:adjustRightInd w:val="0"/>
        <w:snapToGrid w:val="0"/>
        <w:spacing w:line="360" w:lineRule="auto"/>
        <w:ind w:firstLine="2692" w:firstLineChars="1122"/>
        <w:jc w:val="left"/>
        <w:rPr>
          <w:rFonts w:ascii="宋体"/>
          <w:snapToGrid w:val="0"/>
          <w:kern w:val="0"/>
          <w:sz w:val="24"/>
          <w:szCs w:val="24"/>
        </w:rPr>
      </w:pPr>
    </w:p>
    <w:p>
      <w:pPr>
        <w:wordWrap w:val="0"/>
        <w:topLinePunct/>
        <w:adjustRightInd w:val="0"/>
        <w:snapToGrid w:val="0"/>
        <w:spacing w:line="360" w:lineRule="auto"/>
        <w:jc w:val="left"/>
        <w:rPr>
          <w:rFonts w:ascii="宋体"/>
          <w:snapToGrid w:val="0"/>
          <w:kern w:val="0"/>
          <w:sz w:val="24"/>
          <w:szCs w:val="24"/>
        </w:rPr>
      </w:pPr>
      <w:r>
        <w:rPr>
          <w:rFonts w:hint="eastAsia" w:ascii="宋体" w:hAnsi="宋体" w:cs="宋体"/>
          <w:snapToGrid w:val="0"/>
          <w:kern w:val="0"/>
          <w:sz w:val="24"/>
          <w:szCs w:val="24"/>
        </w:rPr>
        <w:t>法定代表人：</w:t>
      </w:r>
      <w:r>
        <w:rPr>
          <w:rFonts w:ascii="宋体" w:hAnsi="宋体" w:cs="宋体"/>
          <w:snapToGrid w:val="0"/>
          <w:kern w:val="0"/>
          <w:sz w:val="24"/>
          <w:szCs w:val="24"/>
          <w:u w:val="single"/>
        </w:rPr>
        <w:t xml:space="preserve">                                </w:t>
      </w:r>
      <w:r>
        <w:rPr>
          <w:rFonts w:hint="eastAsia" w:ascii="宋体" w:hAnsi="宋体" w:cs="宋体"/>
          <w:snapToGrid w:val="0"/>
          <w:kern w:val="0"/>
          <w:sz w:val="24"/>
          <w:szCs w:val="24"/>
        </w:rPr>
        <w:t>（签字）</w:t>
      </w:r>
    </w:p>
    <w:p>
      <w:pPr>
        <w:wordWrap w:val="0"/>
        <w:topLinePunct/>
        <w:adjustRightInd w:val="0"/>
        <w:snapToGrid w:val="0"/>
        <w:spacing w:line="360" w:lineRule="auto"/>
        <w:ind w:firstLine="2692" w:firstLineChars="1122"/>
        <w:jc w:val="left"/>
        <w:rPr>
          <w:rFonts w:ascii="宋体"/>
          <w:snapToGrid w:val="0"/>
          <w:kern w:val="0"/>
          <w:sz w:val="24"/>
          <w:szCs w:val="24"/>
        </w:rPr>
      </w:pPr>
    </w:p>
    <w:p>
      <w:pPr>
        <w:wordWrap w:val="0"/>
        <w:topLinePunct/>
        <w:adjustRightInd w:val="0"/>
        <w:snapToGrid w:val="0"/>
        <w:spacing w:line="360" w:lineRule="auto"/>
        <w:jc w:val="left"/>
        <w:rPr>
          <w:rFonts w:ascii="宋体"/>
          <w:snapToGrid w:val="0"/>
          <w:kern w:val="0"/>
          <w:sz w:val="24"/>
          <w:szCs w:val="24"/>
        </w:rPr>
      </w:pPr>
      <w:r>
        <w:rPr>
          <w:rFonts w:hint="eastAsia" w:ascii="宋体" w:hAnsi="宋体" w:cs="宋体"/>
          <w:snapToGrid w:val="0"/>
          <w:kern w:val="0"/>
          <w:sz w:val="24"/>
          <w:szCs w:val="24"/>
        </w:rPr>
        <w:t>身份证号码：</w:t>
      </w:r>
      <w:r>
        <w:rPr>
          <w:rFonts w:ascii="宋体" w:hAnsi="宋体" w:cs="宋体"/>
          <w:snapToGrid w:val="0"/>
          <w:kern w:val="0"/>
          <w:sz w:val="24"/>
          <w:szCs w:val="24"/>
          <w:u w:val="single"/>
        </w:rPr>
        <w:t xml:space="preserve">                                        </w:t>
      </w:r>
    </w:p>
    <w:p>
      <w:pPr>
        <w:wordWrap w:val="0"/>
        <w:topLinePunct/>
        <w:adjustRightInd w:val="0"/>
        <w:snapToGrid w:val="0"/>
        <w:spacing w:line="360" w:lineRule="auto"/>
        <w:ind w:firstLine="2692" w:firstLineChars="1122"/>
        <w:jc w:val="left"/>
        <w:rPr>
          <w:rFonts w:ascii="宋体"/>
          <w:snapToGrid w:val="0"/>
          <w:kern w:val="0"/>
          <w:sz w:val="24"/>
          <w:szCs w:val="24"/>
        </w:rPr>
      </w:pPr>
      <w:r>
        <w:rPr>
          <w:rFonts w:ascii="宋体" w:hAnsi="宋体" w:cs="宋体"/>
          <w:snapToGrid w:val="0"/>
          <w:kern w:val="0"/>
          <w:sz w:val="24"/>
          <w:szCs w:val="24"/>
        </w:rPr>
        <w:t xml:space="preserve">    </w:t>
      </w:r>
    </w:p>
    <w:p>
      <w:pPr>
        <w:wordWrap w:val="0"/>
        <w:topLinePunct/>
        <w:adjustRightInd w:val="0"/>
        <w:snapToGrid w:val="0"/>
        <w:spacing w:line="360" w:lineRule="auto"/>
        <w:jc w:val="left"/>
        <w:rPr>
          <w:rFonts w:ascii="宋体"/>
          <w:snapToGrid w:val="0"/>
          <w:kern w:val="0"/>
          <w:sz w:val="24"/>
          <w:szCs w:val="24"/>
        </w:rPr>
      </w:pPr>
      <w:r>
        <w:rPr>
          <w:rFonts w:hint="eastAsia" w:ascii="宋体" w:hAnsi="宋体" w:cs="宋体"/>
          <w:snapToGrid w:val="0"/>
          <w:kern w:val="0"/>
          <w:sz w:val="24"/>
          <w:szCs w:val="24"/>
        </w:rPr>
        <w:t>委托代理人：</w:t>
      </w:r>
      <w:r>
        <w:rPr>
          <w:rFonts w:ascii="宋体" w:hAnsi="宋体" w:cs="宋体"/>
          <w:snapToGrid w:val="0"/>
          <w:kern w:val="0"/>
          <w:sz w:val="24"/>
          <w:szCs w:val="24"/>
          <w:u w:val="single"/>
        </w:rPr>
        <w:t xml:space="preserve">                                </w:t>
      </w:r>
      <w:r>
        <w:rPr>
          <w:rFonts w:hint="eastAsia" w:ascii="宋体" w:hAnsi="宋体" w:cs="宋体"/>
          <w:snapToGrid w:val="0"/>
          <w:kern w:val="0"/>
          <w:sz w:val="24"/>
          <w:szCs w:val="24"/>
        </w:rPr>
        <w:t>（签字）</w:t>
      </w:r>
    </w:p>
    <w:p>
      <w:pPr>
        <w:wordWrap w:val="0"/>
        <w:topLinePunct/>
        <w:adjustRightInd w:val="0"/>
        <w:snapToGrid w:val="0"/>
        <w:spacing w:line="360" w:lineRule="auto"/>
        <w:ind w:firstLine="2692" w:firstLineChars="1122"/>
        <w:jc w:val="left"/>
        <w:rPr>
          <w:rFonts w:ascii="宋体"/>
          <w:snapToGrid w:val="0"/>
          <w:kern w:val="0"/>
          <w:sz w:val="24"/>
          <w:szCs w:val="24"/>
        </w:rPr>
      </w:pPr>
    </w:p>
    <w:p>
      <w:pPr>
        <w:wordWrap w:val="0"/>
        <w:topLinePunct/>
        <w:adjustRightInd w:val="0"/>
        <w:snapToGrid w:val="0"/>
        <w:spacing w:line="360" w:lineRule="auto"/>
        <w:jc w:val="left"/>
        <w:rPr>
          <w:rFonts w:ascii="宋体"/>
          <w:snapToGrid w:val="0"/>
          <w:kern w:val="0"/>
          <w:sz w:val="24"/>
          <w:szCs w:val="24"/>
        </w:rPr>
      </w:pPr>
      <w:r>
        <w:rPr>
          <w:rFonts w:hint="eastAsia" w:ascii="宋体" w:hAnsi="宋体" w:cs="宋体"/>
          <w:snapToGrid w:val="0"/>
          <w:kern w:val="0"/>
          <w:sz w:val="24"/>
          <w:szCs w:val="24"/>
        </w:rPr>
        <w:t>身份证号码：</w:t>
      </w:r>
      <w:r>
        <w:rPr>
          <w:rFonts w:ascii="宋体" w:hAnsi="宋体" w:cs="宋体"/>
          <w:snapToGrid w:val="0"/>
          <w:kern w:val="0"/>
          <w:sz w:val="24"/>
          <w:szCs w:val="24"/>
          <w:u w:val="single"/>
        </w:rPr>
        <w:t xml:space="preserve">                                        </w:t>
      </w:r>
    </w:p>
    <w:p>
      <w:pPr>
        <w:wordWrap w:val="0"/>
        <w:topLinePunct/>
        <w:adjustRightInd w:val="0"/>
        <w:snapToGrid w:val="0"/>
        <w:spacing w:line="360" w:lineRule="auto"/>
        <w:ind w:firstLine="480" w:firstLineChars="200"/>
        <w:jc w:val="left"/>
        <w:rPr>
          <w:rFonts w:ascii="宋体"/>
          <w:snapToGrid w:val="0"/>
          <w:kern w:val="0"/>
          <w:sz w:val="24"/>
          <w:szCs w:val="24"/>
        </w:rPr>
      </w:pPr>
    </w:p>
    <w:p>
      <w:pPr>
        <w:wordWrap w:val="0"/>
        <w:topLinePunct/>
        <w:adjustRightInd w:val="0"/>
        <w:snapToGrid w:val="0"/>
        <w:spacing w:line="360" w:lineRule="auto"/>
        <w:jc w:val="right"/>
        <w:rPr>
          <w:rFonts w:ascii="宋体"/>
          <w:snapToGrid w:val="0"/>
          <w:kern w:val="0"/>
          <w:sz w:val="24"/>
          <w:szCs w:val="24"/>
        </w:rPr>
      </w:pPr>
      <w:r>
        <w:rPr>
          <w:rFonts w:ascii="宋体" w:hAnsi="宋体" w:cs="宋体"/>
          <w:snapToGrid w:val="0"/>
          <w:kern w:val="0"/>
          <w:sz w:val="24"/>
          <w:szCs w:val="24"/>
          <w:u w:val="single"/>
        </w:rPr>
        <w:t xml:space="preserve">        </w:t>
      </w:r>
      <w:r>
        <w:rPr>
          <w:rFonts w:hint="eastAsia" w:ascii="宋体" w:hAnsi="宋体" w:cs="宋体"/>
          <w:snapToGrid w:val="0"/>
          <w:kern w:val="0"/>
          <w:sz w:val="24"/>
          <w:szCs w:val="24"/>
        </w:rPr>
        <w:t>年</w:t>
      </w:r>
      <w:r>
        <w:rPr>
          <w:rFonts w:ascii="宋体" w:hAnsi="宋体" w:cs="宋体"/>
          <w:snapToGrid w:val="0"/>
          <w:kern w:val="0"/>
          <w:sz w:val="24"/>
          <w:szCs w:val="24"/>
          <w:u w:val="single"/>
        </w:rPr>
        <w:t xml:space="preserve">    </w:t>
      </w:r>
      <w:r>
        <w:rPr>
          <w:rFonts w:hint="eastAsia" w:ascii="宋体" w:hAnsi="宋体" w:cs="宋体"/>
          <w:snapToGrid w:val="0"/>
          <w:kern w:val="0"/>
          <w:sz w:val="24"/>
          <w:szCs w:val="24"/>
        </w:rPr>
        <w:t>月</w:t>
      </w:r>
      <w:r>
        <w:rPr>
          <w:rFonts w:ascii="宋体" w:hAnsi="宋体" w:cs="宋体"/>
          <w:snapToGrid w:val="0"/>
          <w:kern w:val="0"/>
          <w:sz w:val="24"/>
          <w:szCs w:val="24"/>
          <w:u w:val="single"/>
        </w:rPr>
        <w:t xml:space="preserve">    </w:t>
      </w:r>
      <w:r>
        <w:rPr>
          <w:rFonts w:hint="eastAsia" w:ascii="宋体" w:hAnsi="宋体" w:cs="宋体"/>
          <w:snapToGrid w:val="0"/>
          <w:kern w:val="0"/>
          <w:sz w:val="24"/>
          <w:szCs w:val="24"/>
        </w:rPr>
        <w:t>日</w:t>
      </w:r>
    </w:p>
    <w:p>
      <w:pPr>
        <w:jc w:val="center"/>
        <w:outlineLvl w:val="1"/>
        <w:rPr>
          <w:rFonts w:ascii="宋体"/>
        </w:rPr>
      </w:pPr>
      <w:bookmarkStart w:id="400" w:name="_Toc42001880"/>
      <w:bookmarkStart w:id="401" w:name="_Toc84265690"/>
      <w:r>
        <w:rPr>
          <w:rFonts w:ascii="宋体" w:hAnsi="宋体" w:cs="宋体"/>
          <w:sz w:val="36"/>
          <w:szCs w:val="36"/>
        </w:rPr>
        <w:br w:type="page"/>
      </w:r>
      <w:r>
        <w:rPr>
          <w:rFonts w:hint="eastAsia" w:ascii="宋体" w:hAnsi="宋体" w:cs="宋体"/>
          <w:sz w:val="36"/>
          <w:szCs w:val="36"/>
        </w:rPr>
        <w:t>三、投标保证金</w:t>
      </w:r>
      <w:bookmarkEnd w:id="400"/>
      <w:bookmarkEnd w:id="401"/>
    </w:p>
    <w:p>
      <w:pPr>
        <w:rPr>
          <w:rFonts w:ascii="宋体"/>
        </w:rPr>
      </w:pPr>
    </w:p>
    <w:p>
      <w:pPr>
        <w:spacing w:line="360" w:lineRule="auto"/>
        <w:rPr>
          <w:rFonts w:ascii="宋体" w:cs="Times New Roman"/>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）采用电汇、转账的：投标人在此附投标保证金递交凭证扫描件，投标人基本账户开户许可证扫描件或基本存款账户信息证明扫描件。</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）采用银行保函的：投标人在此附</w:t>
      </w:r>
      <w:r>
        <w:rPr>
          <w:rFonts w:hint="eastAsia" w:ascii="宋体" w:hAnsi="宋体" w:cs="宋体"/>
          <w:spacing w:val="-3"/>
          <w:sz w:val="24"/>
          <w:szCs w:val="24"/>
        </w:rPr>
        <w:t>银行保函扫描件。</w:t>
      </w:r>
    </w:p>
    <w:p>
      <w:pPr>
        <w:spacing w:line="360" w:lineRule="auto"/>
        <w:rPr>
          <w:rFonts w:ascii="宋体" w:cs="Times New Roman"/>
          <w:sz w:val="24"/>
          <w:szCs w:val="24"/>
        </w:rPr>
      </w:pPr>
      <w:r>
        <w:rPr>
          <w:rFonts w:hint="eastAsia" w:ascii="宋体" w:hAnsi="宋体" w:cs="宋体"/>
          <w:spacing w:val="-3"/>
          <w:sz w:val="24"/>
          <w:szCs w:val="24"/>
        </w:rPr>
        <w:t>银行保函原件</w:t>
      </w:r>
      <w:r>
        <w:rPr>
          <w:rFonts w:hint="eastAsia" w:ascii="宋体" w:hAnsi="宋体" w:cs="宋体"/>
          <w:sz w:val="24"/>
        </w:rPr>
        <w:t>应单独密封后在投标截止时间前（以接收时间为准）按投标须知前附表的规定递交到指定地点。</w:t>
      </w: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p>
    <w:p>
      <w:pPr>
        <w:jc w:val="center"/>
        <w:outlineLvl w:val="1"/>
        <w:rPr>
          <w:rFonts w:ascii="宋体" w:hAnsi="宋体" w:cs="宋体"/>
          <w:sz w:val="36"/>
          <w:szCs w:val="36"/>
        </w:rPr>
      </w:pPr>
      <w:r>
        <w:rPr>
          <w:rFonts w:ascii="宋体"/>
          <w:sz w:val="24"/>
          <w:szCs w:val="24"/>
        </w:rPr>
        <w:br w:type="page"/>
      </w:r>
      <w:bookmarkStart w:id="402" w:name="_Toc42001881"/>
      <w:bookmarkStart w:id="403" w:name="_Toc84265691"/>
      <w:r>
        <w:rPr>
          <w:rFonts w:hint="eastAsia" w:ascii="宋体" w:hAnsi="宋体" w:cs="宋体"/>
          <w:sz w:val="36"/>
          <w:szCs w:val="36"/>
        </w:rPr>
        <w:t>四、</w:t>
      </w:r>
      <w:bookmarkEnd w:id="402"/>
      <w:r>
        <w:rPr>
          <w:rFonts w:hint="eastAsia" w:ascii="宋体" w:hAnsi="宋体" w:cs="宋体"/>
          <w:sz w:val="36"/>
          <w:szCs w:val="36"/>
        </w:rPr>
        <w:t>已标价工点清单</w:t>
      </w:r>
      <w:bookmarkEnd w:id="403"/>
    </w:p>
    <w:p>
      <w:pPr>
        <w:jc w:val="center"/>
        <w:outlineLvl w:val="1"/>
        <w:rPr>
          <w:rFonts w:ascii="宋体"/>
        </w:rPr>
      </w:pPr>
      <w:r>
        <w:rPr>
          <w:rFonts w:ascii="宋体" w:hAnsi="宋体" w:cs="宋体"/>
          <w:sz w:val="36"/>
          <w:szCs w:val="36"/>
        </w:rPr>
        <w:br w:type="page"/>
      </w:r>
      <w:r>
        <w:rPr>
          <w:rFonts w:hint="eastAsia" w:ascii="宋体" w:hAnsi="宋体" w:cs="宋体"/>
          <w:sz w:val="36"/>
          <w:szCs w:val="36"/>
        </w:rPr>
        <w:t>五、资格审查资料</w:t>
      </w:r>
    </w:p>
    <w:p>
      <w:pPr>
        <w:topLinePunct/>
        <w:spacing w:line="440" w:lineRule="exact"/>
        <w:jc w:val="center"/>
        <w:rPr>
          <w:rFonts w:ascii="宋体" w:hAnsi="宋体" w:cs="宋体"/>
          <w:sz w:val="30"/>
          <w:szCs w:val="30"/>
        </w:rPr>
      </w:pPr>
      <w:bookmarkStart w:id="404" w:name="_Toc361508764"/>
      <w:bookmarkStart w:id="405" w:name="_Toc300835224"/>
      <w:bookmarkStart w:id="406" w:name="_Toc247514300"/>
      <w:bookmarkStart w:id="407" w:name="_Toc34922648"/>
      <w:bookmarkStart w:id="408" w:name="_Toc6902721"/>
      <w:bookmarkStart w:id="409" w:name="_Toc384308386"/>
      <w:bookmarkStart w:id="410" w:name="_Toc144974876"/>
      <w:bookmarkStart w:id="411" w:name="_Toc84265692"/>
      <w:bookmarkStart w:id="412" w:name="_Toc390409695"/>
      <w:bookmarkStart w:id="413" w:name="_Toc42001884"/>
      <w:bookmarkStart w:id="414" w:name="_Toc152045808"/>
      <w:bookmarkStart w:id="415" w:name="_Toc152042597"/>
      <w:bookmarkStart w:id="416" w:name="_Toc247527848"/>
    </w:p>
    <w:p>
      <w:pPr>
        <w:topLinePunct/>
        <w:spacing w:after="156" w:afterLines="50" w:line="440" w:lineRule="exact"/>
        <w:jc w:val="center"/>
        <w:rPr>
          <w:rFonts w:eastAsia="黑体"/>
          <w:sz w:val="23"/>
          <w:szCs w:val="23"/>
        </w:rPr>
      </w:pPr>
      <w:r>
        <w:rPr>
          <w:rFonts w:hint="eastAsia" w:ascii="宋体" w:hAnsi="宋体" w:cs="宋体"/>
          <w:sz w:val="30"/>
          <w:szCs w:val="30"/>
        </w:rPr>
        <w:t>（一）投标人基本情况表</w:t>
      </w:r>
      <w:bookmarkEnd w:id="404"/>
      <w:bookmarkEnd w:id="405"/>
      <w:bookmarkEnd w:id="406"/>
      <w:bookmarkEnd w:id="407"/>
      <w:bookmarkEnd w:id="408"/>
      <w:bookmarkEnd w:id="409"/>
      <w:bookmarkEnd w:id="410"/>
      <w:bookmarkEnd w:id="411"/>
      <w:bookmarkEnd w:id="412"/>
      <w:bookmarkEnd w:id="413"/>
      <w:bookmarkEnd w:id="414"/>
      <w:bookmarkEnd w:id="415"/>
      <w:bookmarkEnd w:id="416"/>
    </w:p>
    <w:tbl>
      <w:tblPr>
        <w:tblStyle w:val="3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pPr>
            <w: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1728"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pPr>
            <w: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44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r>
    </w:tbl>
    <w:p>
      <w:pPr>
        <w:jc w:val="center"/>
        <w:rPr>
          <w:rFonts w:ascii="宋体"/>
        </w:rPr>
      </w:pPr>
      <w:r>
        <w:rPr>
          <w:rFonts w:hint="eastAsia" w:ascii="宋体" w:hAnsi="宋体" w:cs="宋体"/>
        </w:rPr>
        <w:t>注：投标人应根据投标人须知第</w:t>
      </w:r>
      <w:r>
        <w:rPr>
          <w:rFonts w:ascii="宋体" w:hAnsi="宋体" w:cs="宋体"/>
        </w:rPr>
        <w:t>3.5.1</w:t>
      </w:r>
      <w:r>
        <w:rPr>
          <w:rFonts w:hint="eastAsia" w:ascii="宋体" w:hAnsi="宋体" w:cs="宋体"/>
        </w:rPr>
        <w:t>项的要求在本表后附相关证明材料。</w:t>
      </w:r>
    </w:p>
    <w:p>
      <w:pPr>
        <w:outlineLvl w:val="2"/>
        <w:rPr>
          <w:rFonts w:ascii="宋体"/>
          <w:sz w:val="32"/>
          <w:szCs w:val="32"/>
        </w:rPr>
      </w:pPr>
      <w:r>
        <w:rPr>
          <w:rFonts w:ascii="宋体"/>
        </w:rPr>
        <w:br w:type="page"/>
      </w:r>
    </w:p>
    <w:p>
      <w:pPr>
        <w:widowControl/>
        <w:jc w:val="left"/>
        <w:rPr>
          <w:rFonts w:ascii="宋体"/>
          <w:sz w:val="30"/>
          <w:szCs w:val="30"/>
        </w:rPr>
      </w:pPr>
      <w:r>
        <w:rPr>
          <w:rFonts w:hint="eastAsia" w:ascii="宋体" w:hAnsi="宋体" w:cs="宋体"/>
          <w:sz w:val="30"/>
          <w:szCs w:val="30"/>
        </w:rPr>
        <w:t>（二）近年财务状况表</w:t>
      </w:r>
    </w:p>
    <w:p>
      <w:pPr>
        <w:spacing w:line="360" w:lineRule="auto"/>
        <w:rPr>
          <w:rFonts w:ascii="宋体"/>
        </w:rPr>
      </w:pPr>
    </w:p>
    <w:p>
      <w:pPr>
        <w:spacing w:line="360" w:lineRule="auto"/>
        <w:rPr>
          <w:rFonts w:ascii="宋体"/>
          <w:sz w:val="30"/>
          <w:szCs w:val="30"/>
        </w:rPr>
      </w:pPr>
      <w:r>
        <w:rPr>
          <w:rFonts w:hint="eastAsia" w:ascii="宋体" w:hAnsi="宋体" w:cs="宋体"/>
        </w:rPr>
        <w:t>投标人应根据投标人须知第</w:t>
      </w:r>
      <w:r>
        <w:rPr>
          <w:rFonts w:ascii="宋体" w:hAnsi="宋体" w:cs="宋体"/>
        </w:rPr>
        <w:t>3.5.2</w:t>
      </w:r>
      <w:r>
        <w:rPr>
          <w:rFonts w:hint="eastAsia" w:ascii="宋体" w:hAnsi="宋体" w:cs="宋体"/>
        </w:rPr>
        <w:t>项的要求在本表后附相关证明材料。</w:t>
      </w:r>
    </w:p>
    <w:p>
      <w:pPr>
        <w:spacing w:line="360" w:lineRule="auto"/>
        <w:rPr>
          <w:rFonts w:ascii="宋体"/>
          <w:sz w:val="30"/>
          <w:szCs w:val="30"/>
        </w:rPr>
      </w:pPr>
      <w:r>
        <w:rPr>
          <w:rFonts w:hint="eastAsia" w:hAnsi="宋体"/>
          <w:snapToGrid w:val="0"/>
        </w:rPr>
        <w:t>提供经会计师事务所或审计机构出具的</w:t>
      </w:r>
      <w:r>
        <w:rPr>
          <w:rFonts w:hint="eastAsia" w:hAnsi="宋体"/>
          <w:snapToGrid w:val="0"/>
          <w:lang w:val="zh-CN"/>
        </w:rPr>
        <w:t>2019年度、2020年度、2021年度的审计报告</w:t>
      </w:r>
    </w:p>
    <w:p>
      <w:pPr>
        <w:spacing w:line="440" w:lineRule="exact"/>
        <w:jc w:val="center"/>
        <w:rPr>
          <w:rFonts w:ascii="宋体" w:hAnsi="宋体" w:cs="宋体"/>
          <w:sz w:val="30"/>
          <w:szCs w:val="30"/>
        </w:rPr>
      </w:pPr>
      <w:r>
        <w:rPr>
          <w:rFonts w:ascii="宋体"/>
        </w:rPr>
        <w:br w:type="page"/>
      </w:r>
      <w:r>
        <w:rPr>
          <w:rFonts w:hint="eastAsia" w:ascii="宋体" w:hAnsi="宋体" w:cs="宋体"/>
          <w:sz w:val="30"/>
          <w:szCs w:val="30"/>
        </w:rPr>
        <w:t>（三）</w:t>
      </w:r>
      <w:r>
        <w:rPr>
          <w:rFonts w:ascii="宋体" w:hAnsi="宋体" w:cs="宋体"/>
          <w:sz w:val="30"/>
          <w:szCs w:val="30"/>
        </w:rPr>
        <w:t>近年类似项目情况表</w:t>
      </w:r>
    </w:p>
    <w:p>
      <w:pPr>
        <w:spacing w:line="440" w:lineRule="exact"/>
        <w:jc w:val="center"/>
        <w:rPr>
          <w:rFonts w:eastAsia="黑体"/>
          <w:sz w:val="23"/>
          <w:szCs w:val="23"/>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vAlign w:val="center"/>
          </w:tcPr>
          <w:p>
            <w:pPr>
              <w:topLinePunct/>
              <w:spacing w:line="440" w:lineRule="exact"/>
              <w:jc w:val="center"/>
            </w:pPr>
            <w:r>
              <w:t>项目名称</w:t>
            </w:r>
          </w:p>
        </w:tc>
        <w:tc>
          <w:tcPr>
            <w:tcW w:w="6253" w:type="dxa"/>
          </w:tcPr>
          <w:p>
            <w:pPr>
              <w:topLinePunct/>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vAlign w:val="center"/>
          </w:tcPr>
          <w:p>
            <w:pPr>
              <w:topLinePunct/>
              <w:spacing w:line="440" w:lineRule="exact"/>
              <w:jc w:val="center"/>
            </w:pPr>
            <w:r>
              <w:t>项目所在地</w:t>
            </w:r>
          </w:p>
        </w:tc>
        <w:tc>
          <w:tcPr>
            <w:tcW w:w="6253" w:type="dxa"/>
          </w:tcPr>
          <w:p>
            <w:pPr>
              <w:topLinePunct/>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vAlign w:val="center"/>
          </w:tcPr>
          <w:p>
            <w:pPr>
              <w:topLinePunct/>
              <w:spacing w:line="440" w:lineRule="exact"/>
              <w:jc w:val="center"/>
            </w:pPr>
            <w:r>
              <w:t>发包人名称</w:t>
            </w:r>
          </w:p>
        </w:tc>
        <w:tc>
          <w:tcPr>
            <w:tcW w:w="6253" w:type="dxa"/>
          </w:tcPr>
          <w:p>
            <w:pPr>
              <w:topLinePunct/>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vAlign w:val="center"/>
          </w:tcPr>
          <w:p>
            <w:pPr>
              <w:topLinePunct/>
              <w:spacing w:line="440" w:lineRule="exact"/>
              <w:jc w:val="center"/>
            </w:pPr>
            <w:r>
              <w:t>发包人地址</w:t>
            </w:r>
          </w:p>
        </w:tc>
        <w:tc>
          <w:tcPr>
            <w:tcW w:w="6253" w:type="dxa"/>
          </w:tcPr>
          <w:p>
            <w:pPr>
              <w:topLinePunct/>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vAlign w:val="center"/>
          </w:tcPr>
          <w:p>
            <w:pPr>
              <w:topLinePunct/>
              <w:spacing w:line="440" w:lineRule="exact"/>
              <w:jc w:val="center"/>
            </w:pPr>
            <w:r>
              <w:t>发包人电话</w:t>
            </w:r>
          </w:p>
        </w:tc>
        <w:tc>
          <w:tcPr>
            <w:tcW w:w="6253" w:type="dxa"/>
          </w:tcPr>
          <w:p>
            <w:pPr>
              <w:topLinePunct/>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vAlign w:val="center"/>
          </w:tcPr>
          <w:p>
            <w:pPr>
              <w:topLinePunct/>
              <w:spacing w:line="440" w:lineRule="exact"/>
              <w:jc w:val="center"/>
            </w:pPr>
            <w:r>
              <w:t>合同价格</w:t>
            </w:r>
          </w:p>
        </w:tc>
        <w:tc>
          <w:tcPr>
            <w:tcW w:w="6253" w:type="dxa"/>
          </w:tcPr>
          <w:p>
            <w:pPr>
              <w:topLinePunct/>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spacing w:line="440" w:lineRule="exact"/>
              <w:jc w:val="center"/>
            </w:pPr>
            <w:r>
              <w:t>开工日期</w:t>
            </w:r>
          </w:p>
        </w:tc>
        <w:tc>
          <w:tcPr>
            <w:tcW w:w="6253" w:type="dxa"/>
          </w:tcPr>
          <w:p>
            <w:pPr>
              <w:topLinePunct/>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vAlign w:val="center"/>
          </w:tcPr>
          <w:p>
            <w:pPr>
              <w:topLinePunct/>
              <w:spacing w:line="440" w:lineRule="exact"/>
              <w:jc w:val="center"/>
            </w:pPr>
            <w:r>
              <w:rPr>
                <w:rFonts w:hint="eastAsia"/>
              </w:rPr>
              <w:t>竣工</w:t>
            </w:r>
            <w:r>
              <w:t>日期</w:t>
            </w:r>
          </w:p>
        </w:tc>
        <w:tc>
          <w:tcPr>
            <w:tcW w:w="6253" w:type="dxa"/>
          </w:tcPr>
          <w:p>
            <w:pPr>
              <w:topLinePunct/>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vAlign w:val="center"/>
          </w:tcPr>
          <w:p>
            <w:pPr>
              <w:topLinePunct/>
              <w:spacing w:line="440" w:lineRule="exact"/>
              <w:jc w:val="center"/>
            </w:pPr>
            <w:r>
              <w:t>承担的工作</w:t>
            </w:r>
          </w:p>
        </w:tc>
        <w:tc>
          <w:tcPr>
            <w:tcW w:w="6253" w:type="dxa"/>
          </w:tcPr>
          <w:p>
            <w:pPr>
              <w:topLinePunct/>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vAlign w:val="center"/>
          </w:tcPr>
          <w:p>
            <w:pPr>
              <w:topLinePunct/>
              <w:spacing w:line="440" w:lineRule="exact"/>
              <w:jc w:val="center"/>
            </w:pPr>
            <w:r>
              <w:t>工程质量</w:t>
            </w:r>
          </w:p>
        </w:tc>
        <w:tc>
          <w:tcPr>
            <w:tcW w:w="6253" w:type="dxa"/>
          </w:tcPr>
          <w:p>
            <w:pPr>
              <w:topLinePunct/>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vAlign w:val="center"/>
          </w:tcPr>
          <w:p>
            <w:pPr>
              <w:topLinePunct/>
              <w:spacing w:line="440" w:lineRule="exact"/>
              <w:jc w:val="center"/>
            </w:pPr>
            <w:r>
              <w:t>项目经理</w:t>
            </w:r>
          </w:p>
        </w:tc>
        <w:tc>
          <w:tcPr>
            <w:tcW w:w="6253" w:type="dxa"/>
          </w:tcPr>
          <w:p>
            <w:pPr>
              <w:topLinePunct/>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vAlign w:val="center"/>
          </w:tcPr>
          <w:p>
            <w:pPr>
              <w:topLinePunct/>
              <w:spacing w:line="440" w:lineRule="exact"/>
              <w:jc w:val="center"/>
            </w:pPr>
            <w:r>
              <w:rPr>
                <w:rFonts w:hint="eastAsia"/>
              </w:rPr>
              <w:t>设计负责人</w:t>
            </w:r>
          </w:p>
        </w:tc>
        <w:tc>
          <w:tcPr>
            <w:tcW w:w="6253" w:type="dxa"/>
          </w:tcPr>
          <w:p>
            <w:pPr>
              <w:topLinePunct/>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spacing w:line="440" w:lineRule="exact"/>
              <w:jc w:val="center"/>
            </w:pPr>
            <w:r>
              <w:t>项目描述</w:t>
            </w:r>
          </w:p>
        </w:tc>
        <w:tc>
          <w:tcPr>
            <w:tcW w:w="6253" w:type="dxa"/>
          </w:tcPr>
          <w:p>
            <w:pPr>
              <w:topLinePunct/>
              <w:spacing w:line="440" w:lineRule="exact"/>
            </w:pPr>
          </w:p>
          <w:p>
            <w:pPr>
              <w:topLinePunct/>
              <w:spacing w:line="440" w:lineRule="exact"/>
            </w:pPr>
          </w:p>
          <w:p>
            <w:pPr>
              <w:topLinePunct/>
              <w:spacing w:line="440" w:lineRule="exact"/>
            </w:pPr>
          </w:p>
          <w:p>
            <w:pPr>
              <w:topLinePunct/>
              <w:spacing w:line="440" w:lineRule="exact"/>
            </w:pPr>
          </w:p>
          <w:p>
            <w:pPr>
              <w:topLinePunct/>
              <w:spacing w:line="440" w:lineRule="exact"/>
            </w:pPr>
          </w:p>
          <w:p>
            <w:pPr>
              <w:topLinePunct/>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spacing w:line="440" w:lineRule="exact"/>
              <w:jc w:val="center"/>
            </w:pPr>
            <w:r>
              <w:t>备注</w:t>
            </w:r>
          </w:p>
        </w:tc>
        <w:tc>
          <w:tcPr>
            <w:tcW w:w="6253" w:type="dxa"/>
          </w:tcPr>
          <w:p>
            <w:pPr>
              <w:topLinePunct/>
              <w:spacing w:line="440" w:lineRule="exact"/>
            </w:pPr>
          </w:p>
        </w:tc>
      </w:tr>
    </w:tbl>
    <w:p>
      <w:pPr>
        <w:widowControl/>
        <w:jc w:val="left"/>
        <w:rPr>
          <w:rFonts w:ascii="宋体"/>
        </w:rPr>
      </w:pPr>
      <w:r>
        <w:rPr>
          <w:rFonts w:hint="eastAsia" w:ascii="宋体" w:hAnsi="宋体" w:cs="宋体"/>
        </w:rPr>
        <w:t>注：本表后附合同扫描件，相关证明材料。</w:t>
      </w:r>
    </w:p>
    <w:p>
      <w:pPr>
        <w:widowControl/>
        <w:jc w:val="left"/>
        <w:rPr>
          <w:rFonts w:ascii="宋体"/>
          <w:sz w:val="20"/>
          <w:szCs w:val="20"/>
        </w:rPr>
      </w:pPr>
      <w:r>
        <w:rPr>
          <w:rFonts w:ascii="宋体" w:hAnsi="宋体" w:cs="宋体"/>
        </w:rPr>
        <w:t xml:space="preserve">    </w:t>
      </w:r>
    </w:p>
    <w:p>
      <w:pPr>
        <w:spacing w:line="440" w:lineRule="exact"/>
        <w:rPr>
          <w:rFonts w:ascii="宋体"/>
        </w:rPr>
      </w:pPr>
    </w:p>
    <w:p>
      <w:pPr>
        <w:spacing w:line="440" w:lineRule="exact"/>
        <w:jc w:val="center"/>
        <w:rPr>
          <w:rFonts w:ascii="宋体"/>
        </w:rPr>
      </w:pPr>
      <w:r>
        <w:rPr>
          <w:rFonts w:ascii="宋体"/>
        </w:rPr>
        <w:br w:type="page"/>
      </w:r>
      <w:bookmarkStart w:id="417" w:name="_Toc300835228"/>
      <w:bookmarkStart w:id="418" w:name="_Toc42001886"/>
      <w:bookmarkStart w:id="419" w:name="_Toc84265693"/>
    </w:p>
    <w:p>
      <w:pPr>
        <w:spacing w:line="440" w:lineRule="exact"/>
        <w:jc w:val="center"/>
        <w:rPr>
          <w:rFonts w:ascii="宋体" w:hAnsi="宋体" w:cs="宋体"/>
          <w:sz w:val="30"/>
          <w:szCs w:val="30"/>
        </w:rPr>
      </w:pPr>
      <w:r>
        <w:rPr>
          <w:rFonts w:ascii="宋体" w:hAnsi="宋体" w:cs="宋体"/>
          <w:sz w:val="30"/>
          <w:szCs w:val="30"/>
        </w:rPr>
        <w:t>（</w:t>
      </w:r>
      <w:r>
        <w:rPr>
          <w:rFonts w:hint="eastAsia" w:ascii="宋体" w:hAnsi="宋体" w:cs="宋体"/>
          <w:sz w:val="30"/>
          <w:szCs w:val="30"/>
        </w:rPr>
        <w:t>四</w:t>
      </w:r>
      <w:r>
        <w:rPr>
          <w:rFonts w:ascii="宋体" w:hAnsi="宋体" w:cs="宋体"/>
          <w:sz w:val="30"/>
          <w:szCs w:val="30"/>
        </w:rPr>
        <w:t>）近年发生的</w:t>
      </w:r>
      <w:r>
        <w:rPr>
          <w:rFonts w:hint="eastAsia" w:ascii="宋体" w:hAnsi="宋体" w:cs="宋体"/>
          <w:sz w:val="30"/>
          <w:szCs w:val="30"/>
        </w:rPr>
        <w:t>重大</w:t>
      </w:r>
      <w:r>
        <w:rPr>
          <w:rFonts w:ascii="宋体" w:hAnsi="宋体" w:cs="宋体"/>
          <w:sz w:val="30"/>
          <w:szCs w:val="30"/>
        </w:rPr>
        <w:t>诉讼及仲裁情况</w:t>
      </w:r>
      <w:bookmarkEnd w:id="417"/>
    </w:p>
    <w:p>
      <w:pPr>
        <w:spacing w:line="360" w:lineRule="auto"/>
        <w:jc w:val="center"/>
        <w:rPr>
          <w:rFonts w:ascii="宋体" w:hAnsi="宋体" w:cs="宋体"/>
          <w:sz w:val="30"/>
          <w:szCs w:val="30"/>
        </w:rPr>
      </w:pPr>
      <w:r>
        <w:rPr>
          <w:rFonts w:hint="eastAsia" w:ascii="宋体" w:hAnsi="宋体" w:cs="宋体"/>
          <w:kern w:val="0"/>
        </w:rPr>
        <w:t>投标人应根据投标人须知第</w:t>
      </w:r>
      <w:r>
        <w:rPr>
          <w:rFonts w:ascii="宋体" w:hAnsi="宋体" w:cs="宋体"/>
          <w:kern w:val="0"/>
        </w:rPr>
        <w:t>3.5.5</w:t>
      </w:r>
      <w:r>
        <w:rPr>
          <w:rFonts w:hint="eastAsia" w:ascii="宋体" w:hAnsi="宋体" w:cs="宋体"/>
          <w:kern w:val="0"/>
        </w:rPr>
        <w:t>项的要求附相关证明材料（如有）。</w:t>
      </w:r>
    </w:p>
    <w:p>
      <w:pPr>
        <w:spacing w:line="360" w:lineRule="auto"/>
        <w:jc w:val="center"/>
        <w:outlineLvl w:val="2"/>
        <w:rPr>
          <w:rFonts w:ascii="宋体"/>
          <w:sz w:val="30"/>
          <w:szCs w:val="30"/>
        </w:rPr>
      </w:pPr>
      <w:r>
        <w:rPr>
          <w:rFonts w:ascii="宋体" w:hAnsi="宋体" w:cs="宋体"/>
          <w:sz w:val="30"/>
          <w:szCs w:val="30"/>
        </w:rPr>
        <w:br w:type="page"/>
      </w:r>
      <w:r>
        <w:rPr>
          <w:rFonts w:hint="eastAsia" w:ascii="宋体" w:hAnsi="宋体" w:cs="宋体"/>
          <w:sz w:val="30"/>
          <w:szCs w:val="30"/>
        </w:rPr>
        <w:t>（五）投标人的信誉情况表</w:t>
      </w:r>
      <w:bookmarkEnd w:id="418"/>
      <w:bookmarkEnd w:id="419"/>
    </w:p>
    <w:tbl>
      <w:tblPr>
        <w:tblStyle w:val="3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0"/>
        <w:gridCol w:w="3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0" w:type="dxa"/>
            <w:vAlign w:val="center"/>
          </w:tcPr>
          <w:p>
            <w:pPr>
              <w:jc w:val="center"/>
              <w:rPr>
                <w:rFonts w:ascii="宋体"/>
              </w:rPr>
            </w:pPr>
            <w:r>
              <w:rPr>
                <w:rFonts w:hint="eastAsia" w:ascii="宋体" w:hAnsi="宋体" w:cs="宋体"/>
              </w:rPr>
              <w:t>项目</w:t>
            </w:r>
          </w:p>
        </w:tc>
        <w:tc>
          <w:tcPr>
            <w:tcW w:w="3699" w:type="dxa"/>
            <w:vAlign w:val="center"/>
          </w:tcPr>
          <w:p>
            <w:pPr>
              <w:jc w:val="center"/>
              <w:rPr>
                <w:rFonts w:ascii="宋体"/>
              </w:rPr>
            </w:pPr>
            <w:r>
              <w:rPr>
                <w:rFonts w:hint="eastAsia" w:ascii="宋体" w:hAnsi="宋体" w:cs="宋体"/>
              </w:rPr>
              <w:t>投标人情况说明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0" w:type="dxa"/>
            <w:vAlign w:val="center"/>
          </w:tcPr>
          <w:p>
            <w:pPr>
              <w:jc w:val="left"/>
              <w:rPr>
                <w:rFonts w:ascii="宋体"/>
              </w:rPr>
            </w:pPr>
            <w:r>
              <w:rPr>
                <w:rFonts w:hint="eastAsia" w:ascii="宋体" w:hAnsi="宋体" w:cs="宋体"/>
              </w:rPr>
              <w:t>为招标人不具有独立法人资格的附属机构（单位）</w:t>
            </w:r>
          </w:p>
        </w:tc>
        <w:tc>
          <w:tcPr>
            <w:tcW w:w="3699"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0" w:type="dxa"/>
            <w:vAlign w:val="center"/>
          </w:tcPr>
          <w:p>
            <w:pPr>
              <w:jc w:val="left"/>
              <w:rPr>
                <w:rFonts w:ascii="宋体"/>
                <w:spacing w:val="-3"/>
              </w:rPr>
            </w:pPr>
            <w:r>
              <w:rPr>
                <w:rFonts w:hint="eastAsia" w:ascii="宋体" w:hAnsi="宋体" w:cs="宋体"/>
              </w:rPr>
              <w:t>为招标项目前期工作提供咨询服务的；（前期咨询资料、成果对潜在投标人全部公开的，工程建设项目的可行性研究报告编制单位和方案编制单位可以参与工程总承包项目的投标。）</w:t>
            </w:r>
          </w:p>
        </w:tc>
        <w:tc>
          <w:tcPr>
            <w:tcW w:w="3699"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0" w:type="dxa"/>
            <w:vAlign w:val="center"/>
          </w:tcPr>
          <w:p>
            <w:pPr>
              <w:jc w:val="left"/>
              <w:rPr>
                <w:rFonts w:ascii="宋体"/>
              </w:rPr>
            </w:pPr>
            <w:r>
              <w:rPr>
                <w:rFonts w:hint="eastAsia" w:cs="宋体"/>
              </w:rPr>
              <w:t>为本招标项目的监理人</w:t>
            </w:r>
          </w:p>
        </w:tc>
        <w:tc>
          <w:tcPr>
            <w:tcW w:w="3699"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0" w:type="dxa"/>
            <w:vAlign w:val="center"/>
          </w:tcPr>
          <w:p>
            <w:pPr>
              <w:jc w:val="left"/>
              <w:rPr>
                <w:rFonts w:ascii="宋体"/>
              </w:rPr>
            </w:pPr>
            <w:r>
              <w:rPr>
                <w:rFonts w:hint="eastAsia" w:ascii="宋体" w:hAnsi="宋体" w:cs="宋体"/>
              </w:rPr>
              <w:t>为本招标项目的代建人</w:t>
            </w:r>
          </w:p>
        </w:tc>
        <w:tc>
          <w:tcPr>
            <w:tcW w:w="3699"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0" w:type="dxa"/>
            <w:vAlign w:val="center"/>
          </w:tcPr>
          <w:p>
            <w:pPr>
              <w:jc w:val="left"/>
              <w:rPr>
                <w:rFonts w:ascii="宋体"/>
              </w:rPr>
            </w:pPr>
            <w:r>
              <w:rPr>
                <w:rFonts w:hint="eastAsia" w:ascii="宋体" w:hAnsi="宋体" w:cs="宋体"/>
              </w:rPr>
              <w:t>为本招标项目提供招标代理服务的</w:t>
            </w:r>
          </w:p>
        </w:tc>
        <w:tc>
          <w:tcPr>
            <w:tcW w:w="3699"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0" w:type="dxa"/>
            <w:vAlign w:val="center"/>
          </w:tcPr>
          <w:p>
            <w:pPr>
              <w:jc w:val="left"/>
              <w:rPr>
                <w:rFonts w:ascii="宋体"/>
                <w:kern w:val="0"/>
              </w:rPr>
            </w:pPr>
            <w:r>
              <w:rPr>
                <w:rFonts w:hint="eastAsia" w:ascii="宋体" w:hAnsi="宋体" w:cs="宋体"/>
              </w:rPr>
              <w:t>被责令停业的</w:t>
            </w:r>
          </w:p>
        </w:tc>
        <w:tc>
          <w:tcPr>
            <w:tcW w:w="3699"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0" w:type="dxa"/>
            <w:vAlign w:val="center"/>
          </w:tcPr>
          <w:p>
            <w:pPr>
              <w:jc w:val="left"/>
              <w:rPr>
                <w:rFonts w:ascii="宋体"/>
                <w:kern w:val="0"/>
              </w:rPr>
            </w:pPr>
            <w:r>
              <w:rPr>
                <w:rFonts w:hint="eastAsia" w:ascii="宋体" w:hAnsi="宋体" w:cs="宋体"/>
              </w:rPr>
              <w:t>被暂停或取消投标资格的</w:t>
            </w:r>
          </w:p>
        </w:tc>
        <w:tc>
          <w:tcPr>
            <w:tcW w:w="3699"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0" w:type="dxa"/>
            <w:vAlign w:val="center"/>
          </w:tcPr>
          <w:p>
            <w:pPr>
              <w:jc w:val="left"/>
              <w:rPr>
                <w:rFonts w:ascii="宋体"/>
                <w:kern w:val="0"/>
              </w:rPr>
            </w:pPr>
            <w:r>
              <w:rPr>
                <w:rFonts w:hint="eastAsia" w:ascii="宋体" w:hAnsi="宋体" w:cs="宋体"/>
              </w:rPr>
              <w:t>财产被接管或冻结的</w:t>
            </w:r>
          </w:p>
        </w:tc>
        <w:tc>
          <w:tcPr>
            <w:tcW w:w="3699"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0" w:type="dxa"/>
            <w:vAlign w:val="center"/>
          </w:tcPr>
          <w:p>
            <w:pPr>
              <w:jc w:val="left"/>
              <w:rPr>
                <w:rFonts w:ascii="宋体"/>
                <w:kern w:val="0"/>
              </w:rPr>
            </w:pPr>
            <w:r>
              <w:rPr>
                <w:rFonts w:hint="eastAsia" w:ascii="宋体" w:hAnsi="宋体" w:cs="宋体"/>
              </w:rPr>
              <w:t>在最近三年内有骗取中标或严重违约或重大工程质量问题的</w:t>
            </w:r>
          </w:p>
        </w:tc>
        <w:tc>
          <w:tcPr>
            <w:tcW w:w="3699"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0" w:type="dxa"/>
            <w:vAlign w:val="center"/>
          </w:tcPr>
          <w:p>
            <w:pPr>
              <w:jc w:val="left"/>
              <w:rPr>
                <w:rFonts w:ascii="宋体"/>
                <w:kern w:val="0"/>
              </w:rPr>
            </w:pPr>
            <w:r>
              <w:rPr>
                <w:rFonts w:hint="eastAsia" w:ascii="宋体" w:hAnsi="宋体" w:cs="宋体"/>
              </w:rPr>
              <w:t>与本招标项目的监理人或代建人或招标代理机构同为一个法定代表人的</w:t>
            </w:r>
          </w:p>
        </w:tc>
        <w:tc>
          <w:tcPr>
            <w:tcW w:w="3699"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0" w:type="dxa"/>
            <w:vAlign w:val="center"/>
          </w:tcPr>
          <w:p>
            <w:pPr>
              <w:jc w:val="left"/>
              <w:rPr>
                <w:rFonts w:ascii="宋体"/>
                <w:kern w:val="0"/>
              </w:rPr>
            </w:pPr>
            <w:r>
              <w:rPr>
                <w:rFonts w:hint="eastAsia" w:ascii="宋体" w:hAnsi="宋体" w:cs="宋体"/>
              </w:rPr>
              <w:t>与本招标项目的监理人或代建人或招标代理机构相互控股或参股的</w:t>
            </w:r>
          </w:p>
        </w:tc>
        <w:tc>
          <w:tcPr>
            <w:tcW w:w="3699"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0" w:type="dxa"/>
            <w:vAlign w:val="center"/>
          </w:tcPr>
          <w:p>
            <w:pPr>
              <w:jc w:val="left"/>
              <w:rPr>
                <w:rFonts w:ascii="宋体"/>
                <w:kern w:val="0"/>
              </w:rPr>
            </w:pPr>
            <w:r>
              <w:rPr>
                <w:rFonts w:hint="eastAsia" w:ascii="宋体"/>
                <w:kern w:val="0"/>
              </w:rPr>
              <w:t>与本招标项目的监理人或代建人或招标代理机构相互任职或工作的</w:t>
            </w:r>
          </w:p>
        </w:tc>
        <w:tc>
          <w:tcPr>
            <w:tcW w:w="3699"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340" w:type="dxa"/>
            <w:vAlign w:val="center"/>
          </w:tcPr>
          <w:p>
            <w:pPr>
              <w:jc w:val="left"/>
              <w:rPr>
                <w:rFonts w:ascii="宋体"/>
                <w:kern w:val="0"/>
              </w:rPr>
            </w:pPr>
            <w:r>
              <w:rPr>
                <w:rFonts w:hint="eastAsia" w:ascii="宋体" w:hAnsi="宋体" w:cs="宋体"/>
              </w:rPr>
              <w:t>被工商行政管理机关在全国企业信用信息公示系统中列入严重违法失信企业名单</w:t>
            </w:r>
          </w:p>
        </w:tc>
        <w:tc>
          <w:tcPr>
            <w:tcW w:w="3699"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340" w:type="dxa"/>
            <w:vAlign w:val="center"/>
          </w:tcPr>
          <w:p>
            <w:pPr>
              <w:jc w:val="left"/>
              <w:rPr>
                <w:rFonts w:ascii="宋体"/>
                <w:kern w:val="0"/>
              </w:rPr>
            </w:pPr>
            <w:r>
              <w:rPr>
                <w:rFonts w:hint="eastAsia" w:ascii="宋体" w:hAnsi="宋体" w:cs="宋体"/>
              </w:rPr>
              <w:t>被“信用中国”网站（</w:t>
            </w:r>
            <w:r>
              <w:rPr>
                <w:rFonts w:ascii="宋体" w:hAnsi="宋体" w:cs="宋体"/>
              </w:rPr>
              <w:t>www.creditchina.gov.cn</w:t>
            </w:r>
            <w:r>
              <w:rPr>
                <w:rFonts w:hint="eastAsia" w:ascii="宋体" w:hAnsi="宋体" w:cs="宋体"/>
              </w:rPr>
              <w:t>）列入失信被执行人名单</w:t>
            </w:r>
          </w:p>
        </w:tc>
        <w:tc>
          <w:tcPr>
            <w:tcW w:w="3699"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340" w:type="dxa"/>
            <w:vAlign w:val="center"/>
          </w:tcPr>
          <w:p>
            <w:pPr>
              <w:jc w:val="left"/>
              <w:rPr>
                <w:rFonts w:ascii="宋体"/>
              </w:rPr>
            </w:pPr>
            <w:r>
              <w:rPr>
                <w:rFonts w:hint="eastAsia" w:ascii="宋体" w:hAnsi="宋体" w:cs="宋体"/>
                <w:spacing w:val="-3"/>
              </w:rPr>
              <w:t>在近三年内投标人或其法定代表人、拟委任的项目负责人有行贿犯罪行为的</w:t>
            </w:r>
          </w:p>
        </w:tc>
        <w:tc>
          <w:tcPr>
            <w:tcW w:w="3699" w:type="dxa"/>
            <w:vAlign w:val="center"/>
          </w:tcPr>
          <w:p>
            <w:pPr>
              <w:jc w:val="center"/>
              <w:rPr>
                <w:rFonts w:ascii="宋体"/>
              </w:rPr>
            </w:pPr>
          </w:p>
        </w:tc>
      </w:tr>
    </w:tbl>
    <w:p>
      <w:pPr>
        <w:autoSpaceDE w:val="0"/>
        <w:autoSpaceDN w:val="0"/>
        <w:adjustRightInd w:val="0"/>
        <w:spacing w:line="420" w:lineRule="exact"/>
        <w:ind w:right="-23"/>
        <w:jc w:val="left"/>
        <w:rPr>
          <w:rFonts w:ascii="宋体" w:hAnsi="宋体" w:cs="宋体"/>
        </w:rPr>
      </w:pPr>
      <w:r>
        <w:rPr>
          <w:rFonts w:hint="eastAsia" w:ascii="宋体" w:hAnsi="宋体" w:cs="宋体"/>
          <w:kern w:val="0"/>
        </w:rPr>
        <w:t>注：</w:t>
      </w:r>
      <w:r>
        <w:rPr>
          <w:rFonts w:ascii="宋体" w:hAnsi="宋体" w:cs="宋体"/>
        </w:rPr>
        <w:t>1</w:t>
      </w:r>
      <w:r>
        <w:rPr>
          <w:rFonts w:hint="eastAsia" w:ascii="宋体" w:hAnsi="宋体" w:cs="宋体"/>
        </w:rPr>
        <w:t>．投标人应按照招标文件第二章“投标人须知”正文第</w:t>
      </w:r>
      <w:r>
        <w:rPr>
          <w:rFonts w:ascii="宋体" w:hAnsi="宋体" w:cs="宋体"/>
        </w:rPr>
        <w:t>1.4.3</w:t>
      </w:r>
      <w:r>
        <w:rPr>
          <w:rFonts w:hint="eastAsia" w:ascii="宋体" w:hAnsi="宋体" w:cs="宋体"/>
        </w:rPr>
        <w:t>项规定，逐条说明信誉情况（附相应网站截图或</w:t>
      </w:r>
      <w:r>
        <w:rPr>
          <w:rFonts w:hint="eastAsia" w:ascii="宋体" w:hAnsi="宋体" w:cs="宋体"/>
          <w:bCs/>
        </w:rPr>
        <w:t>自行承诺</w:t>
      </w:r>
      <w:r>
        <w:rPr>
          <w:rFonts w:hint="eastAsia" w:ascii="宋体" w:hAnsi="宋体" w:cs="宋体"/>
        </w:rPr>
        <w:t>），实际以开标当日查询为准。</w:t>
      </w:r>
    </w:p>
    <w:p>
      <w:pPr>
        <w:autoSpaceDE w:val="0"/>
        <w:autoSpaceDN w:val="0"/>
        <w:adjustRightInd w:val="0"/>
        <w:spacing w:line="420" w:lineRule="exact"/>
        <w:ind w:right="-23" w:firstLine="315" w:firstLineChars="150"/>
        <w:jc w:val="left"/>
        <w:rPr>
          <w:rFonts w:ascii="宋体"/>
          <w:kern w:val="0"/>
        </w:rPr>
      </w:pPr>
    </w:p>
    <w:p>
      <w:pPr>
        <w:spacing w:line="440" w:lineRule="exact"/>
        <w:rPr>
          <w:rFonts w:ascii="宋体"/>
        </w:rPr>
      </w:pPr>
    </w:p>
    <w:p>
      <w:pPr>
        <w:spacing w:line="360" w:lineRule="auto"/>
        <w:jc w:val="center"/>
        <w:outlineLvl w:val="2"/>
        <w:rPr>
          <w:rFonts w:ascii="宋体"/>
          <w:sz w:val="30"/>
          <w:szCs w:val="30"/>
        </w:rPr>
      </w:pPr>
      <w:r>
        <w:rPr>
          <w:rFonts w:ascii="宋体"/>
          <w:snapToGrid w:val="0"/>
        </w:rPr>
        <w:br w:type="page"/>
      </w:r>
      <w:bookmarkStart w:id="420" w:name="_Toc84265694"/>
      <w:bookmarkStart w:id="421" w:name="_Toc42001887"/>
      <w:r>
        <w:rPr>
          <w:rFonts w:hint="eastAsia" w:ascii="宋体" w:hAnsi="宋体" w:cs="宋体"/>
          <w:sz w:val="30"/>
          <w:szCs w:val="30"/>
        </w:rPr>
        <w:t>（六）拟委任的主要人员汇总表</w:t>
      </w:r>
      <w:bookmarkEnd w:id="420"/>
      <w:bookmarkEnd w:id="421"/>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7"/>
        <w:gridCol w:w="1134"/>
        <w:gridCol w:w="850"/>
        <w:gridCol w:w="850"/>
        <w:gridCol w:w="850"/>
        <w:gridCol w:w="1134"/>
        <w:gridCol w:w="850"/>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Merge w:val="restart"/>
            <w:vAlign w:val="center"/>
          </w:tcPr>
          <w:p>
            <w:pPr>
              <w:wordWrap w:val="0"/>
              <w:adjustRightInd w:val="0"/>
              <w:snapToGrid w:val="0"/>
              <w:spacing w:line="240" w:lineRule="atLeast"/>
              <w:jc w:val="center"/>
              <w:rPr>
                <w:rFonts w:ascii="宋体"/>
                <w:snapToGrid w:val="0"/>
                <w:kern w:val="0"/>
              </w:rPr>
            </w:pPr>
            <w:r>
              <w:rPr>
                <w:rFonts w:hint="eastAsia" w:ascii="宋体" w:hAnsi="宋体" w:cs="宋体"/>
                <w:snapToGrid w:val="0"/>
                <w:kern w:val="0"/>
              </w:rPr>
              <w:t>序号</w:t>
            </w:r>
          </w:p>
        </w:tc>
        <w:tc>
          <w:tcPr>
            <w:tcW w:w="1417" w:type="dxa"/>
            <w:vMerge w:val="restart"/>
            <w:vAlign w:val="center"/>
          </w:tcPr>
          <w:p>
            <w:pPr>
              <w:wordWrap w:val="0"/>
              <w:adjustRightInd w:val="0"/>
              <w:snapToGrid w:val="0"/>
              <w:spacing w:line="240" w:lineRule="atLeast"/>
              <w:jc w:val="center"/>
              <w:rPr>
                <w:rFonts w:ascii="宋体"/>
                <w:snapToGrid w:val="0"/>
                <w:kern w:val="0"/>
              </w:rPr>
            </w:pPr>
            <w:r>
              <w:rPr>
                <w:rFonts w:hint="eastAsia" w:ascii="宋体" w:hAnsi="宋体" w:cs="宋体"/>
                <w:snapToGrid w:val="0"/>
                <w:kern w:val="0"/>
              </w:rPr>
              <w:t>本项目任职</w:t>
            </w:r>
          </w:p>
        </w:tc>
        <w:tc>
          <w:tcPr>
            <w:tcW w:w="1134" w:type="dxa"/>
            <w:vMerge w:val="restart"/>
            <w:vAlign w:val="center"/>
          </w:tcPr>
          <w:p>
            <w:pPr>
              <w:wordWrap w:val="0"/>
              <w:adjustRightInd w:val="0"/>
              <w:snapToGrid w:val="0"/>
              <w:spacing w:line="240" w:lineRule="atLeast"/>
              <w:jc w:val="center"/>
              <w:rPr>
                <w:rFonts w:ascii="宋体"/>
                <w:snapToGrid w:val="0"/>
                <w:kern w:val="0"/>
              </w:rPr>
            </w:pPr>
            <w:r>
              <w:rPr>
                <w:rFonts w:hint="eastAsia" w:ascii="宋体" w:hAnsi="宋体" w:cs="宋体"/>
                <w:snapToGrid w:val="0"/>
                <w:kern w:val="0"/>
              </w:rPr>
              <w:t>姓名</w:t>
            </w:r>
          </w:p>
        </w:tc>
        <w:tc>
          <w:tcPr>
            <w:tcW w:w="850" w:type="dxa"/>
            <w:vMerge w:val="restart"/>
            <w:vAlign w:val="center"/>
          </w:tcPr>
          <w:p>
            <w:pPr>
              <w:wordWrap w:val="0"/>
              <w:adjustRightInd w:val="0"/>
              <w:snapToGrid w:val="0"/>
              <w:spacing w:line="240" w:lineRule="atLeast"/>
              <w:jc w:val="center"/>
              <w:rPr>
                <w:rFonts w:ascii="宋体"/>
                <w:snapToGrid w:val="0"/>
                <w:kern w:val="0"/>
              </w:rPr>
            </w:pPr>
            <w:r>
              <w:rPr>
                <w:rFonts w:hint="eastAsia" w:ascii="宋体" w:hAnsi="宋体" w:cs="宋体"/>
                <w:snapToGrid w:val="0"/>
                <w:kern w:val="0"/>
              </w:rPr>
              <w:t>年龄</w:t>
            </w:r>
          </w:p>
        </w:tc>
        <w:tc>
          <w:tcPr>
            <w:tcW w:w="850" w:type="dxa"/>
            <w:vMerge w:val="restart"/>
            <w:vAlign w:val="center"/>
          </w:tcPr>
          <w:p>
            <w:pPr>
              <w:wordWrap w:val="0"/>
              <w:adjustRightInd w:val="0"/>
              <w:snapToGrid w:val="0"/>
              <w:spacing w:line="240" w:lineRule="atLeast"/>
              <w:jc w:val="center"/>
              <w:rPr>
                <w:rFonts w:ascii="宋体"/>
                <w:snapToGrid w:val="0"/>
                <w:kern w:val="0"/>
              </w:rPr>
            </w:pPr>
            <w:r>
              <w:rPr>
                <w:rFonts w:hint="eastAsia" w:ascii="宋体" w:hAnsi="宋体" w:cs="宋体"/>
                <w:snapToGrid w:val="0"/>
                <w:kern w:val="0"/>
              </w:rPr>
              <w:t>职称</w:t>
            </w:r>
          </w:p>
        </w:tc>
        <w:tc>
          <w:tcPr>
            <w:tcW w:w="850" w:type="dxa"/>
            <w:vMerge w:val="restart"/>
            <w:vAlign w:val="center"/>
          </w:tcPr>
          <w:p>
            <w:pPr>
              <w:wordWrap w:val="0"/>
              <w:adjustRightInd w:val="0"/>
              <w:snapToGrid w:val="0"/>
              <w:spacing w:line="240" w:lineRule="atLeast"/>
              <w:jc w:val="center"/>
              <w:rPr>
                <w:rFonts w:ascii="宋体"/>
                <w:snapToGrid w:val="0"/>
                <w:kern w:val="0"/>
              </w:rPr>
            </w:pPr>
            <w:r>
              <w:rPr>
                <w:rFonts w:hint="eastAsia" w:ascii="宋体" w:hAnsi="宋体" w:cs="宋体"/>
                <w:snapToGrid w:val="0"/>
                <w:kern w:val="0"/>
              </w:rPr>
              <w:t>专业</w:t>
            </w:r>
          </w:p>
        </w:tc>
        <w:tc>
          <w:tcPr>
            <w:tcW w:w="3118" w:type="dxa"/>
            <w:gridSpan w:val="3"/>
            <w:vAlign w:val="center"/>
          </w:tcPr>
          <w:p>
            <w:pPr>
              <w:wordWrap w:val="0"/>
              <w:adjustRightInd w:val="0"/>
              <w:snapToGrid w:val="0"/>
              <w:spacing w:line="240" w:lineRule="atLeast"/>
              <w:jc w:val="center"/>
              <w:rPr>
                <w:rFonts w:ascii="宋体"/>
                <w:snapToGrid w:val="0"/>
                <w:kern w:val="0"/>
              </w:rPr>
            </w:pPr>
            <w:r>
              <w:rPr>
                <w:rFonts w:hint="eastAsia" w:ascii="宋体" w:hAnsi="宋体" w:cs="宋体"/>
                <w:snapToGrid w:val="0"/>
                <w:kern w:val="0"/>
              </w:rPr>
              <w:t>执业或职业资格证明</w:t>
            </w:r>
          </w:p>
        </w:tc>
        <w:tc>
          <w:tcPr>
            <w:tcW w:w="850" w:type="dxa"/>
            <w:vMerge w:val="restart"/>
            <w:vAlign w:val="center"/>
          </w:tcPr>
          <w:p>
            <w:pPr>
              <w:wordWrap w:val="0"/>
              <w:adjustRightInd w:val="0"/>
              <w:snapToGrid w:val="0"/>
              <w:spacing w:line="240" w:lineRule="atLeast"/>
              <w:jc w:val="center"/>
              <w:rPr>
                <w:rFonts w:ascii="宋体"/>
                <w:snapToGrid w:val="0"/>
                <w:kern w:val="0"/>
              </w:rPr>
            </w:pPr>
            <w:r>
              <w:rPr>
                <w:rFonts w:hint="eastAsia" w:ascii="宋体" w:hAnsi="宋体" w:cs="宋体"/>
                <w:snapToGrid w:val="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Merge w:val="continue"/>
            <w:vAlign w:val="center"/>
          </w:tcPr>
          <w:p>
            <w:pPr>
              <w:wordWrap w:val="0"/>
              <w:adjustRightInd w:val="0"/>
              <w:snapToGrid w:val="0"/>
              <w:spacing w:line="240" w:lineRule="atLeast"/>
              <w:jc w:val="center"/>
              <w:rPr>
                <w:rFonts w:ascii="宋体"/>
                <w:snapToGrid w:val="0"/>
                <w:kern w:val="0"/>
              </w:rPr>
            </w:pPr>
          </w:p>
        </w:tc>
        <w:tc>
          <w:tcPr>
            <w:tcW w:w="1417" w:type="dxa"/>
            <w:vMerge w:val="continue"/>
            <w:vAlign w:val="center"/>
          </w:tcPr>
          <w:p>
            <w:pPr>
              <w:wordWrap w:val="0"/>
              <w:adjustRightInd w:val="0"/>
              <w:snapToGrid w:val="0"/>
              <w:spacing w:line="240" w:lineRule="atLeast"/>
              <w:jc w:val="center"/>
              <w:rPr>
                <w:rFonts w:ascii="宋体"/>
                <w:snapToGrid w:val="0"/>
                <w:kern w:val="0"/>
              </w:rPr>
            </w:pPr>
          </w:p>
        </w:tc>
        <w:tc>
          <w:tcPr>
            <w:tcW w:w="1134" w:type="dxa"/>
            <w:vMerge w:val="continue"/>
            <w:vAlign w:val="center"/>
          </w:tcPr>
          <w:p>
            <w:pPr>
              <w:wordWrap w:val="0"/>
              <w:adjustRightInd w:val="0"/>
              <w:snapToGrid w:val="0"/>
              <w:spacing w:line="240" w:lineRule="atLeast"/>
              <w:jc w:val="center"/>
              <w:rPr>
                <w:rFonts w:ascii="宋体"/>
                <w:snapToGrid w:val="0"/>
                <w:kern w:val="0"/>
              </w:rPr>
            </w:pPr>
          </w:p>
        </w:tc>
        <w:tc>
          <w:tcPr>
            <w:tcW w:w="850" w:type="dxa"/>
            <w:vMerge w:val="continue"/>
            <w:vAlign w:val="center"/>
          </w:tcPr>
          <w:p>
            <w:pPr>
              <w:wordWrap w:val="0"/>
              <w:adjustRightInd w:val="0"/>
              <w:snapToGrid w:val="0"/>
              <w:spacing w:line="240" w:lineRule="atLeast"/>
              <w:jc w:val="center"/>
              <w:rPr>
                <w:rFonts w:ascii="宋体"/>
                <w:snapToGrid w:val="0"/>
                <w:kern w:val="0"/>
              </w:rPr>
            </w:pPr>
          </w:p>
        </w:tc>
        <w:tc>
          <w:tcPr>
            <w:tcW w:w="850" w:type="dxa"/>
            <w:vMerge w:val="continue"/>
            <w:vAlign w:val="center"/>
          </w:tcPr>
          <w:p>
            <w:pPr>
              <w:wordWrap w:val="0"/>
              <w:adjustRightInd w:val="0"/>
              <w:snapToGrid w:val="0"/>
              <w:spacing w:line="240" w:lineRule="atLeast"/>
              <w:jc w:val="center"/>
              <w:rPr>
                <w:rFonts w:ascii="宋体"/>
                <w:snapToGrid w:val="0"/>
                <w:kern w:val="0"/>
              </w:rPr>
            </w:pPr>
          </w:p>
        </w:tc>
        <w:tc>
          <w:tcPr>
            <w:tcW w:w="850" w:type="dxa"/>
            <w:vMerge w:val="continue"/>
            <w:vAlign w:val="center"/>
          </w:tcPr>
          <w:p>
            <w:pPr>
              <w:wordWrap w:val="0"/>
              <w:adjustRightInd w:val="0"/>
              <w:snapToGrid w:val="0"/>
              <w:spacing w:line="240" w:lineRule="atLeast"/>
              <w:jc w:val="center"/>
              <w:rPr>
                <w:rFonts w:ascii="宋体"/>
                <w:snapToGrid w:val="0"/>
                <w:kern w:val="0"/>
              </w:rPr>
            </w:pPr>
          </w:p>
        </w:tc>
        <w:tc>
          <w:tcPr>
            <w:tcW w:w="1134" w:type="dxa"/>
            <w:vAlign w:val="center"/>
          </w:tcPr>
          <w:p>
            <w:pPr>
              <w:tabs>
                <w:tab w:val="left" w:pos="360"/>
              </w:tabs>
              <w:wordWrap w:val="0"/>
              <w:adjustRightInd w:val="0"/>
              <w:snapToGrid w:val="0"/>
              <w:spacing w:line="240" w:lineRule="atLeast"/>
              <w:jc w:val="center"/>
              <w:rPr>
                <w:rFonts w:ascii="宋体"/>
                <w:snapToGrid w:val="0"/>
                <w:kern w:val="0"/>
              </w:rPr>
            </w:pPr>
            <w:r>
              <w:rPr>
                <w:rFonts w:hint="eastAsia" w:ascii="宋体" w:hAnsi="宋体" w:cs="宋体"/>
                <w:snapToGrid w:val="0"/>
                <w:kern w:val="0"/>
              </w:rPr>
              <w:t>证书名称</w:t>
            </w:r>
          </w:p>
        </w:tc>
        <w:tc>
          <w:tcPr>
            <w:tcW w:w="850" w:type="dxa"/>
            <w:vAlign w:val="center"/>
          </w:tcPr>
          <w:p>
            <w:pPr>
              <w:tabs>
                <w:tab w:val="left" w:pos="360"/>
              </w:tabs>
              <w:wordWrap w:val="0"/>
              <w:adjustRightInd w:val="0"/>
              <w:snapToGrid w:val="0"/>
              <w:spacing w:line="240" w:lineRule="atLeast"/>
              <w:jc w:val="center"/>
              <w:rPr>
                <w:rFonts w:ascii="宋体"/>
                <w:snapToGrid w:val="0"/>
                <w:kern w:val="0"/>
              </w:rPr>
            </w:pPr>
            <w:r>
              <w:rPr>
                <w:rFonts w:hint="eastAsia" w:ascii="宋体" w:hAnsi="宋体" w:cs="宋体"/>
                <w:snapToGrid w:val="0"/>
                <w:kern w:val="0"/>
              </w:rPr>
              <w:t>级别</w:t>
            </w:r>
          </w:p>
        </w:tc>
        <w:tc>
          <w:tcPr>
            <w:tcW w:w="1134" w:type="dxa"/>
            <w:vAlign w:val="center"/>
          </w:tcPr>
          <w:p>
            <w:pPr>
              <w:tabs>
                <w:tab w:val="left" w:pos="360"/>
              </w:tabs>
              <w:wordWrap w:val="0"/>
              <w:adjustRightInd w:val="0"/>
              <w:snapToGrid w:val="0"/>
              <w:spacing w:line="240" w:lineRule="atLeast"/>
              <w:jc w:val="center"/>
              <w:rPr>
                <w:rFonts w:ascii="宋体"/>
                <w:snapToGrid w:val="0"/>
                <w:kern w:val="0"/>
              </w:rPr>
            </w:pPr>
            <w:r>
              <w:rPr>
                <w:rFonts w:hint="eastAsia" w:ascii="宋体" w:hAnsi="宋体" w:cs="宋体"/>
                <w:snapToGrid w:val="0"/>
                <w:kern w:val="0"/>
              </w:rPr>
              <w:t>证号</w:t>
            </w:r>
          </w:p>
        </w:tc>
        <w:tc>
          <w:tcPr>
            <w:tcW w:w="850" w:type="dxa"/>
            <w:vMerge w:val="continue"/>
            <w:vAlign w:val="center"/>
          </w:tcPr>
          <w:p>
            <w:pPr>
              <w:wordWrap w:val="0"/>
              <w:adjustRightInd w:val="0"/>
              <w:snapToGrid w:val="0"/>
              <w:spacing w:line="240" w:lineRule="atLeast"/>
              <w:jc w:val="center"/>
              <w:rPr>
                <w:rFonts w:asci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wordWrap w:val="0"/>
              <w:adjustRightInd w:val="0"/>
              <w:snapToGrid w:val="0"/>
              <w:spacing w:line="240" w:lineRule="atLeast"/>
              <w:jc w:val="center"/>
              <w:rPr>
                <w:rFonts w:ascii="宋体"/>
                <w:snapToGrid w:val="0"/>
                <w:kern w:val="0"/>
              </w:rPr>
            </w:pPr>
          </w:p>
        </w:tc>
        <w:tc>
          <w:tcPr>
            <w:tcW w:w="1417" w:type="dxa"/>
            <w:vAlign w:val="center"/>
          </w:tcPr>
          <w:p>
            <w:pPr>
              <w:wordWrap w:val="0"/>
              <w:adjustRightInd w:val="0"/>
              <w:snapToGrid w:val="0"/>
              <w:spacing w:line="240" w:lineRule="atLeast"/>
              <w:jc w:val="center"/>
              <w:rPr>
                <w:rFonts w:ascii="宋体"/>
                <w:snapToGrid w:val="0"/>
                <w:kern w:val="0"/>
              </w:rPr>
            </w:pPr>
          </w:p>
        </w:tc>
        <w:tc>
          <w:tcPr>
            <w:tcW w:w="1134"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1134"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1134"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wordWrap w:val="0"/>
              <w:adjustRightInd w:val="0"/>
              <w:snapToGrid w:val="0"/>
              <w:spacing w:line="240" w:lineRule="atLeast"/>
              <w:jc w:val="center"/>
              <w:rPr>
                <w:rFonts w:ascii="宋体"/>
                <w:snapToGrid w:val="0"/>
                <w:kern w:val="0"/>
              </w:rPr>
            </w:pPr>
          </w:p>
        </w:tc>
        <w:tc>
          <w:tcPr>
            <w:tcW w:w="1417" w:type="dxa"/>
            <w:vAlign w:val="center"/>
          </w:tcPr>
          <w:p>
            <w:pPr>
              <w:wordWrap w:val="0"/>
              <w:adjustRightInd w:val="0"/>
              <w:snapToGrid w:val="0"/>
              <w:spacing w:line="240" w:lineRule="atLeast"/>
              <w:jc w:val="center"/>
              <w:rPr>
                <w:rFonts w:ascii="宋体"/>
                <w:snapToGrid w:val="0"/>
                <w:kern w:val="0"/>
              </w:rPr>
            </w:pPr>
          </w:p>
        </w:tc>
        <w:tc>
          <w:tcPr>
            <w:tcW w:w="1134"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1134"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1134"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wordWrap w:val="0"/>
              <w:adjustRightInd w:val="0"/>
              <w:snapToGrid w:val="0"/>
              <w:spacing w:line="240" w:lineRule="atLeast"/>
              <w:jc w:val="center"/>
              <w:rPr>
                <w:rFonts w:ascii="宋体"/>
                <w:snapToGrid w:val="0"/>
                <w:kern w:val="0"/>
              </w:rPr>
            </w:pPr>
          </w:p>
        </w:tc>
        <w:tc>
          <w:tcPr>
            <w:tcW w:w="1417" w:type="dxa"/>
            <w:vAlign w:val="center"/>
          </w:tcPr>
          <w:p>
            <w:pPr>
              <w:wordWrap w:val="0"/>
              <w:adjustRightInd w:val="0"/>
              <w:snapToGrid w:val="0"/>
              <w:spacing w:line="240" w:lineRule="atLeast"/>
              <w:jc w:val="center"/>
              <w:rPr>
                <w:rFonts w:ascii="宋体"/>
                <w:snapToGrid w:val="0"/>
                <w:kern w:val="0"/>
              </w:rPr>
            </w:pPr>
          </w:p>
        </w:tc>
        <w:tc>
          <w:tcPr>
            <w:tcW w:w="1134"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1134"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1134"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wordWrap w:val="0"/>
              <w:adjustRightInd w:val="0"/>
              <w:snapToGrid w:val="0"/>
              <w:spacing w:line="240" w:lineRule="atLeast"/>
              <w:jc w:val="center"/>
              <w:rPr>
                <w:rFonts w:ascii="宋体"/>
                <w:snapToGrid w:val="0"/>
                <w:kern w:val="0"/>
              </w:rPr>
            </w:pPr>
          </w:p>
        </w:tc>
        <w:tc>
          <w:tcPr>
            <w:tcW w:w="1417" w:type="dxa"/>
            <w:vAlign w:val="center"/>
          </w:tcPr>
          <w:p>
            <w:pPr>
              <w:wordWrap w:val="0"/>
              <w:adjustRightInd w:val="0"/>
              <w:snapToGrid w:val="0"/>
              <w:spacing w:line="240" w:lineRule="atLeast"/>
              <w:jc w:val="center"/>
              <w:rPr>
                <w:rFonts w:ascii="宋体"/>
                <w:snapToGrid w:val="0"/>
                <w:kern w:val="0"/>
              </w:rPr>
            </w:pPr>
          </w:p>
        </w:tc>
        <w:tc>
          <w:tcPr>
            <w:tcW w:w="1134"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1134"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1134"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wordWrap w:val="0"/>
              <w:adjustRightInd w:val="0"/>
              <w:snapToGrid w:val="0"/>
              <w:spacing w:line="240" w:lineRule="atLeast"/>
              <w:jc w:val="center"/>
              <w:rPr>
                <w:rFonts w:ascii="宋体"/>
                <w:snapToGrid w:val="0"/>
                <w:kern w:val="0"/>
              </w:rPr>
            </w:pPr>
          </w:p>
        </w:tc>
        <w:tc>
          <w:tcPr>
            <w:tcW w:w="1417" w:type="dxa"/>
            <w:vAlign w:val="center"/>
          </w:tcPr>
          <w:p>
            <w:pPr>
              <w:wordWrap w:val="0"/>
              <w:adjustRightInd w:val="0"/>
              <w:snapToGrid w:val="0"/>
              <w:spacing w:line="240" w:lineRule="atLeast"/>
              <w:jc w:val="center"/>
              <w:rPr>
                <w:rFonts w:ascii="宋体"/>
                <w:snapToGrid w:val="0"/>
                <w:kern w:val="0"/>
              </w:rPr>
            </w:pPr>
          </w:p>
        </w:tc>
        <w:tc>
          <w:tcPr>
            <w:tcW w:w="1134"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1134"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1134"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wordWrap w:val="0"/>
              <w:adjustRightInd w:val="0"/>
              <w:snapToGrid w:val="0"/>
              <w:spacing w:line="240" w:lineRule="atLeast"/>
              <w:jc w:val="center"/>
              <w:rPr>
                <w:rFonts w:ascii="宋体"/>
                <w:snapToGrid w:val="0"/>
                <w:kern w:val="0"/>
              </w:rPr>
            </w:pPr>
          </w:p>
        </w:tc>
        <w:tc>
          <w:tcPr>
            <w:tcW w:w="1417" w:type="dxa"/>
            <w:vAlign w:val="center"/>
          </w:tcPr>
          <w:p>
            <w:pPr>
              <w:wordWrap w:val="0"/>
              <w:adjustRightInd w:val="0"/>
              <w:snapToGrid w:val="0"/>
              <w:spacing w:line="240" w:lineRule="atLeast"/>
              <w:jc w:val="center"/>
              <w:rPr>
                <w:rFonts w:ascii="宋体"/>
                <w:snapToGrid w:val="0"/>
                <w:kern w:val="0"/>
              </w:rPr>
            </w:pPr>
          </w:p>
        </w:tc>
        <w:tc>
          <w:tcPr>
            <w:tcW w:w="1134"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1134"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1134"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wordWrap w:val="0"/>
              <w:adjustRightInd w:val="0"/>
              <w:snapToGrid w:val="0"/>
              <w:spacing w:line="240" w:lineRule="atLeast"/>
              <w:jc w:val="center"/>
              <w:rPr>
                <w:rFonts w:ascii="宋体"/>
                <w:snapToGrid w:val="0"/>
                <w:kern w:val="0"/>
              </w:rPr>
            </w:pPr>
          </w:p>
        </w:tc>
        <w:tc>
          <w:tcPr>
            <w:tcW w:w="1417" w:type="dxa"/>
            <w:vAlign w:val="center"/>
          </w:tcPr>
          <w:p>
            <w:pPr>
              <w:wordWrap w:val="0"/>
              <w:adjustRightInd w:val="0"/>
              <w:snapToGrid w:val="0"/>
              <w:spacing w:line="240" w:lineRule="atLeast"/>
              <w:jc w:val="center"/>
              <w:rPr>
                <w:rFonts w:ascii="宋体"/>
                <w:snapToGrid w:val="0"/>
                <w:kern w:val="0"/>
              </w:rPr>
            </w:pPr>
          </w:p>
        </w:tc>
        <w:tc>
          <w:tcPr>
            <w:tcW w:w="1134"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1134"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1134"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wordWrap w:val="0"/>
              <w:adjustRightInd w:val="0"/>
              <w:snapToGrid w:val="0"/>
              <w:spacing w:line="240" w:lineRule="atLeast"/>
              <w:jc w:val="center"/>
              <w:rPr>
                <w:rFonts w:ascii="宋体"/>
                <w:snapToGrid w:val="0"/>
                <w:kern w:val="0"/>
              </w:rPr>
            </w:pPr>
          </w:p>
        </w:tc>
        <w:tc>
          <w:tcPr>
            <w:tcW w:w="1417" w:type="dxa"/>
            <w:vAlign w:val="center"/>
          </w:tcPr>
          <w:p>
            <w:pPr>
              <w:wordWrap w:val="0"/>
              <w:adjustRightInd w:val="0"/>
              <w:snapToGrid w:val="0"/>
              <w:spacing w:line="240" w:lineRule="atLeast"/>
              <w:jc w:val="center"/>
              <w:rPr>
                <w:rFonts w:ascii="宋体"/>
                <w:snapToGrid w:val="0"/>
                <w:kern w:val="0"/>
              </w:rPr>
            </w:pPr>
          </w:p>
        </w:tc>
        <w:tc>
          <w:tcPr>
            <w:tcW w:w="1134"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1134"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1134"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wordWrap w:val="0"/>
              <w:adjustRightInd w:val="0"/>
              <w:snapToGrid w:val="0"/>
              <w:spacing w:line="240" w:lineRule="atLeast"/>
              <w:jc w:val="center"/>
              <w:rPr>
                <w:rFonts w:ascii="宋体"/>
                <w:snapToGrid w:val="0"/>
                <w:kern w:val="0"/>
              </w:rPr>
            </w:pPr>
          </w:p>
        </w:tc>
        <w:tc>
          <w:tcPr>
            <w:tcW w:w="1417" w:type="dxa"/>
            <w:vAlign w:val="center"/>
          </w:tcPr>
          <w:p>
            <w:pPr>
              <w:wordWrap w:val="0"/>
              <w:adjustRightInd w:val="0"/>
              <w:snapToGrid w:val="0"/>
              <w:spacing w:line="240" w:lineRule="atLeast"/>
              <w:jc w:val="center"/>
              <w:rPr>
                <w:rFonts w:ascii="宋体"/>
                <w:snapToGrid w:val="0"/>
                <w:kern w:val="0"/>
              </w:rPr>
            </w:pPr>
          </w:p>
        </w:tc>
        <w:tc>
          <w:tcPr>
            <w:tcW w:w="1134"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1134"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c>
          <w:tcPr>
            <w:tcW w:w="1134" w:type="dxa"/>
            <w:vAlign w:val="center"/>
          </w:tcPr>
          <w:p>
            <w:pPr>
              <w:wordWrap w:val="0"/>
              <w:adjustRightInd w:val="0"/>
              <w:snapToGrid w:val="0"/>
              <w:spacing w:line="240" w:lineRule="atLeast"/>
              <w:jc w:val="center"/>
              <w:rPr>
                <w:rFonts w:ascii="宋体"/>
                <w:snapToGrid w:val="0"/>
                <w:kern w:val="0"/>
              </w:rPr>
            </w:pPr>
          </w:p>
        </w:tc>
        <w:tc>
          <w:tcPr>
            <w:tcW w:w="850" w:type="dxa"/>
            <w:vAlign w:val="center"/>
          </w:tcPr>
          <w:p>
            <w:pPr>
              <w:wordWrap w:val="0"/>
              <w:adjustRightInd w:val="0"/>
              <w:snapToGrid w:val="0"/>
              <w:spacing w:line="240" w:lineRule="atLeast"/>
              <w:jc w:val="center"/>
              <w:rPr>
                <w:rFonts w:ascii="宋体"/>
                <w:snapToGrid w:val="0"/>
                <w:kern w:val="0"/>
              </w:rPr>
            </w:pPr>
          </w:p>
        </w:tc>
      </w:tr>
    </w:tbl>
    <w:p>
      <w:pPr>
        <w:spacing w:line="360" w:lineRule="auto"/>
        <w:rPr>
          <w:rFonts w:ascii="宋体"/>
          <w:sz w:val="30"/>
          <w:szCs w:val="30"/>
        </w:rPr>
      </w:pPr>
    </w:p>
    <w:p>
      <w:pPr>
        <w:spacing w:line="360" w:lineRule="auto"/>
        <w:rPr>
          <w:rFonts w:ascii="宋体"/>
          <w:sz w:val="30"/>
          <w:szCs w:val="30"/>
        </w:rPr>
      </w:pPr>
    </w:p>
    <w:p>
      <w:pPr>
        <w:spacing w:line="360" w:lineRule="auto"/>
        <w:jc w:val="center"/>
        <w:outlineLvl w:val="2"/>
        <w:rPr>
          <w:rFonts w:ascii="宋体"/>
          <w:sz w:val="30"/>
          <w:szCs w:val="30"/>
        </w:rPr>
      </w:pPr>
      <w:r>
        <w:rPr>
          <w:rFonts w:ascii="宋体"/>
          <w:sz w:val="30"/>
          <w:szCs w:val="30"/>
        </w:rPr>
        <w:br w:type="page"/>
      </w:r>
      <w:bookmarkStart w:id="422" w:name="_Toc84265695"/>
      <w:bookmarkStart w:id="423" w:name="_Toc42001888"/>
      <w:r>
        <w:rPr>
          <w:rFonts w:hint="eastAsia" w:ascii="宋体" w:hAnsi="宋体" w:cs="宋体"/>
          <w:sz w:val="30"/>
          <w:szCs w:val="30"/>
        </w:rPr>
        <w:t>（七）主要人员简历表</w:t>
      </w:r>
      <w:bookmarkEnd w:id="422"/>
      <w:bookmarkEnd w:id="423"/>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934"/>
        <w:gridCol w:w="851"/>
        <w:gridCol w:w="1260"/>
        <w:gridCol w:w="1306"/>
        <w:gridCol w:w="1272"/>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exact"/>
          <w:jc w:val="center"/>
        </w:trPr>
        <w:tc>
          <w:tcPr>
            <w:tcW w:w="709" w:type="dxa"/>
            <w:vAlign w:val="center"/>
          </w:tcPr>
          <w:p>
            <w:pPr>
              <w:pStyle w:val="87"/>
              <w:ind w:left="172"/>
              <w:rPr>
                <w:rFonts w:hAnsi="宋体"/>
                <w:sz w:val="21"/>
                <w:szCs w:val="21"/>
                <w:lang w:val="zh-CN"/>
              </w:rPr>
            </w:pPr>
            <w:r>
              <w:rPr>
                <w:rFonts w:hint="eastAsia" w:hAnsi="宋体"/>
                <w:sz w:val="21"/>
                <w:szCs w:val="21"/>
                <w:lang w:val="zh-CN"/>
              </w:rPr>
              <w:t>姓名</w:t>
            </w:r>
            <w:r>
              <w:rPr>
                <w:rFonts w:hAnsi="宋体"/>
                <w:sz w:val="21"/>
                <w:szCs w:val="21"/>
                <w:lang w:val="zh-CN"/>
              </w:rPr>
              <w:t xml:space="preserve"> </w:t>
            </w:r>
          </w:p>
        </w:tc>
        <w:tc>
          <w:tcPr>
            <w:tcW w:w="934" w:type="dxa"/>
            <w:vAlign w:val="center"/>
          </w:tcPr>
          <w:p>
            <w:pPr>
              <w:pStyle w:val="87"/>
              <w:ind w:left="172"/>
              <w:rPr>
                <w:rFonts w:hAnsi="宋体"/>
                <w:sz w:val="21"/>
                <w:szCs w:val="21"/>
                <w:lang w:val="zh-CN"/>
              </w:rPr>
            </w:pPr>
          </w:p>
        </w:tc>
        <w:tc>
          <w:tcPr>
            <w:tcW w:w="851" w:type="dxa"/>
            <w:vAlign w:val="center"/>
          </w:tcPr>
          <w:p>
            <w:pPr>
              <w:pStyle w:val="87"/>
              <w:ind w:left="172"/>
              <w:rPr>
                <w:rFonts w:hAnsi="宋体" w:cs="Calibri"/>
                <w:sz w:val="21"/>
                <w:szCs w:val="21"/>
                <w:lang w:val="zh-CN"/>
              </w:rPr>
            </w:pPr>
            <w:r>
              <w:rPr>
                <w:rFonts w:hint="eastAsia" w:hAnsi="宋体"/>
                <w:sz w:val="21"/>
                <w:szCs w:val="21"/>
                <w:lang w:val="zh-CN"/>
              </w:rPr>
              <w:t>年龄</w:t>
            </w:r>
          </w:p>
        </w:tc>
        <w:tc>
          <w:tcPr>
            <w:tcW w:w="1260" w:type="dxa"/>
            <w:vAlign w:val="center"/>
          </w:tcPr>
          <w:p>
            <w:pPr>
              <w:pStyle w:val="87"/>
              <w:ind w:right="720"/>
              <w:jc w:val="right"/>
              <w:rPr>
                <w:rFonts w:hAnsi="宋体" w:cs="Calibri"/>
                <w:sz w:val="21"/>
                <w:szCs w:val="21"/>
                <w:lang w:val="zh-CN"/>
              </w:rPr>
            </w:pPr>
          </w:p>
        </w:tc>
        <w:tc>
          <w:tcPr>
            <w:tcW w:w="1306" w:type="dxa"/>
            <w:vAlign w:val="center"/>
          </w:tcPr>
          <w:p>
            <w:pPr>
              <w:pStyle w:val="87"/>
              <w:ind w:right="153"/>
              <w:jc w:val="right"/>
              <w:rPr>
                <w:rFonts w:hAnsi="宋体"/>
                <w:sz w:val="21"/>
                <w:szCs w:val="21"/>
                <w:lang w:val="zh-CN"/>
              </w:rPr>
            </w:pPr>
            <w:r>
              <w:rPr>
                <w:rFonts w:hint="eastAsia" w:hAnsi="宋体"/>
                <w:sz w:val="21"/>
                <w:szCs w:val="21"/>
                <w:lang w:val="zh-CN"/>
              </w:rPr>
              <w:t>学历</w:t>
            </w:r>
            <w:r>
              <w:rPr>
                <w:rFonts w:hAnsi="宋体"/>
                <w:sz w:val="21"/>
                <w:szCs w:val="21"/>
                <w:lang w:val="zh-CN"/>
              </w:rPr>
              <w:t xml:space="preserve"> </w:t>
            </w:r>
          </w:p>
        </w:tc>
        <w:tc>
          <w:tcPr>
            <w:tcW w:w="3611" w:type="dxa"/>
            <w:gridSpan w:val="2"/>
            <w:vAlign w:val="center"/>
          </w:tcPr>
          <w:p>
            <w:pPr>
              <w:pStyle w:val="87"/>
              <w:jc w:val="center"/>
              <w:rPr>
                <w:rFonts w:hAnsi="宋体" w:cs="Calibri"/>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exact"/>
          <w:jc w:val="center"/>
        </w:trPr>
        <w:tc>
          <w:tcPr>
            <w:tcW w:w="709" w:type="dxa"/>
            <w:vAlign w:val="center"/>
          </w:tcPr>
          <w:p>
            <w:pPr>
              <w:pStyle w:val="87"/>
              <w:ind w:left="172"/>
              <w:rPr>
                <w:rFonts w:hAnsi="宋体"/>
                <w:sz w:val="21"/>
                <w:szCs w:val="21"/>
                <w:lang w:val="zh-CN"/>
              </w:rPr>
            </w:pPr>
            <w:r>
              <w:rPr>
                <w:rFonts w:hint="eastAsia" w:hAnsi="宋体"/>
                <w:sz w:val="21"/>
                <w:szCs w:val="21"/>
                <w:lang w:val="zh-CN"/>
              </w:rPr>
              <w:t>职称</w:t>
            </w:r>
            <w:r>
              <w:rPr>
                <w:rFonts w:hAnsi="宋体"/>
                <w:sz w:val="21"/>
                <w:szCs w:val="21"/>
                <w:lang w:val="zh-CN"/>
              </w:rPr>
              <w:t xml:space="preserve"> </w:t>
            </w:r>
          </w:p>
        </w:tc>
        <w:tc>
          <w:tcPr>
            <w:tcW w:w="934" w:type="dxa"/>
            <w:vAlign w:val="center"/>
          </w:tcPr>
          <w:p>
            <w:pPr>
              <w:pStyle w:val="87"/>
              <w:ind w:left="172"/>
              <w:rPr>
                <w:rFonts w:hAnsi="宋体"/>
                <w:sz w:val="21"/>
                <w:szCs w:val="21"/>
                <w:lang w:val="zh-CN"/>
              </w:rPr>
            </w:pPr>
          </w:p>
        </w:tc>
        <w:tc>
          <w:tcPr>
            <w:tcW w:w="851" w:type="dxa"/>
            <w:vAlign w:val="center"/>
          </w:tcPr>
          <w:p>
            <w:pPr>
              <w:pStyle w:val="87"/>
              <w:ind w:left="172"/>
              <w:rPr>
                <w:rFonts w:hAnsi="宋体" w:cs="Calibri"/>
                <w:sz w:val="21"/>
                <w:szCs w:val="21"/>
                <w:lang w:val="zh-CN"/>
              </w:rPr>
            </w:pPr>
            <w:r>
              <w:rPr>
                <w:rFonts w:hint="eastAsia" w:hAnsi="宋体"/>
                <w:sz w:val="21"/>
                <w:szCs w:val="21"/>
                <w:lang w:val="zh-CN"/>
              </w:rPr>
              <w:t>职务</w:t>
            </w:r>
          </w:p>
        </w:tc>
        <w:tc>
          <w:tcPr>
            <w:tcW w:w="1260" w:type="dxa"/>
            <w:vAlign w:val="center"/>
          </w:tcPr>
          <w:p>
            <w:pPr>
              <w:pStyle w:val="87"/>
              <w:ind w:right="720"/>
              <w:jc w:val="right"/>
              <w:rPr>
                <w:rFonts w:hAnsi="宋体" w:cs="Calibri"/>
                <w:sz w:val="21"/>
                <w:szCs w:val="21"/>
                <w:lang w:val="zh-CN"/>
              </w:rPr>
            </w:pPr>
          </w:p>
        </w:tc>
        <w:tc>
          <w:tcPr>
            <w:tcW w:w="2578" w:type="dxa"/>
            <w:gridSpan w:val="2"/>
            <w:vAlign w:val="center"/>
          </w:tcPr>
          <w:p>
            <w:pPr>
              <w:pStyle w:val="87"/>
              <w:ind w:right="364"/>
              <w:jc w:val="right"/>
              <w:rPr>
                <w:rFonts w:hAnsi="宋体"/>
                <w:sz w:val="21"/>
                <w:szCs w:val="21"/>
                <w:lang w:val="zh-CN"/>
              </w:rPr>
            </w:pPr>
            <w:r>
              <w:rPr>
                <w:rFonts w:hint="eastAsia" w:hAnsi="宋体"/>
                <w:sz w:val="21"/>
                <w:szCs w:val="21"/>
                <w:lang w:val="zh-CN"/>
              </w:rPr>
              <w:t>拟在本合同任职</w:t>
            </w:r>
            <w:r>
              <w:rPr>
                <w:rFonts w:hAnsi="宋体"/>
                <w:sz w:val="21"/>
                <w:szCs w:val="21"/>
                <w:lang w:val="zh-CN"/>
              </w:rPr>
              <w:t xml:space="preserve"> </w:t>
            </w:r>
          </w:p>
        </w:tc>
        <w:tc>
          <w:tcPr>
            <w:tcW w:w="2339" w:type="dxa"/>
            <w:vAlign w:val="center"/>
          </w:tcPr>
          <w:p>
            <w:pPr>
              <w:pStyle w:val="87"/>
              <w:jc w:val="center"/>
              <w:rPr>
                <w:rFonts w:hAnsi="宋体" w:cs="Calibri"/>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exact"/>
          <w:jc w:val="center"/>
        </w:trPr>
        <w:tc>
          <w:tcPr>
            <w:tcW w:w="1643" w:type="dxa"/>
            <w:gridSpan w:val="2"/>
            <w:vAlign w:val="center"/>
          </w:tcPr>
          <w:p>
            <w:pPr>
              <w:pStyle w:val="87"/>
              <w:ind w:left="172"/>
              <w:rPr>
                <w:rFonts w:hAnsi="宋体"/>
                <w:sz w:val="21"/>
                <w:szCs w:val="21"/>
                <w:lang w:val="zh-CN"/>
              </w:rPr>
            </w:pPr>
            <w:r>
              <w:rPr>
                <w:rFonts w:hint="eastAsia" w:hAnsi="宋体"/>
                <w:sz w:val="21"/>
                <w:szCs w:val="21"/>
                <w:lang w:val="zh-CN"/>
              </w:rPr>
              <w:t>毕业学校</w:t>
            </w:r>
            <w:r>
              <w:rPr>
                <w:rFonts w:hAnsi="宋体"/>
                <w:sz w:val="21"/>
                <w:szCs w:val="21"/>
                <w:lang w:val="zh-CN"/>
              </w:rPr>
              <w:t xml:space="preserve"> </w:t>
            </w:r>
          </w:p>
        </w:tc>
        <w:tc>
          <w:tcPr>
            <w:tcW w:w="7028" w:type="dxa"/>
            <w:gridSpan w:val="5"/>
            <w:vAlign w:val="center"/>
          </w:tcPr>
          <w:p>
            <w:pPr>
              <w:pStyle w:val="87"/>
              <w:jc w:val="center"/>
              <w:rPr>
                <w:rFonts w:hAnsi="宋体"/>
                <w:sz w:val="21"/>
                <w:szCs w:val="21"/>
                <w:lang w:val="zh-CN"/>
              </w:rPr>
            </w:pPr>
            <w:r>
              <w:rPr>
                <w:rFonts w:hint="eastAsia" w:hAnsi="宋体"/>
                <w:sz w:val="21"/>
                <w:szCs w:val="21"/>
                <w:lang w:val="zh-CN"/>
              </w:rPr>
              <w:t>年毕业于</w:t>
            </w:r>
            <w:r>
              <w:rPr>
                <w:rFonts w:hAnsi="宋体"/>
                <w:sz w:val="21"/>
                <w:szCs w:val="21"/>
                <w:lang w:val="zh-CN"/>
              </w:rPr>
              <w:t xml:space="preserve">       </w:t>
            </w:r>
            <w:r>
              <w:rPr>
                <w:rFonts w:hint="eastAsia" w:hAnsi="宋体"/>
                <w:sz w:val="21"/>
                <w:szCs w:val="21"/>
                <w:lang w:val="zh-CN"/>
              </w:rPr>
              <w:t>学校</w:t>
            </w:r>
            <w:r>
              <w:rPr>
                <w:rFonts w:hAnsi="宋体"/>
                <w:sz w:val="21"/>
                <w:szCs w:val="21"/>
                <w:lang w:val="zh-CN"/>
              </w:rPr>
              <w:t xml:space="preserve">       </w:t>
            </w:r>
            <w:r>
              <w:rPr>
                <w:rFonts w:hint="eastAsia" w:hAnsi="宋体"/>
                <w:sz w:val="21"/>
                <w:szCs w:val="21"/>
                <w:lang w:val="zh-CN"/>
              </w:rPr>
              <w:t>专业</w:t>
            </w:r>
            <w:r>
              <w:rPr>
                <w:rFonts w:hAnsi="宋体"/>
                <w:sz w:val="21"/>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exact"/>
          <w:jc w:val="center"/>
        </w:trPr>
        <w:tc>
          <w:tcPr>
            <w:tcW w:w="8671" w:type="dxa"/>
            <w:gridSpan w:val="7"/>
            <w:vAlign w:val="center"/>
          </w:tcPr>
          <w:p>
            <w:pPr>
              <w:pStyle w:val="87"/>
              <w:rPr>
                <w:rFonts w:hAnsi="宋体"/>
                <w:sz w:val="21"/>
                <w:szCs w:val="21"/>
                <w:lang w:val="zh-CN"/>
              </w:rPr>
            </w:pPr>
            <w:r>
              <w:rPr>
                <w:rFonts w:hint="eastAsia" w:hAnsi="宋体"/>
                <w:sz w:val="21"/>
                <w:szCs w:val="21"/>
                <w:lang w:val="zh-CN"/>
              </w:rPr>
              <w:t>主要工作经历</w:t>
            </w:r>
            <w:r>
              <w:rPr>
                <w:rFonts w:hAnsi="宋体"/>
                <w:sz w:val="21"/>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exact"/>
          <w:jc w:val="center"/>
        </w:trPr>
        <w:tc>
          <w:tcPr>
            <w:tcW w:w="1643" w:type="dxa"/>
            <w:gridSpan w:val="2"/>
            <w:vAlign w:val="center"/>
          </w:tcPr>
          <w:p>
            <w:pPr>
              <w:pStyle w:val="87"/>
              <w:jc w:val="center"/>
              <w:rPr>
                <w:rFonts w:hAnsi="宋体" w:cs="Calibri"/>
                <w:sz w:val="21"/>
                <w:szCs w:val="21"/>
                <w:lang w:val="zh-CN"/>
              </w:rPr>
            </w:pPr>
            <w:r>
              <w:rPr>
                <w:rFonts w:hint="eastAsia" w:hAnsi="宋体"/>
                <w:sz w:val="21"/>
                <w:szCs w:val="21"/>
                <w:lang w:val="zh-CN"/>
              </w:rPr>
              <w:t>时间</w:t>
            </w:r>
          </w:p>
        </w:tc>
        <w:tc>
          <w:tcPr>
            <w:tcW w:w="3417" w:type="dxa"/>
            <w:gridSpan w:val="3"/>
            <w:vAlign w:val="center"/>
          </w:tcPr>
          <w:p>
            <w:pPr>
              <w:pStyle w:val="87"/>
              <w:jc w:val="center"/>
              <w:rPr>
                <w:rFonts w:hAnsi="宋体"/>
                <w:sz w:val="21"/>
                <w:szCs w:val="21"/>
                <w:lang w:val="zh-CN"/>
              </w:rPr>
            </w:pPr>
            <w:r>
              <w:rPr>
                <w:rFonts w:hint="eastAsia" w:hAnsi="宋体"/>
                <w:sz w:val="21"/>
                <w:szCs w:val="21"/>
                <w:lang w:val="zh-CN"/>
              </w:rPr>
              <w:t>参加过的类似项目</w:t>
            </w:r>
            <w:r>
              <w:rPr>
                <w:rFonts w:hAnsi="宋体"/>
                <w:sz w:val="21"/>
                <w:szCs w:val="21"/>
                <w:lang w:val="zh-CN"/>
              </w:rPr>
              <w:t xml:space="preserve"> </w:t>
            </w:r>
          </w:p>
        </w:tc>
        <w:tc>
          <w:tcPr>
            <w:tcW w:w="1272" w:type="dxa"/>
            <w:vAlign w:val="center"/>
          </w:tcPr>
          <w:p>
            <w:pPr>
              <w:pStyle w:val="87"/>
              <w:ind w:right="153"/>
              <w:jc w:val="center"/>
              <w:rPr>
                <w:rFonts w:hAnsi="宋体"/>
                <w:sz w:val="21"/>
                <w:szCs w:val="21"/>
                <w:lang w:val="zh-CN"/>
              </w:rPr>
            </w:pPr>
            <w:r>
              <w:rPr>
                <w:rFonts w:hint="eastAsia" w:hAnsi="宋体"/>
                <w:sz w:val="21"/>
                <w:szCs w:val="21"/>
                <w:lang w:val="zh-CN"/>
              </w:rPr>
              <w:t>担任职务</w:t>
            </w:r>
            <w:r>
              <w:rPr>
                <w:rFonts w:hAnsi="宋体"/>
                <w:sz w:val="21"/>
                <w:szCs w:val="21"/>
                <w:lang w:val="zh-CN"/>
              </w:rPr>
              <w:t xml:space="preserve"> </w:t>
            </w:r>
          </w:p>
        </w:tc>
        <w:tc>
          <w:tcPr>
            <w:tcW w:w="2339" w:type="dxa"/>
            <w:vAlign w:val="center"/>
          </w:tcPr>
          <w:p>
            <w:pPr>
              <w:pStyle w:val="87"/>
              <w:ind w:left="139"/>
              <w:rPr>
                <w:rFonts w:hAnsi="宋体"/>
                <w:sz w:val="21"/>
                <w:szCs w:val="21"/>
                <w:lang w:val="zh-CN"/>
              </w:rPr>
            </w:pPr>
            <w:r>
              <w:rPr>
                <w:rFonts w:hint="eastAsia" w:hAnsi="宋体"/>
                <w:sz w:val="21"/>
                <w:szCs w:val="21"/>
                <w:lang w:val="zh-CN"/>
              </w:rPr>
              <w:t>发包人及联系电话</w:t>
            </w:r>
            <w:r>
              <w:rPr>
                <w:rFonts w:hAnsi="宋体"/>
                <w:sz w:val="21"/>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exact"/>
          <w:jc w:val="center"/>
        </w:trPr>
        <w:tc>
          <w:tcPr>
            <w:tcW w:w="1643" w:type="dxa"/>
            <w:gridSpan w:val="2"/>
            <w:vAlign w:val="center"/>
          </w:tcPr>
          <w:p>
            <w:pPr>
              <w:pStyle w:val="87"/>
              <w:jc w:val="center"/>
              <w:rPr>
                <w:rFonts w:hAnsi="宋体" w:cs="Calibri"/>
                <w:sz w:val="21"/>
                <w:szCs w:val="21"/>
                <w:lang w:val="zh-CN"/>
              </w:rPr>
            </w:pPr>
          </w:p>
        </w:tc>
        <w:tc>
          <w:tcPr>
            <w:tcW w:w="3417" w:type="dxa"/>
            <w:gridSpan w:val="3"/>
            <w:vAlign w:val="center"/>
          </w:tcPr>
          <w:p>
            <w:pPr>
              <w:pStyle w:val="87"/>
              <w:jc w:val="center"/>
              <w:rPr>
                <w:rFonts w:hAnsi="宋体" w:cs="Calibri"/>
                <w:sz w:val="21"/>
                <w:szCs w:val="21"/>
                <w:lang w:val="zh-CN"/>
              </w:rPr>
            </w:pPr>
          </w:p>
        </w:tc>
        <w:tc>
          <w:tcPr>
            <w:tcW w:w="1272" w:type="dxa"/>
            <w:vAlign w:val="center"/>
          </w:tcPr>
          <w:p>
            <w:pPr>
              <w:pStyle w:val="87"/>
              <w:ind w:right="153"/>
              <w:jc w:val="center"/>
              <w:rPr>
                <w:rFonts w:hAnsi="宋体" w:cs="Calibri"/>
                <w:sz w:val="21"/>
                <w:szCs w:val="21"/>
                <w:lang w:val="zh-CN"/>
              </w:rPr>
            </w:pPr>
          </w:p>
        </w:tc>
        <w:tc>
          <w:tcPr>
            <w:tcW w:w="2339" w:type="dxa"/>
            <w:vAlign w:val="center"/>
          </w:tcPr>
          <w:p>
            <w:pPr>
              <w:pStyle w:val="87"/>
              <w:ind w:left="139"/>
              <w:rPr>
                <w:rFonts w:hAnsi="宋体" w:cs="Calibri"/>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exact"/>
          <w:jc w:val="center"/>
        </w:trPr>
        <w:tc>
          <w:tcPr>
            <w:tcW w:w="1643" w:type="dxa"/>
            <w:gridSpan w:val="2"/>
            <w:vAlign w:val="center"/>
          </w:tcPr>
          <w:p>
            <w:pPr>
              <w:pStyle w:val="87"/>
              <w:jc w:val="center"/>
              <w:rPr>
                <w:rFonts w:hAnsi="宋体" w:cs="Calibri"/>
                <w:sz w:val="21"/>
                <w:szCs w:val="21"/>
                <w:lang w:val="zh-CN"/>
              </w:rPr>
            </w:pPr>
          </w:p>
        </w:tc>
        <w:tc>
          <w:tcPr>
            <w:tcW w:w="3417" w:type="dxa"/>
            <w:gridSpan w:val="3"/>
            <w:vAlign w:val="center"/>
          </w:tcPr>
          <w:p>
            <w:pPr>
              <w:pStyle w:val="87"/>
              <w:jc w:val="center"/>
              <w:rPr>
                <w:rFonts w:hAnsi="宋体" w:cs="Calibri"/>
                <w:sz w:val="21"/>
                <w:szCs w:val="21"/>
                <w:lang w:val="zh-CN"/>
              </w:rPr>
            </w:pPr>
          </w:p>
        </w:tc>
        <w:tc>
          <w:tcPr>
            <w:tcW w:w="1272" w:type="dxa"/>
            <w:vAlign w:val="center"/>
          </w:tcPr>
          <w:p>
            <w:pPr>
              <w:pStyle w:val="87"/>
              <w:ind w:right="153"/>
              <w:jc w:val="center"/>
              <w:rPr>
                <w:rFonts w:hAnsi="宋体" w:cs="Calibri"/>
                <w:sz w:val="21"/>
                <w:szCs w:val="21"/>
                <w:lang w:val="zh-CN"/>
              </w:rPr>
            </w:pPr>
          </w:p>
        </w:tc>
        <w:tc>
          <w:tcPr>
            <w:tcW w:w="2339" w:type="dxa"/>
            <w:vAlign w:val="center"/>
          </w:tcPr>
          <w:p>
            <w:pPr>
              <w:pStyle w:val="87"/>
              <w:ind w:left="139"/>
              <w:rPr>
                <w:rFonts w:hAnsi="宋体" w:cs="Calibri"/>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exact"/>
          <w:jc w:val="center"/>
        </w:trPr>
        <w:tc>
          <w:tcPr>
            <w:tcW w:w="1643" w:type="dxa"/>
            <w:gridSpan w:val="2"/>
            <w:vAlign w:val="center"/>
          </w:tcPr>
          <w:p>
            <w:pPr>
              <w:pStyle w:val="87"/>
              <w:jc w:val="center"/>
              <w:rPr>
                <w:rFonts w:hAnsi="宋体" w:cs="Calibri"/>
                <w:sz w:val="21"/>
                <w:szCs w:val="21"/>
                <w:lang w:val="zh-CN"/>
              </w:rPr>
            </w:pPr>
          </w:p>
        </w:tc>
        <w:tc>
          <w:tcPr>
            <w:tcW w:w="3417" w:type="dxa"/>
            <w:gridSpan w:val="3"/>
            <w:vAlign w:val="center"/>
          </w:tcPr>
          <w:p>
            <w:pPr>
              <w:pStyle w:val="87"/>
              <w:jc w:val="center"/>
              <w:rPr>
                <w:rFonts w:hAnsi="宋体" w:cs="Calibri"/>
                <w:sz w:val="21"/>
                <w:szCs w:val="21"/>
                <w:lang w:val="zh-CN"/>
              </w:rPr>
            </w:pPr>
          </w:p>
        </w:tc>
        <w:tc>
          <w:tcPr>
            <w:tcW w:w="1272" w:type="dxa"/>
            <w:vAlign w:val="center"/>
          </w:tcPr>
          <w:p>
            <w:pPr>
              <w:pStyle w:val="87"/>
              <w:ind w:right="153"/>
              <w:jc w:val="center"/>
              <w:rPr>
                <w:rFonts w:hAnsi="宋体" w:cs="Calibri"/>
                <w:sz w:val="21"/>
                <w:szCs w:val="21"/>
                <w:lang w:val="zh-CN"/>
              </w:rPr>
            </w:pPr>
          </w:p>
        </w:tc>
        <w:tc>
          <w:tcPr>
            <w:tcW w:w="2339" w:type="dxa"/>
            <w:vAlign w:val="center"/>
          </w:tcPr>
          <w:p>
            <w:pPr>
              <w:pStyle w:val="87"/>
              <w:ind w:left="139"/>
              <w:rPr>
                <w:rFonts w:hAnsi="宋体" w:cs="Calibri"/>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exact"/>
          <w:jc w:val="center"/>
        </w:trPr>
        <w:tc>
          <w:tcPr>
            <w:tcW w:w="1643" w:type="dxa"/>
            <w:gridSpan w:val="2"/>
            <w:vAlign w:val="center"/>
          </w:tcPr>
          <w:p>
            <w:pPr>
              <w:pStyle w:val="87"/>
              <w:jc w:val="center"/>
              <w:rPr>
                <w:rFonts w:hAnsi="宋体" w:cs="Calibri"/>
                <w:sz w:val="21"/>
                <w:szCs w:val="21"/>
                <w:lang w:val="zh-CN"/>
              </w:rPr>
            </w:pPr>
          </w:p>
        </w:tc>
        <w:tc>
          <w:tcPr>
            <w:tcW w:w="3417" w:type="dxa"/>
            <w:gridSpan w:val="3"/>
            <w:vAlign w:val="center"/>
          </w:tcPr>
          <w:p>
            <w:pPr>
              <w:pStyle w:val="87"/>
              <w:jc w:val="center"/>
              <w:rPr>
                <w:rFonts w:hAnsi="宋体" w:cs="Calibri"/>
                <w:sz w:val="21"/>
                <w:szCs w:val="21"/>
                <w:lang w:val="zh-CN"/>
              </w:rPr>
            </w:pPr>
          </w:p>
        </w:tc>
        <w:tc>
          <w:tcPr>
            <w:tcW w:w="1272" w:type="dxa"/>
            <w:vAlign w:val="center"/>
          </w:tcPr>
          <w:p>
            <w:pPr>
              <w:pStyle w:val="87"/>
              <w:ind w:right="153"/>
              <w:jc w:val="center"/>
              <w:rPr>
                <w:rFonts w:hAnsi="宋体" w:cs="Calibri"/>
                <w:sz w:val="21"/>
                <w:szCs w:val="21"/>
                <w:lang w:val="zh-CN"/>
              </w:rPr>
            </w:pPr>
          </w:p>
        </w:tc>
        <w:tc>
          <w:tcPr>
            <w:tcW w:w="2339" w:type="dxa"/>
            <w:vAlign w:val="center"/>
          </w:tcPr>
          <w:p>
            <w:pPr>
              <w:pStyle w:val="87"/>
              <w:ind w:left="139"/>
              <w:rPr>
                <w:rFonts w:hAnsi="宋体" w:cs="Calibri"/>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exact"/>
          <w:jc w:val="center"/>
        </w:trPr>
        <w:tc>
          <w:tcPr>
            <w:tcW w:w="1643" w:type="dxa"/>
            <w:gridSpan w:val="2"/>
            <w:vAlign w:val="center"/>
          </w:tcPr>
          <w:p>
            <w:pPr>
              <w:pStyle w:val="87"/>
              <w:jc w:val="center"/>
              <w:rPr>
                <w:rFonts w:hAnsi="宋体" w:cs="Calibri"/>
                <w:sz w:val="21"/>
                <w:szCs w:val="21"/>
                <w:lang w:val="zh-CN"/>
              </w:rPr>
            </w:pPr>
          </w:p>
        </w:tc>
        <w:tc>
          <w:tcPr>
            <w:tcW w:w="3417" w:type="dxa"/>
            <w:gridSpan w:val="3"/>
            <w:vAlign w:val="center"/>
          </w:tcPr>
          <w:p>
            <w:pPr>
              <w:pStyle w:val="87"/>
              <w:jc w:val="center"/>
              <w:rPr>
                <w:rFonts w:hAnsi="宋体" w:cs="Calibri"/>
                <w:sz w:val="21"/>
                <w:szCs w:val="21"/>
                <w:lang w:val="zh-CN"/>
              </w:rPr>
            </w:pPr>
          </w:p>
        </w:tc>
        <w:tc>
          <w:tcPr>
            <w:tcW w:w="1272" w:type="dxa"/>
            <w:vAlign w:val="center"/>
          </w:tcPr>
          <w:p>
            <w:pPr>
              <w:pStyle w:val="87"/>
              <w:ind w:right="153"/>
              <w:jc w:val="center"/>
              <w:rPr>
                <w:rFonts w:hAnsi="宋体" w:cs="Calibri"/>
                <w:sz w:val="21"/>
                <w:szCs w:val="21"/>
                <w:lang w:val="zh-CN"/>
              </w:rPr>
            </w:pPr>
          </w:p>
        </w:tc>
        <w:tc>
          <w:tcPr>
            <w:tcW w:w="2339" w:type="dxa"/>
            <w:vAlign w:val="center"/>
          </w:tcPr>
          <w:p>
            <w:pPr>
              <w:pStyle w:val="87"/>
              <w:ind w:left="139"/>
              <w:rPr>
                <w:rFonts w:hAnsi="宋体" w:cs="Calibri"/>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exact"/>
          <w:jc w:val="center"/>
        </w:trPr>
        <w:tc>
          <w:tcPr>
            <w:tcW w:w="1643" w:type="dxa"/>
            <w:gridSpan w:val="2"/>
            <w:vAlign w:val="center"/>
          </w:tcPr>
          <w:p>
            <w:pPr>
              <w:pStyle w:val="87"/>
              <w:jc w:val="center"/>
              <w:rPr>
                <w:rFonts w:hAnsi="宋体" w:cs="Calibri"/>
                <w:sz w:val="21"/>
                <w:szCs w:val="21"/>
                <w:lang w:val="zh-CN"/>
              </w:rPr>
            </w:pPr>
          </w:p>
        </w:tc>
        <w:tc>
          <w:tcPr>
            <w:tcW w:w="3417" w:type="dxa"/>
            <w:gridSpan w:val="3"/>
            <w:vAlign w:val="center"/>
          </w:tcPr>
          <w:p>
            <w:pPr>
              <w:pStyle w:val="87"/>
              <w:jc w:val="center"/>
              <w:rPr>
                <w:rFonts w:hAnsi="宋体" w:cs="Calibri"/>
                <w:sz w:val="21"/>
                <w:szCs w:val="21"/>
                <w:lang w:val="zh-CN"/>
              </w:rPr>
            </w:pPr>
          </w:p>
        </w:tc>
        <w:tc>
          <w:tcPr>
            <w:tcW w:w="1272" w:type="dxa"/>
            <w:vAlign w:val="center"/>
          </w:tcPr>
          <w:p>
            <w:pPr>
              <w:pStyle w:val="87"/>
              <w:ind w:right="153"/>
              <w:jc w:val="center"/>
              <w:rPr>
                <w:rFonts w:hAnsi="宋体" w:cs="Calibri"/>
                <w:sz w:val="21"/>
                <w:szCs w:val="21"/>
                <w:lang w:val="zh-CN"/>
              </w:rPr>
            </w:pPr>
          </w:p>
        </w:tc>
        <w:tc>
          <w:tcPr>
            <w:tcW w:w="2339" w:type="dxa"/>
            <w:vAlign w:val="center"/>
          </w:tcPr>
          <w:p>
            <w:pPr>
              <w:pStyle w:val="87"/>
              <w:ind w:left="139"/>
              <w:rPr>
                <w:rFonts w:hAnsi="宋体" w:cs="Calibri"/>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exact"/>
          <w:jc w:val="center"/>
        </w:trPr>
        <w:tc>
          <w:tcPr>
            <w:tcW w:w="1643" w:type="dxa"/>
            <w:gridSpan w:val="2"/>
            <w:vAlign w:val="center"/>
          </w:tcPr>
          <w:p>
            <w:pPr>
              <w:pStyle w:val="87"/>
              <w:jc w:val="center"/>
              <w:rPr>
                <w:rFonts w:hAnsi="宋体" w:cs="Calibri"/>
                <w:sz w:val="21"/>
                <w:szCs w:val="21"/>
                <w:lang w:val="zh-CN"/>
              </w:rPr>
            </w:pPr>
          </w:p>
        </w:tc>
        <w:tc>
          <w:tcPr>
            <w:tcW w:w="3417" w:type="dxa"/>
            <w:gridSpan w:val="3"/>
            <w:vAlign w:val="center"/>
          </w:tcPr>
          <w:p>
            <w:pPr>
              <w:pStyle w:val="87"/>
              <w:jc w:val="center"/>
              <w:rPr>
                <w:rFonts w:hAnsi="宋体" w:cs="Calibri"/>
                <w:sz w:val="21"/>
                <w:szCs w:val="21"/>
                <w:lang w:val="zh-CN"/>
              </w:rPr>
            </w:pPr>
          </w:p>
        </w:tc>
        <w:tc>
          <w:tcPr>
            <w:tcW w:w="1272" w:type="dxa"/>
            <w:vAlign w:val="center"/>
          </w:tcPr>
          <w:p>
            <w:pPr>
              <w:pStyle w:val="87"/>
              <w:ind w:right="153"/>
              <w:jc w:val="center"/>
              <w:rPr>
                <w:rFonts w:hAnsi="宋体" w:cs="Calibri"/>
                <w:sz w:val="21"/>
                <w:szCs w:val="21"/>
                <w:lang w:val="zh-CN"/>
              </w:rPr>
            </w:pPr>
          </w:p>
        </w:tc>
        <w:tc>
          <w:tcPr>
            <w:tcW w:w="2339" w:type="dxa"/>
            <w:vAlign w:val="center"/>
          </w:tcPr>
          <w:p>
            <w:pPr>
              <w:pStyle w:val="87"/>
              <w:ind w:left="139"/>
              <w:rPr>
                <w:rFonts w:hAnsi="宋体" w:cs="Calibri"/>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exact"/>
          <w:jc w:val="center"/>
        </w:trPr>
        <w:tc>
          <w:tcPr>
            <w:tcW w:w="1643" w:type="dxa"/>
            <w:gridSpan w:val="2"/>
            <w:vAlign w:val="center"/>
          </w:tcPr>
          <w:p>
            <w:pPr>
              <w:pStyle w:val="87"/>
              <w:jc w:val="center"/>
              <w:rPr>
                <w:rFonts w:hAnsi="宋体" w:cs="Calibri"/>
                <w:sz w:val="21"/>
                <w:szCs w:val="21"/>
                <w:lang w:val="zh-CN"/>
              </w:rPr>
            </w:pPr>
          </w:p>
        </w:tc>
        <w:tc>
          <w:tcPr>
            <w:tcW w:w="3417" w:type="dxa"/>
            <w:gridSpan w:val="3"/>
            <w:vAlign w:val="center"/>
          </w:tcPr>
          <w:p>
            <w:pPr>
              <w:pStyle w:val="87"/>
              <w:jc w:val="center"/>
              <w:rPr>
                <w:rFonts w:hAnsi="宋体" w:cs="Calibri"/>
                <w:sz w:val="21"/>
                <w:szCs w:val="21"/>
                <w:lang w:val="zh-CN"/>
              </w:rPr>
            </w:pPr>
          </w:p>
        </w:tc>
        <w:tc>
          <w:tcPr>
            <w:tcW w:w="1272" w:type="dxa"/>
            <w:vAlign w:val="center"/>
          </w:tcPr>
          <w:p>
            <w:pPr>
              <w:pStyle w:val="87"/>
              <w:ind w:right="153"/>
              <w:jc w:val="center"/>
              <w:rPr>
                <w:rFonts w:hAnsi="宋体" w:cs="Calibri"/>
                <w:sz w:val="21"/>
                <w:szCs w:val="21"/>
                <w:lang w:val="zh-CN"/>
              </w:rPr>
            </w:pPr>
          </w:p>
        </w:tc>
        <w:tc>
          <w:tcPr>
            <w:tcW w:w="2339" w:type="dxa"/>
            <w:vAlign w:val="center"/>
          </w:tcPr>
          <w:p>
            <w:pPr>
              <w:pStyle w:val="87"/>
              <w:ind w:left="139"/>
              <w:rPr>
                <w:rFonts w:hAnsi="宋体" w:cs="Calibri"/>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exact"/>
          <w:jc w:val="center"/>
        </w:trPr>
        <w:tc>
          <w:tcPr>
            <w:tcW w:w="1643" w:type="dxa"/>
            <w:gridSpan w:val="2"/>
            <w:vAlign w:val="center"/>
          </w:tcPr>
          <w:p>
            <w:pPr>
              <w:pStyle w:val="87"/>
              <w:jc w:val="center"/>
              <w:rPr>
                <w:rFonts w:hAnsi="宋体" w:cs="Calibri"/>
                <w:sz w:val="21"/>
                <w:szCs w:val="21"/>
                <w:lang w:val="zh-CN"/>
              </w:rPr>
            </w:pPr>
          </w:p>
        </w:tc>
        <w:tc>
          <w:tcPr>
            <w:tcW w:w="3417" w:type="dxa"/>
            <w:gridSpan w:val="3"/>
            <w:vAlign w:val="center"/>
          </w:tcPr>
          <w:p>
            <w:pPr>
              <w:pStyle w:val="87"/>
              <w:jc w:val="center"/>
              <w:rPr>
                <w:rFonts w:hAnsi="宋体" w:cs="Calibri"/>
                <w:sz w:val="21"/>
                <w:szCs w:val="21"/>
                <w:lang w:val="zh-CN"/>
              </w:rPr>
            </w:pPr>
          </w:p>
        </w:tc>
        <w:tc>
          <w:tcPr>
            <w:tcW w:w="1272" w:type="dxa"/>
            <w:vAlign w:val="center"/>
          </w:tcPr>
          <w:p>
            <w:pPr>
              <w:pStyle w:val="87"/>
              <w:ind w:right="153"/>
              <w:jc w:val="center"/>
              <w:rPr>
                <w:rFonts w:hAnsi="宋体" w:cs="Calibri"/>
                <w:sz w:val="21"/>
                <w:szCs w:val="21"/>
                <w:lang w:val="zh-CN"/>
              </w:rPr>
            </w:pPr>
          </w:p>
        </w:tc>
        <w:tc>
          <w:tcPr>
            <w:tcW w:w="2339" w:type="dxa"/>
            <w:vAlign w:val="center"/>
          </w:tcPr>
          <w:p>
            <w:pPr>
              <w:pStyle w:val="87"/>
              <w:ind w:left="139"/>
              <w:rPr>
                <w:rFonts w:hAnsi="宋体" w:cs="Calibri"/>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exact"/>
          <w:jc w:val="center"/>
        </w:trPr>
        <w:tc>
          <w:tcPr>
            <w:tcW w:w="1643" w:type="dxa"/>
            <w:gridSpan w:val="2"/>
            <w:vAlign w:val="center"/>
          </w:tcPr>
          <w:p>
            <w:pPr>
              <w:pStyle w:val="87"/>
              <w:jc w:val="center"/>
              <w:rPr>
                <w:rFonts w:hAnsi="宋体" w:cs="Calibri"/>
                <w:sz w:val="21"/>
                <w:szCs w:val="21"/>
                <w:lang w:val="zh-CN"/>
              </w:rPr>
            </w:pPr>
          </w:p>
        </w:tc>
        <w:tc>
          <w:tcPr>
            <w:tcW w:w="3417" w:type="dxa"/>
            <w:gridSpan w:val="3"/>
            <w:vAlign w:val="center"/>
          </w:tcPr>
          <w:p>
            <w:pPr>
              <w:pStyle w:val="87"/>
              <w:jc w:val="center"/>
              <w:rPr>
                <w:rFonts w:hAnsi="宋体" w:cs="Calibri"/>
                <w:sz w:val="21"/>
                <w:szCs w:val="21"/>
                <w:lang w:val="zh-CN"/>
              </w:rPr>
            </w:pPr>
          </w:p>
        </w:tc>
        <w:tc>
          <w:tcPr>
            <w:tcW w:w="1272" w:type="dxa"/>
            <w:vAlign w:val="center"/>
          </w:tcPr>
          <w:p>
            <w:pPr>
              <w:pStyle w:val="87"/>
              <w:ind w:right="153"/>
              <w:jc w:val="center"/>
              <w:rPr>
                <w:rFonts w:hAnsi="宋体" w:cs="Calibri"/>
                <w:sz w:val="21"/>
                <w:szCs w:val="21"/>
                <w:lang w:val="zh-CN"/>
              </w:rPr>
            </w:pPr>
          </w:p>
        </w:tc>
        <w:tc>
          <w:tcPr>
            <w:tcW w:w="2339" w:type="dxa"/>
            <w:vAlign w:val="center"/>
          </w:tcPr>
          <w:p>
            <w:pPr>
              <w:pStyle w:val="87"/>
              <w:ind w:left="139"/>
              <w:rPr>
                <w:rFonts w:hAnsi="宋体" w:cs="Calibri"/>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exact"/>
          <w:jc w:val="center"/>
        </w:trPr>
        <w:tc>
          <w:tcPr>
            <w:tcW w:w="1643" w:type="dxa"/>
            <w:gridSpan w:val="2"/>
            <w:vAlign w:val="center"/>
          </w:tcPr>
          <w:p>
            <w:pPr>
              <w:pStyle w:val="87"/>
              <w:jc w:val="center"/>
              <w:rPr>
                <w:rFonts w:hAnsi="宋体" w:cs="Calibri"/>
                <w:sz w:val="21"/>
                <w:szCs w:val="21"/>
                <w:lang w:val="zh-CN"/>
              </w:rPr>
            </w:pPr>
          </w:p>
        </w:tc>
        <w:tc>
          <w:tcPr>
            <w:tcW w:w="3417" w:type="dxa"/>
            <w:gridSpan w:val="3"/>
            <w:vAlign w:val="center"/>
          </w:tcPr>
          <w:p>
            <w:pPr>
              <w:pStyle w:val="87"/>
              <w:jc w:val="center"/>
              <w:rPr>
                <w:rFonts w:hAnsi="宋体" w:cs="Calibri"/>
                <w:sz w:val="21"/>
                <w:szCs w:val="21"/>
                <w:lang w:val="zh-CN"/>
              </w:rPr>
            </w:pPr>
          </w:p>
        </w:tc>
        <w:tc>
          <w:tcPr>
            <w:tcW w:w="1272" w:type="dxa"/>
            <w:vAlign w:val="center"/>
          </w:tcPr>
          <w:p>
            <w:pPr>
              <w:pStyle w:val="87"/>
              <w:ind w:right="153"/>
              <w:jc w:val="center"/>
              <w:rPr>
                <w:rFonts w:hAnsi="宋体" w:cs="Calibri"/>
                <w:sz w:val="21"/>
                <w:szCs w:val="21"/>
                <w:lang w:val="zh-CN"/>
              </w:rPr>
            </w:pPr>
          </w:p>
        </w:tc>
        <w:tc>
          <w:tcPr>
            <w:tcW w:w="2339" w:type="dxa"/>
            <w:vAlign w:val="center"/>
          </w:tcPr>
          <w:p>
            <w:pPr>
              <w:pStyle w:val="87"/>
              <w:ind w:left="139"/>
              <w:rPr>
                <w:rFonts w:hAnsi="宋体" w:cs="Calibri"/>
                <w:sz w:val="21"/>
                <w:szCs w:val="21"/>
                <w:lang w:val="zh-CN"/>
              </w:rPr>
            </w:pPr>
          </w:p>
        </w:tc>
      </w:tr>
    </w:tbl>
    <w:p>
      <w:pPr>
        <w:tabs>
          <w:tab w:val="left" w:pos="-180"/>
          <w:tab w:val="left" w:pos="0"/>
        </w:tabs>
        <w:jc w:val="left"/>
        <w:rPr>
          <w:rFonts w:ascii="宋体" w:hAnsi="宋体" w:cs="宋体"/>
          <w:b/>
          <w:bCs/>
        </w:rPr>
      </w:pPr>
      <w:r>
        <w:rPr>
          <w:rFonts w:hint="eastAsia" w:ascii="宋体" w:hAnsi="宋体" w:cs="宋体"/>
          <w:b/>
          <w:bCs/>
        </w:rPr>
        <w:t>注：项目经理、设计负责人、质量管理负责人、安全管理负责人等应分别填写本表，本表后应附身份证扫描件、相关证书的扫描件、养老保险扫描件。</w:t>
      </w:r>
    </w:p>
    <w:p>
      <w:pPr>
        <w:tabs>
          <w:tab w:val="left" w:pos="-180"/>
          <w:tab w:val="left" w:pos="0"/>
        </w:tabs>
        <w:jc w:val="left"/>
        <w:rPr>
          <w:rFonts w:ascii="宋体" w:hAnsi="宋体" w:cs="宋体"/>
          <w:b/>
          <w:bCs/>
        </w:rPr>
      </w:pPr>
      <w:r>
        <w:rPr>
          <w:rFonts w:hint="eastAsia" w:ascii="宋体" w:hAnsi="宋体" w:cs="宋体"/>
        </w:rPr>
        <w:t>相关人员的业绩证明材料，包括附合同扫描件、业主证明（如有）等相关证明材料。</w:t>
      </w:r>
    </w:p>
    <w:p>
      <w:pPr>
        <w:tabs>
          <w:tab w:val="left" w:pos="-180"/>
          <w:tab w:val="left" w:pos="0"/>
        </w:tabs>
        <w:jc w:val="left"/>
        <w:rPr>
          <w:rFonts w:ascii="宋体"/>
          <w:b/>
          <w:bCs/>
        </w:rPr>
      </w:pPr>
    </w:p>
    <w:p>
      <w:pPr>
        <w:tabs>
          <w:tab w:val="left" w:pos="-180"/>
          <w:tab w:val="left" w:pos="0"/>
        </w:tabs>
        <w:jc w:val="center"/>
        <w:rPr>
          <w:rFonts w:ascii="宋体"/>
          <w:b/>
          <w:bCs/>
        </w:rPr>
      </w:pPr>
      <w:r>
        <w:rPr>
          <w:rFonts w:ascii="宋体"/>
          <w:b/>
          <w:bCs/>
        </w:rPr>
        <w:br w:type="page"/>
      </w:r>
      <w:r>
        <w:rPr>
          <w:rFonts w:hint="eastAsia" w:ascii="宋体" w:hAnsi="宋体" w:cs="宋体"/>
          <w:sz w:val="30"/>
          <w:szCs w:val="30"/>
        </w:rPr>
        <w:t>（八）拟投入本项目的主要施工设备表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1413"/>
        <w:gridCol w:w="840"/>
        <w:gridCol w:w="630"/>
        <w:gridCol w:w="840"/>
        <w:gridCol w:w="735"/>
        <w:gridCol w:w="1365"/>
        <w:gridCol w:w="1260"/>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0" w:type="dxa"/>
            <w:vAlign w:val="center"/>
          </w:tcPr>
          <w:p>
            <w:pPr>
              <w:spacing w:line="400" w:lineRule="exact"/>
              <w:jc w:val="center"/>
              <w:rPr>
                <w:rFonts w:ascii="宋体"/>
                <w:kern w:val="0"/>
              </w:rPr>
            </w:pPr>
            <w:r>
              <w:rPr>
                <w:rFonts w:hint="eastAsia" w:ascii="宋体" w:hAnsi="宋体" w:cs="宋体"/>
                <w:kern w:val="0"/>
              </w:rPr>
              <w:t>序号</w:t>
            </w:r>
          </w:p>
        </w:tc>
        <w:tc>
          <w:tcPr>
            <w:tcW w:w="1413" w:type="dxa"/>
            <w:vAlign w:val="center"/>
          </w:tcPr>
          <w:p>
            <w:pPr>
              <w:spacing w:line="400" w:lineRule="exact"/>
              <w:jc w:val="center"/>
              <w:rPr>
                <w:rFonts w:ascii="宋体"/>
                <w:kern w:val="0"/>
              </w:rPr>
            </w:pPr>
            <w:r>
              <w:rPr>
                <w:rFonts w:hint="eastAsia" w:ascii="宋体" w:hAnsi="宋体" w:cs="宋体"/>
                <w:kern w:val="0"/>
              </w:rPr>
              <w:t>机</w:t>
            </w:r>
            <w:r>
              <w:rPr>
                <w:rFonts w:ascii="宋体" w:hAnsi="宋体" w:cs="宋体"/>
                <w:kern w:val="0"/>
              </w:rPr>
              <w:t xml:space="preserve"> </w:t>
            </w:r>
            <w:r>
              <w:rPr>
                <w:rFonts w:hint="eastAsia" w:ascii="宋体" w:hAnsi="宋体" w:cs="宋体"/>
                <w:kern w:val="0"/>
              </w:rPr>
              <w:t>械</w:t>
            </w:r>
            <w:r>
              <w:rPr>
                <w:rFonts w:ascii="宋体" w:hAnsi="宋体" w:cs="宋体"/>
                <w:kern w:val="0"/>
              </w:rPr>
              <w:t xml:space="preserve"> </w:t>
            </w:r>
            <w:r>
              <w:rPr>
                <w:rFonts w:hint="eastAsia" w:ascii="宋体" w:hAnsi="宋体" w:cs="宋体"/>
                <w:kern w:val="0"/>
              </w:rPr>
              <w:t>或</w:t>
            </w:r>
          </w:p>
          <w:p>
            <w:pPr>
              <w:spacing w:line="400" w:lineRule="exact"/>
              <w:jc w:val="center"/>
              <w:rPr>
                <w:rFonts w:ascii="宋体"/>
                <w:kern w:val="0"/>
              </w:rPr>
            </w:pPr>
            <w:r>
              <w:rPr>
                <w:rFonts w:hint="eastAsia" w:ascii="宋体" w:hAnsi="宋体" w:cs="宋体"/>
                <w:kern w:val="0"/>
              </w:rPr>
              <w:t>设备名称</w:t>
            </w:r>
          </w:p>
        </w:tc>
        <w:tc>
          <w:tcPr>
            <w:tcW w:w="840" w:type="dxa"/>
            <w:vAlign w:val="center"/>
          </w:tcPr>
          <w:p>
            <w:pPr>
              <w:spacing w:line="400" w:lineRule="exact"/>
              <w:jc w:val="center"/>
              <w:rPr>
                <w:rFonts w:ascii="宋体"/>
                <w:kern w:val="0"/>
              </w:rPr>
            </w:pPr>
            <w:r>
              <w:rPr>
                <w:rFonts w:hint="eastAsia" w:ascii="宋体" w:hAnsi="宋体" w:cs="宋体"/>
                <w:kern w:val="0"/>
              </w:rPr>
              <w:t>型号规格</w:t>
            </w:r>
          </w:p>
        </w:tc>
        <w:tc>
          <w:tcPr>
            <w:tcW w:w="630" w:type="dxa"/>
            <w:vAlign w:val="center"/>
          </w:tcPr>
          <w:p>
            <w:pPr>
              <w:spacing w:line="400" w:lineRule="exact"/>
              <w:jc w:val="center"/>
              <w:rPr>
                <w:rFonts w:ascii="宋体"/>
                <w:kern w:val="0"/>
              </w:rPr>
            </w:pPr>
            <w:r>
              <w:rPr>
                <w:rFonts w:hint="eastAsia" w:ascii="宋体" w:hAnsi="宋体" w:cs="宋体"/>
                <w:kern w:val="0"/>
              </w:rPr>
              <w:t>数量</w:t>
            </w:r>
          </w:p>
        </w:tc>
        <w:tc>
          <w:tcPr>
            <w:tcW w:w="840" w:type="dxa"/>
            <w:vAlign w:val="center"/>
          </w:tcPr>
          <w:p>
            <w:pPr>
              <w:spacing w:line="400" w:lineRule="exact"/>
              <w:jc w:val="center"/>
              <w:rPr>
                <w:rFonts w:ascii="宋体"/>
                <w:kern w:val="0"/>
              </w:rPr>
            </w:pPr>
            <w:r>
              <w:rPr>
                <w:rFonts w:hint="eastAsia" w:ascii="宋体" w:hAnsi="宋体" w:cs="宋体"/>
                <w:kern w:val="0"/>
              </w:rPr>
              <w:t>国别</w:t>
            </w:r>
          </w:p>
          <w:p>
            <w:pPr>
              <w:spacing w:line="400" w:lineRule="exact"/>
              <w:jc w:val="center"/>
              <w:rPr>
                <w:rFonts w:ascii="宋体"/>
                <w:kern w:val="0"/>
              </w:rPr>
            </w:pPr>
            <w:r>
              <w:rPr>
                <w:rFonts w:hint="eastAsia" w:ascii="宋体" w:hAnsi="宋体" w:cs="宋体"/>
                <w:kern w:val="0"/>
              </w:rPr>
              <w:t>产地</w:t>
            </w:r>
          </w:p>
        </w:tc>
        <w:tc>
          <w:tcPr>
            <w:tcW w:w="735" w:type="dxa"/>
            <w:vAlign w:val="center"/>
          </w:tcPr>
          <w:p>
            <w:pPr>
              <w:spacing w:line="400" w:lineRule="exact"/>
              <w:jc w:val="center"/>
              <w:rPr>
                <w:rFonts w:ascii="宋体"/>
                <w:kern w:val="0"/>
              </w:rPr>
            </w:pPr>
            <w:r>
              <w:rPr>
                <w:rFonts w:hint="eastAsia" w:ascii="宋体" w:hAnsi="宋体" w:cs="宋体"/>
                <w:kern w:val="0"/>
              </w:rPr>
              <w:t>制造</w:t>
            </w:r>
          </w:p>
          <w:p>
            <w:pPr>
              <w:spacing w:line="400" w:lineRule="exact"/>
              <w:jc w:val="center"/>
              <w:rPr>
                <w:rFonts w:ascii="宋体"/>
                <w:kern w:val="0"/>
              </w:rPr>
            </w:pPr>
            <w:r>
              <w:rPr>
                <w:rFonts w:hint="eastAsia" w:ascii="宋体" w:hAnsi="宋体" w:cs="宋体"/>
                <w:kern w:val="0"/>
              </w:rPr>
              <w:t>年份</w:t>
            </w:r>
          </w:p>
        </w:tc>
        <w:tc>
          <w:tcPr>
            <w:tcW w:w="1365" w:type="dxa"/>
            <w:vAlign w:val="center"/>
          </w:tcPr>
          <w:p>
            <w:pPr>
              <w:spacing w:line="400" w:lineRule="exact"/>
              <w:jc w:val="center"/>
              <w:rPr>
                <w:rFonts w:ascii="宋体"/>
                <w:kern w:val="0"/>
              </w:rPr>
            </w:pPr>
            <w:r>
              <w:rPr>
                <w:rFonts w:hint="eastAsia" w:ascii="宋体" w:hAnsi="宋体" w:cs="宋体"/>
                <w:kern w:val="0"/>
              </w:rPr>
              <w:t>额定功率</w:t>
            </w:r>
            <w:r>
              <w:rPr>
                <w:rFonts w:ascii="宋体" w:hAnsi="宋体" w:cs="宋体"/>
                <w:kern w:val="0"/>
              </w:rPr>
              <w:t>KW/H</w:t>
            </w:r>
          </w:p>
        </w:tc>
        <w:tc>
          <w:tcPr>
            <w:tcW w:w="1260" w:type="dxa"/>
            <w:vAlign w:val="center"/>
          </w:tcPr>
          <w:p>
            <w:pPr>
              <w:spacing w:line="400" w:lineRule="exact"/>
              <w:jc w:val="center"/>
              <w:rPr>
                <w:rFonts w:ascii="宋体"/>
                <w:kern w:val="0"/>
              </w:rPr>
            </w:pPr>
            <w:r>
              <w:rPr>
                <w:rFonts w:hint="eastAsia" w:ascii="宋体" w:hAnsi="宋体" w:cs="宋体"/>
                <w:kern w:val="0"/>
              </w:rPr>
              <w:t>生产能力</w:t>
            </w:r>
            <w:r>
              <w:rPr>
                <w:rFonts w:ascii="宋体" w:hAnsi="宋体" w:cs="宋体"/>
                <w:kern w:val="0"/>
              </w:rPr>
              <w:t>M</w:t>
            </w:r>
            <w:r>
              <w:rPr>
                <w:rFonts w:ascii="宋体" w:hAnsi="宋体" w:cs="宋体"/>
                <w:kern w:val="0"/>
                <w:vertAlign w:val="superscript"/>
              </w:rPr>
              <w:t>3</w:t>
            </w:r>
            <w:r>
              <w:rPr>
                <w:rFonts w:ascii="宋体" w:hAnsi="宋体" w:cs="宋体"/>
                <w:kern w:val="0"/>
              </w:rPr>
              <w:t>/H</w:t>
            </w:r>
          </w:p>
        </w:tc>
        <w:tc>
          <w:tcPr>
            <w:tcW w:w="1260" w:type="dxa"/>
            <w:vAlign w:val="center"/>
          </w:tcPr>
          <w:p>
            <w:pPr>
              <w:spacing w:line="400" w:lineRule="exact"/>
              <w:jc w:val="center"/>
              <w:rPr>
                <w:rFonts w:ascii="宋体"/>
                <w:kern w:val="0"/>
              </w:rPr>
            </w:pPr>
            <w:r>
              <w:rPr>
                <w:rFonts w:hint="eastAsia" w:ascii="宋体" w:hAnsi="宋体" w:cs="宋体"/>
                <w:kern w:val="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0" w:type="dxa"/>
          </w:tcPr>
          <w:p>
            <w:pPr>
              <w:jc w:val="center"/>
              <w:rPr>
                <w:rFonts w:ascii="宋体"/>
                <w:sz w:val="32"/>
                <w:szCs w:val="32"/>
              </w:rPr>
            </w:pPr>
          </w:p>
        </w:tc>
        <w:tc>
          <w:tcPr>
            <w:tcW w:w="1413" w:type="dxa"/>
          </w:tcPr>
          <w:p>
            <w:pPr>
              <w:jc w:val="center"/>
              <w:rPr>
                <w:rFonts w:ascii="宋体"/>
                <w:sz w:val="32"/>
                <w:szCs w:val="32"/>
              </w:rPr>
            </w:pPr>
          </w:p>
        </w:tc>
        <w:tc>
          <w:tcPr>
            <w:tcW w:w="840" w:type="dxa"/>
          </w:tcPr>
          <w:p>
            <w:pPr>
              <w:jc w:val="center"/>
              <w:rPr>
                <w:rFonts w:ascii="宋体"/>
                <w:sz w:val="32"/>
                <w:szCs w:val="32"/>
              </w:rPr>
            </w:pPr>
          </w:p>
        </w:tc>
        <w:tc>
          <w:tcPr>
            <w:tcW w:w="630" w:type="dxa"/>
          </w:tcPr>
          <w:p>
            <w:pPr>
              <w:jc w:val="center"/>
              <w:rPr>
                <w:rFonts w:ascii="宋体"/>
                <w:sz w:val="32"/>
                <w:szCs w:val="32"/>
              </w:rPr>
            </w:pPr>
          </w:p>
        </w:tc>
        <w:tc>
          <w:tcPr>
            <w:tcW w:w="840" w:type="dxa"/>
          </w:tcPr>
          <w:p>
            <w:pPr>
              <w:jc w:val="center"/>
              <w:rPr>
                <w:rFonts w:ascii="宋体"/>
                <w:sz w:val="32"/>
                <w:szCs w:val="32"/>
              </w:rPr>
            </w:pPr>
          </w:p>
        </w:tc>
        <w:tc>
          <w:tcPr>
            <w:tcW w:w="735" w:type="dxa"/>
          </w:tcPr>
          <w:p>
            <w:pPr>
              <w:jc w:val="center"/>
              <w:rPr>
                <w:rFonts w:ascii="宋体"/>
                <w:sz w:val="32"/>
                <w:szCs w:val="32"/>
              </w:rPr>
            </w:pPr>
          </w:p>
        </w:tc>
        <w:tc>
          <w:tcPr>
            <w:tcW w:w="1365" w:type="dxa"/>
          </w:tcPr>
          <w:p>
            <w:pPr>
              <w:jc w:val="center"/>
              <w:rPr>
                <w:rFonts w:ascii="宋体"/>
                <w:sz w:val="32"/>
                <w:szCs w:val="32"/>
              </w:rPr>
            </w:pPr>
          </w:p>
        </w:tc>
        <w:tc>
          <w:tcPr>
            <w:tcW w:w="1260" w:type="dxa"/>
          </w:tcPr>
          <w:p>
            <w:pPr>
              <w:jc w:val="center"/>
              <w:rPr>
                <w:rFonts w:ascii="宋体"/>
                <w:sz w:val="32"/>
                <w:szCs w:val="32"/>
              </w:rPr>
            </w:pPr>
          </w:p>
        </w:tc>
        <w:tc>
          <w:tcPr>
            <w:tcW w:w="1260" w:type="dxa"/>
          </w:tcPr>
          <w:p>
            <w:pPr>
              <w:jc w:val="center"/>
              <w:rPr>
                <w:rFonts w:asci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0" w:type="dxa"/>
          </w:tcPr>
          <w:p>
            <w:pPr>
              <w:jc w:val="center"/>
              <w:rPr>
                <w:rFonts w:ascii="宋体"/>
                <w:sz w:val="32"/>
                <w:szCs w:val="32"/>
              </w:rPr>
            </w:pPr>
          </w:p>
        </w:tc>
        <w:tc>
          <w:tcPr>
            <w:tcW w:w="1413" w:type="dxa"/>
          </w:tcPr>
          <w:p>
            <w:pPr>
              <w:jc w:val="center"/>
              <w:rPr>
                <w:rFonts w:ascii="宋体"/>
                <w:sz w:val="32"/>
                <w:szCs w:val="32"/>
              </w:rPr>
            </w:pPr>
          </w:p>
        </w:tc>
        <w:tc>
          <w:tcPr>
            <w:tcW w:w="840" w:type="dxa"/>
          </w:tcPr>
          <w:p>
            <w:pPr>
              <w:jc w:val="center"/>
              <w:rPr>
                <w:rFonts w:ascii="宋体"/>
                <w:sz w:val="32"/>
                <w:szCs w:val="32"/>
              </w:rPr>
            </w:pPr>
          </w:p>
        </w:tc>
        <w:tc>
          <w:tcPr>
            <w:tcW w:w="630" w:type="dxa"/>
          </w:tcPr>
          <w:p>
            <w:pPr>
              <w:jc w:val="center"/>
              <w:rPr>
                <w:rFonts w:ascii="宋体"/>
                <w:sz w:val="32"/>
                <w:szCs w:val="32"/>
              </w:rPr>
            </w:pPr>
          </w:p>
        </w:tc>
        <w:tc>
          <w:tcPr>
            <w:tcW w:w="840" w:type="dxa"/>
          </w:tcPr>
          <w:p>
            <w:pPr>
              <w:jc w:val="center"/>
              <w:rPr>
                <w:rFonts w:ascii="宋体"/>
                <w:sz w:val="32"/>
                <w:szCs w:val="32"/>
              </w:rPr>
            </w:pPr>
          </w:p>
        </w:tc>
        <w:tc>
          <w:tcPr>
            <w:tcW w:w="735" w:type="dxa"/>
          </w:tcPr>
          <w:p>
            <w:pPr>
              <w:jc w:val="center"/>
              <w:rPr>
                <w:rFonts w:ascii="宋体"/>
                <w:sz w:val="32"/>
                <w:szCs w:val="32"/>
              </w:rPr>
            </w:pPr>
          </w:p>
        </w:tc>
        <w:tc>
          <w:tcPr>
            <w:tcW w:w="1365" w:type="dxa"/>
          </w:tcPr>
          <w:p>
            <w:pPr>
              <w:jc w:val="center"/>
              <w:rPr>
                <w:rFonts w:ascii="宋体"/>
                <w:sz w:val="32"/>
                <w:szCs w:val="32"/>
              </w:rPr>
            </w:pPr>
          </w:p>
        </w:tc>
        <w:tc>
          <w:tcPr>
            <w:tcW w:w="1260" w:type="dxa"/>
          </w:tcPr>
          <w:p>
            <w:pPr>
              <w:jc w:val="center"/>
              <w:rPr>
                <w:rFonts w:ascii="宋体"/>
                <w:sz w:val="32"/>
                <w:szCs w:val="32"/>
              </w:rPr>
            </w:pPr>
          </w:p>
        </w:tc>
        <w:tc>
          <w:tcPr>
            <w:tcW w:w="1260" w:type="dxa"/>
          </w:tcPr>
          <w:p>
            <w:pPr>
              <w:jc w:val="center"/>
              <w:rPr>
                <w:rFonts w:asci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0" w:type="dxa"/>
          </w:tcPr>
          <w:p>
            <w:pPr>
              <w:jc w:val="center"/>
              <w:rPr>
                <w:rFonts w:ascii="宋体"/>
                <w:sz w:val="32"/>
                <w:szCs w:val="32"/>
              </w:rPr>
            </w:pPr>
          </w:p>
        </w:tc>
        <w:tc>
          <w:tcPr>
            <w:tcW w:w="1413" w:type="dxa"/>
          </w:tcPr>
          <w:p>
            <w:pPr>
              <w:jc w:val="center"/>
              <w:rPr>
                <w:rFonts w:ascii="宋体"/>
                <w:sz w:val="32"/>
                <w:szCs w:val="32"/>
              </w:rPr>
            </w:pPr>
          </w:p>
        </w:tc>
        <w:tc>
          <w:tcPr>
            <w:tcW w:w="840" w:type="dxa"/>
          </w:tcPr>
          <w:p>
            <w:pPr>
              <w:jc w:val="center"/>
              <w:rPr>
                <w:rFonts w:ascii="宋体"/>
                <w:sz w:val="32"/>
                <w:szCs w:val="32"/>
              </w:rPr>
            </w:pPr>
          </w:p>
        </w:tc>
        <w:tc>
          <w:tcPr>
            <w:tcW w:w="630" w:type="dxa"/>
          </w:tcPr>
          <w:p>
            <w:pPr>
              <w:jc w:val="center"/>
              <w:rPr>
                <w:rFonts w:ascii="宋体"/>
                <w:sz w:val="32"/>
                <w:szCs w:val="32"/>
              </w:rPr>
            </w:pPr>
          </w:p>
        </w:tc>
        <w:tc>
          <w:tcPr>
            <w:tcW w:w="840" w:type="dxa"/>
          </w:tcPr>
          <w:p>
            <w:pPr>
              <w:jc w:val="center"/>
              <w:rPr>
                <w:rFonts w:ascii="宋体"/>
                <w:sz w:val="32"/>
                <w:szCs w:val="32"/>
              </w:rPr>
            </w:pPr>
          </w:p>
        </w:tc>
        <w:tc>
          <w:tcPr>
            <w:tcW w:w="735" w:type="dxa"/>
          </w:tcPr>
          <w:p>
            <w:pPr>
              <w:jc w:val="center"/>
              <w:rPr>
                <w:rFonts w:ascii="宋体"/>
                <w:sz w:val="32"/>
                <w:szCs w:val="32"/>
              </w:rPr>
            </w:pPr>
          </w:p>
        </w:tc>
        <w:tc>
          <w:tcPr>
            <w:tcW w:w="1365" w:type="dxa"/>
          </w:tcPr>
          <w:p>
            <w:pPr>
              <w:jc w:val="center"/>
              <w:rPr>
                <w:rFonts w:ascii="宋体"/>
                <w:sz w:val="32"/>
                <w:szCs w:val="32"/>
              </w:rPr>
            </w:pPr>
          </w:p>
        </w:tc>
        <w:tc>
          <w:tcPr>
            <w:tcW w:w="1260" w:type="dxa"/>
          </w:tcPr>
          <w:p>
            <w:pPr>
              <w:jc w:val="center"/>
              <w:rPr>
                <w:rFonts w:ascii="宋体"/>
                <w:sz w:val="32"/>
                <w:szCs w:val="32"/>
              </w:rPr>
            </w:pPr>
          </w:p>
        </w:tc>
        <w:tc>
          <w:tcPr>
            <w:tcW w:w="1260" w:type="dxa"/>
          </w:tcPr>
          <w:p>
            <w:pPr>
              <w:jc w:val="center"/>
              <w:rPr>
                <w:rFonts w:asci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0" w:type="dxa"/>
          </w:tcPr>
          <w:p>
            <w:pPr>
              <w:jc w:val="center"/>
              <w:rPr>
                <w:rFonts w:ascii="宋体"/>
                <w:sz w:val="32"/>
                <w:szCs w:val="32"/>
              </w:rPr>
            </w:pPr>
          </w:p>
        </w:tc>
        <w:tc>
          <w:tcPr>
            <w:tcW w:w="1413" w:type="dxa"/>
          </w:tcPr>
          <w:p>
            <w:pPr>
              <w:jc w:val="center"/>
              <w:rPr>
                <w:rFonts w:ascii="宋体"/>
                <w:sz w:val="32"/>
                <w:szCs w:val="32"/>
              </w:rPr>
            </w:pPr>
          </w:p>
        </w:tc>
        <w:tc>
          <w:tcPr>
            <w:tcW w:w="840" w:type="dxa"/>
          </w:tcPr>
          <w:p>
            <w:pPr>
              <w:jc w:val="center"/>
              <w:rPr>
                <w:rFonts w:ascii="宋体"/>
                <w:sz w:val="32"/>
                <w:szCs w:val="32"/>
              </w:rPr>
            </w:pPr>
          </w:p>
        </w:tc>
        <w:tc>
          <w:tcPr>
            <w:tcW w:w="630" w:type="dxa"/>
          </w:tcPr>
          <w:p>
            <w:pPr>
              <w:jc w:val="center"/>
              <w:rPr>
                <w:rFonts w:ascii="宋体"/>
                <w:sz w:val="32"/>
                <w:szCs w:val="32"/>
              </w:rPr>
            </w:pPr>
          </w:p>
        </w:tc>
        <w:tc>
          <w:tcPr>
            <w:tcW w:w="840" w:type="dxa"/>
          </w:tcPr>
          <w:p>
            <w:pPr>
              <w:jc w:val="center"/>
              <w:rPr>
                <w:rFonts w:ascii="宋体"/>
                <w:sz w:val="32"/>
                <w:szCs w:val="32"/>
              </w:rPr>
            </w:pPr>
          </w:p>
        </w:tc>
        <w:tc>
          <w:tcPr>
            <w:tcW w:w="735" w:type="dxa"/>
          </w:tcPr>
          <w:p>
            <w:pPr>
              <w:jc w:val="center"/>
              <w:rPr>
                <w:rFonts w:ascii="宋体"/>
                <w:sz w:val="32"/>
                <w:szCs w:val="32"/>
              </w:rPr>
            </w:pPr>
          </w:p>
        </w:tc>
        <w:tc>
          <w:tcPr>
            <w:tcW w:w="1365" w:type="dxa"/>
          </w:tcPr>
          <w:p>
            <w:pPr>
              <w:jc w:val="center"/>
              <w:rPr>
                <w:rFonts w:ascii="宋体"/>
                <w:sz w:val="32"/>
                <w:szCs w:val="32"/>
              </w:rPr>
            </w:pPr>
          </w:p>
        </w:tc>
        <w:tc>
          <w:tcPr>
            <w:tcW w:w="1260" w:type="dxa"/>
          </w:tcPr>
          <w:p>
            <w:pPr>
              <w:jc w:val="center"/>
              <w:rPr>
                <w:rFonts w:ascii="宋体"/>
                <w:sz w:val="32"/>
                <w:szCs w:val="32"/>
              </w:rPr>
            </w:pPr>
          </w:p>
        </w:tc>
        <w:tc>
          <w:tcPr>
            <w:tcW w:w="1260" w:type="dxa"/>
          </w:tcPr>
          <w:p>
            <w:pPr>
              <w:jc w:val="center"/>
              <w:rPr>
                <w:rFonts w:asci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0" w:type="dxa"/>
          </w:tcPr>
          <w:p>
            <w:pPr>
              <w:jc w:val="center"/>
              <w:rPr>
                <w:rFonts w:ascii="宋体"/>
                <w:sz w:val="32"/>
                <w:szCs w:val="32"/>
              </w:rPr>
            </w:pPr>
          </w:p>
        </w:tc>
        <w:tc>
          <w:tcPr>
            <w:tcW w:w="1413" w:type="dxa"/>
          </w:tcPr>
          <w:p>
            <w:pPr>
              <w:jc w:val="center"/>
              <w:rPr>
                <w:rFonts w:ascii="宋体"/>
                <w:sz w:val="32"/>
                <w:szCs w:val="32"/>
              </w:rPr>
            </w:pPr>
          </w:p>
        </w:tc>
        <w:tc>
          <w:tcPr>
            <w:tcW w:w="840" w:type="dxa"/>
          </w:tcPr>
          <w:p>
            <w:pPr>
              <w:jc w:val="center"/>
              <w:rPr>
                <w:rFonts w:ascii="宋体"/>
                <w:sz w:val="32"/>
                <w:szCs w:val="32"/>
              </w:rPr>
            </w:pPr>
          </w:p>
        </w:tc>
        <w:tc>
          <w:tcPr>
            <w:tcW w:w="630" w:type="dxa"/>
          </w:tcPr>
          <w:p>
            <w:pPr>
              <w:jc w:val="center"/>
              <w:rPr>
                <w:rFonts w:ascii="宋体"/>
                <w:sz w:val="32"/>
                <w:szCs w:val="32"/>
              </w:rPr>
            </w:pPr>
          </w:p>
        </w:tc>
        <w:tc>
          <w:tcPr>
            <w:tcW w:w="840" w:type="dxa"/>
          </w:tcPr>
          <w:p>
            <w:pPr>
              <w:jc w:val="center"/>
              <w:rPr>
                <w:rFonts w:ascii="宋体"/>
                <w:sz w:val="32"/>
                <w:szCs w:val="32"/>
              </w:rPr>
            </w:pPr>
          </w:p>
        </w:tc>
        <w:tc>
          <w:tcPr>
            <w:tcW w:w="735" w:type="dxa"/>
          </w:tcPr>
          <w:p>
            <w:pPr>
              <w:jc w:val="center"/>
              <w:rPr>
                <w:rFonts w:ascii="宋体"/>
                <w:sz w:val="32"/>
                <w:szCs w:val="32"/>
              </w:rPr>
            </w:pPr>
          </w:p>
        </w:tc>
        <w:tc>
          <w:tcPr>
            <w:tcW w:w="1365" w:type="dxa"/>
          </w:tcPr>
          <w:p>
            <w:pPr>
              <w:jc w:val="center"/>
              <w:rPr>
                <w:rFonts w:ascii="宋体"/>
                <w:sz w:val="32"/>
                <w:szCs w:val="32"/>
              </w:rPr>
            </w:pPr>
          </w:p>
        </w:tc>
        <w:tc>
          <w:tcPr>
            <w:tcW w:w="1260" w:type="dxa"/>
          </w:tcPr>
          <w:p>
            <w:pPr>
              <w:jc w:val="center"/>
              <w:rPr>
                <w:rFonts w:ascii="宋体"/>
                <w:sz w:val="32"/>
                <w:szCs w:val="32"/>
              </w:rPr>
            </w:pPr>
          </w:p>
        </w:tc>
        <w:tc>
          <w:tcPr>
            <w:tcW w:w="1260" w:type="dxa"/>
          </w:tcPr>
          <w:p>
            <w:pPr>
              <w:jc w:val="center"/>
              <w:rPr>
                <w:rFonts w:asci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0" w:type="dxa"/>
          </w:tcPr>
          <w:p>
            <w:pPr>
              <w:jc w:val="center"/>
              <w:rPr>
                <w:rFonts w:ascii="宋体"/>
                <w:sz w:val="32"/>
                <w:szCs w:val="32"/>
              </w:rPr>
            </w:pPr>
          </w:p>
        </w:tc>
        <w:tc>
          <w:tcPr>
            <w:tcW w:w="1413" w:type="dxa"/>
          </w:tcPr>
          <w:p>
            <w:pPr>
              <w:jc w:val="center"/>
              <w:rPr>
                <w:rFonts w:ascii="宋体"/>
                <w:sz w:val="32"/>
                <w:szCs w:val="32"/>
              </w:rPr>
            </w:pPr>
          </w:p>
        </w:tc>
        <w:tc>
          <w:tcPr>
            <w:tcW w:w="840" w:type="dxa"/>
          </w:tcPr>
          <w:p>
            <w:pPr>
              <w:jc w:val="center"/>
              <w:rPr>
                <w:rFonts w:ascii="宋体"/>
                <w:sz w:val="32"/>
                <w:szCs w:val="32"/>
              </w:rPr>
            </w:pPr>
          </w:p>
        </w:tc>
        <w:tc>
          <w:tcPr>
            <w:tcW w:w="630" w:type="dxa"/>
          </w:tcPr>
          <w:p>
            <w:pPr>
              <w:jc w:val="center"/>
              <w:rPr>
                <w:rFonts w:ascii="宋体"/>
                <w:sz w:val="32"/>
                <w:szCs w:val="32"/>
              </w:rPr>
            </w:pPr>
          </w:p>
        </w:tc>
        <w:tc>
          <w:tcPr>
            <w:tcW w:w="840" w:type="dxa"/>
          </w:tcPr>
          <w:p>
            <w:pPr>
              <w:jc w:val="center"/>
              <w:rPr>
                <w:rFonts w:ascii="宋体"/>
                <w:sz w:val="32"/>
                <w:szCs w:val="32"/>
              </w:rPr>
            </w:pPr>
          </w:p>
        </w:tc>
        <w:tc>
          <w:tcPr>
            <w:tcW w:w="735" w:type="dxa"/>
          </w:tcPr>
          <w:p>
            <w:pPr>
              <w:jc w:val="center"/>
              <w:rPr>
                <w:rFonts w:ascii="宋体"/>
                <w:sz w:val="32"/>
                <w:szCs w:val="32"/>
              </w:rPr>
            </w:pPr>
          </w:p>
        </w:tc>
        <w:tc>
          <w:tcPr>
            <w:tcW w:w="1365" w:type="dxa"/>
          </w:tcPr>
          <w:p>
            <w:pPr>
              <w:jc w:val="center"/>
              <w:rPr>
                <w:rFonts w:ascii="宋体"/>
                <w:sz w:val="32"/>
                <w:szCs w:val="32"/>
              </w:rPr>
            </w:pPr>
          </w:p>
        </w:tc>
        <w:tc>
          <w:tcPr>
            <w:tcW w:w="1260" w:type="dxa"/>
          </w:tcPr>
          <w:p>
            <w:pPr>
              <w:jc w:val="center"/>
              <w:rPr>
                <w:rFonts w:ascii="宋体"/>
                <w:sz w:val="32"/>
                <w:szCs w:val="32"/>
              </w:rPr>
            </w:pPr>
          </w:p>
        </w:tc>
        <w:tc>
          <w:tcPr>
            <w:tcW w:w="1260" w:type="dxa"/>
          </w:tcPr>
          <w:p>
            <w:pPr>
              <w:jc w:val="center"/>
              <w:rPr>
                <w:rFonts w:asci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0" w:type="dxa"/>
          </w:tcPr>
          <w:p>
            <w:pPr>
              <w:jc w:val="center"/>
              <w:rPr>
                <w:rFonts w:ascii="宋体"/>
                <w:sz w:val="32"/>
                <w:szCs w:val="32"/>
              </w:rPr>
            </w:pPr>
          </w:p>
        </w:tc>
        <w:tc>
          <w:tcPr>
            <w:tcW w:w="1413" w:type="dxa"/>
          </w:tcPr>
          <w:p>
            <w:pPr>
              <w:jc w:val="center"/>
              <w:rPr>
                <w:rFonts w:ascii="宋体"/>
                <w:sz w:val="32"/>
                <w:szCs w:val="32"/>
              </w:rPr>
            </w:pPr>
          </w:p>
        </w:tc>
        <w:tc>
          <w:tcPr>
            <w:tcW w:w="840" w:type="dxa"/>
          </w:tcPr>
          <w:p>
            <w:pPr>
              <w:jc w:val="center"/>
              <w:rPr>
                <w:rFonts w:ascii="宋体"/>
                <w:sz w:val="32"/>
                <w:szCs w:val="32"/>
              </w:rPr>
            </w:pPr>
          </w:p>
        </w:tc>
        <w:tc>
          <w:tcPr>
            <w:tcW w:w="630" w:type="dxa"/>
          </w:tcPr>
          <w:p>
            <w:pPr>
              <w:jc w:val="center"/>
              <w:rPr>
                <w:rFonts w:ascii="宋体"/>
                <w:sz w:val="32"/>
                <w:szCs w:val="32"/>
              </w:rPr>
            </w:pPr>
          </w:p>
        </w:tc>
        <w:tc>
          <w:tcPr>
            <w:tcW w:w="840" w:type="dxa"/>
          </w:tcPr>
          <w:p>
            <w:pPr>
              <w:jc w:val="center"/>
              <w:rPr>
                <w:rFonts w:ascii="宋体"/>
                <w:sz w:val="32"/>
                <w:szCs w:val="32"/>
              </w:rPr>
            </w:pPr>
          </w:p>
        </w:tc>
        <w:tc>
          <w:tcPr>
            <w:tcW w:w="735" w:type="dxa"/>
          </w:tcPr>
          <w:p>
            <w:pPr>
              <w:jc w:val="center"/>
              <w:rPr>
                <w:rFonts w:ascii="宋体"/>
                <w:sz w:val="32"/>
                <w:szCs w:val="32"/>
              </w:rPr>
            </w:pPr>
          </w:p>
        </w:tc>
        <w:tc>
          <w:tcPr>
            <w:tcW w:w="1365" w:type="dxa"/>
          </w:tcPr>
          <w:p>
            <w:pPr>
              <w:jc w:val="center"/>
              <w:rPr>
                <w:rFonts w:ascii="宋体"/>
                <w:sz w:val="32"/>
                <w:szCs w:val="32"/>
              </w:rPr>
            </w:pPr>
          </w:p>
        </w:tc>
        <w:tc>
          <w:tcPr>
            <w:tcW w:w="1260" w:type="dxa"/>
          </w:tcPr>
          <w:p>
            <w:pPr>
              <w:jc w:val="center"/>
              <w:rPr>
                <w:rFonts w:ascii="宋体"/>
                <w:sz w:val="32"/>
                <w:szCs w:val="32"/>
              </w:rPr>
            </w:pPr>
          </w:p>
        </w:tc>
        <w:tc>
          <w:tcPr>
            <w:tcW w:w="1260" w:type="dxa"/>
          </w:tcPr>
          <w:p>
            <w:pPr>
              <w:jc w:val="center"/>
              <w:rPr>
                <w:rFonts w:asci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0" w:type="dxa"/>
          </w:tcPr>
          <w:p>
            <w:pPr>
              <w:jc w:val="center"/>
              <w:rPr>
                <w:rFonts w:ascii="宋体"/>
                <w:sz w:val="32"/>
                <w:szCs w:val="32"/>
              </w:rPr>
            </w:pPr>
          </w:p>
        </w:tc>
        <w:tc>
          <w:tcPr>
            <w:tcW w:w="1413" w:type="dxa"/>
          </w:tcPr>
          <w:p>
            <w:pPr>
              <w:jc w:val="center"/>
              <w:rPr>
                <w:rFonts w:ascii="宋体"/>
                <w:sz w:val="32"/>
                <w:szCs w:val="32"/>
              </w:rPr>
            </w:pPr>
          </w:p>
        </w:tc>
        <w:tc>
          <w:tcPr>
            <w:tcW w:w="840" w:type="dxa"/>
          </w:tcPr>
          <w:p>
            <w:pPr>
              <w:jc w:val="center"/>
              <w:rPr>
                <w:rFonts w:ascii="宋体"/>
                <w:sz w:val="32"/>
                <w:szCs w:val="32"/>
              </w:rPr>
            </w:pPr>
          </w:p>
        </w:tc>
        <w:tc>
          <w:tcPr>
            <w:tcW w:w="630" w:type="dxa"/>
          </w:tcPr>
          <w:p>
            <w:pPr>
              <w:jc w:val="center"/>
              <w:rPr>
                <w:rFonts w:ascii="宋体"/>
                <w:sz w:val="32"/>
                <w:szCs w:val="32"/>
              </w:rPr>
            </w:pPr>
          </w:p>
        </w:tc>
        <w:tc>
          <w:tcPr>
            <w:tcW w:w="840" w:type="dxa"/>
          </w:tcPr>
          <w:p>
            <w:pPr>
              <w:jc w:val="center"/>
              <w:rPr>
                <w:rFonts w:ascii="宋体"/>
                <w:sz w:val="32"/>
                <w:szCs w:val="32"/>
              </w:rPr>
            </w:pPr>
          </w:p>
        </w:tc>
        <w:tc>
          <w:tcPr>
            <w:tcW w:w="735" w:type="dxa"/>
          </w:tcPr>
          <w:p>
            <w:pPr>
              <w:jc w:val="center"/>
              <w:rPr>
                <w:rFonts w:ascii="宋体"/>
                <w:sz w:val="32"/>
                <w:szCs w:val="32"/>
              </w:rPr>
            </w:pPr>
          </w:p>
        </w:tc>
        <w:tc>
          <w:tcPr>
            <w:tcW w:w="1365" w:type="dxa"/>
          </w:tcPr>
          <w:p>
            <w:pPr>
              <w:jc w:val="center"/>
              <w:rPr>
                <w:rFonts w:ascii="宋体"/>
                <w:sz w:val="32"/>
                <w:szCs w:val="32"/>
              </w:rPr>
            </w:pPr>
          </w:p>
        </w:tc>
        <w:tc>
          <w:tcPr>
            <w:tcW w:w="1260" w:type="dxa"/>
          </w:tcPr>
          <w:p>
            <w:pPr>
              <w:jc w:val="center"/>
              <w:rPr>
                <w:rFonts w:ascii="宋体"/>
                <w:sz w:val="32"/>
                <w:szCs w:val="32"/>
              </w:rPr>
            </w:pPr>
          </w:p>
        </w:tc>
        <w:tc>
          <w:tcPr>
            <w:tcW w:w="1260" w:type="dxa"/>
          </w:tcPr>
          <w:p>
            <w:pPr>
              <w:jc w:val="center"/>
              <w:rPr>
                <w:rFonts w:asci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0" w:type="dxa"/>
          </w:tcPr>
          <w:p>
            <w:pPr>
              <w:jc w:val="center"/>
              <w:rPr>
                <w:rFonts w:ascii="宋体"/>
                <w:sz w:val="32"/>
                <w:szCs w:val="32"/>
              </w:rPr>
            </w:pPr>
          </w:p>
        </w:tc>
        <w:tc>
          <w:tcPr>
            <w:tcW w:w="1413" w:type="dxa"/>
          </w:tcPr>
          <w:p>
            <w:pPr>
              <w:jc w:val="center"/>
              <w:rPr>
                <w:rFonts w:ascii="宋体"/>
                <w:sz w:val="32"/>
                <w:szCs w:val="32"/>
              </w:rPr>
            </w:pPr>
          </w:p>
        </w:tc>
        <w:tc>
          <w:tcPr>
            <w:tcW w:w="840" w:type="dxa"/>
          </w:tcPr>
          <w:p>
            <w:pPr>
              <w:jc w:val="center"/>
              <w:rPr>
                <w:rFonts w:ascii="宋体"/>
                <w:sz w:val="32"/>
                <w:szCs w:val="32"/>
              </w:rPr>
            </w:pPr>
          </w:p>
        </w:tc>
        <w:tc>
          <w:tcPr>
            <w:tcW w:w="630" w:type="dxa"/>
          </w:tcPr>
          <w:p>
            <w:pPr>
              <w:jc w:val="center"/>
              <w:rPr>
                <w:rFonts w:ascii="宋体"/>
                <w:sz w:val="32"/>
                <w:szCs w:val="32"/>
              </w:rPr>
            </w:pPr>
          </w:p>
        </w:tc>
        <w:tc>
          <w:tcPr>
            <w:tcW w:w="840" w:type="dxa"/>
          </w:tcPr>
          <w:p>
            <w:pPr>
              <w:jc w:val="center"/>
              <w:rPr>
                <w:rFonts w:ascii="宋体"/>
                <w:sz w:val="32"/>
                <w:szCs w:val="32"/>
              </w:rPr>
            </w:pPr>
          </w:p>
        </w:tc>
        <w:tc>
          <w:tcPr>
            <w:tcW w:w="735" w:type="dxa"/>
          </w:tcPr>
          <w:p>
            <w:pPr>
              <w:jc w:val="center"/>
              <w:rPr>
                <w:rFonts w:ascii="宋体"/>
                <w:sz w:val="32"/>
                <w:szCs w:val="32"/>
              </w:rPr>
            </w:pPr>
          </w:p>
        </w:tc>
        <w:tc>
          <w:tcPr>
            <w:tcW w:w="1365" w:type="dxa"/>
          </w:tcPr>
          <w:p>
            <w:pPr>
              <w:jc w:val="center"/>
              <w:rPr>
                <w:rFonts w:ascii="宋体"/>
                <w:sz w:val="32"/>
                <w:szCs w:val="32"/>
              </w:rPr>
            </w:pPr>
          </w:p>
        </w:tc>
        <w:tc>
          <w:tcPr>
            <w:tcW w:w="1260" w:type="dxa"/>
          </w:tcPr>
          <w:p>
            <w:pPr>
              <w:jc w:val="center"/>
              <w:rPr>
                <w:rFonts w:ascii="宋体"/>
                <w:sz w:val="32"/>
                <w:szCs w:val="32"/>
              </w:rPr>
            </w:pPr>
          </w:p>
        </w:tc>
        <w:tc>
          <w:tcPr>
            <w:tcW w:w="1260" w:type="dxa"/>
          </w:tcPr>
          <w:p>
            <w:pPr>
              <w:jc w:val="center"/>
              <w:rPr>
                <w:rFonts w:asci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0" w:type="dxa"/>
          </w:tcPr>
          <w:p>
            <w:pPr>
              <w:jc w:val="center"/>
              <w:rPr>
                <w:rFonts w:ascii="宋体"/>
                <w:sz w:val="32"/>
                <w:szCs w:val="32"/>
              </w:rPr>
            </w:pPr>
          </w:p>
        </w:tc>
        <w:tc>
          <w:tcPr>
            <w:tcW w:w="1413" w:type="dxa"/>
          </w:tcPr>
          <w:p>
            <w:pPr>
              <w:jc w:val="center"/>
              <w:rPr>
                <w:rFonts w:ascii="宋体"/>
                <w:sz w:val="32"/>
                <w:szCs w:val="32"/>
              </w:rPr>
            </w:pPr>
          </w:p>
        </w:tc>
        <w:tc>
          <w:tcPr>
            <w:tcW w:w="840" w:type="dxa"/>
          </w:tcPr>
          <w:p>
            <w:pPr>
              <w:jc w:val="center"/>
              <w:rPr>
                <w:rFonts w:ascii="宋体"/>
                <w:sz w:val="32"/>
                <w:szCs w:val="32"/>
              </w:rPr>
            </w:pPr>
          </w:p>
        </w:tc>
        <w:tc>
          <w:tcPr>
            <w:tcW w:w="630" w:type="dxa"/>
          </w:tcPr>
          <w:p>
            <w:pPr>
              <w:jc w:val="center"/>
              <w:rPr>
                <w:rFonts w:ascii="宋体"/>
                <w:sz w:val="32"/>
                <w:szCs w:val="32"/>
              </w:rPr>
            </w:pPr>
          </w:p>
        </w:tc>
        <w:tc>
          <w:tcPr>
            <w:tcW w:w="840" w:type="dxa"/>
          </w:tcPr>
          <w:p>
            <w:pPr>
              <w:jc w:val="center"/>
              <w:rPr>
                <w:rFonts w:ascii="宋体"/>
                <w:sz w:val="32"/>
                <w:szCs w:val="32"/>
              </w:rPr>
            </w:pPr>
          </w:p>
        </w:tc>
        <w:tc>
          <w:tcPr>
            <w:tcW w:w="735" w:type="dxa"/>
          </w:tcPr>
          <w:p>
            <w:pPr>
              <w:jc w:val="center"/>
              <w:rPr>
                <w:rFonts w:ascii="宋体"/>
                <w:sz w:val="32"/>
                <w:szCs w:val="32"/>
              </w:rPr>
            </w:pPr>
          </w:p>
        </w:tc>
        <w:tc>
          <w:tcPr>
            <w:tcW w:w="1365" w:type="dxa"/>
          </w:tcPr>
          <w:p>
            <w:pPr>
              <w:jc w:val="center"/>
              <w:rPr>
                <w:rFonts w:ascii="宋体"/>
                <w:sz w:val="32"/>
                <w:szCs w:val="32"/>
              </w:rPr>
            </w:pPr>
          </w:p>
        </w:tc>
        <w:tc>
          <w:tcPr>
            <w:tcW w:w="1260" w:type="dxa"/>
          </w:tcPr>
          <w:p>
            <w:pPr>
              <w:jc w:val="center"/>
              <w:rPr>
                <w:rFonts w:ascii="宋体"/>
                <w:sz w:val="32"/>
                <w:szCs w:val="32"/>
              </w:rPr>
            </w:pPr>
          </w:p>
        </w:tc>
        <w:tc>
          <w:tcPr>
            <w:tcW w:w="1260" w:type="dxa"/>
          </w:tcPr>
          <w:p>
            <w:pPr>
              <w:jc w:val="center"/>
              <w:rPr>
                <w:rFonts w:asci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0" w:type="dxa"/>
          </w:tcPr>
          <w:p>
            <w:pPr>
              <w:jc w:val="center"/>
              <w:rPr>
                <w:rFonts w:ascii="宋体"/>
                <w:sz w:val="32"/>
                <w:szCs w:val="32"/>
              </w:rPr>
            </w:pPr>
          </w:p>
        </w:tc>
        <w:tc>
          <w:tcPr>
            <w:tcW w:w="1413" w:type="dxa"/>
          </w:tcPr>
          <w:p>
            <w:pPr>
              <w:jc w:val="center"/>
              <w:rPr>
                <w:rFonts w:ascii="宋体"/>
                <w:sz w:val="32"/>
                <w:szCs w:val="32"/>
              </w:rPr>
            </w:pPr>
          </w:p>
        </w:tc>
        <w:tc>
          <w:tcPr>
            <w:tcW w:w="840" w:type="dxa"/>
          </w:tcPr>
          <w:p>
            <w:pPr>
              <w:jc w:val="center"/>
              <w:rPr>
                <w:rFonts w:ascii="宋体"/>
                <w:sz w:val="32"/>
                <w:szCs w:val="32"/>
              </w:rPr>
            </w:pPr>
          </w:p>
        </w:tc>
        <w:tc>
          <w:tcPr>
            <w:tcW w:w="630" w:type="dxa"/>
          </w:tcPr>
          <w:p>
            <w:pPr>
              <w:jc w:val="center"/>
              <w:rPr>
                <w:rFonts w:ascii="宋体"/>
                <w:sz w:val="32"/>
                <w:szCs w:val="32"/>
              </w:rPr>
            </w:pPr>
          </w:p>
        </w:tc>
        <w:tc>
          <w:tcPr>
            <w:tcW w:w="840" w:type="dxa"/>
          </w:tcPr>
          <w:p>
            <w:pPr>
              <w:jc w:val="center"/>
              <w:rPr>
                <w:rFonts w:ascii="宋体"/>
                <w:sz w:val="32"/>
                <w:szCs w:val="32"/>
              </w:rPr>
            </w:pPr>
          </w:p>
        </w:tc>
        <w:tc>
          <w:tcPr>
            <w:tcW w:w="735" w:type="dxa"/>
          </w:tcPr>
          <w:p>
            <w:pPr>
              <w:jc w:val="center"/>
              <w:rPr>
                <w:rFonts w:ascii="宋体"/>
                <w:sz w:val="32"/>
                <w:szCs w:val="32"/>
              </w:rPr>
            </w:pPr>
          </w:p>
        </w:tc>
        <w:tc>
          <w:tcPr>
            <w:tcW w:w="1365" w:type="dxa"/>
          </w:tcPr>
          <w:p>
            <w:pPr>
              <w:jc w:val="center"/>
              <w:rPr>
                <w:rFonts w:ascii="宋体"/>
                <w:sz w:val="32"/>
                <w:szCs w:val="32"/>
              </w:rPr>
            </w:pPr>
          </w:p>
        </w:tc>
        <w:tc>
          <w:tcPr>
            <w:tcW w:w="1260" w:type="dxa"/>
          </w:tcPr>
          <w:p>
            <w:pPr>
              <w:jc w:val="center"/>
              <w:rPr>
                <w:rFonts w:ascii="宋体"/>
                <w:sz w:val="32"/>
                <w:szCs w:val="32"/>
              </w:rPr>
            </w:pPr>
          </w:p>
        </w:tc>
        <w:tc>
          <w:tcPr>
            <w:tcW w:w="1260" w:type="dxa"/>
          </w:tcPr>
          <w:p>
            <w:pPr>
              <w:jc w:val="center"/>
              <w:rPr>
                <w:rFonts w:asci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0" w:type="dxa"/>
          </w:tcPr>
          <w:p>
            <w:pPr>
              <w:jc w:val="center"/>
              <w:rPr>
                <w:rFonts w:ascii="宋体"/>
                <w:sz w:val="32"/>
                <w:szCs w:val="32"/>
              </w:rPr>
            </w:pPr>
          </w:p>
        </w:tc>
        <w:tc>
          <w:tcPr>
            <w:tcW w:w="1413" w:type="dxa"/>
          </w:tcPr>
          <w:p>
            <w:pPr>
              <w:jc w:val="center"/>
              <w:rPr>
                <w:rFonts w:ascii="宋体"/>
                <w:sz w:val="32"/>
                <w:szCs w:val="32"/>
              </w:rPr>
            </w:pPr>
          </w:p>
        </w:tc>
        <w:tc>
          <w:tcPr>
            <w:tcW w:w="840" w:type="dxa"/>
          </w:tcPr>
          <w:p>
            <w:pPr>
              <w:jc w:val="center"/>
              <w:rPr>
                <w:rFonts w:ascii="宋体"/>
                <w:sz w:val="32"/>
                <w:szCs w:val="32"/>
              </w:rPr>
            </w:pPr>
          </w:p>
        </w:tc>
        <w:tc>
          <w:tcPr>
            <w:tcW w:w="630" w:type="dxa"/>
          </w:tcPr>
          <w:p>
            <w:pPr>
              <w:jc w:val="center"/>
              <w:rPr>
                <w:rFonts w:ascii="宋体"/>
                <w:sz w:val="32"/>
                <w:szCs w:val="32"/>
              </w:rPr>
            </w:pPr>
          </w:p>
        </w:tc>
        <w:tc>
          <w:tcPr>
            <w:tcW w:w="840" w:type="dxa"/>
          </w:tcPr>
          <w:p>
            <w:pPr>
              <w:jc w:val="center"/>
              <w:rPr>
                <w:rFonts w:ascii="宋体"/>
                <w:sz w:val="32"/>
                <w:szCs w:val="32"/>
              </w:rPr>
            </w:pPr>
          </w:p>
        </w:tc>
        <w:tc>
          <w:tcPr>
            <w:tcW w:w="735" w:type="dxa"/>
          </w:tcPr>
          <w:p>
            <w:pPr>
              <w:jc w:val="center"/>
              <w:rPr>
                <w:rFonts w:ascii="宋体"/>
                <w:sz w:val="32"/>
                <w:szCs w:val="32"/>
              </w:rPr>
            </w:pPr>
          </w:p>
        </w:tc>
        <w:tc>
          <w:tcPr>
            <w:tcW w:w="1365" w:type="dxa"/>
          </w:tcPr>
          <w:p>
            <w:pPr>
              <w:jc w:val="center"/>
              <w:rPr>
                <w:rFonts w:ascii="宋体"/>
                <w:sz w:val="32"/>
                <w:szCs w:val="32"/>
              </w:rPr>
            </w:pPr>
          </w:p>
        </w:tc>
        <w:tc>
          <w:tcPr>
            <w:tcW w:w="1260" w:type="dxa"/>
          </w:tcPr>
          <w:p>
            <w:pPr>
              <w:jc w:val="center"/>
              <w:rPr>
                <w:rFonts w:ascii="宋体"/>
                <w:sz w:val="32"/>
                <w:szCs w:val="32"/>
              </w:rPr>
            </w:pPr>
          </w:p>
        </w:tc>
        <w:tc>
          <w:tcPr>
            <w:tcW w:w="1260" w:type="dxa"/>
          </w:tcPr>
          <w:p>
            <w:pPr>
              <w:jc w:val="center"/>
              <w:rPr>
                <w:rFonts w:asci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0" w:type="dxa"/>
          </w:tcPr>
          <w:p>
            <w:pPr>
              <w:jc w:val="center"/>
              <w:rPr>
                <w:rFonts w:ascii="宋体"/>
                <w:sz w:val="32"/>
                <w:szCs w:val="32"/>
              </w:rPr>
            </w:pPr>
          </w:p>
        </w:tc>
        <w:tc>
          <w:tcPr>
            <w:tcW w:w="1413" w:type="dxa"/>
          </w:tcPr>
          <w:p>
            <w:pPr>
              <w:jc w:val="center"/>
              <w:rPr>
                <w:rFonts w:ascii="宋体"/>
                <w:sz w:val="32"/>
                <w:szCs w:val="32"/>
              </w:rPr>
            </w:pPr>
          </w:p>
        </w:tc>
        <w:tc>
          <w:tcPr>
            <w:tcW w:w="840" w:type="dxa"/>
          </w:tcPr>
          <w:p>
            <w:pPr>
              <w:jc w:val="center"/>
              <w:rPr>
                <w:rFonts w:ascii="宋体"/>
                <w:sz w:val="32"/>
                <w:szCs w:val="32"/>
              </w:rPr>
            </w:pPr>
          </w:p>
        </w:tc>
        <w:tc>
          <w:tcPr>
            <w:tcW w:w="630" w:type="dxa"/>
          </w:tcPr>
          <w:p>
            <w:pPr>
              <w:jc w:val="center"/>
              <w:rPr>
                <w:rFonts w:ascii="宋体"/>
                <w:sz w:val="32"/>
                <w:szCs w:val="32"/>
              </w:rPr>
            </w:pPr>
          </w:p>
        </w:tc>
        <w:tc>
          <w:tcPr>
            <w:tcW w:w="840" w:type="dxa"/>
          </w:tcPr>
          <w:p>
            <w:pPr>
              <w:jc w:val="center"/>
              <w:rPr>
                <w:rFonts w:ascii="宋体"/>
                <w:sz w:val="32"/>
                <w:szCs w:val="32"/>
              </w:rPr>
            </w:pPr>
          </w:p>
        </w:tc>
        <w:tc>
          <w:tcPr>
            <w:tcW w:w="735" w:type="dxa"/>
          </w:tcPr>
          <w:p>
            <w:pPr>
              <w:jc w:val="center"/>
              <w:rPr>
                <w:rFonts w:ascii="宋体"/>
                <w:sz w:val="32"/>
                <w:szCs w:val="32"/>
              </w:rPr>
            </w:pPr>
          </w:p>
        </w:tc>
        <w:tc>
          <w:tcPr>
            <w:tcW w:w="1365" w:type="dxa"/>
          </w:tcPr>
          <w:p>
            <w:pPr>
              <w:jc w:val="center"/>
              <w:rPr>
                <w:rFonts w:ascii="宋体"/>
                <w:sz w:val="32"/>
                <w:szCs w:val="32"/>
              </w:rPr>
            </w:pPr>
          </w:p>
        </w:tc>
        <w:tc>
          <w:tcPr>
            <w:tcW w:w="1260" w:type="dxa"/>
          </w:tcPr>
          <w:p>
            <w:pPr>
              <w:jc w:val="center"/>
              <w:rPr>
                <w:rFonts w:ascii="宋体"/>
                <w:sz w:val="32"/>
                <w:szCs w:val="32"/>
              </w:rPr>
            </w:pPr>
          </w:p>
        </w:tc>
        <w:tc>
          <w:tcPr>
            <w:tcW w:w="1260" w:type="dxa"/>
          </w:tcPr>
          <w:p>
            <w:pPr>
              <w:jc w:val="center"/>
              <w:rPr>
                <w:rFonts w:asci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0" w:type="dxa"/>
          </w:tcPr>
          <w:p>
            <w:pPr>
              <w:jc w:val="center"/>
              <w:rPr>
                <w:rFonts w:ascii="宋体"/>
                <w:sz w:val="32"/>
                <w:szCs w:val="32"/>
              </w:rPr>
            </w:pPr>
          </w:p>
        </w:tc>
        <w:tc>
          <w:tcPr>
            <w:tcW w:w="1413" w:type="dxa"/>
          </w:tcPr>
          <w:p>
            <w:pPr>
              <w:jc w:val="center"/>
              <w:rPr>
                <w:rFonts w:ascii="宋体"/>
                <w:sz w:val="32"/>
                <w:szCs w:val="32"/>
              </w:rPr>
            </w:pPr>
          </w:p>
        </w:tc>
        <w:tc>
          <w:tcPr>
            <w:tcW w:w="840" w:type="dxa"/>
          </w:tcPr>
          <w:p>
            <w:pPr>
              <w:jc w:val="center"/>
              <w:rPr>
                <w:rFonts w:ascii="宋体"/>
                <w:sz w:val="32"/>
                <w:szCs w:val="32"/>
              </w:rPr>
            </w:pPr>
          </w:p>
        </w:tc>
        <w:tc>
          <w:tcPr>
            <w:tcW w:w="630" w:type="dxa"/>
          </w:tcPr>
          <w:p>
            <w:pPr>
              <w:jc w:val="center"/>
              <w:rPr>
                <w:rFonts w:ascii="宋体"/>
                <w:sz w:val="32"/>
                <w:szCs w:val="32"/>
              </w:rPr>
            </w:pPr>
          </w:p>
        </w:tc>
        <w:tc>
          <w:tcPr>
            <w:tcW w:w="840" w:type="dxa"/>
          </w:tcPr>
          <w:p>
            <w:pPr>
              <w:jc w:val="center"/>
              <w:rPr>
                <w:rFonts w:ascii="宋体"/>
                <w:sz w:val="32"/>
                <w:szCs w:val="32"/>
              </w:rPr>
            </w:pPr>
          </w:p>
        </w:tc>
        <w:tc>
          <w:tcPr>
            <w:tcW w:w="735" w:type="dxa"/>
          </w:tcPr>
          <w:p>
            <w:pPr>
              <w:jc w:val="center"/>
              <w:rPr>
                <w:rFonts w:ascii="宋体"/>
                <w:sz w:val="32"/>
                <w:szCs w:val="32"/>
              </w:rPr>
            </w:pPr>
          </w:p>
        </w:tc>
        <w:tc>
          <w:tcPr>
            <w:tcW w:w="1365" w:type="dxa"/>
          </w:tcPr>
          <w:p>
            <w:pPr>
              <w:jc w:val="center"/>
              <w:rPr>
                <w:rFonts w:ascii="宋体"/>
                <w:sz w:val="32"/>
                <w:szCs w:val="32"/>
              </w:rPr>
            </w:pPr>
          </w:p>
        </w:tc>
        <w:tc>
          <w:tcPr>
            <w:tcW w:w="1260" w:type="dxa"/>
          </w:tcPr>
          <w:p>
            <w:pPr>
              <w:jc w:val="center"/>
              <w:rPr>
                <w:rFonts w:ascii="宋体"/>
                <w:sz w:val="32"/>
                <w:szCs w:val="32"/>
              </w:rPr>
            </w:pPr>
          </w:p>
        </w:tc>
        <w:tc>
          <w:tcPr>
            <w:tcW w:w="1260" w:type="dxa"/>
          </w:tcPr>
          <w:p>
            <w:pPr>
              <w:jc w:val="center"/>
              <w:rPr>
                <w:rFonts w:asci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0" w:type="dxa"/>
          </w:tcPr>
          <w:p>
            <w:pPr>
              <w:jc w:val="center"/>
              <w:rPr>
                <w:rFonts w:ascii="宋体"/>
                <w:sz w:val="32"/>
                <w:szCs w:val="32"/>
              </w:rPr>
            </w:pPr>
          </w:p>
        </w:tc>
        <w:tc>
          <w:tcPr>
            <w:tcW w:w="1413" w:type="dxa"/>
          </w:tcPr>
          <w:p>
            <w:pPr>
              <w:jc w:val="center"/>
              <w:rPr>
                <w:rFonts w:ascii="宋体"/>
                <w:sz w:val="32"/>
                <w:szCs w:val="32"/>
              </w:rPr>
            </w:pPr>
          </w:p>
        </w:tc>
        <w:tc>
          <w:tcPr>
            <w:tcW w:w="840" w:type="dxa"/>
          </w:tcPr>
          <w:p>
            <w:pPr>
              <w:jc w:val="center"/>
              <w:rPr>
                <w:rFonts w:ascii="宋体"/>
                <w:sz w:val="32"/>
                <w:szCs w:val="32"/>
              </w:rPr>
            </w:pPr>
          </w:p>
        </w:tc>
        <w:tc>
          <w:tcPr>
            <w:tcW w:w="630" w:type="dxa"/>
          </w:tcPr>
          <w:p>
            <w:pPr>
              <w:jc w:val="center"/>
              <w:rPr>
                <w:rFonts w:ascii="宋体"/>
                <w:sz w:val="32"/>
                <w:szCs w:val="32"/>
              </w:rPr>
            </w:pPr>
          </w:p>
        </w:tc>
        <w:tc>
          <w:tcPr>
            <w:tcW w:w="840" w:type="dxa"/>
          </w:tcPr>
          <w:p>
            <w:pPr>
              <w:jc w:val="center"/>
              <w:rPr>
                <w:rFonts w:ascii="宋体"/>
                <w:sz w:val="32"/>
                <w:szCs w:val="32"/>
              </w:rPr>
            </w:pPr>
          </w:p>
        </w:tc>
        <w:tc>
          <w:tcPr>
            <w:tcW w:w="735" w:type="dxa"/>
          </w:tcPr>
          <w:p>
            <w:pPr>
              <w:jc w:val="center"/>
              <w:rPr>
                <w:rFonts w:ascii="宋体"/>
                <w:sz w:val="32"/>
                <w:szCs w:val="32"/>
              </w:rPr>
            </w:pPr>
          </w:p>
        </w:tc>
        <w:tc>
          <w:tcPr>
            <w:tcW w:w="1365" w:type="dxa"/>
          </w:tcPr>
          <w:p>
            <w:pPr>
              <w:jc w:val="center"/>
              <w:rPr>
                <w:rFonts w:ascii="宋体"/>
                <w:sz w:val="32"/>
                <w:szCs w:val="32"/>
              </w:rPr>
            </w:pPr>
          </w:p>
        </w:tc>
        <w:tc>
          <w:tcPr>
            <w:tcW w:w="1260" w:type="dxa"/>
          </w:tcPr>
          <w:p>
            <w:pPr>
              <w:jc w:val="center"/>
              <w:rPr>
                <w:rFonts w:ascii="宋体"/>
                <w:sz w:val="32"/>
                <w:szCs w:val="32"/>
              </w:rPr>
            </w:pPr>
          </w:p>
        </w:tc>
        <w:tc>
          <w:tcPr>
            <w:tcW w:w="1260" w:type="dxa"/>
          </w:tcPr>
          <w:p>
            <w:pPr>
              <w:jc w:val="center"/>
              <w:rPr>
                <w:rFonts w:asci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3" w:type="dxa"/>
            <w:gridSpan w:val="9"/>
          </w:tcPr>
          <w:p>
            <w:pPr>
              <w:rPr>
                <w:rFonts w:ascii="宋体"/>
              </w:rPr>
            </w:pPr>
            <w:r>
              <w:rPr>
                <w:rFonts w:hint="eastAsia" w:ascii="宋体" w:hAnsi="宋体" w:cs="宋体"/>
              </w:rPr>
              <w:t>其它需说明的问题：</w:t>
            </w:r>
          </w:p>
        </w:tc>
      </w:tr>
    </w:tbl>
    <w:p>
      <w:pPr>
        <w:tabs>
          <w:tab w:val="left" w:pos="-180"/>
          <w:tab w:val="left" w:pos="0"/>
        </w:tabs>
        <w:jc w:val="left"/>
        <w:rPr>
          <w:rFonts w:ascii="宋体"/>
          <w:b/>
          <w:bCs/>
        </w:rPr>
      </w:pPr>
    </w:p>
    <w:p>
      <w:pPr>
        <w:tabs>
          <w:tab w:val="left" w:pos="-180"/>
          <w:tab w:val="left" w:pos="0"/>
        </w:tabs>
        <w:jc w:val="center"/>
        <w:rPr>
          <w:rFonts w:ascii="宋体"/>
          <w:sz w:val="30"/>
          <w:szCs w:val="30"/>
        </w:rPr>
      </w:pPr>
      <w:r>
        <w:rPr>
          <w:rFonts w:ascii="宋体"/>
          <w:b/>
          <w:bCs/>
        </w:rPr>
        <w:br w:type="page"/>
      </w:r>
      <w:r>
        <w:rPr>
          <w:rFonts w:hint="eastAsia" w:ascii="宋体" w:hAnsi="宋体" w:cs="宋体"/>
          <w:sz w:val="30"/>
          <w:szCs w:val="30"/>
        </w:rPr>
        <w:t>（九）拟配备本项目的试验和检测仪器设备表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985"/>
        <w:gridCol w:w="1417"/>
        <w:gridCol w:w="851"/>
        <w:gridCol w:w="1134"/>
        <w:gridCol w:w="1143"/>
        <w:gridCol w:w="126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spacing w:line="440" w:lineRule="exact"/>
              <w:jc w:val="center"/>
            </w:pPr>
            <w:r>
              <w:rPr>
                <w:rFonts w:hint="eastAsia" w:cs="宋体"/>
              </w:rPr>
              <w:t>序号</w:t>
            </w:r>
          </w:p>
        </w:tc>
        <w:tc>
          <w:tcPr>
            <w:tcW w:w="1985" w:type="dxa"/>
            <w:vAlign w:val="center"/>
          </w:tcPr>
          <w:p>
            <w:pPr>
              <w:spacing w:line="440" w:lineRule="exact"/>
              <w:jc w:val="center"/>
            </w:pPr>
            <w:r>
              <w:rPr>
                <w:rFonts w:hint="eastAsia" w:cs="宋体"/>
              </w:rPr>
              <w:t>仪器设备名称</w:t>
            </w:r>
          </w:p>
        </w:tc>
        <w:tc>
          <w:tcPr>
            <w:tcW w:w="1417" w:type="dxa"/>
            <w:vAlign w:val="center"/>
          </w:tcPr>
          <w:p>
            <w:pPr>
              <w:spacing w:line="440" w:lineRule="exact"/>
              <w:jc w:val="center"/>
            </w:pPr>
            <w:r>
              <w:rPr>
                <w:rFonts w:hint="eastAsia" w:cs="宋体"/>
              </w:rPr>
              <w:t>型号规格</w:t>
            </w:r>
          </w:p>
        </w:tc>
        <w:tc>
          <w:tcPr>
            <w:tcW w:w="851" w:type="dxa"/>
            <w:vAlign w:val="center"/>
          </w:tcPr>
          <w:p>
            <w:pPr>
              <w:spacing w:line="440" w:lineRule="exact"/>
              <w:jc w:val="center"/>
            </w:pPr>
            <w:r>
              <w:rPr>
                <w:rFonts w:hint="eastAsia" w:cs="宋体"/>
              </w:rPr>
              <w:t>数量</w:t>
            </w:r>
          </w:p>
        </w:tc>
        <w:tc>
          <w:tcPr>
            <w:tcW w:w="1134" w:type="dxa"/>
            <w:vAlign w:val="center"/>
          </w:tcPr>
          <w:p>
            <w:pPr>
              <w:spacing w:line="440" w:lineRule="exact"/>
              <w:jc w:val="center"/>
            </w:pPr>
            <w:r>
              <w:rPr>
                <w:rFonts w:hint="eastAsia" w:cs="宋体"/>
              </w:rPr>
              <w:t>国别产地</w:t>
            </w:r>
          </w:p>
        </w:tc>
        <w:tc>
          <w:tcPr>
            <w:tcW w:w="1143" w:type="dxa"/>
            <w:vAlign w:val="center"/>
          </w:tcPr>
          <w:p>
            <w:pPr>
              <w:spacing w:line="440" w:lineRule="exact"/>
              <w:jc w:val="center"/>
            </w:pPr>
            <w:r>
              <w:rPr>
                <w:rFonts w:hint="eastAsia" w:cs="宋体"/>
              </w:rPr>
              <w:t>制造年份</w:t>
            </w:r>
          </w:p>
        </w:tc>
        <w:tc>
          <w:tcPr>
            <w:tcW w:w="1262" w:type="dxa"/>
            <w:vAlign w:val="center"/>
          </w:tcPr>
          <w:p>
            <w:pPr>
              <w:spacing w:line="440" w:lineRule="exact"/>
              <w:jc w:val="center"/>
            </w:pPr>
            <w:r>
              <w:rPr>
                <w:rFonts w:hint="eastAsia" w:cs="宋体"/>
              </w:rPr>
              <w:t>用途</w:t>
            </w:r>
          </w:p>
        </w:tc>
        <w:tc>
          <w:tcPr>
            <w:tcW w:w="709" w:type="dxa"/>
            <w:vAlign w:val="center"/>
          </w:tcPr>
          <w:p>
            <w:pPr>
              <w:spacing w:line="440" w:lineRule="exact"/>
              <w:jc w:val="cente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spacing w:line="440" w:lineRule="exact"/>
              <w:jc w:val="center"/>
            </w:pPr>
          </w:p>
        </w:tc>
        <w:tc>
          <w:tcPr>
            <w:tcW w:w="1985" w:type="dxa"/>
            <w:vAlign w:val="center"/>
          </w:tcPr>
          <w:p>
            <w:pPr>
              <w:spacing w:line="440" w:lineRule="exact"/>
              <w:jc w:val="center"/>
            </w:pPr>
          </w:p>
        </w:tc>
        <w:tc>
          <w:tcPr>
            <w:tcW w:w="1417" w:type="dxa"/>
            <w:vAlign w:val="center"/>
          </w:tcPr>
          <w:p>
            <w:pPr>
              <w:spacing w:line="440" w:lineRule="exact"/>
              <w:jc w:val="center"/>
            </w:pPr>
          </w:p>
        </w:tc>
        <w:tc>
          <w:tcPr>
            <w:tcW w:w="851" w:type="dxa"/>
            <w:vAlign w:val="center"/>
          </w:tcPr>
          <w:p>
            <w:pPr>
              <w:spacing w:line="440" w:lineRule="exact"/>
              <w:jc w:val="center"/>
            </w:pPr>
          </w:p>
        </w:tc>
        <w:tc>
          <w:tcPr>
            <w:tcW w:w="1134" w:type="dxa"/>
            <w:vAlign w:val="center"/>
          </w:tcPr>
          <w:p>
            <w:pPr>
              <w:spacing w:line="440" w:lineRule="exact"/>
              <w:jc w:val="center"/>
            </w:pPr>
          </w:p>
        </w:tc>
        <w:tc>
          <w:tcPr>
            <w:tcW w:w="1143" w:type="dxa"/>
            <w:vAlign w:val="center"/>
          </w:tcPr>
          <w:p>
            <w:pPr>
              <w:spacing w:line="440" w:lineRule="exact"/>
              <w:jc w:val="center"/>
            </w:pPr>
          </w:p>
        </w:tc>
        <w:tc>
          <w:tcPr>
            <w:tcW w:w="1262" w:type="dxa"/>
            <w:vAlign w:val="center"/>
          </w:tcPr>
          <w:p>
            <w:pPr>
              <w:spacing w:line="440" w:lineRule="exact"/>
              <w:jc w:val="center"/>
            </w:pPr>
          </w:p>
        </w:tc>
        <w:tc>
          <w:tcPr>
            <w:tcW w:w="709"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spacing w:line="440" w:lineRule="exact"/>
              <w:jc w:val="center"/>
            </w:pPr>
          </w:p>
        </w:tc>
        <w:tc>
          <w:tcPr>
            <w:tcW w:w="1985" w:type="dxa"/>
            <w:vAlign w:val="center"/>
          </w:tcPr>
          <w:p>
            <w:pPr>
              <w:spacing w:line="440" w:lineRule="exact"/>
              <w:jc w:val="center"/>
            </w:pPr>
          </w:p>
        </w:tc>
        <w:tc>
          <w:tcPr>
            <w:tcW w:w="1417" w:type="dxa"/>
            <w:vAlign w:val="center"/>
          </w:tcPr>
          <w:p>
            <w:pPr>
              <w:spacing w:line="440" w:lineRule="exact"/>
              <w:jc w:val="center"/>
            </w:pPr>
          </w:p>
        </w:tc>
        <w:tc>
          <w:tcPr>
            <w:tcW w:w="851" w:type="dxa"/>
            <w:vAlign w:val="center"/>
          </w:tcPr>
          <w:p>
            <w:pPr>
              <w:spacing w:line="440" w:lineRule="exact"/>
              <w:jc w:val="center"/>
            </w:pPr>
          </w:p>
        </w:tc>
        <w:tc>
          <w:tcPr>
            <w:tcW w:w="1134" w:type="dxa"/>
            <w:vAlign w:val="center"/>
          </w:tcPr>
          <w:p>
            <w:pPr>
              <w:spacing w:line="440" w:lineRule="exact"/>
              <w:jc w:val="center"/>
            </w:pPr>
          </w:p>
        </w:tc>
        <w:tc>
          <w:tcPr>
            <w:tcW w:w="1143" w:type="dxa"/>
            <w:vAlign w:val="center"/>
          </w:tcPr>
          <w:p>
            <w:pPr>
              <w:spacing w:line="440" w:lineRule="exact"/>
              <w:jc w:val="center"/>
            </w:pPr>
          </w:p>
        </w:tc>
        <w:tc>
          <w:tcPr>
            <w:tcW w:w="1262" w:type="dxa"/>
            <w:vAlign w:val="center"/>
          </w:tcPr>
          <w:p>
            <w:pPr>
              <w:spacing w:line="440" w:lineRule="exact"/>
              <w:jc w:val="center"/>
            </w:pPr>
          </w:p>
        </w:tc>
        <w:tc>
          <w:tcPr>
            <w:tcW w:w="709"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tcPr>
          <w:p>
            <w:pPr>
              <w:spacing w:line="440" w:lineRule="exact"/>
              <w:jc w:val="center"/>
            </w:pPr>
          </w:p>
        </w:tc>
        <w:tc>
          <w:tcPr>
            <w:tcW w:w="1985" w:type="dxa"/>
          </w:tcPr>
          <w:p>
            <w:pPr>
              <w:spacing w:line="440" w:lineRule="exact"/>
              <w:jc w:val="center"/>
            </w:pPr>
          </w:p>
        </w:tc>
        <w:tc>
          <w:tcPr>
            <w:tcW w:w="1417" w:type="dxa"/>
          </w:tcPr>
          <w:p>
            <w:pPr>
              <w:spacing w:line="440" w:lineRule="exact"/>
              <w:jc w:val="center"/>
            </w:pPr>
          </w:p>
        </w:tc>
        <w:tc>
          <w:tcPr>
            <w:tcW w:w="851" w:type="dxa"/>
          </w:tcPr>
          <w:p>
            <w:pPr>
              <w:spacing w:line="440" w:lineRule="exact"/>
              <w:jc w:val="center"/>
            </w:pPr>
          </w:p>
        </w:tc>
        <w:tc>
          <w:tcPr>
            <w:tcW w:w="1134" w:type="dxa"/>
          </w:tcPr>
          <w:p>
            <w:pPr>
              <w:spacing w:line="440" w:lineRule="exact"/>
              <w:jc w:val="center"/>
            </w:pPr>
          </w:p>
        </w:tc>
        <w:tc>
          <w:tcPr>
            <w:tcW w:w="1143" w:type="dxa"/>
          </w:tcPr>
          <w:p>
            <w:pPr>
              <w:spacing w:line="440" w:lineRule="exact"/>
              <w:jc w:val="center"/>
            </w:pPr>
          </w:p>
        </w:tc>
        <w:tc>
          <w:tcPr>
            <w:tcW w:w="1262" w:type="dxa"/>
          </w:tcPr>
          <w:p>
            <w:pPr>
              <w:spacing w:line="440" w:lineRule="exact"/>
              <w:jc w:val="center"/>
            </w:pPr>
          </w:p>
        </w:tc>
        <w:tc>
          <w:tcPr>
            <w:tcW w:w="709"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tcPr>
          <w:p>
            <w:pPr>
              <w:spacing w:line="440" w:lineRule="exact"/>
              <w:jc w:val="center"/>
            </w:pPr>
          </w:p>
        </w:tc>
        <w:tc>
          <w:tcPr>
            <w:tcW w:w="1985" w:type="dxa"/>
          </w:tcPr>
          <w:p>
            <w:pPr>
              <w:spacing w:line="440" w:lineRule="exact"/>
              <w:jc w:val="center"/>
            </w:pPr>
          </w:p>
        </w:tc>
        <w:tc>
          <w:tcPr>
            <w:tcW w:w="1417" w:type="dxa"/>
          </w:tcPr>
          <w:p>
            <w:pPr>
              <w:spacing w:line="440" w:lineRule="exact"/>
              <w:jc w:val="center"/>
            </w:pPr>
          </w:p>
        </w:tc>
        <w:tc>
          <w:tcPr>
            <w:tcW w:w="851" w:type="dxa"/>
          </w:tcPr>
          <w:p>
            <w:pPr>
              <w:spacing w:line="440" w:lineRule="exact"/>
              <w:jc w:val="center"/>
            </w:pPr>
          </w:p>
        </w:tc>
        <w:tc>
          <w:tcPr>
            <w:tcW w:w="1134" w:type="dxa"/>
          </w:tcPr>
          <w:p>
            <w:pPr>
              <w:spacing w:line="440" w:lineRule="exact"/>
              <w:jc w:val="center"/>
            </w:pPr>
          </w:p>
        </w:tc>
        <w:tc>
          <w:tcPr>
            <w:tcW w:w="1143" w:type="dxa"/>
          </w:tcPr>
          <w:p>
            <w:pPr>
              <w:spacing w:line="440" w:lineRule="exact"/>
              <w:jc w:val="center"/>
            </w:pPr>
          </w:p>
        </w:tc>
        <w:tc>
          <w:tcPr>
            <w:tcW w:w="1262" w:type="dxa"/>
          </w:tcPr>
          <w:p>
            <w:pPr>
              <w:spacing w:line="440" w:lineRule="exact"/>
              <w:jc w:val="center"/>
            </w:pPr>
          </w:p>
        </w:tc>
        <w:tc>
          <w:tcPr>
            <w:tcW w:w="709"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tcPr>
          <w:p>
            <w:pPr>
              <w:spacing w:line="440" w:lineRule="exact"/>
              <w:jc w:val="center"/>
            </w:pPr>
          </w:p>
        </w:tc>
        <w:tc>
          <w:tcPr>
            <w:tcW w:w="1985" w:type="dxa"/>
          </w:tcPr>
          <w:p>
            <w:pPr>
              <w:spacing w:line="440" w:lineRule="exact"/>
              <w:jc w:val="center"/>
            </w:pPr>
          </w:p>
        </w:tc>
        <w:tc>
          <w:tcPr>
            <w:tcW w:w="1417" w:type="dxa"/>
          </w:tcPr>
          <w:p>
            <w:pPr>
              <w:spacing w:line="440" w:lineRule="exact"/>
              <w:jc w:val="center"/>
            </w:pPr>
          </w:p>
        </w:tc>
        <w:tc>
          <w:tcPr>
            <w:tcW w:w="851" w:type="dxa"/>
          </w:tcPr>
          <w:p>
            <w:pPr>
              <w:spacing w:line="440" w:lineRule="exact"/>
              <w:jc w:val="center"/>
            </w:pPr>
          </w:p>
        </w:tc>
        <w:tc>
          <w:tcPr>
            <w:tcW w:w="1134" w:type="dxa"/>
          </w:tcPr>
          <w:p>
            <w:pPr>
              <w:spacing w:line="440" w:lineRule="exact"/>
              <w:jc w:val="center"/>
            </w:pPr>
          </w:p>
        </w:tc>
        <w:tc>
          <w:tcPr>
            <w:tcW w:w="1143" w:type="dxa"/>
          </w:tcPr>
          <w:p>
            <w:pPr>
              <w:spacing w:line="440" w:lineRule="exact"/>
              <w:jc w:val="center"/>
            </w:pPr>
          </w:p>
        </w:tc>
        <w:tc>
          <w:tcPr>
            <w:tcW w:w="1262" w:type="dxa"/>
          </w:tcPr>
          <w:p>
            <w:pPr>
              <w:spacing w:line="440" w:lineRule="exact"/>
              <w:jc w:val="center"/>
            </w:pPr>
          </w:p>
        </w:tc>
        <w:tc>
          <w:tcPr>
            <w:tcW w:w="709"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tcPr>
          <w:p>
            <w:pPr>
              <w:spacing w:line="440" w:lineRule="exact"/>
              <w:jc w:val="center"/>
            </w:pPr>
          </w:p>
        </w:tc>
        <w:tc>
          <w:tcPr>
            <w:tcW w:w="1985" w:type="dxa"/>
          </w:tcPr>
          <w:p>
            <w:pPr>
              <w:spacing w:line="440" w:lineRule="exact"/>
              <w:jc w:val="center"/>
            </w:pPr>
          </w:p>
        </w:tc>
        <w:tc>
          <w:tcPr>
            <w:tcW w:w="1417" w:type="dxa"/>
          </w:tcPr>
          <w:p>
            <w:pPr>
              <w:spacing w:line="440" w:lineRule="exact"/>
              <w:jc w:val="center"/>
            </w:pPr>
          </w:p>
        </w:tc>
        <w:tc>
          <w:tcPr>
            <w:tcW w:w="851" w:type="dxa"/>
          </w:tcPr>
          <w:p>
            <w:pPr>
              <w:spacing w:line="440" w:lineRule="exact"/>
              <w:jc w:val="center"/>
            </w:pPr>
          </w:p>
        </w:tc>
        <w:tc>
          <w:tcPr>
            <w:tcW w:w="1134" w:type="dxa"/>
          </w:tcPr>
          <w:p>
            <w:pPr>
              <w:spacing w:line="440" w:lineRule="exact"/>
              <w:jc w:val="center"/>
            </w:pPr>
          </w:p>
        </w:tc>
        <w:tc>
          <w:tcPr>
            <w:tcW w:w="1143" w:type="dxa"/>
          </w:tcPr>
          <w:p>
            <w:pPr>
              <w:spacing w:line="440" w:lineRule="exact"/>
              <w:jc w:val="center"/>
            </w:pPr>
          </w:p>
        </w:tc>
        <w:tc>
          <w:tcPr>
            <w:tcW w:w="1262" w:type="dxa"/>
          </w:tcPr>
          <w:p>
            <w:pPr>
              <w:spacing w:line="440" w:lineRule="exact"/>
              <w:jc w:val="center"/>
            </w:pPr>
          </w:p>
        </w:tc>
        <w:tc>
          <w:tcPr>
            <w:tcW w:w="709"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tcPr>
          <w:p>
            <w:pPr>
              <w:spacing w:line="440" w:lineRule="exact"/>
              <w:jc w:val="center"/>
            </w:pPr>
          </w:p>
        </w:tc>
        <w:tc>
          <w:tcPr>
            <w:tcW w:w="1985" w:type="dxa"/>
          </w:tcPr>
          <w:p>
            <w:pPr>
              <w:spacing w:line="440" w:lineRule="exact"/>
              <w:jc w:val="center"/>
            </w:pPr>
          </w:p>
        </w:tc>
        <w:tc>
          <w:tcPr>
            <w:tcW w:w="1417" w:type="dxa"/>
          </w:tcPr>
          <w:p>
            <w:pPr>
              <w:spacing w:line="440" w:lineRule="exact"/>
              <w:jc w:val="center"/>
            </w:pPr>
          </w:p>
        </w:tc>
        <w:tc>
          <w:tcPr>
            <w:tcW w:w="851" w:type="dxa"/>
          </w:tcPr>
          <w:p>
            <w:pPr>
              <w:spacing w:line="440" w:lineRule="exact"/>
              <w:jc w:val="center"/>
            </w:pPr>
          </w:p>
        </w:tc>
        <w:tc>
          <w:tcPr>
            <w:tcW w:w="1134" w:type="dxa"/>
          </w:tcPr>
          <w:p>
            <w:pPr>
              <w:spacing w:line="440" w:lineRule="exact"/>
              <w:jc w:val="center"/>
            </w:pPr>
          </w:p>
        </w:tc>
        <w:tc>
          <w:tcPr>
            <w:tcW w:w="1143" w:type="dxa"/>
          </w:tcPr>
          <w:p>
            <w:pPr>
              <w:spacing w:line="440" w:lineRule="exact"/>
              <w:jc w:val="center"/>
            </w:pPr>
          </w:p>
        </w:tc>
        <w:tc>
          <w:tcPr>
            <w:tcW w:w="1262" w:type="dxa"/>
          </w:tcPr>
          <w:p>
            <w:pPr>
              <w:spacing w:line="440" w:lineRule="exact"/>
              <w:jc w:val="center"/>
            </w:pPr>
          </w:p>
        </w:tc>
        <w:tc>
          <w:tcPr>
            <w:tcW w:w="709"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tcPr>
          <w:p>
            <w:pPr>
              <w:spacing w:line="440" w:lineRule="exact"/>
              <w:jc w:val="center"/>
            </w:pPr>
          </w:p>
        </w:tc>
        <w:tc>
          <w:tcPr>
            <w:tcW w:w="1985" w:type="dxa"/>
          </w:tcPr>
          <w:p>
            <w:pPr>
              <w:spacing w:line="440" w:lineRule="exact"/>
              <w:jc w:val="center"/>
            </w:pPr>
          </w:p>
        </w:tc>
        <w:tc>
          <w:tcPr>
            <w:tcW w:w="1417" w:type="dxa"/>
          </w:tcPr>
          <w:p>
            <w:pPr>
              <w:spacing w:line="440" w:lineRule="exact"/>
              <w:jc w:val="center"/>
            </w:pPr>
          </w:p>
        </w:tc>
        <w:tc>
          <w:tcPr>
            <w:tcW w:w="851" w:type="dxa"/>
          </w:tcPr>
          <w:p>
            <w:pPr>
              <w:spacing w:line="440" w:lineRule="exact"/>
              <w:jc w:val="center"/>
            </w:pPr>
          </w:p>
        </w:tc>
        <w:tc>
          <w:tcPr>
            <w:tcW w:w="1134" w:type="dxa"/>
          </w:tcPr>
          <w:p>
            <w:pPr>
              <w:spacing w:line="440" w:lineRule="exact"/>
              <w:jc w:val="center"/>
            </w:pPr>
          </w:p>
        </w:tc>
        <w:tc>
          <w:tcPr>
            <w:tcW w:w="1143" w:type="dxa"/>
          </w:tcPr>
          <w:p>
            <w:pPr>
              <w:spacing w:line="440" w:lineRule="exact"/>
              <w:jc w:val="center"/>
            </w:pPr>
          </w:p>
        </w:tc>
        <w:tc>
          <w:tcPr>
            <w:tcW w:w="1262" w:type="dxa"/>
          </w:tcPr>
          <w:p>
            <w:pPr>
              <w:spacing w:line="440" w:lineRule="exact"/>
              <w:jc w:val="center"/>
            </w:pPr>
          </w:p>
        </w:tc>
        <w:tc>
          <w:tcPr>
            <w:tcW w:w="709"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tcPr>
          <w:p>
            <w:pPr>
              <w:spacing w:line="440" w:lineRule="exact"/>
              <w:jc w:val="center"/>
            </w:pPr>
          </w:p>
        </w:tc>
        <w:tc>
          <w:tcPr>
            <w:tcW w:w="1985" w:type="dxa"/>
          </w:tcPr>
          <w:p>
            <w:pPr>
              <w:spacing w:line="440" w:lineRule="exact"/>
              <w:jc w:val="center"/>
            </w:pPr>
          </w:p>
        </w:tc>
        <w:tc>
          <w:tcPr>
            <w:tcW w:w="1417" w:type="dxa"/>
          </w:tcPr>
          <w:p>
            <w:pPr>
              <w:spacing w:line="440" w:lineRule="exact"/>
              <w:jc w:val="center"/>
            </w:pPr>
          </w:p>
        </w:tc>
        <w:tc>
          <w:tcPr>
            <w:tcW w:w="851" w:type="dxa"/>
          </w:tcPr>
          <w:p>
            <w:pPr>
              <w:spacing w:line="440" w:lineRule="exact"/>
              <w:jc w:val="center"/>
            </w:pPr>
          </w:p>
        </w:tc>
        <w:tc>
          <w:tcPr>
            <w:tcW w:w="1134" w:type="dxa"/>
          </w:tcPr>
          <w:p>
            <w:pPr>
              <w:spacing w:line="440" w:lineRule="exact"/>
              <w:jc w:val="center"/>
            </w:pPr>
          </w:p>
        </w:tc>
        <w:tc>
          <w:tcPr>
            <w:tcW w:w="1143" w:type="dxa"/>
          </w:tcPr>
          <w:p>
            <w:pPr>
              <w:spacing w:line="440" w:lineRule="exact"/>
              <w:jc w:val="center"/>
            </w:pPr>
          </w:p>
        </w:tc>
        <w:tc>
          <w:tcPr>
            <w:tcW w:w="1262" w:type="dxa"/>
          </w:tcPr>
          <w:p>
            <w:pPr>
              <w:spacing w:line="440" w:lineRule="exact"/>
              <w:jc w:val="center"/>
            </w:pPr>
          </w:p>
        </w:tc>
        <w:tc>
          <w:tcPr>
            <w:tcW w:w="709"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tcPr>
          <w:p>
            <w:pPr>
              <w:spacing w:line="440" w:lineRule="exact"/>
              <w:jc w:val="center"/>
            </w:pPr>
          </w:p>
        </w:tc>
        <w:tc>
          <w:tcPr>
            <w:tcW w:w="1985" w:type="dxa"/>
          </w:tcPr>
          <w:p>
            <w:pPr>
              <w:spacing w:line="440" w:lineRule="exact"/>
              <w:jc w:val="center"/>
            </w:pPr>
          </w:p>
        </w:tc>
        <w:tc>
          <w:tcPr>
            <w:tcW w:w="1417" w:type="dxa"/>
          </w:tcPr>
          <w:p>
            <w:pPr>
              <w:spacing w:line="440" w:lineRule="exact"/>
              <w:jc w:val="center"/>
            </w:pPr>
          </w:p>
        </w:tc>
        <w:tc>
          <w:tcPr>
            <w:tcW w:w="851" w:type="dxa"/>
          </w:tcPr>
          <w:p>
            <w:pPr>
              <w:spacing w:line="440" w:lineRule="exact"/>
              <w:jc w:val="center"/>
            </w:pPr>
          </w:p>
        </w:tc>
        <w:tc>
          <w:tcPr>
            <w:tcW w:w="1134" w:type="dxa"/>
          </w:tcPr>
          <w:p>
            <w:pPr>
              <w:spacing w:line="440" w:lineRule="exact"/>
              <w:jc w:val="center"/>
            </w:pPr>
          </w:p>
        </w:tc>
        <w:tc>
          <w:tcPr>
            <w:tcW w:w="1143" w:type="dxa"/>
          </w:tcPr>
          <w:p>
            <w:pPr>
              <w:spacing w:line="440" w:lineRule="exact"/>
              <w:jc w:val="center"/>
            </w:pPr>
          </w:p>
        </w:tc>
        <w:tc>
          <w:tcPr>
            <w:tcW w:w="1262" w:type="dxa"/>
          </w:tcPr>
          <w:p>
            <w:pPr>
              <w:spacing w:line="440" w:lineRule="exact"/>
              <w:jc w:val="center"/>
            </w:pPr>
          </w:p>
        </w:tc>
        <w:tc>
          <w:tcPr>
            <w:tcW w:w="709"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tcPr>
          <w:p>
            <w:pPr>
              <w:spacing w:line="440" w:lineRule="exact"/>
              <w:jc w:val="center"/>
            </w:pPr>
          </w:p>
        </w:tc>
        <w:tc>
          <w:tcPr>
            <w:tcW w:w="1985" w:type="dxa"/>
          </w:tcPr>
          <w:p>
            <w:pPr>
              <w:spacing w:line="440" w:lineRule="exact"/>
              <w:jc w:val="center"/>
            </w:pPr>
          </w:p>
        </w:tc>
        <w:tc>
          <w:tcPr>
            <w:tcW w:w="1417" w:type="dxa"/>
          </w:tcPr>
          <w:p>
            <w:pPr>
              <w:spacing w:line="440" w:lineRule="exact"/>
              <w:jc w:val="center"/>
            </w:pPr>
          </w:p>
        </w:tc>
        <w:tc>
          <w:tcPr>
            <w:tcW w:w="851" w:type="dxa"/>
          </w:tcPr>
          <w:p>
            <w:pPr>
              <w:spacing w:line="440" w:lineRule="exact"/>
              <w:jc w:val="center"/>
            </w:pPr>
          </w:p>
        </w:tc>
        <w:tc>
          <w:tcPr>
            <w:tcW w:w="1134" w:type="dxa"/>
          </w:tcPr>
          <w:p>
            <w:pPr>
              <w:spacing w:line="440" w:lineRule="exact"/>
              <w:jc w:val="center"/>
            </w:pPr>
          </w:p>
        </w:tc>
        <w:tc>
          <w:tcPr>
            <w:tcW w:w="1143" w:type="dxa"/>
          </w:tcPr>
          <w:p>
            <w:pPr>
              <w:spacing w:line="440" w:lineRule="exact"/>
              <w:jc w:val="center"/>
            </w:pPr>
          </w:p>
        </w:tc>
        <w:tc>
          <w:tcPr>
            <w:tcW w:w="1262" w:type="dxa"/>
          </w:tcPr>
          <w:p>
            <w:pPr>
              <w:spacing w:line="440" w:lineRule="exact"/>
              <w:jc w:val="center"/>
            </w:pPr>
          </w:p>
        </w:tc>
        <w:tc>
          <w:tcPr>
            <w:tcW w:w="709"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tcPr>
          <w:p>
            <w:pPr>
              <w:spacing w:line="440" w:lineRule="exact"/>
              <w:jc w:val="center"/>
            </w:pPr>
          </w:p>
        </w:tc>
        <w:tc>
          <w:tcPr>
            <w:tcW w:w="1985" w:type="dxa"/>
          </w:tcPr>
          <w:p>
            <w:pPr>
              <w:spacing w:line="440" w:lineRule="exact"/>
              <w:jc w:val="center"/>
            </w:pPr>
          </w:p>
        </w:tc>
        <w:tc>
          <w:tcPr>
            <w:tcW w:w="1417" w:type="dxa"/>
          </w:tcPr>
          <w:p>
            <w:pPr>
              <w:spacing w:line="440" w:lineRule="exact"/>
              <w:jc w:val="center"/>
            </w:pPr>
          </w:p>
        </w:tc>
        <w:tc>
          <w:tcPr>
            <w:tcW w:w="851" w:type="dxa"/>
          </w:tcPr>
          <w:p>
            <w:pPr>
              <w:spacing w:line="440" w:lineRule="exact"/>
              <w:jc w:val="center"/>
            </w:pPr>
          </w:p>
        </w:tc>
        <w:tc>
          <w:tcPr>
            <w:tcW w:w="1134" w:type="dxa"/>
          </w:tcPr>
          <w:p>
            <w:pPr>
              <w:spacing w:line="440" w:lineRule="exact"/>
              <w:jc w:val="center"/>
            </w:pPr>
          </w:p>
        </w:tc>
        <w:tc>
          <w:tcPr>
            <w:tcW w:w="1143" w:type="dxa"/>
          </w:tcPr>
          <w:p>
            <w:pPr>
              <w:spacing w:line="440" w:lineRule="exact"/>
              <w:jc w:val="center"/>
            </w:pPr>
          </w:p>
        </w:tc>
        <w:tc>
          <w:tcPr>
            <w:tcW w:w="1262" w:type="dxa"/>
          </w:tcPr>
          <w:p>
            <w:pPr>
              <w:spacing w:line="440" w:lineRule="exact"/>
              <w:jc w:val="center"/>
            </w:pPr>
          </w:p>
        </w:tc>
        <w:tc>
          <w:tcPr>
            <w:tcW w:w="709"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tcPr>
          <w:p>
            <w:pPr>
              <w:spacing w:line="440" w:lineRule="exact"/>
              <w:jc w:val="center"/>
            </w:pPr>
          </w:p>
        </w:tc>
        <w:tc>
          <w:tcPr>
            <w:tcW w:w="1985" w:type="dxa"/>
          </w:tcPr>
          <w:p>
            <w:pPr>
              <w:spacing w:line="440" w:lineRule="exact"/>
              <w:jc w:val="center"/>
            </w:pPr>
          </w:p>
        </w:tc>
        <w:tc>
          <w:tcPr>
            <w:tcW w:w="1417" w:type="dxa"/>
          </w:tcPr>
          <w:p>
            <w:pPr>
              <w:spacing w:line="440" w:lineRule="exact"/>
              <w:jc w:val="center"/>
            </w:pPr>
          </w:p>
        </w:tc>
        <w:tc>
          <w:tcPr>
            <w:tcW w:w="851" w:type="dxa"/>
          </w:tcPr>
          <w:p>
            <w:pPr>
              <w:spacing w:line="440" w:lineRule="exact"/>
              <w:jc w:val="center"/>
            </w:pPr>
          </w:p>
        </w:tc>
        <w:tc>
          <w:tcPr>
            <w:tcW w:w="1134" w:type="dxa"/>
          </w:tcPr>
          <w:p>
            <w:pPr>
              <w:spacing w:line="440" w:lineRule="exact"/>
              <w:jc w:val="center"/>
            </w:pPr>
          </w:p>
        </w:tc>
        <w:tc>
          <w:tcPr>
            <w:tcW w:w="1143" w:type="dxa"/>
          </w:tcPr>
          <w:p>
            <w:pPr>
              <w:spacing w:line="440" w:lineRule="exact"/>
              <w:jc w:val="center"/>
            </w:pPr>
          </w:p>
        </w:tc>
        <w:tc>
          <w:tcPr>
            <w:tcW w:w="1262" w:type="dxa"/>
          </w:tcPr>
          <w:p>
            <w:pPr>
              <w:spacing w:line="440" w:lineRule="exact"/>
              <w:jc w:val="center"/>
            </w:pPr>
          </w:p>
        </w:tc>
        <w:tc>
          <w:tcPr>
            <w:tcW w:w="709"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tcPr>
          <w:p>
            <w:pPr>
              <w:spacing w:line="440" w:lineRule="exact"/>
              <w:jc w:val="center"/>
            </w:pPr>
          </w:p>
        </w:tc>
        <w:tc>
          <w:tcPr>
            <w:tcW w:w="1985" w:type="dxa"/>
          </w:tcPr>
          <w:p>
            <w:pPr>
              <w:spacing w:line="440" w:lineRule="exact"/>
              <w:jc w:val="center"/>
            </w:pPr>
          </w:p>
        </w:tc>
        <w:tc>
          <w:tcPr>
            <w:tcW w:w="1417" w:type="dxa"/>
          </w:tcPr>
          <w:p>
            <w:pPr>
              <w:spacing w:line="440" w:lineRule="exact"/>
              <w:jc w:val="center"/>
            </w:pPr>
          </w:p>
        </w:tc>
        <w:tc>
          <w:tcPr>
            <w:tcW w:w="851" w:type="dxa"/>
          </w:tcPr>
          <w:p>
            <w:pPr>
              <w:spacing w:line="440" w:lineRule="exact"/>
              <w:jc w:val="center"/>
            </w:pPr>
          </w:p>
        </w:tc>
        <w:tc>
          <w:tcPr>
            <w:tcW w:w="1134" w:type="dxa"/>
          </w:tcPr>
          <w:p>
            <w:pPr>
              <w:spacing w:line="440" w:lineRule="exact"/>
              <w:jc w:val="center"/>
            </w:pPr>
          </w:p>
        </w:tc>
        <w:tc>
          <w:tcPr>
            <w:tcW w:w="1143" w:type="dxa"/>
          </w:tcPr>
          <w:p>
            <w:pPr>
              <w:spacing w:line="440" w:lineRule="exact"/>
              <w:jc w:val="center"/>
            </w:pPr>
          </w:p>
        </w:tc>
        <w:tc>
          <w:tcPr>
            <w:tcW w:w="1262" w:type="dxa"/>
          </w:tcPr>
          <w:p>
            <w:pPr>
              <w:spacing w:line="440" w:lineRule="exact"/>
              <w:jc w:val="center"/>
            </w:pPr>
          </w:p>
        </w:tc>
        <w:tc>
          <w:tcPr>
            <w:tcW w:w="709"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tcPr>
          <w:p>
            <w:pPr>
              <w:spacing w:line="440" w:lineRule="exact"/>
              <w:jc w:val="center"/>
            </w:pPr>
          </w:p>
        </w:tc>
        <w:tc>
          <w:tcPr>
            <w:tcW w:w="1985" w:type="dxa"/>
          </w:tcPr>
          <w:p>
            <w:pPr>
              <w:spacing w:line="440" w:lineRule="exact"/>
              <w:jc w:val="center"/>
            </w:pPr>
          </w:p>
        </w:tc>
        <w:tc>
          <w:tcPr>
            <w:tcW w:w="1417" w:type="dxa"/>
          </w:tcPr>
          <w:p>
            <w:pPr>
              <w:spacing w:line="440" w:lineRule="exact"/>
              <w:jc w:val="center"/>
            </w:pPr>
          </w:p>
        </w:tc>
        <w:tc>
          <w:tcPr>
            <w:tcW w:w="851" w:type="dxa"/>
          </w:tcPr>
          <w:p>
            <w:pPr>
              <w:spacing w:line="440" w:lineRule="exact"/>
              <w:jc w:val="center"/>
            </w:pPr>
          </w:p>
        </w:tc>
        <w:tc>
          <w:tcPr>
            <w:tcW w:w="1134" w:type="dxa"/>
          </w:tcPr>
          <w:p>
            <w:pPr>
              <w:spacing w:line="440" w:lineRule="exact"/>
              <w:jc w:val="center"/>
            </w:pPr>
          </w:p>
        </w:tc>
        <w:tc>
          <w:tcPr>
            <w:tcW w:w="1143" w:type="dxa"/>
          </w:tcPr>
          <w:p>
            <w:pPr>
              <w:spacing w:line="440" w:lineRule="exact"/>
              <w:jc w:val="center"/>
            </w:pPr>
          </w:p>
        </w:tc>
        <w:tc>
          <w:tcPr>
            <w:tcW w:w="1262" w:type="dxa"/>
          </w:tcPr>
          <w:p>
            <w:pPr>
              <w:spacing w:line="440" w:lineRule="exact"/>
              <w:jc w:val="center"/>
            </w:pPr>
          </w:p>
        </w:tc>
        <w:tc>
          <w:tcPr>
            <w:tcW w:w="709"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tcPr>
          <w:p>
            <w:pPr>
              <w:spacing w:line="440" w:lineRule="exact"/>
              <w:jc w:val="center"/>
            </w:pPr>
          </w:p>
        </w:tc>
        <w:tc>
          <w:tcPr>
            <w:tcW w:w="1985" w:type="dxa"/>
          </w:tcPr>
          <w:p>
            <w:pPr>
              <w:spacing w:line="440" w:lineRule="exact"/>
              <w:jc w:val="center"/>
            </w:pPr>
          </w:p>
        </w:tc>
        <w:tc>
          <w:tcPr>
            <w:tcW w:w="1417" w:type="dxa"/>
          </w:tcPr>
          <w:p>
            <w:pPr>
              <w:spacing w:line="440" w:lineRule="exact"/>
              <w:jc w:val="center"/>
            </w:pPr>
          </w:p>
        </w:tc>
        <w:tc>
          <w:tcPr>
            <w:tcW w:w="851" w:type="dxa"/>
          </w:tcPr>
          <w:p>
            <w:pPr>
              <w:spacing w:line="440" w:lineRule="exact"/>
              <w:jc w:val="center"/>
            </w:pPr>
          </w:p>
        </w:tc>
        <w:tc>
          <w:tcPr>
            <w:tcW w:w="1134" w:type="dxa"/>
          </w:tcPr>
          <w:p>
            <w:pPr>
              <w:spacing w:line="440" w:lineRule="exact"/>
              <w:jc w:val="center"/>
            </w:pPr>
          </w:p>
        </w:tc>
        <w:tc>
          <w:tcPr>
            <w:tcW w:w="1143" w:type="dxa"/>
          </w:tcPr>
          <w:p>
            <w:pPr>
              <w:spacing w:line="440" w:lineRule="exact"/>
              <w:jc w:val="center"/>
            </w:pPr>
          </w:p>
        </w:tc>
        <w:tc>
          <w:tcPr>
            <w:tcW w:w="1262" w:type="dxa"/>
          </w:tcPr>
          <w:p>
            <w:pPr>
              <w:spacing w:line="440" w:lineRule="exact"/>
              <w:jc w:val="center"/>
            </w:pPr>
          </w:p>
        </w:tc>
        <w:tc>
          <w:tcPr>
            <w:tcW w:w="709"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tcPr>
          <w:p>
            <w:pPr>
              <w:spacing w:line="440" w:lineRule="exact"/>
              <w:jc w:val="center"/>
            </w:pPr>
          </w:p>
        </w:tc>
        <w:tc>
          <w:tcPr>
            <w:tcW w:w="1985" w:type="dxa"/>
          </w:tcPr>
          <w:p>
            <w:pPr>
              <w:spacing w:line="440" w:lineRule="exact"/>
              <w:jc w:val="center"/>
            </w:pPr>
          </w:p>
        </w:tc>
        <w:tc>
          <w:tcPr>
            <w:tcW w:w="1417" w:type="dxa"/>
          </w:tcPr>
          <w:p>
            <w:pPr>
              <w:spacing w:line="440" w:lineRule="exact"/>
              <w:jc w:val="center"/>
            </w:pPr>
          </w:p>
        </w:tc>
        <w:tc>
          <w:tcPr>
            <w:tcW w:w="851" w:type="dxa"/>
          </w:tcPr>
          <w:p>
            <w:pPr>
              <w:spacing w:line="440" w:lineRule="exact"/>
              <w:jc w:val="center"/>
            </w:pPr>
          </w:p>
        </w:tc>
        <w:tc>
          <w:tcPr>
            <w:tcW w:w="1134" w:type="dxa"/>
          </w:tcPr>
          <w:p>
            <w:pPr>
              <w:spacing w:line="440" w:lineRule="exact"/>
              <w:jc w:val="center"/>
            </w:pPr>
          </w:p>
        </w:tc>
        <w:tc>
          <w:tcPr>
            <w:tcW w:w="1143" w:type="dxa"/>
          </w:tcPr>
          <w:p>
            <w:pPr>
              <w:spacing w:line="440" w:lineRule="exact"/>
              <w:jc w:val="center"/>
            </w:pPr>
          </w:p>
        </w:tc>
        <w:tc>
          <w:tcPr>
            <w:tcW w:w="1262" w:type="dxa"/>
          </w:tcPr>
          <w:p>
            <w:pPr>
              <w:spacing w:line="440" w:lineRule="exact"/>
              <w:jc w:val="center"/>
            </w:pPr>
          </w:p>
        </w:tc>
        <w:tc>
          <w:tcPr>
            <w:tcW w:w="709"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tcPr>
          <w:p>
            <w:pPr>
              <w:spacing w:line="440" w:lineRule="exact"/>
              <w:jc w:val="center"/>
            </w:pPr>
          </w:p>
        </w:tc>
        <w:tc>
          <w:tcPr>
            <w:tcW w:w="1985" w:type="dxa"/>
          </w:tcPr>
          <w:p>
            <w:pPr>
              <w:spacing w:line="440" w:lineRule="exact"/>
              <w:jc w:val="center"/>
            </w:pPr>
          </w:p>
        </w:tc>
        <w:tc>
          <w:tcPr>
            <w:tcW w:w="1417" w:type="dxa"/>
          </w:tcPr>
          <w:p>
            <w:pPr>
              <w:spacing w:line="440" w:lineRule="exact"/>
              <w:jc w:val="center"/>
            </w:pPr>
          </w:p>
        </w:tc>
        <w:tc>
          <w:tcPr>
            <w:tcW w:w="851" w:type="dxa"/>
          </w:tcPr>
          <w:p>
            <w:pPr>
              <w:spacing w:line="440" w:lineRule="exact"/>
              <w:jc w:val="center"/>
            </w:pPr>
          </w:p>
        </w:tc>
        <w:tc>
          <w:tcPr>
            <w:tcW w:w="1134" w:type="dxa"/>
          </w:tcPr>
          <w:p>
            <w:pPr>
              <w:spacing w:line="440" w:lineRule="exact"/>
              <w:jc w:val="center"/>
            </w:pPr>
          </w:p>
        </w:tc>
        <w:tc>
          <w:tcPr>
            <w:tcW w:w="1143" w:type="dxa"/>
          </w:tcPr>
          <w:p>
            <w:pPr>
              <w:spacing w:line="440" w:lineRule="exact"/>
              <w:jc w:val="center"/>
            </w:pPr>
          </w:p>
        </w:tc>
        <w:tc>
          <w:tcPr>
            <w:tcW w:w="1262" w:type="dxa"/>
          </w:tcPr>
          <w:p>
            <w:pPr>
              <w:spacing w:line="440" w:lineRule="exact"/>
              <w:jc w:val="center"/>
            </w:pPr>
          </w:p>
        </w:tc>
        <w:tc>
          <w:tcPr>
            <w:tcW w:w="709"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tcPr>
          <w:p>
            <w:pPr>
              <w:spacing w:line="440" w:lineRule="exact"/>
              <w:jc w:val="center"/>
            </w:pPr>
          </w:p>
        </w:tc>
        <w:tc>
          <w:tcPr>
            <w:tcW w:w="1985" w:type="dxa"/>
          </w:tcPr>
          <w:p>
            <w:pPr>
              <w:spacing w:line="440" w:lineRule="exact"/>
              <w:jc w:val="center"/>
            </w:pPr>
          </w:p>
        </w:tc>
        <w:tc>
          <w:tcPr>
            <w:tcW w:w="1417" w:type="dxa"/>
          </w:tcPr>
          <w:p>
            <w:pPr>
              <w:spacing w:line="440" w:lineRule="exact"/>
              <w:jc w:val="center"/>
            </w:pPr>
          </w:p>
        </w:tc>
        <w:tc>
          <w:tcPr>
            <w:tcW w:w="851" w:type="dxa"/>
          </w:tcPr>
          <w:p>
            <w:pPr>
              <w:spacing w:line="440" w:lineRule="exact"/>
              <w:jc w:val="center"/>
            </w:pPr>
          </w:p>
        </w:tc>
        <w:tc>
          <w:tcPr>
            <w:tcW w:w="1134" w:type="dxa"/>
          </w:tcPr>
          <w:p>
            <w:pPr>
              <w:spacing w:line="440" w:lineRule="exact"/>
              <w:jc w:val="center"/>
            </w:pPr>
          </w:p>
        </w:tc>
        <w:tc>
          <w:tcPr>
            <w:tcW w:w="1143" w:type="dxa"/>
          </w:tcPr>
          <w:p>
            <w:pPr>
              <w:spacing w:line="440" w:lineRule="exact"/>
              <w:jc w:val="center"/>
            </w:pPr>
          </w:p>
        </w:tc>
        <w:tc>
          <w:tcPr>
            <w:tcW w:w="1262" w:type="dxa"/>
          </w:tcPr>
          <w:p>
            <w:pPr>
              <w:spacing w:line="440" w:lineRule="exact"/>
              <w:jc w:val="center"/>
            </w:pPr>
          </w:p>
        </w:tc>
        <w:tc>
          <w:tcPr>
            <w:tcW w:w="709" w:type="dxa"/>
          </w:tcPr>
          <w:p>
            <w:pPr>
              <w:spacing w:line="440" w:lineRule="exact"/>
              <w:jc w:val="center"/>
            </w:pPr>
          </w:p>
        </w:tc>
      </w:tr>
    </w:tbl>
    <w:p>
      <w:pPr>
        <w:tabs>
          <w:tab w:val="left" w:pos="-180"/>
          <w:tab w:val="left" w:pos="0"/>
        </w:tabs>
        <w:jc w:val="left"/>
        <w:rPr>
          <w:rFonts w:ascii="宋体"/>
          <w:sz w:val="30"/>
          <w:szCs w:val="30"/>
        </w:rPr>
      </w:pPr>
    </w:p>
    <w:p>
      <w:pPr>
        <w:tabs>
          <w:tab w:val="left" w:pos="-180"/>
          <w:tab w:val="left" w:pos="0"/>
        </w:tabs>
        <w:jc w:val="left"/>
        <w:rPr>
          <w:rFonts w:ascii="宋体"/>
          <w:b/>
          <w:bCs/>
        </w:rPr>
      </w:pPr>
    </w:p>
    <w:p>
      <w:pPr>
        <w:spacing w:line="360" w:lineRule="auto"/>
        <w:jc w:val="center"/>
        <w:outlineLvl w:val="0"/>
        <w:rPr>
          <w:rFonts w:ascii="宋体"/>
          <w:sz w:val="30"/>
          <w:szCs w:val="30"/>
        </w:rPr>
      </w:pPr>
      <w:r>
        <w:rPr>
          <w:rFonts w:ascii="宋体"/>
          <w:b/>
          <w:bCs/>
          <w:sz w:val="36"/>
          <w:szCs w:val="36"/>
        </w:rPr>
        <w:br w:type="page"/>
      </w:r>
      <w:bookmarkStart w:id="424" w:name="_Toc84265696"/>
      <w:bookmarkStart w:id="425" w:name="_Toc42001889"/>
      <w:r>
        <w:rPr>
          <w:rFonts w:hint="eastAsia" w:ascii="宋体" w:hAnsi="宋体" w:cs="宋体"/>
          <w:sz w:val="36"/>
          <w:szCs w:val="36"/>
        </w:rPr>
        <w:t>六、承包人实施方案</w:t>
      </w:r>
      <w:bookmarkEnd w:id="424"/>
      <w:bookmarkEnd w:id="425"/>
    </w:p>
    <w:p>
      <w:pPr>
        <w:spacing w:line="360" w:lineRule="auto"/>
        <w:rPr>
          <w:rFonts w:ascii="宋体"/>
          <w:sz w:val="30"/>
          <w:szCs w:val="30"/>
        </w:rPr>
      </w:pPr>
    </w:p>
    <w:p>
      <w:pPr>
        <w:spacing w:line="360" w:lineRule="auto"/>
        <w:rPr>
          <w:rFonts w:ascii="宋体" w:hAnsi="宋体" w:cs="宋体"/>
        </w:rPr>
      </w:pPr>
      <w:r>
        <w:rPr>
          <w:rFonts w:hint="eastAsia" w:ascii="宋体" w:hAnsi="宋体" w:cs="宋体"/>
        </w:rPr>
        <w:t>包括但不限于以下内容：</w:t>
      </w:r>
    </w:p>
    <w:p>
      <w:pPr>
        <w:spacing w:line="360" w:lineRule="auto"/>
        <w:rPr>
          <w:rFonts w:ascii="宋体" w:hAnsi="宋体" w:cs="宋体"/>
        </w:rPr>
      </w:pPr>
      <w:r>
        <w:rPr>
          <w:rFonts w:hint="eastAsia" w:ascii="宋体" w:hAnsi="宋体" w:cs="宋体"/>
        </w:rPr>
        <w:t>1</w:t>
      </w:r>
      <w:bookmarkStart w:id="426" w:name="_Toc353788254"/>
      <w:r>
        <w:rPr>
          <w:rFonts w:hint="eastAsia" w:ascii="宋体" w:hAnsi="宋体" w:cs="宋体"/>
        </w:rPr>
        <w:t>.概述；</w:t>
      </w:r>
    </w:p>
    <w:p>
      <w:pPr>
        <w:spacing w:line="360" w:lineRule="auto"/>
        <w:rPr>
          <w:rFonts w:ascii="宋体" w:hAnsi="宋体" w:cs="宋体"/>
        </w:rPr>
      </w:pPr>
      <w:r>
        <w:rPr>
          <w:rFonts w:hint="eastAsia" w:ascii="宋体" w:hAnsi="宋体" w:cs="宋体"/>
        </w:rPr>
        <w:t>2.</w:t>
      </w:r>
      <w:bookmarkEnd w:id="426"/>
      <w:r>
        <w:rPr>
          <w:rFonts w:hint="eastAsia" w:ascii="宋体" w:hAnsi="宋体" w:cs="宋体"/>
        </w:rPr>
        <w:t>通信、35kV及以下电力、给排水、热力、油气管道等线路和设施的迁改及防护工程实施方案、方法和技术措施；</w:t>
      </w:r>
    </w:p>
    <w:p>
      <w:pPr>
        <w:spacing w:line="360" w:lineRule="auto"/>
        <w:rPr>
          <w:rFonts w:ascii="宋体" w:hAnsi="宋体" w:cs="宋体"/>
        </w:rPr>
      </w:pPr>
      <w:r>
        <w:rPr>
          <w:rFonts w:hint="eastAsia" w:ascii="宋体" w:hAnsi="宋体" w:cs="宋体"/>
        </w:rPr>
        <w:t>3.</w:t>
      </w:r>
      <w:bookmarkStart w:id="427" w:name="_Toc353788256"/>
      <w:r>
        <w:rPr>
          <w:rFonts w:hint="eastAsia" w:ascii="宋体" w:hAnsi="宋体" w:cs="宋体"/>
        </w:rPr>
        <w:t>110kV及以上电力迁改工程组织实施方案、方法和技术措施；</w:t>
      </w:r>
    </w:p>
    <w:p>
      <w:pPr>
        <w:spacing w:line="360" w:lineRule="auto"/>
        <w:rPr>
          <w:rFonts w:ascii="宋体" w:hAnsi="宋体" w:cs="宋体"/>
        </w:rPr>
      </w:pPr>
      <w:r>
        <w:rPr>
          <w:rFonts w:hint="eastAsia" w:ascii="宋体" w:hAnsi="宋体" w:cs="宋体"/>
        </w:rPr>
        <w:t>4.与产权单位协调配合</w:t>
      </w:r>
      <w:bookmarkEnd w:id="427"/>
      <w:r>
        <w:rPr>
          <w:rFonts w:hint="eastAsia" w:ascii="宋体" w:hAnsi="宋体" w:cs="宋体"/>
        </w:rPr>
        <w:t>措</w:t>
      </w:r>
      <w:bookmarkStart w:id="428" w:name="_Toc353788258"/>
      <w:r>
        <w:rPr>
          <w:rFonts w:hint="eastAsia" w:ascii="宋体" w:hAnsi="宋体" w:cs="宋体"/>
        </w:rPr>
        <w:t>施；</w:t>
      </w:r>
    </w:p>
    <w:p>
      <w:pPr>
        <w:spacing w:line="360" w:lineRule="auto"/>
        <w:rPr>
          <w:rFonts w:ascii="宋体" w:hAnsi="宋体" w:cs="宋体"/>
        </w:rPr>
      </w:pPr>
      <w:r>
        <w:rPr>
          <w:rFonts w:hint="eastAsia" w:ascii="宋体" w:hAnsi="宋体" w:cs="宋体"/>
        </w:rPr>
        <w:t>5.质量保证体系与质量</w:t>
      </w:r>
      <w:bookmarkEnd w:id="428"/>
      <w:r>
        <w:rPr>
          <w:rFonts w:hint="eastAsia" w:ascii="宋体" w:hAnsi="宋体" w:cs="宋体"/>
        </w:rPr>
        <w:t>保</w:t>
      </w:r>
      <w:bookmarkStart w:id="429" w:name="_Toc353788259"/>
      <w:r>
        <w:rPr>
          <w:rFonts w:hint="eastAsia" w:ascii="宋体" w:hAnsi="宋体" w:cs="宋体"/>
        </w:rPr>
        <w:t>证措施；</w:t>
      </w:r>
    </w:p>
    <w:p>
      <w:pPr>
        <w:spacing w:line="360" w:lineRule="auto"/>
        <w:rPr>
          <w:rFonts w:ascii="宋体" w:hAnsi="宋体" w:cs="宋体"/>
        </w:rPr>
      </w:pPr>
      <w:r>
        <w:rPr>
          <w:rFonts w:hint="eastAsia" w:ascii="宋体" w:hAnsi="宋体" w:cs="宋体"/>
        </w:rPr>
        <w:t>6.安全保证体系与安全</w:t>
      </w:r>
      <w:bookmarkEnd w:id="429"/>
      <w:r>
        <w:rPr>
          <w:rFonts w:hint="eastAsia" w:ascii="宋体" w:hAnsi="宋体" w:cs="宋体"/>
        </w:rPr>
        <w:t>保</w:t>
      </w:r>
      <w:bookmarkStart w:id="430" w:name="_Toc353788260"/>
      <w:r>
        <w:rPr>
          <w:rFonts w:hint="eastAsia" w:ascii="宋体" w:hAnsi="宋体" w:cs="宋体"/>
        </w:rPr>
        <w:t>障措施；</w:t>
      </w:r>
    </w:p>
    <w:p>
      <w:pPr>
        <w:spacing w:line="360" w:lineRule="auto"/>
        <w:rPr>
          <w:rFonts w:ascii="宋体" w:hAnsi="宋体" w:cs="宋体"/>
        </w:rPr>
      </w:pPr>
      <w:r>
        <w:rPr>
          <w:rFonts w:hint="eastAsia" w:ascii="宋体" w:hAnsi="宋体" w:cs="宋体"/>
        </w:rPr>
        <w:t>7.</w:t>
      </w:r>
      <w:bookmarkStart w:id="431" w:name="_Hlk49759751"/>
      <w:r>
        <w:rPr>
          <w:rFonts w:hint="eastAsia" w:ascii="宋体" w:hAnsi="宋体" w:cs="宋体"/>
        </w:rPr>
        <w:t>劳、材、机计划</w:t>
      </w:r>
      <w:bookmarkEnd w:id="431"/>
      <w:r>
        <w:rPr>
          <w:rFonts w:hint="eastAsia" w:ascii="宋体" w:hAnsi="宋体" w:cs="宋体"/>
        </w:rPr>
        <w:t>；</w:t>
      </w:r>
    </w:p>
    <w:p>
      <w:pPr>
        <w:spacing w:line="360" w:lineRule="auto"/>
        <w:rPr>
          <w:rFonts w:ascii="宋体" w:hAnsi="宋体" w:cs="宋体"/>
        </w:rPr>
      </w:pPr>
      <w:r>
        <w:rPr>
          <w:rFonts w:hint="eastAsia" w:ascii="宋体" w:hAnsi="宋体" w:cs="宋体"/>
        </w:rPr>
        <w:t>8</w:t>
      </w:r>
      <w:bookmarkEnd w:id="430"/>
      <w:r>
        <w:rPr>
          <w:rFonts w:hint="eastAsia" w:ascii="宋体" w:hAnsi="宋体" w:cs="宋体"/>
        </w:rPr>
        <w:t>.</w:t>
      </w:r>
      <w:bookmarkStart w:id="432" w:name="_Toc353788261"/>
      <w:r>
        <w:rPr>
          <w:rFonts w:hint="eastAsia" w:ascii="宋体" w:hAnsi="宋体" w:cs="宋体"/>
        </w:rPr>
        <w:t>文明施工与环境保护</w:t>
      </w:r>
      <w:bookmarkEnd w:id="432"/>
      <w:r>
        <w:rPr>
          <w:rFonts w:hint="eastAsia" w:ascii="宋体" w:hAnsi="宋体" w:cs="宋体"/>
        </w:rPr>
        <w:t>措</w:t>
      </w:r>
      <w:bookmarkStart w:id="433" w:name="_Toc353788262"/>
      <w:r>
        <w:rPr>
          <w:rFonts w:hint="eastAsia" w:ascii="宋体" w:hAnsi="宋体" w:cs="宋体"/>
        </w:rPr>
        <w:t>施；</w:t>
      </w:r>
    </w:p>
    <w:p>
      <w:pPr>
        <w:spacing w:line="360" w:lineRule="auto"/>
        <w:rPr>
          <w:rFonts w:ascii="宋体" w:hAnsi="宋体" w:cs="宋体"/>
        </w:rPr>
      </w:pPr>
      <w:r>
        <w:rPr>
          <w:rFonts w:hint="eastAsia" w:ascii="宋体" w:hAnsi="宋体" w:cs="宋体"/>
        </w:rPr>
        <w:t>9.工期计划及保证措施</w:t>
      </w:r>
      <w:bookmarkEnd w:id="433"/>
      <w:r>
        <w:rPr>
          <w:rFonts w:hint="eastAsia" w:ascii="宋体" w:hAnsi="宋体" w:cs="宋体"/>
        </w:rPr>
        <w:t>；</w:t>
      </w:r>
    </w:p>
    <w:p>
      <w:pPr>
        <w:spacing w:line="360" w:lineRule="auto"/>
        <w:rPr>
          <w:rFonts w:ascii="宋体" w:hAnsi="宋体" w:cs="宋体"/>
        </w:rPr>
      </w:pPr>
      <w:r>
        <w:rPr>
          <w:rFonts w:hint="eastAsia" w:ascii="宋体" w:hAnsi="宋体" w:cs="宋体"/>
        </w:rPr>
        <w:t>10.其他。</w:t>
      </w:r>
    </w:p>
    <w:p>
      <w:pPr>
        <w:spacing w:line="360" w:lineRule="auto"/>
        <w:rPr>
          <w:rFonts w:ascii="宋体"/>
        </w:rPr>
      </w:pPr>
    </w:p>
    <w:p>
      <w:pPr>
        <w:spacing w:line="360" w:lineRule="auto"/>
        <w:rPr>
          <w:rFonts w:ascii="宋体"/>
          <w:sz w:val="30"/>
          <w:szCs w:val="30"/>
        </w:rPr>
      </w:pPr>
    </w:p>
    <w:p>
      <w:pPr>
        <w:widowControl/>
        <w:jc w:val="left"/>
        <w:rPr>
          <w:rFonts w:ascii="宋体"/>
          <w:sz w:val="30"/>
          <w:szCs w:val="30"/>
        </w:rPr>
      </w:pPr>
      <w:r>
        <w:rPr>
          <w:rFonts w:ascii="宋体"/>
          <w:sz w:val="30"/>
          <w:szCs w:val="30"/>
        </w:rPr>
        <w:br w:type="page"/>
      </w:r>
    </w:p>
    <w:p>
      <w:pPr>
        <w:spacing w:line="360" w:lineRule="auto"/>
        <w:jc w:val="center"/>
        <w:outlineLvl w:val="0"/>
        <w:rPr>
          <w:rFonts w:ascii="宋体" w:hAnsi="宋体" w:cs="宋体"/>
          <w:sz w:val="36"/>
          <w:szCs w:val="36"/>
        </w:rPr>
      </w:pPr>
      <w:r>
        <w:rPr>
          <w:rFonts w:hint="eastAsia" w:ascii="宋体" w:hAnsi="宋体" w:cs="宋体"/>
          <w:sz w:val="36"/>
          <w:szCs w:val="36"/>
        </w:rPr>
        <w:t>七、项目管理方案</w:t>
      </w:r>
    </w:p>
    <w:p>
      <w:pPr>
        <w:spacing w:line="420" w:lineRule="exact"/>
        <w:ind w:firstLine="482"/>
        <w:rPr>
          <w:rFonts w:ascii="宋体" w:hAnsi="宋体" w:cs="宋体"/>
        </w:rPr>
      </w:pPr>
    </w:p>
    <w:p>
      <w:pPr>
        <w:spacing w:line="420" w:lineRule="exact"/>
        <w:ind w:firstLine="482"/>
        <w:rPr>
          <w:rFonts w:ascii="宋体" w:hAnsi="宋体" w:cs="宋体"/>
        </w:rPr>
      </w:pPr>
    </w:p>
    <w:p>
      <w:pPr>
        <w:spacing w:line="420" w:lineRule="exact"/>
        <w:ind w:firstLine="482"/>
        <w:rPr>
          <w:rFonts w:ascii="宋体" w:hAnsi="宋体" w:cs="宋体"/>
        </w:rPr>
      </w:pPr>
      <w:r>
        <w:rPr>
          <w:rFonts w:hint="eastAsia" w:ascii="宋体" w:hAnsi="宋体" w:cs="宋体"/>
        </w:rPr>
        <w:t>包括但不限于以下内容：</w:t>
      </w:r>
    </w:p>
    <w:p>
      <w:pPr>
        <w:spacing w:line="420" w:lineRule="exact"/>
        <w:ind w:firstLine="420" w:firstLineChars="200"/>
        <w:rPr>
          <w:rFonts w:ascii="宋体" w:hAnsi="宋体" w:cs="宋体"/>
        </w:rPr>
      </w:pPr>
      <w:r>
        <w:rPr>
          <w:rFonts w:hint="eastAsia" w:ascii="宋体" w:hAnsi="宋体" w:cs="宋体"/>
        </w:rPr>
        <w:t>1.项目管理机构设置：项目管理机构设置、人员配备、部门职责划分、管理制度合理可行；</w:t>
      </w:r>
    </w:p>
    <w:p>
      <w:pPr>
        <w:spacing w:line="420" w:lineRule="exact"/>
        <w:ind w:firstLine="420" w:firstLineChars="200"/>
        <w:rPr>
          <w:rFonts w:ascii="宋体" w:hAnsi="宋体" w:cs="宋体"/>
        </w:rPr>
      </w:pPr>
      <w:r>
        <w:rPr>
          <w:rFonts w:hint="eastAsia" w:ascii="宋体" w:hAnsi="宋体" w:cs="宋体"/>
        </w:rPr>
        <w:t>2.项目管理方案：格式自拟。</w:t>
      </w:r>
    </w:p>
    <w:p>
      <w:pPr>
        <w:spacing w:line="420" w:lineRule="exact"/>
        <w:ind w:firstLine="420" w:firstLineChars="200"/>
        <w:rPr>
          <w:rFonts w:ascii="宋体" w:hAnsi="宋体" w:cs="宋体"/>
        </w:rPr>
      </w:pPr>
      <w:r>
        <w:rPr>
          <w:rFonts w:ascii="宋体" w:hAnsi="宋体" w:cs="宋体"/>
        </w:rPr>
        <w:br w:type="page"/>
      </w:r>
    </w:p>
    <w:p>
      <w:pPr>
        <w:spacing w:line="360" w:lineRule="auto"/>
        <w:jc w:val="center"/>
        <w:outlineLvl w:val="0"/>
        <w:rPr>
          <w:rFonts w:ascii="宋体" w:hAnsi="宋体" w:cs="宋体"/>
          <w:sz w:val="36"/>
          <w:szCs w:val="36"/>
        </w:rPr>
      </w:pPr>
      <w:r>
        <w:rPr>
          <w:rFonts w:hint="eastAsia" w:ascii="宋体" w:hAnsi="宋体" w:cs="宋体"/>
          <w:sz w:val="36"/>
          <w:szCs w:val="36"/>
        </w:rPr>
        <w:t>八、其他材料</w:t>
      </w:r>
    </w:p>
    <w:p>
      <w:pPr>
        <w:pStyle w:val="173"/>
        <w:spacing w:line="240" w:lineRule="auto"/>
        <w:rPr>
          <w:rFonts w:ascii="宋体" w:hAnsi="宋体"/>
          <w:b w:val="0"/>
          <w:sz w:val="30"/>
          <w:szCs w:val="30"/>
        </w:rPr>
      </w:pPr>
      <w:r>
        <w:rPr>
          <w:rFonts w:hint="eastAsia" w:ascii="宋体" w:hAnsi="宋体"/>
          <w:b w:val="0"/>
          <w:sz w:val="30"/>
          <w:szCs w:val="30"/>
        </w:rPr>
        <w:t>（投标人认为需要说明的其他材料）</w:t>
      </w:r>
    </w:p>
    <w:p>
      <w:pPr>
        <w:pStyle w:val="173"/>
        <w:spacing w:line="240" w:lineRule="auto"/>
        <w:rPr>
          <w:rFonts w:ascii="宋体" w:hAnsi="宋体"/>
          <w:sz w:val="28"/>
          <w:szCs w:val="28"/>
        </w:rPr>
      </w:pPr>
      <w:r>
        <w:rPr>
          <w:rFonts w:ascii="宋体" w:hAnsi="宋体"/>
          <w:sz w:val="36"/>
          <w:szCs w:val="36"/>
        </w:rPr>
        <w:br w:type="page"/>
      </w:r>
      <w:bookmarkStart w:id="434" w:name="_Toc84265697"/>
      <w:bookmarkStart w:id="435" w:name="_Toc32335"/>
      <w:bookmarkStart w:id="436" w:name="_Toc16152"/>
      <w:r>
        <w:rPr>
          <w:rFonts w:hint="eastAsia" w:ascii="宋体" w:hAnsi="宋体"/>
          <w:sz w:val="28"/>
          <w:szCs w:val="28"/>
        </w:rPr>
        <w:t>保密承诺书</w:t>
      </w:r>
      <w:bookmarkEnd w:id="434"/>
      <w:bookmarkEnd w:id="435"/>
      <w:bookmarkEnd w:id="436"/>
    </w:p>
    <w:p>
      <w:pPr>
        <w:spacing w:line="520" w:lineRule="exact"/>
        <w:rPr>
          <w:rFonts w:ascii="宋体" w:hAnsi="宋体" w:cs="宋体"/>
        </w:rPr>
      </w:pPr>
      <w:r>
        <w:rPr>
          <w:rFonts w:hint="eastAsia" w:ascii="宋体" w:hAnsi="宋体" w:cs="宋体"/>
        </w:rPr>
        <w:t>（招标人全称）：</w:t>
      </w:r>
    </w:p>
    <w:p>
      <w:pPr>
        <w:spacing w:line="520" w:lineRule="exact"/>
        <w:ind w:firstLine="435"/>
        <w:rPr>
          <w:rFonts w:ascii="宋体" w:hAnsi="宋体" w:cs="宋体"/>
        </w:rPr>
      </w:pPr>
      <w:r>
        <w:rPr>
          <w:rFonts w:hint="eastAsia" w:ascii="宋体" w:hAnsi="宋体" w:cs="宋体"/>
        </w:rPr>
        <w:t>我方（投标人全称），拟参加____________（项目名称）投标。现就有关保密事宜承诺如下：</w:t>
      </w:r>
    </w:p>
    <w:p>
      <w:pPr>
        <w:spacing w:line="520" w:lineRule="exact"/>
        <w:ind w:firstLine="435"/>
        <w:rPr>
          <w:rFonts w:ascii="宋体" w:hAnsi="宋体" w:cs="宋体"/>
        </w:rPr>
      </w:pPr>
      <w:r>
        <w:rPr>
          <w:rFonts w:hint="eastAsia" w:ascii="宋体" w:hAnsi="宋体" w:cs="宋体"/>
        </w:rPr>
        <w:t>1. 我方在投标活动过程中将严格遵守《中华人民共和国保密法》及其他相关法律法规，否则自行承担相应的法律责任。</w:t>
      </w:r>
    </w:p>
    <w:p>
      <w:pPr>
        <w:spacing w:line="520" w:lineRule="exact"/>
        <w:ind w:firstLine="435"/>
        <w:rPr>
          <w:rFonts w:ascii="宋体" w:hAnsi="宋体" w:cs="宋体"/>
        </w:rPr>
      </w:pPr>
      <w:r>
        <w:rPr>
          <w:rFonts w:hint="eastAsia" w:ascii="宋体" w:hAnsi="宋体" w:cs="宋体"/>
        </w:rPr>
        <w:t>2. 如中标，我方将与发包人签订保密协议，认真履行保密协议义务，承担保密责任。</w:t>
      </w:r>
    </w:p>
    <w:p>
      <w:pPr>
        <w:spacing w:line="520" w:lineRule="exact"/>
        <w:ind w:firstLine="435"/>
        <w:rPr>
          <w:rFonts w:ascii="宋体" w:hAnsi="宋体" w:cs="宋体"/>
        </w:rPr>
      </w:pPr>
      <w:r>
        <w:rPr>
          <w:rFonts w:hint="eastAsia" w:ascii="宋体" w:hAnsi="宋体" w:cs="宋体"/>
        </w:rPr>
        <w:t>3. 如中标，我方在签订合同、执行合同过程中将严格遵守《中华人民共和国保密法》及其他相关法律法规，同时认真履行合同中承包人的保密义务，否则自行承担相应的法律责任。</w:t>
      </w:r>
    </w:p>
    <w:p>
      <w:pPr>
        <w:spacing w:line="520" w:lineRule="exact"/>
        <w:ind w:firstLine="435"/>
        <w:rPr>
          <w:rFonts w:ascii="宋体" w:hAnsi="宋体" w:cs="宋体"/>
        </w:rPr>
      </w:pPr>
      <w:r>
        <w:rPr>
          <w:rFonts w:hint="eastAsia" w:ascii="宋体" w:hAnsi="宋体" w:cs="宋体"/>
        </w:rPr>
        <w:t>4. 如中标，我方将遵守合同约定的有关专利技术保密及使用要求。</w:t>
      </w:r>
    </w:p>
    <w:p>
      <w:pPr>
        <w:spacing w:line="520" w:lineRule="exact"/>
        <w:ind w:firstLine="435"/>
        <w:rPr>
          <w:rFonts w:ascii="宋体" w:hAnsi="宋体" w:cs="宋体"/>
        </w:rPr>
      </w:pPr>
      <w:r>
        <w:rPr>
          <w:rFonts w:hint="eastAsia" w:ascii="宋体" w:hAnsi="宋体" w:cs="宋体"/>
        </w:rPr>
        <w:t>……</w:t>
      </w:r>
    </w:p>
    <w:p>
      <w:pPr>
        <w:snapToGrid w:val="0"/>
        <w:spacing w:line="520" w:lineRule="exact"/>
        <w:ind w:firstLine="420" w:firstLineChars="200"/>
        <w:rPr>
          <w:rStyle w:val="172"/>
          <w:rFonts w:ascii="宋体" w:hAnsi="宋体" w:cs="宋体"/>
          <w:sz w:val="21"/>
        </w:rPr>
      </w:pPr>
    </w:p>
    <w:p>
      <w:pPr>
        <w:snapToGrid w:val="0"/>
        <w:spacing w:line="520" w:lineRule="exact"/>
        <w:ind w:firstLine="1619" w:firstLineChars="771"/>
        <w:rPr>
          <w:rStyle w:val="172"/>
          <w:rFonts w:ascii="宋体" w:hAnsi="宋体" w:cs="宋体"/>
          <w:sz w:val="21"/>
        </w:rPr>
      </w:pPr>
    </w:p>
    <w:p>
      <w:pPr>
        <w:pStyle w:val="107"/>
        <w:rPr>
          <w:rFonts w:hAnsi="宋体" w:cs="宋体"/>
          <w:color w:val="auto"/>
          <w:sz w:val="21"/>
          <w:szCs w:val="21"/>
        </w:rPr>
      </w:pPr>
    </w:p>
    <w:p>
      <w:pPr>
        <w:spacing w:line="520" w:lineRule="exact"/>
        <w:ind w:firstLine="2730" w:firstLineChars="1300"/>
        <w:jc w:val="right"/>
        <w:rPr>
          <w:rFonts w:ascii="宋体" w:hAnsi="宋体" w:cs="宋体"/>
        </w:rPr>
      </w:pPr>
      <w:r>
        <w:rPr>
          <w:rFonts w:hint="eastAsia" w:ascii="宋体" w:hAnsi="宋体" w:cs="宋体"/>
        </w:rPr>
        <w:t>投标人：____________________________（盖单位章）</w:t>
      </w:r>
    </w:p>
    <w:p>
      <w:pPr>
        <w:spacing w:line="520" w:lineRule="exact"/>
        <w:ind w:firstLine="2730" w:firstLineChars="1300"/>
        <w:jc w:val="right"/>
        <w:rPr>
          <w:rFonts w:ascii="宋体" w:hAnsi="宋体" w:cs="宋体"/>
        </w:rPr>
      </w:pPr>
      <w:r>
        <w:rPr>
          <w:rFonts w:hint="eastAsia" w:ascii="宋体" w:hAnsi="宋体" w:cs="宋体"/>
        </w:rPr>
        <w:t>法定代表人或授权代理人：___________（签字或盖章）</w:t>
      </w:r>
    </w:p>
    <w:p>
      <w:pPr>
        <w:spacing w:line="520" w:lineRule="exact"/>
        <w:ind w:right="420" w:firstLine="2730" w:firstLineChars="1300"/>
        <w:jc w:val="right"/>
        <w:rPr>
          <w:rFonts w:ascii="宋体" w:hAnsi="宋体" w:cs="宋体"/>
        </w:rPr>
      </w:pPr>
      <w:r>
        <w:rPr>
          <w:rFonts w:hint="eastAsia" w:ascii="宋体" w:hAnsi="宋体" w:cs="宋体"/>
        </w:rPr>
        <w:t>地址：______________________________________</w:t>
      </w:r>
    </w:p>
    <w:p>
      <w:pPr>
        <w:widowControl/>
        <w:jc w:val="right"/>
        <w:rPr>
          <w:rFonts w:ascii="宋体" w:hAnsi="宋体" w:cs="宋体"/>
        </w:rPr>
      </w:pPr>
      <w:r>
        <w:rPr>
          <w:rFonts w:hint="eastAsia" w:ascii="宋体" w:hAnsi="宋体" w:cs="宋体"/>
        </w:rPr>
        <w:t>日期：         年        月       日</w:t>
      </w:r>
    </w:p>
    <w:p>
      <w:pPr>
        <w:pStyle w:val="173"/>
        <w:rPr>
          <w:rFonts w:ascii="宋体" w:hAnsi="宋体"/>
          <w:sz w:val="28"/>
          <w:szCs w:val="28"/>
        </w:rPr>
      </w:pPr>
      <w:r>
        <w:rPr>
          <w:rFonts w:ascii="宋体" w:hAnsi="宋体"/>
        </w:rPr>
        <w:br w:type="page"/>
      </w:r>
      <w:bookmarkStart w:id="437" w:name="_Toc210327749"/>
      <w:bookmarkStart w:id="438" w:name="_Toc210364934"/>
      <w:bookmarkStart w:id="439" w:name="_Toc162619783"/>
      <w:bookmarkStart w:id="440" w:name="_Toc168287404"/>
      <w:bookmarkStart w:id="441" w:name="_Toc4484"/>
      <w:bookmarkStart w:id="442" w:name="_Toc276715195"/>
      <w:bookmarkStart w:id="443" w:name="_Toc6828"/>
      <w:bookmarkStart w:id="444" w:name="_Toc210355611"/>
      <w:bookmarkStart w:id="445" w:name="_Toc162622669"/>
      <w:bookmarkStart w:id="446" w:name="_Toc277917715"/>
      <w:bookmarkStart w:id="447" w:name="_Toc84265698"/>
      <w:bookmarkStart w:id="448" w:name="_Toc195508917"/>
      <w:r>
        <w:rPr>
          <w:rFonts w:hint="eastAsia" w:ascii="宋体" w:hAnsi="宋体"/>
          <w:sz w:val="28"/>
          <w:szCs w:val="28"/>
        </w:rPr>
        <w:t>投标人承诺书</w:t>
      </w:r>
      <w:bookmarkEnd w:id="437"/>
      <w:bookmarkEnd w:id="438"/>
      <w:bookmarkEnd w:id="439"/>
      <w:bookmarkEnd w:id="440"/>
      <w:bookmarkEnd w:id="441"/>
      <w:bookmarkEnd w:id="442"/>
      <w:bookmarkEnd w:id="443"/>
      <w:bookmarkEnd w:id="444"/>
      <w:bookmarkEnd w:id="445"/>
      <w:bookmarkEnd w:id="446"/>
      <w:bookmarkEnd w:id="447"/>
      <w:bookmarkEnd w:id="448"/>
    </w:p>
    <w:p>
      <w:pPr>
        <w:spacing w:line="400" w:lineRule="exact"/>
        <w:rPr>
          <w:rFonts w:ascii="宋体" w:hAnsi="宋体" w:cs="宋体"/>
        </w:rPr>
      </w:pPr>
      <w:r>
        <w:rPr>
          <w:rFonts w:hint="eastAsia" w:ascii="宋体" w:hAnsi="宋体" w:cs="宋体"/>
        </w:rPr>
        <w:t>（招标人全称）：</w:t>
      </w:r>
    </w:p>
    <w:p>
      <w:pPr>
        <w:autoSpaceDE w:val="0"/>
        <w:autoSpaceDN w:val="0"/>
        <w:adjustRightInd w:val="0"/>
        <w:spacing w:before="240" w:after="285" w:line="360" w:lineRule="auto"/>
        <w:ind w:firstLine="473"/>
        <w:rPr>
          <w:rFonts w:ascii="宋体" w:hAnsi="宋体" w:cs="宋体"/>
        </w:rPr>
      </w:pPr>
      <w:r>
        <w:rPr>
          <w:rFonts w:hint="eastAsia" w:ascii="宋体" w:hAnsi="宋体" w:cs="宋体"/>
          <w:lang w:val="zh-CN"/>
        </w:rPr>
        <w:t>我方参加了</w:t>
      </w:r>
      <w:r>
        <w:rPr>
          <w:rFonts w:hint="eastAsia" w:ascii="宋体" w:hAnsi="宋体" w:cs="宋体"/>
          <w:u w:val="single"/>
        </w:rPr>
        <w:t xml:space="preserve">                （</w:t>
      </w:r>
      <w:r>
        <w:rPr>
          <w:rFonts w:hint="eastAsia" w:ascii="宋体" w:hAnsi="宋体" w:cs="宋体"/>
          <w:u w:val="single"/>
          <w:lang w:val="zh-CN"/>
        </w:rPr>
        <w:t>项目名称</w:t>
      </w:r>
      <w:r>
        <w:rPr>
          <w:rFonts w:hint="eastAsia" w:ascii="宋体" w:hAnsi="宋体" w:cs="宋体"/>
          <w:u w:val="single"/>
        </w:rPr>
        <w:t>）</w:t>
      </w:r>
      <w:r>
        <w:rPr>
          <w:rFonts w:hint="eastAsia" w:ascii="宋体" w:hAnsi="宋体" w:cs="宋体"/>
          <w:lang w:val="zh-CN"/>
        </w:rPr>
        <w:t>投标，若我方中标，我方在此承诺：</w:t>
      </w:r>
    </w:p>
    <w:p>
      <w:pPr>
        <w:pStyle w:val="17"/>
        <w:numPr>
          <w:ilvl w:val="0"/>
          <w:numId w:val="3"/>
        </w:numPr>
        <w:adjustRightInd w:val="0"/>
        <w:snapToGrid w:val="0"/>
        <w:spacing w:line="360" w:lineRule="auto"/>
        <w:ind w:left="0" w:firstLine="495" w:firstLineChars="236"/>
        <w:rPr>
          <w:rFonts w:hAnsi="宋体"/>
          <w:sz w:val="21"/>
          <w:szCs w:val="21"/>
        </w:rPr>
      </w:pPr>
      <w:r>
        <w:rPr>
          <w:rFonts w:hint="eastAsia" w:hAnsi="宋体"/>
          <w:sz w:val="21"/>
          <w:szCs w:val="21"/>
        </w:rPr>
        <w:t>我方对招标文件及合同条款的完全响应。</w:t>
      </w:r>
    </w:p>
    <w:p>
      <w:pPr>
        <w:pStyle w:val="17"/>
        <w:numPr>
          <w:ilvl w:val="0"/>
          <w:numId w:val="3"/>
        </w:numPr>
        <w:adjustRightInd w:val="0"/>
        <w:snapToGrid w:val="0"/>
        <w:spacing w:line="360" w:lineRule="auto"/>
        <w:ind w:left="0" w:firstLine="495" w:firstLineChars="236"/>
        <w:rPr>
          <w:rFonts w:hAnsi="宋体"/>
          <w:sz w:val="21"/>
          <w:szCs w:val="21"/>
        </w:rPr>
      </w:pPr>
      <w:r>
        <w:rPr>
          <w:rFonts w:hint="eastAsia" w:hAnsi="宋体"/>
          <w:sz w:val="21"/>
          <w:szCs w:val="21"/>
        </w:rPr>
        <w:t>我方同意中标后招标人可能因变更设计等情况对本工程内容做部分调整。</w:t>
      </w:r>
    </w:p>
    <w:p>
      <w:pPr>
        <w:pStyle w:val="17"/>
        <w:numPr>
          <w:ilvl w:val="0"/>
          <w:numId w:val="3"/>
        </w:numPr>
        <w:adjustRightInd w:val="0"/>
        <w:snapToGrid w:val="0"/>
        <w:spacing w:line="360" w:lineRule="auto"/>
        <w:ind w:left="0" w:firstLine="495" w:firstLineChars="236"/>
        <w:rPr>
          <w:rFonts w:hAnsi="宋体"/>
          <w:sz w:val="21"/>
          <w:szCs w:val="21"/>
        </w:rPr>
      </w:pPr>
      <w:r>
        <w:rPr>
          <w:rFonts w:hint="eastAsia" w:hAnsi="宋体"/>
          <w:sz w:val="21"/>
          <w:szCs w:val="21"/>
        </w:rPr>
        <w:t>我方在项目实施过程中，服从招标人有可能根据上级要求或投资安排等情况而进行的工期调整，且不要求由此而引起的工程索赔。</w:t>
      </w:r>
    </w:p>
    <w:p>
      <w:pPr>
        <w:pStyle w:val="17"/>
        <w:numPr>
          <w:ilvl w:val="0"/>
          <w:numId w:val="3"/>
        </w:numPr>
        <w:adjustRightInd w:val="0"/>
        <w:snapToGrid w:val="0"/>
        <w:spacing w:line="360" w:lineRule="auto"/>
        <w:ind w:left="0" w:firstLine="495" w:firstLineChars="236"/>
        <w:rPr>
          <w:rFonts w:hAnsi="宋体"/>
          <w:sz w:val="21"/>
          <w:szCs w:val="21"/>
        </w:rPr>
      </w:pPr>
      <w:r>
        <w:rPr>
          <w:rFonts w:hint="eastAsia" w:hAnsi="宋体"/>
          <w:sz w:val="21"/>
          <w:szCs w:val="21"/>
        </w:rPr>
        <w:t>我方如对本标段范围内的相关主体工程造成任何人为的破坏，负责维修、恢复，不增加费用。</w:t>
      </w:r>
    </w:p>
    <w:p>
      <w:pPr>
        <w:pStyle w:val="17"/>
        <w:numPr>
          <w:ilvl w:val="0"/>
          <w:numId w:val="3"/>
        </w:numPr>
        <w:adjustRightInd w:val="0"/>
        <w:snapToGrid w:val="0"/>
        <w:spacing w:line="360" w:lineRule="auto"/>
        <w:ind w:left="0" w:firstLine="495" w:firstLineChars="236"/>
        <w:rPr>
          <w:rFonts w:hAnsi="宋体"/>
          <w:sz w:val="21"/>
          <w:szCs w:val="21"/>
        </w:rPr>
      </w:pPr>
      <w:r>
        <w:rPr>
          <w:rFonts w:hint="eastAsia" w:hAnsi="宋体"/>
          <w:sz w:val="21"/>
          <w:szCs w:val="21"/>
        </w:rPr>
        <w:t>我方中标后，投入本工程的主要人员、设备保持相对稳定，若确需要调整，应事先书面征得招标人的同意。</w:t>
      </w:r>
    </w:p>
    <w:p>
      <w:pPr>
        <w:pStyle w:val="17"/>
        <w:numPr>
          <w:ilvl w:val="0"/>
          <w:numId w:val="3"/>
        </w:numPr>
        <w:adjustRightInd w:val="0"/>
        <w:snapToGrid w:val="0"/>
        <w:spacing w:line="360" w:lineRule="auto"/>
        <w:rPr>
          <w:rFonts w:hAnsi="宋体"/>
          <w:sz w:val="21"/>
          <w:szCs w:val="21"/>
        </w:rPr>
      </w:pPr>
      <w:r>
        <w:rPr>
          <w:rFonts w:hint="eastAsia" w:hAnsi="宋体"/>
          <w:sz w:val="21"/>
          <w:szCs w:val="21"/>
        </w:rPr>
        <w:t>我方承诺拟派的项目经理未担任其他在施建设工程项目的项目经理。</w:t>
      </w:r>
    </w:p>
    <w:p>
      <w:pPr>
        <w:pStyle w:val="17"/>
        <w:numPr>
          <w:ilvl w:val="0"/>
          <w:numId w:val="3"/>
        </w:numPr>
        <w:adjustRightInd w:val="0"/>
        <w:snapToGrid w:val="0"/>
        <w:spacing w:line="360" w:lineRule="auto"/>
        <w:ind w:left="0" w:firstLine="495" w:firstLineChars="236"/>
        <w:rPr>
          <w:rFonts w:hAnsi="宋体"/>
          <w:sz w:val="21"/>
          <w:szCs w:val="21"/>
        </w:rPr>
      </w:pPr>
      <w:r>
        <w:rPr>
          <w:rFonts w:hint="eastAsia" w:hAnsi="宋体"/>
          <w:sz w:val="21"/>
          <w:szCs w:val="21"/>
        </w:rPr>
        <w:t>我方中标后，愿执行招标人制定的各项工作管理办法。</w:t>
      </w:r>
    </w:p>
    <w:p>
      <w:pPr>
        <w:pStyle w:val="17"/>
        <w:numPr>
          <w:ilvl w:val="0"/>
          <w:numId w:val="3"/>
        </w:numPr>
        <w:adjustRightInd w:val="0"/>
        <w:snapToGrid w:val="0"/>
        <w:spacing w:line="360" w:lineRule="auto"/>
        <w:ind w:left="0" w:firstLine="495" w:firstLineChars="236"/>
        <w:rPr>
          <w:rFonts w:hAnsi="宋体"/>
          <w:sz w:val="21"/>
          <w:szCs w:val="21"/>
        </w:rPr>
      </w:pPr>
      <w:r>
        <w:rPr>
          <w:rFonts w:hint="eastAsia" w:hAnsi="宋体"/>
          <w:sz w:val="21"/>
          <w:szCs w:val="21"/>
        </w:rPr>
        <w:t>我方加强工程建设中的廉政行为，遵守国家和地方有关工程建设的法律法规和廉政建设有关规定。</w:t>
      </w:r>
    </w:p>
    <w:p>
      <w:pPr>
        <w:pStyle w:val="17"/>
        <w:numPr>
          <w:ilvl w:val="0"/>
          <w:numId w:val="3"/>
        </w:numPr>
        <w:adjustRightInd w:val="0"/>
        <w:snapToGrid w:val="0"/>
        <w:spacing w:line="360" w:lineRule="auto"/>
        <w:ind w:left="0" w:firstLine="495" w:firstLineChars="236"/>
        <w:rPr>
          <w:rFonts w:hAnsi="宋体"/>
          <w:sz w:val="21"/>
          <w:szCs w:val="21"/>
        </w:rPr>
      </w:pPr>
      <w:r>
        <w:rPr>
          <w:rFonts w:hint="eastAsia" w:hAnsi="宋体"/>
          <w:sz w:val="21"/>
          <w:szCs w:val="21"/>
        </w:rPr>
        <w:t>以上承诺内容，我方保证真实有效，若存在弄虚作假的情况，愿意接受相应处罚。</w:t>
      </w:r>
    </w:p>
    <w:p>
      <w:pPr>
        <w:pStyle w:val="17"/>
        <w:adjustRightInd w:val="0"/>
        <w:snapToGrid w:val="0"/>
        <w:spacing w:line="360" w:lineRule="auto"/>
        <w:rPr>
          <w:rFonts w:hAnsi="宋体"/>
          <w:sz w:val="21"/>
          <w:szCs w:val="21"/>
        </w:rPr>
      </w:pPr>
    </w:p>
    <w:p>
      <w:pPr>
        <w:pStyle w:val="17"/>
        <w:adjustRightInd w:val="0"/>
        <w:snapToGrid w:val="0"/>
        <w:spacing w:line="360" w:lineRule="auto"/>
        <w:rPr>
          <w:rFonts w:hAnsi="宋体"/>
          <w:sz w:val="21"/>
          <w:szCs w:val="21"/>
        </w:rPr>
      </w:pPr>
    </w:p>
    <w:p>
      <w:pPr>
        <w:pStyle w:val="17"/>
        <w:adjustRightInd w:val="0"/>
        <w:snapToGrid w:val="0"/>
        <w:spacing w:line="360" w:lineRule="auto"/>
        <w:rPr>
          <w:rFonts w:hAnsi="宋体"/>
          <w:sz w:val="21"/>
          <w:szCs w:val="21"/>
        </w:rPr>
      </w:pPr>
    </w:p>
    <w:p>
      <w:pPr>
        <w:spacing w:line="300" w:lineRule="auto"/>
        <w:rPr>
          <w:rFonts w:ascii="宋体" w:hAnsi="宋体" w:cs="宋体"/>
        </w:rPr>
      </w:pPr>
    </w:p>
    <w:p>
      <w:pPr>
        <w:spacing w:line="480" w:lineRule="auto"/>
        <w:ind w:firstLine="2730" w:firstLineChars="1300"/>
        <w:rPr>
          <w:rFonts w:ascii="宋体" w:hAnsi="宋体" w:cs="宋体"/>
        </w:rPr>
      </w:pPr>
      <w:r>
        <w:rPr>
          <w:rFonts w:hint="eastAsia" w:ascii="宋体" w:hAnsi="宋体" w:cs="宋体"/>
        </w:rPr>
        <w:t>投标人：____________________________（盖单位章）</w:t>
      </w:r>
    </w:p>
    <w:p>
      <w:pPr>
        <w:spacing w:line="480" w:lineRule="auto"/>
        <w:ind w:firstLine="2719" w:firstLineChars="1295"/>
        <w:rPr>
          <w:rFonts w:ascii="宋体" w:hAnsi="宋体" w:cs="宋体"/>
        </w:rPr>
      </w:pPr>
      <w:r>
        <w:rPr>
          <w:rFonts w:hint="eastAsia" w:ascii="宋体" w:hAnsi="宋体" w:cs="宋体"/>
        </w:rPr>
        <w:t>法定代表人或授权代理人：________________（签字或盖章）</w:t>
      </w:r>
    </w:p>
    <w:p>
      <w:pPr>
        <w:spacing w:line="480" w:lineRule="auto"/>
        <w:ind w:firstLine="2719" w:firstLineChars="1295"/>
        <w:rPr>
          <w:rFonts w:ascii="宋体" w:hAnsi="宋体" w:cs="宋体"/>
        </w:rPr>
      </w:pPr>
      <w:r>
        <w:rPr>
          <w:rFonts w:hint="eastAsia" w:ascii="宋体" w:hAnsi="宋体" w:cs="宋体"/>
        </w:rPr>
        <w:t>日期：   年   月    日</w:t>
      </w:r>
    </w:p>
    <w:p>
      <w:pPr>
        <w:widowControl/>
        <w:ind w:right="840"/>
        <w:rPr>
          <w:rFonts w:ascii="宋体"/>
          <w:sz w:val="30"/>
          <w:szCs w:val="30"/>
        </w:rPr>
      </w:pPr>
    </w:p>
    <w:sectPr>
      <w:headerReference r:id="rId5" w:type="default"/>
      <w:footerReference r:id="rId6"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posOffset>2838450</wp:posOffset>
              </wp:positionH>
              <wp:positionV relativeFrom="paragraph">
                <wp:posOffset>3810</wp:posOffset>
              </wp:positionV>
              <wp:extent cx="228600" cy="1828800"/>
              <wp:effectExtent l="0" t="0" r="0" b="0"/>
              <wp:wrapNone/>
              <wp:docPr id="4" name="4099"/>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a:noFill/>
                      </a:ln>
                      <a:effectLst/>
                    </wps:spPr>
                    <wps:txbx>
                      <w:txbxContent>
                        <w:p>
                          <w:pPr>
                            <w:pStyle w:val="22"/>
                          </w:pPr>
                          <w:r>
                            <w:fldChar w:fldCharType="begin"/>
                          </w:r>
                          <w:r>
                            <w:instrText xml:space="preserve"> PAGE  \* MERGEFORMAT </w:instrText>
                          </w:r>
                          <w:r>
                            <w:fldChar w:fldCharType="separate"/>
                          </w:r>
                          <w:r>
                            <w:t>21</w:t>
                          </w:r>
                          <w:r>
                            <w:fldChar w:fldCharType="end"/>
                          </w:r>
                        </w:p>
                      </w:txbxContent>
                    </wps:txbx>
                    <wps:bodyPr wrap="square" lIns="0" tIns="0" rIns="0" bIns="0" upright="1">
                      <a:spAutoFit/>
                    </wps:bodyPr>
                  </wps:wsp>
                </a:graphicData>
              </a:graphic>
            </wp:anchor>
          </w:drawing>
        </mc:Choice>
        <mc:Fallback>
          <w:pict>
            <v:shape id="4099" o:spid="_x0000_s1026" o:spt="202" type="#_x0000_t202" style="position:absolute;left:0pt;margin-left:223.5pt;margin-top:0.3pt;height:144pt;width:18pt;mso-position-horizontal-relative:margin;z-index:251659264;mso-width-relative:page;mso-height-relative:page;" filled="f" stroked="f" coordsize="21600,21600" o:gfxdata="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3rrW9UAAAAIAQAADwAAAAAAAAABACAAAAAiAAAAZHJzL2Rvd25yZXYueG1s&#10;UEsBAhQAFAAAAAgAh07iQNEVu+LCAQAAoQMAAA4AAAAAAAAAAQAgAAAAJAEAAGRycy9lMm9Eb2Mu&#10;eG1sUEsFBgAAAAAGAAYAWQEAAFgFA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posOffset>2809875</wp:posOffset>
              </wp:positionH>
              <wp:positionV relativeFrom="paragraph">
                <wp:posOffset>3810</wp:posOffset>
              </wp:positionV>
              <wp:extent cx="257175" cy="1828800"/>
              <wp:effectExtent l="0" t="0" r="0" b="0"/>
              <wp:wrapNone/>
              <wp:docPr id="11" name="4098"/>
              <wp:cNvGraphicFramePr/>
              <a:graphic xmlns:a="http://schemas.openxmlformats.org/drawingml/2006/main">
                <a:graphicData uri="http://schemas.microsoft.com/office/word/2010/wordprocessingShape">
                  <wps:wsp>
                    <wps:cNvSpPr txBox="1"/>
                    <wps:spPr>
                      <a:xfrm>
                        <a:off x="0" y="0"/>
                        <a:ext cx="257175" cy="1828800"/>
                      </a:xfrm>
                      <a:prstGeom prst="rect">
                        <a:avLst/>
                      </a:prstGeom>
                      <a:noFill/>
                      <a:ln>
                        <a:noFill/>
                      </a:ln>
                      <a:effectLst/>
                    </wps:spPr>
                    <wps:txbx>
                      <w:txbxContent>
                        <w:p>
                          <w:pPr>
                            <w:pStyle w:val="22"/>
                          </w:pPr>
                          <w:r>
                            <w:fldChar w:fldCharType="begin"/>
                          </w:r>
                          <w:r>
                            <w:instrText xml:space="preserve"> PAGE  \* MERGEFORMAT </w:instrText>
                          </w:r>
                          <w:r>
                            <w:fldChar w:fldCharType="separate"/>
                          </w:r>
                          <w:r>
                            <w:t>18</w:t>
                          </w:r>
                          <w:r>
                            <w:fldChar w:fldCharType="end"/>
                          </w:r>
                        </w:p>
                      </w:txbxContent>
                    </wps:txbx>
                    <wps:bodyPr wrap="square" lIns="0" tIns="0" rIns="0" bIns="0" upright="1">
                      <a:spAutoFit/>
                    </wps:bodyPr>
                  </wps:wsp>
                </a:graphicData>
              </a:graphic>
            </wp:anchor>
          </w:drawing>
        </mc:Choice>
        <mc:Fallback>
          <w:pict>
            <v:shape id="4098" o:spid="_x0000_s1026" o:spt="202" type="#_x0000_t202" style="position:absolute;left:0pt;margin-left:221.25pt;margin-top:0.3pt;height:144pt;width:20.25pt;mso-position-horizontal-relative:margin;z-index:251660288;mso-width-relative:page;mso-height-relative:page;" filled="f" stroked="f" coordsize="21600,21600" o:gfxdata="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fiE5Z1QAAAAgBAAAPAAAAAAAAAAEAIAAAACIAAABkcnMvZG93bnJldi54&#10;bWxQSwECFAAUAAAACACHTuJADv8jLMQBAACiAwAADgAAAAAAAAABACAAAAAkAQAAZHJzL2Uyb0Rv&#10;Yy54bWxQSwUGAAAAAAYABgBZAQAAWgU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PAGE   \* MERGEFORMAT</w:instrText>
    </w:r>
    <w:r>
      <w:fldChar w:fldCharType="separate"/>
    </w:r>
    <w:r>
      <w:rPr>
        <w:lang w:val="zh-CN"/>
      </w:rPr>
      <w:t>14</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left"/>
      <w:rPr>
        <w:rFonts w:ascii="宋体"/>
        <w:color w:val="000000"/>
      </w:rPr>
    </w:pPr>
    <w:r>
      <w:rPr>
        <w:rFonts w:hint="eastAsia" w:ascii="宋体"/>
        <w:color w:val="000000"/>
      </w:rPr>
      <w:t>新建天津至潍坊高速铁路滨海段“三电”及地下管线迁改工程设计施工总承包(EPC)（EPC）招标文件</w:t>
    </w:r>
  </w:p>
  <w:p>
    <w:pPr>
      <w:ind w:right="-483" w:rightChars="-230"/>
      <w:jc w:val="left"/>
      <w:rPr>
        <w:rFonts w:ascii="宋体"/>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717B6"/>
    <w:multiLevelType w:val="multilevel"/>
    <w:tmpl w:val="A7A717B6"/>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00000002"/>
    <w:multiLevelType w:val="multilevel"/>
    <w:tmpl w:val="00000002"/>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C432838"/>
    <w:multiLevelType w:val="multilevel"/>
    <w:tmpl w:val="0C432838"/>
    <w:lvl w:ilvl="0" w:tentative="0">
      <w:start w:val="1"/>
      <w:numFmt w:val="decimal"/>
      <w:lvlText w:val="%1、"/>
      <w:lvlJc w:val="left"/>
      <w:pPr>
        <w:ind w:left="360" w:hanging="360"/>
      </w:pPr>
      <w:rPr>
        <w:rFonts w:hint="default"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oNotShadeFormData w:val="1"/>
  <w:noPunctuationKerning w:val="1"/>
  <w:characterSpacingControl w:val="compressPunctuation"/>
  <w:noLineBreaksAfter w:lang="zh-CN" w:val="$([{£¥·‘“〈《「『【〔〖〝﹙﹛﹝＄（．［｛￡￥"/>
  <w:noLineBreaksBefore w:lang="zh-CN" w:val="!%),.:;&gt;?]}¢¨°·ˇˉ―‖’”…‰′″›℃∶、。〃〉》」』】〕〗〞︶︺︾﹀﹄﹚﹜﹞！＂％＇），．：；？］｀｜｝～￠"/>
  <w:doNotValidateAgainstSchema/>
  <w:doNotDemarcateInvalidXml/>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kYTFiNjFjNTA4OWYxY2UxOGJlNjcwYjZiY2I1YzIifQ=="/>
    <w:docVar w:name="KSO_WPS_MARK_KEY" w:val="80450b0a-2b78-458e-b0a4-2481a4624888"/>
  </w:docVars>
  <w:rsids>
    <w:rsidRoot w:val="00172A27"/>
    <w:rsid w:val="00000327"/>
    <w:rsid w:val="00000609"/>
    <w:rsid w:val="0000216E"/>
    <w:rsid w:val="000069DF"/>
    <w:rsid w:val="000108C0"/>
    <w:rsid w:val="00022267"/>
    <w:rsid w:val="00022D3B"/>
    <w:rsid w:val="00024458"/>
    <w:rsid w:val="00024659"/>
    <w:rsid w:val="00027077"/>
    <w:rsid w:val="000353E8"/>
    <w:rsid w:val="0003641C"/>
    <w:rsid w:val="00040FE8"/>
    <w:rsid w:val="000431C8"/>
    <w:rsid w:val="00044741"/>
    <w:rsid w:val="00050259"/>
    <w:rsid w:val="000532BF"/>
    <w:rsid w:val="0005614F"/>
    <w:rsid w:val="00056340"/>
    <w:rsid w:val="0005684A"/>
    <w:rsid w:val="00056CC3"/>
    <w:rsid w:val="00060AD2"/>
    <w:rsid w:val="00063EFA"/>
    <w:rsid w:val="00064CD9"/>
    <w:rsid w:val="000672E4"/>
    <w:rsid w:val="000758F6"/>
    <w:rsid w:val="000775F8"/>
    <w:rsid w:val="00077B85"/>
    <w:rsid w:val="00081319"/>
    <w:rsid w:val="000830B9"/>
    <w:rsid w:val="00083B66"/>
    <w:rsid w:val="00084BF7"/>
    <w:rsid w:val="00084E76"/>
    <w:rsid w:val="00085FA2"/>
    <w:rsid w:val="00090535"/>
    <w:rsid w:val="000A0B78"/>
    <w:rsid w:val="000A23A4"/>
    <w:rsid w:val="000A37FF"/>
    <w:rsid w:val="000A3F11"/>
    <w:rsid w:val="000A72E5"/>
    <w:rsid w:val="000A77C0"/>
    <w:rsid w:val="000A7D2C"/>
    <w:rsid w:val="000B19B9"/>
    <w:rsid w:val="000B1EA9"/>
    <w:rsid w:val="000B1FA9"/>
    <w:rsid w:val="000B313B"/>
    <w:rsid w:val="000B569C"/>
    <w:rsid w:val="000B5EFF"/>
    <w:rsid w:val="000B6973"/>
    <w:rsid w:val="000B7AA3"/>
    <w:rsid w:val="000D220D"/>
    <w:rsid w:val="000D253C"/>
    <w:rsid w:val="000D4485"/>
    <w:rsid w:val="000D502E"/>
    <w:rsid w:val="000D5214"/>
    <w:rsid w:val="000D5549"/>
    <w:rsid w:val="000D62CB"/>
    <w:rsid w:val="000D633A"/>
    <w:rsid w:val="000E0918"/>
    <w:rsid w:val="000E1212"/>
    <w:rsid w:val="000E20FF"/>
    <w:rsid w:val="000E7737"/>
    <w:rsid w:val="000E7DD4"/>
    <w:rsid w:val="000E7FB7"/>
    <w:rsid w:val="000F1EA2"/>
    <w:rsid w:val="001069B0"/>
    <w:rsid w:val="00107686"/>
    <w:rsid w:val="00111A17"/>
    <w:rsid w:val="0011330A"/>
    <w:rsid w:val="0011471F"/>
    <w:rsid w:val="00117445"/>
    <w:rsid w:val="00120687"/>
    <w:rsid w:val="00121F88"/>
    <w:rsid w:val="00123FB2"/>
    <w:rsid w:val="0012524D"/>
    <w:rsid w:val="00126D94"/>
    <w:rsid w:val="00130CAC"/>
    <w:rsid w:val="0013397E"/>
    <w:rsid w:val="0013456C"/>
    <w:rsid w:val="001364DE"/>
    <w:rsid w:val="00140063"/>
    <w:rsid w:val="00141871"/>
    <w:rsid w:val="00142131"/>
    <w:rsid w:val="00142A21"/>
    <w:rsid w:val="001444C6"/>
    <w:rsid w:val="0015054C"/>
    <w:rsid w:val="00150980"/>
    <w:rsid w:val="00154D08"/>
    <w:rsid w:val="00154F01"/>
    <w:rsid w:val="00160FBB"/>
    <w:rsid w:val="00161B42"/>
    <w:rsid w:val="00163A15"/>
    <w:rsid w:val="00165628"/>
    <w:rsid w:val="00166CD5"/>
    <w:rsid w:val="00166EBF"/>
    <w:rsid w:val="001674E8"/>
    <w:rsid w:val="001679B9"/>
    <w:rsid w:val="00171029"/>
    <w:rsid w:val="00172A27"/>
    <w:rsid w:val="00180C06"/>
    <w:rsid w:val="00180F04"/>
    <w:rsid w:val="0018103A"/>
    <w:rsid w:val="00182087"/>
    <w:rsid w:val="00182A6A"/>
    <w:rsid w:val="001867C7"/>
    <w:rsid w:val="0018770C"/>
    <w:rsid w:val="00187B2A"/>
    <w:rsid w:val="001919CC"/>
    <w:rsid w:val="001925D7"/>
    <w:rsid w:val="00195859"/>
    <w:rsid w:val="00197537"/>
    <w:rsid w:val="001A48C9"/>
    <w:rsid w:val="001A586E"/>
    <w:rsid w:val="001B372A"/>
    <w:rsid w:val="001B5592"/>
    <w:rsid w:val="001B57AD"/>
    <w:rsid w:val="001C0354"/>
    <w:rsid w:val="001C037D"/>
    <w:rsid w:val="001C251C"/>
    <w:rsid w:val="001C3D98"/>
    <w:rsid w:val="001C44E0"/>
    <w:rsid w:val="001C69F9"/>
    <w:rsid w:val="001C7671"/>
    <w:rsid w:val="001C78E2"/>
    <w:rsid w:val="001C7D0B"/>
    <w:rsid w:val="001D06DF"/>
    <w:rsid w:val="001D27CF"/>
    <w:rsid w:val="001D37AF"/>
    <w:rsid w:val="001D5CC0"/>
    <w:rsid w:val="001E2E24"/>
    <w:rsid w:val="001E687A"/>
    <w:rsid w:val="001E7391"/>
    <w:rsid w:val="001F0FBE"/>
    <w:rsid w:val="001F2B0E"/>
    <w:rsid w:val="001F50D0"/>
    <w:rsid w:val="001F7497"/>
    <w:rsid w:val="00200B1E"/>
    <w:rsid w:val="00202391"/>
    <w:rsid w:val="0020364E"/>
    <w:rsid w:val="00206AC4"/>
    <w:rsid w:val="00210D49"/>
    <w:rsid w:val="002131A5"/>
    <w:rsid w:val="002139A2"/>
    <w:rsid w:val="0021571B"/>
    <w:rsid w:val="00217064"/>
    <w:rsid w:val="002176AC"/>
    <w:rsid w:val="00220C9A"/>
    <w:rsid w:val="00223078"/>
    <w:rsid w:val="00223560"/>
    <w:rsid w:val="00225BC5"/>
    <w:rsid w:val="00226E80"/>
    <w:rsid w:val="002316AA"/>
    <w:rsid w:val="002358AD"/>
    <w:rsid w:val="00235ABE"/>
    <w:rsid w:val="00236374"/>
    <w:rsid w:val="00237107"/>
    <w:rsid w:val="00241AA8"/>
    <w:rsid w:val="00242512"/>
    <w:rsid w:val="002434C5"/>
    <w:rsid w:val="00243B0E"/>
    <w:rsid w:val="00245547"/>
    <w:rsid w:val="00245BD5"/>
    <w:rsid w:val="002507E2"/>
    <w:rsid w:val="00251573"/>
    <w:rsid w:val="0025460A"/>
    <w:rsid w:val="0025555A"/>
    <w:rsid w:val="00256676"/>
    <w:rsid w:val="00257C04"/>
    <w:rsid w:val="00257C85"/>
    <w:rsid w:val="00262D48"/>
    <w:rsid w:val="00263AE5"/>
    <w:rsid w:val="002674B5"/>
    <w:rsid w:val="0027124C"/>
    <w:rsid w:val="002811EE"/>
    <w:rsid w:val="002813EF"/>
    <w:rsid w:val="00282968"/>
    <w:rsid w:val="002839E2"/>
    <w:rsid w:val="00285B65"/>
    <w:rsid w:val="0029129B"/>
    <w:rsid w:val="0029167B"/>
    <w:rsid w:val="0029331B"/>
    <w:rsid w:val="00293CEF"/>
    <w:rsid w:val="002A147D"/>
    <w:rsid w:val="002A64E1"/>
    <w:rsid w:val="002B0379"/>
    <w:rsid w:val="002B12F7"/>
    <w:rsid w:val="002B18D2"/>
    <w:rsid w:val="002B34DF"/>
    <w:rsid w:val="002B3BE7"/>
    <w:rsid w:val="002C1C33"/>
    <w:rsid w:val="002C4E0F"/>
    <w:rsid w:val="002C5D86"/>
    <w:rsid w:val="002D0D68"/>
    <w:rsid w:val="002D5072"/>
    <w:rsid w:val="002D6A10"/>
    <w:rsid w:val="002D7037"/>
    <w:rsid w:val="002D7A43"/>
    <w:rsid w:val="002E0E50"/>
    <w:rsid w:val="002E19CB"/>
    <w:rsid w:val="002E2485"/>
    <w:rsid w:val="002E2830"/>
    <w:rsid w:val="002F43AD"/>
    <w:rsid w:val="002F459B"/>
    <w:rsid w:val="002F7F31"/>
    <w:rsid w:val="0030047B"/>
    <w:rsid w:val="00305D51"/>
    <w:rsid w:val="00310E2F"/>
    <w:rsid w:val="00312827"/>
    <w:rsid w:val="003239DF"/>
    <w:rsid w:val="00323D06"/>
    <w:rsid w:val="0032557D"/>
    <w:rsid w:val="00331C2A"/>
    <w:rsid w:val="00333535"/>
    <w:rsid w:val="00334C18"/>
    <w:rsid w:val="00335668"/>
    <w:rsid w:val="00342D27"/>
    <w:rsid w:val="00344FF9"/>
    <w:rsid w:val="00345837"/>
    <w:rsid w:val="0035013F"/>
    <w:rsid w:val="00350C03"/>
    <w:rsid w:val="00352794"/>
    <w:rsid w:val="003537FA"/>
    <w:rsid w:val="00354DC2"/>
    <w:rsid w:val="00355A75"/>
    <w:rsid w:val="00356814"/>
    <w:rsid w:val="00361ADA"/>
    <w:rsid w:val="00363793"/>
    <w:rsid w:val="003644F9"/>
    <w:rsid w:val="0036471F"/>
    <w:rsid w:val="003670B1"/>
    <w:rsid w:val="0037176E"/>
    <w:rsid w:val="00374628"/>
    <w:rsid w:val="00375BF1"/>
    <w:rsid w:val="00381512"/>
    <w:rsid w:val="0038419E"/>
    <w:rsid w:val="0038725D"/>
    <w:rsid w:val="003917DB"/>
    <w:rsid w:val="003919A4"/>
    <w:rsid w:val="00392A97"/>
    <w:rsid w:val="003944B1"/>
    <w:rsid w:val="0039532E"/>
    <w:rsid w:val="0039537C"/>
    <w:rsid w:val="00396873"/>
    <w:rsid w:val="00397318"/>
    <w:rsid w:val="003A0261"/>
    <w:rsid w:val="003A0D38"/>
    <w:rsid w:val="003A2A5F"/>
    <w:rsid w:val="003A3E3F"/>
    <w:rsid w:val="003A5946"/>
    <w:rsid w:val="003A7E39"/>
    <w:rsid w:val="003B1A08"/>
    <w:rsid w:val="003B1A43"/>
    <w:rsid w:val="003B3126"/>
    <w:rsid w:val="003B5A67"/>
    <w:rsid w:val="003C0A4C"/>
    <w:rsid w:val="003C79CE"/>
    <w:rsid w:val="003D00CB"/>
    <w:rsid w:val="003D3138"/>
    <w:rsid w:val="003D4147"/>
    <w:rsid w:val="003D469A"/>
    <w:rsid w:val="003D7FD2"/>
    <w:rsid w:val="003E00CC"/>
    <w:rsid w:val="003E3759"/>
    <w:rsid w:val="003F5DC0"/>
    <w:rsid w:val="003F71AE"/>
    <w:rsid w:val="003F7CE8"/>
    <w:rsid w:val="004037F7"/>
    <w:rsid w:val="004040FC"/>
    <w:rsid w:val="0040622B"/>
    <w:rsid w:val="004073F5"/>
    <w:rsid w:val="00407884"/>
    <w:rsid w:val="0041572E"/>
    <w:rsid w:val="00416BF4"/>
    <w:rsid w:val="00422E79"/>
    <w:rsid w:val="00423616"/>
    <w:rsid w:val="00425C29"/>
    <w:rsid w:val="004326A3"/>
    <w:rsid w:val="00441904"/>
    <w:rsid w:val="0044415D"/>
    <w:rsid w:val="004467B4"/>
    <w:rsid w:val="00446E1C"/>
    <w:rsid w:val="0045006A"/>
    <w:rsid w:val="00460A2E"/>
    <w:rsid w:val="00461662"/>
    <w:rsid w:val="0046326B"/>
    <w:rsid w:val="004637B1"/>
    <w:rsid w:val="00467D7F"/>
    <w:rsid w:val="00470222"/>
    <w:rsid w:val="004753F5"/>
    <w:rsid w:val="00475760"/>
    <w:rsid w:val="004761BE"/>
    <w:rsid w:val="0048241B"/>
    <w:rsid w:val="004933DB"/>
    <w:rsid w:val="004946A9"/>
    <w:rsid w:val="0049724B"/>
    <w:rsid w:val="004A0C37"/>
    <w:rsid w:val="004A16B3"/>
    <w:rsid w:val="004A1AEF"/>
    <w:rsid w:val="004A6916"/>
    <w:rsid w:val="004B633F"/>
    <w:rsid w:val="004C19F9"/>
    <w:rsid w:val="004C38ED"/>
    <w:rsid w:val="004C53C1"/>
    <w:rsid w:val="004C6335"/>
    <w:rsid w:val="004C63CC"/>
    <w:rsid w:val="004D31E2"/>
    <w:rsid w:val="004D339A"/>
    <w:rsid w:val="004D796B"/>
    <w:rsid w:val="004D7B01"/>
    <w:rsid w:val="004E3C25"/>
    <w:rsid w:val="004E4C9C"/>
    <w:rsid w:val="004E525B"/>
    <w:rsid w:val="004E579A"/>
    <w:rsid w:val="004F081A"/>
    <w:rsid w:val="004F2E2B"/>
    <w:rsid w:val="004F30A1"/>
    <w:rsid w:val="00500E3D"/>
    <w:rsid w:val="005019B6"/>
    <w:rsid w:val="00502098"/>
    <w:rsid w:val="005030B2"/>
    <w:rsid w:val="00504342"/>
    <w:rsid w:val="00506904"/>
    <w:rsid w:val="00510471"/>
    <w:rsid w:val="005168B0"/>
    <w:rsid w:val="00516A72"/>
    <w:rsid w:val="00521805"/>
    <w:rsid w:val="00523005"/>
    <w:rsid w:val="00525BEE"/>
    <w:rsid w:val="00526540"/>
    <w:rsid w:val="0053356A"/>
    <w:rsid w:val="00535C55"/>
    <w:rsid w:val="00536AC5"/>
    <w:rsid w:val="005401A2"/>
    <w:rsid w:val="00541222"/>
    <w:rsid w:val="005437CC"/>
    <w:rsid w:val="00544AF5"/>
    <w:rsid w:val="00545349"/>
    <w:rsid w:val="0054554E"/>
    <w:rsid w:val="00545A92"/>
    <w:rsid w:val="0055137D"/>
    <w:rsid w:val="0055188C"/>
    <w:rsid w:val="005529CC"/>
    <w:rsid w:val="00554FCB"/>
    <w:rsid w:val="005557F2"/>
    <w:rsid w:val="005577AD"/>
    <w:rsid w:val="005704C2"/>
    <w:rsid w:val="00571978"/>
    <w:rsid w:val="00574911"/>
    <w:rsid w:val="005762D2"/>
    <w:rsid w:val="00580BBB"/>
    <w:rsid w:val="005813C7"/>
    <w:rsid w:val="00584476"/>
    <w:rsid w:val="0058619C"/>
    <w:rsid w:val="00586897"/>
    <w:rsid w:val="00587746"/>
    <w:rsid w:val="005903A5"/>
    <w:rsid w:val="00590909"/>
    <w:rsid w:val="005914B9"/>
    <w:rsid w:val="005929C8"/>
    <w:rsid w:val="00593A3F"/>
    <w:rsid w:val="005974FD"/>
    <w:rsid w:val="005A0F8F"/>
    <w:rsid w:val="005A13CF"/>
    <w:rsid w:val="005A3B96"/>
    <w:rsid w:val="005A699F"/>
    <w:rsid w:val="005B1753"/>
    <w:rsid w:val="005B2CE6"/>
    <w:rsid w:val="005B3293"/>
    <w:rsid w:val="005B6130"/>
    <w:rsid w:val="005B7A5E"/>
    <w:rsid w:val="005C06A3"/>
    <w:rsid w:val="005C0F42"/>
    <w:rsid w:val="005C7AD5"/>
    <w:rsid w:val="005D1661"/>
    <w:rsid w:val="005D5804"/>
    <w:rsid w:val="005D63FF"/>
    <w:rsid w:val="005D7742"/>
    <w:rsid w:val="005E00C3"/>
    <w:rsid w:val="005E024E"/>
    <w:rsid w:val="005E175F"/>
    <w:rsid w:val="005E294A"/>
    <w:rsid w:val="005E5390"/>
    <w:rsid w:val="005E62D5"/>
    <w:rsid w:val="005F116B"/>
    <w:rsid w:val="005F4457"/>
    <w:rsid w:val="005F7CCA"/>
    <w:rsid w:val="00603F9E"/>
    <w:rsid w:val="00606859"/>
    <w:rsid w:val="006114C7"/>
    <w:rsid w:val="00614972"/>
    <w:rsid w:val="0061731D"/>
    <w:rsid w:val="00620DC1"/>
    <w:rsid w:val="00621985"/>
    <w:rsid w:val="0062212C"/>
    <w:rsid w:val="00622553"/>
    <w:rsid w:val="00623ABD"/>
    <w:rsid w:val="0062698B"/>
    <w:rsid w:val="00631C3F"/>
    <w:rsid w:val="00632EA5"/>
    <w:rsid w:val="00636EE7"/>
    <w:rsid w:val="00640A95"/>
    <w:rsid w:val="0064110F"/>
    <w:rsid w:val="00644ECA"/>
    <w:rsid w:val="00645D88"/>
    <w:rsid w:val="0064743F"/>
    <w:rsid w:val="00651405"/>
    <w:rsid w:val="00651B67"/>
    <w:rsid w:val="00655608"/>
    <w:rsid w:val="00655D90"/>
    <w:rsid w:val="00657BC3"/>
    <w:rsid w:val="0066050E"/>
    <w:rsid w:val="00661AAB"/>
    <w:rsid w:val="00661D6E"/>
    <w:rsid w:val="0066625A"/>
    <w:rsid w:val="0066713A"/>
    <w:rsid w:val="0067128E"/>
    <w:rsid w:val="0067266E"/>
    <w:rsid w:val="006731FC"/>
    <w:rsid w:val="0067586E"/>
    <w:rsid w:val="00675D04"/>
    <w:rsid w:val="00676B12"/>
    <w:rsid w:val="00677972"/>
    <w:rsid w:val="0068224B"/>
    <w:rsid w:val="006822B6"/>
    <w:rsid w:val="006858A7"/>
    <w:rsid w:val="00686660"/>
    <w:rsid w:val="00686783"/>
    <w:rsid w:val="00690117"/>
    <w:rsid w:val="00690F56"/>
    <w:rsid w:val="006951B3"/>
    <w:rsid w:val="00695725"/>
    <w:rsid w:val="006A04F2"/>
    <w:rsid w:val="006A04FA"/>
    <w:rsid w:val="006A2B1B"/>
    <w:rsid w:val="006A56FC"/>
    <w:rsid w:val="006A5B11"/>
    <w:rsid w:val="006A6022"/>
    <w:rsid w:val="006A725E"/>
    <w:rsid w:val="006A7DE5"/>
    <w:rsid w:val="006B0002"/>
    <w:rsid w:val="006B018A"/>
    <w:rsid w:val="006B1585"/>
    <w:rsid w:val="006B30C9"/>
    <w:rsid w:val="006B644D"/>
    <w:rsid w:val="006C1B4C"/>
    <w:rsid w:val="006C2374"/>
    <w:rsid w:val="006D0E34"/>
    <w:rsid w:val="006D3659"/>
    <w:rsid w:val="006D3EBD"/>
    <w:rsid w:val="006D50CA"/>
    <w:rsid w:val="006D5EB7"/>
    <w:rsid w:val="006D6008"/>
    <w:rsid w:val="006D6B28"/>
    <w:rsid w:val="006E2E92"/>
    <w:rsid w:val="006E3745"/>
    <w:rsid w:val="006F5454"/>
    <w:rsid w:val="006F5D62"/>
    <w:rsid w:val="0070431F"/>
    <w:rsid w:val="00707372"/>
    <w:rsid w:val="00711DE6"/>
    <w:rsid w:val="00716D75"/>
    <w:rsid w:val="00717401"/>
    <w:rsid w:val="007250FB"/>
    <w:rsid w:val="00727DCC"/>
    <w:rsid w:val="007346F7"/>
    <w:rsid w:val="0073693B"/>
    <w:rsid w:val="007404B9"/>
    <w:rsid w:val="00740E89"/>
    <w:rsid w:val="00742274"/>
    <w:rsid w:val="007500AC"/>
    <w:rsid w:val="00752B65"/>
    <w:rsid w:val="00754355"/>
    <w:rsid w:val="00755086"/>
    <w:rsid w:val="00756202"/>
    <w:rsid w:val="00757EF0"/>
    <w:rsid w:val="007610B4"/>
    <w:rsid w:val="00762CBA"/>
    <w:rsid w:val="007635DF"/>
    <w:rsid w:val="00765363"/>
    <w:rsid w:val="0076597C"/>
    <w:rsid w:val="00766BE6"/>
    <w:rsid w:val="00770652"/>
    <w:rsid w:val="007711FE"/>
    <w:rsid w:val="00773411"/>
    <w:rsid w:val="00773DCD"/>
    <w:rsid w:val="007779F7"/>
    <w:rsid w:val="00777A16"/>
    <w:rsid w:val="00777E7F"/>
    <w:rsid w:val="007822B4"/>
    <w:rsid w:val="00782E5C"/>
    <w:rsid w:val="00786BAD"/>
    <w:rsid w:val="00786E42"/>
    <w:rsid w:val="00792B93"/>
    <w:rsid w:val="00797120"/>
    <w:rsid w:val="00797FAD"/>
    <w:rsid w:val="007A15C7"/>
    <w:rsid w:val="007A1DBE"/>
    <w:rsid w:val="007A3698"/>
    <w:rsid w:val="007B3023"/>
    <w:rsid w:val="007B74E5"/>
    <w:rsid w:val="007B75B9"/>
    <w:rsid w:val="007D1443"/>
    <w:rsid w:val="007D46AD"/>
    <w:rsid w:val="007D503D"/>
    <w:rsid w:val="007D737C"/>
    <w:rsid w:val="007D7E56"/>
    <w:rsid w:val="007E03A8"/>
    <w:rsid w:val="007E0A78"/>
    <w:rsid w:val="007E4139"/>
    <w:rsid w:val="007E578D"/>
    <w:rsid w:val="007E5AE0"/>
    <w:rsid w:val="007E6454"/>
    <w:rsid w:val="007F0901"/>
    <w:rsid w:val="007F3FC7"/>
    <w:rsid w:val="007F41C7"/>
    <w:rsid w:val="007F6866"/>
    <w:rsid w:val="00801A65"/>
    <w:rsid w:val="0080434E"/>
    <w:rsid w:val="00811B2B"/>
    <w:rsid w:val="00812691"/>
    <w:rsid w:val="00814FA3"/>
    <w:rsid w:val="00816CC8"/>
    <w:rsid w:val="00817E10"/>
    <w:rsid w:val="008216F8"/>
    <w:rsid w:val="008229EF"/>
    <w:rsid w:val="00826134"/>
    <w:rsid w:val="0082756D"/>
    <w:rsid w:val="008276DA"/>
    <w:rsid w:val="00830662"/>
    <w:rsid w:val="008306E9"/>
    <w:rsid w:val="00832F3E"/>
    <w:rsid w:val="00834C66"/>
    <w:rsid w:val="0083552A"/>
    <w:rsid w:val="00837C7A"/>
    <w:rsid w:val="00840865"/>
    <w:rsid w:val="00847D77"/>
    <w:rsid w:val="00851BA2"/>
    <w:rsid w:val="00852EC8"/>
    <w:rsid w:val="00853E49"/>
    <w:rsid w:val="008553EA"/>
    <w:rsid w:val="00856E37"/>
    <w:rsid w:val="00856F06"/>
    <w:rsid w:val="00860A03"/>
    <w:rsid w:val="00862EBE"/>
    <w:rsid w:val="00863B0B"/>
    <w:rsid w:val="00863D44"/>
    <w:rsid w:val="00867263"/>
    <w:rsid w:val="00870263"/>
    <w:rsid w:val="00870B90"/>
    <w:rsid w:val="0087196D"/>
    <w:rsid w:val="00872950"/>
    <w:rsid w:val="00872FAD"/>
    <w:rsid w:val="008737C3"/>
    <w:rsid w:val="00873B39"/>
    <w:rsid w:val="00886A9C"/>
    <w:rsid w:val="00894F70"/>
    <w:rsid w:val="0089570E"/>
    <w:rsid w:val="008A223D"/>
    <w:rsid w:val="008A38D4"/>
    <w:rsid w:val="008A4575"/>
    <w:rsid w:val="008A4D99"/>
    <w:rsid w:val="008A565A"/>
    <w:rsid w:val="008A7587"/>
    <w:rsid w:val="008B18A2"/>
    <w:rsid w:val="008B4740"/>
    <w:rsid w:val="008B4822"/>
    <w:rsid w:val="008B5519"/>
    <w:rsid w:val="008B5D67"/>
    <w:rsid w:val="008B7C4D"/>
    <w:rsid w:val="008C17C5"/>
    <w:rsid w:val="008C3714"/>
    <w:rsid w:val="008C39CB"/>
    <w:rsid w:val="008C3A75"/>
    <w:rsid w:val="008C4C00"/>
    <w:rsid w:val="008C4E89"/>
    <w:rsid w:val="008D084F"/>
    <w:rsid w:val="008D142A"/>
    <w:rsid w:val="008D1B31"/>
    <w:rsid w:val="008D2B58"/>
    <w:rsid w:val="008D3006"/>
    <w:rsid w:val="008D44DA"/>
    <w:rsid w:val="008D7300"/>
    <w:rsid w:val="008E3F58"/>
    <w:rsid w:val="008F238A"/>
    <w:rsid w:val="008F3A52"/>
    <w:rsid w:val="008F3C3E"/>
    <w:rsid w:val="008F48BA"/>
    <w:rsid w:val="008F4BA5"/>
    <w:rsid w:val="009011DA"/>
    <w:rsid w:val="0090735A"/>
    <w:rsid w:val="00910505"/>
    <w:rsid w:val="00912357"/>
    <w:rsid w:val="00913DD1"/>
    <w:rsid w:val="00916022"/>
    <w:rsid w:val="00920210"/>
    <w:rsid w:val="00920EDA"/>
    <w:rsid w:val="00920F35"/>
    <w:rsid w:val="0092188A"/>
    <w:rsid w:val="009220E0"/>
    <w:rsid w:val="009305D0"/>
    <w:rsid w:val="009349DA"/>
    <w:rsid w:val="0093562D"/>
    <w:rsid w:val="00941462"/>
    <w:rsid w:val="00941B98"/>
    <w:rsid w:val="0094519D"/>
    <w:rsid w:val="00947865"/>
    <w:rsid w:val="00956E05"/>
    <w:rsid w:val="00960F05"/>
    <w:rsid w:val="00960FBC"/>
    <w:rsid w:val="00961114"/>
    <w:rsid w:val="00962967"/>
    <w:rsid w:val="0096363C"/>
    <w:rsid w:val="00972592"/>
    <w:rsid w:val="00975AE0"/>
    <w:rsid w:val="00976D50"/>
    <w:rsid w:val="0098026E"/>
    <w:rsid w:val="00984FC0"/>
    <w:rsid w:val="00986A16"/>
    <w:rsid w:val="009926F6"/>
    <w:rsid w:val="00994EED"/>
    <w:rsid w:val="009A04D9"/>
    <w:rsid w:val="009A29D9"/>
    <w:rsid w:val="009A3F84"/>
    <w:rsid w:val="009A5268"/>
    <w:rsid w:val="009A5C06"/>
    <w:rsid w:val="009B025B"/>
    <w:rsid w:val="009B12BD"/>
    <w:rsid w:val="009B3336"/>
    <w:rsid w:val="009B3BCD"/>
    <w:rsid w:val="009B5859"/>
    <w:rsid w:val="009B672C"/>
    <w:rsid w:val="009C06C9"/>
    <w:rsid w:val="009C142C"/>
    <w:rsid w:val="009C2B1C"/>
    <w:rsid w:val="009C61A7"/>
    <w:rsid w:val="009C61E0"/>
    <w:rsid w:val="009C70E4"/>
    <w:rsid w:val="009D09EE"/>
    <w:rsid w:val="009D1F16"/>
    <w:rsid w:val="009D2AF3"/>
    <w:rsid w:val="009D33B8"/>
    <w:rsid w:val="009D6F89"/>
    <w:rsid w:val="009D7BBE"/>
    <w:rsid w:val="009E4DE0"/>
    <w:rsid w:val="009E5230"/>
    <w:rsid w:val="009E5DB9"/>
    <w:rsid w:val="009F07AD"/>
    <w:rsid w:val="009F0DDD"/>
    <w:rsid w:val="009F3127"/>
    <w:rsid w:val="00A0071E"/>
    <w:rsid w:val="00A00A04"/>
    <w:rsid w:val="00A033C0"/>
    <w:rsid w:val="00A03626"/>
    <w:rsid w:val="00A0474D"/>
    <w:rsid w:val="00A07065"/>
    <w:rsid w:val="00A11A8F"/>
    <w:rsid w:val="00A12FFA"/>
    <w:rsid w:val="00A200A8"/>
    <w:rsid w:val="00A21A42"/>
    <w:rsid w:val="00A24272"/>
    <w:rsid w:val="00A31EA9"/>
    <w:rsid w:val="00A353AC"/>
    <w:rsid w:val="00A360D4"/>
    <w:rsid w:val="00A376B1"/>
    <w:rsid w:val="00A43B8B"/>
    <w:rsid w:val="00A46A17"/>
    <w:rsid w:val="00A504A5"/>
    <w:rsid w:val="00A52388"/>
    <w:rsid w:val="00A523A7"/>
    <w:rsid w:val="00A532B1"/>
    <w:rsid w:val="00A629BC"/>
    <w:rsid w:val="00A6343C"/>
    <w:rsid w:val="00A65D29"/>
    <w:rsid w:val="00A66BA8"/>
    <w:rsid w:val="00A66BFF"/>
    <w:rsid w:val="00A66FC5"/>
    <w:rsid w:val="00A71B33"/>
    <w:rsid w:val="00A7266E"/>
    <w:rsid w:val="00A75211"/>
    <w:rsid w:val="00A770EA"/>
    <w:rsid w:val="00A817DF"/>
    <w:rsid w:val="00A83193"/>
    <w:rsid w:val="00A94435"/>
    <w:rsid w:val="00AA3B50"/>
    <w:rsid w:val="00AA4812"/>
    <w:rsid w:val="00AA59E6"/>
    <w:rsid w:val="00AA7BB0"/>
    <w:rsid w:val="00AB2584"/>
    <w:rsid w:val="00AB3303"/>
    <w:rsid w:val="00AB3FD9"/>
    <w:rsid w:val="00AB4E70"/>
    <w:rsid w:val="00AB58DA"/>
    <w:rsid w:val="00AC08D5"/>
    <w:rsid w:val="00AC279B"/>
    <w:rsid w:val="00AC2804"/>
    <w:rsid w:val="00AC344A"/>
    <w:rsid w:val="00AC3458"/>
    <w:rsid w:val="00AC5E7B"/>
    <w:rsid w:val="00AC66AE"/>
    <w:rsid w:val="00AC6BED"/>
    <w:rsid w:val="00AD0B26"/>
    <w:rsid w:val="00AD3B31"/>
    <w:rsid w:val="00AD3B5A"/>
    <w:rsid w:val="00AD4ECA"/>
    <w:rsid w:val="00AD7E0A"/>
    <w:rsid w:val="00AE00BD"/>
    <w:rsid w:val="00AE561D"/>
    <w:rsid w:val="00AE62CD"/>
    <w:rsid w:val="00AE768A"/>
    <w:rsid w:val="00AF025B"/>
    <w:rsid w:val="00AF1FD3"/>
    <w:rsid w:val="00AF36C3"/>
    <w:rsid w:val="00AF4BD6"/>
    <w:rsid w:val="00AF5F44"/>
    <w:rsid w:val="00AF71FE"/>
    <w:rsid w:val="00B01BF7"/>
    <w:rsid w:val="00B0255B"/>
    <w:rsid w:val="00B02D3C"/>
    <w:rsid w:val="00B0532A"/>
    <w:rsid w:val="00B1486D"/>
    <w:rsid w:val="00B1550B"/>
    <w:rsid w:val="00B15779"/>
    <w:rsid w:val="00B15D70"/>
    <w:rsid w:val="00B17D26"/>
    <w:rsid w:val="00B205E9"/>
    <w:rsid w:val="00B213F3"/>
    <w:rsid w:val="00B23C85"/>
    <w:rsid w:val="00B249C4"/>
    <w:rsid w:val="00B24CAC"/>
    <w:rsid w:val="00B27DF6"/>
    <w:rsid w:val="00B3781F"/>
    <w:rsid w:val="00B47C01"/>
    <w:rsid w:val="00B53458"/>
    <w:rsid w:val="00B53863"/>
    <w:rsid w:val="00B53C11"/>
    <w:rsid w:val="00B54B98"/>
    <w:rsid w:val="00B615F1"/>
    <w:rsid w:val="00B6347F"/>
    <w:rsid w:val="00B634CD"/>
    <w:rsid w:val="00B6352A"/>
    <w:rsid w:val="00B65725"/>
    <w:rsid w:val="00B7440A"/>
    <w:rsid w:val="00B80DCA"/>
    <w:rsid w:val="00B80DF7"/>
    <w:rsid w:val="00B812C7"/>
    <w:rsid w:val="00B84852"/>
    <w:rsid w:val="00B86ABA"/>
    <w:rsid w:val="00B8758C"/>
    <w:rsid w:val="00B91520"/>
    <w:rsid w:val="00B92182"/>
    <w:rsid w:val="00B938F5"/>
    <w:rsid w:val="00B93F39"/>
    <w:rsid w:val="00B94A58"/>
    <w:rsid w:val="00B94E56"/>
    <w:rsid w:val="00BA540C"/>
    <w:rsid w:val="00BA5FCD"/>
    <w:rsid w:val="00BA7267"/>
    <w:rsid w:val="00BB140E"/>
    <w:rsid w:val="00BB18D8"/>
    <w:rsid w:val="00BB70E4"/>
    <w:rsid w:val="00BB71F2"/>
    <w:rsid w:val="00BC4D8B"/>
    <w:rsid w:val="00BC51C1"/>
    <w:rsid w:val="00BC5708"/>
    <w:rsid w:val="00BC5C52"/>
    <w:rsid w:val="00BC6F24"/>
    <w:rsid w:val="00BC74C9"/>
    <w:rsid w:val="00BC7AED"/>
    <w:rsid w:val="00BD0EA0"/>
    <w:rsid w:val="00BD25A0"/>
    <w:rsid w:val="00BD5517"/>
    <w:rsid w:val="00BE678D"/>
    <w:rsid w:val="00BE70DC"/>
    <w:rsid w:val="00BF5154"/>
    <w:rsid w:val="00BF72CC"/>
    <w:rsid w:val="00C01E4B"/>
    <w:rsid w:val="00C0257C"/>
    <w:rsid w:val="00C0381F"/>
    <w:rsid w:val="00C05B67"/>
    <w:rsid w:val="00C06853"/>
    <w:rsid w:val="00C102E0"/>
    <w:rsid w:val="00C10BA0"/>
    <w:rsid w:val="00C112B8"/>
    <w:rsid w:val="00C11CE4"/>
    <w:rsid w:val="00C122F7"/>
    <w:rsid w:val="00C16981"/>
    <w:rsid w:val="00C1712B"/>
    <w:rsid w:val="00C205B5"/>
    <w:rsid w:val="00C21AE9"/>
    <w:rsid w:val="00C23C69"/>
    <w:rsid w:val="00C2588D"/>
    <w:rsid w:val="00C25F27"/>
    <w:rsid w:val="00C26721"/>
    <w:rsid w:val="00C30250"/>
    <w:rsid w:val="00C31006"/>
    <w:rsid w:val="00C3157A"/>
    <w:rsid w:val="00C35324"/>
    <w:rsid w:val="00C37D41"/>
    <w:rsid w:val="00C41703"/>
    <w:rsid w:val="00C41EE4"/>
    <w:rsid w:val="00C4307D"/>
    <w:rsid w:val="00C4380E"/>
    <w:rsid w:val="00C4515C"/>
    <w:rsid w:val="00C566B4"/>
    <w:rsid w:val="00C615C5"/>
    <w:rsid w:val="00C63ECF"/>
    <w:rsid w:val="00C6634A"/>
    <w:rsid w:val="00C668F2"/>
    <w:rsid w:val="00C73ECE"/>
    <w:rsid w:val="00C74E3E"/>
    <w:rsid w:val="00C80EA2"/>
    <w:rsid w:val="00C870B7"/>
    <w:rsid w:val="00C9015D"/>
    <w:rsid w:val="00C928D8"/>
    <w:rsid w:val="00C9397F"/>
    <w:rsid w:val="00CA1FBF"/>
    <w:rsid w:val="00CA232E"/>
    <w:rsid w:val="00CA2CCA"/>
    <w:rsid w:val="00CA5888"/>
    <w:rsid w:val="00CA6775"/>
    <w:rsid w:val="00CA6A79"/>
    <w:rsid w:val="00CB1B3B"/>
    <w:rsid w:val="00CC4FF2"/>
    <w:rsid w:val="00CC5D19"/>
    <w:rsid w:val="00CD0959"/>
    <w:rsid w:val="00CD17F5"/>
    <w:rsid w:val="00CD2D6D"/>
    <w:rsid w:val="00CD41AD"/>
    <w:rsid w:val="00CD454D"/>
    <w:rsid w:val="00CD5357"/>
    <w:rsid w:val="00CD59F3"/>
    <w:rsid w:val="00CE2609"/>
    <w:rsid w:val="00CE28D5"/>
    <w:rsid w:val="00CE29A6"/>
    <w:rsid w:val="00CE57B4"/>
    <w:rsid w:val="00CF036F"/>
    <w:rsid w:val="00CF0C27"/>
    <w:rsid w:val="00CF17BF"/>
    <w:rsid w:val="00CF1A77"/>
    <w:rsid w:val="00CF1C23"/>
    <w:rsid w:val="00CF6545"/>
    <w:rsid w:val="00CF65C2"/>
    <w:rsid w:val="00CF6F0E"/>
    <w:rsid w:val="00CF7378"/>
    <w:rsid w:val="00D0054B"/>
    <w:rsid w:val="00D00661"/>
    <w:rsid w:val="00D00690"/>
    <w:rsid w:val="00D07B6E"/>
    <w:rsid w:val="00D07F44"/>
    <w:rsid w:val="00D12857"/>
    <w:rsid w:val="00D14DA2"/>
    <w:rsid w:val="00D17544"/>
    <w:rsid w:val="00D1766D"/>
    <w:rsid w:val="00D21203"/>
    <w:rsid w:val="00D22426"/>
    <w:rsid w:val="00D239C8"/>
    <w:rsid w:val="00D25704"/>
    <w:rsid w:val="00D269C0"/>
    <w:rsid w:val="00D332B6"/>
    <w:rsid w:val="00D35338"/>
    <w:rsid w:val="00D35604"/>
    <w:rsid w:val="00D37CE8"/>
    <w:rsid w:val="00D42D09"/>
    <w:rsid w:val="00D447E1"/>
    <w:rsid w:val="00D451AE"/>
    <w:rsid w:val="00D45589"/>
    <w:rsid w:val="00D469B8"/>
    <w:rsid w:val="00D46B5B"/>
    <w:rsid w:val="00D50DA8"/>
    <w:rsid w:val="00D52BA0"/>
    <w:rsid w:val="00D542E8"/>
    <w:rsid w:val="00D55335"/>
    <w:rsid w:val="00D55FA2"/>
    <w:rsid w:val="00D64252"/>
    <w:rsid w:val="00D64BE2"/>
    <w:rsid w:val="00D67FBE"/>
    <w:rsid w:val="00D7155D"/>
    <w:rsid w:val="00D71FEE"/>
    <w:rsid w:val="00D72357"/>
    <w:rsid w:val="00D750F9"/>
    <w:rsid w:val="00D75A7D"/>
    <w:rsid w:val="00D82877"/>
    <w:rsid w:val="00D869A8"/>
    <w:rsid w:val="00D87766"/>
    <w:rsid w:val="00D90E55"/>
    <w:rsid w:val="00D918D6"/>
    <w:rsid w:val="00D92818"/>
    <w:rsid w:val="00DA1792"/>
    <w:rsid w:val="00DA2141"/>
    <w:rsid w:val="00DA2D08"/>
    <w:rsid w:val="00DA31C0"/>
    <w:rsid w:val="00DA50F5"/>
    <w:rsid w:val="00DB02BA"/>
    <w:rsid w:val="00DB2979"/>
    <w:rsid w:val="00DB39F2"/>
    <w:rsid w:val="00DB3A28"/>
    <w:rsid w:val="00DB59BD"/>
    <w:rsid w:val="00DB7E94"/>
    <w:rsid w:val="00DC00F6"/>
    <w:rsid w:val="00DC1266"/>
    <w:rsid w:val="00DC1C29"/>
    <w:rsid w:val="00DC28A7"/>
    <w:rsid w:val="00DC295F"/>
    <w:rsid w:val="00DD2492"/>
    <w:rsid w:val="00DD24F0"/>
    <w:rsid w:val="00DD4266"/>
    <w:rsid w:val="00DE0811"/>
    <w:rsid w:val="00DE1441"/>
    <w:rsid w:val="00DE22C3"/>
    <w:rsid w:val="00DE7FD0"/>
    <w:rsid w:val="00DF5B8E"/>
    <w:rsid w:val="00E00031"/>
    <w:rsid w:val="00E134AF"/>
    <w:rsid w:val="00E13985"/>
    <w:rsid w:val="00E16BD6"/>
    <w:rsid w:val="00E17133"/>
    <w:rsid w:val="00E176D0"/>
    <w:rsid w:val="00E21D95"/>
    <w:rsid w:val="00E23187"/>
    <w:rsid w:val="00E26112"/>
    <w:rsid w:val="00E315F5"/>
    <w:rsid w:val="00E32B29"/>
    <w:rsid w:val="00E333A6"/>
    <w:rsid w:val="00E35D45"/>
    <w:rsid w:val="00E364CF"/>
    <w:rsid w:val="00E406A2"/>
    <w:rsid w:val="00E43112"/>
    <w:rsid w:val="00E46118"/>
    <w:rsid w:val="00E4711B"/>
    <w:rsid w:val="00E52F58"/>
    <w:rsid w:val="00E53BB0"/>
    <w:rsid w:val="00E56D4B"/>
    <w:rsid w:val="00E579D4"/>
    <w:rsid w:val="00E604E4"/>
    <w:rsid w:val="00E609AF"/>
    <w:rsid w:val="00E60D2D"/>
    <w:rsid w:val="00E616B9"/>
    <w:rsid w:val="00E61F78"/>
    <w:rsid w:val="00E64DF5"/>
    <w:rsid w:val="00E73134"/>
    <w:rsid w:val="00E746BD"/>
    <w:rsid w:val="00E82544"/>
    <w:rsid w:val="00E86515"/>
    <w:rsid w:val="00E87785"/>
    <w:rsid w:val="00E93DCE"/>
    <w:rsid w:val="00E978FE"/>
    <w:rsid w:val="00EA1850"/>
    <w:rsid w:val="00EA62BC"/>
    <w:rsid w:val="00EA6F90"/>
    <w:rsid w:val="00EB2144"/>
    <w:rsid w:val="00EB5C3D"/>
    <w:rsid w:val="00EB7964"/>
    <w:rsid w:val="00EC030C"/>
    <w:rsid w:val="00EC1B3F"/>
    <w:rsid w:val="00EC3DD7"/>
    <w:rsid w:val="00EC4561"/>
    <w:rsid w:val="00ED184A"/>
    <w:rsid w:val="00ED1BFE"/>
    <w:rsid w:val="00ED50FE"/>
    <w:rsid w:val="00ED6593"/>
    <w:rsid w:val="00ED79EE"/>
    <w:rsid w:val="00EE0332"/>
    <w:rsid w:val="00EE0A68"/>
    <w:rsid w:val="00EE2078"/>
    <w:rsid w:val="00EE66B3"/>
    <w:rsid w:val="00EF1055"/>
    <w:rsid w:val="00EF420C"/>
    <w:rsid w:val="00EF5CB5"/>
    <w:rsid w:val="00F007E4"/>
    <w:rsid w:val="00F03029"/>
    <w:rsid w:val="00F039A4"/>
    <w:rsid w:val="00F0614A"/>
    <w:rsid w:val="00F14041"/>
    <w:rsid w:val="00F14760"/>
    <w:rsid w:val="00F16015"/>
    <w:rsid w:val="00F1726D"/>
    <w:rsid w:val="00F17869"/>
    <w:rsid w:val="00F21F00"/>
    <w:rsid w:val="00F23229"/>
    <w:rsid w:val="00F2407D"/>
    <w:rsid w:val="00F24CC4"/>
    <w:rsid w:val="00F278C4"/>
    <w:rsid w:val="00F30D10"/>
    <w:rsid w:val="00F3143D"/>
    <w:rsid w:val="00F332B3"/>
    <w:rsid w:val="00F335C8"/>
    <w:rsid w:val="00F35853"/>
    <w:rsid w:val="00F42575"/>
    <w:rsid w:val="00F435AD"/>
    <w:rsid w:val="00F50E1F"/>
    <w:rsid w:val="00F51BF3"/>
    <w:rsid w:val="00F54CB5"/>
    <w:rsid w:val="00F6055B"/>
    <w:rsid w:val="00F6734A"/>
    <w:rsid w:val="00F713B8"/>
    <w:rsid w:val="00F716DB"/>
    <w:rsid w:val="00F7644B"/>
    <w:rsid w:val="00F7677B"/>
    <w:rsid w:val="00F80A74"/>
    <w:rsid w:val="00F811C2"/>
    <w:rsid w:val="00F832DB"/>
    <w:rsid w:val="00F8613F"/>
    <w:rsid w:val="00F94060"/>
    <w:rsid w:val="00FA1078"/>
    <w:rsid w:val="00FA19E0"/>
    <w:rsid w:val="00FA1CDF"/>
    <w:rsid w:val="00FA4A76"/>
    <w:rsid w:val="00FA55F0"/>
    <w:rsid w:val="00FA6278"/>
    <w:rsid w:val="00FA6849"/>
    <w:rsid w:val="00FB38CF"/>
    <w:rsid w:val="00FB3927"/>
    <w:rsid w:val="00FB414B"/>
    <w:rsid w:val="00FB5D69"/>
    <w:rsid w:val="00FB6EA3"/>
    <w:rsid w:val="00FC319E"/>
    <w:rsid w:val="00FC46FC"/>
    <w:rsid w:val="00FC51B9"/>
    <w:rsid w:val="00FD01F7"/>
    <w:rsid w:val="00FD7940"/>
    <w:rsid w:val="00FE3A60"/>
    <w:rsid w:val="00FE541F"/>
    <w:rsid w:val="00FE68A8"/>
    <w:rsid w:val="00FE70C2"/>
    <w:rsid w:val="00FF3088"/>
    <w:rsid w:val="00FF7BD0"/>
    <w:rsid w:val="01248ABA"/>
    <w:rsid w:val="0164C80F"/>
    <w:rsid w:val="017B80D0"/>
    <w:rsid w:val="01AB6E99"/>
    <w:rsid w:val="01EB6D50"/>
    <w:rsid w:val="020AE9B8"/>
    <w:rsid w:val="02BB1438"/>
    <w:rsid w:val="03B268AE"/>
    <w:rsid w:val="03C53D7C"/>
    <w:rsid w:val="03F4793D"/>
    <w:rsid w:val="040195DE"/>
    <w:rsid w:val="04616CE0"/>
    <w:rsid w:val="046D711E"/>
    <w:rsid w:val="05F63622"/>
    <w:rsid w:val="062D303B"/>
    <w:rsid w:val="065F7326"/>
    <w:rsid w:val="06BB3F67"/>
    <w:rsid w:val="074B9563"/>
    <w:rsid w:val="07CF7529"/>
    <w:rsid w:val="07D85EF9"/>
    <w:rsid w:val="08B4FD17"/>
    <w:rsid w:val="09095327"/>
    <w:rsid w:val="09422A1B"/>
    <w:rsid w:val="09500FC3"/>
    <w:rsid w:val="0956C91A"/>
    <w:rsid w:val="0A74723D"/>
    <w:rsid w:val="0A967324"/>
    <w:rsid w:val="0B6810F4"/>
    <w:rsid w:val="0BAF94D2"/>
    <w:rsid w:val="0BBD0567"/>
    <w:rsid w:val="0BCA14B5"/>
    <w:rsid w:val="0C2B7324"/>
    <w:rsid w:val="0C4E5368"/>
    <w:rsid w:val="0C591848"/>
    <w:rsid w:val="0D1EB773"/>
    <w:rsid w:val="0D4F7769"/>
    <w:rsid w:val="0DC26139"/>
    <w:rsid w:val="0E823B5D"/>
    <w:rsid w:val="0EBC8D0A"/>
    <w:rsid w:val="0EFC2D0C"/>
    <w:rsid w:val="0F50B8E8"/>
    <w:rsid w:val="0FEE28CC"/>
    <w:rsid w:val="114B0303"/>
    <w:rsid w:val="11CD1296"/>
    <w:rsid w:val="11F82BFC"/>
    <w:rsid w:val="120D0779"/>
    <w:rsid w:val="126534D4"/>
    <w:rsid w:val="13E4C625"/>
    <w:rsid w:val="143FA3E5"/>
    <w:rsid w:val="14470CB5"/>
    <w:rsid w:val="146E1D98"/>
    <w:rsid w:val="14812B5E"/>
    <w:rsid w:val="14CF5A5F"/>
    <w:rsid w:val="15B568E4"/>
    <w:rsid w:val="165F7CEC"/>
    <w:rsid w:val="16E001E7"/>
    <w:rsid w:val="17703B80"/>
    <w:rsid w:val="1776CCE8"/>
    <w:rsid w:val="17D74B82"/>
    <w:rsid w:val="19BB29DC"/>
    <w:rsid w:val="19EAB9B1"/>
    <w:rsid w:val="1A4C59BC"/>
    <w:rsid w:val="1AA700D2"/>
    <w:rsid w:val="1B02161A"/>
    <w:rsid w:val="1B4D19EC"/>
    <w:rsid w:val="1BED346D"/>
    <w:rsid w:val="1C647AF7"/>
    <w:rsid w:val="1CCF740E"/>
    <w:rsid w:val="1D9DCAFC"/>
    <w:rsid w:val="1DE02BCC"/>
    <w:rsid w:val="1E1FBFD7"/>
    <w:rsid w:val="1E3C5E26"/>
    <w:rsid w:val="1E512B9D"/>
    <w:rsid w:val="1E5972B4"/>
    <w:rsid w:val="1EA27625"/>
    <w:rsid w:val="1FD513E6"/>
    <w:rsid w:val="2053B1B3"/>
    <w:rsid w:val="2091E105"/>
    <w:rsid w:val="21866889"/>
    <w:rsid w:val="219F6AC0"/>
    <w:rsid w:val="21F17D65"/>
    <w:rsid w:val="22A7F648"/>
    <w:rsid w:val="22DE13FC"/>
    <w:rsid w:val="22EBCC23"/>
    <w:rsid w:val="22EF4437"/>
    <w:rsid w:val="236EBA10"/>
    <w:rsid w:val="237EC1BD"/>
    <w:rsid w:val="240C3440"/>
    <w:rsid w:val="24A326B6"/>
    <w:rsid w:val="254112CE"/>
    <w:rsid w:val="2552E908"/>
    <w:rsid w:val="258675B1"/>
    <w:rsid w:val="25952671"/>
    <w:rsid w:val="25B4705C"/>
    <w:rsid w:val="25C98CDC"/>
    <w:rsid w:val="25F3C22C"/>
    <w:rsid w:val="27FA0805"/>
    <w:rsid w:val="288F036A"/>
    <w:rsid w:val="28A789C3"/>
    <w:rsid w:val="28B8549D"/>
    <w:rsid w:val="29B8937F"/>
    <w:rsid w:val="2A681E3A"/>
    <w:rsid w:val="2AACD9F6"/>
    <w:rsid w:val="2B107969"/>
    <w:rsid w:val="2B430715"/>
    <w:rsid w:val="2BCC2884"/>
    <w:rsid w:val="2C07DA77"/>
    <w:rsid w:val="2C0ECB10"/>
    <w:rsid w:val="2CB67A10"/>
    <w:rsid w:val="2CB92BC2"/>
    <w:rsid w:val="2D783A87"/>
    <w:rsid w:val="2F86806E"/>
    <w:rsid w:val="2FBB2A44"/>
    <w:rsid w:val="2FC81A08"/>
    <w:rsid w:val="30210A24"/>
    <w:rsid w:val="30279893"/>
    <w:rsid w:val="305009EB"/>
    <w:rsid w:val="30AC722B"/>
    <w:rsid w:val="3132E828"/>
    <w:rsid w:val="318F3DCA"/>
    <w:rsid w:val="31E0C411"/>
    <w:rsid w:val="32BDED35"/>
    <w:rsid w:val="32BE8152"/>
    <w:rsid w:val="32DF4C80"/>
    <w:rsid w:val="33587534"/>
    <w:rsid w:val="345B2CF6"/>
    <w:rsid w:val="345FEFD5"/>
    <w:rsid w:val="34AAD85B"/>
    <w:rsid w:val="35127BB9"/>
    <w:rsid w:val="35892072"/>
    <w:rsid w:val="36A4D3AF"/>
    <w:rsid w:val="3A125E82"/>
    <w:rsid w:val="3A296271"/>
    <w:rsid w:val="3A850402"/>
    <w:rsid w:val="3AF33FF6"/>
    <w:rsid w:val="3B056B53"/>
    <w:rsid w:val="3B34D9D8"/>
    <w:rsid w:val="3B7A5A8D"/>
    <w:rsid w:val="3C2521F8"/>
    <w:rsid w:val="3C315EEF"/>
    <w:rsid w:val="3CCF768E"/>
    <w:rsid w:val="3D5F2D86"/>
    <w:rsid w:val="3E00DB8F"/>
    <w:rsid w:val="3E2754C6"/>
    <w:rsid w:val="3EB01CC4"/>
    <w:rsid w:val="3EFB5789"/>
    <w:rsid w:val="3F1B7587"/>
    <w:rsid w:val="403FB10E"/>
    <w:rsid w:val="40691694"/>
    <w:rsid w:val="40D05FDE"/>
    <w:rsid w:val="4115CBDF"/>
    <w:rsid w:val="411E8646"/>
    <w:rsid w:val="422679BF"/>
    <w:rsid w:val="42759E1A"/>
    <w:rsid w:val="43A23DD3"/>
    <w:rsid w:val="45050ABD"/>
    <w:rsid w:val="4585A753"/>
    <w:rsid w:val="45B70A44"/>
    <w:rsid w:val="4613385B"/>
    <w:rsid w:val="46187961"/>
    <w:rsid w:val="463CC715"/>
    <w:rsid w:val="464A766D"/>
    <w:rsid w:val="46AE178D"/>
    <w:rsid w:val="46EA0A24"/>
    <w:rsid w:val="4702C976"/>
    <w:rsid w:val="47076620"/>
    <w:rsid w:val="47A50787"/>
    <w:rsid w:val="47A815A3"/>
    <w:rsid w:val="47C05C63"/>
    <w:rsid w:val="48514F4B"/>
    <w:rsid w:val="494CDEB9"/>
    <w:rsid w:val="496F630D"/>
    <w:rsid w:val="4977EC42"/>
    <w:rsid w:val="497C4CA9"/>
    <w:rsid w:val="49CD76D0"/>
    <w:rsid w:val="4A13D751"/>
    <w:rsid w:val="4A963299"/>
    <w:rsid w:val="4B427C93"/>
    <w:rsid w:val="4BB2721D"/>
    <w:rsid w:val="4C686F30"/>
    <w:rsid w:val="4C8F4C6C"/>
    <w:rsid w:val="4D2029D7"/>
    <w:rsid w:val="4D4E1C85"/>
    <w:rsid w:val="4D67F5CE"/>
    <w:rsid w:val="4D8056D5"/>
    <w:rsid w:val="4DABB3A2"/>
    <w:rsid w:val="4E389919"/>
    <w:rsid w:val="4EAC17CC"/>
    <w:rsid w:val="4EF74CB5"/>
    <w:rsid w:val="50A62A29"/>
    <w:rsid w:val="50B10CDD"/>
    <w:rsid w:val="516860FF"/>
    <w:rsid w:val="51E97071"/>
    <w:rsid w:val="51F6353C"/>
    <w:rsid w:val="5200D21A"/>
    <w:rsid w:val="52163581"/>
    <w:rsid w:val="53715A32"/>
    <w:rsid w:val="53D8FE77"/>
    <w:rsid w:val="54801E9D"/>
    <w:rsid w:val="54B874AB"/>
    <w:rsid w:val="54FC080F"/>
    <w:rsid w:val="551E5284"/>
    <w:rsid w:val="552CF9FB"/>
    <w:rsid w:val="5544A4BE"/>
    <w:rsid w:val="55FF79A0"/>
    <w:rsid w:val="563A7F05"/>
    <w:rsid w:val="56870F45"/>
    <w:rsid w:val="5687797C"/>
    <w:rsid w:val="570191E0"/>
    <w:rsid w:val="579280C9"/>
    <w:rsid w:val="57A6325E"/>
    <w:rsid w:val="58658FF4"/>
    <w:rsid w:val="5906778F"/>
    <w:rsid w:val="599EB211"/>
    <w:rsid w:val="5BA12227"/>
    <w:rsid w:val="5BB9E16A"/>
    <w:rsid w:val="5CF05359"/>
    <w:rsid w:val="5D370FA7"/>
    <w:rsid w:val="5DEEA03A"/>
    <w:rsid w:val="5E304523"/>
    <w:rsid w:val="5EF557F0"/>
    <w:rsid w:val="5F880646"/>
    <w:rsid w:val="60597AB8"/>
    <w:rsid w:val="60AD34FD"/>
    <w:rsid w:val="614271E8"/>
    <w:rsid w:val="61971403"/>
    <w:rsid w:val="619C4100"/>
    <w:rsid w:val="61BA4CD3"/>
    <w:rsid w:val="61F408B1"/>
    <w:rsid w:val="6221BC68"/>
    <w:rsid w:val="62569BEE"/>
    <w:rsid w:val="628E2720"/>
    <w:rsid w:val="62FEA916"/>
    <w:rsid w:val="6447DB3E"/>
    <w:rsid w:val="6453930F"/>
    <w:rsid w:val="6505D1C1"/>
    <w:rsid w:val="655F5EB5"/>
    <w:rsid w:val="656E9E57"/>
    <w:rsid w:val="659E2960"/>
    <w:rsid w:val="65EF1183"/>
    <w:rsid w:val="664475AF"/>
    <w:rsid w:val="66605415"/>
    <w:rsid w:val="66B3F4C5"/>
    <w:rsid w:val="67110CCB"/>
    <w:rsid w:val="675DEBAC"/>
    <w:rsid w:val="680C1293"/>
    <w:rsid w:val="6837462A"/>
    <w:rsid w:val="684150B9"/>
    <w:rsid w:val="697EA997"/>
    <w:rsid w:val="69B7E43F"/>
    <w:rsid w:val="69B9EF6A"/>
    <w:rsid w:val="69E7007D"/>
    <w:rsid w:val="6A2536C5"/>
    <w:rsid w:val="6A57631E"/>
    <w:rsid w:val="6B02A511"/>
    <w:rsid w:val="6B0BEF5F"/>
    <w:rsid w:val="6B2D177E"/>
    <w:rsid w:val="6B33E528"/>
    <w:rsid w:val="6B3A0E3F"/>
    <w:rsid w:val="6B582826"/>
    <w:rsid w:val="6BBB198C"/>
    <w:rsid w:val="6D1F2439"/>
    <w:rsid w:val="6DEF75E3"/>
    <w:rsid w:val="6F2993F5"/>
    <w:rsid w:val="6FA691E3"/>
    <w:rsid w:val="71440E4F"/>
    <w:rsid w:val="71B10CAF"/>
    <w:rsid w:val="723B20AD"/>
    <w:rsid w:val="725FE6D1"/>
    <w:rsid w:val="7287156D"/>
    <w:rsid w:val="72BB41FD"/>
    <w:rsid w:val="733DA013"/>
    <w:rsid w:val="733FA0F6"/>
    <w:rsid w:val="7376444C"/>
    <w:rsid w:val="746BA637"/>
    <w:rsid w:val="74B0595F"/>
    <w:rsid w:val="75050449"/>
    <w:rsid w:val="757A2263"/>
    <w:rsid w:val="76A570F3"/>
    <w:rsid w:val="770EDF44"/>
    <w:rsid w:val="7747076C"/>
    <w:rsid w:val="77531D19"/>
    <w:rsid w:val="77973B03"/>
    <w:rsid w:val="7874AFB0"/>
    <w:rsid w:val="78BE484E"/>
    <w:rsid w:val="793B00C4"/>
    <w:rsid w:val="796B5708"/>
    <w:rsid w:val="79DB991D"/>
    <w:rsid w:val="79F5E2BD"/>
    <w:rsid w:val="7A215086"/>
    <w:rsid w:val="7A585E0B"/>
    <w:rsid w:val="7A9A2C8A"/>
    <w:rsid w:val="7AB3E052"/>
    <w:rsid w:val="7AC7F1B1"/>
    <w:rsid w:val="7ADDB7AD"/>
    <w:rsid w:val="7B30ADC9"/>
    <w:rsid w:val="7BB31BDD"/>
    <w:rsid w:val="7C15CA1F"/>
    <w:rsid w:val="7C574064"/>
    <w:rsid w:val="7C82A481"/>
    <w:rsid w:val="7CE6BEDF"/>
    <w:rsid w:val="7D582D62"/>
    <w:rsid w:val="7DCDAD1A"/>
    <w:rsid w:val="7DDC3DEF"/>
    <w:rsid w:val="7DEBB852"/>
    <w:rsid w:val="7F191842"/>
    <w:rsid w:val="7F60AC8F"/>
    <w:rsid w:val="7F638330"/>
    <w:rsid w:val="7FA7B691"/>
    <w:rsid w:val="7FCB351C"/>
    <w:rsid w:val="803F1C9C"/>
    <w:rsid w:val="813FA546"/>
    <w:rsid w:val="81F2BCA5"/>
    <w:rsid w:val="82009053"/>
    <w:rsid w:val="821C4C4B"/>
    <w:rsid w:val="8339BE96"/>
    <w:rsid w:val="841F6B3B"/>
    <w:rsid w:val="847F197F"/>
    <w:rsid w:val="84C66A79"/>
    <w:rsid w:val="856F62DE"/>
    <w:rsid w:val="85807BBF"/>
    <w:rsid w:val="868F8B62"/>
    <w:rsid w:val="877307F8"/>
    <w:rsid w:val="882E6FF3"/>
    <w:rsid w:val="8A64153B"/>
    <w:rsid w:val="8A9D907E"/>
    <w:rsid w:val="8A9EC833"/>
    <w:rsid w:val="8BAE9C6C"/>
    <w:rsid w:val="8BBEB36D"/>
    <w:rsid w:val="8BC5A9CB"/>
    <w:rsid w:val="8CF4E042"/>
    <w:rsid w:val="8CFDC56A"/>
    <w:rsid w:val="8D004911"/>
    <w:rsid w:val="8E5360C1"/>
    <w:rsid w:val="8E6A60ED"/>
    <w:rsid w:val="8F3B87B6"/>
    <w:rsid w:val="92D011DB"/>
    <w:rsid w:val="93C9B964"/>
    <w:rsid w:val="946B8CF1"/>
    <w:rsid w:val="95740FC8"/>
    <w:rsid w:val="965C4EB5"/>
    <w:rsid w:val="981B92B1"/>
    <w:rsid w:val="982BAD24"/>
    <w:rsid w:val="9989A60E"/>
    <w:rsid w:val="9A52AD45"/>
    <w:rsid w:val="9AE11C27"/>
    <w:rsid w:val="9B54D866"/>
    <w:rsid w:val="9E1C096F"/>
    <w:rsid w:val="9E30DEEE"/>
    <w:rsid w:val="9F1752E3"/>
    <w:rsid w:val="9F2D2DAA"/>
    <w:rsid w:val="9FF9F355"/>
    <w:rsid w:val="A082232F"/>
    <w:rsid w:val="A162A8D2"/>
    <w:rsid w:val="A18CED30"/>
    <w:rsid w:val="A1DCA90A"/>
    <w:rsid w:val="A3181256"/>
    <w:rsid w:val="A32B7EEC"/>
    <w:rsid w:val="A37BF92A"/>
    <w:rsid w:val="A3CEE8B7"/>
    <w:rsid w:val="A408504A"/>
    <w:rsid w:val="A480800F"/>
    <w:rsid w:val="A4A849BE"/>
    <w:rsid w:val="A4AD88E1"/>
    <w:rsid w:val="A4D3561E"/>
    <w:rsid w:val="A5D89D2B"/>
    <w:rsid w:val="A685E589"/>
    <w:rsid w:val="A6C25B20"/>
    <w:rsid w:val="A787AA65"/>
    <w:rsid w:val="A7D5A20B"/>
    <w:rsid w:val="A7D74A5B"/>
    <w:rsid w:val="A7E44B4C"/>
    <w:rsid w:val="A8ACD14C"/>
    <w:rsid w:val="A92063B0"/>
    <w:rsid w:val="AA30F4BB"/>
    <w:rsid w:val="AB7F8240"/>
    <w:rsid w:val="ABE4F1F8"/>
    <w:rsid w:val="ACE0C1BD"/>
    <w:rsid w:val="ACF670E3"/>
    <w:rsid w:val="AD1BF67B"/>
    <w:rsid w:val="AD6A578E"/>
    <w:rsid w:val="ADC7B460"/>
    <w:rsid w:val="AE026C72"/>
    <w:rsid w:val="AED14AC6"/>
    <w:rsid w:val="AF43D9B3"/>
    <w:rsid w:val="B05F31B7"/>
    <w:rsid w:val="B0E19E71"/>
    <w:rsid w:val="B3BD6048"/>
    <w:rsid w:val="B449C48B"/>
    <w:rsid w:val="B4C4A107"/>
    <w:rsid w:val="B540670B"/>
    <w:rsid w:val="B77E3423"/>
    <w:rsid w:val="B7B2E3A6"/>
    <w:rsid w:val="B843B3E1"/>
    <w:rsid w:val="B8C93DF2"/>
    <w:rsid w:val="B93F4F09"/>
    <w:rsid w:val="B9B20BD3"/>
    <w:rsid w:val="B9C0E204"/>
    <w:rsid w:val="BAAC09EF"/>
    <w:rsid w:val="BAD4413C"/>
    <w:rsid w:val="BB13BB09"/>
    <w:rsid w:val="BB6DB4EF"/>
    <w:rsid w:val="BBA6C9D4"/>
    <w:rsid w:val="BC1828FC"/>
    <w:rsid w:val="BC690512"/>
    <w:rsid w:val="BCC96D1A"/>
    <w:rsid w:val="BE033BAD"/>
    <w:rsid w:val="BEBA4ADB"/>
    <w:rsid w:val="BEE51417"/>
    <w:rsid w:val="BF480CF0"/>
    <w:rsid w:val="BFBF6D34"/>
    <w:rsid w:val="C03D3C48"/>
    <w:rsid w:val="C07EA228"/>
    <w:rsid w:val="C2033065"/>
    <w:rsid w:val="C2D1C6CA"/>
    <w:rsid w:val="C40A1CDF"/>
    <w:rsid w:val="C4C9AC34"/>
    <w:rsid w:val="C50535C9"/>
    <w:rsid w:val="C50E4D0D"/>
    <w:rsid w:val="C60079EB"/>
    <w:rsid w:val="C709B82D"/>
    <w:rsid w:val="C7423C74"/>
    <w:rsid w:val="C889DB1B"/>
    <w:rsid w:val="C97BA732"/>
    <w:rsid w:val="C99E3DC7"/>
    <w:rsid w:val="C9A99B3A"/>
    <w:rsid w:val="CA8D1DDE"/>
    <w:rsid w:val="CAFAD546"/>
    <w:rsid w:val="CB563A7A"/>
    <w:rsid w:val="CB80FA3D"/>
    <w:rsid w:val="CBB19F04"/>
    <w:rsid w:val="CC29FFA2"/>
    <w:rsid w:val="CCE0155E"/>
    <w:rsid w:val="CDB94DB1"/>
    <w:rsid w:val="CE195C17"/>
    <w:rsid w:val="CE3FCA3F"/>
    <w:rsid w:val="CF965DC5"/>
    <w:rsid w:val="CFDBAFEF"/>
    <w:rsid w:val="D03C2AD3"/>
    <w:rsid w:val="D06D2B9E"/>
    <w:rsid w:val="D1138B85"/>
    <w:rsid w:val="D115C5CF"/>
    <w:rsid w:val="D15F260B"/>
    <w:rsid w:val="D17AB40E"/>
    <w:rsid w:val="D3E74B16"/>
    <w:rsid w:val="D3FCE8E6"/>
    <w:rsid w:val="D40C0789"/>
    <w:rsid w:val="D70999B4"/>
    <w:rsid w:val="D748C83E"/>
    <w:rsid w:val="D85BAD57"/>
    <w:rsid w:val="D9C69530"/>
    <w:rsid w:val="DC324843"/>
    <w:rsid w:val="DE806FB2"/>
    <w:rsid w:val="DEA3E3E7"/>
    <w:rsid w:val="DEAF6A78"/>
    <w:rsid w:val="DEC7707C"/>
    <w:rsid w:val="DECEC763"/>
    <w:rsid w:val="DEDE72FD"/>
    <w:rsid w:val="DFA9864A"/>
    <w:rsid w:val="DFD02CAF"/>
    <w:rsid w:val="DFE86B1B"/>
    <w:rsid w:val="DFF39168"/>
    <w:rsid w:val="E0C15993"/>
    <w:rsid w:val="E1E5F3C9"/>
    <w:rsid w:val="E26DCB87"/>
    <w:rsid w:val="E30CDA7A"/>
    <w:rsid w:val="E31994C3"/>
    <w:rsid w:val="E484D03D"/>
    <w:rsid w:val="E49532F7"/>
    <w:rsid w:val="E528FFF7"/>
    <w:rsid w:val="E5446B23"/>
    <w:rsid w:val="E5A84BEB"/>
    <w:rsid w:val="E610A089"/>
    <w:rsid w:val="E7124423"/>
    <w:rsid w:val="E8F39FEB"/>
    <w:rsid w:val="EA4E25E9"/>
    <w:rsid w:val="EA4E685F"/>
    <w:rsid w:val="EBE87E2A"/>
    <w:rsid w:val="EBEC61DE"/>
    <w:rsid w:val="EC0D035C"/>
    <w:rsid w:val="EC1E4A5E"/>
    <w:rsid w:val="EC859DF6"/>
    <w:rsid w:val="ECFD843C"/>
    <w:rsid w:val="ED17D9BA"/>
    <w:rsid w:val="EDA0C12C"/>
    <w:rsid w:val="EE52FE81"/>
    <w:rsid w:val="EE8F25CD"/>
    <w:rsid w:val="EEF2BA9D"/>
    <w:rsid w:val="EEFDB469"/>
    <w:rsid w:val="EF1E59E9"/>
    <w:rsid w:val="EFA7B0CE"/>
    <w:rsid w:val="EFC44CDC"/>
    <w:rsid w:val="F06DACB2"/>
    <w:rsid w:val="F07BDDFE"/>
    <w:rsid w:val="F1F9D650"/>
    <w:rsid w:val="F3591FE6"/>
    <w:rsid w:val="F3B7C99B"/>
    <w:rsid w:val="F41D6B56"/>
    <w:rsid w:val="F5E61553"/>
    <w:rsid w:val="F6015C40"/>
    <w:rsid w:val="F601ED6E"/>
    <w:rsid w:val="F8239465"/>
    <w:rsid w:val="F879448D"/>
    <w:rsid w:val="F8D14B07"/>
    <w:rsid w:val="F9054DF9"/>
    <w:rsid w:val="F9AACE9F"/>
    <w:rsid w:val="FD18BE87"/>
    <w:rsid w:val="FDF7AB99"/>
    <w:rsid w:val="FE3A3D35"/>
    <w:rsid w:val="FF481F3B"/>
    <w:rsid w:val="FFD612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45"/>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6"/>
    <w:qFormat/>
    <w:uiPriority w:val="99"/>
    <w:pPr>
      <w:keepNext/>
      <w:keepLines/>
      <w:spacing w:before="260" w:after="260" w:line="416" w:lineRule="auto"/>
      <w:outlineLvl w:val="1"/>
    </w:pPr>
    <w:rPr>
      <w:rFonts w:ascii="Cambria" w:hAnsi="Cambria" w:cs="Cambria"/>
      <w:b/>
      <w:bCs/>
      <w:kern w:val="0"/>
      <w:sz w:val="32"/>
      <w:szCs w:val="32"/>
    </w:rPr>
  </w:style>
  <w:style w:type="paragraph" w:styleId="5">
    <w:name w:val="heading 3"/>
    <w:basedOn w:val="1"/>
    <w:next w:val="1"/>
    <w:link w:val="47"/>
    <w:qFormat/>
    <w:uiPriority w:val="99"/>
    <w:pPr>
      <w:keepNext/>
      <w:keepLines/>
      <w:spacing w:before="260" w:after="260" w:line="416" w:lineRule="auto"/>
      <w:outlineLvl w:val="2"/>
    </w:pPr>
    <w:rPr>
      <w:b/>
      <w:bCs/>
      <w:kern w:val="0"/>
      <w:sz w:val="32"/>
      <w:szCs w:val="32"/>
    </w:rPr>
  </w:style>
  <w:style w:type="paragraph" w:styleId="6">
    <w:name w:val="heading 4"/>
    <w:basedOn w:val="1"/>
    <w:next w:val="1"/>
    <w:link w:val="48"/>
    <w:qFormat/>
    <w:uiPriority w:val="99"/>
    <w:pPr>
      <w:keepNext/>
      <w:keepLines/>
      <w:spacing w:before="280" w:after="290" w:line="376" w:lineRule="auto"/>
      <w:outlineLvl w:val="3"/>
    </w:pPr>
    <w:rPr>
      <w:rFonts w:ascii="Cambria" w:hAnsi="Cambria" w:cs="Cambria"/>
      <w:b/>
      <w:bCs/>
      <w:kern w:val="0"/>
      <w:sz w:val="28"/>
      <w:szCs w:val="28"/>
    </w:rPr>
  </w:style>
  <w:style w:type="paragraph" w:styleId="7">
    <w:name w:val="heading 9"/>
    <w:basedOn w:val="1"/>
    <w:next w:val="1"/>
    <w:link w:val="49"/>
    <w:qFormat/>
    <w:uiPriority w:val="99"/>
    <w:pPr>
      <w:keepNext/>
      <w:keepLines/>
      <w:spacing w:before="240" w:after="64" w:line="320" w:lineRule="auto"/>
      <w:outlineLvl w:val="8"/>
    </w:pPr>
    <w:rPr>
      <w:rFonts w:ascii="Cambria" w:hAnsi="Cambria" w:cs="Cambria"/>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4"/>
    <w:qFormat/>
    <w:uiPriority w:val="99"/>
    <w:pPr>
      <w:spacing w:after="120"/>
    </w:pPr>
    <w:rPr>
      <w:kern w:val="0"/>
      <w:sz w:val="20"/>
      <w:szCs w:val="20"/>
    </w:rPr>
  </w:style>
  <w:style w:type="paragraph" w:styleId="8">
    <w:name w:val="toc 7"/>
    <w:basedOn w:val="1"/>
    <w:next w:val="1"/>
    <w:qFormat/>
    <w:uiPriority w:val="39"/>
    <w:pPr>
      <w:ind w:left="2520" w:leftChars="1200"/>
    </w:pPr>
  </w:style>
  <w:style w:type="paragraph" w:styleId="9">
    <w:name w:val="Normal Indent"/>
    <w:basedOn w:val="1"/>
    <w:link w:val="168"/>
    <w:qFormat/>
    <w:uiPriority w:val="99"/>
    <w:pPr>
      <w:ind w:firstLine="420" w:firstLineChars="200"/>
    </w:pPr>
    <w:rPr>
      <w:rFonts w:ascii="Times New Roman" w:hAnsi="Times New Roman" w:eastAsia="等线" w:cs="Times New Roman"/>
    </w:rPr>
  </w:style>
  <w:style w:type="paragraph" w:styleId="10">
    <w:name w:val="caption"/>
    <w:basedOn w:val="1"/>
    <w:next w:val="1"/>
    <w:qFormat/>
    <w:uiPriority w:val="99"/>
    <w:pPr>
      <w:spacing w:line="480" w:lineRule="auto"/>
    </w:pPr>
    <w:rPr>
      <w:rFonts w:ascii="华文中宋" w:hAnsi="华文中宋" w:eastAsia="华文中宋" w:cs="华文中宋"/>
      <w:sz w:val="36"/>
      <w:szCs w:val="36"/>
    </w:rPr>
  </w:style>
  <w:style w:type="paragraph" w:styleId="11">
    <w:name w:val="Document Map"/>
    <w:basedOn w:val="1"/>
    <w:link w:val="103"/>
    <w:semiHidden/>
    <w:qFormat/>
    <w:uiPriority w:val="99"/>
    <w:pPr>
      <w:shd w:val="clear" w:color="auto" w:fill="000080"/>
    </w:pPr>
    <w:rPr>
      <w:rFonts w:ascii="Times New Roman" w:hAnsi="Times New Roman" w:cs="Times New Roman"/>
      <w:kern w:val="0"/>
      <w:sz w:val="2"/>
      <w:szCs w:val="2"/>
    </w:rPr>
  </w:style>
  <w:style w:type="paragraph" w:styleId="12">
    <w:name w:val="annotation text"/>
    <w:basedOn w:val="1"/>
    <w:link w:val="100"/>
    <w:semiHidden/>
    <w:qFormat/>
    <w:uiPriority w:val="99"/>
    <w:pPr>
      <w:jc w:val="left"/>
    </w:pPr>
  </w:style>
  <w:style w:type="paragraph" w:styleId="13">
    <w:name w:val="Body Text 3"/>
    <w:basedOn w:val="1"/>
    <w:link w:val="102"/>
    <w:qFormat/>
    <w:uiPriority w:val="99"/>
    <w:rPr>
      <w:kern w:val="0"/>
      <w:sz w:val="16"/>
      <w:szCs w:val="16"/>
    </w:rPr>
  </w:style>
  <w:style w:type="paragraph" w:styleId="14">
    <w:name w:val="Body Text Indent"/>
    <w:basedOn w:val="1"/>
    <w:link w:val="99"/>
    <w:qFormat/>
    <w:uiPriority w:val="99"/>
    <w:pPr>
      <w:spacing w:after="120"/>
      <w:ind w:left="420" w:leftChars="200"/>
    </w:pPr>
    <w:rPr>
      <w:rFonts w:ascii="Times New Roman" w:hAnsi="Times New Roman" w:cs="Times New Roman"/>
      <w:sz w:val="24"/>
      <w:szCs w:val="24"/>
    </w:rPr>
  </w:style>
  <w:style w:type="paragraph" w:styleId="15">
    <w:name w:val="toc 5"/>
    <w:basedOn w:val="1"/>
    <w:next w:val="1"/>
    <w:qFormat/>
    <w:uiPriority w:val="39"/>
    <w:pPr>
      <w:ind w:left="1680" w:leftChars="800"/>
    </w:pPr>
  </w:style>
  <w:style w:type="paragraph" w:styleId="16">
    <w:name w:val="toc 3"/>
    <w:basedOn w:val="1"/>
    <w:next w:val="1"/>
    <w:qFormat/>
    <w:uiPriority w:val="39"/>
    <w:pPr>
      <w:widowControl/>
      <w:spacing w:after="100" w:line="276" w:lineRule="auto"/>
      <w:ind w:left="440"/>
      <w:jc w:val="left"/>
    </w:pPr>
    <w:rPr>
      <w:kern w:val="0"/>
      <w:sz w:val="22"/>
      <w:szCs w:val="22"/>
    </w:rPr>
  </w:style>
  <w:style w:type="paragraph" w:styleId="17">
    <w:name w:val="Plain Text"/>
    <w:basedOn w:val="1"/>
    <w:link w:val="118"/>
    <w:qFormat/>
    <w:uiPriority w:val="0"/>
    <w:rPr>
      <w:rFonts w:ascii="宋体" w:cs="宋体"/>
      <w:kern w:val="0"/>
      <w:sz w:val="24"/>
      <w:szCs w:val="24"/>
    </w:rPr>
  </w:style>
  <w:style w:type="paragraph" w:styleId="18">
    <w:name w:val="toc 8"/>
    <w:basedOn w:val="1"/>
    <w:next w:val="1"/>
    <w:qFormat/>
    <w:uiPriority w:val="39"/>
    <w:pPr>
      <w:ind w:left="2940" w:leftChars="1400"/>
    </w:pPr>
  </w:style>
  <w:style w:type="paragraph" w:styleId="19">
    <w:name w:val="Date"/>
    <w:basedOn w:val="1"/>
    <w:next w:val="1"/>
    <w:link w:val="115"/>
    <w:qFormat/>
    <w:uiPriority w:val="99"/>
    <w:pPr>
      <w:ind w:left="100" w:leftChars="2500"/>
    </w:pPr>
    <w:rPr>
      <w:kern w:val="0"/>
      <w:sz w:val="20"/>
      <w:szCs w:val="20"/>
    </w:rPr>
  </w:style>
  <w:style w:type="paragraph" w:styleId="20">
    <w:name w:val="Body Text Indent 2"/>
    <w:basedOn w:val="1"/>
    <w:link w:val="123"/>
    <w:qFormat/>
    <w:uiPriority w:val="99"/>
    <w:pPr>
      <w:spacing w:after="120" w:line="480" w:lineRule="auto"/>
      <w:ind w:left="420" w:leftChars="200"/>
    </w:pPr>
    <w:rPr>
      <w:rFonts w:ascii="Times New Roman" w:hAnsi="Times New Roman" w:cs="Times New Roman"/>
      <w:sz w:val="24"/>
      <w:szCs w:val="24"/>
    </w:rPr>
  </w:style>
  <w:style w:type="paragraph" w:styleId="21">
    <w:name w:val="Balloon Text"/>
    <w:basedOn w:val="1"/>
    <w:link w:val="129"/>
    <w:semiHidden/>
    <w:qFormat/>
    <w:uiPriority w:val="99"/>
    <w:rPr>
      <w:kern w:val="0"/>
      <w:sz w:val="18"/>
      <w:szCs w:val="18"/>
    </w:rPr>
  </w:style>
  <w:style w:type="paragraph" w:styleId="22">
    <w:name w:val="footer"/>
    <w:basedOn w:val="1"/>
    <w:link w:val="138"/>
    <w:qFormat/>
    <w:uiPriority w:val="99"/>
    <w:pPr>
      <w:tabs>
        <w:tab w:val="center" w:pos="4153"/>
        <w:tab w:val="right" w:pos="8306"/>
      </w:tabs>
      <w:snapToGrid w:val="0"/>
      <w:jc w:val="left"/>
    </w:pPr>
    <w:rPr>
      <w:kern w:val="0"/>
      <w:sz w:val="18"/>
      <w:szCs w:val="18"/>
    </w:rPr>
  </w:style>
  <w:style w:type="paragraph" w:styleId="23">
    <w:name w:val="header"/>
    <w:basedOn w:val="1"/>
    <w:link w:val="110"/>
    <w:qFormat/>
    <w:uiPriority w:val="99"/>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qFormat/>
    <w:uiPriority w:val="39"/>
    <w:pPr>
      <w:widowControl/>
      <w:spacing w:after="100" w:line="276" w:lineRule="auto"/>
      <w:jc w:val="left"/>
    </w:pPr>
    <w:rPr>
      <w:kern w:val="0"/>
      <w:sz w:val="22"/>
      <w:szCs w:val="22"/>
    </w:rPr>
  </w:style>
  <w:style w:type="paragraph" w:styleId="25">
    <w:name w:val="toc 4"/>
    <w:basedOn w:val="1"/>
    <w:next w:val="1"/>
    <w:qFormat/>
    <w:uiPriority w:val="39"/>
    <w:pPr>
      <w:ind w:left="1260" w:leftChars="600"/>
    </w:pPr>
  </w:style>
  <w:style w:type="paragraph" w:styleId="26">
    <w:name w:val="Subtitle"/>
    <w:basedOn w:val="1"/>
    <w:next w:val="1"/>
    <w:link w:val="135"/>
    <w:qFormat/>
    <w:uiPriority w:val="99"/>
    <w:pPr>
      <w:spacing w:before="120" w:after="60"/>
      <w:ind w:left="1287" w:hanging="720"/>
      <w:jc w:val="left"/>
      <w:outlineLvl w:val="1"/>
    </w:pPr>
    <w:rPr>
      <w:rFonts w:ascii="Cambria" w:hAnsi="Cambria" w:cs="Cambria"/>
      <w:b/>
      <w:bCs/>
      <w:kern w:val="28"/>
      <w:sz w:val="24"/>
      <w:szCs w:val="24"/>
    </w:rPr>
  </w:style>
  <w:style w:type="paragraph" w:styleId="27">
    <w:name w:val="toc 6"/>
    <w:basedOn w:val="1"/>
    <w:next w:val="1"/>
    <w:qFormat/>
    <w:uiPriority w:val="39"/>
    <w:pPr>
      <w:ind w:left="2100" w:leftChars="1000"/>
    </w:pPr>
  </w:style>
  <w:style w:type="paragraph" w:styleId="28">
    <w:name w:val="Body Text Indent 3"/>
    <w:basedOn w:val="1"/>
    <w:link w:val="125"/>
    <w:qFormat/>
    <w:uiPriority w:val="99"/>
    <w:pPr>
      <w:ind w:firstLine="480" w:firstLineChars="200"/>
    </w:pPr>
    <w:rPr>
      <w:rFonts w:ascii="Times New Roman" w:hAnsi="Times New Roman" w:cs="Times New Roman"/>
      <w:color w:val="FF0000"/>
      <w:sz w:val="24"/>
      <w:szCs w:val="24"/>
    </w:rPr>
  </w:style>
  <w:style w:type="paragraph" w:styleId="29">
    <w:name w:val="toc 2"/>
    <w:basedOn w:val="1"/>
    <w:next w:val="1"/>
    <w:qFormat/>
    <w:uiPriority w:val="39"/>
    <w:pPr>
      <w:widowControl/>
      <w:spacing w:after="100" w:line="276" w:lineRule="auto"/>
      <w:ind w:left="220"/>
      <w:jc w:val="left"/>
    </w:pPr>
    <w:rPr>
      <w:kern w:val="0"/>
      <w:sz w:val="22"/>
      <w:szCs w:val="22"/>
    </w:rPr>
  </w:style>
  <w:style w:type="paragraph" w:styleId="30">
    <w:name w:val="toc 9"/>
    <w:basedOn w:val="1"/>
    <w:next w:val="1"/>
    <w:qFormat/>
    <w:uiPriority w:val="39"/>
    <w:pPr>
      <w:ind w:left="3360" w:leftChars="1600"/>
    </w:pPr>
  </w:style>
  <w:style w:type="paragraph" w:styleId="31">
    <w:name w:val="Body Text 2"/>
    <w:basedOn w:val="1"/>
    <w:link w:val="124"/>
    <w:qFormat/>
    <w:uiPriority w:val="99"/>
    <w:rPr>
      <w:rFonts w:ascii="Times New Roman" w:hAnsi="Times New Roman" w:cs="Times New Roman"/>
      <w:sz w:val="24"/>
      <w:szCs w:val="24"/>
    </w:rPr>
  </w:style>
  <w:style w:type="paragraph" w:styleId="32">
    <w:name w:val="HTML Preformatted"/>
    <w:basedOn w:val="1"/>
    <w:link w:val="13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3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4">
    <w:name w:val="Title"/>
    <w:basedOn w:val="1"/>
    <w:link w:val="121"/>
    <w:qFormat/>
    <w:uiPriority w:val="99"/>
    <w:pPr>
      <w:adjustRightInd w:val="0"/>
      <w:spacing w:before="240" w:after="60" w:line="420" w:lineRule="atLeast"/>
      <w:jc w:val="center"/>
      <w:textAlignment w:val="baseline"/>
      <w:outlineLvl w:val="0"/>
    </w:pPr>
    <w:rPr>
      <w:rFonts w:ascii="Arial" w:hAnsi="Arial" w:cs="Arial"/>
      <w:b/>
      <w:bCs/>
      <w:kern w:val="0"/>
      <w:sz w:val="32"/>
      <w:szCs w:val="32"/>
    </w:rPr>
  </w:style>
  <w:style w:type="paragraph" w:styleId="35">
    <w:name w:val="annotation subject"/>
    <w:basedOn w:val="12"/>
    <w:next w:val="12"/>
    <w:link w:val="101"/>
    <w:semiHidden/>
    <w:qFormat/>
    <w:uiPriority w:val="99"/>
    <w:rPr>
      <w:b/>
      <w:bCs/>
    </w:rPr>
  </w:style>
  <w:style w:type="paragraph" w:styleId="36">
    <w:name w:val="Body Text First Indent 2"/>
    <w:basedOn w:val="14"/>
    <w:link w:val="170"/>
    <w:qFormat/>
    <w:uiPriority w:val="99"/>
    <w:pPr>
      <w:ind w:firstLine="420" w:firstLineChars="200"/>
    </w:pPr>
    <w:rPr>
      <w:rFonts w:ascii="Calibri" w:hAnsi="Calibri"/>
      <w:sz w:val="21"/>
    </w:rPr>
  </w:style>
  <w:style w:type="table" w:styleId="38">
    <w:name w:val="Table Grid"/>
    <w:basedOn w:val="37"/>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page number"/>
    <w:basedOn w:val="39"/>
    <w:qFormat/>
    <w:uiPriority w:val="99"/>
  </w:style>
  <w:style w:type="character" w:styleId="41">
    <w:name w:val="FollowedHyperlink"/>
    <w:qFormat/>
    <w:uiPriority w:val="99"/>
    <w:rPr>
      <w:color w:val="auto"/>
      <w:u w:val="single"/>
    </w:rPr>
  </w:style>
  <w:style w:type="character" w:styleId="42">
    <w:name w:val="Emphasis"/>
    <w:qFormat/>
    <w:uiPriority w:val="99"/>
    <w:rPr>
      <w:color w:val="auto"/>
      <w:sz w:val="24"/>
      <w:szCs w:val="24"/>
    </w:rPr>
  </w:style>
  <w:style w:type="character" w:styleId="43">
    <w:name w:val="Hyperlink"/>
    <w:qFormat/>
    <w:uiPriority w:val="99"/>
    <w:rPr>
      <w:rFonts w:ascii="Calibri" w:hAnsi="Calibri" w:eastAsia="宋体" w:cs="Calibri"/>
      <w:color w:val="0000FF"/>
      <w:u w:val="single"/>
    </w:rPr>
  </w:style>
  <w:style w:type="character" w:styleId="44">
    <w:name w:val="annotation reference"/>
    <w:semiHidden/>
    <w:qFormat/>
    <w:uiPriority w:val="99"/>
    <w:rPr>
      <w:rFonts w:ascii="Calibri" w:hAnsi="Calibri" w:eastAsia="宋体" w:cs="Calibri"/>
      <w:sz w:val="21"/>
      <w:szCs w:val="21"/>
    </w:rPr>
  </w:style>
  <w:style w:type="character" w:customStyle="1" w:styleId="45">
    <w:name w:val="标题 1 字符"/>
    <w:link w:val="3"/>
    <w:qFormat/>
    <w:locked/>
    <w:uiPriority w:val="99"/>
    <w:rPr>
      <w:rFonts w:ascii="Calibri" w:hAnsi="Calibri" w:eastAsia="宋体" w:cs="Calibri"/>
      <w:b/>
      <w:bCs/>
      <w:kern w:val="44"/>
      <w:sz w:val="44"/>
      <w:szCs w:val="44"/>
    </w:rPr>
  </w:style>
  <w:style w:type="character" w:customStyle="1" w:styleId="46">
    <w:name w:val="标题 2 字符"/>
    <w:link w:val="4"/>
    <w:qFormat/>
    <w:locked/>
    <w:uiPriority w:val="99"/>
    <w:rPr>
      <w:rFonts w:ascii="Cambria" w:hAnsi="Cambria" w:eastAsia="宋体" w:cs="Cambria"/>
      <w:b/>
      <w:bCs/>
      <w:sz w:val="32"/>
      <w:szCs w:val="32"/>
    </w:rPr>
  </w:style>
  <w:style w:type="character" w:customStyle="1" w:styleId="47">
    <w:name w:val="标题 3 字符"/>
    <w:link w:val="5"/>
    <w:qFormat/>
    <w:locked/>
    <w:uiPriority w:val="99"/>
    <w:rPr>
      <w:rFonts w:ascii="Calibri" w:hAnsi="Calibri" w:eastAsia="宋体" w:cs="Calibri"/>
      <w:b/>
      <w:bCs/>
      <w:sz w:val="32"/>
      <w:szCs w:val="32"/>
    </w:rPr>
  </w:style>
  <w:style w:type="character" w:customStyle="1" w:styleId="48">
    <w:name w:val="标题 4 字符"/>
    <w:link w:val="6"/>
    <w:qFormat/>
    <w:locked/>
    <w:uiPriority w:val="99"/>
    <w:rPr>
      <w:rFonts w:ascii="Cambria" w:hAnsi="Cambria" w:eastAsia="宋体" w:cs="Cambria"/>
      <w:b/>
      <w:bCs/>
      <w:sz w:val="28"/>
      <w:szCs w:val="28"/>
    </w:rPr>
  </w:style>
  <w:style w:type="character" w:customStyle="1" w:styleId="49">
    <w:name w:val="标题 9 字符"/>
    <w:link w:val="7"/>
    <w:qFormat/>
    <w:locked/>
    <w:uiPriority w:val="99"/>
    <w:rPr>
      <w:rFonts w:ascii="Cambria" w:hAnsi="Cambria" w:eastAsia="宋体" w:cs="Cambria"/>
      <w:kern w:val="2"/>
      <w:sz w:val="21"/>
      <w:szCs w:val="21"/>
    </w:rPr>
  </w:style>
  <w:style w:type="character" w:customStyle="1" w:styleId="50">
    <w:name w:val="Document Map Char"/>
    <w:qFormat/>
    <w:locked/>
    <w:uiPriority w:val="99"/>
    <w:rPr>
      <w:rFonts w:ascii="Times New Roman" w:hAnsi="Times New Roman" w:eastAsia="宋体" w:cs="Times New Roman"/>
      <w:sz w:val="2"/>
      <w:szCs w:val="2"/>
    </w:rPr>
  </w:style>
  <w:style w:type="character" w:customStyle="1" w:styleId="51">
    <w:name w:val="Comment Text Char"/>
    <w:qFormat/>
    <w:locked/>
    <w:uiPriority w:val="99"/>
    <w:rPr>
      <w:kern w:val="2"/>
      <w:sz w:val="21"/>
      <w:szCs w:val="21"/>
    </w:rPr>
  </w:style>
  <w:style w:type="character" w:customStyle="1" w:styleId="52">
    <w:name w:val="Body Text 3 Char"/>
    <w:qFormat/>
    <w:locked/>
    <w:uiPriority w:val="99"/>
    <w:rPr>
      <w:rFonts w:ascii="Calibri" w:hAnsi="Calibri" w:eastAsia="宋体" w:cs="Calibri"/>
      <w:sz w:val="16"/>
      <w:szCs w:val="16"/>
    </w:rPr>
  </w:style>
  <w:style w:type="character" w:customStyle="1" w:styleId="53">
    <w:name w:val="Body Text Char"/>
    <w:qFormat/>
    <w:locked/>
    <w:uiPriority w:val="99"/>
    <w:rPr>
      <w:rFonts w:ascii="Calibri" w:hAnsi="Calibri" w:eastAsia="宋体" w:cs="Calibri"/>
    </w:rPr>
  </w:style>
  <w:style w:type="character" w:customStyle="1" w:styleId="54">
    <w:name w:val="Body Text Indent Char"/>
    <w:qFormat/>
    <w:locked/>
    <w:uiPriority w:val="99"/>
    <w:rPr>
      <w:rFonts w:ascii="Times New Roman" w:hAnsi="Times New Roman" w:eastAsia="宋体" w:cs="Times New Roman"/>
      <w:kern w:val="2"/>
      <w:sz w:val="24"/>
      <w:szCs w:val="24"/>
    </w:rPr>
  </w:style>
  <w:style w:type="character" w:customStyle="1" w:styleId="55">
    <w:name w:val="Plain Text Char"/>
    <w:qFormat/>
    <w:locked/>
    <w:uiPriority w:val="99"/>
    <w:rPr>
      <w:rFonts w:ascii="宋体" w:eastAsia="宋体" w:cs="宋体"/>
      <w:sz w:val="24"/>
      <w:szCs w:val="24"/>
    </w:rPr>
  </w:style>
  <w:style w:type="character" w:customStyle="1" w:styleId="56">
    <w:name w:val="Date Char"/>
    <w:qFormat/>
    <w:locked/>
    <w:uiPriority w:val="99"/>
    <w:rPr>
      <w:rFonts w:ascii="Calibri" w:hAnsi="Calibri" w:eastAsia="宋体" w:cs="Calibri"/>
    </w:rPr>
  </w:style>
  <w:style w:type="character" w:customStyle="1" w:styleId="57">
    <w:name w:val="Body Text Indent 2 Char"/>
    <w:qFormat/>
    <w:locked/>
    <w:uiPriority w:val="99"/>
    <w:rPr>
      <w:rFonts w:ascii="Times New Roman" w:hAnsi="Times New Roman" w:eastAsia="宋体" w:cs="Times New Roman"/>
      <w:kern w:val="2"/>
      <w:sz w:val="24"/>
      <w:szCs w:val="24"/>
    </w:rPr>
  </w:style>
  <w:style w:type="character" w:customStyle="1" w:styleId="58">
    <w:name w:val="Balloon Text Char"/>
    <w:qFormat/>
    <w:locked/>
    <w:uiPriority w:val="99"/>
    <w:rPr>
      <w:rFonts w:ascii="Calibri" w:hAnsi="Calibri" w:eastAsia="宋体" w:cs="Calibri"/>
      <w:sz w:val="18"/>
      <w:szCs w:val="18"/>
    </w:rPr>
  </w:style>
  <w:style w:type="character" w:customStyle="1" w:styleId="59">
    <w:name w:val="Footer Char"/>
    <w:qFormat/>
    <w:locked/>
    <w:uiPriority w:val="99"/>
    <w:rPr>
      <w:rFonts w:ascii="Calibri" w:hAnsi="Calibri" w:eastAsia="宋体" w:cs="Calibri"/>
      <w:sz w:val="18"/>
      <w:szCs w:val="18"/>
    </w:rPr>
  </w:style>
  <w:style w:type="character" w:customStyle="1" w:styleId="60">
    <w:name w:val="Header Char"/>
    <w:qFormat/>
    <w:locked/>
    <w:uiPriority w:val="99"/>
    <w:rPr>
      <w:rFonts w:ascii="Calibri" w:hAnsi="Calibri" w:eastAsia="宋体" w:cs="Calibri"/>
      <w:sz w:val="18"/>
      <w:szCs w:val="18"/>
    </w:rPr>
  </w:style>
  <w:style w:type="character" w:customStyle="1" w:styleId="61">
    <w:name w:val="Subtitle Char"/>
    <w:qFormat/>
    <w:locked/>
    <w:uiPriority w:val="99"/>
    <w:rPr>
      <w:rFonts w:ascii="Cambria" w:hAnsi="Cambria" w:eastAsia="宋体" w:cs="Cambria"/>
      <w:b/>
      <w:bCs/>
      <w:kern w:val="28"/>
      <w:sz w:val="24"/>
      <w:szCs w:val="24"/>
    </w:rPr>
  </w:style>
  <w:style w:type="character" w:customStyle="1" w:styleId="62">
    <w:name w:val="Body Text Indent 3 Char"/>
    <w:qFormat/>
    <w:locked/>
    <w:uiPriority w:val="99"/>
    <w:rPr>
      <w:rFonts w:ascii="Times New Roman" w:hAnsi="Times New Roman" w:eastAsia="宋体" w:cs="Times New Roman"/>
      <w:color w:val="FF0000"/>
      <w:kern w:val="2"/>
      <w:sz w:val="24"/>
      <w:szCs w:val="24"/>
    </w:rPr>
  </w:style>
  <w:style w:type="character" w:customStyle="1" w:styleId="63">
    <w:name w:val="Body Text 2 Char"/>
    <w:qFormat/>
    <w:locked/>
    <w:uiPriority w:val="99"/>
    <w:rPr>
      <w:rFonts w:ascii="Times New Roman" w:hAnsi="Times New Roman" w:eastAsia="宋体" w:cs="Times New Roman"/>
      <w:kern w:val="2"/>
      <w:sz w:val="24"/>
      <w:szCs w:val="24"/>
    </w:rPr>
  </w:style>
  <w:style w:type="character" w:customStyle="1" w:styleId="64">
    <w:name w:val="HTML Preformatted Char"/>
    <w:qFormat/>
    <w:locked/>
    <w:uiPriority w:val="99"/>
    <w:rPr>
      <w:rFonts w:ascii="Arial" w:hAnsi="Arial" w:eastAsia="宋体" w:cs="Arial"/>
      <w:sz w:val="24"/>
      <w:szCs w:val="24"/>
    </w:rPr>
  </w:style>
  <w:style w:type="character" w:customStyle="1" w:styleId="65">
    <w:name w:val="Title Char"/>
    <w:qFormat/>
    <w:locked/>
    <w:uiPriority w:val="99"/>
    <w:rPr>
      <w:rFonts w:ascii="Arial" w:hAnsi="Arial" w:eastAsia="宋体" w:cs="Arial"/>
      <w:b/>
      <w:bCs/>
      <w:sz w:val="32"/>
      <w:szCs w:val="32"/>
    </w:rPr>
  </w:style>
  <w:style w:type="character" w:customStyle="1" w:styleId="66">
    <w:name w:val="Comment Subject Char"/>
    <w:qFormat/>
    <w:locked/>
    <w:uiPriority w:val="99"/>
    <w:rPr>
      <w:b/>
      <w:bCs/>
      <w:kern w:val="2"/>
      <w:sz w:val="21"/>
      <w:szCs w:val="21"/>
    </w:rPr>
  </w:style>
  <w:style w:type="character" w:customStyle="1" w:styleId="67">
    <w:name w:val="正文首行缩进字符"/>
    <w:qFormat/>
    <w:uiPriority w:val="99"/>
    <w:rPr>
      <w:kern w:val="2"/>
      <w:sz w:val="21"/>
      <w:szCs w:val="21"/>
    </w:rPr>
  </w:style>
  <w:style w:type="character" w:customStyle="1" w:styleId="68">
    <w:name w:val="纯文本 Char2"/>
    <w:link w:val="69"/>
    <w:qFormat/>
    <w:locked/>
    <w:uiPriority w:val="99"/>
    <w:rPr>
      <w:rFonts w:ascii="宋体" w:hAnsi="Courier New" w:cs="宋体"/>
      <w:color w:val="0000FF"/>
    </w:rPr>
  </w:style>
  <w:style w:type="paragraph" w:customStyle="1" w:styleId="69">
    <w:name w:val="纯文本1"/>
    <w:basedOn w:val="1"/>
    <w:link w:val="68"/>
    <w:qFormat/>
    <w:uiPriority w:val="99"/>
    <w:rPr>
      <w:rFonts w:ascii="宋体" w:hAnsi="Courier New" w:cs="宋体"/>
      <w:color w:val="0000FF"/>
      <w:kern w:val="0"/>
      <w:sz w:val="20"/>
      <w:szCs w:val="20"/>
    </w:rPr>
  </w:style>
  <w:style w:type="character" w:customStyle="1" w:styleId="70">
    <w:name w:val="批注框文本 Char"/>
    <w:qFormat/>
    <w:uiPriority w:val="99"/>
    <w:rPr>
      <w:kern w:val="2"/>
      <w:sz w:val="18"/>
      <w:szCs w:val="18"/>
    </w:rPr>
  </w:style>
  <w:style w:type="character" w:customStyle="1" w:styleId="71">
    <w:name w:val="正文文本 Char"/>
    <w:qFormat/>
    <w:uiPriority w:val="99"/>
    <w:rPr>
      <w:kern w:val="2"/>
      <w:sz w:val="24"/>
      <w:szCs w:val="24"/>
    </w:rPr>
  </w:style>
  <w:style w:type="character" w:customStyle="1" w:styleId="72">
    <w:name w:val="文档结构图 Char"/>
    <w:qFormat/>
    <w:uiPriority w:val="99"/>
    <w:rPr>
      <w:kern w:val="2"/>
      <w:sz w:val="24"/>
      <w:szCs w:val="24"/>
      <w:shd w:val="clear" w:color="auto" w:fill="000080"/>
    </w:rPr>
  </w:style>
  <w:style w:type="character" w:customStyle="1" w:styleId="73">
    <w:name w:val="正文文本 3 Char"/>
    <w:link w:val="74"/>
    <w:qFormat/>
    <w:locked/>
    <w:uiPriority w:val="99"/>
    <w:rPr>
      <w:rFonts w:ascii="宋体" w:hAnsi="Calibri" w:eastAsia="宋体" w:cs="宋体"/>
      <w:sz w:val="24"/>
      <w:szCs w:val="24"/>
    </w:rPr>
  </w:style>
  <w:style w:type="paragraph" w:customStyle="1" w:styleId="74">
    <w:name w:val="Body Text 31"/>
    <w:basedOn w:val="1"/>
    <w:link w:val="73"/>
    <w:qFormat/>
    <w:uiPriority w:val="99"/>
    <w:rPr>
      <w:rFonts w:ascii="宋体" w:cs="宋体"/>
      <w:kern w:val="0"/>
      <w:sz w:val="24"/>
      <w:szCs w:val="24"/>
    </w:rPr>
  </w:style>
  <w:style w:type="character" w:customStyle="1" w:styleId="75">
    <w:name w:val="副标题 字符1"/>
    <w:qFormat/>
    <w:uiPriority w:val="99"/>
    <w:rPr>
      <w:rFonts w:ascii="等线" w:hAnsi="等线" w:eastAsia="等线" w:cs="等线"/>
      <w:b/>
      <w:bCs/>
      <w:kern w:val="28"/>
      <w:sz w:val="32"/>
      <w:szCs w:val="32"/>
    </w:rPr>
  </w:style>
  <w:style w:type="character" w:customStyle="1" w:styleId="76">
    <w:name w:val="正文文本缩进 3 字符1"/>
    <w:semiHidden/>
    <w:qFormat/>
    <w:uiPriority w:val="99"/>
    <w:rPr>
      <w:kern w:val="2"/>
      <w:sz w:val="16"/>
      <w:szCs w:val="16"/>
    </w:rPr>
  </w:style>
  <w:style w:type="character" w:customStyle="1" w:styleId="77">
    <w:name w:val="apple-converted-space"/>
    <w:qFormat/>
    <w:uiPriority w:val="99"/>
  </w:style>
  <w:style w:type="character" w:customStyle="1" w:styleId="78">
    <w:name w:val="样式 纯文本普通文字普通文字 Char纯文本 Char普通文字 Char Char标题1纯文本 Char1 Char... Char"/>
    <w:link w:val="79"/>
    <w:qFormat/>
    <w:locked/>
    <w:uiPriority w:val="99"/>
    <w:rPr>
      <w:rFonts w:hAnsi="宋体"/>
      <w:kern w:val="2"/>
      <w:sz w:val="24"/>
      <w:szCs w:val="24"/>
    </w:rPr>
  </w:style>
  <w:style w:type="paragraph" w:customStyle="1" w:styleId="79">
    <w:name w:val="样式 纯文本普通文字普通文字 Char纯文本 Char普通文字 Char Char标题1纯文本 Char1 Char..."/>
    <w:basedOn w:val="17"/>
    <w:link w:val="78"/>
    <w:qFormat/>
    <w:uiPriority w:val="99"/>
    <w:pPr>
      <w:spacing w:line="480" w:lineRule="atLeast"/>
      <w:ind w:firstLine="200" w:firstLineChars="200"/>
    </w:pPr>
    <w:rPr>
      <w:rFonts w:ascii="Calibri" w:hAnsi="宋体" w:cs="Calibri"/>
      <w:kern w:val="2"/>
    </w:rPr>
  </w:style>
  <w:style w:type="character" w:customStyle="1" w:styleId="80">
    <w:name w:val="标题 3 Char1"/>
    <w:qFormat/>
    <w:uiPriority w:val="99"/>
    <w:rPr>
      <w:rFonts w:ascii="黑体" w:hAnsi="宋体" w:eastAsia="黑体" w:cs="黑体"/>
      <w:kern w:val="2"/>
      <w:sz w:val="28"/>
      <w:szCs w:val="28"/>
    </w:rPr>
  </w:style>
  <w:style w:type="character" w:customStyle="1" w:styleId="81">
    <w:name w:val="批注文字 Char Char"/>
    <w:qFormat/>
    <w:uiPriority w:val="99"/>
    <w:rPr>
      <w:kern w:val="2"/>
      <w:sz w:val="24"/>
      <w:szCs w:val="24"/>
    </w:rPr>
  </w:style>
  <w:style w:type="character" w:customStyle="1" w:styleId="82">
    <w:name w:val="标题 3 Char"/>
    <w:qFormat/>
    <w:uiPriority w:val="99"/>
    <w:rPr>
      <w:rFonts w:ascii="黑体" w:hAnsi="宋体" w:eastAsia="黑体" w:cs="黑体"/>
      <w:kern w:val="2"/>
      <w:sz w:val="28"/>
      <w:szCs w:val="28"/>
    </w:rPr>
  </w:style>
  <w:style w:type="character" w:customStyle="1" w:styleId="83">
    <w:name w:val="font41"/>
    <w:qFormat/>
    <w:uiPriority w:val="99"/>
    <w:rPr>
      <w:rFonts w:ascii="宋体" w:hAnsi="宋体" w:eastAsia="宋体" w:cs="宋体"/>
      <w:color w:val="000000"/>
      <w:sz w:val="21"/>
      <w:szCs w:val="21"/>
      <w:u w:val="none"/>
    </w:rPr>
  </w:style>
  <w:style w:type="character" w:customStyle="1" w:styleId="84">
    <w:name w:val="标题 1 Char"/>
    <w:qFormat/>
    <w:uiPriority w:val="99"/>
    <w:rPr>
      <w:rFonts w:ascii="Times New Roman" w:hAnsi="Times New Roman" w:eastAsia="宋体" w:cs="Times New Roman"/>
      <w:b/>
      <w:bCs/>
      <w:kern w:val="44"/>
      <w:sz w:val="44"/>
      <w:szCs w:val="44"/>
    </w:rPr>
  </w:style>
  <w:style w:type="character" w:customStyle="1" w:styleId="85">
    <w:name w:val="标题 4 Char"/>
    <w:qFormat/>
    <w:uiPriority w:val="99"/>
    <w:rPr>
      <w:rFonts w:ascii="Arial" w:hAnsi="Arial" w:eastAsia="黑体" w:cs="Arial"/>
      <w:b/>
      <w:bCs/>
      <w:sz w:val="28"/>
      <w:szCs w:val="28"/>
    </w:rPr>
  </w:style>
  <w:style w:type="character" w:customStyle="1" w:styleId="86">
    <w:name w:val="样式 Char Char"/>
    <w:link w:val="87"/>
    <w:qFormat/>
    <w:locked/>
    <w:uiPriority w:val="99"/>
    <w:rPr>
      <w:rFonts w:ascii="宋体" w:eastAsia="宋体" w:cs="宋体"/>
      <w:sz w:val="24"/>
      <w:szCs w:val="24"/>
    </w:rPr>
  </w:style>
  <w:style w:type="paragraph" w:customStyle="1" w:styleId="87">
    <w:name w:val="样式"/>
    <w:basedOn w:val="1"/>
    <w:link w:val="86"/>
    <w:qFormat/>
    <w:uiPriority w:val="99"/>
    <w:pPr>
      <w:autoSpaceDE w:val="0"/>
      <w:autoSpaceDN w:val="0"/>
      <w:adjustRightInd w:val="0"/>
      <w:jc w:val="left"/>
    </w:pPr>
    <w:rPr>
      <w:rFonts w:ascii="宋体" w:cs="宋体"/>
      <w:kern w:val="0"/>
      <w:sz w:val="24"/>
      <w:szCs w:val="24"/>
    </w:rPr>
  </w:style>
  <w:style w:type="character" w:customStyle="1" w:styleId="88">
    <w:name w:val="fontstyle01"/>
    <w:qFormat/>
    <w:uiPriority w:val="99"/>
    <w:rPr>
      <w:rFonts w:ascii="Times New Roman" w:hAnsi="Times New Roman" w:cs="Times New Roman"/>
      <w:b/>
      <w:bCs/>
      <w:color w:val="000000"/>
      <w:sz w:val="28"/>
      <w:szCs w:val="28"/>
    </w:rPr>
  </w:style>
  <w:style w:type="character" w:customStyle="1" w:styleId="89">
    <w:name w:val="日期 Char"/>
    <w:qFormat/>
    <w:uiPriority w:val="99"/>
    <w:rPr>
      <w:color w:val="FF0000"/>
      <w:kern w:val="2"/>
      <w:sz w:val="24"/>
      <w:szCs w:val="24"/>
    </w:rPr>
  </w:style>
  <w:style w:type="character" w:customStyle="1" w:styleId="90">
    <w:name w:val="fontstyle31"/>
    <w:qFormat/>
    <w:uiPriority w:val="99"/>
    <w:rPr>
      <w:rFonts w:ascii="Times New Roman" w:hAnsi="Times New Roman" w:cs="Times New Roman"/>
      <w:color w:val="000000"/>
      <w:sz w:val="24"/>
      <w:szCs w:val="24"/>
    </w:rPr>
  </w:style>
  <w:style w:type="character" w:customStyle="1" w:styleId="91">
    <w:name w:val="font21"/>
    <w:qFormat/>
    <w:uiPriority w:val="99"/>
    <w:rPr>
      <w:rFonts w:ascii="Times New Roman" w:hAnsi="Times New Roman" w:eastAsia="宋体" w:cs="Times New Roman"/>
      <w:color w:val="000000"/>
      <w:sz w:val="21"/>
      <w:szCs w:val="21"/>
      <w:u w:val="none"/>
    </w:rPr>
  </w:style>
  <w:style w:type="character" w:customStyle="1" w:styleId="92">
    <w:name w:val="页眉 Char"/>
    <w:qFormat/>
    <w:uiPriority w:val="99"/>
    <w:rPr>
      <w:kern w:val="2"/>
      <w:sz w:val="18"/>
      <w:szCs w:val="18"/>
    </w:rPr>
  </w:style>
  <w:style w:type="character" w:customStyle="1" w:styleId="93">
    <w:name w:val="标题 2 Char"/>
    <w:qFormat/>
    <w:uiPriority w:val="99"/>
    <w:rPr>
      <w:rFonts w:ascii="Arial" w:hAnsi="Arial" w:eastAsia="黑体" w:cs="Arial"/>
      <w:b/>
      <w:bCs/>
      <w:kern w:val="2"/>
      <w:sz w:val="32"/>
      <w:szCs w:val="32"/>
    </w:rPr>
  </w:style>
  <w:style w:type="character" w:customStyle="1" w:styleId="94">
    <w:name w:val="正文文本 3 Char1"/>
    <w:qFormat/>
    <w:uiPriority w:val="99"/>
    <w:rPr>
      <w:rFonts w:ascii="Calibri" w:hAnsi="Calibri" w:eastAsia="宋体" w:cs="Calibri"/>
      <w:sz w:val="16"/>
      <w:szCs w:val="16"/>
    </w:rPr>
  </w:style>
  <w:style w:type="character" w:customStyle="1" w:styleId="95">
    <w:name w:val="注释级别 2字符"/>
    <w:link w:val="96"/>
    <w:qFormat/>
    <w:locked/>
    <w:uiPriority w:val="99"/>
    <w:rPr>
      <w:sz w:val="22"/>
      <w:szCs w:val="22"/>
      <w:lang w:val="en-US" w:eastAsia="zh-CN"/>
    </w:rPr>
  </w:style>
  <w:style w:type="paragraph" w:customStyle="1" w:styleId="96">
    <w:name w:val="Note Level 2"/>
    <w:link w:val="95"/>
    <w:qFormat/>
    <w:uiPriority w:val="99"/>
    <w:rPr>
      <w:rFonts w:ascii="Calibri" w:hAnsi="Calibri" w:eastAsia="宋体" w:cs="Calibri"/>
      <w:sz w:val="22"/>
      <w:szCs w:val="22"/>
      <w:lang w:val="en-US" w:eastAsia="zh-CN" w:bidi="ar-SA"/>
    </w:rPr>
  </w:style>
  <w:style w:type="character" w:customStyle="1" w:styleId="97">
    <w:name w:val="页脚 Char"/>
    <w:qFormat/>
    <w:uiPriority w:val="99"/>
    <w:rPr>
      <w:kern w:val="2"/>
      <w:sz w:val="18"/>
      <w:szCs w:val="18"/>
    </w:rPr>
  </w:style>
  <w:style w:type="character" w:customStyle="1" w:styleId="98">
    <w:name w:val="fontstyle21"/>
    <w:qFormat/>
    <w:uiPriority w:val="99"/>
    <w:rPr>
      <w:rFonts w:ascii="宋体" w:hAnsi="宋体" w:eastAsia="宋体" w:cs="宋体"/>
      <w:color w:val="000000"/>
      <w:sz w:val="28"/>
      <w:szCs w:val="28"/>
    </w:rPr>
  </w:style>
  <w:style w:type="character" w:customStyle="1" w:styleId="99">
    <w:name w:val="正文文本缩进 字符"/>
    <w:link w:val="14"/>
    <w:semiHidden/>
    <w:qFormat/>
    <w:locked/>
    <w:uiPriority w:val="99"/>
    <w:rPr>
      <w:sz w:val="21"/>
      <w:szCs w:val="21"/>
    </w:rPr>
  </w:style>
  <w:style w:type="character" w:customStyle="1" w:styleId="100">
    <w:name w:val="批注文字 字符"/>
    <w:link w:val="12"/>
    <w:semiHidden/>
    <w:qFormat/>
    <w:locked/>
    <w:uiPriority w:val="99"/>
    <w:rPr>
      <w:sz w:val="21"/>
      <w:szCs w:val="21"/>
    </w:rPr>
  </w:style>
  <w:style w:type="character" w:customStyle="1" w:styleId="101">
    <w:name w:val="批注主题 字符"/>
    <w:link w:val="35"/>
    <w:semiHidden/>
    <w:qFormat/>
    <w:locked/>
    <w:uiPriority w:val="99"/>
    <w:rPr>
      <w:b/>
      <w:bCs/>
      <w:kern w:val="2"/>
      <w:sz w:val="21"/>
      <w:szCs w:val="21"/>
    </w:rPr>
  </w:style>
  <w:style w:type="character" w:customStyle="1" w:styleId="102">
    <w:name w:val="正文文本 3 字符"/>
    <w:link w:val="13"/>
    <w:semiHidden/>
    <w:qFormat/>
    <w:locked/>
    <w:uiPriority w:val="99"/>
    <w:rPr>
      <w:sz w:val="16"/>
      <w:szCs w:val="16"/>
    </w:rPr>
  </w:style>
  <w:style w:type="character" w:customStyle="1" w:styleId="103">
    <w:name w:val="文档结构图 字符"/>
    <w:link w:val="11"/>
    <w:semiHidden/>
    <w:qFormat/>
    <w:locked/>
    <w:uiPriority w:val="99"/>
    <w:rPr>
      <w:rFonts w:ascii="Times New Roman" w:hAnsi="Times New Roman" w:cs="Times New Roman"/>
      <w:sz w:val="2"/>
      <w:szCs w:val="2"/>
    </w:rPr>
  </w:style>
  <w:style w:type="character" w:customStyle="1" w:styleId="104">
    <w:name w:val="正文文本 字符"/>
    <w:link w:val="2"/>
    <w:semiHidden/>
    <w:qFormat/>
    <w:locked/>
    <w:uiPriority w:val="99"/>
    <w:rPr>
      <w:sz w:val="21"/>
      <w:szCs w:val="21"/>
    </w:rPr>
  </w:style>
  <w:style w:type="paragraph" w:customStyle="1" w:styleId="105">
    <w:name w:val="样式5"/>
    <w:basedOn w:val="1"/>
    <w:qFormat/>
    <w:uiPriority w:val="99"/>
    <w:pPr>
      <w:tabs>
        <w:tab w:val="left" w:pos="564"/>
      </w:tabs>
      <w:adjustRightInd w:val="0"/>
      <w:snapToGrid w:val="0"/>
      <w:spacing w:line="440" w:lineRule="atLeast"/>
      <w:ind w:firstLine="480" w:firstLineChars="200"/>
    </w:pPr>
    <w:rPr>
      <w:rFonts w:ascii="宋体" w:hAnsi="宋体" w:cs="宋体"/>
      <w:sz w:val="24"/>
      <w:szCs w:val="24"/>
    </w:rPr>
  </w:style>
  <w:style w:type="paragraph" w:customStyle="1" w:styleId="106">
    <w:name w:val="CM5"/>
    <w:basedOn w:val="107"/>
    <w:next w:val="107"/>
    <w:qFormat/>
    <w:uiPriority w:val="99"/>
    <w:pPr>
      <w:spacing w:line="180" w:lineRule="atLeast"/>
    </w:pPr>
    <w:rPr>
      <w:color w:val="auto"/>
    </w:rPr>
  </w:style>
  <w:style w:type="paragraph" w:customStyle="1" w:styleId="10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8">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8"/>
      <w:szCs w:val="18"/>
    </w:rPr>
  </w:style>
  <w:style w:type="paragraph" w:customStyle="1" w:styleId="109">
    <w:name w:val="xl67"/>
    <w:basedOn w:val="1"/>
    <w:qFormat/>
    <w:uiPriority w:val="99"/>
    <w:pPr>
      <w:widowControl/>
      <w:spacing w:before="100" w:beforeAutospacing="1" w:after="100" w:afterAutospacing="1"/>
      <w:jc w:val="left"/>
    </w:pPr>
    <w:rPr>
      <w:rFonts w:ascii="宋体" w:hAnsi="宋体" w:cs="宋体"/>
      <w:kern w:val="0"/>
      <w:sz w:val="18"/>
      <w:szCs w:val="18"/>
    </w:rPr>
  </w:style>
  <w:style w:type="character" w:customStyle="1" w:styleId="110">
    <w:name w:val="页眉 字符"/>
    <w:link w:val="23"/>
    <w:semiHidden/>
    <w:qFormat/>
    <w:locked/>
    <w:uiPriority w:val="99"/>
    <w:rPr>
      <w:sz w:val="18"/>
      <w:szCs w:val="18"/>
    </w:rPr>
  </w:style>
  <w:style w:type="paragraph" w:customStyle="1" w:styleId="111">
    <w:name w:val="h标 1."/>
    <w:next w:val="1"/>
    <w:qFormat/>
    <w:uiPriority w:val="99"/>
    <w:pPr>
      <w:snapToGrid w:val="0"/>
      <w:spacing w:line="360" w:lineRule="auto"/>
      <w:outlineLvl w:val="1"/>
    </w:pPr>
    <w:rPr>
      <w:rFonts w:ascii="宋体" w:hAnsi="宋体" w:eastAsia="黑体" w:cs="宋体"/>
      <w:sz w:val="28"/>
      <w:szCs w:val="28"/>
      <w:lang w:val="zh-CN" w:eastAsia="zh-CN" w:bidi="ar-SA"/>
    </w:rPr>
  </w:style>
  <w:style w:type="paragraph" w:customStyle="1" w:styleId="112">
    <w:name w:val="CM37"/>
    <w:basedOn w:val="107"/>
    <w:next w:val="107"/>
    <w:qFormat/>
    <w:uiPriority w:val="99"/>
    <w:rPr>
      <w:color w:val="auto"/>
    </w:rPr>
  </w:style>
  <w:style w:type="paragraph" w:customStyle="1" w:styleId="113">
    <w:name w:val="ZB1.0"/>
    <w:basedOn w:val="3"/>
    <w:qFormat/>
    <w:uiPriority w:val="99"/>
    <w:pPr>
      <w:tabs>
        <w:tab w:val="left" w:pos="0"/>
      </w:tabs>
      <w:adjustRightInd w:val="0"/>
      <w:snapToGrid w:val="0"/>
      <w:spacing w:before="0" w:after="0" w:line="360" w:lineRule="auto"/>
    </w:pPr>
    <w:rPr>
      <w:rFonts w:ascii="Times New Roman" w:hAnsi="Times New Roman" w:cs="Times New Roman"/>
      <w:sz w:val="24"/>
      <w:szCs w:val="24"/>
    </w:rPr>
  </w:style>
  <w:style w:type="paragraph" w:customStyle="1" w:styleId="114">
    <w:name w:val="Revision1"/>
    <w:semiHidden/>
    <w:qFormat/>
    <w:uiPriority w:val="99"/>
    <w:rPr>
      <w:rFonts w:ascii="Calibri" w:hAnsi="Calibri" w:eastAsia="宋体" w:cs="Calibri"/>
      <w:kern w:val="2"/>
      <w:sz w:val="21"/>
      <w:szCs w:val="21"/>
      <w:lang w:val="en-US" w:eastAsia="zh-CN" w:bidi="ar-SA"/>
    </w:rPr>
  </w:style>
  <w:style w:type="character" w:customStyle="1" w:styleId="115">
    <w:name w:val="日期 字符"/>
    <w:link w:val="19"/>
    <w:semiHidden/>
    <w:qFormat/>
    <w:locked/>
    <w:uiPriority w:val="99"/>
    <w:rPr>
      <w:sz w:val="21"/>
      <w:szCs w:val="21"/>
    </w:rPr>
  </w:style>
  <w:style w:type="paragraph" w:customStyle="1" w:styleId="116">
    <w:name w:val="彩色列表1"/>
    <w:basedOn w:val="1"/>
    <w:qFormat/>
    <w:uiPriority w:val="99"/>
    <w:pPr>
      <w:ind w:firstLine="420" w:firstLineChars="200"/>
    </w:pPr>
    <w:rPr>
      <w:rFonts w:ascii="Times New Roman" w:hAnsi="Times New Roman" w:cs="Times New Roman"/>
    </w:rPr>
  </w:style>
  <w:style w:type="paragraph" w:customStyle="1" w:styleId="117">
    <w:name w:val="ZB正文小四编号"/>
    <w:basedOn w:val="1"/>
    <w:next w:val="1"/>
    <w:qFormat/>
    <w:uiPriority w:val="99"/>
    <w:pPr>
      <w:tabs>
        <w:tab w:val="left" w:pos="360"/>
      </w:tabs>
      <w:adjustRightInd w:val="0"/>
      <w:snapToGrid w:val="0"/>
      <w:spacing w:line="360" w:lineRule="auto"/>
      <w:ind w:firstLine="200"/>
    </w:pPr>
    <w:rPr>
      <w:rFonts w:ascii="Times New Roman" w:hAnsi="Times New Roman" w:cs="Times New Roman"/>
      <w:sz w:val="24"/>
      <w:szCs w:val="24"/>
    </w:rPr>
  </w:style>
  <w:style w:type="character" w:customStyle="1" w:styleId="118">
    <w:name w:val="纯文本 字符"/>
    <w:link w:val="17"/>
    <w:qFormat/>
    <w:locked/>
    <w:uiPriority w:val="0"/>
    <w:rPr>
      <w:rFonts w:ascii="宋体" w:hAnsi="Courier New" w:cs="宋体"/>
      <w:sz w:val="21"/>
      <w:szCs w:val="21"/>
    </w:rPr>
  </w:style>
  <w:style w:type="paragraph" w:customStyle="1" w:styleId="119">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20">
    <w:name w:val="Char Char Char Char Char Char Char Char Char Char Char Char Char Char Char11"/>
    <w:basedOn w:val="1"/>
    <w:next w:val="1"/>
    <w:qFormat/>
    <w:uiPriority w:val="99"/>
    <w:pPr>
      <w:widowControl/>
      <w:spacing w:line="360" w:lineRule="auto"/>
      <w:jc w:val="left"/>
    </w:pPr>
    <w:rPr>
      <w:rFonts w:ascii="Times New Roman" w:hAnsi="Times New Roman" w:cs="Times New Roman"/>
    </w:rPr>
  </w:style>
  <w:style w:type="character" w:customStyle="1" w:styleId="121">
    <w:name w:val="标题 字符"/>
    <w:link w:val="34"/>
    <w:qFormat/>
    <w:locked/>
    <w:uiPriority w:val="99"/>
    <w:rPr>
      <w:rFonts w:ascii="Cambria" w:hAnsi="Cambria" w:cs="Cambria"/>
      <w:b/>
      <w:bCs/>
      <w:sz w:val="32"/>
      <w:szCs w:val="32"/>
    </w:rPr>
  </w:style>
  <w:style w:type="paragraph" w:customStyle="1" w:styleId="122">
    <w:name w:val="+正文"/>
    <w:basedOn w:val="1"/>
    <w:qFormat/>
    <w:uiPriority w:val="99"/>
    <w:pPr>
      <w:spacing w:line="360" w:lineRule="auto"/>
      <w:ind w:firstLine="200" w:firstLineChars="200"/>
    </w:pPr>
    <w:rPr>
      <w:rFonts w:ascii="Times New Roman" w:hAnsi="Times New Roman" w:cs="Times New Roman"/>
      <w:sz w:val="24"/>
      <w:szCs w:val="24"/>
    </w:rPr>
  </w:style>
  <w:style w:type="character" w:customStyle="1" w:styleId="123">
    <w:name w:val="正文文本缩进 2 字符"/>
    <w:link w:val="20"/>
    <w:semiHidden/>
    <w:qFormat/>
    <w:locked/>
    <w:uiPriority w:val="99"/>
    <w:rPr>
      <w:sz w:val="21"/>
      <w:szCs w:val="21"/>
    </w:rPr>
  </w:style>
  <w:style w:type="character" w:customStyle="1" w:styleId="124">
    <w:name w:val="正文文本 2 字符"/>
    <w:link w:val="31"/>
    <w:semiHidden/>
    <w:qFormat/>
    <w:locked/>
    <w:uiPriority w:val="99"/>
    <w:rPr>
      <w:sz w:val="21"/>
      <w:szCs w:val="21"/>
    </w:rPr>
  </w:style>
  <w:style w:type="character" w:customStyle="1" w:styleId="125">
    <w:name w:val="正文文本缩进 3 字符"/>
    <w:link w:val="28"/>
    <w:semiHidden/>
    <w:qFormat/>
    <w:locked/>
    <w:uiPriority w:val="99"/>
    <w:rPr>
      <w:sz w:val="16"/>
      <w:szCs w:val="16"/>
    </w:rPr>
  </w:style>
  <w:style w:type="paragraph" w:customStyle="1" w:styleId="126">
    <w:name w:val="Char"/>
    <w:basedOn w:val="1"/>
    <w:qFormat/>
    <w:uiPriority w:val="99"/>
    <w:rPr>
      <w:rFonts w:ascii="Times New Roman" w:hAnsi="Times New Roman" w:cs="Times New Roman"/>
    </w:rPr>
  </w:style>
  <w:style w:type="paragraph" w:customStyle="1" w:styleId="127">
    <w:name w:val="标书正文"/>
    <w:basedOn w:val="14"/>
    <w:qFormat/>
    <w:uiPriority w:val="99"/>
    <w:pPr>
      <w:snapToGrid w:val="0"/>
      <w:spacing w:beforeLines="25" w:afterLines="25"/>
    </w:pPr>
    <w:rPr>
      <w:rFonts w:ascii="华文细黑" w:hAnsi="华文细黑" w:eastAsia="华文细黑" w:cs="华文细黑"/>
    </w:rPr>
  </w:style>
  <w:style w:type="paragraph" w:customStyle="1" w:styleId="128">
    <w:name w:val="1.1.1.1"/>
    <w:basedOn w:val="1"/>
    <w:qFormat/>
    <w:uiPriority w:val="99"/>
    <w:pPr>
      <w:tabs>
        <w:tab w:val="left" w:pos="900"/>
        <w:tab w:val="left" w:pos="1134"/>
      </w:tabs>
      <w:adjustRightInd w:val="0"/>
      <w:snapToGrid w:val="0"/>
      <w:spacing w:beforeLines="50" w:afterLines="50" w:line="400" w:lineRule="atLeast"/>
      <w:ind w:left="869" w:leftChars="50" w:right="200" w:rightChars="200"/>
      <w:textAlignment w:val="baseline"/>
    </w:pPr>
    <w:rPr>
      <w:rFonts w:ascii="Arial" w:hAnsi="Arial" w:cs="Arial"/>
      <w:kern w:val="0"/>
      <w:sz w:val="24"/>
      <w:szCs w:val="24"/>
    </w:rPr>
  </w:style>
  <w:style w:type="character" w:customStyle="1" w:styleId="129">
    <w:name w:val="批注框文本 字符"/>
    <w:link w:val="21"/>
    <w:semiHidden/>
    <w:qFormat/>
    <w:locked/>
    <w:uiPriority w:val="99"/>
    <w:rPr>
      <w:sz w:val="2"/>
      <w:szCs w:val="2"/>
    </w:rPr>
  </w:style>
  <w:style w:type="paragraph" w:customStyle="1" w:styleId="130">
    <w:name w:val="标题3"/>
    <w:basedOn w:val="1"/>
    <w:qFormat/>
    <w:uiPriority w:val="99"/>
    <w:pPr>
      <w:tabs>
        <w:tab w:val="left" w:pos="851"/>
      </w:tabs>
      <w:ind w:left="2214" w:hanging="1080"/>
    </w:pPr>
    <w:rPr>
      <w:rFonts w:ascii="黑体" w:hAnsi="黑体" w:eastAsia="黑体" w:cs="黑体"/>
      <w:sz w:val="22"/>
      <w:szCs w:val="22"/>
    </w:rPr>
  </w:style>
  <w:style w:type="paragraph" w:customStyle="1" w:styleId="131">
    <w:name w:val="列出段落1"/>
    <w:basedOn w:val="1"/>
    <w:qFormat/>
    <w:uiPriority w:val="99"/>
    <w:pPr>
      <w:ind w:firstLine="420" w:firstLineChars="200"/>
    </w:pPr>
  </w:style>
  <w:style w:type="paragraph" w:customStyle="1" w:styleId="132">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3">
    <w:name w:val="Table Paragraph"/>
    <w:basedOn w:val="1"/>
    <w:qFormat/>
    <w:uiPriority w:val="99"/>
    <w:pPr>
      <w:autoSpaceDE w:val="0"/>
      <w:autoSpaceDN w:val="0"/>
      <w:jc w:val="left"/>
    </w:pPr>
    <w:rPr>
      <w:rFonts w:ascii="宋体" w:hAnsi="宋体" w:cs="宋体"/>
      <w:kern w:val="0"/>
      <w:sz w:val="22"/>
      <w:szCs w:val="22"/>
      <w:lang w:eastAsia="en-US"/>
    </w:rPr>
  </w:style>
  <w:style w:type="character" w:customStyle="1" w:styleId="134">
    <w:name w:val="HTML 预设格式 字符"/>
    <w:link w:val="32"/>
    <w:semiHidden/>
    <w:qFormat/>
    <w:locked/>
    <w:uiPriority w:val="99"/>
    <w:rPr>
      <w:rFonts w:ascii="Courier New" w:hAnsi="Courier New" w:cs="Courier New"/>
      <w:sz w:val="20"/>
      <w:szCs w:val="20"/>
    </w:rPr>
  </w:style>
  <w:style w:type="character" w:customStyle="1" w:styleId="135">
    <w:name w:val="副标题 字符"/>
    <w:link w:val="26"/>
    <w:qFormat/>
    <w:locked/>
    <w:uiPriority w:val="99"/>
    <w:rPr>
      <w:rFonts w:ascii="Cambria" w:hAnsi="Cambria" w:cs="Cambria"/>
      <w:b/>
      <w:bCs/>
      <w:kern w:val="28"/>
      <w:sz w:val="32"/>
      <w:szCs w:val="32"/>
    </w:rPr>
  </w:style>
  <w:style w:type="paragraph" w:customStyle="1" w:styleId="136">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37">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8"/>
      <w:szCs w:val="18"/>
    </w:rPr>
  </w:style>
  <w:style w:type="character" w:customStyle="1" w:styleId="138">
    <w:name w:val="页脚 字符"/>
    <w:link w:val="22"/>
    <w:semiHidden/>
    <w:qFormat/>
    <w:locked/>
    <w:uiPriority w:val="99"/>
    <w:rPr>
      <w:sz w:val="18"/>
      <w:szCs w:val="18"/>
    </w:rPr>
  </w:style>
  <w:style w:type="paragraph" w:customStyle="1" w:styleId="139">
    <w:name w:val="CM2"/>
    <w:basedOn w:val="107"/>
    <w:next w:val="107"/>
    <w:qFormat/>
    <w:uiPriority w:val="99"/>
    <w:pPr>
      <w:spacing w:line="188" w:lineRule="atLeast"/>
    </w:pPr>
    <w:rPr>
      <w:color w:val="auto"/>
    </w:rPr>
  </w:style>
  <w:style w:type="paragraph" w:customStyle="1" w:styleId="140">
    <w:name w:val="_Style 2"/>
    <w:basedOn w:val="1"/>
    <w:next w:val="116"/>
    <w:qFormat/>
    <w:uiPriority w:val="99"/>
    <w:pPr>
      <w:spacing w:line="360" w:lineRule="auto"/>
      <w:ind w:left="1898" w:hanging="703"/>
    </w:pPr>
    <w:rPr>
      <w:rFonts w:ascii="宋体" w:hAnsi="宋体" w:cs="宋体"/>
      <w:kern w:val="0"/>
      <w:sz w:val="30"/>
      <w:szCs w:val="30"/>
      <w:lang w:val="zh-CN"/>
    </w:rPr>
  </w:style>
  <w:style w:type="paragraph" w:customStyle="1" w:styleId="141">
    <w:name w:val="CM57"/>
    <w:basedOn w:val="107"/>
    <w:next w:val="107"/>
    <w:qFormat/>
    <w:uiPriority w:val="99"/>
    <w:rPr>
      <w:color w:val="auto"/>
    </w:rPr>
  </w:style>
  <w:style w:type="paragraph" w:customStyle="1" w:styleId="142">
    <w:name w:val="xl69"/>
    <w:basedOn w:val="1"/>
    <w:qFormat/>
    <w:uiPriority w:val="99"/>
    <w:pPr>
      <w:widowControl/>
      <w:spacing w:before="100" w:beforeAutospacing="1" w:after="100" w:afterAutospacing="1"/>
      <w:jc w:val="right"/>
    </w:pPr>
    <w:rPr>
      <w:rFonts w:ascii="宋体" w:hAnsi="宋体" w:cs="宋体"/>
      <w:kern w:val="0"/>
      <w:sz w:val="18"/>
      <w:szCs w:val="18"/>
    </w:rPr>
  </w:style>
  <w:style w:type="paragraph" w:customStyle="1" w:styleId="143">
    <w:name w:val="xl6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44">
    <w:name w:val="正文+首行缩进: 2 字符"/>
    <w:basedOn w:val="1"/>
    <w:next w:val="1"/>
    <w:qFormat/>
    <w:uiPriority w:val="99"/>
    <w:pPr>
      <w:ind w:firstLine="560" w:firstLineChars="200"/>
    </w:pPr>
    <w:rPr>
      <w:rFonts w:ascii="Times New Roman" w:hAnsi="Times New Roman" w:cs="Times New Roman"/>
      <w:sz w:val="24"/>
      <w:szCs w:val="24"/>
    </w:rPr>
  </w:style>
  <w:style w:type="paragraph" w:customStyle="1" w:styleId="145">
    <w:name w:val="ZhGP_标题 3"/>
    <w:basedOn w:val="1"/>
    <w:qFormat/>
    <w:uiPriority w:val="99"/>
    <w:rPr>
      <w:rFonts w:ascii="Times New Roman" w:hAnsi="Times New Roman" w:cs="Times New Roman"/>
    </w:rPr>
  </w:style>
  <w:style w:type="paragraph" w:customStyle="1" w:styleId="146">
    <w:name w:val="CM7"/>
    <w:basedOn w:val="107"/>
    <w:next w:val="107"/>
    <w:qFormat/>
    <w:uiPriority w:val="99"/>
    <w:pPr>
      <w:spacing w:line="191" w:lineRule="atLeast"/>
    </w:pPr>
    <w:rPr>
      <w:color w:val="auto"/>
    </w:rPr>
  </w:style>
  <w:style w:type="paragraph" w:customStyle="1" w:styleId="147">
    <w:name w:val="表格1"/>
    <w:basedOn w:val="1"/>
    <w:qFormat/>
    <w:uiPriority w:val="99"/>
    <w:pPr>
      <w:widowControl/>
      <w:spacing w:line="400" w:lineRule="exact"/>
      <w:jc w:val="center"/>
    </w:pPr>
    <w:rPr>
      <w:rFonts w:ascii="宋体" w:hAnsi="宋体" w:cs="宋体"/>
      <w:kern w:val="0"/>
      <w:sz w:val="24"/>
      <w:szCs w:val="24"/>
    </w:rPr>
  </w:style>
  <w:style w:type="paragraph" w:customStyle="1" w:styleId="148">
    <w:name w:val="Body Text First Indent1"/>
    <w:basedOn w:val="1"/>
    <w:qFormat/>
    <w:uiPriority w:val="99"/>
    <w:pPr>
      <w:spacing w:line="312" w:lineRule="auto"/>
      <w:ind w:firstLine="420"/>
    </w:pPr>
    <w:rPr>
      <w:rFonts w:ascii="Times New Roman" w:hAnsi="Times New Roman" w:cs="Times New Roman"/>
    </w:rPr>
  </w:style>
  <w:style w:type="paragraph" w:customStyle="1" w:styleId="149">
    <w:name w:val="CM60"/>
    <w:basedOn w:val="107"/>
    <w:next w:val="107"/>
    <w:qFormat/>
    <w:uiPriority w:val="99"/>
    <w:rPr>
      <w:color w:val="auto"/>
    </w:rPr>
  </w:style>
  <w:style w:type="paragraph" w:customStyle="1" w:styleId="150">
    <w:name w:val="标题2"/>
    <w:basedOn w:val="26"/>
    <w:qFormat/>
    <w:uiPriority w:val="99"/>
    <w:pPr>
      <w:tabs>
        <w:tab w:val="left" w:pos="851"/>
      </w:tabs>
    </w:pPr>
    <w:rPr>
      <w:rFonts w:ascii="黑体" w:hAnsi="黑体" w:eastAsia="黑体" w:cs="黑体"/>
      <w:sz w:val="28"/>
      <w:szCs w:val="28"/>
    </w:rPr>
  </w:style>
  <w:style w:type="paragraph" w:customStyle="1" w:styleId="151">
    <w:name w:val="CM3"/>
    <w:basedOn w:val="107"/>
    <w:next w:val="107"/>
    <w:qFormat/>
    <w:uiPriority w:val="99"/>
    <w:rPr>
      <w:color w:val="auto"/>
    </w:rPr>
  </w:style>
  <w:style w:type="paragraph" w:customStyle="1" w:styleId="152">
    <w:name w:val="彩色底纹1"/>
    <w:qFormat/>
    <w:uiPriority w:val="99"/>
    <w:rPr>
      <w:rFonts w:ascii="Times New Roman" w:hAnsi="Times New Roman" w:eastAsia="宋体" w:cs="Times New Roman"/>
      <w:kern w:val="2"/>
      <w:sz w:val="21"/>
      <w:szCs w:val="21"/>
      <w:lang w:val="en-US" w:eastAsia="zh-CN" w:bidi="ar-SA"/>
    </w:rPr>
  </w:style>
  <w:style w:type="paragraph" w:customStyle="1" w:styleId="153">
    <w:name w:val="样式 样式 左侧:  2 字符 + 左侧:  0.85 厘米 首行缩进:  2 字符1"/>
    <w:basedOn w:val="1"/>
    <w:qFormat/>
    <w:uiPriority w:val="99"/>
    <w:pPr>
      <w:ind w:left="482" w:firstLine="200" w:firstLineChars="200"/>
    </w:pPr>
    <w:rPr>
      <w:rFonts w:ascii="Times New Roman" w:hAnsi="Times New Roman" w:cs="Times New Roman"/>
    </w:rPr>
  </w:style>
  <w:style w:type="paragraph" w:customStyle="1" w:styleId="154">
    <w:name w:val="表格2"/>
    <w:basedOn w:val="1"/>
    <w:qFormat/>
    <w:uiPriority w:val="99"/>
    <w:pPr>
      <w:widowControl/>
      <w:spacing w:line="400" w:lineRule="exact"/>
      <w:ind w:firstLine="120" w:firstLineChars="50"/>
      <w:jc w:val="left"/>
    </w:pPr>
    <w:rPr>
      <w:rFonts w:ascii="宋体" w:hAnsi="宋体" w:cs="宋体"/>
      <w:kern w:val="0"/>
      <w:sz w:val="24"/>
      <w:szCs w:val="24"/>
    </w:rPr>
  </w:style>
  <w:style w:type="paragraph" w:customStyle="1" w:styleId="155">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8"/>
      <w:szCs w:val="18"/>
    </w:rPr>
  </w:style>
  <w:style w:type="paragraph" w:customStyle="1" w:styleId="156">
    <w:name w:val="CM56"/>
    <w:basedOn w:val="107"/>
    <w:next w:val="107"/>
    <w:qFormat/>
    <w:uiPriority w:val="99"/>
    <w:rPr>
      <w:color w:val="auto"/>
    </w:rPr>
  </w:style>
  <w:style w:type="paragraph" w:customStyle="1" w:styleId="157">
    <w:name w:val="xl78"/>
    <w:basedOn w:val="1"/>
    <w:qFormat/>
    <w:uiPriority w:val="99"/>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58">
    <w:name w:val="彩色底纹 - 强调文字颜色 6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59">
    <w:name w:val="样式 五号 首行缩进:  2 字符"/>
    <w:basedOn w:val="1"/>
    <w:qFormat/>
    <w:uiPriority w:val="99"/>
    <w:pPr>
      <w:jc w:val="left"/>
    </w:pPr>
    <w:rPr>
      <w:kern w:val="0"/>
    </w:rPr>
  </w:style>
  <w:style w:type="paragraph" w:customStyle="1" w:styleId="160">
    <w:name w:val="Char Char1 Char"/>
    <w:basedOn w:val="1"/>
    <w:qFormat/>
    <w:uiPriority w:val="99"/>
    <w:rPr>
      <w:rFonts w:ascii="Times New Roman" w:hAnsi="Times New Roman" w:cs="Times New Roman"/>
    </w:rPr>
  </w:style>
  <w:style w:type="paragraph" w:customStyle="1" w:styleId="161">
    <w:name w:val="xl6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62">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3">
    <w:name w:val="xl68"/>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64">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5">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6">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8"/>
      <w:szCs w:val="18"/>
    </w:rPr>
  </w:style>
  <w:style w:type="table" w:customStyle="1" w:styleId="167">
    <w:name w:val="Table Normal1"/>
    <w:qFormat/>
    <w:uiPriority w:val="99"/>
    <w:pPr>
      <w:widowControl w:val="0"/>
      <w:autoSpaceDE w:val="0"/>
      <w:autoSpaceDN w:val="0"/>
    </w:pPr>
    <w:rPr>
      <w:rFonts w:cs="Calibri"/>
      <w:sz w:val="22"/>
      <w:lang w:eastAsia="en-US"/>
    </w:rPr>
    <w:tblPr>
      <w:tblCellMar>
        <w:top w:w="0" w:type="dxa"/>
        <w:left w:w="0" w:type="dxa"/>
        <w:bottom w:w="0" w:type="dxa"/>
        <w:right w:w="0" w:type="dxa"/>
      </w:tblCellMar>
    </w:tblPr>
  </w:style>
  <w:style w:type="character" w:customStyle="1" w:styleId="168">
    <w:name w:val="正文缩进 字符"/>
    <w:link w:val="9"/>
    <w:qFormat/>
    <w:uiPriority w:val="0"/>
    <w:rPr>
      <w:rFonts w:ascii="Times New Roman" w:hAnsi="Times New Roman" w:eastAsia="等线"/>
      <w:kern w:val="2"/>
      <w:sz w:val="21"/>
      <w:szCs w:val="21"/>
    </w:rPr>
  </w:style>
  <w:style w:type="paragraph" w:customStyle="1" w:styleId="169">
    <w:name w:val="6-正文"/>
    <w:basedOn w:val="1"/>
    <w:qFormat/>
    <w:uiPriority w:val="0"/>
    <w:pPr>
      <w:spacing w:line="400" w:lineRule="atLeast"/>
      <w:ind w:firstLine="200" w:firstLineChars="200"/>
    </w:pPr>
    <w:rPr>
      <w:rFonts w:cs="Times New Roman"/>
      <w:szCs w:val="28"/>
    </w:rPr>
  </w:style>
  <w:style w:type="character" w:customStyle="1" w:styleId="170">
    <w:name w:val="正文首行缩进 2 字符"/>
    <w:link w:val="36"/>
    <w:qFormat/>
    <w:uiPriority w:val="99"/>
    <w:rPr>
      <w:kern w:val="2"/>
      <w:sz w:val="21"/>
      <w:szCs w:val="24"/>
    </w:rPr>
  </w:style>
  <w:style w:type="paragraph" w:styleId="171">
    <w:name w:val="List Paragraph"/>
    <w:basedOn w:val="1"/>
    <w:qFormat/>
    <w:uiPriority w:val="34"/>
    <w:pPr>
      <w:ind w:firstLine="420" w:firstLineChars="200"/>
    </w:pPr>
    <w:rPr>
      <w:rFonts w:cs="Times New Roman"/>
      <w:szCs w:val="24"/>
    </w:rPr>
  </w:style>
  <w:style w:type="character" w:customStyle="1" w:styleId="172">
    <w:name w:val="wg正文 仿宋_GB2312 四号"/>
    <w:qFormat/>
    <w:uiPriority w:val="0"/>
    <w:rPr>
      <w:rFonts w:ascii="仿宋_GB2312" w:hAnsi="仿宋_GB2312" w:eastAsia="仿宋_GB2312"/>
      <w:sz w:val="28"/>
    </w:rPr>
  </w:style>
  <w:style w:type="paragraph" w:customStyle="1" w:styleId="173">
    <w:name w:val="样式 WG标题3居中 + 行距: 固定值 18 磅"/>
    <w:basedOn w:val="1"/>
    <w:qFormat/>
    <w:uiPriority w:val="0"/>
    <w:pPr>
      <w:spacing w:before="100" w:beforeAutospacing="1" w:after="100" w:afterAutospacing="1" w:line="360" w:lineRule="exact"/>
      <w:jc w:val="center"/>
      <w:outlineLvl w:val="2"/>
    </w:pPr>
    <w:rPr>
      <w:rFonts w:cs="宋体"/>
      <w:b/>
      <w:bCs/>
      <w:sz w:val="32"/>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B85FDC-9B55-4247-B372-C96FA86B08DF}">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94</Pages>
  <Words>45642</Words>
  <Characters>49594</Characters>
  <Lines>389</Lines>
  <Paragraphs>109</Paragraphs>
  <TotalTime>58</TotalTime>
  <ScaleCrop>false</ScaleCrop>
  <LinksUpToDate>false</LinksUpToDate>
  <CharactersWithSpaces>51647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2022-12-30T09:52:00Z</dcterms:created>
  <dc:creator>lenovo</dc:creator>
  <cp:lastModifiedBy>lenovo</cp:lastModifiedBy>
  <cp:lastPrinted>2022-10-25T07:59:00Z</cp:lastPrinted>
  <dcterms:modified xsi:type="dcterms:W3CDTF">2023-01-18T00:53:26Z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78F9CB3C932E474889BBCF403029529C</vt:lpwstr>
  </property>
</Properties>
</file>