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宋体" w:hAnsi="宋体"/>
          <w:b/>
          <w:bCs/>
          <w:sz w:val="48"/>
          <w:szCs w:val="48"/>
        </w:rPr>
      </w:pPr>
    </w:p>
    <w:p>
      <w:pPr>
        <w:pStyle w:val="2"/>
        <w:snapToGrid w:val="0"/>
        <w:jc w:val="center"/>
        <w:rPr>
          <w:rFonts w:ascii="宋体" w:hAnsi="宋体"/>
          <w:b/>
          <w:bCs/>
          <w:sz w:val="28"/>
          <w:szCs w:val="28"/>
        </w:rPr>
      </w:pPr>
    </w:p>
    <w:p>
      <w:pPr>
        <w:snapToGrid w:val="0"/>
        <w:spacing w:line="360" w:lineRule="auto"/>
        <w:ind w:left="29" w:leftChars="14"/>
        <w:jc w:val="center"/>
        <w:rPr>
          <w:rFonts w:ascii="宋体" w:hAnsi="宋体"/>
          <w:b/>
          <w:spacing w:val="100"/>
          <w:sz w:val="44"/>
          <w:szCs w:val="44"/>
        </w:rPr>
      </w:pPr>
      <w:r>
        <w:rPr>
          <w:rFonts w:hint="eastAsia" w:ascii="宋体" w:hAnsi="宋体"/>
          <w:b/>
          <w:spacing w:val="100"/>
          <w:sz w:val="44"/>
          <w:szCs w:val="44"/>
          <w:u w:val="single"/>
        </w:rPr>
        <w:t xml:space="preserve"> 天津市 </w:t>
      </w:r>
    </w:p>
    <w:p>
      <w:pPr>
        <w:snapToGrid w:val="0"/>
        <w:ind w:left="29" w:leftChars="14"/>
        <w:jc w:val="center"/>
        <w:rPr>
          <w:rFonts w:ascii="宋体" w:hAnsi="宋体"/>
          <w:b/>
          <w:sz w:val="44"/>
          <w:szCs w:val="44"/>
        </w:rPr>
      </w:pPr>
      <w:r>
        <w:rPr>
          <w:rFonts w:hint="eastAsia" w:ascii="宋体" w:hAnsi="宋体"/>
          <w:b/>
          <w:sz w:val="44"/>
          <w:szCs w:val="44"/>
          <w:u w:val="single"/>
          <w:lang w:eastAsia="zh-CN"/>
        </w:rPr>
        <w:t>滨海新区8条国省级公路维修工程（一期--港城大道、海景大道）</w:t>
      </w:r>
      <w:r>
        <w:rPr>
          <w:rFonts w:hint="eastAsia" w:ascii="宋体" w:hAnsi="宋体"/>
          <w:b/>
          <w:sz w:val="44"/>
          <w:szCs w:val="44"/>
        </w:rPr>
        <w:t xml:space="preserve"> </w:t>
      </w:r>
    </w:p>
    <w:p>
      <w:pPr>
        <w:snapToGrid w:val="0"/>
        <w:ind w:left="29" w:leftChars="14"/>
        <w:jc w:val="center"/>
        <w:rPr>
          <w:rFonts w:ascii="宋体" w:hAnsi="宋体"/>
          <w:b/>
          <w:sz w:val="44"/>
          <w:szCs w:val="44"/>
        </w:rPr>
      </w:pPr>
    </w:p>
    <w:p>
      <w:pPr>
        <w:snapToGrid w:val="0"/>
        <w:ind w:left="29" w:leftChars="14"/>
        <w:jc w:val="center"/>
        <w:rPr>
          <w:rFonts w:ascii="宋体" w:hAnsi="宋体"/>
          <w:b/>
          <w:sz w:val="44"/>
          <w:szCs w:val="44"/>
        </w:rPr>
      </w:pPr>
      <w:r>
        <w:rPr>
          <w:rFonts w:hint="eastAsia" w:ascii="宋体" w:hAnsi="宋体"/>
          <w:b/>
          <w:sz w:val="44"/>
          <w:szCs w:val="44"/>
        </w:rPr>
        <w:t>施工招标</w:t>
      </w: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宋体" w:hAnsi="宋体"/>
          <w:b/>
          <w:sz w:val="36"/>
          <w:szCs w:val="36"/>
        </w:rPr>
      </w:pPr>
      <w:r>
        <w:rPr>
          <w:rFonts w:hint="eastAsia" w:ascii="宋体" w:hAnsi="宋体"/>
          <w:b/>
          <w:sz w:val="36"/>
          <w:szCs w:val="36"/>
        </w:rPr>
        <w:t>（招标编号：</w:t>
      </w:r>
      <w:r>
        <w:rPr>
          <w:rFonts w:hint="eastAsia" w:ascii="宋体" w:hAnsi="宋体"/>
          <w:b/>
          <w:sz w:val="36"/>
          <w:szCs w:val="36"/>
          <w:lang w:eastAsia="zh-CN"/>
        </w:rPr>
        <w:t>SZYL-JT-202203</w:t>
      </w:r>
      <w:r>
        <w:rPr>
          <w:rFonts w:hint="eastAsia" w:ascii="宋体" w:hAnsi="宋体"/>
          <w:b/>
          <w:sz w:val="36"/>
          <w:szCs w:val="36"/>
        </w:rPr>
        <w:t>）</w:t>
      </w:r>
    </w:p>
    <w:p>
      <w:pPr>
        <w:pStyle w:val="2"/>
        <w:rPr>
          <w:rFonts w:ascii="楷体_GB2312" w:eastAsia="楷体_GB2312"/>
          <w:sz w:val="48"/>
          <w:szCs w:val="48"/>
        </w:rPr>
      </w:pPr>
    </w:p>
    <w:p>
      <w:pPr>
        <w:pStyle w:val="2"/>
        <w:rPr>
          <w:rFonts w:ascii="楷体_GB2312" w:eastAsia="楷体_GB2312"/>
          <w:sz w:val="48"/>
          <w:szCs w:val="48"/>
        </w:rPr>
      </w:pPr>
    </w:p>
    <w:p>
      <w:pPr>
        <w:pStyle w:val="2"/>
        <w:rPr>
          <w:rFonts w:ascii="楷体_GB2312" w:eastAsia="楷体_GB2312"/>
          <w:sz w:val="48"/>
          <w:szCs w:val="48"/>
        </w:rPr>
      </w:pPr>
    </w:p>
    <w:p>
      <w:pPr>
        <w:pStyle w:val="2"/>
        <w:jc w:val="center"/>
        <w:rPr>
          <w:rFonts w:ascii="黑体" w:eastAsia="黑体"/>
          <w:sz w:val="84"/>
          <w:szCs w:val="84"/>
        </w:rPr>
      </w:pPr>
      <w:r>
        <w:rPr>
          <w:rFonts w:hint="eastAsia" w:ascii="黑体" w:eastAsia="黑体"/>
          <w:sz w:val="84"/>
          <w:szCs w:val="84"/>
        </w:rPr>
        <w:t>招标文件</w:t>
      </w:r>
    </w:p>
    <w:p>
      <w:pPr>
        <w:rPr>
          <w:rFonts w:ascii="宋体" w:hAnsi="宋体"/>
          <w:sz w:val="28"/>
        </w:rPr>
      </w:pPr>
    </w:p>
    <w:p>
      <w:pPr>
        <w:rPr>
          <w:rFonts w:ascii="宋体" w:hAnsi="宋体"/>
          <w:sz w:val="28"/>
        </w:rPr>
      </w:pPr>
    </w:p>
    <w:p>
      <w:pPr>
        <w:rPr>
          <w:rFonts w:ascii="宋体" w:hAnsi="宋体"/>
          <w:sz w:val="28"/>
        </w:rPr>
      </w:pPr>
    </w:p>
    <w:p>
      <w:pPr>
        <w:ind w:firstLine="1184" w:firstLineChars="393"/>
        <w:rPr>
          <w:rFonts w:ascii="宋体" w:hAnsi="宋体"/>
          <w:b/>
          <w:bCs/>
          <w:sz w:val="30"/>
        </w:rPr>
      </w:pPr>
    </w:p>
    <w:p>
      <w:pPr>
        <w:ind w:firstLine="1184" w:firstLineChars="393"/>
        <w:rPr>
          <w:rFonts w:ascii="宋体" w:hAnsi="宋体"/>
          <w:b/>
          <w:bCs/>
          <w:sz w:val="30"/>
        </w:rPr>
      </w:pPr>
    </w:p>
    <w:p>
      <w:pPr>
        <w:ind w:firstLine="1184" w:firstLineChars="393"/>
        <w:rPr>
          <w:rFonts w:ascii="宋体" w:hAnsi="宋体"/>
          <w:b/>
          <w:bCs/>
          <w:sz w:val="30"/>
        </w:rPr>
      </w:pPr>
    </w:p>
    <w:p>
      <w:pPr>
        <w:ind w:firstLine="1184" w:firstLineChars="393"/>
        <w:rPr>
          <w:rFonts w:ascii="宋体" w:hAnsi="宋体"/>
          <w:b/>
          <w:bCs/>
          <w:sz w:val="30"/>
        </w:rPr>
      </w:pPr>
    </w:p>
    <w:p>
      <w:pPr>
        <w:spacing w:line="360" w:lineRule="auto"/>
        <w:rPr>
          <w:rFonts w:ascii="宋体" w:hAnsi="宋体"/>
          <w:b/>
          <w:bCs/>
          <w:sz w:val="30"/>
          <w:szCs w:val="30"/>
          <w:u w:val="single"/>
        </w:rPr>
      </w:pPr>
      <w:r>
        <w:rPr>
          <w:rFonts w:hint="eastAsia" w:ascii="宋体" w:hAnsi="宋体"/>
          <w:b/>
          <w:bCs/>
          <w:spacing w:val="225"/>
          <w:kern w:val="0"/>
          <w:sz w:val="30"/>
          <w:szCs w:val="30"/>
        </w:rPr>
        <w:t>招标</w:t>
      </w:r>
      <w:r>
        <w:rPr>
          <w:rFonts w:hint="eastAsia" w:ascii="宋体" w:hAnsi="宋体"/>
          <w:b/>
          <w:bCs/>
          <w:spacing w:val="1"/>
          <w:kern w:val="0"/>
          <w:sz w:val="30"/>
          <w:szCs w:val="30"/>
        </w:rPr>
        <w:t>人</w:t>
      </w:r>
      <w:r>
        <w:rPr>
          <w:rFonts w:hint="eastAsia" w:ascii="宋体" w:hAnsi="宋体"/>
          <w:b/>
          <w:bCs/>
          <w:sz w:val="30"/>
          <w:szCs w:val="30"/>
        </w:rPr>
        <w:t>：</w:t>
      </w:r>
      <w:r>
        <w:rPr>
          <w:rFonts w:hint="eastAsia" w:ascii="宋体" w:hAnsi="宋体"/>
          <w:b/>
          <w:bCs/>
          <w:sz w:val="30"/>
          <w:szCs w:val="30"/>
          <w:u w:val="single"/>
        </w:rPr>
        <w:t xml:space="preserve"> </w:t>
      </w:r>
      <w:r>
        <w:rPr>
          <w:rFonts w:hint="eastAsia" w:ascii="宋体" w:hAnsi="宋体"/>
          <w:b/>
          <w:bCs/>
          <w:sz w:val="30"/>
          <w:szCs w:val="30"/>
          <w:u w:val="single"/>
          <w:lang w:eastAsia="zh-CN"/>
        </w:rPr>
        <w:t>天津市滨海新区城投建设发展有限公司</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rPr>
          <w:rFonts w:ascii="宋体" w:hAnsi="宋体"/>
          <w:b/>
          <w:bCs/>
          <w:sz w:val="30"/>
          <w:szCs w:val="30"/>
          <w:u w:val="single"/>
        </w:rPr>
      </w:pPr>
      <w:r>
        <w:rPr>
          <w:rFonts w:hint="eastAsia" w:ascii="宋体" w:hAnsi="宋体"/>
          <w:b/>
          <w:bCs/>
          <w:sz w:val="30"/>
          <w:szCs w:val="30"/>
        </w:rPr>
        <w:t>招标代理机构：</w:t>
      </w:r>
      <w:r>
        <w:rPr>
          <w:rFonts w:hint="eastAsia" w:ascii="宋体" w:hAnsi="宋体"/>
          <w:b/>
          <w:bCs/>
          <w:sz w:val="30"/>
          <w:szCs w:val="30"/>
          <w:u w:val="single"/>
        </w:rPr>
        <w:t xml:space="preserve"> 天津神州亿隆工程管理咨询有限公司</w:t>
      </w:r>
      <w:r>
        <w:rPr>
          <w:rFonts w:hint="eastAsia" w:ascii="宋体" w:hAnsi="宋体"/>
          <w:b/>
          <w:bCs/>
          <w:sz w:val="30"/>
          <w:szCs w:val="30"/>
        </w:rPr>
        <w:t>(盖单位章)</w:t>
      </w:r>
    </w:p>
    <w:p>
      <w:pPr>
        <w:spacing w:line="360" w:lineRule="auto"/>
        <w:jc w:val="center"/>
        <w:rPr>
          <w:rFonts w:ascii="宋体" w:hAnsi="宋体"/>
          <w:b/>
          <w:bCs/>
          <w:sz w:val="30"/>
          <w:szCs w:val="30"/>
        </w:rPr>
      </w:pPr>
      <w:r>
        <w:rPr>
          <w:rFonts w:hint="eastAsia" w:ascii="宋体" w:hAnsi="宋体"/>
          <w:b/>
          <w:bCs/>
          <w:sz w:val="30"/>
          <w:szCs w:val="30"/>
          <w:u w:val="single"/>
        </w:rPr>
        <w:t>二O二</w:t>
      </w:r>
      <w:r>
        <w:rPr>
          <w:rFonts w:hint="eastAsia" w:ascii="宋体" w:hAnsi="宋体"/>
          <w:b/>
          <w:bCs/>
          <w:sz w:val="30"/>
          <w:szCs w:val="30"/>
          <w:u w:val="single"/>
          <w:lang w:val="en-US" w:eastAsia="zh-CN"/>
        </w:rPr>
        <w:t>二</w:t>
      </w: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u w:val="single"/>
          <w:lang w:val="en-US" w:eastAsia="zh-CN"/>
        </w:rPr>
        <w:t>六</w:t>
      </w:r>
      <w:r>
        <w:rPr>
          <w:rFonts w:hint="eastAsia" w:ascii="宋体" w:hAnsi="宋体"/>
          <w:b/>
          <w:bCs/>
          <w:sz w:val="30"/>
          <w:szCs w:val="30"/>
          <w:u w:val="single"/>
        </w:rPr>
        <w:t xml:space="preserve"> </w:t>
      </w:r>
      <w:r>
        <w:rPr>
          <w:rFonts w:hint="eastAsia" w:ascii="宋体" w:hAnsi="宋体"/>
          <w:b/>
          <w:bCs/>
          <w:sz w:val="30"/>
          <w:szCs w:val="30"/>
        </w:rPr>
        <w:t>月</w:t>
      </w:r>
    </w:p>
    <w:p>
      <w:pPr>
        <w:snapToGrid w:val="0"/>
        <w:spacing w:line="480" w:lineRule="auto"/>
        <w:jc w:val="center"/>
        <w:rPr>
          <w:rFonts w:ascii="宋体" w:hAnsi="宋体"/>
          <w:b/>
          <w:sz w:val="44"/>
          <w:szCs w:val="44"/>
        </w:rPr>
        <w:sectPr>
          <w:headerReference r:id="rId3" w:type="default"/>
          <w:footerReference r:id="rId5" w:type="default"/>
          <w:headerReference r:id="rId4" w:type="even"/>
          <w:footerReference r:id="rId6" w:type="even"/>
          <w:footnotePr>
            <w:numFmt w:val="decimalEnclosedCircleChinese"/>
            <w:numRestart w:val="eachPage"/>
          </w:footnotePr>
          <w:pgSz w:w="11906" w:h="16838"/>
          <w:pgMar w:top="1418" w:right="1226" w:bottom="1418" w:left="1240" w:header="851" w:footer="992" w:gutter="0"/>
          <w:cols w:space="720" w:num="1"/>
          <w:docGrid w:linePitch="312" w:charSpace="0"/>
        </w:sectPr>
      </w:pPr>
    </w:p>
    <w:p>
      <w:pPr>
        <w:snapToGrid w:val="0"/>
        <w:spacing w:line="480" w:lineRule="auto"/>
        <w:jc w:val="center"/>
        <w:rPr>
          <w:rFonts w:ascii="宋体" w:hAnsi="宋体"/>
          <w:b/>
          <w:sz w:val="44"/>
          <w:szCs w:val="44"/>
        </w:rPr>
      </w:pPr>
      <w:r>
        <w:rPr>
          <w:rFonts w:hint="eastAsia" w:ascii="宋体" w:hAnsi="宋体"/>
          <w:b/>
          <w:sz w:val="44"/>
          <w:szCs w:val="44"/>
        </w:rPr>
        <w:t>目 录</w:t>
      </w:r>
    </w:p>
    <w:p>
      <w:pPr>
        <w:pStyle w:val="26"/>
        <w:tabs>
          <w:tab w:val="left" w:pos="1400"/>
        </w:tabs>
        <w:spacing w:line="480" w:lineRule="auto"/>
        <w:rPr>
          <w:rStyle w:val="49"/>
          <w:rFonts w:ascii="黑体" w:hAnsi="黑体"/>
          <w:color w:val="auto"/>
          <w:sz w:val="36"/>
          <w:szCs w:val="36"/>
        </w:rPr>
      </w:pPr>
      <w:bookmarkStart w:id="0" w:name="_Toc234345712"/>
      <w:bookmarkStart w:id="1" w:name="_Toc234349306"/>
      <w:bookmarkStart w:id="2" w:name="_Toc234348735"/>
      <w:bookmarkStart w:id="3" w:name="_Toc234350664"/>
      <w:bookmarkStart w:id="4" w:name="_Toc234345927"/>
      <w:r>
        <w:rPr>
          <w:rFonts w:ascii="宋体" w:hAnsi="宋体" w:eastAsia="宋体"/>
          <w:sz w:val="28"/>
          <w:szCs w:val="28"/>
        </w:rPr>
        <w:fldChar w:fldCharType="begin"/>
      </w:r>
      <w:r>
        <w:rPr>
          <w:rStyle w:val="49"/>
          <w:rFonts w:ascii="宋体" w:hAnsi="宋体" w:eastAsia="宋体"/>
          <w:color w:val="auto"/>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"_Toc508796989" </w:instrText>
      </w:r>
      <w:r>
        <w:fldChar w:fldCharType="separate"/>
      </w:r>
      <w:r>
        <w:rPr>
          <w:rStyle w:val="49"/>
          <w:rFonts w:hint="eastAsia" w:ascii="黑体" w:hAnsi="黑体"/>
          <w:color w:val="auto"/>
          <w:sz w:val="36"/>
          <w:szCs w:val="36"/>
        </w:rPr>
        <w:t>第一章</w:t>
      </w:r>
      <w:r>
        <w:rPr>
          <w:rStyle w:val="49"/>
          <w:rFonts w:ascii="黑体" w:hAnsi="黑体"/>
          <w:color w:val="auto"/>
          <w:sz w:val="36"/>
          <w:szCs w:val="36"/>
        </w:rPr>
        <w:tab/>
      </w:r>
      <w:r>
        <w:rPr>
          <w:rStyle w:val="49"/>
          <w:rFonts w:hint="eastAsia" w:ascii="黑体" w:hAnsi="黑体"/>
          <w:color w:val="auto"/>
          <w:sz w:val="36"/>
          <w:szCs w:val="36"/>
        </w:rPr>
        <w:t>招标公告</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_Toc508796989 \h </w:instrText>
      </w:r>
      <w:r>
        <w:rPr>
          <w:rStyle w:val="49"/>
          <w:rFonts w:ascii="黑体" w:hAnsi="黑体"/>
          <w:color w:val="auto"/>
          <w:sz w:val="36"/>
          <w:szCs w:val="36"/>
        </w:rPr>
        <w:fldChar w:fldCharType="separate"/>
      </w:r>
      <w:r>
        <w:rPr>
          <w:rStyle w:val="49"/>
          <w:rFonts w:ascii="黑体" w:hAnsi="黑体"/>
          <w:color w:val="auto"/>
          <w:sz w:val="36"/>
          <w:szCs w:val="36"/>
        </w:rPr>
        <w:t>2</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"_Toc508796990" </w:instrText>
      </w:r>
      <w:r>
        <w:fldChar w:fldCharType="separate"/>
      </w:r>
      <w:r>
        <w:rPr>
          <w:rStyle w:val="49"/>
          <w:rFonts w:hint="eastAsia" w:ascii="黑体" w:hAnsi="黑体"/>
          <w:color w:val="auto"/>
          <w:sz w:val="36"/>
          <w:szCs w:val="36"/>
        </w:rPr>
        <w:t>第二章</w:t>
      </w:r>
      <w:r>
        <w:rPr>
          <w:rStyle w:val="49"/>
          <w:rFonts w:ascii="黑体" w:hAnsi="黑体"/>
          <w:color w:val="auto"/>
          <w:sz w:val="36"/>
          <w:szCs w:val="36"/>
        </w:rPr>
        <w:t xml:space="preserve">  </w:t>
      </w:r>
      <w:r>
        <w:rPr>
          <w:rStyle w:val="49"/>
          <w:rFonts w:hint="eastAsia" w:ascii="黑体" w:hAnsi="黑体"/>
          <w:color w:val="auto"/>
          <w:sz w:val="36"/>
          <w:szCs w:val="36"/>
        </w:rPr>
        <w:t>投标人须知</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_Toc508796990 \h </w:instrText>
      </w:r>
      <w:r>
        <w:rPr>
          <w:rStyle w:val="49"/>
          <w:rFonts w:ascii="黑体" w:hAnsi="黑体"/>
          <w:color w:val="auto"/>
          <w:sz w:val="36"/>
          <w:szCs w:val="36"/>
        </w:rPr>
        <w:fldChar w:fldCharType="separate"/>
      </w:r>
      <w:r>
        <w:rPr>
          <w:rStyle w:val="49"/>
          <w:rFonts w:ascii="黑体" w:hAnsi="黑体"/>
          <w:color w:val="auto"/>
          <w:sz w:val="36"/>
          <w:szCs w:val="36"/>
        </w:rPr>
        <w:t>5</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"_Toc508796991" </w:instrText>
      </w:r>
      <w:r>
        <w:fldChar w:fldCharType="separate"/>
      </w:r>
      <w:r>
        <w:rPr>
          <w:rStyle w:val="49"/>
          <w:rFonts w:hint="eastAsia" w:ascii="黑体" w:hAnsi="黑体"/>
          <w:color w:val="auto"/>
          <w:sz w:val="36"/>
          <w:szCs w:val="36"/>
        </w:rPr>
        <w:t>第三章</w:t>
      </w:r>
      <w:r>
        <w:rPr>
          <w:rStyle w:val="49"/>
          <w:rFonts w:ascii="黑体" w:hAnsi="黑体"/>
          <w:color w:val="auto"/>
          <w:sz w:val="36"/>
          <w:szCs w:val="36"/>
        </w:rPr>
        <w:t xml:space="preserve">  </w:t>
      </w:r>
      <w:r>
        <w:rPr>
          <w:rStyle w:val="49"/>
          <w:rFonts w:hint="eastAsia" w:ascii="黑体" w:hAnsi="黑体"/>
          <w:color w:val="auto"/>
          <w:sz w:val="36"/>
          <w:szCs w:val="36"/>
        </w:rPr>
        <w:t>评标办法（技术评分最低标价法）</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_Toc508796991 \h </w:instrText>
      </w:r>
      <w:r>
        <w:rPr>
          <w:rStyle w:val="49"/>
          <w:rFonts w:ascii="黑体" w:hAnsi="黑体"/>
          <w:color w:val="auto"/>
          <w:sz w:val="36"/>
          <w:szCs w:val="36"/>
        </w:rPr>
        <w:fldChar w:fldCharType="separate"/>
      </w:r>
      <w:r>
        <w:rPr>
          <w:rStyle w:val="49"/>
          <w:rFonts w:ascii="黑体" w:hAnsi="黑体"/>
          <w:color w:val="auto"/>
          <w:sz w:val="36"/>
          <w:szCs w:val="36"/>
        </w:rPr>
        <w:t>33</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"_Toc508796992" </w:instrText>
      </w:r>
      <w:r>
        <w:fldChar w:fldCharType="separate"/>
      </w:r>
      <w:r>
        <w:rPr>
          <w:rStyle w:val="49"/>
          <w:rFonts w:hint="eastAsia" w:ascii="黑体" w:hAnsi="黑体"/>
          <w:color w:val="auto"/>
          <w:sz w:val="36"/>
          <w:szCs w:val="36"/>
        </w:rPr>
        <w:t>第四章</w:t>
      </w:r>
      <w:r>
        <w:rPr>
          <w:rStyle w:val="49"/>
          <w:rFonts w:ascii="黑体" w:hAnsi="黑体"/>
          <w:color w:val="auto"/>
          <w:sz w:val="36"/>
          <w:szCs w:val="36"/>
        </w:rPr>
        <w:t xml:space="preserve">  </w:t>
      </w:r>
      <w:r>
        <w:rPr>
          <w:rStyle w:val="49"/>
          <w:rFonts w:hint="eastAsia" w:ascii="黑体" w:hAnsi="黑体"/>
          <w:color w:val="auto"/>
          <w:sz w:val="36"/>
          <w:szCs w:val="36"/>
        </w:rPr>
        <w:t>合同条款及格式</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_Toc508796992 \h </w:instrText>
      </w:r>
      <w:r>
        <w:rPr>
          <w:rStyle w:val="49"/>
          <w:rFonts w:ascii="黑体" w:hAnsi="黑体"/>
          <w:color w:val="auto"/>
          <w:sz w:val="36"/>
          <w:szCs w:val="36"/>
        </w:rPr>
        <w:fldChar w:fldCharType="separate"/>
      </w:r>
      <w:r>
        <w:rPr>
          <w:rStyle w:val="49"/>
          <w:rFonts w:ascii="黑体" w:hAnsi="黑体"/>
          <w:color w:val="auto"/>
          <w:sz w:val="36"/>
          <w:szCs w:val="36"/>
        </w:rPr>
        <w:t>41</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"_Toc508796993" </w:instrText>
      </w:r>
      <w:r>
        <w:fldChar w:fldCharType="separate"/>
      </w:r>
      <w:r>
        <w:rPr>
          <w:rStyle w:val="49"/>
          <w:rFonts w:hint="eastAsia" w:ascii="黑体" w:hAnsi="黑体"/>
          <w:color w:val="auto"/>
          <w:sz w:val="36"/>
          <w:szCs w:val="36"/>
        </w:rPr>
        <w:t>第五章</w:t>
      </w:r>
      <w:r>
        <w:rPr>
          <w:rStyle w:val="49"/>
          <w:rFonts w:ascii="黑体" w:hAnsi="黑体"/>
          <w:color w:val="auto"/>
          <w:sz w:val="36"/>
          <w:szCs w:val="36"/>
        </w:rPr>
        <w:t xml:space="preserve">  </w:t>
      </w:r>
      <w:r>
        <w:rPr>
          <w:rStyle w:val="49"/>
          <w:rFonts w:hint="eastAsia" w:ascii="黑体" w:hAnsi="黑体"/>
          <w:color w:val="auto"/>
          <w:sz w:val="36"/>
          <w:szCs w:val="36"/>
        </w:rPr>
        <w:t>工程量清单</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_Toc508796993 \h </w:instrText>
      </w:r>
      <w:r>
        <w:rPr>
          <w:rStyle w:val="49"/>
          <w:rFonts w:ascii="黑体" w:hAnsi="黑体"/>
          <w:color w:val="auto"/>
          <w:sz w:val="36"/>
          <w:szCs w:val="36"/>
        </w:rPr>
        <w:fldChar w:fldCharType="separate"/>
      </w:r>
      <w:r>
        <w:rPr>
          <w:rStyle w:val="49"/>
          <w:rFonts w:ascii="黑体" w:hAnsi="黑体"/>
          <w:color w:val="auto"/>
          <w:sz w:val="36"/>
          <w:szCs w:val="36"/>
        </w:rPr>
        <w:t>99</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"_Toc508796994" </w:instrText>
      </w:r>
      <w:r>
        <w:fldChar w:fldCharType="separate"/>
      </w:r>
      <w:r>
        <w:rPr>
          <w:rStyle w:val="49"/>
          <w:rFonts w:hint="eastAsia" w:ascii="黑体" w:hAnsi="黑体"/>
          <w:color w:val="auto"/>
          <w:sz w:val="36"/>
          <w:szCs w:val="36"/>
        </w:rPr>
        <w:t>第六章</w:t>
      </w:r>
      <w:r>
        <w:rPr>
          <w:rStyle w:val="49"/>
          <w:rFonts w:ascii="黑体" w:hAnsi="黑体"/>
          <w:color w:val="auto"/>
          <w:sz w:val="36"/>
          <w:szCs w:val="36"/>
        </w:rPr>
        <w:t xml:space="preserve">  </w:t>
      </w:r>
      <w:r>
        <w:rPr>
          <w:rStyle w:val="49"/>
          <w:rFonts w:hint="eastAsia" w:ascii="黑体" w:hAnsi="黑体"/>
          <w:color w:val="auto"/>
          <w:sz w:val="36"/>
          <w:szCs w:val="36"/>
        </w:rPr>
        <w:t>图纸</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_Toc508796994 \h </w:instrText>
      </w:r>
      <w:r>
        <w:rPr>
          <w:rStyle w:val="49"/>
          <w:rFonts w:ascii="黑体" w:hAnsi="黑体"/>
          <w:color w:val="auto"/>
          <w:sz w:val="36"/>
          <w:szCs w:val="36"/>
        </w:rPr>
        <w:fldChar w:fldCharType="separate"/>
      </w:r>
      <w:r>
        <w:rPr>
          <w:rStyle w:val="49"/>
          <w:rFonts w:ascii="黑体" w:hAnsi="黑体"/>
          <w:color w:val="auto"/>
          <w:sz w:val="36"/>
          <w:szCs w:val="36"/>
        </w:rPr>
        <w:t>102</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"_Toc508796995" </w:instrText>
      </w:r>
      <w:r>
        <w:fldChar w:fldCharType="separate"/>
      </w:r>
      <w:r>
        <w:rPr>
          <w:rStyle w:val="49"/>
          <w:rFonts w:hint="eastAsia" w:ascii="黑体" w:hAnsi="黑体"/>
          <w:color w:val="auto"/>
          <w:sz w:val="36"/>
          <w:szCs w:val="36"/>
        </w:rPr>
        <w:t>第七章</w:t>
      </w:r>
      <w:r>
        <w:rPr>
          <w:rStyle w:val="49"/>
          <w:rFonts w:ascii="黑体" w:hAnsi="黑体"/>
          <w:color w:val="auto"/>
          <w:sz w:val="36"/>
          <w:szCs w:val="36"/>
        </w:rPr>
        <w:t xml:space="preserve">  </w:t>
      </w:r>
      <w:r>
        <w:rPr>
          <w:rStyle w:val="49"/>
          <w:rFonts w:hint="eastAsia" w:ascii="黑体" w:hAnsi="黑体"/>
          <w:color w:val="auto"/>
          <w:sz w:val="36"/>
          <w:szCs w:val="36"/>
        </w:rPr>
        <w:t>技术规范</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_Toc508796995 \h </w:instrText>
      </w:r>
      <w:r>
        <w:rPr>
          <w:rStyle w:val="49"/>
          <w:rFonts w:ascii="黑体" w:hAnsi="黑体"/>
          <w:color w:val="auto"/>
          <w:sz w:val="36"/>
          <w:szCs w:val="36"/>
        </w:rPr>
        <w:fldChar w:fldCharType="separate"/>
      </w:r>
      <w:r>
        <w:rPr>
          <w:rStyle w:val="49"/>
          <w:rFonts w:ascii="黑体" w:hAnsi="黑体"/>
          <w:color w:val="auto"/>
          <w:sz w:val="36"/>
          <w:szCs w:val="36"/>
        </w:rPr>
        <w:t>156</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"_Toc508796996" </w:instrText>
      </w:r>
      <w:r>
        <w:fldChar w:fldCharType="separate"/>
      </w:r>
      <w:r>
        <w:rPr>
          <w:rStyle w:val="49"/>
          <w:rFonts w:hint="eastAsia" w:ascii="黑体" w:hAnsi="黑体"/>
          <w:color w:val="auto"/>
          <w:sz w:val="36"/>
          <w:szCs w:val="36"/>
        </w:rPr>
        <w:t>第八章</w:t>
      </w:r>
      <w:r>
        <w:rPr>
          <w:rStyle w:val="49"/>
          <w:rFonts w:ascii="黑体" w:hAnsi="黑体"/>
          <w:color w:val="auto"/>
          <w:sz w:val="36"/>
          <w:szCs w:val="36"/>
        </w:rPr>
        <w:t xml:space="preserve"> </w:t>
      </w:r>
      <w:r>
        <w:rPr>
          <w:rStyle w:val="49"/>
          <w:rFonts w:hint="eastAsia" w:ascii="黑体" w:hAnsi="黑体"/>
          <w:color w:val="auto"/>
          <w:sz w:val="36"/>
          <w:szCs w:val="36"/>
        </w:rPr>
        <w:t xml:space="preserve"> 工程量清单计量规则</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_Toc508796996 \h </w:instrText>
      </w:r>
      <w:r>
        <w:rPr>
          <w:rStyle w:val="49"/>
          <w:rFonts w:ascii="黑体" w:hAnsi="黑体"/>
          <w:color w:val="auto"/>
          <w:sz w:val="36"/>
          <w:szCs w:val="36"/>
        </w:rPr>
        <w:fldChar w:fldCharType="separate"/>
      </w:r>
      <w:r>
        <w:rPr>
          <w:rStyle w:val="49"/>
          <w:rFonts w:ascii="黑体" w:hAnsi="黑体"/>
          <w:color w:val="auto"/>
          <w:sz w:val="36"/>
          <w:szCs w:val="36"/>
        </w:rPr>
        <w:t>157</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26"/>
        <w:spacing w:line="480" w:lineRule="auto"/>
        <w:rPr>
          <w:rStyle w:val="49"/>
          <w:rFonts w:ascii="黑体" w:hAnsi="黑体"/>
          <w:color w:val="auto"/>
          <w:sz w:val="36"/>
          <w:szCs w:val="36"/>
        </w:rPr>
      </w:pPr>
      <w:r>
        <w:fldChar w:fldCharType="begin"/>
      </w:r>
      <w:r>
        <w:instrText xml:space="preserve"> HYPERLINK \l "_Toc508796997" </w:instrText>
      </w:r>
      <w:r>
        <w:fldChar w:fldCharType="separate"/>
      </w:r>
      <w:r>
        <w:rPr>
          <w:rStyle w:val="49"/>
          <w:rFonts w:hint="eastAsia" w:ascii="黑体" w:hAnsi="黑体"/>
          <w:color w:val="auto"/>
          <w:sz w:val="36"/>
          <w:szCs w:val="36"/>
        </w:rPr>
        <w:t>第九章</w:t>
      </w:r>
      <w:r>
        <w:rPr>
          <w:rStyle w:val="49"/>
          <w:rFonts w:ascii="黑体" w:hAnsi="黑体"/>
          <w:color w:val="auto"/>
          <w:sz w:val="36"/>
          <w:szCs w:val="36"/>
        </w:rPr>
        <w:t xml:space="preserve">  </w:t>
      </w:r>
      <w:r>
        <w:rPr>
          <w:rStyle w:val="49"/>
          <w:rFonts w:hint="eastAsia" w:ascii="黑体" w:hAnsi="黑体"/>
          <w:color w:val="auto"/>
          <w:sz w:val="36"/>
          <w:szCs w:val="36"/>
        </w:rPr>
        <w:t>投标文件格式</w:t>
      </w:r>
      <w:r>
        <w:rPr>
          <w:rStyle w:val="49"/>
          <w:rFonts w:ascii="黑体" w:hAnsi="黑体"/>
          <w:color w:val="auto"/>
          <w:sz w:val="36"/>
          <w:szCs w:val="36"/>
        </w:rPr>
        <w:tab/>
      </w:r>
      <w:r>
        <w:rPr>
          <w:rStyle w:val="49"/>
          <w:rFonts w:ascii="黑体" w:hAnsi="黑体"/>
          <w:color w:val="auto"/>
          <w:sz w:val="36"/>
          <w:szCs w:val="36"/>
        </w:rPr>
        <w:fldChar w:fldCharType="begin"/>
      </w:r>
      <w:r>
        <w:rPr>
          <w:rStyle w:val="49"/>
          <w:rFonts w:ascii="黑体" w:hAnsi="黑体"/>
          <w:color w:val="auto"/>
          <w:sz w:val="36"/>
          <w:szCs w:val="36"/>
        </w:rPr>
        <w:instrText xml:space="preserve"> PAGEREF _Toc508796997 \h </w:instrText>
      </w:r>
      <w:r>
        <w:rPr>
          <w:rStyle w:val="49"/>
          <w:rFonts w:ascii="黑体" w:hAnsi="黑体"/>
          <w:color w:val="auto"/>
          <w:sz w:val="36"/>
          <w:szCs w:val="36"/>
        </w:rPr>
        <w:fldChar w:fldCharType="separate"/>
      </w:r>
      <w:r>
        <w:rPr>
          <w:rStyle w:val="49"/>
          <w:rFonts w:ascii="黑体" w:hAnsi="黑体"/>
          <w:color w:val="auto"/>
          <w:sz w:val="36"/>
          <w:szCs w:val="36"/>
        </w:rPr>
        <w:t>158</w:t>
      </w:r>
      <w:r>
        <w:rPr>
          <w:rStyle w:val="49"/>
          <w:rFonts w:ascii="黑体" w:hAnsi="黑体"/>
          <w:color w:val="auto"/>
          <w:sz w:val="36"/>
          <w:szCs w:val="36"/>
        </w:rPr>
        <w:fldChar w:fldCharType="end"/>
      </w:r>
      <w:r>
        <w:rPr>
          <w:rStyle w:val="49"/>
          <w:rFonts w:ascii="黑体" w:hAnsi="黑体"/>
          <w:color w:val="auto"/>
          <w:sz w:val="36"/>
          <w:szCs w:val="36"/>
        </w:rPr>
        <w:fldChar w:fldCharType="end"/>
      </w:r>
    </w:p>
    <w:p>
      <w:pPr>
        <w:pStyle w:val="33"/>
        <w:tabs>
          <w:tab w:val="right" w:leader="dot" w:pos="9016"/>
        </w:tabs>
        <w:rPr>
          <w:rFonts w:ascii="Calibri" w:hAnsi="Calibri"/>
          <w:szCs w:val="22"/>
        </w:rPr>
      </w:pPr>
    </w:p>
    <w:p>
      <w:pPr>
        <w:pStyle w:val="33"/>
        <w:tabs>
          <w:tab w:val="right" w:leader="dot" w:pos="9016"/>
        </w:tabs>
        <w:rPr>
          <w:rFonts w:ascii="Calibri" w:hAnsi="Calibri"/>
          <w:szCs w:val="22"/>
        </w:rPr>
      </w:pPr>
    </w:p>
    <w:p>
      <w:pPr>
        <w:pStyle w:val="33"/>
        <w:tabs>
          <w:tab w:val="right" w:leader="dot" w:pos="9016"/>
        </w:tabs>
        <w:ind w:left="0" w:leftChars="0"/>
        <w:rPr>
          <w:rFonts w:ascii="Calibri" w:hAnsi="Calibri"/>
          <w:szCs w:val="22"/>
        </w:rPr>
      </w:pPr>
    </w:p>
    <w:p>
      <w:pPr>
        <w:snapToGrid w:val="0"/>
        <w:spacing w:line="480" w:lineRule="auto"/>
        <w:jc w:val="center"/>
        <w:rPr>
          <w:rFonts w:ascii="宋体" w:hAnsi="宋体"/>
          <w:sz w:val="28"/>
          <w:szCs w:val="28"/>
        </w:rPr>
        <w:sectPr>
          <w:headerReference r:id="rId7" w:type="default"/>
          <w:footerReference r:id="rId9" w:type="default"/>
          <w:headerReference r:id="rId8" w:type="even"/>
          <w:footnotePr>
            <w:numFmt w:val="decimalEnclosedCircleChinese"/>
            <w:numRestart w:val="eachPage"/>
          </w:footnotePr>
          <w:pgSz w:w="11906" w:h="16838"/>
          <w:pgMar w:top="1418" w:right="1440" w:bottom="1418" w:left="1440" w:header="851" w:footer="992" w:gutter="0"/>
          <w:pgNumType w:start="1"/>
          <w:cols w:space="720" w:num="1"/>
          <w:docGrid w:linePitch="312" w:charSpace="0"/>
        </w:sectPr>
      </w:pPr>
      <w:r>
        <w:rPr>
          <w:rFonts w:ascii="宋体" w:hAnsi="宋体"/>
          <w:sz w:val="28"/>
          <w:szCs w:val="28"/>
        </w:rPr>
        <w:fldChar w:fldCharType="end"/>
      </w:r>
      <w:r>
        <w:rPr>
          <w:rFonts w:ascii="宋体" w:hAnsi="宋体"/>
          <w:sz w:val="28"/>
          <w:szCs w:val="28"/>
        </w:rPr>
        <w:t xml:space="preserve"> </w:t>
      </w:r>
    </w:p>
    <w:bookmarkEnd w:id="0"/>
    <w:bookmarkEnd w:id="1"/>
    <w:bookmarkEnd w:id="2"/>
    <w:bookmarkEnd w:id="3"/>
    <w:bookmarkEnd w:id="4"/>
    <w:p>
      <w:pPr>
        <w:pStyle w:val="4"/>
        <w:numPr>
          <w:ilvl w:val="0"/>
          <w:numId w:val="1"/>
        </w:numPr>
        <w:spacing w:beforeLines="0" w:afterLines="0" w:line="400" w:lineRule="exact"/>
        <w:ind w:left="1457" w:hanging="1457"/>
      </w:pPr>
      <w:bookmarkStart w:id="5" w:name="_Toc508796989"/>
      <w:bookmarkStart w:id="6" w:name="_Toc15647"/>
      <w:bookmarkStart w:id="7" w:name="_Toc265483664"/>
      <w:r>
        <w:rPr>
          <w:rFonts w:hint="eastAsia"/>
        </w:rPr>
        <w:t>招标公告</w:t>
      </w:r>
      <w:bookmarkEnd w:id="5"/>
      <w:bookmarkEnd w:id="6"/>
      <w:bookmarkEnd w:id="7"/>
    </w:p>
    <w:p>
      <w:pPr>
        <w:snapToGrid w:val="0"/>
        <w:jc w:val="center"/>
        <w:rPr>
          <w:rFonts w:ascii="宋体" w:hAnsi="宋体"/>
          <w:sz w:val="6"/>
          <w:szCs w:val="36"/>
        </w:rPr>
      </w:pPr>
      <w:r>
        <w:rPr>
          <w:rFonts w:hint="eastAsia" w:ascii="宋体" w:hAnsi="宋体"/>
          <w:sz w:val="6"/>
          <w:szCs w:val="36"/>
        </w:rPr>
        <w:t xml:space="preserve"> </w:t>
      </w:r>
    </w:p>
    <w:p>
      <w:pPr>
        <w:pStyle w:val="79"/>
        <w:spacing w:line="360" w:lineRule="auto"/>
        <w:ind w:left="-141" w:leftChars="-67" w:right="-187" w:rightChars="-89"/>
        <w:jc w:val="center"/>
        <w:rPr>
          <w:rFonts w:ascii="黑体" w:eastAsia="黑体" w:cs="黑体"/>
          <w:b/>
          <w:color w:val="auto"/>
          <w:sz w:val="30"/>
          <w:szCs w:val="30"/>
        </w:rPr>
      </w:pPr>
      <w:bookmarkStart w:id="8" w:name="_Toc265483665"/>
      <w:bookmarkStart w:id="9" w:name="_Toc234348750"/>
      <w:bookmarkStart w:id="10" w:name="_Toc234350668"/>
      <w:bookmarkStart w:id="11" w:name="_Toc234349324"/>
      <w:bookmarkStart w:id="12" w:name="_Toc234345931"/>
      <w:bookmarkStart w:id="13" w:name="_Toc234345716"/>
      <w:r>
        <w:rPr>
          <w:rFonts w:hint="eastAsia" w:ascii="Times New Roman" w:eastAsia="黑体" w:cs="Times New Roman"/>
          <w:b/>
          <w:color w:val="auto"/>
          <w:sz w:val="30"/>
          <w:szCs w:val="30"/>
          <w:lang w:eastAsia="zh-CN"/>
        </w:rPr>
        <w:t>滨海新区8条国省级公路维修工程（一期--港城大道、海景大道）</w:t>
      </w:r>
      <w:r>
        <w:rPr>
          <w:rFonts w:hint="eastAsia" w:ascii="Times New Roman" w:eastAsia="黑体" w:cs="Times New Roman"/>
          <w:b/>
          <w:color w:val="auto"/>
          <w:sz w:val="30"/>
          <w:szCs w:val="30"/>
        </w:rPr>
        <w:t xml:space="preserve"> 施工</w:t>
      </w:r>
      <w:r>
        <w:rPr>
          <w:rFonts w:hint="eastAsia" w:ascii="黑体" w:eastAsia="黑体" w:cs="黑体"/>
          <w:b/>
          <w:color w:val="auto"/>
          <w:sz w:val="30"/>
          <w:szCs w:val="30"/>
        </w:rPr>
        <w:t>招标公告</w:t>
      </w:r>
    </w:p>
    <w:p>
      <w:pPr>
        <w:autoSpaceDE w:val="0"/>
        <w:autoSpaceDN w:val="0"/>
        <w:adjustRightInd w:val="0"/>
        <w:snapToGrid w:val="0"/>
        <w:jc w:val="left"/>
        <w:rPr>
          <w:rFonts w:ascii="宋体" w:hAnsi="宋体"/>
          <w:b/>
          <w:kern w:val="0"/>
          <w:szCs w:val="21"/>
        </w:rPr>
      </w:pPr>
    </w:p>
    <w:p>
      <w:pPr>
        <w:autoSpaceDE w:val="0"/>
        <w:autoSpaceDN w:val="0"/>
        <w:adjustRightInd w:val="0"/>
        <w:snapToGrid w:val="0"/>
        <w:spacing w:line="360" w:lineRule="auto"/>
        <w:jc w:val="left"/>
        <w:rPr>
          <w:rFonts w:ascii="黑体" w:eastAsia="黑体"/>
          <w:b/>
          <w:kern w:val="0"/>
          <w:sz w:val="24"/>
        </w:rPr>
      </w:pPr>
      <w:r>
        <w:rPr>
          <w:rFonts w:hint="eastAsia" w:ascii="黑体" w:eastAsia="黑体"/>
          <w:b/>
          <w:kern w:val="0"/>
          <w:sz w:val="24"/>
        </w:rPr>
        <w:t>1. 招标条件</w:t>
      </w:r>
    </w:p>
    <w:p>
      <w:pPr>
        <w:pStyle w:val="79"/>
        <w:snapToGrid w:val="0"/>
        <w:spacing w:line="360" w:lineRule="auto"/>
        <w:ind w:firstLine="480" w:firstLineChars="200"/>
        <w:rPr>
          <w:rFonts w:hAnsi="宋体"/>
          <w:color w:val="auto"/>
          <w:highlight w:val="none"/>
        </w:rPr>
      </w:pPr>
      <w:r>
        <w:rPr>
          <w:rFonts w:hint="eastAsia" w:hAnsi="宋体"/>
          <w:color w:val="auto"/>
        </w:rPr>
        <w:t>本招标项目</w:t>
      </w:r>
      <w:r>
        <w:rPr>
          <w:rFonts w:hint="eastAsia" w:hAnsi="宋体"/>
          <w:color w:val="auto"/>
          <w:u w:val="single"/>
        </w:rPr>
        <w:t xml:space="preserve"> </w:t>
      </w:r>
      <w:r>
        <w:rPr>
          <w:rFonts w:hint="eastAsia" w:hAnsi="宋体"/>
          <w:color w:val="auto"/>
          <w:u w:val="single"/>
          <w:lang w:eastAsia="zh-CN"/>
        </w:rPr>
        <w:t>滨海新区8条国省级公路维修工程（一期--港城大道、海景大道）</w:t>
      </w:r>
      <w:r>
        <w:rPr>
          <w:rFonts w:hint="eastAsia" w:hAnsi="宋体"/>
          <w:color w:val="auto"/>
          <w:u w:val="single"/>
        </w:rPr>
        <w:t xml:space="preserve"> </w:t>
      </w:r>
      <w:r>
        <w:rPr>
          <w:rFonts w:hint="eastAsia" w:hAnsi="宋体"/>
          <w:color w:val="auto"/>
          <w:u w:val="none"/>
          <w:lang w:eastAsia="zh-CN"/>
        </w:rPr>
        <w:t>初步设计</w:t>
      </w:r>
      <w:r>
        <w:rPr>
          <w:rFonts w:hint="eastAsia" w:hAnsi="宋体"/>
          <w:color w:val="auto"/>
          <w:u w:val="none"/>
        </w:rPr>
        <w:t>已</w:t>
      </w:r>
      <w:r>
        <w:rPr>
          <w:rFonts w:hint="eastAsia" w:hAnsi="宋体"/>
          <w:color w:val="auto"/>
        </w:rPr>
        <w:t>由</w:t>
      </w:r>
      <w:r>
        <w:rPr>
          <w:rFonts w:hint="eastAsia" w:ascii="宋体" w:hAnsi="宋体"/>
          <w:u w:val="single"/>
        </w:rPr>
        <w:t xml:space="preserve"> </w:t>
      </w:r>
      <w:r>
        <w:rPr>
          <w:rFonts w:hint="eastAsia" w:ascii="宋体" w:hAnsi="宋体"/>
          <w:u w:val="single"/>
          <w:lang w:eastAsia="zh-CN"/>
        </w:rPr>
        <w:t>天津市</w:t>
      </w:r>
      <w:r>
        <w:rPr>
          <w:rFonts w:hint="eastAsia" w:hAnsi="宋体"/>
          <w:u w:val="single"/>
          <w:lang w:eastAsia="zh-CN"/>
        </w:rPr>
        <w:t>滨海新区</w:t>
      </w:r>
      <w:r>
        <w:rPr>
          <w:rFonts w:hint="eastAsia" w:ascii="宋体" w:hAnsi="宋体"/>
          <w:u w:val="single"/>
          <w:lang w:eastAsia="zh-CN"/>
        </w:rPr>
        <w:t>行政审批局</w:t>
      </w:r>
      <w:r>
        <w:rPr>
          <w:rFonts w:hint="eastAsia" w:ascii="宋体" w:hAnsi="宋体" w:cs="宋体"/>
          <w:color w:val="auto"/>
          <w:u w:val="single"/>
        </w:rPr>
        <w:t xml:space="preserve"> </w:t>
      </w:r>
      <w:r>
        <w:rPr>
          <w:rFonts w:hint="eastAsia" w:ascii="宋体" w:hAnsi="宋体" w:cs="宋体"/>
          <w:color w:val="auto"/>
        </w:rPr>
        <w:t>以</w:t>
      </w:r>
      <w:r>
        <w:rPr>
          <w:rFonts w:hint="eastAsia" w:ascii="宋体" w:hAnsi="宋体" w:cs="宋体"/>
          <w:color w:val="auto"/>
          <w:u w:val="single"/>
        </w:rPr>
        <w:t xml:space="preserve"> 《关于</w:t>
      </w:r>
      <w:r>
        <w:rPr>
          <w:rFonts w:hint="eastAsia" w:hAnsi="宋体" w:cs="宋体"/>
          <w:color w:val="auto"/>
          <w:u w:val="single"/>
          <w:lang w:eastAsia="zh-CN"/>
        </w:rPr>
        <w:t>滨海新区8条国省级公路维修工程（一期--港城大道</w:t>
      </w:r>
      <w:r>
        <w:rPr>
          <w:rFonts w:hint="eastAsia" w:hAnsi="宋体" w:cs="宋体"/>
          <w:color w:val="auto"/>
          <w:highlight w:val="none"/>
          <w:u w:val="single"/>
          <w:lang w:eastAsia="zh-CN"/>
        </w:rPr>
        <w:t>、海景大道）初步设计</w:t>
      </w:r>
      <w:r>
        <w:rPr>
          <w:rFonts w:hint="eastAsia" w:hAnsi="宋体" w:cs="宋体"/>
          <w:color w:val="auto"/>
          <w:highlight w:val="none"/>
          <w:u w:val="single"/>
          <w:lang w:val="en-US" w:eastAsia="zh-CN"/>
        </w:rPr>
        <w:t>调整</w:t>
      </w:r>
      <w:r>
        <w:rPr>
          <w:rFonts w:hint="eastAsia" w:ascii="宋体" w:hAnsi="宋体" w:cs="宋体"/>
          <w:color w:val="auto"/>
          <w:highlight w:val="none"/>
          <w:u w:val="single"/>
          <w:lang w:eastAsia="zh-CN"/>
        </w:rPr>
        <w:t>的批复</w:t>
      </w:r>
      <w:r>
        <w:rPr>
          <w:rFonts w:hint="eastAsia" w:ascii="宋体" w:hAnsi="宋体" w:cs="宋体"/>
          <w:color w:val="auto"/>
          <w:highlight w:val="none"/>
          <w:u w:val="single"/>
        </w:rPr>
        <w:t>》（</w:t>
      </w:r>
      <w:r>
        <w:rPr>
          <w:rFonts w:hint="eastAsia" w:ascii="宋体" w:hAnsi="宋体" w:cs="宋体"/>
          <w:color w:val="auto"/>
          <w:highlight w:val="none"/>
          <w:u w:val="single"/>
          <w:lang w:eastAsia="zh-CN"/>
        </w:rPr>
        <w:t>津</w:t>
      </w:r>
      <w:r>
        <w:rPr>
          <w:rFonts w:hint="eastAsia" w:hAnsi="宋体" w:cs="宋体"/>
          <w:color w:val="auto"/>
          <w:highlight w:val="none"/>
          <w:u w:val="single"/>
          <w:lang w:eastAsia="zh-CN"/>
        </w:rPr>
        <w:t>滨</w:t>
      </w:r>
      <w:r>
        <w:rPr>
          <w:rFonts w:hint="eastAsia" w:ascii="宋体" w:hAnsi="宋体" w:cs="宋体"/>
          <w:color w:val="auto"/>
          <w:highlight w:val="none"/>
          <w:u w:val="single"/>
          <w:lang w:eastAsia="zh-CN"/>
        </w:rPr>
        <w:t>审批</w:t>
      </w:r>
      <w:r>
        <w:rPr>
          <w:rFonts w:hint="eastAsia" w:hAnsi="宋体" w:cs="宋体"/>
          <w:color w:val="auto"/>
          <w:highlight w:val="none"/>
          <w:u w:val="single"/>
          <w:lang w:eastAsia="zh-CN"/>
        </w:rPr>
        <w:t>一室准</w:t>
      </w:r>
      <w:r>
        <w:rPr>
          <w:rFonts w:hint="eastAsia" w:ascii="宋体" w:hAnsi="宋体" w:cs="宋体"/>
          <w:color w:val="auto"/>
          <w:highlight w:val="none"/>
          <w:u w:val="single"/>
        </w:rPr>
        <w:t>〔202</w:t>
      </w:r>
      <w:r>
        <w:rPr>
          <w:rFonts w:hint="eastAsia" w:hAnsi="宋体" w:cs="宋体"/>
          <w:color w:val="auto"/>
          <w:highlight w:val="none"/>
          <w:u w:val="single"/>
          <w:lang w:val="en-US" w:eastAsia="zh-CN"/>
        </w:rPr>
        <w:t>2</w:t>
      </w:r>
      <w:r>
        <w:rPr>
          <w:rFonts w:hint="eastAsia" w:ascii="宋体" w:hAnsi="宋体" w:cs="宋体"/>
          <w:color w:val="auto"/>
          <w:highlight w:val="none"/>
          <w:u w:val="single"/>
        </w:rPr>
        <w:t>〕</w:t>
      </w:r>
      <w:r>
        <w:rPr>
          <w:rFonts w:hint="eastAsia" w:hAnsi="宋体" w:cs="宋体"/>
          <w:color w:val="auto"/>
          <w:highlight w:val="none"/>
          <w:u w:val="single"/>
          <w:lang w:val="en-US" w:eastAsia="zh-CN"/>
        </w:rPr>
        <w:t>128</w:t>
      </w:r>
      <w:r>
        <w:rPr>
          <w:rFonts w:hint="eastAsia" w:ascii="宋体" w:hAnsi="宋体" w:cs="宋体"/>
          <w:color w:val="auto"/>
          <w:highlight w:val="none"/>
          <w:u w:val="single"/>
        </w:rPr>
        <w:t>号）</w:t>
      </w:r>
      <w:r>
        <w:rPr>
          <w:rFonts w:hint="eastAsia" w:hAnsi="宋体"/>
          <w:color w:val="auto"/>
          <w:highlight w:val="none"/>
        </w:rPr>
        <w:t>批准</w:t>
      </w:r>
      <w:r>
        <w:rPr>
          <w:rFonts w:hint="eastAsia" w:hAnsi="宋体"/>
          <w:color w:val="auto"/>
          <w:highlight w:val="none"/>
          <w:lang w:eastAsia="zh-CN"/>
        </w:rPr>
        <w:t>实施</w:t>
      </w:r>
      <w:r>
        <w:rPr>
          <w:rFonts w:hint="eastAsia" w:hAnsi="宋体"/>
          <w:color w:val="auto"/>
          <w:szCs w:val="21"/>
          <w:highlight w:val="none"/>
        </w:rPr>
        <w:t>，</w:t>
      </w:r>
      <w:r>
        <w:rPr>
          <w:rFonts w:hint="eastAsia"/>
          <w:color w:val="auto"/>
        </w:rPr>
        <w:t>施工图设计</w:t>
      </w:r>
      <w:r>
        <w:rPr>
          <w:rFonts w:hint="eastAsia" w:hAnsi="宋体"/>
          <w:color w:val="auto"/>
        </w:rPr>
        <w:t>已由</w:t>
      </w:r>
      <w:r>
        <w:rPr>
          <w:rFonts w:hint="eastAsia" w:hAnsi="宋体"/>
          <w:color w:val="auto"/>
          <w:u w:val="single"/>
        </w:rPr>
        <w:t xml:space="preserve"> </w:t>
      </w:r>
      <w:r>
        <w:rPr>
          <w:rFonts w:hint="eastAsia" w:ascii="宋体" w:hAnsi="宋体"/>
          <w:szCs w:val="21"/>
          <w:u w:val="single"/>
          <w:lang w:val="en-US" w:eastAsia="zh-CN"/>
        </w:rPr>
        <w:t>天津市滨海新区交通运输局</w:t>
      </w:r>
      <w:r>
        <w:rPr>
          <w:rFonts w:hint="eastAsia" w:hAnsi="宋体"/>
          <w:color w:val="auto"/>
          <w:u w:val="single"/>
        </w:rPr>
        <w:t xml:space="preserve"> </w:t>
      </w:r>
      <w:r>
        <w:rPr>
          <w:rFonts w:hint="eastAsia" w:hAnsi="宋体"/>
          <w:color w:val="auto"/>
          <w:szCs w:val="21"/>
        </w:rPr>
        <w:t>以</w:t>
      </w:r>
      <w:r>
        <w:rPr>
          <w:rFonts w:hint="eastAsia" w:hAnsi="宋体"/>
          <w:color w:val="auto"/>
          <w:szCs w:val="21"/>
          <w:u w:val="single"/>
        </w:rPr>
        <w:t xml:space="preserve"> 《天津市滨海新区公路工程施工图设计文件批准书》（编号：BHGL20220002） </w:t>
      </w:r>
      <w:r>
        <w:rPr>
          <w:rFonts w:hint="eastAsia" w:hAnsi="宋体"/>
          <w:color w:val="auto"/>
          <w:szCs w:val="21"/>
        </w:rPr>
        <w:t>批准</w:t>
      </w:r>
      <w:r>
        <w:rPr>
          <w:rFonts w:hint="eastAsia" w:hAnsi="宋体"/>
          <w:color w:val="auto"/>
          <w:szCs w:val="21"/>
          <w:lang w:eastAsia="zh-CN"/>
        </w:rPr>
        <w:t>，</w:t>
      </w:r>
      <w:r>
        <w:rPr>
          <w:rFonts w:hint="eastAsia" w:hAnsi="宋体"/>
          <w:color w:val="auto"/>
          <w:highlight w:val="none"/>
        </w:rPr>
        <w:t>项目业主为</w:t>
      </w:r>
      <w:r>
        <w:rPr>
          <w:rFonts w:hint="eastAsia" w:hAnsi="宋体"/>
          <w:color w:val="auto"/>
          <w:highlight w:val="none"/>
          <w:u w:val="single"/>
        </w:rPr>
        <w:t xml:space="preserve"> </w:t>
      </w:r>
      <w:r>
        <w:rPr>
          <w:rFonts w:hint="eastAsia" w:hAnsi="宋体"/>
          <w:color w:val="auto"/>
          <w:highlight w:val="none"/>
          <w:u w:val="single"/>
          <w:lang w:eastAsia="zh-CN"/>
        </w:rPr>
        <w:t>天津市滨海新区城投建设发展有限公司</w:t>
      </w:r>
      <w:r>
        <w:rPr>
          <w:rFonts w:hint="eastAsia" w:hAnsi="宋体"/>
          <w:color w:val="auto"/>
          <w:highlight w:val="none"/>
        </w:rPr>
        <w:t>，建设资金来自</w:t>
      </w:r>
      <w:r>
        <w:rPr>
          <w:rFonts w:hint="eastAsia" w:hAnsi="宋体"/>
          <w:color w:val="auto"/>
          <w:highlight w:val="none"/>
          <w:lang w:eastAsia="zh-CN"/>
        </w:rPr>
        <w:t xml:space="preserve"> </w:t>
      </w:r>
      <w:r>
        <w:rPr>
          <w:rFonts w:hint="eastAsia" w:hAnsi="宋体" w:cs="宋体"/>
          <w:color w:val="auto"/>
          <w:highlight w:val="none"/>
          <w:u w:val="single"/>
          <w:lang w:eastAsia="zh-CN"/>
        </w:rPr>
        <w:t>政府专项债和财政资金</w:t>
      </w:r>
      <w:r>
        <w:rPr>
          <w:rFonts w:hint="eastAsia" w:hAnsi="宋体"/>
          <w:color w:val="auto"/>
          <w:highlight w:val="none"/>
          <w:u w:val="single"/>
        </w:rPr>
        <w:t xml:space="preserve"> </w:t>
      </w:r>
      <w:r>
        <w:rPr>
          <w:rFonts w:hint="eastAsia" w:hAnsi="宋体"/>
          <w:color w:val="auto"/>
          <w:highlight w:val="none"/>
        </w:rPr>
        <w:t>，出资比例为</w:t>
      </w:r>
      <w:r>
        <w:rPr>
          <w:rFonts w:hint="eastAsia" w:hAnsi="宋体"/>
          <w:color w:val="auto"/>
          <w:highlight w:val="none"/>
          <w:u w:val="single"/>
        </w:rPr>
        <w:t xml:space="preserve"> 100% </w:t>
      </w:r>
      <w:r>
        <w:rPr>
          <w:rFonts w:hint="eastAsia" w:hAnsi="宋体"/>
          <w:color w:val="auto"/>
          <w:highlight w:val="none"/>
        </w:rPr>
        <w:t>，招标人为</w:t>
      </w:r>
      <w:r>
        <w:rPr>
          <w:rFonts w:hint="eastAsia" w:hAnsi="宋体"/>
          <w:color w:val="auto"/>
          <w:highlight w:val="none"/>
          <w:u w:val="single"/>
        </w:rPr>
        <w:t xml:space="preserve"> </w:t>
      </w:r>
      <w:r>
        <w:rPr>
          <w:rFonts w:hint="eastAsia" w:hAnsi="宋体"/>
          <w:color w:val="auto"/>
          <w:highlight w:val="none"/>
          <w:u w:val="single"/>
          <w:lang w:eastAsia="zh-CN"/>
        </w:rPr>
        <w:t>天津市滨海新区城投建设发展有限公司</w:t>
      </w:r>
      <w:r>
        <w:rPr>
          <w:rFonts w:hint="eastAsia" w:hAnsi="宋体"/>
          <w:color w:val="auto"/>
          <w:highlight w:val="none"/>
          <w:u w:val="single"/>
        </w:rPr>
        <w:t xml:space="preserve"> </w:t>
      </w:r>
      <w:r>
        <w:rPr>
          <w:rFonts w:hint="eastAsia" w:hAnsi="宋体"/>
          <w:color w:val="auto"/>
          <w:highlight w:val="none"/>
        </w:rPr>
        <w:t>。</w:t>
      </w:r>
      <w:r>
        <w:rPr>
          <w:rFonts w:ascii="Times New Roman" w:cs="Times New Roman"/>
          <w:color w:val="auto"/>
          <w:highlight w:val="none"/>
        </w:rPr>
        <w:t>项目已具备招标条件，现对该项目的施工进行公开招标</w:t>
      </w:r>
      <w:r>
        <w:rPr>
          <w:rFonts w:hint="eastAsia" w:hAnsi="宋体"/>
          <w:color w:val="auto"/>
          <w:highlight w:val="none"/>
        </w:rPr>
        <w:t>。</w:t>
      </w:r>
    </w:p>
    <w:p>
      <w:pPr>
        <w:autoSpaceDE w:val="0"/>
        <w:autoSpaceDN w:val="0"/>
        <w:adjustRightInd w:val="0"/>
        <w:snapToGrid w:val="0"/>
        <w:spacing w:line="360" w:lineRule="auto"/>
        <w:jc w:val="left"/>
        <w:rPr>
          <w:rFonts w:ascii="黑体" w:eastAsia="黑体"/>
          <w:b/>
          <w:kern w:val="0"/>
          <w:sz w:val="24"/>
          <w:highlight w:val="none"/>
        </w:rPr>
      </w:pPr>
      <w:r>
        <w:rPr>
          <w:rFonts w:hint="eastAsia" w:ascii="黑体" w:eastAsia="黑体"/>
          <w:b/>
          <w:kern w:val="0"/>
          <w:sz w:val="24"/>
          <w:highlight w:val="none"/>
        </w:rPr>
        <w:t xml:space="preserve">2. 项目概况与招标范围 </w:t>
      </w:r>
    </w:p>
    <w:p>
      <w:pPr>
        <w:pStyle w:val="79"/>
        <w:snapToGrid w:val="0"/>
        <w:spacing w:line="360" w:lineRule="auto"/>
        <w:ind w:firstLine="480" w:firstLineChars="200"/>
        <w:rPr>
          <w:color w:val="auto"/>
          <w:highlight w:val="none"/>
        </w:rPr>
      </w:pPr>
      <w:r>
        <w:rPr>
          <w:rFonts w:hint="eastAsia"/>
          <w:color w:val="auto"/>
          <w:highlight w:val="none"/>
        </w:rPr>
        <w:t>2.1 项目概况：</w:t>
      </w:r>
    </w:p>
    <w:p>
      <w:pPr>
        <w:pStyle w:val="79"/>
        <w:snapToGrid w:val="0"/>
        <w:spacing w:line="360" w:lineRule="auto"/>
        <w:ind w:firstLine="480" w:firstLineChars="200"/>
        <w:rPr>
          <w:rFonts w:hint="eastAsia" w:hAnsi="宋体"/>
          <w:color w:val="auto"/>
          <w:highlight w:val="none"/>
        </w:rPr>
      </w:pPr>
      <w:r>
        <w:rPr>
          <w:rFonts w:hint="eastAsia" w:hAnsi="宋体"/>
          <w:color w:val="auto"/>
          <w:highlight w:val="none"/>
        </w:rPr>
        <w:t>项目位于滨海新区港城大道（西中环-杨北立交）、海景大道（港塘路-轻纺大道），总长约13.4km。其中：港城大道段桩号K16+251.435~K21+400，长度5.1km；海景大道段桩号K1626+504~K1634+779，长度8.3km。</w:t>
      </w:r>
    </w:p>
    <w:p>
      <w:pPr>
        <w:pStyle w:val="79"/>
        <w:snapToGrid w:val="0"/>
        <w:spacing w:line="360" w:lineRule="auto"/>
        <w:ind w:firstLine="480" w:firstLineChars="200"/>
        <w:rPr>
          <w:rFonts w:hAnsi="宋体"/>
          <w:color w:val="auto"/>
          <w:highlight w:val="none"/>
        </w:rPr>
      </w:pPr>
      <w:r>
        <w:rPr>
          <w:rFonts w:hint="eastAsia" w:hAnsi="宋体"/>
          <w:color w:val="auto"/>
          <w:highlight w:val="none"/>
          <w:lang w:eastAsia="zh-CN"/>
        </w:rPr>
        <w:t>本项目主要</w:t>
      </w:r>
      <w:r>
        <w:rPr>
          <w:rFonts w:hint="eastAsia" w:hAnsi="宋体"/>
          <w:color w:val="auto"/>
          <w:highlight w:val="none"/>
        </w:rPr>
        <w:t>实施港城大道、海景大道两条公路维修工程，采用一级公路标准，路面结构性修复设计年限为10年，功能性修复设计年限为5年，设计车速60km/h，主要包括道路工程、交通工程。</w:t>
      </w:r>
    </w:p>
    <w:p>
      <w:pPr>
        <w:pStyle w:val="79"/>
        <w:snapToGrid w:val="0"/>
        <w:spacing w:line="360" w:lineRule="auto"/>
        <w:ind w:firstLine="480" w:firstLineChars="200"/>
        <w:rPr>
          <w:color w:val="auto"/>
          <w:highlight w:val="none"/>
        </w:rPr>
      </w:pPr>
      <w:r>
        <w:rPr>
          <w:rFonts w:hint="eastAsia"/>
          <w:color w:val="auto"/>
          <w:highlight w:val="none"/>
        </w:rPr>
        <w:t>2.2 计划工期：</w:t>
      </w:r>
    </w:p>
    <w:p>
      <w:pPr>
        <w:pStyle w:val="79"/>
        <w:snapToGrid w:val="0"/>
        <w:spacing w:line="360" w:lineRule="auto"/>
        <w:ind w:firstLine="480" w:firstLineChars="200"/>
        <w:rPr>
          <w:color w:val="auto"/>
          <w:highlight w:val="none"/>
        </w:rPr>
      </w:pPr>
      <w:r>
        <w:rPr>
          <w:rFonts w:hint="eastAsia"/>
          <w:color w:val="auto"/>
          <w:highlight w:val="none"/>
          <w:lang w:val="en-US" w:eastAsia="zh-CN"/>
        </w:rPr>
        <w:t>153</w:t>
      </w:r>
      <w:r>
        <w:rPr>
          <w:rFonts w:hint="eastAsia"/>
          <w:color w:val="auto"/>
          <w:highlight w:val="none"/>
        </w:rPr>
        <w:t>日历天（即：</w:t>
      </w:r>
      <w:r>
        <w:rPr>
          <w:rFonts w:hint="eastAsia"/>
          <w:color w:val="auto"/>
          <w:highlight w:val="none"/>
          <w:lang w:eastAsia="zh-CN"/>
        </w:rPr>
        <w:t>2022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color w:val="auto"/>
          <w:highlight w:val="none"/>
          <w:lang w:eastAsia="zh-CN"/>
        </w:rPr>
        <w:t>2022</w:t>
      </w:r>
      <w:r>
        <w:rPr>
          <w:rFonts w:hint="eastAsia"/>
          <w:color w:val="auto"/>
          <w:highlight w:val="none"/>
        </w:rPr>
        <w:t>年1</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pStyle w:val="79"/>
        <w:snapToGrid w:val="0"/>
        <w:spacing w:line="360" w:lineRule="auto"/>
        <w:ind w:firstLine="480" w:firstLineChars="200"/>
        <w:rPr>
          <w:color w:val="auto"/>
          <w:highlight w:val="none"/>
        </w:rPr>
      </w:pPr>
      <w:r>
        <w:rPr>
          <w:rFonts w:hint="eastAsia"/>
          <w:color w:val="auto"/>
          <w:highlight w:val="none"/>
        </w:rPr>
        <w:t>2.3 招标范围：</w:t>
      </w:r>
    </w:p>
    <w:p>
      <w:pPr>
        <w:pStyle w:val="79"/>
        <w:snapToGrid w:val="0"/>
        <w:spacing w:line="360" w:lineRule="auto"/>
        <w:ind w:firstLine="480" w:firstLineChars="200"/>
        <w:rPr>
          <w:color w:val="auto"/>
          <w:highlight w:val="none"/>
        </w:rPr>
      </w:pPr>
      <w:r>
        <w:rPr>
          <w:rFonts w:hint="eastAsia"/>
          <w:color w:val="auto"/>
          <w:highlight w:val="none"/>
        </w:rPr>
        <w:t>本次招标为</w:t>
      </w:r>
      <w:r>
        <w:rPr>
          <w:rFonts w:hint="eastAsia"/>
          <w:color w:val="auto"/>
          <w:highlight w:val="none"/>
          <w:lang w:val="en-US" w:eastAsia="zh-CN"/>
        </w:rPr>
        <w:t>1</w:t>
      </w:r>
      <w:r>
        <w:rPr>
          <w:rFonts w:hint="eastAsia"/>
          <w:color w:val="auto"/>
          <w:highlight w:val="none"/>
        </w:rPr>
        <w:t>个标段，包括本工程的道路工程、桥梁工程、排水工程、交通及安防设施工程等。（具体内容详见招标人所发工程量清单及图纸）。</w:t>
      </w:r>
    </w:p>
    <w:p>
      <w:pPr>
        <w:autoSpaceDE w:val="0"/>
        <w:autoSpaceDN w:val="0"/>
        <w:adjustRightInd w:val="0"/>
        <w:snapToGrid w:val="0"/>
        <w:spacing w:line="360" w:lineRule="auto"/>
        <w:jc w:val="left"/>
        <w:rPr>
          <w:rFonts w:ascii="黑体" w:eastAsia="黑体"/>
          <w:b/>
          <w:kern w:val="0"/>
          <w:sz w:val="24"/>
        </w:rPr>
      </w:pPr>
      <w:r>
        <w:rPr>
          <w:rFonts w:hint="eastAsia" w:ascii="黑体" w:eastAsia="黑体"/>
          <w:b/>
          <w:kern w:val="0"/>
          <w:sz w:val="24"/>
        </w:rPr>
        <w:t xml:space="preserve">3. 投标人资格要求    </w:t>
      </w:r>
    </w:p>
    <w:p>
      <w:pPr>
        <w:autoSpaceDE w:val="0"/>
        <w:autoSpaceDN w:val="0"/>
        <w:adjustRightInd w:val="0"/>
        <w:snapToGrid w:val="0"/>
        <w:spacing w:line="360" w:lineRule="auto"/>
        <w:ind w:left="120" w:leftChars="57" w:firstLine="240" w:firstLineChars="100"/>
        <w:jc w:val="left"/>
        <w:rPr>
          <w:rFonts w:ascii="宋体" w:hAnsi="宋体" w:cs="宋体"/>
          <w:kern w:val="0"/>
          <w:sz w:val="24"/>
        </w:rPr>
      </w:pPr>
      <w:r>
        <w:rPr>
          <w:rFonts w:ascii="宋体" w:hAnsi="宋体"/>
          <w:kern w:val="0"/>
          <w:sz w:val="24"/>
        </w:rPr>
        <w:t>3.1</w:t>
      </w:r>
      <w:r>
        <w:rPr>
          <w:rFonts w:hint="eastAsia" w:ascii="宋体" w:hAnsi="宋体"/>
          <w:kern w:val="0"/>
          <w:sz w:val="24"/>
        </w:rPr>
        <w:t xml:space="preserve"> </w:t>
      </w:r>
      <w:r>
        <w:rPr>
          <w:rFonts w:hint="eastAsia" w:ascii="宋体" w:hAnsi="宋体" w:cs="宋体"/>
          <w:kern w:val="0"/>
          <w:sz w:val="24"/>
        </w:rPr>
        <w:t>本次招标要求投标人须具备</w:t>
      </w:r>
      <w:r>
        <w:rPr>
          <w:rFonts w:hint="eastAsia" w:ascii="宋体" w:hAnsi="宋体" w:cs="宋体"/>
          <w:kern w:val="0"/>
          <w:sz w:val="24"/>
          <w:u w:val="single"/>
        </w:rPr>
        <w:t>建设行政</w:t>
      </w:r>
      <w:r>
        <w:rPr>
          <w:rFonts w:hint="eastAsia" w:ascii="宋体" w:hAnsi="宋体"/>
          <w:sz w:val="24"/>
          <w:u w:val="single"/>
        </w:rPr>
        <w:t>主管部门核发的公路工程施工总承包一级（或以上）资质，近五年内（工程交工时间为</w:t>
      </w:r>
      <w:r>
        <w:rPr>
          <w:rFonts w:hint="eastAsia" w:ascii="宋体" w:hAnsi="宋体"/>
          <w:sz w:val="24"/>
          <w:u w:val="single"/>
          <w:lang w:eastAsia="zh-CN"/>
        </w:rPr>
        <w:t>2017年1月1日</w:t>
      </w:r>
      <w:r>
        <w:rPr>
          <w:rFonts w:hint="eastAsia" w:ascii="宋体" w:hAnsi="宋体"/>
          <w:sz w:val="24"/>
          <w:u w:val="single"/>
        </w:rPr>
        <w:t>至投标截止之日）至少同时完成过一项一级（或以上级别）公路工程</w:t>
      </w:r>
      <w:r>
        <w:rPr>
          <w:rFonts w:hint="eastAsia" w:ascii="宋体" w:hAnsi="宋体" w:cs="宋体"/>
          <w:sz w:val="24"/>
        </w:rPr>
        <w:t>施工业绩，并在人员、设备、资金等方面具备相应的施工能力</w:t>
      </w:r>
      <w:r>
        <w:rPr>
          <w:rFonts w:hint="eastAsia" w:ascii="宋体" w:hAnsi="宋体" w:cs="宋体"/>
          <w:kern w:val="0"/>
          <w:sz w:val="24"/>
        </w:rPr>
        <w:t>。</w:t>
      </w:r>
    </w:p>
    <w:p>
      <w:pPr>
        <w:autoSpaceDE w:val="0"/>
        <w:autoSpaceDN w:val="0"/>
        <w:adjustRightInd w:val="0"/>
        <w:snapToGrid w:val="0"/>
        <w:spacing w:line="360" w:lineRule="auto"/>
        <w:ind w:left="120" w:leftChars="57" w:firstLine="480" w:firstLineChars="200"/>
        <w:rPr>
          <w:rFonts w:ascii="宋体" w:hAnsi="宋体" w:cs="宋体"/>
          <w:kern w:val="0"/>
          <w:sz w:val="24"/>
        </w:rPr>
      </w:pPr>
      <w:r>
        <w:rPr>
          <w:rFonts w:hint="eastAsia" w:ascii="宋体" w:hAnsi="宋体" w:cs="宋体"/>
          <w:kern w:val="0"/>
          <w:sz w:val="24"/>
        </w:rPr>
        <w:t>投标人应进入交通运输部“全国公路建设市场信用信息管理系统（http://glxy.mot.gov.cn)”中的公路工程施工资质企业名录，且投标人名称和资质与该名录中的相应企业名称和资质完全一致。</w:t>
      </w:r>
    </w:p>
    <w:p>
      <w:pPr>
        <w:autoSpaceDE w:val="0"/>
        <w:autoSpaceDN w:val="0"/>
        <w:adjustRightInd w:val="0"/>
        <w:snapToGrid w:val="0"/>
        <w:spacing w:line="360" w:lineRule="auto"/>
        <w:ind w:left="120" w:leftChars="57" w:firstLine="480" w:firstLineChars="200"/>
      </w:pPr>
      <w:r>
        <w:rPr>
          <w:rFonts w:hint="eastAsia" w:ascii="宋体" w:hAnsi="宋体" w:cs="宋体"/>
          <w:kern w:val="0"/>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autoSpaceDE w:val="0"/>
        <w:autoSpaceDN w:val="0"/>
        <w:adjustRightInd w:val="0"/>
        <w:snapToGrid w:val="0"/>
        <w:spacing w:line="360" w:lineRule="auto"/>
        <w:ind w:firstLine="360" w:firstLineChars="150"/>
        <w:jc w:val="left"/>
        <w:rPr>
          <w:kern w:val="0"/>
          <w:sz w:val="24"/>
        </w:rPr>
      </w:pPr>
      <w:r>
        <w:rPr>
          <w:rFonts w:ascii="宋体" w:hAnsi="宋体"/>
          <w:kern w:val="0"/>
          <w:sz w:val="24"/>
        </w:rPr>
        <w:t>3.</w:t>
      </w:r>
      <w:r>
        <w:rPr>
          <w:rFonts w:hint="eastAsia" w:ascii="宋体" w:hAnsi="宋体"/>
          <w:kern w:val="0"/>
          <w:sz w:val="24"/>
        </w:rPr>
        <w:t xml:space="preserve">2 </w:t>
      </w:r>
      <w:r>
        <w:rPr>
          <w:rFonts w:hint="eastAsia"/>
          <w:kern w:val="0"/>
          <w:sz w:val="24"/>
        </w:rPr>
        <w:t>本次招标</w:t>
      </w:r>
      <w:r>
        <w:rPr>
          <w:rFonts w:hint="eastAsia"/>
          <w:kern w:val="0"/>
          <w:sz w:val="24"/>
          <w:u w:val="single"/>
        </w:rPr>
        <w:t xml:space="preserve"> 不接受 </w:t>
      </w:r>
      <w:r>
        <w:rPr>
          <w:rFonts w:hint="eastAsia"/>
          <w:kern w:val="0"/>
          <w:sz w:val="24"/>
        </w:rPr>
        <w:t>联合体投标。</w:t>
      </w:r>
    </w:p>
    <w:p>
      <w:pPr>
        <w:spacing w:line="360" w:lineRule="auto"/>
        <w:ind w:firstLine="360" w:firstLineChars="150"/>
        <w:rPr>
          <w:rFonts w:ascii="宋体" w:hAnsi="宋体"/>
          <w:kern w:val="0"/>
          <w:sz w:val="24"/>
        </w:rPr>
      </w:pPr>
      <w:bookmarkStart w:id="14" w:name="_Toc322609492"/>
      <w:r>
        <w:rPr>
          <w:rFonts w:ascii="宋体" w:hAnsi="宋体"/>
          <w:kern w:val="0"/>
          <w:sz w:val="24"/>
        </w:rPr>
        <w:t>3.</w:t>
      </w:r>
      <w:r>
        <w:rPr>
          <w:rFonts w:hint="eastAsia" w:ascii="宋体" w:hAnsi="宋体"/>
          <w:kern w:val="0"/>
          <w:sz w:val="24"/>
        </w:rPr>
        <w:t>3 每个投标人最多可对</w:t>
      </w:r>
      <w:r>
        <w:rPr>
          <w:rFonts w:hint="eastAsia" w:ascii="宋体" w:hAnsi="宋体"/>
          <w:kern w:val="0"/>
          <w:sz w:val="24"/>
          <w:u w:val="single"/>
        </w:rPr>
        <w:t>1</w:t>
      </w:r>
      <w:r>
        <w:rPr>
          <w:rFonts w:hint="eastAsia" w:ascii="宋体" w:hAnsi="宋体"/>
          <w:kern w:val="0"/>
          <w:sz w:val="24"/>
        </w:rPr>
        <w:t>个标段投标，被招标项目所在省级交通主管部门评为</w:t>
      </w:r>
      <w:r>
        <w:rPr>
          <w:rFonts w:hint="eastAsia" w:ascii="宋体" w:hAnsi="宋体"/>
          <w:kern w:val="0"/>
          <w:sz w:val="24"/>
          <w:u w:val="single"/>
        </w:rPr>
        <w:t>/</w:t>
      </w:r>
      <w:r>
        <w:rPr>
          <w:rFonts w:hint="eastAsia" w:ascii="宋体" w:hAnsi="宋体"/>
          <w:kern w:val="0"/>
          <w:sz w:val="24"/>
        </w:rPr>
        <w:t>信用等级的投标人，最多可对</w:t>
      </w:r>
      <w:r>
        <w:rPr>
          <w:rFonts w:hint="eastAsia" w:ascii="宋体" w:hAnsi="宋体"/>
          <w:kern w:val="0"/>
          <w:sz w:val="24"/>
          <w:u w:val="single"/>
        </w:rPr>
        <w:t>1</w:t>
      </w:r>
      <w:r>
        <w:rPr>
          <w:rFonts w:hint="eastAsia" w:ascii="宋体" w:hAnsi="宋体"/>
          <w:kern w:val="0"/>
          <w:sz w:val="24"/>
        </w:rPr>
        <w:t>个标段投标。每个投标人允许中</w:t>
      </w:r>
      <w:r>
        <w:rPr>
          <w:rFonts w:hint="eastAsia" w:ascii="宋体" w:hAnsi="宋体"/>
          <w:kern w:val="0"/>
          <w:sz w:val="24"/>
          <w:u w:val="single"/>
        </w:rPr>
        <w:t>1</w:t>
      </w:r>
      <w:r>
        <w:rPr>
          <w:rFonts w:hint="eastAsia" w:ascii="宋体" w:hAnsi="宋体"/>
          <w:kern w:val="0"/>
          <w:sz w:val="24"/>
        </w:rPr>
        <w:t xml:space="preserve">个标。 </w:t>
      </w:r>
    </w:p>
    <w:p>
      <w:pPr>
        <w:spacing w:line="360" w:lineRule="auto"/>
        <w:ind w:firstLine="360" w:firstLineChars="150"/>
        <w:rPr>
          <w:rFonts w:hint="eastAsia" w:ascii="宋体" w:hAnsi="宋体" w:eastAsia="宋体"/>
          <w:kern w:val="0"/>
          <w:sz w:val="24"/>
          <w:lang w:eastAsia="zh-CN"/>
        </w:rPr>
      </w:pPr>
      <w:r>
        <w:rPr>
          <w:rFonts w:hint="eastAsia" w:ascii="宋体" w:hAnsi="宋体"/>
          <w:kern w:val="0"/>
          <w:sz w:val="24"/>
        </w:rPr>
        <w:t>对投标人信用等级的认定条件为：交通运输部2020年度公路建设从业企业全国综合信用评价结果</w:t>
      </w:r>
      <w:r>
        <w:rPr>
          <w:rFonts w:hint="eastAsia" w:ascii="宋体" w:hAnsi="宋体"/>
          <w:kern w:val="0"/>
          <w:sz w:val="24"/>
          <w:lang w:eastAsia="zh-CN"/>
        </w:rPr>
        <w:t>或</w:t>
      </w:r>
      <w:r>
        <w:rPr>
          <w:rFonts w:hint="eastAsia" w:ascii="宋体" w:hAnsi="宋体"/>
          <w:kern w:val="0"/>
          <w:sz w:val="24"/>
        </w:rPr>
        <w:t>2021年度天津市公路建设市场从业企业及人员信用评价均被评为C级或以上</w:t>
      </w:r>
      <w:r>
        <w:rPr>
          <w:rFonts w:hint="eastAsia" w:ascii="宋体" w:hAnsi="宋体"/>
          <w:kern w:val="0"/>
          <w:sz w:val="24"/>
          <w:lang w:eastAsia="zh-CN"/>
        </w:rPr>
        <w:t>。</w:t>
      </w:r>
    </w:p>
    <w:p>
      <w:pPr>
        <w:spacing w:line="360" w:lineRule="auto"/>
        <w:ind w:firstLine="360" w:firstLineChars="150"/>
        <w:rPr>
          <w:rFonts w:ascii="宋体" w:hAnsi="宋体"/>
          <w:sz w:val="24"/>
        </w:rPr>
      </w:pPr>
      <w:r>
        <w:rPr>
          <w:rFonts w:hint="eastAsia" w:ascii="宋体" w:hAnsi="宋体"/>
          <w:kern w:val="0"/>
          <w:sz w:val="24"/>
        </w:rPr>
        <w:t xml:space="preserve">3.4 </w:t>
      </w:r>
      <w:r>
        <w:rPr>
          <w:rFonts w:hint="eastAsia" w:ascii="宋体" w:hAnsi="宋体"/>
          <w:sz w:val="24"/>
        </w:rPr>
        <w:t>与招标人存在利害关系可能影响招标公正性的单位，不得参加投标，单位负责人为同一人或存在控股、管理关系的不同单位，不得参加同一标段投标，否则，相关投标均无效。</w:t>
      </w:r>
    </w:p>
    <w:p>
      <w:pPr>
        <w:spacing w:line="360" w:lineRule="auto"/>
        <w:ind w:firstLine="360" w:firstLineChars="150"/>
        <w:rPr>
          <w:rFonts w:ascii="宋体" w:hAnsi="宋体"/>
          <w:sz w:val="24"/>
        </w:rPr>
      </w:pPr>
      <w:r>
        <w:rPr>
          <w:rFonts w:hint="eastAsia" w:ascii="宋体" w:hAnsi="宋体"/>
          <w:kern w:val="0"/>
          <w:sz w:val="24"/>
        </w:rPr>
        <w:t xml:space="preserve">3.5 </w:t>
      </w:r>
      <w:r>
        <w:rPr>
          <w:rFonts w:hint="eastAsia" w:ascii="宋体" w:hAnsi="宋体"/>
          <w:sz w:val="24"/>
        </w:rPr>
        <w:t>在“信用中国”网站（http://www.creditchina.gov.cn/）中被列入失信被执行人名单的投标人，不得参加投标。</w:t>
      </w:r>
    </w:p>
    <w:bookmarkEnd w:id="14"/>
    <w:p>
      <w:pPr>
        <w:spacing w:line="360" w:lineRule="auto"/>
        <w:ind w:firstLine="361" w:firstLineChars="150"/>
        <w:rPr>
          <w:rFonts w:ascii="黑体" w:eastAsia="黑体"/>
          <w:b/>
          <w:kern w:val="0"/>
          <w:sz w:val="24"/>
        </w:rPr>
      </w:pPr>
      <w:r>
        <w:rPr>
          <w:rFonts w:hint="eastAsia" w:ascii="黑体" w:eastAsia="黑体"/>
          <w:b/>
          <w:kern w:val="0"/>
          <w:sz w:val="24"/>
        </w:rPr>
        <w:t xml:space="preserve">4. 招标文件的获取 </w:t>
      </w:r>
    </w:p>
    <w:p>
      <w:pPr>
        <w:spacing w:line="360" w:lineRule="auto"/>
        <w:ind w:firstLine="480" w:firstLineChars="200"/>
        <w:rPr>
          <w:rFonts w:ascii="宋体" w:hAnsi="宋体" w:cs="宋体"/>
          <w:sz w:val="24"/>
        </w:rPr>
      </w:pPr>
      <w:r>
        <w:rPr>
          <w:rFonts w:ascii="宋体" w:hAnsi="宋体"/>
          <w:kern w:val="0"/>
          <w:sz w:val="24"/>
        </w:rPr>
        <w:t xml:space="preserve">4.1 </w:t>
      </w:r>
      <w:r>
        <w:rPr>
          <w:rFonts w:hint="eastAsia" w:ascii="宋体" w:hAnsi="宋体" w:cs="宋体"/>
          <w:kern w:val="0"/>
          <w:sz w:val="24"/>
        </w:rPr>
        <w:t>凡有意参加投标者，请于</w:t>
      </w:r>
      <w:r>
        <w:rPr>
          <w:rFonts w:hint="eastAsia" w:ascii="宋体" w:hAnsi="宋体" w:cs="宋体"/>
          <w:kern w:val="0"/>
          <w:sz w:val="24"/>
          <w:u w:val="single"/>
        </w:rPr>
        <w:t xml:space="preserve"> </w:t>
      </w:r>
      <w:r>
        <w:rPr>
          <w:rFonts w:hint="eastAsia" w:ascii="宋体" w:hAnsi="宋体" w:cs="宋体"/>
          <w:kern w:val="0"/>
          <w:sz w:val="24"/>
          <w:u w:val="single"/>
          <w:lang w:eastAsia="zh-CN"/>
        </w:rPr>
        <w:t>2022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8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u w:val="single"/>
          <w:lang w:eastAsia="zh-CN"/>
        </w:rPr>
        <w:t>2022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14</w:t>
      </w:r>
      <w:r>
        <w:rPr>
          <w:rFonts w:hint="eastAsia" w:ascii="宋体" w:hAnsi="宋体" w:cs="宋体"/>
          <w:kern w:val="0"/>
          <w:sz w:val="24"/>
        </w:rPr>
        <w:t>日（法定公休日、法定节假日除外），每日上午</w:t>
      </w:r>
      <w:r>
        <w:rPr>
          <w:rFonts w:hint="eastAsia" w:ascii="宋体" w:hAnsi="宋体" w:cs="宋体"/>
          <w:kern w:val="0"/>
          <w:sz w:val="24"/>
          <w:u w:val="single"/>
        </w:rPr>
        <w:t xml:space="preserve"> 9 </w:t>
      </w:r>
      <w:r>
        <w:rPr>
          <w:rFonts w:hint="eastAsia" w:ascii="宋体" w:hAnsi="宋体" w:cs="宋体"/>
          <w:kern w:val="0"/>
          <w:sz w:val="24"/>
        </w:rPr>
        <w:t>时</w:t>
      </w:r>
      <w:r>
        <w:rPr>
          <w:rFonts w:hint="eastAsia" w:ascii="宋体" w:hAnsi="宋体" w:cs="宋体"/>
          <w:kern w:val="0"/>
          <w:sz w:val="24"/>
          <w:u w:val="single"/>
        </w:rPr>
        <w:t xml:space="preserve"> 00</w:t>
      </w:r>
      <w:r>
        <w:rPr>
          <w:rFonts w:hint="eastAsia" w:ascii="宋体" w:hAnsi="宋体" w:cs="宋体"/>
          <w:kern w:val="0"/>
          <w:sz w:val="24"/>
        </w:rPr>
        <w:t>分至</w:t>
      </w:r>
      <w:r>
        <w:rPr>
          <w:rFonts w:hint="eastAsia" w:ascii="宋体" w:hAnsi="宋体" w:cs="宋体"/>
          <w:kern w:val="0"/>
          <w:sz w:val="24"/>
          <w:u w:val="single"/>
        </w:rPr>
        <w:t xml:space="preserve"> 11 </w:t>
      </w:r>
      <w:r>
        <w:rPr>
          <w:rFonts w:hint="eastAsia" w:ascii="宋体" w:hAnsi="宋体" w:cs="宋体"/>
          <w:kern w:val="0"/>
          <w:sz w:val="24"/>
        </w:rPr>
        <w:t>时</w:t>
      </w:r>
      <w:r>
        <w:rPr>
          <w:rFonts w:hint="eastAsia" w:ascii="宋体" w:hAnsi="宋体" w:cs="宋体"/>
          <w:kern w:val="0"/>
          <w:sz w:val="24"/>
          <w:u w:val="single"/>
        </w:rPr>
        <w:t xml:space="preserve"> 00</w:t>
      </w:r>
      <w:r>
        <w:rPr>
          <w:rFonts w:hint="eastAsia" w:ascii="宋体" w:hAnsi="宋体" w:cs="宋体"/>
          <w:kern w:val="0"/>
          <w:sz w:val="24"/>
        </w:rPr>
        <w:t>分，下午</w:t>
      </w:r>
      <w:r>
        <w:rPr>
          <w:rFonts w:hint="eastAsia" w:ascii="宋体" w:hAnsi="宋体" w:cs="宋体"/>
          <w:kern w:val="0"/>
          <w:sz w:val="24"/>
          <w:u w:val="single"/>
        </w:rPr>
        <w:t xml:space="preserve"> 1</w:t>
      </w:r>
      <w:r>
        <w:rPr>
          <w:rFonts w:hint="eastAsia" w:ascii="宋体" w:hAnsi="宋体" w:cs="宋体"/>
          <w:kern w:val="0"/>
          <w:sz w:val="24"/>
          <w:u w:val="single"/>
          <w:lang w:val="en-US" w:eastAsia="zh-CN"/>
        </w:rPr>
        <w:t>4</w:t>
      </w:r>
      <w:r>
        <w:rPr>
          <w:rFonts w:hint="eastAsia" w:ascii="宋体" w:hAnsi="宋体" w:cs="宋体"/>
          <w:kern w:val="0"/>
          <w:sz w:val="24"/>
          <w:u w:val="single"/>
        </w:rPr>
        <w:t xml:space="preserve"> </w:t>
      </w:r>
      <w:r>
        <w:rPr>
          <w:rFonts w:hint="eastAsia" w:ascii="宋体" w:hAnsi="宋体" w:cs="宋体"/>
          <w:kern w:val="0"/>
          <w:sz w:val="24"/>
        </w:rPr>
        <w:t>时</w:t>
      </w:r>
      <w:r>
        <w:rPr>
          <w:rFonts w:hint="eastAsia" w:ascii="宋体" w:hAnsi="宋体" w:cs="宋体"/>
          <w:kern w:val="0"/>
          <w:sz w:val="24"/>
          <w:u w:val="single"/>
        </w:rPr>
        <w:t xml:space="preserve"> 00 </w:t>
      </w:r>
      <w:r>
        <w:rPr>
          <w:rFonts w:hint="eastAsia" w:ascii="宋体" w:hAnsi="宋体" w:cs="宋体"/>
          <w:kern w:val="0"/>
          <w:sz w:val="24"/>
        </w:rPr>
        <w:t>分至</w:t>
      </w:r>
      <w:r>
        <w:rPr>
          <w:rFonts w:hint="eastAsia" w:ascii="宋体" w:hAnsi="宋体" w:cs="宋体"/>
          <w:kern w:val="0"/>
          <w:sz w:val="24"/>
          <w:u w:val="single"/>
        </w:rPr>
        <w:t xml:space="preserve"> 1</w:t>
      </w:r>
      <w:r>
        <w:rPr>
          <w:rFonts w:ascii="宋体" w:hAnsi="宋体" w:cs="宋体"/>
          <w:kern w:val="0"/>
          <w:sz w:val="24"/>
          <w:u w:val="single"/>
        </w:rPr>
        <w:t>7</w:t>
      </w:r>
      <w:r>
        <w:rPr>
          <w:rFonts w:hint="eastAsia" w:ascii="宋体" w:hAnsi="宋体" w:cs="宋体"/>
          <w:kern w:val="0"/>
          <w:sz w:val="24"/>
          <w:u w:val="single"/>
        </w:rPr>
        <w:t xml:space="preserve"> </w:t>
      </w:r>
      <w:r>
        <w:rPr>
          <w:rFonts w:hint="eastAsia" w:ascii="宋体" w:hAnsi="宋体" w:cs="宋体"/>
          <w:kern w:val="0"/>
          <w:sz w:val="24"/>
        </w:rPr>
        <w:t>时</w:t>
      </w:r>
      <w:r>
        <w:rPr>
          <w:rFonts w:hint="eastAsia" w:ascii="宋体" w:hAnsi="宋体" w:cs="宋体"/>
          <w:kern w:val="0"/>
          <w:sz w:val="24"/>
          <w:u w:val="single"/>
        </w:rPr>
        <w:t xml:space="preserve"> 00 </w:t>
      </w:r>
      <w:r>
        <w:rPr>
          <w:rFonts w:hint="eastAsia" w:ascii="宋体" w:hAnsi="宋体" w:cs="宋体"/>
          <w:kern w:val="0"/>
          <w:sz w:val="24"/>
        </w:rPr>
        <w:t>分</w:t>
      </w:r>
      <w:r>
        <w:rPr>
          <w:rFonts w:ascii="宋体" w:hAnsi="宋体"/>
          <w:sz w:val="24"/>
        </w:rPr>
        <w:t>（</w:t>
      </w:r>
      <w:r>
        <w:rPr>
          <w:rFonts w:hint="eastAsia" w:ascii="宋体" w:hAnsi="宋体"/>
          <w:sz w:val="24"/>
        </w:rPr>
        <w:t>北京时间，下同</w:t>
      </w:r>
      <w:r>
        <w:rPr>
          <w:rFonts w:ascii="宋体" w:hAnsi="宋体"/>
          <w:sz w:val="24"/>
        </w:rPr>
        <w:t>）</w:t>
      </w:r>
      <w:r>
        <w:rPr>
          <w:rFonts w:hint="eastAsia" w:ascii="宋体" w:hAnsi="宋体"/>
          <w:sz w:val="24"/>
        </w:rPr>
        <w:t>，</w:t>
      </w:r>
      <w:r>
        <w:rPr>
          <w:rFonts w:hint="eastAsia" w:ascii="宋体" w:hAnsi="宋体" w:cs="宋体"/>
          <w:sz w:val="24"/>
        </w:rPr>
        <w:t>单位介绍信、经办人身份证、施工资质证书副本、企业法人营业执照副本、基本账户开户许可证（或基本存款账户信息），上述全部资料加盖公章后扫描成PDF格式文件发送至234028747</w:t>
      </w:r>
      <w:r>
        <w:rPr>
          <w:rFonts w:ascii="宋体" w:hAnsi="宋体" w:cs="宋体"/>
          <w:sz w:val="24"/>
        </w:rPr>
        <w:t>@</w:t>
      </w:r>
      <w:r>
        <w:rPr>
          <w:rFonts w:hint="eastAsia" w:ascii="宋体" w:hAnsi="宋体" w:cs="宋体"/>
          <w:sz w:val="24"/>
        </w:rPr>
        <w:t>qq</w:t>
      </w:r>
      <w:r>
        <w:rPr>
          <w:rFonts w:ascii="宋体" w:hAnsi="宋体" w:cs="宋体"/>
          <w:sz w:val="24"/>
        </w:rPr>
        <w:t>.com</w:t>
      </w:r>
      <w:r>
        <w:rPr>
          <w:rFonts w:hint="eastAsia" w:ascii="宋体" w:hAnsi="宋体" w:cs="宋体"/>
          <w:sz w:val="24"/>
        </w:rPr>
        <w:t>电子邮箱,并注明：1、项目名称；2、投标单位名称；3、联系人；4、联系方式；5、投标单位联系邮箱；6、增值税开票种类及具体开票信息；7、招标文件邮寄地址。受疫情影响暂时不接受现场报名。</w:t>
      </w:r>
    </w:p>
    <w:p>
      <w:pPr>
        <w:spacing w:line="360" w:lineRule="auto"/>
        <w:ind w:firstLine="480" w:firstLineChars="200"/>
        <w:jc w:val="left"/>
        <w:rPr>
          <w:rFonts w:cs="宋体"/>
          <w:kern w:val="0"/>
          <w:sz w:val="24"/>
        </w:rPr>
      </w:pPr>
      <w:r>
        <w:rPr>
          <w:rFonts w:ascii="宋体" w:hAnsi="宋体"/>
          <w:kern w:val="0"/>
          <w:sz w:val="24"/>
        </w:rPr>
        <w:t xml:space="preserve">4.2 </w:t>
      </w:r>
      <w:r>
        <w:rPr>
          <w:rFonts w:hint="eastAsia" w:ascii="宋体" w:hAnsi="宋体" w:cs="宋体"/>
          <w:kern w:val="0"/>
          <w:sz w:val="24"/>
        </w:rPr>
        <w:t>招标文件每套售价</w:t>
      </w:r>
      <w:r>
        <w:rPr>
          <w:rFonts w:hint="eastAsia" w:ascii="宋体" w:hAnsi="宋体" w:cs="宋体"/>
          <w:kern w:val="0"/>
          <w:sz w:val="24"/>
          <w:u w:val="single"/>
        </w:rPr>
        <w:t xml:space="preserve"> 1000 </w:t>
      </w:r>
      <w:r>
        <w:rPr>
          <w:rFonts w:hint="eastAsia" w:ascii="宋体" w:hAnsi="宋体" w:cs="宋体"/>
          <w:kern w:val="0"/>
          <w:sz w:val="24"/>
        </w:rPr>
        <w:t>元，图纸每套售价</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000 </w:t>
      </w:r>
      <w:r>
        <w:rPr>
          <w:rFonts w:hint="eastAsia" w:ascii="宋体" w:hAnsi="宋体" w:cs="宋体"/>
          <w:kern w:val="0"/>
          <w:sz w:val="24"/>
        </w:rPr>
        <w:t>元，售后不退。</w:t>
      </w:r>
    </w:p>
    <w:p>
      <w:pPr>
        <w:autoSpaceDE w:val="0"/>
        <w:autoSpaceDN w:val="0"/>
        <w:adjustRightInd w:val="0"/>
        <w:snapToGrid w:val="0"/>
        <w:spacing w:line="360" w:lineRule="auto"/>
        <w:jc w:val="left"/>
        <w:rPr>
          <w:rFonts w:ascii="黑体" w:eastAsia="黑体"/>
          <w:b/>
          <w:kern w:val="0"/>
          <w:sz w:val="24"/>
        </w:rPr>
      </w:pPr>
      <w:r>
        <w:rPr>
          <w:rFonts w:hint="eastAsia" w:ascii="黑体" w:eastAsia="黑体"/>
          <w:b/>
          <w:kern w:val="0"/>
          <w:sz w:val="24"/>
        </w:rPr>
        <w:t xml:space="preserve">5. 投标文件的递交及相关事宜 </w:t>
      </w:r>
    </w:p>
    <w:p>
      <w:pPr>
        <w:autoSpaceDE w:val="0"/>
        <w:autoSpaceDN w:val="0"/>
        <w:adjustRightInd w:val="0"/>
        <w:snapToGrid w:val="0"/>
        <w:spacing w:line="360" w:lineRule="auto"/>
        <w:ind w:firstLine="360" w:firstLineChars="150"/>
        <w:jc w:val="left"/>
        <w:rPr>
          <w:rFonts w:ascii="宋体" w:hAnsi="宋体"/>
          <w:kern w:val="0"/>
          <w:sz w:val="24"/>
        </w:rPr>
      </w:pPr>
      <w:r>
        <w:rPr>
          <w:rFonts w:hint="eastAsia" w:ascii="宋体" w:hAnsi="宋体"/>
          <w:kern w:val="0"/>
          <w:sz w:val="24"/>
        </w:rPr>
        <w:t>5.1招标人将于下列时间和地点组织进行工程现场踏勘并召开投标预备会。</w:t>
      </w:r>
    </w:p>
    <w:p>
      <w:pPr>
        <w:autoSpaceDE w:val="0"/>
        <w:autoSpaceDN w:val="0"/>
        <w:adjustRightInd w:val="0"/>
        <w:snapToGrid w:val="0"/>
        <w:spacing w:line="360" w:lineRule="auto"/>
        <w:ind w:firstLine="360" w:firstLineChars="150"/>
        <w:jc w:val="left"/>
        <w:rPr>
          <w:rFonts w:ascii="宋体" w:hAnsi="宋体"/>
          <w:kern w:val="0"/>
          <w:sz w:val="24"/>
        </w:rPr>
      </w:pPr>
      <w:r>
        <w:rPr>
          <w:rFonts w:hint="eastAsia" w:ascii="宋体" w:hAnsi="宋体"/>
          <w:kern w:val="0"/>
          <w:sz w:val="24"/>
        </w:rPr>
        <w:t>踏勘现场时间：</w:t>
      </w:r>
      <w:r>
        <w:rPr>
          <w:rFonts w:hint="eastAsia" w:ascii="宋体" w:hAnsi="宋体"/>
          <w:kern w:val="0"/>
          <w:sz w:val="24"/>
          <w:u w:val="single"/>
        </w:rPr>
        <w:t>不组织</w:t>
      </w:r>
      <w:r>
        <w:rPr>
          <w:rFonts w:hint="eastAsia" w:ascii="宋体" w:hAnsi="宋体"/>
          <w:kern w:val="0"/>
          <w:sz w:val="24"/>
        </w:rPr>
        <w:t>；</w:t>
      </w:r>
    </w:p>
    <w:p>
      <w:pPr>
        <w:autoSpaceDE w:val="0"/>
        <w:autoSpaceDN w:val="0"/>
        <w:adjustRightInd w:val="0"/>
        <w:snapToGrid w:val="0"/>
        <w:spacing w:line="360" w:lineRule="auto"/>
        <w:ind w:firstLine="360" w:firstLineChars="150"/>
        <w:jc w:val="left"/>
        <w:rPr>
          <w:rFonts w:ascii="宋体" w:hAnsi="宋体"/>
          <w:kern w:val="0"/>
          <w:sz w:val="24"/>
        </w:rPr>
      </w:pPr>
      <w:r>
        <w:rPr>
          <w:rFonts w:hint="eastAsia" w:ascii="宋体" w:hAnsi="宋体"/>
          <w:kern w:val="0"/>
          <w:sz w:val="24"/>
        </w:rPr>
        <w:t>投标预备会时间：</w:t>
      </w:r>
      <w:r>
        <w:rPr>
          <w:rFonts w:hint="eastAsia" w:ascii="宋体" w:hAnsi="宋体"/>
          <w:kern w:val="0"/>
          <w:sz w:val="24"/>
          <w:u w:val="single"/>
        </w:rPr>
        <w:t>不组织</w:t>
      </w:r>
      <w:r>
        <w:rPr>
          <w:rFonts w:hint="eastAsia" w:ascii="宋体" w:hAnsi="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5.2投标文件递交的截止时间（投标截止时间，下同）为</w:t>
      </w:r>
      <w:r>
        <w:rPr>
          <w:rFonts w:hint="eastAsia" w:ascii="宋体" w:hAnsi="宋体" w:cs="宋体"/>
          <w:sz w:val="24"/>
          <w:u w:val="single"/>
        </w:rPr>
        <w:t xml:space="preserve"> </w:t>
      </w:r>
      <w:r>
        <w:rPr>
          <w:rFonts w:hint="eastAsia" w:ascii="宋体" w:hAnsi="宋体" w:cs="宋体"/>
          <w:sz w:val="24"/>
          <w:u w:val="single"/>
          <w:lang w:eastAsia="zh-CN"/>
        </w:rPr>
        <w:t>2022</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6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29</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3</w:t>
      </w:r>
      <w:r>
        <w:rPr>
          <w:rFonts w:ascii="宋体" w:hAnsi="宋体" w:cs="宋体"/>
          <w:sz w:val="24"/>
          <w:u w:val="single"/>
        </w:rPr>
        <w:t>0</w:t>
      </w:r>
      <w:r>
        <w:rPr>
          <w:rFonts w:hint="eastAsia" w:ascii="宋体" w:hAnsi="宋体" w:cs="宋体"/>
          <w:sz w:val="24"/>
          <w:u w:val="single"/>
        </w:rPr>
        <w:t xml:space="preserve"> </w:t>
      </w:r>
      <w:r>
        <w:rPr>
          <w:rFonts w:hint="eastAsia" w:ascii="宋体" w:hAnsi="宋体" w:cs="宋体"/>
          <w:sz w:val="24"/>
        </w:rPr>
        <w:t>分，投标人应于当日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分至</w:t>
      </w:r>
      <w:r>
        <w:rPr>
          <w:rFonts w:hint="eastAsia" w:ascii="宋体" w:hAnsi="宋体" w:cs="宋体"/>
          <w:sz w:val="24"/>
          <w:u w:val="single"/>
        </w:rPr>
        <w:t xml:space="preserve"> 09</w:t>
      </w:r>
      <w:r>
        <w:rPr>
          <w:rFonts w:hint="eastAsia" w:ascii="宋体" w:hAnsi="宋体" w:cs="宋体"/>
          <w:sz w:val="24"/>
        </w:rPr>
        <w:t>时</w:t>
      </w:r>
      <w:r>
        <w:rPr>
          <w:rFonts w:hint="eastAsia" w:ascii="宋体" w:hAnsi="宋体" w:cs="宋体"/>
          <w:sz w:val="24"/>
          <w:u w:val="single"/>
        </w:rPr>
        <w:t xml:space="preserve"> 3</w:t>
      </w:r>
      <w:r>
        <w:rPr>
          <w:rFonts w:ascii="宋体" w:hAnsi="宋体" w:cs="宋体"/>
          <w:sz w:val="24"/>
          <w:u w:val="single"/>
        </w:rPr>
        <w:t>0</w:t>
      </w:r>
      <w:r>
        <w:rPr>
          <w:rFonts w:hint="eastAsia" w:ascii="宋体" w:hAnsi="宋体" w:cs="宋体"/>
          <w:sz w:val="24"/>
          <w:u w:val="single"/>
        </w:rPr>
        <w:t xml:space="preserve"> </w:t>
      </w:r>
      <w:r>
        <w:rPr>
          <w:rFonts w:hint="eastAsia" w:ascii="宋体" w:hAnsi="宋体" w:cs="宋体"/>
          <w:sz w:val="24"/>
        </w:rPr>
        <w:t>分将投标文件递交至</w:t>
      </w:r>
      <w:r>
        <w:rPr>
          <w:rFonts w:hint="eastAsia"/>
          <w:sz w:val="24"/>
          <w:u w:val="single"/>
          <w:lang w:eastAsia="zh-CN"/>
        </w:rPr>
        <w:t>天津市政务服务中心二楼第五开标室（天津市河东区红星路79号，红星路与卫国道交口顺驰立交桥旁）</w:t>
      </w:r>
      <w:r>
        <w:rPr>
          <w:sz w:val="24"/>
          <w:u w:val="single"/>
        </w:rPr>
        <w:t xml:space="preserve"> </w:t>
      </w:r>
      <w:r>
        <w:rPr>
          <w:rFonts w:hint="eastAsia" w:ascii="宋体" w:hAnsi="宋体" w:cs="宋体"/>
          <w:sz w:val="24"/>
        </w:rPr>
        <w:t>。</w:t>
      </w:r>
    </w:p>
    <w:p>
      <w:pPr>
        <w:pStyle w:val="2"/>
        <w:keepNext w:val="0"/>
        <w:keepLines w:val="0"/>
        <w:pageBreakBefore w:val="0"/>
        <w:kinsoku/>
        <w:wordWrap/>
        <w:overflowPunct/>
        <w:topLinePunct w:val="0"/>
        <w:bidi w:val="0"/>
        <w:adjustRightInd w:val="0"/>
        <w:snapToGrid w:val="0"/>
        <w:spacing w:after="0" w:line="360" w:lineRule="auto"/>
        <w:ind w:right="11" w:firstLine="484"/>
        <w:textAlignment w:val="auto"/>
        <w:rPr>
          <w:rFonts w:hint="eastAsia"/>
          <w:sz w:val="24"/>
        </w:rPr>
      </w:pPr>
      <w:r>
        <w:rPr>
          <w:rFonts w:hint="eastAsia"/>
          <w:sz w:val="24"/>
        </w:rPr>
        <w:t>5.3本项目采用线上网络开标方式（具体内容详见</w:t>
      </w:r>
      <w:r>
        <w:rPr>
          <w:rFonts w:hint="eastAsia"/>
          <w:sz w:val="24"/>
          <w:lang w:eastAsia="zh-CN"/>
        </w:rPr>
        <w:t>线上</w:t>
      </w:r>
      <w:r>
        <w:rPr>
          <w:rFonts w:hint="eastAsia"/>
          <w:sz w:val="24"/>
        </w:rPr>
        <w:t>开标告知书），在投标文件递交截止时间前，送达至天津市政务服务中心（二楼第五开标室）（天津市河东区红星路79号，红星路与卫国道交口顺驰立交桥旁）；或将投标文件密封后于投标文件递交截止时间前快递至招标代理</w:t>
      </w:r>
      <w:r>
        <w:rPr>
          <w:rFonts w:hint="eastAsia"/>
          <w:sz w:val="24"/>
          <w:lang w:eastAsia="zh-CN"/>
        </w:rPr>
        <w:t>天津神州亿隆工程管理咨询有限公司</w:t>
      </w:r>
      <w:r>
        <w:rPr>
          <w:rFonts w:hint="eastAsia"/>
          <w:sz w:val="24"/>
        </w:rPr>
        <w:t>（</w:t>
      </w:r>
      <w:r>
        <w:rPr>
          <w:rFonts w:hint="eastAsia"/>
          <w:sz w:val="24"/>
          <w:lang w:eastAsia="zh-CN"/>
        </w:rPr>
        <w:t>天津市河东区十一经路</w:t>
      </w:r>
      <w:r>
        <w:rPr>
          <w:rFonts w:hint="eastAsia"/>
          <w:sz w:val="24"/>
          <w:lang w:val="en-US" w:eastAsia="zh-CN"/>
        </w:rPr>
        <w:t>78号1618室</w:t>
      </w:r>
      <w:r>
        <w:rPr>
          <w:rFonts w:hint="eastAsia"/>
          <w:sz w:val="24"/>
        </w:rPr>
        <w:t>），收件人：</w:t>
      </w:r>
      <w:r>
        <w:rPr>
          <w:rFonts w:hint="eastAsia"/>
          <w:sz w:val="24"/>
          <w:lang w:eastAsia="zh-CN"/>
        </w:rPr>
        <w:t>高玉</w:t>
      </w:r>
      <w:r>
        <w:rPr>
          <w:rFonts w:hint="eastAsia"/>
          <w:sz w:val="24"/>
        </w:rPr>
        <w:t>,联系方式</w:t>
      </w:r>
      <w:r>
        <w:rPr>
          <w:rFonts w:hint="eastAsia"/>
          <w:sz w:val="24"/>
          <w:lang w:val="en-US" w:eastAsia="zh-CN"/>
        </w:rPr>
        <w:t>18322525807</w:t>
      </w:r>
      <w:r>
        <w:rPr>
          <w:rFonts w:hint="eastAsia"/>
          <w:sz w:val="24"/>
        </w:rPr>
        <w:t>，同时将投标文件密封</w:t>
      </w:r>
      <w:r>
        <w:rPr>
          <w:rFonts w:hint="eastAsia"/>
          <w:sz w:val="24"/>
          <w:lang w:eastAsia="zh-CN"/>
        </w:rPr>
        <w:t>电子照片</w:t>
      </w:r>
      <w:r>
        <w:rPr>
          <w:rFonts w:hint="eastAsia"/>
          <w:sz w:val="24"/>
        </w:rPr>
        <w:t>和快递运单扫描件</w:t>
      </w:r>
      <w:r>
        <w:rPr>
          <w:rFonts w:hint="eastAsia"/>
          <w:sz w:val="24"/>
          <w:lang w:eastAsia="zh-CN"/>
        </w:rPr>
        <w:t>（或电子回单截图）</w:t>
      </w:r>
      <w:r>
        <w:rPr>
          <w:rFonts w:hint="eastAsia"/>
          <w:sz w:val="24"/>
        </w:rPr>
        <w:t>以附件形式发至</w:t>
      </w:r>
      <w:r>
        <w:rPr>
          <w:rFonts w:hint="eastAsia"/>
          <w:sz w:val="24"/>
          <w:lang w:val="en-US" w:eastAsia="zh-CN"/>
        </w:rPr>
        <w:t>234028747</w:t>
      </w:r>
      <w:r>
        <w:rPr>
          <w:rFonts w:hint="eastAsia"/>
          <w:sz w:val="24"/>
        </w:rPr>
        <w:t>@</w:t>
      </w:r>
      <w:r>
        <w:rPr>
          <w:rFonts w:hint="eastAsia"/>
          <w:sz w:val="24"/>
          <w:lang w:val="en-US" w:eastAsia="zh-CN"/>
        </w:rPr>
        <w:t>qq</w:t>
      </w:r>
      <w:r>
        <w:rPr>
          <w:rFonts w:hint="eastAsia"/>
          <w:sz w:val="24"/>
        </w:rPr>
        <w:t>.com，邮件主题格式为“投标单位名称-</w:t>
      </w:r>
      <w:r>
        <w:rPr>
          <w:rFonts w:hint="eastAsia"/>
          <w:sz w:val="24"/>
          <w:lang w:eastAsia="zh-CN"/>
        </w:rPr>
        <w:t>项目简称</w:t>
      </w:r>
      <w:r>
        <w:rPr>
          <w:rFonts w:hint="eastAsia"/>
          <w:sz w:val="24"/>
        </w:rPr>
        <w:t>”（例如：XX公司-XX项目），建议</w:t>
      </w:r>
      <w:r>
        <w:rPr>
          <w:rFonts w:hint="eastAsia"/>
          <w:sz w:val="24"/>
          <w:lang w:eastAsia="zh-CN"/>
        </w:rPr>
        <w:t>密封好的投标文件用气泡纸包裹后放入快递箱内，以防在运输过程中造成破裂</w:t>
      </w:r>
      <w:r>
        <w:rPr>
          <w:rFonts w:hint="eastAsia"/>
          <w:sz w:val="24"/>
        </w:rPr>
        <w:t xml:space="preserve">。逾期送达或寄达或者不按照招标文件要求密封的投标文件，招标人将予以拒收。  </w:t>
      </w:r>
    </w:p>
    <w:p>
      <w:pPr>
        <w:pStyle w:val="2"/>
        <w:keepNext w:val="0"/>
        <w:keepLines w:val="0"/>
        <w:pageBreakBefore w:val="0"/>
        <w:kinsoku/>
        <w:wordWrap/>
        <w:overflowPunct/>
        <w:topLinePunct w:val="0"/>
        <w:bidi w:val="0"/>
        <w:adjustRightInd w:val="0"/>
        <w:snapToGrid w:val="0"/>
        <w:spacing w:after="0" w:line="360" w:lineRule="auto"/>
        <w:ind w:right="11" w:firstLine="484"/>
        <w:textAlignment w:val="auto"/>
        <w:rPr>
          <w:sz w:val="24"/>
        </w:rPr>
      </w:pPr>
      <w:r>
        <w:rPr>
          <w:rFonts w:hint="eastAsia"/>
          <w:sz w:val="24"/>
        </w:rPr>
        <w:t>5.4开标当天</w:t>
      </w:r>
      <w:r>
        <w:rPr>
          <w:rFonts w:hint="eastAsia"/>
          <w:sz w:val="24"/>
          <w:lang w:eastAsia="zh-CN"/>
        </w:rPr>
        <w:t>现场递交投标文件的</w:t>
      </w:r>
      <w:r>
        <w:rPr>
          <w:rFonts w:hint="eastAsia"/>
          <w:sz w:val="24"/>
        </w:rPr>
        <w:t>投标人</w:t>
      </w:r>
      <w:r>
        <w:rPr>
          <w:rFonts w:hint="eastAsia"/>
          <w:sz w:val="24"/>
          <w:lang w:eastAsia="zh-CN"/>
        </w:rPr>
        <w:t>应严格遵守防疫规定并</w:t>
      </w:r>
      <w:r>
        <w:rPr>
          <w:rFonts w:hint="eastAsia"/>
          <w:sz w:val="24"/>
        </w:rPr>
        <w:t>根据招标代理工作人员引导递交</w:t>
      </w:r>
      <w:r>
        <w:rPr>
          <w:rFonts w:hint="eastAsia"/>
          <w:sz w:val="24"/>
          <w:lang w:eastAsia="zh-CN"/>
        </w:rPr>
        <w:t>投标</w:t>
      </w:r>
      <w:r>
        <w:rPr>
          <w:rFonts w:hint="eastAsia"/>
          <w:sz w:val="24"/>
        </w:rPr>
        <w:t>文件，</w:t>
      </w:r>
      <w:r>
        <w:rPr>
          <w:rFonts w:hint="eastAsia"/>
          <w:sz w:val="24"/>
          <w:lang w:eastAsia="zh-CN"/>
        </w:rPr>
        <w:t>并按照“线上</w:t>
      </w:r>
      <w:r>
        <w:rPr>
          <w:rFonts w:hint="eastAsia"/>
          <w:sz w:val="24"/>
        </w:rPr>
        <w:t>开标告知书</w:t>
      </w:r>
      <w:r>
        <w:rPr>
          <w:rFonts w:hint="eastAsia"/>
          <w:sz w:val="24"/>
          <w:lang w:eastAsia="zh-CN"/>
        </w:rPr>
        <w:t>”中的相关要求</w:t>
      </w:r>
      <w:r>
        <w:rPr>
          <w:rFonts w:hint="eastAsia"/>
          <w:sz w:val="24"/>
        </w:rPr>
        <w:t>参加</w:t>
      </w:r>
      <w:r>
        <w:rPr>
          <w:rFonts w:hint="eastAsia"/>
          <w:sz w:val="24"/>
          <w:lang w:eastAsia="zh-CN"/>
        </w:rPr>
        <w:t>线上</w:t>
      </w:r>
      <w:r>
        <w:rPr>
          <w:rFonts w:hint="eastAsia"/>
          <w:sz w:val="24"/>
        </w:rPr>
        <w:t>开标活动，规定时间内未参加的，视为默认开标结果。</w:t>
      </w:r>
    </w:p>
    <w:p>
      <w:pPr>
        <w:spacing w:line="360" w:lineRule="auto"/>
        <w:ind w:firstLine="480" w:firstLineChars="200"/>
        <w:jc w:val="left"/>
        <w:rPr>
          <w:rFonts w:ascii="宋体" w:hAnsi="宋体" w:cs="宋体"/>
          <w:sz w:val="24"/>
        </w:rPr>
      </w:pPr>
    </w:p>
    <w:p>
      <w:pPr>
        <w:spacing w:line="360" w:lineRule="auto"/>
        <w:rPr>
          <w:rFonts w:ascii="黑体" w:eastAsia="黑体" w:cs="黑体"/>
          <w:b/>
          <w:kern w:val="0"/>
          <w:sz w:val="24"/>
        </w:rPr>
      </w:pPr>
      <w:r>
        <w:rPr>
          <w:rFonts w:hint="eastAsia" w:ascii="黑体" w:eastAsia="黑体"/>
          <w:b/>
          <w:kern w:val="0"/>
          <w:sz w:val="24"/>
        </w:rPr>
        <w:t>6</w:t>
      </w:r>
      <w:r>
        <w:rPr>
          <w:rFonts w:hint="eastAsia" w:ascii="黑体" w:eastAsia="黑体" w:cs="宋体"/>
          <w:b/>
          <w:kern w:val="0"/>
          <w:sz w:val="24"/>
        </w:rPr>
        <w:t>．</w:t>
      </w:r>
      <w:r>
        <w:rPr>
          <w:rFonts w:hint="eastAsia" w:ascii="黑体" w:eastAsia="黑体" w:cs="黑体"/>
          <w:b/>
          <w:kern w:val="0"/>
          <w:sz w:val="24"/>
        </w:rPr>
        <w:t xml:space="preserve">发布公告的媒介 </w:t>
      </w:r>
    </w:p>
    <w:p>
      <w:pPr>
        <w:spacing w:line="360" w:lineRule="auto"/>
        <w:ind w:firstLine="240" w:firstLineChars="100"/>
        <w:rPr>
          <w:rFonts w:ascii="宋体" w:hAnsi="宋体" w:cs="宋体"/>
          <w:sz w:val="24"/>
        </w:rPr>
      </w:pPr>
      <w:r>
        <w:rPr>
          <w:rFonts w:hint="eastAsia" w:ascii="宋体" w:hAnsi="宋体" w:cs="宋体"/>
          <w:sz w:val="24"/>
        </w:rPr>
        <w:t>本次招标公告同时在</w:t>
      </w:r>
      <w:r>
        <w:rPr>
          <w:rFonts w:hint="eastAsia" w:ascii="宋体" w:hAnsi="宋体" w:cs="宋体"/>
          <w:kern w:val="0"/>
          <w:sz w:val="24"/>
          <w:u w:val="none"/>
          <w:lang w:eastAsia="zh-CN"/>
        </w:rPr>
        <w:t>天津市公共资源交易网</w:t>
      </w:r>
      <w:r>
        <w:rPr>
          <w:rFonts w:hint="eastAsia" w:ascii="宋体" w:hAnsi="宋体" w:cs="宋体"/>
          <w:kern w:val="0"/>
          <w:sz w:val="24"/>
          <w:highlight w:val="none"/>
          <w:u w:val="none"/>
          <w:lang w:eastAsia="zh-CN"/>
        </w:rPr>
        <w:t>及</w:t>
      </w:r>
      <w:r>
        <w:rPr>
          <w:rFonts w:hint="eastAsia" w:ascii="宋体" w:hAnsi="宋体" w:cs="宋体"/>
          <w:b/>
          <w:bCs/>
          <w:kern w:val="0"/>
          <w:sz w:val="24"/>
          <w:highlight w:val="none"/>
          <w:u w:val="none"/>
          <w:lang w:eastAsia="zh-CN"/>
        </w:rPr>
        <w:t>天津市滨海新区交通运输局官网</w:t>
      </w:r>
      <w:r>
        <w:rPr>
          <w:rFonts w:hint="eastAsia" w:ascii="宋体" w:hAnsi="宋体" w:cs="宋体"/>
          <w:sz w:val="24"/>
          <w:highlight w:val="none"/>
        </w:rPr>
        <w:t>上</w:t>
      </w:r>
      <w:r>
        <w:rPr>
          <w:rFonts w:hint="eastAsia" w:ascii="宋体" w:hAnsi="宋体" w:cs="宋体"/>
          <w:sz w:val="24"/>
        </w:rPr>
        <w:t>发布。</w:t>
      </w:r>
    </w:p>
    <w:p>
      <w:pPr>
        <w:spacing w:line="360" w:lineRule="auto"/>
        <w:rPr>
          <w:rFonts w:ascii="黑体" w:hAnsi="黑体" w:eastAsia="黑体" w:cs="宋体"/>
          <w:b/>
          <w:kern w:val="0"/>
          <w:sz w:val="24"/>
        </w:rPr>
      </w:pPr>
      <w:r>
        <w:rPr>
          <w:rFonts w:hint="eastAsia" w:ascii="黑体" w:hAnsi="黑体" w:eastAsia="黑体" w:cs="宋体"/>
          <w:b/>
          <w:kern w:val="0"/>
          <w:sz w:val="24"/>
        </w:rPr>
        <w:t>7．招标文件关键内容</w:t>
      </w:r>
    </w:p>
    <w:p>
      <w:pPr>
        <w:spacing w:line="360" w:lineRule="auto"/>
        <w:ind w:firstLine="480" w:firstLineChars="200"/>
        <w:rPr>
          <w:rFonts w:cs="宋体"/>
          <w:kern w:val="0"/>
          <w:sz w:val="24"/>
        </w:rPr>
      </w:pPr>
      <w:r>
        <w:rPr>
          <w:rFonts w:hint="eastAsia" w:cs="宋体"/>
          <w:kern w:val="0"/>
          <w:sz w:val="24"/>
          <w:lang w:val="en-US" w:eastAsia="zh-CN"/>
        </w:rPr>
        <w:t>详见</w:t>
      </w:r>
      <w:r>
        <w:rPr>
          <w:rFonts w:hint="eastAsia" w:cs="宋体"/>
          <w:kern w:val="0"/>
          <w:sz w:val="24"/>
        </w:rPr>
        <w:t>纸质招标文件。</w:t>
      </w:r>
    </w:p>
    <w:p>
      <w:pPr>
        <w:spacing w:line="360" w:lineRule="auto"/>
        <w:rPr>
          <w:rFonts w:ascii="黑体" w:eastAsia="黑体" w:cs="黑体"/>
          <w:b/>
          <w:kern w:val="0"/>
          <w:sz w:val="24"/>
        </w:rPr>
      </w:pPr>
      <w:r>
        <w:rPr>
          <w:rFonts w:hint="eastAsia" w:ascii="黑体" w:eastAsia="黑体"/>
          <w:b/>
          <w:kern w:val="0"/>
          <w:sz w:val="24"/>
        </w:rPr>
        <w:t xml:space="preserve">8. </w:t>
      </w:r>
      <w:r>
        <w:rPr>
          <w:rFonts w:hint="eastAsia" w:ascii="黑体" w:eastAsia="黑体" w:cs="黑体"/>
          <w:b/>
          <w:kern w:val="0"/>
          <w:sz w:val="24"/>
        </w:rPr>
        <w:t xml:space="preserve">联系方式 </w:t>
      </w:r>
    </w:p>
    <w:tbl>
      <w:tblPr>
        <w:tblStyle w:val="38"/>
        <w:tblW w:w="9990" w:type="dxa"/>
        <w:tblInd w:w="0" w:type="dxa"/>
        <w:tblLayout w:type="fixed"/>
        <w:tblCellMar>
          <w:top w:w="0" w:type="dxa"/>
          <w:left w:w="108" w:type="dxa"/>
          <w:bottom w:w="0" w:type="dxa"/>
          <w:right w:w="108" w:type="dxa"/>
        </w:tblCellMar>
      </w:tblPr>
      <w:tblGrid>
        <w:gridCol w:w="1242"/>
        <w:gridCol w:w="3544"/>
        <w:gridCol w:w="1418"/>
        <w:gridCol w:w="3786"/>
      </w:tblGrid>
      <w:tr>
        <w:tblPrEx>
          <w:tblCellMar>
            <w:top w:w="0" w:type="dxa"/>
            <w:left w:w="108" w:type="dxa"/>
            <w:bottom w:w="0" w:type="dxa"/>
            <w:right w:w="108" w:type="dxa"/>
          </w:tblCellMar>
        </w:tblPrEx>
        <w:trPr>
          <w:trHeight w:val="306" w:hRule="atLeast"/>
        </w:trPr>
        <w:tc>
          <w:tcPr>
            <w:tcW w:w="1242" w:type="dxa"/>
            <w:vAlign w:val="center"/>
          </w:tcPr>
          <w:p>
            <w:pPr>
              <w:spacing w:line="460" w:lineRule="exact"/>
              <w:rPr>
                <w:szCs w:val="21"/>
              </w:rPr>
            </w:pPr>
            <w:r>
              <w:rPr>
                <w:sz w:val="18"/>
                <w:szCs w:val="18"/>
              </w:rPr>
              <w:t>招标人：</w:t>
            </w:r>
          </w:p>
        </w:tc>
        <w:tc>
          <w:tcPr>
            <w:tcW w:w="3544" w:type="dxa"/>
            <w:vAlign w:val="center"/>
          </w:tcPr>
          <w:p>
            <w:pPr>
              <w:spacing w:line="460" w:lineRule="exact"/>
              <w:rPr>
                <w:rFonts w:hint="eastAsia" w:eastAsia="宋体"/>
                <w:szCs w:val="21"/>
                <w:lang w:eastAsia="zh-CN"/>
              </w:rPr>
            </w:pPr>
            <w:r>
              <w:rPr>
                <w:rFonts w:hint="eastAsia"/>
                <w:sz w:val="18"/>
                <w:szCs w:val="18"/>
                <w:u w:val="single"/>
                <w:lang w:eastAsia="zh-CN"/>
              </w:rPr>
              <w:t>天津市滨海新区城投建设发展有限公司</w:t>
            </w:r>
          </w:p>
        </w:tc>
        <w:tc>
          <w:tcPr>
            <w:tcW w:w="1418" w:type="dxa"/>
            <w:vAlign w:val="center"/>
          </w:tcPr>
          <w:p>
            <w:pPr>
              <w:spacing w:line="460" w:lineRule="exact"/>
              <w:rPr>
                <w:sz w:val="18"/>
                <w:szCs w:val="18"/>
              </w:rPr>
            </w:pPr>
            <w:r>
              <w:rPr>
                <w:sz w:val="18"/>
                <w:szCs w:val="18"/>
              </w:rPr>
              <w:t>招标代理机构：</w:t>
            </w:r>
          </w:p>
        </w:tc>
        <w:tc>
          <w:tcPr>
            <w:tcW w:w="3786" w:type="dxa"/>
            <w:vAlign w:val="center"/>
          </w:tcPr>
          <w:p>
            <w:pPr>
              <w:spacing w:line="460" w:lineRule="exact"/>
              <w:rPr>
                <w:sz w:val="18"/>
                <w:szCs w:val="18"/>
              </w:rPr>
            </w:pPr>
            <w:r>
              <w:rPr>
                <w:rFonts w:hint="eastAsia"/>
                <w:sz w:val="18"/>
                <w:szCs w:val="18"/>
                <w:u w:val="single"/>
              </w:rPr>
              <w:t>天津神州亿隆工程管理咨询有限公司</w:t>
            </w:r>
          </w:p>
        </w:tc>
      </w:tr>
      <w:tr>
        <w:tblPrEx>
          <w:tblCellMar>
            <w:top w:w="0" w:type="dxa"/>
            <w:left w:w="108" w:type="dxa"/>
            <w:bottom w:w="0" w:type="dxa"/>
            <w:right w:w="108" w:type="dxa"/>
          </w:tblCellMar>
        </w:tblPrEx>
        <w:trPr>
          <w:trHeight w:val="306" w:hRule="atLeast"/>
        </w:trPr>
        <w:tc>
          <w:tcPr>
            <w:tcW w:w="1242" w:type="dxa"/>
            <w:vAlign w:val="center"/>
          </w:tcPr>
          <w:p>
            <w:pPr>
              <w:spacing w:line="460" w:lineRule="exact"/>
              <w:rPr>
                <w:szCs w:val="21"/>
              </w:rPr>
            </w:pPr>
            <w:r>
              <w:rPr>
                <w:sz w:val="18"/>
                <w:szCs w:val="18"/>
              </w:rPr>
              <w:t>地  址：</w:t>
            </w:r>
          </w:p>
        </w:tc>
        <w:tc>
          <w:tcPr>
            <w:tcW w:w="3544" w:type="dxa"/>
            <w:vAlign w:val="center"/>
          </w:tcPr>
          <w:p>
            <w:pPr>
              <w:spacing w:line="460" w:lineRule="exact"/>
              <w:rPr>
                <w:rFonts w:hint="eastAsia" w:eastAsia="宋体"/>
                <w:szCs w:val="21"/>
                <w:lang w:eastAsia="zh-CN"/>
              </w:rPr>
            </w:pPr>
            <w:r>
              <w:rPr>
                <w:rFonts w:hint="eastAsia"/>
                <w:sz w:val="18"/>
                <w:szCs w:val="18"/>
                <w:u w:val="single"/>
                <w:lang w:eastAsia="zh-CN"/>
              </w:rPr>
              <w:t>天津市滨海新区塘沽新港四号路136号</w:t>
            </w:r>
          </w:p>
        </w:tc>
        <w:tc>
          <w:tcPr>
            <w:tcW w:w="1418" w:type="dxa"/>
            <w:vAlign w:val="center"/>
          </w:tcPr>
          <w:p>
            <w:pPr>
              <w:spacing w:line="460" w:lineRule="exact"/>
              <w:rPr>
                <w:sz w:val="18"/>
                <w:szCs w:val="18"/>
              </w:rPr>
            </w:pPr>
            <w:r>
              <w:rPr>
                <w:sz w:val="18"/>
                <w:szCs w:val="18"/>
              </w:rPr>
              <w:t>地  址：</w:t>
            </w:r>
          </w:p>
        </w:tc>
        <w:tc>
          <w:tcPr>
            <w:tcW w:w="3786" w:type="dxa"/>
            <w:vAlign w:val="center"/>
          </w:tcPr>
          <w:p>
            <w:pPr>
              <w:spacing w:line="460" w:lineRule="exact"/>
              <w:rPr>
                <w:sz w:val="18"/>
                <w:szCs w:val="18"/>
              </w:rPr>
            </w:pPr>
            <w:r>
              <w:rPr>
                <w:rFonts w:hint="eastAsia"/>
                <w:sz w:val="18"/>
                <w:szCs w:val="18"/>
                <w:u w:val="single"/>
              </w:rPr>
              <w:t>天津市河东区十一经路78号1618室</w:t>
            </w:r>
          </w:p>
        </w:tc>
      </w:tr>
      <w:tr>
        <w:tblPrEx>
          <w:tblCellMar>
            <w:top w:w="0" w:type="dxa"/>
            <w:left w:w="108" w:type="dxa"/>
            <w:bottom w:w="0" w:type="dxa"/>
            <w:right w:w="108" w:type="dxa"/>
          </w:tblCellMar>
        </w:tblPrEx>
        <w:trPr>
          <w:trHeight w:val="306" w:hRule="atLeast"/>
        </w:trPr>
        <w:tc>
          <w:tcPr>
            <w:tcW w:w="1242" w:type="dxa"/>
            <w:vAlign w:val="center"/>
          </w:tcPr>
          <w:p>
            <w:pPr>
              <w:spacing w:line="460" w:lineRule="exact"/>
              <w:rPr>
                <w:color w:val="000000"/>
                <w:szCs w:val="21"/>
              </w:rPr>
            </w:pPr>
            <w:r>
              <w:rPr>
                <w:sz w:val="18"/>
                <w:szCs w:val="18"/>
              </w:rPr>
              <w:t>邮  编：</w:t>
            </w:r>
          </w:p>
        </w:tc>
        <w:tc>
          <w:tcPr>
            <w:tcW w:w="3544" w:type="dxa"/>
            <w:vAlign w:val="center"/>
          </w:tcPr>
          <w:p>
            <w:pPr>
              <w:spacing w:line="460" w:lineRule="exact"/>
              <w:rPr>
                <w:rFonts w:hint="eastAsia" w:eastAsia="宋体"/>
                <w:szCs w:val="21"/>
                <w:u w:val="single"/>
                <w:lang w:eastAsia="zh-CN"/>
              </w:rPr>
            </w:pPr>
            <w:r>
              <w:rPr>
                <w:rFonts w:hint="eastAsia"/>
                <w:sz w:val="18"/>
                <w:szCs w:val="18"/>
                <w:u w:val="single"/>
                <w:lang w:eastAsia="zh-CN"/>
              </w:rPr>
              <w:t>300450</w:t>
            </w:r>
          </w:p>
        </w:tc>
        <w:tc>
          <w:tcPr>
            <w:tcW w:w="1418" w:type="dxa"/>
            <w:vAlign w:val="center"/>
          </w:tcPr>
          <w:p>
            <w:pPr>
              <w:spacing w:line="460" w:lineRule="exact"/>
              <w:rPr>
                <w:sz w:val="18"/>
                <w:szCs w:val="18"/>
              </w:rPr>
            </w:pPr>
            <w:r>
              <w:rPr>
                <w:sz w:val="18"/>
                <w:szCs w:val="18"/>
              </w:rPr>
              <w:t>邮  编：</w:t>
            </w:r>
          </w:p>
        </w:tc>
        <w:tc>
          <w:tcPr>
            <w:tcW w:w="3786" w:type="dxa"/>
            <w:vAlign w:val="center"/>
          </w:tcPr>
          <w:p>
            <w:pPr>
              <w:spacing w:line="460" w:lineRule="exact"/>
              <w:rPr>
                <w:sz w:val="18"/>
                <w:szCs w:val="18"/>
              </w:rPr>
            </w:pPr>
            <w:r>
              <w:rPr>
                <w:rFonts w:hint="eastAsia"/>
                <w:sz w:val="18"/>
                <w:szCs w:val="18"/>
                <w:u w:val="single"/>
              </w:rPr>
              <w:t>300192</w:t>
            </w:r>
          </w:p>
        </w:tc>
      </w:tr>
      <w:tr>
        <w:tblPrEx>
          <w:tblCellMar>
            <w:top w:w="0" w:type="dxa"/>
            <w:left w:w="108" w:type="dxa"/>
            <w:bottom w:w="0" w:type="dxa"/>
            <w:right w:w="108" w:type="dxa"/>
          </w:tblCellMar>
        </w:tblPrEx>
        <w:trPr>
          <w:trHeight w:val="384" w:hRule="atLeast"/>
        </w:trPr>
        <w:tc>
          <w:tcPr>
            <w:tcW w:w="1242" w:type="dxa"/>
            <w:vAlign w:val="center"/>
          </w:tcPr>
          <w:p>
            <w:pPr>
              <w:adjustRightInd w:val="0"/>
              <w:snapToGrid w:val="0"/>
              <w:spacing w:line="460" w:lineRule="exact"/>
              <w:rPr>
                <w:color w:val="000000"/>
                <w:szCs w:val="21"/>
              </w:rPr>
            </w:pPr>
            <w:r>
              <w:rPr>
                <w:color w:val="000000"/>
                <w:sz w:val="18"/>
                <w:szCs w:val="18"/>
              </w:rPr>
              <w:t>联系人：</w:t>
            </w:r>
          </w:p>
        </w:tc>
        <w:tc>
          <w:tcPr>
            <w:tcW w:w="3544" w:type="dxa"/>
            <w:vAlign w:val="center"/>
          </w:tcPr>
          <w:p>
            <w:pPr>
              <w:adjustRightInd w:val="0"/>
              <w:snapToGrid w:val="0"/>
              <w:spacing w:line="400" w:lineRule="exact"/>
              <w:rPr>
                <w:rFonts w:hint="eastAsia" w:eastAsia="宋体"/>
                <w:szCs w:val="21"/>
                <w:lang w:eastAsia="zh-CN"/>
              </w:rPr>
            </w:pPr>
            <w:r>
              <w:rPr>
                <w:rFonts w:hint="eastAsia"/>
                <w:sz w:val="18"/>
                <w:szCs w:val="18"/>
                <w:u w:val="single"/>
                <w:lang w:eastAsia="zh-CN"/>
              </w:rPr>
              <w:t>于工</w:t>
            </w:r>
          </w:p>
        </w:tc>
        <w:tc>
          <w:tcPr>
            <w:tcW w:w="1418" w:type="dxa"/>
            <w:vAlign w:val="center"/>
          </w:tcPr>
          <w:p>
            <w:pPr>
              <w:spacing w:line="460" w:lineRule="exact"/>
              <w:rPr>
                <w:sz w:val="18"/>
                <w:szCs w:val="18"/>
              </w:rPr>
            </w:pPr>
            <w:r>
              <w:rPr>
                <w:sz w:val="18"/>
                <w:szCs w:val="18"/>
              </w:rPr>
              <w:t>联系人：</w:t>
            </w:r>
          </w:p>
        </w:tc>
        <w:tc>
          <w:tcPr>
            <w:tcW w:w="3786" w:type="dxa"/>
            <w:vAlign w:val="center"/>
          </w:tcPr>
          <w:p>
            <w:pPr>
              <w:spacing w:line="460" w:lineRule="exact"/>
              <w:rPr>
                <w:sz w:val="18"/>
                <w:szCs w:val="18"/>
              </w:rPr>
            </w:pPr>
            <w:r>
              <w:rPr>
                <w:rFonts w:hint="eastAsia"/>
                <w:sz w:val="18"/>
                <w:szCs w:val="18"/>
                <w:u w:val="single"/>
              </w:rPr>
              <w:t>王奎元</w:t>
            </w:r>
          </w:p>
        </w:tc>
      </w:tr>
      <w:tr>
        <w:tblPrEx>
          <w:tblCellMar>
            <w:top w:w="0" w:type="dxa"/>
            <w:left w:w="108" w:type="dxa"/>
            <w:bottom w:w="0" w:type="dxa"/>
            <w:right w:w="108" w:type="dxa"/>
          </w:tblCellMar>
        </w:tblPrEx>
        <w:trPr>
          <w:trHeight w:val="306" w:hRule="atLeast"/>
        </w:trPr>
        <w:tc>
          <w:tcPr>
            <w:tcW w:w="1242" w:type="dxa"/>
            <w:vAlign w:val="center"/>
          </w:tcPr>
          <w:p>
            <w:pPr>
              <w:adjustRightInd w:val="0"/>
              <w:snapToGrid w:val="0"/>
              <w:spacing w:line="460" w:lineRule="exact"/>
              <w:rPr>
                <w:color w:val="000000"/>
                <w:sz w:val="18"/>
                <w:szCs w:val="18"/>
              </w:rPr>
            </w:pPr>
            <w:r>
              <w:rPr>
                <w:color w:val="000000"/>
                <w:sz w:val="18"/>
                <w:szCs w:val="18"/>
              </w:rPr>
              <w:t>电  话：</w:t>
            </w:r>
          </w:p>
        </w:tc>
        <w:tc>
          <w:tcPr>
            <w:tcW w:w="3544" w:type="dxa"/>
            <w:vAlign w:val="center"/>
          </w:tcPr>
          <w:p>
            <w:pPr>
              <w:adjustRightInd w:val="0"/>
              <w:snapToGrid w:val="0"/>
              <w:spacing w:line="400" w:lineRule="exact"/>
              <w:rPr>
                <w:rFonts w:hint="default" w:eastAsia="宋体"/>
                <w:sz w:val="18"/>
                <w:szCs w:val="18"/>
                <w:u w:val="single"/>
                <w:lang w:val="en-US" w:eastAsia="zh-CN"/>
              </w:rPr>
            </w:pPr>
            <w:r>
              <w:rPr>
                <w:rFonts w:hint="eastAsia"/>
                <w:sz w:val="18"/>
                <w:szCs w:val="18"/>
                <w:u w:val="single"/>
                <w:lang w:val="en-US" w:eastAsia="zh-CN"/>
              </w:rPr>
              <w:t xml:space="preserve">022-65270857 </w:t>
            </w:r>
          </w:p>
        </w:tc>
        <w:tc>
          <w:tcPr>
            <w:tcW w:w="1418" w:type="dxa"/>
            <w:vAlign w:val="center"/>
          </w:tcPr>
          <w:p>
            <w:pPr>
              <w:spacing w:line="460" w:lineRule="exact"/>
              <w:rPr>
                <w:sz w:val="18"/>
                <w:szCs w:val="18"/>
              </w:rPr>
            </w:pPr>
            <w:r>
              <w:rPr>
                <w:sz w:val="18"/>
                <w:szCs w:val="18"/>
              </w:rPr>
              <w:t>电  话：</w:t>
            </w:r>
          </w:p>
        </w:tc>
        <w:tc>
          <w:tcPr>
            <w:tcW w:w="3786" w:type="dxa"/>
            <w:vAlign w:val="center"/>
          </w:tcPr>
          <w:p>
            <w:pPr>
              <w:spacing w:line="460" w:lineRule="exact"/>
              <w:rPr>
                <w:sz w:val="18"/>
                <w:szCs w:val="18"/>
              </w:rPr>
            </w:pPr>
            <w:r>
              <w:rPr>
                <w:rFonts w:hint="eastAsia"/>
                <w:sz w:val="18"/>
                <w:szCs w:val="18"/>
                <w:u w:val="single"/>
              </w:rPr>
              <w:t>18512210005</w:t>
            </w:r>
          </w:p>
        </w:tc>
      </w:tr>
      <w:tr>
        <w:tblPrEx>
          <w:tblCellMar>
            <w:top w:w="0" w:type="dxa"/>
            <w:left w:w="108" w:type="dxa"/>
            <w:bottom w:w="0" w:type="dxa"/>
            <w:right w:w="108" w:type="dxa"/>
          </w:tblCellMar>
        </w:tblPrEx>
        <w:trPr>
          <w:trHeight w:val="306" w:hRule="atLeast"/>
        </w:trPr>
        <w:tc>
          <w:tcPr>
            <w:tcW w:w="1242" w:type="dxa"/>
            <w:vAlign w:val="center"/>
          </w:tcPr>
          <w:p>
            <w:pPr>
              <w:spacing w:line="460" w:lineRule="exact"/>
              <w:rPr>
                <w:color w:val="000000"/>
                <w:sz w:val="18"/>
                <w:szCs w:val="18"/>
              </w:rPr>
            </w:pPr>
            <w:r>
              <w:rPr>
                <w:sz w:val="18"/>
                <w:szCs w:val="18"/>
              </w:rPr>
              <w:t>传  真：</w:t>
            </w:r>
          </w:p>
        </w:tc>
        <w:tc>
          <w:tcPr>
            <w:tcW w:w="3544" w:type="dxa"/>
            <w:vAlign w:val="center"/>
          </w:tcPr>
          <w:p>
            <w:pPr>
              <w:adjustRightInd w:val="0"/>
              <w:snapToGrid w:val="0"/>
              <w:spacing w:line="460" w:lineRule="exact"/>
              <w:rPr>
                <w:sz w:val="18"/>
                <w:szCs w:val="18"/>
                <w:u w:val="single"/>
              </w:rPr>
            </w:pPr>
            <w:r>
              <w:rPr>
                <w:sz w:val="18"/>
                <w:szCs w:val="18"/>
                <w:u w:val="single"/>
              </w:rPr>
              <w:t>/</w:t>
            </w:r>
          </w:p>
        </w:tc>
        <w:tc>
          <w:tcPr>
            <w:tcW w:w="1418" w:type="dxa"/>
            <w:vAlign w:val="center"/>
          </w:tcPr>
          <w:p>
            <w:pPr>
              <w:spacing w:line="460" w:lineRule="exact"/>
              <w:rPr>
                <w:sz w:val="18"/>
                <w:szCs w:val="18"/>
              </w:rPr>
            </w:pPr>
            <w:r>
              <w:rPr>
                <w:sz w:val="18"/>
                <w:szCs w:val="18"/>
              </w:rPr>
              <w:t>传  真：</w:t>
            </w:r>
          </w:p>
        </w:tc>
        <w:tc>
          <w:tcPr>
            <w:tcW w:w="3786" w:type="dxa"/>
            <w:vAlign w:val="center"/>
          </w:tcPr>
          <w:p>
            <w:pPr>
              <w:spacing w:line="460" w:lineRule="exact"/>
              <w:rPr>
                <w:sz w:val="18"/>
                <w:szCs w:val="18"/>
              </w:rPr>
            </w:pPr>
            <w:r>
              <w:rPr>
                <w:rFonts w:hint="eastAsia"/>
                <w:sz w:val="18"/>
                <w:szCs w:val="18"/>
                <w:u w:val="single"/>
              </w:rPr>
              <w:t>022-27457468</w:t>
            </w:r>
          </w:p>
        </w:tc>
      </w:tr>
      <w:tr>
        <w:tblPrEx>
          <w:tblCellMar>
            <w:top w:w="0" w:type="dxa"/>
            <w:left w:w="108" w:type="dxa"/>
            <w:bottom w:w="0" w:type="dxa"/>
            <w:right w:w="108" w:type="dxa"/>
          </w:tblCellMar>
        </w:tblPrEx>
        <w:trPr>
          <w:trHeight w:val="306" w:hRule="atLeast"/>
        </w:trPr>
        <w:tc>
          <w:tcPr>
            <w:tcW w:w="1242" w:type="dxa"/>
            <w:vAlign w:val="center"/>
          </w:tcPr>
          <w:p>
            <w:pPr>
              <w:spacing w:line="460" w:lineRule="exact"/>
              <w:rPr>
                <w:sz w:val="18"/>
                <w:szCs w:val="18"/>
              </w:rPr>
            </w:pPr>
            <w:r>
              <w:rPr>
                <w:sz w:val="18"/>
                <w:szCs w:val="18"/>
              </w:rPr>
              <w:t>电子邮件：</w:t>
            </w:r>
          </w:p>
        </w:tc>
        <w:tc>
          <w:tcPr>
            <w:tcW w:w="3544" w:type="dxa"/>
            <w:vAlign w:val="center"/>
          </w:tcPr>
          <w:p>
            <w:pPr>
              <w:adjustRightInd w:val="0"/>
              <w:snapToGrid w:val="0"/>
              <w:spacing w:line="460" w:lineRule="exact"/>
              <w:rPr>
                <w:sz w:val="18"/>
                <w:szCs w:val="18"/>
                <w:u w:val="single"/>
              </w:rPr>
            </w:pPr>
            <w:r>
              <w:rPr>
                <w:sz w:val="18"/>
                <w:szCs w:val="18"/>
                <w:u w:val="single"/>
              </w:rPr>
              <w:t>/</w:t>
            </w:r>
          </w:p>
        </w:tc>
        <w:tc>
          <w:tcPr>
            <w:tcW w:w="1418" w:type="dxa"/>
            <w:vAlign w:val="center"/>
          </w:tcPr>
          <w:p>
            <w:pPr>
              <w:spacing w:line="460" w:lineRule="exact"/>
              <w:rPr>
                <w:sz w:val="18"/>
                <w:szCs w:val="18"/>
              </w:rPr>
            </w:pPr>
            <w:r>
              <w:rPr>
                <w:sz w:val="18"/>
                <w:szCs w:val="18"/>
              </w:rPr>
              <w:t>电子邮件：</w:t>
            </w:r>
          </w:p>
        </w:tc>
        <w:tc>
          <w:tcPr>
            <w:tcW w:w="3786" w:type="dxa"/>
            <w:vAlign w:val="center"/>
          </w:tcPr>
          <w:p>
            <w:pPr>
              <w:spacing w:line="460" w:lineRule="exact"/>
              <w:rPr>
                <w:sz w:val="18"/>
                <w:szCs w:val="18"/>
                <w:u w:val="single"/>
              </w:rPr>
            </w:pPr>
            <w:r>
              <w:rPr>
                <w:rFonts w:hint="eastAsia"/>
                <w:sz w:val="18"/>
                <w:szCs w:val="18"/>
                <w:u w:val="single"/>
              </w:rPr>
              <w:t>234028747@qq.com</w:t>
            </w:r>
          </w:p>
        </w:tc>
      </w:tr>
      <w:tr>
        <w:tblPrEx>
          <w:tblCellMar>
            <w:top w:w="0" w:type="dxa"/>
            <w:left w:w="108" w:type="dxa"/>
            <w:bottom w:w="0" w:type="dxa"/>
            <w:right w:w="108" w:type="dxa"/>
          </w:tblCellMar>
        </w:tblPrEx>
        <w:trPr>
          <w:trHeight w:val="300" w:hRule="atLeast"/>
        </w:trPr>
        <w:tc>
          <w:tcPr>
            <w:tcW w:w="1242" w:type="dxa"/>
            <w:vAlign w:val="center"/>
          </w:tcPr>
          <w:p>
            <w:pPr>
              <w:spacing w:line="460" w:lineRule="exact"/>
              <w:rPr>
                <w:sz w:val="18"/>
                <w:szCs w:val="18"/>
              </w:rPr>
            </w:pPr>
            <w:r>
              <w:rPr>
                <w:sz w:val="18"/>
                <w:szCs w:val="18"/>
              </w:rPr>
              <w:t>网  址：</w:t>
            </w:r>
          </w:p>
        </w:tc>
        <w:tc>
          <w:tcPr>
            <w:tcW w:w="3544" w:type="dxa"/>
            <w:vAlign w:val="center"/>
          </w:tcPr>
          <w:p>
            <w:pPr>
              <w:adjustRightInd w:val="0"/>
              <w:snapToGrid w:val="0"/>
              <w:spacing w:line="460" w:lineRule="exact"/>
              <w:rPr>
                <w:sz w:val="18"/>
                <w:szCs w:val="18"/>
                <w:u w:val="single"/>
              </w:rPr>
            </w:pPr>
            <w:r>
              <w:rPr>
                <w:sz w:val="18"/>
                <w:szCs w:val="18"/>
                <w:u w:val="single"/>
              </w:rPr>
              <w:t>/</w:t>
            </w:r>
            <w:r>
              <w:rPr>
                <w:rFonts w:hint="eastAsia"/>
                <w:sz w:val="18"/>
                <w:szCs w:val="18"/>
                <w:u w:val="single"/>
              </w:rPr>
              <w:t xml:space="preserve"> </w:t>
            </w:r>
          </w:p>
        </w:tc>
        <w:tc>
          <w:tcPr>
            <w:tcW w:w="1418" w:type="dxa"/>
            <w:vAlign w:val="center"/>
          </w:tcPr>
          <w:p>
            <w:pPr>
              <w:spacing w:line="460" w:lineRule="exact"/>
              <w:rPr>
                <w:sz w:val="18"/>
                <w:szCs w:val="18"/>
              </w:rPr>
            </w:pPr>
            <w:r>
              <w:rPr>
                <w:sz w:val="18"/>
                <w:szCs w:val="18"/>
              </w:rPr>
              <w:t>网  址：</w:t>
            </w:r>
          </w:p>
        </w:tc>
        <w:tc>
          <w:tcPr>
            <w:tcW w:w="3786" w:type="dxa"/>
            <w:vAlign w:val="center"/>
          </w:tcPr>
          <w:p>
            <w:pPr>
              <w:spacing w:line="460" w:lineRule="exact"/>
              <w:rPr>
                <w:sz w:val="18"/>
                <w:szCs w:val="18"/>
                <w:u w:val="single"/>
              </w:rPr>
            </w:pPr>
            <w:r>
              <w:rPr>
                <w:sz w:val="18"/>
                <w:szCs w:val="18"/>
                <w:u w:val="single"/>
              </w:rPr>
              <w:t>/</w:t>
            </w:r>
          </w:p>
        </w:tc>
      </w:tr>
      <w:tr>
        <w:tblPrEx>
          <w:tblCellMar>
            <w:top w:w="0" w:type="dxa"/>
            <w:left w:w="108" w:type="dxa"/>
            <w:bottom w:w="0" w:type="dxa"/>
            <w:right w:w="108" w:type="dxa"/>
          </w:tblCellMar>
        </w:tblPrEx>
        <w:trPr>
          <w:trHeight w:val="583" w:hRule="atLeast"/>
        </w:trPr>
        <w:tc>
          <w:tcPr>
            <w:tcW w:w="1242" w:type="dxa"/>
            <w:vAlign w:val="center"/>
          </w:tcPr>
          <w:p>
            <w:pPr>
              <w:spacing w:line="460" w:lineRule="exact"/>
              <w:rPr>
                <w:sz w:val="18"/>
                <w:szCs w:val="18"/>
              </w:rPr>
            </w:pPr>
            <w:r>
              <w:rPr>
                <w:sz w:val="18"/>
                <w:szCs w:val="18"/>
              </w:rPr>
              <w:t>开户银行：</w:t>
            </w:r>
          </w:p>
        </w:tc>
        <w:tc>
          <w:tcPr>
            <w:tcW w:w="3544" w:type="dxa"/>
            <w:vAlign w:val="center"/>
          </w:tcPr>
          <w:p>
            <w:pPr>
              <w:adjustRightInd w:val="0"/>
              <w:snapToGrid w:val="0"/>
              <w:spacing w:line="400" w:lineRule="exact"/>
              <w:rPr>
                <w:rFonts w:hint="eastAsia" w:eastAsia="宋体"/>
                <w:sz w:val="18"/>
                <w:szCs w:val="18"/>
                <w:u w:val="single"/>
                <w:lang w:eastAsia="zh-CN"/>
              </w:rPr>
            </w:pPr>
            <w:r>
              <w:rPr>
                <w:rFonts w:hint="eastAsia"/>
                <w:sz w:val="18"/>
                <w:szCs w:val="18"/>
                <w:u w:val="single"/>
                <w:lang w:eastAsia="zh-CN"/>
              </w:rPr>
              <w:t>/</w:t>
            </w:r>
          </w:p>
        </w:tc>
        <w:tc>
          <w:tcPr>
            <w:tcW w:w="1418" w:type="dxa"/>
            <w:vAlign w:val="center"/>
          </w:tcPr>
          <w:p>
            <w:pPr>
              <w:spacing w:line="460" w:lineRule="exact"/>
              <w:rPr>
                <w:sz w:val="18"/>
                <w:szCs w:val="18"/>
              </w:rPr>
            </w:pPr>
            <w:r>
              <w:rPr>
                <w:sz w:val="18"/>
                <w:szCs w:val="18"/>
              </w:rPr>
              <w:t>开户银行：</w:t>
            </w:r>
          </w:p>
        </w:tc>
        <w:tc>
          <w:tcPr>
            <w:tcW w:w="3786" w:type="dxa"/>
            <w:vAlign w:val="center"/>
          </w:tcPr>
          <w:p>
            <w:pPr>
              <w:spacing w:line="460" w:lineRule="exact"/>
              <w:rPr>
                <w:sz w:val="18"/>
                <w:szCs w:val="18"/>
                <w:u w:val="single"/>
              </w:rPr>
            </w:pPr>
            <w:r>
              <w:rPr>
                <w:rFonts w:hint="eastAsia"/>
                <w:sz w:val="18"/>
                <w:szCs w:val="18"/>
                <w:u w:val="single"/>
              </w:rPr>
              <w:t>中国建设银行股份有限公司天津新技术产业园区支行</w:t>
            </w:r>
          </w:p>
        </w:tc>
      </w:tr>
      <w:tr>
        <w:tblPrEx>
          <w:tblCellMar>
            <w:top w:w="0" w:type="dxa"/>
            <w:left w:w="108" w:type="dxa"/>
            <w:bottom w:w="0" w:type="dxa"/>
            <w:right w:w="108" w:type="dxa"/>
          </w:tblCellMar>
        </w:tblPrEx>
        <w:trPr>
          <w:trHeight w:val="306" w:hRule="atLeast"/>
        </w:trPr>
        <w:tc>
          <w:tcPr>
            <w:tcW w:w="1242" w:type="dxa"/>
            <w:vAlign w:val="center"/>
          </w:tcPr>
          <w:p>
            <w:pPr>
              <w:spacing w:line="460" w:lineRule="exact"/>
              <w:rPr>
                <w:sz w:val="18"/>
                <w:szCs w:val="18"/>
              </w:rPr>
            </w:pPr>
            <w:r>
              <w:rPr>
                <w:sz w:val="18"/>
                <w:szCs w:val="18"/>
              </w:rPr>
              <w:t>账  号：</w:t>
            </w:r>
          </w:p>
        </w:tc>
        <w:tc>
          <w:tcPr>
            <w:tcW w:w="3544" w:type="dxa"/>
            <w:vAlign w:val="center"/>
          </w:tcPr>
          <w:p>
            <w:pPr>
              <w:adjustRightInd w:val="0"/>
              <w:snapToGrid w:val="0"/>
              <w:spacing w:line="400" w:lineRule="exact"/>
              <w:rPr>
                <w:sz w:val="18"/>
                <w:szCs w:val="18"/>
                <w:u w:val="single"/>
              </w:rPr>
            </w:pPr>
            <w:r>
              <w:rPr>
                <w:sz w:val="18"/>
                <w:szCs w:val="18"/>
                <w:u w:val="single"/>
              </w:rPr>
              <w:t>/</w:t>
            </w:r>
          </w:p>
        </w:tc>
        <w:tc>
          <w:tcPr>
            <w:tcW w:w="1418" w:type="dxa"/>
            <w:vAlign w:val="center"/>
          </w:tcPr>
          <w:p>
            <w:pPr>
              <w:spacing w:line="460" w:lineRule="exact"/>
              <w:rPr>
                <w:sz w:val="18"/>
                <w:szCs w:val="18"/>
              </w:rPr>
            </w:pPr>
            <w:r>
              <w:rPr>
                <w:sz w:val="18"/>
                <w:szCs w:val="18"/>
              </w:rPr>
              <w:t>账  号：</w:t>
            </w:r>
          </w:p>
        </w:tc>
        <w:tc>
          <w:tcPr>
            <w:tcW w:w="3786" w:type="dxa"/>
            <w:vAlign w:val="center"/>
          </w:tcPr>
          <w:p>
            <w:pPr>
              <w:spacing w:line="460" w:lineRule="exact"/>
              <w:rPr>
                <w:sz w:val="18"/>
                <w:szCs w:val="18"/>
                <w:u w:val="single"/>
              </w:rPr>
            </w:pPr>
            <w:r>
              <w:rPr>
                <w:rFonts w:hint="eastAsia"/>
                <w:sz w:val="18"/>
                <w:szCs w:val="18"/>
                <w:u w:val="single"/>
              </w:rPr>
              <w:t>12001650472052508557</w:t>
            </w:r>
          </w:p>
        </w:tc>
      </w:tr>
      <w:tr>
        <w:tblPrEx>
          <w:tblCellMar>
            <w:top w:w="0" w:type="dxa"/>
            <w:left w:w="108" w:type="dxa"/>
            <w:bottom w:w="0" w:type="dxa"/>
            <w:right w:w="108" w:type="dxa"/>
          </w:tblCellMar>
        </w:tblPrEx>
        <w:trPr>
          <w:trHeight w:val="90" w:hRule="atLeast"/>
        </w:trPr>
        <w:tc>
          <w:tcPr>
            <w:tcW w:w="1242" w:type="dxa"/>
            <w:vAlign w:val="center"/>
          </w:tcPr>
          <w:p>
            <w:pPr>
              <w:spacing w:line="460" w:lineRule="exact"/>
              <w:rPr>
                <w:sz w:val="18"/>
                <w:szCs w:val="18"/>
              </w:rPr>
            </w:pPr>
          </w:p>
        </w:tc>
        <w:tc>
          <w:tcPr>
            <w:tcW w:w="3544" w:type="dxa"/>
            <w:vAlign w:val="center"/>
          </w:tcPr>
          <w:p>
            <w:pPr>
              <w:spacing w:line="460" w:lineRule="exact"/>
              <w:rPr>
                <w:sz w:val="18"/>
                <w:szCs w:val="18"/>
                <w:highlight w:val="yellow"/>
              </w:rPr>
            </w:pPr>
          </w:p>
        </w:tc>
        <w:tc>
          <w:tcPr>
            <w:tcW w:w="1418" w:type="dxa"/>
            <w:vAlign w:val="center"/>
          </w:tcPr>
          <w:p>
            <w:pPr>
              <w:spacing w:line="460" w:lineRule="exact"/>
              <w:rPr>
                <w:sz w:val="18"/>
                <w:szCs w:val="18"/>
              </w:rPr>
            </w:pPr>
          </w:p>
        </w:tc>
        <w:tc>
          <w:tcPr>
            <w:tcW w:w="3786" w:type="dxa"/>
            <w:vAlign w:val="center"/>
          </w:tcPr>
          <w:p>
            <w:pPr>
              <w:spacing w:line="460" w:lineRule="exact"/>
              <w:rPr>
                <w:sz w:val="18"/>
                <w:szCs w:val="18"/>
              </w:rPr>
            </w:pPr>
            <w:r>
              <w:rPr>
                <w:rFonts w:hint="eastAsia"/>
                <w:sz w:val="18"/>
                <w:szCs w:val="18"/>
                <w:highlight w:val="none"/>
                <w:u w:val="single"/>
              </w:rPr>
              <w:t>202</w:t>
            </w:r>
            <w:r>
              <w:rPr>
                <w:rFonts w:hint="eastAsia"/>
                <w:sz w:val="18"/>
                <w:szCs w:val="18"/>
                <w:highlight w:val="none"/>
                <w:u w:val="single"/>
                <w:lang w:val="en-US" w:eastAsia="zh-CN"/>
              </w:rPr>
              <w:t>2</w:t>
            </w:r>
            <w:r>
              <w:rPr>
                <w:sz w:val="18"/>
                <w:szCs w:val="18"/>
                <w:highlight w:val="none"/>
              </w:rPr>
              <w:t>年</w:t>
            </w:r>
            <w:r>
              <w:rPr>
                <w:rFonts w:hint="eastAsia"/>
                <w:sz w:val="18"/>
                <w:szCs w:val="18"/>
                <w:highlight w:val="none"/>
                <w:u w:val="single"/>
                <w:lang w:val="en-US" w:eastAsia="zh-CN"/>
              </w:rPr>
              <w:t>6</w:t>
            </w:r>
            <w:r>
              <w:rPr>
                <w:sz w:val="18"/>
                <w:szCs w:val="18"/>
                <w:highlight w:val="none"/>
              </w:rPr>
              <w:t>月</w:t>
            </w:r>
            <w:r>
              <w:rPr>
                <w:rFonts w:hint="eastAsia"/>
                <w:sz w:val="18"/>
                <w:szCs w:val="18"/>
                <w:highlight w:val="none"/>
                <w:u w:val="single"/>
                <w:lang w:val="en-US" w:eastAsia="zh-CN"/>
              </w:rPr>
              <w:t>8</w:t>
            </w:r>
            <w:r>
              <w:rPr>
                <w:sz w:val="18"/>
                <w:szCs w:val="18"/>
                <w:highlight w:val="none"/>
              </w:rPr>
              <w:t>日</w:t>
            </w:r>
          </w:p>
        </w:tc>
      </w:tr>
    </w:tbl>
    <w:p>
      <w:pPr>
        <w:pStyle w:val="4"/>
        <w:spacing w:beforeLines="0" w:afterLines="0" w:line="400" w:lineRule="exact"/>
      </w:pPr>
      <w:r>
        <w:br w:type="page"/>
      </w:r>
      <w:bookmarkStart w:id="15" w:name="_Toc22971"/>
      <w:bookmarkStart w:id="16" w:name="_Toc508796990"/>
      <w:r>
        <w:rPr>
          <w:rFonts w:hint="eastAsia"/>
        </w:rPr>
        <w:t>第二章  投标人须知</w:t>
      </w:r>
      <w:bookmarkEnd w:id="8"/>
      <w:bookmarkEnd w:id="9"/>
      <w:bookmarkEnd w:id="10"/>
      <w:bookmarkEnd w:id="11"/>
      <w:bookmarkEnd w:id="12"/>
      <w:bookmarkEnd w:id="13"/>
      <w:bookmarkEnd w:id="15"/>
      <w:bookmarkEnd w:id="16"/>
    </w:p>
    <w:p>
      <w:pPr>
        <w:spacing w:line="420" w:lineRule="atLeast"/>
        <w:ind w:right="480"/>
        <w:rPr>
          <w:rFonts w:ascii="宋体" w:hAnsi="宋体"/>
          <w:b/>
          <w:sz w:val="28"/>
          <w:szCs w:val="28"/>
        </w:rPr>
      </w:pPr>
      <w:bookmarkStart w:id="17" w:name="_Toc234349326"/>
      <w:bookmarkStart w:id="18" w:name="_Toc234348752"/>
      <w:bookmarkStart w:id="19" w:name="_Toc234349334"/>
      <w:bookmarkStart w:id="20" w:name="_Toc234348760"/>
      <w:r>
        <w:rPr>
          <w:rFonts w:hint="eastAsia" w:ascii="宋体" w:hAnsi="宋体"/>
          <w:b/>
          <w:sz w:val="28"/>
          <w:szCs w:val="28"/>
        </w:rPr>
        <w:t>投标人须知前附表</w:t>
      </w:r>
      <w:bookmarkEnd w:id="17"/>
      <w:bookmarkEnd w:id="18"/>
    </w:p>
    <w:tbl>
      <w:tblPr>
        <w:tblStyle w:val="38"/>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3081"/>
        <w:gridCol w:w="5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blHeader/>
        </w:trPr>
        <w:tc>
          <w:tcPr>
            <w:tcW w:w="993"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3081"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5708"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6"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1.1.2</w:t>
            </w:r>
          </w:p>
        </w:tc>
        <w:tc>
          <w:tcPr>
            <w:tcW w:w="3081" w:type="dxa"/>
            <w:vAlign w:val="center"/>
          </w:tcPr>
          <w:p>
            <w:pPr>
              <w:tabs>
                <w:tab w:val="left" w:pos="2604"/>
              </w:tabs>
              <w:adjustRightInd w:val="0"/>
              <w:snapToGrid w:val="0"/>
              <w:spacing w:line="280" w:lineRule="exact"/>
              <w:ind w:right="-88" w:rightChars="-42"/>
              <w:jc w:val="center"/>
              <w:rPr>
                <w:rFonts w:ascii="宋体" w:hAnsi="宋体"/>
                <w:szCs w:val="21"/>
              </w:rPr>
            </w:pPr>
            <w:r>
              <w:rPr>
                <w:rFonts w:hint="eastAsia" w:ascii="宋体" w:hAnsi="宋体"/>
                <w:szCs w:val="21"/>
              </w:rPr>
              <w:t>招标人</w:t>
            </w:r>
          </w:p>
        </w:tc>
        <w:tc>
          <w:tcPr>
            <w:tcW w:w="5708" w:type="dxa"/>
            <w:vAlign w:val="center"/>
          </w:tcPr>
          <w:p>
            <w:pPr>
              <w:autoSpaceDE w:val="0"/>
              <w:autoSpaceDN w:val="0"/>
              <w:adjustRightInd w:val="0"/>
              <w:spacing w:line="300" w:lineRule="atLeast"/>
              <w:rPr>
                <w:rFonts w:ascii="宋体" w:cs="宋体"/>
                <w:kern w:val="0"/>
                <w:szCs w:val="21"/>
              </w:rPr>
            </w:pPr>
            <w:r>
              <w:rPr>
                <w:rFonts w:hint="eastAsia" w:ascii="宋体" w:cs="宋体"/>
                <w:kern w:val="0"/>
                <w:szCs w:val="21"/>
              </w:rPr>
              <w:t>名  称：</w:t>
            </w:r>
            <w:r>
              <w:rPr>
                <w:rFonts w:hint="eastAsia" w:ascii="宋体" w:cs="宋体"/>
                <w:kern w:val="0"/>
                <w:szCs w:val="21"/>
                <w:lang w:eastAsia="zh-CN"/>
              </w:rPr>
              <w:t>天津市滨海新区城投建设发展有限公司</w:t>
            </w:r>
            <w:r>
              <w:rPr>
                <w:rFonts w:hint="eastAsia" w:ascii="宋体" w:cs="宋体"/>
                <w:kern w:val="0"/>
                <w:szCs w:val="21"/>
              </w:rPr>
              <w:t xml:space="preserve"> </w:t>
            </w:r>
          </w:p>
          <w:p>
            <w:pPr>
              <w:autoSpaceDE w:val="0"/>
              <w:autoSpaceDN w:val="0"/>
              <w:adjustRightInd w:val="0"/>
              <w:spacing w:line="300" w:lineRule="atLeast"/>
              <w:rPr>
                <w:rFonts w:ascii="宋体" w:cs="宋体"/>
                <w:kern w:val="0"/>
                <w:szCs w:val="21"/>
              </w:rPr>
            </w:pPr>
            <w:r>
              <w:rPr>
                <w:rFonts w:hint="eastAsia" w:ascii="宋体" w:cs="宋体"/>
                <w:kern w:val="0"/>
                <w:szCs w:val="21"/>
              </w:rPr>
              <w:t>地  址：</w:t>
            </w:r>
            <w:r>
              <w:rPr>
                <w:rFonts w:hint="eastAsia" w:ascii="宋体" w:cs="宋体"/>
                <w:kern w:val="0"/>
                <w:szCs w:val="21"/>
                <w:lang w:eastAsia="zh-CN"/>
              </w:rPr>
              <w:t>天津市滨海新区塘沽新港四号路136号</w:t>
            </w:r>
            <w:r>
              <w:rPr>
                <w:rFonts w:hint="eastAsia" w:ascii="宋体" w:cs="宋体"/>
                <w:kern w:val="0"/>
                <w:szCs w:val="21"/>
              </w:rPr>
              <w:t xml:space="preserve"> </w:t>
            </w:r>
          </w:p>
          <w:p>
            <w:pPr>
              <w:adjustRightInd w:val="0"/>
              <w:snapToGrid w:val="0"/>
              <w:spacing w:line="280" w:lineRule="exact"/>
              <w:ind w:right="71" w:rightChars="34"/>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于工</w:t>
            </w:r>
          </w:p>
          <w:p>
            <w:pPr>
              <w:adjustRightInd w:val="0"/>
              <w:snapToGrid w:val="0"/>
              <w:spacing w:line="280" w:lineRule="exact"/>
              <w:ind w:right="71" w:rightChars="34"/>
              <w:rPr>
                <w:rFonts w:ascii="宋体" w:hAnsi="宋体"/>
                <w:szCs w:val="21"/>
              </w:rPr>
            </w:pPr>
            <w:r>
              <w:rPr>
                <w:rFonts w:hint="eastAsia" w:ascii="宋体" w:hAnsi="宋体"/>
                <w:szCs w:val="21"/>
              </w:rPr>
              <w:t xml:space="preserve">电话：022-65270857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6"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1.1.3</w:t>
            </w:r>
          </w:p>
        </w:tc>
        <w:tc>
          <w:tcPr>
            <w:tcW w:w="3081" w:type="dxa"/>
            <w:vAlign w:val="center"/>
          </w:tcPr>
          <w:p>
            <w:pPr>
              <w:tabs>
                <w:tab w:val="left" w:pos="2604"/>
              </w:tabs>
              <w:adjustRightInd w:val="0"/>
              <w:snapToGrid w:val="0"/>
              <w:spacing w:line="280" w:lineRule="exact"/>
              <w:ind w:right="-88" w:rightChars="-42"/>
              <w:jc w:val="center"/>
              <w:rPr>
                <w:rFonts w:ascii="宋体" w:hAnsi="宋体"/>
                <w:szCs w:val="21"/>
              </w:rPr>
            </w:pPr>
            <w:r>
              <w:rPr>
                <w:rFonts w:hint="eastAsia" w:ascii="宋体" w:hAnsi="宋体"/>
                <w:szCs w:val="21"/>
              </w:rPr>
              <w:t>招标代理机构</w:t>
            </w:r>
          </w:p>
        </w:tc>
        <w:tc>
          <w:tcPr>
            <w:tcW w:w="5708" w:type="dxa"/>
            <w:vAlign w:val="center"/>
          </w:tcPr>
          <w:p>
            <w:pPr>
              <w:spacing w:before="50" w:line="280" w:lineRule="exact"/>
              <w:rPr>
                <w:szCs w:val="21"/>
              </w:rPr>
            </w:pPr>
            <w:r>
              <w:rPr>
                <w:rFonts w:hint="eastAsia"/>
                <w:szCs w:val="21"/>
              </w:rPr>
              <w:t>名称：天津神州亿隆工程管理咨询有限公司</w:t>
            </w:r>
          </w:p>
          <w:p>
            <w:pPr>
              <w:spacing w:before="50" w:line="280" w:lineRule="exact"/>
              <w:rPr>
                <w:szCs w:val="21"/>
              </w:rPr>
            </w:pPr>
            <w:r>
              <w:rPr>
                <w:rFonts w:hint="eastAsia"/>
                <w:szCs w:val="21"/>
              </w:rPr>
              <w:t>地址：天津市河东区十一经路78号1618室</w:t>
            </w:r>
          </w:p>
          <w:p>
            <w:pPr>
              <w:spacing w:before="50" w:line="280" w:lineRule="exact"/>
              <w:rPr>
                <w:szCs w:val="21"/>
              </w:rPr>
            </w:pPr>
            <w:r>
              <w:rPr>
                <w:rFonts w:hint="eastAsia"/>
                <w:szCs w:val="21"/>
              </w:rPr>
              <w:t>联系人：王奎元</w:t>
            </w:r>
          </w:p>
          <w:p>
            <w:pPr>
              <w:adjustRightInd w:val="0"/>
              <w:snapToGrid w:val="0"/>
              <w:spacing w:line="280" w:lineRule="exact"/>
              <w:ind w:right="71" w:rightChars="34"/>
              <w:rPr>
                <w:rFonts w:ascii="宋体" w:hAnsi="宋体"/>
                <w:szCs w:val="21"/>
              </w:rPr>
            </w:pPr>
            <w:r>
              <w:rPr>
                <w:rFonts w:hint="eastAsia"/>
                <w:szCs w:val="21"/>
              </w:rPr>
              <w:t>电话：022-27457468、18512210005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993" w:type="dxa"/>
            <w:vAlign w:val="center"/>
          </w:tcPr>
          <w:p>
            <w:pPr>
              <w:adjustRightInd w:val="0"/>
              <w:snapToGrid w:val="0"/>
              <w:spacing w:line="240" w:lineRule="exact"/>
              <w:jc w:val="center"/>
              <w:rPr>
                <w:rFonts w:ascii="宋体" w:hAnsi="宋体"/>
                <w:szCs w:val="21"/>
              </w:rPr>
            </w:pPr>
            <w:r>
              <w:rPr>
                <w:rFonts w:hint="eastAsia" w:ascii="宋体" w:hAnsi="宋体"/>
                <w:szCs w:val="21"/>
              </w:rPr>
              <w:t>1.1.4</w:t>
            </w:r>
          </w:p>
        </w:tc>
        <w:tc>
          <w:tcPr>
            <w:tcW w:w="3081" w:type="dxa"/>
            <w:vAlign w:val="center"/>
          </w:tcPr>
          <w:p>
            <w:pPr>
              <w:tabs>
                <w:tab w:val="left" w:pos="2604"/>
              </w:tabs>
              <w:adjustRightInd w:val="0"/>
              <w:snapToGrid w:val="0"/>
              <w:spacing w:line="240" w:lineRule="exact"/>
              <w:ind w:right="-88" w:rightChars="-42"/>
              <w:jc w:val="center"/>
              <w:rPr>
                <w:rFonts w:ascii="宋体" w:hAnsi="宋体"/>
                <w:szCs w:val="21"/>
              </w:rPr>
            </w:pPr>
            <w:r>
              <w:rPr>
                <w:rFonts w:hint="eastAsia" w:ascii="宋体" w:hAnsi="宋体"/>
                <w:szCs w:val="21"/>
              </w:rPr>
              <w:t>招标项目名称</w:t>
            </w:r>
          </w:p>
        </w:tc>
        <w:tc>
          <w:tcPr>
            <w:tcW w:w="5708" w:type="dxa"/>
            <w:vAlign w:val="center"/>
          </w:tcPr>
          <w:p>
            <w:pPr>
              <w:spacing w:before="50" w:line="240" w:lineRule="exact"/>
              <w:rPr>
                <w:rFonts w:ascii="宋体" w:hAnsi="宋体"/>
                <w:szCs w:val="21"/>
              </w:rPr>
            </w:pPr>
            <w:r>
              <w:rPr>
                <w:rFonts w:hint="eastAsia" w:ascii="宋体" w:cs="宋体"/>
                <w:bCs/>
                <w:kern w:val="0"/>
                <w:szCs w:val="21"/>
                <w:lang w:eastAsia="zh-CN"/>
              </w:rPr>
              <w:t>滨海新区8条国省级公路维修工程（一期--港城大道、海景大道）</w:t>
            </w:r>
            <w:r>
              <w:rPr>
                <w:rFonts w:hint="eastAsia" w:ascii="宋体" w:cs="宋体"/>
                <w:bCs/>
                <w:kern w:val="0"/>
                <w:szCs w:val="21"/>
              </w:rPr>
              <w:t>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993" w:type="dxa"/>
            <w:vAlign w:val="center"/>
          </w:tcPr>
          <w:p>
            <w:pPr>
              <w:adjustRightInd w:val="0"/>
              <w:snapToGrid w:val="0"/>
              <w:spacing w:line="240" w:lineRule="exact"/>
              <w:jc w:val="center"/>
              <w:rPr>
                <w:rFonts w:ascii="宋体" w:hAnsi="宋体"/>
                <w:szCs w:val="21"/>
              </w:rPr>
            </w:pPr>
            <w:r>
              <w:rPr>
                <w:rFonts w:hint="eastAsia" w:ascii="宋体" w:hAnsi="宋体"/>
                <w:szCs w:val="21"/>
              </w:rPr>
              <w:t>1.1.5</w:t>
            </w:r>
          </w:p>
        </w:tc>
        <w:tc>
          <w:tcPr>
            <w:tcW w:w="3081" w:type="dxa"/>
            <w:vAlign w:val="center"/>
          </w:tcPr>
          <w:p>
            <w:pPr>
              <w:tabs>
                <w:tab w:val="left" w:pos="2604"/>
              </w:tabs>
              <w:adjustRightInd w:val="0"/>
              <w:snapToGrid w:val="0"/>
              <w:spacing w:line="240" w:lineRule="exact"/>
              <w:ind w:right="-88" w:rightChars="-42"/>
              <w:jc w:val="center"/>
              <w:rPr>
                <w:rFonts w:ascii="宋体" w:hAnsi="宋体"/>
                <w:szCs w:val="21"/>
              </w:rPr>
            </w:pPr>
            <w:r>
              <w:rPr>
                <w:rFonts w:hint="eastAsia" w:ascii="宋体" w:hAnsi="宋体"/>
                <w:szCs w:val="21"/>
              </w:rPr>
              <w:t>标段建设地点</w:t>
            </w:r>
          </w:p>
        </w:tc>
        <w:tc>
          <w:tcPr>
            <w:tcW w:w="5708" w:type="dxa"/>
            <w:vAlign w:val="center"/>
          </w:tcPr>
          <w:p>
            <w:pPr>
              <w:adjustRightInd w:val="0"/>
              <w:snapToGrid w:val="0"/>
              <w:spacing w:line="240" w:lineRule="exact"/>
              <w:rPr>
                <w:rFonts w:hint="eastAsia" w:ascii="宋体" w:hAnsi="宋体" w:eastAsia="宋体"/>
                <w:szCs w:val="21"/>
                <w:lang w:eastAsia="zh-CN"/>
              </w:rPr>
            </w:pPr>
            <w:r>
              <w:rPr>
                <w:rFonts w:hint="eastAsia" w:ascii="宋体" w:hAnsi="宋体"/>
                <w:szCs w:val="21"/>
              </w:rPr>
              <w:t>天津市</w:t>
            </w:r>
            <w:r>
              <w:rPr>
                <w:rFonts w:hint="eastAsia" w:ascii="宋体" w:hAnsi="宋体"/>
                <w:szCs w:val="21"/>
                <w:lang w:eastAsia="zh-CN"/>
              </w:rPr>
              <w:t>滨海新区港城大道、海景大道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993" w:type="dxa"/>
            <w:vAlign w:val="center"/>
          </w:tcPr>
          <w:p>
            <w:pPr>
              <w:adjustRightInd w:val="0"/>
              <w:snapToGrid w:val="0"/>
              <w:spacing w:line="240" w:lineRule="exact"/>
              <w:jc w:val="center"/>
              <w:rPr>
                <w:rFonts w:ascii="宋体" w:hAnsi="宋体"/>
                <w:szCs w:val="21"/>
              </w:rPr>
            </w:pPr>
            <w:r>
              <w:rPr>
                <w:rFonts w:hint="eastAsia" w:ascii="宋体" w:hAnsi="宋体"/>
                <w:szCs w:val="21"/>
              </w:rPr>
              <w:t>1.2.1</w:t>
            </w:r>
          </w:p>
        </w:tc>
        <w:tc>
          <w:tcPr>
            <w:tcW w:w="3081" w:type="dxa"/>
            <w:vAlign w:val="center"/>
          </w:tcPr>
          <w:p>
            <w:pPr>
              <w:tabs>
                <w:tab w:val="left" w:pos="2604"/>
              </w:tabs>
              <w:adjustRightInd w:val="0"/>
              <w:snapToGrid w:val="0"/>
              <w:spacing w:line="240" w:lineRule="exact"/>
              <w:ind w:right="-88" w:rightChars="-42"/>
              <w:jc w:val="center"/>
              <w:rPr>
                <w:rFonts w:ascii="宋体" w:hAnsi="宋体"/>
                <w:szCs w:val="21"/>
              </w:rPr>
            </w:pPr>
            <w:r>
              <w:rPr>
                <w:rFonts w:hint="eastAsia" w:ascii="宋体" w:hAnsi="宋体"/>
                <w:szCs w:val="21"/>
              </w:rPr>
              <w:t>资金来源及比例</w:t>
            </w:r>
          </w:p>
        </w:tc>
        <w:tc>
          <w:tcPr>
            <w:tcW w:w="5708" w:type="dxa"/>
            <w:vAlign w:val="center"/>
          </w:tcPr>
          <w:p>
            <w:pPr>
              <w:adjustRightInd w:val="0"/>
              <w:snapToGrid w:val="0"/>
              <w:spacing w:line="240" w:lineRule="exact"/>
              <w:rPr>
                <w:szCs w:val="21"/>
              </w:rPr>
            </w:pPr>
            <w:r>
              <w:rPr>
                <w:rFonts w:hint="eastAsia" w:hAnsi="宋体"/>
                <w:color w:val="auto"/>
                <w:highlight w:val="none"/>
                <w:lang w:eastAsia="zh-CN"/>
              </w:rPr>
              <w:t xml:space="preserve"> </w:t>
            </w:r>
            <w:r>
              <w:rPr>
                <w:rFonts w:hint="eastAsia" w:hAnsi="宋体" w:cs="宋体"/>
                <w:color w:val="auto"/>
                <w:highlight w:val="none"/>
                <w:u w:val="single"/>
                <w:lang w:eastAsia="zh-CN"/>
              </w:rPr>
              <w:t>政府专项债和财政资金</w:t>
            </w:r>
            <w:r>
              <w:rPr>
                <w:rFonts w:hint="eastAsia"/>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993" w:type="dxa"/>
            <w:vAlign w:val="center"/>
          </w:tcPr>
          <w:p>
            <w:pPr>
              <w:adjustRightInd w:val="0"/>
              <w:snapToGrid w:val="0"/>
              <w:spacing w:line="240" w:lineRule="exact"/>
              <w:jc w:val="center"/>
              <w:rPr>
                <w:rFonts w:ascii="宋体" w:hAnsi="宋体"/>
                <w:szCs w:val="21"/>
              </w:rPr>
            </w:pPr>
            <w:r>
              <w:rPr>
                <w:rFonts w:hint="eastAsia" w:ascii="宋体" w:hAnsi="宋体"/>
                <w:szCs w:val="21"/>
              </w:rPr>
              <w:t>1.2.2</w:t>
            </w:r>
          </w:p>
        </w:tc>
        <w:tc>
          <w:tcPr>
            <w:tcW w:w="3081" w:type="dxa"/>
            <w:vAlign w:val="center"/>
          </w:tcPr>
          <w:p>
            <w:pPr>
              <w:tabs>
                <w:tab w:val="left" w:pos="2604"/>
              </w:tabs>
              <w:adjustRightInd w:val="0"/>
              <w:snapToGrid w:val="0"/>
              <w:spacing w:line="240" w:lineRule="exact"/>
              <w:ind w:right="-88" w:rightChars="-42"/>
              <w:jc w:val="center"/>
              <w:rPr>
                <w:rFonts w:ascii="宋体" w:hAnsi="宋体"/>
                <w:szCs w:val="21"/>
              </w:rPr>
            </w:pPr>
            <w:r>
              <w:rPr>
                <w:rFonts w:hint="eastAsia" w:ascii="宋体" w:hAnsi="宋体"/>
                <w:szCs w:val="21"/>
              </w:rPr>
              <w:t>资金落实情况</w:t>
            </w:r>
          </w:p>
        </w:tc>
        <w:tc>
          <w:tcPr>
            <w:tcW w:w="5708" w:type="dxa"/>
            <w:vAlign w:val="center"/>
          </w:tcPr>
          <w:p>
            <w:pPr>
              <w:adjustRightInd w:val="0"/>
              <w:snapToGrid w:val="0"/>
              <w:spacing w:line="240" w:lineRule="exact"/>
              <w:ind w:right="71" w:rightChars="34"/>
              <w:rPr>
                <w:rFonts w:ascii="宋体" w:hAnsi="宋体"/>
                <w:szCs w:val="21"/>
              </w:rPr>
            </w:pPr>
            <w:r>
              <w:rPr>
                <w:rFonts w:hint="eastAsia" w:ascii="宋体" w:hAnsi="宋体"/>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993" w:type="dxa"/>
            <w:vAlign w:val="center"/>
          </w:tcPr>
          <w:p>
            <w:pPr>
              <w:adjustRightInd w:val="0"/>
              <w:snapToGrid w:val="0"/>
              <w:spacing w:line="240" w:lineRule="exact"/>
              <w:jc w:val="center"/>
              <w:rPr>
                <w:rFonts w:ascii="宋体" w:hAnsi="宋体"/>
                <w:szCs w:val="21"/>
              </w:rPr>
            </w:pPr>
            <w:r>
              <w:rPr>
                <w:rFonts w:hint="eastAsia" w:ascii="宋体" w:hAnsi="宋体"/>
                <w:szCs w:val="21"/>
              </w:rPr>
              <w:t>1.3.1</w:t>
            </w:r>
          </w:p>
        </w:tc>
        <w:tc>
          <w:tcPr>
            <w:tcW w:w="3081" w:type="dxa"/>
            <w:vAlign w:val="center"/>
          </w:tcPr>
          <w:p>
            <w:pPr>
              <w:adjustRightInd w:val="0"/>
              <w:snapToGrid w:val="0"/>
              <w:spacing w:line="240" w:lineRule="exact"/>
              <w:ind w:right="71" w:rightChars="34" w:firstLine="945" w:firstLineChars="450"/>
              <w:rPr>
                <w:rFonts w:ascii="宋体" w:hAnsi="宋体"/>
                <w:szCs w:val="21"/>
              </w:rPr>
            </w:pPr>
            <w:r>
              <w:rPr>
                <w:rFonts w:hint="eastAsia" w:ascii="宋体" w:hAnsi="宋体"/>
                <w:szCs w:val="21"/>
              </w:rPr>
              <w:t>招标范围</w:t>
            </w:r>
          </w:p>
        </w:tc>
        <w:tc>
          <w:tcPr>
            <w:tcW w:w="5708" w:type="dxa"/>
            <w:vAlign w:val="center"/>
          </w:tcPr>
          <w:p>
            <w:pPr>
              <w:pStyle w:val="79"/>
              <w:snapToGrid w:val="0"/>
              <w:spacing w:line="240" w:lineRule="exact"/>
              <w:ind w:right="71" w:rightChars="34" w:firstLine="12" w:firstLineChars="6"/>
              <w:jc w:val="both"/>
              <w:rPr>
                <w:rFonts w:hAnsi="宋体" w:cs="Times New Roman"/>
                <w:color w:val="auto"/>
                <w:kern w:val="2"/>
                <w:sz w:val="21"/>
                <w:szCs w:val="21"/>
                <w:highlight w:val="none"/>
              </w:rPr>
            </w:pPr>
            <w:r>
              <w:rPr>
                <w:rFonts w:hint="eastAsia" w:hAnsi="宋体" w:cs="Times New Roman"/>
                <w:color w:val="auto"/>
                <w:kern w:val="2"/>
                <w:sz w:val="21"/>
                <w:szCs w:val="21"/>
                <w:highlight w:val="none"/>
              </w:rPr>
              <w:t>本工程范围内的道路工程、桥梁工程、排水工程、交通及安防设施工程等。（具体内容详见招标人所发工程量清单及图纸）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1"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1.3.2</w:t>
            </w:r>
          </w:p>
        </w:tc>
        <w:tc>
          <w:tcPr>
            <w:tcW w:w="3081" w:type="dxa"/>
            <w:vAlign w:val="center"/>
          </w:tcPr>
          <w:p>
            <w:pPr>
              <w:tabs>
                <w:tab w:val="left" w:pos="2604"/>
              </w:tabs>
              <w:adjustRightInd w:val="0"/>
              <w:snapToGrid w:val="0"/>
              <w:spacing w:line="280" w:lineRule="exact"/>
              <w:ind w:right="-88" w:rightChars="-42"/>
              <w:jc w:val="center"/>
              <w:rPr>
                <w:rFonts w:ascii="宋体" w:hAnsi="宋体"/>
                <w:szCs w:val="21"/>
              </w:rPr>
            </w:pPr>
            <w:r>
              <w:rPr>
                <w:rFonts w:hint="eastAsia" w:ascii="宋体" w:hAnsi="宋体"/>
                <w:szCs w:val="21"/>
              </w:rPr>
              <w:t>计划工期</w:t>
            </w:r>
          </w:p>
        </w:tc>
        <w:tc>
          <w:tcPr>
            <w:tcW w:w="5708" w:type="dxa"/>
            <w:vAlign w:val="center"/>
          </w:tcPr>
          <w:p>
            <w:pPr>
              <w:adjustRightInd w:val="0"/>
              <w:snapToGrid w:val="0"/>
              <w:spacing w:line="300" w:lineRule="atLeast"/>
              <w:ind w:firstLine="12" w:firstLineChars="6"/>
              <w:jc w:val="left"/>
              <w:rPr>
                <w:rFonts w:ascii="宋体" w:hAnsi="宋体"/>
                <w:szCs w:val="21"/>
                <w:highlight w:val="none"/>
              </w:rPr>
            </w:pPr>
            <w:r>
              <w:rPr>
                <w:rFonts w:hint="eastAsia" w:ascii="宋体" w:hAnsi="宋体"/>
                <w:szCs w:val="21"/>
                <w:highlight w:val="none"/>
              </w:rPr>
              <w:t>计划工期：</w:t>
            </w:r>
            <w:r>
              <w:rPr>
                <w:rFonts w:hint="eastAsia" w:ascii="宋体" w:hAnsi="宋体"/>
                <w:szCs w:val="21"/>
                <w:highlight w:val="none"/>
                <w:u w:val="single"/>
                <w:lang w:val="en-US" w:eastAsia="zh-CN"/>
              </w:rPr>
              <w:t>153</w:t>
            </w:r>
            <w:r>
              <w:rPr>
                <w:rFonts w:hint="eastAsia" w:ascii="宋体" w:hAnsi="宋体"/>
                <w:szCs w:val="21"/>
                <w:highlight w:val="none"/>
              </w:rPr>
              <w:t>日历天</w:t>
            </w:r>
          </w:p>
          <w:p>
            <w:pPr>
              <w:adjustRightInd w:val="0"/>
              <w:snapToGrid w:val="0"/>
              <w:spacing w:line="300" w:lineRule="atLeast"/>
              <w:ind w:firstLine="12" w:firstLineChars="6"/>
              <w:jc w:val="left"/>
              <w:rPr>
                <w:rFonts w:ascii="宋体" w:hAnsi="宋体"/>
                <w:szCs w:val="21"/>
                <w:highlight w:val="none"/>
              </w:rPr>
            </w:pPr>
            <w:r>
              <w:rPr>
                <w:rFonts w:hint="eastAsia" w:ascii="宋体" w:hAnsi="宋体"/>
                <w:szCs w:val="21"/>
                <w:highlight w:val="none"/>
              </w:rPr>
              <w:t>计划开工日期：</w:t>
            </w:r>
            <w:r>
              <w:rPr>
                <w:rFonts w:hint="eastAsia" w:ascii="宋体" w:hAnsi="宋体"/>
                <w:szCs w:val="21"/>
                <w:highlight w:val="none"/>
                <w:u w:val="single"/>
              </w:rPr>
              <w:t xml:space="preserve"> </w:t>
            </w:r>
            <w:r>
              <w:rPr>
                <w:rFonts w:hint="eastAsia" w:ascii="宋体" w:hAnsi="宋体"/>
                <w:szCs w:val="21"/>
                <w:highlight w:val="none"/>
                <w:u w:val="single"/>
                <w:lang w:eastAsia="zh-CN"/>
              </w:rPr>
              <w:t>2022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rPr>
              <w:t>日</w:t>
            </w:r>
          </w:p>
          <w:p>
            <w:pPr>
              <w:adjustRightInd w:val="0"/>
              <w:snapToGrid w:val="0"/>
              <w:spacing w:line="280" w:lineRule="exact"/>
              <w:ind w:right="71" w:rightChars="34" w:firstLine="12" w:firstLineChars="6"/>
              <w:rPr>
                <w:szCs w:val="21"/>
                <w:highlight w:val="none"/>
              </w:rPr>
            </w:pPr>
            <w:r>
              <w:rPr>
                <w:rFonts w:hint="eastAsia" w:ascii="宋体" w:hAnsi="宋体"/>
                <w:szCs w:val="21"/>
                <w:highlight w:val="none"/>
              </w:rPr>
              <w:t>计划交工日期：</w:t>
            </w:r>
            <w:r>
              <w:rPr>
                <w:rFonts w:hint="eastAsia" w:ascii="宋体" w:hAnsi="宋体"/>
                <w:szCs w:val="21"/>
                <w:highlight w:val="none"/>
                <w:u w:val="single"/>
              </w:rPr>
              <w:t xml:space="preserve"> </w:t>
            </w:r>
            <w:r>
              <w:rPr>
                <w:rFonts w:hint="eastAsia" w:ascii="宋体" w:hAnsi="宋体"/>
                <w:szCs w:val="21"/>
                <w:highlight w:val="none"/>
                <w:u w:val="single"/>
                <w:lang w:eastAsia="zh-CN"/>
              </w:rPr>
              <w:t>2022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1</w:t>
            </w:r>
            <w:r>
              <w:rPr>
                <w:rFonts w:hint="eastAsia" w:ascii="宋体" w:hAnsi="宋体"/>
                <w:szCs w:val="21"/>
                <w:highlight w:val="none"/>
                <w:u w:val="single"/>
                <w:lang w:eastAsia="zh-CN"/>
              </w:rPr>
              <w:t>2</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1.3.3</w:t>
            </w:r>
          </w:p>
        </w:tc>
        <w:tc>
          <w:tcPr>
            <w:tcW w:w="3081" w:type="dxa"/>
            <w:vAlign w:val="center"/>
          </w:tcPr>
          <w:p>
            <w:pPr>
              <w:tabs>
                <w:tab w:val="left" w:pos="2604"/>
              </w:tabs>
              <w:adjustRightInd w:val="0"/>
              <w:snapToGrid w:val="0"/>
              <w:spacing w:line="280" w:lineRule="exact"/>
              <w:ind w:right="-88" w:rightChars="-42"/>
              <w:jc w:val="center"/>
              <w:rPr>
                <w:rFonts w:ascii="宋体" w:hAnsi="宋体"/>
                <w:szCs w:val="21"/>
              </w:rPr>
            </w:pPr>
            <w:r>
              <w:rPr>
                <w:rFonts w:hint="eastAsia" w:ascii="宋体" w:hAnsi="宋体"/>
                <w:szCs w:val="21"/>
              </w:rPr>
              <w:t>质量要求</w:t>
            </w:r>
          </w:p>
        </w:tc>
        <w:tc>
          <w:tcPr>
            <w:tcW w:w="5708" w:type="dxa"/>
            <w:vAlign w:val="center"/>
          </w:tcPr>
          <w:p>
            <w:pPr>
              <w:ind w:firstLine="12" w:firstLineChars="6"/>
              <w:rPr>
                <w:rFonts w:ascii="宋体" w:hAnsi="宋体"/>
                <w:szCs w:val="21"/>
                <w:u w:val="single"/>
              </w:rPr>
            </w:pPr>
            <w:r>
              <w:rPr>
                <w:rFonts w:hint="eastAsia" w:ascii="宋体" w:hAnsi="宋体"/>
                <w:szCs w:val="21"/>
              </w:rPr>
              <w:t>合同段工程交工验收的质量评定：</w:t>
            </w:r>
            <w:r>
              <w:rPr>
                <w:rFonts w:hint="eastAsia" w:ascii="宋体" w:hAnsi="宋体"/>
                <w:szCs w:val="21"/>
                <w:u w:val="single"/>
              </w:rPr>
              <w:t xml:space="preserve"> 合格 </w:t>
            </w:r>
          </w:p>
          <w:p>
            <w:pPr>
              <w:ind w:firstLine="12" w:firstLineChars="6"/>
              <w:rPr>
                <w:szCs w:val="21"/>
              </w:rPr>
            </w:pPr>
            <w:r>
              <w:rPr>
                <w:rFonts w:hint="eastAsia" w:ascii="宋体" w:hAnsi="宋体"/>
                <w:szCs w:val="21"/>
              </w:rPr>
              <w:t>竣工验收的质量评定：</w:t>
            </w:r>
            <w:r>
              <w:rPr>
                <w:rFonts w:hint="eastAsia" w:ascii="宋体" w:hAnsi="宋体"/>
                <w:szCs w:val="21"/>
                <w:u w:val="single"/>
              </w:rPr>
              <w:t xml:space="preserve"> 优良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1.3.4</w:t>
            </w:r>
          </w:p>
        </w:tc>
        <w:tc>
          <w:tcPr>
            <w:tcW w:w="3081" w:type="dxa"/>
            <w:vAlign w:val="center"/>
          </w:tcPr>
          <w:p>
            <w:pPr>
              <w:tabs>
                <w:tab w:val="left" w:pos="2604"/>
              </w:tabs>
              <w:adjustRightInd w:val="0"/>
              <w:snapToGrid w:val="0"/>
              <w:spacing w:line="280" w:lineRule="exact"/>
              <w:ind w:right="-88" w:rightChars="-42"/>
              <w:jc w:val="center"/>
              <w:rPr>
                <w:rFonts w:ascii="宋体" w:hAnsi="宋体"/>
                <w:szCs w:val="21"/>
              </w:rPr>
            </w:pPr>
            <w:r>
              <w:rPr>
                <w:rFonts w:hint="eastAsia" w:ascii="宋体" w:hAnsi="宋体"/>
                <w:szCs w:val="21"/>
              </w:rPr>
              <w:t>安全目标</w:t>
            </w:r>
          </w:p>
        </w:tc>
        <w:tc>
          <w:tcPr>
            <w:tcW w:w="5708" w:type="dxa"/>
            <w:vAlign w:val="center"/>
          </w:tcPr>
          <w:p>
            <w:pPr>
              <w:ind w:firstLine="12" w:firstLineChars="6"/>
              <w:rPr>
                <w:rFonts w:ascii="宋体" w:hAnsi="宋体"/>
                <w:szCs w:val="21"/>
              </w:rPr>
            </w:pPr>
            <w:r>
              <w:rPr>
                <w:rFonts w:hint="eastAsia" w:ascii="宋体" w:hAnsi="宋体" w:cs="宋体"/>
                <w:kern w:val="0"/>
                <w:szCs w:val="21"/>
              </w:rPr>
              <w:t>“三类人员”持证率100%；在生产过程中无生产责任事故、重大伤亡事故和死亡事故的发生，不发生安全生产不良信用记录，积极争创天津市公路工程“平安工地”。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6" w:hRule="atLeast"/>
        </w:trPr>
        <w:tc>
          <w:tcPr>
            <w:tcW w:w="993" w:type="dxa"/>
            <w:vAlign w:val="center"/>
          </w:tcPr>
          <w:p>
            <w:pPr>
              <w:adjustRightInd w:val="0"/>
              <w:snapToGrid w:val="0"/>
              <w:spacing w:line="280" w:lineRule="exact"/>
              <w:jc w:val="center"/>
              <w:rPr>
                <w:rFonts w:ascii="宋体" w:hAnsi="宋体"/>
                <w:szCs w:val="21"/>
              </w:rPr>
            </w:pPr>
            <w:r>
              <w:rPr>
                <w:rFonts w:hint="eastAsia" w:ascii="宋体" w:hAnsi="宋体"/>
                <w:szCs w:val="21"/>
              </w:rPr>
              <w:t>1.4.1</w:t>
            </w:r>
          </w:p>
        </w:tc>
        <w:tc>
          <w:tcPr>
            <w:tcW w:w="3081" w:type="dxa"/>
            <w:vAlign w:val="center"/>
          </w:tcPr>
          <w:p>
            <w:pPr>
              <w:tabs>
                <w:tab w:val="left" w:pos="2604"/>
              </w:tabs>
              <w:adjustRightInd w:val="0"/>
              <w:snapToGrid w:val="0"/>
              <w:spacing w:line="280" w:lineRule="exact"/>
              <w:ind w:right="-88" w:rightChars="-42"/>
              <w:jc w:val="center"/>
              <w:rPr>
                <w:rFonts w:ascii="宋体" w:hAnsi="宋体" w:cs="宋体"/>
                <w:kern w:val="0"/>
                <w:szCs w:val="21"/>
              </w:rPr>
            </w:pPr>
            <w:r>
              <w:rPr>
                <w:rFonts w:hint="eastAsia" w:ascii="宋体" w:hAnsi="宋体"/>
                <w:szCs w:val="21"/>
              </w:rPr>
              <w:t>投标人资质条件、能力和信誉</w:t>
            </w:r>
          </w:p>
        </w:tc>
        <w:tc>
          <w:tcPr>
            <w:tcW w:w="5708" w:type="dxa"/>
            <w:vAlign w:val="center"/>
          </w:tcPr>
          <w:p>
            <w:pPr>
              <w:adjustRightInd w:val="0"/>
              <w:snapToGrid w:val="0"/>
              <w:spacing w:line="280" w:lineRule="exact"/>
              <w:ind w:right="71" w:rightChars="34"/>
              <w:rPr>
                <w:szCs w:val="21"/>
              </w:rPr>
            </w:pPr>
            <w:r>
              <w:rPr>
                <w:rFonts w:hint="eastAsia" w:ascii="宋体" w:hAnsi="宋体"/>
                <w:szCs w:val="21"/>
              </w:rPr>
              <w:t>资质要求：见附录1</w:t>
            </w:r>
          </w:p>
          <w:p>
            <w:pPr>
              <w:adjustRightInd w:val="0"/>
              <w:snapToGrid w:val="0"/>
              <w:spacing w:line="280" w:lineRule="exact"/>
              <w:ind w:right="71" w:rightChars="34"/>
              <w:rPr>
                <w:szCs w:val="21"/>
              </w:rPr>
            </w:pPr>
            <w:r>
              <w:rPr>
                <w:rFonts w:hint="eastAsia" w:ascii="宋体" w:hAnsi="宋体"/>
                <w:szCs w:val="21"/>
              </w:rPr>
              <w:t>财务要求：见附录2</w:t>
            </w:r>
          </w:p>
          <w:p>
            <w:pPr>
              <w:adjustRightInd w:val="0"/>
              <w:snapToGrid w:val="0"/>
              <w:spacing w:line="280" w:lineRule="exact"/>
              <w:ind w:right="71" w:rightChars="34"/>
              <w:rPr>
                <w:szCs w:val="21"/>
              </w:rPr>
            </w:pPr>
            <w:r>
              <w:rPr>
                <w:rFonts w:hint="eastAsia" w:ascii="宋体" w:hAnsi="宋体"/>
                <w:szCs w:val="21"/>
              </w:rPr>
              <w:t>业绩要求：见附录3</w:t>
            </w:r>
          </w:p>
          <w:p>
            <w:pPr>
              <w:adjustRightInd w:val="0"/>
              <w:snapToGrid w:val="0"/>
              <w:spacing w:line="280" w:lineRule="exact"/>
              <w:ind w:right="71" w:rightChars="34"/>
              <w:rPr>
                <w:szCs w:val="21"/>
              </w:rPr>
            </w:pPr>
            <w:r>
              <w:rPr>
                <w:rFonts w:hint="eastAsia" w:ascii="宋体" w:hAnsi="宋体"/>
                <w:szCs w:val="21"/>
              </w:rPr>
              <w:t>信誉要求：见附录4</w:t>
            </w:r>
          </w:p>
          <w:p>
            <w:pPr>
              <w:adjustRightInd w:val="0"/>
              <w:snapToGrid w:val="0"/>
              <w:spacing w:line="280" w:lineRule="exact"/>
              <w:ind w:right="71" w:rightChars="34"/>
              <w:rPr>
                <w:rFonts w:ascii="宋体" w:hAnsi="宋体"/>
                <w:szCs w:val="21"/>
              </w:rPr>
            </w:pPr>
            <w:r>
              <w:rPr>
                <w:rFonts w:hint="eastAsia" w:ascii="宋体" w:hAnsi="宋体"/>
                <w:szCs w:val="21"/>
              </w:rPr>
              <w:t>项目经理和项目总工资格：见附录5</w:t>
            </w:r>
          </w:p>
          <w:p>
            <w:pPr>
              <w:adjustRightInd w:val="0"/>
              <w:snapToGrid w:val="0"/>
              <w:spacing w:line="280" w:lineRule="exact"/>
              <w:ind w:right="71" w:rightChars="34"/>
              <w:rPr>
                <w:szCs w:val="21"/>
              </w:rPr>
            </w:pPr>
            <w:r>
              <w:rPr>
                <w:rFonts w:hint="eastAsia" w:ascii="宋体" w:hAnsi="宋体"/>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993" w:type="dxa"/>
            <w:vAlign w:val="center"/>
          </w:tcPr>
          <w:p>
            <w:pPr>
              <w:spacing w:line="280" w:lineRule="exact"/>
              <w:jc w:val="center"/>
              <w:rPr>
                <w:rFonts w:ascii="宋体" w:hAnsi="宋体" w:cs="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p>
        </w:tc>
        <w:tc>
          <w:tcPr>
            <w:tcW w:w="3081" w:type="dxa"/>
            <w:vAlign w:val="center"/>
          </w:tcPr>
          <w:p>
            <w:pPr>
              <w:tabs>
                <w:tab w:val="left" w:pos="2604"/>
              </w:tabs>
              <w:spacing w:line="280" w:lineRule="exact"/>
              <w:ind w:right="-88" w:rightChars="-42"/>
              <w:jc w:val="center"/>
              <w:rPr>
                <w:rFonts w:ascii="宋体" w:hAnsi="宋体" w:cs="宋体"/>
                <w:kern w:val="0"/>
                <w:szCs w:val="21"/>
              </w:rPr>
            </w:pPr>
            <w:r>
              <w:rPr>
                <w:rFonts w:hint="eastAsia" w:ascii="宋体" w:hAnsi="宋体" w:cs="宋体"/>
                <w:kern w:val="0"/>
                <w:szCs w:val="21"/>
              </w:rPr>
              <w:t>是否接受联合体投标</w:t>
            </w:r>
          </w:p>
        </w:tc>
        <w:tc>
          <w:tcPr>
            <w:tcW w:w="5708" w:type="dxa"/>
            <w:vAlign w:val="center"/>
          </w:tcPr>
          <w:p>
            <w:pPr>
              <w:adjustRightInd w:val="0"/>
              <w:snapToGrid w:val="0"/>
              <w:spacing w:line="280" w:lineRule="exact"/>
              <w:rPr>
                <w:rFonts w:ascii="宋体" w:hAnsi="宋体" w:cs="宋体"/>
                <w:kern w:val="0"/>
                <w:szCs w:val="21"/>
              </w:rPr>
            </w:pPr>
            <w:r>
              <w:rPr>
                <w:rFonts w:hint="eastAsia" w:ascii="宋体" w:hAnsi="宋体" w:cs="宋体"/>
                <w:kern w:val="0"/>
                <w:szCs w:val="21"/>
              </w:rPr>
              <w:t>☑不接受</w:t>
            </w:r>
          </w:p>
          <w:p>
            <w:pPr>
              <w:rPr>
                <w:rFonts w:ascii="宋体" w:hAnsi="宋体" w:cs="宋体"/>
                <w:color w:val="000000"/>
                <w:kern w:val="0"/>
              </w:rPr>
            </w:pPr>
            <w:r>
              <w:rPr>
                <w:rFonts w:hint="eastAsia" w:ascii="宋体" w:cs="宋体"/>
                <w:kern w:val="0"/>
                <w:szCs w:val="21"/>
              </w:rPr>
              <w:sym w:font="Wingdings" w:char="00A8"/>
            </w:r>
            <w:r>
              <w:rPr>
                <w:rFonts w:hint="eastAsia" w:ascii="宋体" w:hAnsi="宋体" w:cs="宋体"/>
                <w:kern w:val="0"/>
                <w:szCs w:val="21"/>
              </w:rPr>
              <w:t>接受,</w:t>
            </w:r>
            <w:r>
              <w:rPr>
                <w:rFonts w:hint="eastAsia" w:ascii="宋体" w:hAnsi="宋体" w:cs="宋体"/>
                <w:color w:val="000000"/>
                <w:kern w:val="0"/>
              </w:rPr>
              <w:t>应满足下列要求：</w:t>
            </w:r>
          </w:p>
          <w:p>
            <w:pPr>
              <w:ind w:left="273" w:hanging="210"/>
              <w:rPr>
                <w:rFonts w:ascii="宋体" w:hAnsi="宋体" w:cs="宋体"/>
                <w:color w:val="000000"/>
                <w:kern w:val="0"/>
              </w:rPr>
            </w:pPr>
            <w:r>
              <w:rPr>
                <w:rFonts w:hint="eastAsia" w:ascii="宋体" w:hAnsi="宋体" w:cs="宋体"/>
                <w:color w:val="000000"/>
                <w:kern w:val="0"/>
              </w:rPr>
              <w:t>（1）联合体所有成员数量不得超过</w:t>
            </w:r>
            <w:r>
              <w:rPr>
                <w:rFonts w:hint="eastAsia" w:ascii="宋体" w:hAnsi="宋体" w:cs="宋体"/>
                <w:color w:val="000000"/>
                <w:kern w:val="0"/>
                <w:u w:val="single"/>
              </w:rPr>
              <w:t xml:space="preserve"> / </w:t>
            </w:r>
            <w:r>
              <w:rPr>
                <w:rFonts w:hint="eastAsia" w:ascii="宋体" w:hAnsi="宋体" w:cs="宋体"/>
                <w:color w:val="000000"/>
                <w:kern w:val="0"/>
              </w:rPr>
              <w:t>家；</w:t>
            </w:r>
          </w:p>
          <w:p>
            <w:pPr>
              <w:ind w:left="72" w:hanging="9"/>
              <w:rPr>
                <w:rFonts w:ascii="宋体" w:hAnsi="宋体" w:cs="宋体"/>
                <w:kern w:val="0"/>
                <w:szCs w:val="21"/>
              </w:rPr>
            </w:pPr>
            <w:r>
              <w:rPr>
                <w:rFonts w:hint="eastAsia" w:ascii="宋体" w:hAnsi="宋体"/>
              </w:rPr>
              <w:t>（2）联合体牵头人应具有</w:t>
            </w:r>
            <w:r>
              <w:rPr>
                <w:rFonts w:hint="eastAsia" w:ascii="宋体" w:hAnsi="宋体"/>
                <w:u w:val="single"/>
              </w:rPr>
              <w:t>/</w:t>
            </w:r>
            <w:r>
              <w:rPr>
                <w:rFonts w:hint="eastAsia" w:ascii="宋体" w:hAnsi="宋体"/>
              </w:rPr>
              <w:t>资质。</w:t>
            </w:r>
          </w:p>
        </w:tc>
      </w:tr>
    </w:tbl>
    <w:p>
      <w:pPr>
        <w:jc w:val="right"/>
        <w:rPr>
          <w:rFonts w:ascii="宋体" w:hAnsi="宋体" w:cs="宋体"/>
        </w:rPr>
      </w:pPr>
    </w:p>
    <w:p>
      <w:pPr>
        <w:widowControl/>
        <w:jc w:val="right"/>
        <w:rPr>
          <w:rFonts w:ascii="宋体" w:hAnsi="宋体" w:cs="宋体"/>
        </w:rPr>
      </w:pPr>
      <w:r>
        <w:rPr>
          <w:rFonts w:ascii="宋体" w:hAnsi="宋体" w:cs="宋体"/>
        </w:rPr>
        <w:br w:type="page"/>
      </w:r>
      <w:r>
        <w:rPr>
          <w:rFonts w:hint="eastAsia" w:ascii="宋体" w:hAnsi="宋体" w:cs="宋体"/>
        </w:rPr>
        <w:t>续上表</w:t>
      </w:r>
    </w:p>
    <w:tbl>
      <w:tblPr>
        <w:tblStyle w:val="38"/>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2751"/>
        <w:gridCol w:w="6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36"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2751"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6095"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36" w:type="dxa"/>
            <w:vAlign w:val="center"/>
          </w:tcPr>
          <w:p>
            <w:pPr>
              <w:jc w:val="center"/>
              <w:rPr>
                <w:rFonts w:ascii="宋体" w:hAnsi="宋体" w:cs="宋体"/>
                <w:kern w:val="0"/>
              </w:rPr>
            </w:pPr>
            <w:r>
              <w:rPr>
                <w:rFonts w:hint="eastAsia" w:ascii="宋体" w:hAnsi="宋体" w:cs="宋体"/>
                <w:kern w:val="0"/>
              </w:rPr>
              <w:t>1.4.3</w:t>
            </w:r>
          </w:p>
        </w:tc>
        <w:tc>
          <w:tcPr>
            <w:tcW w:w="2751" w:type="dxa"/>
            <w:vAlign w:val="center"/>
          </w:tcPr>
          <w:p>
            <w:pPr>
              <w:jc w:val="center"/>
              <w:rPr>
                <w:rFonts w:ascii="宋体" w:hAnsi="宋体" w:cs="宋体"/>
                <w:kern w:val="0"/>
              </w:rPr>
            </w:pPr>
            <w:r>
              <w:rPr>
                <w:rFonts w:hint="eastAsia" w:ascii="宋体" w:hAnsi="宋体" w:cs="宋体"/>
                <w:kern w:val="0"/>
              </w:rPr>
              <w:t>投标人不得存在的其他关联情形</w:t>
            </w:r>
          </w:p>
        </w:tc>
        <w:tc>
          <w:tcPr>
            <w:tcW w:w="6095" w:type="dxa"/>
            <w:vAlign w:val="center"/>
          </w:tcPr>
          <w:p>
            <w:pPr>
              <w:adjustRightInd w:val="0"/>
              <w:snapToGrid w:val="0"/>
              <w:spacing w:line="280" w:lineRule="exact"/>
              <w:ind w:right="71" w:rightChars="34"/>
              <w:rPr>
                <w:rFonts w:ascii="宋体" w:hAnsi="宋体"/>
                <w:szCs w:val="21"/>
              </w:rPr>
            </w:pPr>
            <w:r>
              <w:rPr>
                <w:rFonts w:hint="eastAsia" w:ascii="宋体" w:cs="宋体"/>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36" w:type="dxa"/>
            <w:vAlign w:val="center"/>
          </w:tcPr>
          <w:p>
            <w:pPr>
              <w:jc w:val="center"/>
              <w:rPr>
                <w:rFonts w:ascii="宋体" w:hAnsi="宋体" w:cs="宋体"/>
                <w:kern w:val="0"/>
              </w:rPr>
            </w:pPr>
            <w:r>
              <w:rPr>
                <w:rFonts w:hint="eastAsia" w:ascii="宋体" w:hAnsi="宋体" w:cs="宋体"/>
                <w:kern w:val="0"/>
              </w:rPr>
              <w:t>1.4.4</w:t>
            </w:r>
          </w:p>
        </w:tc>
        <w:tc>
          <w:tcPr>
            <w:tcW w:w="2751" w:type="dxa"/>
            <w:vAlign w:val="center"/>
          </w:tcPr>
          <w:p>
            <w:pPr>
              <w:jc w:val="center"/>
              <w:rPr>
                <w:rFonts w:ascii="宋体" w:hAnsi="宋体" w:cs="宋体"/>
                <w:kern w:val="0"/>
              </w:rPr>
            </w:pPr>
            <w:r>
              <w:rPr>
                <w:rFonts w:hint="eastAsia" w:ascii="宋体" w:hAnsi="宋体" w:cs="宋体"/>
                <w:kern w:val="0"/>
              </w:rPr>
              <w:t>投标人不得存在的其他不良状况或不良信用</w:t>
            </w:r>
          </w:p>
        </w:tc>
        <w:tc>
          <w:tcPr>
            <w:tcW w:w="6095" w:type="dxa"/>
            <w:vAlign w:val="center"/>
          </w:tcPr>
          <w:p>
            <w:pPr>
              <w:adjustRightInd w:val="0"/>
              <w:snapToGrid w:val="0"/>
              <w:spacing w:line="280" w:lineRule="exact"/>
              <w:rPr>
                <w:rFonts w:ascii="宋体" w:cs="宋体"/>
                <w:kern w:val="0"/>
                <w:szCs w:val="21"/>
              </w:rPr>
            </w:pPr>
            <w:r>
              <w:rPr>
                <w:rFonts w:hint="eastAsia" w:ascii="宋体" w:hAnsi="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936" w:type="dxa"/>
            <w:vMerge w:val="restart"/>
            <w:vAlign w:val="center"/>
          </w:tcPr>
          <w:p>
            <w:pPr>
              <w:spacing w:line="280" w:lineRule="exact"/>
              <w:jc w:val="center"/>
              <w:rPr>
                <w:rFonts w:ascii="宋体" w:hAnsi="宋体" w:cs="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w:t>
            </w:r>
            <w:r>
              <w:rPr>
                <w:rFonts w:ascii="宋体" w:hAnsi="宋体" w:cs="宋体"/>
                <w:kern w:val="0"/>
                <w:szCs w:val="21"/>
              </w:rPr>
              <w:t>2</w:t>
            </w:r>
          </w:p>
        </w:tc>
        <w:tc>
          <w:tcPr>
            <w:tcW w:w="2751" w:type="dxa"/>
            <w:vMerge w:val="restart"/>
            <w:vAlign w:val="center"/>
          </w:tcPr>
          <w:p>
            <w:pPr>
              <w:tabs>
                <w:tab w:val="left" w:pos="2604"/>
              </w:tabs>
              <w:spacing w:line="280" w:lineRule="exact"/>
              <w:ind w:right="-88" w:rightChars="-42"/>
              <w:jc w:val="center"/>
              <w:rPr>
                <w:rFonts w:ascii="宋体" w:hAnsi="宋体" w:cs="宋体"/>
                <w:szCs w:val="21"/>
              </w:rPr>
            </w:pPr>
            <w:r>
              <w:rPr>
                <w:rFonts w:hint="eastAsia" w:ascii="宋体" w:hAnsi="宋体" w:cs="宋体"/>
                <w:kern w:val="0"/>
              </w:rPr>
              <w:t>投标人在投标预备会前提问题</w:t>
            </w:r>
          </w:p>
        </w:tc>
        <w:tc>
          <w:tcPr>
            <w:tcW w:w="6095" w:type="dxa"/>
            <w:vAlign w:val="center"/>
          </w:tcPr>
          <w:p>
            <w:pPr>
              <w:adjustRightInd w:val="0"/>
              <w:snapToGrid w:val="0"/>
              <w:spacing w:line="280" w:lineRule="exact"/>
              <w:ind w:leftChars="-18" w:hanging="37" w:hangingChars="18"/>
              <w:rPr>
                <w:szCs w:val="21"/>
              </w:rPr>
            </w:pPr>
            <w:r>
              <w:rPr>
                <w:rFonts w:hint="eastAsia" w:ascii="宋体" w:hAnsi="宋体" w:cs="宋体"/>
                <w:kern w:val="0"/>
                <w:szCs w:val="21"/>
              </w:rPr>
              <w:t>时间：不组织</w:t>
            </w:r>
            <w:r>
              <w:rPr>
                <w:rFonts w:hint="eastAsia" w:ascii="宋体" w:hAnsi="宋体" w:cs="宋体"/>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trPr>
        <w:tc>
          <w:tcPr>
            <w:tcW w:w="936" w:type="dxa"/>
            <w:vMerge w:val="continue"/>
            <w:vAlign w:val="center"/>
          </w:tcPr>
          <w:p>
            <w:pPr>
              <w:spacing w:line="280" w:lineRule="exact"/>
              <w:jc w:val="center"/>
              <w:rPr>
                <w:rFonts w:ascii="宋体" w:hAnsi="宋体" w:cs="宋体"/>
                <w:kern w:val="0"/>
                <w:szCs w:val="21"/>
              </w:rPr>
            </w:pPr>
          </w:p>
        </w:tc>
        <w:tc>
          <w:tcPr>
            <w:tcW w:w="2751" w:type="dxa"/>
            <w:vMerge w:val="continue"/>
            <w:vAlign w:val="center"/>
          </w:tcPr>
          <w:p>
            <w:pPr>
              <w:tabs>
                <w:tab w:val="left" w:pos="2604"/>
              </w:tabs>
              <w:spacing w:line="280" w:lineRule="exact"/>
              <w:ind w:right="-88" w:rightChars="-42"/>
              <w:jc w:val="center"/>
              <w:rPr>
                <w:rFonts w:ascii="宋体" w:hAnsi="宋体" w:cs="宋体"/>
                <w:kern w:val="0"/>
                <w:szCs w:val="21"/>
              </w:rPr>
            </w:pPr>
          </w:p>
        </w:tc>
        <w:tc>
          <w:tcPr>
            <w:tcW w:w="6095" w:type="dxa"/>
            <w:vAlign w:val="center"/>
          </w:tcPr>
          <w:p>
            <w:pPr>
              <w:adjustRightInd w:val="0"/>
              <w:snapToGrid w:val="0"/>
              <w:spacing w:line="280" w:lineRule="exact"/>
              <w:ind w:leftChars="-18" w:hanging="37" w:hangingChars="18"/>
              <w:rPr>
                <w:rFonts w:ascii="宋体" w:hAnsi="宋体" w:cs="宋体"/>
                <w:kern w:val="0"/>
                <w:szCs w:val="21"/>
              </w:rPr>
            </w:pPr>
            <w:r>
              <w:rPr>
                <w:rFonts w:hint="eastAsia" w:ascii="宋体" w:hAnsi="宋体" w:cs="宋体"/>
                <w:kern w:val="0"/>
                <w:szCs w:val="21"/>
              </w:rPr>
              <w:t>形式：不组织</w:t>
            </w:r>
            <w:r>
              <w:rPr>
                <w:rFonts w:hint="eastAsia" w:ascii="宋体" w:hAnsi="宋体" w:cs="宋体"/>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36" w:type="dxa"/>
            <w:vAlign w:val="center"/>
          </w:tcPr>
          <w:p>
            <w:pPr>
              <w:spacing w:line="280" w:lineRule="exact"/>
              <w:jc w:val="center"/>
              <w:rPr>
                <w:rFonts w:ascii="宋体" w:hAnsi="宋体" w:cs="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.1</w:t>
            </w:r>
          </w:p>
        </w:tc>
        <w:tc>
          <w:tcPr>
            <w:tcW w:w="2751" w:type="dxa"/>
            <w:vAlign w:val="center"/>
          </w:tcPr>
          <w:p>
            <w:pPr>
              <w:spacing w:line="280" w:lineRule="exact"/>
              <w:jc w:val="center"/>
              <w:rPr>
                <w:rFonts w:ascii="宋体" w:hAnsi="宋体" w:cs="宋体"/>
                <w:szCs w:val="21"/>
              </w:rPr>
            </w:pPr>
            <w:r>
              <w:rPr>
                <w:rFonts w:hint="eastAsia" w:ascii="宋体" w:hAnsi="宋体" w:cs="宋体"/>
                <w:kern w:val="0"/>
                <w:szCs w:val="21"/>
              </w:rPr>
              <w:t>分  包</w:t>
            </w:r>
          </w:p>
        </w:tc>
        <w:tc>
          <w:tcPr>
            <w:tcW w:w="6095" w:type="dxa"/>
            <w:vAlign w:val="center"/>
          </w:tcPr>
          <w:p>
            <w:pPr>
              <w:adjustRightInd w:val="0"/>
              <w:snapToGrid w:val="0"/>
              <w:ind w:leftChars="-18" w:hanging="37" w:hangingChars="18"/>
              <w:rPr>
                <w:rFonts w:ascii="宋体" w:hAnsi="宋体" w:cs="宋体"/>
                <w:kern w:val="0"/>
                <w:szCs w:val="21"/>
              </w:rPr>
            </w:pPr>
            <w:r>
              <w:rPr>
                <w:rFonts w:hint="eastAsia" w:ascii="宋体" w:hAnsi="宋体" w:cs="宋体"/>
                <w:kern w:val="0"/>
                <w:szCs w:val="21"/>
              </w:rPr>
              <w:t>□不允许</w:t>
            </w:r>
            <w:r>
              <w:rPr>
                <w:rFonts w:hint="eastAsia" w:ascii="宋体" w:hAnsi="宋体" w:cs="宋体"/>
                <w:kern w:val="0"/>
              </w:rPr>
              <w:t>，招标范围内除劳务分包外的所有内容均不允许</w:t>
            </w:r>
          </w:p>
          <w:p>
            <w:pPr>
              <w:adjustRightInd w:val="0"/>
              <w:snapToGrid w:val="0"/>
              <w:ind w:leftChars="-18" w:hanging="37" w:hangingChars="18"/>
              <w:rPr>
                <w:rFonts w:ascii="宋体" w:hAnsi="宋体" w:cs="宋体"/>
                <w:szCs w:val="21"/>
              </w:rPr>
            </w:pPr>
            <w:r>
              <w:rPr>
                <w:rFonts w:hint="eastAsia" w:ascii="宋体" w:cs="宋体"/>
                <w:kern w:val="0"/>
                <w:szCs w:val="21"/>
              </w:rPr>
              <w:sym w:font="Wingdings" w:char="F0FE"/>
            </w:r>
            <w:r>
              <w:rPr>
                <w:rFonts w:hint="eastAsia" w:ascii="宋体" w:hAnsi="宋体" w:cs="宋体"/>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trPr>
        <w:tc>
          <w:tcPr>
            <w:tcW w:w="936" w:type="dxa"/>
            <w:vAlign w:val="center"/>
          </w:tcPr>
          <w:p>
            <w:pPr>
              <w:jc w:val="center"/>
              <w:rPr>
                <w:rFonts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1</w:t>
            </w:r>
          </w:p>
        </w:tc>
        <w:tc>
          <w:tcPr>
            <w:tcW w:w="2751" w:type="dxa"/>
            <w:vAlign w:val="center"/>
          </w:tcPr>
          <w:p>
            <w:pPr>
              <w:jc w:val="center"/>
              <w:rPr>
                <w:rFonts w:ascii="宋体" w:hAnsi="宋体" w:cs="宋体"/>
                <w:kern w:val="0"/>
              </w:rPr>
            </w:pPr>
            <w:r>
              <w:rPr>
                <w:rFonts w:hint="eastAsia" w:ascii="宋体" w:hAnsi="宋体" w:cs="宋体"/>
                <w:kern w:val="0"/>
              </w:rPr>
              <w:t>构成招标文件的其他材料</w:t>
            </w:r>
          </w:p>
        </w:tc>
        <w:tc>
          <w:tcPr>
            <w:tcW w:w="6095" w:type="dxa"/>
            <w:vAlign w:val="center"/>
          </w:tcPr>
          <w:p>
            <w:pPr>
              <w:ind w:left="63" w:leftChars="30"/>
              <w:rPr>
                <w:rFonts w:ascii="宋体" w:hAnsi="宋体" w:cs="宋体"/>
                <w:kern w:val="0"/>
              </w:rPr>
            </w:pPr>
            <w:r>
              <w:rPr>
                <w:rFonts w:hint="eastAsia" w:ascii="宋体" w:hAnsi="宋体" w:cs="宋体"/>
                <w:kern w:val="0"/>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936" w:type="dxa"/>
            <w:vMerge w:val="restart"/>
            <w:vAlign w:val="center"/>
          </w:tcPr>
          <w:p>
            <w:pPr>
              <w:spacing w:line="280" w:lineRule="exact"/>
              <w:jc w:val="center"/>
              <w:rPr>
                <w:rFonts w:ascii="宋体" w:hAnsi="宋体" w:cs="宋体"/>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w:t>
            </w:r>
          </w:p>
        </w:tc>
        <w:tc>
          <w:tcPr>
            <w:tcW w:w="2751" w:type="dxa"/>
            <w:vMerge w:val="restart"/>
            <w:vAlign w:val="center"/>
          </w:tcPr>
          <w:p>
            <w:pPr>
              <w:spacing w:line="280" w:lineRule="exact"/>
              <w:jc w:val="center"/>
              <w:rPr>
                <w:rFonts w:ascii="宋体" w:hAnsi="宋体" w:cs="宋体"/>
                <w:szCs w:val="21"/>
              </w:rPr>
            </w:pPr>
            <w:r>
              <w:rPr>
                <w:rFonts w:hint="eastAsia" w:ascii="宋体" w:hAnsi="宋体" w:cs="宋体"/>
                <w:kern w:val="0"/>
                <w:szCs w:val="21"/>
              </w:rPr>
              <w:t>投标人要求澄清招标文件</w:t>
            </w:r>
          </w:p>
        </w:tc>
        <w:tc>
          <w:tcPr>
            <w:tcW w:w="6095" w:type="dxa"/>
            <w:vAlign w:val="center"/>
          </w:tcPr>
          <w:p>
            <w:pPr>
              <w:adjustRightInd w:val="0"/>
              <w:snapToGrid w:val="0"/>
              <w:spacing w:line="280" w:lineRule="exact"/>
              <w:ind w:leftChars="-18" w:hanging="37" w:hangingChars="18"/>
              <w:rPr>
                <w:szCs w:val="21"/>
              </w:rPr>
            </w:pPr>
            <w:r>
              <w:rPr>
                <w:rFonts w:hint="eastAsia" w:ascii="宋体" w:hAnsi="宋体" w:cs="宋体"/>
                <w:kern w:val="0"/>
              </w:rPr>
              <w:t>时间：</w:t>
            </w:r>
            <w:r>
              <w:rPr>
                <w:rFonts w:hint="eastAsia" w:ascii="宋体" w:hAnsi="宋体" w:cs="宋体"/>
                <w:kern w:val="0"/>
                <w:u w:val="single"/>
              </w:rPr>
              <w:t xml:space="preserve"> </w:t>
            </w:r>
            <w:r>
              <w:rPr>
                <w:rFonts w:hint="eastAsia" w:ascii="宋体" w:hAnsi="宋体" w:cs="宋体"/>
                <w:kern w:val="0"/>
                <w:u w:val="single"/>
                <w:lang w:eastAsia="zh-CN"/>
              </w:rPr>
              <w:t>2022</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u w:val="single"/>
                <w:lang w:val="en-US" w:eastAsia="zh-CN"/>
              </w:rPr>
              <w:t xml:space="preserve"> 6</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lang w:val="en-US" w:eastAsia="zh-CN"/>
              </w:rPr>
              <w:t xml:space="preserve"> 13 </w:t>
            </w:r>
            <w:r>
              <w:rPr>
                <w:rFonts w:hint="eastAsia" w:ascii="宋体" w:hAnsi="宋体" w:cs="宋体"/>
                <w:kern w:val="0"/>
              </w:rPr>
              <w:t>日</w:t>
            </w:r>
            <w:r>
              <w:rPr>
                <w:rFonts w:hint="eastAsia" w:ascii="宋体" w:hAnsi="宋体" w:cs="宋体"/>
                <w:kern w:val="0"/>
                <w:u w:val="single"/>
              </w:rPr>
              <w:t xml:space="preserve"> 17 </w:t>
            </w:r>
            <w:r>
              <w:rPr>
                <w:rFonts w:hint="eastAsia" w:ascii="宋体" w:hAnsi="宋体" w:cs="宋体"/>
                <w:kern w:val="0"/>
              </w:rPr>
              <w:t>时</w:t>
            </w:r>
            <w:r>
              <w:rPr>
                <w:rFonts w:hint="eastAsia" w:ascii="宋体" w:hAnsi="宋体" w:cs="宋体"/>
                <w:kern w:val="0"/>
                <w:u w:val="single"/>
              </w:rPr>
              <w:t xml:space="preserve"> 00 </w:t>
            </w:r>
            <w:r>
              <w:rPr>
                <w:rFonts w:hint="eastAsia" w:ascii="宋体" w:hAnsi="宋体" w:cs="宋体"/>
                <w:kern w:val="0"/>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trPr>
        <w:tc>
          <w:tcPr>
            <w:tcW w:w="936" w:type="dxa"/>
            <w:vMerge w:val="continue"/>
            <w:vAlign w:val="center"/>
          </w:tcPr>
          <w:p>
            <w:pPr>
              <w:spacing w:line="280" w:lineRule="exact"/>
              <w:jc w:val="center"/>
              <w:rPr>
                <w:rFonts w:ascii="宋体" w:hAnsi="宋体" w:cs="宋体"/>
                <w:kern w:val="0"/>
                <w:szCs w:val="21"/>
              </w:rPr>
            </w:pPr>
          </w:p>
        </w:tc>
        <w:tc>
          <w:tcPr>
            <w:tcW w:w="2751" w:type="dxa"/>
            <w:vMerge w:val="continue"/>
            <w:vAlign w:val="center"/>
          </w:tcPr>
          <w:p>
            <w:pPr>
              <w:spacing w:line="280" w:lineRule="exact"/>
              <w:jc w:val="center"/>
              <w:rPr>
                <w:rFonts w:ascii="宋体" w:hAnsi="宋体" w:cs="宋体"/>
                <w:kern w:val="0"/>
                <w:szCs w:val="21"/>
              </w:rPr>
            </w:pPr>
          </w:p>
        </w:tc>
        <w:tc>
          <w:tcPr>
            <w:tcW w:w="6095" w:type="dxa"/>
            <w:vAlign w:val="center"/>
          </w:tcPr>
          <w:p>
            <w:pPr>
              <w:adjustRightInd w:val="0"/>
              <w:snapToGrid w:val="0"/>
              <w:spacing w:line="280" w:lineRule="exact"/>
              <w:ind w:leftChars="-18" w:hanging="37" w:hangingChars="18"/>
              <w:rPr>
                <w:rFonts w:ascii="宋体" w:hAnsi="宋体" w:cs="宋体"/>
                <w:kern w:val="0"/>
              </w:rPr>
            </w:pPr>
            <w:r>
              <w:rPr>
                <w:rFonts w:hint="eastAsia" w:ascii="宋体" w:hAnsi="宋体" w:cs="宋体"/>
                <w:kern w:val="0"/>
              </w:rPr>
              <w:t>形式：</w:t>
            </w:r>
            <w:r>
              <w:rPr>
                <w:rFonts w:hint="eastAsia"/>
                <w:szCs w:val="21"/>
              </w:rPr>
              <w:t>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936" w:type="dxa"/>
            <w:vAlign w:val="center"/>
          </w:tcPr>
          <w:p>
            <w:pPr>
              <w:jc w:val="center"/>
              <w:rPr>
                <w:rFonts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2</w:t>
            </w:r>
          </w:p>
        </w:tc>
        <w:tc>
          <w:tcPr>
            <w:tcW w:w="2751" w:type="dxa"/>
            <w:vAlign w:val="center"/>
          </w:tcPr>
          <w:p>
            <w:pPr>
              <w:jc w:val="center"/>
              <w:rPr>
                <w:rFonts w:ascii="宋体" w:hAnsi="宋体" w:cs="宋体"/>
                <w:kern w:val="0"/>
              </w:rPr>
            </w:pPr>
            <w:r>
              <w:rPr>
                <w:rFonts w:hint="eastAsia" w:ascii="宋体" w:hAnsi="宋体" w:cs="宋体"/>
                <w:kern w:val="0"/>
              </w:rPr>
              <w:t>招标文件澄清发出的形式</w:t>
            </w:r>
          </w:p>
        </w:tc>
        <w:tc>
          <w:tcPr>
            <w:tcW w:w="6095" w:type="dxa"/>
            <w:vAlign w:val="center"/>
          </w:tcPr>
          <w:p>
            <w:pPr>
              <w:pStyle w:val="79"/>
              <w:spacing w:line="260" w:lineRule="exact"/>
              <w:jc w:val="both"/>
              <w:rPr>
                <w:rFonts w:hAnsi="宋体"/>
                <w:color w:val="auto"/>
                <w:sz w:val="21"/>
                <w:szCs w:val="21"/>
              </w:rPr>
            </w:pPr>
            <w:r>
              <w:rPr>
                <w:rFonts w:hint="eastAsia" w:hAnsi="宋体"/>
                <w:color w:val="auto"/>
                <w:sz w:val="21"/>
                <w:szCs w:val="21"/>
              </w:rPr>
              <w:t>在</w:t>
            </w:r>
            <w:r>
              <w:rPr>
                <w:rFonts w:hint="eastAsia" w:hAnsi="宋体"/>
                <w:color w:val="auto"/>
                <w:sz w:val="21"/>
                <w:szCs w:val="21"/>
                <w:lang w:eastAsia="zh-CN"/>
              </w:rPr>
              <w:t>天津市公共资源交易网及天津市滨海新区交通运输局官网</w:t>
            </w:r>
            <w:r>
              <w:rPr>
                <w:rFonts w:hint="eastAsia" w:hAnsi="宋体"/>
                <w:color w:val="auto"/>
                <w:sz w:val="21"/>
                <w:szCs w:val="21"/>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936" w:type="dxa"/>
            <w:vMerge w:val="restart"/>
            <w:vAlign w:val="center"/>
          </w:tcPr>
          <w:p>
            <w:pPr>
              <w:jc w:val="center"/>
              <w:rPr>
                <w:rFonts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3</w:t>
            </w:r>
          </w:p>
        </w:tc>
        <w:tc>
          <w:tcPr>
            <w:tcW w:w="2751" w:type="dxa"/>
            <w:vMerge w:val="restart"/>
            <w:vAlign w:val="center"/>
          </w:tcPr>
          <w:p>
            <w:pPr>
              <w:jc w:val="center"/>
              <w:rPr>
                <w:rFonts w:ascii="宋体" w:hAnsi="宋体" w:cs="宋体"/>
                <w:kern w:val="0"/>
              </w:rPr>
            </w:pPr>
            <w:r>
              <w:rPr>
                <w:rFonts w:hint="eastAsia" w:ascii="宋体" w:hAnsi="宋体" w:cs="宋体"/>
                <w:kern w:val="0"/>
              </w:rPr>
              <w:t>投标人确认收到招标文件澄清</w:t>
            </w:r>
          </w:p>
        </w:tc>
        <w:tc>
          <w:tcPr>
            <w:tcW w:w="6095" w:type="dxa"/>
            <w:vAlign w:val="center"/>
          </w:tcPr>
          <w:p>
            <w:pPr>
              <w:adjustRightInd w:val="0"/>
              <w:snapToGrid w:val="0"/>
              <w:spacing w:line="280" w:lineRule="exact"/>
              <w:ind w:leftChars="-18" w:hanging="37" w:hangingChars="18"/>
              <w:rPr>
                <w:szCs w:val="21"/>
              </w:rPr>
            </w:pPr>
            <w:r>
              <w:rPr>
                <w:rFonts w:hint="eastAsia" w:ascii="宋体" w:hAnsi="宋体" w:cs="宋体"/>
                <w:kern w:val="0"/>
              </w:rPr>
              <w:t>时间：收到澄清后</w:t>
            </w:r>
            <w:r>
              <w:rPr>
                <w:rFonts w:ascii="宋体" w:hAnsi="宋体" w:cs="宋体"/>
                <w:kern w:val="0"/>
                <w:u w:val="single"/>
              </w:rPr>
              <w:t xml:space="preserve"> </w:t>
            </w:r>
            <w:r>
              <w:rPr>
                <w:rFonts w:hint="eastAsia" w:ascii="宋体" w:hAnsi="宋体" w:cs="宋体"/>
                <w:kern w:val="0"/>
                <w:u w:val="single"/>
              </w:rPr>
              <w:t>24</w:t>
            </w:r>
            <w:r>
              <w:rPr>
                <w:rFonts w:ascii="宋体" w:hAnsi="宋体" w:cs="宋体"/>
                <w:kern w:val="0"/>
                <w:u w:val="single"/>
              </w:rPr>
              <w:t xml:space="preserve"> </w:t>
            </w:r>
            <w:r>
              <w:rPr>
                <w:rFonts w:hint="eastAsia" w:ascii="宋体" w:hAnsi="宋体" w:cs="宋体"/>
                <w:kern w:val="0"/>
              </w:rPr>
              <w:t>小时内</w:t>
            </w:r>
            <w:r>
              <w:rPr>
                <w:rFonts w:ascii="宋体" w:hAnsi="宋体" w:cs="宋体"/>
                <w:kern w:val="0"/>
              </w:rPr>
              <w:t>(</w:t>
            </w:r>
            <w:r>
              <w:rPr>
                <w:rFonts w:hint="eastAsia" w:ascii="宋体" w:hAnsi="宋体" w:cs="宋体"/>
                <w:kern w:val="0"/>
              </w:rPr>
              <w:t>以发出时间为准</w:t>
            </w:r>
            <w:r>
              <w:rPr>
                <w:rFonts w:ascii="宋体" w:hAnsi="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936" w:type="dxa"/>
            <w:vMerge w:val="continue"/>
            <w:vAlign w:val="center"/>
          </w:tcPr>
          <w:p>
            <w:pPr>
              <w:jc w:val="center"/>
              <w:rPr>
                <w:rFonts w:ascii="宋体" w:hAnsi="宋体" w:cs="宋体"/>
                <w:kern w:val="0"/>
              </w:rPr>
            </w:pPr>
          </w:p>
        </w:tc>
        <w:tc>
          <w:tcPr>
            <w:tcW w:w="2751" w:type="dxa"/>
            <w:vMerge w:val="continue"/>
            <w:vAlign w:val="center"/>
          </w:tcPr>
          <w:p>
            <w:pPr>
              <w:jc w:val="center"/>
              <w:rPr>
                <w:rFonts w:ascii="宋体" w:hAnsi="宋体" w:cs="宋体"/>
                <w:kern w:val="0"/>
              </w:rPr>
            </w:pPr>
          </w:p>
        </w:tc>
        <w:tc>
          <w:tcPr>
            <w:tcW w:w="6095" w:type="dxa"/>
            <w:vAlign w:val="center"/>
          </w:tcPr>
          <w:p>
            <w:pPr>
              <w:adjustRightInd w:val="0"/>
              <w:snapToGrid w:val="0"/>
              <w:spacing w:line="280" w:lineRule="exact"/>
              <w:ind w:leftChars="-18" w:hanging="37" w:hangingChars="18"/>
              <w:rPr>
                <w:rFonts w:ascii="宋体" w:hAnsi="宋体" w:cs="宋体"/>
                <w:kern w:val="0"/>
              </w:rPr>
            </w:pPr>
            <w:r>
              <w:rPr>
                <w:rFonts w:hint="eastAsia" w:ascii="宋体" w:hAnsi="宋体" w:cs="宋体"/>
                <w:kern w:val="0"/>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936" w:type="dxa"/>
            <w:vAlign w:val="center"/>
          </w:tcPr>
          <w:p>
            <w:pPr>
              <w:jc w:val="center"/>
              <w:rPr>
                <w:rFonts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3</w:t>
            </w:r>
            <w:r>
              <w:rPr>
                <w:rFonts w:hint="eastAsia" w:ascii="宋体" w:hAnsi="宋体" w:cs="宋体"/>
                <w:kern w:val="0"/>
              </w:rPr>
              <w:t>.1</w:t>
            </w:r>
          </w:p>
        </w:tc>
        <w:tc>
          <w:tcPr>
            <w:tcW w:w="2751" w:type="dxa"/>
            <w:vAlign w:val="center"/>
          </w:tcPr>
          <w:p>
            <w:pPr>
              <w:jc w:val="center"/>
              <w:rPr>
                <w:rFonts w:ascii="宋体" w:hAnsi="宋体" w:cs="宋体"/>
                <w:kern w:val="0"/>
              </w:rPr>
            </w:pPr>
            <w:r>
              <w:rPr>
                <w:rFonts w:hint="eastAsia" w:ascii="宋体" w:hAnsi="宋体" w:cs="宋体"/>
                <w:kern w:val="0"/>
              </w:rPr>
              <w:t>招标文件修改发出的形式</w:t>
            </w:r>
          </w:p>
        </w:tc>
        <w:tc>
          <w:tcPr>
            <w:tcW w:w="6095" w:type="dxa"/>
            <w:vAlign w:val="center"/>
          </w:tcPr>
          <w:p>
            <w:pPr>
              <w:pStyle w:val="79"/>
              <w:spacing w:line="260" w:lineRule="exact"/>
              <w:jc w:val="both"/>
              <w:rPr>
                <w:rFonts w:hAnsi="宋体"/>
                <w:color w:val="auto"/>
                <w:sz w:val="21"/>
                <w:szCs w:val="21"/>
              </w:rPr>
            </w:pPr>
            <w:r>
              <w:rPr>
                <w:rFonts w:hint="eastAsia" w:hAnsi="宋体"/>
                <w:color w:val="auto"/>
                <w:sz w:val="21"/>
                <w:szCs w:val="21"/>
              </w:rPr>
              <w:t>在</w:t>
            </w:r>
            <w:r>
              <w:rPr>
                <w:rFonts w:hint="eastAsia" w:hAnsi="宋体"/>
                <w:color w:val="auto"/>
                <w:sz w:val="21"/>
                <w:szCs w:val="21"/>
                <w:lang w:eastAsia="zh-CN"/>
              </w:rPr>
              <w:t>天津市公共资源交易网及天津市滨海新区交通运输局官网</w:t>
            </w:r>
            <w:r>
              <w:rPr>
                <w:rFonts w:hint="eastAsia" w:hAnsi="宋体"/>
                <w:color w:val="auto"/>
                <w:sz w:val="21"/>
                <w:szCs w:val="21"/>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936" w:type="dxa"/>
            <w:vMerge w:val="restart"/>
            <w:vAlign w:val="center"/>
          </w:tcPr>
          <w:p>
            <w:pPr>
              <w:jc w:val="center"/>
              <w:rPr>
                <w:rFonts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ascii="宋体" w:hAnsi="宋体" w:cs="宋体"/>
                <w:kern w:val="0"/>
              </w:rPr>
              <w:t>2</w:t>
            </w:r>
          </w:p>
        </w:tc>
        <w:tc>
          <w:tcPr>
            <w:tcW w:w="2751" w:type="dxa"/>
            <w:vMerge w:val="restart"/>
            <w:vAlign w:val="center"/>
          </w:tcPr>
          <w:p>
            <w:pPr>
              <w:jc w:val="center"/>
              <w:rPr>
                <w:rFonts w:ascii="宋体" w:hAnsi="宋体" w:cs="宋体"/>
                <w:kern w:val="0"/>
              </w:rPr>
            </w:pPr>
            <w:r>
              <w:rPr>
                <w:rFonts w:hint="eastAsia" w:ascii="宋体" w:hAnsi="宋体" w:cs="宋体"/>
                <w:kern w:val="0"/>
              </w:rPr>
              <w:t>投标人确认收到招标文件修改</w:t>
            </w:r>
          </w:p>
        </w:tc>
        <w:tc>
          <w:tcPr>
            <w:tcW w:w="6095" w:type="dxa"/>
            <w:vAlign w:val="center"/>
          </w:tcPr>
          <w:p>
            <w:pPr>
              <w:ind w:left="63" w:leftChars="30"/>
              <w:rPr>
                <w:rFonts w:ascii="宋体" w:hAnsi="宋体" w:cs="宋体"/>
                <w:kern w:val="0"/>
              </w:rPr>
            </w:pPr>
            <w:r>
              <w:rPr>
                <w:rFonts w:hint="eastAsia" w:ascii="宋体" w:hAnsi="宋体" w:cs="宋体"/>
                <w:kern w:val="0"/>
              </w:rPr>
              <w:t>时间：收到修改后</w:t>
            </w:r>
            <w:r>
              <w:rPr>
                <w:rFonts w:ascii="宋体" w:hAnsi="宋体" w:cs="宋体"/>
                <w:kern w:val="0"/>
                <w:u w:val="single"/>
              </w:rPr>
              <w:t xml:space="preserve"> </w:t>
            </w:r>
            <w:r>
              <w:rPr>
                <w:rFonts w:hint="eastAsia" w:ascii="宋体" w:hAnsi="宋体" w:cs="宋体"/>
                <w:kern w:val="0"/>
                <w:u w:val="single"/>
              </w:rPr>
              <w:t>24</w:t>
            </w:r>
            <w:r>
              <w:rPr>
                <w:rFonts w:ascii="宋体" w:hAnsi="宋体" w:cs="宋体"/>
                <w:kern w:val="0"/>
                <w:u w:val="single"/>
              </w:rPr>
              <w:t xml:space="preserve"> </w:t>
            </w:r>
            <w:r>
              <w:rPr>
                <w:rFonts w:hint="eastAsia" w:ascii="宋体" w:hAnsi="宋体" w:cs="宋体"/>
                <w:kern w:val="0"/>
              </w:rPr>
              <w:t>小时内</w:t>
            </w:r>
            <w:r>
              <w:rPr>
                <w:rFonts w:ascii="宋体" w:hAnsi="宋体" w:cs="宋体"/>
                <w:kern w:val="0"/>
              </w:rPr>
              <w:t>(</w:t>
            </w:r>
            <w:r>
              <w:rPr>
                <w:rFonts w:hint="eastAsia" w:ascii="宋体" w:hAnsi="宋体" w:cs="宋体"/>
                <w:kern w:val="0"/>
              </w:rPr>
              <w:t>以发出时间为准</w:t>
            </w:r>
            <w:r>
              <w:rPr>
                <w:rFonts w:ascii="宋体" w:hAnsi="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936" w:type="dxa"/>
            <w:vMerge w:val="continue"/>
            <w:vAlign w:val="center"/>
          </w:tcPr>
          <w:p>
            <w:pPr>
              <w:jc w:val="center"/>
              <w:rPr>
                <w:rFonts w:ascii="宋体" w:hAnsi="宋体" w:cs="宋体"/>
                <w:kern w:val="0"/>
              </w:rPr>
            </w:pPr>
          </w:p>
        </w:tc>
        <w:tc>
          <w:tcPr>
            <w:tcW w:w="2751" w:type="dxa"/>
            <w:vMerge w:val="continue"/>
            <w:vAlign w:val="center"/>
          </w:tcPr>
          <w:p>
            <w:pPr>
              <w:jc w:val="center"/>
              <w:rPr>
                <w:rFonts w:ascii="宋体" w:hAnsi="宋体" w:cs="宋体"/>
                <w:kern w:val="0"/>
              </w:rPr>
            </w:pPr>
          </w:p>
        </w:tc>
        <w:tc>
          <w:tcPr>
            <w:tcW w:w="6095" w:type="dxa"/>
            <w:vAlign w:val="center"/>
          </w:tcPr>
          <w:p>
            <w:pPr>
              <w:ind w:left="63" w:leftChars="30"/>
              <w:rPr>
                <w:rFonts w:ascii="宋体" w:hAnsi="宋体" w:cs="宋体"/>
                <w:kern w:val="0"/>
              </w:rPr>
            </w:pPr>
            <w:r>
              <w:rPr>
                <w:rFonts w:hint="eastAsia" w:ascii="宋体" w:hAnsi="宋体" w:cs="宋体"/>
                <w:kern w:val="0"/>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936" w:type="dxa"/>
            <w:vAlign w:val="center"/>
          </w:tcPr>
          <w:p>
            <w:pPr>
              <w:jc w:val="center"/>
              <w:rPr>
                <w:rFonts w:ascii="宋体" w:hAnsi="宋体" w:cs="宋体"/>
              </w:rPr>
            </w:pPr>
            <w:r>
              <w:rPr>
                <w:rFonts w:hint="eastAsia" w:ascii="宋体" w:hAnsi="宋体" w:cs="宋体"/>
              </w:rPr>
              <w:t>3.1.1</w:t>
            </w:r>
          </w:p>
        </w:tc>
        <w:tc>
          <w:tcPr>
            <w:tcW w:w="2751" w:type="dxa"/>
            <w:vAlign w:val="center"/>
          </w:tcPr>
          <w:p>
            <w:pPr>
              <w:jc w:val="center"/>
              <w:rPr>
                <w:rFonts w:ascii="宋体" w:hAnsi="宋体" w:cs="宋体"/>
              </w:rPr>
            </w:pPr>
            <w:r>
              <w:rPr>
                <w:rFonts w:hint="eastAsia" w:ascii="宋体" w:hAnsi="宋体" w:cs="宋体"/>
              </w:rPr>
              <w:t>投标文件密封形式</w:t>
            </w:r>
          </w:p>
        </w:tc>
        <w:tc>
          <w:tcPr>
            <w:tcW w:w="6095" w:type="dxa"/>
            <w:vAlign w:val="center"/>
          </w:tcPr>
          <w:p>
            <w:pPr>
              <w:adjustRightInd w:val="0"/>
              <w:snapToGrid w:val="0"/>
              <w:spacing w:line="280" w:lineRule="exact"/>
              <w:ind w:leftChars="-18" w:hanging="37" w:hangingChars="18"/>
              <w:jc w:val="left"/>
              <w:rPr>
                <w:rFonts w:ascii="宋体" w:hAnsi="宋体" w:cs="宋体"/>
                <w:kern w:val="0"/>
                <w:szCs w:val="21"/>
              </w:rPr>
            </w:pPr>
            <w:r>
              <w:rPr>
                <w:rFonts w:hint="eastAsia" w:ascii="宋体" w:cs="宋体"/>
                <w:kern w:val="0"/>
                <w:szCs w:val="21"/>
              </w:rPr>
              <w:sym w:font="Wingdings" w:char="F0FE"/>
            </w:r>
            <w:r>
              <w:rPr>
                <w:rFonts w:hint="eastAsia" w:ascii="宋体" w:hAnsi="宋体" w:cs="宋体"/>
                <w:kern w:val="0"/>
                <w:szCs w:val="21"/>
              </w:rPr>
              <w:t>双信封</w:t>
            </w:r>
          </w:p>
          <w:p>
            <w:pPr>
              <w:adjustRightInd w:val="0"/>
              <w:snapToGrid w:val="0"/>
              <w:spacing w:line="280" w:lineRule="exact"/>
              <w:ind w:leftChars="-18" w:hanging="37" w:hangingChars="18"/>
              <w:jc w:val="left"/>
              <w:rPr>
                <w:rFonts w:ascii="宋体" w:hAnsi="宋体" w:cs="宋体"/>
                <w:kern w:val="0"/>
                <w:szCs w:val="21"/>
              </w:rPr>
            </w:pPr>
            <w:r>
              <w:rPr>
                <w:rFonts w:hint="eastAsia" w:ascii="宋体" w:hAnsi="宋体" w:cs="宋体"/>
                <w:kern w:val="0"/>
                <w:szCs w:val="21"/>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trPr>
        <w:tc>
          <w:tcPr>
            <w:tcW w:w="936" w:type="dxa"/>
            <w:vAlign w:val="center"/>
          </w:tcPr>
          <w:p>
            <w:pPr>
              <w:jc w:val="center"/>
              <w:rPr>
                <w:rFonts w:ascii="宋体" w:hAnsi="宋体" w:cs="宋体"/>
              </w:rPr>
            </w:pPr>
            <w:r>
              <w:rPr>
                <w:rFonts w:hint="eastAsia" w:ascii="宋体" w:hAnsi="宋体" w:cs="宋体"/>
              </w:rPr>
              <w:t>3.1.1</w:t>
            </w:r>
          </w:p>
        </w:tc>
        <w:tc>
          <w:tcPr>
            <w:tcW w:w="2751" w:type="dxa"/>
            <w:vAlign w:val="center"/>
          </w:tcPr>
          <w:p>
            <w:pPr>
              <w:jc w:val="center"/>
              <w:rPr>
                <w:rFonts w:ascii="宋体" w:hAnsi="宋体" w:cs="宋体"/>
              </w:rPr>
            </w:pPr>
            <w:r>
              <w:rPr>
                <w:rFonts w:hint="eastAsia" w:ascii="宋体" w:hAnsi="宋体" w:cs="宋体"/>
              </w:rPr>
              <w:t>构成投标文件的其他资料</w:t>
            </w:r>
          </w:p>
        </w:tc>
        <w:tc>
          <w:tcPr>
            <w:tcW w:w="6095" w:type="dxa"/>
            <w:vAlign w:val="center"/>
          </w:tcPr>
          <w:p>
            <w:pPr>
              <w:ind w:left="63" w:leftChars="30"/>
              <w:rPr>
                <w:rFonts w:ascii="宋体" w:hAnsi="宋体" w:cs="宋体"/>
              </w:rPr>
            </w:pPr>
            <w:r>
              <w:rPr>
                <w:rFonts w:hint="eastAsia" w:ascii="宋体" w:hAnsi="宋体" w:cs="宋体"/>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936" w:type="dxa"/>
            <w:vAlign w:val="center"/>
          </w:tcPr>
          <w:p>
            <w:pPr>
              <w:jc w:val="center"/>
              <w:rPr>
                <w:rFonts w:ascii="宋体" w:hAnsi="宋体" w:cs="宋体"/>
              </w:rPr>
            </w:pPr>
            <w:r>
              <w:rPr>
                <w:rFonts w:hint="eastAsia" w:ascii="宋体" w:hAnsi="宋体" w:cs="宋体"/>
              </w:rPr>
              <w:t>3.1.1</w:t>
            </w:r>
          </w:p>
        </w:tc>
        <w:tc>
          <w:tcPr>
            <w:tcW w:w="2751" w:type="dxa"/>
            <w:vAlign w:val="center"/>
          </w:tcPr>
          <w:p>
            <w:pPr>
              <w:jc w:val="center"/>
              <w:rPr>
                <w:rFonts w:ascii="宋体" w:hAnsi="宋体" w:cs="宋体"/>
              </w:rPr>
            </w:pPr>
            <w:r>
              <w:rPr>
                <w:rFonts w:hint="eastAsia" w:ascii="宋体" w:hAnsi="宋体" w:cs="宋体"/>
              </w:rPr>
              <w:t>构成投标文件的其他资料</w:t>
            </w:r>
          </w:p>
        </w:tc>
        <w:tc>
          <w:tcPr>
            <w:tcW w:w="6095" w:type="dxa"/>
            <w:vAlign w:val="center"/>
          </w:tcPr>
          <w:p>
            <w:pPr>
              <w:jc w:val="center"/>
              <w:rPr>
                <w:rFonts w:ascii="宋体" w:hAnsi="宋体" w:cs="宋体"/>
              </w:rPr>
            </w:pPr>
            <w:r>
              <w:rPr>
                <w:rFonts w:hint="eastAsia" w:ascii="宋体" w:hAnsi="宋体" w:cs="宋体"/>
              </w:rPr>
              <w:t>投标人须将招标文件的澄清、修改文件的复印件附在第一信封投标文件其他资料中。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 w:hRule="atLeast"/>
        </w:trPr>
        <w:tc>
          <w:tcPr>
            <w:tcW w:w="936" w:type="dxa"/>
            <w:vAlign w:val="center"/>
          </w:tcPr>
          <w:p>
            <w:pPr>
              <w:spacing w:line="280" w:lineRule="exact"/>
              <w:jc w:val="center"/>
              <w:rPr>
                <w:rFonts w:ascii="宋体" w:hAnsi="宋体" w:cs="宋体"/>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w:t>
            </w:r>
          </w:p>
        </w:tc>
        <w:tc>
          <w:tcPr>
            <w:tcW w:w="2751" w:type="dxa"/>
            <w:vAlign w:val="center"/>
          </w:tcPr>
          <w:p>
            <w:pPr>
              <w:spacing w:line="280" w:lineRule="exact"/>
              <w:jc w:val="center"/>
              <w:rPr>
                <w:rFonts w:ascii="宋体" w:hAnsi="宋体" w:cs="宋体"/>
                <w:szCs w:val="21"/>
              </w:rPr>
            </w:pPr>
            <w:r>
              <w:rPr>
                <w:rFonts w:hint="eastAsia" w:ascii="宋体" w:hAnsi="宋体" w:cs="宋体"/>
                <w:kern w:val="0"/>
                <w:szCs w:val="21"/>
              </w:rPr>
              <w:t>工程量清单的填写方式</w:t>
            </w:r>
          </w:p>
        </w:tc>
        <w:tc>
          <w:tcPr>
            <w:tcW w:w="6095" w:type="dxa"/>
            <w:vAlign w:val="center"/>
          </w:tcPr>
          <w:p>
            <w:pPr>
              <w:adjustRightInd w:val="0"/>
              <w:snapToGrid w:val="0"/>
              <w:spacing w:line="280" w:lineRule="exact"/>
              <w:ind w:leftChars="-18" w:hanging="37" w:hangingChars="18"/>
              <w:rPr>
                <w:rFonts w:ascii="宋体" w:hAnsi="宋体"/>
                <w:kern w:val="0"/>
                <w:u w:val="single"/>
              </w:rPr>
            </w:pPr>
            <w:r>
              <w:rPr>
                <w:rFonts w:hint="eastAsia" w:ascii="宋体" w:cs="宋体"/>
                <w:kern w:val="0"/>
                <w:szCs w:val="21"/>
              </w:rPr>
              <w:sym w:font="Wingdings" w:char="00FE"/>
            </w:r>
            <w:r>
              <w:rPr>
                <w:rFonts w:hint="eastAsia" w:ascii="宋体" w:hAnsi="宋体"/>
                <w:kern w:val="0"/>
                <w:szCs w:val="21"/>
              </w:rPr>
              <w:t>投标人</w:t>
            </w:r>
            <w:r>
              <w:rPr>
                <w:rFonts w:hint="eastAsia" w:ascii="宋体" w:hAnsi="宋体"/>
                <w:kern w:val="0"/>
              </w:rPr>
              <w:t>按照招标人提供的工程量固化清单电子文件填写工程量清单，下载网站：</w:t>
            </w:r>
            <w:r>
              <w:rPr>
                <w:rFonts w:hint="eastAsia" w:ascii="宋体" w:hAnsi="宋体"/>
                <w:kern w:val="0"/>
                <w:u w:val="single"/>
              </w:rPr>
              <w:t xml:space="preserve">  /   </w:t>
            </w:r>
          </w:p>
          <w:p>
            <w:pPr>
              <w:adjustRightInd w:val="0"/>
              <w:snapToGrid w:val="0"/>
              <w:spacing w:line="280" w:lineRule="exact"/>
              <w:ind w:leftChars="-18" w:hanging="37" w:hangingChars="18"/>
              <w:rPr>
                <w:szCs w:val="21"/>
              </w:rPr>
            </w:pPr>
            <w:r>
              <w:rPr>
                <w:rFonts w:hint="eastAsia" w:ascii="宋体" w:hAnsi="宋体"/>
                <w:kern w:val="0"/>
                <w:szCs w:val="21"/>
                <w:lang w:eastAsia="zh-CN"/>
              </w:rPr>
              <w:t>□</w:t>
            </w:r>
            <w:r>
              <w:rPr>
                <w:rFonts w:hint="eastAsia" w:ascii="宋体" w:hAnsi="宋体"/>
                <w:kern w:val="0"/>
                <w:szCs w:val="21"/>
              </w:rPr>
              <w:t>投标人按照招标人提供的书面工程量清单填写工程量清单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936" w:type="dxa"/>
            <w:vAlign w:val="center"/>
          </w:tcPr>
          <w:p>
            <w:pPr>
              <w:jc w:val="center"/>
              <w:rPr>
                <w:rFonts w:ascii="宋体" w:hAnsi="宋体" w:cs="宋体"/>
              </w:rPr>
            </w:pPr>
            <w:r>
              <w:rPr>
                <w:rFonts w:hint="eastAsia" w:ascii="宋体" w:hAnsi="宋体" w:cs="宋体"/>
              </w:rPr>
              <w:t>3.2.3</w:t>
            </w:r>
          </w:p>
        </w:tc>
        <w:tc>
          <w:tcPr>
            <w:tcW w:w="2751" w:type="dxa"/>
            <w:vAlign w:val="center"/>
          </w:tcPr>
          <w:p>
            <w:pPr>
              <w:jc w:val="center"/>
              <w:rPr>
                <w:rFonts w:ascii="宋体" w:hAnsi="宋体" w:cs="宋体"/>
              </w:rPr>
            </w:pPr>
            <w:r>
              <w:rPr>
                <w:rFonts w:hint="eastAsia" w:ascii="宋体" w:hAnsi="宋体" w:cs="宋体"/>
              </w:rPr>
              <w:t>报价方式</w:t>
            </w:r>
          </w:p>
        </w:tc>
        <w:tc>
          <w:tcPr>
            <w:tcW w:w="6095" w:type="dxa"/>
            <w:vAlign w:val="center"/>
          </w:tcPr>
          <w:p>
            <w:pPr>
              <w:adjustRightInd w:val="0"/>
              <w:snapToGrid w:val="0"/>
              <w:spacing w:line="280" w:lineRule="exact"/>
              <w:ind w:leftChars="-18" w:hanging="37" w:hangingChars="18"/>
              <w:rPr>
                <w:rFonts w:ascii="宋体" w:hAnsi="宋体" w:cs="宋体"/>
                <w:kern w:val="0"/>
                <w:szCs w:val="21"/>
              </w:rPr>
            </w:pPr>
            <w:r>
              <w:rPr>
                <w:rFonts w:hint="eastAsia" w:ascii="宋体" w:cs="宋体"/>
                <w:kern w:val="0"/>
                <w:szCs w:val="21"/>
              </w:rPr>
              <w:sym w:font="Wingdings" w:char="F0FE"/>
            </w:r>
            <w:r>
              <w:rPr>
                <w:rFonts w:hint="eastAsia" w:ascii="宋体" w:hAnsi="宋体" w:cs="宋体"/>
                <w:kern w:val="0"/>
                <w:szCs w:val="21"/>
              </w:rPr>
              <w:t>单价</w:t>
            </w:r>
          </w:p>
          <w:p>
            <w:pPr>
              <w:adjustRightInd w:val="0"/>
              <w:snapToGrid w:val="0"/>
              <w:spacing w:line="280" w:lineRule="exact"/>
              <w:ind w:leftChars="-18" w:hanging="37" w:hangingChars="18"/>
              <w:rPr>
                <w:rFonts w:ascii="宋体" w:hAnsi="宋体" w:cs="宋体"/>
                <w:kern w:val="0"/>
                <w:szCs w:val="21"/>
              </w:rPr>
            </w:pPr>
            <w:r>
              <w:rPr>
                <w:rFonts w:hint="eastAsia" w:ascii="宋体" w:hAnsi="宋体" w:cs="宋体"/>
                <w:kern w:val="0"/>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936" w:type="dxa"/>
            <w:vAlign w:val="center"/>
          </w:tcPr>
          <w:p>
            <w:pPr>
              <w:spacing w:line="280" w:lineRule="exact"/>
              <w:jc w:val="center"/>
              <w:rPr>
                <w:rFonts w:ascii="宋体" w:hAnsi="宋体" w:cs="宋体"/>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.6</w:t>
            </w:r>
          </w:p>
        </w:tc>
        <w:tc>
          <w:tcPr>
            <w:tcW w:w="2751" w:type="dxa"/>
            <w:vAlign w:val="center"/>
          </w:tcPr>
          <w:p>
            <w:pPr>
              <w:spacing w:line="280" w:lineRule="exact"/>
              <w:jc w:val="center"/>
              <w:rPr>
                <w:rFonts w:ascii="宋体" w:hAnsi="宋体" w:cs="宋体"/>
                <w:szCs w:val="21"/>
              </w:rPr>
            </w:pPr>
            <w:r>
              <w:rPr>
                <w:rFonts w:hint="eastAsia" w:ascii="宋体" w:hAnsi="宋体" w:cs="宋体"/>
                <w:kern w:val="0"/>
                <w:szCs w:val="21"/>
              </w:rPr>
              <w:t>是否接受调价函</w:t>
            </w:r>
          </w:p>
        </w:tc>
        <w:tc>
          <w:tcPr>
            <w:tcW w:w="6095" w:type="dxa"/>
            <w:vAlign w:val="center"/>
          </w:tcPr>
          <w:p>
            <w:pPr>
              <w:adjustRightInd w:val="0"/>
              <w:snapToGrid w:val="0"/>
              <w:spacing w:line="280" w:lineRule="exact"/>
              <w:ind w:leftChars="-18" w:hanging="37" w:hangingChars="18"/>
              <w:rPr>
                <w:rFonts w:ascii="宋体" w:hAnsi="宋体" w:cs="宋体"/>
                <w:kern w:val="0"/>
                <w:szCs w:val="21"/>
              </w:rPr>
            </w:pPr>
            <w:r>
              <w:rPr>
                <w:rFonts w:hint="eastAsia" w:ascii="宋体" w:hAnsi="宋体" w:cs="宋体"/>
                <w:kern w:val="0"/>
                <w:szCs w:val="21"/>
              </w:rPr>
              <w:t>□是</w:t>
            </w:r>
          </w:p>
          <w:p>
            <w:pPr>
              <w:adjustRightInd w:val="0"/>
              <w:snapToGrid w:val="0"/>
              <w:spacing w:line="280" w:lineRule="exact"/>
              <w:ind w:leftChars="-18" w:hanging="37" w:hangingChars="18"/>
              <w:rPr>
                <w:rFonts w:ascii="宋体" w:hAnsi="宋体" w:cs="宋体"/>
                <w:kern w:val="0"/>
                <w:szCs w:val="21"/>
              </w:rPr>
            </w:pPr>
            <w:r>
              <w:rPr>
                <w:rFonts w:hint="eastAsia" w:ascii="宋体" w:cs="宋体"/>
                <w:kern w:val="0"/>
                <w:szCs w:val="21"/>
              </w:rPr>
              <w:sym w:font="Wingdings" w:char="F0FE"/>
            </w:r>
            <w:r>
              <w:rPr>
                <w:rFonts w:hint="eastAsia" w:ascii="宋体" w:hAnsi="宋体" w:cs="宋体"/>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trPr>
        <w:tc>
          <w:tcPr>
            <w:tcW w:w="936" w:type="dxa"/>
            <w:vAlign w:val="center"/>
          </w:tcPr>
          <w:p>
            <w:pPr>
              <w:jc w:val="center"/>
              <w:rPr>
                <w:rFonts w:ascii="宋体" w:hAnsi="宋体" w:cs="宋体"/>
              </w:rPr>
            </w:pPr>
            <w:r>
              <w:rPr>
                <w:rFonts w:hint="eastAsia" w:ascii="宋体" w:hAnsi="宋体" w:cs="宋体"/>
              </w:rPr>
              <w:t>3.2.8</w:t>
            </w:r>
          </w:p>
        </w:tc>
        <w:tc>
          <w:tcPr>
            <w:tcW w:w="2751" w:type="dxa"/>
            <w:vAlign w:val="center"/>
          </w:tcPr>
          <w:p>
            <w:pPr>
              <w:jc w:val="center"/>
              <w:rPr>
                <w:rFonts w:ascii="宋体" w:hAnsi="宋体" w:cs="宋体"/>
              </w:rPr>
            </w:pPr>
            <w:r>
              <w:rPr>
                <w:rFonts w:hint="eastAsia" w:ascii="宋体" w:hAnsi="宋体" w:cs="宋体"/>
              </w:rPr>
              <w:t>最高投标限价</w:t>
            </w:r>
          </w:p>
        </w:tc>
        <w:tc>
          <w:tcPr>
            <w:tcW w:w="6095" w:type="dxa"/>
            <w:vAlign w:val="center"/>
          </w:tcPr>
          <w:p>
            <w:pPr>
              <w:adjustRightInd w:val="0"/>
              <w:snapToGrid w:val="0"/>
              <w:spacing w:line="280" w:lineRule="exact"/>
              <w:ind w:leftChars="-18" w:hanging="37" w:hangingChars="18"/>
              <w:rPr>
                <w:rFonts w:ascii="宋体" w:hAnsi="宋体" w:cs="宋体"/>
                <w:kern w:val="0"/>
                <w:szCs w:val="21"/>
              </w:rPr>
            </w:pPr>
            <w:r>
              <w:rPr>
                <w:rFonts w:hint="eastAsia" w:ascii="宋体" w:hAnsi="宋体" w:cs="宋体"/>
                <w:kern w:val="0"/>
                <w:szCs w:val="21"/>
              </w:rPr>
              <w:t>□</w:t>
            </w:r>
            <w:r>
              <w:rPr>
                <w:rFonts w:hint="eastAsia" w:ascii="宋体" w:hAnsi="宋体" w:cs="宋体"/>
                <w:kern w:val="0"/>
              </w:rPr>
              <w:t>无</w:t>
            </w:r>
          </w:p>
          <w:p>
            <w:pPr>
              <w:adjustRightInd w:val="0"/>
              <w:snapToGrid w:val="0"/>
              <w:spacing w:line="280" w:lineRule="exact"/>
              <w:ind w:leftChars="-18" w:hanging="37" w:hangingChars="18"/>
              <w:rPr>
                <w:rFonts w:ascii="宋体" w:hAnsi="宋体" w:cs="宋体"/>
                <w:kern w:val="0"/>
                <w:szCs w:val="21"/>
              </w:rPr>
            </w:pPr>
            <w:r>
              <w:rPr>
                <w:rFonts w:hint="eastAsia"/>
                <w:kern w:val="0"/>
                <w:szCs w:val="21"/>
              </w:rPr>
              <w:sym w:font="Wingdings" w:char="F0FE"/>
            </w:r>
            <w:r>
              <w:rPr>
                <w:rFonts w:hint="eastAsia"/>
                <w:szCs w:val="21"/>
              </w:rPr>
              <w:t>有，最高投标限价</w:t>
            </w:r>
            <w:r>
              <w:rPr>
                <w:rFonts w:hint="eastAsia"/>
                <w:szCs w:val="21"/>
                <w:highlight w:val="none"/>
                <w:u w:val="single"/>
                <w:lang w:eastAsia="zh-CN"/>
              </w:rPr>
              <w:t xml:space="preserve"> </w:t>
            </w:r>
            <w:r>
              <w:rPr>
                <w:rFonts w:hint="eastAsia"/>
                <w:szCs w:val="21"/>
                <w:highlight w:val="none"/>
                <w:u w:val="single"/>
                <w:lang w:val="en-US" w:eastAsia="zh-CN"/>
              </w:rPr>
              <w:t xml:space="preserve"> 开标前15天，以补遗形式发送</w:t>
            </w:r>
            <w:r>
              <w:rPr>
                <w:rFonts w:hint="eastAsia"/>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936" w:type="dxa"/>
            <w:vAlign w:val="center"/>
          </w:tcPr>
          <w:p>
            <w:pPr>
              <w:jc w:val="center"/>
              <w:rPr>
                <w:rFonts w:ascii="宋体" w:hAnsi="宋体" w:cs="宋体"/>
              </w:rPr>
            </w:pPr>
            <w:r>
              <w:rPr>
                <w:rFonts w:hint="eastAsia" w:ascii="宋体" w:hAnsi="宋体" w:cs="宋体"/>
              </w:rPr>
              <w:t>3.2.9</w:t>
            </w:r>
          </w:p>
        </w:tc>
        <w:tc>
          <w:tcPr>
            <w:tcW w:w="2751" w:type="dxa"/>
            <w:vAlign w:val="center"/>
          </w:tcPr>
          <w:p>
            <w:pPr>
              <w:jc w:val="center"/>
              <w:rPr>
                <w:rFonts w:ascii="宋体" w:hAnsi="宋体" w:cs="宋体"/>
              </w:rPr>
            </w:pPr>
            <w:r>
              <w:rPr>
                <w:rFonts w:hint="eastAsia" w:ascii="宋体" w:hAnsi="宋体" w:cs="宋体"/>
              </w:rPr>
              <w:t>投标报价的其他要求</w:t>
            </w:r>
          </w:p>
        </w:tc>
        <w:tc>
          <w:tcPr>
            <w:tcW w:w="6095" w:type="dxa"/>
            <w:vAlign w:val="center"/>
          </w:tcPr>
          <w:p>
            <w:pPr>
              <w:ind w:left="63" w:leftChars="30"/>
              <w:rPr>
                <w:rFonts w:ascii="宋体" w:hAnsi="宋体" w:cs="宋体"/>
              </w:rPr>
            </w:pPr>
            <w:r>
              <w:rPr>
                <w:rFonts w:hint="eastAsia" w:ascii="宋体" w:hAnsi="宋体" w:cs="宋体"/>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936" w:type="dxa"/>
            <w:vAlign w:val="center"/>
          </w:tcPr>
          <w:p>
            <w:pPr>
              <w:spacing w:line="280" w:lineRule="exact"/>
              <w:jc w:val="center"/>
              <w:rPr>
                <w:rFonts w:ascii="宋体" w:hAnsi="宋体" w:cs="宋体"/>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1</w:t>
            </w:r>
          </w:p>
        </w:tc>
        <w:tc>
          <w:tcPr>
            <w:tcW w:w="2751" w:type="dxa"/>
            <w:vAlign w:val="center"/>
          </w:tcPr>
          <w:p>
            <w:pPr>
              <w:spacing w:line="280" w:lineRule="exact"/>
              <w:jc w:val="center"/>
              <w:rPr>
                <w:rFonts w:ascii="宋体" w:hAnsi="宋体" w:cs="宋体"/>
                <w:szCs w:val="21"/>
              </w:rPr>
            </w:pPr>
            <w:r>
              <w:rPr>
                <w:rFonts w:hint="eastAsia" w:ascii="宋体" w:hAnsi="宋体" w:cs="宋体"/>
                <w:kern w:val="0"/>
                <w:szCs w:val="21"/>
              </w:rPr>
              <w:t>投标有效期</w:t>
            </w:r>
          </w:p>
        </w:tc>
        <w:tc>
          <w:tcPr>
            <w:tcW w:w="6095" w:type="dxa"/>
            <w:vAlign w:val="center"/>
          </w:tcPr>
          <w:p>
            <w:pPr>
              <w:adjustRightInd w:val="0"/>
              <w:snapToGrid w:val="0"/>
              <w:spacing w:line="280" w:lineRule="exact"/>
              <w:ind w:leftChars="-18" w:hanging="37" w:hangingChars="18"/>
              <w:rPr>
                <w:szCs w:val="21"/>
              </w:rPr>
            </w:pPr>
            <w:r>
              <w:rPr>
                <w:rFonts w:hint="eastAsia" w:ascii="宋体" w:hAnsi="宋体" w:cs="宋体"/>
                <w:kern w:val="0"/>
                <w:szCs w:val="21"/>
              </w:rPr>
              <w:t xml:space="preserve">自投标人提交投标文件截止之日起计算 </w:t>
            </w:r>
            <w:r>
              <w:rPr>
                <w:rFonts w:hint="eastAsia" w:ascii="宋体" w:hAnsi="宋体" w:cs="宋体"/>
                <w:kern w:val="0"/>
                <w:szCs w:val="21"/>
                <w:u w:val="single"/>
              </w:rPr>
              <w:t>90</w:t>
            </w:r>
            <w:r>
              <w:rPr>
                <w:rFonts w:hint="eastAsia" w:ascii="宋体" w:hAnsi="宋体" w:cs="宋体"/>
                <w:kern w:val="0"/>
                <w:szCs w:val="21"/>
              </w:rPr>
              <w:t>天</w:t>
            </w:r>
          </w:p>
        </w:tc>
      </w:tr>
    </w:tbl>
    <w:p>
      <w:pPr>
        <w:jc w:val="right"/>
        <w:rPr>
          <w:rFonts w:ascii="宋体" w:hAnsi="宋体" w:cs="宋体"/>
        </w:rPr>
      </w:pPr>
      <w:r>
        <w:rPr>
          <w:rFonts w:ascii="宋体" w:hAnsi="宋体" w:cs="宋体"/>
        </w:rPr>
        <w:br w:type="page"/>
      </w:r>
      <w:r>
        <w:rPr>
          <w:rFonts w:hint="eastAsia" w:ascii="宋体" w:hAnsi="宋体" w:cs="宋体"/>
        </w:rPr>
        <w:t>续上表</w:t>
      </w:r>
    </w:p>
    <w:tbl>
      <w:tblPr>
        <w:tblStyle w:val="38"/>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2751"/>
        <w:gridCol w:w="6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936"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2751"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6095"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0"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3.4.1</w:t>
            </w:r>
          </w:p>
        </w:tc>
        <w:tc>
          <w:tcPr>
            <w:tcW w:w="2751" w:type="dxa"/>
            <w:vAlign w:val="center"/>
          </w:tcPr>
          <w:p>
            <w:pPr>
              <w:spacing w:line="280" w:lineRule="exact"/>
              <w:jc w:val="center"/>
              <w:rPr>
                <w:rFonts w:ascii="宋体" w:hAnsi="宋体" w:cs="宋体"/>
                <w:szCs w:val="21"/>
              </w:rPr>
            </w:pPr>
            <w:r>
              <w:rPr>
                <w:rFonts w:hint="eastAsia" w:ascii="宋体" w:hAnsi="宋体" w:cs="宋体"/>
                <w:szCs w:val="21"/>
              </w:rPr>
              <w:t>投标保证金</w:t>
            </w:r>
          </w:p>
        </w:tc>
        <w:tc>
          <w:tcPr>
            <w:tcW w:w="6095" w:type="dxa"/>
            <w:vAlign w:val="center"/>
          </w:tcPr>
          <w:p>
            <w:pPr>
              <w:adjustRightInd w:val="0"/>
              <w:snapToGrid w:val="0"/>
              <w:spacing w:line="360" w:lineRule="auto"/>
              <w:ind w:firstLine="1"/>
              <w:rPr>
                <w:rFonts w:ascii="宋体" w:hAnsi="宋体" w:cs="宋体"/>
                <w:szCs w:val="21"/>
              </w:rPr>
            </w:pPr>
            <w:r>
              <w:rPr>
                <w:rFonts w:hint="eastAsia" w:ascii="宋体" w:hAnsi="宋体" w:cs="宋体"/>
                <w:szCs w:val="21"/>
              </w:rPr>
              <w:t>是否要求投标人递交投标保证金：</w:t>
            </w:r>
          </w:p>
          <w:p>
            <w:pPr>
              <w:adjustRightInd w:val="0"/>
              <w:snapToGrid w:val="0"/>
              <w:spacing w:line="360" w:lineRule="auto"/>
              <w:ind w:firstLine="1"/>
              <w:rPr>
                <w:rFonts w:ascii="宋体" w:hAnsi="宋体" w:cs="宋体"/>
                <w:szCs w:val="21"/>
              </w:rPr>
            </w:pPr>
            <w:r>
              <w:rPr>
                <w:rFonts w:hint="eastAsia" w:ascii="宋体" w:cs="宋体"/>
                <w:kern w:val="0"/>
                <w:szCs w:val="21"/>
              </w:rPr>
              <w:sym w:font="Wingdings" w:char="F0FE"/>
            </w:r>
            <w:r>
              <w:rPr>
                <w:rFonts w:hint="eastAsia" w:ascii="宋体" w:hAnsi="宋体" w:cs="宋体"/>
                <w:kern w:val="0"/>
                <w:szCs w:val="21"/>
              </w:rPr>
              <w:t>要求，</w:t>
            </w:r>
            <w:r>
              <w:rPr>
                <w:rFonts w:hint="eastAsia" w:ascii="宋体" w:hAnsi="宋体" w:cs="宋体"/>
                <w:szCs w:val="21"/>
              </w:rPr>
              <w:t>投标保证金的金额：</w:t>
            </w:r>
            <w:r>
              <w:rPr>
                <w:rFonts w:hint="eastAsia" w:ascii="宋体" w:hAnsi="宋体" w:cs="宋体"/>
                <w:szCs w:val="21"/>
                <w:u w:val="single"/>
              </w:rPr>
              <w:t xml:space="preserve"> 人民币20万元 </w:t>
            </w:r>
          </w:p>
          <w:p>
            <w:pPr>
              <w:adjustRightInd w:val="0"/>
              <w:snapToGrid w:val="0"/>
              <w:spacing w:line="360" w:lineRule="auto"/>
              <w:ind w:left="840" w:leftChars="400"/>
              <w:rPr>
                <w:rFonts w:ascii="宋体" w:hAnsi="宋体" w:cs="宋体"/>
                <w:szCs w:val="21"/>
              </w:rPr>
            </w:pPr>
            <w:r>
              <w:rPr>
                <w:rFonts w:hint="eastAsia" w:ascii="宋体" w:hAnsi="宋体" w:cs="宋体"/>
                <w:szCs w:val="21"/>
              </w:rPr>
              <w:t>投标保证金可采用的其他形式：</w:t>
            </w:r>
            <w:r>
              <w:rPr>
                <w:rFonts w:hint="eastAsia" w:ascii="宋体" w:hAnsi="宋体" w:cs="宋体"/>
                <w:szCs w:val="21"/>
                <w:u w:val="single"/>
              </w:rPr>
              <w:t xml:space="preserve"> 无 </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招标人指定的开户银行及账号如下：</w:t>
            </w:r>
          </w:p>
          <w:p>
            <w:pPr>
              <w:spacing w:line="360" w:lineRule="auto"/>
              <w:ind w:firstLine="840" w:firstLineChars="400"/>
              <w:jc w:val="left"/>
              <w:rPr>
                <w:rFonts w:ascii="宋体" w:hAnsi="宋体" w:cs="宋体"/>
                <w:szCs w:val="21"/>
              </w:rPr>
            </w:pPr>
            <w:r>
              <w:rPr>
                <w:rFonts w:hint="eastAsia" w:ascii="宋体" w:hAnsi="宋体" w:cs="宋体"/>
                <w:szCs w:val="21"/>
              </w:rPr>
              <w:t>账户名称：</w:t>
            </w:r>
            <w:r>
              <w:rPr>
                <w:rFonts w:hint="eastAsia" w:ascii="宋体" w:hAnsi="宋体" w:cs="宋体"/>
                <w:szCs w:val="21"/>
                <w:u w:val="single"/>
              </w:rPr>
              <w:t>天津神州亿隆工程管理咨询有限公司</w:t>
            </w:r>
          </w:p>
          <w:p>
            <w:pPr>
              <w:spacing w:line="360" w:lineRule="auto"/>
              <w:ind w:firstLine="840" w:firstLineChars="400"/>
              <w:jc w:val="left"/>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建行天津新技术产业园区支行        </w:t>
            </w:r>
          </w:p>
          <w:p>
            <w:pPr>
              <w:adjustRightInd w:val="0"/>
              <w:snapToGrid w:val="0"/>
              <w:spacing w:line="360" w:lineRule="auto"/>
              <w:ind w:firstLine="840" w:firstLineChars="400"/>
              <w:jc w:val="left"/>
              <w:rPr>
                <w:rFonts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12001650472052508557          </w:t>
            </w:r>
          </w:p>
          <w:p>
            <w:pPr>
              <w:adjustRightInd w:val="0"/>
              <w:snapToGrid w:val="0"/>
              <w:spacing w:line="360" w:lineRule="auto"/>
              <w:ind w:firstLine="210" w:firstLineChars="100"/>
              <w:rPr>
                <w:rFonts w:ascii="宋体" w:hAnsi="宋体" w:cs="宋体"/>
                <w:szCs w:val="21"/>
              </w:rPr>
            </w:pPr>
            <w:r>
              <w:rPr>
                <w:rFonts w:hint="eastAsia" w:ascii="宋体" w:hAnsi="宋体" w:cs="宋体"/>
              </w:rPr>
              <w:t>采用银行保函时，出具保函的银行级别：</w:t>
            </w:r>
            <w:r>
              <w:rPr>
                <w:rFonts w:hint="eastAsia" w:ascii="宋体" w:hAnsi="宋体" w:cs="宋体"/>
                <w:u w:val="single"/>
              </w:rPr>
              <w:t xml:space="preserve"> 不要求 </w:t>
            </w:r>
            <w:r>
              <w:rPr>
                <w:rFonts w:hint="eastAsia" w:ascii="宋体" w:hAnsi="宋体" w:cs="宋体"/>
              </w:rPr>
              <w:t xml:space="preserve"> </w:t>
            </w:r>
          </w:p>
          <w:p>
            <w:pPr>
              <w:adjustRightInd w:val="0"/>
              <w:snapToGrid w:val="0"/>
              <w:spacing w:line="360" w:lineRule="auto"/>
              <w:rPr>
                <w:rFonts w:ascii="宋体" w:hAnsi="宋体" w:cs="宋体"/>
                <w:szCs w:val="21"/>
              </w:rPr>
            </w:pPr>
            <w:r>
              <w:rPr>
                <w:rFonts w:hint="eastAsia" w:ascii="宋体" w:hAnsi="宋体" w:cs="宋体"/>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6" w:hRule="atLeast"/>
        </w:trPr>
        <w:tc>
          <w:tcPr>
            <w:tcW w:w="936" w:type="dxa"/>
            <w:vAlign w:val="center"/>
          </w:tcPr>
          <w:p>
            <w:pPr>
              <w:jc w:val="center"/>
              <w:rPr>
                <w:rFonts w:ascii="宋体" w:hAnsi="宋体" w:cs="宋体"/>
              </w:rPr>
            </w:pPr>
            <w:r>
              <w:rPr>
                <w:rFonts w:hint="eastAsia" w:ascii="宋体" w:hAnsi="宋体" w:cs="宋体"/>
              </w:rPr>
              <w:t>3.4.3</w:t>
            </w:r>
          </w:p>
        </w:tc>
        <w:tc>
          <w:tcPr>
            <w:tcW w:w="2751" w:type="dxa"/>
            <w:vAlign w:val="center"/>
          </w:tcPr>
          <w:p>
            <w:pPr>
              <w:jc w:val="center"/>
              <w:rPr>
                <w:rFonts w:ascii="宋体" w:hAnsi="宋体" w:cs="宋体"/>
              </w:rPr>
            </w:pPr>
            <w:r>
              <w:rPr>
                <w:rFonts w:hint="eastAsia" w:ascii="宋体" w:hAnsi="宋体" w:cs="宋体"/>
              </w:rPr>
              <w:t>投标保证金的利息计算原则</w:t>
            </w:r>
          </w:p>
        </w:tc>
        <w:tc>
          <w:tcPr>
            <w:tcW w:w="6095" w:type="dxa"/>
            <w:vAlign w:val="center"/>
          </w:tcPr>
          <w:p>
            <w:pPr>
              <w:numPr>
                <w:ilvl w:val="0"/>
                <w:numId w:val="2"/>
              </w:numPr>
              <w:spacing w:line="360" w:lineRule="auto"/>
              <w:ind w:left="63" w:leftChars="30"/>
              <w:rPr>
                <w:rFonts w:ascii="宋体" w:hAnsi="宋体" w:cs="宋体"/>
              </w:rPr>
            </w:pPr>
            <w:r>
              <w:rPr>
                <w:rFonts w:hint="eastAsia" w:ascii="宋体" w:hAnsi="宋体" w:cs="宋体"/>
              </w:rPr>
              <w:t>计算利息的起始日期为投标截止当日，终止日期为招标人退还投标保证金日期的前一日；</w:t>
            </w:r>
          </w:p>
          <w:p>
            <w:pPr>
              <w:numPr>
                <w:ilvl w:val="0"/>
                <w:numId w:val="2"/>
              </w:numPr>
              <w:spacing w:line="360" w:lineRule="auto"/>
              <w:ind w:left="63" w:leftChars="30"/>
              <w:rPr>
                <w:rFonts w:ascii="宋体" w:hAnsi="宋体" w:cs="宋体"/>
              </w:rPr>
            </w:pPr>
            <w:r>
              <w:rPr>
                <w:rFonts w:hint="eastAsia" w:ascii="宋体" w:hAnsi="宋体" w:cs="宋体"/>
              </w:rPr>
              <w:t>投标保证金的利息按照第（1）款所述计息时间段内招标人指定汇入银行公告的活期存款利率计付，并扣除招标人汇款手续费；</w:t>
            </w:r>
          </w:p>
          <w:p>
            <w:pPr>
              <w:numPr>
                <w:ilvl w:val="0"/>
                <w:numId w:val="2"/>
              </w:numPr>
              <w:spacing w:line="360" w:lineRule="auto"/>
              <w:ind w:left="63" w:leftChars="30"/>
              <w:rPr>
                <w:rFonts w:ascii="宋体" w:hAnsi="宋体" w:cs="宋体"/>
              </w:rPr>
            </w:pPr>
            <w:r>
              <w:rPr>
                <w:rFonts w:hint="eastAsia" w:ascii="宋体" w:hAnsi="宋体" w:cs="宋体"/>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4" w:hRule="atLeast"/>
        </w:trPr>
        <w:tc>
          <w:tcPr>
            <w:tcW w:w="936" w:type="dxa"/>
            <w:vAlign w:val="center"/>
          </w:tcPr>
          <w:p>
            <w:pPr>
              <w:jc w:val="center"/>
              <w:rPr>
                <w:rFonts w:ascii="宋体" w:hAnsi="宋体" w:cs="宋体"/>
              </w:rPr>
            </w:pPr>
            <w:r>
              <w:rPr>
                <w:rFonts w:hint="eastAsia" w:ascii="宋体" w:hAnsi="宋体" w:cs="宋体"/>
              </w:rPr>
              <w:t>3.4.4</w:t>
            </w:r>
          </w:p>
        </w:tc>
        <w:tc>
          <w:tcPr>
            <w:tcW w:w="2751" w:type="dxa"/>
            <w:vAlign w:val="center"/>
          </w:tcPr>
          <w:p>
            <w:pPr>
              <w:jc w:val="center"/>
              <w:rPr>
                <w:rFonts w:ascii="宋体" w:hAnsi="宋体" w:cs="宋体"/>
              </w:rPr>
            </w:pPr>
            <w:r>
              <w:rPr>
                <w:rFonts w:hint="eastAsia" w:ascii="宋体" w:hAnsi="宋体" w:cs="宋体"/>
              </w:rPr>
              <w:t>其他可以不予退还投标保证金的情形</w:t>
            </w:r>
          </w:p>
        </w:tc>
        <w:tc>
          <w:tcPr>
            <w:tcW w:w="6095" w:type="dxa"/>
            <w:vAlign w:val="center"/>
          </w:tcPr>
          <w:p>
            <w:pPr>
              <w:spacing w:line="360" w:lineRule="auto"/>
              <w:ind w:left="62"/>
              <w:rPr>
                <w:rFonts w:ascii="宋体" w:hAnsi="宋体" w:cs="宋体"/>
              </w:rPr>
            </w:pPr>
            <w:r>
              <w:rPr>
                <w:rFonts w:hint="eastAsia" w:ascii="宋体" w:hAnsi="宋体" w:cs="宋体"/>
              </w:rPr>
              <w:t>（1）投标人提供虚假资料；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atLeast"/>
        </w:trPr>
        <w:tc>
          <w:tcPr>
            <w:tcW w:w="936" w:type="dxa"/>
            <w:vAlign w:val="center"/>
          </w:tcPr>
          <w:p>
            <w:pPr>
              <w:jc w:val="center"/>
              <w:rPr>
                <w:rFonts w:ascii="宋体" w:hAnsi="宋体" w:cs="宋体"/>
              </w:rPr>
            </w:pPr>
            <w:r>
              <w:rPr>
                <w:rFonts w:hint="eastAsia" w:ascii="宋体" w:hAnsi="宋体" w:cs="宋体"/>
              </w:rPr>
              <w:t>3.5</w:t>
            </w:r>
          </w:p>
        </w:tc>
        <w:tc>
          <w:tcPr>
            <w:tcW w:w="2751" w:type="dxa"/>
            <w:vAlign w:val="center"/>
          </w:tcPr>
          <w:p>
            <w:pPr>
              <w:jc w:val="center"/>
              <w:rPr>
                <w:rFonts w:ascii="宋体" w:hAnsi="宋体" w:cs="宋体"/>
              </w:rPr>
            </w:pPr>
            <w:r>
              <w:rPr>
                <w:rFonts w:hint="eastAsia" w:ascii="宋体" w:hAnsi="宋体" w:cs="宋体"/>
              </w:rPr>
              <w:t>资格审查资料的特殊要求</w:t>
            </w:r>
          </w:p>
        </w:tc>
        <w:tc>
          <w:tcPr>
            <w:tcW w:w="6095" w:type="dxa"/>
            <w:vAlign w:val="center"/>
          </w:tcPr>
          <w:p>
            <w:pPr>
              <w:rPr>
                <w:rFonts w:ascii="宋体" w:hAnsi="宋体" w:cs="宋体"/>
                <w:kern w:val="0"/>
              </w:rPr>
            </w:pPr>
            <w:r>
              <w:rPr>
                <w:rFonts w:hint="eastAsia" w:ascii="宋体" w:cs="宋体"/>
                <w:kern w:val="0"/>
                <w:szCs w:val="21"/>
              </w:rPr>
              <w:sym w:font="Wingdings" w:char="F0FE"/>
            </w:r>
            <w:r>
              <w:rPr>
                <w:rFonts w:hint="eastAsia" w:ascii="宋体" w:hAnsi="宋体" w:cs="宋体"/>
                <w:kern w:val="0"/>
              </w:rPr>
              <w:t>无</w:t>
            </w:r>
          </w:p>
          <w:p>
            <w:pPr>
              <w:rPr>
                <w:rFonts w:ascii="宋体" w:hAnsi="宋体"/>
              </w:rPr>
            </w:pPr>
            <w:r>
              <w:rPr>
                <w:rFonts w:hint="eastAsia" w:ascii="宋体" w:hAnsi="宋体" w:cs="宋体"/>
                <w:kern w:val="0"/>
              </w:rPr>
              <w:t>□有，具体要求：</w:t>
            </w:r>
            <w:r>
              <w:rPr>
                <w:rFonts w:ascii="宋体" w:hAns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3.5.2</w:t>
            </w:r>
          </w:p>
        </w:tc>
        <w:tc>
          <w:tcPr>
            <w:tcW w:w="2751" w:type="dxa"/>
            <w:vAlign w:val="center"/>
          </w:tcPr>
          <w:p>
            <w:pPr>
              <w:spacing w:line="280" w:lineRule="exact"/>
              <w:jc w:val="center"/>
              <w:rPr>
                <w:rFonts w:ascii="宋体" w:hAnsi="宋体" w:cs="宋体"/>
                <w:szCs w:val="21"/>
              </w:rPr>
            </w:pPr>
            <w:r>
              <w:rPr>
                <w:rFonts w:hint="eastAsia" w:ascii="宋体" w:hAnsi="宋体" w:cs="宋体"/>
                <w:szCs w:val="21"/>
              </w:rPr>
              <w:t>近年财务状况的年份要求</w:t>
            </w:r>
          </w:p>
        </w:tc>
        <w:tc>
          <w:tcPr>
            <w:tcW w:w="6095" w:type="dxa"/>
            <w:vAlign w:val="center"/>
          </w:tcPr>
          <w:p>
            <w:pPr>
              <w:ind w:left="63" w:leftChars="30" w:firstLine="10" w:firstLineChars="5"/>
              <w:rPr>
                <w:rFonts w:ascii="宋体" w:hAnsi="宋体" w:cs="宋体"/>
                <w:kern w:val="0"/>
                <w:szCs w:val="21"/>
              </w:rPr>
            </w:pPr>
            <w:r>
              <w:rPr>
                <w:rFonts w:hint="eastAsia" w:ascii="宋体" w:hAnsi="宋体" w:cs="宋体"/>
                <w:szCs w:val="21"/>
                <w:u w:val="single"/>
              </w:rPr>
              <w:t>201</w:t>
            </w:r>
            <w:r>
              <w:rPr>
                <w:rFonts w:hint="eastAsia" w:ascii="宋体" w:hAnsi="宋体" w:cs="宋体"/>
                <w:szCs w:val="21"/>
                <w:u w:val="single"/>
                <w:lang w:val="en-US" w:eastAsia="zh-CN"/>
              </w:rPr>
              <w:t>9</w:t>
            </w:r>
            <w:r>
              <w:rPr>
                <w:rFonts w:hint="eastAsia" w:ascii="宋体" w:hAnsi="宋体" w:cs="宋体"/>
                <w:szCs w:val="21"/>
              </w:rPr>
              <w:t>年</w:t>
            </w:r>
            <w:r>
              <w:rPr>
                <w:rFonts w:hint="eastAsia"/>
                <w:szCs w:val="21"/>
              </w:rPr>
              <w:t>至</w:t>
            </w:r>
            <w:r>
              <w:rPr>
                <w:rFonts w:hint="eastAsia" w:ascii="宋体" w:hAnsi="宋体" w:cs="宋体"/>
                <w:szCs w:val="21"/>
                <w:u w:val="single"/>
                <w:lang w:eastAsia="zh-CN"/>
              </w:rPr>
              <w:t>202</w:t>
            </w:r>
            <w:r>
              <w:rPr>
                <w:rFonts w:hint="eastAsia" w:ascii="宋体" w:hAnsi="宋体" w:cs="宋体"/>
                <w:szCs w:val="21"/>
                <w:u w:val="single"/>
                <w:lang w:val="en-US" w:eastAsia="zh-CN"/>
              </w:rPr>
              <w:t>1</w:t>
            </w:r>
            <w:r>
              <w:rPr>
                <w:rFonts w:hint="eastAsia" w:ascii="宋体" w:hAnsi="宋体" w:cs="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3.5.3</w:t>
            </w:r>
          </w:p>
        </w:tc>
        <w:tc>
          <w:tcPr>
            <w:tcW w:w="2751" w:type="dxa"/>
            <w:vAlign w:val="center"/>
          </w:tcPr>
          <w:p>
            <w:pPr>
              <w:spacing w:line="280" w:lineRule="exact"/>
              <w:jc w:val="center"/>
              <w:rPr>
                <w:rFonts w:ascii="宋体" w:hAnsi="宋体" w:cs="宋体"/>
                <w:szCs w:val="21"/>
              </w:rPr>
            </w:pPr>
            <w:r>
              <w:rPr>
                <w:rFonts w:hint="eastAsia" w:ascii="宋体" w:hAnsi="宋体" w:cs="宋体"/>
                <w:szCs w:val="21"/>
              </w:rPr>
              <w:t>近年完成的类似项目情况的时间要求</w:t>
            </w:r>
          </w:p>
        </w:tc>
        <w:tc>
          <w:tcPr>
            <w:tcW w:w="6095" w:type="dxa"/>
            <w:vAlign w:val="center"/>
          </w:tcPr>
          <w:p>
            <w:pPr>
              <w:ind w:left="63" w:leftChars="30" w:firstLine="10" w:firstLineChars="5"/>
              <w:rPr>
                <w:rFonts w:ascii="宋体" w:hAnsi="宋体" w:cs="宋体"/>
                <w:kern w:val="0"/>
                <w:szCs w:val="21"/>
              </w:rPr>
            </w:pPr>
            <w:r>
              <w:rPr>
                <w:rFonts w:hint="eastAsia" w:ascii="宋体" w:hAnsi="宋体" w:cs="宋体"/>
                <w:u w:val="single"/>
              </w:rPr>
              <w:t>201</w:t>
            </w:r>
            <w:r>
              <w:rPr>
                <w:rFonts w:hint="eastAsia" w:ascii="宋体" w:hAnsi="宋体" w:cs="宋体"/>
                <w:u w:val="single"/>
                <w:lang w:val="en-US" w:eastAsia="zh-CN"/>
              </w:rPr>
              <w:t>7</w:t>
            </w:r>
            <w:r>
              <w:rPr>
                <w:rFonts w:hint="eastAsia" w:ascii="宋体" w:hAnsi="宋体" w:cs="宋体"/>
              </w:rPr>
              <w:t>年</w:t>
            </w:r>
            <w:r>
              <w:rPr>
                <w:rFonts w:hint="eastAsia" w:ascii="宋体" w:hAnsi="宋体" w:cs="宋体"/>
                <w:u w:val="single"/>
              </w:rPr>
              <w:t xml:space="preserve"> 1 </w:t>
            </w:r>
            <w:r>
              <w:rPr>
                <w:rFonts w:hint="eastAsia" w:ascii="宋体" w:hAnsi="宋体" w:cs="宋体"/>
              </w:rPr>
              <w:t>月</w:t>
            </w:r>
            <w:r>
              <w:rPr>
                <w:rFonts w:hint="eastAsia" w:ascii="宋体" w:hAnsi="宋体" w:cs="宋体"/>
                <w:u w:val="single"/>
              </w:rPr>
              <w:t xml:space="preserve"> 1 </w:t>
            </w:r>
            <w:r>
              <w:rPr>
                <w:rFonts w:hint="eastAsia" w:ascii="宋体" w:hAnsi="宋体" w:cs="宋体"/>
              </w:rPr>
              <w:t>日至投标截止之日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6"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3.6.1</w:t>
            </w:r>
          </w:p>
        </w:tc>
        <w:tc>
          <w:tcPr>
            <w:tcW w:w="2751" w:type="dxa"/>
            <w:vAlign w:val="center"/>
          </w:tcPr>
          <w:p>
            <w:pPr>
              <w:spacing w:line="280" w:lineRule="exact"/>
              <w:jc w:val="center"/>
              <w:rPr>
                <w:rFonts w:ascii="宋体" w:hAnsi="宋体" w:cs="宋体"/>
                <w:szCs w:val="21"/>
              </w:rPr>
            </w:pPr>
            <w:r>
              <w:rPr>
                <w:rFonts w:hint="eastAsia" w:ascii="宋体" w:hAnsi="宋体" w:cs="宋体"/>
                <w:szCs w:val="21"/>
              </w:rPr>
              <w:t>是否允许递交备选投标方案</w:t>
            </w:r>
          </w:p>
        </w:tc>
        <w:tc>
          <w:tcPr>
            <w:tcW w:w="6095" w:type="dxa"/>
            <w:vAlign w:val="center"/>
          </w:tcPr>
          <w:p>
            <w:pPr>
              <w:spacing w:line="280" w:lineRule="exact"/>
              <w:ind w:left="-31" w:leftChars="-15" w:firstLine="252" w:firstLineChars="120"/>
              <w:rPr>
                <w:rFonts w:ascii="宋体" w:hAnsi="宋体" w:cs="宋体"/>
                <w:kern w:val="0"/>
                <w:szCs w:val="21"/>
              </w:rPr>
            </w:pPr>
            <w:r>
              <w:rPr>
                <w:rFonts w:hint="eastAsia" w:ascii="宋体" w:cs="宋体"/>
                <w:kern w:val="0"/>
                <w:szCs w:val="21"/>
              </w:rPr>
              <w:sym w:font="Wingdings" w:char="F0FE"/>
            </w:r>
            <w:r>
              <w:rPr>
                <w:rFonts w:hint="eastAsia" w:ascii="宋体" w:hAnsi="宋体" w:cs="宋体"/>
                <w:kern w:val="0"/>
                <w:szCs w:val="21"/>
              </w:rPr>
              <w:t>不允许</w:t>
            </w:r>
          </w:p>
          <w:p>
            <w:pPr>
              <w:spacing w:line="280" w:lineRule="exact"/>
              <w:ind w:left="-31" w:leftChars="-15" w:firstLine="252" w:firstLineChars="120"/>
              <w:rPr>
                <w:rFonts w:ascii="宋体" w:hAnsi="宋体" w:cs="宋体"/>
                <w:kern w:val="0"/>
                <w:szCs w:val="21"/>
              </w:rPr>
            </w:pPr>
            <w:r>
              <w:rPr>
                <w:rFonts w:hint="eastAsia" w:ascii="宋体" w:hAnsi="宋体" w:cs="宋体"/>
                <w:kern w:val="0"/>
                <w:szCs w:val="21"/>
              </w:rPr>
              <w:t>□允许</w:t>
            </w:r>
          </w:p>
        </w:tc>
      </w:tr>
    </w:tbl>
    <w:p>
      <w:pPr>
        <w:jc w:val="right"/>
        <w:rPr>
          <w:rFonts w:ascii="宋体" w:hAnsi="宋体" w:cs="宋体"/>
        </w:rPr>
      </w:pPr>
      <w:r>
        <w:rPr>
          <w:rFonts w:ascii="宋体" w:hAnsi="宋体" w:cs="宋体"/>
        </w:rPr>
        <w:br w:type="page"/>
      </w:r>
      <w:r>
        <w:rPr>
          <w:rFonts w:hint="eastAsia" w:ascii="宋体" w:hAnsi="宋体" w:cs="宋体"/>
        </w:rPr>
        <w:t>续上表</w:t>
      </w:r>
    </w:p>
    <w:tbl>
      <w:tblPr>
        <w:tblStyle w:val="38"/>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2858"/>
        <w:gridCol w:w="5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936"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2858"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5528"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3.7.4</w:t>
            </w:r>
          </w:p>
        </w:tc>
        <w:tc>
          <w:tcPr>
            <w:tcW w:w="2858" w:type="dxa"/>
            <w:vAlign w:val="center"/>
          </w:tcPr>
          <w:p>
            <w:pPr>
              <w:spacing w:line="280" w:lineRule="exact"/>
              <w:jc w:val="center"/>
              <w:rPr>
                <w:rFonts w:ascii="宋体" w:hAnsi="宋体" w:cs="宋体"/>
                <w:szCs w:val="21"/>
              </w:rPr>
            </w:pPr>
            <w:r>
              <w:rPr>
                <w:rFonts w:hint="eastAsia" w:ascii="宋体" w:hAnsi="宋体" w:cs="宋体"/>
                <w:szCs w:val="21"/>
              </w:rPr>
              <w:t>投标文件副本份数及其他要求</w:t>
            </w:r>
          </w:p>
        </w:tc>
        <w:tc>
          <w:tcPr>
            <w:tcW w:w="5528" w:type="dxa"/>
            <w:vAlign w:val="center"/>
          </w:tcPr>
          <w:p>
            <w:pPr>
              <w:spacing w:line="280" w:lineRule="exact"/>
              <w:ind w:left="-31" w:leftChars="-15"/>
              <w:rPr>
                <w:rFonts w:ascii="宋体" w:hAnsi="宋体" w:cs="宋体"/>
                <w:kern w:val="0"/>
                <w:szCs w:val="21"/>
              </w:rPr>
            </w:pPr>
            <w:r>
              <w:rPr>
                <w:rFonts w:hint="eastAsia" w:ascii="宋体" w:hAnsi="宋体" w:cs="宋体"/>
              </w:rPr>
              <w:t>纸质投标文件副本份数：</w:t>
            </w:r>
            <w:r>
              <w:rPr>
                <w:rFonts w:hint="eastAsia" w:ascii="宋体" w:hAnsi="宋体" w:cs="宋体"/>
                <w:kern w:val="0"/>
                <w:szCs w:val="21"/>
              </w:rPr>
              <w:t>4份</w:t>
            </w:r>
          </w:p>
          <w:p>
            <w:pPr>
              <w:spacing w:line="280" w:lineRule="exact"/>
              <w:ind w:left="-31" w:leftChars="-15"/>
              <w:rPr>
                <w:rFonts w:ascii="宋体" w:hAnsi="宋体" w:cs="宋体"/>
                <w:szCs w:val="21"/>
              </w:rPr>
            </w:pPr>
            <w:r>
              <w:rPr>
                <w:rFonts w:hint="eastAsia" w:ascii="宋体" w:hAnsi="宋体" w:cs="宋体"/>
              </w:rPr>
              <w:t>提交电子版文件：</w:t>
            </w:r>
            <w:r>
              <w:rPr>
                <w:rFonts w:hint="eastAsia" w:ascii="宋体" w:hAnsi="宋体" w:cs="宋体"/>
                <w:szCs w:val="21"/>
              </w:rPr>
              <w:t>1份（U盘）</w:t>
            </w:r>
          </w:p>
          <w:p>
            <w:pPr>
              <w:spacing w:line="280" w:lineRule="exact"/>
              <w:ind w:left="-31" w:leftChars="-15"/>
              <w:rPr>
                <w:rFonts w:ascii="宋体" w:hAnsi="宋体" w:cs="宋体"/>
                <w:kern w:val="0"/>
                <w:szCs w:val="21"/>
              </w:rPr>
            </w:pPr>
            <w:r>
              <w:rPr>
                <w:rFonts w:hint="eastAsia" w:ascii="宋体" w:hAnsi="宋体" w:cs="宋体"/>
              </w:rPr>
              <w:t>其他要求：电子版文件</w:t>
            </w:r>
            <w:r>
              <w:rPr>
                <w:rFonts w:hint="eastAsia" w:ascii="宋体" w:hAnsi="宋体" w:cs="宋体"/>
                <w:lang w:eastAsia="zh-CN"/>
              </w:rPr>
              <w:t>应</w:t>
            </w:r>
            <w:r>
              <w:rPr>
                <w:rFonts w:hint="eastAsia" w:ascii="宋体" w:hAnsi="宋体" w:cs="宋体"/>
                <w:szCs w:val="21"/>
              </w:rPr>
              <w:t>与第一信封（商务及技术文件）投标文件正本和第二信封（报价文件）投标文件正本完全一致的PDF</w:t>
            </w:r>
            <w:r>
              <w:rPr>
                <w:rFonts w:hint="eastAsia" w:ascii="宋体" w:hAnsi="宋体" w:cs="宋体"/>
                <w:color w:val="auto"/>
                <w:szCs w:val="21"/>
              </w:rPr>
              <w:t>（</w:t>
            </w:r>
            <w:r>
              <w:rPr>
                <w:rFonts w:hint="eastAsia" w:ascii="宋体" w:hAnsi="宋体" w:cs="宋体"/>
                <w:color w:val="auto"/>
              </w:rPr>
              <w:t>签字盖章后扫描</w:t>
            </w:r>
            <w:r>
              <w:rPr>
                <w:rFonts w:hint="eastAsia" w:ascii="宋体" w:hAnsi="宋体" w:cs="宋体"/>
                <w:color w:val="auto"/>
                <w:szCs w:val="21"/>
              </w:rPr>
              <w:t>）</w:t>
            </w:r>
            <w:r>
              <w:rPr>
                <w:rFonts w:hint="eastAsia" w:ascii="宋体" w:hAnsi="宋体" w:cs="宋体"/>
                <w:szCs w:val="21"/>
              </w:rPr>
              <w:t>文件各1份、已报价的固化工程量清单1份。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3.7.5</w:t>
            </w:r>
          </w:p>
        </w:tc>
        <w:tc>
          <w:tcPr>
            <w:tcW w:w="2858" w:type="dxa"/>
            <w:vAlign w:val="center"/>
          </w:tcPr>
          <w:p>
            <w:pPr>
              <w:spacing w:line="280" w:lineRule="exact"/>
              <w:jc w:val="center"/>
              <w:rPr>
                <w:rFonts w:ascii="宋体" w:hAnsi="宋体" w:cs="宋体"/>
                <w:szCs w:val="21"/>
              </w:rPr>
            </w:pPr>
            <w:r>
              <w:rPr>
                <w:rFonts w:hint="eastAsia" w:ascii="宋体" w:hAnsi="宋体" w:cs="宋体"/>
                <w:szCs w:val="21"/>
              </w:rPr>
              <w:t>装订的其他要求</w:t>
            </w:r>
          </w:p>
        </w:tc>
        <w:tc>
          <w:tcPr>
            <w:tcW w:w="5528" w:type="dxa"/>
            <w:vAlign w:val="center"/>
          </w:tcPr>
          <w:p>
            <w:pPr>
              <w:spacing w:line="280" w:lineRule="exact"/>
              <w:rPr>
                <w:rFonts w:ascii="宋体" w:hAnsi="宋体" w:cs="宋体"/>
                <w:kern w:val="0"/>
                <w:szCs w:val="21"/>
              </w:rPr>
            </w:pPr>
            <w:r>
              <w:rPr>
                <w:rFonts w:hint="eastAsia" w:ascii="宋体" w:hAnsi="宋体" w:cs="宋体"/>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5" w:hRule="atLeast"/>
        </w:trPr>
        <w:tc>
          <w:tcPr>
            <w:tcW w:w="936" w:type="dxa"/>
            <w:vAlign w:val="center"/>
          </w:tcPr>
          <w:p>
            <w:pPr>
              <w:spacing w:line="280" w:lineRule="exact"/>
              <w:jc w:val="center"/>
              <w:rPr>
                <w:rFonts w:ascii="宋体" w:hAnsi="宋体" w:cs="宋体"/>
                <w:szCs w:val="21"/>
              </w:rPr>
            </w:pPr>
            <w:r>
              <w:rPr>
                <w:rFonts w:hint="eastAsia" w:ascii="宋体" w:hAnsi="宋体" w:cs="宋体"/>
                <w:szCs w:val="21"/>
              </w:rPr>
              <w:t>4.1.2</w:t>
            </w:r>
          </w:p>
        </w:tc>
        <w:tc>
          <w:tcPr>
            <w:tcW w:w="2858" w:type="dxa"/>
            <w:vAlign w:val="center"/>
          </w:tcPr>
          <w:p>
            <w:pPr>
              <w:spacing w:line="280" w:lineRule="exact"/>
              <w:jc w:val="center"/>
              <w:rPr>
                <w:rFonts w:ascii="宋体" w:hAnsi="宋体" w:cs="宋体"/>
                <w:szCs w:val="21"/>
              </w:rPr>
            </w:pPr>
            <w:r>
              <w:rPr>
                <w:rFonts w:hint="eastAsia" w:ascii="宋体" w:hAnsi="宋体" w:cs="宋体"/>
              </w:rPr>
              <w:t>封套上应载明的信息</w:t>
            </w:r>
          </w:p>
        </w:tc>
        <w:tc>
          <w:tcPr>
            <w:tcW w:w="5528" w:type="dxa"/>
            <w:vAlign w:val="center"/>
          </w:tcPr>
          <w:p>
            <w:pPr>
              <w:spacing w:line="280" w:lineRule="exact"/>
              <w:rPr>
                <w:rFonts w:ascii="宋体" w:hAnsi="宋体" w:cs="宋体"/>
                <w:b/>
                <w:color w:val="000000"/>
                <w:kern w:val="0"/>
              </w:rPr>
            </w:pPr>
            <w:r>
              <w:rPr>
                <w:rFonts w:hint="eastAsia" w:ascii="宋体" w:hAnsi="宋体" w:cs="宋体"/>
                <w:b/>
                <w:color w:val="000000"/>
                <w:kern w:val="0"/>
              </w:rPr>
              <w:t>投标文件第一个信封（商务及技术文件）封套：</w:t>
            </w:r>
          </w:p>
          <w:p>
            <w:pPr>
              <w:spacing w:line="280" w:lineRule="exact"/>
              <w:rPr>
                <w:rFonts w:ascii="宋体" w:hAnsi="宋体" w:cs="宋体"/>
                <w:color w:val="000000"/>
                <w:kern w:val="0"/>
                <w:u w:val="single"/>
              </w:rPr>
            </w:pPr>
            <w:r>
              <w:rPr>
                <w:rFonts w:hint="eastAsia" w:ascii="宋体" w:hAnsi="宋体" w:cs="宋体"/>
                <w:color w:val="000000"/>
                <w:kern w:val="0"/>
              </w:rPr>
              <w:t>招标人名称：</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招标人地址：</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____________（项目名称）________标段施工招标第一个信封（商务及技术文件）投标文件</w:t>
            </w:r>
          </w:p>
          <w:p>
            <w:pPr>
              <w:spacing w:line="280" w:lineRule="exact"/>
              <w:rPr>
                <w:rFonts w:ascii="宋体" w:hAnsi="宋体" w:cs="宋体"/>
                <w:color w:val="000000"/>
                <w:kern w:val="0"/>
                <w:u w:val="single"/>
              </w:rPr>
            </w:pPr>
            <w:r>
              <w:rPr>
                <w:rFonts w:hint="eastAsia" w:ascii="宋体" w:hAnsi="宋体" w:cs="宋体"/>
                <w:color w:val="000000"/>
                <w:kern w:val="0"/>
              </w:rPr>
              <w:t>招标项目编号：</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在___年__月__日__时__分前不得开启</w:t>
            </w:r>
          </w:p>
          <w:p>
            <w:pPr>
              <w:spacing w:line="280" w:lineRule="exact"/>
              <w:rPr>
                <w:rFonts w:ascii="宋体" w:hAnsi="宋体" w:cs="宋体"/>
                <w:color w:val="000000"/>
                <w:kern w:val="0"/>
              </w:rPr>
            </w:pPr>
            <w:r>
              <w:rPr>
                <w:rFonts w:hint="eastAsia" w:ascii="宋体" w:hAnsi="宋体" w:cs="宋体"/>
                <w:color w:val="000000"/>
                <w:kern w:val="0"/>
              </w:rPr>
              <w:t>投标人名称：</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p>
          <w:p>
            <w:pPr>
              <w:spacing w:line="280" w:lineRule="exact"/>
              <w:rPr>
                <w:rFonts w:ascii="宋体" w:hAnsi="宋体" w:cs="宋体"/>
                <w:b/>
                <w:color w:val="000000"/>
                <w:kern w:val="0"/>
              </w:rPr>
            </w:pPr>
            <w:r>
              <w:rPr>
                <w:rFonts w:hint="eastAsia" w:ascii="宋体" w:hAnsi="宋体" w:cs="宋体"/>
                <w:b/>
                <w:color w:val="000000"/>
                <w:kern w:val="0"/>
              </w:rPr>
              <w:t>投标文件第二个信封（报价文件）封套：</w:t>
            </w:r>
          </w:p>
          <w:p>
            <w:pPr>
              <w:spacing w:line="280" w:lineRule="exact"/>
              <w:rPr>
                <w:rFonts w:ascii="宋体" w:hAnsi="宋体" w:cs="宋体"/>
                <w:color w:val="000000"/>
                <w:kern w:val="0"/>
                <w:u w:val="single"/>
              </w:rPr>
            </w:pPr>
            <w:r>
              <w:rPr>
                <w:rFonts w:hint="eastAsia" w:ascii="宋体" w:hAnsi="宋体" w:cs="宋体"/>
                <w:color w:val="000000"/>
                <w:kern w:val="0"/>
              </w:rPr>
              <w:t>招标人名称：</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招标人地址：</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____________（项目名称）________标段施工招标第二个信封（报价文件）投标文件</w:t>
            </w:r>
          </w:p>
          <w:p>
            <w:pPr>
              <w:spacing w:line="280" w:lineRule="exact"/>
              <w:rPr>
                <w:rFonts w:ascii="宋体" w:hAnsi="宋体" w:cs="宋体"/>
                <w:color w:val="000000"/>
                <w:kern w:val="0"/>
                <w:u w:val="single"/>
              </w:rPr>
            </w:pPr>
            <w:r>
              <w:rPr>
                <w:rFonts w:hint="eastAsia" w:ascii="宋体" w:hAnsi="宋体" w:cs="宋体"/>
                <w:color w:val="000000"/>
                <w:kern w:val="0"/>
              </w:rPr>
              <w:t>招标项目编号：</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在投标文件第二个信封（报价文件）开标前不得开启</w:t>
            </w:r>
          </w:p>
          <w:p>
            <w:pPr>
              <w:spacing w:line="280" w:lineRule="exact"/>
              <w:rPr>
                <w:rFonts w:ascii="宋体" w:hAnsi="宋体" w:cs="宋体"/>
                <w:color w:val="000000"/>
                <w:kern w:val="0"/>
                <w:u w:val="single"/>
              </w:rPr>
            </w:pPr>
            <w:r>
              <w:rPr>
                <w:rFonts w:hint="eastAsia" w:ascii="宋体" w:hAnsi="宋体" w:cs="宋体"/>
                <w:color w:val="000000"/>
                <w:kern w:val="0"/>
              </w:rPr>
              <w:t>投标人名称：</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投标人地址：</w:t>
            </w:r>
            <w:r>
              <w:rPr>
                <w:rFonts w:hint="eastAsia" w:ascii="宋体" w:hAnsi="宋体" w:cs="宋体"/>
                <w:color w:val="000000"/>
                <w:kern w:val="0"/>
                <w:u w:val="single"/>
              </w:rPr>
              <w:t xml:space="preserve">                     </w:t>
            </w:r>
            <w:r>
              <w:rPr>
                <w:rFonts w:hint="eastAsia" w:ascii="宋体" w:hAnsi="宋体" w:cs="宋体"/>
                <w:color w:val="000000"/>
                <w:kern w:val="0"/>
              </w:rPr>
              <w:t xml:space="preserve">  </w:t>
            </w:r>
          </w:p>
          <w:p>
            <w:pPr>
              <w:spacing w:line="280" w:lineRule="exact"/>
              <w:rPr>
                <w:rFonts w:ascii="宋体" w:hAnsi="宋体" w:cs="宋体"/>
                <w:b/>
                <w:color w:val="000000"/>
                <w:kern w:val="0"/>
              </w:rPr>
            </w:pPr>
            <w:r>
              <w:rPr>
                <w:rFonts w:hint="eastAsia" w:ascii="宋体" w:hAnsi="宋体" w:cs="宋体"/>
                <w:b/>
                <w:color w:val="000000"/>
                <w:kern w:val="0"/>
              </w:rPr>
              <w:t>银行保函封套：</w:t>
            </w:r>
          </w:p>
          <w:p>
            <w:pPr>
              <w:spacing w:line="280" w:lineRule="exact"/>
              <w:rPr>
                <w:rFonts w:ascii="宋体" w:hAnsi="宋体" w:cs="宋体"/>
                <w:color w:val="000000"/>
                <w:kern w:val="0"/>
                <w:u w:val="single"/>
              </w:rPr>
            </w:pPr>
            <w:r>
              <w:rPr>
                <w:rFonts w:hint="eastAsia" w:ascii="宋体" w:hAnsi="宋体" w:cs="宋体"/>
                <w:color w:val="000000"/>
                <w:kern w:val="0"/>
              </w:rPr>
              <w:t>招标人名称：</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招标人地址：</w:t>
            </w:r>
            <w:r>
              <w:rPr>
                <w:rFonts w:hint="eastAsia" w:ascii="宋体" w:hAnsi="宋体" w:cs="宋体"/>
                <w:color w:val="000000"/>
                <w:kern w:val="0"/>
                <w:u w:val="single"/>
              </w:rPr>
              <w:t xml:space="preserve">               </w:t>
            </w:r>
          </w:p>
          <w:p>
            <w:pPr>
              <w:spacing w:line="280" w:lineRule="exact"/>
              <w:rPr>
                <w:rFonts w:ascii="宋体" w:hAnsi="宋体" w:cs="宋体"/>
                <w:color w:val="000000"/>
                <w:kern w:val="0"/>
              </w:rPr>
            </w:pPr>
            <w:r>
              <w:rPr>
                <w:rFonts w:hint="eastAsia" w:ascii="宋体" w:hAnsi="宋体" w:cs="宋体"/>
                <w:color w:val="000000"/>
                <w:kern w:val="0"/>
              </w:rPr>
              <w:t>____________（项目名称）________标段施工招标投标保证金（银行保函原件）</w:t>
            </w:r>
          </w:p>
          <w:p>
            <w:pPr>
              <w:spacing w:line="280" w:lineRule="exact"/>
              <w:rPr>
                <w:rFonts w:ascii="宋体" w:hAnsi="宋体" w:cs="宋体"/>
                <w:color w:val="000000"/>
                <w:kern w:val="0"/>
                <w:u w:val="single"/>
              </w:rPr>
            </w:pPr>
            <w:r>
              <w:rPr>
                <w:rFonts w:hint="eastAsia" w:ascii="宋体" w:hAnsi="宋体" w:cs="宋体"/>
                <w:color w:val="000000"/>
                <w:kern w:val="0"/>
              </w:rPr>
              <w:t>招标项目编号：</w:t>
            </w:r>
            <w:r>
              <w:rPr>
                <w:rFonts w:hint="eastAsia" w:ascii="宋体" w:hAnsi="宋体" w:cs="宋体"/>
                <w:color w:val="000000"/>
                <w:kern w:val="0"/>
                <w:u w:val="single"/>
              </w:rPr>
              <w:t xml:space="preserve">          </w:t>
            </w:r>
          </w:p>
          <w:p>
            <w:pPr>
              <w:spacing w:line="280" w:lineRule="exact"/>
              <w:rPr>
                <w:rFonts w:ascii="宋体"/>
                <w:color w:val="000000"/>
                <w:kern w:val="0"/>
              </w:rPr>
            </w:pPr>
            <w:r>
              <w:rPr>
                <w:rFonts w:hint="eastAsia" w:ascii="宋体" w:hAnsi="宋体" w:cs="宋体"/>
                <w:color w:val="000000"/>
                <w:kern w:val="0"/>
              </w:rPr>
              <w:t>投标人名称：</w:t>
            </w:r>
            <w:r>
              <w:rPr>
                <w:rFonts w:hint="eastAsia" w:ascii="宋体" w:hAnsi="宋体" w:cs="宋体"/>
                <w:color w:val="000000"/>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4.2.3</w:t>
            </w:r>
          </w:p>
        </w:tc>
        <w:tc>
          <w:tcPr>
            <w:tcW w:w="2858" w:type="dxa"/>
            <w:vAlign w:val="center"/>
          </w:tcPr>
          <w:p>
            <w:pPr>
              <w:snapToGrid w:val="0"/>
              <w:spacing w:line="280" w:lineRule="exact"/>
              <w:jc w:val="center"/>
              <w:rPr>
                <w:rFonts w:ascii="宋体" w:hAnsi="宋体" w:cs="宋体"/>
                <w:szCs w:val="21"/>
              </w:rPr>
            </w:pPr>
            <w:r>
              <w:rPr>
                <w:rFonts w:hint="eastAsia" w:ascii="宋体" w:hAnsi="宋体" w:cs="宋体"/>
                <w:szCs w:val="21"/>
              </w:rPr>
              <w:t>是否退还投标文件</w:t>
            </w:r>
          </w:p>
        </w:tc>
        <w:tc>
          <w:tcPr>
            <w:tcW w:w="5528" w:type="dxa"/>
            <w:vAlign w:val="center"/>
          </w:tcPr>
          <w:p>
            <w:pPr>
              <w:spacing w:line="280" w:lineRule="exact"/>
              <w:rPr>
                <w:rFonts w:ascii="宋体" w:hAnsi="宋体" w:cs="宋体"/>
                <w:kern w:val="0"/>
                <w:szCs w:val="21"/>
              </w:rPr>
            </w:pPr>
            <w:r>
              <w:rPr>
                <w:rFonts w:hint="eastAsia" w:ascii="宋体" w:cs="宋体"/>
                <w:kern w:val="0"/>
                <w:szCs w:val="21"/>
              </w:rPr>
              <w:sym w:font="Wingdings" w:char="F0FE"/>
            </w:r>
            <w:r>
              <w:rPr>
                <w:rFonts w:hint="eastAsia" w:ascii="宋体" w:hAnsi="宋体" w:cs="宋体"/>
                <w:kern w:val="0"/>
                <w:szCs w:val="21"/>
              </w:rPr>
              <w:t>否</w:t>
            </w:r>
          </w:p>
          <w:p>
            <w:pPr>
              <w:spacing w:line="280" w:lineRule="exact"/>
              <w:rPr>
                <w:rFonts w:ascii="宋体" w:hAnsi="宋体" w:cs="宋体"/>
                <w:kern w:val="0"/>
                <w:szCs w:val="21"/>
              </w:rPr>
            </w:pPr>
            <w:r>
              <w:rPr>
                <w:rFonts w:hint="eastAsia" w:ascii="宋体" w:hAnsi="宋体" w:cs="宋体"/>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6"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5.1</w:t>
            </w:r>
          </w:p>
        </w:tc>
        <w:tc>
          <w:tcPr>
            <w:tcW w:w="2858" w:type="dxa"/>
            <w:vAlign w:val="center"/>
          </w:tcPr>
          <w:p>
            <w:pPr>
              <w:snapToGrid w:val="0"/>
              <w:spacing w:line="280" w:lineRule="exact"/>
              <w:jc w:val="center"/>
              <w:rPr>
                <w:rFonts w:ascii="宋体" w:hAnsi="宋体" w:cs="宋体"/>
                <w:szCs w:val="21"/>
              </w:rPr>
            </w:pPr>
            <w:r>
              <w:rPr>
                <w:rFonts w:hint="eastAsia" w:ascii="宋体" w:hAnsi="宋体" w:cs="宋体"/>
                <w:szCs w:val="21"/>
              </w:rPr>
              <w:t>开标时间和地点</w:t>
            </w:r>
          </w:p>
        </w:tc>
        <w:tc>
          <w:tcPr>
            <w:tcW w:w="5528" w:type="dxa"/>
            <w:vAlign w:val="center"/>
          </w:tcPr>
          <w:p>
            <w:pPr>
              <w:spacing w:line="300" w:lineRule="exact"/>
              <w:ind w:left="1050" w:hanging="1050" w:hangingChars="500"/>
              <w:rPr>
                <w:rFonts w:ascii="宋体" w:hAnsi="宋体" w:cs="宋体"/>
                <w:kern w:val="0"/>
              </w:rPr>
            </w:pPr>
            <w:r>
              <w:rPr>
                <w:rFonts w:hint="eastAsia" w:ascii="宋体" w:hAnsi="宋体" w:cs="宋体"/>
                <w:kern w:val="0"/>
              </w:rPr>
              <w:t>投标文件第一个信封（商务及技术文件）</w:t>
            </w:r>
          </w:p>
          <w:p>
            <w:pPr>
              <w:spacing w:line="300" w:lineRule="exact"/>
              <w:ind w:left="1050" w:hanging="1050" w:hangingChars="500"/>
              <w:rPr>
                <w:rFonts w:ascii="宋体" w:hAnsi="宋体" w:cs="宋体"/>
                <w:kern w:val="0"/>
              </w:rPr>
            </w:pPr>
            <w:r>
              <w:rPr>
                <w:rFonts w:hint="eastAsia" w:ascii="宋体" w:hAnsi="宋体" w:cs="宋体"/>
                <w:kern w:val="0"/>
              </w:rPr>
              <w:t>开标时间：同投标截止时间</w:t>
            </w:r>
          </w:p>
          <w:p>
            <w:pPr>
              <w:spacing w:line="300" w:lineRule="exact"/>
              <w:ind w:left="1050" w:hanging="1050" w:hangingChars="500"/>
              <w:rPr>
                <w:rFonts w:ascii="宋体" w:hAnsi="宋体" w:cs="宋体"/>
                <w:kern w:val="0"/>
              </w:rPr>
            </w:pPr>
            <w:r>
              <w:rPr>
                <w:rFonts w:hint="eastAsia" w:ascii="宋体" w:hAnsi="宋体" w:cs="宋体"/>
                <w:kern w:val="0"/>
              </w:rPr>
              <w:t>投标文件第一个信封（商务及技术文件）</w:t>
            </w:r>
          </w:p>
          <w:p>
            <w:pPr>
              <w:spacing w:line="300" w:lineRule="exact"/>
              <w:ind w:left="1050" w:hanging="1050" w:hangingChars="500"/>
              <w:rPr>
                <w:rFonts w:ascii="宋体" w:hAnsi="宋体" w:cs="宋体"/>
                <w:kern w:val="0"/>
              </w:rPr>
            </w:pPr>
            <w:r>
              <w:rPr>
                <w:rFonts w:hint="eastAsia" w:ascii="宋体" w:hAnsi="宋体" w:cs="宋体"/>
                <w:kern w:val="0"/>
              </w:rPr>
              <w:t>开标地点：同递交投标文件地点</w:t>
            </w:r>
          </w:p>
          <w:p>
            <w:pPr>
              <w:spacing w:line="300" w:lineRule="exact"/>
              <w:ind w:left="1050" w:hanging="1050" w:hangingChars="500"/>
              <w:rPr>
                <w:rFonts w:ascii="宋体"/>
                <w:kern w:val="0"/>
              </w:rPr>
            </w:pPr>
            <w:r>
              <w:rPr>
                <w:rFonts w:hint="eastAsia" w:ascii="宋体" w:hAnsi="宋体" w:cs="宋体"/>
                <w:kern w:val="0"/>
              </w:rPr>
              <w:t>投标文件第二个信封（报价文件）</w:t>
            </w:r>
          </w:p>
          <w:p>
            <w:pPr>
              <w:spacing w:line="300" w:lineRule="exact"/>
              <w:ind w:left="1050" w:hanging="1050" w:hangingChars="500"/>
              <w:rPr>
                <w:rFonts w:ascii="宋体" w:hAnsi="宋体" w:cs="宋体"/>
                <w:kern w:val="0"/>
              </w:rPr>
            </w:pPr>
            <w:r>
              <w:rPr>
                <w:rFonts w:hint="eastAsia" w:ascii="宋体" w:hAnsi="宋体" w:cs="宋体"/>
                <w:kern w:val="0"/>
              </w:rPr>
              <w:t>开标时间：</w:t>
            </w:r>
            <w:r>
              <w:rPr>
                <w:rFonts w:hint="eastAsia" w:ascii="宋体" w:hAnsi="宋体" w:cs="宋体"/>
                <w:kern w:val="0"/>
                <w:u w:val="single"/>
              </w:rPr>
              <w:t xml:space="preserve"> </w:t>
            </w:r>
            <w:r>
              <w:rPr>
                <w:rFonts w:hint="eastAsia" w:ascii="宋体" w:hAnsi="宋体" w:cs="宋体"/>
                <w:kern w:val="0"/>
                <w:u w:val="single"/>
                <w:lang w:eastAsia="zh-CN"/>
              </w:rPr>
              <w:t>2022</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u w:val="single"/>
                <w:lang w:val="en-US" w:eastAsia="zh-CN"/>
              </w:rPr>
              <w:t>6</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u w:val="single"/>
                <w:lang w:val="en-US" w:eastAsia="zh-CN"/>
              </w:rPr>
              <w:t xml:space="preserve">29  </w:t>
            </w:r>
            <w:r>
              <w:rPr>
                <w:rFonts w:hint="eastAsia" w:ascii="宋体" w:hAnsi="宋体" w:cs="宋体"/>
                <w:kern w:val="0"/>
              </w:rPr>
              <w:t>日</w:t>
            </w:r>
            <w:r>
              <w:rPr>
                <w:rFonts w:hint="eastAsia" w:ascii="宋体" w:hAnsi="宋体" w:cs="宋体"/>
                <w:kern w:val="0"/>
                <w:u w:val="single"/>
              </w:rPr>
              <w:t>1</w:t>
            </w:r>
            <w:r>
              <w:rPr>
                <w:rFonts w:hint="eastAsia" w:ascii="宋体" w:hAnsi="宋体" w:cs="宋体"/>
                <w:kern w:val="0"/>
                <w:u w:val="single"/>
                <w:lang w:val="en-US" w:eastAsia="zh-CN"/>
              </w:rPr>
              <w:t>5</w:t>
            </w:r>
            <w:r>
              <w:rPr>
                <w:rFonts w:hint="eastAsia" w:ascii="宋体" w:hAnsi="宋体" w:cs="宋体"/>
                <w:kern w:val="0"/>
              </w:rPr>
              <w:t>时</w:t>
            </w:r>
            <w:r>
              <w:rPr>
                <w:rFonts w:hint="eastAsia" w:ascii="宋体" w:hAnsi="宋体" w:cs="宋体"/>
                <w:kern w:val="0"/>
                <w:u w:val="single"/>
              </w:rPr>
              <w:t xml:space="preserve"> </w:t>
            </w:r>
            <w:r>
              <w:rPr>
                <w:rFonts w:hint="eastAsia" w:ascii="宋体" w:cs="宋体"/>
                <w:kern w:val="0"/>
                <w:u w:val="single"/>
              </w:rPr>
              <w:t xml:space="preserve">00 </w:t>
            </w:r>
            <w:r>
              <w:rPr>
                <w:rFonts w:hint="eastAsia" w:ascii="宋体" w:hAnsi="宋体" w:cs="宋体"/>
                <w:kern w:val="0"/>
              </w:rPr>
              <w:t>分</w:t>
            </w:r>
          </w:p>
          <w:p>
            <w:pPr>
              <w:spacing w:line="300" w:lineRule="exact"/>
              <w:ind w:left="1050" w:hanging="1050" w:hangingChars="500"/>
              <w:rPr>
                <w:rFonts w:ascii="宋体"/>
                <w:kern w:val="0"/>
              </w:rPr>
            </w:pPr>
            <w:r>
              <w:rPr>
                <w:rFonts w:hint="eastAsia" w:ascii="宋体" w:hAnsi="宋体" w:cs="宋体"/>
                <w:kern w:val="0"/>
              </w:rPr>
              <w:t>投标文件第二个信封（报价文件）</w:t>
            </w:r>
          </w:p>
          <w:p>
            <w:pPr>
              <w:spacing w:line="300" w:lineRule="exact"/>
              <w:ind w:left="1050" w:hanging="1050" w:hangingChars="500"/>
              <w:rPr>
                <w:rFonts w:ascii="宋体" w:cs="宋体"/>
                <w:kern w:val="0"/>
                <w:szCs w:val="21"/>
              </w:rPr>
            </w:pPr>
            <w:r>
              <w:rPr>
                <w:rFonts w:hint="eastAsia" w:ascii="宋体" w:hAnsi="宋体" w:cs="宋体"/>
                <w:kern w:val="0"/>
              </w:rPr>
              <w:t>开标地点：同递交投标文件地点</w:t>
            </w:r>
          </w:p>
        </w:tc>
      </w:tr>
    </w:tbl>
    <w:p>
      <w:pPr>
        <w:jc w:val="right"/>
      </w:pPr>
      <w:r>
        <w:rPr>
          <w:rFonts w:ascii="宋体" w:hAnsi="宋体" w:cs="宋体"/>
        </w:rPr>
        <w:t xml:space="preserve"> </w:t>
      </w:r>
      <w:r>
        <w:rPr>
          <w:rFonts w:ascii="宋体" w:hAnsi="宋体" w:cs="宋体"/>
        </w:rPr>
        <w:br w:type="page"/>
      </w:r>
      <w:r>
        <w:rPr>
          <w:rFonts w:hint="eastAsia"/>
        </w:rPr>
        <w:t>续上表</w:t>
      </w:r>
    </w:p>
    <w:tbl>
      <w:tblPr>
        <w:tblStyle w:val="38"/>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2858"/>
        <w:gridCol w:w="5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936"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2858"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5528"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6" w:hRule="atLeast"/>
        </w:trPr>
        <w:tc>
          <w:tcPr>
            <w:tcW w:w="936" w:type="dxa"/>
            <w:vAlign w:val="center"/>
          </w:tcPr>
          <w:p>
            <w:pPr>
              <w:snapToGrid w:val="0"/>
              <w:spacing w:line="300" w:lineRule="auto"/>
              <w:jc w:val="center"/>
              <w:rPr>
                <w:rFonts w:ascii="宋体" w:hAnsi="宋体" w:cs="宋体"/>
              </w:rPr>
            </w:pPr>
            <w:r>
              <w:rPr>
                <w:rFonts w:hint="eastAsia" w:ascii="宋体" w:hAnsi="宋体" w:cs="宋体"/>
              </w:rPr>
              <w:t>5.2.1</w:t>
            </w:r>
          </w:p>
        </w:tc>
        <w:tc>
          <w:tcPr>
            <w:tcW w:w="2858" w:type="dxa"/>
            <w:vAlign w:val="center"/>
          </w:tcPr>
          <w:p>
            <w:pPr>
              <w:snapToGrid w:val="0"/>
              <w:spacing w:line="300" w:lineRule="auto"/>
              <w:jc w:val="center"/>
              <w:rPr>
                <w:rFonts w:ascii="宋体" w:hAnsi="宋体" w:cs="宋体"/>
              </w:rPr>
            </w:pPr>
            <w:r>
              <w:rPr>
                <w:rFonts w:hint="eastAsia" w:ascii="宋体" w:hAnsi="宋体" w:cs="宋体"/>
              </w:rPr>
              <w:t>第一个信封（商务及技术文件）开标程序</w:t>
            </w:r>
          </w:p>
        </w:tc>
        <w:tc>
          <w:tcPr>
            <w:tcW w:w="5528" w:type="dxa"/>
            <w:vAlign w:val="center"/>
          </w:tcPr>
          <w:p>
            <w:pPr>
              <w:snapToGrid w:val="0"/>
              <w:spacing w:line="300" w:lineRule="auto"/>
              <w:rPr>
                <w:rFonts w:ascii="宋体" w:hAnsi="宋体" w:cs="宋体"/>
              </w:rPr>
            </w:pPr>
            <w:r>
              <w:rPr>
                <w:rFonts w:hint="eastAsia" w:ascii="宋体" w:hAnsi="宋体" w:cs="宋体"/>
              </w:rPr>
              <w:t>密封情况检查：</w:t>
            </w:r>
            <w:r>
              <w:rPr>
                <w:rFonts w:hint="eastAsia" w:ascii="宋体" w:hAnsi="宋体" w:cs="宋体"/>
                <w:u w:val="single"/>
              </w:rPr>
              <w:t>检查商务及技术文件是否存在提前开启情况</w:t>
            </w:r>
          </w:p>
          <w:p>
            <w:pPr>
              <w:snapToGrid w:val="0"/>
              <w:spacing w:line="300" w:lineRule="auto"/>
              <w:rPr>
                <w:rFonts w:ascii="宋体" w:hAnsi="宋体" w:cs="宋体"/>
              </w:rPr>
            </w:pPr>
            <w:r>
              <w:rPr>
                <w:rFonts w:hint="eastAsia" w:ascii="宋体" w:hAnsi="宋体" w:cs="宋体"/>
              </w:rPr>
              <w:t>开标顺序：</w:t>
            </w:r>
            <w:r>
              <w:rPr>
                <w:rFonts w:hint="eastAsia" w:ascii="宋体" w:hAnsi="宋体" w:cs="宋体"/>
                <w:u w:val="single"/>
              </w:rPr>
              <w:t xml:space="preserve"> 随机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1" w:hRule="atLeast"/>
        </w:trPr>
        <w:tc>
          <w:tcPr>
            <w:tcW w:w="936" w:type="dxa"/>
            <w:vAlign w:val="center"/>
          </w:tcPr>
          <w:p>
            <w:pPr>
              <w:snapToGrid w:val="0"/>
              <w:spacing w:line="300" w:lineRule="auto"/>
              <w:jc w:val="center"/>
              <w:rPr>
                <w:rFonts w:ascii="宋体" w:hAnsi="宋体" w:cs="宋体"/>
              </w:rPr>
            </w:pPr>
            <w:r>
              <w:rPr>
                <w:rFonts w:hint="eastAsia" w:ascii="宋体" w:hAnsi="宋体" w:cs="宋体"/>
              </w:rPr>
              <w:t>5.2.3</w:t>
            </w:r>
          </w:p>
        </w:tc>
        <w:tc>
          <w:tcPr>
            <w:tcW w:w="2858" w:type="dxa"/>
            <w:vAlign w:val="center"/>
          </w:tcPr>
          <w:p>
            <w:pPr>
              <w:snapToGrid w:val="0"/>
              <w:spacing w:line="300" w:lineRule="auto"/>
              <w:jc w:val="center"/>
              <w:rPr>
                <w:rFonts w:ascii="宋体" w:hAnsi="宋体" w:cs="宋体"/>
              </w:rPr>
            </w:pPr>
            <w:r>
              <w:rPr>
                <w:rFonts w:hint="eastAsia" w:ascii="宋体" w:hAnsi="宋体" w:cs="宋体"/>
              </w:rPr>
              <w:t>第二个信封（报价文件）开标程序</w:t>
            </w:r>
          </w:p>
        </w:tc>
        <w:tc>
          <w:tcPr>
            <w:tcW w:w="5528" w:type="dxa"/>
            <w:vAlign w:val="center"/>
          </w:tcPr>
          <w:p>
            <w:pPr>
              <w:snapToGrid w:val="0"/>
              <w:spacing w:line="300" w:lineRule="auto"/>
              <w:rPr>
                <w:rFonts w:ascii="宋体" w:hAnsi="宋体" w:cs="宋体"/>
              </w:rPr>
            </w:pPr>
            <w:r>
              <w:rPr>
                <w:rFonts w:hint="eastAsia" w:ascii="宋体" w:hAnsi="宋体" w:cs="宋体"/>
              </w:rPr>
              <w:t>密封情况检查：</w:t>
            </w:r>
            <w:r>
              <w:rPr>
                <w:rFonts w:hint="eastAsia" w:ascii="宋体" w:hAnsi="宋体" w:cs="宋体"/>
                <w:u w:val="single"/>
              </w:rPr>
              <w:t>检查报价文件是否存在提前开启情况</w:t>
            </w:r>
          </w:p>
          <w:p>
            <w:pPr>
              <w:snapToGrid w:val="0"/>
              <w:spacing w:line="300" w:lineRule="auto"/>
              <w:rPr>
                <w:rFonts w:ascii="宋体" w:hAnsi="宋体" w:cs="宋体"/>
              </w:rPr>
            </w:pPr>
            <w:r>
              <w:rPr>
                <w:rFonts w:hint="eastAsia" w:ascii="宋体" w:hAnsi="宋体" w:cs="宋体"/>
              </w:rPr>
              <w:t>开标顺序：</w:t>
            </w:r>
            <w:r>
              <w:rPr>
                <w:rFonts w:hint="eastAsia" w:ascii="宋体" w:hAnsi="宋体" w:cs="宋体"/>
                <w:u w:val="single"/>
              </w:rPr>
              <w:t xml:space="preserve"> 随机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3"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6.1.1</w:t>
            </w:r>
          </w:p>
        </w:tc>
        <w:tc>
          <w:tcPr>
            <w:tcW w:w="2858" w:type="dxa"/>
            <w:vAlign w:val="center"/>
          </w:tcPr>
          <w:p>
            <w:pPr>
              <w:snapToGrid w:val="0"/>
              <w:jc w:val="center"/>
              <w:rPr>
                <w:rFonts w:ascii="宋体" w:hAnsi="宋体" w:cs="宋体"/>
                <w:szCs w:val="21"/>
              </w:rPr>
            </w:pPr>
            <w:r>
              <w:rPr>
                <w:rFonts w:hint="eastAsia" w:ascii="宋体" w:hAnsi="宋体" w:cs="宋体"/>
                <w:szCs w:val="21"/>
              </w:rPr>
              <w:t>评标委员会的组建</w:t>
            </w:r>
          </w:p>
        </w:tc>
        <w:tc>
          <w:tcPr>
            <w:tcW w:w="5528" w:type="dxa"/>
            <w:vAlign w:val="center"/>
          </w:tcPr>
          <w:p>
            <w:pPr>
              <w:adjustRightInd w:val="0"/>
              <w:snapToGrid w:val="0"/>
              <w:ind w:left="-2"/>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lang w:val="en-US" w:eastAsia="zh-CN"/>
              </w:rPr>
              <w:t>7</w:t>
            </w:r>
            <w:r>
              <w:rPr>
                <w:rFonts w:hint="eastAsia" w:ascii="宋体" w:hAnsi="宋体" w:cs="宋体"/>
                <w:szCs w:val="21"/>
              </w:rPr>
              <w:t>人，其中招标人代表</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rPr>
              <w:t>人，专家</w:t>
            </w:r>
            <w:r>
              <w:rPr>
                <w:rFonts w:hint="eastAsia" w:ascii="宋体" w:hAnsi="宋体" w:cs="宋体"/>
                <w:szCs w:val="21"/>
                <w:u w:val="single"/>
                <w:lang w:val="en-US" w:eastAsia="zh-CN"/>
              </w:rPr>
              <w:t>5</w:t>
            </w:r>
            <w:r>
              <w:rPr>
                <w:rFonts w:hint="eastAsia" w:ascii="宋体" w:hAnsi="宋体" w:cs="宋体"/>
                <w:szCs w:val="21"/>
              </w:rPr>
              <w:t>人；</w:t>
            </w:r>
          </w:p>
          <w:p>
            <w:pPr>
              <w:adjustRightInd w:val="0"/>
              <w:snapToGrid w:val="0"/>
              <w:ind w:left="-2"/>
              <w:rPr>
                <w:rFonts w:ascii="宋体" w:hAnsi="宋体" w:cs="宋体"/>
                <w:kern w:val="0"/>
                <w:szCs w:val="21"/>
              </w:rPr>
            </w:pPr>
            <w:r>
              <w:rPr>
                <w:rFonts w:hint="eastAsia" w:ascii="宋体" w:hAnsi="宋体" w:cs="宋体"/>
                <w:szCs w:val="21"/>
              </w:rPr>
              <w:t>评标专家确定方式：</w:t>
            </w:r>
            <w:r>
              <w:rPr>
                <w:rFonts w:hint="eastAsia" w:ascii="宋体" w:hAnsi="宋体" w:cs="宋体"/>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936" w:type="dxa"/>
            <w:vAlign w:val="center"/>
          </w:tcPr>
          <w:p>
            <w:pPr>
              <w:snapToGrid w:val="0"/>
              <w:spacing w:line="300" w:lineRule="auto"/>
              <w:jc w:val="center"/>
              <w:rPr>
                <w:rFonts w:ascii="宋体" w:hAnsi="宋体" w:cs="宋体"/>
              </w:rPr>
            </w:pPr>
            <w:r>
              <w:rPr>
                <w:rFonts w:hint="eastAsia" w:ascii="宋体" w:hAnsi="宋体" w:cs="宋体"/>
              </w:rPr>
              <w:t>6.3.2</w:t>
            </w:r>
          </w:p>
        </w:tc>
        <w:tc>
          <w:tcPr>
            <w:tcW w:w="2858" w:type="dxa"/>
            <w:vAlign w:val="center"/>
          </w:tcPr>
          <w:p>
            <w:pPr>
              <w:snapToGrid w:val="0"/>
              <w:spacing w:line="300" w:lineRule="auto"/>
              <w:jc w:val="center"/>
              <w:rPr>
                <w:rFonts w:ascii="宋体" w:hAnsi="宋体" w:cs="宋体"/>
              </w:rPr>
            </w:pPr>
            <w:r>
              <w:rPr>
                <w:rFonts w:hint="eastAsia" w:ascii="宋体" w:hAnsi="宋体" w:cs="宋体"/>
              </w:rPr>
              <w:t>评标委员会推荐中标候选人的人数</w:t>
            </w:r>
          </w:p>
        </w:tc>
        <w:tc>
          <w:tcPr>
            <w:tcW w:w="5528" w:type="dxa"/>
            <w:vAlign w:val="center"/>
          </w:tcPr>
          <w:p>
            <w:pPr>
              <w:rPr>
                <w:rFonts w:ascii="宋体" w:hAnsi="宋体"/>
              </w:rPr>
            </w:pPr>
            <w:r>
              <w:rPr>
                <w:rFonts w:hint="eastAsia" w:ascii="宋体" w:hAnsi="宋体"/>
              </w:rPr>
              <w:t>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936" w:type="dxa"/>
            <w:vAlign w:val="center"/>
          </w:tcPr>
          <w:p>
            <w:pPr>
              <w:snapToGrid w:val="0"/>
              <w:spacing w:line="300" w:lineRule="auto"/>
              <w:jc w:val="center"/>
              <w:rPr>
                <w:rFonts w:ascii="宋体" w:hAnsi="宋体" w:cs="宋体"/>
              </w:rPr>
            </w:pPr>
            <w:r>
              <w:rPr>
                <w:rFonts w:hint="eastAsia" w:ascii="宋体" w:hAnsi="宋体" w:cs="宋体"/>
              </w:rPr>
              <w:t>7.1</w:t>
            </w:r>
          </w:p>
        </w:tc>
        <w:tc>
          <w:tcPr>
            <w:tcW w:w="2858" w:type="dxa"/>
            <w:vAlign w:val="center"/>
          </w:tcPr>
          <w:p>
            <w:pPr>
              <w:snapToGrid w:val="0"/>
              <w:spacing w:line="300" w:lineRule="auto"/>
              <w:jc w:val="center"/>
              <w:rPr>
                <w:rFonts w:ascii="宋体" w:hAnsi="宋体" w:cs="宋体"/>
              </w:rPr>
            </w:pPr>
            <w:r>
              <w:rPr>
                <w:rFonts w:hint="eastAsia" w:ascii="宋体" w:hAnsi="宋体" w:cs="宋体"/>
              </w:rPr>
              <w:t>中标候选人公示媒介及期限</w:t>
            </w:r>
          </w:p>
        </w:tc>
        <w:tc>
          <w:tcPr>
            <w:tcW w:w="5528" w:type="dxa"/>
            <w:vAlign w:val="center"/>
          </w:tcPr>
          <w:p>
            <w:pPr>
              <w:snapToGrid w:val="0"/>
              <w:spacing w:line="260" w:lineRule="exact"/>
              <w:jc w:val="left"/>
              <w:rPr>
                <w:rFonts w:hint="eastAsia" w:ascii="宋体" w:hAnsi="宋体" w:eastAsia="宋体" w:cs="宋体"/>
                <w:szCs w:val="21"/>
                <w:lang w:eastAsia="zh-CN"/>
              </w:rPr>
            </w:pPr>
            <w:r>
              <w:rPr>
                <w:rFonts w:hint="eastAsia" w:ascii="宋体" w:hAnsi="宋体" w:cs="宋体"/>
                <w:bCs/>
                <w:kern w:val="0"/>
              </w:rPr>
              <w:t>公示媒介：</w:t>
            </w:r>
            <w:r>
              <w:rPr>
                <w:rFonts w:hint="eastAsia" w:hAnsi="宋体"/>
                <w:szCs w:val="21"/>
                <w:lang w:eastAsia="zh-CN"/>
              </w:rPr>
              <w:t>天津市公共资源交易网及天津市滨海新区交通运输局官网</w:t>
            </w:r>
          </w:p>
          <w:p>
            <w:pPr>
              <w:snapToGrid w:val="0"/>
              <w:spacing w:line="260" w:lineRule="exact"/>
              <w:jc w:val="left"/>
              <w:rPr>
                <w:rFonts w:ascii="宋体" w:hAnsi="宋体" w:cs="宋体"/>
                <w:bCs/>
                <w:kern w:val="0"/>
              </w:rPr>
            </w:pPr>
            <w:r>
              <w:rPr>
                <w:rFonts w:hint="eastAsia" w:ascii="宋体" w:hAnsi="宋体" w:cs="宋体"/>
                <w:bCs/>
                <w:kern w:val="0"/>
              </w:rPr>
              <w:t>公示期限：</w:t>
            </w:r>
            <w:r>
              <w:rPr>
                <w:rFonts w:hint="eastAsia" w:ascii="宋体" w:hAnsi="宋体" w:cs="宋体"/>
                <w:bCs/>
                <w:kern w:val="0"/>
                <w:u w:val="single"/>
              </w:rPr>
              <w:t xml:space="preserve">  3  </w:t>
            </w:r>
            <w:r>
              <w:rPr>
                <w:rFonts w:hint="eastAsia" w:ascii="宋体" w:hAnsi="宋体" w:cs="宋体"/>
                <w:bCs/>
                <w:kern w:val="0"/>
              </w:rPr>
              <w:t>日</w:t>
            </w:r>
          </w:p>
          <w:p>
            <w:pPr>
              <w:snapToGrid w:val="0"/>
              <w:spacing w:line="260" w:lineRule="exact"/>
              <w:jc w:val="left"/>
              <w:rPr>
                <w:rFonts w:ascii="宋体" w:hAnsi="宋体" w:cs="宋体"/>
                <w:b/>
                <w:kern w:val="0"/>
              </w:rPr>
            </w:pPr>
            <w:r>
              <w:rPr>
                <w:rFonts w:hint="eastAsia" w:ascii="宋体" w:hAnsi="宋体" w:cs="宋体"/>
                <w:bCs/>
                <w:kern w:val="0"/>
              </w:rPr>
              <w:t>公示的其他内容：</w:t>
            </w:r>
            <w:r>
              <w:rPr>
                <w:rFonts w:hint="eastAsia" w:ascii="宋体" w:hAnsi="宋体" w:cs="宋体"/>
                <w:b/>
                <w:kern w:val="0"/>
                <w:u w:val="single"/>
              </w:rPr>
              <w:t xml:space="preserve"> </w:t>
            </w:r>
            <w:r>
              <w:rPr>
                <w:rFonts w:hint="eastAsia" w:ascii="宋体" w:hAnsi="宋体" w:cs="宋体"/>
                <w:u w:val="single"/>
              </w:rPr>
              <w:t>无</w:t>
            </w:r>
            <w:r>
              <w:rPr>
                <w:rFonts w:hint="eastAsia" w:ascii="宋体" w:hAnsi="宋体" w:cs="宋体"/>
                <w:b/>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7.4</w:t>
            </w:r>
          </w:p>
        </w:tc>
        <w:tc>
          <w:tcPr>
            <w:tcW w:w="2858" w:type="dxa"/>
            <w:vAlign w:val="center"/>
          </w:tcPr>
          <w:p>
            <w:pPr>
              <w:snapToGrid w:val="0"/>
              <w:jc w:val="center"/>
              <w:rPr>
                <w:rFonts w:ascii="宋体" w:hAnsi="宋体" w:cs="宋体"/>
                <w:szCs w:val="21"/>
              </w:rPr>
            </w:pPr>
            <w:r>
              <w:rPr>
                <w:rFonts w:hint="eastAsia" w:ascii="宋体" w:hAnsi="宋体" w:cs="宋体"/>
                <w:szCs w:val="21"/>
              </w:rPr>
              <w:t>是否授权评标委员会确定</w:t>
            </w:r>
          </w:p>
          <w:p>
            <w:pPr>
              <w:snapToGrid w:val="0"/>
              <w:jc w:val="center"/>
              <w:rPr>
                <w:rFonts w:ascii="宋体" w:hAnsi="宋体" w:cs="宋体"/>
                <w:szCs w:val="21"/>
              </w:rPr>
            </w:pPr>
            <w:r>
              <w:rPr>
                <w:rFonts w:hint="eastAsia" w:ascii="宋体" w:hAnsi="宋体" w:cs="宋体"/>
                <w:szCs w:val="21"/>
              </w:rPr>
              <w:t>中标人</w:t>
            </w:r>
          </w:p>
        </w:tc>
        <w:tc>
          <w:tcPr>
            <w:tcW w:w="5528" w:type="dxa"/>
            <w:vAlign w:val="center"/>
          </w:tcPr>
          <w:p>
            <w:pPr>
              <w:snapToGrid w:val="0"/>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p>
          <w:p>
            <w:pPr>
              <w:rPr>
                <w:rFonts w:ascii="宋体" w:hAnsi="宋体" w:cs="宋体"/>
                <w:kern w:val="0"/>
                <w:szCs w:val="21"/>
              </w:rPr>
            </w:pPr>
            <w:r>
              <w:rPr>
                <w:rFonts w:hint="eastAsia" w:ascii="宋体" w:cs="宋体"/>
                <w:kern w:val="0"/>
                <w:szCs w:val="21"/>
              </w:rPr>
              <w:sym w:font="Wingdings" w:char="00A8"/>
            </w: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7.5</w:t>
            </w:r>
          </w:p>
        </w:tc>
        <w:tc>
          <w:tcPr>
            <w:tcW w:w="2858" w:type="dxa"/>
            <w:vAlign w:val="center"/>
          </w:tcPr>
          <w:p>
            <w:pPr>
              <w:snapToGrid w:val="0"/>
              <w:jc w:val="center"/>
              <w:rPr>
                <w:rFonts w:ascii="宋体" w:hAnsi="宋体" w:cs="宋体"/>
                <w:szCs w:val="21"/>
              </w:rPr>
            </w:pPr>
            <w:r>
              <w:rPr>
                <w:rFonts w:hint="eastAsia" w:ascii="宋体" w:hAnsi="宋体" w:cs="宋体"/>
                <w:szCs w:val="21"/>
              </w:rPr>
              <w:t>中标通知书和中标结果通知发出的形式</w:t>
            </w:r>
          </w:p>
        </w:tc>
        <w:tc>
          <w:tcPr>
            <w:tcW w:w="5528" w:type="dxa"/>
            <w:vAlign w:val="center"/>
          </w:tcPr>
          <w:p>
            <w:pPr>
              <w:snapToGrid w:val="0"/>
              <w:rPr>
                <w:rFonts w:ascii="宋体" w:hAnsi="宋体" w:cs="宋体"/>
                <w:szCs w:val="21"/>
              </w:rPr>
            </w:pPr>
            <w:r>
              <w:rPr>
                <w:rFonts w:hint="eastAsia" w:ascii="宋体" w:hAnsi="宋体" w:cs="宋体"/>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2" w:hRule="atLeast"/>
        </w:trPr>
        <w:tc>
          <w:tcPr>
            <w:tcW w:w="936" w:type="dxa"/>
            <w:vAlign w:val="center"/>
          </w:tcPr>
          <w:p>
            <w:pPr>
              <w:snapToGrid w:val="0"/>
              <w:spacing w:line="300" w:lineRule="auto"/>
              <w:jc w:val="center"/>
              <w:rPr>
                <w:rFonts w:ascii="宋体" w:hAnsi="宋体" w:cs="宋体"/>
              </w:rPr>
            </w:pPr>
            <w:r>
              <w:rPr>
                <w:rFonts w:hint="eastAsia" w:ascii="宋体" w:hAnsi="宋体" w:cs="宋体"/>
              </w:rPr>
              <w:t>7.6</w:t>
            </w:r>
          </w:p>
        </w:tc>
        <w:tc>
          <w:tcPr>
            <w:tcW w:w="2858" w:type="dxa"/>
            <w:vAlign w:val="center"/>
          </w:tcPr>
          <w:p>
            <w:pPr>
              <w:snapToGrid w:val="0"/>
              <w:spacing w:line="300" w:lineRule="auto"/>
              <w:jc w:val="center"/>
              <w:rPr>
                <w:rFonts w:ascii="宋体" w:hAnsi="宋体" w:cs="宋体"/>
              </w:rPr>
            </w:pPr>
            <w:r>
              <w:rPr>
                <w:rFonts w:hint="eastAsia" w:ascii="宋体" w:hAnsi="宋体" w:cs="宋体"/>
              </w:rPr>
              <w:t>中标结果公告媒介及期限</w:t>
            </w:r>
          </w:p>
        </w:tc>
        <w:tc>
          <w:tcPr>
            <w:tcW w:w="5528" w:type="dxa"/>
            <w:vAlign w:val="center"/>
          </w:tcPr>
          <w:p>
            <w:pPr>
              <w:snapToGrid w:val="0"/>
              <w:spacing w:line="260" w:lineRule="exact"/>
              <w:jc w:val="left"/>
              <w:rPr>
                <w:rFonts w:hint="eastAsia" w:ascii="宋体" w:hAnsi="宋体" w:eastAsia="宋体" w:cs="宋体"/>
                <w:bCs/>
                <w:kern w:val="0"/>
                <w:lang w:eastAsia="zh-CN"/>
              </w:rPr>
            </w:pPr>
            <w:r>
              <w:rPr>
                <w:rFonts w:hint="eastAsia" w:ascii="宋体" w:hAnsi="宋体" w:cs="宋体"/>
                <w:bCs/>
                <w:kern w:val="0"/>
              </w:rPr>
              <w:t>公告媒介：</w:t>
            </w:r>
            <w:r>
              <w:rPr>
                <w:rFonts w:hint="eastAsia" w:ascii="宋体" w:hAnsi="宋体" w:cs="宋体"/>
                <w:bCs/>
                <w:kern w:val="0"/>
                <w:szCs w:val="24"/>
                <w:lang w:eastAsia="zh-CN"/>
              </w:rPr>
              <w:t>天津市公共资源交易网及天津市滨海新区交通运输局官网</w:t>
            </w:r>
          </w:p>
          <w:p>
            <w:pPr>
              <w:snapToGrid w:val="0"/>
              <w:spacing w:line="260" w:lineRule="exact"/>
              <w:jc w:val="left"/>
              <w:rPr>
                <w:rFonts w:ascii="宋体" w:hAnsi="宋体" w:cs="宋体"/>
              </w:rPr>
            </w:pPr>
            <w:r>
              <w:rPr>
                <w:rFonts w:hint="eastAsia" w:ascii="宋体" w:hAnsi="宋体" w:cs="宋体"/>
                <w:bCs/>
                <w:kern w:val="0"/>
              </w:rPr>
              <w:t>公告期限：</w:t>
            </w:r>
            <w:r>
              <w:rPr>
                <w:rFonts w:hint="eastAsia" w:ascii="宋体" w:hAnsi="宋体" w:cs="宋体"/>
                <w:bCs/>
                <w:kern w:val="0"/>
                <w:u w:val="single"/>
              </w:rPr>
              <w:t xml:space="preserve">  3  </w:t>
            </w:r>
            <w:r>
              <w:rPr>
                <w:rFonts w:hint="eastAsia" w:ascii="宋体" w:hAnsi="宋体" w:cs="宋体"/>
                <w:bCs/>
                <w:kern w:val="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3" w:hRule="atLeast"/>
        </w:trPr>
        <w:tc>
          <w:tcPr>
            <w:tcW w:w="936" w:type="dxa"/>
            <w:vAlign w:val="center"/>
          </w:tcPr>
          <w:p>
            <w:pPr>
              <w:snapToGrid w:val="0"/>
              <w:spacing w:line="280" w:lineRule="exact"/>
              <w:jc w:val="center"/>
              <w:rPr>
                <w:rFonts w:ascii="宋体" w:hAnsi="宋体" w:cs="宋体"/>
                <w:szCs w:val="21"/>
              </w:rPr>
            </w:pPr>
            <w:r>
              <w:rPr>
                <w:rFonts w:hint="eastAsia" w:ascii="宋体" w:hAnsi="宋体" w:cs="宋体"/>
                <w:szCs w:val="21"/>
              </w:rPr>
              <w:t>7.7.1</w:t>
            </w:r>
          </w:p>
        </w:tc>
        <w:tc>
          <w:tcPr>
            <w:tcW w:w="2858" w:type="dxa"/>
            <w:vAlign w:val="center"/>
          </w:tcPr>
          <w:p>
            <w:pPr>
              <w:snapToGrid w:val="0"/>
              <w:spacing w:line="280" w:lineRule="exact"/>
              <w:jc w:val="center"/>
              <w:rPr>
                <w:rFonts w:ascii="宋体" w:hAnsi="宋体" w:cs="宋体"/>
                <w:szCs w:val="21"/>
              </w:rPr>
            </w:pPr>
            <w:r>
              <w:rPr>
                <w:rFonts w:hint="eastAsia" w:ascii="宋体" w:hAnsi="宋体" w:cs="宋体"/>
              </w:rPr>
              <w:t>履约保证金</w:t>
            </w:r>
          </w:p>
        </w:tc>
        <w:tc>
          <w:tcPr>
            <w:tcW w:w="5528" w:type="dxa"/>
            <w:vAlign w:val="center"/>
          </w:tcPr>
          <w:p>
            <w:pPr>
              <w:snapToGrid w:val="0"/>
              <w:spacing w:line="280" w:lineRule="exact"/>
              <w:jc w:val="distribute"/>
              <w:rPr>
                <w:rFonts w:ascii="宋体" w:hAnsi="宋体" w:cs="宋体"/>
              </w:rPr>
            </w:pPr>
            <w:r>
              <w:rPr>
                <w:rFonts w:hint="eastAsia" w:ascii="宋体" w:hAnsi="宋体" w:cs="宋体"/>
              </w:rPr>
              <w:t>是否要求中标人提交履约保证金：</w:t>
            </w:r>
          </w:p>
          <w:p>
            <w:pPr>
              <w:snapToGrid w:val="0"/>
              <w:spacing w:line="280" w:lineRule="exact"/>
              <w:rPr>
                <w:rFonts w:ascii="宋体" w:hAnsi="宋体" w:cs="宋体"/>
              </w:rPr>
            </w:pPr>
            <w:r>
              <w:rPr>
                <w:rFonts w:hint="eastAsia" w:ascii="宋体" w:cs="宋体"/>
                <w:kern w:val="0"/>
                <w:szCs w:val="21"/>
              </w:rPr>
              <w:sym w:font="Wingdings" w:char="F0FE"/>
            </w:r>
            <w:r>
              <w:rPr>
                <w:rFonts w:hint="eastAsia" w:ascii="宋体" w:hAnsi="宋体" w:cs="宋体"/>
              </w:rPr>
              <w:t xml:space="preserve">要求，履约保证金的形式：银行保函或现金、支票形式      </w:t>
            </w:r>
          </w:p>
          <w:p>
            <w:pPr>
              <w:spacing w:line="280" w:lineRule="exact"/>
              <w:rPr>
                <w:rFonts w:ascii="宋体" w:hAnsi="宋体" w:cs="宋体"/>
              </w:rPr>
            </w:pPr>
            <w:r>
              <w:rPr>
                <w:rFonts w:hint="eastAsia" w:ascii="宋体" w:hAnsi="宋体" w:cs="宋体"/>
              </w:rPr>
              <w:t>履约保证金的金额：</w:t>
            </w:r>
            <w:r>
              <w:rPr>
                <w:rFonts w:hint="eastAsia" w:ascii="宋体" w:hAnsi="宋体" w:cs="宋体"/>
                <w:u w:val="single"/>
              </w:rPr>
              <w:t xml:space="preserve"> 5 </w:t>
            </w:r>
            <w:r>
              <w:rPr>
                <w:rFonts w:hint="eastAsia" w:ascii="宋体" w:hAnsi="宋体" w:cs="宋体"/>
              </w:rPr>
              <w:t>%签约合同价，被招标项目所在地省级交通主管部门评为</w:t>
            </w:r>
            <w:r>
              <w:rPr>
                <w:rFonts w:hint="eastAsia" w:ascii="宋体" w:hAnsi="宋体" w:cs="宋体"/>
                <w:u w:val="single"/>
              </w:rPr>
              <w:t xml:space="preserve"> / </w:t>
            </w:r>
            <w:r>
              <w:rPr>
                <w:rFonts w:hint="eastAsia" w:ascii="宋体" w:hAnsi="宋体" w:cs="宋体"/>
              </w:rPr>
              <w:t>信用等级的中标人，履约保证金金额为</w:t>
            </w:r>
            <w:r>
              <w:rPr>
                <w:rFonts w:hint="eastAsia" w:ascii="宋体" w:hAnsi="宋体" w:cs="宋体"/>
                <w:u w:val="single"/>
              </w:rPr>
              <w:t xml:space="preserve"> / </w:t>
            </w:r>
            <w:r>
              <w:rPr>
                <w:rFonts w:hint="eastAsia" w:ascii="宋体" w:hAnsi="宋体" w:cs="宋体"/>
              </w:rPr>
              <w:t>%签约合同价。</w:t>
            </w:r>
          </w:p>
          <w:p>
            <w:pPr>
              <w:spacing w:line="280" w:lineRule="exact"/>
              <w:rPr>
                <w:rFonts w:ascii="宋体" w:hAnsi="宋体" w:cs="宋体"/>
              </w:rPr>
            </w:pPr>
            <w:r>
              <w:rPr>
                <w:rFonts w:hint="eastAsia" w:ascii="宋体" w:hAnsi="宋体" w:cs="宋体"/>
              </w:rPr>
              <w:t xml:space="preserve">  采用银行保函时，出具保函的的银行级别：</w:t>
            </w:r>
            <w:r>
              <w:rPr>
                <w:rFonts w:hint="eastAsia" w:ascii="宋体" w:hAnsi="宋体" w:cs="宋体"/>
                <w:u w:val="single"/>
              </w:rPr>
              <w:t xml:space="preserve">  支行及以上  </w:t>
            </w:r>
          </w:p>
          <w:p>
            <w:pPr>
              <w:snapToGrid w:val="0"/>
              <w:spacing w:line="280" w:lineRule="exact"/>
              <w:rPr>
                <w:rFonts w:ascii="宋体" w:hAnsi="宋体" w:cs="宋体"/>
                <w:u w:val="single"/>
              </w:rPr>
            </w:pPr>
            <w:r>
              <w:rPr>
                <w:rFonts w:hint="eastAsia" w:ascii="宋体" w:hAnsi="宋体" w:cs="宋体"/>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5" w:hRule="atLeast"/>
        </w:trPr>
        <w:tc>
          <w:tcPr>
            <w:tcW w:w="936" w:type="dxa"/>
            <w:vAlign w:val="center"/>
          </w:tcPr>
          <w:p>
            <w:pPr>
              <w:adjustRightInd w:val="0"/>
              <w:snapToGrid w:val="0"/>
              <w:spacing w:line="280" w:lineRule="exact"/>
              <w:jc w:val="center"/>
              <w:rPr>
                <w:rFonts w:ascii="宋体" w:hAnsi="宋体"/>
                <w:szCs w:val="21"/>
              </w:rPr>
            </w:pPr>
            <w:r>
              <w:rPr>
                <w:rFonts w:hint="eastAsia" w:ascii="宋体" w:hAnsi="宋体" w:cs="宋体"/>
              </w:rPr>
              <w:t>8.5.1</w:t>
            </w:r>
          </w:p>
        </w:tc>
        <w:tc>
          <w:tcPr>
            <w:tcW w:w="2858" w:type="dxa"/>
            <w:vAlign w:val="center"/>
          </w:tcPr>
          <w:p>
            <w:pPr>
              <w:adjustRightInd w:val="0"/>
              <w:snapToGrid w:val="0"/>
              <w:spacing w:line="280" w:lineRule="exact"/>
              <w:ind w:right="482"/>
              <w:jc w:val="center"/>
              <w:rPr>
                <w:rFonts w:ascii="宋体" w:hAnsi="宋体"/>
                <w:szCs w:val="21"/>
              </w:rPr>
            </w:pPr>
            <w:r>
              <w:rPr>
                <w:rFonts w:hint="eastAsia" w:ascii="宋体" w:hAnsi="宋体"/>
                <w:szCs w:val="21"/>
              </w:rPr>
              <w:t>监督部门</w:t>
            </w:r>
          </w:p>
        </w:tc>
        <w:tc>
          <w:tcPr>
            <w:tcW w:w="5528" w:type="dxa"/>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监督部门：</w:t>
            </w:r>
            <w:r>
              <w:rPr>
                <w:rFonts w:hint="eastAsia" w:ascii="宋体" w:hAnsi="宋体"/>
                <w:szCs w:val="21"/>
                <w:u w:val="single"/>
                <w:lang w:val="en-US" w:eastAsia="zh-CN"/>
              </w:rPr>
              <w:t>天津市滨海新区交通运输局</w:t>
            </w:r>
            <w:r>
              <w:rPr>
                <w:rFonts w:hint="eastAsia" w:ascii="宋体" w:hAnsi="宋体" w:cs="宋体"/>
                <w:kern w:val="0"/>
                <w:szCs w:val="21"/>
                <w:u w:val="single"/>
              </w:rPr>
              <w:t xml:space="preserve">   </w:t>
            </w:r>
          </w:p>
          <w:p>
            <w:pPr>
              <w:autoSpaceDE w:val="0"/>
              <w:autoSpaceDN w:val="0"/>
              <w:adjustRightInd w:val="0"/>
              <w:snapToGrid w:val="0"/>
              <w:rPr>
                <w:rFonts w:ascii="宋体" w:hAnsi="宋体" w:cs="宋体"/>
                <w:kern w:val="0"/>
                <w:szCs w:val="21"/>
              </w:rPr>
            </w:pPr>
            <w:r>
              <w:rPr>
                <w:rFonts w:hint="eastAsia" w:ascii="宋体" w:hAnsi="宋体" w:cs="宋体"/>
                <w:kern w:val="0"/>
                <w:szCs w:val="21"/>
              </w:rPr>
              <w:t>地    址：</w:t>
            </w:r>
            <w:r>
              <w:rPr>
                <w:rFonts w:hint="eastAsia" w:ascii="宋体" w:hAnsi="宋体"/>
                <w:szCs w:val="21"/>
                <w:u w:val="single"/>
                <w:lang w:val="en-US" w:eastAsia="zh-CN"/>
              </w:rPr>
              <w:t>天津市滨海新区</w:t>
            </w:r>
            <w:r>
              <w:rPr>
                <w:rFonts w:hint="eastAsia" w:ascii="宋体" w:hAnsi="宋体" w:cs="宋体"/>
                <w:kern w:val="0"/>
                <w:szCs w:val="21"/>
                <w:u w:val="single"/>
              </w:rPr>
              <w:t xml:space="preserve"> </w:t>
            </w:r>
          </w:p>
          <w:p>
            <w:pPr>
              <w:autoSpaceDE w:val="0"/>
              <w:autoSpaceDN w:val="0"/>
              <w:adjustRightInd w:val="0"/>
              <w:snapToGrid w:val="0"/>
              <w:rPr>
                <w:rFonts w:ascii="宋体" w:hAnsi="宋体" w:cs="宋体"/>
                <w:kern w:val="0"/>
                <w:szCs w:val="21"/>
                <w:u w:val="single"/>
              </w:rPr>
            </w:pPr>
            <w:r>
              <w:rPr>
                <w:rFonts w:hint="eastAsia" w:ascii="宋体" w:hAnsi="宋体" w:cs="宋体"/>
                <w:kern w:val="0"/>
                <w:szCs w:val="21"/>
              </w:rPr>
              <w:t>电    话</w:t>
            </w:r>
            <w:r>
              <w:rPr>
                <w:rFonts w:hint="eastAsia" w:ascii="宋体" w:hAnsi="宋体" w:cs="宋体"/>
                <w:kern w:val="0"/>
                <w:szCs w:val="21"/>
                <w:highlight w:val="none"/>
              </w:rPr>
              <w:t>：</w:t>
            </w:r>
            <w:r>
              <w:rPr>
                <w:rFonts w:hint="eastAsia" w:ascii="宋体" w:hAnsi="宋体" w:cs="宋体"/>
                <w:kern w:val="0"/>
                <w:szCs w:val="21"/>
                <w:highlight w:val="none"/>
                <w:u w:val="single"/>
              </w:rPr>
              <w:t>022-</w:t>
            </w:r>
            <w:r>
              <w:rPr>
                <w:rFonts w:hint="eastAsia" w:ascii="宋体" w:hAnsi="宋体" w:cs="宋体"/>
                <w:kern w:val="0"/>
                <w:szCs w:val="21"/>
                <w:highlight w:val="none"/>
                <w:u w:val="single"/>
                <w:lang w:val="en-US" w:eastAsia="zh-CN"/>
              </w:rPr>
              <w:t xml:space="preserve">65369591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p>
          <w:p>
            <w:pPr>
              <w:rPr>
                <w:rFonts w:ascii="宋体" w:hAnsi="宋体"/>
                <w:szCs w:val="21"/>
              </w:rPr>
            </w:pPr>
            <w:r>
              <w:rPr>
                <w:rFonts w:hint="eastAsia" w:ascii="宋体" w:hAnsi="宋体" w:cs="宋体"/>
                <w:kern w:val="0"/>
                <w:szCs w:val="21"/>
              </w:rPr>
              <w:t>邮政编码：</w:t>
            </w:r>
            <w:r>
              <w:rPr>
                <w:rFonts w:hint="eastAsia" w:ascii="宋体" w:hAnsi="宋体" w:cs="宋体"/>
                <w:kern w:val="0"/>
                <w:szCs w:val="21"/>
                <w:u w:val="single"/>
              </w:rPr>
              <w:t xml:space="preserve">300450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936" w:type="dxa"/>
            <w:vAlign w:val="center"/>
          </w:tcPr>
          <w:p>
            <w:pPr>
              <w:snapToGrid w:val="0"/>
              <w:spacing w:line="312" w:lineRule="auto"/>
              <w:jc w:val="center"/>
              <w:rPr>
                <w:rFonts w:ascii="宋体" w:hAnsi="宋体" w:cs="宋体"/>
              </w:rPr>
            </w:pPr>
            <w:r>
              <w:rPr>
                <w:rFonts w:hint="eastAsia" w:ascii="宋体" w:hAnsi="宋体" w:cs="宋体"/>
              </w:rPr>
              <w:t>9</w:t>
            </w:r>
          </w:p>
        </w:tc>
        <w:tc>
          <w:tcPr>
            <w:tcW w:w="2858" w:type="dxa"/>
            <w:vAlign w:val="center"/>
          </w:tcPr>
          <w:p>
            <w:pPr>
              <w:snapToGrid w:val="0"/>
              <w:spacing w:line="240" w:lineRule="exact"/>
              <w:jc w:val="center"/>
              <w:rPr>
                <w:rFonts w:ascii="宋体" w:hAnsi="宋体" w:cs="宋体"/>
              </w:rPr>
            </w:pPr>
            <w:r>
              <w:rPr>
                <w:rFonts w:hint="eastAsia" w:ascii="宋体" w:hAnsi="宋体" w:cs="宋体"/>
              </w:rPr>
              <w:t>是否采用电子招标投标</w:t>
            </w:r>
          </w:p>
        </w:tc>
        <w:tc>
          <w:tcPr>
            <w:tcW w:w="5528" w:type="dxa"/>
            <w:vAlign w:val="center"/>
          </w:tcPr>
          <w:p>
            <w:pPr>
              <w:snapToGrid w:val="0"/>
              <w:spacing w:line="240" w:lineRule="exact"/>
              <w:rPr>
                <w:rFonts w:ascii="宋体" w:hAnsi="宋体" w:cs="宋体"/>
                <w:kern w:val="0"/>
              </w:rPr>
            </w:pPr>
            <w:r>
              <w:rPr>
                <w:rFonts w:hint="eastAsia" w:ascii="宋体" w:cs="宋体"/>
                <w:kern w:val="0"/>
                <w:szCs w:val="21"/>
              </w:rPr>
              <w:sym w:font="Wingdings" w:char="F0FE"/>
            </w:r>
            <w:r>
              <w:rPr>
                <w:rFonts w:hint="eastAsia" w:ascii="宋体" w:hAnsi="宋体" w:cs="宋体"/>
                <w:kern w:val="0"/>
              </w:rPr>
              <w:t>否</w:t>
            </w:r>
          </w:p>
          <w:p>
            <w:pPr>
              <w:snapToGrid w:val="0"/>
              <w:spacing w:line="240" w:lineRule="exact"/>
              <w:rPr>
                <w:rFonts w:ascii="宋体" w:hAnsi="宋体" w:cs="宋体"/>
              </w:rPr>
            </w:pPr>
            <w:r>
              <w:rPr>
                <w:rFonts w:hint="eastAsia" w:ascii="宋体" w:hAnsi="宋体" w:cs="宋体"/>
                <w:kern w:val="0"/>
              </w:rPr>
              <w:t>□是,具体要求：</w:t>
            </w:r>
          </w:p>
        </w:tc>
      </w:tr>
    </w:tbl>
    <w:p>
      <w:pPr>
        <w:jc w:val="right"/>
        <w:rPr>
          <w:rFonts w:ascii="宋体" w:hAnsi="宋体" w:cs="宋体"/>
        </w:rPr>
      </w:pPr>
      <w:r>
        <w:rPr>
          <w:rFonts w:ascii="宋体" w:hAnsi="宋体" w:cs="宋体"/>
        </w:rPr>
        <w:br w:type="page"/>
      </w:r>
      <w:r>
        <w:rPr>
          <w:rFonts w:hint="eastAsia" w:ascii="宋体" w:hAnsi="宋体" w:cs="宋体"/>
        </w:rPr>
        <w:t>续上表</w:t>
      </w:r>
    </w:p>
    <w:tbl>
      <w:tblPr>
        <w:tblStyle w:val="38"/>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1900"/>
        <w:gridCol w:w="6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36" w:type="dxa"/>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1900"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条 款 名 称</w:t>
            </w:r>
          </w:p>
        </w:tc>
        <w:tc>
          <w:tcPr>
            <w:tcW w:w="6946" w:type="dxa"/>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9782" w:type="dxa"/>
            <w:gridSpan w:val="3"/>
            <w:vAlign w:val="center"/>
          </w:tcPr>
          <w:p>
            <w:pPr>
              <w:adjustRightInd w:val="0"/>
              <w:snapToGrid w:val="0"/>
              <w:spacing w:line="300" w:lineRule="exact"/>
              <w:ind w:left="57" w:leftChars="27" w:firstLine="221" w:firstLineChars="105"/>
              <w:rPr>
                <w:rFonts w:ascii="宋体" w:hAnsi="宋体"/>
                <w:b/>
                <w:szCs w:val="21"/>
              </w:rPr>
            </w:pPr>
            <w:r>
              <w:rPr>
                <w:rFonts w:hint="eastAsia" w:ascii="宋体" w:hAnsi="宋体" w:cs="宋体"/>
                <w:b/>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936" w:type="dxa"/>
            <w:vAlign w:val="center"/>
          </w:tcPr>
          <w:p>
            <w:pPr>
              <w:adjustRightInd w:val="0"/>
              <w:snapToGrid w:val="0"/>
              <w:spacing w:line="280" w:lineRule="exact"/>
              <w:jc w:val="center"/>
              <w:rPr>
                <w:rFonts w:ascii="宋体" w:hAnsi="宋体" w:cs="宋体"/>
                <w:kern w:val="0"/>
                <w:szCs w:val="21"/>
              </w:rPr>
            </w:pPr>
            <w:r>
              <w:rPr>
                <w:rFonts w:hint="eastAsia" w:ascii="宋体" w:hAnsi="宋体" w:cs="宋体"/>
                <w:kern w:val="0"/>
                <w:szCs w:val="21"/>
              </w:rPr>
              <w:t>1.4.4</w:t>
            </w:r>
          </w:p>
        </w:tc>
        <w:tc>
          <w:tcPr>
            <w:tcW w:w="1900" w:type="dxa"/>
            <w:vAlign w:val="center"/>
          </w:tcPr>
          <w:p>
            <w:pPr>
              <w:adjustRightInd w:val="0"/>
              <w:snapToGrid w:val="0"/>
              <w:spacing w:line="300" w:lineRule="exact"/>
              <w:jc w:val="center"/>
              <w:rPr>
                <w:rFonts w:ascii="宋体" w:hAnsi="宋体" w:cs="宋体"/>
                <w:kern w:val="0"/>
                <w:szCs w:val="21"/>
              </w:rPr>
            </w:pPr>
            <w:r>
              <w:rPr>
                <w:rFonts w:ascii="宋体" w:hAnsi="宋体" w:cs="宋体"/>
                <w:kern w:val="0"/>
                <w:szCs w:val="21"/>
              </w:rPr>
              <w:t>第1.4.4项（6）目修改</w:t>
            </w:r>
          </w:p>
        </w:tc>
        <w:tc>
          <w:tcPr>
            <w:tcW w:w="6946" w:type="dxa"/>
            <w:vAlign w:val="center"/>
          </w:tcPr>
          <w:p>
            <w:pPr>
              <w:adjustRightInd w:val="0"/>
              <w:snapToGrid w:val="0"/>
              <w:spacing w:line="300" w:lineRule="exact"/>
              <w:ind w:left="57" w:leftChars="27" w:firstLine="220" w:firstLineChars="105"/>
              <w:rPr>
                <w:rFonts w:ascii="宋体" w:hAnsi="宋体" w:cs="宋体"/>
                <w:kern w:val="0"/>
                <w:szCs w:val="21"/>
              </w:rPr>
            </w:pPr>
            <w:r>
              <w:t>删除</w:t>
            </w:r>
            <w:r>
              <w:rPr>
                <w:rFonts w:ascii="宋体" w:hAnsi="宋体" w:cs="宋体"/>
                <w:kern w:val="0"/>
                <w:szCs w:val="21"/>
              </w:rPr>
              <w:t>（6）投标人或其法定代表人、拟委任的项目</w:t>
            </w:r>
            <w:r>
              <w:rPr>
                <w:rFonts w:hint="eastAsia" w:ascii="宋体" w:hAnsi="宋体" w:cs="宋体"/>
                <w:kern w:val="0"/>
                <w:szCs w:val="21"/>
              </w:rPr>
              <w:t>经理及项目总工</w:t>
            </w:r>
            <w:r>
              <w:rPr>
                <w:rFonts w:ascii="宋体" w:hAnsi="宋体" w:cs="宋体"/>
                <w:kern w:val="0"/>
                <w:szCs w:val="21"/>
              </w:rPr>
              <w:t>在近三年内有行贿犯罪行为的；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2" w:hRule="atLeast"/>
        </w:trPr>
        <w:tc>
          <w:tcPr>
            <w:tcW w:w="936" w:type="dxa"/>
            <w:vAlign w:val="center"/>
          </w:tcPr>
          <w:p>
            <w:pPr>
              <w:adjustRightInd w:val="0"/>
              <w:snapToGrid w:val="0"/>
              <w:spacing w:line="280" w:lineRule="exact"/>
              <w:jc w:val="center"/>
              <w:rPr>
                <w:rFonts w:ascii="宋体" w:hAnsi="宋体" w:cs="宋体"/>
                <w:kern w:val="0"/>
                <w:szCs w:val="21"/>
              </w:rPr>
            </w:pPr>
            <w:r>
              <w:rPr>
                <w:rFonts w:hint="eastAsia" w:ascii="宋体" w:hAnsi="宋体" w:cs="宋体"/>
                <w:kern w:val="0"/>
                <w:szCs w:val="21"/>
              </w:rPr>
              <w:t>2.1.2</w:t>
            </w:r>
          </w:p>
        </w:tc>
        <w:tc>
          <w:tcPr>
            <w:tcW w:w="1900" w:type="dxa"/>
            <w:vAlign w:val="center"/>
          </w:tcPr>
          <w:p>
            <w:pPr>
              <w:adjustRightInd w:val="0"/>
              <w:snapToGrid w:val="0"/>
              <w:spacing w:line="300" w:lineRule="exact"/>
              <w:rPr>
                <w:rFonts w:ascii="宋体" w:hAnsi="宋体" w:cs="宋体"/>
                <w:kern w:val="0"/>
                <w:szCs w:val="21"/>
              </w:rPr>
            </w:pPr>
            <w:r>
              <w:rPr>
                <w:rFonts w:hint="eastAsia" w:ascii="宋体" w:hAnsi="宋体" w:cs="宋体"/>
                <w:kern w:val="0"/>
                <w:szCs w:val="21"/>
              </w:rPr>
              <w:t>补充第2.1.2项</w:t>
            </w:r>
          </w:p>
        </w:tc>
        <w:tc>
          <w:tcPr>
            <w:tcW w:w="6946" w:type="dxa"/>
            <w:vAlign w:val="center"/>
          </w:tcPr>
          <w:p>
            <w:pPr>
              <w:adjustRightInd w:val="0"/>
              <w:snapToGrid w:val="0"/>
              <w:spacing w:line="300" w:lineRule="exact"/>
              <w:ind w:left="57" w:leftChars="27" w:firstLine="220" w:firstLineChars="105"/>
            </w:pPr>
          </w:p>
          <w:p>
            <w:pPr>
              <w:adjustRightInd w:val="0"/>
              <w:snapToGrid w:val="0"/>
              <w:spacing w:line="300" w:lineRule="exact"/>
              <w:ind w:left="57" w:leftChars="27" w:firstLine="220" w:firstLineChars="105"/>
            </w:pPr>
            <w:r>
              <w:rPr>
                <w:rFonts w:hint="eastAsia"/>
              </w:rPr>
              <w:t>2.1.2招标文件中要求投标人提供的各类证照复印件均指彩色扫描件或彩色复印件，其他资料复印件可为黑白扫描件或黑白复印件。</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62" w:hRule="atLeast"/>
        </w:trPr>
        <w:tc>
          <w:tcPr>
            <w:tcW w:w="936" w:type="dxa"/>
            <w:vAlign w:val="center"/>
          </w:tcPr>
          <w:p>
            <w:pPr>
              <w:adjustRightInd w:val="0"/>
              <w:snapToGrid w:val="0"/>
              <w:spacing w:line="280" w:lineRule="exact"/>
              <w:jc w:val="center"/>
              <w:rPr>
                <w:rFonts w:ascii="宋体" w:hAnsi="宋体" w:cs="宋体"/>
                <w:kern w:val="0"/>
              </w:rPr>
            </w:pPr>
            <w:r>
              <w:rPr>
                <w:rFonts w:hint="eastAsia" w:ascii="宋体" w:hAnsi="宋体" w:cs="宋体"/>
                <w:kern w:val="0"/>
              </w:rPr>
              <w:t>2.2.5</w:t>
            </w:r>
          </w:p>
          <w:p>
            <w:pPr>
              <w:adjustRightInd w:val="0"/>
              <w:snapToGrid w:val="0"/>
              <w:spacing w:line="280" w:lineRule="exact"/>
              <w:jc w:val="center"/>
              <w:rPr>
                <w:rFonts w:ascii="宋体" w:hAnsi="宋体"/>
                <w:b/>
                <w:szCs w:val="21"/>
              </w:rPr>
            </w:pPr>
            <w:r>
              <w:rPr>
                <w:rFonts w:hint="eastAsia" w:ascii="宋体" w:hAnsi="宋体" w:cs="宋体"/>
                <w:kern w:val="0"/>
              </w:rPr>
              <w:t>2.3.3</w:t>
            </w:r>
          </w:p>
        </w:tc>
        <w:tc>
          <w:tcPr>
            <w:tcW w:w="1900" w:type="dxa"/>
            <w:vAlign w:val="center"/>
          </w:tcPr>
          <w:p>
            <w:pPr>
              <w:adjustRightInd w:val="0"/>
              <w:snapToGrid w:val="0"/>
              <w:spacing w:line="300" w:lineRule="exact"/>
              <w:ind w:left="-50" w:leftChars="-24"/>
              <w:jc w:val="center"/>
              <w:rPr>
                <w:rFonts w:ascii="宋体" w:hAnsi="宋体"/>
                <w:b/>
                <w:szCs w:val="21"/>
              </w:rPr>
            </w:pPr>
            <w:r>
              <w:rPr>
                <w:rFonts w:hint="eastAsia" w:ascii="宋体" w:hAnsi="宋体" w:cs="宋体"/>
                <w:kern w:val="0"/>
              </w:rPr>
              <w:t>补充第2.2.5、2.3.3项</w:t>
            </w:r>
          </w:p>
        </w:tc>
        <w:tc>
          <w:tcPr>
            <w:tcW w:w="6946" w:type="dxa"/>
            <w:vAlign w:val="center"/>
          </w:tcPr>
          <w:p>
            <w:pPr>
              <w:adjustRightInd w:val="0"/>
              <w:snapToGrid w:val="0"/>
              <w:spacing w:line="300" w:lineRule="exact"/>
              <w:ind w:left="57" w:leftChars="27" w:firstLine="220" w:firstLineChars="105"/>
              <w:rPr>
                <w:rFonts w:ascii="宋体" w:hAnsi="宋体" w:cs="宋体"/>
                <w:kern w:val="0"/>
              </w:rPr>
            </w:pPr>
            <w:r>
              <w:rPr>
                <w:rFonts w:hint="eastAsia" w:ascii="宋体" w:hAnsi="宋体" w:cs="宋体"/>
                <w:kern w:val="0"/>
              </w:rPr>
              <w:t>2.2.5、2.3.3招标人将在</w:t>
            </w:r>
            <w:r>
              <w:rPr>
                <w:rFonts w:hint="eastAsia" w:ascii="宋体" w:hAnsi="宋体" w:cs="宋体"/>
                <w:kern w:val="0"/>
                <w:lang w:eastAsia="zh-CN"/>
              </w:rPr>
              <w:t>天津市公共资源交</w:t>
            </w:r>
            <w:r>
              <w:rPr>
                <w:rFonts w:hint="eastAsia" w:ascii="宋体" w:hAnsi="宋体" w:cs="宋体"/>
                <w:kern w:val="0"/>
                <w:highlight w:val="none"/>
                <w:lang w:eastAsia="zh-CN"/>
              </w:rPr>
              <w:t>易网及天津市滨海新区交通运输局官网</w:t>
            </w:r>
            <w:r>
              <w:rPr>
                <w:rFonts w:hint="eastAsia" w:ascii="宋体" w:hAnsi="宋体" w:cs="宋体"/>
                <w:kern w:val="0"/>
                <w:highlight w:val="none"/>
              </w:rPr>
              <w:t>发布招标文件的澄清、修改文件，请各</w:t>
            </w:r>
            <w:r>
              <w:rPr>
                <w:rFonts w:hint="eastAsia" w:ascii="宋体" w:hAnsi="宋体" w:cs="宋体"/>
                <w:kern w:val="0"/>
              </w:rPr>
              <w:t>投标人下载并在规定的时间内回函确认。投标人应在投标截止时间前密切关注，以便掌握相关澄清及修改。</w:t>
            </w:r>
          </w:p>
          <w:p>
            <w:pPr>
              <w:adjustRightInd w:val="0"/>
              <w:snapToGrid w:val="0"/>
              <w:spacing w:line="300" w:lineRule="exact"/>
              <w:ind w:left="57" w:leftChars="27" w:firstLine="220" w:firstLineChars="105"/>
              <w:jc w:val="left"/>
              <w:rPr>
                <w:rFonts w:ascii="宋体" w:hAnsi="宋体" w:cs="宋体"/>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2" w:hRule="atLeast"/>
        </w:trPr>
        <w:tc>
          <w:tcPr>
            <w:tcW w:w="936" w:type="dxa"/>
            <w:vAlign w:val="center"/>
          </w:tcPr>
          <w:p>
            <w:pPr>
              <w:adjustRightInd w:val="0"/>
              <w:snapToGrid w:val="0"/>
              <w:spacing w:line="280" w:lineRule="exact"/>
              <w:jc w:val="center"/>
              <w:rPr>
                <w:rFonts w:ascii="宋体" w:cs="宋体"/>
                <w:kern w:val="0"/>
              </w:rPr>
            </w:pPr>
            <w:r>
              <w:rPr>
                <w:rFonts w:ascii="宋体" w:cs="宋体"/>
                <w:kern w:val="0"/>
              </w:rPr>
              <w:t>3.2.1</w:t>
            </w:r>
          </w:p>
        </w:tc>
        <w:tc>
          <w:tcPr>
            <w:tcW w:w="1900" w:type="dxa"/>
            <w:vAlign w:val="center"/>
          </w:tcPr>
          <w:p>
            <w:pPr>
              <w:adjustRightInd w:val="0"/>
              <w:snapToGrid w:val="0"/>
              <w:spacing w:line="300" w:lineRule="exact"/>
              <w:rPr>
                <w:rFonts w:ascii="宋体"/>
              </w:rPr>
            </w:pPr>
            <w:r>
              <w:rPr>
                <w:rFonts w:hint="eastAsia" w:ascii="宋体" w:hAnsi="宋体" w:cs="宋体"/>
              </w:rPr>
              <w:t>第</w:t>
            </w:r>
            <w:r>
              <w:rPr>
                <w:rFonts w:ascii="宋体" w:hAnsi="宋体" w:cs="宋体"/>
              </w:rPr>
              <w:t>3.2.1</w:t>
            </w:r>
            <w:r>
              <w:rPr>
                <w:rFonts w:hint="eastAsia" w:ascii="宋体" w:hAnsi="宋体" w:cs="宋体"/>
              </w:rPr>
              <w:t>项补充</w:t>
            </w:r>
          </w:p>
        </w:tc>
        <w:tc>
          <w:tcPr>
            <w:tcW w:w="6946" w:type="dxa"/>
            <w:vAlign w:val="center"/>
          </w:tcPr>
          <w:p>
            <w:pPr>
              <w:adjustRightInd w:val="0"/>
              <w:snapToGrid w:val="0"/>
              <w:spacing w:line="300" w:lineRule="exact"/>
              <w:ind w:left="57" w:leftChars="27" w:firstLine="220" w:firstLineChars="105"/>
              <w:rPr>
                <w:rFonts w:ascii="宋体" w:hAnsi="宋体" w:cs="宋体"/>
                <w:kern w:val="0"/>
              </w:rPr>
            </w:pPr>
            <w:r>
              <w:rPr>
                <w:rFonts w:hint="eastAsia" w:ascii="宋体" w:hAnsi="宋体" w:cs="宋体"/>
                <w:kern w:val="0"/>
              </w:rPr>
              <w:t>工程量固化清单以招标人提供的格式为准。工程量固化清单电子文件将以邮件形式发送至各投标人，投标人需自行准备光盘（或</w:t>
            </w:r>
            <w:r>
              <w:rPr>
                <w:rFonts w:ascii="宋体" w:hAnsi="宋体" w:cs="宋体"/>
                <w:kern w:val="0"/>
              </w:rPr>
              <w:t>U</w:t>
            </w:r>
            <w:r>
              <w:rPr>
                <w:rFonts w:hint="eastAsia" w:ascii="宋体" w:hAnsi="宋体" w:cs="宋体"/>
                <w:kern w:val="0"/>
              </w:rPr>
              <w:t>盘）存储工程量固化清单电子文件。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2" w:hRule="atLeast"/>
        </w:trPr>
        <w:tc>
          <w:tcPr>
            <w:tcW w:w="936" w:type="dxa"/>
            <w:vAlign w:val="center"/>
          </w:tcPr>
          <w:p>
            <w:pPr>
              <w:adjustRightInd w:val="0"/>
              <w:snapToGrid w:val="0"/>
              <w:spacing w:line="300" w:lineRule="atLeast"/>
              <w:jc w:val="center"/>
              <w:rPr>
                <w:szCs w:val="21"/>
              </w:rPr>
            </w:pPr>
            <w:r>
              <w:rPr>
                <w:szCs w:val="21"/>
              </w:rPr>
              <w:t>3.2.8</w:t>
            </w:r>
          </w:p>
        </w:tc>
        <w:tc>
          <w:tcPr>
            <w:tcW w:w="1900" w:type="dxa"/>
            <w:vAlign w:val="center"/>
          </w:tcPr>
          <w:p>
            <w:pPr>
              <w:adjustRightInd w:val="0"/>
              <w:snapToGrid w:val="0"/>
              <w:spacing w:line="300" w:lineRule="atLeast"/>
              <w:jc w:val="center"/>
              <w:rPr>
                <w:szCs w:val="21"/>
              </w:rPr>
            </w:pPr>
            <w:r>
              <w:rPr>
                <w:szCs w:val="21"/>
              </w:rPr>
              <w:t>3.2.8</w:t>
            </w:r>
            <w:r>
              <w:rPr>
                <w:rFonts w:hint="eastAsia"/>
                <w:kern w:val="0"/>
              </w:rPr>
              <w:t>细化为</w:t>
            </w:r>
          </w:p>
        </w:tc>
        <w:tc>
          <w:tcPr>
            <w:tcW w:w="6946" w:type="dxa"/>
            <w:vAlign w:val="center"/>
          </w:tcPr>
          <w:p>
            <w:pPr>
              <w:spacing w:line="300" w:lineRule="exact"/>
              <w:ind w:firstLine="420" w:firstLineChars="200"/>
              <w:rPr>
                <w:rFonts w:hint="eastAsia" w:eastAsia="宋体"/>
                <w:szCs w:val="21"/>
                <w:lang w:eastAsia="zh-CN"/>
              </w:rPr>
            </w:pPr>
            <w:r>
              <w:rPr>
                <w:rFonts w:hint="eastAsia"/>
                <w:szCs w:val="21"/>
              </w:rPr>
              <w:t>最高投标限价开标前</w:t>
            </w:r>
            <w:r>
              <w:rPr>
                <w:szCs w:val="21"/>
              </w:rPr>
              <w:t>15</w:t>
            </w:r>
            <w:r>
              <w:rPr>
                <w:rFonts w:hint="eastAsia"/>
                <w:szCs w:val="21"/>
              </w:rPr>
              <w:t>天，以补遗形式发送在</w:t>
            </w:r>
            <w:r>
              <w:rPr>
                <w:rFonts w:hint="eastAsia"/>
                <w:szCs w:val="21"/>
                <w:lang w:eastAsia="zh-CN"/>
              </w:rPr>
              <w:t>天津市公共资源交易网及天津市滨海新区交通运输局官网发布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62" w:hRule="atLeast"/>
        </w:trPr>
        <w:tc>
          <w:tcPr>
            <w:tcW w:w="936" w:type="dxa"/>
            <w:vAlign w:val="center"/>
          </w:tcPr>
          <w:p>
            <w:pPr>
              <w:adjustRightInd w:val="0"/>
              <w:snapToGrid w:val="0"/>
              <w:spacing w:line="280" w:lineRule="exact"/>
              <w:jc w:val="center"/>
              <w:rPr>
                <w:rFonts w:ascii="宋体" w:hAnsi="宋体" w:cs="宋体"/>
                <w:kern w:val="0"/>
                <w:szCs w:val="21"/>
              </w:rPr>
            </w:pPr>
            <w:r>
              <w:rPr>
                <w:rFonts w:hint="eastAsia" w:ascii="宋体" w:hAnsi="宋体" w:cs="宋体"/>
                <w:szCs w:val="21"/>
              </w:rPr>
              <w:t>3.4.1</w:t>
            </w:r>
          </w:p>
        </w:tc>
        <w:tc>
          <w:tcPr>
            <w:tcW w:w="1900" w:type="dxa"/>
            <w:vAlign w:val="center"/>
          </w:tcPr>
          <w:p>
            <w:pPr>
              <w:adjustRightInd w:val="0"/>
              <w:snapToGrid w:val="0"/>
              <w:spacing w:line="300" w:lineRule="exact"/>
              <w:ind w:left="-84" w:leftChars="-40" w:right="-84" w:rightChars="-40"/>
              <w:jc w:val="center"/>
              <w:rPr>
                <w:rFonts w:ascii="宋体" w:hAnsi="宋体" w:cs="宋体"/>
                <w:szCs w:val="21"/>
              </w:rPr>
            </w:pPr>
            <w:r>
              <w:rPr>
                <w:rFonts w:hint="eastAsia" w:ascii="宋体" w:hAnsi="宋体" w:cs="宋体"/>
                <w:szCs w:val="21"/>
              </w:rPr>
              <w:t>第3.4.1项修改</w:t>
            </w:r>
          </w:p>
        </w:tc>
        <w:tc>
          <w:tcPr>
            <w:tcW w:w="6946" w:type="dxa"/>
            <w:vAlign w:val="center"/>
          </w:tcPr>
          <w:p>
            <w:pPr>
              <w:adjustRightInd w:val="0"/>
              <w:snapToGrid w:val="0"/>
              <w:spacing w:line="280" w:lineRule="exact"/>
              <w:ind w:left="57" w:leftChars="27" w:firstLine="221" w:firstLineChars="105"/>
              <w:rPr>
                <w:rFonts w:ascii="宋体" w:cs="宋体"/>
                <w:b/>
                <w:kern w:val="0"/>
              </w:rPr>
            </w:pPr>
            <w:r>
              <w:rPr>
                <w:rFonts w:hint="eastAsia" w:ascii="宋体" w:hAnsi="宋体" w:cs="宋体"/>
                <w:b/>
                <w:kern w:val="0"/>
              </w:rPr>
              <w:t>投标保证金的递交截止时间为：</w:t>
            </w:r>
            <w:r>
              <w:rPr>
                <w:rFonts w:hint="eastAsia" w:ascii="宋体" w:hAnsi="宋体" w:cs="宋体"/>
                <w:b/>
                <w:kern w:val="0"/>
                <w:u w:val="single"/>
              </w:rPr>
              <w:t>开标时间前一个工作日17时之前。</w:t>
            </w:r>
          </w:p>
          <w:p>
            <w:pPr>
              <w:spacing w:before="50" w:line="280" w:lineRule="exact"/>
              <w:ind w:firstLine="210" w:firstLineChars="100"/>
            </w:pPr>
            <w:r>
              <w:rPr>
                <w:rFonts w:hint="eastAsia"/>
              </w:rPr>
              <w:t>若采用支票，投标人应在规定的递交投标保证金截止时间之前，将由投标人的基本帐户开出的支票交至天津市河东区十一经路78号1618室财务室并换取收据，支票名称必须与投标人名称一致，否则均视为投标保证金无效。投标人应将支票及招标人开具的投标保证金收据的扫描件或复印件附在投标文件中。</w:t>
            </w:r>
          </w:p>
          <w:p>
            <w:pPr>
              <w:spacing w:before="50" w:line="280" w:lineRule="exact"/>
              <w:ind w:firstLine="210" w:firstLineChars="100"/>
            </w:pPr>
            <w:r>
              <w:rPr>
                <w:rFonts w:hint="eastAsia"/>
              </w:rPr>
              <w:t>若采用银行保函，投标人应在投标保证金递交截止时间前，将银行保函复印件送达至天津市河东区十一经路78号1618室财务部（或扫描件发送至234028747@qq.com）。原件应在递交投标文件截止时间之前单独密封递交给招标人。银行保函复印件应装订在投标文件中。不论中标与否，保函不予退回。</w:t>
            </w:r>
          </w:p>
          <w:p>
            <w:pPr>
              <w:adjustRightInd w:val="0"/>
              <w:snapToGrid w:val="0"/>
              <w:spacing w:line="260" w:lineRule="exact"/>
              <w:ind w:firstLine="210" w:firstLineChars="100"/>
            </w:pPr>
            <w:r>
              <w:rPr>
                <w:rFonts w:hint="eastAsia"/>
              </w:rPr>
              <w:t>若采用现金电汇，投标人应在规定的递交投标保证金截止时间之前，将由投标人的基本账户一次性汇入招标人指定的账号上（以银行到账日期为准），并注明“招标编号</w:t>
            </w:r>
            <w:r>
              <w:rPr>
                <w:rFonts w:hint="eastAsia"/>
                <w:lang w:eastAsia="zh-CN"/>
              </w:rPr>
              <w:t>SZYL-JT-202203</w:t>
            </w:r>
            <w:r>
              <w:rPr>
                <w:rFonts w:hint="eastAsia"/>
              </w:rPr>
              <w:t>”。电汇凭证上的汇款人名称必须与投标人名称一致，否则均视为投标保证金无效。投标人应将电汇凭证扫描件或复印件附在投标文件中。</w:t>
            </w:r>
          </w:p>
          <w:p>
            <w:pPr>
              <w:pStyle w:val="2"/>
              <w:rPr>
                <w:kern w:val="0"/>
                <w:szCs w:val="21"/>
              </w:rPr>
            </w:pPr>
          </w:p>
        </w:tc>
      </w:tr>
    </w:tbl>
    <w:p>
      <w:pPr>
        <w:jc w:val="right"/>
        <w:rPr>
          <w:rFonts w:ascii="宋体" w:hAnsi="宋体" w:cs="宋体"/>
        </w:rPr>
      </w:pPr>
    </w:p>
    <w:p>
      <w:pPr>
        <w:jc w:val="right"/>
        <w:rPr>
          <w:rFonts w:ascii="宋体" w:hAnsi="宋体" w:cs="宋体"/>
        </w:rPr>
      </w:pPr>
    </w:p>
    <w:p>
      <w:pPr>
        <w:jc w:val="right"/>
        <w:rPr>
          <w:rFonts w:ascii="宋体" w:hAnsi="宋体" w:cs="宋体"/>
        </w:rPr>
      </w:pPr>
    </w:p>
    <w:p>
      <w:pPr>
        <w:jc w:val="right"/>
        <w:rPr>
          <w:rFonts w:ascii="宋体" w:hAnsi="宋体" w:cs="宋体"/>
        </w:rPr>
      </w:pPr>
      <w:r>
        <w:rPr>
          <w:rFonts w:hint="eastAsia" w:ascii="宋体" w:hAnsi="宋体" w:cs="宋体"/>
        </w:rPr>
        <w:t>续上表</w:t>
      </w:r>
    </w:p>
    <w:tbl>
      <w:tblPr>
        <w:tblStyle w:val="38"/>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
        <w:gridCol w:w="835"/>
        <w:gridCol w:w="1701"/>
        <w:gridCol w:w="7223"/>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52" w:type="dxa"/>
            <w:gridSpan w:val="2"/>
            <w:vAlign w:val="center"/>
          </w:tcPr>
          <w:p>
            <w:pPr>
              <w:adjustRightInd w:val="0"/>
              <w:snapToGrid w:val="0"/>
              <w:spacing w:line="280" w:lineRule="exact"/>
              <w:jc w:val="center"/>
              <w:rPr>
                <w:rFonts w:ascii="宋体" w:hAnsi="宋体"/>
                <w:b/>
                <w:szCs w:val="21"/>
              </w:rPr>
            </w:pPr>
            <w:r>
              <w:rPr>
                <w:rFonts w:hint="eastAsia" w:ascii="宋体" w:hAnsi="宋体"/>
                <w:b/>
                <w:szCs w:val="21"/>
              </w:rPr>
              <w:t>条款号</w:t>
            </w:r>
          </w:p>
        </w:tc>
        <w:tc>
          <w:tcPr>
            <w:tcW w:w="1701" w:type="dxa"/>
            <w:vAlign w:val="center"/>
          </w:tcPr>
          <w:p>
            <w:pPr>
              <w:adjustRightInd w:val="0"/>
              <w:snapToGrid w:val="0"/>
              <w:spacing w:line="280" w:lineRule="exact"/>
              <w:ind w:right="34"/>
              <w:jc w:val="center"/>
              <w:rPr>
                <w:rFonts w:ascii="宋体" w:hAnsi="宋体"/>
                <w:b/>
                <w:szCs w:val="21"/>
              </w:rPr>
            </w:pPr>
            <w:r>
              <w:rPr>
                <w:rFonts w:hint="eastAsia" w:ascii="宋体" w:hAnsi="宋体"/>
                <w:b/>
                <w:szCs w:val="21"/>
              </w:rPr>
              <w:t>条 款 名 称</w:t>
            </w:r>
          </w:p>
        </w:tc>
        <w:tc>
          <w:tcPr>
            <w:tcW w:w="7229" w:type="dxa"/>
            <w:gridSpan w:val="2"/>
            <w:vAlign w:val="center"/>
          </w:tcPr>
          <w:p>
            <w:pPr>
              <w:adjustRightInd w:val="0"/>
              <w:snapToGrid w:val="0"/>
              <w:spacing w:line="280" w:lineRule="exact"/>
              <w:ind w:right="482"/>
              <w:jc w:val="center"/>
              <w:rPr>
                <w:rFonts w:ascii="宋体" w:hAnsi="宋体"/>
                <w:b/>
                <w:szCs w:val="21"/>
              </w:rPr>
            </w:pPr>
            <w:r>
              <w:rPr>
                <w:rFonts w:hint="eastAsia" w:ascii="宋体"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3" w:hRule="atLeast"/>
        </w:trPr>
        <w:tc>
          <w:tcPr>
            <w:tcW w:w="852" w:type="dxa"/>
            <w:gridSpan w:val="2"/>
            <w:vMerge w:val="restart"/>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3.5</w:t>
            </w:r>
          </w:p>
        </w:tc>
        <w:tc>
          <w:tcPr>
            <w:tcW w:w="1701" w:type="dxa"/>
            <w:vAlign w:val="center"/>
          </w:tcPr>
          <w:p>
            <w:pPr>
              <w:adjustRightInd w:val="0"/>
              <w:snapToGrid w:val="0"/>
              <w:spacing w:line="220" w:lineRule="exact"/>
              <w:rPr>
                <w:rFonts w:ascii="宋体" w:cs="宋体"/>
                <w:szCs w:val="21"/>
              </w:rPr>
            </w:pPr>
            <w:r>
              <w:rPr>
                <w:rFonts w:hint="eastAsia" w:ascii="宋体" w:hAnsi="宋体" w:cs="宋体"/>
                <w:szCs w:val="21"/>
              </w:rPr>
              <w:t>第</w:t>
            </w:r>
            <w:r>
              <w:rPr>
                <w:rFonts w:ascii="宋体" w:hAnsi="宋体" w:cs="宋体"/>
                <w:szCs w:val="21"/>
              </w:rPr>
              <w:t>3.5.1</w:t>
            </w:r>
            <w:r>
              <w:rPr>
                <w:rFonts w:hint="eastAsia" w:ascii="宋体" w:hAnsi="宋体" w:cs="宋体"/>
                <w:szCs w:val="21"/>
              </w:rPr>
              <w:t>项修改</w:t>
            </w:r>
          </w:p>
        </w:tc>
        <w:tc>
          <w:tcPr>
            <w:tcW w:w="7229" w:type="dxa"/>
            <w:gridSpan w:val="2"/>
            <w:vAlign w:val="center"/>
          </w:tcPr>
          <w:p>
            <w:pPr>
              <w:adjustRightInd w:val="0"/>
              <w:snapToGrid w:val="0"/>
              <w:spacing w:line="260" w:lineRule="exact"/>
              <w:ind w:left="57" w:leftChars="27" w:firstLine="220" w:firstLineChars="105"/>
              <w:rPr>
                <w:rFonts w:ascii="宋体"/>
                <w:szCs w:val="21"/>
              </w:rPr>
            </w:pPr>
            <w:r>
              <w:rPr>
                <w:rFonts w:ascii="宋体" w:hAnsi="宋体"/>
                <w:szCs w:val="21"/>
              </w:rPr>
              <w:t xml:space="preserve">3.5.1 </w:t>
            </w:r>
            <w:r>
              <w:rPr>
                <w:rFonts w:hint="eastAsia" w:ascii="宋体" w:hAnsi="宋体"/>
                <w:szCs w:val="21"/>
              </w:rPr>
              <w:t>“投标人基本情况表”应附企业法人营业执照副本和组织机构代码证副本（按照“三证合一”或“五证合一”登记制度进行登记的，可仅提供营业执照副本，下同）、施工资质证书副本、安全生产许可证副本、基本账户开户许可证</w:t>
            </w:r>
            <w:r>
              <w:rPr>
                <w:rFonts w:hint="eastAsia" w:ascii="宋体" w:hAnsi="宋体" w:cs="宋体"/>
                <w:kern w:val="0"/>
                <w:szCs w:val="21"/>
              </w:rPr>
              <w:t>（或基本户备案证明）</w:t>
            </w:r>
            <w:r>
              <w:rPr>
                <w:rFonts w:hint="eastAsia" w:ascii="宋体" w:hAnsi="宋体"/>
                <w:szCs w:val="21"/>
              </w:rPr>
              <w:t>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w:t>
            </w:r>
            <w:r>
              <w:rPr>
                <w:rFonts w:ascii="宋体" w:hAnsi="宋体"/>
                <w:szCs w:val="21"/>
              </w:rPr>
              <w:t>20%</w:t>
            </w:r>
            <w:r>
              <w:rPr>
                <w:rFonts w:hint="eastAsia" w:ascii="宋体" w:hAnsi="宋体"/>
                <w:szCs w:val="21"/>
              </w:rPr>
              <w:t>的股东姓名及持股比例（并加盖单位章）。</w:t>
            </w:r>
          </w:p>
          <w:p>
            <w:pPr>
              <w:adjustRightInd w:val="0"/>
              <w:snapToGrid w:val="0"/>
              <w:spacing w:line="260" w:lineRule="exact"/>
              <w:ind w:left="57" w:leftChars="27" w:firstLine="220" w:firstLineChars="105"/>
              <w:rPr>
                <w:rFonts w:ascii="宋体" w:hAnsi="宋体" w:cs="宋体"/>
                <w:kern w:val="0"/>
                <w:szCs w:val="21"/>
              </w:rPr>
            </w:pPr>
            <w:r>
              <w:rPr>
                <w:rFonts w:hint="eastAsia" w:ascii="宋体" w:hAnsi="宋体"/>
                <w:szCs w:val="21"/>
              </w:rPr>
              <w:t>企业法人营业执照副本和组织机构代码证副本、施工资质证书副本、安全生产许可证副本、基本账户开户许可证</w:t>
            </w:r>
            <w:r>
              <w:rPr>
                <w:rFonts w:hint="eastAsia" w:ascii="宋体" w:hAnsi="宋体" w:cs="宋体"/>
                <w:kern w:val="0"/>
                <w:szCs w:val="21"/>
              </w:rPr>
              <w:t>（或基本户备案证明）</w:t>
            </w:r>
            <w:r>
              <w:rPr>
                <w:rFonts w:hint="eastAsia" w:ascii="宋体" w:hAnsi="宋体"/>
                <w:szCs w:val="21"/>
              </w:rPr>
              <w:t>的复印件应提供全本（证书封面、封底、空白页除外），应包括投标人名称、投标人其他相关信息、颁发机构名称、投标人信息变更情况等关键页在内，并逐页加盖投标人单位章。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9" w:hRule="atLeast"/>
        </w:trPr>
        <w:tc>
          <w:tcPr>
            <w:tcW w:w="852" w:type="dxa"/>
            <w:gridSpan w:val="2"/>
            <w:vMerge w:val="continue"/>
            <w:vAlign w:val="center"/>
          </w:tcPr>
          <w:p>
            <w:pPr>
              <w:adjustRightInd w:val="0"/>
              <w:snapToGrid w:val="0"/>
              <w:spacing w:line="280" w:lineRule="exact"/>
              <w:jc w:val="center"/>
              <w:rPr>
                <w:rFonts w:ascii="宋体" w:hAnsi="宋体" w:cs="宋体"/>
                <w:szCs w:val="21"/>
              </w:rPr>
            </w:pPr>
          </w:p>
        </w:tc>
        <w:tc>
          <w:tcPr>
            <w:tcW w:w="1701" w:type="dxa"/>
            <w:vAlign w:val="center"/>
          </w:tcPr>
          <w:p>
            <w:pPr>
              <w:adjustRightInd w:val="0"/>
              <w:snapToGrid w:val="0"/>
              <w:spacing w:line="280" w:lineRule="exact"/>
              <w:ind w:right="-107" w:rightChars="-51"/>
              <w:jc w:val="left"/>
              <w:rPr>
                <w:rFonts w:ascii="宋体" w:hAnsi="宋体"/>
                <w:szCs w:val="21"/>
              </w:rPr>
            </w:pPr>
            <w:r>
              <w:rPr>
                <w:rFonts w:hint="eastAsia" w:ascii="宋体" w:hAnsi="宋体"/>
                <w:szCs w:val="21"/>
              </w:rPr>
              <w:t>第3.5.2项细化</w:t>
            </w:r>
          </w:p>
        </w:tc>
        <w:tc>
          <w:tcPr>
            <w:tcW w:w="7229" w:type="dxa"/>
            <w:gridSpan w:val="2"/>
            <w:vAlign w:val="center"/>
          </w:tcPr>
          <w:p>
            <w:pPr>
              <w:adjustRightInd w:val="0"/>
              <w:snapToGrid w:val="0"/>
              <w:spacing w:line="260" w:lineRule="exact"/>
              <w:ind w:firstLine="210" w:firstLineChars="100"/>
              <w:jc w:val="left"/>
              <w:rPr>
                <w:rFonts w:ascii="宋体" w:hAnsi="宋体"/>
                <w:szCs w:val="21"/>
              </w:rPr>
            </w:pPr>
            <w:r>
              <w:rPr>
                <w:rFonts w:hint="eastAsia" w:ascii="宋体" w:hAnsi="宋体"/>
                <w:szCs w:val="21"/>
              </w:rPr>
              <w:t>3.5.2 “财务状况表”后企业单位应附近三年经会计师事务所或审计机构审计的财务会计报表，包括资产负债表、现金流量表、利润表和财务情况说明书的复印件。</w:t>
            </w:r>
          </w:p>
          <w:p>
            <w:pPr>
              <w:adjustRightInd w:val="0"/>
              <w:snapToGrid w:val="0"/>
              <w:spacing w:line="260" w:lineRule="exact"/>
              <w:ind w:firstLine="210" w:firstLineChars="100"/>
              <w:jc w:val="left"/>
              <w:rPr>
                <w:rFonts w:ascii="宋体" w:hAnsi="宋体"/>
                <w:b/>
                <w:szCs w:val="21"/>
              </w:rPr>
            </w:pPr>
            <w:r>
              <w:rPr>
                <w:rFonts w:hint="eastAsia" w:ascii="宋体" w:hAnsi="宋体" w:cs="宋体"/>
              </w:rPr>
              <w:t>如果投标人为集团公司，上述的财务会计报表均指合并财务会计报表。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9" w:hRule="atLeast"/>
        </w:trPr>
        <w:tc>
          <w:tcPr>
            <w:tcW w:w="852" w:type="dxa"/>
            <w:gridSpan w:val="2"/>
            <w:vMerge w:val="continue"/>
            <w:vAlign w:val="center"/>
          </w:tcPr>
          <w:p>
            <w:pPr>
              <w:adjustRightInd w:val="0"/>
              <w:snapToGrid w:val="0"/>
              <w:spacing w:line="280" w:lineRule="exact"/>
              <w:jc w:val="center"/>
              <w:rPr>
                <w:rFonts w:ascii="宋体" w:hAnsi="宋体" w:cs="宋体"/>
                <w:szCs w:val="21"/>
              </w:rPr>
            </w:pPr>
          </w:p>
        </w:tc>
        <w:tc>
          <w:tcPr>
            <w:tcW w:w="1701" w:type="dxa"/>
            <w:vAlign w:val="center"/>
          </w:tcPr>
          <w:p>
            <w:pPr>
              <w:adjustRightInd w:val="0"/>
              <w:snapToGrid w:val="0"/>
              <w:spacing w:line="300" w:lineRule="exact"/>
              <w:jc w:val="center"/>
              <w:rPr>
                <w:kern w:val="0"/>
              </w:rPr>
            </w:pPr>
            <w:r>
              <w:rPr>
                <w:kern w:val="0"/>
              </w:rPr>
              <w:t>3.5.3细化补充</w:t>
            </w:r>
          </w:p>
        </w:tc>
        <w:tc>
          <w:tcPr>
            <w:tcW w:w="7229" w:type="dxa"/>
            <w:gridSpan w:val="2"/>
            <w:vAlign w:val="center"/>
          </w:tcPr>
          <w:p>
            <w:pPr>
              <w:spacing w:line="300" w:lineRule="exact"/>
              <w:ind w:firstLine="420" w:firstLineChars="200"/>
              <w:rPr>
                <w:szCs w:val="21"/>
              </w:rPr>
            </w:pPr>
            <w:r>
              <w:rPr>
                <w:szCs w:val="21"/>
              </w:rPr>
              <w:t>企业业绩认定时间：以工程交工验收时间为准。</w:t>
            </w:r>
          </w:p>
          <w:p>
            <w:pPr>
              <w:spacing w:line="300" w:lineRule="exact"/>
              <w:ind w:firstLine="420" w:firstLineChars="200"/>
              <w:rPr>
                <w:szCs w:val="21"/>
              </w:rPr>
            </w:pPr>
            <w:r>
              <w:rPr>
                <w:szCs w:val="21"/>
                <w:highlight w:val="none"/>
              </w:rPr>
              <w:t>企业业绩须在交通运输部全国公路建设市场信用信息管理系统或项目所在地省级交通运输主管部门“公路建设市场信用信息管理系统”进行登记并审核通过，且登记信息能体</w:t>
            </w:r>
            <w:r>
              <w:rPr>
                <w:rFonts w:hint="eastAsia"/>
                <w:szCs w:val="21"/>
                <w:highlight w:val="none"/>
              </w:rPr>
              <w:t>现</w:t>
            </w:r>
            <w:r>
              <w:rPr>
                <w:rFonts w:hint="eastAsia"/>
                <w:szCs w:val="21"/>
                <w:highlight w:val="none"/>
                <w:lang w:eastAsia="zh-CN"/>
              </w:rPr>
              <w:t>一</w:t>
            </w:r>
            <w:r>
              <w:rPr>
                <w:rFonts w:hint="eastAsia"/>
                <w:szCs w:val="21"/>
                <w:highlight w:val="none"/>
              </w:rPr>
              <w:t>级或以上技术等级公路工程，</w:t>
            </w:r>
            <w:r>
              <w:rPr>
                <w:szCs w:val="21"/>
                <w:highlight w:val="none"/>
              </w:rPr>
              <w:t>交工验收时间（</w:t>
            </w:r>
            <w:r>
              <w:rPr>
                <w:rFonts w:hint="eastAsia"/>
                <w:szCs w:val="21"/>
                <w:highlight w:val="none"/>
                <w:lang w:eastAsia="zh-CN"/>
              </w:rPr>
              <w:t>2017年1月1日</w:t>
            </w:r>
            <w:r>
              <w:rPr>
                <w:szCs w:val="21"/>
                <w:highlight w:val="none"/>
              </w:rPr>
              <w:t>至投标截止之日）、等关键内容</w:t>
            </w:r>
            <w:r>
              <w:rPr>
                <w:rFonts w:hint="eastAsia"/>
                <w:szCs w:val="21"/>
                <w:highlight w:val="none"/>
              </w:rPr>
              <w:t>，并截图打印加盖投标人单位章</w:t>
            </w:r>
            <w:r>
              <w:rPr>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2" w:hRule="atLeast"/>
        </w:trPr>
        <w:tc>
          <w:tcPr>
            <w:tcW w:w="852" w:type="dxa"/>
            <w:gridSpan w:val="2"/>
            <w:vMerge w:val="continue"/>
            <w:vAlign w:val="center"/>
          </w:tcPr>
          <w:p>
            <w:pPr>
              <w:adjustRightInd w:val="0"/>
              <w:snapToGrid w:val="0"/>
              <w:spacing w:line="280" w:lineRule="exact"/>
              <w:jc w:val="center"/>
              <w:rPr>
                <w:rFonts w:ascii="宋体" w:hAnsi="宋体"/>
                <w:b/>
                <w:szCs w:val="21"/>
              </w:rPr>
            </w:pPr>
          </w:p>
        </w:tc>
        <w:tc>
          <w:tcPr>
            <w:tcW w:w="1701" w:type="dxa"/>
            <w:vAlign w:val="center"/>
          </w:tcPr>
          <w:p>
            <w:pPr>
              <w:adjustRightInd w:val="0"/>
              <w:snapToGrid w:val="0"/>
              <w:spacing w:line="280" w:lineRule="exact"/>
              <w:jc w:val="left"/>
              <w:rPr>
                <w:rFonts w:ascii="宋体" w:hAnsi="宋体"/>
                <w:szCs w:val="21"/>
              </w:rPr>
            </w:pPr>
            <w:r>
              <w:rPr>
                <w:rFonts w:hint="eastAsia" w:ascii="宋体" w:hAnsi="宋体"/>
                <w:szCs w:val="21"/>
              </w:rPr>
              <w:t>第3.5.4项修改</w:t>
            </w:r>
          </w:p>
        </w:tc>
        <w:tc>
          <w:tcPr>
            <w:tcW w:w="7229" w:type="dxa"/>
            <w:gridSpan w:val="2"/>
            <w:vAlign w:val="center"/>
          </w:tcPr>
          <w:p>
            <w:pPr>
              <w:adjustRightInd w:val="0"/>
              <w:snapToGrid w:val="0"/>
              <w:ind w:firstLine="210" w:firstLineChars="100"/>
              <w:jc w:val="left"/>
              <w:rPr>
                <w:rFonts w:ascii="宋体" w:hAnsi="宋体"/>
                <w:szCs w:val="21"/>
              </w:rPr>
            </w:pPr>
            <w:r>
              <w:rPr>
                <w:rFonts w:hint="eastAsia" w:ascii="宋体" w:hAnsi="宋体"/>
                <w:szCs w:val="21"/>
              </w:rPr>
              <w:t>3.5.4“投标人的信誉情况表”应附投标人在国家企业信用信息公示系统中未被列入严重违法失信企业名单、在“信用中国”网站中未列入失信被执行人名单的网页截图复印件。</w:t>
            </w:r>
          </w:p>
          <w:p>
            <w:pPr>
              <w:adjustRightInd w:val="0"/>
              <w:snapToGrid w:val="0"/>
              <w:ind w:firstLine="210" w:firstLineChars="100"/>
              <w:jc w:val="left"/>
              <w:rPr>
                <w:rFonts w:ascii="宋体" w:hAnsi="宋体"/>
                <w:szCs w:val="21"/>
              </w:rPr>
            </w:pPr>
            <w:r>
              <w:rPr>
                <w:rFonts w:hint="eastAsia" w:ascii="宋体" w:hAnsi="宋体"/>
                <w:szCs w:val="21"/>
              </w:rPr>
              <w:t>1、投标人还应附国家企业信用信息公示系统（http://gsxt. gov.cn/）打印的“列入经营异常名录信息”页。</w:t>
            </w:r>
          </w:p>
          <w:p>
            <w:pPr>
              <w:ind w:firstLine="210" w:firstLineChars="100"/>
              <w:rPr>
                <w:rFonts w:ascii="宋体" w:hAnsi="宋体"/>
                <w:szCs w:val="21"/>
              </w:rPr>
            </w:pPr>
            <w:r>
              <w:rPr>
                <w:rFonts w:hint="eastAsia" w:ascii="宋体" w:hAnsi="宋体"/>
                <w:szCs w:val="21"/>
              </w:rPr>
              <w:t>2、投标人须将近三年内投标人及其法定代表人、拟委任的项目经理及项目总工无行贿犯罪行为的承诺填写在“第九章 投标文件格式 投标函</w:t>
            </w:r>
            <w:r>
              <w:rPr>
                <w:rFonts w:ascii="宋体" w:hAnsi="宋体"/>
                <w:szCs w:val="21"/>
              </w:rPr>
              <w:t>8</w:t>
            </w:r>
            <w:r>
              <w:rPr>
                <w:rFonts w:hint="eastAsia" w:ascii="宋体" w:hAnsi="宋体"/>
                <w:szCs w:val="21"/>
              </w:rPr>
              <w:t>.其他补充说明中”，并将投标人及其法定代表人、拟委任的项目经理、项目总工名单（加盖单位公章）附在投标文件“第九章 投标文件格式 投标人的信誉情况表”后。</w:t>
            </w:r>
          </w:p>
          <w:p>
            <w:pPr>
              <w:ind w:firstLine="210" w:firstLineChars="100"/>
              <w:rPr>
                <w:rFonts w:ascii="宋体" w:hAnsi="宋体" w:cs="宋体"/>
                <w:kern w:val="0"/>
              </w:rPr>
            </w:pPr>
            <w:r>
              <w:rPr>
                <w:rFonts w:hint="eastAsia" w:ascii="宋体" w:hAnsi="宋体"/>
                <w:szCs w:val="21"/>
              </w:rPr>
              <w:t>3、</w:t>
            </w:r>
            <w:r>
              <w:rPr>
                <w:rFonts w:hint="eastAsia" w:ascii="宋体" w:hAnsi="宋体" w:cs="宋体"/>
                <w:kern w:val="0"/>
              </w:rPr>
              <w:t>投标人须在投标文件</w:t>
            </w:r>
            <w:r>
              <w:rPr>
                <w:rFonts w:hint="eastAsia"/>
                <w:szCs w:val="21"/>
              </w:rPr>
              <w:t>“</w:t>
            </w:r>
            <w:r>
              <w:rPr>
                <w:szCs w:val="21"/>
              </w:rPr>
              <w:t>投标人信誉情况表</w:t>
            </w:r>
            <w:r>
              <w:rPr>
                <w:rFonts w:hint="eastAsia"/>
                <w:szCs w:val="21"/>
              </w:rPr>
              <w:t>”</w:t>
            </w:r>
            <w:r>
              <w:rPr>
                <w:rFonts w:hint="eastAsia" w:ascii="宋体" w:hAnsi="宋体" w:cs="宋体"/>
                <w:kern w:val="0"/>
              </w:rPr>
              <w:t>中说明其</w:t>
            </w:r>
            <w:r>
              <w:rPr>
                <w:rFonts w:hint="eastAsia" w:ascii="宋体" w:hAnsi="宋体" w:cs="宋体"/>
                <w:kern w:val="0"/>
                <w:lang w:eastAsia="zh-CN"/>
              </w:rPr>
              <w:t>交通运输部2020年度公路建设从业企业全国综合信用评价</w:t>
            </w:r>
            <w:r>
              <w:rPr>
                <w:rFonts w:hint="eastAsia" w:ascii="宋体" w:hAnsi="宋体" w:cs="宋体"/>
                <w:kern w:val="0"/>
              </w:rPr>
              <w:t>结果 [请登录全国公路建设市场信用管理系统（http://glxy.mot.gov.cn/）下载（或截屏）打印，并加盖公章。] 或</w:t>
            </w:r>
            <w:r>
              <w:rPr>
                <w:rFonts w:hint="eastAsia" w:ascii="宋体" w:hAnsi="宋体" w:cs="宋体"/>
                <w:kern w:val="0"/>
                <w:lang w:eastAsia="zh-CN"/>
              </w:rPr>
              <w:t>202</w:t>
            </w:r>
            <w:r>
              <w:rPr>
                <w:rFonts w:hint="eastAsia" w:ascii="宋体" w:hAnsi="宋体" w:cs="宋体"/>
                <w:kern w:val="0"/>
                <w:lang w:val="en-US" w:eastAsia="zh-CN"/>
              </w:rPr>
              <w:t>1</w:t>
            </w:r>
            <w:r>
              <w:rPr>
                <w:rFonts w:hint="eastAsia" w:ascii="宋体" w:hAnsi="宋体" w:cs="宋体"/>
                <w:kern w:val="0"/>
                <w:lang w:eastAsia="zh-CN"/>
              </w:rPr>
              <w:t>年度天津市公路工程从业企业信用评价</w:t>
            </w:r>
            <w:r>
              <w:rPr>
                <w:rFonts w:hint="eastAsia" w:ascii="宋体" w:hAnsi="宋体" w:cs="宋体"/>
                <w:kern w:val="0"/>
              </w:rPr>
              <w:t xml:space="preserve"> [请登录天津市交通运输委员会官网(</w:t>
            </w:r>
            <w:r>
              <w:rPr>
                <w:rFonts w:ascii="宋体" w:hAnsi="宋体" w:cs="宋体"/>
                <w:kern w:val="0"/>
              </w:rPr>
              <w:t>http://jtys.tj.gov.cn/</w:t>
            </w:r>
            <w:r>
              <w:rPr>
                <w:rFonts w:hint="eastAsia" w:ascii="宋体" w:hAnsi="宋体" w:cs="宋体"/>
                <w:kern w:val="0"/>
              </w:rPr>
              <w:t>) “首页-新闻动态-通知公告”下载打印《天津市交通运输委员会关于公布202</w:t>
            </w:r>
            <w:r>
              <w:rPr>
                <w:rFonts w:hint="eastAsia" w:ascii="宋体" w:hAnsi="宋体" w:cs="宋体"/>
                <w:kern w:val="0"/>
                <w:lang w:val="en-US" w:eastAsia="zh-CN"/>
              </w:rPr>
              <w:t>1</w:t>
            </w:r>
            <w:r>
              <w:rPr>
                <w:rFonts w:hint="eastAsia" w:ascii="宋体" w:hAnsi="宋体" w:cs="宋体"/>
                <w:kern w:val="0"/>
              </w:rPr>
              <w:t>年度 天津市公路建设市场从业企业及 人员信用评价结果的通知》，并加盖公章。]</w:t>
            </w:r>
          </w:p>
          <w:p>
            <w:pPr>
              <w:ind w:firstLine="210" w:firstLineChars="100"/>
              <w:rPr>
                <w:rFonts w:ascii="宋体" w:hAnsi="宋体" w:cs="宋体"/>
                <w:kern w:val="0"/>
              </w:rPr>
            </w:pPr>
            <w:r>
              <w:rPr>
                <w:rFonts w:hint="eastAsia" w:ascii="宋体" w:hAnsi="宋体" w:cs="宋体"/>
                <w:kern w:val="0"/>
              </w:rPr>
              <w:t>本项目要求</w:t>
            </w:r>
            <w:r>
              <w:rPr>
                <w:rFonts w:hint="eastAsia" w:ascii="宋体" w:hAnsi="宋体" w:cs="宋体"/>
                <w:kern w:val="0"/>
                <w:lang w:eastAsia="zh-CN"/>
              </w:rPr>
              <w:t>交通运输部2020年度公路建设从业企业全国综合信用评价</w:t>
            </w:r>
            <w:r>
              <w:rPr>
                <w:rFonts w:hint="eastAsia" w:ascii="宋体" w:hAnsi="宋体" w:cs="宋体"/>
                <w:kern w:val="0"/>
              </w:rPr>
              <w:t>结果或</w:t>
            </w:r>
            <w:r>
              <w:rPr>
                <w:rFonts w:hint="eastAsia" w:ascii="宋体" w:hAnsi="宋体" w:cs="宋体"/>
                <w:kern w:val="0"/>
                <w:lang w:eastAsia="zh-CN"/>
              </w:rPr>
              <w:t>202</w:t>
            </w:r>
            <w:r>
              <w:rPr>
                <w:rFonts w:hint="eastAsia" w:ascii="宋体" w:hAnsi="宋体" w:cs="宋体"/>
                <w:kern w:val="0"/>
                <w:lang w:val="en-US" w:eastAsia="zh-CN"/>
              </w:rPr>
              <w:t>1</w:t>
            </w:r>
            <w:r>
              <w:rPr>
                <w:rFonts w:hint="eastAsia" w:ascii="宋体" w:hAnsi="宋体" w:cs="宋体"/>
                <w:kern w:val="0"/>
                <w:lang w:eastAsia="zh-CN"/>
              </w:rPr>
              <w:t>年度天津市公路工程从业企业信用评价</w:t>
            </w:r>
            <w:r>
              <w:rPr>
                <w:rFonts w:hint="eastAsia" w:ascii="宋体" w:hAnsi="宋体" w:cs="宋体"/>
                <w:kern w:val="0"/>
              </w:rPr>
              <w:t>结果为C级或以上。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8" w:hRule="atLeast"/>
        </w:trPr>
        <w:tc>
          <w:tcPr>
            <w:tcW w:w="852" w:type="dxa"/>
            <w:gridSpan w:val="2"/>
            <w:vMerge w:val="continue"/>
            <w:vAlign w:val="center"/>
          </w:tcPr>
          <w:p>
            <w:pPr>
              <w:adjustRightInd w:val="0"/>
              <w:snapToGrid w:val="0"/>
              <w:spacing w:line="280" w:lineRule="exact"/>
              <w:jc w:val="center"/>
              <w:rPr>
                <w:rFonts w:ascii="宋体" w:hAnsi="宋体"/>
                <w:b/>
                <w:szCs w:val="21"/>
              </w:rPr>
            </w:pPr>
            <w:r>
              <w:rPr>
                <w:rFonts w:hint="eastAsia" w:ascii="宋体" w:hAnsi="宋体"/>
                <w:b/>
                <w:szCs w:val="21"/>
              </w:rPr>
              <w:t>·</w:t>
            </w:r>
          </w:p>
        </w:tc>
        <w:tc>
          <w:tcPr>
            <w:tcW w:w="1701" w:type="dxa"/>
            <w:vAlign w:val="center"/>
          </w:tcPr>
          <w:p>
            <w:pPr>
              <w:adjustRightInd w:val="0"/>
              <w:snapToGrid w:val="0"/>
              <w:spacing w:line="280" w:lineRule="exact"/>
              <w:jc w:val="left"/>
              <w:rPr>
                <w:rFonts w:ascii="宋体" w:hAnsi="宋体"/>
                <w:szCs w:val="21"/>
              </w:rPr>
            </w:pPr>
            <w:r>
              <w:rPr>
                <w:rFonts w:hint="eastAsia" w:ascii="宋体" w:hAnsi="宋体"/>
                <w:szCs w:val="21"/>
              </w:rPr>
              <w:t>第</w:t>
            </w:r>
            <w:r>
              <w:rPr>
                <w:rFonts w:ascii="宋体" w:hAnsi="宋体"/>
                <w:szCs w:val="21"/>
              </w:rPr>
              <w:t>3.5.5</w:t>
            </w:r>
            <w:r>
              <w:rPr>
                <w:rFonts w:hint="eastAsia" w:ascii="宋体" w:hAnsi="宋体"/>
                <w:szCs w:val="21"/>
              </w:rPr>
              <w:t>项细化</w:t>
            </w:r>
          </w:p>
        </w:tc>
        <w:tc>
          <w:tcPr>
            <w:tcW w:w="7229" w:type="dxa"/>
            <w:gridSpan w:val="2"/>
            <w:vAlign w:val="center"/>
          </w:tcPr>
          <w:p>
            <w:pPr>
              <w:pStyle w:val="2"/>
              <w:ind w:firstLine="420" w:firstLineChars="200"/>
            </w:pPr>
            <w:r>
              <w:rPr>
                <w:rFonts w:hint="eastAsia"/>
              </w:rPr>
              <w:t>相关人员社保缴费证明复印件须证明：投标人所属社保机构出具的拟委任项目经理、项目总工在</w:t>
            </w:r>
            <w:r>
              <w:rPr>
                <w:rFonts w:hint="eastAsia"/>
                <w:lang w:eastAsia="zh-CN"/>
              </w:rPr>
              <w:t>202</w:t>
            </w:r>
            <w:r>
              <w:rPr>
                <w:rFonts w:hint="eastAsia"/>
                <w:lang w:val="en-US" w:eastAsia="zh-CN"/>
              </w:rPr>
              <w:t>1</w:t>
            </w:r>
            <w:r>
              <w:t>年</w:t>
            </w:r>
            <w:r>
              <w:rPr>
                <w:rFonts w:hint="eastAsia"/>
                <w:lang w:val="en-US" w:eastAsia="zh-CN"/>
              </w:rPr>
              <w:t>10</w:t>
            </w:r>
            <w:r>
              <w:t>月至</w:t>
            </w:r>
            <w:r>
              <w:rPr>
                <w:rFonts w:hint="eastAsia"/>
              </w:rPr>
              <w:t>投标截止时间中任意连续6个月在该单位缴纳的社会保险缴费证明或其他能够证明拟委任的项目经理、项目总工参加社会保险的有效证明材料复印件。</w:t>
            </w:r>
          </w:p>
          <w:p>
            <w:pPr>
              <w:pStyle w:val="2"/>
              <w:ind w:firstLine="420" w:firstLineChars="200"/>
            </w:pPr>
            <w:r>
              <w:t>人员业绩认定时间：以工程交工时间为准。人员业绩须在交通运输部全国公路建设市场信用信息管理系统或项目所在地省级交通运输主管部门“公路建设市场信用信息管理系统”进行登记并审核通过，且登记信息能体现</w:t>
            </w:r>
            <w:r>
              <w:rPr>
                <w:rFonts w:hint="eastAsia"/>
                <w:b/>
                <w:bCs/>
                <w:color w:val="FF0000"/>
                <w:lang w:val="en-US" w:eastAsia="zh-CN"/>
              </w:rPr>
              <w:t>一</w:t>
            </w:r>
            <w:r>
              <w:rPr>
                <w:rFonts w:hint="eastAsia"/>
              </w:rPr>
              <w:t>级(或以上)技术等级</w:t>
            </w:r>
            <w:r>
              <w:t>、</w:t>
            </w:r>
            <w:r>
              <w:rPr>
                <w:rFonts w:hint="eastAsia"/>
              </w:rPr>
              <w:t>里程长度、工程</w:t>
            </w:r>
            <w:r>
              <w:t>内容</w:t>
            </w:r>
            <w:r>
              <w:rPr>
                <w:rFonts w:hint="eastAsia"/>
              </w:rPr>
              <w:t>、交工验收时间</w:t>
            </w:r>
            <w:r>
              <w:t>及任职情况等关键内容。</w:t>
            </w:r>
          </w:p>
          <w:p>
            <w:pPr>
              <w:pStyle w:val="2"/>
              <w:ind w:firstLine="420" w:firstLineChars="200"/>
            </w:pPr>
            <w:r>
              <w:rPr>
                <w:rFonts w:hint="eastAsia"/>
              </w:rPr>
              <w:t>相关人员需提供省级交通运输主管部门颁发的有效的施工企业主要负责人和安全生产管理人员安全生产考核合格证书（B类）。由省级交通运输主管部门颁发的证件，需提供施工企业安全人员相关登记信息，该信息应在交通运输部公路水运工程施工企业负责人和安全生产管理人员信息公共查询平台进行查询并截屏打印该网页。安全生产考核合格证书样式必须符合《交通运输部关于印发公路水运工程施工企业主要负责人和安全生产管理人员考核管理办法的通知》(交安监发[2016]65号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8" w:hRule="atLeast"/>
        </w:trPr>
        <w:tc>
          <w:tcPr>
            <w:tcW w:w="852" w:type="dxa"/>
            <w:gridSpan w:val="2"/>
            <w:vAlign w:val="center"/>
          </w:tcPr>
          <w:p>
            <w:pPr>
              <w:adjustRightInd w:val="0"/>
              <w:snapToGrid w:val="0"/>
              <w:spacing w:line="280" w:lineRule="exact"/>
              <w:jc w:val="center"/>
              <w:rPr>
                <w:rFonts w:hint="eastAsia" w:ascii="宋体" w:hAnsi="宋体"/>
                <w:b/>
                <w:szCs w:val="21"/>
              </w:rPr>
            </w:pPr>
          </w:p>
        </w:tc>
        <w:tc>
          <w:tcPr>
            <w:tcW w:w="1701" w:type="dxa"/>
            <w:vAlign w:val="center"/>
          </w:tcPr>
          <w:p>
            <w:pPr>
              <w:adjustRightInd w:val="0"/>
              <w:snapToGrid w:val="0"/>
              <w:spacing w:line="280" w:lineRule="exact"/>
              <w:jc w:val="left"/>
              <w:rPr>
                <w:rFonts w:hint="eastAsia" w:ascii="宋体" w:hAnsi="宋体" w:eastAsia="宋体"/>
                <w:szCs w:val="21"/>
                <w:lang w:eastAsia="zh-CN"/>
              </w:rPr>
            </w:pPr>
            <w:r>
              <w:rPr>
                <w:rFonts w:hint="eastAsia" w:ascii="宋体" w:hAnsi="宋体"/>
                <w:szCs w:val="21"/>
              </w:rPr>
              <w:t>第</w:t>
            </w:r>
            <w:r>
              <w:rPr>
                <w:rFonts w:ascii="宋体" w:hAnsi="宋体"/>
                <w:szCs w:val="21"/>
              </w:rPr>
              <w:t>3.5.5</w:t>
            </w:r>
            <w:r>
              <w:rPr>
                <w:rFonts w:hint="eastAsia" w:ascii="宋体" w:hAnsi="宋体"/>
                <w:szCs w:val="21"/>
              </w:rPr>
              <w:t>项</w:t>
            </w:r>
            <w:r>
              <w:rPr>
                <w:rFonts w:hint="eastAsia" w:ascii="宋体" w:hAnsi="宋体"/>
                <w:szCs w:val="21"/>
                <w:lang w:eastAsia="zh-CN"/>
              </w:rPr>
              <w:t>修改</w:t>
            </w:r>
          </w:p>
        </w:tc>
        <w:tc>
          <w:tcPr>
            <w:tcW w:w="7229" w:type="dxa"/>
            <w:gridSpan w:val="2"/>
            <w:vAlign w:val="center"/>
          </w:tcPr>
          <w:p>
            <w:pPr>
              <w:pStyle w:val="2"/>
              <w:ind w:firstLine="420" w:firstLineChars="200"/>
              <w:rPr>
                <w:rFonts w:hint="eastAsia"/>
              </w:rPr>
            </w:pPr>
            <w:r>
              <w:rPr>
                <w:rFonts w:hint="eastAsia" w:cs="Calibri"/>
                <w:szCs w:val="21"/>
                <w:lang w:val="zh-CN"/>
              </w:rPr>
              <w:t>删除“如项目经理和项目总工仍在其他项目任职，则投标人应提供由该项目发包人出具的、承诺上述人员能够从该项目撤离的书面证明材料原件”依据《交通运输部关于取消一批证明事项的规定》（交法规【2020】1号）有关要求修改为“如项目经理和项目总工仍在其他项目任职，则投标人应提供承诺上述人员能够从该项目撤离的书面证明材料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28" w:hRule="atLeast"/>
        </w:trPr>
        <w:tc>
          <w:tcPr>
            <w:tcW w:w="835" w:type="dxa"/>
            <w:vMerge w:val="restart"/>
            <w:vAlign w:val="center"/>
          </w:tcPr>
          <w:p>
            <w:pPr>
              <w:adjustRightInd w:val="0"/>
              <w:snapToGrid w:val="0"/>
              <w:spacing w:line="260" w:lineRule="exact"/>
              <w:jc w:val="center"/>
              <w:rPr>
                <w:rFonts w:ascii="宋体" w:hAnsi="宋体" w:cs="宋体"/>
              </w:rPr>
            </w:pPr>
            <w:r>
              <w:rPr>
                <w:rFonts w:hint="eastAsia" w:ascii="宋体" w:hAnsi="宋体" w:cs="宋体"/>
              </w:rPr>
              <w:t>3.7</w:t>
            </w:r>
          </w:p>
        </w:tc>
        <w:tc>
          <w:tcPr>
            <w:tcW w:w="1701" w:type="dxa"/>
            <w:vAlign w:val="center"/>
          </w:tcPr>
          <w:p>
            <w:pPr>
              <w:adjustRightInd w:val="0"/>
              <w:snapToGrid w:val="0"/>
              <w:spacing w:line="260" w:lineRule="exact"/>
              <w:rPr>
                <w:rFonts w:ascii="宋体" w:hAnsi="宋体" w:cs="宋体"/>
                <w:szCs w:val="21"/>
              </w:rPr>
            </w:pPr>
            <w:r>
              <w:rPr>
                <w:rFonts w:hint="eastAsia" w:ascii="宋体" w:hAnsi="宋体" w:cs="宋体"/>
                <w:szCs w:val="21"/>
              </w:rPr>
              <w:t>第3.7.2项补充</w:t>
            </w:r>
          </w:p>
        </w:tc>
        <w:tc>
          <w:tcPr>
            <w:tcW w:w="7223" w:type="dxa"/>
            <w:vAlign w:val="center"/>
          </w:tcPr>
          <w:p>
            <w:pPr>
              <w:adjustRightInd w:val="0"/>
              <w:snapToGrid w:val="0"/>
              <w:spacing w:line="260" w:lineRule="exact"/>
              <w:ind w:firstLine="210" w:firstLineChars="100"/>
              <w:jc w:val="left"/>
              <w:rPr>
                <w:rFonts w:ascii="宋体" w:hAnsi="宋体"/>
                <w:szCs w:val="21"/>
              </w:rPr>
            </w:pPr>
            <w:r>
              <w:rPr>
                <w:rFonts w:hint="eastAsia" w:ascii="宋体" w:hAnsi="宋体"/>
                <w:szCs w:val="21"/>
              </w:rPr>
              <w:t>投标文件中填写的项目名称、标段号、招标人名称等关键信息应与招标文件一致。投标文件中填写的时间、投标人名称等关键信息应不得有明显严重错误。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400" w:hRule="atLeast"/>
        </w:trPr>
        <w:tc>
          <w:tcPr>
            <w:tcW w:w="835" w:type="dxa"/>
            <w:vMerge w:val="continue"/>
            <w:tcBorders>
              <w:bottom w:val="single" w:color="auto" w:sz="4" w:space="0"/>
            </w:tcBorders>
            <w:vAlign w:val="center"/>
          </w:tcPr>
          <w:p>
            <w:pPr>
              <w:adjustRightInd w:val="0"/>
              <w:snapToGrid w:val="0"/>
              <w:spacing w:line="260" w:lineRule="exact"/>
              <w:jc w:val="center"/>
              <w:rPr>
                <w:rFonts w:ascii="宋体" w:hAnsi="宋体" w:cs="宋体"/>
              </w:rPr>
            </w:pPr>
          </w:p>
        </w:tc>
        <w:tc>
          <w:tcPr>
            <w:tcW w:w="1701" w:type="dxa"/>
            <w:vAlign w:val="center"/>
          </w:tcPr>
          <w:p>
            <w:pPr>
              <w:adjustRightInd w:val="0"/>
              <w:snapToGrid w:val="0"/>
              <w:spacing w:line="260" w:lineRule="exact"/>
              <w:jc w:val="left"/>
              <w:rPr>
                <w:rFonts w:ascii="宋体" w:hAnsi="宋体"/>
                <w:szCs w:val="21"/>
              </w:rPr>
            </w:pPr>
            <w:r>
              <w:rPr>
                <w:rFonts w:hint="eastAsia" w:ascii="宋体" w:hAnsi="宋体" w:cs="宋体"/>
                <w:szCs w:val="21"/>
              </w:rPr>
              <w:t>第3.7.4项补充</w:t>
            </w:r>
          </w:p>
        </w:tc>
        <w:tc>
          <w:tcPr>
            <w:tcW w:w="7223" w:type="dxa"/>
            <w:vAlign w:val="center"/>
          </w:tcPr>
          <w:p>
            <w:pPr>
              <w:adjustRightInd w:val="0"/>
              <w:snapToGrid w:val="0"/>
              <w:spacing w:line="260" w:lineRule="exact"/>
              <w:ind w:firstLine="210" w:firstLineChars="100"/>
              <w:jc w:val="left"/>
              <w:rPr>
                <w:rFonts w:ascii="宋体" w:hAnsi="宋体"/>
                <w:szCs w:val="21"/>
              </w:rPr>
            </w:pPr>
            <w:r>
              <w:rPr>
                <w:rFonts w:hint="eastAsia" w:ascii="宋体" w:hAnsi="宋体"/>
                <w:szCs w:val="21"/>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01" w:hRule="atLeast"/>
        </w:trPr>
        <w:tc>
          <w:tcPr>
            <w:tcW w:w="835" w:type="dxa"/>
            <w:tcBorders>
              <w:top w:val="single" w:color="auto" w:sz="4" w:space="0"/>
            </w:tcBorders>
            <w:vAlign w:val="center"/>
          </w:tcPr>
          <w:p>
            <w:pPr>
              <w:adjustRightInd w:val="0"/>
              <w:snapToGrid w:val="0"/>
              <w:spacing w:line="260" w:lineRule="exact"/>
              <w:jc w:val="center"/>
              <w:rPr>
                <w:rFonts w:ascii="宋体" w:hAnsi="宋体" w:cs="宋体"/>
              </w:rPr>
            </w:pPr>
            <w:r>
              <w:rPr>
                <w:rFonts w:hint="eastAsia" w:ascii="宋体" w:hAnsi="宋体" w:cs="宋体"/>
              </w:rPr>
              <w:t>7.8</w:t>
            </w:r>
          </w:p>
        </w:tc>
        <w:tc>
          <w:tcPr>
            <w:tcW w:w="1701" w:type="dxa"/>
            <w:vAlign w:val="center"/>
          </w:tcPr>
          <w:p>
            <w:pPr>
              <w:adjustRightInd w:val="0"/>
              <w:snapToGrid w:val="0"/>
              <w:spacing w:line="260" w:lineRule="exact"/>
              <w:ind w:right="482"/>
              <w:rPr>
                <w:rFonts w:ascii="宋体" w:hAnsi="宋体"/>
                <w:b/>
                <w:szCs w:val="21"/>
              </w:rPr>
            </w:pPr>
            <w:r>
              <w:rPr>
                <w:rFonts w:hint="eastAsia" w:ascii="宋体" w:hAnsi="宋体" w:cs="宋体"/>
                <w:szCs w:val="21"/>
              </w:rPr>
              <w:t>补充第7.8.6款</w:t>
            </w:r>
          </w:p>
        </w:tc>
        <w:tc>
          <w:tcPr>
            <w:tcW w:w="7223" w:type="dxa"/>
            <w:vAlign w:val="center"/>
          </w:tcPr>
          <w:p>
            <w:pPr>
              <w:adjustRightInd w:val="0"/>
              <w:snapToGrid w:val="0"/>
              <w:spacing w:line="260" w:lineRule="exact"/>
              <w:ind w:firstLine="210" w:firstLineChars="100"/>
              <w:rPr>
                <w:rFonts w:ascii="宋体" w:hAnsi="宋体"/>
                <w:b/>
                <w:szCs w:val="21"/>
              </w:rPr>
            </w:pPr>
            <w:r>
              <w:rPr>
                <w:rFonts w:hint="eastAsia" w:ascii="宋体" w:hAnsi="宋体"/>
                <w:szCs w:val="21"/>
              </w:rPr>
              <w:t>如果根据本章第3.5.11项、第7.7.2项及第7.8.1项规定，招标人取消了中标人的中标资格，在此情况下，招标人可将合同授予下一个中标候选人，或者按规定重新组织招标。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65" w:hRule="atLeast"/>
        </w:trPr>
        <w:tc>
          <w:tcPr>
            <w:tcW w:w="835" w:type="dxa"/>
            <w:vMerge w:val="restart"/>
            <w:vAlign w:val="center"/>
          </w:tcPr>
          <w:p>
            <w:pPr>
              <w:adjustRightInd w:val="0"/>
              <w:snapToGrid w:val="0"/>
              <w:spacing w:line="260" w:lineRule="exact"/>
              <w:jc w:val="center"/>
              <w:rPr>
                <w:rFonts w:ascii="宋体" w:hAnsi="宋体"/>
                <w:b/>
                <w:szCs w:val="21"/>
              </w:rPr>
            </w:pPr>
            <w:r>
              <w:rPr>
                <w:rFonts w:hint="eastAsia" w:ascii="宋体" w:hAnsi="宋体" w:cs="宋体"/>
                <w:kern w:val="0"/>
                <w:szCs w:val="21"/>
              </w:rPr>
              <w:t>10</w:t>
            </w:r>
          </w:p>
        </w:tc>
        <w:tc>
          <w:tcPr>
            <w:tcW w:w="1701" w:type="dxa"/>
            <w:vAlign w:val="center"/>
          </w:tcPr>
          <w:p>
            <w:pPr>
              <w:adjustRightInd w:val="0"/>
              <w:snapToGrid w:val="0"/>
              <w:spacing w:line="260" w:lineRule="exact"/>
              <w:rPr>
                <w:rFonts w:ascii="宋体" w:hAnsi="宋体"/>
                <w:szCs w:val="21"/>
              </w:rPr>
            </w:pPr>
            <w:r>
              <w:rPr>
                <w:rFonts w:hint="eastAsia" w:ascii="宋体" w:hAnsi="宋体"/>
                <w:szCs w:val="21"/>
              </w:rPr>
              <w:t>补充第10.2款</w:t>
            </w:r>
          </w:p>
        </w:tc>
        <w:tc>
          <w:tcPr>
            <w:tcW w:w="7223" w:type="dxa"/>
            <w:vAlign w:val="center"/>
          </w:tcPr>
          <w:p>
            <w:pPr>
              <w:adjustRightInd w:val="0"/>
              <w:snapToGrid w:val="0"/>
              <w:spacing w:line="260" w:lineRule="exact"/>
              <w:ind w:firstLine="210" w:firstLineChars="100"/>
              <w:jc w:val="left"/>
              <w:rPr>
                <w:rFonts w:ascii="宋体" w:hAnsi="宋体"/>
                <w:szCs w:val="21"/>
              </w:rPr>
            </w:pPr>
            <w:r>
              <w:rPr>
                <w:rFonts w:hint="eastAsia" w:ascii="宋体" w:hAnsi="宋体"/>
                <w:szCs w:val="21"/>
              </w:rPr>
              <w:t>10.2中标人应按《公路水运工程安全生产监督管理办法》规定的最低数量和资质条件配备专职安全生产管理人员。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1552" w:hRule="atLeast"/>
        </w:trPr>
        <w:tc>
          <w:tcPr>
            <w:tcW w:w="835" w:type="dxa"/>
            <w:vMerge w:val="continue"/>
            <w:vAlign w:val="center"/>
          </w:tcPr>
          <w:p>
            <w:pPr>
              <w:adjustRightInd w:val="0"/>
              <w:snapToGrid w:val="0"/>
              <w:spacing w:line="260" w:lineRule="exact"/>
              <w:jc w:val="center"/>
              <w:rPr>
                <w:rFonts w:ascii="宋体" w:hAnsi="宋体" w:cs="宋体"/>
                <w:kern w:val="0"/>
                <w:szCs w:val="21"/>
              </w:rPr>
            </w:pPr>
          </w:p>
        </w:tc>
        <w:tc>
          <w:tcPr>
            <w:tcW w:w="1701" w:type="dxa"/>
            <w:vAlign w:val="center"/>
          </w:tcPr>
          <w:p>
            <w:pPr>
              <w:adjustRightInd w:val="0"/>
              <w:snapToGrid w:val="0"/>
              <w:spacing w:line="260" w:lineRule="exact"/>
              <w:jc w:val="left"/>
              <w:rPr>
                <w:rFonts w:ascii="宋体" w:hAnsi="宋体"/>
                <w:szCs w:val="21"/>
              </w:rPr>
            </w:pPr>
            <w:r>
              <w:rPr>
                <w:rFonts w:hint="eastAsia" w:ascii="宋体" w:hAnsi="宋体"/>
                <w:szCs w:val="21"/>
              </w:rPr>
              <w:t>补充第10.3款</w:t>
            </w:r>
          </w:p>
        </w:tc>
        <w:tc>
          <w:tcPr>
            <w:tcW w:w="7223" w:type="dxa"/>
            <w:vAlign w:val="center"/>
          </w:tcPr>
          <w:p>
            <w:pPr>
              <w:spacing w:line="260" w:lineRule="exact"/>
              <w:ind w:firstLine="210" w:firstLineChars="100"/>
              <w:rPr>
                <w:rFonts w:ascii="宋体" w:hAnsi="宋体"/>
                <w:szCs w:val="21"/>
              </w:rPr>
            </w:pPr>
            <w:r>
              <w:rPr>
                <w:rFonts w:hint="eastAsia" w:ascii="宋体" w:hAnsi="宋体"/>
                <w:szCs w:val="21"/>
              </w:rPr>
              <w:t>10.3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49" w:hRule="atLeast"/>
        </w:trPr>
        <w:tc>
          <w:tcPr>
            <w:tcW w:w="835" w:type="dxa"/>
            <w:vMerge w:val="continue"/>
            <w:vAlign w:val="center"/>
          </w:tcPr>
          <w:p>
            <w:pPr>
              <w:adjustRightInd w:val="0"/>
              <w:snapToGrid w:val="0"/>
              <w:spacing w:line="260" w:lineRule="exact"/>
              <w:jc w:val="center"/>
              <w:rPr>
                <w:rFonts w:ascii="宋体" w:hAnsi="宋体"/>
                <w:b/>
                <w:szCs w:val="21"/>
              </w:rPr>
            </w:pPr>
          </w:p>
        </w:tc>
        <w:tc>
          <w:tcPr>
            <w:tcW w:w="1701" w:type="dxa"/>
            <w:vAlign w:val="center"/>
          </w:tcPr>
          <w:p>
            <w:pPr>
              <w:adjustRightInd w:val="0"/>
              <w:snapToGrid w:val="0"/>
              <w:spacing w:line="260" w:lineRule="exact"/>
              <w:ind w:right="-107"/>
              <w:jc w:val="left"/>
              <w:rPr>
                <w:rFonts w:ascii="宋体" w:hAnsi="宋体"/>
                <w:szCs w:val="21"/>
              </w:rPr>
            </w:pPr>
            <w:r>
              <w:rPr>
                <w:rFonts w:hint="eastAsia" w:ascii="宋体" w:hAnsi="宋体"/>
                <w:szCs w:val="21"/>
              </w:rPr>
              <w:t>补充第10.4款</w:t>
            </w:r>
          </w:p>
        </w:tc>
        <w:tc>
          <w:tcPr>
            <w:tcW w:w="7223" w:type="dxa"/>
            <w:vAlign w:val="center"/>
          </w:tcPr>
          <w:p>
            <w:pPr>
              <w:spacing w:line="260" w:lineRule="exact"/>
              <w:ind w:firstLine="210" w:firstLineChars="100"/>
              <w:rPr>
                <w:rFonts w:ascii="宋体" w:hAnsi="宋体"/>
                <w:szCs w:val="21"/>
              </w:rPr>
            </w:pPr>
            <w:r>
              <w:rPr>
                <w:rFonts w:hint="eastAsia" w:ascii="宋体" w:hAnsi="宋体"/>
                <w:szCs w:val="21"/>
              </w:rPr>
              <w:t>10.4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81" w:hRule="atLeast"/>
        </w:trPr>
        <w:tc>
          <w:tcPr>
            <w:tcW w:w="835" w:type="dxa"/>
            <w:vMerge w:val="continue"/>
            <w:vAlign w:val="center"/>
          </w:tcPr>
          <w:p>
            <w:pPr>
              <w:adjustRightInd w:val="0"/>
              <w:snapToGrid w:val="0"/>
              <w:spacing w:line="260" w:lineRule="exact"/>
              <w:jc w:val="center"/>
              <w:rPr>
                <w:rFonts w:ascii="宋体" w:hAnsi="宋体"/>
                <w:b/>
                <w:szCs w:val="21"/>
              </w:rPr>
            </w:pPr>
          </w:p>
        </w:tc>
        <w:tc>
          <w:tcPr>
            <w:tcW w:w="1701" w:type="dxa"/>
            <w:vAlign w:val="center"/>
          </w:tcPr>
          <w:p>
            <w:pPr>
              <w:adjustRightInd w:val="0"/>
              <w:snapToGrid w:val="0"/>
              <w:spacing w:line="260" w:lineRule="exact"/>
              <w:ind w:right="-107"/>
              <w:jc w:val="left"/>
              <w:rPr>
                <w:rFonts w:ascii="宋体" w:hAnsi="宋体"/>
                <w:szCs w:val="21"/>
              </w:rPr>
            </w:pPr>
            <w:r>
              <w:rPr>
                <w:rFonts w:hint="eastAsia" w:ascii="宋体" w:hAnsi="宋体"/>
                <w:szCs w:val="21"/>
              </w:rPr>
              <w:t>补充第10.5款</w:t>
            </w:r>
          </w:p>
        </w:tc>
        <w:tc>
          <w:tcPr>
            <w:tcW w:w="7223" w:type="dxa"/>
            <w:vAlign w:val="center"/>
          </w:tcPr>
          <w:p>
            <w:pPr>
              <w:spacing w:line="260" w:lineRule="exact"/>
              <w:ind w:firstLine="210" w:firstLineChars="100"/>
              <w:rPr>
                <w:rFonts w:ascii="宋体" w:hAnsi="宋体"/>
                <w:szCs w:val="21"/>
              </w:rPr>
            </w:pPr>
            <w:r>
              <w:rPr>
                <w:rFonts w:ascii="宋体" w:hAnsi="宋体" w:cs="宋体"/>
                <w:kern w:val="0"/>
              </w:rPr>
              <w:t>10.</w:t>
            </w:r>
            <w:r>
              <w:rPr>
                <w:rFonts w:hint="eastAsia" w:ascii="宋体" w:hAnsi="宋体" w:cs="宋体"/>
                <w:kern w:val="0"/>
              </w:rPr>
              <w:t>5质量保证金限额为3％合同价格。履约保证金的退还与收取质量保证金不得重复，并符合国家住建部《关于印发建设工程质量保证金管理办法的通知》（建质[2017]138号）文件的规定。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81" w:hRule="atLeast"/>
        </w:trPr>
        <w:tc>
          <w:tcPr>
            <w:tcW w:w="835" w:type="dxa"/>
            <w:vMerge w:val="continue"/>
            <w:vAlign w:val="center"/>
          </w:tcPr>
          <w:p>
            <w:pPr>
              <w:adjustRightInd w:val="0"/>
              <w:snapToGrid w:val="0"/>
              <w:spacing w:line="260" w:lineRule="exact"/>
              <w:jc w:val="center"/>
              <w:rPr>
                <w:rFonts w:ascii="宋体" w:hAnsi="宋体"/>
                <w:b/>
                <w:szCs w:val="21"/>
              </w:rPr>
            </w:pPr>
          </w:p>
        </w:tc>
        <w:tc>
          <w:tcPr>
            <w:tcW w:w="1701" w:type="dxa"/>
            <w:vAlign w:val="center"/>
          </w:tcPr>
          <w:p>
            <w:pPr>
              <w:adjustRightInd w:val="0"/>
              <w:snapToGrid w:val="0"/>
              <w:spacing w:line="260" w:lineRule="exact"/>
              <w:ind w:right="-107"/>
              <w:jc w:val="left"/>
              <w:rPr>
                <w:rFonts w:ascii="宋体" w:hAnsi="宋体"/>
                <w:szCs w:val="21"/>
              </w:rPr>
            </w:pPr>
            <w:r>
              <w:rPr>
                <w:rFonts w:hint="eastAsia" w:ascii="宋体" w:hAnsi="宋体"/>
                <w:szCs w:val="21"/>
              </w:rPr>
              <w:t>补充第10.6款</w:t>
            </w:r>
          </w:p>
        </w:tc>
        <w:tc>
          <w:tcPr>
            <w:tcW w:w="7223" w:type="dxa"/>
            <w:vAlign w:val="center"/>
          </w:tcPr>
          <w:p>
            <w:pPr>
              <w:spacing w:line="260" w:lineRule="exact"/>
              <w:ind w:firstLine="210" w:firstLineChars="100"/>
              <w:rPr>
                <w:rFonts w:ascii="宋体" w:hAnsi="宋体"/>
                <w:szCs w:val="21"/>
              </w:rPr>
            </w:pPr>
            <w:r>
              <w:rPr>
                <w:rFonts w:hint="eastAsia" w:ascii="宋体" w:hAnsi="宋体"/>
                <w:szCs w:val="21"/>
              </w:rPr>
              <w:t>10.6中标人请严格执行《市人力社保局等六部门关于铁路、公路、水运、水利、能源、机场工程建设项目参加工伤保险工作的实施意见》（津人社局发[2018]40号），按时足额为农民工交纳工伤保险。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7" w:type="dxa"/>
          <w:wAfter w:w="6" w:type="dxa"/>
          <w:cantSplit/>
          <w:trHeight w:val="881" w:hRule="atLeast"/>
        </w:trPr>
        <w:tc>
          <w:tcPr>
            <w:tcW w:w="835" w:type="dxa"/>
            <w:vMerge w:val="continue"/>
            <w:vAlign w:val="center"/>
          </w:tcPr>
          <w:p>
            <w:pPr>
              <w:adjustRightInd w:val="0"/>
              <w:snapToGrid w:val="0"/>
              <w:spacing w:line="260" w:lineRule="exact"/>
              <w:jc w:val="center"/>
              <w:rPr>
                <w:rFonts w:ascii="宋体" w:hAnsi="宋体"/>
                <w:b/>
                <w:szCs w:val="21"/>
              </w:rPr>
            </w:pPr>
          </w:p>
        </w:tc>
        <w:tc>
          <w:tcPr>
            <w:tcW w:w="1701" w:type="dxa"/>
            <w:vAlign w:val="center"/>
          </w:tcPr>
          <w:p>
            <w:pPr>
              <w:adjustRightInd w:val="0"/>
              <w:snapToGrid w:val="0"/>
              <w:spacing w:line="260" w:lineRule="exact"/>
              <w:ind w:right="-107"/>
              <w:jc w:val="left"/>
              <w:rPr>
                <w:rFonts w:ascii="宋体" w:hAnsi="宋体"/>
                <w:szCs w:val="21"/>
              </w:rPr>
            </w:pPr>
            <w:r>
              <w:rPr>
                <w:rFonts w:hint="eastAsia" w:ascii="宋体" w:hAnsi="宋体"/>
                <w:szCs w:val="21"/>
              </w:rPr>
              <w:t>补充第10.7款</w:t>
            </w:r>
          </w:p>
        </w:tc>
        <w:tc>
          <w:tcPr>
            <w:tcW w:w="7223" w:type="dxa"/>
            <w:vAlign w:val="center"/>
          </w:tcPr>
          <w:p>
            <w:pPr>
              <w:spacing w:line="260" w:lineRule="exact"/>
              <w:ind w:firstLine="210" w:firstLineChars="100"/>
              <w:rPr>
                <w:rFonts w:ascii="宋体" w:hAnsi="宋体"/>
                <w:szCs w:val="21"/>
              </w:rPr>
            </w:pPr>
            <w:r>
              <w:rPr>
                <w:rFonts w:hint="eastAsia" w:ascii="宋体" w:hAnsi="宋体"/>
                <w:szCs w:val="21"/>
              </w:rPr>
              <w:t>10.7投标人严格执行《天津市交通运输委员会关于进一步规范我市公路建设项目施工现场扬尘在线监测和远程视频监控设备安装使用管理工作的通知》（津交发〔2018〕108号），投标报价时应在施工环保费中充分考虑。</w:t>
            </w:r>
          </w:p>
        </w:tc>
      </w:tr>
    </w:tbl>
    <w:p>
      <w:pPr>
        <w:spacing w:line="360" w:lineRule="auto"/>
        <w:rPr>
          <w:sz w:val="28"/>
          <w:szCs w:val="28"/>
        </w:rPr>
      </w:pPr>
    </w:p>
    <w:p>
      <w:pPr>
        <w:widowControl/>
        <w:jc w:val="left"/>
        <w:rPr>
          <w:sz w:val="28"/>
          <w:szCs w:val="28"/>
        </w:rPr>
      </w:pPr>
      <w:r>
        <w:rPr>
          <w:sz w:val="28"/>
          <w:szCs w:val="28"/>
        </w:rPr>
        <w:br w:type="page"/>
      </w:r>
    </w:p>
    <w:p>
      <w:pPr>
        <w:spacing w:line="360" w:lineRule="auto"/>
        <w:rPr>
          <w:sz w:val="28"/>
          <w:szCs w:val="28"/>
        </w:rPr>
      </w:pPr>
      <w:r>
        <w:rPr>
          <w:rFonts w:hint="eastAsia"/>
          <w:sz w:val="28"/>
          <w:szCs w:val="28"/>
        </w:rPr>
        <w:t>附录1  资格审查条件（资质最低要求）</w:t>
      </w:r>
    </w:p>
    <w:tbl>
      <w:tblPr>
        <w:tblStyle w:val="38"/>
        <w:tblW w:w="9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7" w:type="dxa"/>
            <w:vAlign w:val="center"/>
          </w:tcPr>
          <w:p>
            <w:pPr>
              <w:jc w:val="center"/>
              <w:rPr>
                <w:rFonts w:ascii="宋体" w:hAnsi="宋体" w:cs="宋体"/>
                <w:sz w:val="24"/>
              </w:rPr>
            </w:pPr>
            <w:r>
              <w:rPr>
                <w:rFonts w:hint="eastAsia" w:ascii="宋体" w:hAnsi="宋体" w:cs="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4" w:hRule="atLeast"/>
          <w:jc w:val="center"/>
        </w:trPr>
        <w:tc>
          <w:tcPr>
            <w:tcW w:w="9237" w:type="dxa"/>
            <w:vAlign w:val="center"/>
          </w:tcPr>
          <w:p>
            <w:pPr>
              <w:spacing w:line="360" w:lineRule="auto"/>
              <w:ind w:left="38" w:leftChars="18" w:right="-44" w:rightChars="-21" w:firstLine="480" w:firstLineChars="200"/>
              <w:jc w:val="left"/>
              <w:rPr>
                <w:rFonts w:ascii="宋体" w:hAnsi="宋体" w:cs="宋体"/>
                <w:sz w:val="24"/>
              </w:rPr>
            </w:pPr>
            <w:r>
              <w:rPr>
                <w:rFonts w:hint="eastAsia" w:ascii="宋体" w:hAnsi="宋体" w:cs="宋体"/>
                <w:kern w:val="0"/>
                <w:sz w:val="24"/>
              </w:rPr>
              <w:t>建设行政</w:t>
            </w:r>
            <w:r>
              <w:rPr>
                <w:rFonts w:hint="eastAsia" w:ascii="宋体" w:hAnsi="宋体"/>
                <w:sz w:val="24"/>
              </w:rPr>
              <w:t>主管部门核发的公路工程施工总承包一级（或以上）资质</w:t>
            </w: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360" w:lineRule="auto"/>
        <w:rPr>
          <w:sz w:val="28"/>
          <w:szCs w:val="28"/>
        </w:rPr>
      </w:pPr>
      <w:bookmarkStart w:id="21" w:name="_Toc322609497"/>
      <w:bookmarkStart w:id="22" w:name="_Toc234349328"/>
      <w:bookmarkStart w:id="23" w:name="_Toc234348754"/>
      <w:bookmarkStart w:id="24" w:name="_Toc234345719"/>
      <w:bookmarkStart w:id="25" w:name="_Toc234345934"/>
      <w:r>
        <w:rPr>
          <w:rFonts w:hint="eastAsia"/>
          <w:sz w:val="28"/>
          <w:szCs w:val="28"/>
        </w:rPr>
        <w:t>附录2  资格审查条件（财务最低要求）</w:t>
      </w:r>
      <w:bookmarkEnd w:id="21"/>
      <w:bookmarkEnd w:id="22"/>
      <w:bookmarkEnd w:id="23"/>
      <w:bookmarkEnd w:id="24"/>
      <w:bookmarkEnd w:id="25"/>
    </w:p>
    <w:tbl>
      <w:tblPr>
        <w:tblStyle w:val="3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sz w:val="24"/>
              </w:rPr>
            </w:pPr>
            <w:r>
              <w:rPr>
                <w:rFonts w:hint="eastAsia" w:ascii="宋体" w:hAnsi="宋体" w:cs="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8" w:hRule="atLeast"/>
          <w:jc w:val="center"/>
        </w:trPr>
        <w:tc>
          <w:tcPr>
            <w:tcW w:w="9072" w:type="dxa"/>
            <w:vAlign w:val="center"/>
          </w:tcPr>
          <w:p>
            <w:pPr>
              <w:jc w:val="center"/>
              <w:rPr>
                <w:rFonts w:ascii="宋体" w:hAnsi="宋体" w:cs="宋体"/>
                <w:sz w:val="24"/>
              </w:rPr>
            </w:pPr>
            <w:r>
              <w:rPr>
                <w:rFonts w:hint="eastAsia" w:ascii="宋体" w:hAnsi="宋体"/>
                <w:sz w:val="24"/>
              </w:rPr>
              <w:t>无</w:t>
            </w:r>
          </w:p>
        </w:tc>
      </w:tr>
    </w:tbl>
    <w:p>
      <w:pPr>
        <w:rPr>
          <w:rFonts w:ascii="宋体" w:hAnsi="宋体" w:cs="宋体"/>
          <w:sz w:val="24"/>
        </w:rPr>
      </w:pPr>
    </w:p>
    <w:p>
      <w:pPr>
        <w:spacing w:line="360" w:lineRule="auto"/>
        <w:rPr>
          <w:sz w:val="28"/>
          <w:szCs w:val="28"/>
        </w:rPr>
      </w:pPr>
      <w:r>
        <w:br w:type="page"/>
      </w:r>
      <w:bookmarkStart w:id="26" w:name="_Toc234348755"/>
      <w:bookmarkStart w:id="27" w:name="_Toc322609498"/>
      <w:bookmarkStart w:id="28" w:name="_Toc234349329"/>
      <w:bookmarkStart w:id="29" w:name="_Toc234345935"/>
      <w:bookmarkStart w:id="30" w:name="_Toc234345720"/>
      <w:r>
        <w:rPr>
          <w:rFonts w:hint="eastAsia"/>
          <w:sz w:val="28"/>
          <w:szCs w:val="28"/>
        </w:rPr>
        <w:t>附录3  资格审查条件（业绩最低要求）</w:t>
      </w:r>
      <w:bookmarkEnd w:id="26"/>
      <w:bookmarkEnd w:id="27"/>
      <w:bookmarkEnd w:id="28"/>
      <w:bookmarkEnd w:id="29"/>
      <w:bookmarkEnd w:id="30"/>
    </w:p>
    <w:tbl>
      <w:tblPr>
        <w:tblStyle w:val="3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sz w:val="24"/>
              </w:rPr>
            </w:pPr>
            <w:r>
              <w:rPr>
                <w:rFonts w:hint="eastAsia" w:ascii="宋体" w:hAnsi="宋体" w:cs="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2" w:hRule="atLeast"/>
          <w:jc w:val="center"/>
        </w:trPr>
        <w:tc>
          <w:tcPr>
            <w:tcW w:w="9072" w:type="dxa"/>
            <w:vAlign w:val="center"/>
          </w:tcPr>
          <w:p>
            <w:pPr>
              <w:adjustRightInd w:val="0"/>
              <w:snapToGrid w:val="0"/>
              <w:spacing w:line="360" w:lineRule="auto"/>
              <w:ind w:firstLine="480" w:firstLineChars="200"/>
              <w:rPr>
                <w:rFonts w:ascii="宋体" w:hAnsi="宋体"/>
                <w:sz w:val="24"/>
              </w:rPr>
            </w:pPr>
            <w:r>
              <w:rPr>
                <w:rFonts w:hint="eastAsia" w:ascii="宋体" w:hAnsi="宋体"/>
                <w:sz w:val="24"/>
              </w:rPr>
              <w:t>选择独立承担评价最佳的项目填写。具体要求如下：</w:t>
            </w:r>
          </w:p>
          <w:p>
            <w:pPr>
              <w:adjustRightInd w:val="0"/>
              <w:snapToGrid w:val="0"/>
              <w:spacing w:line="360" w:lineRule="auto"/>
              <w:ind w:firstLine="480" w:firstLineChars="200"/>
              <w:rPr>
                <w:rFonts w:ascii="宋体" w:hAnsi="宋体" w:cs="宋体"/>
                <w:sz w:val="24"/>
              </w:rPr>
            </w:pPr>
            <w:r>
              <w:rPr>
                <w:rFonts w:hint="eastAsia" w:ascii="宋体" w:hAnsi="宋体"/>
                <w:sz w:val="24"/>
                <w:u w:val="single"/>
              </w:rPr>
              <w:t>近五年内（工程交工时间为</w:t>
            </w:r>
            <w:r>
              <w:rPr>
                <w:rFonts w:hint="eastAsia" w:ascii="宋体" w:hAnsi="宋体"/>
                <w:sz w:val="24"/>
                <w:u w:val="single"/>
                <w:lang w:eastAsia="zh-CN"/>
              </w:rPr>
              <w:t>2017年1月1日</w:t>
            </w:r>
            <w:r>
              <w:rPr>
                <w:rFonts w:hint="eastAsia" w:ascii="宋体" w:hAnsi="宋体"/>
                <w:sz w:val="24"/>
                <w:u w:val="single"/>
              </w:rPr>
              <w:t>至投标截止之日）至少同时完成过一项一级（或以上级别）公路工程</w:t>
            </w:r>
            <w:r>
              <w:rPr>
                <w:rFonts w:hint="eastAsia" w:ascii="宋体" w:hAnsi="宋体" w:cs="宋体"/>
                <w:sz w:val="24"/>
              </w:rPr>
              <w:t>施工业绩，并在人员、设备、资金等方面具备相应的施工能力</w:t>
            </w:r>
          </w:p>
          <w:p>
            <w:pPr>
              <w:adjustRightInd w:val="0"/>
              <w:snapToGrid w:val="0"/>
              <w:spacing w:line="360" w:lineRule="auto"/>
              <w:ind w:firstLine="420" w:firstLineChars="200"/>
            </w:pPr>
            <w:r>
              <w:rPr>
                <w:szCs w:val="21"/>
              </w:rPr>
              <w:t>注：</w:t>
            </w:r>
            <w:r>
              <w:rPr>
                <w:rFonts w:hint="eastAsia"/>
                <w:szCs w:val="21"/>
              </w:rPr>
              <w:t>企业业绩须在交通运输部全国公路建设市场信用信息管理系统</w:t>
            </w:r>
            <w:r>
              <w:rPr>
                <w:szCs w:val="21"/>
              </w:rPr>
              <w:t>或项目所在地省级交通运输主管部门“公路建设市场信用信息管理系统”</w:t>
            </w:r>
            <w:r>
              <w:rPr>
                <w:rFonts w:hint="eastAsia"/>
                <w:szCs w:val="21"/>
              </w:rPr>
              <w:t>进行登记并审核通过，且登记信息能体现公路工程里程长度、技术等级、交工验收时间等关键内容，并截屏打印加盖公章</w:t>
            </w:r>
            <w:r>
              <w:rPr>
                <w:szCs w:val="21"/>
              </w:rPr>
              <w:t>。</w:t>
            </w:r>
          </w:p>
          <w:p>
            <w:pPr>
              <w:pStyle w:val="2"/>
            </w:pPr>
          </w:p>
        </w:tc>
      </w:tr>
    </w:tbl>
    <w:p>
      <w:pPr>
        <w:rPr>
          <w:rFonts w:ascii="宋体" w:hAnsi="宋体" w:cs="宋体"/>
          <w:sz w:val="24"/>
        </w:rPr>
      </w:pPr>
    </w:p>
    <w:p>
      <w:pPr>
        <w:rPr>
          <w:rFonts w:ascii="宋体" w:hAnsi="宋体" w:cs="宋体"/>
          <w:sz w:val="24"/>
        </w:rPr>
      </w:pPr>
    </w:p>
    <w:p>
      <w:pPr>
        <w:spacing w:line="360" w:lineRule="auto"/>
        <w:rPr>
          <w:sz w:val="28"/>
          <w:szCs w:val="28"/>
        </w:rPr>
      </w:pPr>
      <w:bookmarkStart w:id="31" w:name="_Toc234349330"/>
      <w:bookmarkStart w:id="32" w:name="_Toc234345721"/>
      <w:bookmarkStart w:id="33" w:name="_Toc322609499"/>
      <w:bookmarkStart w:id="34" w:name="_Toc234348756"/>
      <w:bookmarkStart w:id="35" w:name="_Toc234345936"/>
      <w:r>
        <w:rPr>
          <w:rFonts w:hint="eastAsia"/>
          <w:sz w:val="28"/>
          <w:szCs w:val="28"/>
        </w:rPr>
        <w:t>附录4  资格审查条件（信誉最低要求）</w:t>
      </w:r>
      <w:bookmarkEnd w:id="31"/>
      <w:bookmarkEnd w:id="32"/>
      <w:bookmarkEnd w:id="33"/>
      <w:bookmarkEnd w:id="34"/>
      <w:bookmarkEnd w:id="35"/>
    </w:p>
    <w:tbl>
      <w:tblPr>
        <w:tblStyle w:val="3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sz w:val="24"/>
              </w:rPr>
            </w:pPr>
            <w:r>
              <w:rPr>
                <w:rFonts w:hint="eastAsia" w:ascii="宋体" w:hAnsi="宋体" w:cs="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8" w:hRule="atLeast"/>
          <w:jc w:val="center"/>
        </w:trPr>
        <w:tc>
          <w:tcPr>
            <w:tcW w:w="9072" w:type="dxa"/>
            <w:vAlign w:val="center"/>
          </w:tcPr>
          <w:p>
            <w:pPr>
              <w:spacing w:line="360" w:lineRule="auto"/>
              <w:ind w:firstLine="480" w:firstLineChars="200"/>
              <w:rPr>
                <w:rFonts w:ascii="宋体" w:hAnsi="宋体" w:cs="宋体"/>
                <w:sz w:val="24"/>
              </w:rPr>
            </w:pPr>
            <w:r>
              <w:rPr>
                <w:rFonts w:hint="eastAsia" w:ascii="宋体" w:hAnsi="宋体" w:cs="宋体"/>
                <w:sz w:val="24"/>
              </w:rPr>
              <w:t>在</w:t>
            </w:r>
            <w:r>
              <w:rPr>
                <w:rFonts w:hint="eastAsia" w:ascii="宋体" w:hAnsi="宋体" w:cs="宋体"/>
                <w:sz w:val="24"/>
                <w:lang w:eastAsia="zh-CN"/>
              </w:rPr>
              <w:t>交通运输部2020年度公路建设市场全国综合信用评价结果</w:t>
            </w:r>
            <w:r>
              <w:rPr>
                <w:rFonts w:hint="eastAsia" w:ascii="宋体" w:hAnsi="宋体" w:cs="宋体"/>
                <w:sz w:val="24"/>
              </w:rPr>
              <w:t>或</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hAnsi="宋体" w:cs="宋体"/>
                <w:sz w:val="24"/>
              </w:rPr>
              <w:t>结果被评为C级或以上，且企业在国家企业信用信息公示系统（http://www.gsxt.gov.cn/）中无经营异常情况。</w:t>
            </w:r>
          </w:p>
          <w:p>
            <w:pPr>
              <w:spacing w:line="360" w:lineRule="auto"/>
              <w:ind w:firstLine="480" w:firstLineChars="200"/>
              <w:rPr>
                <w:rFonts w:ascii="宋体" w:hAnsi="宋体" w:cs="宋体"/>
                <w:sz w:val="24"/>
              </w:rPr>
            </w:pPr>
            <w:r>
              <w:rPr>
                <w:rFonts w:hint="eastAsia" w:ascii="宋体" w:cs="宋体"/>
                <w:sz w:val="24"/>
              </w:rPr>
              <w:t>公路建设市场信用等级评价以</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hAnsi="宋体" w:cs="宋体"/>
                <w:sz w:val="24"/>
              </w:rPr>
              <w:t>结果</w:t>
            </w:r>
            <w:r>
              <w:rPr>
                <w:rFonts w:hint="eastAsia" w:ascii="宋体" w:cs="宋体"/>
                <w:sz w:val="24"/>
              </w:rPr>
              <w:t>为准；未参与</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cs="宋体"/>
                <w:sz w:val="24"/>
              </w:rPr>
              <w:t>的单位，以</w:t>
            </w:r>
            <w:r>
              <w:rPr>
                <w:rFonts w:hint="eastAsia" w:ascii="宋体" w:hAnsi="宋体" w:cs="宋体"/>
                <w:sz w:val="24"/>
                <w:lang w:eastAsia="zh-CN"/>
              </w:rPr>
              <w:t>交通运输部2020年度公路建设市场全国综合信用评价结果</w:t>
            </w:r>
            <w:r>
              <w:rPr>
                <w:rFonts w:hint="eastAsia" w:ascii="宋体" w:cs="宋体"/>
                <w:sz w:val="24"/>
              </w:rPr>
              <w:t>为准；</w:t>
            </w:r>
            <w:r>
              <w:rPr>
                <w:rFonts w:hint="eastAsia" w:ascii="宋体" w:hAnsi="宋体" w:cs="宋体"/>
                <w:sz w:val="24"/>
                <w:lang w:eastAsia="zh-CN"/>
              </w:rPr>
              <w:t>交通运输部2020年度公路建设市场全国综合信用评价</w:t>
            </w:r>
            <w:r>
              <w:rPr>
                <w:rFonts w:hint="eastAsia" w:ascii="宋体" w:cs="宋体"/>
                <w:sz w:val="24"/>
              </w:rPr>
              <w:t>或</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cs="宋体"/>
                <w:sz w:val="24"/>
              </w:rPr>
              <w:t>均未参与的（须附未参与评价的说明并加盖公章），若无不良信用记录的，视同为A级。（若未均参与评价，须附未参与评价的说明并加盖公章，并在说明中写明属于以下哪种情况：1、</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cs="宋体"/>
                <w:sz w:val="24"/>
              </w:rPr>
              <w:t>未参与或</w:t>
            </w:r>
            <w:r>
              <w:rPr>
                <w:rFonts w:hint="eastAsia" w:ascii="宋体" w:hAnsi="宋体" w:cs="宋体"/>
                <w:sz w:val="24"/>
                <w:lang w:eastAsia="zh-CN"/>
              </w:rPr>
              <w:t>交通运输部2020年度公路建设市场全国综合信用评价</w:t>
            </w:r>
            <w:r>
              <w:rPr>
                <w:rFonts w:hint="eastAsia" w:ascii="宋体" w:cs="宋体"/>
                <w:sz w:val="24"/>
              </w:rPr>
              <w:t>未参与；2、</w:t>
            </w:r>
            <w:r>
              <w:rPr>
                <w:rFonts w:hint="eastAsia" w:ascii="宋体" w:hAnsi="宋体" w:cs="宋体"/>
                <w:sz w:val="24"/>
                <w:lang w:eastAsia="zh-CN"/>
              </w:rPr>
              <w:t>交通运输部2020年度公路建设市场全国综合信用评价</w:t>
            </w:r>
            <w:r>
              <w:rPr>
                <w:rFonts w:hint="eastAsia" w:ascii="宋体" w:cs="宋体"/>
                <w:sz w:val="24"/>
              </w:rPr>
              <w:t>和</w:t>
            </w:r>
            <w:r>
              <w:rPr>
                <w:rFonts w:hint="eastAsia" w:ascii="宋体" w:hAnsi="宋体" w:cs="宋体"/>
                <w:sz w:val="24"/>
                <w:lang w:eastAsia="zh-CN"/>
              </w:rPr>
              <w:t>202</w:t>
            </w:r>
            <w:r>
              <w:rPr>
                <w:rFonts w:hint="eastAsia" w:ascii="宋体" w:hAnsi="宋体" w:cs="宋体"/>
                <w:sz w:val="24"/>
                <w:lang w:val="en-US" w:eastAsia="zh-CN"/>
              </w:rPr>
              <w:t>1</w:t>
            </w:r>
            <w:r>
              <w:rPr>
                <w:rFonts w:hint="eastAsia" w:ascii="宋体" w:hAnsi="宋体" w:cs="宋体"/>
                <w:sz w:val="24"/>
                <w:lang w:eastAsia="zh-CN"/>
              </w:rPr>
              <w:t>年度天津市公路工程从业企业信用评价</w:t>
            </w:r>
            <w:r>
              <w:rPr>
                <w:rFonts w:hint="eastAsia" w:ascii="宋体" w:cs="宋体"/>
                <w:sz w:val="24"/>
              </w:rPr>
              <w:t>均未参与。）</w:t>
            </w:r>
          </w:p>
        </w:tc>
      </w:tr>
    </w:tbl>
    <w:p>
      <w:pPr>
        <w:rPr>
          <w:rFonts w:ascii="宋体" w:hAnsi="宋体" w:cs="宋体"/>
          <w:sz w:val="24"/>
        </w:rPr>
      </w:pPr>
    </w:p>
    <w:p>
      <w:pPr>
        <w:spacing w:line="360" w:lineRule="auto"/>
        <w:rPr>
          <w:sz w:val="28"/>
          <w:szCs w:val="28"/>
        </w:rPr>
      </w:pPr>
      <w:r>
        <w:br w:type="page"/>
      </w:r>
      <w:bookmarkStart w:id="36" w:name="_Toc322609500"/>
      <w:bookmarkStart w:id="37" w:name="_Toc234345722"/>
      <w:bookmarkStart w:id="38" w:name="_Toc234348757"/>
      <w:bookmarkStart w:id="39" w:name="_Toc234349331"/>
      <w:bookmarkStart w:id="40" w:name="_Toc234345937"/>
      <w:r>
        <w:rPr>
          <w:rFonts w:hint="eastAsia"/>
          <w:sz w:val="28"/>
          <w:szCs w:val="28"/>
        </w:rPr>
        <w:t>附录5  资格审查条件【项目经理和项目总工最低要求</w:t>
      </w:r>
      <w:bookmarkEnd w:id="36"/>
      <w:bookmarkEnd w:id="37"/>
      <w:bookmarkEnd w:id="38"/>
      <w:bookmarkEnd w:id="39"/>
      <w:bookmarkEnd w:id="40"/>
      <w:r>
        <w:rPr>
          <w:rFonts w:hint="eastAsia"/>
          <w:sz w:val="28"/>
          <w:szCs w:val="28"/>
        </w:rPr>
        <w:t>】</w:t>
      </w:r>
    </w:p>
    <w:tbl>
      <w:tblPr>
        <w:tblStyle w:val="38"/>
        <w:tblW w:w="10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442"/>
        <w:gridCol w:w="4536"/>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52" w:type="dxa"/>
            <w:vAlign w:val="center"/>
          </w:tcPr>
          <w:p>
            <w:pPr>
              <w:jc w:val="center"/>
              <w:rPr>
                <w:rFonts w:ascii="宋体" w:hAnsi="宋体" w:cs="宋体"/>
                <w:sz w:val="24"/>
              </w:rPr>
            </w:pPr>
            <w:r>
              <w:rPr>
                <w:rFonts w:hint="eastAsia" w:ascii="宋体" w:hAnsi="宋体" w:cs="宋体"/>
                <w:sz w:val="24"/>
              </w:rPr>
              <w:t>人  员</w:t>
            </w:r>
          </w:p>
        </w:tc>
        <w:tc>
          <w:tcPr>
            <w:tcW w:w="1442" w:type="dxa"/>
            <w:vAlign w:val="center"/>
          </w:tcPr>
          <w:p>
            <w:pPr>
              <w:jc w:val="center"/>
              <w:rPr>
                <w:rFonts w:ascii="宋体" w:hAnsi="宋体" w:cs="宋体"/>
                <w:sz w:val="24"/>
              </w:rPr>
            </w:pPr>
            <w:r>
              <w:rPr>
                <w:rFonts w:hint="eastAsia" w:ascii="宋体" w:hAnsi="宋体" w:cs="宋体"/>
                <w:sz w:val="24"/>
              </w:rPr>
              <w:t>数  量</w:t>
            </w:r>
          </w:p>
        </w:tc>
        <w:tc>
          <w:tcPr>
            <w:tcW w:w="4536" w:type="dxa"/>
            <w:vAlign w:val="center"/>
          </w:tcPr>
          <w:p>
            <w:pPr>
              <w:jc w:val="center"/>
              <w:rPr>
                <w:rFonts w:ascii="宋体" w:hAnsi="宋体" w:cs="宋体"/>
                <w:sz w:val="24"/>
              </w:rPr>
            </w:pPr>
            <w:r>
              <w:rPr>
                <w:rFonts w:hint="eastAsia" w:ascii="宋体" w:hAnsi="宋体" w:cs="宋体"/>
                <w:sz w:val="24"/>
              </w:rPr>
              <w:t>资 格 要 求</w:t>
            </w:r>
          </w:p>
        </w:tc>
        <w:tc>
          <w:tcPr>
            <w:tcW w:w="2693" w:type="dxa"/>
            <w:vAlign w:val="center"/>
          </w:tcPr>
          <w:p>
            <w:pPr>
              <w:jc w:val="center"/>
              <w:rPr>
                <w:rFonts w:ascii="宋体" w:hAnsi="宋体" w:cs="宋体"/>
                <w:sz w:val="24"/>
              </w:rPr>
            </w:pPr>
            <w:r>
              <w:rPr>
                <w:rFonts w:hint="eastAsia" w:ascii="宋体" w:hAnsi="宋体" w:cs="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1" w:hRule="atLeast"/>
          <w:jc w:val="center"/>
        </w:trPr>
        <w:tc>
          <w:tcPr>
            <w:tcW w:w="1652" w:type="dxa"/>
            <w:vAlign w:val="center"/>
          </w:tcPr>
          <w:p>
            <w:pPr>
              <w:spacing w:line="400" w:lineRule="exact"/>
              <w:jc w:val="center"/>
              <w:rPr>
                <w:rFonts w:ascii="宋体" w:hAnsi="宋体"/>
                <w:sz w:val="24"/>
              </w:rPr>
            </w:pPr>
            <w:r>
              <w:rPr>
                <w:rFonts w:hint="eastAsia" w:ascii="宋体" w:hAnsi="宋体"/>
                <w:sz w:val="24"/>
              </w:rPr>
              <w:t>项目经理</w:t>
            </w:r>
          </w:p>
        </w:tc>
        <w:tc>
          <w:tcPr>
            <w:tcW w:w="1442" w:type="dxa"/>
            <w:vAlign w:val="center"/>
          </w:tcPr>
          <w:p>
            <w:pPr>
              <w:spacing w:line="400" w:lineRule="exact"/>
              <w:jc w:val="center"/>
              <w:rPr>
                <w:rFonts w:ascii="宋体" w:hAnsi="宋体"/>
                <w:sz w:val="24"/>
              </w:rPr>
            </w:pPr>
            <w:r>
              <w:rPr>
                <w:rFonts w:hint="eastAsia" w:ascii="宋体" w:hAnsi="宋体"/>
                <w:sz w:val="24"/>
              </w:rPr>
              <w:t>1</w:t>
            </w:r>
          </w:p>
        </w:tc>
        <w:tc>
          <w:tcPr>
            <w:tcW w:w="4536" w:type="dxa"/>
            <w:vAlign w:val="center"/>
          </w:tcPr>
          <w:p>
            <w:pPr>
              <w:spacing w:line="360" w:lineRule="auto"/>
              <w:ind w:firstLine="240" w:firstLineChars="100"/>
              <w:rPr>
                <w:rFonts w:ascii="宋体"/>
                <w:sz w:val="24"/>
              </w:rPr>
            </w:pPr>
            <w:r>
              <w:rPr>
                <w:rFonts w:hint="eastAsia" w:cs="宋体"/>
                <w:sz w:val="24"/>
              </w:rPr>
              <w:t>一级注册建造师（公路工程专业），</w:t>
            </w:r>
            <w:r>
              <w:rPr>
                <w:rFonts w:hint="eastAsia"/>
                <w:sz w:val="24"/>
              </w:rPr>
              <w:t>公路工程或市政工程相关专业中级技术职称</w:t>
            </w:r>
            <w:r>
              <w:rPr>
                <w:rFonts w:hint="eastAsia" w:ascii="宋体" w:hAnsi="宋体"/>
                <w:sz w:val="24"/>
              </w:rPr>
              <w:t>。</w:t>
            </w:r>
          </w:p>
          <w:p>
            <w:pPr>
              <w:spacing w:line="360" w:lineRule="auto"/>
              <w:ind w:firstLine="240" w:firstLineChars="100"/>
              <w:rPr>
                <w:rFonts w:ascii="宋体" w:hAnsi="宋体"/>
                <w:sz w:val="24"/>
              </w:rPr>
            </w:pPr>
            <w:r>
              <w:rPr>
                <w:rFonts w:hint="eastAsia" w:cs="宋体"/>
                <w:sz w:val="24"/>
              </w:rPr>
              <w:t>省级交通运输主管部门颁</w:t>
            </w:r>
            <w:r>
              <w:rPr>
                <w:rFonts w:hint="eastAsia"/>
                <w:sz w:val="24"/>
              </w:rPr>
              <w:t>发的有效的公路水运工程施工企业主要负责人和安全生产管理人员安全生产考核合格证书（</w:t>
            </w:r>
            <w:r>
              <w:rPr>
                <w:sz w:val="24"/>
              </w:rPr>
              <w:t>B</w:t>
            </w:r>
            <w:r>
              <w:rPr>
                <w:rFonts w:hint="eastAsia"/>
                <w:sz w:val="24"/>
              </w:rPr>
              <w:t>类）。</w:t>
            </w:r>
          </w:p>
        </w:tc>
        <w:tc>
          <w:tcPr>
            <w:tcW w:w="2693" w:type="dxa"/>
            <w:vMerge w:val="restart"/>
            <w:vAlign w:val="center"/>
          </w:tcPr>
          <w:p>
            <w:pPr>
              <w:spacing w:line="360" w:lineRule="auto"/>
              <w:ind w:firstLine="240" w:firstLineChars="100"/>
              <w:jc w:val="center"/>
              <w:rPr>
                <w:sz w:val="24"/>
              </w:rPr>
            </w:pPr>
            <w:r>
              <w:rPr>
                <w:rFonts w:hint="eastAsia" w:ascii="宋体" w:hAnsi="宋体" w:cs="宋体"/>
                <w:sz w:val="24"/>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1" w:hRule="atLeast"/>
          <w:jc w:val="center"/>
        </w:trPr>
        <w:tc>
          <w:tcPr>
            <w:tcW w:w="1652" w:type="dxa"/>
            <w:vAlign w:val="center"/>
          </w:tcPr>
          <w:p>
            <w:pPr>
              <w:spacing w:line="400" w:lineRule="exact"/>
              <w:jc w:val="center"/>
              <w:rPr>
                <w:rFonts w:ascii="宋体" w:hAnsi="宋体"/>
                <w:sz w:val="24"/>
              </w:rPr>
            </w:pPr>
            <w:r>
              <w:rPr>
                <w:rFonts w:hint="eastAsia" w:ascii="宋体" w:hAnsi="宋体"/>
                <w:sz w:val="24"/>
              </w:rPr>
              <w:t>项目总工</w:t>
            </w:r>
          </w:p>
        </w:tc>
        <w:tc>
          <w:tcPr>
            <w:tcW w:w="1442" w:type="dxa"/>
            <w:vAlign w:val="center"/>
          </w:tcPr>
          <w:p>
            <w:pPr>
              <w:spacing w:line="400" w:lineRule="exact"/>
              <w:jc w:val="center"/>
              <w:rPr>
                <w:rFonts w:ascii="宋体" w:hAnsi="宋体"/>
                <w:sz w:val="24"/>
              </w:rPr>
            </w:pPr>
            <w:r>
              <w:rPr>
                <w:rFonts w:hint="eastAsia" w:ascii="宋体" w:hAnsi="宋体"/>
                <w:sz w:val="24"/>
              </w:rPr>
              <w:t>1</w:t>
            </w:r>
          </w:p>
        </w:tc>
        <w:tc>
          <w:tcPr>
            <w:tcW w:w="4536" w:type="dxa"/>
            <w:vAlign w:val="center"/>
          </w:tcPr>
          <w:p>
            <w:pPr>
              <w:spacing w:line="360" w:lineRule="auto"/>
              <w:ind w:firstLine="240" w:firstLineChars="100"/>
              <w:rPr>
                <w:sz w:val="24"/>
              </w:rPr>
            </w:pPr>
            <w:r>
              <w:rPr>
                <w:rFonts w:hint="eastAsia"/>
                <w:sz w:val="24"/>
              </w:rPr>
              <w:t>公路工程或市政工程相关专业高级或以上技术职称。</w:t>
            </w:r>
          </w:p>
          <w:p>
            <w:pPr>
              <w:spacing w:line="360" w:lineRule="auto"/>
              <w:ind w:firstLine="240" w:firstLineChars="100"/>
              <w:rPr>
                <w:sz w:val="24"/>
              </w:rPr>
            </w:pPr>
            <w:r>
              <w:rPr>
                <w:rFonts w:hint="eastAsia" w:cs="宋体"/>
                <w:sz w:val="24"/>
              </w:rPr>
              <w:t>省级交通运输主管部门颁</w:t>
            </w:r>
            <w:r>
              <w:rPr>
                <w:rFonts w:hint="eastAsia"/>
                <w:sz w:val="24"/>
              </w:rPr>
              <w:t>发的有效的公路水运工程施工企业主要负责人和安全生产管理人员安全生产考核合格证书（</w:t>
            </w:r>
            <w:r>
              <w:rPr>
                <w:sz w:val="24"/>
              </w:rPr>
              <w:t>B</w:t>
            </w:r>
            <w:r>
              <w:rPr>
                <w:rFonts w:hint="eastAsia"/>
                <w:sz w:val="24"/>
              </w:rPr>
              <w:t>类）。</w:t>
            </w:r>
          </w:p>
        </w:tc>
        <w:tc>
          <w:tcPr>
            <w:tcW w:w="2693" w:type="dxa"/>
            <w:vMerge w:val="continue"/>
          </w:tcPr>
          <w:p>
            <w:pPr>
              <w:spacing w:line="360" w:lineRule="auto"/>
              <w:ind w:firstLine="240" w:firstLineChars="100"/>
              <w:rPr>
                <w:sz w:val="24"/>
              </w:rPr>
            </w:pPr>
          </w:p>
        </w:tc>
      </w:tr>
    </w:tbl>
    <w:p>
      <w:pPr>
        <w:spacing w:line="360" w:lineRule="auto"/>
        <w:rPr>
          <w:rFonts w:ascii="宋体" w:hAnsi="宋体"/>
          <w:sz w:val="24"/>
        </w:rPr>
      </w:pPr>
      <w:r>
        <w:rPr>
          <w:rFonts w:hint="eastAsia" w:ascii="宋体" w:hAnsi="宋体"/>
          <w:sz w:val="24"/>
        </w:rPr>
        <w:t>注：公路工程相关专业职称包括：公路工程、桥梁工程、公路与桥梁工程、交通土建、隧道（地下结构）工程、交通工程等专业职称。</w:t>
      </w:r>
    </w:p>
    <w:p>
      <w:pPr>
        <w:pStyle w:val="2"/>
      </w:pPr>
      <w:r>
        <w:rPr>
          <w:rFonts w:hint="eastAsia" w:ascii="宋体" w:hAnsi="宋体"/>
          <w:sz w:val="24"/>
        </w:rPr>
        <w:t xml:space="preserve">    市政工程相关专业职称包括：道路与桥梁、给排水、结构</w:t>
      </w:r>
      <w:r>
        <w:rPr>
          <w:rFonts w:hint="eastAsia" w:ascii="宋体" w:hAnsi="宋体"/>
          <w:sz w:val="24"/>
          <w:lang w:eastAsia="zh-CN"/>
        </w:rPr>
        <w:t>、机电</w:t>
      </w:r>
      <w:r>
        <w:rPr>
          <w:rFonts w:hint="eastAsia" w:ascii="宋体" w:hAnsi="宋体"/>
          <w:sz w:val="24"/>
        </w:rPr>
        <w:t>等专业职称。</w:t>
      </w:r>
    </w:p>
    <w:p>
      <w:pPr>
        <w:spacing w:line="360" w:lineRule="auto"/>
        <w:rPr>
          <w:rFonts w:ascii="宋体" w:hAnsi="宋体"/>
          <w:b/>
          <w:sz w:val="28"/>
          <w:szCs w:val="28"/>
        </w:rPr>
      </w:pPr>
    </w:p>
    <w:p>
      <w:pPr>
        <w:spacing w:line="360" w:lineRule="auto"/>
        <w:rPr>
          <w:rFonts w:ascii="宋体"/>
          <w:sz w:val="24"/>
        </w:rPr>
      </w:pPr>
      <w:r>
        <w:rPr>
          <w:rFonts w:ascii="宋体" w:hAnsi="宋体"/>
          <w:b/>
          <w:sz w:val="28"/>
          <w:szCs w:val="28"/>
        </w:rPr>
        <w:br w:type="page"/>
      </w:r>
      <w:bookmarkEnd w:id="19"/>
      <w:bookmarkEnd w:id="20"/>
      <w:r>
        <w:rPr>
          <w:rFonts w:ascii="宋体" w:hAnsi="宋体" w:cs="宋体"/>
          <w:b/>
          <w:bCs/>
          <w:sz w:val="28"/>
          <w:szCs w:val="28"/>
        </w:rPr>
        <w:t>1.</w:t>
      </w:r>
      <w:r>
        <w:rPr>
          <w:rFonts w:hint="eastAsia" w:ascii="宋体" w:hAnsi="宋体" w:cs="宋体"/>
          <w:b/>
          <w:bCs/>
          <w:sz w:val="28"/>
          <w:szCs w:val="28"/>
        </w:rPr>
        <w:t>总则</w:t>
      </w:r>
    </w:p>
    <w:p>
      <w:pPr>
        <w:spacing w:line="360" w:lineRule="auto"/>
        <w:rPr>
          <w:rFonts w:ascii="宋体"/>
          <w:b/>
          <w:bCs/>
          <w:sz w:val="24"/>
        </w:rPr>
      </w:pPr>
      <w:bookmarkStart w:id="41" w:name="_Toc234348761"/>
      <w:bookmarkStart w:id="42" w:name="_Toc234349335"/>
      <w:bookmarkStart w:id="43" w:name="_Toc234345725"/>
      <w:bookmarkStart w:id="44" w:name="_Toc234345940"/>
      <w:r>
        <w:rPr>
          <w:rFonts w:ascii="宋体" w:hAnsi="宋体" w:cs="宋体"/>
          <w:b/>
          <w:bCs/>
          <w:sz w:val="24"/>
        </w:rPr>
        <w:t>1.1</w:t>
      </w:r>
      <w:r>
        <w:rPr>
          <w:rFonts w:hint="eastAsia" w:ascii="宋体" w:hAnsi="宋体" w:cs="宋体"/>
          <w:b/>
          <w:bCs/>
          <w:sz w:val="24"/>
        </w:rPr>
        <w:t>项目概况</w:t>
      </w:r>
      <w:bookmarkEnd w:id="41"/>
      <w:bookmarkEnd w:id="42"/>
      <w:bookmarkEnd w:id="43"/>
      <w:bookmarkEnd w:id="44"/>
    </w:p>
    <w:p>
      <w:pPr>
        <w:spacing w:line="360" w:lineRule="auto"/>
        <w:ind w:firstLine="420" w:firstLineChars="200"/>
        <w:rPr>
          <w:rFonts w:ascii="宋体"/>
        </w:rPr>
      </w:pPr>
      <w:bookmarkStart w:id="45" w:name="_Toc234345726"/>
      <w:bookmarkStart w:id="46" w:name="_Toc234348762"/>
      <w:bookmarkStart w:id="47" w:name="_Toc234349336"/>
      <w:bookmarkStart w:id="48" w:name="_Toc234345941"/>
      <w:r>
        <w:rPr>
          <w:rFonts w:ascii="宋体" w:hAnsi="宋体" w:cs="宋体"/>
        </w:rPr>
        <w:t>1.1.1</w:t>
      </w:r>
      <w:r>
        <w:rPr>
          <w:rFonts w:hint="eastAsia" w:ascii="宋体" w:hAnsi="宋体"/>
          <w:szCs w:val="21"/>
        </w:rPr>
        <w:t>根据《中华人民共和国招标投标法》、《中华人民共和国招标投标法实施条例》、《公路工程建设项目招标投标管理办法》等有关法律、法规和规章的规定，本招标项目已具备招标条件，现对本标段施工进行招标。</w:t>
      </w:r>
    </w:p>
    <w:p>
      <w:pPr>
        <w:spacing w:line="360" w:lineRule="auto"/>
        <w:ind w:firstLine="420" w:firstLineChars="200"/>
        <w:rPr>
          <w:rFonts w:ascii="宋体"/>
        </w:rPr>
      </w:pPr>
      <w:r>
        <w:rPr>
          <w:rFonts w:ascii="宋体" w:hAnsi="宋体" w:cs="宋体"/>
        </w:rPr>
        <w:t>1.1.2</w:t>
      </w:r>
      <w:r>
        <w:rPr>
          <w:rFonts w:hint="eastAsia" w:ascii="宋体" w:hAnsi="宋体" w:cs="宋体"/>
        </w:rPr>
        <w:t>本招标项目招标人：见投标人须知前附表。</w:t>
      </w:r>
    </w:p>
    <w:p>
      <w:pPr>
        <w:spacing w:line="360" w:lineRule="auto"/>
        <w:ind w:firstLine="420" w:firstLineChars="200"/>
        <w:rPr>
          <w:rFonts w:ascii="宋体"/>
        </w:rPr>
      </w:pPr>
      <w:r>
        <w:rPr>
          <w:rFonts w:ascii="宋体" w:hAnsi="宋体" w:cs="宋体"/>
        </w:rPr>
        <w:t>1.1.3</w:t>
      </w:r>
      <w:r>
        <w:rPr>
          <w:rFonts w:hint="eastAsia" w:ascii="宋体" w:hAnsi="宋体" w:cs="宋体"/>
        </w:rPr>
        <w:t>本标段招标代理机构：见投标人须知前附表。</w:t>
      </w:r>
    </w:p>
    <w:p>
      <w:pPr>
        <w:spacing w:line="360" w:lineRule="auto"/>
        <w:ind w:firstLine="420" w:firstLineChars="200"/>
        <w:rPr>
          <w:rFonts w:ascii="宋体"/>
        </w:rPr>
      </w:pPr>
      <w:r>
        <w:rPr>
          <w:rFonts w:ascii="宋体" w:hAnsi="宋体" w:cs="宋体"/>
        </w:rPr>
        <w:t>1.1.4</w:t>
      </w:r>
      <w:r>
        <w:rPr>
          <w:rFonts w:hint="eastAsia" w:ascii="宋体" w:hAnsi="宋体" w:cs="宋体"/>
        </w:rPr>
        <w:t>本招标项目名称：见投标人须知前附表。</w:t>
      </w:r>
    </w:p>
    <w:p>
      <w:pPr>
        <w:spacing w:line="360" w:lineRule="auto"/>
        <w:ind w:firstLine="420" w:firstLineChars="200"/>
        <w:rPr>
          <w:rFonts w:ascii="宋体"/>
          <w:sz w:val="24"/>
        </w:rPr>
      </w:pPr>
      <w:r>
        <w:rPr>
          <w:rFonts w:ascii="宋体" w:hAnsi="宋体" w:cs="宋体"/>
        </w:rPr>
        <w:t>1.1.5</w:t>
      </w:r>
      <w:r>
        <w:rPr>
          <w:rFonts w:hint="eastAsia" w:ascii="宋体" w:hAnsi="宋体" w:cs="宋体"/>
        </w:rPr>
        <w:t>本标段建设地点：见投标人须知前附表。</w:t>
      </w:r>
    </w:p>
    <w:p>
      <w:pPr>
        <w:spacing w:line="360" w:lineRule="auto"/>
        <w:rPr>
          <w:rFonts w:ascii="宋体"/>
          <w:b/>
          <w:bCs/>
          <w:sz w:val="24"/>
        </w:rPr>
      </w:pPr>
      <w:r>
        <w:rPr>
          <w:rFonts w:ascii="宋体" w:hAnsi="宋体" w:cs="宋体"/>
          <w:b/>
          <w:bCs/>
          <w:sz w:val="24"/>
        </w:rPr>
        <w:t>1.2</w:t>
      </w:r>
      <w:r>
        <w:rPr>
          <w:rFonts w:hint="eastAsia" w:ascii="宋体" w:hAnsi="宋体" w:cs="宋体"/>
          <w:b/>
          <w:bCs/>
          <w:sz w:val="24"/>
        </w:rPr>
        <w:t>招标项目的资金来源和落实情况</w:t>
      </w:r>
      <w:bookmarkEnd w:id="45"/>
      <w:bookmarkEnd w:id="46"/>
      <w:bookmarkEnd w:id="47"/>
      <w:bookmarkEnd w:id="48"/>
    </w:p>
    <w:p>
      <w:pPr>
        <w:spacing w:line="360" w:lineRule="auto"/>
        <w:ind w:firstLine="420" w:firstLineChars="200"/>
        <w:rPr>
          <w:rFonts w:ascii="宋体" w:hAnsi="宋体"/>
          <w:szCs w:val="21"/>
        </w:rPr>
      </w:pPr>
      <w:bookmarkStart w:id="49" w:name="_Toc234345727"/>
      <w:bookmarkStart w:id="50" w:name="_Toc234349337"/>
      <w:bookmarkStart w:id="51" w:name="_Toc234348763"/>
      <w:bookmarkStart w:id="52" w:name="_Toc234345942"/>
      <w:r>
        <w:rPr>
          <w:rFonts w:hint="eastAsia" w:ascii="宋体" w:hAnsi="宋体"/>
          <w:szCs w:val="21"/>
        </w:rPr>
        <w:t>1.2.1资金来源及比例：见投标人须知前附表。</w:t>
      </w:r>
    </w:p>
    <w:p>
      <w:pPr>
        <w:spacing w:line="360" w:lineRule="auto"/>
        <w:ind w:firstLine="420" w:firstLineChars="200"/>
        <w:rPr>
          <w:rFonts w:ascii="宋体"/>
          <w:sz w:val="24"/>
        </w:rPr>
      </w:pPr>
      <w:r>
        <w:rPr>
          <w:rFonts w:hint="eastAsia" w:ascii="宋体" w:hAnsi="宋体"/>
          <w:szCs w:val="21"/>
        </w:rPr>
        <w:t>1.2.2资金落实情况：见投标人须知前附表。</w:t>
      </w:r>
    </w:p>
    <w:p>
      <w:pPr>
        <w:spacing w:line="360" w:lineRule="auto"/>
        <w:rPr>
          <w:rFonts w:ascii="宋体"/>
          <w:b/>
          <w:bCs/>
          <w:sz w:val="24"/>
        </w:rPr>
      </w:pPr>
      <w:r>
        <w:rPr>
          <w:rFonts w:ascii="宋体" w:hAnsi="宋体" w:cs="宋体"/>
          <w:b/>
          <w:bCs/>
          <w:sz w:val="24"/>
        </w:rPr>
        <w:t>1.3</w:t>
      </w:r>
      <w:r>
        <w:rPr>
          <w:rFonts w:hint="eastAsia" w:ascii="宋体" w:hAnsi="宋体" w:cs="宋体"/>
          <w:b/>
          <w:bCs/>
          <w:sz w:val="24"/>
        </w:rPr>
        <w:t>招标范围、计划工期和质量要求</w:t>
      </w:r>
      <w:bookmarkEnd w:id="49"/>
      <w:bookmarkEnd w:id="50"/>
      <w:bookmarkEnd w:id="51"/>
      <w:bookmarkEnd w:id="52"/>
      <w:r>
        <w:rPr>
          <w:rFonts w:hint="eastAsia" w:ascii="宋体" w:hAnsi="宋体" w:cs="宋体"/>
          <w:b/>
          <w:bCs/>
          <w:sz w:val="24"/>
        </w:rPr>
        <w:t>和安全目标</w:t>
      </w:r>
    </w:p>
    <w:p>
      <w:pPr>
        <w:spacing w:line="360" w:lineRule="auto"/>
        <w:ind w:firstLine="420" w:firstLineChars="200"/>
        <w:rPr>
          <w:rFonts w:ascii="宋体"/>
        </w:rPr>
      </w:pPr>
      <w:bookmarkStart w:id="53" w:name="_Toc234345943"/>
      <w:bookmarkStart w:id="54" w:name="_Toc234348764"/>
      <w:bookmarkStart w:id="55" w:name="_Toc234345728"/>
      <w:bookmarkStart w:id="56" w:name="_Toc234349338"/>
      <w:r>
        <w:rPr>
          <w:rFonts w:ascii="宋体" w:hAnsi="宋体" w:cs="宋体"/>
        </w:rPr>
        <w:t>1.3.1</w:t>
      </w:r>
      <w:r>
        <w:rPr>
          <w:rFonts w:hint="eastAsia" w:ascii="宋体" w:hAnsi="宋体" w:cs="宋体"/>
        </w:rPr>
        <w:t>招标范围：见投标人须知前附表。</w:t>
      </w:r>
    </w:p>
    <w:p>
      <w:pPr>
        <w:spacing w:line="360" w:lineRule="auto"/>
        <w:ind w:firstLine="420" w:firstLineChars="200"/>
        <w:rPr>
          <w:rFonts w:ascii="宋体"/>
        </w:rPr>
      </w:pPr>
      <w:r>
        <w:rPr>
          <w:rFonts w:ascii="宋体" w:hAnsi="宋体" w:cs="宋体"/>
        </w:rPr>
        <w:t>1.3.2</w:t>
      </w:r>
      <w:r>
        <w:rPr>
          <w:rFonts w:hint="eastAsia" w:ascii="宋体" w:hAnsi="宋体" w:cs="宋体"/>
        </w:rPr>
        <w:t>本标段的计划工期：见投标人须知前附表。</w:t>
      </w:r>
    </w:p>
    <w:p>
      <w:pPr>
        <w:spacing w:line="360" w:lineRule="auto"/>
        <w:ind w:firstLine="420" w:firstLineChars="200"/>
        <w:rPr>
          <w:rFonts w:ascii="宋体" w:hAnsi="宋体" w:cs="宋体"/>
        </w:rPr>
      </w:pPr>
      <w:r>
        <w:rPr>
          <w:rFonts w:ascii="宋体" w:hAnsi="宋体" w:cs="宋体"/>
        </w:rPr>
        <w:t>1.3.3</w:t>
      </w:r>
      <w:r>
        <w:rPr>
          <w:rFonts w:hint="eastAsia" w:ascii="宋体" w:hAnsi="宋体" w:cs="宋体"/>
        </w:rPr>
        <w:t>本标段的质量要求：见投标人须知前附表。</w:t>
      </w:r>
    </w:p>
    <w:p>
      <w:pPr>
        <w:spacing w:line="360" w:lineRule="auto"/>
        <w:ind w:firstLine="420" w:firstLineChars="200"/>
        <w:rPr>
          <w:rFonts w:ascii="宋体" w:hAnsi="宋体" w:cs="宋体"/>
        </w:rPr>
      </w:pPr>
      <w:r>
        <w:rPr>
          <w:rFonts w:hint="eastAsia" w:ascii="宋体" w:hAnsi="宋体" w:cs="宋体"/>
        </w:rPr>
        <w:t>1.3.4本标段的安全目标：见投标人须知前附表。</w:t>
      </w:r>
    </w:p>
    <w:p>
      <w:pPr>
        <w:spacing w:line="360" w:lineRule="auto"/>
        <w:rPr>
          <w:rFonts w:ascii="宋体"/>
          <w:b/>
          <w:bCs/>
          <w:sz w:val="24"/>
        </w:rPr>
      </w:pPr>
      <w:r>
        <w:rPr>
          <w:rFonts w:ascii="宋体" w:hAnsi="宋体" w:cs="宋体"/>
          <w:b/>
          <w:bCs/>
          <w:sz w:val="24"/>
        </w:rPr>
        <w:t>1.4</w:t>
      </w:r>
      <w:r>
        <w:rPr>
          <w:rFonts w:hint="eastAsia" w:ascii="宋体" w:hAnsi="宋体" w:cs="宋体"/>
          <w:b/>
          <w:bCs/>
          <w:sz w:val="24"/>
        </w:rPr>
        <w:t>投标人资格要求</w:t>
      </w:r>
      <w:bookmarkEnd w:id="53"/>
      <w:bookmarkEnd w:id="54"/>
      <w:bookmarkEnd w:id="55"/>
      <w:bookmarkEnd w:id="56"/>
    </w:p>
    <w:p>
      <w:pPr>
        <w:spacing w:line="360" w:lineRule="auto"/>
        <w:ind w:firstLine="420" w:firstLineChars="200"/>
        <w:rPr>
          <w:rFonts w:ascii="宋体"/>
        </w:rPr>
      </w:pPr>
      <w:r>
        <w:rPr>
          <w:rFonts w:ascii="宋体" w:hAnsi="宋体" w:cs="宋体"/>
        </w:rPr>
        <w:t>1.4.1</w:t>
      </w:r>
      <w:r>
        <w:rPr>
          <w:rFonts w:hint="eastAsia" w:ascii="宋体" w:hAnsi="宋体" w:cs="宋体"/>
        </w:rPr>
        <w:t>投标人应具备承担本标段施工的资质条件、能力和信誉。</w:t>
      </w:r>
    </w:p>
    <w:p>
      <w:pPr>
        <w:spacing w:line="360" w:lineRule="auto"/>
        <w:ind w:firstLine="420" w:firstLineChars="200"/>
        <w:rPr>
          <w:rFonts w:ascii="宋体"/>
        </w:rPr>
      </w:pPr>
      <w:r>
        <w:rPr>
          <w:rFonts w:ascii="宋体" w:hAnsi="宋体" w:cs="宋体"/>
        </w:rPr>
        <w:t>(l</w:t>
      </w:r>
      <w:r>
        <w:rPr>
          <w:rFonts w:hint="eastAsia" w:ascii="宋体" w:hAnsi="宋体" w:cs="宋体"/>
        </w:rPr>
        <w:t>)资质要求：见投标人须知前附表；</w:t>
      </w:r>
    </w:p>
    <w:p>
      <w:pPr>
        <w:spacing w:line="360" w:lineRule="auto"/>
        <w:ind w:firstLine="420" w:firstLineChars="200"/>
        <w:rPr>
          <w:rFonts w:ascii="宋体"/>
        </w:rPr>
      </w:pPr>
      <w:r>
        <w:rPr>
          <w:rFonts w:ascii="宋体" w:hAnsi="宋体" w:cs="宋体"/>
        </w:rPr>
        <w:t>(2</w:t>
      </w:r>
      <w:r>
        <w:rPr>
          <w:rFonts w:hint="eastAsia" w:ascii="宋体" w:hAnsi="宋体" w:cs="宋体"/>
        </w:rPr>
        <w:t>)财务要求：见投标人须知前附表；</w:t>
      </w:r>
    </w:p>
    <w:p>
      <w:pPr>
        <w:spacing w:line="360" w:lineRule="auto"/>
        <w:ind w:firstLine="420" w:firstLineChars="200"/>
        <w:rPr>
          <w:rFonts w:ascii="宋体"/>
        </w:rPr>
      </w:pPr>
      <w:r>
        <w:rPr>
          <w:rFonts w:ascii="宋体" w:hAnsi="宋体" w:cs="宋体"/>
        </w:rPr>
        <w:t>(3</w:t>
      </w:r>
      <w:r>
        <w:rPr>
          <w:rFonts w:hint="eastAsia" w:ascii="宋体" w:hAnsi="宋体" w:cs="宋体"/>
        </w:rPr>
        <w:t>)业绩要求：见投标人须知前附表；</w:t>
      </w:r>
    </w:p>
    <w:p>
      <w:pPr>
        <w:spacing w:line="360" w:lineRule="auto"/>
        <w:ind w:firstLine="420" w:firstLineChars="200"/>
        <w:rPr>
          <w:rFonts w:ascii="宋体"/>
        </w:rPr>
      </w:pPr>
      <w:r>
        <w:rPr>
          <w:rFonts w:ascii="宋体" w:hAnsi="宋体" w:cs="宋体"/>
        </w:rPr>
        <w:t>(4</w:t>
      </w:r>
      <w:r>
        <w:rPr>
          <w:rFonts w:hint="eastAsia" w:ascii="宋体" w:hAnsi="宋体" w:cs="宋体"/>
        </w:rPr>
        <w:t>)信誉要求：见投标人须知前附表；</w:t>
      </w:r>
    </w:p>
    <w:p>
      <w:pPr>
        <w:spacing w:line="360" w:lineRule="auto"/>
        <w:ind w:firstLine="420" w:firstLineChars="200"/>
        <w:rPr>
          <w:rFonts w:ascii="宋体"/>
        </w:rPr>
      </w:pPr>
      <w:r>
        <w:rPr>
          <w:rFonts w:ascii="宋体" w:hAnsi="宋体" w:cs="宋体"/>
        </w:rPr>
        <w:t>(5</w:t>
      </w:r>
      <w:r>
        <w:rPr>
          <w:rFonts w:hint="eastAsia" w:ascii="宋体" w:hAnsi="宋体" w:cs="宋体"/>
        </w:rPr>
        <w:t>)项目经理</w:t>
      </w:r>
      <w:r>
        <w:rPr>
          <w:rFonts w:hint="eastAsia" w:ascii="宋体" w:hAnsi="宋体"/>
          <w:szCs w:val="21"/>
        </w:rPr>
        <w:t>和项目总工</w:t>
      </w:r>
      <w:r>
        <w:rPr>
          <w:rFonts w:hint="eastAsia" w:ascii="宋体" w:hAnsi="宋体" w:cs="宋体"/>
        </w:rPr>
        <w:t>资格：见投标人须知前附表；</w:t>
      </w:r>
    </w:p>
    <w:p>
      <w:pPr>
        <w:spacing w:line="360" w:lineRule="auto"/>
        <w:ind w:firstLine="420" w:firstLineChars="200"/>
        <w:rPr>
          <w:rFonts w:ascii="宋体" w:hAnsi="宋体" w:cs="宋体"/>
        </w:rPr>
      </w:pPr>
      <w:r>
        <w:rPr>
          <w:rFonts w:ascii="宋体" w:hAnsi="宋体" w:cs="宋体"/>
        </w:rPr>
        <w:t>(6</w:t>
      </w:r>
      <w:r>
        <w:rPr>
          <w:rFonts w:hint="eastAsia" w:ascii="宋体" w:hAnsi="宋体" w:cs="宋体"/>
        </w:rPr>
        <w:t>)其他要求：见投标人须知前附表。</w:t>
      </w:r>
    </w:p>
    <w:p>
      <w:pPr>
        <w:spacing w:line="360" w:lineRule="auto"/>
        <w:ind w:firstLine="420" w:firstLineChars="200"/>
        <w:rPr>
          <w:rFonts w:ascii="宋体"/>
          <w:sz w:val="24"/>
        </w:rPr>
      </w:pPr>
      <w:r>
        <w:rPr>
          <w:rFonts w:hint="eastAsia" w:ascii="宋体" w:hAnsi="宋体" w:cs="宋体"/>
        </w:rPr>
        <w:t>需要提交的相关证明材料见本章第3.5款的规定。</w:t>
      </w:r>
    </w:p>
    <w:p>
      <w:pPr>
        <w:spacing w:line="360" w:lineRule="auto"/>
        <w:ind w:firstLine="420" w:firstLineChars="200"/>
        <w:rPr>
          <w:rFonts w:ascii="宋体"/>
        </w:rPr>
      </w:pPr>
      <w:r>
        <w:rPr>
          <w:rFonts w:ascii="宋体" w:hAnsi="宋体" w:cs="宋体"/>
        </w:rPr>
        <w:t>1.4.2</w:t>
      </w:r>
      <w:r>
        <w:rPr>
          <w:rFonts w:hint="eastAsia" w:ascii="宋体" w:hAnsi="宋体" w:cs="宋体"/>
        </w:rPr>
        <w:t>投标人须知前附表规定接受联合体投标的，联合体除应符合本章第</w:t>
      </w:r>
      <w:r>
        <w:rPr>
          <w:rFonts w:ascii="宋体" w:hAnsi="宋体" w:cs="宋体"/>
        </w:rPr>
        <w:t>1.4.1</w:t>
      </w:r>
      <w:r>
        <w:rPr>
          <w:rFonts w:hint="eastAsia" w:ascii="宋体" w:hAnsi="宋体" w:cs="宋体"/>
        </w:rPr>
        <w:t>项和投标人须知前附表的要求外，还应遵守以下规定：</w:t>
      </w:r>
    </w:p>
    <w:p>
      <w:pPr>
        <w:spacing w:line="360" w:lineRule="auto"/>
        <w:ind w:firstLine="420" w:firstLineChars="200"/>
        <w:rPr>
          <w:rFonts w:ascii="宋体"/>
        </w:rPr>
      </w:pPr>
      <w:r>
        <w:rPr>
          <w:rFonts w:ascii="宋体" w:hAnsi="宋体" w:cs="宋体"/>
        </w:rPr>
        <w:t>(1)</w:t>
      </w:r>
      <w:r>
        <w:rPr>
          <w:rFonts w:hint="eastAsia" w:ascii="宋体" w:hAnsi="宋体" w:cs="宋体"/>
        </w:rPr>
        <w:t>联合体各方应按招标文件提供的格式签订联合体协议书，明确联合体牵头人和各方权利义务，</w:t>
      </w:r>
      <w:r>
        <w:rPr>
          <w:rFonts w:hint="eastAsia" w:ascii="宋体" w:hAnsi="宋体"/>
          <w:szCs w:val="21"/>
        </w:rPr>
        <w:t>并承诺就中标项目向招标人承担连带责任</w:t>
      </w:r>
      <w:r>
        <w:rPr>
          <w:rFonts w:hint="eastAsia" w:ascii="宋体" w:hAnsi="宋体" w:cs="宋体"/>
        </w:rPr>
        <w:t>；</w:t>
      </w:r>
    </w:p>
    <w:p>
      <w:pPr>
        <w:spacing w:line="360" w:lineRule="auto"/>
        <w:ind w:firstLine="420" w:firstLineChars="200"/>
        <w:rPr>
          <w:rFonts w:ascii="宋体"/>
        </w:rPr>
      </w:pPr>
      <w:r>
        <w:rPr>
          <w:rFonts w:ascii="宋体" w:hAnsi="宋体" w:cs="宋体"/>
        </w:rPr>
        <w:t>(2)</w:t>
      </w:r>
      <w:r>
        <w:rPr>
          <w:rFonts w:hint="eastAsia" w:ascii="宋体" w:hAnsi="宋体" w:cs="宋体"/>
        </w:rPr>
        <w:t>由同一专业的单位组成的联合体，按照资质等级较低的单位确定资质等级；</w:t>
      </w:r>
    </w:p>
    <w:p>
      <w:pPr>
        <w:spacing w:line="360" w:lineRule="auto"/>
        <w:ind w:firstLine="420" w:firstLineChars="200"/>
        <w:rPr>
          <w:rFonts w:ascii="宋体"/>
        </w:rPr>
      </w:pPr>
      <w:r>
        <w:rPr>
          <w:rFonts w:ascii="宋体" w:hAnsi="宋体" w:cs="宋体"/>
        </w:rPr>
        <w:t>(3)</w:t>
      </w:r>
      <w:r>
        <w:rPr>
          <w:rFonts w:hint="eastAsia" w:ascii="宋体" w:hAnsi="宋体" w:cs="宋体"/>
        </w:rPr>
        <w:t>联合体各方不得再以自己名义单独或参加其他联合体在同一标段中投标；</w:t>
      </w:r>
    </w:p>
    <w:p>
      <w:pPr>
        <w:spacing w:line="360" w:lineRule="auto"/>
        <w:ind w:firstLine="420" w:firstLineChars="200"/>
        <w:rPr>
          <w:rFonts w:ascii="宋体" w:hAnsi="宋体"/>
          <w:szCs w:val="21"/>
        </w:rPr>
      </w:pPr>
      <w:r>
        <w:rPr>
          <w:rFonts w:hint="eastAsia" w:ascii="宋体" w:hAnsi="宋体"/>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20" w:firstLineChars="200"/>
        <w:rPr>
          <w:rFonts w:ascii="宋体"/>
        </w:rPr>
      </w:pPr>
      <w:r>
        <w:rPr>
          <w:rFonts w:hint="eastAsia" w:ascii="宋体" w:hAnsi="宋体"/>
          <w:szCs w:val="21"/>
        </w:rPr>
        <w:t>(5)尽管委任了联合体牵头人，但联合体各成员在投标、签订合同和履行合同过程中，仍负有连带的和各自的法律责任。</w:t>
      </w:r>
    </w:p>
    <w:p>
      <w:pPr>
        <w:spacing w:line="360" w:lineRule="auto"/>
        <w:ind w:firstLine="420" w:firstLineChars="200"/>
        <w:rPr>
          <w:rFonts w:ascii="宋体" w:hAnsi="宋体"/>
          <w:szCs w:val="21"/>
        </w:rPr>
      </w:pPr>
      <w:r>
        <w:rPr>
          <w:rFonts w:hint="eastAsia" w:ascii="宋体" w:hAnsi="宋体"/>
          <w:szCs w:val="21"/>
        </w:rPr>
        <w:t>1.4.3投标人（包括联合体各成员）不得与本标段相关单位存在下列关联情形之一：</w:t>
      </w:r>
    </w:p>
    <w:p>
      <w:pPr>
        <w:spacing w:line="360" w:lineRule="auto"/>
        <w:ind w:firstLine="420" w:firstLineChars="200"/>
        <w:rPr>
          <w:rFonts w:ascii="宋体" w:hAnsi="宋体"/>
          <w:szCs w:val="21"/>
        </w:rPr>
      </w:pPr>
      <w:r>
        <w:rPr>
          <w:rFonts w:hint="eastAsia" w:ascii="宋体" w:hAnsi="宋体"/>
          <w:szCs w:val="21"/>
        </w:rPr>
        <w:t>(1)为招标人不具有独立法人资格的附属机构(单位)；</w:t>
      </w:r>
    </w:p>
    <w:p>
      <w:pPr>
        <w:spacing w:line="360" w:lineRule="auto"/>
        <w:ind w:firstLine="420" w:firstLineChars="200"/>
        <w:rPr>
          <w:rFonts w:ascii="宋体" w:hAnsi="宋体"/>
          <w:szCs w:val="21"/>
        </w:rPr>
      </w:pPr>
      <w:r>
        <w:rPr>
          <w:rFonts w:hint="eastAsia" w:ascii="宋体" w:hAnsi="宋体"/>
          <w:szCs w:val="21"/>
        </w:rPr>
        <w:t>(2)与招标人存在利害关系且可能影响招标公正性；</w:t>
      </w:r>
    </w:p>
    <w:p>
      <w:pPr>
        <w:spacing w:line="360" w:lineRule="auto"/>
        <w:ind w:firstLine="420" w:firstLineChars="200"/>
        <w:rPr>
          <w:rFonts w:ascii="宋体" w:hAnsi="宋体"/>
          <w:szCs w:val="21"/>
        </w:rPr>
      </w:pPr>
      <w:r>
        <w:rPr>
          <w:rFonts w:hint="eastAsia" w:ascii="宋体" w:hAnsi="宋体"/>
          <w:szCs w:val="21"/>
        </w:rPr>
        <w:t>(3)与本标段的其他投标人同为一个单位负责人；</w:t>
      </w:r>
    </w:p>
    <w:p>
      <w:pPr>
        <w:spacing w:line="360" w:lineRule="auto"/>
        <w:ind w:firstLine="420" w:firstLineChars="200"/>
        <w:rPr>
          <w:rFonts w:ascii="宋体" w:hAnsi="宋体"/>
          <w:szCs w:val="21"/>
        </w:rPr>
      </w:pPr>
      <w:r>
        <w:rPr>
          <w:rFonts w:hint="eastAsia" w:ascii="宋体" w:hAnsi="宋体"/>
          <w:szCs w:val="21"/>
        </w:rPr>
        <w:t>(4)与本标段的其他投标人存在控股、管理关系；</w:t>
      </w:r>
    </w:p>
    <w:p>
      <w:pPr>
        <w:spacing w:line="360" w:lineRule="auto"/>
        <w:ind w:firstLine="420" w:firstLineChars="200"/>
        <w:rPr>
          <w:rFonts w:ascii="宋体" w:hAnsi="宋体"/>
          <w:szCs w:val="21"/>
        </w:rPr>
      </w:pPr>
      <w:r>
        <w:rPr>
          <w:rFonts w:hint="eastAsia" w:ascii="宋体" w:hAnsi="宋体"/>
          <w:szCs w:val="21"/>
        </w:rPr>
        <w:t>(5)为本标段前期准备提供设计或咨询服务的法人或其任何附属机构（单位）；</w:t>
      </w:r>
    </w:p>
    <w:p>
      <w:pPr>
        <w:spacing w:line="360" w:lineRule="auto"/>
        <w:ind w:firstLine="420" w:firstLineChars="200"/>
        <w:rPr>
          <w:rFonts w:ascii="宋体" w:hAnsi="宋体"/>
          <w:szCs w:val="21"/>
        </w:rPr>
      </w:pPr>
      <w:r>
        <w:rPr>
          <w:rFonts w:hint="eastAsia" w:ascii="宋体" w:hAnsi="宋体"/>
          <w:szCs w:val="21"/>
        </w:rPr>
        <w:t>(6)为本标段的监理人；</w:t>
      </w:r>
    </w:p>
    <w:p>
      <w:pPr>
        <w:spacing w:line="360" w:lineRule="auto"/>
        <w:ind w:firstLine="420" w:firstLineChars="200"/>
        <w:rPr>
          <w:rFonts w:ascii="宋体" w:hAnsi="宋体"/>
          <w:szCs w:val="21"/>
        </w:rPr>
      </w:pPr>
      <w:r>
        <w:rPr>
          <w:rFonts w:hint="eastAsia" w:ascii="宋体" w:hAnsi="宋体"/>
          <w:szCs w:val="21"/>
        </w:rPr>
        <w:t>(7)为本标段的代建人；</w:t>
      </w:r>
    </w:p>
    <w:p>
      <w:pPr>
        <w:spacing w:line="360" w:lineRule="auto"/>
        <w:ind w:firstLine="420" w:firstLineChars="200"/>
        <w:rPr>
          <w:rFonts w:ascii="宋体" w:hAnsi="宋体"/>
          <w:szCs w:val="21"/>
        </w:rPr>
      </w:pPr>
      <w:r>
        <w:rPr>
          <w:rFonts w:hint="eastAsia" w:ascii="宋体" w:hAnsi="宋体"/>
          <w:szCs w:val="21"/>
        </w:rPr>
        <w:t>(8)为本标段的招标代理机构；</w:t>
      </w:r>
    </w:p>
    <w:p>
      <w:pPr>
        <w:spacing w:line="360" w:lineRule="auto"/>
        <w:ind w:firstLine="420" w:firstLineChars="200"/>
        <w:rPr>
          <w:rFonts w:ascii="宋体" w:hAnsi="宋体"/>
          <w:szCs w:val="21"/>
        </w:rPr>
      </w:pPr>
      <w:r>
        <w:rPr>
          <w:rFonts w:hint="eastAsia" w:ascii="宋体" w:hAnsi="宋体"/>
          <w:szCs w:val="21"/>
        </w:rPr>
        <w:t>(9)与本标段的监理人或代建人或招标代理机构同为一个法定代表人的；</w:t>
      </w:r>
    </w:p>
    <w:p>
      <w:pPr>
        <w:spacing w:line="360" w:lineRule="auto"/>
        <w:ind w:firstLine="420" w:firstLineChars="200"/>
        <w:rPr>
          <w:rFonts w:ascii="宋体" w:hAnsi="宋体"/>
          <w:szCs w:val="21"/>
        </w:rPr>
      </w:pPr>
      <w:r>
        <w:rPr>
          <w:rFonts w:hint="eastAsia" w:ascii="宋体" w:hAnsi="宋体"/>
          <w:szCs w:val="21"/>
        </w:rPr>
        <w:t>(10)与本标段的监理人或代建人或招标代理机构存在控股或参股关系；</w:t>
      </w:r>
    </w:p>
    <w:p>
      <w:pPr>
        <w:spacing w:line="360" w:lineRule="auto"/>
        <w:ind w:firstLine="420" w:firstLineChars="200"/>
        <w:rPr>
          <w:rFonts w:ascii="宋体" w:hAnsi="宋体"/>
          <w:szCs w:val="21"/>
        </w:rPr>
      </w:pPr>
      <w:r>
        <w:rPr>
          <w:rFonts w:hint="eastAsia" w:ascii="宋体" w:hAnsi="宋体"/>
          <w:szCs w:val="21"/>
        </w:rPr>
        <w:t>(11)法律法规或投标人须知前附表规定的其他情形。</w:t>
      </w:r>
    </w:p>
    <w:p>
      <w:pPr>
        <w:spacing w:line="360" w:lineRule="auto"/>
        <w:ind w:firstLine="420" w:firstLineChars="200"/>
        <w:rPr>
          <w:rFonts w:ascii="宋体" w:hAnsi="宋体"/>
          <w:szCs w:val="21"/>
        </w:rPr>
      </w:pPr>
      <w:r>
        <w:rPr>
          <w:rFonts w:hint="eastAsia" w:ascii="宋体" w:hAnsi="宋体"/>
          <w:szCs w:val="21"/>
        </w:rPr>
        <w:t>1.4.4投标人（包括联合体各成员）不得存在下列不良状况或不良信用记录：</w:t>
      </w:r>
    </w:p>
    <w:p>
      <w:pPr>
        <w:spacing w:line="360" w:lineRule="auto"/>
        <w:ind w:firstLine="420" w:firstLineChars="200"/>
        <w:rPr>
          <w:rFonts w:ascii="宋体" w:hAnsi="宋体"/>
          <w:szCs w:val="21"/>
        </w:rPr>
      </w:pPr>
      <w:r>
        <w:rPr>
          <w:rFonts w:hint="eastAsia" w:ascii="宋体" w:hAnsi="宋体"/>
          <w:szCs w:val="21"/>
        </w:rPr>
        <w:t>(1)被省级及以上交通运输主管部门取消招标项目所在地的投标资格且处于有效期内；</w:t>
      </w:r>
    </w:p>
    <w:p>
      <w:pPr>
        <w:spacing w:line="360" w:lineRule="auto"/>
        <w:ind w:firstLine="420" w:firstLineChars="200"/>
        <w:rPr>
          <w:rFonts w:ascii="宋体" w:hAnsi="宋体"/>
          <w:szCs w:val="21"/>
        </w:rPr>
      </w:pPr>
      <w:r>
        <w:rPr>
          <w:rFonts w:hint="eastAsia" w:ascii="宋体" w:hAnsi="宋体"/>
          <w:szCs w:val="21"/>
        </w:rPr>
        <w:t>(2)被责令停业，暂扣或吊销执照，或吊销资质证书；</w:t>
      </w:r>
    </w:p>
    <w:p>
      <w:pPr>
        <w:spacing w:line="360" w:lineRule="auto"/>
        <w:ind w:firstLine="420" w:firstLineChars="200"/>
        <w:rPr>
          <w:rFonts w:ascii="宋体" w:hAnsi="宋体"/>
          <w:szCs w:val="21"/>
        </w:rPr>
      </w:pPr>
      <w:r>
        <w:rPr>
          <w:rFonts w:hint="eastAsia" w:ascii="宋体" w:hAnsi="宋体"/>
          <w:szCs w:val="21"/>
        </w:rPr>
        <w:t>(3)进入清算程序，或被宣告破产，或其他丧失履约能力的情形；</w:t>
      </w:r>
    </w:p>
    <w:p>
      <w:pPr>
        <w:spacing w:line="360" w:lineRule="auto"/>
        <w:ind w:firstLine="420" w:firstLineChars="200"/>
        <w:rPr>
          <w:rFonts w:ascii="宋体" w:hAnsi="宋体"/>
          <w:szCs w:val="21"/>
        </w:rPr>
      </w:pPr>
      <w:r>
        <w:rPr>
          <w:rFonts w:hint="eastAsia" w:ascii="宋体" w:hAnsi="宋体"/>
          <w:szCs w:val="21"/>
        </w:rPr>
        <w:t>(4)在国家企业信用信息公示系统（http://www.gsxt.gov.cn）中被列入严重违法失信企业名单；</w:t>
      </w:r>
    </w:p>
    <w:p>
      <w:pPr>
        <w:spacing w:line="360" w:lineRule="auto"/>
        <w:ind w:firstLine="420" w:firstLineChars="200"/>
        <w:rPr>
          <w:rFonts w:ascii="宋体" w:hAnsi="宋体"/>
          <w:szCs w:val="21"/>
        </w:rPr>
      </w:pPr>
      <w:r>
        <w:rPr>
          <w:rFonts w:hint="eastAsia" w:ascii="宋体" w:hAnsi="宋体"/>
          <w:szCs w:val="21"/>
        </w:rPr>
        <w:t>(5)在“信用中国”网站（http://www.creditchina.gov.cn）中被列入失信被执行人名单；</w:t>
      </w:r>
    </w:p>
    <w:p>
      <w:pPr>
        <w:spacing w:line="360" w:lineRule="auto"/>
        <w:ind w:firstLine="420" w:firstLineChars="200"/>
        <w:rPr>
          <w:rFonts w:ascii="宋体" w:hAnsi="宋体"/>
          <w:szCs w:val="21"/>
        </w:rPr>
      </w:pPr>
      <w:r>
        <w:rPr>
          <w:rFonts w:hint="eastAsia" w:ascii="宋体" w:hAnsi="宋体"/>
          <w:szCs w:val="21"/>
        </w:rPr>
        <w:t>(6)投标人或其法定代表人、拟委任的项目经理在近三年内有行贿犯罪行为的（行贿犯罪行为的认定以检察机关职务犯罪预防部门出具的查询结果为准）；</w:t>
      </w:r>
    </w:p>
    <w:p>
      <w:pPr>
        <w:spacing w:line="360" w:lineRule="auto"/>
        <w:ind w:firstLine="420" w:firstLineChars="200"/>
        <w:rPr>
          <w:rFonts w:ascii="宋体" w:hAnsi="宋体"/>
          <w:szCs w:val="21"/>
        </w:rPr>
      </w:pPr>
      <w:r>
        <w:rPr>
          <w:rFonts w:hint="eastAsia" w:ascii="宋体" w:hAnsi="宋体"/>
          <w:szCs w:val="21"/>
        </w:rPr>
        <w:t>(7) 法律法规或投标人须知前附表规定的其他情形。</w:t>
      </w:r>
    </w:p>
    <w:p>
      <w:pPr>
        <w:spacing w:line="360" w:lineRule="auto"/>
        <w:ind w:firstLine="420" w:firstLineChars="200"/>
        <w:rPr>
          <w:rFonts w:ascii="宋体"/>
        </w:rPr>
      </w:pPr>
      <w:r>
        <w:rPr>
          <w:rFonts w:hint="eastAsia" w:ascii="宋体" w:hAnsi="宋体"/>
          <w:szCs w:val="21"/>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spacing w:line="360" w:lineRule="auto"/>
        <w:rPr>
          <w:rFonts w:ascii="宋体"/>
          <w:b/>
          <w:bCs/>
          <w:sz w:val="24"/>
        </w:rPr>
      </w:pPr>
      <w:bookmarkStart w:id="57" w:name="_Toc234349339"/>
      <w:bookmarkStart w:id="58" w:name="_Toc234345944"/>
      <w:bookmarkStart w:id="59" w:name="_Toc234345729"/>
      <w:bookmarkStart w:id="60" w:name="_Toc234348765"/>
      <w:r>
        <w:rPr>
          <w:rFonts w:ascii="宋体" w:hAnsi="宋体" w:cs="宋体"/>
          <w:b/>
          <w:bCs/>
          <w:sz w:val="24"/>
        </w:rPr>
        <w:t>1.5</w:t>
      </w:r>
      <w:r>
        <w:rPr>
          <w:rFonts w:hint="eastAsia" w:ascii="宋体" w:hAnsi="宋体" w:cs="宋体"/>
          <w:b/>
          <w:bCs/>
          <w:sz w:val="24"/>
        </w:rPr>
        <w:t>费用承担</w:t>
      </w:r>
      <w:bookmarkEnd w:id="57"/>
      <w:bookmarkEnd w:id="58"/>
      <w:bookmarkEnd w:id="59"/>
      <w:bookmarkEnd w:id="60"/>
    </w:p>
    <w:p>
      <w:pPr>
        <w:spacing w:line="360" w:lineRule="auto"/>
        <w:ind w:firstLine="420" w:firstLineChars="200"/>
        <w:rPr>
          <w:rFonts w:ascii="宋体"/>
        </w:rPr>
      </w:pPr>
      <w:r>
        <w:rPr>
          <w:rFonts w:hint="eastAsia" w:ascii="宋体" w:hAnsi="宋体" w:cs="宋体"/>
        </w:rPr>
        <w:t>投标人准备和参加投标活动发生的费用自理。</w:t>
      </w:r>
    </w:p>
    <w:p>
      <w:pPr>
        <w:spacing w:line="360" w:lineRule="auto"/>
        <w:rPr>
          <w:rFonts w:ascii="宋体"/>
          <w:b/>
          <w:bCs/>
          <w:sz w:val="24"/>
        </w:rPr>
      </w:pPr>
      <w:bookmarkStart w:id="61" w:name="_Toc234348766"/>
      <w:bookmarkStart w:id="62" w:name="_Toc234345730"/>
      <w:bookmarkStart w:id="63" w:name="_Toc234349340"/>
      <w:bookmarkStart w:id="64" w:name="_Toc234345945"/>
      <w:r>
        <w:rPr>
          <w:rFonts w:ascii="宋体" w:hAnsi="宋体" w:cs="宋体"/>
          <w:b/>
          <w:bCs/>
          <w:sz w:val="24"/>
        </w:rPr>
        <w:t>1.6</w:t>
      </w:r>
      <w:r>
        <w:rPr>
          <w:rFonts w:hint="eastAsia" w:ascii="宋体" w:hAnsi="宋体" w:cs="宋体"/>
          <w:b/>
          <w:bCs/>
          <w:sz w:val="24"/>
        </w:rPr>
        <w:t>保密</w:t>
      </w:r>
      <w:bookmarkEnd w:id="61"/>
      <w:bookmarkEnd w:id="62"/>
      <w:bookmarkEnd w:id="63"/>
      <w:bookmarkEnd w:id="64"/>
    </w:p>
    <w:p>
      <w:pPr>
        <w:spacing w:line="360" w:lineRule="auto"/>
        <w:ind w:firstLine="420" w:firstLineChars="200"/>
        <w:rPr>
          <w:rFonts w:ascii="宋体"/>
        </w:rPr>
      </w:pPr>
      <w:r>
        <w:rPr>
          <w:rFonts w:hint="eastAsia" w:ascii="宋体" w:hAnsi="宋体" w:cs="宋体"/>
        </w:rPr>
        <w:t>参与招标投标活动的各方应对招标文件和投标文件中的商业和技术等秘密保密，</w:t>
      </w:r>
      <w:r>
        <w:rPr>
          <w:rFonts w:hint="eastAsia" w:ascii="宋体" w:hAnsi="宋体"/>
          <w:szCs w:val="21"/>
        </w:rPr>
        <w:t>否则应承担相应的法律责任。</w:t>
      </w:r>
    </w:p>
    <w:p>
      <w:pPr>
        <w:spacing w:line="360" w:lineRule="auto"/>
        <w:rPr>
          <w:rFonts w:ascii="宋体"/>
          <w:b/>
          <w:bCs/>
          <w:sz w:val="24"/>
        </w:rPr>
      </w:pPr>
      <w:bookmarkStart w:id="65" w:name="_Toc234345946"/>
      <w:bookmarkStart w:id="66" w:name="_Toc234348767"/>
      <w:bookmarkStart w:id="67" w:name="_Toc234349341"/>
      <w:bookmarkStart w:id="68" w:name="_Toc234345731"/>
      <w:r>
        <w:rPr>
          <w:rFonts w:ascii="宋体" w:hAnsi="宋体" w:cs="宋体"/>
          <w:b/>
          <w:bCs/>
          <w:sz w:val="24"/>
        </w:rPr>
        <w:t>1.7</w:t>
      </w:r>
      <w:r>
        <w:rPr>
          <w:rFonts w:hint="eastAsia" w:ascii="宋体" w:hAnsi="宋体" w:cs="宋体"/>
          <w:b/>
          <w:bCs/>
          <w:sz w:val="24"/>
        </w:rPr>
        <w:t>语言文字</w:t>
      </w:r>
      <w:bookmarkEnd w:id="65"/>
      <w:bookmarkEnd w:id="66"/>
      <w:bookmarkEnd w:id="67"/>
      <w:bookmarkEnd w:id="68"/>
    </w:p>
    <w:p>
      <w:pPr>
        <w:spacing w:line="360" w:lineRule="auto"/>
        <w:ind w:firstLine="420" w:firstLineChars="200"/>
        <w:rPr>
          <w:rFonts w:ascii="宋体"/>
        </w:rPr>
      </w:pPr>
      <w:r>
        <w:rPr>
          <w:rFonts w:hint="eastAsia" w:ascii="宋体" w:hAnsi="宋体"/>
          <w:szCs w:val="21"/>
        </w:rPr>
        <w:t>招标投标文件使用的语言文字为中文。专用术语使用外文的，应附有中文注释。</w:t>
      </w:r>
    </w:p>
    <w:p>
      <w:pPr>
        <w:spacing w:line="360" w:lineRule="auto"/>
        <w:rPr>
          <w:rFonts w:ascii="宋体"/>
          <w:b/>
          <w:bCs/>
          <w:sz w:val="24"/>
        </w:rPr>
      </w:pPr>
      <w:bookmarkStart w:id="69" w:name="_Toc234345732"/>
      <w:bookmarkStart w:id="70" w:name="_Toc234348768"/>
      <w:bookmarkStart w:id="71" w:name="_Toc234345947"/>
      <w:bookmarkStart w:id="72" w:name="_Toc234349342"/>
      <w:r>
        <w:rPr>
          <w:rFonts w:ascii="宋体" w:hAnsi="宋体" w:cs="宋体"/>
          <w:b/>
          <w:bCs/>
          <w:sz w:val="24"/>
        </w:rPr>
        <w:t>1.8</w:t>
      </w:r>
      <w:r>
        <w:rPr>
          <w:rFonts w:hint="eastAsia" w:ascii="宋体" w:hAnsi="宋体" w:cs="宋体"/>
          <w:b/>
          <w:bCs/>
          <w:sz w:val="24"/>
        </w:rPr>
        <w:t>计量单位</w:t>
      </w:r>
      <w:bookmarkEnd w:id="69"/>
      <w:bookmarkEnd w:id="70"/>
      <w:bookmarkEnd w:id="71"/>
      <w:bookmarkEnd w:id="72"/>
    </w:p>
    <w:p>
      <w:pPr>
        <w:spacing w:line="360" w:lineRule="auto"/>
        <w:ind w:firstLine="420" w:firstLineChars="200"/>
        <w:rPr>
          <w:rFonts w:ascii="宋体"/>
        </w:rPr>
      </w:pPr>
      <w:r>
        <w:rPr>
          <w:rFonts w:hint="eastAsia" w:ascii="宋体" w:hAnsi="宋体" w:cs="宋体"/>
        </w:rPr>
        <w:t>所有计量均采用中华人民共和国法定计量单位。</w:t>
      </w:r>
    </w:p>
    <w:p>
      <w:pPr>
        <w:spacing w:line="360" w:lineRule="auto"/>
        <w:rPr>
          <w:rFonts w:ascii="宋体"/>
          <w:b/>
          <w:bCs/>
          <w:sz w:val="24"/>
        </w:rPr>
      </w:pPr>
      <w:bookmarkStart w:id="73" w:name="_Toc234348769"/>
      <w:bookmarkStart w:id="74" w:name="_Toc234349343"/>
      <w:bookmarkStart w:id="75" w:name="_Toc234345733"/>
      <w:bookmarkStart w:id="76" w:name="_Toc234345948"/>
      <w:r>
        <w:rPr>
          <w:rFonts w:ascii="宋体" w:hAnsi="宋体" w:cs="宋体"/>
          <w:b/>
          <w:bCs/>
          <w:sz w:val="24"/>
        </w:rPr>
        <w:t>1.9</w:t>
      </w:r>
      <w:r>
        <w:rPr>
          <w:rFonts w:hint="eastAsia" w:ascii="宋体" w:hAnsi="宋体" w:cs="宋体"/>
          <w:b/>
          <w:bCs/>
          <w:sz w:val="24"/>
        </w:rPr>
        <w:t>踏勘现场</w:t>
      </w:r>
      <w:bookmarkEnd w:id="73"/>
      <w:bookmarkEnd w:id="74"/>
      <w:bookmarkEnd w:id="75"/>
      <w:bookmarkEnd w:id="76"/>
    </w:p>
    <w:p>
      <w:pPr>
        <w:spacing w:line="360" w:lineRule="auto"/>
        <w:ind w:firstLine="420" w:firstLineChars="200"/>
        <w:rPr>
          <w:rFonts w:ascii="宋体"/>
        </w:rPr>
      </w:pPr>
      <w:bookmarkStart w:id="77" w:name="_Toc234348770"/>
      <w:bookmarkStart w:id="78" w:name="_Toc234345734"/>
      <w:bookmarkStart w:id="79" w:name="_Toc234349344"/>
      <w:bookmarkStart w:id="80" w:name="_Toc234345949"/>
      <w:r>
        <w:rPr>
          <w:rFonts w:hint="eastAsia" w:ascii="宋体" w:hAnsi="宋体"/>
          <w:szCs w:val="21"/>
        </w:rPr>
        <w:t>1.9.1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rPr>
          <w:rFonts w:ascii="宋体"/>
        </w:rPr>
      </w:pPr>
      <w:r>
        <w:rPr>
          <w:rFonts w:ascii="宋体" w:hAnsi="宋体" w:cs="宋体"/>
        </w:rPr>
        <w:t>1.9.2</w:t>
      </w:r>
      <w:r>
        <w:rPr>
          <w:rFonts w:hint="eastAsia" w:ascii="宋体" w:hAnsi="宋体" w:cs="宋体"/>
        </w:rPr>
        <w:t>投标人踏勘现场发生的费用自理。</w:t>
      </w:r>
    </w:p>
    <w:p>
      <w:pPr>
        <w:spacing w:line="360" w:lineRule="auto"/>
        <w:ind w:firstLine="420" w:firstLineChars="200"/>
        <w:rPr>
          <w:rFonts w:ascii="宋体"/>
        </w:rPr>
      </w:pPr>
      <w:r>
        <w:rPr>
          <w:rFonts w:ascii="宋体" w:hAnsi="宋体" w:cs="宋体"/>
        </w:rPr>
        <w:t>1.9.3</w:t>
      </w:r>
      <w:r>
        <w:rPr>
          <w:rFonts w:hint="eastAsia" w:ascii="宋体" w:hAnsi="宋体" w:cs="宋体"/>
        </w:rPr>
        <w:t>除招标人的原因外，投标人自行负责在踏勘现场中所发生的人员伤亡和财产损失。</w:t>
      </w:r>
    </w:p>
    <w:p>
      <w:pPr>
        <w:snapToGrid w:val="0"/>
        <w:spacing w:line="300" w:lineRule="auto"/>
        <w:ind w:firstLine="420" w:firstLineChars="200"/>
        <w:rPr>
          <w:rFonts w:ascii="宋体"/>
        </w:rPr>
      </w:pPr>
      <w:r>
        <w:rPr>
          <w:rFonts w:ascii="宋体" w:hAnsi="宋体" w:cs="宋体"/>
        </w:rPr>
        <w:t>1.9.4</w:t>
      </w:r>
      <w:r>
        <w:rPr>
          <w:rFonts w:hint="eastAsia" w:ascii="宋体" w:hAnsi="宋体" w:cs="宋体"/>
        </w:rPr>
        <w:t>招标人在踏勘现场中介绍的工程场地和相关的周边环境情况，供投标人在编制投标文件时参考，招标人不对投标人据此作出的判断和决策负责。</w:t>
      </w:r>
    </w:p>
    <w:p>
      <w:pPr>
        <w:spacing w:line="360" w:lineRule="auto"/>
        <w:ind w:firstLine="420" w:firstLineChars="200"/>
        <w:rPr>
          <w:rFonts w:ascii="宋体"/>
        </w:rPr>
      </w:pPr>
      <w:r>
        <w:rPr>
          <w:rFonts w:hint="eastAsia" w:ascii="宋体" w:hAnsi="宋体"/>
          <w:szCs w:val="21"/>
        </w:rPr>
        <w:t>1.9.5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360" w:lineRule="auto"/>
        <w:rPr>
          <w:rFonts w:ascii="宋体"/>
          <w:b/>
          <w:bCs/>
          <w:sz w:val="24"/>
        </w:rPr>
      </w:pPr>
      <w:r>
        <w:rPr>
          <w:rFonts w:ascii="宋体" w:hAnsi="宋体" w:cs="宋体"/>
          <w:b/>
          <w:bCs/>
          <w:sz w:val="24"/>
        </w:rPr>
        <w:t>1.10</w:t>
      </w:r>
      <w:r>
        <w:rPr>
          <w:rFonts w:hint="eastAsia" w:ascii="宋体" w:hAnsi="宋体" w:cs="宋体"/>
          <w:b/>
          <w:bCs/>
          <w:sz w:val="24"/>
        </w:rPr>
        <w:t>投标预备会</w:t>
      </w:r>
      <w:bookmarkEnd w:id="77"/>
      <w:bookmarkEnd w:id="78"/>
      <w:bookmarkEnd w:id="79"/>
      <w:bookmarkEnd w:id="80"/>
    </w:p>
    <w:p>
      <w:pPr>
        <w:spacing w:line="360" w:lineRule="auto"/>
        <w:ind w:firstLine="420" w:firstLineChars="200"/>
        <w:rPr>
          <w:rFonts w:ascii="宋体" w:hAnsi="宋体"/>
          <w:szCs w:val="21"/>
        </w:rPr>
      </w:pPr>
      <w:bookmarkStart w:id="81" w:name="_Toc234348771"/>
      <w:bookmarkStart w:id="82" w:name="_Toc234345950"/>
      <w:bookmarkStart w:id="83" w:name="_Toc234345735"/>
      <w:bookmarkStart w:id="84" w:name="_Toc234349345"/>
      <w:r>
        <w:rPr>
          <w:rFonts w:hint="eastAsia" w:ascii="宋体" w:hAnsi="宋体"/>
          <w:szCs w:val="21"/>
        </w:rPr>
        <w:t>1.10.1第一章“招标公告”或“投标邀请书”规定召开投标预备会的，招标人按规定的时间和地点召开投标预备会，澄清投标人提出的问题。</w:t>
      </w:r>
    </w:p>
    <w:p>
      <w:pPr>
        <w:spacing w:line="360" w:lineRule="auto"/>
        <w:ind w:firstLine="420" w:firstLineChars="200"/>
        <w:rPr>
          <w:rFonts w:ascii="宋体" w:hAnsi="宋体"/>
          <w:szCs w:val="21"/>
        </w:rPr>
      </w:pPr>
      <w:r>
        <w:rPr>
          <w:rFonts w:hint="eastAsia" w:ascii="宋体" w:hAnsi="宋体"/>
          <w:szCs w:val="21"/>
        </w:rPr>
        <w:t>1.10.2投标人应按投标人须知前附表规定的时间和形式将提出的问题送达招标人，以便招标人在会议期间澄清。</w:t>
      </w:r>
    </w:p>
    <w:p>
      <w:pPr>
        <w:spacing w:line="360" w:lineRule="auto"/>
        <w:ind w:firstLine="420" w:firstLineChars="200"/>
        <w:rPr>
          <w:rFonts w:ascii="宋体"/>
          <w:sz w:val="24"/>
        </w:rPr>
      </w:pPr>
      <w:r>
        <w:rPr>
          <w:rFonts w:hint="eastAsia" w:ascii="宋体" w:hAnsi="宋体"/>
          <w:szCs w:val="21"/>
        </w:rPr>
        <w:t>1.10.3投标预备会后，招标人将对投标人所提问题的澄清，以本章第2.2款规定的形式通知所有购买招标文件的投标人。该澄清内容为招标文件的组成部分。</w:t>
      </w:r>
    </w:p>
    <w:p>
      <w:pPr>
        <w:spacing w:line="360" w:lineRule="auto"/>
        <w:rPr>
          <w:rFonts w:ascii="宋体"/>
          <w:b/>
          <w:bCs/>
          <w:sz w:val="24"/>
        </w:rPr>
      </w:pPr>
      <w:r>
        <w:rPr>
          <w:rFonts w:ascii="宋体" w:hAnsi="宋体" w:cs="宋体"/>
          <w:b/>
          <w:bCs/>
          <w:sz w:val="24"/>
        </w:rPr>
        <w:t>1.11</w:t>
      </w:r>
      <w:r>
        <w:rPr>
          <w:rFonts w:hint="eastAsia" w:ascii="宋体" w:hAnsi="宋体" w:cs="宋体"/>
          <w:b/>
          <w:bCs/>
          <w:sz w:val="24"/>
        </w:rPr>
        <w:t>分包</w:t>
      </w:r>
      <w:bookmarkEnd w:id="81"/>
      <w:bookmarkEnd w:id="82"/>
      <w:bookmarkEnd w:id="83"/>
      <w:bookmarkEnd w:id="84"/>
    </w:p>
    <w:p>
      <w:pPr>
        <w:spacing w:line="360" w:lineRule="auto"/>
        <w:ind w:firstLine="420" w:firstLineChars="200"/>
        <w:rPr>
          <w:rFonts w:ascii="宋体" w:hAnsi="宋体"/>
          <w:szCs w:val="21"/>
        </w:rPr>
      </w:pPr>
      <w:bookmarkStart w:id="85" w:name="_Toc234349347"/>
      <w:bookmarkStart w:id="86" w:name="_Toc234348773"/>
      <w:r>
        <w:rPr>
          <w:rFonts w:hint="eastAsia" w:ascii="宋体" w:hAnsi="宋体"/>
          <w:szCs w:val="21"/>
        </w:rPr>
        <w:t>1.11.1投标人拟在中标后将中标项目的部分非主体、非关键性工作进行分包的，应符合以下规定：</w:t>
      </w:r>
    </w:p>
    <w:p>
      <w:pPr>
        <w:spacing w:line="360" w:lineRule="auto"/>
        <w:ind w:firstLine="420" w:firstLineChars="200"/>
        <w:rPr>
          <w:rFonts w:ascii="宋体" w:hAnsi="宋体"/>
          <w:szCs w:val="21"/>
        </w:rPr>
      </w:pPr>
      <w:r>
        <w:rPr>
          <w:rFonts w:hint="eastAsia" w:ascii="宋体" w:hAnsi="宋体"/>
          <w:szCs w:val="21"/>
        </w:rPr>
        <w:t>（1）分包内容要求：允许分包的工程范围仅限于非关键性工程或者适合专业化队伍施工的专业工程。招标人允许分包或不允许分包的专项工程（如有）应在投标人须知前附表中载明。</w:t>
      </w:r>
    </w:p>
    <w:p>
      <w:pPr>
        <w:spacing w:line="360" w:lineRule="auto"/>
        <w:ind w:firstLine="420" w:firstLineChars="200"/>
        <w:rPr>
          <w:rFonts w:ascii="宋体" w:hAnsi="宋体"/>
          <w:szCs w:val="21"/>
        </w:rPr>
      </w:pPr>
      <w:r>
        <w:rPr>
          <w:rFonts w:hint="eastAsia" w:ascii="宋体" w:hAnsi="宋体"/>
          <w:szCs w:val="21"/>
        </w:rPr>
        <w:t>（2）接受分包的第三人资格要求：分包人的资格能力应与其分包工程的标准和规模相适应，且具备投标人须知前附表中规定的资格条件。</w:t>
      </w:r>
    </w:p>
    <w:p>
      <w:pPr>
        <w:spacing w:line="360" w:lineRule="auto"/>
        <w:ind w:firstLine="420" w:firstLineChars="200"/>
        <w:rPr>
          <w:rFonts w:ascii="宋体" w:hAnsi="宋体"/>
          <w:szCs w:val="21"/>
        </w:rPr>
      </w:pPr>
      <w:r>
        <w:rPr>
          <w:rFonts w:hint="eastAsia" w:ascii="宋体" w:hAnsi="宋体"/>
          <w:szCs w:val="21"/>
        </w:rPr>
        <w:t>（3）其他要求：投标人如有分包计划，应按第九章“投标文件格式”的要求填写“拟分包项目情况表”，明确拟分包的工程及规模，且投标人中标后的分包应满足合同条款第4.3款的相关要求。</w:t>
      </w:r>
    </w:p>
    <w:p>
      <w:pPr>
        <w:spacing w:line="360" w:lineRule="auto"/>
        <w:ind w:firstLine="420" w:firstLineChars="200"/>
        <w:rPr>
          <w:rFonts w:ascii="宋体" w:hAnsi="宋体"/>
          <w:szCs w:val="21"/>
        </w:rPr>
      </w:pPr>
      <w:r>
        <w:rPr>
          <w:rFonts w:hint="eastAsia" w:ascii="宋体" w:hAnsi="宋体"/>
          <w:szCs w:val="21"/>
        </w:rPr>
        <w:t>1.11.2中标人不得向他人转让中标项目，接受分包的人不得再次分包。中标人应就分包项目向招标人负责，接受分包的人就分包项目承担连带责任。</w:t>
      </w:r>
    </w:p>
    <w:p>
      <w:pPr>
        <w:spacing w:line="360" w:lineRule="auto"/>
        <w:rPr>
          <w:rFonts w:ascii="宋体" w:hAnsi="宋体"/>
          <w:b/>
          <w:sz w:val="24"/>
        </w:rPr>
      </w:pPr>
      <w:bookmarkStart w:id="87" w:name="_Toc234345736"/>
      <w:bookmarkStart w:id="88" w:name="_Toc234348772"/>
      <w:bookmarkStart w:id="89" w:name="_Toc234345951"/>
      <w:r>
        <w:rPr>
          <w:rFonts w:hint="eastAsia" w:ascii="宋体" w:hAnsi="宋体"/>
          <w:b/>
          <w:sz w:val="24"/>
        </w:rPr>
        <w:t>1.12</w:t>
      </w:r>
      <w:bookmarkEnd w:id="87"/>
      <w:bookmarkEnd w:id="88"/>
      <w:bookmarkEnd w:id="89"/>
      <w:r>
        <w:rPr>
          <w:rFonts w:hint="eastAsia" w:ascii="宋体" w:hAnsi="宋体"/>
          <w:b/>
          <w:sz w:val="24"/>
        </w:rPr>
        <w:t>响应和偏差</w:t>
      </w:r>
    </w:p>
    <w:p>
      <w:pPr>
        <w:spacing w:line="360" w:lineRule="auto"/>
        <w:ind w:firstLine="420" w:firstLineChars="200"/>
        <w:rPr>
          <w:rFonts w:ascii="宋体" w:hAnsi="宋体"/>
          <w:szCs w:val="21"/>
        </w:rPr>
      </w:pPr>
      <w:r>
        <w:rPr>
          <w:rFonts w:hint="eastAsia" w:ascii="宋体" w:hAnsi="宋体"/>
          <w:szCs w:val="21"/>
        </w:rPr>
        <w:t>1.12.1投标文件偏离招标文件某些要求，视为投标文件存在偏差。偏差包括重大偏差和细微偏差。</w:t>
      </w:r>
    </w:p>
    <w:p>
      <w:pPr>
        <w:spacing w:line="360" w:lineRule="auto"/>
        <w:ind w:firstLine="420" w:firstLineChars="200"/>
        <w:rPr>
          <w:rFonts w:ascii="宋体" w:hAnsi="宋体"/>
          <w:szCs w:val="21"/>
        </w:rPr>
      </w:pPr>
      <w:r>
        <w:rPr>
          <w:rFonts w:hint="eastAsia" w:ascii="宋体" w:hAnsi="宋体"/>
          <w:szCs w:val="21"/>
        </w:rPr>
        <w:t>1.12.2投标文件应对招标文件的实质性要求和条件作出满足性或更有利于招标人的响应，否则，视为投标文件存在重大偏差，投标人的投标将被否决。</w:t>
      </w:r>
    </w:p>
    <w:p>
      <w:pPr>
        <w:spacing w:line="360" w:lineRule="auto"/>
        <w:ind w:firstLine="420" w:firstLineChars="200"/>
        <w:rPr>
          <w:rFonts w:ascii="宋体" w:hAnsi="宋体"/>
          <w:szCs w:val="21"/>
        </w:rPr>
      </w:pPr>
      <w:r>
        <w:rPr>
          <w:rFonts w:hint="eastAsia" w:ascii="宋体" w:hAnsi="宋体"/>
          <w:szCs w:val="21"/>
        </w:rPr>
        <w:t>投标文件存在第三章“评标办法”中所列任一否决投标情形的，均属于存在重大偏差。</w:t>
      </w:r>
    </w:p>
    <w:p>
      <w:pPr>
        <w:spacing w:line="360" w:lineRule="auto"/>
        <w:ind w:firstLine="420" w:firstLineChars="200"/>
        <w:rPr>
          <w:rFonts w:ascii="宋体" w:hAnsi="宋体"/>
          <w:szCs w:val="21"/>
        </w:rPr>
      </w:pPr>
      <w:r>
        <w:rPr>
          <w:rFonts w:hint="eastAsia" w:ascii="宋体" w:hAnsi="宋体"/>
          <w:szCs w:val="21"/>
        </w:rPr>
        <w:t>1.12.3投标文件中的下列偏差为细微偏差：</w:t>
      </w:r>
    </w:p>
    <w:p>
      <w:pPr>
        <w:spacing w:line="360" w:lineRule="auto"/>
        <w:ind w:firstLine="420" w:firstLineChars="200"/>
        <w:rPr>
          <w:rFonts w:ascii="宋体" w:hAnsi="宋体"/>
          <w:szCs w:val="21"/>
        </w:rPr>
      </w:pPr>
      <w:r>
        <w:rPr>
          <w:rFonts w:hint="eastAsia" w:ascii="宋体" w:hAnsi="宋体"/>
          <w:szCs w:val="21"/>
        </w:rPr>
        <w:t>(1)在按照第三章“评标办法”的规定对投标价进行算术性错误修正及其他错误修正后，最终投标报价未超过投标控制价上限(如有)的情况下，出现第三章“评标办法”规定的算术性错误和投标报价的其他错误；</w:t>
      </w:r>
    </w:p>
    <w:p>
      <w:pPr>
        <w:spacing w:line="360" w:lineRule="auto"/>
        <w:ind w:firstLine="420" w:firstLineChars="200"/>
        <w:rPr>
          <w:rFonts w:ascii="宋体" w:hAnsi="宋体"/>
          <w:szCs w:val="21"/>
        </w:rPr>
      </w:pPr>
      <w:r>
        <w:rPr>
          <w:rFonts w:hint="eastAsia" w:ascii="宋体" w:hAnsi="宋体"/>
          <w:szCs w:val="21"/>
        </w:rPr>
        <w:t>(2)施工组织设计(含关键工程技术方案)和项目管理机构不够完善；</w:t>
      </w:r>
    </w:p>
    <w:p>
      <w:pPr>
        <w:spacing w:line="360" w:lineRule="auto"/>
        <w:ind w:firstLine="420" w:firstLineChars="200"/>
        <w:rPr>
          <w:rFonts w:ascii="宋体" w:hAnsi="宋体"/>
          <w:szCs w:val="21"/>
        </w:rPr>
      </w:pPr>
      <w:r>
        <w:rPr>
          <w:rFonts w:hint="eastAsia" w:ascii="宋体" w:hAnsi="宋体"/>
          <w:szCs w:val="21"/>
        </w:rPr>
        <w:t>(3)投标文件页码不连续、采用活页夹装订、个别文字有遗漏错误等不影响投标文件实质性内容的偏差。</w:t>
      </w:r>
    </w:p>
    <w:p>
      <w:pPr>
        <w:spacing w:line="360" w:lineRule="auto"/>
        <w:ind w:firstLine="420" w:firstLineChars="200"/>
        <w:rPr>
          <w:rFonts w:ascii="宋体" w:hAnsi="宋体"/>
          <w:szCs w:val="21"/>
        </w:rPr>
      </w:pPr>
      <w:r>
        <w:rPr>
          <w:rFonts w:hint="eastAsia" w:ascii="宋体" w:hAnsi="宋体"/>
          <w:szCs w:val="21"/>
        </w:rPr>
        <w:t>1.12.4评标委员会对投标文件中的细微偏差按如下规定处理：</w:t>
      </w:r>
    </w:p>
    <w:p>
      <w:pPr>
        <w:spacing w:line="360" w:lineRule="auto"/>
        <w:ind w:firstLine="420" w:firstLineChars="200"/>
        <w:rPr>
          <w:rFonts w:ascii="宋体" w:hAnsi="宋体"/>
          <w:szCs w:val="21"/>
        </w:rPr>
      </w:pPr>
      <w:r>
        <w:rPr>
          <w:rFonts w:hint="eastAsia" w:ascii="宋体" w:hAnsi="宋体"/>
          <w:szCs w:val="21"/>
        </w:rPr>
        <w:t>(1)对于本章第l.12.3项(1)目所述的细微偏差，按照第三章“评标办法”的规定予以修正并要求投标人进行澄清；</w:t>
      </w:r>
    </w:p>
    <w:p>
      <w:pPr>
        <w:spacing w:line="360" w:lineRule="auto"/>
        <w:ind w:firstLine="420" w:firstLineChars="200"/>
        <w:rPr>
          <w:rFonts w:ascii="宋体" w:hAnsi="宋体"/>
          <w:szCs w:val="21"/>
        </w:rPr>
      </w:pPr>
      <w:r>
        <w:rPr>
          <w:rFonts w:hint="eastAsia" w:ascii="宋体" w:hAnsi="宋体"/>
          <w:szCs w:val="21"/>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spacing w:line="360" w:lineRule="auto"/>
        <w:ind w:firstLine="420" w:firstLineChars="200"/>
        <w:rPr>
          <w:rFonts w:ascii="宋体" w:hAnsi="宋体"/>
          <w:szCs w:val="21"/>
        </w:rPr>
      </w:pPr>
      <w:r>
        <w:rPr>
          <w:rFonts w:hint="eastAsia" w:ascii="宋体" w:hAnsi="宋体"/>
          <w:szCs w:val="21"/>
        </w:rPr>
        <w:t>(3)对于本章第1.12.3项（3）目所述的细微偏差，可要求投标人对细微偏差进行澄清。</w:t>
      </w:r>
    </w:p>
    <w:p>
      <w:pPr>
        <w:spacing w:line="360" w:lineRule="auto"/>
        <w:ind w:firstLine="420" w:firstLineChars="200"/>
        <w:rPr>
          <w:rFonts w:ascii="宋体"/>
        </w:rPr>
      </w:pPr>
      <w:r>
        <w:rPr>
          <w:rFonts w:hint="eastAsia" w:ascii="宋体" w:hAnsi="宋体"/>
          <w:szCs w:val="21"/>
        </w:rPr>
        <w:t>1.12.5投标人应根据招标文件的要求提供施工组织设计等内容以对招标文件作出响应。</w:t>
      </w:r>
    </w:p>
    <w:p>
      <w:pPr>
        <w:spacing w:line="360" w:lineRule="auto"/>
        <w:rPr>
          <w:rFonts w:ascii="宋体"/>
          <w:b/>
          <w:bCs/>
          <w:sz w:val="28"/>
          <w:szCs w:val="28"/>
        </w:rPr>
      </w:pPr>
      <w:r>
        <w:rPr>
          <w:rFonts w:ascii="宋体" w:hAnsi="宋体" w:cs="宋体"/>
          <w:b/>
          <w:bCs/>
          <w:sz w:val="28"/>
          <w:szCs w:val="28"/>
        </w:rPr>
        <w:t>2.</w:t>
      </w:r>
      <w:r>
        <w:rPr>
          <w:rFonts w:hint="eastAsia" w:ascii="宋体" w:hAnsi="宋体" w:cs="宋体"/>
          <w:b/>
          <w:bCs/>
          <w:sz w:val="28"/>
          <w:szCs w:val="28"/>
        </w:rPr>
        <w:t>招标文件</w:t>
      </w:r>
      <w:bookmarkEnd w:id="85"/>
      <w:bookmarkEnd w:id="86"/>
    </w:p>
    <w:p>
      <w:pPr>
        <w:spacing w:line="360" w:lineRule="auto"/>
        <w:rPr>
          <w:rFonts w:ascii="宋体"/>
          <w:b/>
          <w:bCs/>
          <w:sz w:val="24"/>
        </w:rPr>
      </w:pPr>
      <w:bookmarkStart w:id="90" w:name="_Toc234348774"/>
      <w:bookmarkStart w:id="91" w:name="_Toc234345952"/>
      <w:bookmarkStart w:id="92" w:name="_Toc234345737"/>
      <w:bookmarkStart w:id="93" w:name="_Toc234349348"/>
      <w:r>
        <w:rPr>
          <w:rFonts w:ascii="宋体" w:hAnsi="宋体" w:cs="宋体"/>
          <w:b/>
          <w:bCs/>
          <w:sz w:val="24"/>
        </w:rPr>
        <w:t>2.1</w:t>
      </w:r>
      <w:r>
        <w:rPr>
          <w:rFonts w:hint="eastAsia" w:ascii="宋体" w:hAnsi="宋体" w:cs="宋体"/>
          <w:b/>
          <w:bCs/>
          <w:sz w:val="24"/>
        </w:rPr>
        <w:t>招标文件的组成</w:t>
      </w:r>
      <w:bookmarkEnd w:id="90"/>
      <w:bookmarkEnd w:id="91"/>
      <w:bookmarkEnd w:id="92"/>
      <w:bookmarkEnd w:id="93"/>
    </w:p>
    <w:p>
      <w:pPr>
        <w:spacing w:line="360" w:lineRule="auto"/>
        <w:ind w:firstLine="420" w:firstLineChars="200"/>
        <w:rPr>
          <w:rFonts w:ascii="宋体"/>
        </w:rPr>
      </w:pPr>
      <w:r>
        <w:rPr>
          <w:rFonts w:ascii="宋体" w:hAnsi="宋体" w:cs="宋体"/>
        </w:rPr>
        <w:t>2.1.1</w:t>
      </w:r>
      <w:r>
        <w:rPr>
          <w:rFonts w:hint="eastAsia" w:ascii="宋体" w:hAnsi="宋体" w:cs="宋体"/>
        </w:rPr>
        <w:t>本招标文件包括：</w:t>
      </w:r>
    </w:p>
    <w:p>
      <w:pPr>
        <w:spacing w:line="360" w:lineRule="auto"/>
        <w:ind w:firstLine="420" w:firstLineChars="200"/>
        <w:rPr>
          <w:rFonts w:ascii="宋体"/>
        </w:rPr>
      </w:pPr>
      <w:r>
        <w:rPr>
          <w:rFonts w:ascii="宋体" w:hAnsi="宋体" w:cs="宋体"/>
        </w:rPr>
        <w:t>(1)</w:t>
      </w:r>
      <w:r>
        <w:rPr>
          <w:rFonts w:hint="eastAsia" w:ascii="宋体" w:hAnsi="宋体" w:cs="宋体"/>
        </w:rPr>
        <w:t>招标公告；</w:t>
      </w:r>
    </w:p>
    <w:p>
      <w:pPr>
        <w:spacing w:line="360" w:lineRule="auto"/>
        <w:ind w:firstLine="420" w:firstLineChars="200"/>
        <w:rPr>
          <w:rFonts w:ascii="宋体"/>
        </w:rPr>
      </w:pPr>
      <w:r>
        <w:rPr>
          <w:rFonts w:ascii="宋体" w:hAnsi="宋体" w:cs="宋体"/>
        </w:rPr>
        <w:t>(2)</w:t>
      </w:r>
      <w:r>
        <w:rPr>
          <w:rFonts w:hint="eastAsia" w:ascii="宋体" w:hAnsi="宋体" w:cs="宋体"/>
        </w:rPr>
        <w:t>投标人须知；</w:t>
      </w:r>
    </w:p>
    <w:p>
      <w:pPr>
        <w:spacing w:line="360" w:lineRule="auto"/>
        <w:ind w:firstLine="420" w:firstLineChars="200"/>
        <w:rPr>
          <w:rFonts w:ascii="宋体"/>
        </w:rPr>
      </w:pPr>
      <w:r>
        <w:rPr>
          <w:rFonts w:ascii="宋体" w:hAnsi="宋体" w:cs="宋体"/>
        </w:rPr>
        <w:t>(3)</w:t>
      </w:r>
      <w:r>
        <w:rPr>
          <w:rFonts w:hint="eastAsia" w:ascii="宋体" w:hAnsi="宋体" w:cs="宋体"/>
        </w:rPr>
        <w:t>评标办法；</w:t>
      </w:r>
    </w:p>
    <w:p>
      <w:pPr>
        <w:spacing w:line="360" w:lineRule="auto"/>
        <w:ind w:firstLine="420" w:firstLineChars="200"/>
        <w:rPr>
          <w:rFonts w:ascii="宋体"/>
        </w:rPr>
      </w:pPr>
      <w:r>
        <w:rPr>
          <w:rFonts w:ascii="宋体" w:hAnsi="宋体" w:cs="宋体"/>
        </w:rPr>
        <w:t>(4)</w:t>
      </w:r>
      <w:r>
        <w:rPr>
          <w:rFonts w:hint="eastAsia" w:ascii="宋体" w:hAnsi="宋体" w:cs="宋体"/>
        </w:rPr>
        <w:t>合同条款及格式；</w:t>
      </w:r>
    </w:p>
    <w:p>
      <w:pPr>
        <w:spacing w:line="360" w:lineRule="auto"/>
        <w:ind w:firstLine="420" w:firstLineChars="200"/>
        <w:rPr>
          <w:rFonts w:ascii="宋体"/>
        </w:rPr>
      </w:pPr>
      <w:r>
        <w:rPr>
          <w:rFonts w:ascii="宋体" w:hAnsi="宋体" w:cs="宋体"/>
        </w:rPr>
        <w:t>(5)</w:t>
      </w:r>
      <w:r>
        <w:rPr>
          <w:rFonts w:hint="eastAsia" w:ascii="宋体" w:hAnsi="宋体" w:cs="宋体"/>
        </w:rPr>
        <w:t>工程量清单；</w:t>
      </w:r>
    </w:p>
    <w:p>
      <w:pPr>
        <w:spacing w:line="360" w:lineRule="auto"/>
        <w:ind w:firstLine="420" w:firstLineChars="200"/>
        <w:rPr>
          <w:rFonts w:ascii="宋体"/>
        </w:rPr>
      </w:pPr>
      <w:r>
        <w:rPr>
          <w:rFonts w:ascii="宋体" w:hAnsi="宋体" w:cs="宋体"/>
        </w:rPr>
        <w:t>(6)</w:t>
      </w:r>
      <w:r>
        <w:rPr>
          <w:rFonts w:hint="eastAsia" w:ascii="宋体" w:hAnsi="宋体" w:cs="宋体"/>
        </w:rPr>
        <w:t>图纸；</w:t>
      </w:r>
    </w:p>
    <w:p>
      <w:pPr>
        <w:spacing w:line="360" w:lineRule="auto"/>
        <w:ind w:firstLine="420" w:firstLineChars="200"/>
        <w:rPr>
          <w:rFonts w:ascii="宋体" w:hAnsi="宋体"/>
          <w:szCs w:val="21"/>
        </w:rPr>
      </w:pPr>
      <w:r>
        <w:rPr>
          <w:rFonts w:hint="eastAsia" w:ascii="宋体" w:hAnsi="宋体"/>
          <w:szCs w:val="21"/>
        </w:rPr>
        <w:t>(7)技术规范；</w:t>
      </w:r>
    </w:p>
    <w:p>
      <w:pPr>
        <w:spacing w:line="360" w:lineRule="auto"/>
        <w:ind w:firstLine="420" w:firstLineChars="200"/>
        <w:rPr>
          <w:rFonts w:ascii="宋体" w:hAnsi="宋体"/>
          <w:szCs w:val="21"/>
        </w:rPr>
      </w:pPr>
      <w:r>
        <w:rPr>
          <w:rFonts w:hint="eastAsia" w:ascii="宋体" w:hAnsi="宋体"/>
          <w:szCs w:val="21"/>
        </w:rPr>
        <w:t>(8)工程量清单计量规则；</w:t>
      </w:r>
    </w:p>
    <w:p>
      <w:pPr>
        <w:spacing w:line="360" w:lineRule="auto"/>
        <w:ind w:firstLine="420" w:firstLineChars="200"/>
        <w:rPr>
          <w:rFonts w:ascii="宋体"/>
        </w:rPr>
      </w:pPr>
      <w:r>
        <w:rPr>
          <w:rFonts w:hint="eastAsia" w:ascii="宋体" w:hAnsi="宋体"/>
          <w:szCs w:val="21"/>
        </w:rPr>
        <w:t>(9)投标文件格式；</w:t>
      </w:r>
    </w:p>
    <w:p>
      <w:pPr>
        <w:spacing w:line="360" w:lineRule="auto"/>
        <w:ind w:firstLine="420" w:firstLineChars="200"/>
        <w:rPr>
          <w:rFonts w:ascii="宋体"/>
        </w:rPr>
      </w:pP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投标人须知前附表规定的其他材料。</w:t>
      </w:r>
    </w:p>
    <w:p>
      <w:pPr>
        <w:spacing w:line="360" w:lineRule="auto"/>
        <w:ind w:firstLine="420" w:firstLineChars="200"/>
        <w:rPr>
          <w:rFonts w:ascii="宋体"/>
        </w:rPr>
      </w:pPr>
      <w:r>
        <w:rPr>
          <w:rFonts w:hint="eastAsia" w:ascii="宋体" w:hAnsi="宋体" w:cs="宋体"/>
        </w:rPr>
        <w:t>根据本章第</w:t>
      </w:r>
      <w:r>
        <w:rPr>
          <w:rFonts w:ascii="宋体" w:hAnsi="宋体" w:cs="宋体"/>
        </w:rPr>
        <w:t>1.10</w:t>
      </w:r>
      <w:r>
        <w:rPr>
          <w:rFonts w:hint="eastAsia" w:ascii="宋体" w:hAnsi="宋体" w:cs="宋体"/>
        </w:rPr>
        <w:t>款、第</w:t>
      </w:r>
      <w:r>
        <w:rPr>
          <w:rFonts w:ascii="宋体" w:hAnsi="宋体" w:cs="宋体"/>
        </w:rPr>
        <w:t>2.2</w:t>
      </w:r>
      <w:r>
        <w:rPr>
          <w:rFonts w:hint="eastAsia" w:ascii="宋体" w:hAnsi="宋体" w:cs="宋体"/>
        </w:rPr>
        <w:t>款和第</w:t>
      </w:r>
      <w:r>
        <w:rPr>
          <w:rFonts w:ascii="宋体" w:hAnsi="宋体" w:cs="宋体"/>
        </w:rPr>
        <w:t>2.3</w:t>
      </w:r>
      <w:r>
        <w:rPr>
          <w:rFonts w:hint="eastAsia" w:ascii="宋体" w:hAnsi="宋体" w:cs="宋体"/>
        </w:rPr>
        <w:t>款对招标文件所作的澄清、修改，构成招标文件的组成部分。</w:t>
      </w:r>
    </w:p>
    <w:p>
      <w:pPr>
        <w:spacing w:line="360" w:lineRule="auto"/>
        <w:ind w:firstLine="420" w:firstLineChars="200"/>
        <w:rPr>
          <w:rFonts w:ascii="宋体"/>
        </w:rPr>
      </w:pPr>
      <w:r>
        <w:rPr>
          <w:rFonts w:hint="eastAsia" w:ascii="宋体" w:hAnsi="宋体"/>
          <w:szCs w:val="21"/>
        </w:rPr>
        <w:t>当招标文件、招标文件的澄清或修改等在同一内容的表述上不一致时，以最后发出的书面文件为准。</w:t>
      </w:r>
    </w:p>
    <w:p>
      <w:pPr>
        <w:spacing w:line="360" w:lineRule="auto"/>
        <w:rPr>
          <w:rFonts w:ascii="宋体"/>
          <w:b/>
          <w:bCs/>
          <w:sz w:val="24"/>
        </w:rPr>
      </w:pPr>
      <w:bookmarkStart w:id="94" w:name="_Toc234348775"/>
      <w:bookmarkStart w:id="95" w:name="_Toc234349349"/>
      <w:bookmarkStart w:id="96" w:name="_Toc234345953"/>
      <w:bookmarkStart w:id="97" w:name="_Toc234345738"/>
      <w:r>
        <w:rPr>
          <w:rFonts w:ascii="宋体" w:hAnsi="宋体" w:cs="宋体"/>
          <w:b/>
          <w:bCs/>
          <w:sz w:val="24"/>
        </w:rPr>
        <w:t>2.2</w:t>
      </w:r>
      <w:r>
        <w:rPr>
          <w:rFonts w:hint="eastAsia" w:ascii="宋体" w:hAnsi="宋体" w:cs="宋体"/>
          <w:b/>
          <w:bCs/>
          <w:sz w:val="24"/>
        </w:rPr>
        <w:t>招标文件的澄清</w:t>
      </w:r>
      <w:bookmarkEnd w:id="94"/>
      <w:bookmarkEnd w:id="95"/>
      <w:bookmarkEnd w:id="96"/>
      <w:bookmarkEnd w:id="97"/>
    </w:p>
    <w:p>
      <w:pPr>
        <w:spacing w:line="360" w:lineRule="auto"/>
        <w:ind w:firstLine="420" w:firstLineChars="200"/>
        <w:rPr>
          <w:rFonts w:ascii="宋体" w:hAnsi="宋体"/>
          <w:szCs w:val="21"/>
        </w:rPr>
      </w:pPr>
      <w:bookmarkStart w:id="98" w:name="_Toc234345739"/>
      <w:bookmarkStart w:id="99" w:name="_Toc234345954"/>
      <w:bookmarkStart w:id="100" w:name="_Toc234349350"/>
      <w:bookmarkStart w:id="101" w:name="_Toc234348776"/>
      <w:r>
        <w:rPr>
          <w:rFonts w:ascii="宋体" w:hAnsi="宋体" w:cs="宋体"/>
        </w:rPr>
        <w:t>2.2.1</w:t>
      </w:r>
      <w:r>
        <w:rPr>
          <w:rFonts w:hint="eastAsia" w:ascii="宋体" w:hAnsi="宋体" w:cs="宋体"/>
        </w:rPr>
        <w:t>投标人应仔细阅读和检查招标文件的全部内容。如发现缺页或附件不全，应及时向招标人提出，以便补齐。</w:t>
      </w:r>
      <w:bookmarkEnd w:id="98"/>
      <w:bookmarkEnd w:id="99"/>
      <w:bookmarkEnd w:id="100"/>
      <w:bookmarkEnd w:id="101"/>
      <w:r>
        <w:rPr>
          <w:rFonts w:hint="eastAsia" w:ascii="宋体" w:hAnsi="宋体"/>
          <w:szCs w:val="21"/>
        </w:rPr>
        <w:t>如有疑问，应按投标人须知前附表规定的时间和形式将提出的问题送达招标人，要求招标人对招标文件予以澄清。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360" w:lineRule="auto"/>
        <w:ind w:firstLine="420" w:firstLineChars="200"/>
        <w:rPr>
          <w:rFonts w:ascii="宋体" w:hAnsi="宋体"/>
          <w:szCs w:val="21"/>
        </w:rPr>
      </w:pPr>
      <w:r>
        <w:rPr>
          <w:rFonts w:hint="eastAsia" w:ascii="宋体" w:hAnsi="宋体"/>
          <w:szCs w:val="21"/>
        </w:rPr>
        <w:t>2.2.3投标人在收到澄清后，应按投标人须知前附表规定的时间和形式通知招标人，确认已收到该澄清。</w:t>
      </w:r>
    </w:p>
    <w:p>
      <w:pPr>
        <w:spacing w:line="360" w:lineRule="auto"/>
        <w:ind w:firstLine="420" w:firstLineChars="200"/>
        <w:rPr>
          <w:rFonts w:ascii="宋体" w:hAnsi="宋体"/>
          <w:szCs w:val="21"/>
        </w:rPr>
      </w:pPr>
      <w:r>
        <w:rPr>
          <w:rFonts w:hint="eastAsia" w:ascii="宋体" w:hAnsi="宋体"/>
          <w:szCs w:val="21"/>
        </w:rPr>
        <w:t>2.2.4除非招标人认为确有必要答复，否则，招标人有权拒绝回复投标人在本章第2.2.1项规定的时间后提出的任何澄清要求。</w:t>
      </w:r>
    </w:p>
    <w:p>
      <w:pPr>
        <w:spacing w:line="360" w:lineRule="auto"/>
        <w:rPr>
          <w:rFonts w:ascii="宋体" w:hAnsi="宋体"/>
          <w:b/>
          <w:sz w:val="24"/>
        </w:rPr>
      </w:pPr>
      <w:r>
        <w:rPr>
          <w:rFonts w:hint="eastAsia" w:ascii="宋体" w:hAnsi="宋体"/>
          <w:b/>
          <w:sz w:val="24"/>
        </w:rPr>
        <w:t>2.3招标文件的修改</w:t>
      </w:r>
    </w:p>
    <w:p>
      <w:pPr>
        <w:spacing w:line="360" w:lineRule="auto"/>
        <w:ind w:firstLine="420" w:firstLineChars="200"/>
        <w:rPr>
          <w:rFonts w:ascii="宋体" w:hAnsi="宋体"/>
          <w:szCs w:val="21"/>
        </w:rPr>
      </w:pPr>
      <w:r>
        <w:rPr>
          <w:rFonts w:hint="eastAsia" w:ascii="宋体" w:hAnsi="宋体"/>
          <w:szCs w:val="21"/>
        </w:rPr>
        <w:t>2.3.1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投标人收到修改内容后，应按投标人须知前附表规定的时间和形式通知招标人，确认已收到该修改。</w:t>
      </w:r>
    </w:p>
    <w:p>
      <w:pPr>
        <w:spacing w:line="360" w:lineRule="auto"/>
        <w:rPr>
          <w:rFonts w:ascii="宋体" w:hAnsi="宋体"/>
          <w:b/>
          <w:sz w:val="24"/>
        </w:rPr>
      </w:pPr>
      <w:r>
        <w:rPr>
          <w:rFonts w:hint="eastAsia" w:ascii="宋体" w:hAnsi="宋体"/>
          <w:b/>
          <w:sz w:val="24"/>
        </w:rPr>
        <w:t>2.4对招标文件的异议</w:t>
      </w:r>
    </w:p>
    <w:p>
      <w:pPr>
        <w:spacing w:line="360" w:lineRule="auto"/>
        <w:ind w:firstLine="420" w:firstLineChars="200"/>
        <w:rPr>
          <w:rFonts w:ascii="宋体" w:hAnsi="宋体"/>
          <w:szCs w:val="21"/>
        </w:rPr>
      </w:pPr>
      <w:r>
        <w:rPr>
          <w:rFonts w:hint="eastAsia" w:ascii="宋体" w:hAnsi="宋体"/>
          <w:szCs w:val="21"/>
        </w:rPr>
        <w:t>投标人或者其他利害关系人对招标文件有异议的，应当在投标截止时间10日前以书面形式提出。招标人将在收到异议之日起3日内作出答复；作出答复前，应当暂停招标投标活动。</w:t>
      </w:r>
    </w:p>
    <w:p>
      <w:pPr>
        <w:spacing w:line="360" w:lineRule="auto"/>
        <w:rPr>
          <w:rFonts w:ascii="宋体"/>
          <w:b/>
          <w:bCs/>
          <w:sz w:val="28"/>
          <w:szCs w:val="28"/>
        </w:rPr>
      </w:pPr>
      <w:bookmarkStart w:id="102" w:name="_Toc234348777"/>
      <w:bookmarkStart w:id="103" w:name="_Toc234349351"/>
      <w:r>
        <w:rPr>
          <w:rFonts w:ascii="宋体" w:hAnsi="宋体" w:cs="宋体"/>
          <w:b/>
          <w:bCs/>
          <w:sz w:val="28"/>
          <w:szCs w:val="28"/>
        </w:rPr>
        <w:t>3.</w:t>
      </w:r>
      <w:r>
        <w:rPr>
          <w:rFonts w:hint="eastAsia" w:ascii="宋体" w:hAnsi="宋体" w:cs="宋体"/>
          <w:b/>
          <w:bCs/>
          <w:sz w:val="28"/>
          <w:szCs w:val="28"/>
        </w:rPr>
        <w:t>投标文件</w:t>
      </w:r>
      <w:bookmarkEnd w:id="102"/>
      <w:bookmarkEnd w:id="103"/>
    </w:p>
    <w:p>
      <w:pPr>
        <w:spacing w:line="360" w:lineRule="auto"/>
        <w:rPr>
          <w:rFonts w:ascii="宋体"/>
          <w:b/>
          <w:bCs/>
          <w:sz w:val="24"/>
        </w:rPr>
      </w:pPr>
      <w:bookmarkStart w:id="104" w:name="_Toc234345955"/>
      <w:bookmarkStart w:id="105" w:name="_Toc234345740"/>
      <w:bookmarkStart w:id="106" w:name="_Toc234348778"/>
      <w:bookmarkStart w:id="107" w:name="_Toc234349352"/>
      <w:r>
        <w:rPr>
          <w:rFonts w:ascii="宋体" w:hAnsi="宋体" w:cs="宋体"/>
          <w:b/>
          <w:bCs/>
          <w:sz w:val="24"/>
        </w:rPr>
        <w:t>3.1</w:t>
      </w:r>
      <w:r>
        <w:rPr>
          <w:rFonts w:hint="eastAsia" w:ascii="宋体" w:hAnsi="宋体" w:cs="宋体"/>
          <w:b/>
          <w:bCs/>
          <w:sz w:val="24"/>
        </w:rPr>
        <w:t>投标文件的组成</w:t>
      </w:r>
      <w:bookmarkEnd w:id="104"/>
      <w:bookmarkEnd w:id="105"/>
      <w:bookmarkEnd w:id="106"/>
      <w:bookmarkEnd w:id="107"/>
    </w:p>
    <w:p>
      <w:pPr>
        <w:spacing w:line="360" w:lineRule="auto"/>
        <w:ind w:firstLine="420" w:firstLineChars="200"/>
        <w:rPr>
          <w:rFonts w:ascii="宋体" w:hAnsi="宋体"/>
          <w:szCs w:val="21"/>
        </w:rPr>
      </w:pPr>
      <w:r>
        <w:rPr>
          <w:rFonts w:hint="eastAsia" w:ascii="宋体" w:hAnsi="宋体"/>
          <w:szCs w:val="21"/>
        </w:rPr>
        <w:t>根据投标人须知前附表规定的不同形式，投标文件的组成应满足相应条款要求。</w:t>
      </w:r>
    </w:p>
    <w:p>
      <w:pPr>
        <w:spacing w:line="360" w:lineRule="auto"/>
        <w:ind w:firstLine="420" w:firstLineChars="200"/>
        <w:rPr>
          <w:rFonts w:ascii="宋体" w:hAnsi="宋体"/>
          <w:szCs w:val="21"/>
        </w:rPr>
      </w:pPr>
      <w:r>
        <w:rPr>
          <w:rFonts w:hint="eastAsia" w:ascii="宋体" w:hAnsi="宋体"/>
          <w:szCs w:val="21"/>
        </w:rPr>
        <w:t>若采用双信封形式，第3.1.1项采用以下条款：</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firstLine="420" w:firstLineChars="200"/>
        <w:rPr>
          <w:rFonts w:ascii="宋体" w:hAnsi="宋体"/>
          <w:szCs w:val="21"/>
        </w:rPr>
      </w:pPr>
      <w:r>
        <w:rPr>
          <w:rFonts w:hint="eastAsia" w:ascii="宋体" w:hAnsi="宋体"/>
          <w:szCs w:val="21"/>
        </w:rPr>
        <w:t>第一个信封(商务及技术文件)：</w:t>
      </w:r>
    </w:p>
    <w:p>
      <w:pPr>
        <w:spacing w:line="360" w:lineRule="auto"/>
        <w:ind w:firstLine="420" w:firstLineChars="200"/>
        <w:rPr>
          <w:rFonts w:ascii="宋体" w:hAnsi="宋体"/>
          <w:szCs w:val="21"/>
        </w:rPr>
      </w:pPr>
      <w:r>
        <w:rPr>
          <w:rFonts w:hint="eastAsia" w:ascii="宋体" w:hAnsi="宋体"/>
          <w:szCs w:val="21"/>
        </w:rPr>
        <w:t>(1)投标函及投标函附录；</w:t>
      </w:r>
    </w:p>
    <w:p>
      <w:pPr>
        <w:spacing w:line="360" w:lineRule="auto"/>
        <w:ind w:firstLine="420" w:firstLineChars="200"/>
        <w:rPr>
          <w:rFonts w:ascii="宋体" w:hAnsi="宋体"/>
          <w:szCs w:val="21"/>
        </w:rPr>
      </w:pPr>
      <w:r>
        <w:rPr>
          <w:rFonts w:hint="eastAsia" w:ascii="宋体" w:hAnsi="宋体"/>
          <w:szCs w:val="21"/>
        </w:rPr>
        <w:t>(2)授权委托书或法定代表人身份证明；</w:t>
      </w:r>
    </w:p>
    <w:p>
      <w:pPr>
        <w:spacing w:line="360" w:lineRule="auto"/>
        <w:ind w:firstLine="420" w:firstLineChars="200"/>
        <w:rPr>
          <w:rFonts w:ascii="宋体" w:hAnsi="宋体"/>
          <w:szCs w:val="21"/>
        </w:rPr>
      </w:pPr>
      <w:r>
        <w:rPr>
          <w:rFonts w:hint="eastAsia" w:ascii="宋体" w:hAnsi="宋体"/>
          <w:szCs w:val="21"/>
        </w:rPr>
        <w:t>(3)联合体协议书；</w:t>
      </w:r>
    </w:p>
    <w:p>
      <w:pPr>
        <w:spacing w:line="360" w:lineRule="auto"/>
        <w:ind w:firstLine="420" w:firstLineChars="200"/>
        <w:rPr>
          <w:rFonts w:ascii="宋体" w:hAnsi="宋体"/>
          <w:szCs w:val="21"/>
        </w:rPr>
      </w:pPr>
      <w:r>
        <w:rPr>
          <w:rFonts w:hint="eastAsia" w:ascii="宋体" w:hAnsi="宋体"/>
          <w:szCs w:val="21"/>
        </w:rPr>
        <w:t>(4)投标保证金；</w:t>
      </w:r>
    </w:p>
    <w:p>
      <w:pPr>
        <w:spacing w:line="360" w:lineRule="auto"/>
        <w:ind w:firstLine="420" w:firstLineChars="200"/>
        <w:rPr>
          <w:rFonts w:ascii="宋体" w:hAnsi="宋体"/>
          <w:szCs w:val="21"/>
        </w:rPr>
      </w:pPr>
      <w:r>
        <w:rPr>
          <w:rFonts w:hint="eastAsia" w:ascii="宋体" w:hAnsi="宋体"/>
          <w:szCs w:val="21"/>
        </w:rPr>
        <w:t>(5)施工组织设计；</w:t>
      </w:r>
    </w:p>
    <w:p>
      <w:pPr>
        <w:spacing w:line="360" w:lineRule="auto"/>
        <w:ind w:firstLine="420" w:firstLineChars="200"/>
        <w:rPr>
          <w:rFonts w:ascii="宋体" w:hAnsi="宋体"/>
          <w:szCs w:val="21"/>
        </w:rPr>
      </w:pPr>
      <w:r>
        <w:rPr>
          <w:rFonts w:hint="eastAsia" w:ascii="宋体" w:hAnsi="宋体"/>
          <w:szCs w:val="21"/>
        </w:rPr>
        <w:t>(6)项目管理机构；</w:t>
      </w:r>
    </w:p>
    <w:p>
      <w:pPr>
        <w:spacing w:line="360" w:lineRule="auto"/>
        <w:ind w:firstLine="420" w:firstLineChars="200"/>
        <w:rPr>
          <w:rFonts w:ascii="宋体" w:hAnsi="宋体"/>
          <w:szCs w:val="21"/>
        </w:rPr>
      </w:pPr>
      <w:r>
        <w:rPr>
          <w:rFonts w:hint="eastAsia" w:ascii="宋体" w:hAnsi="宋体"/>
          <w:szCs w:val="21"/>
        </w:rPr>
        <w:t>(7)拟分包项目情况表；</w:t>
      </w:r>
    </w:p>
    <w:p>
      <w:pPr>
        <w:spacing w:line="360" w:lineRule="auto"/>
        <w:ind w:firstLine="420" w:firstLineChars="200"/>
        <w:rPr>
          <w:rFonts w:ascii="宋体" w:hAnsi="宋体"/>
          <w:szCs w:val="21"/>
        </w:rPr>
      </w:pPr>
      <w:r>
        <w:rPr>
          <w:rFonts w:hint="eastAsia" w:ascii="宋体" w:hAnsi="宋体"/>
          <w:szCs w:val="21"/>
        </w:rPr>
        <w:t>(8)资格审查资料；</w:t>
      </w:r>
    </w:p>
    <w:p>
      <w:pPr>
        <w:spacing w:line="360" w:lineRule="auto"/>
        <w:ind w:firstLine="420" w:firstLineChars="200"/>
        <w:rPr>
          <w:rFonts w:ascii="宋体" w:hAnsi="宋体"/>
          <w:szCs w:val="21"/>
        </w:rPr>
      </w:pPr>
      <w:r>
        <w:rPr>
          <w:rFonts w:hint="eastAsia" w:ascii="宋体" w:hAnsi="宋体"/>
          <w:szCs w:val="21"/>
        </w:rPr>
        <w:t>(9)投标人须知前附表规定的其他材料。</w:t>
      </w:r>
    </w:p>
    <w:p>
      <w:pPr>
        <w:spacing w:line="360" w:lineRule="auto"/>
        <w:ind w:firstLine="420" w:firstLineChars="200"/>
        <w:rPr>
          <w:rFonts w:ascii="宋体" w:hAnsi="宋体"/>
          <w:szCs w:val="21"/>
        </w:rPr>
      </w:pPr>
      <w:r>
        <w:rPr>
          <w:rFonts w:hint="eastAsia" w:ascii="宋体" w:hAnsi="宋体"/>
          <w:szCs w:val="21"/>
        </w:rPr>
        <w:t>第二个信封(报价文件)</w:t>
      </w:r>
    </w:p>
    <w:p>
      <w:pPr>
        <w:spacing w:line="360" w:lineRule="auto"/>
        <w:ind w:firstLine="420" w:firstLineChars="200"/>
        <w:rPr>
          <w:rFonts w:ascii="宋体" w:hAnsi="宋体"/>
          <w:szCs w:val="21"/>
        </w:rPr>
      </w:pPr>
      <w:r>
        <w:rPr>
          <w:rFonts w:hint="eastAsia" w:ascii="宋体" w:hAnsi="宋体"/>
          <w:szCs w:val="21"/>
        </w:rPr>
        <w:t>(1)调价函及调价后的工程量清单(如有)；</w:t>
      </w:r>
    </w:p>
    <w:p>
      <w:pPr>
        <w:spacing w:line="360" w:lineRule="auto"/>
        <w:ind w:firstLine="420" w:firstLineChars="200"/>
        <w:rPr>
          <w:rFonts w:ascii="宋体" w:hAnsi="宋体"/>
          <w:szCs w:val="21"/>
        </w:rPr>
      </w:pPr>
      <w:r>
        <w:rPr>
          <w:rFonts w:hint="eastAsia" w:ascii="宋体" w:hAnsi="宋体"/>
          <w:szCs w:val="21"/>
        </w:rPr>
        <w:t>(2)投标函；</w:t>
      </w:r>
    </w:p>
    <w:p>
      <w:pPr>
        <w:spacing w:line="360" w:lineRule="auto"/>
        <w:ind w:firstLine="420" w:firstLineChars="200"/>
        <w:rPr>
          <w:rFonts w:ascii="宋体" w:hAnsi="宋体"/>
          <w:szCs w:val="21"/>
        </w:rPr>
      </w:pPr>
      <w:r>
        <w:rPr>
          <w:rFonts w:hint="eastAsia" w:ascii="宋体" w:hAnsi="宋体"/>
          <w:szCs w:val="21"/>
        </w:rPr>
        <w:t>(3)已标价工程量清单；</w:t>
      </w:r>
    </w:p>
    <w:p>
      <w:pPr>
        <w:spacing w:line="360" w:lineRule="auto"/>
        <w:ind w:firstLine="420" w:firstLineChars="200"/>
        <w:rPr>
          <w:rFonts w:ascii="宋体" w:hAnsi="宋体"/>
          <w:szCs w:val="21"/>
        </w:rPr>
      </w:pPr>
      <w:r>
        <w:rPr>
          <w:rFonts w:hint="eastAsia" w:ascii="宋体" w:hAnsi="宋体"/>
          <w:szCs w:val="21"/>
        </w:rPr>
        <w:t>(4)合同用款估算表。</w:t>
      </w:r>
    </w:p>
    <w:p>
      <w:pPr>
        <w:spacing w:line="360" w:lineRule="auto"/>
        <w:ind w:firstLine="420" w:firstLineChars="200"/>
        <w:rPr>
          <w:rFonts w:ascii="宋体" w:hAnsi="宋体"/>
          <w:szCs w:val="21"/>
        </w:rPr>
      </w:pPr>
      <w:r>
        <w:rPr>
          <w:rFonts w:hint="eastAsia" w:ascii="宋体" w:hAnsi="宋体"/>
          <w:szCs w:val="21"/>
        </w:rPr>
        <w:t>投标人在评标过程中作出的符合法律法规和招标文件规定的澄清确认，构成投标文件的组成部分。</w:t>
      </w:r>
    </w:p>
    <w:p>
      <w:pPr>
        <w:spacing w:line="360" w:lineRule="auto"/>
        <w:ind w:firstLine="420" w:firstLineChars="200"/>
        <w:rPr>
          <w:rFonts w:ascii="宋体" w:hAnsi="宋体"/>
          <w:szCs w:val="21"/>
        </w:rPr>
      </w:pPr>
      <w:r>
        <w:rPr>
          <w:rFonts w:hint="eastAsia" w:ascii="宋体" w:hAnsi="宋体"/>
          <w:szCs w:val="21"/>
        </w:rPr>
        <w:t>3.1.2投标人须知前附表规定不接受联合体投标的，或投标人没有组成联合体的，投标文件不包括本章第3.1.1 (3）目所指的联合体协议书。</w:t>
      </w:r>
    </w:p>
    <w:p>
      <w:pPr>
        <w:spacing w:line="360" w:lineRule="auto"/>
        <w:ind w:firstLine="420" w:firstLineChars="200"/>
        <w:rPr>
          <w:rFonts w:ascii="宋体" w:hAnsi="宋体"/>
          <w:szCs w:val="21"/>
        </w:rPr>
      </w:pPr>
      <w:r>
        <w:rPr>
          <w:rFonts w:hint="eastAsia" w:ascii="宋体" w:hAnsi="宋体"/>
          <w:szCs w:val="21"/>
        </w:rPr>
        <w:t>3.1.3投标人须知前附表未要求提交投标保证金的，投标文件不包括本章第3.1.1（4）目所指的投标保证金。</w:t>
      </w:r>
    </w:p>
    <w:p>
      <w:pPr>
        <w:spacing w:line="360" w:lineRule="auto"/>
        <w:rPr>
          <w:rFonts w:ascii="宋体" w:hAnsi="宋体"/>
          <w:b/>
          <w:sz w:val="24"/>
        </w:rPr>
      </w:pPr>
      <w:bookmarkStart w:id="108" w:name="_Toc234345956"/>
      <w:bookmarkStart w:id="109" w:name="_Toc234345741"/>
      <w:bookmarkStart w:id="110" w:name="_Toc234348779"/>
      <w:r>
        <w:rPr>
          <w:rFonts w:hint="eastAsia" w:ascii="宋体" w:hAnsi="宋体"/>
          <w:b/>
          <w:sz w:val="24"/>
        </w:rPr>
        <w:t>3.2投标报价</w:t>
      </w:r>
      <w:bookmarkEnd w:id="108"/>
      <w:bookmarkEnd w:id="109"/>
      <w:bookmarkEnd w:id="110"/>
    </w:p>
    <w:p>
      <w:pPr>
        <w:spacing w:line="360" w:lineRule="auto"/>
        <w:ind w:firstLine="420" w:firstLineChars="200"/>
        <w:rPr>
          <w:rFonts w:ascii="宋体" w:hAnsi="宋体"/>
          <w:szCs w:val="21"/>
        </w:rPr>
      </w:pPr>
      <w:r>
        <w:rPr>
          <w:rFonts w:hint="eastAsia" w:ascii="宋体" w:hAnsi="宋体"/>
          <w:szCs w:val="21"/>
        </w:rPr>
        <w:t>3.2.1投标报价应包括国家规定的增值税税金，除投标人须知前附表另有规定外，增值税税金按一般计税方法计算。投标人应按第九章“投标文件格式”的要求在投标函中进行报价并填写工程量清单相应表格。</w:t>
      </w:r>
    </w:p>
    <w:p>
      <w:pPr>
        <w:spacing w:line="360" w:lineRule="auto"/>
        <w:ind w:firstLine="420" w:firstLineChars="200"/>
        <w:rPr>
          <w:rFonts w:ascii="宋体" w:hAnsi="宋体"/>
          <w:szCs w:val="21"/>
        </w:rPr>
      </w:pPr>
      <w:r>
        <w:rPr>
          <w:rFonts w:hint="eastAsia" w:ascii="宋体" w:hAnsi="宋体"/>
          <w:szCs w:val="21"/>
        </w:rPr>
        <w:t>工程量清单的填写分下列两种方式。投标人应按投标人须知前附表规定的方式填写工程量清单。</w:t>
      </w:r>
    </w:p>
    <w:p>
      <w:pPr>
        <w:spacing w:line="360" w:lineRule="auto"/>
        <w:ind w:firstLine="420" w:firstLineChars="200"/>
        <w:rPr>
          <w:rFonts w:ascii="宋体" w:hAnsi="宋体"/>
          <w:szCs w:val="21"/>
        </w:rPr>
      </w:pPr>
      <w:r>
        <w:rPr>
          <w:rFonts w:hint="eastAsia" w:ascii="宋体" w:hAnsi="宋体"/>
          <w:szCs w:val="21"/>
        </w:rPr>
        <w:t>(1)本项目招标采用工程量固化清单，招标人在出售招标文件的同时向投标人提供工程量固化清单电子文件(光盘或U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360" w:lineRule="auto"/>
        <w:ind w:firstLine="420" w:firstLineChars="200"/>
        <w:rPr>
          <w:rFonts w:ascii="宋体" w:hAnsi="宋体"/>
          <w:szCs w:val="21"/>
        </w:rPr>
      </w:pPr>
      <w:r>
        <w:rPr>
          <w:rFonts w:hint="eastAsia" w:ascii="宋体" w:hAnsi="宋体"/>
          <w:szCs w:val="21"/>
        </w:rPr>
        <w:t>投标人必须严格遵循工程量固化清单电子文件中的数据、格式及运算定义，并将已填写完毕的投标工程量清单电子文件单独拷入招标人提供的光盘(或U盘)中，密封在投标文件内一并交回。严禁投标人修改工程量固化清单电子文件中的数据、格式及运算定义。</w:t>
      </w:r>
    </w:p>
    <w:p>
      <w:pPr>
        <w:spacing w:line="360" w:lineRule="auto"/>
        <w:ind w:firstLine="420" w:firstLineChars="200"/>
        <w:rPr>
          <w:rFonts w:ascii="宋体" w:hAnsi="宋体"/>
          <w:szCs w:val="21"/>
        </w:rPr>
      </w:pPr>
      <w:r>
        <w:rPr>
          <w:rFonts w:hint="eastAsia" w:ascii="宋体" w:hAnsi="宋体"/>
          <w:szCs w:val="21"/>
        </w:rPr>
        <w:t>投标人根据招标人提供的工程量固化清单电子文件填报完成并打印的投标工程量清单中的投标报价和投标函大写金额报价应一致，如果报价金额出现差异时，其投标将被否决。</w:t>
      </w:r>
    </w:p>
    <w:p>
      <w:pPr>
        <w:spacing w:line="360" w:lineRule="auto"/>
        <w:ind w:firstLine="420" w:firstLineChars="200"/>
        <w:rPr>
          <w:rFonts w:ascii="宋体" w:hAnsi="宋体"/>
          <w:szCs w:val="21"/>
        </w:rPr>
      </w:pPr>
      <w:r>
        <w:rPr>
          <w:rFonts w:hint="eastAsia" w:ascii="宋体" w:hAnsi="宋体"/>
          <w:szCs w:val="21"/>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spacing w:line="360" w:lineRule="auto"/>
        <w:ind w:firstLine="420" w:firstLineChars="200"/>
        <w:rPr>
          <w:rFonts w:ascii="宋体" w:hAnsi="宋体"/>
          <w:szCs w:val="21"/>
        </w:rPr>
      </w:pPr>
      <w:r>
        <w:rPr>
          <w:rFonts w:hint="eastAsia" w:ascii="宋体" w:hAnsi="宋体"/>
          <w:szCs w:val="21"/>
        </w:rPr>
        <w:t>3.2.2投标人应充分了解该项目的总体情况以及影响投标报价的其他要素。</w:t>
      </w:r>
    </w:p>
    <w:p>
      <w:pPr>
        <w:spacing w:line="360" w:lineRule="auto"/>
        <w:ind w:firstLine="420" w:firstLineChars="200"/>
        <w:rPr>
          <w:rFonts w:ascii="宋体" w:hAnsi="宋体"/>
          <w:szCs w:val="21"/>
        </w:rPr>
      </w:pPr>
      <w:r>
        <w:rPr>
          <w:rFonts w:hint="eastAsia" w:ascii="宋体" w:hAnsi="宋体"/>
          <w:szCs w:val="21"/>
        </w:rPr>
        <w:t>3.2.3本项目的报价方式见投标人须知前附表。投标人在投标截止时间前修改投标函中的投标总报价，应同时修改投标文件“已标价工程量清单”中的相应报价。此修改须符合本章第4.3款的有关要求。</w:t>
      </w:r>
    </w:p>
    <w:p>
      <w:pPr>
        <w:spacing w:line="360" w:lineRule="auto"/>
        <w:ind w:firstLine="420" w:firstLineChars="200"/>
        <w:rPr>
          <w:rFonts w:ascii="宋体" w:hAnsi="宋体"/>
          <w:szCs w:val="21"/>
        </w:rPr>
      </w:pPr>
      <w:r>
        <w:rPr>
          <w:rFonts w:hint="eastAsia" w:ascii="宋体" w:hAnsi="宋体"/>
          <w:szCs w:val="21"/>
        </w:rPr>
        <w:t>3.2.4投标人如果发现工程量清单中的数量与图纸中数量不一致时，应立即通知招标人核查，除非招标人以书面方式予以更正，否则，应以工程量清单中列出的数量为准。</w:t>
      </w:r>
    </w:p>
    <w:p>
      <w:pPr>
        <w:spacing w:line="360" w:lineRule="auto"/>
        <w:ind w:firstLine="420" w:firstLineChars="200"/>
        <w:rPr>
          <w:rFonts w:ascii="宋体" w:hAnsi="宋体"/>
          <w:szCs w:val="21"/>
        </w:rPr>
      </w:pPr>
      <w:r>
        <w:rPr>
          <w:rFonts w:hint="eastAsia" w:ascii="宋体" w:hAnsi="宋体"/>
          <w:szCs w:val="21"/>
        </w:rPr>
        <w:t>3.2.5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360" w:lineRule="auto"/>
        <w:ind w:firstLine="420" w:firstLineChars="200"/>
        <w:rPr>
          <w:rFonts w:ascii="宋体" w:hAnsi="宋体"/>
          <w:szCs w:val="21"/>
        </w:rPr>
      </w:pPr>
      <w:r>
        <w:rPr>
          <w:rFonts w:hint="eastAsia" w:ascii="宋体" w:hAnsi="宋体"/>
          <w:szCs w:val="21"/>
        </w:rPr>
        <w:t>3.2.6除投标人须知前附表另有规定外，招标人不接受调价函。若招标人接受调价函，则应在招标文件中给出调价函的格式。投标人若有调价函则应遵循如下规定：</w:t>
      </w:r>
    </w:p>
    <w:p>
      <w:pPr>
        <w:spacing w:line="360" w:lineRule="auto"/>
        <w:ind w:firstLine="420" w:firstLineChars="200"/>
        <w:rPr>
          <w:rFonts w:ascii="宋体" w:hAnsi="宋体"/>
          <w:szCs w:val="21"/>
        </w:rPr>
      </w:pPr>
      <w:r>
        <w:rPr>
          <w:rFonts w:hint="eastAsia" w:ascii="宋体" w:hAnsi="宋体"/>
          <w:szCs w:val="21"/>
        </w:rPr>
        <w:t>(1)调价函必须采用招标文件规定的格式；调价函应说明调价后的最终报价，并以最终报价为准，而且投标人只能有一次调价的机会。</w:t>
      </w:r>
    </w:p>
    <w:p>
      <w:pPr>
        <w:spacing w:line="360" w:lineRule="auto"/>
        <w:ind w:firstLine="420" w:firstLineChars="200"/>
        <w:rPr>
          <w:rFonts w:ascii="宋体" w:hAnsi="宋体"/>
          <w:szCs w:val="21"/>
        </w:rPr>
      </w:pPr>
      <w:r>
        <w:rPr>
          <w:rFonts w:hint="eastAsia" w:ascii="宋体" w:hAnsi="宋体"/>
          <w:szCs w:val="21"/>
        </w:rPr>
        <w:t>(2)工程量清单中招标人指定的报价不允许调价。</w:t>
      </w:r>
    </w:p>
    <w:p>
      <w:pPr>
        <w:spacing w:line="360" w:lineRule="auto"/>
        <w:ind w:firstLine="420" w:firstLineChars="200"/>
        <w:rPr>
          <w:rFonts w:ascii="宋体" w:hAnsi="宋体"/>
          <w:szCs w:val="21"/>
        </w:rPr>
      </w:pPr>
      <w:r>
        <w:rPr>
          <w:rFonts w:hint="eastAsia" w:ascii="宋体" w:hAnsi="宋体"/>
          <w:szCs w:val="21"/>
        </w:rPr>
        <w:t>(3)调价函必须附有调价后的工程量清单；调价函必须粘贴或机械装订在投标文件正本首页，与投标文件一起密封提交。</w:t>
      </w:r>
    </w:p>
    <w:p>
      <w:pPr>
        <w:spacing w:line="360" w:lineRule="auto"/>
        <w:ind w:firstLine="420" w:firstLineChars="200"/>
        <w:rPr>
          <w:rFonts w:ascii="宋体" w:hAnsi="宋体"/>
          <w:szCs w:val="21"/>
        </w:rPr>
      </w:pPr>
      <w:r>
        <w:rPr>
          <w:rFonts w:hint="eastAsia" w:ascii="宋体" w:hAnsi="宋体"/>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spacing w:line="360" w:lineRule="auto"/>
        <w:ind w:firstLine="420" w:firstLineChars="200"/>
        <w:rPr>
          <w:rFonts w:ascii="宋体" w:hAnsi="宋体"/>
          <w:szCs w:val="21"/>
        </w:rPr>
      </w:pPr>
      <w:r>
        <w:rPr>
          <w:rFonts w:hint="eastAsia" w:ascii="宋体" w:hAnsi="宋体"/>
          <w:szCs w:val="21"/>
        </w:rPr>
        <w:t>(4)若招标人接受调价函，投标人调价后的工程量清单和有效调价函的大写金额报价应保持一致，如果报价金额出现差异时，则以有效调价函的大写金额报价为准。</w:t>
      </w:r>
    </w:p>
    <w:p>
      <w:pPr>
        <w:spacing w:line="360" w:lineRule="auto"/>
        <w:ind w:firstLine="420" w:firstLineChars="200"/>
        <w:rPr>
          <w:rFonts w:ascii="宋体" w:hAnsi="宋体"/>
          <w:szCs w:val="21"/>
        </w:rPr>
      </w:pPr>
      <w:r>
        <w:rPr>
          <w:rFonts w:hint="eastAsia" w:ascii="宋体" w:hAnsi="宋体"/>
          <w:szCs w:val="21"/>
        </w:rPr>
        <w:t>3.2.7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360" w:lineRule="auto"/>
        <w:ind w:firstLine="420" w:firstLineChars="200"/>
        <w:rPr>
          <w:rFonts w:ascii="宋体" w:hAnsi="宋体"/>
          <w:szCs w:val="21"/>
        </w:rPr>
      </w:pPr>
      <w:r>
        <w:rPr>
          <w:rFonts w:hint="eastAsia" w:ascii="宋体" w:hAnsi="宋体"/>
          <w:szCs w:val="21"/>
        </w:rPr>
        <w:t>3.2.8招标人设有最高投标限价的，投标人的投标报价不得超过最高投标限价，最高投标限价在投标人须知前附表中载明。</w:t>
      </w:r>
    </w:p>
    <w:p>
      <w:pPr>
        <w:spacing w:line="360" w:lineRule="auto"/>
        <w:ind w:firstLine="420" w:firstLineChars="200"/>
        <w:rPr>
          <w:rFonts w:ascii="宋体" w:hAnsi="宋体"/>
          <w:szCs w:val="21"/>
        </w:rPr>
      </w:pPr>
      <w:r>
        <w:rPr>
          <w:rFonts w:hint="eastAsia" w:ascii="宋体" w:hAnsi="宋体"/>
          <w:szCs w:val="21"/>
        </w:rPr>
        <w:t>3.2.9投标报价的其他要求见投标人须知前附表。</w:t>
      </w:r>
    </w:p>
    <w:p>
      <w:pPr>
        <w:spacing w:line="360" w:lineRule="auto"/>
        <w:rPr>
          <w:rFonts w:ascii="宋体" w:hAnsi="宋体"/>
          <w:b/>
          <w:sz w:val="24"/>
        </w:rPr>
      </w:pPr>
      <w:bookmarkStart w:id="111" w:name="_Toc234345957"/>
      <w:bookmarkStart w:id="112" w:name="_Toc234348780"/>
      <w:bookmarkStart w:id="113" w:name="_Toc234345742"/>
      <w:r>
        <w:rPr>
          <w:rFonts w:hint="eastAsia" w:ascii="宋体" w:hAnsi="宋体"/>
          <w:b/>
          <w:sz w:val="24"/>
        </w:rPr>
        <w:t>3.3投标有效期</w:t>
      </w:r>
      <w:bookmarkEnd w:id="111"/>
      <w:bookmarkEnd w:id="112"/>
      <w:bookmarkEnd w:id="113"/>
    </w:p>
    <w:p>
      <w:pPr>
        <w:spacing w:line="360" w:lineRule="auto"/>
        <w:ind w:firstLine="420" w:firstLineChars="200"/>
        <w:rPr>
          <w:rFonts w:ascii="宋体" w:hAnsi="宋体"/>
          <w:szCs w:val="21"/>
        </w:rPr>
      </w:pPr>
      <w:r>
        <w:rPr>
          <w:rFonts w:hint="eastAsia" w:ascii="宋体" w:hAnsi="宋体"/>
          <w:szCs w:val="21"/>
        </w:rPr>
        <w:t>3.3.1除投标人须知前附表另有规定外，投标有效期为90日。</w:t>
      </w:r>
    </w:p>
    <w:p>
      <w:pPr>
        <w:spacing w:line="360" w:lineRule="auto"/>
        <w:ind w:firstLine="420" w:firstLineChars="200"/>
        <w:rPr>
          <w:rFonts w:ascii="宋体" w:hAnsi="宋体"/>
          <w:szCs w:val="21"/>
        </w:rPr>
      </w:pPr>
      <w:r>
        <w:rPr>
          <w:rFonts w:hint="eastAsia" w:ascii="宋体" w:hAnsi="宋体"/>
          <w:szCs w:val="21"/>
        </w:rPr>
        <w:t>3.3.2在投标有效期内，投标人撤销投标文件的，应承担招标文件和法律规定的责任。</w:t>
      </w:r>
    </w:p>
    <w:p>
      <w:pPr>
        <w:spacing w:line="360" w:lineRule="auto"/>
        <w:ind w:firstLine="420" w:firstLineChars="200"/>
        <w:rPr>
          <w:rFonts w:ascii="宋体" w:hAnsi="宋体"/>
          <w:sz w:val="24"/>
        </w:rPr>
      </w:pPr>
      <w:r>
        <w:rPr>
          <w:rFonts w:hint="eastAsia" w:ascii="宋体" w:hAnsi="宋体"/>
          <w:szCs w:val="21"/>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spacing w:line="360" w:lineRule="auto"/>
        <w:rPr>
          <w:rFonts w:ascii="宋体" w:hAnsi="宋体"/>
          <w:b/>
          <w:sz w:val="24"/>
        </w:rPr>
      </w:pPr>
      <w:bookmarkStart w:id="114" w:name="_Toc234348781"/>
      <w:bookmarkStart w:id="115" w:name="_Toc234345958"/>
      <w:bookmarkStart w:id="116" w:name="_Toc234345743"/>
      <w:r>
        <w:rPr>
          <w:rFonts w:hint="eastAsia" w:ascii="宋体" w:hAnsi="宋体"/>
          <w:b/>
          <w:sz w:val="24"/>
        </w:rPr>
        <w:t>3.4投标保证金</w:t>
      </w:r>
      <w:bookmarkEnd w:id="114"/>
      <w:bookmarkEnd w:id="115"/>
      <w:bookmarkEnd w:id="116"/>
    </w:p>
    <w:p>
      <w:pPr>
        <w:spacing w:line="360" w:lineRule="auto"/>
        <w:ind w:firstLine="420" w:firstLineChars="200"/>
        <w:rPr>
          <w:rFonts w:ascii="宋体" w:hAnsi="宋体"/>
          <w:szCs w:val="21"/>
        </w:rPr>
      </w:pPr>
      <w:r>
        <w:rPr>
          <w:rFonts w:hint="eastAsia" w:ascii="宋体" w:hAnsi="宋体"/>
          <w:szCs w:val="21"/>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rPr>
          <w:rFonts w:ascii="宋体" w:hAnsi="宋体"/>
          <w:szCs w:val="21"/>
        </w:rPr>
      </w:pPr>
      <w:r>
        <w:rPr>
          <w:rFonts w:hint="eastAsia" w:ascii="宋体" w:hAnsi="宋体"/>
          <w:szCs w:val="21"/>
        </w:rPr>
        <w:t>投标保证金应采用现金、支票、银行保函或招标人在投标人须知前附表规定的其他形式。</w:t>
      </w:r>
    </w:p>
    <w:p>
      <w:pPr>
        <w:spacing w:line="360" w:lineRule="auto"/>
        <w:ind w:firstLine="420" w:firstLineChars="200"/>
        <w:rPr>
          <w:rFonts w:ascii="宋体" w:hAnsi="宋体"/>
          <w:szCs w:val="21"/>
        </w:rPr>
      </w:pPr>
      <w:r>
        <w:rPr>
          <w:rFonts w:hint="eastAsia" w:ascii="宋体" w:hAnsi="宋体"/>
          <w:szCs w:val="21"/>
        </w:rPr>
        <w:t>(1)若采用现金或支票，投标人应在递交投标文件截止时间之前，将投标保证金由投标人的基本账户转入招标人指定账户，否则视为投标保证金无效。招标人的开户银行及账号见投标人须知前附表。</w:t>
      </w:r>
    </w:p>
    <w:p>
      <w:pPr>
        <w:spacing w:line="360" w:lineRule="auto"/>
        <w:ind w:firstLine="420" w:firstLineChars="200"/>
        <w:rPr>
          <w:rFonts w:ascii="宋体" w:hAnsi="宋体"/>
          <w:szCs w:val="21"/>
        </w:rPr>
      </w:pPr>
      <w:r>
        <w:rPr>
          <w:rFonts w:hint="eastAsia" w:ascii="宋体" w:hAnsi="宋体"/>
          <w:szCs w:val="21"/>
        </w:rPr>
        <w:t>(2)若采用银行保函，则应由符合投标人须知前附表规定级别的银行开具，并采用招标文件提供的格式。银行保函复印件装订在投标文件内，原件应在递交投标文件截止时间之前单独密封递交给招标人。</w:t>
      </w:r>
    </w:p>
    <w:p>
      <w:pPr>
        <w:spacing w:line="360" w:lineRule="auto"/>
        <w:ind w:firstLine="420" w:firstLineChars="200"/>
        <w:rPr>
          <w:rFonts w:ascii="宋体" w:hAnsi="宋体"/>
          <w:szCs w:val="21"/>
        </w:rPr>
      </w:pPr>
      <w:r>
        <w:rPr>
          <w:rFonts w:hint="eastAsia" w:ascii="宋体" w:hAnsi="宋体"/>
          <w:szCs w:val="21"/>
        </w:rPr>
        <w:t>无论采取何种形式的投标保证金，投标保证金有效期均应与投标有效期一致。招标人如果按本章第3.3.3项的规定延长了投标有效期，则投标保证金的有效期也相应延长。</w:t>
      </w:r>
    </w:p>
    <w:p>
      <w:pPr>
        <w:spacing w:line="360" w:lineRule="auto"/>
        <w:ind w:firstLine="420" w:firstLineChars="200"/>
        <w:rPr>
          <w:rFonts w:ascii="宋体" w:hAnsi="宋体"/>
          <w:szCs w:val="21"/>
        </w:rPr>
      </w:pPr>
      <w:r>
        <w:rPr>
          <w:rFonts w:hint="eastAsia" w:ascii="宋体" w:hAnsi="宋体"/>
          <w:szCs w:val="21"/>
        </w:rPr>
        <w:t>3.4.2投标人不按本章第3.4.1项要求提交投标保证金的，评标委员会将否决其投标。</w:t>
      </w:r>
    </w:p>
    <w:p>
      <w:pPr>
        <w:spacing w:line="360" w:lineRule="auto"/>
        <w:ind w:firstLine="420" w:firstLineChars="200"/>
        <w:rPr>
          <w:rFonts w:ascii="宋体" w:hAnsi="宋体"/>
          <w:szCs w:val="21"/>
        </w:rPr>
      </w:pPr>
      <w:r>
        <w:rPr>
          <w:rFonts w:hint="eastAsia" w:ascii="宋体" w:hAnsi="宋体"/>
          <w:szCs w:val="21"/>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spacing w:line="360" w:lineRule="auto"/>
        <w:ind w:firstLine="420" w:firstLineChars="200"/>
        <w:rPr>
          <w:rFonts w:ascii="宋体" w:hAnsi="宋体"/>
          <w:szCs w:val="21"/>
        </w:rPr>
      </w:pPr>
      <w:r>
        <w:rPr>
          <w:rFonts w:hint="eastAsia" w:ascii="宋体" w:hAnsi="宋体"/>
          <w:szCs w:val="21"/>
        </w:rPr>
        <w:t>利息计算原则见投标人须知前附表。</w:t>
      </w:r>
    </w:p>
    <w:p>
      <w:pPr>
        <w:spacing w:line="360" w:lineRule="auto"/>
        <w:ind w:firstLine="420" w:firstLineChars="200"/>
        <w:rPr>
          <w:rFonts w:ascii="宋体" w:hAnsi="宋体"/>
          <w:szCs w:val="21"/>
        </w:rPr>
      </w:pPr>
      <w:r>
        <w:rPr>
          <w:rFonts w:hint="eastAsia" w:ascii="宋体" w:hAnsi="宋体"/>
          <w:szCs w:val="21"/>
        </w:rPr>
        <w:t>3.4.4有下列情形之一的，投标保证金将不予退还：</w:t>
      </w:r>
    </w:p>
    <w:p>
      <w:pPr>
        <w:spacing w:line="360" w:lineRule="auto"/>
        <w:ind w:firstLine="420" w:firstLineChars="200"/>
        <w:rPr>
          <w:rFonts w:ascii="宋体" w:hAnsi="宋体"/>
          <w:szCs w:val="21"/>
        </w:rPr>
      </w:pPr>
      <w:r>
        <w:rPr>
          <w:rFonts w:hint="eastAsia" w:ascii="宋体" w:hAnsi="宋体"/>
          <w:szCs w:val="21"/>
        </w:rPr>
        <w:t>(1)投标人在投标有效期内撤销投标文件；</w:t>
      </w:r>
    </w:p>
    <w:p>
      <w:pPr>
        <w:spacing w:line="360" w:lineRule="auto"/>
        <w:ind w:firstLine="420" w:firstLineChars="200"/>
        <w:rPr>
          <w:rFonts w:ascii="宋体" w:hAnsi="宋体"/>
          <w:szCs w:val="21"/>
        </w:rPr>
      </w:pPr>
      <w:r>
        <w:rPr>
          <w:rFonts w:hint="eastAsia" w:ascii="宋体" w:hAnsi="宋体"/>
          <w:szCs w:val="21"/>
        </w:rPr>
        <w:t>(2)中标人在收到中标通知书后，无正当理由不与招标人订立合同，在签订合同时向招标人提出附加条件，或不按照招标文件要求提交履约保证金；</w:t>
      </w:r>
    </w:p>
    <w:p>
      <w:pPr>
        <w:spacing w:line="360" w:lineRule="auto"/>
        <w:ind w:firstLine="420" w:firstLineChars="200"/>
        <w:rPr>
          <w:rFonts w:ascii="宋体"/>
        </w:rPr>
      </w:pPr>
      <w:r>
        <w:rPr>
          <w:rFonts w:hint="eastAsia" w:ascii="宋体" w:hAnsi="宋体"/>
          <w:szCs w:val="21"/>
        </w:rPr>
        <w:t>(3)发生投标人须知前附表规定的其他可以不退还投标保证金的情形。</w:t>
      </w:r>
    </w:p>
    <w:p>
      <w:pPr>
        <w:spacing w:line="360" w:lineRule="auto"/>
        <w:rPr>
          <w:rFonts w:ascii="宋体"/>
          <w:b/>
          <w:bCs/>
          <w:sz w:val="24"/>
        </w:rPr>
      </w:pPr>
      <w:bookmarkStart w:id="117" w:name="_Toc234348782"/>
      <w:bookmarkStart w:id="118" w:name="_Toc234349356"/>
      <w:bookmarkStart w:id="119" w:name="_Toc234345959"/>
      <w:bookmarkStart w:id="120" w:name="_Toc234345744"/>
      <w:r>
        <w:rPr>
          <w:rFonts w:ascii="宋体" w:hAnsi="宋体" w:cs="宋体"/>
          <w:b/>
          <w:bCs/>
          <w:sz w:val="24"/>
        </w:rPr>
        <w:t>3.5</w:t>
      </w:r>
      <w:r>
        <w:rPr>
          <w:rFonts w:hint="eastAsia" w:ascii="宋体" w:hAnsi="宋体" w:cs="宋体"/>
          <w:b/>
          <w:bCs/>
          <w:sz w:val="24"/>
        </w:rPr>
        <w:t>资格审查资料</w:t>
      </w:r>
      <w:bookmarkEnd w:id="117"/>
      <w:bookmarkEnd w:id="118"/>
      <w:bookmarkEnd w:id="119"/>
      <w:bookmarkEnd w:id="120"/>
    </w:p>
    <w:p>
      <w:pPr>
        <w:spacing w:line="360" w:lineRule="auto"/>
        <w:ind w:firstLine="420" w:firstLineChars="200"/>
        <w:rPr>
          <w:rFonts w:ascii="宋体" w:hAnsi="宋体"/>
          <w:szCs w:val="21"/>
        </w:rPr>
      </w:pPr>
      <w:r>
        <w:rPr>
          <w:rFonts w:hint="eastAsia" w:ascii="宋体" w:hAnsi="宋体"/>
          <w:szCs w:val="21"/>
        </w:rPr>
        <w:t>除投标人须知前附表另有规定外，投标人应按下列规定提供资格审查资料，以证明其满足本章第1.4款规定的资质、财务、业绩、信誉等要求。</w:t>
      </w:r>
    </w:p>
    <w:p>
      <w:pPr>
        <w:spacing w:line="360" w:lineRule="auto"/>
        <w:ind w:firstLine="420" w:firstLineChars="200"/>
        <w:rPr>
          <w:rFonts w:ascii="宋体" w:hAnsi="宋体"/>
          <w:szCs w:val="21"/>
        </w:rPr>
      </w:pPr>
      <w:r>
        <w:rPr>
          <w:rFonts w:hint="eastAsia" w:ascii="宋体" w:hAnsi="宋体"/>
          <w:szCs w:val="21"/>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spacing w:line="360" w:lineRule="auto"/>
        <w:ind w:firstLine="420" w:firstLineChars="200"/>
        <w:rPr>
          <w:rFonts w:ascii="宋体" w:hAnsi="宋体"/>
          <w:szCs w:val="21"/>
        </w:rPr>
      </w:pPr>
      <w:r>
        <w:rPr>
          <w:rFonts w:hint="eastAsia" w:ascii="宋体" w:hAnsi="宋体"/>
          <w:szCs w:val="21"/>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spacing w:line="360" w:lineRule="auto"/>
        <w:ind w:firstLine="420" w:firstLineChars="200"/>
        <w:rPr>
          <w:rFonts w:ascii="宋体" w:hAnsi="宋体"/>
          <w:szCs w:val="21"/>
        </w:rPr>
      </w:pPr>
      <w:r>
        <w:rPr>
          <w:rFonts w:hint="eastAsia" w:ascii="宋体" w:hAnsi="宋体"/>
          <w:szCs w:val="21"/>
        </w:rPr>
        <w:t>3.5.2 “财务状况表”应附经会计师事务所或审计机构审计的财务会计报表，包括资产负 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20" w:firstLineChars="200"/>
        <w:rPr>
          <w:rFonts w:ascii="宋体" w:hAnsi="宋体"/>
          <w:szCs w:val="21"/>
        </w:rPr>
      </w:pPr>
      <w:r>
        <w:rPr>
          <w:rFonts w:hint="eastAsia" w:ascii="宋体" w:hAnsi="宋体"/>
          <w:szCs w:val="21"/>
        </w:rPr>
        <w:t>3.5.3 “近年完成的类似项目”应是已列入交通运输主管部门“公路建设市场信用信息管理系统”并公开的主包已建业绩或分包已建业绩，具体时间要求见投标人须知前附表。</w:t>
      </w:r>
    </w:p>
    <w:p>
      <w:pPr>
        <w:spacing w:line="360" w:lineRule="auto"/>
        <w:ind w:firstLine="420" w:firstLineChars="200"/>
        <w:rPr>
          <w:rFonts w:ascii="宋体" w:hAnsi="宋体"/>
          <w:szCs w:val="21"/>
        </w:rPr>
      </w:pPr>
      <w:r>
        <w:rPr>
          <w:rFonts w:hint="eastAsia" w:ascii="宋体" w:hAnsi="宋体"/>
          <w:szCs w:val="21"/>
        </w:rPr>
        <w:t>“近年完成的类似项目情况表”应附在交通运输部“全国公路建设市场信用信息管理系统”（网址：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spacing w:line="360" w:lineRule="auto"/>
        <w:ind w:firstLine="420" w:firstLineChars="200"/>
        <w:rPr>
          <w:rFonts w:ascii="宋体" w:hAnsi="宋体"/>
          <w:szCs w:val="21"/>
        </w:rPr>
      </w:pPr>
      <w:r>
        <w:rPr>
          <w:rFonts w:hint="eastAsia" w:ascii="宋体" w:hAnsi="宋体"/>
          <w:szCs w:val="21"/>
        </w:rPr>
        <w:t>如投标人未提供相关项目网页截图复印件或相关项目网页截图中的信息无法证实投标人满足招标文件规定的资格审查条件（业绩最低要求），则该项目业绩不予认定。</w:t>
      </w:r>
    </w:p>
    <w:p>
      <w:pPr>
        <w:spacing w:line="360" w:lineRule="auto"/>
        <w:ind w:firstLine="420" w:firstLineChars="200"/>
        <w:rPr>
          <w:rFonts w:ascii="宋体" w:hAnsi="宋体"/>
          <w:szCs w:val="21"/>
        </w:rPr>
      </w:pPr>
      <w:r>
        <w:rPr>
          <w:rFonts w:hint="eastAsia" w:ascii="宋体" w:hAnsi="宋体"/>
          <w:szCs w:val="21"/>
        </w:rPr>
        <w:t>3.5.4 “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项目经理均无行贿犯罪行为的查询记录证明原件。</w:t>
      </w:r>
    </w:p>
    <w:p>
      <w:pPr>
        <w:spacing w:line="360" w:lineRule="auto"/>
        <w:ind w:firstLine="420" w:firstLineChars="200"/>
        <w:rPr>
          <w:rFonts w:ascii="宋体" w:hAnsi="宋体"/>
          <w:szCs w:val="21"/>
        </w:rPr>
      </w:pPr>
      <w:r>
        <w:rPr>
          <w:rFonts w:hint="eastAsia" w:ascii="宋体" w:hAnsi="宋体"/>
          <w:szCs w:val="21"/>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360" w:lineRule="auto"/>
        <w:ind w:firstLine="420" w:firstLineChars="200"/>
        <w:rPr>
          <w:rFonts w:ascii="宋体" w:hAnsi="宋体"/>
          <w:szCs w:val="21"/>
        </w:rPr>
      </w:pPr>
      <w:r>
        <w:rPr>
          <w:rFonts w:hint="eastAsia" w:ascii="宋体" w:hAnsi="宋体"/>
          <w:szCs w:val="21"/>
        </w:rPr>
        <w:t>“拟委任的项目经理和项目总工资历表”还应附在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项目网页截图中的信息无法证实投标人满足招标文件规定的资格审查条件（项目经理和项目总工最低要求），则该业绩不予认定。</w:t>
      </w:r>
    </w:p>
    <w:p>
      <w:pPr>
        <w:spacing w:line="360" w:lineRule="auto"/>
        <w:ind w:firstLine="420" w:firstLineChars="200"/>
        <w:rPr>
          <w:rFonts w:ascii="宋体" w:hAnsi="宋体"/>
          <w:szCs w:val="21"/>
        </w:rPr>
      </w:pPr>
      <w:r>
        <w:rPr>
          <w:rFonts w:hint="eastAsia" w:ascii="宋体" w:hAnsi="宋体"/>
          <w:szCs w:val="21"/>
        </w:rPr>
        <w:t>如项目经理或项目总工目前仍在其他项目上任职，则投标人应提供由该项目发包人出具的、承诺上述人员能够从该项目撤离的书面证明材料原件。</w:t>
      </w:r>
    </w:p>
    <w:p>
      <w:pPr>
        <w:spacing w:line="360" w:lineRule="auto"/>
        <w:ind w:firstLine="420" w:firstLineChars="200"/>
        <w:rPr>
          <w:rFonts w:ascii="宋体" w:hAnsi="宋体"/>
          <w:szCs w:val="21"/>
        </w:rPr>
      </w:pPr>
      <w:r>
        <w:rPr>
          <w:rFonts w:hint="eastAsia" w:ascii="宋体" w:hAnsi="宋体"/>
          <w:szCs w:val="21"/>
        </w:rPr>
        <w:t>3.5.6 “拟委任的其他管理和技术人员汇总表”（如有）应填报满足投标须知前附表附录6规定的其他人员的相关信息。“拟委任的其他管理和技术人员汇总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spacing w:line="360" w:lineRule="auto"/>
        <w:ind w:firstLine="420" w:firstLineChars="200"/>
        <w:rPr>
          <w:rFonts w:ascii="宋体" w:hAnsi="宋体"/>
          <w:szCs w:val="21"/>
        </w:rPr>
      </w:pPr>
      <w:r>
        <w:rPr>
          <w:rFonts w:hint="eastAsia" w:ascii="宋体" w:hAnsi="宋体"/>
          <w:szCs w:val="21"/>
        </w:rPr>
        <w:t>3.5.7 “拟投入本标段的主要机械表”、“拟配备本标段的主要材料试验、测量、质检仪器设备表”（如有）应填报满足本章前附表附录7规定的机械设备和试验检测设备。</w:t>
      </w:r>
    </w:p>
    <w:p>
      <w:pPr>
        <w:spacing w:line="360" w:lineRule="auto"/>
        <w:ind w:firstLine="420" w:firstLineChars="200"/>
        <w:rPr>
          <w:rFonts w:ascii="宋体" w:hAnsi="宋体"/>
          <w:szCs w:val="21"/>
        </w:rPr>
      </w:pPr>
      <w:r>
        <w:rPr>
          <w:rFonts w:hint="eastAsia" w:ascii="宋体" w:hAnsi="宋体"/>
          <w:szCs w:val="21"/>
        </w:rPr>
        <w:t>3.5.8 投标人须知前附表规定接受联合体投标的，本章第3.5.1项至第3.5.7项规定的表格和资料应包括联合体各方相关情况。</w:t>
      </w:r>
    </w:p>
    <w:p>
      <w:pPr>
        <w:spacing w:line="360" w:lineRule="auto"/>
        <w:ind w:firstLine="420" w:firstLineChars="200"/>
        <w:rPr>
          <w:rFonts w:ascii="宋体" w:hAnsi="宋体"/>
          <w:szCs w:val="21"/>
        </w:rPr>
      </w:pPr>
      <w:r>
        <w:rPr>
          <w:rFonts w:hint="eastAsia" w:ascii="宋体" w:hAnsi="宋体"/>
          <w:szCs w:val="21"/>
        </w:rPr>
        <w:t>3.5.9 除合同条款约定的特殊情形外，投标人在投标文件中填报的项目经理和项目总工不允许更换。</w:t>
      </w:r>
    </w:p>
    <w:p>
      <w:pPr>
        <w:spacing w:line="360" w:lineRule="auto"/>
        <w:ind w:firstLine="420" w:firstLineChars="200"/>
        <w:rPr>
          <w:rFonts w:ascii="宋体" w:hAnsi="宋体"/>
          <w:szCs w:val="21"/>
        </w:rPr>
      </w:pPr>
      <w:r>
        <w:rPr>
          <w:rFonts w:hint="eastAsia" w:ascii="宋体" w:hAnsi="宋体"/>
          <w:szCs w:val="21"/>
        </w:rPr>
        <w:t>3.5.10 投标人在投标文件中填报的资质、业绩、主要人员资历和目前在岗情况、信用等级等信息，应与其在交通运输部“公路建设市场信用信息管理系统”上填报并发布的相关信息一致。投标人应根据本单位实际情况及时完成相关信息的申报、录入和动态更新，并对相关信息的真实性、完整性和准确性负责。</w:t>
      </w:r>
    </w:p>
    <w:p>
      <w:pPr>
        <w:spacing w:line="360" w:lineRule="auto"/>
        <w:ind w:firstLine="420" w:firstLineChars="200"/>
        <w:rPr>
          <w:rFonts w:ascii="宋体" w:hAnsi="宋体"/>
          <w:szCs w:val="21"/>
        </w:rPr>
      </w:pPr>
      <w:r>
        <w:rPr>
          <w:rFonts w:hint="eastAsia" w:ascii="宋体" w:hAnsi="宋体"/>
          <w:szCs w:val="21"/>
        </w:rPr>
        <w:t>3.5.11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line="360" w:lineRule="auto"/>
        <w:rPr>
          <w:rFonts w:ascii="宋体" w:hAnsi="宋体"/>
          <w:b/>
          <w:sz w:val="24"/>
        </w:rPr>
      </w:pPr>
      <w:bookmarkStart w:id="121" w:name="_Toc234345961"/>
      <w:bookmarkStart w:id="122" w:name="_Toc234345746"/>
      <w:bookmarkStart w:id="123" w:name="_Toc234348784"/>
      <w:r>
        <w:rPr>
          <w:rFonts w:hint="eastAsia" w:ascii="宋体" w:hAnsi="宋体"/>
          <w:b/>
          <w:sz w:val="24"/>
        </w:rPr>
        <w:t>3.6备选投标方案</w:t>
      </w:r>
      <w:bookmarkEnd w:id="121"/>
      <w:bookmarkEnd w:id="122"/>
      <w:bookmarkEnd w:id="123"/>
    </w:p>
    <w:p>
      <w:pPr>
        <w:spacing w:line="360" w:lineRule="auto"/>
        <w:ind w:firstLine="420" w:firstLineChars="200"/>
        <w:rPr>
          <w:rFonts w:ascii="宋体" w:hAnsi="宋体"/>
          <w:szCs w:val="21"/>
        </w:rPr>
      </w:pPr>
      <w:r>
        <w:rPr>
          <w:rFonts w:hint="eastAsia" w:ascii="宋体" w:hAnsi="宋体"/>
          <w:szCs w:val="21"/>
        </w:rPr>
        <w:t>3.6.1 除投标人须知前附表规定允许外，投标人不得递交备选投标方案，否则其投标将被否决。</w:t>
      </w:r>
    </w:p>
    <w:p>
      <w:pPr>
        <w:spacing w:line="360" w:lineRule="auto"/>
        <w:ind w:firstLine="420" w:firstLineChars="200"/>
        <w:rPr>
          <w:rFonts w:ascii="宋体" w:hAnsi="宋体"/>
          <w:szCs w:val="21"/>
        </w:rPr>
      </w:pPr>
      <w:r>
        <w:rPr>
          <w:rFonts w:hint="eastAsia" w:ascii="宋体" w:hAnsi="宋体"/>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ascii="宋体" w:hAnsi="宋体"/>
          <w:szCs w:val="21"/>
        </w:rPr>
      </w:pPr>
      <w:r>
        <w:rPr>
          <w:rFonts w:hint="eastAsia" w:ascii="宋体" w:hAnsi="宋体"/>
          <w:szCs w:val="21"/>
        </w:rPr>
        <w:t>3.6.3 投标人提供两个或两个以上投标报价，或在投标文件中提供一个报价，但同时提供两个或两个以上施工组织设计的，视为提供备选方案。</w:t>
      </w:r>
    </w:p>
    <w:p>
      <w:pPr>
        <w:spacing w:line="360" w:lineRule="auto"/>
        <w:rPr>
          <w:rFonts w:ascii="宋体" w:hAnsi="宋体"/>
          <w:b/>
          <w:sz w:val="24"/>
        </w:rPr>
      </w:pPr>
      <w:bookmarkStart w:id="124" w:name="_Toc234348785"/>
      <w:bookmarkStart w:id="125" w:name="_Toc234345962"/>
      <w:bookmarkStart w:id="126" w:name="_Toc234345747"/>
      <w:r>
        <w:rPr>
          <w:rFonts w:hint="eastAsia" w:ascii="宋体" w:hAnsi="宋体"/>
          <w:b/>
          <w:sz w:val="24"/>
        </w:rPr>
        <w:t>3.7投标文件的编制</w:t>
      </w:r>
      <w:bookmarkEnd w:id="124"/>
      <w:bookmarkEnd w:id="125"/>
      <w:bookmarkEnd w:id="126"/>
    </w:p>
    <w:p>
      <w:pPr>
        <w:spacing w:line="360" w:lineRule="auto"/>
        <w:ind w:firstLine="420" w:firstLineChars="200"/>
        <w:rPr>
          <w:rFonts w:ascii="宋体" w:hAnsi="宋体"/>
          <w:szCs w:val="21"/>
        </w:rPr>
      </w:pPr>
      <w:r>
        <w:rPr>
          <w:rFonts w:hint="eastAsia" w:ascii="宋体" w:hAnsi="宋体"/>
          <w:szCs w:val="21"/>
        </w:rPr>
        <w:t>3.7.1投标文件应按第九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3.7.2投标文件应对招标文件有关工期、投标有效期、质量要求、安全目标、技术标准和要求、招标范围等实质性内容作出响应。</w:t>
      </w:r>
    </w:p>
    <w:p>
      <w:pPr>
        <w:spacing w:line="360" w:lineRule="auto"/>
        <w:ind w:firstLine="420" w:firstLineChars="200"/>
        <w:rPr>
          <w:rFonts w:ascii="宋体" w:hAnsi="宋体"/>
          <w:szCs w:val="21"/>
        </w:rPr>
      </w:pPr>
      <w:r>
        <w:rPr>
          <w:rFonts w:hint="eastAsia" w:ascii="宋体" w:hAnsi="宋体"/>
          <w:szCs w:val="21"/>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spacing w:line="360" w:lineRule="auto"/>
        <w:ind w:firstLine="420" w:firstLineChars="200"/>
        <w:rPr>
          <w:rFonts w:ascii="宋体" w:hAnsi="宋体"/>
          <w:szCs w:val="21"/>
        </w:rPr>
      </w:pPr>
      <w:r>
        <w:rPr>
          <w:rFonts w:hint="eastAsia" w:ascii="宋体" w:hAnsi="宋体"/>
          <w:szCs w:val="21"/>
        </w:rPr>
        <w:t>如果投标文件由委托代理人签署，则投标人需提交授权委托书，授权委托书应按第九章“投标文件格式”的要求出具，并由法定代表人和委托代理人亲笔签名，不得使用印章、签名章或其他电子制版签名代替。</w:t>
      </w:r>
    </w:p>
    <w:p>
      <w:pPr>
        <w:spacing w:line="360" w:lineRule="auto"/>
        <w:ind w:firstLine="420" w:firstLineChars="200"/>
        <w:rPr>
          <w:rFonts w:ascii="宋体" w:hAnsi="宋体"/>
          <w:szCs w:val="21"/>
        </w:rPr>
      </w:pPr>
      <w:r>
        <w:rPr>
          <w:rFonts w:hint="eastAsia" w:ascii="宋体" w:hAnsi="宋体"/>
          <w:szCs w:val="21"/>
        </w:rPr>
        <w:t>如果由投标人的法定代表人亲自签署投标文件，则投标人需提交法定代表人身份证明，身份证明应符合第九章“投标文件格式”的要求。</w:t>
      </w:r>
    </w:p>
    <w:p>
      <w:pPr>
        <w:spacing w:line="360" w:lineRule="auto"/>
        <w:ind w:firstLine="420" w:firstLineChars="200"/>
        <w:rPr>
          <w:rFonts w:ascii="宋体" w:hAnsi="宋体"/>
          <w:szCs w:val="21"/>
        </w:rPr>
      </w:pPr>
      <w:r>
        <w:rPr>
          <w:rFonts w:hint="eastAsia" w:ascii="宋体" w:hAnsi="宋体"/>
          <w:szCs w:val="21"/>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spacing w:line="360" w:lineRule="auto"/>
        <w:ind w:firstLine="420" w:firstLineChars="200"/>
        <w:rPr>
          <w:rFonts w:ascii="宋体" w:hAnsi="宋体"/>
          <w:szCs w:val="21"/>
        </w:rPr>
      </w:pPr>
      <w:r>
        <w:rPr>
          <w:rFonts w:hint="eastAsia" w:ascii="宋体" w:hAnsi="宋体"/>
          <w:szCs w:val="21"/>
        </w:rPr>
        <w:t>投标文件应尽量避免涂改、行间插字或删除。如果出现上述情况，改动之处应由投标人的法定代表人或其授权的代理人签字或盖单位章。</w:t>
      </w:r>
    </w:p>
    <w:p>
      <w:pPr>
        <w:spacing w:line="360" w:lineRule="auto"/>
        <w:ind w:firstLine="420" w:firstLineChars="200"/>
        <w:rPr>
          <w:rFonts w:ascii="宋体" w:hAnsi="宋体"/>
          <w:szCs w:val="21"/>
        </w:rPr>
      </w:pPr>
      <w:r>
        <w:rPr>
          <w:rFonts w:hint="eastAsia" w:ascii="宋体" w:hAnsi="宋体"/>
          <w:szCs w:val="21"/>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ascii="宋体" w:hAnsi="宋体"/>
          <w:szCs w:val="21"/>
        </w:rPr>
      </w:pPr>
      <w:r>
        <w:rPr>
          <w:rFonts w:hint="eastAsia" w:ascii="宋体" w:hAnsi="宋体"/>
          <w:szCs w:val="21"/>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spacing w:line="360" w:lineRule="auto"/>
        <w:rPr>
          <w:rFonts w:ascii="宋体" w:hAnsi="宋体"/>
          <w:b/>
          <w:sz w:val="28"/>
          <w:szCs w:val="28"/>
        </w:rPr>
      </w:pPr>
      <w:bookmarkStart w:id="127" w:name="_Toc234348786"/>
      <w:r>
        <w:rPr>
          <w:rFonts w:hint="eastAsia" w:ascii="宋体" w:hAnsi="宋体"/>
          <w:b/>
          <w:sz w:val="28"/>
          <w:szCs w:val="28"/>
        </w:rPr>
        <w:t>4.投标</w:t>
      </w:r>
      <w:bookmarkEnd w:id="127"/>
    </w:p>
    <w:p>
      <w:pPr>
        <w:spacing w:line="360" w:lineRule="auto"/>
        <w:rPr>
          <w:rFonts w:ascii="宋体" w:hAnsi="宋体"/>
          <w:b/>
          <w:sz w:val="24"/>
        </w:rPr>
      </w:pPr>
      <w:bookmarkStart w:id="128" w:name="_Toc234345963"/>
      <w:bookmarkStart w:id="129" w:name="_Toc234348787"/>
      <w:bookmarkStart w:id="130" w:name="_Toc234345748"/>
      <w:r>
        <w:rPr>
          <w:rFonts w:hint="eastAsia" w:ascii="宋体" w:hAnsi="宋体"/>
          <w:b/>
          <w:sz w:val="24"/>
        </w:rPr>
        <w:t>4.1投标文件的密封和标识</w:t>
      </w:r>
      <w:bookmarkEnd w:id="128"/>
      <w:bookmarkEnd w:id="129"/>
      <w:bookmarkEnd w:id="130"/>
    </w:p>
    <w:p>
      <w:pPr>
        <w:spacing w:line="360" w:lineRule="auto"/>
        <w:ind w:firstLine="420" w:firstLineChars="200"/>
        <w:rPr>
          <w:rFonts w:ascii="宋体" w:hAnsi="宋体"/>
          <w:szCs w:val="21"/>
        </w:rPr>
      </w:pPr>
      <w:r>
        <w:rPr>
          <w:rFonts w:hint="eastAsia" w:ascii="宋体" w:hAnsi="宋体"/>
          <w:szCs w:val="21"/>
        </w:rPr>
        <w:t>若采用双信封形式，第4.1.1项和4.1.2项采用以下条款：</w:t>
      </w:r>
    </w:p>
    <w:p>
      <w:pPr>
        <w:spacing w:line="360" w:lineRule="auto"/>
        <w:ind w:firstLine="420" w:firstLineChars="200"/>
        <w:rPr>
          <w:rFonts w:ascii="宋体" w:hAnsi="宋体"/>
          <w:szCs w:val="21"/>
        </w:rPr>
      </w:pPr>
      <w:r>
        <w:rPr>
          <w:rFonts w:hint="eastAsia" w:ascii="宋体" w:hAnsi="宋体"/>
          <w:szCs w:val="21"/>
        </w:rPr>
        <w:t>4.1.1投标文件应采用双信封形式密封。投标文件第一个信封(商务及技术文件)以及第二个信封(报价文件)应单独密封包装。商务及技术文件的正本与副本应统一密封在一个封套里。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spacing w:line="360" w:lineRule="auto"/>
        <w:ind w:firstLine="420" w:firstLineChars="200"/>
        <w:rPr>
          <w:rFonts w:ascii="宋体" w:hAnsi="宋体"/>
          <w:szCs w:val="21"/>
        </w:rPr>
      </w:pPr>
      <w:r>
        <w:rPr>
          <w:rFonts w:hint="eastAsia" w:ascii="宋体" w:hAnsi="宋体"/>
          <w:szCs w:val="21"/>
        </w:rPr>
        <w:t>采用银行保函形式提交投标保证金的，银行保函原件应密封在单独的封套中。</w:t>
      </w:r>
    </w:p>
    <w:p>
      <w:pPr>
        <w:spacing w:line="360" w:lineRule="auto"/>
        <w:ind w:firstLine="420" w:firstLineChars="200"/>
        <w:rPr>
          <w:rFonts w:ascii="宋体" w:hAnsi="宋体"/>
          <w:szCs w:val="21"/>
        </w:rPr>
      </w:pPr>
      <w:r>
        <w:rPr>
          <w:rFonts w:hint="eastAsia" w:ascii="宋体" w:hAnsi="宋体"/>
          <w:szCs w:val="21"/>
        </w:rPr>
        <w:t>4.1.2投标文件第一个信封(商务及技术文件)、第二个信封(报价文件)以及银行保函封套上应写明的内容见投标人须知前附表。</w:t>
      </w:r>
    </w:p>
    <w:p>
      <w:pPr>
        <w:spacing w:line="360" w:lineRule="auto"/>
        <w:ind w:firstLine="420" w:firstLineChars="200"/>
        <w:rPr>
          <w:rFonts w:ascii="宋体" w:hAnsi="宋体"/>
          <w:szCs w:val="21"/>
        </w:rPr>
      </w:pPr>
      <w:r>
        <w:rPr>
          <w:rFonts w:hint="eastAsia" w:ascii="宋体" w:hAnsi="宋体"/>
          <w:szCs w:val="21"/>
        </w:rPr>
        <w:t>4.1.3未按本章第4.1.1项要求密封的投标文件，招标人不予受理。</w:t>
      </w:r>
    </w:p>
    <w:p>
      <w:pPr>
        <w:spacing w:line="360" w:lineRule="auto"/>
        <w:rPr>
          <w:rFonts w:ascii="宋体" w:hAnsi="宋体"/>
          <w:b/>
          <w:sz w:val="24"/>
        </w:rPr>
      </w:pPr>
      <w:bookmarkStart w:id="131" w:name="_Toc234348788"/>
      <w:bookmarkStart w:id="132" w:name="_Toc234345964"/>
      <w:bookmarkStart w:id="133" w:name="_Toc234345749"/>
      <w:r>
        <w:rPr>
          <w:rFonts w:hint="eastAsia" w:ascii="宋体" w:hAnsi="宋体"/>
          <w:b/>
          <w:sz w:val="24"/>
        </w:rPr>
        <w:t>4.2投标文件的递交</w:t>
      </w:r>
      <w:bookmarkEnd w:id="131"/>
      <w:bookmarkEnd w:id="132"/>
      <w:bookmarkEnd w:id="133"/>
    </w:p>
    <w:p>
      <w:pPr>
        <w:spacing w:line="360" w:lineRule="auto"/>
        <w:ind w:firstLine="420" w:firstLineChars="200"/>
        <w:rPr>
          <w:rFonts w:ascii="宋体" w:hAnsi="宋体"/>
          <w:szCs w:val="21"/>
        </w:rPr>
      </w:pPr>
      <w:r>
        <w:rPr>
          <w:rFonts w:hint="eastAsia" w:ascii="宋体" w:hAnsi="宋体"/>
          <w:szCs w:val="21"/>
        </w:rPr>
        <w:t>4.2.1投标人应在第一章“招标公告”或“投标邀请书”规定的投标截止时间前递交投标文件。</w:t>
      </w:r>
    </w:p>
    <w:p>
      <w:pPr>
        <w:spacing w:line="360" w:lineRule="auto"/>
        <w:ind w:firstLine="420" w:firstLineChars="200"/>
        <w:rPr>
          <w:rFonts w:ascii="宋体" w:hAnsi="宋体"/>
          <w:szCs w:val="21"/>
        </w:rPr>
      </w:pPr>
      <w:r>
        <w:rPr>
          <w:rFonts w:hint="eastAsia" w:ascii="宋体" w:hAnsi="宋体"/>
          <w:szCs w:val="21"/>
        </w:rPr>
        <w:t>4.2.2投标人递交投标文件的地点：见第一章“招标公告”或“投标邀请书”。</w:t>
      </w:r>
    </w:p>
    <w:p>
      <w:pPr>
        <w:spacing w:line="360" w:lineRule="auto"/>
        <w:ind w:firstLine="420" w:firstLineChars="200"/>
        <w:rPr>
          <w:rFonts w:ascii="宋体" w:hAnsi="宋体"/>
          <w:szCs w:val="21"/>
        </w:rPr>
      </w:pPr>
      <w:r>
        <w:rPr>
          <w:rFonts w:hint="eastAsia" w:ascii="宋体" w:hAnsi="宋体"/>
          <w:szCs w:val="21"/>
        </w:rPr>
        <w:t>4.2.3除投标人须知前附表另有规定外，投标人所递交的投标文件不予退还。投标人少于3个的，投标文件当场退还给投标人。</w:t>
      </w:r>
    </w:p>
    <w:p>
      <w:pPr>
        <w:spacing w:line="360" w:lineRule="auto"/>
        <w:ind w:firstLine="420" w:firstLineChars="200"/>
        <w:rPr>
          <w:rFonts w:ascii="宋体" w:hAnsi="宋体"/>
          <w:szCs w:val="21"/>
        </w:rPr>
      </w:pPr>
      <w:r>
        <w:rPr>
          <w:rFonts w:hint="eastAsia" w:ascii="宋体" w:hAnsi="宋体"/>
          <w:szCs w:val="21"/>
        </w:rPr>
        <w:t>4.2.4招标人收到投标文件后，向投标人出具签收凭证。</w:t>
      </w:r>
    </w:p>
    <w:p>
      <w:pPr>
        <w:spacing w:line="360" w:lineRule="auto"/>
        <w:ind w:firstLine="420" w:firstLineChars="200"/>
        <w:rPr>
          <w:rFonts w:ascii="宋体" w:hAnsi="宋体"/>
          <w:szCs w:val="21"/>
        </w:rPr>
      </w:pPr>
      <w:r>
        <w:rPr>
          <w:rFonts w:hint="eastAsia" w:ascii="宋体" w:hAnsi="宋体"/>
          <w:szCs w:val="21"/>
        </w:rPr>
        <w:t>4.2.5逾期送达的或者未送达指定地点的投标文件，招标人将予以拒收。</w:t>
      </w:r>
    </w:p>
    <w:p>
      <w:pPr>
        <w:spacing w:line="360" w:lineRule="auto"/>
        <w:rPr>
          <w:rFonts w:ascii="宋体" w:hAnsi="宋体"/>
          <w:b/>
          <w:sz w:val="24"/>
        </w:rPr>
      </w:pPr>
      <w:bookmarkStart w:id="134" w:name="_Toc234348789"/>
      <w:bookmarkStart w:id="135" w:name="_Toc234345750"/>
      <w:bookmarkStart w:id="136" w:name="_Toc234345965"/>
      <w:r>
        <w:rPr>
          <w:rFonts w:hint="eastAsia" w:ascii="宋体" w:hAnsi="宋体"/>
          <w:b/>
          <w:sz w:val="24"/>
        </w:rPr>
        <w:t>4.3投标文件的修改与撤回</w:t>
      </w:r>
      <w:bookmarkEnd w:id="134"/>
      <w:bookmarkEnd w:id="135"/>
      <w:bookmarkEnd w:id="136"/>
    </w:p>
    <w:p>
      <w:pPr>
        <w:spacing w:line="360" w:lineRule="auto"/>
        <w:ind w:firstLine="420" w:firstLineChars="200"/>
        <w:rPr>
          <w:rFonts w:ascii="宋体" w:hAnsi="宋体"/>
          <w:szCs w:val="21"/>
        </w:rPr>
      </w:pPr>
      <w:r>
        <w:rPr>
          <w:rFonts w:hint="eastAsia" w:ascii="宋体" w:hAnsi="宋体"/>
          <w:szCs w:val="21"/>
        </w:rPr>
        <w:t>4.3.1在本章第4.2.1项规定的投标截止时间前，投标人可以修改或撤回已递交的投标文件，但应以书面形式通知招标人。</w:t>
      </w:r>
    </w:p>
    <w:p>
      <w:pPr>
        <w:spacing w:line="360" w:lineRule="auto"/>
        <w:ind w:firstLine="420" w:firstLineChars="200"/>
        <w:rPr>
          <w:rFonts w:ascii="宋体" w:hAnsi="宋体"/>
          <w:szCs w:val="21"/>
        </w:rPr>
      </w:pPr>
      <w:r>
        <w:rPr>
          <w:rFonts w:hint="eastAsia" w:ascii="宋体" w:hAnsi="宋体"/>
          <w:szCs w:val="21"/>
        </w:rPr>
        <w:t>4.3.2投标人修改或撤回已递交投标文件的书面通知应按照本章第3.7.3项的要求签字或盖章。招标人收到书面通知后，向投标人出具签收凭证。</w:t>
      </w:r>
    </w:p>
    <w:p>
      <w:pPr>
        <w:spacing w:line="360" w:lineRule="auto"/>
        <w:ind w:firstLine="420" w:firstLineChars="200"/>
        <w:rPr>
          <w:rFonts w:ascii="宋体" w:hAnsi="宋体"/>
          <w:szCs w:val="21"/>
        </w:rPr>
      </w:pPr>
      <w:r>
        <w:rPr>
          <w:rFonts w:hint="eastAsia" w:ascii="宋体" w:hAnsi="宋体"/>
          <w:szCs w:val="21"/>
        </w:rPr>
        <w:t>4.3.3投标人撤回投标文件的，招标人自收到投标人书面撤回通知之日起5日内退还已收取的投标保证金。</w:t>
      </w:r>
    </w:p>
    <w:p>
      <w:pPr>
        <w:spacing w:line="360" w:lineRule="auto"/>
        <w:ind w:firstLine="420" w:firstLineChars="200"/>
        <w:rPr>
          <w:rFonts w:ascii="宋体" w:hAnsi="宋体"/>
          <w:sz w:val="24"/>
        </w:rPr>
      </w:pPr>
      <w:r>
        <w:rPr>
          <w:rFonts w:hint="eastAsia" w:ascii="宋体" w:hAnsi="宋体"/>
          <w:szCs w:val="21"/>
        </w:rPr>
        <w:t>4.3.4修改的内容为投标文件的组成部分。修改的投标文件应按照本章第3条、第4条规定进行编制、密封、标记和递交，并标明“修改”字样。</w:t>
      </w:r>
    </w:p>
    <w:p>
      <w:pPr>
        <w:spacing w:line="360" w:lineRule="auto"/>
        <w:rPr>
          <w:rFonts w:ascii="宋体" w:hAnsi="宋体"/>
          <w:b/>
          <w:sz w:val="28"/>
          <w:szCs w:val="28"/>
        </w:rPr>
      </w:pPr>
      <w:bookmarkStart w:id="137" w:name="_Toc234348790"/>
      <w:r>
        <w:rPr>
          <w:rFonts w:hint="eastAsia" w:ascii="宋体" w:hAnsi="宋体"/>
          <w:b/>
          <w:sz w:val="28"/>
          <w:szCs w:val="28"/>
        </w:rPr>
        <w:t>5.开标</w:t>
      </w:r>
      <w:bookmarkEnd w:id="137"/>
    </w:p>
    <w:p>
      <w:pPr>
        <w:spacing w:line="360" w:lineRule="auto"/>
        <w:ind w:firstLine="420" w:firstLineChars="200"/>
        <w:rPr>
          <w:rFonts w:ascii="宋体" w:hAnsi="宋体"/>
          <w:szCs w:val="21"/>
        </w:rPr>
      </w:pPr>
      <w:r>
        <w:rPr>
          <w:rFonts w:hint="eastAsia" w:ascii="宋体" w:hAnsi="宋体"/>
          <w:szCs w:val="21"/>
        </w:rPr>
        <w:t>若采用双信封形式，第5.1款采用以下条款：</w:t>
      </w:r>
    </w:p>
    <w:p>
      <w:pPr>
        <w:spacing w:line="360" w:lineRule="auto"/>
        <w:rPr>
          <w:rFonts w:ascii="宋体" w:hAnsi="宋体"/>
          <w:b/>
          <w:sz w:val="24"/>
        </w:rPr>
      </w:pPr>
      <w:bookmarkStart w:id="138" w:name="_Toc234345967"/>
      <w:bookmarkStart w:id="139" w:name="_Toc234345752"/>
      <w:bookmarkStart w:id="140" w:name="_Toc234348792"/>
      <w:r>
        <w:rPr>
          <w:rFonts w:hint="eastAsia" w:ascii="宋体" w:hAnsi="宋体"/>
          <w:b/>
          <w:sz w:val="24"/>
        </w:rPr>
        <w:t>5.1开标时间和地点</w:t>
      </w:r>
      <w:bookmarkEnd w:id="138"/>
      <w:bookmarkEnd w:id="139"/>
      <w:bookmarkEnd w:id="140"/>
    </w:p>
    <w:p>
      <w:pPr>
        <w:spacing w:line="360" w:lineRule="auto"/>
        <w:ind w:firstLine="420" w:firstLineChars="200"/>
        <w:rPr>
          <w:rFonts w:ascii="宋体" w:hAnsi="宋体"/>
          <w:szCs w:val="21"/>
        </w:rPr>
      </w:pPr>
      <w:r>
        <w:rPr>
          <w:rFonts w:hint="eastAsia" w:ascii="宋体" w:hAnsi="宋体"/>
          <w:szCs w:val="21"/>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rPr>
          <w:rFonts w:ascii="宋体" w:hAnsi="宋体"/>
          <w:szCs w:val="21"/>
        </w:rPr>
      </w:pPr>
      <w:r>
        <w:rPr>
          <w:rFonts w:hint="eastAsia" w:ascii="宋体" w:hAnsi="宋体"/>
          <w:szCs w:val="21"/>
        </w:rPr>
        <w:t>招标人在投标人须知前附表规定的时间和地点对投标文件第二个信封(报价文件)公开开标，并邀请所有投标人的法定代表人或其委托代理人准时参加。</w:t>
      </w:r>
    </w:p>
    <w:p>
      <w:pPr>
        <w:spacing w:line="360" w:lineRule="auto"/>
        <w:ind w:firstLine="420" w:firstLineChars="200"/>
        <w:rPr>
          <w:rFonts w:ascii="宋体" w:hAnsi="宋体"/>
          <w:szCs w:val="21"/>
        </w:rPr>
      </w:pPr>
      <w:r>
        <w:rPr>
          <w:rFonts w:hint="eastAsia" w:ascii="宋体" w:hAnsi="宋体"/>
          <w:szCs w:val="21"/>
        </w:rPr>
        <w:t>投标人若未派法定代表人或委托代理人出席开标活动，视为该投标人默认开标结果。</w:t>
      </w:r>
    </w:p>
    <w:p>
      <w:pPr>
        <w:spacing w:line="360" w:lineRule="auto"/>
        <w:ind w:firstLine="420" w:firstLineChars="200"/>
        <w:rPr>
          <w:rFonts w:ascii="宋体" w:hAnsi="宋体"/>
          <w:szCs w:val="21"/>
        </w:rPr>
      </w:pPr>
      <w:r>
        <w:rPr>
          <w:rFonts w:hint="eastAsia" w:ascii="宋体" w:hAnsi="宋体"/>
          <w:szCs w:val="21"/>
        </w:rPr>
        <w:t>若采用双信封形式，第5.2款采用以下条款：</w:t>
      </w:r>
    </w:p>
    <w:p>
      <w:pPr>
        <w:spacing w:line="360" w:lineRule="auto"/>
        <w:rPr>
          <w:rFonts w:ascii="宋体" w:hAnsi="宋体"/>
          <w:b/>
          <w:sz w:val="24"/>
        </w:rPr>
      </w:pPr>
      <w:bookmarkStart w:id="141" w:name="_Toc234345969"/>
      <w:bookmarkStart w:id="142" w:name="_Toc234345754"/>
      <w:bookmarkStart w:id="143" w:name="_Toc234348794"/>
      <w:r>
        <w:rPr>
          <w:rFonts w:hint="eastAsia" w:ascii="宋体" w:hAnsi="宋体"/>
          <w:b/>
          <w:sz w:val="24"/>
        </w:rPr>
        <w:t>5.2开标程序</w:t>
      </w:r>
      <w:bookmarkEnd w:id="141"/>
      <w:bookmarkEnd w:id="142"/>
      <w:bookmarkEnd w:id="143"/>
    </w:p>
    <w:p>
      <w:pPr>
        <w:spacing w:line="360" w:lineRule="auto"/>
        <w:ind w:firstLine="420" w:firstLineChars="200"/>
        <w:rPr>
          <w:rFonts w:ascii="宋体" w:hAnsi="宋体"/>
          <w:szCs w:val="21"/>
        </w:rPr>
      </w:pPr>
      <w:r>
        <w:rPr>
          <w:rFonts w:hint="eastAsia" w:ascii="宋体" w:hAnsi="宋体"/>
          <w:szCs w:val="21"/>
        </w:rPr>
        <w:t>5.2.1主持人按下列程序对投标文件第一个信封(商务及技术文件)进行开标：</w:t>
      </w:r>
    </w:p>
    <w:p>
      <w:pPr>
        <w:spacing w:line="360" w:lineRule="auto"/>
        <w:ind w:firstLine="420" w:firstLineChars="200"/>
        <w:rPr>
          <w:rFonts w:ascii="宋体" w:hAnsi="宋体"/>
          <w:szCs w:val="21"/>
        </w:rPr>
      </w:pPr>
      <w:r>
        <w:rPr>
          <w:rFonts w:hint="eastAsia" w:ascii="宋体" w:hAnsi="宋体"/>
          <w:szCs w:val="21"/>
        </w:rPr>
        <w:t>(1)宣布开标纪律；</w:t>
      </w:r>
    </w:p>
    <w:p>
      <w:pPr>
        <w:spacing w:line="360" w:lineRule="auto"/>
        <w:ind w:firstLine="420" w:firstLineChars="200"/>
        <w:rPr>
          <w:rFonts w:ascii="宋体" w:hAnsi="宋体"/>
          <w:szCs w:val="21"/>
        </w:rPr>
      </w:pPr>
      <w:r>
        <w:rPr>
          <w:rFonts w:hint="eastAsia" w:ascii="宋体" w:hAnsi="宋体"/>
          <w:szCs w:val="21"/>
        </w:rPr>
        <w:t>(2)公布在投标截止时间前递交投标文件的投标人数量；</w:t>
      </w:r>
    </w:p>
    <w:p>
      <w:pPr>
        <w:spacing w:line="360" w:lineRule="auto"/>
        <w:ind w:firstLine="420" w:firstLineChars="200"/>
        <w:rPr>
          <w:rFonts w:ascii="宋体" w:hAnsi="宋体"/>
          <w:szCs w:val="21"/>
        </w:rPr>
      </w:pPr>
      <w:r>
        <w:rPr>
          <w:rFonts w:hint="eastAsia" w:ascii="宋体" w:hAnsi="宋体"/>
          <w:szCs w:val="21"/>
        </w:rPr>
        <w:t>(3)宣布开标人、唱标人、记录人等有关人员姓名；</w:t>
      </w:r>
    </w:p>
    <w:p>
      <w:pPr>
        <w:spacing w:line="360" w:lineRule="auto"/>
        <w:ind w:firstLine="420" w:firstLineChars="200"/>
        <w:rPr>
          <w:rFonts w:ascii="宋体" w:hAnsi="宋体"/>
          <w:szCs w:val="21"/>
        </w:rPr>
      </w:pPr>
      <w:r>
        <w:rPr>
          <w:rFonts w:hint="eastAsia" w:ascii="宋体" w:hAnsi="宋体"/>
          <w:szCs w:val="21"/>
        </w:rPr>
        <w:t>(4)按照投标人须知前附表规定由投标人推选的代表检查投标文件的密封情况；</w:t>
      </w:r>
    </w:p>
    <w:p>
      <w:pPr>
        <w:spacing w:line="360" w:lineRule="auto"/>
        <w:ind w:firstLine="420" w:firstLineChars="200"/>
        <w:rPr>
          <w:rFonts w:ascii="宋体" w:hAnsi="宋体"/>
          <w:szCs w:val="21"/>
        </w:rPr>
      </w:pPr>
      <w:r>
        <w:rPr>
          <w:rFonts w:hint="eastAsia" w:ascii="宋体" w:hAnsi="宋体"/>
          <w:szCs w:val="21"/>
        </w:rPr>
        <w:t>(5)按照投标人须知前附表的规定的开标顺序当众开标，公布标段名称、投标人名称、投标保证金的递交情况、工期及其他内容，并记录在案；</w:t>
      </w:r>
    </w:p>
    <w:p>
      <w:pPr>
        <w:spacing w:line="360" w:lineRule="auto"/>
        <w:ind w:firstLine="420" w:firstLineChars="200"/>
        <w:rPr>
          <w:rFonts w:ascii="宋体" w:hAnsi="宋体"/>
          <w:szCs w:val="21"/>
        </w:rPr>
      </w:pPr>
      <w:r>
        <w:rPr>
          <w:rFonts w:hint="eastAsia" w:ascii="宋体" w:hAnsi="宋体"/>
          <w:szCs w:val="21"/>
        </w:rPr>
        <w:t>(6)投标人代表、招标人代表、记录人等有关人员在开标记录上签字确认；</w:t>
      </w:r>
    </w:p>
    <w:p>
      <w:pPr>
        <w:spacing w:line="360" w:lineRule="auto"/>
        <w:ind w:firstLine="420" w:firstLineChars="200"/>
        <w:rPr>
          <w:rFonts w:ascii="宋体" w:hAnsi="宋体"/>
          <w:szCs w:val="21"/>
        </w:rPr>
      </w:pPr>
      <w:r>
        <w:rPr>
          <w:rFonts w:hint="eastAsia" w:ascii="宋体" w:hAnsi="宋体"/>
          <w:szCs w:val="21"/>
        </w:rPr>
        <w:t>(7)开标结束。</w:t>
      </w:r>
    </w:p>
    <w:p>
      <w:pPr>
        <w:spacing w:line="360" w:lineRule="auto"/>
        <w:ind w:firstLine="420" w:firstLineChars="200"/>
        <w:rPr>
          <w:rFonts w:ascii="宋体" w:hAnsi="宋体"/>
          <w:szCs w:val="21"/>
        </w:rPr>
      </w:pPr>
      <w:r>
        <w:rPr>
          <w:rFonts w:hint="eastAsia" w:ascii="宋体" w:hAnsi="宋体"/>
          <w:szCs w:val="21"/>
        </w:rPr>
        <w:t>5.2.2在投标文件第一个信封(商务及技术文件)开标现场，投标文件第二个信封(报价文件)不予开封，由招标人密封保存。</w:t>
      </w:r>
    </w:p>
    <w:p>
      <w:pPr>
        <w:spacing w:line="360" w:lineRule="auto"/>
        <w:ind w:firstLine="420" w:firstLineChars="200"/>
        <w:rPr>
          <w:rFonts w:ascii="宋体" w:hAnsi="宋体"/>
          <w:szCs w:val="21"/>
        </w:rPr>
      </w:pPr>
      <w:r>
        <w:rPr>
          <w:rFonts w:hint="eastAsia" w:ascii="宋体" w:hAnsi="宋体"/>
          <w:szCs w:val="21"/>
        </w:rPr>
        <w:t>5.2.3招标人将按照本章第5.1款规定的时间和地点对投标文件第二个信封(报价文件)进行开标。主持人按下列程序进行开标：</w:t>
      </w:r>
    </w:p>
    <w:p>
      <w:pPr>
        <w:spacing w:line="360" w:lineRule="auto"/>
        <w:ind w:firstLine="420" w:firstLineChars="200"/>
        <w:rPr>
          <w:rFonts w:ascii="宋体" w:hAnsi="宋体"/>
          <w:szCs w:val="21"/>
        </w:rPr>
      </w:pPr>
      <w:r>
        <w:rPr>
          <w:rFonts w:hint="eastAsia" w:ascii="宋体" w:hAnsi="宋体"/>
          <w:szCs w:val="21"/>
        </w:rPr>
        <w:t>(1)宣布开标纪律；</w:t>
      </w:r>
    </w:p>
    <w:p>
      <w:pPr>
        <w:spacing w:line="360" w:lineRule="auto"/>
        <w:ind w:firstLine="420" w:firstLineChars="200"/>
        <w:rPr>
          <w:rFonts w:ascii="宋体" w:hAnsi="宋体"/>
          <w:szCs w:val="21"/>
        </w:rPr>
      </w:pPr>
      <w:r>
        <w:rPr>
          <w:rFonts w:hint="eastAsia" w:ascii="宋体" w:hAnsi="宋体"/>
          <w:szCs w:val="21"/>
        </w:rPr>
        <w:t>(2)当众拆开投标文件第一个信封(商务及技术文件)评审结果的密封袋，宣布通过投标文件第一个信封(商务及技术文件)评审的投标人名单；</w:t>
      </w:r>
    </w:p>
    <w:p>
      <w:pPr>
        <w:spacing w:line="360" w:lineRule="auto"/>
        <w:ind w:firstLine="420" w:firstLineChars="200"/>
        <w:rPr>
          <w:rFonts w:ascii="宋体" w:hAnsi="宋体"/>
          <w:szCs w:val="21"/>
        </w:rPr>
      </w:pPr>
      <w:r>
        <w:rPr>
          <w:rFonts w:hint="eastAsia" w:ascii="宋体" w:hAnsi="宋体"/>
          <w:szCs w:val="21"/>
        </w:rPr>
        <w:t>(3)宣布开标人、唱标人、记录人等有关人员姓名；</w:t>
      </w:r>
    </w:p>
    <w:p>
      <w:pPr>
        <w:spacing w:line="360" w:lineRule="auto"/>
        <w:ind w:firstLine="420" w:firstLineChars="200"/>
        <w:rPr>
          <w:rFonts w:ascii="宋体" w:hAnsi="宋体"/>
          <w:szCs w:val="21"/>
        </w:rPr>
      </w:pPr>
      <w:r>
        <w:rPr>
          <w:rFonts w:hint="eastAsia" w:ascii="宋体" w:hAnsi="宋体"/>
          <w:szCs w:val="21"/>
        </w:rPr>
        <w:t>(4)按照投标人须知前附表规定检查投标文件的密封情况；</w:t>
      </w:r>
    </w:p>
    <w:p>
      <w:pPr>
        <w:spacing w:line="360" w:lineRule="auto"/>
        <w:ind w:firstLine="420" w:firstLineChars="200"/>
        <w:rPr>
          <w:rFonts w:ascii="宋体" w:hAnsi="宋体"/>
          <w:szCs w:val="21"/>
        </w:rPr>
      </w:pPr>
      <w:r>
        <w:rPr>
          <w:rFonts w:hint="eastAsia" w:ascii="宋体" w:hAnsi="宋体"/>
          <w:szCs w:val="21"/>
        </w:rPr>
        <w:t>(5)按照投标人须知前附表的规定的开标顺序当众开标，开标人只拆封通过投标文件第一个信封(商务及技术文件)评审的投标文件第二个信封(报价文件)，公布标段名称、投标人名称、投标报价及其他内容，并记录在案；</w:t>
      </w:r>
    </w:p>
    <w:p>
      <w:pPr>
        <w:spacing w:line="360" w:lineRule="auto"/>
        <w:ind w:firstLine="420" w:firstLineChars="200"/>
        <w:rPr>
          <w:rFonts w:ascii="宋体" w:hAnsi="宋体"/>
          <w:szCs w:val="21"/>
        </w:rPr>
      </w:pPr>
      <w:r>
        <w:rPr>
          <w:rFonts w:hint="eastAsia" w:ascii="宋体" w:hAnsi="宋体"/>
          <w:szCs w:val="21"/>
        </w:rPr>
        <w:t>(6)计算并宣布评标基准价；</w:t>
      </w:r>
    </w:p>
    <w:p>
      <w:pPr>
        <w:spacing w:line="360" w:lineRule="auto"/>
        <w:ind w:firstLine="420" w:firstLineChars="200"/>
        <w:rPr>
          <w:rFonts w:ascii="宋体" w:hAnsi="宋体"/>
          <w:szCs w:val="21"/>
        </w:rPr>
      </w:pPr>
      <w:r>
        <w:rPr>
          <w:rFonts w:hint="eastAsia" w:ascii="宋体" w:hAnsi="宋体"/>
          <w:szCs w:val="21"/>
        </w:rPr>
        <w:t>(7)将未通过投标文件第一个信封(商务及技术文件)评审的投标文件第二个信封(报价文件)退还给投标人；</w:t>
      </w:r>
    </w:p>
    <w:p>
      <w:pPr>
        <w:spacing w:line="360" w:lineRule="auto"/>
        <w:ind w:firstLine="420" w:firstLineChars="200"/>
        <w:rPr>
          <w:rFonts w:ascii="宋体" w:hAnsi="宋体"/>
          <w:szCs w:val="21"/>
        </w:rPr>
      </w:pPr>
      <w:r>
        <w:rPr>
          <w:rFonts w:hint="eastAsia" w:ascii="宋体" w:hAnsi="宋体"/>
          <w:szCs w:val="21"/>
        </w:rPr>
        <w:t>(8)投标人代表、招标人代表、记录人等有关人员在开标记录上签字确认；</w:t>
      </w:r>
    </w:p>
    <w:p>
      <w:pPr>
        <w:spacing w:line="360" w:lineRule="auto"/>
        <w:ind w:firstLine="420" w:firstLineChars="200"/>
        <w:rPr>
          <w:rFonts w:ascii="宋体" w:hAnsi="宋体"/>
          <w:szCs w:val="21"/>
        </w:rPr>
      </w:pPr>
      <w:r>
        <w:rPr>
          <w:rFonts w:hint="eastAsia" w:ascii="宋体" w:hAnsi="宋体"/>
          <w:szCs w:val="21"/>
        </w:rPr>
        <w:t>(9)开标会议结束。</w:t>
      </w:r>
    </w:p>
    <w:p>
      <w:pPr>
        <w:spacing w:line="360" w:lineRule="auto"/>
        <w:ind w:firstLine="420" w:firstLineChars="200"/>
        <w:rPr>
          <w:rFonts w:ascii="宋体" w:hAnsi="宋体"/>
          <w:szCs w:val="21"/>
        </w:rPr>
      </w:pPr>
      <w:r>
        <w:rPr>
          <w:rFonts w:hint="eastAsia" w:ascii="宋体" w:hAnsi="宋体"/>
          <w:szCs w:val="21"/>
        </w:rPr>
        <w:t>5.2.4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spacing w:line="360" w:lineRule="auto"/>
        <w:ind w:firstLine="420" w:firstLineChars="200"/>
        <w:rPr>
          <w:rFonts w:ascii="宋体" w:hAnsi="宋体"/>
          <w:szCs w:val="21"/>
        </w:rPr>
      </w:pPr>
      <w:r>
        <w:rPr>
          <w:rFonts w:hint="eastAsia" w:ascii="宋体" w:hAnsi="宋体"/>
          <w:szCs w:val="21"/>
        </w:rPr>
        <w:t>(1)未在投标函上填写投标总价；</w:t>
      </w:r>
    </w:p>
    <w:p>
      <w:pPr>
        <w:spacing w:line="360" w:lineRule="auto"/>
        <w:ind w:firstLine="420" w:firstLineChars="200"/>
        <w:rPr>
          <w:rFonts w:ascii="宋体" w:hAnsi="宋体"/>
          <w:szCs w:val="21"/>
        </w:rPr>
      </w:pPr>
      <w:r>
        <w:rPr>
          <w:rFonts w:hint="eastAsia" w:ascii="宋体" w:hAnsi="宋体"/>
          <w:szCs w:val="21"/>
        </w:rPr>
        <w:t>(2)投标报价或调价函中的报价超出招标人公布的最高投标限价(如有)；</w:t>
      </w:r>
    </w:p>
    <w:p>
      <w:pPr>
        <w:spacing w:line="360" w:lineRule="auto"/>
        <w:ind w:firstLine="420" w:firstLineChars="200"/>
        <w:rPr>
          <w:rFonts w:ascii="宋体" w:hAnsi="宋体"/>
          <w:szCs w:val="21"/>
        </w:rPr>
      </w:pPr>
      <w:r>
        <w:rPr>
          <w:rFonts w:hint="eastAsia" w:ascii="宋体" w:hAnsi="宋体"/>
          <w:szCs w:val="21"/>
        </w:rPr>
        <w:t>(3)投标报价或调价函中报价的大写金额无法确定具体数值；</w:t>
      </w:r>
    </w:p>
    <w:p>
      <w:pPr>
        <w:spacing w:line="360" w:lineRule="auto"/>
        <w:ind w:firstLine="420" w:firstLineChars="200"/>
        <w:rPr>
          <w:rFonts w:ascii="宋体" w:hAnsi="宋体"/>
          <w:szCs w:val="21"/>
        </w:rPr>
      </w:pPr>
      <w:r>
        <w:rPr>
          <w:rFonts w:hint="eastAsia" w:ascii="宋体" w:hAnsi="宋体"/>
          <w:szCs w:val="21"/>
        </w:rPr>
        <w:t>(4)投标函上填写的标段号与投标文件封套上标记的标段号不一致。</w:t>
      </w:r>
    </w:p>
    <w:p>
      <w:pPr>
        <w:spacing w:line="360" w:lineRule="auto"/>
        <w:ind w:firstLine="420" w:firstLineChars="200"/>
        <w:rPr>
          <w:rFonts w:ascii="宋体" w:hAnsi="宋体"/>
          <w:szCs w:val="21"/>
        </w:rPr>
      </w:pPr>
      <w:r>
        <w:rPr>
          <w:rFonts w:hint="eastAsia" w:ascii="宋体" w:hAnsi="宋体"/>
          <w:szCs w:val="21"/>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360" w:lineRule="auto"/>
        <w:ind w:firstLine="420" w:firstLineChars="200"/>
        <w:rPr>
          <w:rFonts w:ascii="宋体" w:hAnsi="宋体"/>
          <w:szCs w:val="21"/>
        </w:rPr>
      </w:pPr>
      <w:r>
        <w:rPr>
          <w:rFonts w:hint="eastAsia" w:ascii="宋体" w:hAnsi="宋体"/>
          <w:szCs w:val="21"/>
        </w:rPr>
        <w:t>5.2.5在投标文件第一个信封(商务及技术文件)或投标文件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spacing w:line="360" w:lineRule="auto"/>
        <w:rPr>
          <w:rFonts w:ascii="宋体" w:hAnsi="宋体"/>
          <w:b/>
          <w:sz w:val="24"/>
        </w:rPr>
      </w:pPr>
      <w:r>
        <w:rPr>
          <w:rFonts w:hint="eastAsia" w:ascii="宋体" w:hAnsi="宋体"/>
          <w:b/>
          <w:sz w:val="24"/>
        </w:rPr>
        <w:t>5.3开标异议</w:t>
      </w:r>
    </w:p>
    <w:p>
      <w:pPr>
        <w:spacing w:line="360" w:lineRule="auto"/>
        <w:ind w:firstLine="420" w:firstLineChars="200"/>
        <w:rPr>
          <w:rFonts w:ascii="宋体" w:hAnsi="宋体"/>
          <w:szCs w:val="21"/>
        </w:rPr>
      </w:pPr>
      <w:r>
        <w:rPr>
          <w:rFonts w:hint="eastAsia" w:ascii="宋体" w:hAnsi="宋体"/>
          <w:szCs w:val="21"/>
        </w:rPr>
        <w:t>投标人对开标有异议的，应在开标现场提出，招标人当场作出答复，并制作记录，有异议的投标人、招标人代表、记录人等有关人员在记录上签字确认。</w:t>
      </w:r>
    </w:p>
    <w:p>
      <w:pPr>
        <w:spacing w:line="360" w:lineRule="auto"/>
        <w:rPr>
          <w:rFonts w:ascii="宋体" w:hAnsi="宋体"/>
          <w:b/>
          <w:sz w:val="28"/>
          <w:szCs w:val="28"/>
        </w:rPr>
      </w:pPr>
      <w:bookmarkStart w:id="144" w:name="_Toc234348795"/>
      <w:r>
        <w:rPr>
          <w:rFonts w:hint="eastAsia" w:ascii="宋体" w:hAnsi="宋体"/>
          <w:b/>
          <w:sz w:val="28"/>
          <w:szCs w:val="28"/>
        </w:rPr>
        <w:t>6.评标</w:t>
      </w:r>
      <w:bookmarkEnd w:id="144"/>
    </w:p>
    <w:p>
      <w:pPr>
        <w:spacing w:line="360" w:lineRule="auto"/>
        <w:rPr>
          <w:rFonts w:ascii="宋体" w:hAnsi="宋体"/>
          <w:b/>
          <w:sz w:val="24"/>
        </w:rPr>
      </w:pPr>
      <w:bookmarkStart w:id="145" w:name="_Toc234345755"/>
      <w:bookmarkStart w:id="146" w:name="_Toc234348796"/>
      <w:bookmarkStart w:id="147" w:name="_Toc234345970"/>
      <w:r>
        <w:rPr>
          <w:rFonts w:hint="eastAsia" w:ascii="宋体" w:hAnsi="宋体"/>
          <w:b/>
          <w:sz w:val="24"/>
        </w:rPr>
        <w:t>6.1评标委员会</w:t>
      </w:r>
      <w:bookmarkEnd w:id="145"/>
      <w:bookmarkEnd w:id="146"/>
      <w:bookmarkEnd w:id="147"/>
    </w:p>
    <w:p>
      <w:pPr>
        <w:spacing w:line="360" w:lineRule="auto"/>
        <w:ind w:firstLine="420" w:firstLineChars="200"/>
        <w:rPr>
          <w:rFonts w:ascii="宋体" w:hAnsi="宋体"/>
          <w:szCs w:val="21"/>
        </w:rPr>
      </w:pPr>
      <w:r>
        <w:rPr>
          <w:rFonts w:hint="eastAsia" w:ascii="宋体" w:hAnsi="宋体"/>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 评标委员会成员有下列情形之一的，应主动提出回避：</w:t>
      </w:r>
    </w:p>
    <w:p>
      <w:pPr>
        <w:spacing w:line="360" w:lineRule="auto"/>
        <w:ind w:firstLine="420" w:firstLineChars="200"/>
        <w:rPr>
          <w:rFonts w:ascii="宋体" w:hAnsi="宋体"/>
          <w:szCs w:val="21"/>
        </w:rPr>
      </w:pPr>
      <w:r>
        <w:rPr>
          <w:rFonts w:hint="eastAsia" w:ascii="宋体" w:hAnsi="宋体"/>
          <w:szCs w:val="21"/>
        </w:rPr>
        <w:t>(1）为负责招标项目监督管理的交通运输主管部门的工作人员；</w:t>
      </w:r>
    </w:p>
    <w:p>
      <w:pPr>
        <w:spacing w:line="360" w:lineRule="auto"/>
        <w:ind w:firstLine="420" w:firstLineChars="200"/>
        <w:rPr>
          <w:rFonts w:ascii="宋体" w:hAnsi="宋体"/>
          <w:szCs w:val="21"/>
        </w:rPr>
      </w:pPr>
      <w:r>
        <w:rPr>
          <w:rFonts w:hint="eastAsia" w:ascii="宋体" w:hAnsi="宋体"/>
          <w:szCs w:val="21"/>
        </w:rPr>
        <w:t>(2）与投标人法定代表人或其委托代理人有近亲属关系；</w:t>
      </w:r>
    </w:p>
    <w:p>
      <w:pPr>
        <w:spacing w:line="360" w:lineRule="auto"/>
        <w:ind w:firstLine="420" w:firstLineChars="200"/>
        <w:rPr>
          <w:rFonts w:ascii="宋体" w:hAnsi="宋体"/>
          <w:szCs w:val="21"/>
        </w:rPr>
      </w:pPr>
      <w:r>
        <w:rPr>
          <w:rFonts w:hint="eastAsia" w:ascii="宋体" w:hAnsi="宋体"/>
          <w:szCs w:val="21"/>
        </w:rPr>
        <w:t>(3）为投标人的工作人员或退休人员；</w:t>
      </w:r>
    </w:p>
    <w:p>
      <w:pPr>
        <w:spacing w:line="360" w:lineRule="auto"/>
        <w:ind w:firstLine="420" w:firstLineChars="200"/>
        <w:rPr>
          <w:rFonts w:ascii="宋体" w:hAnsi="宋体"/>
          <w:szCs w:val="21"/>
        </w:rPr>
      </w:pPr>
      <w:r>
        <w:rPr>
          <w:rFonts w:hint="eastAsia" w:ascii="宋体" w:hAnsi="宋体"/>
          <w:szCs w:val="21"/>
        </w:rPr>
        <w:t>(4）与投标人有其他利害关系，可能影响评标活动公正性；</w:t>
      </w:r>
    </w:p>
    <w:p>
      <w:pPr>
        <w:spacing w:line="360" w:lineRule="auto"/>
        <w:ind w:firstLine="420" w:firstLineChars="200"/>
        <w:rPr>
          <w:rFonts w:ascii="宋体" w:hAnsi="宋体"/>
          <w:szCs w:val="21"/>
        </w:rPr>
      </w:pPr>
      <w:r>
        <w:rPr>
          <w:rFonts w:hint="eastAsia" w:ascii="宋体" w:hAnsi="宋体"/>
          <w:szCs w:val="21"/>
        </w:rPr>
        <w:t>(5）在与招标投标有关活动中有过违法违规行为、曾受过行政处罚或刑事处罚。</w:t>
      </w:r>
    </w:p>
    <w:p>
      <w:pPr>
        <w:spacing w:line="360" w:lineRule="auto"/>
        <w:ind w:firstLine="420" w:firstLineChars="200"/>
        <w:rPr>
          <w:rFonts w:ascii="宋体" w:hAnsi="宋体"/>
          <w:szCs w:val="21"/>
        </w:rPr>
      </w:pPr>
      <w:r>
        <w:rPr>
          <w:rFonts w:hint="eastAsia" w:ascii="宋体" w:hAnsi="宋体"/>
          <w:szCs w:val="21"/>
        </w:rPr>
        <w:t>6.1.3 评标过程中，评标委员会成员有回避事由、擅离职守或因健康等原因不能继续评标的，招标人有权更换。被更换的评标委员会成员作出的评审结论无效，由更换后的评标委员会成语重新进行评审。</w:t>
      </w:r>
    </w:p>
    <w:p>
      <w:pPr>
        <w:spacing w:line="360" w:lineRule="auto"/>
        <w:rPr>
          <w:rFonts w:ascii="宋体" w:hAnsi="宋体"/>
          <w:b/>
          <w:sz w:val="24"/>
        </w:rPr>
      </w:pPr>
      <w:bookmarkStart w:id="148" w:name="_Toc234348797"/>
      <w:bookmarkStart w:id="149" w:name="_Toc234345756"/>
      <w:bookmarkStart w:id="150" w:name="_Toc234345971"/>
      <w:r>
        <w:rPr>
          <w:rFonts w:hint="eastAsia" w:ascii="宋体" w:hAnsi="宋体"/>
          <w:b/>
          <w:sz w:val="24"/>
        </w:rPr>
        <w:t>6.2评标原则</w:t>
      </w:r>
      <w:bookmarkEnd w:id="148"/>
      <w:bookmarkEnd w:id="149"/>
      <w:bookmarkEnd w:id="150"/>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spacing w:line="360" w:lineRule="auto"/>
        <w:rPr>
          <w:rFonts w:ascii="宋体" w:hAnsi="宋体"/>
          <w:b/>
          <w:sz w:val="24"/>
        </w:rPr>
      </w:pPr>
      <w:bookmarkStart w:id="151" w:name="_Toc234345757"/>
      <w:bookmarkStart w:id="152" w:name="_Toc234348798"/>
      <w:bookmarkStart w:id="153" w:name="_Toc234345972"/>
      <w:r>
        <w:rPr>
          <w:rFonts w:hint="eastAsia" w:ascii="宋体" w:hAnsi="宋体"/>
          <w:b/>
          <w:sz w:val="24"/>
        </w:rPr>
        <w:t>6.3评标</w:t>
      </w:r>
      <w:bookmarkEnd w:id="151"/>
      <w:bookmarkEnd w:id="152"/>
      <w:bookmarkEnd w:id="153"/>
    </w:p>
    <w:p>
      <w:pPr>
        <w:spacing w:line="360" w:lineRule="auto"/>
        <w:ind w:firstLine="420" w:firstLineChars="200"/>
        <w:rPr>
          <w:rFonts w:ascii="宋体" w:hAnsi="宋体"/>
          <w:szCs w:val="21"/>
        </w:rPr>
      </w:pPr>
      <w:r>
        <w:rPr>
          <w:rFonts w:hint="eastAsia" w:ascii="宋体" w:hAnsi="宋体"/>
          <w:szCs w:val="21"/>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宋体" w:hAnsi="宋体"/>
          <w:szCs w:val="21"/>
        </w:rPr>
      </w:pPr>
      <w:r>
        <w:rPr>
          <w:rFonts w:hint="eastAsia" w:ascii="宋体" w:hAnsi="宋体"/>
          <w:szCs w:val="21"/>
        </w:rPr>
        <w:t>6.3.2评标完成后，评标委员会应向招标人提交书面评标报告和中标候选人名单。评标委员会推荐中标候选人的人数见投标人须知前附表。</w:t>
      </w:r>
    </w:p>
    <w:p>
      <w:pPr>
        <w:spacing w:line="360" w:lineRule="auto"/>
        <w:rPr>
          <w:rFonts w:ascii="宋体" w:hAnsi="宋体"/>
          <w:b/>
          <w:sz w:val="28"/>
          <w:szCs w:val="28"/>
        </w:rPr>
      </w:pPr>
      <w:bookmarkStart w:id="154" w:name="_Toc234348799"/>
      <w:r>
        <w:rPr>
          <w:rFonts w:hint="eastAsia" w:ascii="宋体" w:hAnsi="宋体"/>
          <w:b/>
          <w:sz w:val="28"/>
          <w:szCs w:val="28"/>
        </w:rPr>
        <w:t>7.合同授予</w:t>
      </w:r>
      <w:bookmarkEnd w:id="154"/>
    </w:p>
    <w:p>
      <w:pPr>
        <w:spacing w:line="360" w:lineRule="auto"/>
        <w:rPr>
          <w:rFonts w:ascii="宋体" w:hAnsi="宋体"/>
          <w:b/>
          <w:sz w:val="24"/>
        </w:rPr>
      </w:pPr>
      <w:bookmarkStart w:id="155" w:name="_Toc234348800"/>
      <w:bookmarkStart w:id="156" w:name="_Toc234345758"/>
      <w:bookmarkStart w:id="157" w:name="_Toc234345973"/>
      <w:r>
        <w:rPr>
          <w:rFonts w:hint="eastAsia" w:ascii="宋体" w:hAnsi="宋体"/>
          <w:b/>
          <w:sz w:val="24"/>
        </w:rPr>
        <w:t>7.1中标候选人公示</w:t>
      </w:r>
    </w:p>
    <w:p>
      <w:pPr>
        <w:spacing w:line="360" w:lineRule="auto"/>
        <w:ind w:firstLine="420" w:firstLineChars="200"/>
        <w:rPr>
          <w:rFonts w:ascii="宋体" w:hAnsi="宋体"/>
          <w:szCs w:val="21"/>
        </w:rPr>
      </w:pPr>
      <w:r>
        <w:rPr>
          <w:rFonts w:hint="eastAsia" w:ascii="宋体" w:hAnsi="宋体"/>
          <w:szCs w:val="21"/>
        </w:rPr>
        <w:t>招标人在收到评标报告之日起3日内，按照投标人须知前附表规定的公示媒介和期限公示中标候选人，公示期不得少于3日，公示内容包括：</w:t>
      </w:r>
    </w:p>
    <w:p>
      <w:pPr>
        <w:spacing w:line="360" w:lineRule="auto"/>
        <w:ind w:firstLine="420" w:firstLineChars="200"/>
        <w:rPr>
          <w:rFonts w:ascii="宋体" w:hAnsi="宋体"/>
          <w:szCs w:val="21"/>
        </w:rPr>
      </w:pPr>
      <w:r>
        <w:rPr>
          <w:rFonts w:hint="eastAsia" w:ascii="宋体" w:hAnsi="宋体"/>
          <w:szCs w:val="21"/>
        </w:rPr>
        <w:t>（1）中标候选人排序、名称、投标报价，对工程质量要求、安全目标和工期的响应情况；</w:t>
      </w:r>
    </w:p>
    <w:p>
      <w:pPr>
        <w:spacing w:line="360" w:lineRule="auto"/>
        <w:ind w:firstLine="420" w:firstLineChars="200"/>
        <w:rPr>
          <w:rFonts w:ascii="宋体" w:hAnsi="宋体"/>
          <w:szCs w:val="21"/>
        </w:rPr>
      </w:pPr>
      <w:r>
        <w:rPr>
          <w:rFonts w:hint="eastAsia" w:ascii="宋体" w:hAnsi="宋体"/>
          <w:szCs w:val="21"/>
        </w:rPr>
        <w:t>（2）中标候选人在投标文件中承诺的项目经理和项目总工姓名、个人业绩、相关证书名称和编号；</w:t>
      </w:r>
    </w:p>
    <w:p>
      <w:pPr>
        <w:spacing w:line="360" w:lineRule="auto"/>
        <w:ind w:firstLine="420" w:firstLineChars="200"/>
        <w:rPr>
          <w:rFonts w:ascii="宋体" w:hAnsi="宋体"/>
          <w:szCs w:val="21"/>
        </w:rPr>
      </w:pPr>
      <w:r>
        <w:rPr>
          <w:rFonts w:hint="eastAsia" w:ascii="宋体" w:hAnsi="宋体"/>
          <w:szCs w:val="21"/>
        </w:rPr>
        <w:t>（3）中标候选人在投标文件中填报的项目业绩；</w:t>
      </w:r>
    </w:p>
    <w:p>
      <w:pPr>
        <w:spacing w:line="360" w:lineRule="auto"/>
        <w:ind w:firstLine="420" w:firstLineChars="200"/>
        <w:rPr>
          <w:rFonts w:ascii="宋体" w:hAnsi="宋体"/>
          <w:szCs w:val="21"/>
        </w:rPr>
      </w:pPr>
      <w:r>
        <w:rPr>
          <w:rFonts w:hint="eastAsia" w:ascii="宋体" w:hAnsi="宋体"/>
          <w:szCs w:val="21"/>
        </w:rPr>
        <w:t>（4）被否决投标的投标人名称、否决依据和原因；</w:t>
      </w:r>
    </w:p>
    <w:p>
      <w:pPr>
        <w:spacing w:line="360" w:lineRule="auto"/>
        <w:ind w:firstLine="420" w:firstLineChars="200"/>
        <w:rPr>
          <w:rFonts w:ascii="宋体" w:hAnsi="宋体"/>
          <w:szCs w:val="21"/>
        </w:rPr>
      </w:pPr>
      <w:r>
        <w:rPr>
          <w:rFonts w:hint="eastAsia" w:ascii="宋体" w:hAnsi="宋体"/>
          <w:szCs w:val="21"/>
        </w:rPr>
        <w:t>（5）提出异议的渠道和方式；</w:t>
      </w:r>
    </w:p>
    <w:p>
      <w:pPr>
        <w:spacing w:line="360" w:lineRule="auto"/>
        <w:ind w:firstLine="420" w:firstLineChars="200"/>
        <w:rPr>
          <w:rFonts w:ascii="宋体" w:hAnsi="宋体"/>
          <w:szCs w:val="21"/>
        </w:rPr>
      </w:pPr>
      <w:r>
        <w:rPr>
          <w:rFonts w:hint="eastAsia" w:ascii="宋体" w:hAnsi="宋体"/>
          <w:szCs w:val="21"/>
        </w:rPr>
        <w:t>（6）投标人须知前附表规定公示的其他内容。</w:t>
      </w:r>
    </w:p>
    <w:p>
      <w:pPr>
        <w:spacing w:line="360" w:lineRule="auto"/>
        <w:rPr>
          <w:rFonts w:ascii="宋体" w:hAnsi="宋体"/>
          <w:szCs w:val="21"/>
        </w:rPr>
      </w:pPr>
      <w:r>
        <w:rPr>
          <w:rFonts w:hint="eastAsia" w:ascii="宋体" w:hAnsi="宋体"/>
          <w:b/>
          <w:sz w:val="24"/>
        </w:rPr>
        <w:t>7.2评标结果异议</w:t>
      </w:r>
    </w:p>
    <w:p>
      <w:pPr>
        <w:spacing w:line="360" w:lineRule="auto"/>
        <w:ind w:firstLine="420" w:firstLineChars="200"/>
        <w:rPr>
          <w:rFonts w:ascii="宋体" w:hAnsi="宋体"/>
          <w:szCs w:val="21"/>
        </w:rPr>
      </w:pPr>
      <w:r>
        <w:rPr>
          <w:rFonts w:hint="eastAsia" w:ascii="宋体" w:hAnsi="宋体"/>
          <w:szCs w:val="21"/>
        </w:rPr>
        <w:t>投标人或者其他利害关系人对依法必须进行招标的项目的评标结果有异议的，应在中标候选人公示期间提出。招标人应自收到异议之日起3日内作出答复；作出答复前，应当暂停招标投标活动。</w:t>
      </w:r>
    </w:p>
    <w:p>
      <w:pPr>
        <w:spacing w:line="360" w:lineRule="auto"/>
        <w:rPr>
          <w:rFonts w:ascii="宋体" w:hAnsi="宋体"/>
          <w:szCs w:val="21"/>
        </w:rPr>
      </w:pPr>
      <w:r>
        <w:rPr>
          <w:rFonts w:hint="eastAsia" w:ascii="宋体" w:hAnsi="宋体"/>
          <w:b/>
          <w:sz w:val="24"/>
        </w:rPr>
        <w:t>7.3中标候选人履约能力审查</w:t>
      </w:r>
    </w:p>
    <w:p>
      <w:pPr>
        <w:spacing w:line="360" w:lineRule="auto"/>
        <w:ind w:firstLine="420" w:firstLineChars="200"/>
        <w:rPr>
          <w:rFonts w:ascii="宋体" w:hAnsi="宋体"/>
          <w:szCs w:val="21"/>
        </w:rPr>
      </w:pPr>
      <w:r>
        <w:rPr>
          <w:rFonts w:hint="eastAsia" w:ascii="宋体" w:hAnsi="宋体"/>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ascii="宋体" w:hAnsi="宋体"/>
          <w:b/>
          <w:sz w:val="24"/>
        </w:rPr>
      </w:pPr>
      <w:r>
        <w:rPr>
          <w:rFonts w:hint="eastAsia" w:ascii="宋体" w:hAnsi="宋体"/>
          <w:b/>
          <w:sz w:val="24"/>
        </w:rPr>
        <w:t>7.4定标方式</w:t>
      </w:r>
      <w:bookmarkEnd w:id="155"/>
      <w:bookmarkEnd w:id="156"/>
      <w:bookmarkEnd w:id="157"/>
    </w:p>
    <w:p>
      <w:pPr>
        <w:spacing w:line="360" w:lineRule="auto"/>
        <w:ind w:firstLine="420" w:firstLineChars="200"/>
        <w:rPr>
          <w:rFonts w:ascii="宋体" w:hAnsi="宋体"/>
          <w:szCs w:val="21"/>
        </w:rPr>
      </w:pPr>
      <w:r>
        <w:rPr>
          <w:rFonts w:hint="eastAsia" w:ascii="宋体" w:hAnsi="宋体"/>
          <w:szCs w:val="21"/>
        </w:rPr>
        <w:t>按照投标人须知前附表的规定，招标人或招标人授权的评标委员会依法确定中标人。</w:t>
      </w:r>
    </w:p>
    <w:p>
      <w:pPr>
        <w:spacing w:line="360" w:lineRule="auto"/>
        <w:rPr>
          <w:rFonts w:ascii="宋体" w:hAnsi="宋体"/>
          <w:b/>
          <w:sz w:val="24"/>
        </w:rPr>
      </w:pPr>
      <w:bookmarkStart w:id="158" w:name="_Toc234345974"/>
      <w:bookmarkStart w:id="159" w:name="_Toc234345759"/>
      <w:bookmarkStart w:id="160" w:name="_Toc234348801"/>
      <w:r>
        <w:rPr>
          <w:rFonts w:hint="eastAsia" w:ascii="宋体" w:hAnsi="宋体"/>
          <w:b/>
          <w:sz w:val="24"/>
        </w:rPr>
        <w:t>7.5中标通知</w:t>
      </w:r>
      <w:bookmarkEnd w:id="158"/>
      <w:bookmarkEnd w:id="159"/>
      <w:bookmarkEnd w:id="160"/>
    </w:p>
    <w:p>
      <w:pPr>
        <w:spacing w:line="360" w:lineRule="auto"/>
        <w:ind w:firstLine="420" w:firstLineChars="200"/>
        <w:rPr>
          <w:rFonts w:ascii="宋体" w:hAnsi="宋体"/>
          <w:szCs w:val="21"/>
        </w:rPr>
      </w:pPr>
      <w:r>
        <w:rPr>
          <w:rFonts w:hint="eastAsia" w:ascii="宋体" w:hAnsi="宋体"/>
          <w:szCs w:val="21"/>
        </w:rPr>
        <w:t>在本章第3.3款规定的投标有效期内，招标人以投标人须知前附表规定的形式向中标人发出中标通知书，同时将中标结果通知未中标的投标人。</w:t>
      </w:r>
    </w:p>
    <w:p>
      <w:pPr>
        <w:spacing w:line="360" w:lineRule="auto"/>
        <w:rPr>
          <w:rFonts w:ascii="宋体" w:hAnsi="宋体"/>
          <w:b/>
          <w:sz w:val="24"/>
        </w:rPr>
      </w:pPr>
      <w:r>
        <w:rPr>
          <w:rFonts w:hint="eastAsia" w:ascii="宋体" w:hAnsi="宋体"/>
          <w:b/>
          <w:sz w:val="24"/>
        </w:rPr>
        <w:t>7.6中标结果公告</w:t>
      </w:r>
    </w:p>
    <w:p>
      <w:pPr>
        <w:spacing w:line="360" w:lineRule="auto"/>
        <w:ind w:firstLine="420" w:firstLineChars="200"/>
        <w:rPr>
          <w:rFonts w:ascii="宋体" w:hAnsi="宋体"/>
          <w:szCs w:val="21"/>
        </w:rPr>
      </w:pPr>
      <w:r>
        <w:rPr>
          <w:rFonts w:hint="eastAsia" w:ascii="宋体" w:hAnsi="宋体"/>
          <w:szCs w:val="21"/>
        </w:rPr>
        <w:t>招标人在确定中标人之日起3日内，按照投标人须知前附表规定的公告媒介和期限公告中标结果，公告期不得少于3日。公告内容包括中标人名称、中标价。</w:t>
      </w:r>
    </w:p>
    <w:p>
      <w:pPr>
        <w:spacing w:line="360" w:lineRule="auto"/>
        <w:rPr>
          <w:rFonts w:ascii="宋体" w:hAnsi="宋体"/>
          <w:b/>
          <w:sz w:val="24"/>
        </w:rPr>
      </w:pPr>
      <w:bookmarkStart w:id="161" w:name="_Toc234348802"/>
      <w:bookmarkStart w:id="162" w:name="_Toc234345975"/>
      <w:bookmarkStart w:id="163" w:name="_Toc234345760"/>
      <w:r>
        <w:rPr>
          <w:rFonts w:hint="eastAsia" w:ascii="宋体" w:hAnsi="宋体"/>
          <w:b/>
          <w:sz w:val="24"/>
        </w:rPr>
        <w:t>7.7履约保证金</w:t>
      </w:r>
      <w:bookmarkEnd w:id="161"/>
      <w:bookmarkEnd w:id="162"/>
      <w:bookmarkEnd w:id="163"/>
    </w:p>
    <w:p>
      <w:pPr>
        <w:spacing w:line="360" w:lineRule="auto"/>
        <w:ind w:firstLine="420" w:firstLineChars="200"/>
        <w:rPr>
          <w:rFonts w:ascii="宋体" w:hAnsi="宋体"/>
          <w:szCs w:val="21"/>
        </w:rPr>
      </w:pPr>
      <w:r>
        <w:rPr>
          <w:rFonts w:hint="eastAsia" w:ascii="宋体" w:hAnsi="宋体"/>
          <w:szCs w:val="2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5%。联合体中标的，其履约保证金以联合体各方或联合体中牵头人的名义提交。</w:t>
      </w:r>
    </w:p>
    <w:p>
      <w:pPr>
        <w:spacing w:line="360" w:lineRule="auto"/>
        <w:ind w:firstLine="420" w:firstLineChars="200"/>
        <w:rPr>
          <w:rFonts w:ascii="宋体" w:hAnsi="宋体"/>
          <w:szCs w:val="21"/>
        </w:rPr>
      </w:pPr>
      <w:r>
        <w:rPr>
          <w:rFonts w:hint="eastAsia" w:ascii="宋体" w:hAnsi="宋体"/>
          <w:szCs w:val="21"/>
        </w:rPr>
        <w:t>采用银行保函时，应由符合投标人须知前附表规定级别的银行中出具，所需的费用由中标人承担，中标人应保证银行保函有效。</w:t>
      </w:r>
    </w:p>
    <w:p>
      <w:pPr>
        <w:spacing w:line="360" w:lineRule="auto"/>
        <w:ind w:firstLine="420" w:firstLineChars="200"/>
        <w:rPr>
          <w:rFonts w:ascii="宋体" w:hAnsi="宋体"/>
          <w:szCs w:val="21"/>
        </w:rPr>
      </w:pPr>
      <w:r>
        <w:rPr>
          <w:rFonts w:hint="eastAsia" w:ascii="宋体" w:hAnsi="宋体"/>
          <w:szCs w:val="21"/>
        </w:rPr>
        <w:t>7.7.2中标人不能按本章第7.7.1项要求提交履约保证金的，视为放弃中标，其投标保证金不予退还，给招标人造成的损失超过投标保证金数额的，中标人还应对超过部分予以赔偿。</w:t>
      </w:r>
    </w:p>
    <w:p>
      <w:pPr>
        <w:spacing w:line="360" w:lineRule="auto"/>
        <w:rPr>
          <w:rFonts w:ascii="宋体" w:hAnsi="宋体"/>
          <w:b/>
          <w:sz w:val="24"/>
        </w:rPr>
      </w:pPr>
      <w:bookmarkStart w:id="164" w:name="_Toc234345976"/>
      <w:bookmarkStart w:id="165" w:name="_Toc234345761"/>
      <w:bookmarkStart w:id="166" w:name="_Toc234348803"/>
      <w:r>
        <w:rPr>
          <w:rFonts w:hint="eastAsia" w:ascii="宋体" w:hAnsi="宋体"/>
          <w:b/>
          <w:sz w:val="24"/>
        </w:rPr>
        <w:t>7.8签订合同</w:t>
      </w:r>
      <w:bookmarkEnd w:id="164"/>
      <w:bookmarkEnd w:id="165"/>
      <w:bookmarkEnd w:id="166"/>
    </w:p>
    <w:p>
      <w:pPr>
        <w:spacing w:line="360" w:lineRule="auto"/>
        <w:ind w:firstLine="420" w:firstLineChars="200"/>
        <w:rPr>
          <w:rFonts w:ascii="宋体" w:hAnsi="宋体"/>
          <w:szCs w:val="21"/>
        </w:rPr>
      </w:pPr>
      <w:r>
        <w:rPr>
          <w:rFonts w:hint="eastAsia" w:ascii="宋体" w:hAnsi="宋体"/>
          <w:szCs w:val="21"/>
        </w:rPr>
        <w:t>7.8.1招标人和中标人应在自中标通知书发出之日起30日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360" w:lineRule="auto"/>
        <w:ind w:firstLine="420" w:firstLineChars="200"/>
        <w:rPr>
          <w:rFonts w:ascii="宋体" w:hAnsi="宋体"/>
          <w:sz w:val="24"/>
        </w:rPr>
      </w:pPr>
      <w:r>
        <w:rPr>
          <w:rFonts w:hint="eastAsia" w:ascii="宋体" w:hAnsi="宋体"/>
          <w:szCs w:val="21"/>
        </w:rPr>
        <w:t>7.8.2发出中标通知书后，招标人无正当理由拒签合同的，或在签订合同时向中标人提出附加条件的，招标人向中标人退还投标保证金；给中标人造成损失的，还应赔偿损失。</w:t>
      </w:r>
    </w:p>
    <w:p>
      <w:pPr>
        <w:spacing w:line="360" w:lineRule="auto"/>
        <w:ind w:firstLine="420" w:firstLineChars="200"/>
        <w:rPr>
          <w:rFonts w:ascii="宋体" w:hAnsi="宋体"/>
          <w:szCs w:val="21"/>
        </w:rPr>
      </w:pPr>
      <w:r>
        <w:rPr>
          <w:rFonts w:hint="eastAsia" w:ascii="宋体" w:hAnsi="宋体"/>
          <w:szCs w:val="21"/>
        </w:rPr>
        <w:t>7.8.3签约合同价的确定原则如下：</w:t>
      </w:r>
    </w:p>
    <w:p>
      <w:pPr>
        <w:spacing w:line="360" w:lineRule="auto"/>
        <w:ind w:firstLine="420" w:firstLineChars="200"/>
        <w:rPr>
          <w:rFonts w:ascii="宋体" w:hAnsi="宋体"/>
          <w:szCs w:val="21"/>
        </w:rPr>
      </w:pPr>
      <w:r>
        <w:rPr>
          <w:rFonts w:hint="eastAsia" w:ascii="宋体" w:hAnsi="宋体"/>
          <w:szCs w:val="21"/>
        </w:rPr>
        <w:t>(1)按照评标办法规定对投标报价进行修正后，若修正后的最终投标报价小于开标时的投标函大写金额报价，则签订合同时以修正后的最终投标报价为准；</w:t>
      </w:r>
    </w:p>
    <w:p>
      <w:pPr>
        <w:spacing w:line="360" w:lineRule="auto"/>
        <w:ind w:firstLine="420" w:firstLineChars="200"/>
        <w:rPr>
          <w:rFonts w:ascii="宋体" w:hAnsi="宋体"/>
          <w:szCs w:val="21"/>
        </w:rPr>
      </w:pPr>
      <w:r>
        <w:rPr>
          <w:rFonts w:hint="eastAsia" w:ascii="宋体" w:hAnsi="宋体"/>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20" w:firstLineChars="200"/>
        <w:rPr>
          <w:rFonts w:ascii="宋体" w:hAnsi="宋体"/>
          <w:szCs w:val="21"/>
        </w:rPr>
      </w:pPr>
      <w:r>
        <w:rPr>
          <w:rFonts w:hint="eastAsia" w:ascii="宋体" w:hAnsi="宋体"/>
          <w:szCs w:val="21"/>
        </w:rPr>
        <w:t>7.8.4联合体中标的，联合体各方应共同与招标人签订合同，就中标项目向招标人承担连带责任。</w:t>
      </w:r>
    </w:p>
    <w:p>
      <w:pPr>
        <w:spacing w:line="360" w:lineRule="auto"/>
        <w:ind w:firstLine="420" w:firstLineChars="200"/>
        <w:rPr>
          <w:rFonts w:ascii="宋体" w:hAnsi="宋体"/>
          <w:szCs w:val="21"/>
        </w:rPr>
      </w:pPr>
      <w:r>
        <w:rPr>
          <w:rFonts w:hint="eastAsia" w:ascii="宋体" w:hAnsi="宋体"/>
          <w:szCs w:val="21"/>
        </w:rPr>
        <w:t>7.8.5招标人和中标人在签订合同协议书的同时，需按照本招标文件规定的格式和要求签订廉政合同及安全生产合同，明确双方在廉政建设和安全生产方面的权利和义务以及应承担的违约责任。</w:t>
      </w:r>
    </w:p>
    <w:p>
      <w:pPr>
        <w:spacing w:line="360" w:lineRule="auto"/>
        <w:rPr>
          <w:rFonts w:ascii="宋体" w:hAnsi="宋体"/>
          <w:b/>
          <w:sz w:val="28"/>
          <w:szCs w:val="28"/>
        </w:rPr>
      </w:pPr>
      <w:bookmarkStart w:id="167" w:name="_Toc234348807"/>
      <w:r>
        <w:rPr>
          <w:rFonts w:hint="eastAsia" w:ascii="宋体" w:hAnsi="宋体"/>
          <w:b/>
          <w:sz w:val="28"/>
          <w:szCs w:val="28"/>
        </w:rPr>
        <w:t>8.纪律和监督</w:t>
      </w:r>
      <w:bookmarkEnd w:id="167"/>
    </w:p>
    <w:p>
      <w:pPr>
        <w:spacing w:line="360" w:lineRule="auto"/>
        <w:rPr>
          <w:rFonts w:ascii="宋体" w:hAnsi="宋体"/>
          <w:b/>
          <w:sz w:val="24"/>
        </w:rPr>
      </w:pPr>
      <w:bookmarkStart w:id="168" w:name="_Toc234345979"/>
      <w:bookmarkStart w:id="169" w:name="_Toc234345764"/>
      <w:bookmarkStart w:id="170" w:name="_Toc234348808"/>
      <w:r>
        <w:rPr>
          <w:rFonts w:hint="eastAsia" w:ascii="宋体" w:hAnsi="宋体"/>
          <w:b/>
          <w:sz w:val="24"/>
        </w:rPr>
        <w:t>8.1对招标人的纪律要求</w:t>
      </w:r>
      <w:bookmarkEnd w:id="168"/>
      <w:bookmarkEnd w:id="169"/>
      <w:bookmarkEnd w:id="170"/>
    </w:p>
    <w:p>
      <w:pPr>
        <w:spacing w:line="360" w:lineRule="auto"/>
        <w:ind w:firstLine="420" w:firstLineChars="200"/>
        <w:rPr>
          <w:rFonts w:ascii="宋体" w:hAnsi="宋体"/>
          <w:szCs w:val="21"/>
        </w:rPr>
      </w:pPr>
      <w:r>
        <w:rPr>
          <w:rFonts w:hint="eastAsia" w:ascii="宋体" w:hAnsi="宋体"/>
          <w:szCs w:val="21"/>
        </w:rPr>
        <w:t>招标人不得泄漏招标投标活动中应保密的情况和资料，不得与投标人串通损害国家利益、社会公共利益或者他人合法权益。</w:t>
      </w:r>
    </w:p>
    <w:p>
      <w:pPr>
        <w:spacing w:line="360" w:lineRule="auto"/>
        <w:rPr>
          <w:rFonts w:ascii="宋体" w:hAnsi="宋体"/>
          <w:b/>
          <w:sz w:val="24"/>
        </w:rPr>
      </w:pPr>
      <w:bookmarkStart w:id="171" w:name="_Toc234348809"/>
      <w:bookmarkStart w:id="172" w:name="_Toc234345765"/>
      <w:bookmarkStart w:id="173" w:name="_Toc234345980"/>
      <w:r>
        <w:rPr>
          <w:rFonts w:hint="eastAsia" w:ascii="宋体" w:hAnsi="宋体"/>
          <w:b/>
          <w:sz w:val="24"/>
        </w:rPr>
        <w:t>8.2对投标人的纪律要求</w:t>
      </w:r>
      <w:bookmarkEnd w:id="171"/>
      <w:bookmarkEnd w:id="172"/>
      <w:bookmarkEnd w:id="173"/>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投标人不得相互串通投标或者与招标人串通投标，不得向招标人或者评标委员会成员行贿谋取中标，不得以他人名义投标或以其他方式弄虚作假骗取中标；投标人不得以任何方式干扰、影响评标工作。</w:t>
      </w:r>
    </w:p>
    <w:p>
      <w:pPr>
        <w:spacing w:line="360" w:lineRule="auto"/>
        <w:rPr>
          <w:rFonts w:ascii="宋体" w:hAnsi="宋体"/>
          <w:b/>
          <w:sz w:val="24"/>
        </w:rPr>
      </w:pPr>
      <w:bookmarkStart w:id="174" w:name="_Toc234348810"/>
      <w:bookmarkStart w:id="175" w:name="_Toc234345766"/>
      <w:bookmarkStart w:id="176" w:name="_Toc234345981"/>
      <w:r>
        <w:rPr>
          <w:rFonts w:hint="eastAsia" w:ascii="宋体" w:hAnsi="宋体"/>
          <w:b/>
          <w:sz w:val="24"/>
        </w:rPr>
        <w:t>8.3对评标委员会成员的纪律要求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bookmarkStart w:id="177" w:name="_Toc234345767"/>
      <w:bookmarkStart w:id="178" w:name="_Toc234345982"/>
      <w:bookmarkStart w:id="179" w:name="_Toc234348811"/>
    </w:p>
    <w:p>
      <w:pPr>
        <w:spacing w:line="360" w:lineRule="auto"/>
        <w:rPr>
          <w:rFonts w:ascii="宋体" w:hAnsi="宋体"/>
          <w:b/>
          <w:sz w:val="24"/>
        </w:rPr>
      </w:pPr>
      <w:r>
        <w:rPr>
          <w:rFonts w:hint="eastAsia" w:ascii="宋体" w:hAnsi="宋体"/>
          <w:b/>
          <w:sz w:val="24"/>
        </w:rPr>
        <w:t>8.4对与评标活动有关的工作人员的纪律要求</w:t>
      </w:r>
      <w:bookmarkEnd w:id="174"/>
      <w:bookmarkEnd w:id="175"/>
      <w:bookmarkEnd w:id="176"/>
      <w:bookmarkEnd w:id="177"/>
      <w:bookmarkEnd w:id="178"/>
      <w:bookmarkEnd w:id="179"/>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b/>
          <w:sz w:val="24"/>
        </w:rPr>
      </w:pPr>
      <w:bookmarkStart w:id="180" w:name="_Toc234345768"/>
      <w:bookmarkStart w:id="181" w:name="_Toc234348812"/>
      <w:bookmarkStart w:id="182" w:name="_Toc234345983"/>
      <w:r>
        <w:rPr>
          <w:rFonts w:hint="eastAsia" w:ascii="宋体" w:hAnsi="宋体"/>
          <w:b/>
          <w:sz w:val="24"/>
        </w:rPr>
        <w:t>8.5投诉</w:t>
      </w:r>
      <w:bookmarkEnd w:id="180"/>
      <w:bookmarkEnd w:id="181"/>
      <w:bookmarkEnd w:id="182"/>
    </w:p>
    <w:p>
      <w:pPr>
        <w:spacing w:line="360" w:lineRule="auto"/>
        <w:ind w:firstLine="420" w:firstLineChars="200"/>
        <w:rPr>
          <w:rFonts w:ascii="宋体" w:hAnsi="宋体"/>
          <w:szCs w:val="21"/>
        </w:rPr>
      </w:pPr>
      <w:r>
        <w:rPr>
          <w:rFonts w:hint="eastAsia" w:ascii="宋体" w:hAnsi="宋体"/>
          <w:szCs w:val="21"/>
        </w:rPr>
        <w:t>8.5.1投标人或其他利害关系人认为招标投标活动不符合法律、行政法规规定的，可以自知道或应当知道之日起10日内向有关行政监督部门投诉。投诉应有明确的请求和必要的证明材料。</w:t>
      </w:r>
    </w:p>
    <w:p>
      <w:pPr>
        <w:spacing w:line="360" w:lineRule="auto"/>
        <w:ind w:firstLine="420" w:firstLineChars="200"/>
        <w:rPr>
          <w:rFonts w:ascii="宋体" w:hAnsi="宋体"/>
          <w:szCs w:val="21"/>
        </w:rPr>
      </w:pPr>
      <w:r>
        <w:rPr>
          <w:rFonts w:hint="eastAsia" w:ascii="宋体" w:hAnsi="宋体"/>
          <w:szCs w:val="21"/>
        </w:rPr>
        <w:t>监督部门的联系方式见投标人须知前附表。</w:t>
      </w:r>
    </w:p>
    <w:p>
      <w:pPr>
        <w:spacing w:line="360" w:lineRule="auto"/>
        <w:ind w:firstLine="420" w:firstLineChars="200"/>
        <w:rPr>
          <w:rFonts w:ascii="宋体" w:hAnsi="宋体"/>
          <w:szCs w:val="21"/>
        </w:rPr>
      </w:pPr>
      <w:r>
        <w:rPr>
          <w:rFonts w:hint="eastAsia" w:ascii="宋体" w:hAnsi="宋体"/>
          <w:szCs w:val="21"/>
        </w:rPr>
        <w:t>8.5.2投标人或其他利害关系人对招标文件、开标和评标结果提出投诉的，应按照本章第2.4款、第5.3款和第7.2款的规定先向招标人提出异议。异议答复期间不计算在第8.5.1项规定的期限内。</w:t>
      </w:r>
    </w:p>
    <w:p>
      <w:pPr>
        <w:spacing w:line="360" w:lineRule="auto"/>
        <w:rPr>
          <w:rFonts w:ascii="宋体" w:hAnsi="宋体"/>
          <w:b/>
          <w:sz w:val="28"/>
          <w:szCs w:val="28"/>
        </w:rPr>
      </w:pPr>
      <w:r>
        <w:rPr>
          <w:rFonts w:hint="eastAsia" w:ascii="宋体" w:hAnsi="宋体"/>
          <w:b/>
          <w:sz w:val="28"/>
          <w:szCs w:val="28"/>
        </w:rPr>
        <w:t>9.是否采用电子招标投标</w:t>
      </w:r>
    </w:p>
    <w:p>
      <w:pPr>
        <w:spacing w:line="360" w:lineRule="auto"/>
        <w:ind w:firstLine="420" w:firstLineChars="200"/>
        <w:rPr>
          <w:rFonts w:ascii="宋体" w:hAnsi="宋体"/>
          <w:szCs w:val="21"/>
        </w:rPr>
      </w:pPr>
      <w:r>
        <w:rPr>
          <w:rFonts w:hint="eastAsia" w:ascii="宋体" w:hAnsi="宋体"/>
          <w:szCs w:val="21"/>
        </w:rPr>
        <w:t>本招标项目是否采用电子招标投标方式，见投标人须知前附表。</w:t>
      </w:r>
    </w:p>
    <w:p>
      <w:pPr>
        <w:spacing w:line="360" w:lineRule="auto"/>
        <w:rPr>
          <w:rFonts w:ascii="宋体" w:hAnsi="宋体"/>
          <w:b/>
          <w:sz w:val="28"/>
          <w:szCs w:val="28"/>
        </w:rPr>
      </w:pPr>
      <w:bookmarkStart w:id="183" w:name="_Toc234348813"/>
      <w:r>
        <w:rPr>
          <w:rFonts w:hint="eastAsia" w:ascii="宋体" w:hAnsi="宋体"/>
          <w:b/>
          <w:sz w:val="28"/>
          <w:szCs w:val="28"/>
        </w:rPr>
        <w:t>10.需要补充的其他内容</w:t>
      </w:r>
      <w:bookmarkEnd w:id="183"/>
    </w:p>
    <w:p>
      <w:pPr>
        <w:spacing w:line="360" w:lineRule="auto"/>
        <w:ind w:firstLine="420" w:firstLineChars="200"/>
        <w:rPr>
          <w:rFonts w:ascii="宋体" w:hAnsi="宋体"/>
          <w:szCs w:val="21"/>
        </w:rPr>
      </w:pPr>
      <w:r>
        <w:rPr>
          <w:rFonts w:hint="eastAsia" w:ascii="宋体" w:hAnsi="宋体"/>
          <w:szCs w:val="21"/>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spacing w:line="360" w:lineRule="auto"/>
        <w:ind w:firstLine="420" w:firstLineChars="200"/>
        <w:rPr>
          <w:rFonts w:ascii="宋体" w:hAnsi="宋体"/>
          <w:szCs w:val="21"/>
        </w:rPr>
      </w:pPr>
      <w:r>
        <w:rPr>
          <w:rFonts w:hint="eastAsia" w:ascii="宋体" w:hAnsi="宋体"/>
          <w:szCs w:val="21"/>
        </w:rPr>
        <w:t>需要补充的其他内容：见投标人须知前附表。</w:t>
      </w:r>
    </w:p>
    <w:p>
      <w:pPr>
        <w:spacing w:line="400" w:lineRule="exact"/>
        <w:ind w:left="71" w:leftChars="34" w:firstLine="210" w:firstLineChars="100"/>
        <w:jc w:val="left"/>
        <w:sectPr>
          <w:footnotePr>
            <w:numFmt w:val="decimalEnclosedCircleChinese"/>
            <w:numRestart w:val="eachPage"/>
          </w:footnotePr>
          <w:pgSz w:w="11906" w:h="16838"/>
          <w:pgMar w:top="1418" w:right="1225" w:bottom="1418" w:left="1242" w:header="851" w:footer="992" w:gutter="0"/>
          <w:cols w:space="720" w:num="1"/>
          <w:docGrid w:linePitch="312" w:charSpace="0"/>
        </w:sectPr>
      </w:pPr>
    </w:p>
    <w:p>
      <w:pPr>
        <w:pStyle w:val="4"/>
        <w:spacing w:beforeLines="0" w:after="240" w:line="400" w:lineRule="exact"/>
        <w:rPr>
          <w:szCs w:val="36"/>
        </w:rPr>
      </w:pPr>
      <w:bookmarkStart w:id="184" w:name="_Toc265483666"/>
      <w:bookmarkStart w:id="185" w:name="_Toc234349394"/>
      <w:bookmarkStart w:id="186" w:name="_Toc234348820"/>
      <w:bookmarkStart w:id="187" w:name="_Toc234345990"/>
      <w:bookmarkStart w:id="188" w:name="_Toc234350670"/>
      <w:bookmarkStart w:id="189" w:name="_Toc234345775"/>
      <w:bookmarkStart w:id="190" w:name="_Toc31940"/>
      <w:bookmarkStart w:id="191" w:name="_Toc508796991"/>
      <w:r>
        <w:rPr>
          <w:rFonts w:hint="eastAsia"/>
        </w:rPr>
        <w:t>第三章  评标办法</w:t>
      </w:r>
      <w:bookmarkEnd w:id="184"/>
      <w:bookmarkEnd w:id="185"/>
      <w:bookmarkEnd w:id="186"/>
      <w:bookmarkEnd w:id="187"/>
      <w:bookmarkEnd w:id="188"/>
      <w:bookmarkEnd w:id="189"/>
      <w:r>
        <w:rPr>
          <w:rFonts w:hint="eastAsia" w:ascii="宋体" w:hAnsi="宋体"/>
          <w:szCs w:val="36"/>
        </w:rPr>
        <w:t>（技术评分最低标价法）</w:t>
      </w:r>
      <w:bookmarkEnd w:id="190"/>
      <w:bookmarkEnd w:id="191"/>
    </w:p>
    <w:p>
      <w:pPr>
        <w:spacing w:before="240" w:beforeLines="100" w:line="360" w:lineRule="exact"/>
        <w:rPr>
          <w:rFonts w:ascii="宋体" w:hAnsi="宋体"/>
          <w:b/>
          <w:sz w:val="32"/>
          <w:szCs w:val="32"/>
        </w:rPr>
      </w:pPr>
      <w:bookmarkStart w:id="192" w:name="_Toc234348822"/>
      <w:bookmarkStart w:id="193" w:name="_Toc234349396"/>
      <w:r>
        <w:rPr>
          <w:rFonts w:hint="eastAsia" w:ascii="宋体" w:hAnsi="宋体"/>
          <w:b/>
          <w:sz w:val="32"/>
          <w:szCs w:val="32"/>
        </w:rPr>
        <w:t>评标办法前附表</w:t>
      </w:r>
      <w:bookmarkEnd w:id="192"/>
      <w:bookmarkEnd w:id="193"/>
    </w:p>
    <w:tbl>
      <w:tblPr>
        <w:tblStyle w:val="38"/>
        <w:tblW w:w="101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417"/>
        <w:gridCol w:w="7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2335" w:type="dxa"/>
            <w:gridSpan w:val="2"/>
            <w:vAlign w:val="center"/>
          </w:tcPr>
          <w:p>
            <w:pPr>
              <w:jc w:val="center"/>
              <w:rPr>
                <w:rFonts w:ascii="宋体" w:hAnsi="宋体"/>
                <w:szCs w:val="21"/>
              </w:rPr>
            </w:pPr>
            <w:r>
              <w:rPr>
                <w:rFonts w:hint="eastAsia" w:ascii="宋体" w:hAnsi="宋体"/>
                <w:szCs w:val="21"/>
              </w:rPr>
              <w:t>条款号</w:t>
            </w:r>
          </w:p>
        </w:tc>
        <w:tc>
          <w:tcPr>
            <w:tcW w:w="7796" w:type="dxa"/>
            <w:vAlign w:val="center"/>
          </w:tcPr>
          <w:p>
            <w:pPr>
              <w:ind w:right="-107" w:rightChars="-51"/>
              <w:jc w:val="center"/>
              <w:rPr>
                <w:rFonts w:ascii="宋体" w:hAnsi="宋体"/>
                <w:szCs w:val="21"/>
              </w:rPr>
            </w:pPr>
            <w:r>
              <w:rPr>
                <w:rFonts w:hint="eastAsia" w:ascii="宋体" w:hAnsi="宋体"/>
                <w:szCs w:val="21"/>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8" w:hRule="atLeast"/>
          <w:tblHeader/>
          <w:jc w:val="center"/>
        </w:trPr>
        <w:tc>
          <w:tcPr>
            <w:tcW w:w="918" w:type="dxa"/>
            <w:vAlign w:val="center"/>
          </w:tcPr>
          <w:p>
            <w:pPr>
              <w:spacing w:line="320" w:lineRule="exact"/>
              <w:jc w:val="center"/>
              <w:rPr>
                <w:rFonts w:ascii="宋体" w:hAnsi="宋体"/>
                <w:szCs w:val="21"/>
              </w:rPr>
            </w:pPr>
            <w:r>
              <w:rPr>
                <w:rFonts w:hint="eastAsia" w:ascii="宋体" w:hAnsi="宋体"/>
                <w:szCs w:val="21"/>
              </w:rPr>
              <w:t>1</w:t>
            </w:r>
          </w:p>
        </w:tc>
        <w:tc>
          <w:tcPr>
            <w:tcW w:w="1417" w:type="dxa"/>
            <w:vAlign w:val="center"/>
          </w:tcPr>
          <w:p>
            <w:pPr>
              <w:spacing w:line="320" w:lineRule="exact"/>
              <w:rPr>
                <w:rFonts w:ascii="宋体" w:hAnsi="宋体"/>
                <w:szCs w:val="21"/>
              </w:rPr>
            </w:pPr>
            <w:r>
              <w:rPr>
                <w:rFonts w:hint="eastAsia" w:ascii="宋体" w:hAnsi="宋体"/>
                <w:szCs w:val="21"/>
              </w:rPr>
              <w:t>评标方法</w:t>
            </w:r>
          </w:p>
        </w:tc>
        <w:tc>
          <w:tcPr>
            <w:tcW w:w="7796" w:type="dxa"/>
          </w:tcPr>
          <w:p>
            <w:pPr>
              <w:snapToGrid w:val="0"/>
              <w:spacing w:line="240" w:lineRule="exact"/>
              <w:ind w:firstLine="420" w:firstLineChars="200"/>
              <w:rPr>
                <w:rFonts w:ascii="宋体" w:hAnsi="宋体" w:cs="宋体"/>
                <w:szCs w:val="21"/>
              </w:rPr>
            </w:pPr>
            <w:r>
              <w:rPr>
                <w:rFonts w:hint="eastAsia" w:ascii="宋体" w:hAnsi="宋体" w:cs="宋体"/>
                <w:szCs w:val="21"/>
              </w:rPr>
              <w:t>评标价相等时，评标委员会依次按照以下优先顺序推荐中标候选人或确定中标人：</w:t>
            </w:r>
          </w:p>
          <w:p>
            <w:pPr>
              <w:snapToGrid w:val="0"/>
              <w:spacing w:line="240" w:lineRule="exact"/>
              <w:ind w:firstLine="420" w:firstLineChars="200"/>
              <w:rPr>
                <w:rFonts w:ascii="宋体" w:hAnsi="宋体" w:cs="宋体"/>
                <w:szCs w:val="21"/>
              </w:rPr>
            </w:pPr>
            <w:r>
              <w:rPr>
                <w:rFonts w:hint="eastAsia" w:ascii="宋体" w:hAnsi="宋体" w:cs="宋体"/>
                <w:szCs w:val="21"/>
              </w:rPr>
              <w:t>（1）投标报价低的投标人优先；</w:t>
            </w:r>
          </w:p>
          <w:p>
            <w:pPr>
              <w:snapToGrid w:val="0"/>
              <w:spacing w:line="240" w:lineRule="exact"/>
              <w:ind w:firstLine="420" w:firstLineChars="200"/>
              <w:rPr>
                <w:rFonts w:ascii="宋体" w:hAnsi="宋体" w:cs="宋体"/>
                <w:szCs w:val="21"/>
              </w:rPr>
            </w:pPr>
            <w:r>
              <w:rPr>
                <w:rFonts w:hint="eastAsia" w:ascii="宋体" w:hAnsi="宋体" w:cs="宋体"/>
                <w:szCs w:val="21"/>
              </w:rPr>
              <w:t>（2）商务和技术得分较高的投标人优先；</w:t>
            </w:r>
          </w:p>
          <w:p>
            <w:pPr>
              <w:snapToGrid w:val="0"/>
              <w:spacing w:line="240" w:lineRule="exact"/>
              <w:ind w:firstLine="420" w:firstLineChars="200"/>
              <w:rPr>
                <w:rFonts w:ascii="宋体" w:hAnsi="宋体" w:cs="宋体"/>
                <w:szCs w:val="21"/>
              </w:rPr>
            </w:pPr>
            <w:r>
              <w:rPr>
                <w:rFonts w:hint="eastAsia" w:ascii="宋体" w:hAnsi="宋体" w:cs="宋体"/>
                <w:szCs w:val="21"/>
              </w:rPr>
              <w:t>（3）评标委员会推选的投标人。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3" w:hRule="atLeast"/>
          <w:tblHeader/>
          <w:jc w:val="center"/>
        </w:trPr>
        <w:tc>
          <w:tcPr>
            <w:tcW w:w="918" w:type="dxa"/>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417" w:type="dxa"/>
            <w:vAlign w:val="center"/>
          </w:tcPr>
          <w:p>
            <w:pPr>
              <w:rPr>
                <w:rFonts w:ascii="宋体" w:hAnsi="宋体"/>
                <w:szCs w:val="21"/>
              </w:rPr>
            </w:pPr>
            <w:r>
              <w:rPr>
                <w:rFonts w:hint="eastAsia" w:ascii="宋体" w:hAnsi="宋体" w:cs="宋体"/>
              </w:rPr>
              <w:t>形式评审与响应性评审标准</w:t>
            </w:r>
          </w:p>
        </w:tc>
        <w:tc>
          <w:tcPr>
            <w:tcW w:w="7796" w:type="dxa"/>
            <w:vAlign w:val="center"/>
          </w:tcPr>
          <w:p>
            <w:pPr>
              <w:snapToGrid w:val="0"/>
              <w:spacing w:line="240" w:lineRule="exact"/>
              <w:rPr>
                <w:rFonts w:ascii="宋体" w:hAnsi="宋体"/>
                <w:b/>
                <w:bCs/>
                <w:szCs w:val="21"/>
              </w:rPr>
            </w:pPr>
            <w:r>
              <w:rPr>
                <w:rFonts w:hint="eastAsia" w:ascii="宋体" w:hAnsi="宋体"/>
                <w:b/>
                <w:bCs/>
                <w:szCs w:val="21"/>
              </w:rPr>
              <w:t>第一个信封 （商务及技术文件） 评审标准：</w:t>
            </w:r>
          </w:p>
          <w:p>
            <w:pPr>
              <w:snapToGrid w:val="0"/>
              <w:spacing w:line="240" w:lineRule="exact"/>
              <w:rPr>
                <w:rFonts w:ascii="宋体" w:hAnsi="宋体"/>
                <w:bCs/>
                <w:szCs w:val="21"/>
              </w:rPr>
            </w:pPr>
            <w:r>
              <w:rPr>
                <w:rFonts w:hint="eastAsia" w:ascii="宋体" w:hAnsi="宋体"/>
                <w:bCs/>
                <w:szCs w:val="21"/>
              </w:rPr>
              <w:t>（1）投标文件按照招标文件规定的格式、内容填写，字迹清晰可辨：</w:t>
            </w:r>
          </w:p>
          <w:p>
            <w:pPr>
              <w:snapToGrid w:val="0"/>
              <w:spacing w:line="240" w:lineRule="exact"/>
              <w:rPr>
                <w:rFonts w:ascii="宋体" w:hAnsi="宋体"/>
                <w:bCs/>
                <w:szCs w:val="21"/>
              </w:rPr>
            </w:pPr>
            <w:r>
              <w:rPr>
                <w:rFonts w:hint="eastAsia" w:ascii="宋体" w:hAnsi="宋体"/>
                <w:bCs/>
                <w:szCs w:val="21"/>
              </w:rPr>
              <w:t>a. 投标函按招标文件规定填报了项目名称、标段号、补遗书编号（如有）、工期、工程质量要求及安全目标等；</w:t>
            </w:r>
          </w:p>
          <w:p>
            <w:pPr>
              <w:snapToGrid w:val="0"/>
              <w:spacing w:line="240" w:lineRule="exact"/>
              <w:rPr>
                <w:rFonts w:ascii="宋体" w:hAnsi="宋体"/>
                <w:bCs/>
                <w:szCs w:val="21"/>
              </w:rPr>
            </w:pPr>
            <w:r>
              <w:rPr>
                <w:rFonts w:hint="eastAsia" w:ascii="宋体" w:hAnsi="宋体"/>
                <w:bCs/>
                <w:szCs w:val="21"/>
              </w:rPr>
              <w:t>b.投标函附录的所有数据均符合招标文件规定；</w:t>
            </w:r>
          </w:p>
          <w:p>
            <w:pPr>
              <w:snapToGrid w:val="0"/>
              <w:spacing w:line="240" w:lineRule="exact"/>
              <w:rPr>
                <w:rFonts w:ascii="宋体" w:hAnsi="宋体"/>
                <w:bCs/>
                <w:szCs w:val="21"/>
              </w:rPr>
            </w:pPr>
            <w:r>
              <w:rPr>
                <w:rFonts w:hint="eastAsia" w:ascii="宋体" w:hAnsi="宋体"/>
                <w:bCs/>
                <w:szCs w:val="21"/>
              </w:rPr>
              <w:t>c.投标文件组成齐全完整，内容均按规定填写；</w:t>
            </w:r>
          </w:p>
          <w:p>
            <w:pPr>
              <w:snapToGrid w:val="0"/>
              <w:spacing w:line="240" w:lineRule="exact"/>
              <w:rPr>
                <w:rFonts w:ascii="宋体" w:hAnsi="宋体"/>
                <w:bCs/>
                <w:szCs w:val="21"/>
              </w:rPr>
            </w:pPr>
            <w:r>
              <w:rPr>
                <w:rFonts w:hint="eastAsia" w:ascii="宋体" w:hAnsi="宋体"/>
                <w:bCs/>
                <w:szCs w:val="21"/>
              </w:rPr>
              <w:t>d.按照招标文件规定的格式、内容编制了施工组织设计及项目管理机构相关图表；</w:t>
            </w:r>
          </w:p>
          <w:p>
            <w:pPr>
              <w:snapToGrid w:val="0"/>
              <w:spacing w:line="240" w:lineRule="exact"/>
              <w:rPr>
                <w:rFonts w:ascii="宋体" w:hAnsi="宋体"/>
                <w:bCs/>
                <w:szCs w:val="21"/>
              </w:rPr>
            </w:pPr>
            <w:r>
              <w:rPr>
                <w:rFonts w:hint="eastAsia" w:ascii="宋体" w:hAnsi="宋体"/>
                <w:bCs/>
                <w:szCs w:val="21"/>
              </w:rPr>
              <w:t>e.投标文件中相关时间没有明显严重错误，招标人名称或投标人名称正确无误。</w:t>
            </w:r>
          </w:p>
          <w:p>
            <w:pPr>
              <w:snapToGrid w:val="0"/>
              <w:spacing w:line="240" w:lineRule="exact"/>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snapToGrid w:val="0"/>
              <w:spacing w:line="240" w:lineRule="exact"/>
              <w:rPr>
                <w:rFonts w:ascii="宋体" w:hAnsi="宋体"/>
                <w:bCs/>
                <w:szCs w:val="21"/>
              </w:rPr>
            </w:pPr>
            <w:r>
              <w:rPr>
                <w:rFonts w:hint="eastAsia" w:ascii="宋体" w:hAnsi="宋体"/>
                <w:bCs/>
                <w:szCs w:val="21"/>
              </w:rPr>
              <w:t>（3）投标人按照招标文件的规定提供了投标保证金：</w:t>
            </w:r>
          </w:p>
          <w:p>
            <w:pPr>
              <w:snapToGrid w:val="0"/>
              <w:spacing w:line="240" w:lineRule="exact"/>
              <w:rPr>
                <w:rFonts w:ascii="宋体" w:hAnsi="宋体"/>
                <w:bCs/>
                <w:szCs w:val="21"/>
              </w:rPr>
            </w:pPr>
            <w:r>
              <w:rPr>
                <w:rFonts w:hint="eastAsia" w:ascii="宋体" w:hAnsi="宋体"/>
                <w:bCs/>
                <w:szCs w:val="21"/>
              </w:rPr>
              <w:t>a.投标保证金金额符合招标文件规定的金额，且投标保证金有效期不少于投标有效期；</w:t>
            </w:r>
          </w:p>
          <w:p>
            <w:pPr>
              <w:snapToGrid w:val="0"/>
              <w:spacing w:line="240" w:lineRule="exact"/>
              <w:rPr>
                <w:rFonts w:ascii="宋体" w:hAnsi="宋体"/>
                <w:bCs/>
                <w:szCs w:val="21"/>
              </w:rPr>
            </w:pPr>
            <w:r>
              <w:rPr>
                <w:rFonts w:hint="eastAsia" w:ascii="宋体" w:hAnsi="宋体"/>
                <w:bCs/>
                <w:szCs w:val="21"/>
              </w:rPr>
              <w:t>b.若投标保证金采用现金或支票形式提交，投标人应在投标保证金递交截止时间之前，将投标保证金由投标人的基本账户转入招标人指定账户；</w:t>
            </w:r>
          </w:p>
          <w:p>
            <w:pPr>
              <w:snapToGrid w:val="0"/>
              <w:spacing w:line="240" w:lineRule="exact"/>
              <w:rPr>
                <w:rFonts w:ascii="宋体" w:hAnsi="宋体"/>
                <w:bCs/>
                <w:szCs w:val="21"/>
              </w:rPr>
            </w:pPr>
            <w:r>
              <w:rPr>
                <w:rFonts w:hint="eastAsia" w:ascii="宋体" w:hAnsi="宋体"/>
                <w:bCs/>
                <w:szCs w:val="21"/>
              </w:rPr>
              <w:t>c.若投标保证金采用银行保函形式提交，银行保函的格式、开具保函的银行均满足招标文件要求，且在投标文件递交截止时间之前向招标人提交了银行保函原件。</w:t>
            </w:r>
          </w:p>
          <w:p>
            <w:pPr>
              <w:snapToGrid w:val="0"/>
              <w:spacing w:line="240" w:lineRule="exact"/>
              <w:rPr>
                <w:rFonts w:ascii="宋体" w:hAnsi="宋体"/>
                <w:bCs/>
                <w:szCs w:val="21"/>
              </w:rPr>
            </w:pPr>
            <w:r>
              <w:rPr>
                <w:rFonts w:hint="eastAsia" w:ascii="宋体" w:hAnsi="宋体"/>
                <w:bCs/>
                <w:szCs w:val="21"/>
              </w:rPr>
              <w:t>（4）投标人法定代表人授权委托代理人签署投标文件的，须提交授权委托书，且授权人和被授权人均在授权委托书上签名，未使用印章、签名章或其他电子制版签名代替。</w:t>
            </w:r>
          </w:p>
          <w:p>
            <w:pPr>
              <w:snapToGrid w:val="0"/>
              <w:spacing w:line="240" w:lineRule="exact"/>
              <w:rPr>
                <w:rFonts w:ascii="宋体" w:hAnsi="宋体"/>
                <w:bCs/>
                <w:szCs w:val="21"/>
              </w:rPr>
            </w:pPr>
            <w:r>
              <w:rPr>
                <w:rFonts w:hint="eastAsia" w:ascii="宋体" w:hAnsi="宋体"/>
                <w:bCs/>
                <w:szCs w:val="21"/>
              </w:rPr>
              <w:t>（5）投标人法定代表人亲自签署投标文件的，提供了法定代表人身份证明，且法定代表人在法定代表人身份证明上签名，未使用印章、签名章或其他电子制版签名代替。</w:t>
            </w:r>
          </w:p>
          <w:p>
            <w:pPr>
              <w:snapToGrid w:val="0"/>
              <w:spacing w:line="240" w:lineRule="exact"/>
              <w:rPr>
                <w:rFonts w:ascii="宋体" w:hAnsi="宋体"/>
                <w:bCs/>
                <w:szCs w:val="21"/>
              </w:rPr>
            </w:pPr>
            <w:r>
              <w:rPr>
                <w:rFonts w:hint="eastAsia" w:ascii="宋体" w:hAnsi="宋体"/>
                <w:bCs/>
                <w:szCs w:val="21"/>
              </w:rPr>
              <w:t>（6）同一投标人未提交两个以上不同的投标文件，但招标文件要求提交备选投标的除外。</w:t>
            </w:r>
          </w:p>
          <w:p>
            <w:pPr>
              <w:snapToGrid w:val="0"/>
              <w:spacing w:line="240" w:lineRule="exact"/>
              <w:rPr>
                <w:rFonts w:ascii="宋体" w:hAnsi="宋体"/>
                <w:bCs/>
                <w:szCs w:val="21"/>
              </w:rPr>
            </w:pPr>
            <w:r>
              <w:rPr>
                <w:rFonts w:hint="eastAsia" w:ascii="宋体" w:hAnsi="宋体"/>
                <w:bCs/>
                <w:szCs w:val="21"/>
              </w:rPr>
              <w:t>（7）投标文件中未出现有关投标报价的内容。</w:t>
            </w:r>
          </w:p>
          <w:p>
            <w:pPr>
              <w:snapToGrid w:val="0"/>
              <w:spacing w:line="240" w:lineRule="exact"/>
              <w:rPr>
                <w:rFonts w:ascii="宋体" w:hAnsi="宋体"/>
                <w:bCs/>
                <w:szCs w:val="21"/>
              </w:rPr>
            </w:pPr>
            <w:r>
              <w:rPr>
                <w:rFonts w:hint="eastAsia" w:ascii="宋体" w:hAnsi="宋体"/>
                <w:bCs/>
                <w:szCs w:val="21"/>
              </w:rPr>
              <w:t>（8）投标文件载明的招标项目完成期限未超过招标文件规定的时限。</w:t>
            </w:r>
          </w:p>
          <w:p>
            <w:pPr>
              <w:snapToGrid w:val="0"/>
              <w:spacing w:line="240" w:lineRule="exact"/>
              <w:rPr>
                <w:rFonts w:ascii="宋体" w:hAnsi="宋体"/>
                <w:bCs/>
                <w:szCs w:val="21"/>
              </w:rPr>
            </w:pPr>
            <w:r>
              <w:rPr>
                <w:rFonts w:hint="eastAsia" w:ascii="宋体" w:hAnsi="宋体"/>
                <w:bCs/>
                <w:szCs w:val="21"/>
              </w:rPr>
              <w:t>（9）投标文件对招标文件的实质性要求和条件作出响应。</w:t>
            </w:r>
          </w:p>
          <w:p>
            <w:pPr>
              <w:snapToGrid w:val="0"/>
              <w:spacing w:line="240" w:lineRule="exact"/>
              <w:rPr>
                <w:rFonts w:ascii="宋体" w:hAnsi="宋体"/>
                <w:bCs/>
                <w:szCs w:val="21"/>
              </w:rPr>
            </w:pPr>
            <w:r>
              <w:rPr>
                <w:rFonts w:hint="eastAsia" w:ascii="宋体" w:hAnsi="宋体"/>
                <w:bCs/>
                <w:szCs w:val="21"/>
              </w:rPr>
              <w:t>（10）权利义务符合招标文件规定：</w:t>
            </w:r>
          </w:p>
          <w:p>
            <w:pPr>
              <w:snapToGrid w:val="0"/>
              <w:spacing w:line="240" w:lineRule="exact"/>
              <w:rPr>
                <w:rFonts w:ascii="宋体" w:hAnsi="宋体"/>
                <w:bCs/>
                <w:szCs w:val="21"/>
              </w:rPr>
            </w:pPr>
            <w:r>
              <w:rPr>
                <w:rFonts w:hint="eastAsia" w:ascii="宋体" w:hAnsi="宋体"/>
                <w:bCs/>
                <w:szCs w:val="21"/>
              </w:rPr>
              <w:t xml:space="preserve">  a.投标人应接受招标文件规定的风险划分原则，未提出新的风险划分办法；</w:t>
            </w:r>
          </w:p>
          <w:p>
            <w:pPr>
              <w:snapToGrid w:val="0"/>
              <w:spacing w:line="240" w:lineRule="exact"/>
              <w:rPr>
                <w:rFonts w:ascii="宋体" w:hAnsi="宋体"/>
                <w:bCs/>
                <w:szCs w:val="21"/>
              </w:rPr>
            </w:pPr>
            <w:r>
              <w:rPr>
                <w:rFonts w:hint="eastAsia" w:ascii="宋体" w:hAnsi="宋体"/>
                <w:bCs/>
                <w:szCs w:val="21"/>
              </w:rPr>
              <w:t xml:space="preserve">  b.投标人未增加发包人的责任范围，或减少投标人义务；</w:t>
            </w:r>
          </w:p>
          <w:p>
            <w:pPr>
              <w:snapToGrid w:val="0"/>
              <w:spacing w:line="240" w:lineRule="exact"/>
              <w:rPr>
                <w:rFonts w:ascii="宋体" w:hAnsi="宋体"/>
                <w:bCs/>
                <w:szCs w:val="21"/>
              </w:rPr>
            </w:pPr>
            <w:r>
              <w:rPr>
                <w:rFonts w:hint="eastAsia" w:ascii="宋体" w:hAnsi="宋体"/>
                <w:bCs/>
                <w:szCs w:val="21"/>
              </w:rPr>
              <w:t xml:space="preserve">  c.投标人未提出不同的工程验收、计量、支付办法；</w:t>
            </w:r>
          </w:p>
          <w:p>
            <w:pPr>
              <w:snapToGrid w:val="0"/>
              <w:spacing w:line="240" w:lineRule="exact"/>
              <w:rPr>
                <w:rFonts w:ascii="宋体" w:hAnsi="宋体"/>
                <w:bCs/>
                <w:szCs w:val="21"/>
              </w:rPr>
            </w:pPr>
            <w:r>
              <w:rPr>
                <w:rFonts w:hint="eastAsia" w:ascii="宋体" w:hAnsi="宋体"/>
                <w:bCs/>
                <w:szCs w:val="21"/>
              </w:rPr>
              <w:t xml:space="preserve">  d.投标人对合同纠纷、事故处理办法未提出异议；</w:t>
            </w:r>
          </w:p>
          <w:p>
            <w:pPr>
              <w:snapToGrid w:val="0"/>
              <w:spacing w:line="240" w:lineRule="exact"/>
              <w:rPr>
                <w:rFonts w:ascii="宋体" w:hAnsi="宋体"/>
                <w:bCs/>
                <w:szCs w:val="21"/>
              </w:rPr>
            </w:pPr>
            <w:r>
              <w:rPr>
                <w:rFonts w:hint="eastAsia" w:ascii="宋体" w:hAnsi="宋体"/>
                <w:bCs/>
                <w:szCs w:val="21"/>
              </w:rPr>
              <w:t xml:space="preserve">  e.投标人在投标活动中无欺诈行为；</w:t>
            </w:r>
          </w:p>
          <w:p>
            <w:pPr>
              <w:snapToGrid w:val="0"/>
              <w:spacing w:line="240" w:lineRule="exact"/>
              <w:ind w:firstLine="210" w:firstLineChars="100"/>
              <w:rPr>
                <w:rFonts w:ascii="宋体" w:hAnsi="宋体"/>
                <w:bCs/>
                <w:szCs w:val="21"/>
              </w:rPr>
            </w:pPr>
            <w:r>
              <w:rPr>
                <w:rFonts w:hint="eastAsia" w:ascii="宋体" w:hAnsi="宋体"/>
                <w:bCs/>
                <w:szCs w:val="21"/>
              </w:rPr>
              <w:t>f.投标人未对合同条款有重要保留。</w:t>
            </w:r>
          </w:p>
          <w:p>
            <w:pPr>
              <w:snapToGrid w:val="0"/>
              <w:spacing w:line="240" w:lineRule="exact"/>
              <w:rPr>
                <w:rFonts w:ascii="宋体" w:hAnsi="宋体"/>
                <w:bCs/>
                <w:szCs w:val="21"/>
              </w:rPr>
            </w:pPr>
            <w:r>
              <w:rPr>
                <w:rFonts w:hint="eastAsia" w:ascii="宋体" w:hAnsi="宋体"/>
                <w:bCs/>
                <w:szCs w:val="21"/>
              </w:rPr>
              <w:t>（11）投标文件正、副本份数符合招标文件第二章 “投标人须知”第 3.7.4 项规定。</w:t>
            </w:r>
          </w:p>
          <w:p>
            <w:pPr>
              <w:snapToGrid w:val="0"/>
              <w:spacing w:line="240" w:lineRule="exact"/>
              <w:rPr>
                <w:rFonts w:ascii="宋体" w:hAnsi="宋体"/>
                <w:bCs/>
                <w:szCs w:val="21"/>
              </w:rPr>
            </w:pPr>
            <w:r>
              <w:rPr>
                <w:rFonts w:hint="eastAsia" w:ascii="宋体" w:hAnsi="宋体"/>
                <w:bCs/>
                <w:szCs w:val="21"/>
              </w:rPr>
              <w:t>（12）投标文件未附有招标人不能接受的条件。</w:t>
            </w:r>
          </w:p>
          <w:p>
            <w:pPr>
              <w:snapToGrid w:val="0"/>
              <w:spacing w:line="240" w:lineRule="exact"/>
              <w:rPr>
                <w:rFonts w:ascii="宋体" w:hAnsi="宋体"/>
                <w:szCs w:val="21"/>
              </w:rPr>
            </w:pPr>
            <w:r>
              <w:rPr>
                <w:rFonts w:hint="eastAsia" w:ascii="宋体" w:hAnsi="宋体"/>
                <w:szCs w:val="21"/>
              </w:rPr>
              <w:t>（13）单位负责人为同一人或者存在控股、管理关系的不同单位，未参加同一标段投标或者未划分标段的同一招标项目投标。</w:t>
            </w:r>
          </w:p>
        </w:tc>
      </w:tr>
    </w:tbl>
    <w:p>
      <w:pPr>
        <w:ind w:right="105"/>
        <w:jc w:val="right"/>
        <w:rPr>
          <w:rFonts w:ascii="宋体" w:hAnsi="宋体"/>
        </w:rPr>
      </w:pPr>
      <w:r>
        <w:rPr>
          <w:rFonts w:ascii="宋体" w:hAnsi="宋体"/>
        </w:rPr>
        <w:br w:type="page"/>
      </w:r>
      <w:r>
        <w:rPr>
          <w:rFonts w:hint="eastAsia" w:ascii="宋体" w:hAnsi="宋体"/>
        </w:rPr>
        <w:t>续上表</w:t>
      </w:r>
    </w:p>
    <w:tbl>
      <w:tblPr>
        <w:tblStyle w:val="38"/>
        <w:tblW w:w="10057"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417"/>
        <w:gridCol w:w="7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2269" w:type="dxa"/>
            <w:gridSpan w:val="2"/>
            <w:vAlign w:val="center"/>
          </w:tcPr>
          <w:p>
            <w:pPr>
              <w:spacing w:line="320" w:lineRule="exact"/>
              <w:jc w:val="center"/>
              <w:rPr>
                <w:rFonts w:ascii="宋体" w:hAnsi="宋体"/>
                <w:szCs w:val="21"/>
              </w:rPr>
            </w:pPr>
            <w:r>
              <w:rPr>
                <w:rFonts w:hint="eastAsia" w:ascii="宋体" w:hAnsi="宋体"/>
                <w:szCs w:val="21"/>
              </w:rPr>
              <w:t>条款号</w:t>
            </w:r>
          </w:p>
        </w:tc>
        <w:tc>
          <w:tcPr>
            <w:tcW w:w="7788" w:type="dxa"/>
            <w:vAlign w:val="center"/>
          </w:tcPr>
          <w:p>
            <w:pPr>
              <w:spacing w:line="320" w:lineRule="exact"/>
              <w:jc w:val="center"/>
              <w:rPr>
                <w:rFonts w:ascii="宋体" w:hAnsi="宋体"/>
                <w:szCs w:val="21"/>
              </w:rPr>
            </w:pPr>
            <w:r>
              <w:rPr>
                <w:rFonts w:hint="eastAsia" w:ascii="宋体" w:hAnsi="宋体"/>
                <w:szCs w:val="21"/>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8" w:hRule="atLeast"/>
        </w:trPr>
        <w:tc>
          <w:tcPr>
            <w:tcW w:w="852" w:type="dxa"/>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417" w:type="dxa"/>
            <w:vAlign w:val="center"/>
          </w:tcPr>
          <w:p>
            <w:pPr>
              <w:rPr>
                <w:rFonts w:ascii="宋体" w:hAnsi="宋体"/>
                <w:szCs w:val="21"/>
              </w:rPr>
            </w:pPr>
            <w:r>
              <w:rPr>
                <w:rFonts w:hint="eastAsia" w:ascii="宋体" w:hAnsi="宋体" w:cs="宋体"/>
              </w:rPr>
              <w:t>形式评审与响应性评审标准</w:t>
            </w:r>
          </w:p>
        </w:tc>
        <w:tc>
          <w:tcPr>
            <w:tcW w:w="7788" w:type="dxa"/>
          </w:tcPr>
          <w:p>
            <w:pPr>
              <w:snapToGrid w:val="0"/>
              <w:spacing w:line="260" w:lineRule="exact"/>
              <w:ind w:left="420" w:leftChars="200"/>
              <w:rPr>
                <w:rFonts w:ascii="宋体" w:hAnsi="宋体"/>
                <w:b/>
                <w:kern w:val="0"/>
                <w:szCs w:val="21"/>
              </w:rPr>
            </w:pPr>
            <w:r>
              <w:rPr>
                <w:rFonts w:hint="eastAsia" w:ascii="宋体" w:hAnsi="宋体"/>
                <w:b/>
                <w:kern w:val="0"/>
                <w:szCs w:val="21"/>
              </w:rPr>
              <w:t>第二个信封 （报价文件） 评审标准：</w:t>
            </w:r>
          </w:p>
          <w:p>
            <w:pPr>
              <w:snapToGrid w:val="0"/>
              <w:spacing w:line="260" w:lineRule="exact"/>
              <w:rPr>
                <w:rFonts w:ascii="宋体" w:hAnsi="宋体"/>
                <w:szCs w:val="21"/>
              </w:rPr>
            </w:pPr>
            <w:r>
              <w:rPr>
                <w:rFonts w:hint="eastAsia" w:ascii="宋体" w:hAnsi="宋体"/>
                <w:kern w:val="0"/>
                <w:szCs w:val="21"/>
              </w:rPr>
              <w:t>（</w:t>
            </w:r>
            <w:r>
              <w:rPr>
                <w:rFonts w:hint="eastAsia" w:ascii="宋体" w:hAnsi="宋体"/>
                <w:szCs w:val="21"/>
              </w:rPr>
              <w:t>1）投标文件按照招标文件规定的格式、内容填写，字迹清晰可辨：</w:t>
            </w:r>
          </w:p>
          <w:p>
            <w:pPr>
              <w:snapToGrid w:val="0"/>
              <w:spacing w:line="260" w:lineRule="exact"/>
              <w:ind w:firstLine="105" w:firstLineChars="50"/>
              <w:rPr>
                <w:rFonts w:ascii="宋体" w:hAnsi="宋体"/>
                <w:szCs w:val="21"/>
              </w:rPr>
            </w:pPr>
            <w:r>
              <w:rPr>
                <w:rFonts w:hint="eastAsia" w:ascii="宋体" w:hAnsi="宋体"/>
                <w:szCs w:val="21"/>
              </w:rPr>
              <w:t>a.投标函按招标文件规定填报了项目名称、标段号、补遗书编号（如有）、投标价（包括大写金额和小写金额）；</w:t>
            </w:r>
          </w:p>
          <w:p>
            <w:pPr>
              <w:snapToGrid w:val="0"/>
              <w:spacing w:line="260" w:lineRule="exact"/>
              <w:ind w:left="10" w:leftChars="5" w:firstLine="105" w:firstLineChars="50"/>
              <w:rPr>
                <w:rFonts w:ascii="宋体" w:hAnsi="宋体"/>
                <w:szCs w:val="21"/>
              </w:rPr>
            </w:pPr>
            <w:r>
              <w:rPr>
                <w:rFonts w:hint="eastAsia" w:ascii="宋体" w:hAnsi="宋体"/>
                <w:szCs w:val="21"/>
              </w:rPr>
              <w:t>b.已标价工程量清单说明文字与招标文件规定一致，未进行实质性修改和删减；</w:t>
            </w:r>
          </w:p>
          <w:p>
            <w:pPr>
              <w:snapToGrid w:val="0"/>
              <w:spacing w:line="260" w:lineRule="exact"/>
              <w:ind w:firstLine="105" w:firstLineChars="50"/>
              <w:rPr>
                <w:rFonts w:ascii="宋体" w:hAnsi="宋体"/>
                <w:szCs w:val="21"/>
              </w:rPr>
            </w:pPr>
            <w:r>
              <w:rPr>
                <w:rFonts w:hint="eastAsia" w:ascii="宋体" w:hAnsi="宋体"/>
                <w:szCs w:val="21"/>
              </w:rPr>
              <w:t>c.投标文件组成齐全完整，内容均按规定填写。</w:t>
            </w:r>
          </w:p>
          <w:p>
            <w:pPr>
              <w:snapToGrid w:val="0"/>
              <w:spacing w:line="260" w:lineRule="exact"/>
              <w:rPr>
                <w:rFonts w:ascii="宋体" w:hAnsi="宋体"/>
                <w:szCs w:val="21"/>
              </w:rPr>
            </w:pPr>
            <w:r>
              <w:rPr>
                <w:rFonts w:hint="eastAsia" w:ascii="宋体" w:hAnsi="宋体"/>
                <w:szCs w:val="21"/>
              </w:rPr>
              <w:t>（2）投标文件上法定代表人或其委托代理人的签字、投标人的单位章盖章齐全，符合招标文件规定。</w:t>
            </w:r>
          </w:p>
          <w:p>
            <w:pPr>
              <w:snapToGrid w:val="0"/>
              <w:spacing w:line="260" w:lineRule="exact"/>
              <w:rPr>
                <w:rFonts w:ascii="宋体" w:hAnsi="宋体"/>
                <w:szCs w:val="21"/>
              </w:rPr>
            </w:pPr>
            <w:r>
              <w:rPr>
                <w:rFonts w:hint="eastAsia" w:ascii="宋体" w:hAnsi="宋体"/>
                <w:szCs w:val="21"/>
              </w:rPr>
              <w:t>（3）投标报价中的报价未超过招标文件设定的最高投标限价（如有）。</w:t>
            </w:r>
          </w:p>
          <w:p>
            <w:pPr>
              <w:snapToGrid w:val="0"/>
              <w:spacing w:line="260" w:lineRule="exact"/>
              <w:rPr>
                <w:rFonts w:ascii="宋体" w:hAnsi="宋体"/>
                <w:szCs w:val="21"/>
              </w:rPr>
            </w:pPr>
            <w:r>
              <w:rPr>
                <w:rFonts w:hint="eastAsia" w:ascii="宋体" w:hAnsi="宋体"/>
                <w:szCs w:val="21"/>
              </w:rPr>
              <w:t>（4）投标报价中报价的大写金额能够确定具体数值 。</w:t>
            </w:r>
          </w:p>
          <w:p>
            <w:pPr>
              <w:snapToGrid w:val="0"/>
              <w:spacing w:line="260" w:lineRule="exact"/>
              <w:rPr>
                <w:rFonts w:ascii="宋体" w:hAnsi="宋体"/>
                <w:szCs w:val="21"/>
              </w:rPr>
            </w:pPr>
            <w:r>
              <w:rPr>
                <w:rFonts w:hint="eastAsia" w:ascii="宋体" w:hAnsi="宋体"/>
                <w:szCs w:val="21"/>
              </w:rPr>
              <w:t>（5）同一投标人未提交两个以上不同的投标报价，但招标文件要求提交备选投标的除外。</w:t>
            </w:r>
          </w:p>
          <w:p>
            <w:pPr>
              <w:snapToGrid w:val="0"/>
              <w:spacing w:line="260" w:lineRule="exact"/>
              <w:rPr>
                <w:rFonts w:ascii="宋体" w:hAnsi="宋体"/>
                <w:szCs w:val="21"/>
              </w:rPr>
            </w:pPr>
            <w:r>
              <w:rPr>
                <w:rFonts w:hint="eastAsia" w:ascii="宋体" w:hAnsi="宋体"/>
                <w:szCs w:val="21"/>
              </w:rPr>
              <w:t>（6）投标人若填写工程量固化清单，填写完毕的工程量固化清单未对工程量固化清单电子文件中的数据、格式和运算定义进行修改；工程量固化清单中的投标报价和投标函大写金额报价一致。</w:t>
            </w:r>
          </w:p>
          <w:p>
            <w:pPr>
              <w:snapToGrid w:val="0"/>
              <w:spacing w:line="260" w:lineRule="exact"/>
              <w:rPr>
                <w:rFonts w:ascii="宋体" w:hAnsi="宋体"/>
                <w:szCs w:val="21"/>
              </w:rPr>
            </w:pPr>
            <w:r>
              <w:rPr>
                <w:rFonts w:hint="eastAsia" w:ascii="宋体" w:hAnsi="宋体"/>
                <w:szCs w:val="21"/>
              </w:rPr>
              <w:t>（7）投标文件正、副本份数符合招标文件第二章“投标人须知”第3.7.4 项规定。</w:t>
            </w:r>
          </w:p>
          <w:p>
            <w:pPr>
              <w:snapToGrid w:val="0"/>
              <w:spacing w:line="260" w:lineRule="exact"/>
              <w:rPr>
                <w:rFonts w:ascii="宋体" w:hAnsi="宋体"/>
                <w:szCs w:val="21"/>
              </w:rPr>
            </w:pPr>
            <w:r>
              <w:rPr>
                <w:rFonts w:hint="eastAsia" w:ascii="宋体" w:hAnsi="宋体"/>
                <w:szCs w:val="21"/>
              </w:rPr>
              <w:t>（8）</w:t>
            </w:r>
            <w:r>
              <w:rPr>
                <w:rFonts w:hint="eastAsia" w:ascii="宋体" w:hAnsi="宋体" w:cs="宋体"/>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5" w:hRule="atLeast"/>
        </w:trPr>
        <w:tc>
          <w:tcPr>
            <w:tcW w:w="852" w:type="dxa"/>
            <w:vAlign w:val="center"/>
          </w:tcPr>
          <w:p>
            <w:pPr>
              <w:jc w:val="center"/>
              <w:rPr>
                <w:rFonts w:ascii="宋体" w:hAnsi="宋体"/>
                <w:szCs w:val="21"/>
              </w:rPr>
            </w:pPr>
            <w:r>
              <w:rPr>
                <w:rFonts w:hint="eastAsia" w:ascii="宋体" w:hAnsi="宋体"/>
                <w:szCs w:val="21"/>
              </w:rPr>
              <w:t>2.1.2</w:t>
            </w:r>
          </w:p>
        </w:tc>
        <w:tc>
          <w:tcPr>
            <w:tcW w:w="1417" w:type="dxa"/>
            <w:vAlign w:val="center"/>
          </w:tcPr>
          <w:p>
            <w:pPr>
              <w:spacing w:line="320" w:lineRule="exact"/>
              <w:jc w:val="center"/>
              <w:rPr>
                <w:rFonts w:ascii="宋体" w:hAnsi="宋体"/>
                <w:szCs w:val="21"/>
              </w:rPr>
            </w:pPr>
            <w:r>
              <w:rPr>
                <w:rFonts w:hint="eastAsia" w:ascii="宋体" w:hAnsi="宋体"/>
                <w:szCs w:val="21"/>
              </w:rPr>
              <w:t>资格评审标准</w:t>
            </w:r>
          </w:p>
        </w:tc>
        <w:tc>
          <w:tcPr>
            <w:tcW w:w="7788" w:type="dxa"/>
          </w:tcPr>
          <w:p>
            <w:pPr>
              <w:snapToGrid w:val="0"/>
              <w:spacing w:line="260" w:lineRule="exact"/>
              <w:rPr>
                <w:rFonts w:ascii="宋体" w:hAnsi="宋体"/>
                <w:bCs/>
              </w:rPr>
            </w:pPr>
            <w:r>
              <w:rPr>
                <w:rFonts w:hint="eastAsia" w:ascii="宋体" w:hAnsi="宋体"/>
                <w:bCs/>
                <w:szCs w:val="21"/>
              </w:rPr>
              <w:t>（1）</w:t>
            </w:r>
            <w:r>
              <w:rPr>
                <w:rFonts w:hint="eastAsia" w:ascii="宋体" w:hAnsi="宋体"/>
                <w:kern w:val="0"/>
                <w:szCs w:val="21"/>
              </w:rPr>
              <w:t>投标人具备有效的营业执照、组织机构代码证、资质证书、安全生产许可证和基本账户开户许可证</w:t>
            </w:r>
            <w:r>
              <w:rPr>
                <w:rFonts w:hint="eastAsia" w:ascii="宋体" w:hAnsi="宋体" w:cs="宋体"/>
                <w:kern w:val="0"/>
                <w:szCs w:val="21"/>
              </w:rPr>
              <w:t>（或基本户备案证明）</w:t>
            </w:r>
            <w:r>
              <w:rPr>
                <w:rFonts w:hint="eastAsia" w:ascii="宋体" w:hAnsi="宋体"/>
                <w:kern w:val="0"/>
                <w:szCs w:val="21"/>
              </w:rPr>
              <w:t>。</w:t>
            </w:r>
          </w:p>
          <w:p>
            <w:pPr>
              <w:snapToGrid w:val="0"/>
              <w:spacing w:line="260" w:lineRule="exact"/>
              <w:rPr>
                <w:rFonts w:ascii="宋体" w:hAnsi="宋体"/>
                <w:bCs/>
                <w:szCs w:val="21"/>
              </w:rPr>
            </w:pPr>
            <w:r>
              <w:rPr>
                <w:rFonts w:hint="eastAsia" w:ascii="宋体" w:hAnsi="宋体"/>
                <w:bCs/>
                <w:szCs w:val="21"/>
              </w:rPr>
              <w:t>（2）投标人的资质等级符合招标文件规定。</w:t>
            </w:r>
          </w:p>
          <w:p>
            <w:pPr>
              <w:snapToGrid w:val="0"/>
              <w:spacing w:line="260" w:lineRule="exact"/>
              <w:rPr>
                <w:rFonts w:ascii="宋体" w:hAnsi="宋体"/>
                <w:bCs/>
                <w:szCs w:val="21"/>
              </w:rPr>
            </w:pPr>
            <w:r>
              <w:rPr>
                <w:rFonts w:hint="eastAsia" w:ascii="宋体" w:hAnsi="宋体"/>
                <w:bCs/>
                <w:szCs w:val="21"/>
              </w:rPr>
              <w:t>（3）投标人的财务状况符合招标文件规定。</w:t>
            </w:r>
          </w:p>
          <w:p>
            <w:pPr>
              <w:snapToGrid w:val="0"/>
              <w:spacing w:line="260" w:lineRule="exact"/>
              <w:rPr>
                <w:rFonts w:ascii="宋体" w:hAnsi="宋体"/>
                <w:bCs/>
                <w:szCs w:val="21"/>
              </w:rPr>
            </w:pPr>
            <w:r>
              <w:rPr>
                <w:rFonts w:hint="eastAsia" w:ascii="宋体" w:hAnsi="宋体"/>
                <w:bCs/>
                <w:szCs w:val="21"/>
              </w:rPr>
              <w:t>（4）投标人的类似项目业绩符合招标文件规定。</w:t>
            </w:r>
          </w:p>
          <w:p>
            <w:pPr>
              <w:snapToGrid w:val="0"/>
              <w:spacing w:line="260" w:lineRule="exact"/>
              <w:rPr>
                <w:rFonts w:ascii="宋体" w:hAnsi="宋体"/>
                <w:bCs/>
                <w:szCs w:val="21"/>
              </w:rPr>
            </w:pPr>
            <w:r>
              <w:rPr>
                <w:rFonts w:hint="eastAsia" w:ascii="宋体" w:hAnsi="宋体"/>
                <w:bCs/>
                <w:szCs w:val="21"/>
              </w:rPr>
              <w:t>（5）投标人的信誉符合招标文件规定。</w:t>
            </w:r>
          </w:p>
          <w:p>
            <w:pPr>
              <w:snapToGrid w:val="0"/>
              <w:spacing w:line="260" w:lineRule="exact"/>
              <w:rPr>
                <w:rFonts w:ascii="宋体" w:hAnsi="宋体"/>
                <w:bCs/>
                <w:szCs w:val="21"/>
              </w:rPr>
            </w:pPr>
            <w:r>
              <w:rPr>
                <w:rFonts w:hint="eastAsia" w:ascii="宋体" w:hAnsi="宋体"/>
                <w:bCs/>
                <w:szCs w:val="21"/>
              </w:rPr>
              <w:t>（6）投标人的项目经理和项目总工资格、</w:t>
            </w:r>
            <w:r>
              <w:rPr>
                <w:rFonts w:hint="eastAsia" w:ascii="宋体" w:hAnsi="宋体"/>
                <w:szCs w:val="21"/>
              </w:rPr>
              <w:t>在岗情况</w:t>
            </w:r>
            <w:r>
              <w:rPr>
                <w:rFonts w:hint="eastAsia" w:ascii="宋体" w:hAnsi="宋体"/>
                <w:bCs/>
                <w:szCs w:val="21"/>
              </w:rPr>
              <w:t>符合招标文件规定。</w:t>
            </w:r>
          </w:p>
          <w:p>
            <w:pPr>
              <w:snapToGrid w:val="0"/>
              <w:spacing w:line="260" w:lineRule="exact"/>
              <w:rPr>
                <w:rFonts w:ascii="宋体" w:hAnsi="宋体"/>
                <w:bCs/>
                <w:szCs w:val="21"/>
              </w:rPr>
            </w:pPr>
            <w:r>
              <w:rPr>
                <w:rFonts w:hint="eastAsia" w:ascii="宋体" w:hAnsi="宋体"/>
                <w:bCs/>
                <w:szCs w:val="21"/>
              </w:rPr>
              <w:t>（7）</w:t>
            </w:r>
            <w:r>
              <w:rPr>
                <w:rFonts w:hint="eastAsia" w:ascii="宋体" w:hAnsi="宋体"/>
                <w:szCs w:val="21"/>
              </w:rPr>
              <w:t>投标人的其他要求符合招标文件规定。</w:t>
            </w:r>
          </w:p>
          <w:p>
            <w:pPr>
              <w:snapToGrid w:val="0"/>
              <w:spacing w:line="260" w:lineRule="exact"/>
              <w:rPr>
                <w:rFonts w:ascii="宋体" w:hAnsi="宋体"/>
                <w:szCs w:val="21"/>
              </w:rPr>
            </w:pPr>
            <w:r>
              <w:rPr>
                <w:rFonts w:hint="eastAsia" w:ascii="宋体" w:hAnsi="宋体"/>
                <w:bCs/>
                <w:szCs w:val="21"/>
              </w:rPr>
              <w:t>（8）投标人不存在第二章“投标人须知”第1.4.3项</w:t>
            </w:r>
            <w:r>
              <w:rPr>
                <w:rFonts w:hint="eastAsia" w:ascii="宋体" w:hAnsi="宋体"/>
                <w:szCs w:val="21"/>
              </w:rPr>
              <w:t>或第 1.4.4 项规定的任何一种情形。</w:t>
            </w:r>
          </w:p>
          <w:p>
            <w:pPr>
              <w:snapToGrid w:val="0"/>
              <w:spacing w:line="260" w:lineRule="exact"/>
              <w:rPr>
                <w:rFonts w:ascii="宋体" w:hAnsi="宋体"/>
                <w:bCs/>
                <w:szCs w:val="21"/>
              </w:rPr>
            </w:pPr>
            <w:r>
              <w:rPr>
                <w:rFonts w:hint="eastAsia" w:ascii="宋体" w:hAnsi="宋体"/>
                <w:bCs/>
              </w:rPr>
              <w:t>（9）投标人符合第二章“投标人须知”第 1.4.5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852" w:type="dxa"/>
            <w:vAlign w:val="center"/>
          </w:tcPr>
          <w:p>
            <w:pPr>
              <w:spacing w:line="300" w:lineRule="exact"/>
              <w:jc w:val="center"/>
              <w:rPr>
                <w:rFonts w:ascii="宋体"/>
              </w:rPr>
            </w:pPr>
            <w:r>
              <w:rPr>
                <w:rFonts w:ascii="宋体" w:hAnsi="宋体" w:cs="宋体"/>
              </w:rPr>
              <w:t>2.2.1</w:t>
            </w:r>
          </w:p>
        </w:tc>
        <w:tc>
          <w:tcPr>
            <w:tcW w:w="1417" w:type="dxa"/>
            <w:vAlign w:val="center"/>
          </w:tcPr>
          <w:p>
            <w:pPr>
              <w:spacing w:line="340" w:lineRule="exact"/>
              <w:jc w:val="center"/>
              <w:rPr>
                <w:rFonts w:ascii="宋体" w:hAnsi="宋体"/>
                <w:szCs w:val="21"/>
              </w:rPr>
            </w:pPr>
            <w:r>
              <w:rPr>
                <w:rFonts w:hint="eastAsia" w:ascii="宋体" w:hAnsi="宋体"/>
                <w:szCs w:val="21"/>
              </w:rPr>
              <w:t>第一个信封评分分值构成（100分）</w:t>
            </w:r>
          </w:p>
        </w:tc>
        <w:tc>
          <w:tcPr>
            <w:tcW w:w="7788" w:type="dxa"/>
            <w:vAlign w:val="center"/>
          </w:tcPr>
          <w:p>
            <w:pPr>
              <w:spacing w:line="340" w:lineRule="exact"/>
              <w:ind w:firstLine="420" w:firstLineChars="200"/>
            </w:pPr>
            <w:r>
              <w:rPr>
                <w:rFonts w:hint="eastAsia"/>
              </w:rPr>
              <w:t xml:space="preserve">施工组织设计： </w:t>
            </w:r>
            <w:r>
              <w:rPr>
                <w:rFonts w:hint="eastAsia"/>
                <w:u w:val="single"/>
              </w:rPr>
              <w:t>40</w:t>
            </w:r>
            <w:r>
              <w:rPr>
                <w:rFonts w:hint="eastAsia"/>
              </w:rPr>
              <w:t xml:space="preserve">分  </w:t>
            </w:r>
          </w:p>
          <w:p>
            <w:pPr>
              <w:spacing w:line="340" w:lineRule="exact"/>
              <w:ind w:firstLine="420" w:firstLineChars="200"/>
            </w:pPr>
            <w:r>
              <w:rPr>
                <w:rFonts w:hint="eastAsia"/>
              </w:rPr>
              <w:t>主要人员：</w:t>
            </w:r>
            <w:r>
              <w:rPr>
                <w:rFonts w:hint="eastAsia"/>
                <w:u w:val="single"/>
              </w:rPr>
              <w:t>25</w:t>
            </w:r>
            <w:r>
              <w:rPr>
                <w:rFonts w:hint="eastAsia"/>
              </w:rPr>
              <w:t xml:space="preserve">分  </w:t>
            </w:r>
          </w:p>
          <w:p>
            <w:pPr>
              <w:spacing w:line="340" w:lineRule="exact"/>
              <w:ind w:firstLine="420" w:firstLineChars="200"/>
            </w:pPr>
            <w:r>
              <w:rPr>
                <w:rFonts w:hint="eastAsia"/>
              </w:rPr>
              <w:t>技术能力：</w:t>
            </w:r>
            <w:r>
              <w:rPr>
                <w:rFonts w:hint="eastAsia"/>
                <w:u w:val="single"/>
              </w:rPr>
              <w:t>10</w:t>
            </w:r>
            <w:r>
              <w:rPr>
                <w:rFonts w:hint="eastAsia"/>
              </w:rPr>
              <w:t xml:space="preserve">分  </w:t>
            </w:r>
          </w:p>
          <w:p>
            <w:pPr>
              <w:spacing w:line="340" w:lineRule="exact"/>
              <w:ind w:firstLine="420" w:firstLineChars="200"/>
            </w:pPr>
            <w:r>
              <w:rPr>
                <w:rFonts w:hint="eastAsia"/>
              </w:rPr>
              <w:t>履约信誉：</w:t>
            </w:r>
            <w:r>
              <w:rPr>
                <w:rFonts w:hint="eastAsia"/>
                <w:u w:val="single"/>
              </w:rPr>
              <w:t>15</w:t>
            </w:r>
            <w:r>
              <w:rPr>
                <w:rFonts w:hint="eastAsia"/>
              </w:rPr>
              <w:t xml:space="preserve">分 </w:t>
            </w:r>
          </w:p>
          <w:p>
            <w:pPr>
              <w:spacing w:line="340" w:lineRule="exact"/>
              <w:ind w:firstLine="420" w:firstLineChars="200"/>
            </w:pPr>
            <w:r>
              <w:rPr>
                <w:rFonts w:hint="eastAsia"/>
              </w:rPr>
              <w:t>企业业绩：</w:t>
            </w:r>
            <w:r>
              <w:rPr>
                <w:rFonts w:hint="eastAsia"/>
                <w:u w:val="single"/>
              </w:rPr>
              <w:t>10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852" w:type="dxa"/>
            <w:vAlign w:val="center"/>
          </w:tcPr>
          <w:p>
            <w:pPr>
              <w:spacing w:line="340" w:lineRule="exact"/>
              <w:jc w:val="center"/>
              <w:rPr>
                <w:rFonts w:ascii="宋体" w:hAnsi="宋体"/>
                <w:szCs w:val="21"/>
              </w:rPr>
            </w:pPr>
            <w:r>
              <w:rPr>
                <w:rFonts w:hint="eastAsia" w:ascii="宋体" w:hAnsi="宋体"/>
                <w:szCs w:val="21"/>
              </w:rPr>
              <w:t>2.2.3</w:t>
            </w:r>
          </w:p>
        </w:tc>
        <w:tc>
          <w:tcPr>
            <w:tcW w:w="1417" w:type="dxa"/>
            <w:vAlign w:val="center"/>
          </w:tcPr>
          <w:p>
            <w:pPr>
              <w:spacing w:line="340" w:lineRule="exact"/>
              <w:jc w:val="center"/>
              <w:rPr>
                <w:rFonts w:ascii="宋体" w:hAnsi="宋体"/>
                <w:szCs w:val="21"/>
              </w:rPr>
            </w:pPr>
            <w:r>
              <w:rPr>
                <w:rFonts w:hint="eastAsia" w:ascii="宋体" w:hAnsi="宋体"/>
                <w:szCs w:val="21"/>
              </w:rPr>
              <w:t>第二个信封详细评审标准</w:t>
            </w:r>
          </w:p>
        </w:tc>
        <w:tc>
          <w:tcPr>
            <w:tcW w:w="7788" w:type="dxa"/>
            <w:vAlign w:val="center"/>
          </w:tcPr>
          <w:p>
            <w:pPr>
              <w:snapToGrid w:val="0"/>
              <w:spacing w:line="280" w:lineRule="exact"/>
              <w:rPr>
                <w:szCs w:val="21"/>
              </w:rPr>
            </w:pPr>
            <w:r>
              <w:rPr>
                <w:rFonts w:hint="eastAsia"/>
                <w:szCs w:val="21"/>
              </w:rPr>
              <w:t>评标价计算公式：</w:t>
            </w:r>
          </w:p>
          <w:p>
            <w:pPr>
              <w:spacing w:line="340" w:lineRule="exact"/>
              <w:ind w:firstLine="420" w:firstLineChars="200"/>
              <w:rPr>
                <w:rFonts w:ascii="宋体" w:hAnsi="宋体"/>
                <w:szCs w:val="21"/>
              </w:rPr>
            </w:pPr>
            <w:r>
              <w:rPr>
                <w:rFonts w:hint="eastAsia"/>
                <w:szCs w:val="21"/>
              </w:rPr>
              <w:t>评标价=修正后的投标报价-暂估价-暂列金额（不含计日工总额）</w:t>
            </w:r>
            <w:r>
              <w:rPr>
                <w:rFonts w:hint="eastAsia" w:cs="Calibri"/>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52" w:type="dxa"/>
            <w:vAlign w:val="center"/>
          </w:tcPr>
          <w:p>
            <w:pPr>
              <w:spacing w:line="340" w:lineRule="exact"/>
              <w:jc w:val="center"/>
              <w:rPr>
                <w:rFonts w:ascii="宋体" w:hAnsi="宋体"/>
                <w:szCs w:val="21"/>
              </w:rPr>
            </w:pPr>
            <w:r>
              <w:rPr>
                <w:rFonts w:hint="eastAsia" w:ascii="宋体" w:hAnsi="宋体"/>
                <w:szCs w:val="21"/>
              </w:rPr>
              <w:t>3.2.4</w:t>
            </w:r>
          </w:p>
        </w:tc>
        <w:tc>
          <w:tcPr>
            <w:tcW w:w="1417" w:type="dxa"/>
            <w:vAlign w:val="center"/>
          </w:tcPr>
          <w:p>
            <w:pPr>
              <w:spacing w:line="340" w:lineRule="exact"/>
              <w:rPr>
                <w:rFonts w:ascii="宋体" w:hAnsi="宋体"/>
                <w:szCs w:val="21"/>
              </w:rPr>
            </w:pPr>
            <w:r>
              <w:rPr>
                <w:rFonts w:hint="eastAsia" w:ascii="宋体" w:hAnsi="宋体"/>
                <w:szCs w:val="21"/>
              </w:rPr>
              <w:t>通过第一个信封详细评审的投标人数量</w:t>
            </w:r>
          </w:p>
        </w:tc>
        <w:tc>
          <w:tcPr>
            <w:tcW w:w="7788" w:type="dxa"/>
            <w:vAlign w:val="center"/>
          </w:tcPr>
          <w:p>
            <w:pPr>
              <w:spacing w:line="340" w:lineRule="exact"/>
              <w:ind w:firstLine="420" w:firstLineChars="200"/>
            </w:pPr>
            <w:r>
              <w:rPr>
                <w:rFonts w:hint="eastAsia"/>
              </w:rPr>
              <w:t>按照投标人的商务和技术得分由高到低排序，选择前 5 名通过详细评审。如果通过第一信封的投标人少于3人，则重新招标。</w:t>
            </w:r>
          </w:p>
          <w:p>
            <w:pPr>
              <w:spacing w:line="340" w:lineRule="exact"/>
              <w:ind w:firstLine="420" w:firstLineChars="200"/>
            </w:pPr>
            <w:r>
              <w:rPr>
                <w:rFonts w:hint="eastAsia"/>
              </w:rPr>
              <w:t>商务和技术得分相等时，评标委员会依次按照以下优先顺序确定前 5 名：</w:t>
            </w:r>
          </w:p>
          <w:p>
            <w:pPr>
              <w:spacing w:line="340" w:lineRule="exact"/>
              <w:ind w:firstLine="420" w:firstLineChars="200"/>
            </w:pPr>
            <w:r>
              <w:rPr>
                <w:rFonts w:hint="eastAsia"/>
              </w:rPr>
              <w:t>（1）被招标项目所在地省级交通运输主管部门评为较高信用等级的投标人优先；</w:t>
            </w:r>
          </w:p>
          <w:p>
            <w:pPr>
              <w:spacing w:line="340" w:lineRule="exact"/>
              <w:ind w:firstLine="420" w:firstLineChars="200"/>
            </w:pPr>
            <w:r>
              <w:rPr>
                <w:rFonts w:hint="eastAsia"/>
              </w:rPr>
              <w:t>（2）施工组织设计得分较高的投标人优先</w:t>
            </w:r>
          </w:p>
          <w:p>
            <w:pPr>
              <w:spacing w:line="340" w:lineRule="exact"/>
              <w:ind w:firstLine="420" w:firstLineChars="200"/>
            </w:pPr>
            <w:r>
              <w:rPr>
                <w:rFonts w:hint="eastAsia"/>
              </w:rPr>
              <w:t>（3）评标委员会推选的投标人。</w:t>
            </w:r>
          </w:p>
        </w:tc>
      </w:tr>
    </w:tbl>
    <w:p>
      <w:pPr>
        <w:ind w:right="-46"/>
        <w:jc w:val="right"/>
        <w:rPr>
          <w:rFonts w:ascii="宋体" w:hAnsi="宋体"/>
        </w:rPr>
      </w:pPr>
      <w:r>
        <w:rPr>
          <w:rFonts w:ascii="宋体" w:hAnsi="宋体"/>
        </w:rPr>
        <w:br w:type="page"/>
      </w:r>
      <w:r>
        <w:rPr>
          <w:rFonts w:hint="eastAsia" w:ascii="宋体" w:hAnsi="宋体"/>
        </w:rPr>
        <w:t>续上表</w:t>
      </w:r>
    </w:p>
    <w:tbl>
      <w:tblPr>
        <w:tblStyle w:val="38"/>
        <w:tblW w:w="101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7"/>
        <w:gridCol w:w="625"/>
        <w:gridCol w:w="449"/>
        <w:gridCol w:w="1063"/>
        <w:gridCol w:w="2682"/>
        <w:gridCol w:w="709"/>
        <w:gridCol w:w="3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515" w:type="dxa"/>
            <w:gridSpan w:val="6"/>
            <w:tcBorders>
              <w:bottom w:val="single" w:color="auto" w:sz="4" w:space="0"/>
            </w:tcBorders>
            <w:vAlign w:val="center"/>
          </w:tcPr>
          <w:p>
            <w:pPr>
              <w:adjustRightInd w:val="0"/>
              <w:snapToGrid w:val="0"/>
              <w:jc w:val="center"/>
              <w:rPr>
                <w:rFonts w:ascii="宋体" w:hAnsi="宋体"/>
              </w:rPr>
            </w:pPr>
            <w:r>
              <w:rPr>
                <w:rFonts w:hint="eastAsia" w:ascii="宋体" w:hAnsi="宋体"/>
              </w:rPr>
              <w:t>评分因素与权重分值</w:t>
            </w:r>
          </w:p>
        </w:tc>
        <w:tc>
          <w:tcPr>
            <w:tcW w:w="3632" w:type="dxa"/>
            <w:vMerge w:val="restart"/>
            <w:vAlign w:val="center"/>
          </w:tcPr>
          <w:p>
            <w:pPr>
              <w:adjustRightInd w:val="0"/>
              <w:snapToGrid w:val="0"/>
              <w:jc w:val="center"/>
              <w:rPr>
                <w:rFonts w:ascii="宋体" w:hAnsi="宋体"/>
              </w:rPr>
            </w:pPr>
            <w:r>
              <w:rPr>
                <w:rFonts w:hint="eastAsia" w:ascii="宋体" w:hAnsi="宋体"/>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7" w:type="dxa"/>
            <w:tcBorders>
              <w:top w:val="single" w:color="auto" w:sz="4" w:space="0"/>
              <w:bottom w:val="single" w:color="auto" w:sz="4" w:space="0"/>
            </w:tcBorders>
            <w:vAlign w:val="center"/>
          </w:tcPr>
          <w:p>
            <w:pPr>
              <w:adjustRightInd w:val="0"/>
              <w:snapToGrid w:val="0"/>
              <w:jc w:val="center"/>
              <w:rPr>
                <w:rFonts w:ascii="宋体" w:hAnsi="宋体"/>
              </w:rPr>
            </w:pPr>
            <w:r>
              <w:rPr>
                <w:rFonts w:hint="eastAsia" w:ascii="宋体" w:hAnsi="宋体"/>
              </w:rPr>
              <w:t>条款号</w:t>
            </w:r>
          </w:p>
        </w:tc>
        <w:tc>
          <w:tcPr>
            <w:tcW w:w="1074" w:type="dxa"/>
            <w:gridSpan w:val="2"/>
            <w:vAlign w:val="center"/>
          </w:tcPr>
          <w:p>
            <w:pPr>
              <w:adjustRightInd w:val="0"/>
              <w:snapToGrid w:val="0"/>
              <w:jc w:val="center"/>
              <w:rPr>
                <w:rFonts w:ascii="宋体" w:hAnsi="宋体"/>
              </w:rPr>
            </w:pPr>
            <w:r>
              <w:rPr>
                <w:rFonts w:hint="eastAsia" w:ascii="宋体" w:hAnsi="宋体"/>
              </w:rPr>
              <w:t>评分因素</w:t>
            </w:r>
          </w:p>
        </w:tc>
        <w:tc>
          <w:tcPr>
            <w:tcW w:w="1063" w:type="dxa"/>
            <w:vAlign w:val="center"/>
          </w:tcPr>
          <w:p>
            <w:pPr>
              <w:adjustRightInd w:val="0"/>
              <w:snapToGrid w:val="0"/>
              <w:jc w:val="center"/>
              <w:rPr>
                <w:rFonts w:ascii="宋体" w:hAnsi="宋体"/>
              </w:rPr>
            </w:pPr>
            <w:r>
              <w:rPr>
                <w:rFonts w:hint="eastAsia" w:ascii="宋体" w:hAnsi="宋体"/>
              </w:rPr>
              <w:t>评分因素</w:t>
            </w:r>
          </w:p>
          <w:p>
            <w:pPr>
              <w:adjustRightInd w:val="0"/>
              <w:snapToGrid w:val="0"/>
              <w:jc w:val="center"/>
              <w:rPr>
                <w:rFonts w:ascii="宋体" w:hAnsi="宋体"/>
              </w:rPr>
            </w:pPr>
            <w:r>
              <w:rPr>
                <w:rFonts w:hint="eastAsia" w:ascii="宋体" w:hAnsi="宋体"/>
              </w:rPr>
              <w:t>权重分值</w:t>
            </w:r>
          </w:p>
        </w:tc>
        <w:tc>
          <w:tcPr>
            <w:tcW w:w="2682" w:type="dxa"/>
            <w:vAlign w:val="center"/>
          </w:tcPr>
          <w:p>
            <w:pPr>
              <w:adjustRightInd w:val="0"/>
              <w:snapToGrid w:val="0"/>
              <w:jc w:val="center"/>
              <w:rPr>
                <w:rFonts w:ascii="宋体" w:hAnsi="宋体"/>
              </w:rPr>
            </w:pPr>
            <w:r>
              <w:rPr>
                <w:rFonts w:hint="eastAsia" w:ascii="宋体" w:hAnsi="宋体"/>
              </w:rPr>
              <w:t>各评分因素细分项</w:t>
            </w:r>
          </w:p>
        </w:tc>
        <w:tc>
          <w:tcPr>
            <w:tcW w:w="709" w:type="dxa"/>
            <w:vAlign w:val="center"/>
          </w:tcPr>
          <w:p>
            <w:pPr>
              <w:adjustRightInd w:val="0"/>
              <w:snapToGrid w:val="0"/>
              <w:ind w:left="-174" w:leftChars="-83" w:right="-170" w:rightChars="-81"/>
              <w:jc w:val="center"/>
              <w:rPr>
                <w:rFonts w:ascii="宋体" w:hAnsi="宋体"/>
              </w:rPr>
            </w:pPr>
            <w:r>
              <w:rPr>
                <w:rFonts w:hint="eastAsia" w:ascii="宋体" w:hAnsi="宋体"/>
              </w:rPr>
              <w:t>分值</w:t>
            </w:r>
          </w:p>
        </w:tc>
        <w:tc>
          <w:tcPr>
            <w:tcW w:w="3632" w:type="dxa"/>
            <w:vMerge w:val="continue"/>
            <w:vAlign w:val="center"/>
          </w:tcPr>
          <w:p>
            <w:pPr>
              <w:adjustRightInd w:val="0"/>
              <w:snapToGrid w:val="0"/>
              <w:jc w:val="righ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987" w:type="dxa"/>
            <w:vMerge w:val="restart"/>
            <w:tcBorders>
              <w:top w:val="single" w:color="auto" w:sz="4" w:space="0"/>
            </w:tcBorders>
            <w:vAlign w:val="center"/>
          </w:tcPr>
          <w:p>
            <w:pPr>
              <w:adjustRightInd w:val="0"/>
              <w:snapToGrid w:val="0"/>
              <w:jc w:val="center"/>
              <w:rPr>
                <w:rFonts w:ascii="宋体" w:hAnsi="宋体"/>
              </w:rPr>
            </w:pPr>
            <w:r>
              <w:rPr>
                <w:rFonts w:hint="eastAsia" w:ascii="宋体" w:hAnsi="宋体"/>
              </w:rPr>
              <w:t>2.2.2（1）</w:t>
            </w:r>
          </w:p>
        </w:tc>
        <w:tc>
          <w:tcPr>
            <w:tcW w:w="1074" w:type="dxa"/>
            <w:gridSpan w:val="2"/>
            <w:vMerge w:val="restart"/>
            <w:vAlign w:val="center"/>
          </w:tcPr>
          <w:p>
            <w:pPr>
              <w:adjustRightInd w:val="0"/>
              <w:snapToGrid w:val="0"/>
              <w:jc w:val="center"/>
              <w:rPr>
                <w:rFonts w:ascii="宋体" w:hAnsi="宋体"/>
                <w:color w:val="auto"/>
                <w:highlight w:val="none"/>
              </w:rPr>
            </w:pPr>
            <w:r>
              <w:rPr>
                <w:rFonts w:hint="eastAsia" w:ascii="宋体" w:hAnsi="宋体"/>
                <w:color w:val="auto"/>
                <w:highlight w:val="none"/>
              </w:rPr>
              <w:t>施工组织设计</w:t>
            </w:r>
          </w:p>
        </w:tc>
        <w:tc>
          <w:tcPr>
            <w:tcW w:w="1063" w:type="dxa"/>
            <w:vMerge w:val="restart"/>
            <w:vAlign w:val="center"/>
          </w:tcPr>
          <w:p>
            <w:pPr>
              <w:adjustRightInd w:val="0"/>
              <w:snapToGrid w:val="0"/>
              <w:spacing w:line="280" w:lineRule="exact"/>
              <w:jc w:val="center"/>
              <w:rPr>
                <w:rFonts w:ascii="宋体" w:hAnsi="宋体"/>
                <w:color w:val="auto"/>
                <w:highlight w:val="none"/>
              </w:rPr>
            </w:pPr>
            <w:r>
              <w:rPr>
                <w:rFonts w:hint="eastAsia"/>
                <w:color w:val="auto"/>
                <w:highlight w:val="none"/>
              </w:rPr>
              <w:t>40</w:t>
            </w:r>
          </w:p>
        </w:tc>
        <w:tc>
          <w:tcPr>
            <w:tcW w:w="2682" w:type="dxa"/>
            <w:vAlign w:val="center"/>
          </w:tcPr>
          <w:p>
            <w:pPr>
              <w:spacing w:line="280" w:lineRule="exact"/>
              <w:rPr>
                <w:rFonts w:ascii="宋体" w:hAnsi="宋体"/>
                <w:color w:val="auto"/>
                <w:szCs w:val="21"/>
                <w:highlight w:val="none"/>
              </w:rPr>
            </w:pPr>
            <w:r>
              <w:rPr>
                <w:color w:val="auto"/>
                <w:highlight w:val="none"/>
              </w:rPr>
              <w:t>关键</w:t>
            </w:r>
            <w:r>
              <w:rPr>
                <w:rFonts w:hint="eastAsia"/>
                <w:color w:val="auto"/>
                <w:highlight w:val="none"/>
              </w:rPr>
              <w:t>工程</w:t>
            </w:r>
            <w:r>
              <w:rPr>
                <w:color w:val="auto"/>
                <w:highlight w:val="none"/>
              </w:rPr>
              <w:t>的施</w:t>
            </w:r>
            <w:r>
              <w:rPr>
                <w:rFonts w:hint="eastAsia"/>
                <w:color w:val="auto"/>
                <w:highlight w:val="none"/>
              </w:rPr>
              <w:t>工</w:t>
            </w:r>
            <w:r>
              <w:rPr>
                <w:color w:val="auto"/>
                <w:highlight w:val="none"/>
              </w:rPr>
              <w:t>方案、方法与技术措施</w:t>
            </w:r>
          </w:p>
        </w:tc>
        <w:tc>
          <w:tcPr>
            <w:tcW w:w="709" w:type="dxa"/>
            <w:vAlign w:val="center"/>
          </w:tcPr>
          <w:p>
            <w:pPr>
              <w:spacing w:line="280" w:lineRule="exact"/>
              <w:jc w:val="center"/>
              <w:rPr>
                <w:rFonts w:ascii="宋体" w:hAnsi="宋体"/>
                <w:color w:val="auto"/>
                <w:szCs w:val="21"/>
                <w:highlight w:val="none"/>
              </w:rPr>
            </w:pPr>
            <w:r>
              <w:rPr>
                <w:rFonts w:hint="eastAsia"/>
                <w:color w:val="auto"/>
                <w:highlight w:val="none"/>
              </w:rPr>
              <w:t>15</w:t>
            </w:r>
          </w:p>
        </w:tc>
        <w:tc>
          <w:tcPr>
            <w:tcW w:w="3632" w:type="dxa"/>
            <w:tcBorders>
              <w:bottom w:val="single" w:color="auto" w:sz="4" w:space="0"/>
            </w:tcBorders>
            <w:vAlign w:val="center"/>
          </w:tcPr>
          <w:p>
            <w:pPr>
              <w:snapToGrid w:val="0"/>
              <w:spacing w:line="280" w:lineRule="exact"/>
              <w:ind w:firstLine="189" w:firstLineChars="90"/>
              <w:rPr>
                <w:rFonts w:ascii="宋体" w:hAnsi="宋体"/>
                <w:color w:val="auto"/>
                <w:highlight w:val="none"/>
              </w:rPr>
            </w:pPr>
            <w:r>
              <w:rPr>
                <w:color w:val="auto"/>
                <w:highlight w:val="none"/>
              </w:rPr>
              <w:t>关键</w:t>
            </w:r>
            <w:r>
              <w:rPr>
                <w:rFonts w:hint="eastAsia"/>
                <w:color w:val="auto"/>
                <w:highlight w:val="none"/>
              </w:rPr>
              <w:t>工程</w:t>
            </w:r>
            <w:r>
              <w:rPr>
                <w:color w:val="auto"/>
                <w:highlight w:val="none"/>
              </w:rPr>
              <w:t>的施</w:t>
            </w:r>
            <w:r>
              <w:rPr>
                <w:rFonts w:hint="eastAsia"/>
                <w:color w:val="auto"/>
                <w:highlight w:val="none"/>
              </w:rPr>
              <w:t>工</w:t>
            </w:r>
            <w:r>
              <w:rPr>
                <w:color w:val="auto"/>
                <w:highlight w:val="none"/>
              </w:rPr>
              <w:t>方案、方法与技术措施合理得基本分</w:t>
            </w:r>
            <w:r>
              <w:rPr>
                <w:rFonts w:hint="eastAsia"/>
                <w:color w:val="auto"/>
                <w:highlight w:val="none"/>
              </w:rPr>
              <w:t>9分，根据详尽及优劣程度酌情加0-6分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987" w:type="dxa"/>
            <w:vMerge w:val="continue"/>
            <w:vAlign w:val="center"/>
          </w:tcPr>
          <w:p>
            <w:pPr>
              <w:adjustRightInd w:val="0"/>
              <w:snapToGrid w:val="0"/>
              <w:jc w:val="center"/>
              <w:rPr>
                <w:rFonts w:ascii="宋体" w:hAnsi="宋体"/>
              </w:rPr>
            </w:pPr>
          </w:p>
        </w:tc>
        <w:tc>
          <w:tcPr>
            <w:tcW w:w="1074" w:type="dxa"/>
            <w:gridSpan w:val="2"/>
            <w:vMerge w:val="continue"/>
            <w:vAlign w:val="center"/>
          </w:tcPr>
          <w:p>
            <w:pPr>
              <w:adjustRightInd w:val="0"/>
              <w:snapToGrid w:val="0"/>
              <w:jc w:val="center"/>
              <w:rPr>
                <w:rFonts w:ascii="宋体" w:hAnsi="宋体"/>
                <w:color w:val="auto"/>
              </w:rPr>
            </w:pPr>
          </w:p>
        </w:tc>
        <w:tc>
          <w:tcPr>
            <w:tcW w:w="1063" w:type="dxa"/>
            <w:vMerge w:val="continue"/>
            <w:vAlign w:val="center"/>
          </w:tcPr>
          <w:p>
            <w:pPr>
              <w:adjustRightInd w:val="0"/>
              <w:snapToGrid w:val="0"/>
              <w:jc w:val="center"/>
              <w:rPr>
                <w:rFonts w:ascii="宋体" w:hAnsi="宋体"/>
                <w:color w:val="auto"/>
              </w:rPr>
            </w:pPr>
          </w:p>
        </w:tc>
        <w:tc>
          <w:tcPr>
            <w:tcW w:w="2682" w:type="dxa"/>
            <w:vAlign w:val="center"/>
          </w:tcPr>
          <w:p>
            <w:pPr>
              <w:spacing w:line="280" w:lineRule="exact"/>
              <w:rPr>
                <w:rFonts w:ascii="宋体" w:hAnsi="宋体"/>
                <w:color w:val="auto"/>
                <w:szCs w:val="21"/>
              </w:rPr>
            </w:pPr>
            <w:r>
              <w:rPr>
                <w:rFonts w:hint="eastAsia"/>
                <w:color w:val="auto"/>
              </w:rPr>
              <w:t>质量保证措施</w:t>
            </w:r>
          </w:p>
        </w:tc>
        <w:tc>
          <w:tcPr>
            <w:tcW w:w="709" w:type="dxa"/>
            <w:vAlign w:val="center"/>
          </w:tcPr>
          <w:p>
            <w:pPr>
              <w:spacing w:line="280" w:lineRule="exact"/>
              <w:jc w:val="center"/>
              <w:rPr>
                <w:rFonts w:ascii="宋体" w:hAnsi="宋体"/>
                <w:color w:val="auto"/>
                <w:szCs w:val="21"/>
              </w:rPr>
            </w:pPr>
            <w:r>
              <w:rPr>
                <w:rFonts w:hint="eastAsia"/>
                <w:color w:val="auto"/>
              </w:rPr>
              <w:t>5</w:t>
            </w:r>
          </w:p>
        </w:tc>
        <w:tc>
          <w:tcPr>
            <w:tcW w:w="3632" w:type="dxa"/>
            <w:tcBorders>
              <w:top w:val="single" w:color="auto" w:sz="4" w:space="0"/>
              <w:bottom w:val="single" w:color="auto" w:sz="4" w:space="0"/>
            </w:tcBorders>
            <w:vAlign w:val="center"/>
          </w:tcPr>
          <w:p>
            <w:pPr>
              <w:snapToGrid w:val="0"/>
              <w:spacing w:line="280" w:lineRule="exact"/>
              <w:ind w:firstLine="189" w:firstLineChars="90"/>
              <w:rPr>
                <w:rFonts w:ascii="宋体" w:hAnsi="宋体"/>
                <w:color w:val="auto"/>
                <w:szCs w:val="21"/>
              </w:rPr>
            </w:pPr>
            <w:r>
              <w:rPr>
                <w:rFonts w:hint="eastAsia"/>
                <w:color w:val="auto"/>
              </w:rPr>
              <w:t>质量保证措施</w:t>
            </w:r>
            <w:r>
              <w:rPr>
                <w:color w:val="auto"/>
              </w:rPr>
              <w:t>合理得基本分</w:t>
            </w:r>
            <w:r>
              <w:rPr>
                <w:rFonts w:hint="eastAsia"/>
                <w:color w:val="auto"/>
              </w:rPr>
              <w:t>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987" w:type="dxa"/>
            <w:vMerge w:val="continue"/>
            <w:vAlign w:val="center"/>
          </w:tcPr>
          <w:p>
            <w:pPr>
              <w:adjustRightInd w:val="0"/>
              <w:snapToGrid w:val="0"/>
              <w:jc w:val="center"/>
              <w:rPr>
                <w:rFonts w:ascii="宋体" w:hAnsi="宋体"/>
              </w:rPr>
            </w:pPr>
          </w:p>
        </w:tc>
        <w:tc>
          <w:tcPr>
            <w:tcW w:w="1074" w:type="dxa"/>
            <w:gridSpan w:val="2"/>
            <w:vMerge w:val="continue"/>
            <w:vAlign w:val="center"/>
          </w:tcPr>
          <w:p>
            <w:pPr>
              <w:adjustRightInd w:val="0"/>
              <w:snapToGrid w:val="0"/>
              <w:jc w:val="center"/>
              <w:rPr>
                <w:rFonts w:ascii="宋体" w:hAnsi="宋体"/>
                <w:color w:val="auto"/>
              </w:rPr>
            </w:pPr>
          </w:p>
        </w:tc>
        <w:tc>
          <w:tcPr>
            <w:tcW w:w="1063" w:type="dxa"/>
            <w:vMerge w:val="continue"/>
            <w:vAlign w:val="center"/>
          </w:tcPr>
          <w:p>
            <w:pPr>
              <w:adjustRightInd w:val="0"/>
              <w:snapToGrid w:val="0"/>
              <w:jc w:val="center"/>
              <w:rPr>
                <w:rFonts w:ascii="宋体" w:hAnsi="宋体"/>
                <w:color w:val="auto"/>
              </w:rPr>
            </w:pPr>
          </w:p>
        </w:tc>
        <w:tc>
          <w:tcPr>
            <w:tcW w:w="2682" w:type="dxa"/>
            <w:vAlign w:val="center"/>
          </w:tcPr>
          <w:p>
            <w:pPr>
              <w:spacing w:line="280" w:lineRule="exact"/>
              <w:rPr>
                <w:rFonts w:ascii="宋体" w:hAnsi="宋体"/>
                <w:color w:val="auto"/>
                <w:szCs w:val="21"/>
              </w:rPr>
            </w:pPr>
            <w:r>
              <w:rPr>
                <w:rFonts w:hint="eastAsia"/>
                <w:color w:val="auto"/>
              </w:rPr>
              <w:t>环境与安全保证措施</w:t>
            </w:r>
          </w:p>
        </w:tc>
        <w:tc>
          <w:tcPr>
            <w:tcW w:w="709" w:type="dxa"/>
            <w:vAlign w:val="center"/>
          </w:tcPr>
          <w:p>
            <w:pPr>
              <w:spacing w:line="280" w:lineRule="exact"/>
              <w:jc w:val="center"/>
              <w:rPr>
                <w:rFonts w:ascii="宋体" w:hAnsi="宋体"/>
                <w:color w:val="auto"/>
                <w:szCs w:val="21"/>
              </w:rPr>
            </w:pPr>
            <w:r>
              <w:rPr>
                <w:rFonts w:hint="eastAsia"/>
                <w:color w:val="auto"/>
              </w:rPr>
              <w:t>10</w:t>
            </w:r>
          </w:p>
        </w:tc>
        <w:tc>
          <w:tcPr>
            <w:tcW w:w="3632" w:type="dxa"/>
            <w:tcBorders>
              <w:top w:val="single" w:color="auto" w:sz="4" w:space="0"/>
              <w:bottom w:val="single" w:color="auto" w:sz="4" w:space="0"/>
            </w:tcBorders>
            <w:vAlign w:val="center"/>
          </w:tcPr>
          <w:p>
            <w:pPr>
              <w:snapToGrid w:val="0"/>
              <w:spacing w:line="280" w:lineRule="exact"/>
              <w:ind w:firstLine="189" w:firstLineChars="90"/>
              <w:rPr>
                <w:rFonts w:ascii="宋体" w:hAnsi="宋体"/>
                <w:color w:val="auto"/>
                <w:szCs w:val="21"/>
              </w:rPr>
            </w:pPr>
            <w:r>
              <w:rPr>
                <w:rFonts w:hint="eastAsia"/>
                <w:color w:val="auto"/>
              </w:rPr>
              <w:t>环境与安全保证措施</w:t>
            </w:r>
            <w:r>
              <w:rPr>
                <w:color w:val="auto"/>
              </w:rPr>
              <w:t>合理得基本分</w:t>
            </w:r>
            <w:r>
              <w:rPr>
                <w:rFonts w:hint="eastAsia"/>
                <w:color w:val="auto"/>
              </w:rPr>
              <w:t>6分，根据详尽及优劣程度酌情加0-4分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987" w:type="dxa"/>
            <w:vMerge w:val="continue"/>
            <w:vAlign w:val="center"/>
          </w:tcPr>
          <w:p>
            <w:pPr>
              <w:adjustRightInd w:val="0"/>
              <w:snapToGrid w:val="0"/>
              <w:jc w:val="center"/>
              <w:rPr>
                <w:rFonts w:ascii="宋体" w:hAnsi="宋体"/>
              </w:rPr>
            </w:pPr>
          </w:p>
        </w:tc>
        <w:tc>
          <w:tcPr>
            <w:tcW w:w="1074" w:type="dxa"/>
            <w:gridSpan w:val="2"/>
            <w:vMerge w:val="continue"/>
            <w:vAlign w:val="center"/>
          </w:tcPr>
          <w:p>
            <w:pPr>
              <w:adjustRightInd w:val="0"/>
              <w:snapToGrid w:val="0"/>
              <w:jc w:val="center"/>
              <w:rPr>
                <w:rFonts w:ascii="宋体" w:hAnsi="宋体"/>
                <w:color w:val="auto"/>
              </w:rPr>
            </w:pPr>
          </w:p>
        </w:tc>
        <w:tc>
          <w:tcPr>
            <w:tcW w:w="1063" w:type="dxa"/>
            <w:vMerge w:val="continue"/>
            <w:vAlign w:val="center"/>
          </w:tcPr>
          <w:p>
            <w:pPr>
              <w:adjustRightInd w:val="0"/>
              <w:snapToGrid w:val="0"/>
              <w:jc w:val="center"/>
              <w:rPr>
                <w:rFonts w:ascii="宋体" w:hAnsi="宋体"/>
                <w:color w:val="auto"/>
              </w:rPr>
            </w:pPr>
          </w:p>
        </w:tc>
        <w:tc>
          <w:tcPr>
            <w:tcW w:w="2682" w:type="dxa"/>
            <w:vAlign w:val="center"/>
          </w:tcPr>
          <w:p>
            <w:pPr>
              <w:spacing w:line="280" w:lineRule="exact"/>
              <w:rPr>
                <w:rFonts w:ascii="宋体" w:hAnsi="宋体"/>
                <w:color w:val="auto"/>
                <w:szCs w:val="21"/>
              </w:rPr>
            </w:pPr>
            <w:r>
              <w:rPr>
                <w:rFonts w:hint="eastAsia"/>
                <w:color w:val="auto"/>
              </w:rPr>
              <w:t>工期保证措施</w:t>
            </w:r>
          </w:p>
        </w:tc>
        <w:tc>
          <w:tcPr>
            <w:tcW w:w="709" w:type="dxa"/>
            <w:vAlign w:val="center"/>
          </w:tcPr>
          <w:p>
            <w:pPr>
              <w:spacing w:line="280" w:lineRule="exact"/>
              <w:jc w:val="center"/>
              <w:rPr>
                <w:rFonts w:ascii="宋体" w:hAnsi="宋体"/>
                <w:color w:val="auto"/>
                <w:szCs w:val="21"/>
              </w:rPr>
            </w:pPr>
            <w:r>
              <w:rPr>
                <w:rFonts w:hint="eastAsia"/>
                <w:color w:val="auto"/>
              </w:rPr>
              <w:t>10</w:t>
            </w:r>
          </w:p>
        </w:tc>
        <w:tc>
          <w:tcPr>
            <w:tcW w:w="3632" w:type="dxa"/>
            <w:tcBorders>
              <w:top w:val="single" w:color="auto" w:sz="4" w:space="0"/>
              <w:bottom w:val="single" w:color="auto" w:sz="4" w:space="0"/>
            </w:tcBorders>
            <w:vAlign w:val="center"/>
          </w:tcPr>
          <w:p>
            <w:pPr>
              <w:snapToGrid w:val="0"/>
              <w:spacing w:line="280" w:lineRule="exact"/>
              <w:ind w:firstLine="189" w:firstLineChars="90"/>
              <w:rPr>
                <w:rFonts w:ascii="宋体" w:hAnsi="宋体"/>
                <w:color w:val="auto"/>
                <w:szCs w:val="21"/>
              </w:rPr>
            </w:pPr>
            <w:r>
              <w:rPr>
                <w:rFonts w:hint="eastAsia"/>
                <w:color w:val="auto"/>
              </w:rPr>
              <w:t>工期保证措施</w:t>
            </w:r>
            <w:r>
              <w:rPr>
                <w:color w:val="auto"/>
              </w:rPr>
              <w:t>合理得基本分</w:t>
            </w:r>
            <w:r>
              <w:rPr>
                <w:rFonts w:hint="eastAsia"/>
                <w:color w:val="auto"/>
              </w:rPr>
              <w:t>6分，根据详尽及优劣程度酌情加0-4分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987" w:type="dxa"/>
            <w:vMerge w:val="restart"/>
            <w:tcBorders>
              <w:top w:val="single" w:color="auto" w:sz="4" w:space="0"/>
            </w:tcBorders>
            <w:vAlign w:val="center"/>
          </w:tcPr>
          <w:p>
            <w:pPr>
              <w:adjustRightInd w:val="0"/>
              <w:snapToGrid w:val="0"/>
              <w:jc w:val="center"/>
              <w:rPr>
                <w:rFonts w:ascii="宋体" w:hAnsi="宋体"/>
              </w:rPr>
            </w:pPr>
            <w:r>
              <w:rPr>
                <w:rFonts w:hint="eastAsia" w:ascii="宋体" w:hAnsi="宋体"/>
              </w:rPr>
              <w:t>2.2.2（2）</w:t>
            </w:r>
          </w:p>
        </w:tc>
        <w:tc>
          <w:tcPr>
            <w:tcW w:w="1074" w:type="dxa"/>
            <w:gridSpan w:val="2"/>
            <w:vMerge w:val="restart"/>
            <w:vAlign w:val="center"/>
          </w:tcPr>
          <w:p>
            <w:pPr>
              <w:adjustRightInd w:val="0"/>
              <w:snapToGrid w:val="0"/>
              <w:jc w:val="center"/>
              <w:rPr>
                <w:rFonts w:ascii="宋体" w:hAnsi="宋体"/>
                <w:color w:val="auto"/>
              </w:rPr>
            </w:pPr>
            <w:r>
              <w:rPr>
                <w:rFonts w:hint="eastAsia" w:ascii="宋体" w:hAnsi="宋体"/>
                <w:color w:val="auto"/>
                <w:szCs w:val="21"/>
              </w:rPr>
              <w:t>主要人员</w:t>
            </w:r>
          </w:p>
        </w:tc>
        <w:tc>
          <w:tcPr>
            <w:tcW w:w="1063" w:type="dxa"/>
            <w:vMerge w:val="restart"/>
            <w:vAlign w:val="center"/>
          </w:tcPr>
          <w:p>
            <w:pPr>
              <w:adjustRightInd w:val="0"/>
              <w:snapToGrid w:val="0"/>
              <w:spacing w:line="280" w:lineRule="exact"/>
              <w:jc w:val="center"/>
              <w:rPr>
                <w:rFonts w:ascii="宋体" w:hAnsi="宋体"/>
                <w:color w:val="auto"/>
              </w:rPr>
            </w:pPr>
            <w:r>
              <w:rPr>
                <w:rFonts w:hint="eastAsia"/>
                <w:color w:val="auto"/>
              </w:rPr>
              <w:t>25</w:t>
            </w:r>
          </w:p>
        </w:tc>
        <w:tc>
          <w:tcPr>
            <w:tcW w:w="2682" w:type="dxa"/>
            <w:tcBorders>
              <w:bottom w:val="single" w:color="auto" w:sz="4" w:space="0"/>
            </w:tcBorders>
            <w:vAlign w:val="center"/>
          </w:tcPr>
          <w:p>
            <w:pPr>
              <w:spacing w:line="280" w:lineRule="exact"/>
              <w:jc w:val="center"/>
              <w:rPr>
                <w:rFonts w:ascii="宋体" w:hAnsi="宋体"/>
                <w:color w:val="auto"/>
                <w:szCs w:val="21"/>
              </w:rPr>
            </w:pPr>
            <w:r>
              <w:rPr>
                <w:rFonts w:hint="eastAsia" w:ascii="宋体" w:hAnsi="宋体" w:cs="宋体"/>
                <w:color w:val="auto"/>
                <w:szCs w:val="21"/>
              </w:rPr>
              <w:t>项目经理任职资格与业绩</w:t>
            </w:r>
          </w:p>
        </w:tc>
        <w:tc>
          <w:tcPr>
            <w:tcW w:w="709" w:type="dxa"/>
            <w:tcBorders>
              <w:bottom w:val="single" w:color="auto" w:sz="4" w:space="0"/>
            </w:tcBorders>
            <w:vAlign w:val="center"/>
          </w:tcPr>
          <w:p>
            <w:pPr>
              <w:spacing w:line="280" w:lineRule="exact"/>
              <w:jc w:val="center"/>
              <w:rPr>
                <w:rFonts w:ascii="宋体" w:hAnsi="宋体"/>
                <w:color w:val="auto"/>
                <w:szCs w:val="21"/>
              </w:rPr>
            </w:pPr>
            <w:r>
              <w:rPr>
                <w:rFonts w:hint="eastAsia" w:ascii="宋体" w:hAnsi="宋体" w:cs="宋体"/>
                <w:color w:val="auto"/>
                <w:szCs w:val="21"/>
              </w:rPr>
              <w:t>15</w:t>
            </w:r>
          </w:p>
        </w:tc>
        <w:tc>
          <w:tcPr>
            <w:tcW w:w="3632" w:type="dxa"/>
            <w:tcBorders>
              <w:bottom w:val="single" w:color="auto" w:sz="4" w:space="0"/>
            </w:tcBorders>
            <w:vAlign w:val="center"/>
          </w:tcPr>
          <w:p>
            <w:pPr>
              <w:numPr>
                <w:ilvl w:val="0"/>
                <w:numId w:val="3"/>
              </w:numPr>
              <w:spacing w:line="280" w:lineRule="exact"/>
              <w:ind w:firstLine="189" w:firstLineChars="90"/>
              <w:rPr>
                <w:color w:val="auto"/>
              </w:rPr>
            </w:pPr>
            <w:r>
              <w:rPr>
                <w:rFonts w:hint="eastAsia"/>
                <w:color w:val="auto"/>
              </w:rPr>
              <w:t>满足资审最低标准得9分；</w:t>
            </w:r>
          </w:p>
          <w:p>
            <w:pPr>
              <w:numPr>
                <w:ilvl w:val="0"/>
                <w:numId w:val="3"/>
              </w:numPr>
              <w:spacing w:line="280" w:lineRule="exact"/>
              <w:ind w:firstLine="189" w:firstLineChars="90"/>
              <w:rPr>
                <w:color w:val="auto"/>
              </w:rPr>
            </w:pPr>
            <w:r>
              <w:rPr>
                <w:rFonts w:hint="eastAsia"/>
                <w:color w:val="auto"/>
              </w:rPr>
              <w:t>职称为高级工程师的，加3分；</w:t>
            </w:r>
          </w:p>
          <w:p>
            <w:pPr>
              <w:spacing w:line="280" w:lineRule="exact"/>
              <w:ind w:firstLine="189" w:firstLineChars="90"/>
              <w:rPr>
                <w:color w:val="auto"/>
              </w:rPr>
            </w:pPr>
            <w:r>
              <w:rPr>
                <w:rFonts w:hint="eastAsia"/>
                <w:color w:val="auto"/>
              </w:rPr>
              <w:t>（3）</w:t>
            </w:r>
            <w:r>
              <w:rPr>
                <w:color w:val="auto"/>
                <w:szCs w:val="21"/>
              </w:rPr>
              <w:t>每担任过一项</w:t>
            </w:r>
            <w:r>
              <w:rPr>
                <w:rFonts w:hint="eastAsia"/>
                <w:color w:val="auto"/>
                <w:szCs w:val="21"/>
                <w:lang w:eastAsia="zh-CN"/>
              </w:rPr>
              <w:t>一级或以上级别</w:t>
            </w:r>
            <w:r>
              <w:rPr>
                <w:color w:val="auto"/>
                <w:szCs w:val="21"/>
              </w:rPr>
              <w:t>公路</w:t>
            </w:r>
            <w:r>
              <w:rPr>
                <w:rFonts w:hint="eastAsia"/>
                <w:color w:val="auto"/>
                <w:szCs w:val="21"/>
                <w:lang w:val="en-US" w:eastAsia="zh-CN"/>
              </w:rPr>
              <w:t>工程施工业绩的</w:t>
            </w:r>
            <w:r>
              <w:rPr>
                <w:rFonts w:hint="eastAsia"/>
                <w:color w:val="auto"/>
                <w:lang w:eastAsia="zh-CN"/>
              </w:rPr>
              <w:t>项目经理或项目副经理（副项目经理），</w:t>
            </w:r>
            <w:r>
              <w:rPr>
                <w:rFonts w:hint="eastAsia"/>
                <w:color w:val="auto"/>
              </w:rPr>
              <w:t>加3分</w:t>
            </w:r>
            <w:r>
              <w:rPr>
                <w:rFonts w:hint="eastAsia" w:ascii="宋体" w:hAnsi="宋体" w:cs="宋体"/>
                <w:color w:val="auto"/>
                <w:szCs w:val="21"/>
              </w:rPr>
              <w:t>，最高加3分。</w:t>
            </w:r>
            <w:r>
              <w:rPr>
                <w:rFonts w:hint="eastAsia"/>
                <w:color w:val="auto"/>
              </w:rPr>
              <w:t xml:space="preserve"> </w:t>
            </w:r>
          </w:p>
          <w:p>
            <w:pPr>
              <w:spacing w:line="280" w:lineRule="exact"/>
              <w:ind w:firstLine="294" w:firstLineChars="140"/>
              <w:rPr>
                <w:rFonts w:ascii="宋体" w:hAnsi="宋体"/>
                <w:color w:val="auto"/>
                <w:szCs w:val="21"/>
              </w:rPr>
            </w:pPr>
            <w:r>
              <w:rPr>
                <w:rFonts w:hint="eastAsia"/>
                <w:color w:val="auto"/>
              </w:rPr>
              <w:t>人员业绩须在交通运输部全国公路建设市场信用信息管理系统进行登记并审核通过，且登记信息能体现项目为公路工程、技术等级、交工验收时间及任职情况等关键内容。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9" w:hRule="atLeast"/>
          <w:jc w:val="center"/>
        </w:trPr>
        <w:tc>
          <w:tcPr>
            <w:tcW w:w="987" w:type="dxa"/>
            <w:vMerge w:val="continue"/>
            <w:vAlign w:val="center"/>
          </w:tcPr>
          <w:p>
            <w:pPr>
              <w:adjustRightInd w:val="0"/>
              <w:snapToGrid w:val="0"/>
              <w:jc w:val="center"/>
              <w:rPr>
                <w:rFonts w:ascii="宋体" w:hAnsi="宋体"/>
              </w:rPr>
            </w:pPr>
          </w:p>
        </w:tc>
        <w:tc>
          <w:tcPr>
            <w:tcW w:w="1074" w:type="dxa"/>
            <w:gridSpan w:val="2"/>
            <w:vMerge w:val="continue"/>
            <w:vAlign w:val="center"/>
          </w:tcPr>
          <w:p>
            <w:pPr>
              <w:adjustRightInd w:val="0"/>
              <w:snapToGrid w:val="0"/>
              <w:jc w:val="center"/>
              <w:rPr>
                <w:rFonts w:ascii="宋体" w:hAnsi="宋体"/>
                <w:color w:val="auto"/>
                <w:szCs w:val="21"/>
              </w:rPr>
            </w:pPr>
          </w:p>
        </w:tc>
        <w:tc>
          <w:tcPr>
            <w:tcW w:w="1063" w:type="dxa"/>
            <w:vMerge w:val="continue"/>
            <w:vAlign w:val="center"/>
          </w:tcPr>
          <w:p>
            <w:pPr>
              <w:adjustRightInd w:val="0"/>
              <w:snapToGrid w:val="0"/>
              <w:jc w:val="center"/>
              <w:rPr>
                <w:rFonts w:ascii="宋体" w:hAnsi="宋体"/>
                <w:color w:val="auto"/>
                <w:u w:val="single"/>
              </w:rPr>
            </w:pPr>
          </w:p>
        </w:tc>
        <w:tc>
          <w:tcPr>
            <w:tcW w:w="2682" w:type="dxa"/>
            <w:tcBorders>
              <w:top w:val="single" w:color="auto" w:sz="4" w:space="0"/>
            </w:tcBorders>
            <w:vAlign w:val="center"/>
          </w:tcPr>
          <w:p>
            <w:pPr>
              <w:spacing w:line="280" w:lineRule="exact"/>
              <w:jc w:val="center"/>
              <w:rPr>
                <w:rFonts w:ascii="宋体" w:hAnsi="宋体"/>
                <w:color w:val="auto"/>
                <w:szCs w:val="21"/>
              </w:rPr>
            </w:pPr>
            <w:r>
              <w:rPr>
                <w:rFonts w:hint="eastAsia" w:ascii="宋体" w:hAnsi="宋体" w:cs="宋体"/>
                <w:color w:val="auto"/>
                <w:szCs w:val="21"/>
              </w:rPr>
              <w:t>项目总工任职资格与业绩</w:t>
            </w:r>
          </w:p>
        </w:tc>
        <w:tc>
          <w:tcPr>
            <w:tcW w:w="709" w:type="dxa"/>
            <w:tcBorders>
              <w:top w:val="single" w:color="auto" w:sz="4" w:space="0"/>
            </w:tcBorders>
            <w:vAlign w:val="center"/>
          </w:tcPr>
          <w:p>
            <w:pPr>
              <w:spacing w:line="280" w:lineRule="exact"/>
              <w:jc w:val="center"/>
              <w:rPr>
                <w:rFonts w:ascii="宋体" w:hAnsi="宋体"/>
                <w:color w:val="auto"/>
                <w:szCs w:val="21"/>
              </w:rPr>
            </w:pPr>
            <w:r>
              <w:rPr>
                <w:rFonts w:hint="eastAsia" w:ascii="宋体" w:hAnsi="宋体" w:cs="宋体"/>
                <w:color w:val="auto"/>
                <w:szCs w:val="21"/>
              </w:rPr>
              <w:t>10</w:t>
            </w:r>
          </w:p>
        </w:tc>
        <w:tc>
          <w:tcPr>
            <w:tcW w:w="3632" w:type="dxa"/>
            <w:tcBorders>
              <w:top w:val="single" w:color="auto" w:sz="4" w:space="0"/>
            </w:tcBorders>
            <w:vAlign w:val="center"/>
          </w:tcPr>
          <w:p>
            <w:pPr>
              <w:spacing w:line="280" w:lineRule="exact"/>
              <w:ind w:firstLine="189" w:firstLineChars="90"/>
              <w:rPr>
                <w:rFonts w:ascii="宋体" w:hAnsi="宋体" w:cs="宋体"/>
                <w:color w:val="auto"/>
                <w:szCs w:val="21"/>
              </w:rPr>
            </w:pPr>
            <w:r>
              <w:rPr>
                <w:rFonts w:hint="eastAsia" w:ascii="宋体" w:hAnsi="宋体" w:cs="宋体"/>
                <w:color w:val="auto"/>
                <w:szCs w:val="21"/>
              </w:rPr>
              <w:t>（1）满足资审最低标准得6分；</w:t>
            </w:r>
          </w:p>
          <w:p>
            <w:pPr>
              <w:spacing w:line="280" w:lineRule="exact"/>
              <w:ind w:firstLine="189" w:firstLineChars="90"/>
              <w:rPr>
                <w:rFonts w:ascii="宋体" w:hAnsi="宋体" w:cs="宋体"/>
                <w:color w:val="auto"/>
                <w:szCs w:val="21"/>
              </w:rPr>
            </w:pPr>
            <w:r>
              <w:rPr>
                <w:rFonts w:hint="eastAsia" w:ascii="宋体" w:hAnsi="宋体" w:cs="宋体"/>
                <w:color w:val="auto"/>
                <w:szCs w:val="21"/>
              </w:rPr>
              <w:t>（2）项目总工学历为本科以上的，加2分。</w:t>
            </w:r>
          </w:p>
          <w:p>
            <w:pPr>
              <w:spacing w:line="280" w:lineRule="exact"/>
              <w:ind w:firstLine="189" w:firstLineChars="90"/>
              <w:rPr>
                <w:rFonts w:ascii="宋体" w:hAnsi="宋体" w:cs="宋体"/>
                <w:color w:val="auto"/>
                <w:szCs w:val="21"/>
              </w:rPr>
            </w:pPr>
            <w:r>
              <w:rPr>
                <w:rFonts w:hint="eastAsia" w:ascii="宋体" w:hAnsi="宋体" w:cs="宋体"/>
                <w:color w:val="auto"/>
                <w:szCs w:val="21"/>
              </w:rPr>
              <w:t>（3）</w:t>
            </w:r>
            <w:r>
              <w:rPr>
                <w:color w:val="auto"/>
                <w:szCs w:val="21"/>
              </w:rPr>
              <w:t>每担任过一项</w:t>
            </w:r>
            <w:r>
              <w:rPr>
                <w:rFonts w:hint="eastAsia"/>
                <w:color w:val="auto"/>
                <w:szCs w:val="21"/>
                <w:lang w:eastAsia="zh-CN"/>
              </w:rPr>
              <w:t>一级或以上级别</w:t>
            </w:r>
            <w:r>
              <w:rPr>
                <w:color w:val="auto"/>
                <w:szCs w:val="21"/>
              </w:rPr>
              <w:t>公路</w:t>
            </w:r>
            <w:r>
              <w:rPr>
                <w:rFonts w:hint="eastAsia"/>
                <w:color w:val="auto"/>
                <w:szCs w:val="21"/>
                <w:lang w:val="en-US" w:eastAsia="zh-CN"/>
              </w:rPr>
              <w:t>工程施工业绩的</w:t>
            </w:r>
            <w:r>
              <w:rPr>
                <w:rFonts w:hint="eastAsia"/>
                <w:color w:val="auto"/>
                <w:lang w:eastAsia="zh-CN"/>
              </w:rPr>
              <w:t>项目总工或副总工，加</w:t>
            </w:r>
            <w:r>
              <w:rPr>
                <w:rFonts w:hint="eastAsia"/>
                <w:color w:val="auto"/>
                <w:lang w:val="en-US" w:eastAsia="zh-CN"/>
              </w:rPr>
              <w:t>2分</w:t>
            </w:r>
            <w:r>
              <w:rPr>
                <w:rFonts w:hint="eastAsia" w:ascii="宋体" w:hAnsi="宋体" w:cs="宋体"/>
                <w:color w:val="auto"/>
                <w:szCs w:val="21"/>
              </w:rPr>
              <w:t>，最高加</w:t>
            </w:r>
            <w:r>
              <w:rPr>
                <w:rFonts w:hint="eastAsia" w:ascii="宋体" w:hAnsi="宋体" w:cs="宋体"/>
                <w:color w:val="auto"/>
                <w:szCs w:val="21"/>
                <w:lang w:val="en-US" w:eastAsia="zh-CN"/>
              </w:rPr>
              <w:t>2</w:t>
            </w:r>
            <w:r>
              <w:rPr>
                <w:rFonts w:hint="eastAsia" w:ascii="宋体" w:hAnsi="宋体" w:cs="宋体"/>
                <w:color w:val="auto"/>
                <w:szCs w:val="21"/>
              </w:rPr>
              <w:t>分</w:t>
            </w:r>
          </w:p>
          <w:p>
            <w:pPr>
              <w:spacing w:line="280" w:lineRule="exact"/>
              <w:ind w:firstLine="294" w:firstLineChars="140"/>
              <w:rPr>
                <w:rFonts w:ascii="宋体" w:hAnsi="宋体"/>
                <w:color w:val="auto"/>
                <w:szCs w:val="21"/>
              </w:rPr>
            </w:pPr>
            <w:r>
              <w:rPr>
                <w:rFonts w:hint="eastAsia"/>
                <w:color w:val="auto"/>
              </w:rPr>
              <w:t>人员业绩须在交通运输部全国公路建设市场信用信息管理系统进行登记并审核通过，且登记信息能体现项目为公路工程、技术等级、交工验收时间及任职情况等关键内容。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987" w:type="dxa"/>
            <w:vMerge w:val="restart"/>
            <w:tcBorders>
              <w:top w:val="single" w:color="auto" w:sz="4" w:space="0"/>
            </w:tcBorders>
            <w:vAlign w:val="center"/>
          </w:tcPr>
          <w:p>
            <w:pPr>
              <w:adjustRightInd w:val="0"/>
              <w:snapToGrid w:val="0"/>
              <w:jc w:val="center"/>
              <w:rPr>
                <w:rFonts w:ascii="宋体" w:hAnsi="宋体"/>
              </w:rPr>
            </w:pPr>
            <w:r>
              <w:rPr>
                <w:rFonts w:hint="eastAsia" w:ascii="宋体" w:hAnsi="宋体"/>
              </w:rPr>
              <w:t>2.2.2（3）</w:t>
            </w:r>
          </w:p>
        </w:tc>
        <w:tc>
          <w:tcPr>
            <w:tcW w:w="625" w:type="dxa"/>
            <w:vMerge w:val="restart"/>
            <w:tcBorders>
              <w:right w:val="single" w:color="auto" w:sz="4" w:space="0"/>
            </w:tcBorders>
            <w:vAlign w:val="center"/>
          </w:tcPr>
          <w:p>
            <w:pPr>
              <w:adjustRightInd w:val="0"/>
              <w:snapToGrid w:val="0"/>
              <w:jc w:val="center"/>
              <w:rPr>
                <w:rFonts w:ascii="宋体" w:hAnsi="宋体"/>
              </w:rPr>
            </w:pPr>
            <w:r>
              <w:rPr>
                <w:rFonts w:hint="eastAsia" w:ascii="宋体" w:hAnsi="宋体"/>
              </w:rPr>
              <w:t>其他因素</w:t>
            </w:r>
          </w:p>
        </w:tc>
        <w:tc>
          <w:tcPr>
            <w:tcW w:w="449" w:type="dxa"/>
            <w:tcBorders>
              <w:left w:val="single" w:color="auto" w:sz="4" w:space="0"/>
            </w:tcBorders>
            <w:vAlign w:val="center"/>
          </w:tcPr>
          <w:p>
            <w:pPr>
              <w:adjustRightInd w:val="0"/>
              <w:snapToGrid w:val="0"/>
              <w:jc w:val="center"/>
              <w:rPr>
                <w:rFonts w:ascii="宋体" w:hAnsi="宋体"/>
              </w:rPr>
            </w:pPr>
            <w:r>
              <w:rPr>
                <w:rFonts w:hint="eastAsia" w:ascii="宋体" w:hAnsi="宋体"/>
              </w:rPr>
              <w:t>技术能力</w:t>
            </w:r>
          </w:p>
        </w:tc>
        <w:tc>
          <w:tcPr>
            <w:tcW w:w="1063" w:type="dxa"/>
            <w:vAlign w:val="center"/>
          </w:tcPr>
          <w:p>
            <w:pPr>
              <w:adjustRightInd w:val="0"/>
              <w:snapToGrid w:val="0"/>
              <w:jc w:val="center"/>
              <w:rPr>
                <w:rFonts w:ascii="宋体" w:hAnsi="宋体"/>
              </w:rPr>
            </w:pPr>
            <w:r>
              <w:rPr>
                <w:rFonts w:hint="eastAsia" w:ascii="宋体" w:hAnsi="宋体"/>
              </w:rPr>
              <w:t>10</w:t>
            </w:r>
          </w:p>
        </w:tc>
        <w:tc>
          <w:tcPr>
            <w:tcW w:w="2682" w:type="dxa"/>
            <w:vAlign w:val="center"/>
          </w:tcPr>
          <w:p>
            <w:pPr>
              <w:ind w:left="-69" w:leftChars="-33" w:right="-40" w:rightChars="-19"/>
              <w:jc w:val="center"/>
              <w:rPr>
                <w:rFonts w:ascii="宋体" w:hAnsi="宋体"/>
              </w:rPr>
            </w:pPr>
            <w:r>
              <w:rPr>
                <w:rFonts w:hint="eastAsia" w:ascii="宋体" w:hAnsi="宋体" w:cs="宋体"/>
                <w:szCs w:val="21"/>
              </w:rPr>
              <w:t>公路工程工法、奖项、专利</w:t>
            </w:r>
          </w:p>
        </w:tc>
        <w:tc>
          <w:tcPr>
            <w:tcW w:w="709" w:type="dxa"/>
            <w:vAlign w:val="center"/>
          </w:tcPr>
          <w:p>
            <w:pPr>
              <w:jc w:val="center"/>
              <w:rPr>
                <w:rFonts w:ascii="宋体" w:hAnsi="宋体"/>
              </w:rPr>
            </w:pPr>
            <w:r>
              <w:rPr>
                <w:rFonts w:hint="eastAsia" w:ascii="宋体" w:hAnsi="宋体"/>
              </w:rPr>
              <w:t>10分</w:t>
            </w:r>
          </w:p>
        </w:tc>
        <w:tc>
          <w:tcPr>
            <w:tcW w:w="3632" w:type="dxa"/>
            <w:vAlign w:val="center"/>
          </w:tcPr>
          <w:p>
            <w:pPr>
              <w:spacing w:line="280" w:lineRule="exact"/>
              <w:ind w:firstLine="189" w:firstLineChars="90"/>
              <w:rPr>
                <w:rFonts w:ascii="宋体" w:hAnsi="宋体" w:cs="宋体"/>
                <w:szCs w:val="21"/>
              </w:rPr>
            </w:pPr>
            <w:r>
              <w:rPr>
                <w:rFonts w:hint="eastAsia" w:ascii="宋体" w:hAnsi="宋体" w:cs="宋体"/>
                <w:szCs w:val="21"/>
              </w:rPr>
              <w:t>（1）投标人获得的国家级公路工程工法（路基类或路面类或桥涵类，并在有效期内），有一项加2分；</w:t>
            </w:r>
          </w:p>
          <w:p>
            <w:pPr>
              <w:spacing w:line="280" w:lineRule="exact"/>
              <w:ind w:firstLine="189" w:firstLineChars="90"/>
              <w:rPr>
                <w:rFonts w:ascii="宋体" w:hAnsi="宋体" w:cs="宋体"/>
                <w:szCs w:val="21"/>
              </w:rPr>
            </w:pPr>
            <w:r>
              <w:rPr>
                <w:rFonts w:hint="eastAsia" w:ascii="宋体" w:hAnsi="宋体" w:cs="宋体"/>
                <w:szCs w:val="21"/>
              </w:rPr>
              <w:t>投标人须在相关网站下载相关信息并打印加盖公章。</w:t>
            </w:r>
          </w:p>
          <w:p>
            <w:pPr>
              <w:spacing w:line="280" w:lineRule="exact"/>
              <w:ind w:firstLine="189" w:firstLineChars="90"/>
              <w:rPr>
                <w:rFonts w:ascii="宋体" w:hAnsi="宋体" w:cs="宋体"/>
                <w:szCs w:val="21"/>
              </w:rPr>
            </w:pPr>
            <w:r>
              <w:rPr>
                <w:rFonts w:hint="eastAsia" w:ascii="宋体" w:hAnsi="宋体" w:cs="宋体"/>
                <w:szCs w:val="21"/>
              </w:rPr>
              <w:t>（2）投标人获得的与本次招标的施工内容公路工程（路基或路面或桥涵工程）有关的鲁班奖、李春奖、詹天佑奖或国家优质工程奖，每获得1项得2分，同一工程所重复获得的奖项最多加2分；</w:t>
            </w:r>
          </w:p>
          <w:p>
            <w:pPr>
              <w:spacing w:line="280" w:lineRule="exact"/>
              <w:ind w:firstLine="189" w:firstLineChars="90"/>
              <w:rPr>
                <w:rFonts w:ascii="宋体" w:hAnsi="宋体" w:cs="宋体"/>
                <w:szCs w:val="21"/>
              </w:rPr>
            </w:pPr>
            <w:r>
              <w:rPr>
                <w:rFonts w:hint="eastAsia" w:ascii="宋体" w:hAnsi="宋体" w:cs="宋体"/>
                <w:szCs w:val="21"/>
              </w:rPr>
              <w:t>投标人须在相关网站下载相关信息并打印加盖公章。</w:t>
            </w:r>
          </w:p>
          <w:p>
            <w:pPr>
              <w:spacing w:line="280" w:lineRule="exact"/>
              <w:ind w:firstLine="189" w:firstLineChars="90"/>
              <w:rPr>
                <w:rFonts w:ascii="宋体" w:hAnsi="宋体" w:cs="宋体"/>
                <w:szCs w:val="21"/>
              </w:rPr>
            </w:pPr>
            <w:r>
              <w:rPr>
                <w:rFonts w:hint="eastAsia" w:ascii="宋体" w:hAnsi="宋体" w:cs="宋体"/>
                <w:szCs w:val="21"/>
              </w:rPr>
              <w:t>（3）投标人获得的与本次招标有关的施工工艺类、材料类以及机械类专利（发明专利或实用新型专利），且在有效期内。每有1项得2分，投标人须提供中华人民共和国国家知识产权局颁发的专利证书复印件及相关网站下载相关信息并打印加盖公章。</w:t>
            </w:r>
          </w:p>
          <w:p>
            <w:pPr>
              <w:snapToGrid w:val="0"/>
              <w:spacing w:line="240" w:lineRule="exact"/>
              <w:rPr>
                <w:rFonts w:ascii="宋体" w:hAnsi="宋体"/>
                <w:szCs w:val="21"/>
              </w:rPr>
            </w:pPr>
            <w:r>
              <w:rPr>
                <w:rFonts w:hint="eastAsia" w:ascii="宋体" w:hAnsi="宋体" w:cs="宋体"/>
                <w:szCs w:val="21"/>
              </w:rPr>
              <w:t xml:space="preserve"> 注：以上3项汇总最高得分为10分。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87" w:type="dxa"/>
            <w:vMerge w:val="continue"/>
            <w:vAlign w:val="center"/>
          </w:tcPr>
          <w:p>
            <w:pPr>
              <w:adjustRightInd w:val="0"/>
              <w:snapToGrid w:val="0"/>
              <w:jc w:val="center"/>
              <w:rPr>
                <w:rFonts w:ascii="宋体" w:hAnsi="宋体"/>
              </w:rPr>
            </w:pPr>
          </w:p>
        </w:tc>
        <w:tc>
          <w:tcPr>
            <w:tcW w:w="625" w:type="dxa"/>
            <w:vMerge w:val="continue"/>
            <w:tcBorders>
              <w:right w:val="single" w:color="auto" w:sz="4" w:space="0"/>
            </w:tcBorders>
            <w:vAlign w:val="center"/>
          </w:tcPr>
          <w:p>
            <w:pPr>
              <w:adjustRightInd w:val="0"/>
              <w:snapToGrid w:val="0"/>
              <w:jc w:val="center"/>
              <w:rPr>
                <w:rFonts w:ascii="宋体" w:hAnsi="宋体"/>
              </w:rPr>
            </w:pPr>
          </w:p>
        </w:tc>
        <w:tc>
          <w:tcPr>
            <w:tcW w:w="449" w:type="dxa"/>
            <w:tcBorders>
              <w:left w:val="single" w:color="auto" w:sz="4" w:space="0"/>
            </w:tcBorders>
            <w:vAlign w:val="center"/>
          </w:tcPr>
          <w:p>
            <w:pPr>
              <w:adjustRightInd w:val="0"/>
              <w:snapToGrid w:val="0"/>
              <w:jc w:val="center"/>
              <w:rPr>
                <w:rFonts w:ascii="宋体" w:hAnsi="宋体"/>
              </w:rPr>
            </w:pPr>
            <w:r>
              <w:rPr>
                <w:rFonts w:hint="eastAsia" w:ascii="宋体" w:hAnsi="宋体"/>
              </w:rPr>
              <w:t>履约信誉</w:t>
            </w:r>
          </w:p>
        </w:tc>
        <w:tc>
          <w:tcPr>
            <w:tcW w:w="1063" w:type="dxa"/>
            <w:vAlign w:val="center"/>
          </w:tcPr>
          <w:p>
            <w:pPr>
              <w:adjustRightInd w:val="0"/>
              <w:snapToGrid w:val="0"/>
              <w:jc w:val="center"/>
              <w:rPr>
                <w:rFonts w:ascii="宋体" w:hAnsi="宋体"/>
                <w:u w:val="single"/>
              </w:rPr>
            </w:pPr>
            <w:r>
              <w:rPr>
                <w:rFonts w:hint="eastAsia" w:ascii="宋体" w:hAnsi="宋体"/>
              </w:rPr>
              <w:t>15</w:t>
            </w:r>
          </w:p>
        </w:tc>
        <w:tc>
          <w:tcPr>
            <w:tcW w:w="2682" w:type="dxa"/>
            <w:vAlign w:val="center"/>
          </w:tcPr>
          <w:p>
            <w:pPr>
              <w:ind w:left="-69" w:leftChars="-33" w:right="-40" w:rightChars="-19"/>
              <w:jc w:val="center"/>
              <w:rPr>
                <w:rFonts w:ascii="宋体" w:hAnsi="宋体"/>
              </w:rPr>
            </w:pPr>
            <w:r>
              <w:rPr>
                <w:rFonts w:hint="eastAsia" w:ascii="宋体" w:hAnsi="宋体" w:cs="宋体"/>
                <w:szCs w:val="21"/>
              </w:rPr>
              <w:t>公路建设市场信用等级</w:t>
            </w:r>
          </w:p>
        </w:tc>
        <w:tc>
          <w:tcPr>
            <w:tcW w:w="709" w:type="dxa"/>
            <w:vAlign w:val="center"/>
          </w:tcPr>
          <w:p>
            <w:pPr>
              <w:jc w:val="center"/>
              <w:rPr>
                <w:rFonts w:ascii="宋体" w:hAnsi="宋体"/>
                <w:u w:val="single"/>
              </w:rPr>
            </w:pPr>
            <w:r>
              <w:rPr>
                <w:rFonts w:hint="eastAsia" w:ascii="宋体" w:hAnsi="宋体"/>
                <w:u w:val="single"/>
              </w:rPr>
              <w:t>15</w:t>
            </w:r>
          </w:p>
        </w:tc>
        <w:tc>
          <w:tcPr>
            <w:tcW w:w="3632" w:type="dxa"/>
            <w:vAlign w:val="center"/>
          </w:tcPr>
          <w:p>
            <w:pPr>
              <w:spacing w:line="280" w:lineRule="exact"/>
              <w:ind w:firstLine="189" w:firstLineChars="90"/>
              <w:rPr>
                <w:rFonts w:ascii="宋体" w:hAnsi="宋体" w:cs="宋体"/>
                <w:szCs w:val="21"/>
              </w:rPr>
            </w:pPr>
            <w:r>
              <w:rPr>
                <w:rFonts w:hint="eastAsia" w:ascii="宋体" w:hAnsi="宋体" w:cs="宋体"/>
                <w:szCs w:val="21"/>
              </w:rPr>
              <w:t>（1）满足资格审查条件（信誉最低要求）最低标准得9分；</w:t>
            </w:r>
          </w:p>
          <w:p>
            <w:pPr>
              <w:snapToGrid w:val="0"/>
              <w:spacing w:line="240" w:lineRule="exact"/>
              <w:rPr>
                <w:rFonts w:ascii="宋体" w:hAnsi="宋体"/>
                <w:szCs w:val="21"/>
              </w:rPr>
            </w:pPr>
            <w:r>
              <w:rPr>
                <w:rFonts w:hint="eastAsia" w:ascii="宋体" w:hAnsi="宋体" w:cs="宋体"/>
                <w:szCs w:val="21"/>
              </w:rPr>
              <w:t xml:space="preserve">（2）公路建设市场信用等级评价获得AA级的，加6分；获得A级的，加4分；获得B级的，不加分。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987" w:type="dxa"/>
            <w:vMerge w:val="continue"/>
            <w:vAlign w:val="center"/>
          </w:tcPr>
          <w:p>
            <w:pPr>
              <w:adjustRightInd w:val="0"/>
              <w:snapToGrid w:val="0"/>
              <w:jc w:val="center"/>
              <w:rPr>
                <w:rFonts w:ascii="宋体" w:hAnsi="宋体"/>
              </w:rPr>
            </w:pPr>
          </w:p>
        </w:tc>
        <w:tc>
          <w:tcPr>
            <w:tcW w:w="625" w:type="dxa"/>
            <w:vMerge w:val="continue"/>
            <w:tcBorders>
              <w:right w:val="single" w:color="auto" w:sz="4" w:space="0"/>
            </w:tcBorders>
            <w:vAlign w:val="center"/>
          </w:tcPr>
          <w:p>
            <w:pPr>
              <w:adjustRightInd w:val="0"/>
              <w:snapToGrid w:val="0"/>
              <w:jc w:val="center"/>
              <w:rPr>
                <w:rFonts w:ascii="宋体" w:hAnsi="宋体"/>
              </w:rPr>
            </w:pPr>
          </w:p>
        </w:tc>
        <w:tc>
          <w:tcPr>
            <w:tcW w:w="449" w:type="dxa"/>
            <w:tcBorders>
              <w:left w:val="single" w:color="auto" w:sz="4" w:space="0"/>
            </w:tcBorders>
            <w:vAlign w:val="center"/>
          </w:tcPr>
          <w:p>
            <w:pPr>
              <w:adjustRightInd w:val="0"/>
              <w:snapToGrid w:val="0"/>
              <w:jc w:val="center"/>
              <w:rPr>
                <w:rFonts w:ascii="宋体" w:hAnsi="宋体"/>
              </w:rPr>
            </w:pPr>
            <w:r>
              <w:rPr>
                <w:rFonts w:hint="eastAsia" w:ascii="宋体" w:hAnsi="宋体"/>
              </w:rPr>
              <w:t>业绩</w:t>
            </w:r>
          </w:p>
        </w:tc>
        <w:tc>
          <w:tcPr>
            <w:tcW w:w="1063" w:type="dxa"/>
            <w:vAlign w:val="center"/>
          </w:tcPr>
          <w:p>
            <w:pPr>
              <w:adjustRightInd w:val="0"/>
              <w:snapToGrid w:val="0"/>
              <w:jc w:val="center"/>
              <w:rPr>
                <w:rFonts w:ascii="宋体" w:hAnsi="宋体"/>
                <w:u w:val="single"/>
              </w:rPr>
            </w:pPr>
            <w:r>
              <w:rPr>
                <w:rFonts w:hint="eastAsia" w:ascii="宋体" w:hAnsi="宋体"/>
              </w:rPr>
              <w:t>10</w:t>
            </w:r>
          </w:p>
        </w:tc>
        <w:tc>
          <w:tcPr>
            <w:tcW w:w="2682" w:type="dxa"/>
            <w:vAlign w:val="center"/>
          </w:tcPr>
          <w:p>
            <w:pPr>
              <w:ind w:left="-69" w:leftChars="-33" w:right="-40" w:rightChars="-19"/>
              <w:jc w:val="center"/>
              <w:rPr>
                <w:rFonts w:ascii="宋体" w:hAnsi="宋体"/>
              </w:rPr>
            </w:pPr>
            <w:r>
              <w:rPr>
                <w:rFonts w:hint="eastAsia" w:ascii="宋体" w:hAnsi="宋体"/>
              </w:rPr>
              <w:t>企业业绩</w:t>
            </w:r>
          </w:p>
        </w:tc>
        <w:tc>
          <w:tcPr>
            <w:tcW w:w="709" w:type="dxa"/>
            <w:vAlign w:val="center"/>
          </w:tcPr>
          <w:p>
            <w:pPr>
              <w:jc w:val="center"/>
              <w:rPr>
                <w:rFonts w:ascii="宋体" w:hAnsi="宋体"/>
                <w:u w:val="single"/>
              </w:rPr>
            </w:pPr>
            <w:r>
              <w:rPr>
                <w:rFonts w:hint="eastAsia" w:ascii="宋体" w:hAnsi="宋体"/>
              </w:rPr>
              <w:t>10</w:t>
            </w:r>
          </w:p>
        </w:tc>
        <w:tc>
          <w:tcPr>
            <w:tcW w:w="3632" w:type="dxa"/>
            <w:vAlign w:val="center"/>
          </w:tcPr>
          <w:p>
            <w:pPr>
              <w:spacing w:line="280" w:lineRule="exact"/>
              <w:ind w:firstLine="189" w:firstLineChars="90"/>
            </w:pPr>
            <w:r>
              <w:rPr>
                <w:rFonts w:hint="eastAsia"/>
              </w:rPr>
              <w:t>（1）满足资审最低标准得6分；</w:t>
            </w:r>
          </w:p>
          <w:p>
            <w:pPr>
              <w:spacing w:line="280" w:lineRule="exact"/>
              <w:ind w:firstLine="189" w:firstLineChars="90"/>
            </w:pPr>
            <w:r>
              <w:rPr>
                <w:rFonts w:hint="eastAsia"/>
              </w:rPr>
              <w:t>（2）企业业绩每增加完成一项</w:t>
            </w:r>
            <w:r>
              <w:rPr>
                <w:rFonts w:hint="eastAsia"/>
                <w:szCs w:val="21"/>
              </w:rPr>
              <w:t>一级（或以上）公路工程业绩</w:t>
            </w:r>
            <w:r>
              <w:rPr>
                <w:rFonts w:hint="eastAsia"/>
              </w:rPr>
              <w:t>加2分，最高加4分。</w:t>
            </w:r>
          </w:p>
          <w:p>
            <w:pPr>
              <w:snapToGrid w:val="0"/>
              <w:spacing w:line="240" w:lineRule="exact"/>
              <w:rPr>
                <w:rFonts w:ascii="宋体" w:hAnsi="宋体"/>
              </w:rPr>
            </w:pPr>
            <w:r>
              <w:rPr>
                <w:rFonts w:hint="eastAsia"/>
              </w:rPr>
              <w:t>企业业绩须在交通运输部全国公路建设市场信用信息管理系统进行登记并审核通过，且登记信息能体现项目为公路工程、里程（或长度）、技术等级以及交工验收时间（</w:t>
            </w:r>
            <w:r>
              <w:rPr>
                <w:rFonts w:hint="eastAsia"/>
                <w:lang w:eastAsia="zh-CN"/>
              </w:rPr>
              <w:t>2017年1月1日</w:t>
            </w:r>
            <w:r>
              <w:rPr>
                <w:rFonts w:hint="eastAsia"/>
              </w:rPr>
              <w:t>至投标截止之日）等关键内容。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47" w:type="dxa"/>
            <w:gridSpan w:val="7"/>
          </w:tcPr>
          <w:p>
            <w:pPr>
              <w:tabs>
                <w:tab w:val="left" w:pos="2775"/>
              </w:tabs>
              <w:spacing w:line="260" w:lineRule="exact"/>
              <w:jc w:val="left"/>
              <w:rPr>
                <w:rFonts w:ascii="宋体" w:hAnsi="宋体"/>
                <w:szCs w:val="21"/>
              </w:rPr>
            </w:pPr>
            <w:r>
              <w:rPr>
                <w:rFonts w:hint="eastAsia" w:ascii="宋体" w:hAnsi="宋体"/>
                <w:szCs w:val="21"/>
              </w:rPr>
              <w:t>需要补充的其他内容：</w:t>
            </w:r>
            <w:r>
              <w:rPr>
                <w:rFonts w:ascii="宋体" w:hAnsi="宋体"/>
                <w:szCs w:val="21"/>
              </w:rPr>
              <w:t>各评分因素（评标价和履约信誉评分</w:t>
            </w:r>
            <w:r>
              <w:rPr>
                <w:rFonts w:hint="eastAsia" w:ascii="宋体" w:hAnsi="宋体"/>
                <w:szCs w:val="21"/>
              </w:rPr>
              <w:t>项除外）</w:t>
            </w:r>
            <w:r>
              <w:rPr>
                <w:rFonts w:ascii="宋体" w:hAnsi="宋体"/>
                <w:szCs w:val="21"/>
              </w:rPr>
              <w:t>得分一般不得低于其权重分值的 60%，且各</w:t>
            </w:r>
            <w:r>
              <w:rPr>
                <w:rFonts w:hint="eastAsia" w:ascii="宋体" w:hAnsi="宋体"/>
                <w:szCs w:val="21"/>
              </w:rPr>
              <w:t>评分</w:t>
            </w:r>
            <w:r>
              <w:rPr>
                <w:rFonts w:ascii="宋体" w:hAnsi="宋体"/>
                <w:szCs w:val="21"/>
              </w:rPr>
              <w:t>因素得分应以评标委员会各成员的打分平均值确定，评标委员会成员总数为七人</w:t>
            </w:r>
            <w:r>
              <w:rPr>
                <w:rFonts w:hint="eastAsia" w:ascii="宋体" w:hAnsi="宋体"/>
                <w:szCs w:val="21"/>
              </w:rPr>
              <w:t>（含七人）</w:t>
            </w:r>
            <w:r>
              <w:rPr>
                <w:rFonts w:ascii="宋体" w:hAnsi="宋体"/>
                <w:szCs w:val="21"/>
              </w:rPr>
              <w:t>以上时，该平均值以去</w:t>
            </w:r>
            <w:r>
              <w:rPr>
                <w:rFonts w:hint="eastAsia" w:ascii="宋体" w:hAnsi="宋体"/>
                <w:szCs w:val="21"/>
              </w:rPr>
              <w:t>掉</w:t>
            </w:r>
            <w:r>
              <w:rPr>
                <w:rFonts w:ascii="宋体" w:hAnsi="宋体"/>
                <w:szCs w:val="21"/>
              </w:rPr>
              <w:t>一个最高分</w:t>
            </w:r>
            <w:r>
              <w:rPr>
                <w:rFonts w:hint="eastAsia" w:ascii="宋体" w:hAnsi="宋体"/>
                <w:szCs w:val="21"/>
              </w:rPr>
              <w:t>和</w:t>
            </w:r>
            <w:r>
              <w:rPr>
                <w:rFonts w:ascii="宋体" w:hAnsi="宋体"/>
                <w:szCs w:val="21"/>
              </w:rPr>
              <w:t>一个最低分后计算</w:t>
            </w:r>
            <w:r>
              <w:rPr>
                <w:rFonts w:hint="eastAsia" w:ascii="宋体" w:hAnsi="宋体"/>
                <w:szCs w:val="21"/>
              </w:rPr>
              <w:t>,保留2位小数</w:t>
            </w:r>
            <w:r>
              <w:rPr>
                <w:rFonts w:ascii="宋体" w:hAnsi="宋体"/>
                <w:szCs w:val="21"/>
              </w:rPr>
              <w:t>。</w:t>
            </w:r>
            <w:r>
              <w:rPr>
                <w:rFonts w:hint="eastAsia" w:ascii="宋体" w:hAnsi="宋体"/>
                <w:szCs w:val="21"/>
              </w:rPr>
              <w:t>评</w:t>
            </w:r>
            <w:r>
              <w:rPr>
                <w:rFonts w:ascii="宋体" w:hAnsi="宋体"/>
                <w:szCs w:val="21"/>
              </w:rPr>
              <w:t>标委员会成员对某一项评分因素的评分低于</w:t>
            </w:r>
            <w:r>
              <w:rPr>
                <w:rFonts w:hint="eastAsia" w:ascii="宋体" w:hAnsi="宋体"/>
                <w:szCs w:val="21"/>
              </w:rPr>
              <w:t>权重</w:t>
            </w:r>
            <w:r>
              <w:rPr>
                <w:rFonts w:ascii="宋体" w:hAnsi="宋体"/>
                <w:szCs w:val="21"/>
              </w:rPr>
              <w:t>分值60%的，应在评标报告中作出说明。</w:t>
            </w:r>
          </w:p>
        </w:tc>
      </w:tr>
    </w:tbl>
    <w:p>
      <w:pPr>
        <w:numPr>
          <w:ilvl w:val="0"/>
          <w:numId w:val="4"/>
        </w:numPr>
        <w:adjustRightInd w:val="0"/>
        <w:snapToGrid w:val="0"/>
        <w:spacing w:line="360" w:lineRule="auto"/>
        <w:rPr>
          <w:rFonts w:ascii="宋体" w:hAnsi="宋体"/>
          <w:b/>
          <w:szCs w:val="21"/>
        </w:rPr>
      </w:pPr>
      <w:r>
        <w:rPr>
          <w:rFonts w:ascii="宋体" w:hAnsi="宋体"/>
          <w:b/>
          <w:sz w:val="28"/>
          <w:szCs w:val="28"/>
        </w:rPr>
        <w:br w:type="page"/>
      </w:r>
      <w:r>
        <w:rPr>
          <w:rFonts w:hint="eastAsia" w:ascii="宋体" w:hAnsi="宋体"/>
          <w:b/>
          <w:szCs w:val="21"/>
        </w:rPr>
        <w:t>评标方法</w:t>
      </w:r>
    </w:p>
    <w:p>
      <w:pPr>
        <w:adjustRightInd w:val="0"/>
        <w:snapToGrid w:val="0"/>
        <w:spacing w:line="360" w:lineRule="auto"/>
        <w:ind w:firstLine="420" w:firstLineChars="200"/>
        <w:rPr>
          <w:rFonts w:ascii="宋体" w:hAnsi="宋体"/>
          <w:szCs w:val="21"/>
        </w:rPr>
      </w:pPr>
      <w:r>
        <w:rPr>
          <w:rFonts w:hint="eastAsia" w:ascii="宋体" w:hAnsi="宋体"/>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numPr>
          <w:ilvl w:val="0"/>
          <w:numId w:val="4"/>
        </w:numPr>
        <w:adjustRightInd w:val="0"/>
        <w:snapToGrid w:val="0"/>
        <w:spacing w:before="120" w:beforeLines="50" w:after="120" w:afterLines="50" w:line="360" w:lineRule="auto"/>
        <w:rPr>
          <w:rFonts w:ascii="宋体" w:hAnsi="宋体"/>
          <w:b/>
          <w:szCs w:val="21"/>
        </w:rPr>
      </w:pPr>
      <w:r>
        <w:rPr>
          <w:rFonts w:hint="eastAsia" w:ascii="宋体" w:hAnsi="宋体"/>
          <w:b/>
          <w:szCs w:val="21"/>
        </w:rPr>
        <w:t>评审标准</w:t>
      </w:r>
    </w:p>
    <w:p>
      <w:pPr>
        <w:adjustRightInd w:val="0"/>
        <w:snapToGrid w:val="0"/>
        <w:spacing w:before="120" w:beforeLines="50" w:after="120" w:afterLines="50" w:line="360" w:lineRule="auto"/>
        <w:rPr>
          <w:rFonts w:ascii="宋体" w:hAnsi="宋体"/>
          <w:b/>
          <w:szCs w:val="21"/>
        </w:rPr>
      </w:pPr>
      <w:r>
        <w:rPr>
          <w:rFonts w:hint="eastAsia" w:ascii="宋体" w:hAnsi="宋体"/>
          <w:b/>
          <w:szCs w:val="21"/>
        </w:rPr>
        <w:t>2.1初步评审标准</w:t>
      </w:r>
    </w:p>
    <w:p>
      <w:pPr>
        <w:adjustRightInd w:val="0"/>
        <w:snapToGrid w:val="0"/>
        <w:spacing w:line="360" w:lineRule="auto"/>
        <w:ind w:firstLine="420" w:firstLineChars="200"/>
        <w:rPr>
          <w:rFonts w:ascii="宋体" w:hAnsi="宋体"/>
          <w:szCs w:val="21"/>
        </w:rPr>
      </w:pPr>
      <w:r>
        <w:rPr>
          <w:rFonts w:hint="eastAsia" w:ascii="宋体" w:hAnsi="宋体"/>
          <w:szCs w:val="21"/>
        </w:rPr>
        <w:t>2.1.1形式评审标准：见评标办法前附表。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2.1.2资格评审标准：见评标办法前附表。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2.1.3响应性评审标准：见评标办法前附表。</w:t>
      </w:r>
    </w:p>
    <w:p>
      <w:pPr>
        <w:adjustRightInd w:val="0"/>
        <w:snapToGrid w:val="0"/>
        <w:spacing w:before="120" w:beforeLines="50" w:after="120" w:afterLines="50" w:line="360" w:lineRule="auto"/>
        <w:rPr>
          <w:rFonts w:ascii="宋体" w:hAnsi="宋体"/>
          <w:b/>
          <w:szCs w:val="21"/>
        </w:rPr>
      </w:pPr>
      <w:r>
        <w:rPr>
          <w:rFonts w:hint="eastAsia" w:ascii="宋体" w:hAnsi="宋体"/>
          <w:b/>
          <w:szCs w:val="21"/>
        </w:rPr>
        <w:t>2.2分值构成与评分标准</w:t>
      </w:r>
    </w:p>
    <w:p>
      <w:pPr>
        <w:adjustRightInd w:val="0"/>
        <w:snapToGrid w:val="0"/>
        <w:spacing w:before="120" w:beforeLines="50" w:after="120" w:afterLines="50" w:line="360" w:lineRule="auto"/>
        <w:ind w:firstLine="422" w:firstLineChars="200"/>
        <w:rPr>
          <w:rFonts w:ascii="宋体" w:hAnsi="宋体"/>
          <w:b/>
          <w:szCs w:val="21"/>
        </w:rPr>
      </w:pPr>
      <w:r>
        <w:rPr>
          <w:rFonts w:hint="eastAsia" w:ascii="宋体" w:hAnsi="宋体"/>
          <w:b/>
          <w:szCs w:val="21"/>
        </w:rPr>
        <w:t>2.2.1 第一个信封评分分值构成</w:t>
      </w:r>
    </w:p>
    <w:p>
      <w:pPr>
        <w:adjustRightInd w:val="0"/>
        <w:snapToGrid w:val="0"/>
        <w:spacing w:line="360" w:lineRule="auto"/>
        <w:ind w:firstLine="420" w:firstLineChars="200"/>
        <w:rPr>
          <w:rFonts w:ascii="宋体" w:hAnsi="宋体"/>
          <w:szCs w:val="21"/>
        </w:rPr>
      </w:pPr>
      <w:r>
        <w:rPr>
          <w:rFonts w:hint="eastAsia" w:ascii="宋体" w:hAnsi="宋体"/>
          <w:szCs w:val="21"/>
        </w:rPr>
        <w:t>（1）施工组织设计：见评标办法前附表；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（2）主要人员：见评标办法前附表；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（3）其他评分因素：见评标办法前附表。</w:t>
      </w:r>
    </w:p>
    <w:p>
      <w:pPr>
        <w:adjustRightInd w:val="0"/>
        <w:snapToGrid w:val="0"/>
        <w:spacing w:before="120" w:beforeLines="50" w:after="120" w:afterLines="50" w:line="360" w:lineRule="auto"/>
        <w:ind w:firstLine="422" w:firstLineChars="200"/>
        <w:rPr>
          <w:rFonts w:ascii="宋体" w:hAnsi="宋体"/>
          <w:b/>
          <w:szCs w:val="21"/>
        </w:rPr>
      </w:pPr>
      <w:r>
        <w:rPr>
          <w:rFonts w:hint="eastAsia" w:ascii="宋体" w:hAnsi="宋体"/>
          <w:b/>
          <w:szCs w:val="21"/>
        </w:rPr>
        <w:t>2.2.2 第一个信封评分评分标准</w:t>
      </w:r>
    </w:p>
    <w:p>
      <w:pPr>
        <w:adjustRightInd w:val="0"/>
        <w:snapToGrid w:val="0"/>
        <w:spacing w:line="360" w:lineRule="auto"/>
        <w:ind w:firstLine="420" w:firstLineChars="200"/>
        <w:rPr>
          <w:rFonts w:ascii="宋体" w:hAnsi="宋体"/>
          <w:szCs w:val="21"/>
        </w:rPr>
      </w:pPr>
      <w:r>
        <w:rPr>
          <w:rFonts w:hint="eastAsia" w:ascii="宋体" w:hAnsi="宋体"/>
          <w:szCs w:val="21"/>
        </w:rPr>
        <w:t>（1）施工组织设计评分标准：见评标办法前附表；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（2）主要人员评分标准：见评标办法前附表；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（3）其他因素评分标准：见评标办法前附表。</w:t>
      </w:r>
    </w:p>
    <w:p>
      <w:pPr>
        <w:adjustRightInd w:val="0"/>
        <w:snapToGrid w:val="0"/>
        <w:spacing w:line="360" w:lineRule="auto"/>
        <w:ind w:firstLine="420" w:firstLineChars="200"/>
        <w:rPr>
          <w:rFonts w:ascii="宋体" w:hAnsi="宋体"/>
          <w:szCs w:val="21"/>
        </w:rPr>
      </w:pPr>
      <w:r>
        <w:rPr>
          <w:rFonts w:hint="eastAsia" w:ascii="宋体" w:hAnsi="宋体"/>
          <w:szCs w:val="21"/>
        </w:rPr>
        <w:t>2.2.3第二个信封详细评审标准：见评标办法前附表。</w:t>
      </w:r>
    </w:p>
    <w:p>
      <w:pPr>
        <w:numPr>
          <w:ilvl w:val="0"/>
          <w:numId w:val="4"/>
        </w:numPr>
        <w:adjustRightInd w:val="0"/>
        <w:snapToGrid w:val="0"/>
        <w:spacing w:before="120" w:beforeLines="50" w:after="120" w:afterLines="50" w:line="360" w:lineRule="auto"/>
        <w:rPr>
          <w:rFonts w:ascii="宋体" w:hAnsi="宋体"/>
          <w:b/>
          <w:szCs w:val="21"/>
        </w:rPr>
      </w:pPr>
      <w:r>
        <w:rPr>
          <w:rFonts w:hint="eastAsia" w:ascii="宋体" w:hAnsi="宋体"/>
          <w:b/>
          <w:szCs w:val="21"/>
        </w:rPr>
        <w:t>评标程序</w:t>
      </w:r>
    </w:p>
    <w:p>
      <w:pPr>
        <w:adjustRightInd w:val="0"/>
        <w:snapToGrid w:val="0"/>
        <w:spacing w:before="120" w:beforeLines="50" w:after="120" w:afterLines="50" w:line="360" w:lineRule="auto"/>
        <w:ind w:firstLine="207" w:firstLineChars="98"/>
        <w:rPr>
          <w:rFonts w:ascii="宋体" w:hAnsi="宋体"/>
          <w:b/>
          <w:szCs w:val="21"/>
        </w:rPr>
      </w:pPr>
      <w:r>
        <w:rPr>
          <w:rFonts w:hint="eastAsia" w:ascii="宋体" w:hAnsi="宋体"/>
          <w:b/>
          <w:szCs w:val="21"/>
        </w:rPr>
        <w:t>3.1</w:t>
      </w:r>
      <w:r>
        <w:rPr>
          <w:rFonts w:ascii="宋体" w:hAnsi="宋体"/>
          <w:b/>
          <w:szCs w:val="21"/>
        </w:rPr>
        <w:t xml:space="preserve"> 第一个信封初步评审</w:t>
      </w:r>
    </w:p>
    <w:p>
      <w:pPr>
        <w:adjustRightInd w:val="0"/>
        <w:snapToGrid w:val="0"/>
        <w:spacing w:line="360" w:lineRule="auto"/>
        <w:ind w:firstLine="420" w:firstLineChars="200"/>
        <w:rPr>
          <w:rFonts w:ascii="宋体" w:hAnsi="宋体"/>
          <w:szCs w:val="21"/>
        </w:rPr>
      </w:pPr>
      <w:r>
        <w:rPr>
          <w:rFonts w:ascii="宋体" w:hAnsi="宋体"/>
          <w:szCs w:val="21"/>
        </w:rPr>
        <w:t xml:space="preserve">3.1.l评标委员会可以要求投标人提交第二章“投标人须知”第 </w:t>
      </w:r>
      <w:r>
        <w:rPr>
          <w:rFonts w:hint="eastAsia" w:ascii="宋体" w:hAnsi="宋体"/>
          <w:szCs w:val="21"/>
        </w:rPr>
        <w:t>3.5.1</w:t>
      </w:r>
      <w:r>
        <w:rPr>
          <w:rFonts w:ascii="宋体" w:hAnsi="宋体"/>
          <w:szCs w:val="21"/>
        </w:rPr>
        <w:t>项至第</w:t>
      </w:r>
      <w:r>
        <w:rPr>
          <w:rFonts w:hint="eastAsia" w:ascii="宋体" w:hAnsi="宋体"/>
          <w:szCs w:val="21"/>
        </w:rPr>
        <w:t>3.5.6</w:t>
      </w:r>
      <w:r>
        <w:rPr>
          <w:rFonts w:ascii="宋体" w:hAnsi="宋体"/>
          <w:szCs w:val="21"/>
        </w:rPr>
        <w:t>项规定的有关证明和证件的原件，以便核验</w:t>
      </w:r>
      <w:r>
        <w:rPr>
          <w:rFonts w:hint="eastAsia" w:ascii="宋体" w:hAnsi="宋体"/>
          <w:szCs w:val="21"/>
        </w:rPr>
        <w:t>。</w:t>
      </w:r>
      <w:r>
        <w:rPr>
          <w:rFonts w:ascii="宋体" w:hAnsi="宋体"/>
          <w:szCs w:val="21"/>
        </w:rPr>
        <w:t>评标委员会依据本章第2.1 款规定的标准对投标文件第一个信封（商务及技术文件）进行初步评审</w:t>
      </w:r>
      <w:r>
        <w:rPr>
          <w:rFonts w:hint="eastAsia" w:ascii="宋体" w:hAnsi="宋体"/>
          <w:szCs w:val="21"/>
        </w:rPr>
        <w:t>。</w:t>
      </w:r>
      <w:r>
        <w:rPr>
          <w:rFonts w:ascii="宋体" w:hAnsi="宋体"/>
          <w:szCs w:val="21"/>
        </w:rPr>
        <w:t>有一项不符合评审标准的，评标委员会应否决其投标。</w:t>
      </w:r>
    </w:p>
    <w:p>
      <w:pPr>
        <w:adjustRightInd w:val="0"/>
        <w:snapToGrid w:val="0"/>
        <w:spacing w:before="120" w:beforeLines="50" w:after="120" w:afterLines="50" w:line="360" w:lineRule="auto"/>
        <w:ind w:firstLine="207" w:firstLineChars="98"/>
        <w:rPr>
          <w:rFonts w:ascii="宋体" w:hAnsi="宋体"/>
          <w:b/>
          <w:szCs w:val="21"/>
        </w:rPr>
      </w:pPr>
      <w:r>
        <w:rPr>
          <w:rFonts w:hint="eastAsia" w:ascii="宋体" w:hAnsi="宋体"/>
          <w:b/>
          <w:szCs w:val="21"/>
        </w:rPr>
        <w:t xml:space="preserve">3.2 </w:t>
      </w:r>
      <w:r>
        <w:rPr>
          <w:rFonts w:ascii="宋体" w:hAnsi="宋体"/>
          <w:b/>
          <w:szCs w:val="21"/>
        </w:rPr>
        <w:t>第一个信封详细评审</w:t>
      </w:r>
    </w:p>
    <w:p>
      <w:pPr>
        <w:adjustRightInd w:val="0"/>
        <w:snapToGrid w:val="0"/>
        <w:spacing w:line="360" w:lineRule="auto"/>
        <w:ind w:firstLine="420" w:firstLineChars="200"/>
        <w:rPr>
          <w:rFonts w:ascii="宋体" w:hAnsi="宋体"/>
          <w:szCs w:val="21"/>
        </w:rPr>
      </w:pPr>
      <w:r>
        <w:rPr>
          <w:rFonts w:ascii="宋体" w:hAnsi="宋体"/>
          <w:szCs w:val="21"/>
        </w:rPr>
        <w:t>3.2.1 评标委员会按本章第 2.2 款规定的量化因素和分值进行打分，并计算出</w:t>
      </w:r>
      <w:r>
        <w:rPr>
          <w:rFonts w:hint="eastAsia" w:ascii="宋体" w:hAnsi="宋体"/>
          <w:szCs w:val="21"/>
        </w:rPr>
        <w:t>各</w:t>
      </w:r>
      <w:r>
        <w:rPr>
          <w:rFonts w:ascii="宋体" w:hAnsi="宋体"/>
          <w:szCs w:val="21"/>
        </w:rPr>
        <w:t>投标人的商务和技术得分。</w:t>
      </w:r>
    </w:p>
    <w:p>
      <w:pPr>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按本章第 2.2.2</w:t>
      </w:r>
      <w:r>
        <w:rPr>
          <w:rFonts w:hint="eastAsia" w:ascii="宋体" w:hAnsi="宋体"/>
          <w:szCs w:val="21"/>
        </w:rPr>
        <w:t>（1）</w:t>
      </w:r>
      <w:r>
        <w:rPr>
          <w:rFonts w:ascii="宋体" w:hAnsi="宋体"/>
          <w:szCs w:val="21"/>
        </w:rPr>
        <w:t>目规定的评审因素和分值对施工组织设计部分计算出得分 A</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按本章第 2.2.2</w:t>
      </w:r>
      <w:r>
        <w:rPr>
          <w:rFonts w:hint="eastAsia" w:ascii="宋体" w:hAnsi="宋体"/>
          <w:szCs w:val="21"/>
        </w:rPr>
        <w:t>（2）</w:t>
      </w:r>
      <w:r>
        <w:rPr>
          <w:rFonts w:ascii="宋体" w:hAnsi="宋体"/>
          <w:szCs w:val="21"/>
        </w:rPr>
        <w:t>目规定的评审因素和分值对主要人员部分计算出得分B</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按本章第 2.2.2</w:t>
      </w:r>
      <w:r>
        <w:rPr>
          <w:rFonts w:hint="eastAsia" w:ascii="宋体" w:hAnsi="宋体"/>
          <w:szCs w:val="21"/>
        </w:rPr>
        <w:t>（3）</w:t>
      </w:r>
      <w:r>
        <w:rPr>
          <w:rFonts w:ascii="宋体" w:hAnsi="宋体"/>
          <w:szCs w:val="21"/>
        </w:rPr>
        <w:t xml:space="preserve">目规定的评审因素和分值对其他部分计算出得分C。 </w:t>
      </w:r>
    </w:p>
    <w:p>
      <w:pPr>
        <w:adjustRightInd w:val="0"/>
        <w:snapToGrid w:val="0"/>
        <w:spacing w:line="360" w:lineRule="auto"/>
        <w:ind w:firstLine="420" w:firstLineChars="200"/>
        <w:rPr>
          <w:rFonts w:ascii="宋体" w:hAnsi="宋体"/>
          <w:szCs w:val="21"/>
        </w:rPr>
      </w:pPr>
      <w:r>
        <w:rPr>
          <w:rFonts w:ascii="宋体" w:hAnsi="宋体"/>
          <w:szCs w:val="21"/>
        </w:rPr>
        <w:t>3.2.2 投标人的</w:t>
      </w:r>
      <w:r>
        <w:rPr>
          <w:rFonts w:hint="eastAsia" w:ascii="宋体" w:hAnsi="宋体"/>
          <w:szCs w:val="21"/>
        </w:rPr>
        <w:t>商务</w:t>
      </w:r>
      <w:r>
        <w:rPr>
          <w:rFonts w:ascii="宋体" w:hAnsi="宋体"/>
          <w:szCs w:val="21"/>
        </w:rPr>
        <w:t>和技术得分分值计算保留小数点后两位，小数点后第三位“四舍五入”。</w:t>
      </w:r>
    </w:p>
    <w:p>
      <w:pPr>
        <w:adjustRightInd w:val="0"/>
        <w:snapToGrid w:val="0"/>
        <w:spacing w:line="360" w:lineRule="auto"/>
        <w:ind w:firstLine="420" w:firstLineChars="200"/>
        <w:rPr>
          <w:rFonts w:ascii="宋体" w:hAnsi="宋体"/>
          <w:szCs w:val="21"/>
        </w:rPr>
      </w:pPr>
      <w:r>
        <w:rPr>
          <w:rFonts w:ascii="宋体" w:hAnsi="宋体"/>
          <w:szCs w:val="21"/>
        </w:rPr>
        <w:t>3.2.3</w:t>
      </w:r>
      <w:r>
        <w:rPr>
          <w:rFonts w:hint="eastAsia" w:ascii="宋体" w:hAnsi="宋体"/>
          <w:szCs w:val="21"/>
        </w:rPr>
        <w:t xml:space="preserve"> </w:t>
      </w:r>
      <w:r>
        <w:rPr>
          <w:rFonts w:ascii="宋体" w:hAnsi="宋体"/>
          <w:szCs w:val="21"/>
        </w:rPr>
        <w:t>投标人的商务和技术得分</w:t>
      </w:r>
      <w:r>
        <w:rPr>
          <w:rFonts w:hint="eastAsia" w:ascii="宋体" w:hAnsi="宋体"/>
          <w:szCs w:val="21"/>
        </w:rPr>
        <w:t>=</w:t>
      </w:r>
      <w:r>
        <w:rPr>
          <w:rFonts w:ascii="宋体" w:hAnsi="宋体"/>
          <w:szCs w:val="21"/>
        </w:rPr>
        <w:t>A+B+C。</w:t>
      </w:r>
    </w:p>
    <w:p>
      <w:pPr>
        <w:adjustRightInd w:val="0"/>
        <w:snapToGrid w:val="0"/>
        <w:spacing w:line="360" w:lineRule="auto"/>
        <w:ind w:firstLine="420" w:firstLineChars="200"/>
        <w:rPr>
          <w:rFonts w:ascii="宋体" w:hAnsi="宋体"/>
          <w:szCs w:val="21"/>
        </w:rPr>
      </w:pPr>
      <w:r>
        <w:rPr>
          <w:rFonts w:ascii="宋体" w:hAnsi="宋体"/>
          <w:szCs w:val="21"/>
        </w:rPr>
        <w:t>3.2.4 评标委员会按照投标人的商务和技术得分由高到低排序，排名在评标办法前附表规定数量以内的投标人，其投标文件第一个信封（商务及技术文件</w:t>
      </w:r>
      <w:r>
        <w:rPr>
          <w:rFonts w:hint="eastAsia" w:ascii="宋体" w:hAnsi="宋体"/>
          <w:szCs w:val="21"/>
        </w:rPr>
        <w:t>）</w:t>
      </w:r>
      <w:r>
        <w:rPr>
          <w:rFonts w:ascii="宋体" w:hAnsi="宋体"/>
          <w:szCs w:val="21"/>
        </w:rPr>
        <w:t xml:space="preserve"> 通过详细评审。</w:t>
      </w:r>
    </w:p>
    <w:p>
      <w:pPr>
        <w:adjustRightInd w:val="0"/>
        <w:snapToGrid w:val="0"/>
        <w:spacing w:line="360" w:lineRule="auto"/>
        <w:ind w:firstLine="420" w:firstLineChars="200"/>
        <w:rPr>
          <w:rFonts w:ascii="宋体" w:hAnsi="宋体"/>
          <w:szCs w:val="21"/>
        </w:rPr>
      </w:pPr>
      <w:r>
        <w:rPr>
          <w:rFonts w:ascii="宋体" w:hAnsi="宋体"/>
          <w:szCs w:val="21"/>
        </w:rPr>
        <w:t>3.2.5 通过投标文件第一个信封（商务及技术文件）初步评审的投标人不少于</w:t>
      </w:r>
      <w:r>
        <w:rPr>
          <w:rFonts w:hint="eastAsia" w:ascii="宋体" w:hAnsi="宋体"/>
          <w:szCs w:val="21"/>
        </w:rPr>
        <w:t>3</w:t>
      </w:r>
      <w:r>
        <w:rPr>
          <w:rFonts w:ascii="宋体" w:hAnsi="宋体"/>
          <w:szCs w:val="21"/>
        </w:rPr>
        <w:t>个且未超过评标办法前附表第</w:t>
      </w:r>
      <w:r>
        <w:rPr>
          <w:rFonts w:hint="eastAsia" w:ascii="宋体" w:hAnsi="宋体"/>
          <w:szCs w:val="21"/>
        </w:rPr>
        <w:t>3.2.4</w:t>
      </w:r>
      <w:r>
        <w:rPr>
          <w:rFonts w:ascii="宋体" w:hAnsi="宋体"/>
          <w:szCs w:val="21"/>
        </w:rPr>
        <w:t>项规定数量的，均通过投标文件第一个信封（商务及技术文件）详细评审，不再对投标人的商务和技术文件进行评分。</w:t>
      </w:r>
    </w:p>
    <w:p>
      <w:pPr>
        <w:adjustRightInd w:val="0"/>
        <w:snapToGrid w:val="0"/>
        <w:spacing w:before="120" w:beforeLines="50" w:after="120" w:afterLines="50" w:line="360" w:lineRule="auto"/>
        <w:ind w:left="363"/>
        <w:rPr>
          <w:rFonts w:ascii="宋体" w:hAnsi="宋体"/>
          <w:b/>
          <w:szCs w:val="21"/>
        </w:rPr>
      </w:pPr>
      <w:r>
        <w:rPr>
          <w:rFonts w:hint="eastAsia" w:ascii="宋体" w:hAnsi="宋体"/>
          <w:b/>
          <w:szCs w:val="21"/>
        </w:rPr>
        <w:t>3.3</w:t>
      </w:r>
      <w:r>
        <w:rPr>
          <w:rFonts w:ascii="宋体" w:hAnsi="宋体"/>
          <w:b/>
          <w:szCs w:val="21"/>
        </w:rPr>
        <w:t xml:space="preserve"> 第二个信封开标</w:t>
      </w:r>
    </w:p>
    <w:p>
      <w:pPr>
        <w:adjustRightInd w:val="0"/>
        <w:snapToGrid w:val="0"/>
        <w:spacing w:line="360" w:lineRule="auto"/>
        <w:ind w:firstLine="420" w:firstLineChars="200"/>
        <w:rPr>
          <w:rFonts w:ascii="宋体" w:hAnsi="宋体"/>
          <w:szCs w:val="21"/>
        </w:rPr>
      </w:pPr>
      <w:r>
        <w:rPr>
          <w:rFonts w:ascii="宋体" w:hAnsi="宋体"/>
          <w:szCs w:val="21"/>
        </w:rPr>
        <w:t>第一个信封（商务及技术文件</w:t>
      </w:r>
      <w:r>
        <w:rPr>
          <w:rFonts w:hint="eastAsia" w:ascii="宋体" w:hAnsi="宋体"/>
          <w:szCs w:val="21"/>
        </w:rPr>
        <w:t>）</w:t>
      </w:r>
      <w:r>
        <w:rPr>
          <w:rFonts w:ascii="宋体" w:hAnsi="宋体"/>
          <w:szCs w:val="21"/>
        </w:rPr>
        <w:t>评审结束后，招标人将按照第二章“投标人须知”第</w:t>
      </w:r>
      <w:r>
        <w:rPr>
          <w:rFonts w:hint="eastAsia" w:ascii="宋体" w:hAnsi="宋体"/>
          <w:szCs w:val="21"/>
        </w:rPr>
        <w:t>5.1</w:t>
      </w:r>
      <w:r>
        <w:rPr>
          <w:rFonts w:ascii="宋体" w:hAnsi="宋体"/>
          <w:szCs w:val="21"/>
        </w:rPr>
        <w:t>款规定的时间和地点对通过投标文件第一个信封（商务及技术文件）评审的投标文件第二个信封（报价文件</w:t>
      </w:r>
      <w:r>
        <w:rPr>
          <w:rFonts w:hint="eastAsia" w:ascii="宋体" w:hAnsi="宋体"/>
          <w:szCs w:val="21"/>
        </w:rPr>
        <w:t>）</w:t>
      </w:r>
      <w:r>
        <w:rPr>
          <w:rFonts w:ascii="宋体" w:hAnsi="宋体"/>
          <w:szCs w:val="21"/>
        </w:rPr>
        <w:t>进行开标。</w:t>
      </w:r>
    </w:p>
    <w:p>
      <w:pPr>
        <w:adjustRightInd w:val="0"/>
        <w:snapToGrid w:val="0"/>
        <w:spacing w:before="120" w:beforeLines="50" w:after="120" w:afterLines="50" w:line="360" w:lineRule="auto"/>
        <w:ind w:firstLine="422" w:firstLineChars="200"/>
        <w:rPr>
          <w:rFonts w:ascii="宋体" w:hAnsi="宋体"/>
          <w:b/>
          <w:szCs w:val="21"/>
        </w:rPr>
      </w:pPr>
      <w:r>
        <w:rPr>
          <w:rFonts w:hint="eastAsia" w:ascii="宋体" w:hAnsi="宋体"/>
          <w:b/>
          <w:szCs w:val="21"/>
        </w:rPr>
        <w:t>3.4</w:t>
      </w:r>
      <w:r>
        <w:rPr>
          <w:rFonts w:ascii="宋体" w:hAnsi="宋体"/>
          <w:b/>
          <w:szCs w:val="21"/>
        </w:rPr>
        <w:t>第二个信封初步评审</w:t>
      </w:r>
    </w:p>
    <w:p>
      <w:pPr>
        <w:adjustRightInd w:val="0"/>
        <w:snapToGrid w:val="0"/>
        <w:spacing w:line="360" w:lineRule="auto"/>
        <w:ind w:firstLine="420" w:firstLineChars="200"/>
        <w:rPr>
          <w:rFonts w:ascii="宋体" w:hAnsi="宋体"/>
          <w:szCs w:val="21"/>
        </w:rPr>
      </w:pPr>
      <w:r>
        <w:rPr>
          <w:rFonts w:ascii="宋体" w:hAnsi="宋体"/>
          <w:szCs w:val="21"/>
        </w:rPr>
        <w:t>3.4.1 评标委员会依据本章第 2.1.1 项、第 2.1.3 项规定的评审标准对投标文件第二个信封（报价文件</w:t>
      </w:r>
      <w:r>
        <w:rPr>
          <w:rFonts w:hint="eastAsia" w:ascii="宋体" w:hAnsi="宋体"/>
          <w:szCs w:val="21"/>
        </w:rPr>
        <w:t>）</w:t>
      </w:r>
      <w:r>
        <w:rPr>
          <w:rFonts w:ascii="宋体" w:hAnsi="宋体"/>
          <w:szCs w:val="21"/>
        </w:rPr>
        <w:t>进行初步评审。有一项不符合评审标准的，评标委员会应否决其投标。</w:t>
      </w:r>
    </w:p>
    <w:p>
      <w:pPr>
        <w:adjustRightInd w:val="0"/>
        <w:snapToGrid w:val="0"/>
        <w:spacing w:before="120" w:beforeLines="50" w:after="120" w:afterLines="50" w:line="360" w:lineRule="auto"/>
        <w:ind w:firstLine="422" w:firstLineChars="200"/>
        <w:rPr>
          <w:rFonts w:ascii="宋体" w:hAnsi="宋体"/>
          <w:b/>
          <w:szCs w:val="21"/>
        </w:rPr>
      </w:pPr>
      <w:r>
        <w:rPr>
          <w:rFonts w:hint="eastAsia" w:ascii="宋体" w:hAnsi="宋体"/>
          <w:b/>
          <w:szCs w:val="21"/>
        </w:rPr>
        <w:t>3.5</w:t>
      </w:r>
      <w:r>
        <w:rPr>
          <w:rFonts w:ascii="宋体" w:hAnsi="宋体"/>
          <w:b/>
          <w:szCs w:val="21"/>
        </w:rPr>
        <w:t>第二个信封详细评审</w:t>
      </w:r>
    </w:p>
    <w:p>
      <w:pPr>
        <w:adjustRightInd w:val="0"/>
        <w:snapToGrid w:val="0"/>
        <w:spacing w:line="360" w:lineRule="auto"/>
        <w:ind w:firstLine="420" w:firstLineChars="200"/>
        <w:rPr>
          <w:rFonts w:ascii="宋体" w:hAnsi="宋体"/>
          <w:szCs w:val="21"/>
        </w:rPr>
      </w:pPr>
      <w:r>
        <w:rPr>
          <w:rFonts w:ascii="宋体" w:hAnsi="宋体"/>
          <w:szCs w:val="21"/>
        </w:rPr>
        <w:t>3.5.l 评标委员会按本章第 2.2 款规定的量化因素和标准进行价格折算，计算出评标价，并编制价格比较一览表。</w:t>
      </w:r>
    </w:p>
    <w:p>
      <w:pPr>
        <w:adjustRightInd w:val="0"/>
        <w:snapToGrid w:val="0"/>
        <w:spacing w:line="360" w:lineRule="auto"/>
        <w:ind w:firstLine="420" w:firstLineChars="200"/>
        <w:rPr>
          <w:rFonts w:ascii="宋体" w:hAnsi="宋体"/>
          <w:szCs w:val="21"/>
        </w:rPr>
      </w:pPr>
      <w:r>
        <w:rPr>
          <w:rFonts w:ascii="宋体" w:hAnsi="宋体"/>
          <w:szCs w:val="21"/>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adjustRightInd w:val="0"/>
        <w:snapToGrid w:val="0"/>
        <w:spacing w:before="120" w:beforeLines="50" w:after="120" w:afterLines="50" w:line="360" w:lineRule="auto"/>
        <w:rPr>
          <w:rFonts w:ascii="宋体" w:hAnsi="宋体"/>
          <w:b/>
          <w:sz w:val="24"/>
        </w:rPr>
      </w:pPr>
      <w:r>
        <w:rPr>
          <w:rFonts w:hint="eastAsia" w:ascii="宋体" w:hAnsi="宋体"/>
          <w:b/>
          <w:sz w:val="24"/>
        </w:rPr>
        <w:t>3.6投标文件相关信息的核查</w:t>
      </w:r>
    </w:p>
    <w:p>
      <w:pPr>
        <w:adjustRightInd w:val="0"/>
        <w:snapToGrid w:val="0"/>
        <w:spacing w:line="360" w:lineRule="auto"/>
        <w:ind w:firstLine="420" w:firstLineChars="200"/>
        <w:rPr>
          <w:rFonts w:ascii="宋体" w:hAnsi="宋体"/>
          <w:szCs w:val="21"/>
        </w:rPr>
      </w:pPr>
      <w:r>
        <w:rPr>
          <w:rFonts w:hint="eastAsia" w:ascii="宋体" w:hAnsi="宋体"/>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adjustRightInd w:val="0"/>
        <w:snapToGrid w:val="0"/>
        <w:spacing w:line="360" w:lineRule="auto"/>
        <w:ind w:firstLine="420" w:firstLineChars="200"/>
        <w:rPr>
          <w:rFonts w:ascii="宋体" w:hAnsi="宋体"/>
          <w:szCs w:val="21"/>
        </w:rPr>
      </w:pPr>
      <w:r>
        <w:rPr>
          <w:rFonts w:hint="eastAsia" w:ascii="宋体" w:hAnsi="宋体"/>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5"/>
        </w:numPr>
        <w:adjustRightInd w:val="0"/>
        <w:snapToGrid w:val="0"/>
        <w:spacing w:line="360" w:lineRule="auto"/>
        <w:ind w:firstLine="480"/>
        <w:rPr>
          <w:rFonts w:ascii="宋体" w:hAnsi="宋体"/>
          <w:bCs/>
          <w:szCs w:val="21"/>
        </w:rPr>
      </w:pPr>
      <w:r>
        <w:rPr>
          <w:rFonts w:hint="eastAsia" w:ascii="宋体" w:hAnsi="宋体"/>
          <w:bCs/>
          <w:szCs w:val="21"/>
        </w:rPr>
        <w:t>有下列情形之一的，属于投标人互相串通投标：</w:t>
      </w:r>
    </w:p>
    <w:p>
      <w:pPr>
        <w:adjustRightInd w:val="0"/>
        <w:snapToGrid w:val="0"/>
        <w:spacing w:line="360" w:lineRule="auto"/>
        <w:ind w:firstLine="420" w:firstLineChars="200"/>
        <w:rPr>
          <w:rFonts w:ascii="宋体" w:hAnsi="宋体"/>
          <w:szCs w:val="21"/>
        </w:rPr>
      </w:pPr>
      <w:r>
        <w:rPr>
          <w:rFonts w:hint="eastAsia" w:ascii="宋体" w:hAnsi="宋体"/>
          <w:szCs w:val="21"/>
        </w:rPr>
        <w:t>a.投标人之间协商投标报价等投标文件的实质性内容；</w:t>
      </w:r>
    </w:p>
    <w:p>
      <w:pPr>
        <w:adjustRightInd w:val="0"/>
        <w:snapToGrid w:val="0"/>
        <w:spacing w:line="360" w:lineRule="auto"/>
        <w:ind w:firstLine="420" w:firstLineChars="200"/>
        <w:rPr>
          <w:rFonts w:ascii="宋体" w:hAnsi="宋体"/>
          <w:szCs w:val="21"/>
        </w:rPr>
      </w:pPr>
      <w:r>
        <w:rPr>
          <w:rFonts w:hint="eastAsia" w:ascii="宋体" w:hAnsi="宋体"/>
          <w:szCs w:val="21"/>
        </w:rPr>
        <w:t>b.投标人之间约定中标人；</w:t>
      </w:r>
    </w:p>
    <w:p>
      <w:pPr>
        <w:adjustRightInd w:val="0"/>
        <w:snapToGrid w:val="0"/>
        <w:spacing w:line="360" w:lineRule="auto"/>
        <w:ind w:firstLine="420" w:firstLineChars="200"/>
        <w:rPr>
          <w:rFonts w:ascii="宋体" w:hAnsi="宋体"/>
          <w:szCs w:val="21"/>
        </w:rPr>
      </w:pPr>
      <w:r>
        <w:rPr>
          <w:rFonts w:hint="eastAsia" w:ascii="宋体" w:hAnsi="宋体"/>
          <w:szCs w:val="21"/>
        </w:rPr>
        <w:t>c.投标人之间约定部分投标人放弃投标或中标：</w:t>
      </w:r>
    </w:p>
    <w:p>
      <w:pPr>
        <w:adjustRightInd w:val="0"/>
        <w:snapToGrid w:val="0"/>
        <w:spacing w:line="360" w:lineRule="auto"/>
        <w:ind w:firstLine="420" w:firstLineChars="200"/>
        <w:rPr>
          <w:rFonts w:ascii="宋体" w:hAnsi="宋体"/>
          <w:szCs w:val="21"/>
        </w:rPr>
      </w:pPr>
      <w:r>
        <w:rPr>
          <w:rFonts w:hint="eastAsia" w:ascii="宋体" w:hAnsi="宋体"/>
          <w:szCs w:val="21"/>
        </w:rPr>
        <w:t>d.属于同一集团、协会、商会等组织成员的投标人按照该组织要求协同投标；</w:t>
      </w:r>
    </w:p>
    <w:p>
      <w:pPr>
        <w:adjustRightInd w:val="0"/>
        <w:snapToGrid w:val="0"/>
        <w:spacing w:line="360" w:lineRule="auto"/>
        <w:ind w:firstLine="420" w:firstLineChars="200"/>
        <w:rPr>
          <w:rFonts w:ascii="宋体" w:hAnsi="宋体"/>
          <w:szCs w:val="21"/>
        </w:rPr>
      </w:pPr>
      <w:r>
        <w:rPr>
          <w:rFonts w:hint="eastAsia" w:ascii="宋体" w:hAnsi="宋体"/>
          <w:szCs w:val="21"/>
        </w:rPr>
        <w:t>e.投标人之间为谋取中标或排斥特定投标人而采取的其他联合行动。</w:t>
      </w:r>
    </w:p>
    <w:p>
      <w:pPr>
        <w:numPr>
          <w:ilvl w:val="0"/>
          <w:numId w:val="5"/>
        </w:numPr>
        <w:adjustRightInd w:val="0"/>
        <w:snapToGrid w:val="0"/>
        <w:spacing w:line="360" w:lineRule="auto"/>
        <w:ind w:firstLine="480"/>
        <w:rPr>
          <w:rFonts w:ascii="宋体" w:hAnsi="宋体"/>
          <w:bCs/>
          <w:szCs w:val="21"/>
        </w:rPr>
      </w:pPr>
      <w:r>
        <w:rPr>
          <w:rFonts w:hint="eastAsia" w:ascii="宋体" w:hAnsi="宋体"/>
          <w:bCs/>
          <w:szCs w:val="21"/>
        </w:rPr>
        <w:t>有下列情形之一的，视为投标人相互串通投标：</w:t>
      </w:r>
    </w:p>
    <w:p>
      <w:pPr>
        <w:adjustRightInd w:val="0"/>
        <w:snapToGrid w:val="0"/>
        <w:spacing w:line="360" w:lineRule="auto"/>
        <w:ind w:firstLine="420" w:firstLineChars="200"/>
        <w:rPr>
          <w:rFonts w:ascii="宋体" w:hAnsi="宋体"/>
          <w:szCs w:val="21"/>
        </w:rPr>
      </w:pPr>
      <w:r>
        <w:rPr>
          <w:rFonts w:hint="eastAsia" w:ascii="宋体" w:hAnsi="宋体"/>
          <w:szCs w:val="21"/>
        </w:rPr>
        <w:t>a.不同投标人的投标文件由同一单位或个人编制；</w:t>
      </w:r>
    </w:p>
    <w:p>
      <w:pPr>
        <w:adjustRightInd w:val="0"/>
        <w:snapToGrid w:val="0"/>
        <w:spacing w:line="360" w:lineRule="auto"/>
        <w:ind w:firstLine="420" w:firstLineChars="200"/>
        <w:rPr>
          <w:rFonts w:ascii="宋体" w:hAnsi="宋体"/>
          <w:szCs w:val="21"/>
        </w:rPr>
      </w:pPr>
      <w:r>
        <w:rPr>
          <w:rFonts w:hint="eastAsia" w:ascii="宋体" w:hAnsi="宋体"/>
          <w:szCs w:val="21"/>
        </w:rPr>
        <w:t>b.不同投标人委托同一单位或个人办理投标事宜；</w:t>
      </w:r>
    </w:p>
    <w:p>
      <w:pPr>
        <w:adjustRightInd w:val="0"/>
        <w:snapToGrid w:val="0"/>
        <w:spacing w:line="360" w:lineRule="auto"/>
        <w:ind w:firstLine="420" w:firstLineChars="200"/>
        <w:rPr>
          <w:rFonts w:ascii="宋体" w:hAnsi="宋体"/>
          <w:szCs w:val="21"/>
        </w:rPr>
      </w:pPr>
      <w:r>
        <w:rPr>
          <w:rFonts w:hint="eastAsia" w:ascii="宋体" w:hAnsi="宋体"/>
          <w:szCs w:val="21"/>
        </w:rPr>
        <w:t>c.不同投标人的投标文件载明的项目管理成员为同一人；</w:t>
      </w:r>
    </w:p>
    <w:p>
      <w:pPr>
        <w:adjustRightInd w:val="0"/>
        <w:snapToGrid w:val="0"/>
        <w:spacing w:line="360" w:lineRule="auto"/>
        <w:ind w:firstLine="420" w:firstLineChars="200"/>
        <w:rPr>
          <w:rFonts w:ascii="宋体" w:hAnsi="宋体"/>
          <w:szCs w:val="21"/>
        </w:rPr>
      </w:pPr>
      <w:r>
        <w:rPr>
          <w:rFonts w:hint="eastAsia" w:ascii="宋体" w:hAnsi="宋体"/>
          <w:szCs w:val="21"/>
        </w:rPr>
        <w:t>d.不同投标人的投标文件异常一致或投标报价呈现规律性差异；</w:t>
      </w:r>
    </w:p>
    <w:p>
      <w:pPr>
        <w:adjustRightInd w:val="0"/>
        <w:snapToGrid w:val="0"/>
        <w:spacing w:line="360" w:lineRule="auto"/>
        <w:ind w:firstLine="420" w:firstLineChars="200"/>
        <w:rPr>
          <w:rFonts w:ascii="宋体" w:hAnsi="宋体"/>
          <w:szCs w:val="21"/>
        </w:rPr>
      </w:pPr>
      <w:r>
        <w:rPr>
          <w:rFonts w:hint="eastAsia" w:ascii="宋体" w:hAnsi="宋体"/>
          <w:szCs w:val="21"/>
        </w:rPr>
        <w:t>e.不同投标人的投标文件互相混装；</w:t>
      </w:r>
    </w:p>
    <w:p>
      <w:pPr>
        <w:adjustRightInd w:val="0"/>
        <w:snapToGrid w:val="0"/>
        <w:spacing w:line="360" w:lineRule="auto"/>
        <w:ind w:firstLine="420" w:firstLineChars="200"/>
        <w:rPr>
          <w:rFonts w:ascii="宋体" w:hAnsi="宋体"/>
          <w:szCs w:val="21"/>
        </w:rPr>
      </w:pPr>
      <w:r>
        <w:rPr>
          <w:rFonts w:hint="eastAsia" w:ascii="宋体" w:hAnsi="宋体"/>
          <w:szCs w:val="21"/>
        </w:rPr>
        <w:t>f.不同投标人的投标保证金从同一单位或个人账户转出。</w:t>
      </w:r>
    </w:p>
    <w:p>
      <w:pPr>
        <w:numPr>
          <w:ilvl w:val="0"/>
          <w:numId w:val="5"/>
        </w:numPr>
        <w:adjustRightInd w:val="0"/>
        <w:snapToGrid w:val="0"/>
        <w:spacing w:line="360" w:lineRule="auto"/>
        <w:ind w:firstLine="480"/>
        <w:rPr>
          <w:rFonts w:ascii="宋体" w:hAnsi="宋体"/>
          <w:bCs/>
          <w:szCs w:val="21"/>
        </w:rPr>
      </w:pPr>
      <w:r>
        <w:rPr>
          <w:rFonts w:hint="eastAsia" w:ascii="宋体" w:hAnsi="宋体"/>
          <w:bCs/>
          <w:szCs w:val="21"/>
        </w:rPr>
        <w:t>有下列情形之一的，属于招标人与投标人串通投标：</w:t>
      </w:r>
    </w:p>
    <w:p>
      <w:pPr>
        <w:adjustRightInd w:val="0"/>
        <w:snapToGrid w:val="0"/>
        <w:spacing w:line="360" w:lineRule="auto"/>
        <w:ind w:firstLine="420" w:firstLineChars="200"/>
        <w:rPr>
          <w:rFonts w:ascii="宋体" w:hAnsi="宋体"/>
          <w:szCs w:val="21"/>
        </w:rPr>
      </w:pPr>
      <w:r>
        <w:rPr>
          <w:rFonts w:hint="eastAsia" w:ascii="宋体" w:hAnsi="宋体"/>
          <w:szCs w:val="21"/>
        </w:rPr>
        <w:t>a.招标人在开标前开启投标文件并将有关信息泄露给其他投标人；</w:t>
      </w:r>
    </w:p>
    <w:p>
      <w:pPr>
        <w:adjustRightInd w:val="0"/>
        <w:snapToGrid w:val="0"/>
        <w:spacing w:line="360" w:lineRule="auto"/>
        <w:ind w:firstLine="420" w:firstLineChars="200"/>
        <w:rPr>
          <w:rFonts w:ascii="宋体" w:hAnsi="宋体"/>
          <w:szCs w:val="21"/>
        </w:rPr>
      </w:pPr>
      <w:r>
        <w:rPr>
          <w:rFonts w:hint="eastAsia" w:ascii="宋体" w:hAnsi="宋体"/>
          <w:szCs w:val="21"/>
        </w:rPr>
        <w:t>b.招标人直接或间接向投标人泄露标底、评标委员会成员等信息；</w:t>
      </w:r>
    </w:p>
    <w:p>
      <w:pPr>
        <w:adjustRightInd w:val="0"/>
        <w:snapToGrid w:val="0"/>
        <w:spacing w:line="360" w:lineRule="auto"/>
        <w:ind w:firstLine="420" w:firstLineChars="200"/>
        <w:rPr>
          <w:rFonts w:ascii="宋体" w:hAnsi="宋体"/>
          <w:szCs w:val="21"/>
        </w:rPr>
      </w:pPr>
      <w:r>
        <w:rPr>
          <w:rFonts w:hint="eastAsia" w:ascii="宋体" w:hAnsi="宋体"/>
          <w:szCs w:val="21"/>
        </w:rPr>
        <w:t>c.招标人明示或暗示投标人压低或抬高投标报价；</w:t>
      </w:r>
    </w:p>
    <w:p>
      <w:pPr>
        <w:adjustRightInd w:val="0"/>
        <w:snapToGrid w:val="0"/>
        <w:spacing w:line="360" w:lineRule="auto"/>
        <w:ind w:firstLine="420" w:firstLineChars="200"/>
        <w:rPr>
          <w:rFonts w:ascii="宋体" w:hAnsi="宋体"/>
          <w:szCs w:val="21"/>
        </w:rPr>
      </w:pPr>
      <w:r>
        <w:rPr>
          <w:rFonts w:hint="eastAsia" w:ascii="宋体" w:hAnsi="宋体"/>
          <w:szCs w:val="21"/>
        </w:rPr>
        <w:t>d.招标人授意投标人撤换、修改投标文件；</w:t>
      </w:r>
    </w:p>
    <w:p>
      <w:pPr>
        <w:adjustRightInd w:val="0"/>
        <w:snapToGrid w:val="0"/>
        <w:spacing w:line="360" w:lineRule="auto"/>
        <w:ind w:firstLine="420" w:firstLineChars="200"/>
        <w:rPr>
          <w:rFonts w:ascii="宋体" w:hAnsi="宋体"/>
          <w:szCs w:val="21"/>
        </w:rPr>
      </w:pPr>
      <w:r>
        <w:rPr>
          <w:rFonts w:hint="eastAsia" w:ascii="宋体" w:hAnsi="宋体"/>
          <w:szCs w:val="21"/>
        </w:rPr>
        <w:t>e.招标人明示或暗示投标人为特定投标人中标提供方便；</w:t>
      </w:r>
    </w:p>
    <w:p>
      <w:pPr>
        <w:adjustRightInd w:val="0"/>
        <w:snapToGrid w:val="0"/>
        <w:spacing w:line="360" w:lineRule="auto"/>
        <w:ind w:firstLine="420" w:firstLineChars="200"/>
        <w:rPr>
          <w:rFonts w:ascii="宋体" w:hAnsi="宋体"/>
          <w:szCs w:val="21"/>
        </w:rPr>
      </w:pPr>
      <w:r>
        <w:rPr>
          <w:rFonts w:hint="eastAsia" w:ascii="宋体" w:hAnsi="宋体"/>
          <w:szCs w:val="21"/>
        </w:rPr>
        <w:t>f.招标人与投标人为谋求特定投标人中标而采取的其他串通行为。</w:t>
      </w:r>
    </w:p>
    <w:p>
      <w:pPr>
        <w:numPr>
          <w:ilvl w:val="0"/>
          <w:numId w:val="5"/>
        </w:numPr>
        <w:adjustRightInd w:val="0"/>
        <w:snapToGrid w:val="0"/>
        <w:spacing w:line="360" w:lineRule="auto"/>
        <w:ind w:firstLine="480"/>
        <w:rPr>
          <w:rFonts w:ascii="宋体" w:hAnsi="宋体"/>
          <w:bCs/>
          <w:szCs w:val="21"/>
        </w:rPr>
      </w:pPr>
      <w:r>
        <w:rPr>
          <w:rFonts w:hint="eastAsia" w:ascii="宋体" w:hAnsi="宋体"/>
          <w:bCs/>
          <w:szCs w:val="21"/>
        </w:rPr>
        <w:t>投标人有下列情形之一的，属于弄虚作假的行为：</w:t>
      </w:r>
    </w:p>
    <w:p>
      <w:pPr>
        <w:adjustRightInd w:val="0"/>
        <w:snapToGrid w:val="0"/>
        <w:spacing w:line="360" w:lineRule="auto"/>
        <w:ind w:firstLine="420" w:firstLineChars="200"/>
        <w:rPr>
          <w:rFonts w:ascii="宋体" w:hAnsi="宋体"/>
          <w:szCs w:val="21"/>
        </w:rPr>
      </w:pPr>
      <w:r>
        <w:rPr>
          <w:rFonts w:hint="eastAsia" w:ascii="宋体" w:hAnsi="宋体"/>
          <w:bCs/>
          <w:szCs w:val="21"/>
        </w:rPr>
        <w:t>a</w:t>
      </w:r>
      <w:r>
        <w:rPr>
          <w:rFonts w:hint="eastAsia" w:ascii="宋体" w:hAnsi="宋体"/>
          <w:szCs w:val="21"/>
        </w:rPr>
        <w:t>.使用通过受让或租借等方式获取的资格、资质证书投标；</w:t>
      </w:r>
    </w:p>
    <w:p>
      <w:pPr>
        <w:adjustRightInd w:val="0"/>
        <w:snapToGrid w:val="0"/>
        <w:spacing w:line="360" w:lineRule="auto"/>
        <w:ind w:firstLine="420" w:firstLineChars="200"/>
        <w:rPr>
          <w:rFonts w:ascii="宋体" w:hAnsi="宋体"/>
          <w:szCs w:val="21"/>
        </w:rPr>
      </w:pPr>
      <w:r>
        <w:rPr>
          <w:rFonts w:hint="eastAsia" w:ascii="宋体" w:hAnsi="宋体"/>
          <w:szCs w:val="21"/>
        </w:rPr>
        <w:t>b.使用伪造、变造的许可证件；</w:t>
      </w:r>
    </w:p>
    <w:p>
      <w:pPr>
        <w:adjustRightInd w:val="0"/>
        <w:snapToGrid w:val="0"/>
        <w:spacing w:line="360" w:lineRule="auto"/>
        <w:ind w:firstLine="420" w:firstLineChars="200"/>
        <w:rPr>
          <w:rFonts w:ascii="宋体" w:hAnsi="宋体"/>
          <w:szCs w:val="21"/>
        </w:rPr>
      </w:pPr>
      <w:r>
        <w:rPr>
          <w:rFonts w:hint="eastAsia" w:ascii="宋体" w:hAnsi="宋体"/>
          <w:szCs w:val="21"/>
        </w:rPr>
        <w:t>c.提供虚假的财务状况或业绩；</w:t>
      </w:r>
    </w:p>
    <w:p>
      <w:pPr>
        <w:adjustRightInd w:val="0"/>
        <w:snapToGrid w:val="0"/>
        <w:spacing w:line="360" w:lineRule="auto"/>
        <w:ind w:firstLine="420" w:firstLineChars="200"/>
        <w:rPr>
          <w:rFonts w:ascii="宋体" w:hAnsi="宋体"/>
          <w:szCs w:val="21"/>
        </w:rPr>
      </w:pPr>
      <w:r>
        <w:rPr>
          <w:rFonts w:hint="eastAsia" w:ascii="宋体" w:hAnsi="宋体"/>
          <w:szCs w:val="21"/>
        </w:rPr>
        <w:t>d.提供虚假的项目负责人或主要技术人员简历、劳动关系证明；</w:t>
      </w:r>
    </w:p>
    <w:p>
      <w:pPr>
        <w:adjustRightInd w:val="0"/>
        <w:snapToGrid w:val="0"/>
        <w:spacing w:line="360" w:lineRule="auto"/>
        <w:ind w:firstLine="420" w:firstLineChars="200"/>
        <w:rPr>
          <w:rFonts w:ascii="宋体" w:hAnsi="宋体"/>
          <w:szCs w:val="21"/>
        </w:rPr>
      </w:pPr>
      <w:r>
        <w:rPr>
          <w:rFonts w:hint="eastAsia" w:ascii="宋体" w:hAnsi="宋体"/>
          <w:szCs w:val="21"/>
        </w:rPr>
        <w:t>e.提供虚假的信用状况；</w:t>
      </w:r>
    </w:p>
    <w:p>
      <w:pPr>
        <w:adjustRightInd w:val="0"/>
        <w:snapToGrid w:val="0"/>
        <w:spacing w:line="360" w:lineRule="auto"/>
        <w:ind w:firstLine="420" w:firstLineChars="200"/>
        <w:rPr>
          <w:rFonts w:ascii="宋体" w:hAnsi="宋体"/>
          <w:szCs w:val="21"/>
        </w:rPr>
      </w:pPr>
      <w:r>
        <w:rPr>
          <w:rFonts w:hint="eastAsia" w:ascii="宋体" w:hAnsi="宋体"/>
          <w:szCs w:val="21"/>
        </w:rPr>
        <w:t>f.其他弄虚作假的行为。</w:t>
      </w:r>
    </w:p>
    <w:p>
      <w:pPr>
        <w:adjustRightInd w:val="0"/>
        <w:snapToGrid w:val="0"/>
        <w:spacing w:before="120" w:beforeLines="50" w:after="120" w:afterLines="50" w:line="360" w:lineRule="auto"/>
        <w:rPr>
          <w:rFonts w:ascii="宋体" w:hAnsi="宋体"/>
          <w:b/>
          <w:sz w:val="24"/>
        </w:rPr>
      </w:pPr>
      <w:r>
        <w:rPr>
          <w:rFonts w:hint="eastAsia" w:ascii="宋体" w:hAnsi="宋体"/>
          <w:b/>
          <w:sz w:val="24"/>
        </w:rPr>
        <w:t>3.7投标文件的澄清和说明</w:t>
      </w:r>
    </w:p>
    <w:p>
      <w:pPr>
        <w:adjustRightInd w:val="0"/>
        <w:snapToGrid w:val="0"/>
        <w:spacing w:line="360" w:lineRule="auto"/>
        <w:ind w:firstLine="420" w:firstLineChars="200"/>
        <w:rPr>
          <w:rFonts w:ascii="宋体" w:hAnsi="宋体"/>
          <w:szCs w:val="21"/>
        </w:rPr>
      </w:pPr>
      <w:r>
        <w:rPr>
          <w:rFonts w:hint="eastAsia" w:ascii="宋体" w:hAnsi="宋体"/>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 ，评标委员会应否决其投标 。</w:t>
      </w:r>
    </w:p>
    <w:p>
      <w:pPr>
        <w:adjustRightInd w:val="0"/>
        <w:snapToGrid w:val="0"/>
        <w:spacing w:line="360" w:lineRule="auto"/>
        <w:ind w:firstLine="420" w:firstLineChars="200"/>
        <w:rPr>
          <w:rFonts w:ascii="宋体" w:hAnsi="宋体"/>
          <w:szCs w:val="21"/>
        </w:rPr>
      </w:pPr>
      <w:r>
        <w:rPr>
          <w:rFonts w:hint="eastAsia" w:ascii="宋体" w:hAnsi="宋体"/>
          <w:szCs w:val="21"/>
        </w:rPr>
        <w:t>3.7.2澄清和说明不得超出投标文件的范围或改变投标文件的实质性内容（算术性错误修正的除外）。投标人的书面澄清、说明属于投标文件的组成部分。</w:t>
      </w:r>
    </w:p>
    <w:p>
      <w:pPr>
        <w:adjustRightInd w:val="0"/>
        <w:snapToGrid w:val="0"/>
        <w:spacing w:line="360" w:lineRule="auto"/>
        <w:ind w:firstLine="420" w:firstLineChars="200"/>
        <w:rPr>
          <w:rFonts w:ascii="宋体" w:hAnsi="宋体"/>
          <w:sz w:val="24"/>
        </w:rPr>
      </w:pPr>
      <w:r>
        <w:rPr>
          <w:rFonts w:hint="eastAsia" w:ascii="宋体" w:hAnsi="宋体"/>
          <w:szCs w:val="21"/>
        </w:rPr>
        <w:t>3.7.3评标委员会不得暗示或诱导投标人作出澄清、说明，对投标人提交的澄清、 说明有疑问的，可以要求投标人进一步澄清或说明 ，直至满足评标委员会的要求。</w:t>
      </w:r>
    </w:p>
    <w:p>
      <w:pPr>
        <w:adjustRightInd w:val="0"/>
        <w:snapToGrid w:val="0"/>
        <w:spacing w:line="360" w:lineRule="auto"/>
        <w:ind w:firstLine="420" w:firstLineChars="200"/>
        <w:rPr>
          <w:rFonts w:ascii="宋体" w:hAnsi="宋体"/>
          <w:szCs w:val="21"/>
        </w:rPr>
      </w:pPr>
      <w:r>
        <w:rPr>
          <w:rFonts w:hint="eastAsia" w:ascii="宋体" w:hAnsi="宋体"/>
          <w:szCs w:val="21"/>
        </w:rPr>
        <w:t>3.7.4凡超出招标文件规定的或给发包人带来未曾要求的利益的变化、偏差或其他因素在评标时不予考虑 。</w:t>
      </w:r>
    </w:p>
    <w:p>
      <w:pPr>
        <w:adjustRightInd w:val="0"/>
        <w:snapToGrid w:val="0"/>
        <w:spacing w:before="120" w:beforeLines="50" w:after="120" w:afterLines="50" w:line="360" w:lineRule="auto"/>
        <w:rPr>
          <w:rFonts w:ascii="宋体" w:hAnsi="宋体"/>
          <w:b/>
          <w:sz w:val="24"/>
        </w:rPr>
      </w:pPr>
      <w:r>
        <w:rPr>
          <w:rFonts w:hint="eastAsia" w:ascii="宋体" w:hAnsi="宋体"/>
          <w:b/>
          <w:sz w:val="24"/>
        </w:rPr>
        <w:t>3.8不得否决投标的情形</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投标文件存在第二章“投标人须知”第 </w:t>
      </w:r>
      <w:r>
        <w:rPr>
          <w:rFonts w:ascii="宋体" w:hAnsi="宋体"/>
          <w:szCs w:val="21"/>
        </w:rPr>
        <w:t xml:space="preserve">1.12.3 </w:t>
      </w:r>
      <w:r>
        <w:rPr>
          <w:rFonts w:hint="eastAsia" w:ascii="宋体" w:hAnsi="宋体"/>
          <w:szCs w:val="21"/>
        </w:rPr>
        <w:t xml:space="preserve">项所列情形的，均视为细微偏差，评标委员会不得否决投标人的投标，应按照第二章“投标人须知”第 </w:t>
      </w:r>
      <w:r>
        <w:rPr>
          <w:rFonts w:ascii="宋体" w:hAnsi="宋体"/>
          <w:szCs w:val="21"/>
        </w:rPr>
        <w:t xml:space="preserve">1.12.4 </w:t>
      </w:r>
      <w:r>
        <w:rPr>
          <w:rFonts w:hint="eastAsia" w:ascii="宋体" w:hAnsi="宋体"/>
          <w:szCs w:val="21"/>
        </w:rPr>
        <w:t>项规定的原则处理。</w:t>
      </w:r>
    </w:p>
    <w:p>
      <w:pPr>
        <w:adjustRightInd w:val="0"/>
        <w:snapToGrid w:val="0"/>
        <w:spacing w:before="120" w:beforeLines="50" w:after="120" w:afterLines="50" w:line="360" w:lineRule="auto"/>
        <w:rPr>
          <w:rFonts w:ascii="宋体" w:hAnsi="宋体"/>
          <w:b/>
          <w:sz w:val="24"/>
        </w:rPr>
      </w:pPr>
      <w:r>
        <w:rPr>
          <w:rFonts w:hint="eastAsia" w:ascii="宋体" w:hAnsi="宋体"/>
          <w:b/>
          <w:sz w:val="24"/>
        </w:rPr>
        <w:t>3.9评标结果</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9</w:t>
      </w:r>
      <w:r>
        <w:rPr>
          <w:rFonts w:ascii="宋体" w:hAnsi="宋体"/>
          <w:szCs w:val="21"/>
        </w:rPr>
        <w:t xml:space="preserve">.1 </w:t>
      </w:r>
      <w:r>
        <w:rPr>
          <w:rFonts w:hint="eastAsia" w:ascii="宋体" w:hAnsi="宋体"/>
          <w:szCs w:val="21"/>
        </w:rPr>
        <w:t>除第二章“投标人须知”前附表授权直接确定中标人外，评标委员会按照评标价由低到高的顺序推荐中标候选人，并标明排序。</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9</w:t>
      </w:r>
      <w:r>
        <w:rPr>
          <w:rFonts w:ascii="宋体" w:hAnsi="宋体"/>
          <w:szCs w:val="21"/>
        </w:rPr>
        <w:t xml:space="preserve">.2 </w:t>
      </w:r>
      <w:r>
        <w:rPr>
          <w:rFonts w:hint="eastAsia" w:ascii="宋体" w:hAnsi="宋体"/>
          <w:szCs w:val="21"/>
        </w:rPr>
        <w:t>评标委员会完成评标后 ，应向招标人提交书面评标报告。</w:t>
      </w:r>
    </w:p>
    <w:p>
      <w:pPr>
        <w:sectPr>
          <w:footnotePr>
            <w:numFmt w:val="decimalEnclosedCircleChinese"/>
            <w:numRestart w:val="eachPage"/>
          </w:footnotePr>
          <w:pgSz w:w="11906" w:h="16838"/>
          <w:pgMar w:top="1418" w:right="1440" w:bottom="1418" w:left="1440" w:header="851" w:footer="992" w:gutter="0"/>
          <w:cols w:space="720" w:num="1"/>
          <w:docGrid w:linePitch="312" w:charSpace="0"/>
        </w:sectPr>
      </w:pPr>
    </w:p>
    <w:p>
      <w:pPr>
        <w:spacing w:line="420" w:lineRule="atLeast"/>
        <w:ind w:right="480"/>
        <w:jc w:val="center"/>
        <w:rPr>
          <w:rFonts w:ascii="宋体" w:hAnsi="宋体"/>
          <w:sz w:val="44"/>
          <w:szCs w:val="44"/>
        </w:rPr>
      </w:pPr>
      <w:bookmarkStart w:id="194" w:name="_Toc234349428"/>
      <w:bookmarkStart w:id="195" w:name="_Toc234350674"/>
      <w:bookmarkStart w:id="196" w:name="_Toc234348854"/>
      <w:bookmarkStart w:id="197" w:name="_Toc234345797"/>
      <w:bookmarkStart w:id="198" w:name="_Toc234346012"/>
    </w:p>
    <w:p>
      <w:pPr>
        <w:spacing w:line="420" w:lineRule="atLeast"/>
        <w:ind w:right="480"/>
        <w:jc w:val="center"/>
        <w:rPr>
          <w:rFonts w:ascii="宋体" w:hAnsi="宋体"/>
          <w:sz w:val="44"/>
          <w:szCs w:val="44"/>
        </w:rPr>
      </w:pPr>
    </w:p>
    <w:p>
      <w:pPr>
        <w:spacing w:line="420" w:lineRule="atLeast"/>
        <w:ind w:right="480"/>
        <w:jc w:val="center"/>
        <w:rPr>
          <w:rFonts w:ascii="宋体" w:hAnsi="宋体"/>
          <w:sz w:val="44"/>
          <w:szCs w:val="44"/>
        </w:rPr>
      </w:pPr>
    </w:p>
    <w:p>
      <w:pPr>
        <w:spacing w:line="420" w:lineRule="atLeast"/>
        <w:ind w:right="480"/>
        <w:jc w:val="center"/>
        <w:rPr>
          <w:rFonts w:ascii="宋体" w:hAnsi="宋体"/>
          <w:sz w:val="44"/>
          <w:szCs w:val="44"/>
        </w:rPr>
      </w:pPr>
    </w:p>
    <w:p>
      <w:pPr>
        <w:spacing w:line="420" w:lineRule="atLeast"/>
        <w:ind w:right="480"/>
        <w:jc w:val="center"/>
        <w:rPr>
          <w:rFonts w:ascii="宋体" w:hAnsi="宋体"/>
          <w:sz w:val="44"/>
          <w:szCs w:val="44"/>
        </w:rPr>
      </w:pPr>
    </w:p>
    <w:p>
      <w:pPr>
        <w:spacing w:line="420" w:lineRule="atLeast"/>
        <w:ind w:right="480"/>
        <w:jc w:val="center"/>
        <w:rPr>
          <w:rFonts w:ascii="宋体" w:hAnsi="宋体"/>
          <w:sz w:val="44"/>
          <w:szCs w:val="44"/>
        </w:rPr>
      </w:pPr>
    </w:p>
    <w:p>
      <w:pPr>
        <w:pStyle w:val="4"/>
        <w:spacing w:beforeLines="0" w:afterLines="0"/>
      </w:pPr>
      <w:bookmarkStart w:id="199" w:name="_Toc508796992"/>
      <w:bookmarkStart w:id="200" w:name="_Toc265483667"/>
      <w:bookmarkStart w:id="201" w:name="_Toc23167"/>
      <w:r>
        <w:rPr>
          <w:rFonts w:hint="eastAsia"/>
        </w:rPr>
        <w:t>第四章  合同条款及格式</w:t>
      </w:r>
      <w:bookmarkEnd w:id="194"/>
      <w:bookmarkEnd w:id="195"/>
      <w:bookmarkEnd w:id="196"/>
      <w:bookmarkEnd w:id="197"/>
      <w:bookmarkEnd w:id="198"/>
      <w:bookmarkEnd w:id="199"/>
      <w:bookmarkEnd w:id="200"/>
      <w:bookmarkEnd w:id="201"/>
    </w:p>
    <w:p>
      <w:pPr>
        <w:rPr>
          <w:rFonts w:ascii="宋体" w:hAnsi="宋体"/>
        </w:rPr>
      </w:pPr>
    </w:p>
    <w:p>
      <w:pPr>
        <w:rPr>
          <w:rFonts w:ascii="宋体" w:hAnsi="宋体"/>
        </w:rPr>
      </w:pPr>
    </w:p>
    <w:p>
      <w:pPr>
        <w:jc w:val="center"/>
        <w:rPr>
          <w:rFonts w:ascii="宋体" w:hAnsi="宋体"/>
        </w:rPr>
      </w:pPr>
      <w:r>
        <w:rPr>
          <w:rFonts w:ascii="宋体" w:hAnsi="宋体"/>
        </w:rPr>
        <w:br w:type="page"/>
      </w:r>
      <w:bookmarkStart w:id="202" w:name="_Toc234345875"/>
      <w:bookmarkStart w:id="203" w:name="_Toc234346090"/>
      <w:bookmarkStart w:id="204" w:name="_Toc234349530"/>
      <w:bookmarkStart w:id="205" w:name="_Toc234348956"/>
      <w:bookmarkStart w:id="206" w:name="_Toc234345798"/>
      <w:bookmarkStart w:id="207" w:name="_Toc234348855"/>
      <w:bookmarkStart w:id="208" w:name="_Toc234346013"/>
      <w:bookmarkStart w:id="209" w:name="_Toc234349429"/>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32"/>
          <w:szCs w:val="32"/>
        </w:rPr>
      </w:pPr>
      <w:r>
        <w:rPr>
          <w:rFonts w:hint="eastAsia" w:ascii="宋体" w:hAnsi="宋体"/>
          <w:b/>
          <w:sz w:val="32"/>
          <w:szCs w:val="32"/>
        </w:rPr>
        <w:t>第一节  通用合同条款</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b/>
          <w:sz w:val="24"/>
        </w:rPr>
      </w:pPr>
      <w:r>
        <w:rPr>
          <w:rFonts w:hint="eastAsia" w:ascii="宋体" w:hAnsi="宋体"/>
          <w:b/>
          <w:sz w:val="24"/>
        </w:rPr>
        <w:t>不加修改地引用国家九部委《标准施工招标文件》(2007年版)相关内容。</w:t>
      </w:r>
    </w:p>
    <w:p>
      <w:pPr>
        <w:jc w:val="center"/>
        <w:rPr>
          <w:rFonts w:ascii="宋体" w:hAnsi="宋体"/>
          <w:b/>
          <w:sz w:val="24"/>
        </w:rPr>
      </w:pPr>
      <w:r>
        <w:rPr>
          <w:rFonts w:ascii="宋体" w:hAnsi="宋体"/>
          <w:b/>
          <w:sz w:val="24"/>
        </w:rPr>
        <w:br w:type="page"/>
      </w: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rPr>
      </w:pPr>
    </w:p>
    <w:p>
      <w:pPr>
        <w:jc w:val="center"/>
        <w:rPr>
          <w:rFonts w:ascii="宋体" w:hAnsi="宋体"/>
          <w:b/>
          <w:sz w:val="32"/>
          <w:szCs w:val="32"/>
        </w:rPr>
      </w:pPr>
      <w:r>
        <w:rPr>
          <w:rFonts w:hint="eastAsia" w:ascii="宋体" w:hAnsi="宋体"/>
          <w:b/>
          <w:sz w:val="32"/>
          <w:szCs w:val="32"/>
        </w:rPr>
        <w:t>第二节  专用合同条款</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spacing w:line="360" w:lineRule="auto"/>
        <w:rPr>
          <w:rFonts w:ascii="宋体" w:hAnsi="宋体"/>
          <w:b/>
          <w:sz w:val="28"/>
          <w:szCs w:val="28"/>
        </w:rPr>
      </w:pPr>
      <w:r>
        <w:rPr>
          <w:rFonts w:ascii="宋体" w:hAnsi="宋体"/>
        </w:rPr>
        <w:br w:type="page"/>
      </w:r>
      <w:bookmarkStart w:id="210" w:name="_Toc184635098"/>
      <w:r>
        <w:rPr>
          <w:rFonts w:hint="eastAsia" w:ascii="宋体" w:hAnsi="宋体"/>
          <w:b/>
          <w:sz w:val="28"/>
          <w:szCs w:val="28"/>
        </w:rPr>
        <w:t>1、一般约定</w:t>
      </w:r>
      <w:bookmarkEnd w:id="210"/>
    </w:p>
    <w:p>
      <w:pPr>
        <w:spacing w:line="360" w:lineRule="auto"/>
        <w:rPr>
          <w:rFonts w:ascii="宋体" w:hAnsi="宋体"/>
          <w:b/>
          <w:sz w:val="22"/>
        </w:rPr>
      </w:pPr>
      <w:r>
        <w:rPr>
          <w:rFonts w:hint="eastAsia" w:ascii="宋体" w:hAnsi="宋体"/>
          <w:b/>
          <w:sz w:val="22"/>
        </w:rPr>
        <w:t>1.1词语定义</w:t>
      </w:r>
    </w:p>
    <w:p>
      <w:pPr>
        <w:spacing w:line="360" w:lineRule="auto"/>
        <w:ind w:firstLine="316" w:firstLineChars="150"/>
        <w:rPr>
          <w:rFonts w:ascii="宋体" w:hAnsi="宋体"/>
          <w:b/>
        </w:rPr>
      </w:pPr>
      <w:r>
        <w:rPr>
          <w:rFonts w:hint="eastAsia" w:ascii="宋体" w:hAnsi="宋体"/>
          <w:b/>
        </w:rPr>
        <w:t>1.1.1合同</w:t>
      </w:r>
    </w:p>
    <w:p>
      <w:pPr>
        <w:spacing w:line="360" w:lineRule="auto"/>
        <w:ind w:firstLine="420" w:firstLineChars="200"/>
        <w:rPr>
          <w:rFonts w:ascii="宋体" w:hAnsi="宋体"/>
        </w:rPr>
      </w:pPr>
      <w:r>
        <w:rPr>
          <w:rFonts w:hint="eastAsia" w:ascii="宋体" w:hAnsi="宋体"/>
        </w:rPr>
        <w:t>第1.1.1.6目细化为：</w:t>
      </w:r>
    </w:p>
    <w:p>
      <w:pPr>
        <w:spacing w:line="360" w:lineRule="auto"/>
        <w:ind w:firstLine="420" w:firstLineChars="200"/>
        <w:rPr>
          <w:rFonts w:ascii="宋体" w:hAnsi="宋体"/>
        </w:rPr>
      </w:pPr>
      <w:r>
        <w:rPr>
          <w:rFonts w:hint="eastAsia" w:ascii="宋体" w:hAnsi="宋体"/>
        </w:rPr>
        <w:t>技术规范：指本合同所约定的技术标准和要求，是合同文件的组成部分。通用合同条款中“技术标准和要求”一词具有相同含义。</w:t>
      </w:r>
    </w:p>
    <w:p>
      <w:pPr>
        <w:spacing w:line="360" w:lineRule="auto"/>
        <w:ind w:firstLine="420" w:firstLineChars="200"/>
        <w:rPr>
          <w:rFonts w:ascii="宋体" w:hAnsi="宋体"/>
        </w:rPr>
      </w:pPr>
      <w:r>
        <w:rPr>
          <w:rFonts w:hint="eastAsia" w:ascii="宋体" w:hAnsi="宋体"/>
        </w:rPr>
        <w:t>第1.1.1.8目细化为</w:t>
      </w:r>
    </w:p>
    <w:p>
      <w:pPr>
        <w:spacing w:line="360" w:lineRule="auto"/>
        <w:ind w:firstLine="420" w:firstLineChars="200"/>
        <w:rPr>
          <w:rFonts w:ascii="宋体" w:hAnsi="宋体"/>
        </w:rPr>
      </w:pPr>
      <w:r>
        <w:rPr>
          <w:rFonts w:hint="eastAsia" w:ascii="宋体" w:hAnsi="宋体"/>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spacing w:line="360" w:lineRule="auto"/>
        <w:ind w:firstLine="420" w:firstLineChars="200"/>
        <w:rPr>
          <w:rFonts w:ascii="宋体" w:hAnsi="宋体"/>
        </w:rPr>
      </w:pPr>
      <w:r>
        <w:rPr>
          <w:rFonts w:hint="eastAsia" w:ascii="宋体" w:hAnsi="宋体"/>
        </w:rPr>
        <w:t>本项补充第1.1.1.10目：</w:t>
      </w:r>
    </w:p>
    <w:p>
      <w:pPr>
        <w:spacing w:line="360" w:lineRule="auto"/>
        <w:ind w:firstLine="420" w:firstLineChars="200"/>
        <w:rPr>
          <w:rFonts w:ascii="宋体" w:hAnsi="宋体"/>
        </w:rPr>
      </w:pPr>
      <w:r>
        <w:rPr>
          <w:rFonts w:hint="eastAsia" w:ascii="宋体" w:hAnsi="宋体"/>
        </w:rPr>
        <w:t>1.1.1.10补遗书：指发出招标文件之后由招标人向已取得招标文件的投标人发出的、编号的对招标文件所作的澄清、修改书。</w:t>
      </w:r>
    </w:p>
    <w:p>
      <w:pPr>
        <w:spacing w:line="360" w:lineRule="auto"/>
        <w:ind w:firstLine="316" w:firstLineChars="150"/>
        <w:rPr>
          <w:rFonts w:ascii="宋体" w:hAnsi="宋体"/>
          <w:b/>
        </w:rPr>
      </w:pPr>
      <w:r>
        <w:rPr>
          <w:rFonts w:hint="eastAsia" w:ascii="宋体" w:hAnsi="宋体"/>
          <w:b/>
        </w:rPr>
        <w:t>1.1.2合同当事人和人员</w:t>
      </w:r>
    </w:p>
    <w:p>
      <w:pPr>
        <w:spacing w:line="360" w:lineRule="auto"/>
        <w:ind w:firstLine="420" w:firstLineChars="200"/>
        <w:rPr>
          <w:rFonts w:ascii="宋体" w:hAnsi="宋体"/>
        </w:rPr>
      </w:pPr>
      <w:r>
        <w:rPr>
          <w:rFonts w:hint="eastAsia" w:ascii="宋体" w:hAnsi="宋体"/>
        </w:rPr>
        <w:t>本项补充第1.1.2.8目：</w:t>
      </w:r>
    </w:p>
    <w:p>
      <w:pPr>
        <w:spacing w:line="360" w:lineRule="auto"/>
        <w:ind w:firstLine="420" w:firstLineChars="200"/>
        <w:rPr>
          <w:rFonts w:ascii="宋体" w:hAnsi="宋体"/>
        </w:rPr>
      </w:pPr>
      <w:r>
        <w:rPr>
          <w:rFonts w:hint="eastAsia" w:ascii="宋体" w:hAnsi="宋体"/>
        </w:rPr>
        <w:t>1.1.2.8承包人项目总工：指由承包人书面委派常驻现场负责管理本合同工程的总工程师或技术总负责人。</w:t>
      </w:r>
    </w:p>
    <w:p>
      <w:pPr>
        <w:spacing w:line="360" w:lineRule="auto"/>
        <w:ind w:firstLine="316" w:firstLineChars="150"/>
        <w:rPr>
          <w:rFonts w:ascii="宋体" w:hAnsi="宋体"/>
          <w:b/>
        </w:rPr>
      </w:pPr>
      <w:r>
        <w:rPr>
          <w:rFonts w:hint="eastAsia" w:ascii="宋体" w:hAnsi="宋体"/>
          <w:b/>
        </w:rPr>
        <w:t>1.1.3工程和设备</w:t>
      </w:r>
    </w:p>
    <w:p>
      <w:pPr>
        <w:spacing w:line="360" w:lineRule="auto"/>
        <w:ind w:firstLine="420" w:firstLineChars="200"/>
        <w:rPr>
          <w:rFonts w:ascii="宋体" w:hAnsi="宋体"/>
        </w:rPr>
      </w:pPr>
      <w:r>
        <w:rPr>
          <w:rFonts w:hint="eastAsia" w:ascii="宋体" w:hAnsi="宋体"/>
        </w:rPr>
        <w:t>第1.1.3.4目细化为：</w:t>
      </w:r>
    </w:p>
    <w:p>
      <w:pPr>
        <w:spacing w:line="360" w:lineRule="auto"/>
        <w:ind w:firstLine="420" w:firstLineChars="200"/>
        <w:rPr>
          <w:rFonts w:ascii="宋体" w:hAnsi="宋体"/>
        </w:rPr>
      </w:pPr>
      <w:r>
        <w:rPr>
          <w:rFonts w:hint="eastAsia" w:ascii="宋体" w:hAnsi="宋体"/>
        </w:rPr>
        <w:t>单位工程：指在建设项目中，根据签订的合同，具有独立施工条件的工程。</w:t>
      </w:r>
    </w:p>
    <w:p>
      <w:pPr>
        <w:spacing w:line="360" w:lineRule="auto"/>
        <w:ind w:firstLine="420" w:firstLineChars="200"/>
        <w:rPr>
          <w:rFonts w:ascii="宋体" w:hAnsi="宋体"/>
        </w:rPr>
      </w:pPr>
      <w:r>
        <w:rPr>
          <w:rFonts w:hint="eastAsia" w:ascii="宋体" w:hAnsi="宋体"/>
        </w:rPr>
        <w:t>第1.1.3.10目细化为：</w:t>
      </w:r>
    </w:p>
    <w:p>
      <w:pPr>
        <w:spacing w:line="360" w:lineRule="auto"/>
        <w:ind w:firstLine="420" w:firstLineChars="200"/>
        <w:rPr>
          <w:rFonts w:ascii="宋体" w:hAnsi="宋体"/>
        </w:rPr>
      </w:pPr>
      <w:r>
        <w:rPr>
          <w:rFonts w:hint="eastAsia" w:ascii="宋体" w:hAnsi="宋体"/>
        </w:rPr>
        <w:t>永久占地：指为实施本合同工程而需要的一切永久占用的土地，包括公路两侧路权范围内的用地。</w:t>
      </w:r>
    </w:p>
    <w:p>
      <w:pPr>
        <w:spacing w:line="360" w:lineRule="auto"/>
        <w:ind w:firstLine="420" w:firstLineChars="200"/>
        <w:rPr>
          <w:rFonts w:ascii="宋体" w:hAnsi="宋体"/>
        </w:rPr>
      </w:pPr>
      <w:r>
        <w:rPr>
          <w:rFonts w:hint="eastAsia" w:ascii="宋体" w:hAnsi="宋体"/>
        </w:rPr>
        <w:t>第1.1.3.11目细化为：</w:t>
      </w:r>
    </w:p>
    <w:p>
      <w:pPr>
        <w:spacing w:line="360" w:lineRule="auto"/>
        <w:ind w:firstLine="420" w:firstLineChars="200"/>
        <w:rPr>
          <w:rFonts w:ascii="宋体" w:hAnsi="宋体"/>
        </w:rPr>
      </w:pPr>
      <w:r>
        <w:rPr>
          <w:rFonts w:hint="eastAsia" w:ascii="宋体" w:hAnsi="宋体"/>
        </w:rPr>
        <w:t>临时占地：指为实施本合同工程而需要的一切临时占用的土地，包括施工所用的临时支线、便道、便桥和现场的临时出入通道，以及生产(办公)、生活等临时设施用地等。</w:t>
      </w:r>
    </w:p>
    <w:p>
      <w:pPr>
        <w:spacing w:line="360" w:lineRule="auto"/>
        <w:ind w:firstLine="420" w:firstLineChars="200"/>
        <w:rPr>
          <w:rFonts w:ascii="宋体" w:hAnsi="宋体"/>
        </w:rPr>
      </w:pPr>
      <w:r>
        <w:rPr>
          <w:rFonts w:hint="eastAsia" w:ascii="宋体" w:hAnsi="宋体"/>
        </w:rPr>
        <w:t>本项补充第1.1.3.12目、第1.1.3.13目：</w:t>
      </w:r>
    </w:p>
    <w:p>
      <w:pPr>
        <w:spacing w:line="360" w:lineRule="auto"/>
        <w:ind w:firstLine="420" w:firstLineChars="200"/>
        <w:rPr>
          <w:rFonts w:ascii="宋体" w:hAnsi="宋体"/>
        </w:rPr>
      </w:pPr>
      <w:r>
        <w:rPr>
          <w:rFonts w:hint="eastAsia" w:ascii="宋体" w:hAnsi="宋体"/>
        </w:rPr>
        <w:t>1.1.3.12分部工程：指在单位工程中，按结构部位、路段长度及施工特点或施工任务划分的若干个工程。</w:t>
      </w:r>
    </w:p>
    <w:p>
      <w:pPr>
        <w:spacing w:line="360" w:lineRule="auto"/>
        <w:ind w:firstLine="420" w:firstLineChars="200"/>
        <w:rPr>
          <w:rFonts w:ascii="宋体" w:hAnsi="宋体"/>
        </w:rPr>
      </w:pPr>
      <w:r>
        <w:rPr>
          <w:rFonts w:hint="eastAsia" w:ascii="宋体" w:hAnsi="宋体"/>
        </w:rPr>
        <w:t>1.1.3.13分项工程：指在分部工程中，按不同的施工方法、材料、工序及路段长度等划分的若干个工程。</w:t>
      </w:r>
    </w:p>
    <w:p>
      <w:pPr>
        <w:spacing w:line="360" w:lineRule="auto"/>
        <w:ind w:firstLine="316" w:firstLineChars="150"/>
        <w:rPr>
          <w:rFonts w:ascii="宋体" w:hAnsi="宋体"/>
          <w:b/>
        </w:rPr>
      </w:pPr>
      <w:r>
        <w:rPr>
          <w:rFonts w:hint="eastAsia" w:ascii="宋体" w:hAnsi="宋体"/>
          <w:b/>
        </w:rPr>
        <w:t>1.1.6其他</w:t>
      </w:r>
    </w:p>
    <w:p>
      <w:pPr>
        <w:spacing w:line="360" w:lineRule="auto"/>
        <w:ind w:firstLine="420" w:firstLineChars="200"/>
        <w:rPr>
          <w:rFonts w:ascii="宋体" w:hAnsi="宋体"/>
        </w:rPr>
      </w:pPr>
      <w:r>
        <w:rPr>
          <w:rFonts w:hint="eastAsia" w:ascii="宋体" w:hAnsi="宋体"/>
        </w:rPr>
        <w:t>本项补充1.1.6.2目~第1.1.6.9目：</w:t>
      </w:r>
    </w:p>
    <w:p>
      <w:pPr>
        <w:spacing w:line="360" w:lineRule="auto"/>
        <w:ind w:firstLine="420" w:firstLineChars="200"/>
        <w:rPr>
          <w:rFonts w:ascii="宋体" w:hAnsi="宋体"/>
        </w:rPr>
      </w:pPr>
      <w:r>
        <w:rPr>
          <w:rFonts w:hint="eastAsia" w:ascii="宋体" w:hAnsi="宋体"/>
        </w:rPr>
        <w:t>1.1.6.2竣工验收：指《公路工程竣（交）工验收办法》中的竣工验收。通用合同条款中“国家验收”一词具有相同含义。</w:t>
      </w:r>
    </w:p>
    <w:p>
      <w:pPr>
        <w:spacing w:line="360" w:lineRule="auto"/>
        <w:ind w:firstLine="420" w:firstLineChars="200"/>
        <w:rPr>
          <w:rFonts w:ascii="宋体" w:hAnsi="宋体"/>
        </w:rPr>
      </w:pPr>
      <w:r>
        <w:rPr>
          <w:rFonts w:hint="eastAsia" w:ascii="宋体" w:hAnsi="宋体"/>
        </w:rPr>
        <w:t>1.1.6.3交工：指《公路工程竣（交）工验收办法》中的交工。通用合同条款中“竣工”一词具有相同含义。</w:t>
      </w:r>
    </w:p>
    <w:p>
      <w:pPr>
        <w:spacing w:line="360" w:lineRule="auto"/>
        <w:ind w:firstLine="420" w:firstLineChars="200"/>
        <w:rPr>
          <w:rFonts w:ascii="宋体" w:hAnsi="宋体"/>
        </w:rPr>
      </w:pPr>
      <w:r>
        <w:rPr>
          <w:rFonts w:hint="eastAsia" w:ascii="宋体" w:hAnsi="宋体"/>
        </w:rPr>
        <w:t>1.1.6.4交工验收：指《公路工程竣（交）工验收办法》中的交工验收。通用合同条款中“竣工验收”一词具有相同含义。</w:t>
      </w:r>
    </w:p>
    <w:p>
      <w:pPr>
        <w:spacing w:line="360" w:lineRule="auto"/>
        <w:ind w:firstLine="420" w:firstLineChars="200"/>
        <w:rPr>
          <w:rFonts w:ascii="宋体" w:hAnsi="宋体"/>
        </w:rPr>
      </w:pPr>
      <w:r>
        <w:rPr>
          <w:rFonts w:hint="eastAsia" w:ascii="宋体" w:hAnsi="宋体"/>
        </w:rPr>
        <w:t>1.1.6.5交工验收证书：指《公路工程竣(交)工验收办法》中的交工验收证书。通用合同条款中“工程接收证书”一词具有相同含义。</w:t>
      </w:r>
    </w:p>
    <w:p>
      <w:pPr>
        <w:spacing w:line="360" w:lineRule="auto"/>
        <w:ind w:firstLine="420" w:firstLineChars="200"/>
        <w:rPr>
          <w:rFonts w:ascii="宋体" w:hAnsi="宋体"/>
        </w:rPr>
      </w:pPr>
      <w:r>
        <w:rPr>
          <w:rFonts w:hint="eastAsia" w:ascii="宋体" w:hAnsi="宋体"/>
        </w:rPr>
        <w:t>1.1.6.6转包：指承包人违反法律和不履行合同规定的责任和义务，将中标工程全部委托或以专业分包的名义将中标工程肢解后全部委托给其他施工企业施工的行为。</w:t>
      </w:r>
    </w:p>
    <w:p>
      <w:pPr>
        <w:spacing w:line="360" w:lineRule="auto"/>
        <w:ind w:firstLine="420" w:firstLineChars="200"/>
        <w:rPr>
          <w:rFonts w:ascii="宋体" w:hAnsi="宋体"/>
        </w:rPr>
      </w:pPr>
      <w:r>
        <w:rPr>
          <w:rFonts w:hint="eastAsia" w:ascii="宋体" w:hAnsi="宋体"/>
        </w:rPr>
        <w:t>1.1.6.7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auto"/>
        <w:ind w:firstLine="420" w:firstLineChars="200"/>
        <w:rPr>
          <w:rFonts w:ascii="宋体" w:hAnsi="宋体"/>
        </w:rPr>
      </w:pPr>
      <w:r>
        <w:rPr>
          <w:rFonts w:hint="eastAsia" w:ascii="宋体" w:hAnsi="宋体"/>
        </w:rPr>
        <w:t>1.1.6.8劳务分包：指承包人与具有劳务分包资质的劳务企业签订劳务分包合同，由劳务企业提供劳务人员及机具，由承包人统一组织施工，统一控制工程质量、施工进度、材料采购、生产安全的施工行为。</w:t>
      </w:r>
    </w:p>
    <w:p>
      <w:pPr>
        <w:spacing w:line="360" w:lineRule="auto"/>
        <w:ind w:firstLine="420" w:firstLineChars="200"/>
        <w:rPr>
          <w:rFonts w:ascii="宋体" w:hAnsi="宋体"/>
        </w:rPr>
      </w:pPr>
      <w:r>
        <w:rPr>
          <w:rFonts w:hint="eastAsia" w:ascii="宋体" w:hAnsi="宋体"/>
        </w:rPr>
        <w:t>1.1.6.9雇佣民工：指承包人与具有相应劳动能力的自然人签订劳动合同，由承包人统一组织管理，从事分项工程施工或配套工程施工的行为。</w:t>
      </w:r>
    </w:p>
    <w:p>
      <w:pPr>
        <w:spacing w:line="360" w:lineRule="auto"/>
        <w:rPr>
          <w:rFonts w:ascii="宋体" w:hAnsi="宋体"/>
          <w:b/>
          <w:sz w:val="24"/>
          <w:szCs w:val="28"/>
        </w:rPr>
      </w:pPr>
      <w:bookmarkStart w:id="211" w:name="_Toc144974583"/>
      <w:bookmarkStart w:id="212" w:name="_Toc179632633"/>
      <w:bookmarkStart w:id="213" w:name="_Toc152045615"/>
      <w:bookmarkStart w:id="214" w:name="_Toc152042393"/>
      <w:r>
        <w:rPr>
          <w:rFonts w:hint="eastAsia" w:ascii="宋体" w:hAnsi="宋体"/>
          <w:b/>
          <w:sz w:val="24"/>
          <w:szCs w:val="28"/>
        </w:rPr>
        <w:t>1.4合同文件的优先顺序</w:t>
      </w:r>
      <w:bookmarkEnd w:id="211"/>
      <w:bookmarkEnd w:id="212"/>
      <w:bookmarkEnd w:id="213"/>
      <w:bookmarkEnd w:id="214"/>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组成合同的各项文件应互相解释，互为说明。除项目专用合同条款另有约定外，解释合同文件的优先顺序如下：</w:t>
      </w:r>
    </w:p>
    <w:p>
      <w:pPr>
        <w:spacing w:line="360" w:lineRule="auto"/>
        <w:ind w:firstLine="420" w:firstLineChars="200"/>
        <w:rPr>
          <w:rFonts w:ascii="宋体" w:hAnsi="宋体"/>
        </w:rPr>
      </w:pPr>
      <w:r>
        <w:rPr>
          <w:rFonts w:hint="eastAsia" w:ascii="宋体" w:hAnsi="宋体"/>
        </w:rPr>
        <w:t>(1)合同协议书及各种合同附件(含评标期间和合同谈判过程中的澄清文件和补充资料)；</w:t>
      </w:r>
    </w:p>
    <w:p>
      <w:pPr>
        <w:spacing w:line="360" w:lineRule="auto"/>
        <w:ind w:firstLine="420" w:firstLineChars="200"/>
        <w:rPr>
          <w:rFonts w:ascii="宋体" w:hAnsi="宋体"/>
        </w:rPr>
      </w:pPr>
      <w:r>
        <w:rPr>
          <w:rFonts w:hint="eastAsia" w:ascii="宋体" w:hAnsi="宋体"/>
        </w:rPr>
        <w:t>(2)中标通知书；</w:t>
      </w:r>
    </w:p>
    <w:p>
      <w:pPr>
        <w:spacing w:line="360" w:lineRule="auto"/>
        <w:ind w:firstLine="420" w:firstLineChars="200"/>
        <w:rPr>
          <w:rFonts w:ascii="宋体" w:hAnsi="宋体"/>
        </w:rPr>
      </w:pPr>
      <w:r>
        <w:rPr>
          <w:rFonts w:hint="eastAsia" w:ascii="宋体" w:hAnsi="宋体"/>
        </w:rPr>
        <w:t>(3)本招标文件及答疑、投标函及投标函附录；</w:t>
      </w:r>
    </w:p>
    <w:p>
      <w:pPr>
        <w:spacing w:line="360" w:lineRule="auto"/>
        <w:ind w:firstLine="420" w:firstLineChars="200"/>
        <w:rPr>
          <w:rFonts w:ascii="宋体" w:hAnsi="宋体"/>
        </w:rPr>
      </w:pPr>
      <w:r>
        <w:rPr>
          <w:rFonts w:hint="eastAsia" w:ascii="宋体" w:hAnsi="宋体"/>
        </w:rPr>
        <w:t>(4)本合同专用条款；</w:t>
      </w:r>
    </w:p>
    <w:p>
      <w:pPr>
        <w:spacing w:line="360" w:lineRule="auto"/>
        <w:ind w:firstLine="420" w:firstLineChars="200"/>
        <w:rPr>
          <w:rFonts w:ascii="宋体" w:hAnsi="宋体"/>
        </w:rPr>
      </w:pPr>
      <w:r>
        <w:rPr>
          <w:rFonts w:hint="eastAsia" w:ascii="宋体" w:hAnsi="宋体"/>
        </w:rPr>
        <w:t>(5)公路工程专用合同条款；</w:t>
      </w:r>
    </w:p>
    <w:p>
      <w:pPr>
        <w:spacing w:line="360" w:lineRule="auto"/>
        <w:ind w:firstLine="420" w:firstLineChars="200"/>
        <w:rPr>
          <w:rFonts w:ascii="宋体" w:hAnsi="宋体"/>
        </w:rPr>
      </w:pPr>
      <w:r>
        <w:rPr>
          <w:rFonts w:hint="eastAsia" w:ascii="宋体" w:hAnsi="宋体"/>
        </w:rPr>
        <w:t>(6)本合同通用合同条款；</w:t>
      </w:r>
    </w:p>
    <w:p>
      <w:pPr>
        <w:spacing w:line="360" w:lineRule="auto"/>
        <w:ind w:firstLine="420" w:firstLineChars="200"/>
        <w:rPr>
          <w:rFonts w:ascii="宋体" w:hAnsi="宋体"/>
        </w:rPr>
      </w:pPr>
      <w:r>
        <w:rPr>
          <w:rFonts w:hint="eastAsia" w:ascii="宋体" w:hAnsi="宋体"/>
        </w:rPr>
        <w:t>(7)标准、规范及有关技术文件；</w:t>
      </w:r>
    </w:p>
    <w:p>
      <w:pPr>
        <w:spacing w:line="360" w:lineRule="auto"/>
        <w:ind w:firstLine="420" w:firstLineChars="200"/>
        <w:rPr>
          <w:rFonts w:ascii="宋体" w:hAnsi="宋体"/>
        </w:rPr>
      </w:pPr>
      <w:r>
        <w:rPr>
          <w:rFonts w:hint="eastAsia" w:ascii="宋体" w:hAnsi="宋体"/>
        </w:rPr>
        <w:t>(8) 图纸；</w:t>
      </w:r>
    </w:p>
    <w:p>
      <w:pPr>
        <w:spacing w:line="360" w:lineRule="auto"/>
        <w:ind w:firstLine="420" w:firstLineChars="200"/>
        <w:rPr>
          <w:rFonts w:ascii="宋体" w:hAnsi="宋体"/>
        </w:rPr>
      </w:pPr>
      <w:r>
        <w:rPr>
          <w:rFonts w:hint="eastAsia" w:ascii="宋体" w:hAnsi="宋体"/>
        </w:rPr>
        <w:t>(9)工程量清单计量规则；</w:t>
      </w:r>
    </w:p>
    <w:p>
      <w:pPr>
        <w:spacing w:line="360" w:lineRule="auto"/>
        <w:ind w:firstLine="420" w:firstLineChars="200"/>
        <w:rPr>
          <w:rFonts w:ascii="宋体" w:hAnsi="宋体"/>
        </w:rPr>
      </w:pPr>
      <w:r>
        <w:rPr>
          <w:rFonts w:hint="eastAsia" w:ascii="宋体" w:hAnsi="宋体"/>
        </w:rPr>
        <w:t>(10)已标价工程量清单；</w:t>
      </w:r>
    </w:p>
    <w:p>
      <w:pPr>
        <w:spacing w:line="360" w:lineRule="auto"/>
        <w:ind w:firstLine="420" w:firstLineChars="200"/>
        <w:rPr>
          <w:rFonts w:ascii="宋体" w:hAnsi="宋体"/>
        </w:rPr>
      </w:pPr>
      <w:r>
        <w:rPr>
          <w:rFonts w:hint="eastAsia" w:ascii="宋体" w:hAnsi="宋体"/>
        </w:rPr>
        <w:t>(11)承包人有关人员、设备投入的承诺及投标文件中的施工组织设计；</w:t>
      </w:r>
    </w:p>
    <w:p>
      <w:pPr>
        <w:spacing w:line="360" w:lineRule="auto"/>
        <w:ind w:firstLine="420" w:firstLineChars="200"/>
        <w:rPr>
          <w:rFonts w:ascii="宋体" w:hAnsi="宋体"/>
        </w:rPr>
      </w:pPr>
      <w:r>
        <w:rPr>
          <w:rFonts w:hint="eastAsia" w:ascii="宋体" w:hAnsi="宋体"/>
        </w:rPr>
        <w:t>(12)其他合同文件</w:t>
      </w:r>
    </w:p>
    <w:p>
      <w:pPr>
        <w:spacing w:line="360" w:lineRule="auto"/>
        <w:rPr>
          <w:rFonts w:ascii="宋体" w:hAnsi="宋体"/>
          <w:b/>
          <w:sz w:val="24"/>
          <w:szCs w:val="28"/>
        </w:rPr>
      </w:pPr>
      <w:bookmarkStart w:id="215" w:name="_Toc152045616"/>
      <w:bookmarkStart w:id="216" w:name="_Toc152042394"/>
      <w:bookmarkStart w:id="217" w:name="_Toc144974584"/>
      <w:bookmarkStart w:id="218" w:name="_Toc179632634"/>
      <w:r>
        <w:rPr>
          <w:rFonts w:hint="eastAsia" w:ascii="宋体" w:hAnsi="宋体"/>
          <w:b/>
          <w:sz w:val="24"/>
          <w:szCs w:val="28"/>
        </w:rPr>
        <w:t>1.5合同协议书</w:t>
      </w:r>
      <w:bookmarkEnd w:id="215"/>
      <w:bookmarkEnd w:id="216"/>
      <w:bookmarkEnd w:id="217"/>
      <w:bookmarkEnd w:id="218"/>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制备本合同文件的费用由发包人承担。在合同协议书签订并生效之前，投标函和中标通知书将对双方具有约束力。</w:t>
      </w:r>
    </w:p>
    <w:p>
      <w:pPr>
        <w:spacing w:line="360" w:lineRule="auto"/>
        <w:rPr>
          <w:rFonts w:ascii="宋体" w:hAnsi="宋体"/>
          <w:b/>
          <w:sz w:val="24"/>
          <w:szCs w:val="28"/>
        </w:rPr>
      </w:pPr>
      <w:bookmarkStart w:id="219" w:name="_Toc152042395"/>
      <w:bookmarkStart w:id="220" w:name="_Toc179632635"/>
      <w:bookmarkStart w:id="221" w:name="_Toc152045617"/>
      <w:bookmarkStart w:id="222" w:name="_Toc144974585"/>
      <w:r>
        <w:rPr>
          <w:rFonts w:hint="eastAsia" w:ascii="宋体" w:hAnsi="宋体"/>
          <w:b/>
          <w:sz w:val="24"/>
          <w:szCs w:val="28"/>
        </w:rPr>
        <w:t>1.6图纸和承包人文件</w:t>
      </w:r>
      <w:bookmarkEnd w:id="219"/>
      <w:bookmarkEnd w:id="220"/>
      <w:bookmarkEnd w:id="221"/>
      <w:bookmarkEnd w:id="222"/>
    </w:p>
    <w:p>
      <w:pPr>
        <w:spacing w:line="360" w:lineRule="auto"/>
        <w:ind w:firstLine="422" w:firstLineChars="200"/>
        <w:rPr>
          <w:rFonts w:ascii="宋体" w:hAnsi="宋体"/>
          <w:b/>
        </w:rPr>
      </w:pPr>
      <w:r>
        <w:rPr>
          <w:rFonts w:hint="eastAsia" w:ascii="宋体" w:hAnsi="宋体"/>
          <w:b/>
        </w:rPr>
        <w:t>1.6.1图纸的提供</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360" w:lineRule="auto"/>
        <w:ind w:firstLine="422" w:firstLineChars="200"/>
        <w:rPr>
          <w:rFonts w:ascii="宋体" w:hAnsi="宋体"/>
          <w:b/>
        </w:rPr>
      </w:pPr>
      <w:r>
        <w:rPr>
          <w:rFonts w:hint="eastAsia" w:ascii="宋体" w:hAnsi="宋体"/>
          <w:b/>
        </w:rPr>
        <w:t>1.6.2承包人提供的文件</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有下列情形之一的，承包人应免费向监理人提交相关部分工程的施工图纸3份，并附必要的计算书、技术资料，或施工工艺图、设备安装图及安装设备的使用和维护手册各2份供监理人批准。</w:t>
      </w:r>
    </w:p>
    <w:p>
      <w:pPr>
        <w:spacing w:line="360" w:lineRule="auto"/>
        <w:ind w:firstLine="420" w:firstLineChars="200"/>
        <w:rPr>
          <w:rFonts w:ascii="宋体" w:hAnsi="宋体"/>
        </w:rPr>
      </w:pPr>
      <w:r>
        <w:rPr>
          <w:rFonts w:hint="eastAsia" w:ascii="宋体" w:hAnsi="宋体"/>
        </w:rPr>
        <w:t>(1)为使第1.6.1项所述的施工图纸适合于经施工测量后的纵、横断面；</w:t>
      </w:r>
    </w:p>
    <w:p>
      <w:pPr>
        <w:spacing w:line="360" w:lineRule="auto"/>
        <w:ind w:firstLine="420" w:firstLineChars="200"/>
        <w:rPr>
          <w:rFonts w:ascii="宋体" w:hAnsi="宋体"/>
        </w:rPr>
      </w:pPr>
      <w:r>
        <w:rPr>
          <w:rFonts w:hint="eastAsia" w:ascii="宋体" w:hAnsi="宋体"/>
        </w:rPr>
        <w:t>(2)为使第1.6.1项所述的施工图纸适合于现场具体地形；</w:t>
      </w:r>
    </w:p>
    <w:p>
      <w:pPr>
        <w:spacing w:line="360" w:lineRule="auto"/>
        <w:ind w:firstLine="420" w:firstLineChars="200"/>
        <w:rPr>
          <w:rFonts w:ascii="宋体" w:hAnsi="宋体"/>
        </w:rPr>
      </w:pPr>
      <w:r>
        <w:rPr>
          <w:rFonts w:hint="eastAsia" w:ascii="宋体" w:hAnsi="宋体"/>
        </w:rPr>
        <w:t>(3)为使第1.6.1项所述的施工图纸适合于因尺寸与位置变化而引起局部变更；</w:t>
      </w:r>
    </w:p>
    <w:p>
      <w:pPr>
        <w:spacing w:line="360" w:lineRule="auto"/>
        <w:ind w:firstLine="420" w:firstLineChars="200"/>
        <w:rPr>
          <w:rFonts w:ascii="宋体" w:hAnsi="宋体"/>
        </w:rPr>
      </w:pPr>
      <w:r>
        <w:rPr>
          <w:rFonts w:hint="eastAsia" w:ascii="宋体" w:hAnsi="宋体"/>
        </w:rPr>
        <w:t>(4)由于合同要求与施工需要。</w:t>
      </w:r>
    </w:p>
    <w:p>
      <w:pPr>
        <w:spacing w:line="360" w:lineRule="auto"/>
        <w:ind w:firstLine="420" w:firstLineChars="200"/>
        <w:rPr>
          <w:rFonts w:ascii="宋体" w:hAnsi="宋体"/>
        </w:rPr>
      </w:pPr>
      <w:r>
        <w:rPr>
          <w:rFonts w:hint="eastAsia" w:ascii="宋体" w:hAnsi="宋体"/>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pPr>
        <w:spacing w:line="360" w:lineRule="auto"/>
        <w:ind w:firstLine="422" w:firstLineChars="200"/>
        <w:rPr>
          <w:rFonts w:ascii="宋体" w:hAnsi="宋体"/>
          <w:b/>
        </w:rPr>
      </w:pPr>
      <w:r>
        <w:rPr>
          <w:rFonts w:hint="eastAsia" w:ascii="宋体" w:hAnsi="宋体"/>
          <w:b/>
        </w:rPr>
        <w:t>1.6.4图纸的错误</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spacing w:line="360" w:lineRule="auto"/>
        <w:rPr>
          <w:rFonts w:ascii="宋体" w:hAnsi="宋体"/>
          <w:b/>
          <w:sz w:val="24"/>
          <w:szCs w:val="28"/>
        </w:rPr>
      </w:pPr>
      <w:bookmarkStart w:id="223" w:name="_Toc179632638"/>
      <w:bookmarkStart w:id="224" w:name="_Toc152042398"/>
      <w:bookmarkStart w:id="225" w:name="_Toc152045620"/>
      <w:bookmarkStart w:id="226" w:name="_Toc144974588"/>
      <w:r>
        <w:rPr>
          <w:rFonts w:hint="eastAsia" w:ascii="宋体" w:hAnsi="宋体"/>
          <w:b/>
          <w:sz w:val="24"/>
          <w:szCs w:val="28"/>
        </w:rPr>
        <w:t>1.9严禁贿赂</w:t>
      </w:r>
      <w:bookmarkEnd w:id="223"/>
      <w:bookmarkEnd w:id="224"/>
      <w:bookmarkEnd w:id="225"/>
      <w:bookmarkEnd w:id="226"/>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line="360" w:lineRule="auto"/>
        <w:rPr>
          <w:rFonts w:ascii="宋体" w:hAnsi="宋体"/>
          <w:b/>
          <w:sz w:val="28"/>
          <w:szCs w:val="30"/>
        </w:rPr>
      </w:pPr>
      <w:bookmarkStart w:id="227" w:name="_Toc152042402"/>
      <w:bookmarkStart w:id="228" w:name="_Toc152045624"/>
      <w:bookmarkStart w:id="229" w:name="_Toc179632642"/>
      <w:bookmarkStart w:id="230" w:name="_Toc144974592"/>
      <w:r>
        <w:rPr>
          <w:rFonts w:hint="eastAsia" w:ascii="宋体" w:hAnsi="宋体"/>
          <w:b/>
          <w:sz w:val="28"/>
          <w:szCs w:val="30"/>
        </w:rPr>
        <w:t>2.发包人义务</w:t>
      </w:r>
      <w:bookmarkEnd w:id="227"/>
      <w:bookmarkEnd w:id="228"/>
      <w:bookmarkEnd w:id="229"/>
      <w:bookmarkEnd w:id="230"/>
    </w:p>
    <w:p>
      <w:pPr>
        <w:spacing w:line="360" w:lineRule="auto"/>
        <w:rPr>
          <w:rFonts w:ascii="宋体" w:hAnsi="宋体"/>
          <w:b/>
          <w:sz w:val="24"/>
          <w:szCs w:val="28"/>
        </w:rPr>
      </w:pPr>
      <w:bookmarkStart w:id="231" w:name="_Toc152042405"/>
      <w:bookmarkStart w:id="232" w:name="_Toc179632645"/>
      <w:bookmarkStart w:id="233" w:name="_Toc144974595"/>
      <w:bookmarkStart w:id="234" w:name="_Toc152045627"/>
      <w:r>
        <w:rPr>
          <w:rFonts w:hint="eastAsia" w:ascii="宋体" w:hAnsi="宋体"/>
          <w:b/>
          <w:sz w:val="24"/>
          <w:szCs w:val="28"/>
        </w:rPr>
        <w:t>2.3提供施工场地</w:t>
      </w:r>
      <w:bookmarkEnd w:id="231"/>
      <w:bookmarkEnd w:id="232"/>
      <w:bookmarkEnd w:id="233"/>
      <w:bookmarkEnd w:id="234"/>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项目业主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项目业主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spacing w:line="360" w:lineRule="auto"/>
        <w:ind w:firstLine="420" w:firstLineChars="200"/>
        <w:rPr>
          <w:rFonts w:ascii="宋体" w:hAnsi="宋体"/>
        </w:rPr>
      </w:pPr>
      <w:r>
        <w:rPr>
          <w:rFonts w:hint="eastAsia" w:ascii="宋体" w:hAnsi="宋体"/>
        </w:rPr>
        <w:t>由于项目业主未能按照本项规定办妥永久占地征用手续，影响承包人及时使用永久占地造成的费用增加和(或)工期延误的，</w:t>
      </w:r>
      <w:r>
        <w:rPr>
          <w:rFonts w:ascii="宋体" w:hAnsi="宋体"/>
        </w:rPr>
        <w:t>承包人应协助发包人向项目实施机构</w:t>
      </w:r>
      <w:r>
        <w:rPr>
          <w:rFonts w:hint="eastAsia" w:ascii="宋体" w:hAnsi="宋体"/>
        </w:rPr>
        <w:t>索赔</w:t>
      </w:r>
      <w:r>
        <w:rPr>
          <w:rFonts w:ascii="宋体" w:hAnsi="宋体"/>
        </w:rPr>
        <w:t>，如索赔不成功的，</w:t>
      </w:r>
      <w:r>
        <w:rPr>
          <w:rFonts w:hint="eastAsia" w:ascii="宋体" w:hAnsi="宋体"/>
        </w:rPr>
        <w:t>发包人</w:t>
      </w:r>
      <w:r>
        <w:rPr>
          <w:rFonts w:ascii="宋体" w:hAnsi="宋体"/>
        </w:rPr>
        <w:t>不</w:t>
      </w:r>
      <w:r>
        <w:rPr>
          <w:rFonts w:hint="eastAsia" w:ascii="宋体" w:hAnsi="宋体"/>
        </w:rPr>
        <w:t>承担</w:t>
      </w:r>
      <w:r>
        <w:rPr>
          <w:rFonts w:ascii="宋体" w:hAnsi="宋体"/>
        </w:rPr>
        <w:t>责任</w:t>
      </w:r>
      <w:r>
        <w:rPr>
          <w:rFonts w:hint="eastAsia" w:ascii="宋体" w:hAnsi="宋体"/>
        </w:rPr>
        <w:t>。由于承包人未能按照本项规定提交占地计划，影响项目业主办理永久占地征用手续造成的费用增加和(或)工期延误由承包人承担。</w:t>
      </w:r>
    </w:p>
    <w:p>
      <w:pPr>
        <w:spacing w:line="360" w:lineRule="auto"/>
        <w:rPr>
          <w:rFonts w:ascii="宋体" w:hAnsi="宋体"/>
          <w:b/>
          <w:sz w:val="28"/>
          <w:szCs w:val="30"/>
        </w:rPr>
      </w:pPr>
      <w:bookmarkStart w:id="235" w:name="_Toc144974601"/>
      <w:bookmarkStart w:id="236" w:name="_Toc179632651"/>
      <w:bookmarkStart w:id="237" w:name="_Toc152045633"/>
      <w:bookmarkStart w:id="238" w:name="_Toc152042411"/>
      <w:r>
        <w:rPr>
          <w:rFonts w:hint="eastAsia" w:ascii="宋体" w:hAnsi="宋体"/>
          <w:b/>
          <w:sz w:val="28"/>
          <w:szCs w:val="30"/>
        </w:rPr>
        <w:t>3.监理人</w:t>
      </w:r>
      <w:bookmarkEnd w:id="235"/>
      <w:bookmarkEnd w:id="236"/>
      <w:bookmarkEnd w:id="237"/>
      <w:bookmarkEnd w:id="238"/>
    </w:p>
    <w:p>
      <w:pPr>
        <w:spacing w:line="360" w:lineRule="auto"/>
        <w:rPr>
          <w:rFonts w:ascii="宋体" w:hAnsi="宋体"/>
          <w:b/>
          <w:sz w:val="24"/>
          <w:szCs w:val="28"/>
        </w:rPr>
      </w:pPr>
      <w:bookmarkStart w:id="239" w:name="_Toc179632652"/>
      <w:bookmarkStart w:id="240" w:name="_Toc144974602"/>
      <w:bookmarkStart w:id="241" w:name="_Toc152042412"/>
      <w:bookmarkStart w:id="242" w:name="_Toc152045634"/>
      <w:r>
        <w:rPr>
          <w:rFonts w:hint="eastAsia" w:ascii="宋体" w:hAnsi="宋体"/>
          <w:b/>
          <w:sz w:val="24"/>
          <w:szCs w:val="28"/>
        </w:rPr>
        <w:t>3.1监理人的职责和权力</w:t>
      </w:r>
      <w:bookmarkEnd w:id="239"/>
      <w:bookmarkEnd w:id="240"/>
      <w:bookmarkEnd w:id="241"/>
      <w:bookmarkEnd w:id="242"/>
    </w:p>
    <w:p>
      <w:pPr>
        <w:spacing w:line="360" w:lineRule="auto"/>
        <w:ind w:firstLine="420" w:firstLineChars="200"/>
        <w:rPr>
          <w:rFonts w:ascii="宋体" w:hAnsi="宋体"/>
        </w:rPr>
      </w:pPr>
      <w:r>
        <w:rPr>
          <w:rFonts w:hint="eastAsia" w:ascii="宋体" w:hAnsi="宋体"/>
        </w:rPr>
        <w:t>第3.1.1项补充：</w:t>
      </w:r>
    </w:p>
    <w:p>
      <w:pPr>
        <w:spacing w:line="360" w:lineRule="auto"/>
        <w:ind w:firstLine="420" w:firstLineChars="200"/>
        <w:rPr>
          <w:rFonts w:ascii="宋体" w:hAnsi="宋体"/>
        </w:rPr>
      </w:pPr>
      <w:r>
        <w:rPr>
          <w:rFonts w:hint="eastAsia" w:ascii="宋体" w:hAnsi="宋体"/>
        </w:rPr>
        <w:t>监理人在行使下列权力前需要经发包人事先批准：</w:t>
      </w:r>
    </w:p>
    <w:p>
      <w:pPr>
        <w:spacing w:line="360" w:lineRule="auto"/>
        <w:ind w:firstLine="420" w:firstLineChars="200"/>
        <w:rPr>
          <w:rFonts w:ascii="宋体" w:hAnsi="宋体"/>
        </w:rPr>
      </w:pPr>
      <w:r>
        <w:rPr>
          <w:rFonts w:hint="eastAsia" w:ascii="宋体" w:hAnsi="宋体"/>
        </w:rPr>
        <w:t>(1)根据第4.3款，同意分包本工程的某些非关键性工作或者适合专业化队伍施工的专项工程；</w:t>
      </w:r>
    </w:p>
    <w:p>
      <w:pPr>
        <w:spacing w:line="360" w:lineRule="auto"/>
        <w:ind w:firstLine="420" w:firstLineChars="200"/>
        <w:rPr>
          <w:rFonts w:ascii="宋体" w:hAnsi="宋体"/>
        </w:rPr>
      </w:pPr>
      <w:r>
        <w:rPr>
          <w:rFonts w:hint="eastAsia" w:ascii="宋体" w:hAnsi="宋体"/>
        </w:rPr>
        <w:t>(2)确定第4.11款下产生的费用增加额；</w:t>
      </w:r>
    </w:p>
    <w:p>
      <w:pPr>
        <w:spacing w:line="360" w:lineRule="auto"/>
        <w:ind w:firstLine="420" w:firstLineChars="200"/>
        <w:rPr>
          <w:rFonts w:ascii="宋体" w:hAnsi="宋体"/>
        </w:rPr>
      </w:pPr>
      <w:r>
        <w:rPr>
          <w:rFonts w:hint="eastAsia" w:ascii="宋体" w:hAnsi="宋体"/>
        </w:rPr>
        <w:t>(3)根据第11.1款、第12.3款、第12.4款发布开工通知、暂停施工指示或复工通知；</w:t>
      </w:r>
    </w:p>
    <w:p>
      <w:pPr>
        <w:spacing w:line="360" w:lineRule="auto"/>
        <w:ind w:firstLine="420" w:firstLineChars="200"/>
        <w:rPr>
          <w:rFonts w:ascii="宋体" w:hAnsi="宋体"/>
        </w:rPr>
      </w:pPr>
      <w:r>
        <w:rPr>
          <w:rFonts w:hint="eastAsia" w:ascii="宋体" w:hAnsi="宋体"/>
        </w:rPr>
        <w:t>(4)决定第11.3款、第11.4款下的工期延长；</w:t>
      </w:r>
    </w:p>
    <w:p>
      <w:pPr>
        <w:spacing w:line="360" w:lineRule="auto"/>
        <w:ind w:firstLine="420" w:firstLineChars="200"/>
        <w:rPr>
          <w:rFonts w:ascii="宋体" w:hAnsi="宋体"/>
        </w:rPr>
      </w:pPr>
      <w:r>
        <w:rPr>
          <w:rFonts w:hint="eastAsia" w:ascii="宋体" w:hAnsi="宋体"/>
        </w:rPr>
        <w:t>(5)审查批准技术规范或设计的变更；</w:t>
      </w:r>
    </w:p>
    <w:p>
      <w:pPr>
        <w:spacing w:line="360" w:lineRule="auto"/>
        <w:ind w:firstLine="420" w:firstLineChars="200"/>
        <w:rPr>
          <w:rFonts w:ascii="宋体" w:hAnsi="宋体"/>
        </w:rPr>
      </w:pPr>
      <w:r>
        <w:rPr>
          <w:rFonts w:hint="eastAsia" w:ascii="宋体" w:hAnsi="宋体"/>
        </w:rPr>
        <w:t>(6)根据第15.3款发出的变更指示，其单项工程变更或累计变更涉及的金额超过了项目专用合同条款数据表中规定的金额；</w:t>
      </w:r>
    </w:p>
    <w:p>
      <w:pPr>
        <w:spacing w:line="360" w:lineRule="auto"/>
        <w:ind w:firstLine="420" w:firstLineChars="200"/>
        <w:rPr>
          <w:rFonts w:ascii="宋体" w:hAnsi="宋体"/>
        </w:rPr>
      </w:pPr>
      <w:r>
        <w:rPr>
          <w:rFonts w:hint="eastAsia" w:ascii="宋体" w:hAnsi="宋体"/>
        </w:rPr>
        <w:t>(7)确定第15.4款下变更工作的单价；</w:t>
      </w:r>
    </w:p>
    <w:p>
      <w:pPr>
        <w:spacing w:line="360" w:lineRule="auto"/>
        <w:ind w:firstLine="420" w:firstLineChars="200"/>
        <w:rPr>
          <w:rFonts w:ascii="宋体" w:hAnsi="宋体"/>
        </w:rPr>
      </w:pPr>
      <w:r>
        <w:rPr>
          <w:rFonts w:hint="eastAsia" w:ascii="宋体" w:hAnsi="宋体"/>
        </w:rPr>
        <w:t>(8)按照第15.6款决定有关暂列金额的使用；</w:t>
      </w:r>
    </w:p>
    <w:p>
      <w:pPr>
        <w:spacing w:line="360" w:lineRule="auto"/>
        <w:ind w:firstLine="420" w:firstLineChars="200"/>
        <w:rPr>
          <w:rFonts w:ascii="宋体" w:hAnsi="宋体"/>
        </w:rPr>
      </w:pPr>
      <w:r>
        <w:rPr>
          <w:rFonts w:hint="eastAsia" w:ascii="宋体" w:hAnsi="宋体"/>
        </w:rPr>
        <w:t>(9)确定第15.8款项下的暂估价金额；</w:t>
      </w:r>
    </w:p>
    <w:p>
      <w:pPr>
        <w:spacing w:line="360" w:lineRule="auto"/>
        <w:ind w:firstLine="420" w:firstLineChars="200"/>
        <w:rPr>
          <w:rFonts w:ascii="宋体" w:hAnsi="宋体"/>
        </w:rPr>
      </w:pPr>
      <w:r>
        <w:rPr>
          <w:rFonts w:hint="eastAsia" w:ascii="宋体" w:hAnsi="宋体"/>
        </w:rPr>
        <w:t>(10)确定第23.1款项下的索赔额。</w:t>
      </w:r>
    </w:p>
    <w:p>
      <w:pPr>
        <w:spacing w:line="360" w:lineRule="auto"/>
        <w:ind w:firstLine="420" w:firstLineChars="200"/>
        <w:rPr>
          <w:rFonts w:ascii="宋体" w:hAnsi="宋体"/>
        </w:rPr>
      </w:pPr>
      <w:r>
        <w:rPr>
          <w:rFonts w:hint="eastAsia" w:ascii="宋体" w:hAnsi="宋体"/>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pacing w:line="360" w:lineRule="auto"/>
        <w:rPr>
          <w:rFonts w:ascii="宋体" w:hAnsi="宋体"/>
          <w:b/>
          <w:sz w:val="24"/>
          <w:szCs w:val="28"/>
        </w:rPr>
      </w:pPr>
      <w:bookmarkStart w:id="243" w:name="_Toc152042416"/>
      <w:bookmarkStart w:id="244" w:name="_Toc144974606"/>
      <w:bookmarkStart w:id="245" w:name="_Toc179632656"/>
      <w:bookmarkStart w:id="246" w:name="_Toc152045638"/>
      <w:r>
        <w:rPr>
          <w:rFonts w:hint="eastAsia" w:ascii="宋体" w:hAnsi="宋体"/>
          <w:b/>
          <w:sz w:val="24"/>
          <w:szCs w:val="28"/>
        </w:rPr>
        <w:t>3.5商定或确定</w:t>
      </w:r>
      <w:bookmarkEnd w:id="243"/>
      <w:bookmarkEnd w:id="244"/>
      <w:bookmarkEnd w:id="245"/>
      <w:bookmarkEnd w:id="246"/>
    </w:p>
    <w:p>
      <w:pPr>
        <w:spacing w:line="360" w:lineRule="auto"/>
        <w:ind w:firstLine="420" w:firstLineChars="200"/>
        <w:rPr>
          <w:rFonts w:ascii="宋体" w:hAnsi="宋体"/>
        </w:rPr>
      </w:pPr>
      <w:r>
        <w:rPr>
          <w:rFonts w:hint="eastAsia" w:ascii="宋体" w:hAnsi="宋体"/>
        </w:rPr>
        <w:t>第3.5.1项补充：</w:t>
      </w:r>
    </w:p>
    <w:p>
      <w:pPr>
        <w:spacing w:line="360" w:lineRule="auto"/>
        <w:ind w:firstLine="420" w:firstLineChars="200"/>
        <w:rPr>
          <w:rFonts w:ascii="宋体" w:hAnsi="宋体"/>
        </w:rPr>
      </w:pPr>
      <w:r>
        <w:rPr>
          <w:rFonts w:hint="eastAsia" w:ascii="宋体" w:hAnsi="宋体"/>
        </w:rPr>
        <w:t>如果这项商定或确定导致费用增加和(或)工期延长，或者涉及确定变更工程的价格，则总监理工程师在发出通知前，应征得发包人的同意。</w:t>
      </w:r>
    </w:p>
    <w:p>
      <w:pPr>
        <w:spacing w:line="360" w:lineRule="auto"/>
        <w:rPr>
          <w:rFonts w:ascii="宋体" w:hAnsi="宋体"/>
          <w:b/>
          <w:sz w:val="28"/>
          <w:szCs w:val="30"/>
        </w:rPr>
      </w:pPr>
      <w:bookmarkStart w:id="247" w:name="_Toc152042417"/>
      <w:bookmarkStart w:id="248" w:name="_Toc144974607"/>
      <w:bookmarkStart w:id="249" w:name="_Toc152045639"/>
      <w:bookmarkStart w:id="250" w:name="_Toc179632657"/>
      <w:r>
        <w:rPr>
          <w:rFonts w:hint="eastAsia" w:ascii="宋体" w:hAnsi="宋体"/>
          <w:b/>
          <w:sz w:val="28"/>
          <w:szCs w:val="30"/>
        </w:rPr>
        <w:t>4.承包人</w:t>
      </w:r>
      <w:bookmarkEnd w:id="247"/>
      <w:bookmarkEnd w:id="248"/>
      <w:bookmarkEnd w:id="249"/>
      <w:bookmarkEnd w:id="250"/>
    </w:p>
    <w:p>
      <w:pPr>
        <w:spacing w:line="360" w:lineRule="auto"/>
        <w:rPr>
          <w:rFonts w:ascii="宋体" w:hAnsi="宋体"/>
          <w:b/>
          <w:sz w:val="24"/>
          <w:szCs w:val="28"/>
        </w:rPr>
      </w:pPr>
      <w:bookmarkStart w:id="251" w:name="_Toc144974608"/>
      <w:bookmarkStart w:id="252" w:name="_Toc179632658"/>
      <w:bookmarkStart w:id="253" w:name="_Toc152042418"/>
      <w:bookmarkStart w:id="254" w:name="_Toc152045640"/>
      <w:r>
        <w:rPr>
          <w:rFonts w:hint="eastAsia" w:ascii="宋体" w:hAnsi="宋体"/>
          <w:b/>
          <w:sz w:val="24"/>
          <w:szCs w:val="28"/>
        </w:rPr>
        <w:t>4.1承包人的一般义务</w:t>
      </w:r>
      <w:bookmarkEnd w:id="251"/>
      <w:bookmarkEnd w:id="252"/>
      <w:bookmarkEnd w:id="253"/>
      <w:bookmarkEnd w:id="254"/>
    </w:p>
    <w:p>
      <w:pPr>
        <w:spacing w:line="360" w:lineRule="auto"/>
        <w:ind w:firstLine="422" w:firstLineChars="200"/>
        <w:rPr>
          <w:rFonts w:ascii="宋体" w:hAnsi="宋体"/>
          <w:b/>
        </w:rPr>
      </w:pPr>
      <w:r>
        <w:rPr>
          <w:rFonts w:hint="eastAsia" w:ascii="宋体" w:hAnsi="宋体"/>
          <w:b/>
        </w:rPr>
        <w:t>4.1.9工程的维护和照管</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auto"/>
        <w:ind w:firstLine="420" w:firstLineChars="200"/>
        <w:rPr>
          <w:rFonts w:ascii="宋体" w:hAnsi="宋体"/>
        </w:rPr>
      </w:pPr>
      <w:r>
        <w:rPr>
          <w:rFonts w:hint="eastAsia" w:ascii="宋体" w:hAnsi="宋体"/>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auto"/>
        <w:ind w:firstLine="422" w:firstLineChars="200"/>
        <w:rPr>
          <w:rFonts w:ascii="宋体" w:hAnsi="宋体"/>
          <w:b/>
        </w:rPr>
      </w:pPr>
      <w:r>
        <w:rPr>
          <w:rFonts w:hint="eastAsia" w:ascii="宋体" w:hAnsi="宋体"/>
          <w:b/>
        </w:rPr>
        <w:t>4.1.10其他义务</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（1）临时占地由承包人向当地政府土地管理部门申请，并办理租用手续，承包人按有关规定直接支付其费用，发包人对此将予以协调。</w:t>
      </w:r>
    </w:p>
    <w:p>
      <w:pPr>
        <w:spacing w:line="360" w:lineRule="auto"/>
        <w:ind w:firstLine="420" w:firstLineChars="200"/>
        <w:rPr>
          <w:rFonts w:ascii="宋体" w:hAnsi="宋体"/>
        </w:rPr>
      </w:pPr>
      <w:r>
        <w:rPr>
          <w:rFonts w:hint="eastAsia" w:ascii="宋体" w:hAnsi="宋体"/>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pPr>
        <w:spacing w:line="360" w:lineRule="auto"/>
        <w:ind w:firstLine="420" w:firstLineChars="200"/>
        <w:rPr>
          <w:rFonts w:ascii="宋体" w:hAnsi="宋体"/>
        </w:rPr>
      </w:pPr>
      <w:r>
        <w:rPr>
          <w:rFonts w:hint="eastAsia" w:ascii="宋体" w:hAnsi="宋体"/>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auto"/>
        <w:ind w:firstLine="420" w:firstLineChars="200"/>
        <w:rPr>
          <w:rFonts w:ascii="宋体" w:hAnsi="宋体"/>
        </w:rPr>
      </w:pPr>
      <w:r>
        <w:rPr>
          <w:rFonts w:hint="eastAsia" w:ascii="宋体" w:hAnsi="宋体"/>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auto"/>
        <w:ind w:firstLine="420" w:firstLineChars="200"/>
        <w:rPr>
          <w:rFonts w:ascii="宋体" w:hAnsi="宋体"/>
        </w:rPr>
      </w:pPr>
      <w:r>
        <w:rPr>
          <w:rFonts w:hint="eastAsia" w:ascii="宋体" w:hAnsi="宋体"/>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人公路建设市场信用信息管理系统。</w:t>
      </w:r>
    </w:p>
    <w:p>
      <w:pPr>
        <w:spacing w:line="360" w:lineRule="auto"/>
        <w:ind w:firstLine="420" w:firstLineChars="200"/>
        <w:rPr>
          <w:rFonts w:ascii="宋体" w:hAnsi="宋体"/>
        </w:rPr>
      </w:pPr>
      <w:r>
        <w:rPr>
          <w:rFonts w:hint="eastAsia" w:ascii="宋体" w:hAnsi="宋体"/>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20" w:firstLineChars="200"/>
        <w:rPr>
          <w:rFonts w:ascii="宋体" w:hAnsi="宋体"/>
        </w:rPr>
      </w:pPr>
      <w:r>
        <w:rPr>
          <w:rFonts w:hint="eastAsia" w:ascii="宋体" w:hAnsi="宋体"/>
        </w:rPr>
        <w:t>工资支付表应如实记录支付单位、支付时间、支付对象、支付数额、支付对象的身份证号和签字等信息。民工花名册和工资支付表应报监理人备查。</w:t>
      </w:r>
    </w:p>
    <w:p>
      <w:pPr>
        <w:spacing w:line="360" w:lineRule="auto"/>
        <w:ind w:firstLine="420" w:firstLineChars="200"/>
        <w:rPr>
          <w:rFonts w:ascii="宋体" w:hAnsi="宋体"/>
        </w:rPr>
      </w:pPr>
      <w:r>
        <w:rPr>
          <w:rFonts w:hint="eastAsia" w:ascii="宋体" w:hAnsi="宋体"/>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督，确保专款专用。开户银行发现账户资金不足、被挪用等情况，应及时向人力资源社会保障部门和交通运输主管部门报告。</w:t>
      </w:r>
    </w:p>
    <w:p>
      <w:pPr>
        <w:spacing w:line="360" w:lineRule="auto"/>
        <w:ind w:firstLine="420" w:firstLineChars="200"/>
        <w:rPr>
          <w:rFonts w:ascii="宋体" w:hAnsi="宋体"/>
        </w:rPr>
      </w:pPr>
      <w:r>
        <w:rPr>
          <w:rFonts w:hint="eastAsia" w:ascii="宋体" w:hAnsi="宋体"/>
        </w:rPr>
        <w:t>（5）承包人应严格执行招标文件技术规范对施工标准化提出的具体要求，结合本单位施工能力和技术优势，积极采取有利标准化施工的组织方式和工艺流程，加强工地建设、工艺控制、人员管理和内业资料管理，强化对施工一线操作人员的培训，改善职工生产生活条件，与此相关的费用承包人应列入工程量清单第100章中。</w:t>
      </w:r>
    </w:p>
    <w:p>
      <w:pPr>
        <w:spacing w:line="360" w:lineRule="auto"/>
        <w:ind w:firstLine="420" w:firstLineChars="200"/>
        <w:rPr>
          <w:rFonts w:ascii="宋体" w:hAnsi="宋体"/>
        </w:rPr>
      </w:pPr>
      <w:r>
        <w:rPr>
          <w:rFonts w:hint="eastAsia" w:ascii="宋体" w:hAnsi="宋体"/>
        </w:rPr>
        <w:t>（6）承包人应履行项目专用合同条款约定的其他义务。</w:t>
      </w:r>
    </w:p>
    <w:p>
      <w:pPr>
        <w:spacing w:line="360" w:lineRule="auto"/>
        <w:rPr>
          <w:rFonts w:ascii="宋体" w:hAnsi="宋体"/>
          <w:b/>
          <w:sz w:val="24"/>
          <w:szCs w:val="28"/>
        </w:rPr>
      </w:pPr>
      <w:bookmarkStart w:id="255" w:name="_Toc152045641"/>
      <w:bookmarkStart w:id="256" w:name="_Toc179632659"/>
      <w:bookmarkStart w:id="257" w:name="_Toc144974609"/>
      <w:bookmarkStart w:id="258" w:name="_Toc152042419"/>
      <w:r>
        <w:rPr>
          <w:rFonts w:hint="eastAsia" w:ascii="宋体" w:hAnsi="宋体"/>
          <w:b/>
          <w:sz w:val="24"/>
          <w:szCs w:val="28"/>
        </w:rPr>
        <w:t>4.2履约</w:t>
      </w:r>
      <w:bookmarkEnd w:id="255"/>
      <w:bookmarkEnd w:id="256"/>
      <w:bookmarkEnd w:id="257"/>
      <w:bookmarkEnd w:id="258"/>
      <w:r>
        <w:rPr>
          <w:rFonts w:hint="eastAsia" w:ascii="宋体" w:hAnsi="宋体"/>
          <w:b/>
          <w:sz w:val="24"/>
          <w:szCs w:val="28"/>
        </w:rPr>
        <w:t>保证金</w:t>
      </w:r>
    </w:p>
    <w:p>
      <w:pPr>
        <w:spacing w:line="360" w:lineRule="auto"/>
        <w:ind w:firstLine="420" w:firstLineChars="200"/>
        <w:rPr>
          <w:rFonts w:ascii="宋体" w:hAnsi="宋体"/>
          <w:b/>
          <w:sz w:val="28"/>
          <w:szCs w:val="28"/>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承包人应保证其履约担保在发包人签发交工验收证书且承包人按照合同约定缴纳质量保证金前一直有效。发包人应在收到承包人缴纳的质量保证金后28天内将履约保证金退还给承包人。</w:t>
      </w:r>
    </w:p>
    <w:p>
      <w:pPr>
        <w:spacing w:line="360" w:lineRule="auto"/>
        <w:ind w:firstLine="420" w:firstLineChars="200"/>
        <w:rPr>
          <w:rFonts w:ascii="宋体" w:hAnsi="宋体"/>
        </w:rPr>
      </w:pPr>
      <w:r>
        <w:rPr>
          <w:rFonts w:hint="eastAsia" w:ascii="宋体" w:hAnsi="宋体"/>
        </w:rPr>
        <w:t>承包人拒绝按照本合同约定缴纳质量保证金的，发包人有权从交工付款证书中扣留相应金额作为质量保证金，或者直接将履约保证金金额用于保证承包人在缺陷责任期内履行缺陷修复义务。</w:t>
      </w:r>
    </w:p>
    <w:p>
      <w:pPr>
        <w:spacing w:line="360" w:lineRule="auto"/>
        <w:rPr>
          <w:rFonts w:ascii="宋体" w:hAnsi="宋体"/>
          <w:b/>
          <w:sz w:val="24"/>
          <w:szCs w:val="28"/>
        </w:rPr>
      </w:pPr>
      <w:bookmarkStart w:id="259" w:name="_Toc152042420"/>
      <w:bookmarkStart w:id="260" w:name="_Toc179632660"/>
      <w:bookmarkStart w:id="261" w:name="_Toc152045642"/>
      <w:bookmarkStart w:id="262" w:name="_Toc144974610"/>
      <w:r>
        <w:rPr>
          <w:rFonts w:hint="eastAsia" w:ascii="宋体" w:hAnsi="宋体"/>
          <w:b/>
          <w:sz w:val="24"/>
          <w:szCs w:val="28"/>
        </w:rPr>
        <w:t>4.3分包</w:t>
      </w:r>
      <w:bookmarkEnd w:id="259"/>
      <w:bookmarkEnd w:id="260"/>
      <w:bookmarkEnd w:id="261"/>
      <w:bookmarkEnd w:id="262"/>
    </w:p>
    <w:p>
      <w:pPr>
        <w:spacing w:line="360" w:lineRule="auto"/>
        <w:ind w:firstLine="420" w:firstLineChars="200"/>
        <w:rPr>
          <w:rFonts w:ascii="宋体" w:hAnsi="宋体"/>
          <w:b/>
          <w:sz w:val="28"/>
          <w:szCs w:val="28"/>
        </w:rPr>
      </w:pPr>
      <w:r>
        <w:rPr>
          <w:rFonts w:hint="eastAsia" w:ascii="宋体" w:hAnsi="宋体"/>
        </w:rPr>
        <w:t>第4.3.2项</w:t>
      </w:r>
      <w:r>
        <w:t>～</w:t>
      </w:r>
      <w:r>
        <w:rPr>
          <w:rFonts w:hint="eastAsia" w:ascii="宋体" w:hAnsi="宋体"/>
        </w:rPr>
        <w:t>第4.3.4项细化为：</w:t>
      </w:r>
    </w:p>
    <w:p>
      <w:pPr>
        <w:spacing w:line="360" w:lineRule="auto"/>
        <w:ind w:firstLine="420" w:firstLineChars="200"/>
        <w:rPr>
          <w:rFonts w:ascii="宋体" w:hAnsi="宋体"/>
        </w:rPr>
      </w:pPr>
      <w:r>
        <w:rPr>
          <w:rFonts w:hint="eastAsia" w:ascii="宋体" w:hAnsi="宋体"/>
        </w:rPr>
        <w:t>4.3.2承包人不得将工程关键性工作分包给第三人。经发包人同意，承包人可将工程的其他部分或工作分包给第三人。分包包括专业分包和劳务分包。</w:t>
      </w:r>
    </w:p>
    <w:p>
      <w:pPr>
        <w:spacing w:line="360" w:lineRule="auto"/>
        <w:ind w:firstLine="422" w:firstLineChars="200"/>
        <w:rPr>
          <w:rFonts w:ascii="宋体" w:hAnsi="宋体"/>
          <w:b/>
        </w:rPr>
      </w:pPr>
      <w:r>
        <w:rPr>
          <w:rFonts w:hint="eastAsia" w:ascii="宋体" w:hAnsi="宋体"/>
          <w:b/>
        </w:rPr>
        <w:t>4.3.3专业分包</w:t>
      </w:r>
    </w:p>
    <w:p>
      <w:pPr>
        <w:spacing w:line="360" w:lineRule="auto"/>
        <w:ind w:firstLine="420" w:firstLineChars="200"/>
        <w:rPr>
          <w:rFonts w:ascii="宋体" w:hAnsi="宋体"/>
        </w:rPr>
      </w:pPr>
      <w:r>
        <w:rPr>
          <w:rFonts w:hint="eastAsia" w:ascii="宋体" w:hAnsi="宋体"/>
        </w:rPr>
        <w:t>在工程施工过程中，承包人进行专业分包必须遵守以下规定：</w:t>
      </w:r>
    </w:p>
    <w:p>
      <w:pPr>
        <w:spacing w:line="360" w:lineRule="auto"/>
        <w:ind w:firstLine="420" w:firstLineChars="200"/>
        <w:rPr>
          <w:rFonts w:ascii="宋体" w:hAnsi="宋体"/>
        </w:rPr>
      </w:pPr>
      <w:r>
        <w:rPr>
          <w:rFonts w:hint="eastAsia" w:ascii="宋体" w:hAnsi="宋体"/>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有承包人提出书面申请，经发包人书面同意，可以分包。</w:t>
      </w:r>
    </w:p>
    <w:p>
      <w:pPr>
        <w:spacing w:line="360" w:lineRule="auto"/>
        <w:ind w:firstLine="420" w:firstLineChars="200"/>
        <w:rPr>
          <w:rFonts w:ascii="宋体" w:hAnsi="宋体"/>
        </w:rPr>
      </w:pPr>
      <w:r>
        <w:rPr>
          <w:rFonts w:hint="eastAsia" w:ascii="宋体" w:hAnsi="宋体"/>
        </w:rPr>
        <w:t>(2)专业分包人的资格能力(含安全生产能力)应与其分包工程的标准和规模相适应，且应当具备如下条件：</w:t>
      </w:r>
    </w:p>
    <w:p>
      <w:pPr>
        <w:spacing w:line="360" w:lineRule="auto"/>
        <w:ind w:firstLine="420" w:firstLineChars="200"/>
        <w:rPr>
          <w:rFonts w:ascii="宋体" w:hAnsi="宋体"/>
        </w:rPr>
      </w:pPr>
      <w:r>
        <w:rPr>
          <w:rFonts w:hint="eastAsia" w:ascii="宋体" w:hAnsi="宋体"/>
        </w:rPr>
        <w:t>a.具有经工商登记的法人资格；</w:t>
      </w:r>
    </w:p>
    <w:p>
      <w:pPr>
        <w:spacing w:line="360" w:lineRule="auto"/>
        <w:ind w:firstLine="420" w:firstLineChars="200"/>
        <w:rPr>
          <w:rFonts w:ascii="宋体" w:hAnsi="宋体"/>
        </w:rPr>
      </w:pPr>
      <w:r>
        <w:rPr>
          <w:rFonts w:hint="eastAsia" w:ascii="宋体" w:hAnsi="宋体"/>
        </w:rPr>
        <w:t>b.具有从事类似工程经验的管理与技术人员；</w:t>
      </w:r>
    </w:p>
    <w:p>
      <w:pPr>
        <w:spacing w:line="360" w:lineRule="auto"/>
        <w:ind w:firstLine="420" w:firstLineChars="200"/>
        <w:rPr>
          <w:rFonts w:ascii="宋体" w:hAnsi="宋体"/>
        </w:rPr>
      </w:pPr>
      <w:r>
        <w:rPr>
          <w:rFonts w:hint="eastAsia" w:ascii="宋体" w:hAnsi="宋体"/>
        </w:rPr>
        <w:t>c.具有（自有或租赁）分包工程所需的施工设备。</w:t>
      </w:r>
    </w:p>
    <w:p>
      <w:pPr>
        <w:spacing w:line="360" w:lineRule="auto"/>
        <w:ind w:firstLine="420" w:firstLineChars="200"/>
        <w:rPr>
          <w:rFonts w:ascii="宋体" w:hAnsi="宋体"/>
        </w:rPr>
      </w:pPr>
      <w:r>
        <w:rPr>
          <w:rFonts w:hint="eastAsia" w:ascii="宋体" w:hAnsi="宋体"/>
        </w:rPr>
        <w:t>承包人应向监理人提交专业分包人的资格能力证明材料，经监理人审查并报发包人批准后，可以将相应专业工程分包给该专业分包人。</w:t>
      </w:r>
    </w:p>
    <w:p>
      <w:pPr>
        <w:spacing w:line="360" w:lineRule="auto"/>
        <w:ind w:firstLine="420" w:firstLineChars="200"/>
        <w:rPr>
          <w:rFonts w:ascii="宋体" w:hAnsi="宋体"/>
        </w:rPr>
      </w:pPr>
      <w:r>
        <w:rPr>
          <w:rFonts w:hint="eastAsia" w:ascii="宋体" w:hAnsi="宋体"/>
        </w:rPr>
        <w:t>(3)专业分包工程不得再次分包。</w:t>
      </w:r>
    </w:p>
    <w:p>
      <w:pPr>
        <w:spacing w:line="360" w:lineRule="auto"/>
        <w:ind w:firstLine="420" w:firstLineChars="200"/>
        <w:rPr>
          <w:rFonts w:ascii="宋体" w:hAnsi="宋体"/>
        </w:rPr>
      </w:pPr>
      <w:r>
        <w:rPr>
          <w:rFonts w:hint="eastAsia" w:ascii="宋体" w:hAnsi="宋体"/>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360" w:lineRule="auto"/>
        <w:ind w:firstLine="420" w:firstLineChars="200"/>
        <w:rPr>
          <w:rFonts w:ascii="宋体" w:hAnsi="宋体"/>
        </w:rPr>
      </w:pPr>
      <w:r>
        <w:rPr>
          <w:rFonts w:hint="eastAsia" w:ascii="宋体" w:hAnsi="宋体"/>
        </w:rPr>
        <w:t>(5)专业分包人应当设立项目管理机构，对所分包工程的施工活动实施管理。项目管理机构应当具有分包工程的规模、技术复杂程度相适应的技术、经济管理人员，其中项目负责人和技术、财务、计量、质量、安全等主要管理人员必须是专业分包人本单位人员。</w:t>
      </w:r>
    </w:p>
    <w:p>
      <w:pPr>
        <w:spacing w:line="360" w:lineRule="auto"/>
        <w:ind w:firstLine="420" w:firstLineChars="200"/>
        <w:rPr>
          <w:rFonts w:ascii="宋体" w:hAnsi="宋体"/>
        </w:rPr>
      </w:pPr>
      <w:r>
        <w:rPr>
          <w:rFonts w:hint="eastAsia" w:ascii="宋体" w:hAnsi="宋体"/>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360" w:lineRule="auto"/>
        <w:ind w:firstLine="420" w:firstLineChars="200"/>
        <w:rPr>
          <w:rFonts w:ascii="宋体" w:hAnsi="宋体"/>
        </w:rPr>
      </w:pPr>
      <w:r>
        <w:rPr>
          <w:rFonts w:hint="eastAsia" w:ascii="宋体" w:hAnsi="宋体"/>
        </w:rPr>
        <w:t>(7)专业分包人应当依据专业分包合同的约定，组织分包工程的施工，并对分包工程的质量、安全和进度等实施有效控制。专业分包人对其分包的工程向承包人负责，并就所分包的工程向发包人承担连带责任。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360" w:lineRule="auto"/>
        <w:ind w:firstLine="420" w:firstLineChars="200"/>
        <w:rPr>
          <w:rFonts w:ascii="宋体" w:hAnsi="宋体"/>
        </w:rPr>
      </w:pPr>
      <w:r>
        <w:rPr>
          <w:rFonts w:hint="eastAsia" w:ascii="宋体" w:hAnsi="宋体"/>
        </w:rPr>
        <w:t>(8)承包人对施工现场安全负总责，并对专业分包人的安全生产进行培训和管理。专业分包人应将其专业分包工程的施工的施工组织设计和施工安全方案报承包人备案。专业分包人对分包施工现场安全负责，发现事故隐患，应及时处理。</w:t>
      </w:r>
    </w:p>
    <w:p>
      <w:pPr>
        <w:spacing w:line="360" w:lineRule="auto"/>
        <w:ind w:firstLine="420" w:firstLineChars="200"/>
        <w:rPr>
          <w:rFonts w:ascii="宋体" w:hAnsi="宋体"/>
        </w:rPr>
      </w:pPr>
      <w:r>
        <w:rPr>
          <w:rFonts w:hint="eastAsia" w:ascii="宋体" w:hAnsi="宋体"/>
        </w:rPr>
        <w:t>违反上述规定之一者属违规分包。</w:t>
      </w:r>
    </w:p>
    <w:p>
      <w:pPr>
        <w:spacing w:line="360" w:lineRule="auto"/>
        <w:ind w:firstLine="422" w:firstLineChars="200"/>
        <w:rPr>
          <w:rFonts w:ascii="宋体" w:hAnsi="宋体"/>
          <w:b/>
        </w:rPr>
      </w:pPr>
      <w:r>
        <w:rPr>
          <w:rFonts w:hint="eastAsia" w:ascii="宋体" w:hAnsi="宋体"/>
          <w:b/>
        </w:rPr>
        <w:t>4.3.4劳务分包</w:t>
      </w:r>
    </w:p>
    <w:p>
      <w:pPr>
        <w:spacing w:line="360" w:lineRule="auto"/>
        <w:ind w:firstLine="420" w:firstLineChars="200"/>
        <w:rPr>
          <w:rFonts w:ascii="宋体" w:hAnsi="宋体"/>
        </w:rPr>
      </w:pPr>
      <w:r>
        <w:rPr>
          <w:rFonts w:hint="eastAsia" w:ascii="宋体" w:hAnsi="宋体"/>
        </w:rPr>
        <w:t>在工程施工过程中，承包人进行劳务分包必须遵守以下规定：</w:t>
      </w:r>
    </w:p>
    <w:p>
      <w:pPr>
        <w:spacing w:line="360" w:lineRule="auto"/>
        <w:ind w:firstLine="420" w:firstLineChars="200"/>
        <w:rPr>
          <w:rFonts w:ascii="宋体" w:hAnsi="宋体"/>
        </w:rPr>
      </w:pPr>
      <w:r>
        <w:rPr>
          <w:rFonts w:hint="eastAsia" w:ascii="宋体" w:hAnsi="宋体"/>
        </w:rPr>
        <w:t>(1)劳务分包人应具有劳务分包资质。</w:t>
      </w:r>
    </w:p>
    <w:p>
      <w:pPr>
        <w:spacing w:line="360" w:lineRule="auto"/>
        <w:ind w:firstLine="420" w:firstLineChars="200"/>
        <w:rPr>
          <w:rFonts w:ascii="宋体" w:hAnsi="宋体"/>
        </w:rPr>
      </w:pPr>
      <w:r>
        <w:rPr>
          <w:rFonts w:hint="eastAsia" w:ascii="宋体" w:hAnsi="宋体"/>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auto"/>
        <w:ind w:firstLine="420" w:firstLineChars="200"/>
        <w:rPr>
          <w:rFonts w:ascii="宋体" w:hAnsi="宋体"/>
        </w:rPr>
      </w:pPr>
      <w:r>
        <w:rPr>
          <w:rFonts w:hint="eastAsia" w:ascii="宋体" w:hAnsi="宋体"/>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auto"/>
        <w:ind w:firstLine="420" w:firstLineChars="200"/>
        <w:rPr>
          <w:rFonts w:ascii="宋体" w:hAnsi="宋体"/>
        </w:rPr>
      </w:pPr>
      <w:r>
        <w:rPr>
          <w:rFonts w:hint="eastAsia" w:ascii="宋体" w:hAnsi="宋体"/>
        </w:rPr>
        <w:t>(4)承包人应当对劳务分包人员进行安全培训和管理，劳务分包人不得将其分包的劳务作业再次分包。</w:t>
      </w:r>
    </w:p>
    <w:p>
      <w:pPr>
        <w:spacing w:line="360" w:lineRule="auto"/>
        <w:ind w:firstLine="420" w:firstLineChars="200"/>
        <w:rPr>
          <w:rFonts w:ascii="宋体" w:hAnsi="宋体"/>
        </w:rPr>
      </w:pPr>
      <w:r>
        <w:rPr>
          <w:rFonts w:hint="eastAsia" w:ascii="宋体" w:hAnsi="宋体"/>
        </w:rPr>
        <w:t>违反上述规定之一者属违规分包。</w:t>
      </w:r>
    </w:p>
    <w:p>
      <w:pPr>
        <w:spacing w:line="360" w:lineRule="auto"/>
        <w:ind w:firstLine="420" w:firstLineChars="200"/>
        <w:rPr>
          <w:rFonts w:ascii="宋体" w:hAnsi="宋体"/>
        </w:rPr>
      </w:pPr>
      <w:r>
        <w:t>本款补充第</w:t>
      </w:r>
      <w:r>
        <w:rPr>
          <w:spacing w:val="-60"/>
        </w:rPr>
        <w:t xml:space="preserve"> </w:t>
      </w:r>
      <w:r>
        <w:rPr>
          <w:rFonts w:eastAsia="Times New Roman"/>
        </w:rPr>
        <w:t xml:space="preserve">4.3.6 </w:t>
      </w:r>
      <w:r>
        <w:t>项、第</w:t>
      </w:r>
      <w:r>
        <w:rPr>
          <w:spacing w:val="-60"/>
        </w:rPr>
        <w:t xml:space="preserve"> </w:t>
      </w:r>
      <w:r>
        <w:rPr>
          <w:rFonts w:eastAsia="Times New Roman"/>
        </w:rPr>
        <w:t xml:space="preserve">4.3.7 </w:t>
      </w:r>
      <w:r>
        <w:t>项：</w:t>
      </w:r>
    </w:p>
    <w:p>
      <w:pPr>
        <w:spacing w:line="360" w:lineRule="auto"/>
        <w:ind w:firstLine="420" w:firstLineChars="200"/>
        <w:rPr>
          <w:rFonts w:ascii="宋体" w:hAnsi="宋体"/>
        </w:rPr>
      </w:pPr>
      <w:r>
        <w:rPr>
          <w:rFonts w:hint="eastAsia" w:ascii="宋体" w:hAnsi="宋体"/>
        </w:rPr>
        <w:t>4.3.6发包人对承包人与分包人之间的法律与经济纠纷不承担任何责任和义务。</w:t>
      </w:r>
    </w:p>
    <w:p>
      <w:pPr>
        <w:spacing w:line="360" w:lineRule="auto"/>
        <w:ind w:firstLine="420" w:firstLineChars="200"/>
        <w:rPr>
          <w:rFonts w:ascii="宋体" w:hAnsi="宋体"/>
        </w:rPr>
      </w:pPr>
      <w:r>
        <w:rPr>
          <w:rFonts w:hint="eastAsia" w:ascii="宋体" w:hAnsi="宋体"/>
        </w:rPr>
        <w:t>4.3.7本项目的各项分包工作均应遵守《公路工程施工分包管理办法》的有关规定。</w:t>
      </w:r>
    </w:p>
    <w:p>
      <w:pPr>
        <w:spacing w:line="360" w:lineRule="auto"/>
        <w:rPr>
          <w:rFonts w:ascii="宋体" w:hAnsi="宋体"/>
          <w:b/>
          <w:sz w:val="24"/>
          <w:szCs w:val="28"/>
        </w:rPr>
      </w:pPr>
      <w:bookmarkStart w:id="263" w:name="_Toc152042421"/>
      <w:bookmarkStart w:id="264" w:name="_Toc179632661"/>
      <w:bookmarkStart w:id="265" w:name="_Toc144974611"/>
      <w:bookmarkStart w:id="266" w:name="_Toc152045643"/>
      <w:r>
        <w:rPr>
          <w:rFonts w:hint="eastAsia" w:ascii="宋体" w:hAnsi="宋体"/>
          <w:b/>
          <w:sz w:val="24"/>
          <w:szCs w:val="28"/>
        </w:rPr>
        <w:t>4.4联合体</w:t>
      </w:r>
      <w:bookmarkEnd w:id="263"/>
      <w:bookmarkEnd w:id="264"/>
      <w:bookmarkEnd w:id="265"/>
      <w:bookmarkEnd w:id="266"/>
    </w:p>
    <w:p>
      <w:pPr>
        <w:spacing w:line="360" w:lineRule="auto"/>
        <w:ind w:firstLine="420" w:firstLineChars="200"/>
        <w:rPr>
          <w:rFonts w:ascii="宋体" w:hAnsi="宋体"/>
        </w:rPr>
      </w:pPr>
      <w:r>
        <w:t>本款补充第</w:t>
      </w:r>
      <w:r>
        <w:rPr>
          <w:rFonts w:hint="eastAsia"/>
        </w:rPr>
        <w:t>4.4.4</w:t>
      </w:r>
      <w:r>
        <w:rPr>
          <w:rFonts w:eastAsia="Times New Roman"/>
        </w:rPr>
        <w:t xml:space="preserve"> </w:t>
      </w:r>
      <w:r>
        <w:t>项：</w:t>
      </w:r>
    </w:p>
    <w:p>
      <w:pPr>
        <w:spacing w:line="360" w:lineRule="auto"/>
        <w:ind w:firstLine="420" w:firstLineChars="200"/>
        <w:rPr>
          <w:rFonts w:ascii="宋体" w:hAnsi="宋体"/>
        </w:rPr>
      </w:pPr>
      <w:r>
        <w:rPr>
          <w:rFonts w:hint="eastAsia" w:ascii="宋体" w:hAnsi="宋体"/>
        </w:rPr>
        <w:t>4.4.4未经发包人事先同意，联合体的组成与结构不得变动。</w:t>
      </w:r>
    </w:p>
    <w:p>
      <w:pPr>
        <w:spacing w:line="360" w:lineRule="auto"/>
        <w:rPr>
          <w:rFonts w:ascii="宋体" w:hAnsi="宋体"/>
          <w:b/>
          <w:sz w:val="24"/>
          <w:szCs w:val="28"/>
        </w:rPr>
      </w:pPr>
      <w:bookmarkStart w:id="267" w:name="_Toc152045645"/>
      <w:bookmarkStart w:id="268" w:name="_Toc152042423"/>
      <w:bookmarkStart w:id="269" w:name="_Toc179632663"/>
      <w:bookmarkStart w:id="270" w:name="_Toc144974613"/>
      <w:r>
        <w:rPr>
          <w:rFonts w:hint="eastAsia" w:ascii="宋体" w:hAnsi="宋体"/>
          <w:b/>
          <w:sz w:val="24"/>
          <w:szCs w:val="28"/>
        </w:rPr>
        <w:t>4.6承包人人员的管理</w:t>
      </w:r>
      <w:bookmarkEnd w:id="267"/>
      <w:bookmarkEnd w:id="268"/>
      <w:bookmarkEnd w:id="269"/>
      <w:bookmarkEnd w:id="270"/>
    </w:p>
    <w:p>
      <w:pPr>
        <w:spacing w:line="360" w:lineRule="auto"/>
        <w:ind w:firstLine="420" w:firstLineChars="200"/>
        <w:rPr>
          <w:rFonts w:ascii="宋体" w:hAnsi="宋体"/>
        </w:rPr>
      </w:pPr>
      <w:r>
        <w:rPr>
          <w:rFonts w:hint="eastAsia" w:ascii="宋体" w:hAnsi="宋体"/>
        </w:rPr>
        <w:t>第4.6.3 项细化为：</w:t>
      </w:r>
    </w:p>
    <w:p>
      <w:pPr>
        <w:spacing w:line="360" w:lineRule="auto"/>
        <w:ind w:firstLine="420" w:firstLineChars="200"/>
        <w:rPr>
          <w:rFonts w:ascii="宋体" w:hAnsi="宋体"/>
        </w:rPr>
      </w:pPr>
      <w:r>
        <w:rPr>
          <w:rFonts w:hint="eastAsia" w:ascii="宋体" w:hAnsi="宋体"/>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360" w:lineRule="auto"/>
        <w:ind w:firstLine="420" w:firstLineChars="200"/>
        <w:rPr>
          <w:rFonts w:ascii="宋体" w:hAnsi="宋体"/>
        </w:rPr>
      </w:pPr>
      <w:r>
        <w:t>本款补充第</w:t>
      </w:r>
      <w:r>
        <w:rPr>
          <w:rFonts w:hint="eastAsia"/>
        </w:rPr>
        <w:t>4.6.5</w:t>
      </w:r>
      <w:r>
        <w:rPr>
          <w:rFonts w:eastAsia="Times New Roman"/>
        </w:rPr>
        <w:t xml:space="preserve"> </w:t>
      </w:r>
      <w:r>
        <w:t>项：</w:t>
      </w:r>
    </w:p>
    <w:p>
      <w:pPr>
        <w:spacing w:line="360" w:lineRule="auto"/>
        <w:ind w:firstLine="420" w:firstLineChars="200"/>
        <w:rPr>
          <w:rFonts w:ascii="宋体" w:hAnsi="宋体"/>
        </w:rPr>
      </w:pPr>
      <w:r>
        <w:rPr>
          <w:rFonts w:hint="eastAsia" w:ascii="宋体" w:hAnsi="宋体"/>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pacing w:line="360" w:lineRule="auto"/>
        <w:rPr>
          <w:rFonts w:ascii="宋体" w:hAnsi="宋体"/>
          <w:b/>
          <w:sz w:val="24"/>
          <w:szCs w:val="28"/>
        </w:rPr>
      </w:pPr>
      <w:bookmarkStart w:id="271" w:name="_Toc179632664"/>
      <w:bookmarkStart w:id="272" w:name="_Toc152042424"/>
      <w:bookmarkStart w:id="273" w:name="_Toc152045646"/>
      <w:bookmarkStart w:id="274" w:name="_Toc144974614"/>
      <w:r>
        <w:rPr>
          <w:rFonts w:hint="eastAsia" w:ascii="宋体" w:hAnsi="宋体"/>
          <w:b/>
          <w:sz w:val="24"/>
          <w:szCs w:val="28"/>
        </w:rPr>
        <w:t>4.7撤换承包人项目经理和其他人员</w:t>
      </w:r>
      <w:bookmarkEnd w:id="271"/>
      <w:bookmarkEnd w:id="272"/>
      <w:bookmarkEnd w:id="273"/>
      <w:bookmarkEnd w:id="274"/>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pacing w:line="360" w:lineRule="auto"/>
        <w:rPr>
          <w:rFonts w:ascii="宋体" w:hAnsi="宋体"/>
          <w:b/>
          <w:sz w:val="24"/>
          <w:szCs w:val="28"/>
        </w:rPr>
      </w:pPr>
      <w:bookmarkStart w:id="275" w:name="_Toc152042426"/>
      <w:bookmarkStart w:id="276" w:name="_Toc179632666"/>
      <w:bookmarkStart w:id="277" w:name="_Toc152045648"/>
      <w:bookmarkStart w:id="278" w:name="_Toc144974616"/>
      <w:r>
        <w:rPr>
          <w:rFonts w:hint="eastAsia" w:ascii="宋体" w:hAnsi="宋体"/>
          <w:b/>
          <w:sz w:val="24"/>
          <w:szCs w:val="28"/>
        </w:rPr>
        <w:t>4.9工程价款应专款专用</w:t>
      </w:r>
      <w:bookmarkEnd w:id="275"/>
      <w:bookmarkEnd w:id="276"/>
      <w:bookmarkEnd w:id="277"/>
      <w:bookmarkEnd w:id="278"/>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pacing w:line="360" w:lineRule="auto"/>
        <w:rPr>
          <w:rFonts w:ascii="宋体" w:hAnsi="宋体"/>
          <w:b/>
          <w:sz w:val="24"/>
          <w:szCs w:val="28"/>
        </w:rPr>
      </w:pPr>
      <w:bookmarkStart w:id="279" w:name="_Toc152045649"/>
      <w:bookmarkStart w:id="280" w:name="_Toc152042427"/>
      <w:bookmarkStart w:id="281" w:name="_Toc179632667"/>
      <w:bookmarkStart w:id="282" w:name="_Toc144974617"/>
      <w:r>
        <w:rPr>
          <w:rFonts w:hint="eastAsia" w:ascii="宋体" w:hAnsi="宋体"/>
          <w:b/>
          <w:sz w:val="24"/>
          <w:szCs w:val="28"/>
        </w:rPr>
        <w:t>4.10承包人现场查勘</w:t>
      </w:r>
      <w:bookmarkEnd w:id="279"/>
      <w:bookmarkEnd w:id="280"/>
      <w:bookmarkEnd w:id="281"/>
      <w:bookmarkEnd w:id="282"/>
    </w:p>
    <w:p>
      <w:pPr>
        <w:spacing w:line="360" w:lineRule="auto"/>
        <w:ind w:firstLine="420" w:firstLineChars="200"/>
        <w:rPr>
          <w:rFonts w:ascii="宋体" w:hAnsi="宋体"/>
        </w:rPr>
      </w:pPr>
      <w:r>
        <w:rPr>
          <w:rFonts w:hint="eastAsia" w:ascii="宋体" w:hAnsi="宋体"/>
        </w:rPr>
        <w:t>第4.10.1项细化为：</w:t>
      </w:r>
    </w:p>
    <w:p>
      <w:pPr>
        <w:spacing w:line="360" w:lineRule="auto"/>
        <w:ind w:firstLine="420" w:firstLineChars="200"/>
        <w:rPr>
          <w:rFonts w:ascii="宋体" w:hAnsi="宋体"/>
        </w:rPr>
      </w:pPr>
      <w:r>
        <w:rPr>
          <w:rFonts w:hint="eastAsia" w:ascii="宋体" w:hAnsi="宋体"/>
        </w:rPr>
        <w:t>发包人提供的本合同工程的水文、地质、气象和料场分布、取土场、弃土场位置等资料均属于参考资料，并不构成合同文件的组成部分，承包人应对自</w:t>
      </w:r>
      <w:r>
        <w:rPr>
          <w:rFonts w:hint="eastAsia" w:ascii="宋体" w:hAnsi="宋体"/>
          <w:szCs w:val="21"/>
        </w:rPr>
        <w:t>已</w:t>
      </w:r>
      <w:r>
        <w:rPr>
          <w:rFonts w:hint="eastAsia" w:ascii="宋体" w:hAnsi="宋体"/>
        </w:rPr>
        <w:t>就上述资料的解释、推论和应用负责，发包人不对承包人据此做出的判断和决策承担任何责任。</w:t>
      </w:r>
    </w:p>
    <w:p>
      <w:pPr>
        <w:spacing w:line="360" w:lineRule="auto"/>
        <w:rPr>
          <w:rFonts w:ascii="宋体" w:hAnsi="宋体"/>
          <w:b/>
          <w:sz w:val="24"/>
          <w:szCs w:val="28"/>
        </w:rPr>
      </w:pPr>
      <w:bookmarkStart w:id="283" w:name="_Toc152045650"/>
      <w:bookmarkStart w:id="284" w:name="_Toc179632668"/>
      <w:bookmarkStart w:id="285" w:name="_Toc144974618"/>
      <w:bookmarkStart w:id="286" w:name="_Toc152042428"/>
      <w:r>
        <w:rPr>
          <w:rFonts w:hint="eastAsia" w:ascii="宋体" w:hAnsi="宋体"/>
          <w:b/>
          <w:sz w:val="24"/>
          <w:szCs w:val="28"/>
        </w:rPr>
        <w:t>4.11不利物质条件</w:t>
      </w:r>
      <w:bookmarkEnd w:id="283"/>
      <w:bookmarkEnd w:id="284"/>
      <w:bookmarkEnd w:id="285"/>
      <w:bookmarkEnd w:id="286"/>
    </w:p>
    <w:p>
      <w:pPr>
        <w:spacing w:line="360" w:lineRule="auto"/>
        <w:ind w:firstLine="420" w:firstLineChars="200"/>
        <w:rPr>
          <w:rFonts w:ascii="宋体" w:hAnsi="宋体"/>
        </w:rPr>
      </w:pPr>
      <w:r>
        <w:rPr>
          <w:rFonts w:hint="eastAsia" w:ascii="宋体" w:hAnsi="宋体"/>
        </w:rPr>
        <w:t>第4.11.2项细化为：</w:t>
      </w:r>
    </w:p>
    <w:p>
      <w:pPr>
        <w:spacing w:line="360" w:lineRule="auto"/>
        <w:ind w:firstLine="420" w:firstLineChars="200"/>
        <w:rPr>
          <w:rFonts w:ascii="宋体" w:hAnsi="宋体"/>
        </w:rPr>
      </w:pPr>
      <w:r>
        <w:rPr>
          <w:rFonts w:hint="eastAsia" w:ascii="宋体" w:hAnsi="宋体"/>
        </w:rPr>
        <w:t>4.11.2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auto"/>
        <w:ind w:firstLine="420" w:firstLineChars="200"/>
        <w:rPr>
          <w:rFonts w:ascii="宋体" w:hAnsi="宋体"/>
        </w:rPr>
      </w:pPr>
      <w:r>
        <w:t>本款补充第</w:t>
      </w:r>
      <w:r>
        <w:rPr>
          <w:rFonts w:hint="eastAsia" w:ascii="宋体" w:hAnsi="宋体"/>
        </w:rPr>
        <w:t>4.11.3</w:t>
      </w:r>
      <w:r>
        <w:t>项：</w:t>
      </w:r>
    </w:p>
    <w:p>
      <w:pPr>
        <w:spacing w:line="360" w:lineRule="auto"/>
        <w:ind w:firstLine="422" w:firstLineChars="200"/>
        <w:rPr>
          <w:rFonts w:ascii="宋体" w:hAnsi="宋体"/>
          <w:b/>
        </w:rPr>
      </w:pPr>
      <w:r>
        <w:rPr>
          <w:rFonts w:hint="eastAsia" w:ascii="宋体" w:hAnsi="宋体"/>
          <w:b/>
        </w:rPr>
        <w:t>4.11.3可预见的不利物质条件</w:t>
      </w:r>
    </w:p>
    <w:p>
      <w:pPr>
        <w:spacing w:line="360" w:lineRule="auto"/>
        <w:ind w:firstLine="420" w:firstLineChars="200"/>
        <w:rPr>
          <w:rFonts w:ascii="宋体" w:hAnsi="宋体"/>
        </w:rPr>
      </w:pPr>
      <w:r>
        <w:rPr>
          <w:rFonts w:hint="eastAsia" w:ascii="宋体" w:hAnsi="宋体"/>
        </w:rPr>
        <w:t>(1)对于通用合同</w:t>
      </w:r>
      <w:r>
        <w:rPr>
          <w:rFonts w:ascii="宋体" w:hAnsi="宋体"/>
        </w:rPr>
        <w:t>条款及</w:t>
      </w:r>
      <w:r>
        <w:rPr>
          <w:rFonts w:hint="eastAsia" w:ascii="宋体" w:hAnsi="宋体"/>
        </w:rPr>
        <w:t>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auto"/>
        <w:ind w:firstLine="420" w:firstLineChars="200"/>
        <w:rPr>
          <w:rFonts w:ascii="宋体" w:hAnsi="宋体"/>
        </w:rPr>
      </w:pPr>
      <w:r>
        <w:rPr>
          <w:rFonts w:hint="eastAsia" w:ascii="宋体" w:hAnsi="宋体"/>
        </w:rPr>
        <w:t>(2)对于通用合同</w:t>
      </w:r>
      <w:r>
        <w:rPr>
          <w:rFonts w:ascii="宋体" w:hAnsi="宋体"/>
        </w:rPr>
        <w:t>条款及</w:t>
      </w:r>
      <w:r>
        <w:rPr>
          <w:rFonts w:hint="eastAsia" w:ascii="宋体" w:hAnsi="宋体"/>
        </w:rPr>
        <w:t>项目专用合同条款未明确指出，但是在不利物质条件发生之前，监理人已经指示承包人有可能发生，但承包人未能及时采取有效措施，而导致的损失和后果均由承包人承担。</w:t>
      </w:r>
    </w:p>
    <w:p>
      <w:pPr>
        <w:spacing w:line="360" w:lineRule="auto"/>
        <w:jc w:val="left"/>
        <w:rPr>
          <w:rFonts w:ascii="宋体" w:hAnsi="宋体"/>
        </w:rPr>
      </w:pPr>
    </w:p>
    <w:p>
      <w:pPr>
        <w:spacing w:line="360" w:lineRule="auto"/>
        <w:jc w:val="left"/>
        <w:rPr>
          <w:rFonts w:ascii="宋体" w:hAnsi="宋体"/>
        </w:rPr>
      </w:pPr>
      <w:r>
        <w:rPr>
          <w:rFonts w:hint="eastAsia" w:ascii="宋体" w:hAnsi="宋体"/>
        </w:rPr>
        <w:t>本条补充第4.12、第 4.13款</w:t>
      </w:r>
    </w:p>
    <w:p>
      <w:pPr>
        <w:spacing w:line="360" w:lineRule="auto"/>
        <w:rPr>
          <w:rFonts w:ascii="宋体" w:hAnsi="宋体"/>
          <w:b/>
          <w:sz w:val="24"/>
          <w:szCs w:val="28"/>
        </w:rPr>
      </w:pPr>
      <w:r>
        <w:rPr>
          <w:rFonts w:hint="eastAsia" w:ascii="宋体" w:hAnsi="宋体"/>
          <w:b/>
          <w:sz w:val="24"/>
          <w:szCs w:val="28"/>
        </w:rPr>
        <w:t>4.12投标文件的完备性</w:t>
      </w:r>
    </w:p>
    <w:p>
      <w:pPr>
        <w:spacing w:line="360" w:lineRule="auto"/>
        <w:ind w:firstLine="420" w:firstLineChars="200"/>
        <w:rPr>
          <w:rFonts w:ascii="宋体" w:hAnsi="宋体"/>
        </w:rPr>
      </w:pPr>
      <w:r>
        <w:rPr>
          <w:rFonts w:hint="eastAsia" w:ascii="宋体" w:hAnsi="宋体"/>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spacing w:line="360" w:lineRule="auto"/>
        <w:rPr>
          <w:rFonts w:ascii="宋体" w:hAnsi="宋体"/>
          <w:b/>
          <w:sz w:val="24"/>
          <w:szCs w:val="28"/>
        </w:rPr>
      </w:pPr>
      <w:r>
        <w:rPr>
          <w:rFonts w:hint="eastAsia" w:ascii="宋体" w:hAnsi="宋体"/>
          <w:b/>
          <w:sz w:val="24"/>
          <w:szCs w:val="28"/>
        </w:rPr>
        <w:t>4.13开展党建工作要求</w:t>
      </w:r>
    </w:p>
    <w:p>
      <w:pPr>
        <w:spacing w:line="360" w:lineRule="auto"/>
        <w:rPr>
          <w:rFonts w:ascii="宋体" w:hAnsi="宋体"/>
        </w:rPr>
      </w:pPr>
      <w:r>
        <w:rPr>
          <w:rFonts w:hint="eastAsia" w:ascii="宋体" w:hAnsi="宋体"/>
          <w:b/>
          <w:sz w:val="28"/>
          <w:szCs w:val="28"/>
        </w:rPr>
        <w:t xml:space="preserve">   </w:t>
      </w:r>
      <w:r>
        <w:rPr>
          <w:rFonts w:hint="eastAsia" w:ascii="宋体" w:hAnsi="宋体"/>
        </w:rPr>
        <w:t>对于政府投资的国家高速公路项目，或承包人为国有控股或参股企业的，承包人应按规定在项目现场设立基层党组织。不满足上述情形的，承包人应创造条件使党员能够参加党组织生活并接受相应管理。</w:t>
      </w:r>
    </w:p>
    <w:p>
      <w:pPr>
        <w:spacing w:line="360" w:lineRule="auto"/>
        <w:rPr>
          <w:rFonts w:ascii="宋体" w:hAnsi="宋体"/>
        </w:rPr>
      </w:pPr>
      <w:r>
        <w:rPr>
          <w:rFonts w:hint="eastAsia" w:ascii="宋体" w:hAnsi="宋体"/>
        </w:rPr>
        <w:t xml:space="preserve">    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rPr>
          <w:rFonts w:ascii="宋体" w:hAnsi="宋体"/>
          <w:b/>
          <w:sz w:val="28"/>
          <w:szCs w:val="30"/>
        </w:rPr>
      </w:pPr>
      <w:bookmarkStart w:id="287" w:name="_Toc179632669"/>
      <w:bookmarkStart w:id="288" w:name="_Toc152045651"/>
      <w:bookmarkStart w:id="289" w:name="_Toc144974619"/>
      <w:bookmarkStart w:id="290" w:name="_Toc152042429"/>
      <w:r>
        <w:rPr>
          <w:rFonts w:hint="eastAsia" w:ascii="宋体" w:hAnsi="宋体"/>
          <w:b/>
          <w:sz w:val="28"/>
          <w:szCs w:val="30"/>
        </w:rPr>
        <w:t>5.材料和工程设备</w:t>
      </w:r>
      <w:bookmarkEnd w:id="287"/>
      <w:bookmarkEnd w:id="288"/>
      <w:bookmarkEnd w:id="289"/>
      <w:bookmarkEnd w:id="290"/>
    </w:p>
    <w:p>
      <w:pPr>
        <w:spacing w:line="360" w:lineRule="auto"/>
        <w:rPr>
          <w:rFonts w:ascii="宋体" w:hAnsi="宋体"/>
          <w:b/>
          <w:sz w:val="24"/>
          <w:szCs w:val="28"/>
        </w:rPr>
      </w:pPr>
      <w:bookmarkStart w:id="291" w:name="_Toc144974621"/>
      <w:bookmarkStart w:id="292" w:name="_Toc152042431"/>
      <w:bookmarkStart w:id="293" w:name="_Toc179632671"/>
      <w:bookmarkStart w:id="294" w:name="_Toc152045653"/>
      <w:r>
        <w:rPr>
          <w:rFonts w:hint="eastAsia" w:ascii="宋体" w:hAnsi="宋体"/>
          <w:b/>
          <w:sz w:val="24"/>
          <w:szCs w:val="28"/>
        </w:rPr>
        <w:t>5.2发包人提供的材料和工程设备</w:t>
      </w:r>
      <w:bookmarkEnd w:id="291"/>
      <w:bookmarkEnd w:id="292"/>
      <w:bookmarkEnd w:id="293"/>
      <w:bookmarkEnd w:id="294"/>
    </w:p>
    <w:p>
      <w:pPr>
        <w:spacing w:line="360" w:lineRule="auto"/>
        <w:ind w:firstLine="420" w:firstLineChars="200"/>
        <w:rPr>
          <w:rFonts w:ascii="宋体" w:hAnsi="宋体"/>
        </w:rPr>
      </w:pPr>
      <w:r>
        <w:rPr>
          <w:rFonts w:hint="eastAsia" w:ascii="宋体" w:hAnsi="宋体"/>
        </w:rPr>
        <w:t>第5.2.3项补充：</w:t>
      </w:r>
    </w:p>
    <w:p>
      <w:pPr>
        <w:spacing w:line="360" w:lineRule="auto"/>
        <w:ind w:firstLine="420" w:firstLineChars="200"/>
        <w:rPr>
          <w:rFonts w:ascii="宋体" w:hAnsi="宋体"/>
        </w:rPr>
      </w:pPr>
      <w:r>
        <w:rPr>
          <w:rFonts w:hint="eastAsia" w:ascii="宋体" w:hAnsi="宋体"/>
        </w:rPr>
        <w:t>发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line="360" w:lineRule="auto"/>
        <w:rPr>
          <w:rFonts w:ascii="宋体" w:hAnsi="宋体"/>
          <w:b/>
          <w:sz w:val="28"/>
          <w:szCs w:val="30"/>
        </w:rPr>
      </w:pPr>
      <w:bookmarkStart w:id="295" w:name="_Toc152042434"/>
      <w:bookmarkStart w:id="296" w:name="_Toc144974624"/>
      <w:bookmarkStart w:id="297" w:name="_Toc152045656"/>
      <w:bookmarkStart w:id="298" w:name="_Toc179632674"/>
      <w:r>
        <w:rPr>
          <w:rFonts w:hint="eastAsia" w:ascii="宋体" w:hAnsi="宋体"/>
          <w:b/>
          <w:sz w:val="28"/>
          <w:szCs w:val="30"/>
        </w:rPr>
        <w:t>6.施工设备和临时设施</w:t>
      </w:r>
      <w:bookmarkEnd w:id="295"/>
      <w:bookmarkEnd w:id="296"/>
      <w:bookmarkEnd w:id="297"/>
      <w:bookmarkEnd w:id="298"/>
    </w:p>
    <w:p>
      <w:pPr>
        <w:spacing w:line="360" w:lineRule="auto"/>
        <w:rPr>
          <w:rFonts w:ascii="宋体" w:hAnsi="宋体"/>
          <w:b/>
          <w:sz w:val="24"/>
          <w:szCs w:val="28"/>
        </w:rPr>
      </w:pPr>
      <w:bookmarkStart w:id="299" w:name="_Toc152045657"/>
      <w:bookmarkStart w:id="300" w:name="_Toc144974625"/>
      <w:bookmarkStart w:id="301" w:name="_Toc179632675"/>
      <w:bookmarkStart w:id="302" w:name="_Toc152042435"/>
      <w:r>
        <w:rPr>
          <w:rFonts w:hint="eastAsia" w:ascii="宋体" w:hAnsi="宋体"/>
          <w:b/>
          <w:sz w:val="24"/>
          <w:szCs w:val="28"/>
        </w:rPr>
        <w:t>6.1承包人提供的施工设备和临时设施</w:t>
      </w:r>
      <w:bookmarkEnd w:id="299"/>
      <w:bookmarkEnd w:id="300"/>
      <w:bookmarkEnd w:id="301"/>
      <w:bookmarkEnd w:id="302"/>
    </w:p>
    <w:p>
      <w:pPr>
        <w:spacing w:line="360" w:lineRule="auto"/>
        <w:ind w:firstLine="420" w:firstLineChars="200"/>
        <w:rPr>
          <w:rFonts w:ascii="宋体" w:hAnsi="宋体"/>
        </w:rPr>
      </w:pPr>
      <w:r>
        <w:rPr>
          <w:rFonts w:hint="eastAsia" w:ascii="宋体" w:hAnsi="宋体"/>
        </w:rPr>
        <w:t>第6.1.2项约定为：</w:t>
      </w:r>
    </w:p>
    <w:p>
      <w:pPr>
        <w:spacing w:line="360" w:lineRule="auto"/>
        <w:ind w:firstLine="420" w:firstLineChars="200"/>
        <w:rPr>
          <w:rFonts w:ascii="宋体" w:hAnsi="宋体"/>
        </w:rPr>
      </w:pPr>
      <w:r>
        <w:rPr>
          <w:rFonts w:hint="eastAsia" w:ascii="宋体" w:hAnsi="宋体"/>
        </w:rPr>
        <w:t>承包人应自行承担修建临时设施的费用，需要临时占地的，应由承包人按第4.1.10项(1)目的规定办理。</w:t>
      </w:r>
    </w:p>
    <w:p>
      <w:pPr>
        <w:spacing w:line="360" w:lineRule="auto"/>
        <w:rPr>
          <w:rFonts w:ascii="宋体" w:hAnsi="宋体"/>
          <w:b/>
          <w:sz w:val="24"/>
          <w:szCs w:val="28"/>
        </w:rPr>
      </w:pPr>
      <w:bookmarkStart w:id="303" w:name="_Toc152045659"/>
      <w:bookmarkStart w:id="304" w:name="_Toc179632677"/>
      <w:bookmarkStart w:id="305" w:name="_Toc152042437"/>
      <w:bookmarkStart w:id="306" w:name="_Toc144974627"/>
      <w:r>
        <w:rPr>
          <w:rFonts w:hint="eastAsia" w:ascii="宋体" w:hAnsi="宋体"/>
          <w:b/>
          <w:sz w:val="24"/>
          <w:szCs w:val="28"/>
        </w:rPr>
        <w:t>6.3要求承包人增加或更换施工设备</w:t>
      </w:r>
      <w:bookmarkEnd w:id="303"/>
      <w:bookmarkEnd w:id="304"/>
      <w:bookmarkEnd w:id="305"/>
      <w:bookmarkEnd w:id="306"/>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ascii="宋体" w:hAnsi="宋体"/>
          <w:b/>
          <w:sz w:val="28"/>
          <w:szCs w:val="30"/>
        </w:rPr>
      </w:pPr>
      <w:bookmarkStart w:id="307" w:name="_Toc179632679"/>
      <w:bookmarkStart w:id="308" w:name="_Toc144974629"/>
      <w:bookmarkStart w:id="309" w:name="_Toc152045661"/>
      <w:bookmarkStart w:id="310" w:name="_Toc152042439"/>
      <w:r>
        <w:rPr>
          <w:rFonts w:hint="eastAsia" w:ascii="宋体" w:hAnsi="宋体"/>
          <w:b/>
          <w:sz w:val="28"/>
          <w:szCs w:val="30"/>
        </w:rPr>
        <w:t>7.交通运输</w:t>
      </w:r>
      <w:bookmarkEnd w:id="307"/>
      <w:bookmarkEnd w:id="308"/>
      <w:bookmarkEnd w:id="309"/>
      <w:bookmarkEnd w:id="310"/>
    </w:p>
    <w:p>
      <w:pPr>
        <w:spacing w:line="360" w:lineRule="auto"/>
        <w:rPr>
          <w:rFonts w:ascii="宋体" w:hAnsi="宋体"/>
          <w:b/>
          <w:sz w:val="24"/>
          <w:szCs w:val="28"/>
        </w:rPr>
      </w:pPr>
      <w:bookmarkStart w:id="311" w:name="_Toc179632680"/>
      <w:bookmarkStart w:id="312" w:name="_Toc144974630"/>
      <w:bookmarkStart w:id="313" w:name="_Toc152042440"/>
      <w:bookmarkStart w:id="314" w:name="_Toc152045662"/>
      <w:r>
        <w:rPr>
          <w:rFonts w:hint="eastAsia" w:ascii="宋体" w:hAnsi="宋体"/>
          <w:b/>
          <w:sz w:val="24"/>
          <w:szCs w:val="28"/>
        </w:rPr>
        <w:t>7.1道路通行权和场外设施</w:t>
      </w:r>
      <w:bookmarkEnd w:id="311"/>
      <w:bookmarkEnd w:id="312"/>
      <w:bookmarkEnd w:id="313"/>
      <w:bookmarkEnd w:id="314"/>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line="360" w:lineRule="auto"/>
        <w:rPr>
          <w:rFonts w:ascii="宋体" w:hAnsi="宋体"/>
          <w:b/>
          <w:sz w:val="28"/>
          <w:szCs w:val="30"/>
        </w:rPr>
      </w:pPr>
      <w:bookmarkStart w:id="315" w:name="_Toc144974636"/>
      <w:bookmarkStart w:id="316" w:name="_Toc179632686"/>
      <w:bookmarkStart w:id="317" w:name="_Toc152045668"/>
      <w:bookmarkStart w:id="318" w:name="_Toc152042446"/>
      <w:r>
        <w:rPr>
          <w:rFonts w:hint="eastAsia" w:ascii="宋体" w:hAnsi="宋体"/>
          <w:b/>
          <w:sz w:val="28"/>
          <w:szCs w:val="30"/>
        </w:rPr>
        <w:t>8.测量放线</w:t>
      </w:r>
      <w:bookmarkEnd w:id="315"/>
      <w:bookmarkEnd w:id="316"/>
      <w:bookmarkEnd w:id="317"/>
      <w:bookmarkEnd w:id="318"/>
    </w:p>
    <w:p>
      <w:pPr>
        <w:spacing w:line="360" w:lineRule="auto"/>
        <w:rPr>
          <w:rFonts w:ascii="宋体" w:hAnsi="宋体"/>
          <w:b/>
          <w:sz w:val="24"/>
          <w:szCs w:val="28"/>
        </w:rPr>
      </w:pPr>
      <w:bookmarkStart w:id="319" w:name="_Toc152042450"/>
      <w:bookmarkStart w:id="320" w:name="_Toc179632690"/>
      <w:bookmarkStart w:id="321" w:name="_Toc152045672"/>
      <w:bookmarkStart w:id="322" w:name="_Toc144974640"/>
      <w:r>
        <w:rPr>
          <w:rFonts w:hint="eastAsia" w:ascii="宋体" w:hAnsi="宋体"/>
          <w:b/>
          <w:sz w:val="24"/>
          <w:szCs w:val="28"/>
        </w:rPr>
        <w:t>8.4监理人使用施工控制网</w:t>
      </w:r>
      <w:bookmarkEnd w:id="319"/>
      <w:bookmarkEnd w:id="320"/>
      <w:bookmarkEnd w:id="321"/>
      <w:bookmarkEnd w:id="322"/>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经监理人批准，其他相关承包人也可免费使用施工控制网。</w:t>
      </w:r>
    </w:p>
    <w:p>
      <w:pPr>
        <w:spacing w:line="360" w:lineRule="auto"/>
        <w:rPr>
          <w:rFonts w:ascii="宋体" w:hAnsi="宋体"/>
          <w:b/>
          <w:sz w:val="28"/>
          <w:szCs w:val="30"/>
        </w:rPr>
      </w:pPr>
      <w:bookmarkStart w:id="323" w:name="_Toc144974641"/>
      <w:bookmarkStart w:id="324" w:name="_Toc152042451"/>
      <w:bookmarkStart w:id="325" w:name="_Toc179632691"/>
      <w:bookmarkStart w:id="326" w:name="_Toc152045673"/>
      <w:r>
        <w:rPr>
          <w:rFonts w:hint="eastAsia" w:ascii="宋体" w:hAnsi="宋体"/>
          <w:b/>
          <w:sz w:val="28"/>
          <w:szCs w:val="30"/>
        </w:rPr>
        <w:t>9.施工安全、治安保卫和环境保护</w:t>
      </w:r>
      <w:bookmarkEnd w:id="323"/>
      <w:bookmarkEnd w:id="324"/>
      <w:bookmarkEnd w:id="325"/>
      <w:bookmarkEnd w:id="326"/>
    </w:p>
    <w:p>
      <w:pPr>
        <w:spacing w:line="360" w:lineRule="auto"/>
        <w:rPr>
          <w:rFonts w:ascii="宋体" w:hAnsi="宋体"/>
          <w:b/>
          <w:sz w:val="24"/>
          <w:szCs w:val="28"/>
        </w:rPr>
      </w:pPr>
      <w:bookmarkStart w:id="327" w:name="_Toc152042453"/>
      <w:bookmarkStart w:id="328" w:name="_Toc152045675"/>
      <w:bookmarkStart w:id="329" w:name="_Toc179632693"/>
      <w:bookmarkStart w:id="330" w:name="_Toc144974643"/>
      <w:r>
        <w:rPr>
          <w:rFonts w:hint="eastAsia" w:ascii="宋体" w:hAnsi="宋体"/>
          <w:b/>
          <w:sz w:val="24"/>
          <w:szCs w:val="28"/>
        </w:rPr>
        <w:t>9.2承包人的施工安全责任</w:t>
      </w:r>
      <w:bookmarkEnd w:id="327"/>
      <w:bookmarkEnd w:id="328"/>
      <w:bookmarkEnd w:id="329"/>
      <w:bookmarkEnd w:id="330"/>
    </w:p>
    <w:p>
      <w:pPr>
        <w:spacing w:line="360" w:lineRule="auto"/>
        <w:ind w:firstLine="420" w:firstLineChars="200"/>
        <w:rPr>
          <w:rFonts w:ascii="宋体" w:hAnsi="宋体"/>
        </w:rPr>
      </w:pPr>
      <w:r>
        <w:rPr>
          <w:rFonts w:hint="eastAsia" w:ascii="宋体" w:hAnsi="宋体"/>
        </w:rPr>
        <w:t>第9.2.1项细化为：</w:t>
      </w:r>
    </w:p>
    <w:p>
      <w:pPr>
        <w:spacing w:line="360" w:lineRule="auto"/>
        <w:ind w:firstLine="420" w:firstLineChars="200"/>
        <w:rPr>
          <w:rFonts w:ascii="宋体" w:hAnsi="宋体"/>
        </w:rPr>
      </w:pPr>
      <w:r>
        <w:rPr>
          <w:rFonts w:hint="eastAsia" w:ascii="宋体" w:hAnsi="宋体"/>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auto"/>
        <w:ind w:firstLine="420" w:firstLineChars="200"/>
        <w:rPr>
          <w:rFonts w:ascii="宋体" w:hAnsi="宋体"/>
        </w:rPr>
      </w:pPr>
      <w:r>
        <w:rPr>
          <w:rFonts w:hint="eastAsia" w:ascii="宋体" w:hAnsi="宋体"/>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auto"/>
        <w:ind w:firstLine="420" w:firstLineChars="200"/>
        <w:rPr>
          <w:rFonts w:ascii="宋体" w:hAnsi="宋体"/>
        </w:rPr>
      </w:pPr>
      <w:r>
        <w:rPr>
          <w:rFonts w:hint="eastAsia" w:ascii="宋体" w:hAnsi="宋体"/>
        </w:rPr>
        <w:t>根据本项目需求编制相应的专项施工方案。</w:t>
      </w:r>
    </w:p>
    <w:p>
      <w:pPr>
        <w:spacing w:line="360" w:lineRule="auto"/>
        <w:ind w:firstLine="420" w:firstLineChars="200"/>
        <w:rPr>
          <w:rFonts w:ascii="宋体" w:hAnsi="宋体"/>
        </w:rPr>
      </w:pPr>
      <w:r>
        <w:rPr>
          <w:rFonts w:hint="eastAsia" w:ascii="宋体" w:hAnsi="宋体"/>
        </w:rPr>
        <w:t>监理人和发包人在检查中发现有安全问题或有违反安全管理规章制度的情况时，可视为承包人违约，应按第22.1款的规定办理。</w:t>
      </w:r>
    </w:p>
    <w:p>
      <w:pPr>
        <w:spacing w:line="360" w:lineRule="auto"/>
        <w:ind w:firstLine="420" w:firstLineChars="200"/>
        <w:rPr>
          <w:rFonts w:ascii="宋体" w:hAnsi="宋体"/>
        </w:rPr>
      </w:pPr>
      <w:r>
        <w:rPr>
          <w:rFonts w:hint="eastAsia" w:ascii="宋体" w:hAnsi="宋体"/>
        </w:rPr>
        <w:t>第9.2.5项细化为：</w:t>
      </w:r>
    </w:p>
    <w:p>
      <w:pPr>
        <w:spacing w:line="360" w:lineRule="auto"/>
        <w:ind w:firstLine="420" w:firstLineChars="200"/>
        <w:rPr>
          <w:rFonts w:ascii="宋体" w:hAnsi="宋体"/>
        </w:rPr>
      </w:pPr>
      <w:r>
        <w:rPr>
          <w:rFonts w:hint="eastAsia" w:ascii="宋体" w:hAnsi="宋体"/>
        </w:rPr>
        <w:t>除项目专用合同条款另有约定外，安全生产费用应为投标价(不含安全生产费及建筑工程一切险及第三者责任险的保险费)的1.5％(若发包人公布了投标控制价上限时，按投标控制价上限的1.5％计)。安全生产费用应用于施工安全防护用具及设施的采购和更新、安全施工措施的落实、安全生产条件的改善，不得挪作他用。承包人应单列账目，如实际发生的费用低于1.5%，则按照实际发生的计取。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auto"/>
        <w:ind w:firstLine="420" w:firstLineChars="200"/>
        <w:rPr>
          <w:rFonts w:ascii="宋体" w:hAnsi="宋体"/>
        </w:rPr>
      </w:pPr>
      <w:r>
        <w:rPr>
          <w:rFonts w:hint="eastAsia" w:ascii="宋体" w:hAnsi="宋体"/>
        </w:rPr>
        <w:t>本款补充第9.2.8项~第9.2.11项：</w:t>
      </w:r>
    </w:p>
    <w:p>
      <w:pPr>
        <w:spacing w:line="360" w:lineRule="auto"/>
        <w:ind w:firstLine="420" w:firstLineChars="200"/>
        <w:rPr>
          <w:rFonts w:ascii="宋体" w:hAnsi="宋体"/>
        </w:rPr>
      </w:pPr>
      <w:r>
        <w:rPr>
          <w:rFonts w:hint="eastAsia" w:ascii="宋体" w:hAnsi="宋体"/>
        </w:rPr>
        <w:t>9.2.8承包人应充分关注和保障所有在现场工作的人员的安全，采取以下有效措施，使现场和本合同工程的实施保持有条不紊，以免使上述人员的安全受到威胁。</w:t>
      </w:r>
    </w:p>
    <w:p>
      <w:pPr>
        <w:spacing w:line="360" w:lineRule="auto"/>
        <w:ind w:firstLine="420" w:firstLineChars="200"/>
        <w:rPr>
          <w:rFonts w:ascii="宋体" w:hAnsi="宋体"/>
        </w:rPr>
      </w:pPr>
      <w:r>
        <w:rPr>
          <w:rFonts w:hint="eastAsia" w:ascii="宋体" w:hAnsi="宋体"/>
        </w:rPr>
        <w:t>(1)按《公路水运工程安全生产监督管理办法》规定的最低数量和资质条件配备专职安全生产管理人员；</w:t>
      </w:r>
    </w:p>
    <w:p>
      <w:pPr>
        <w:spacing w:line="360" w:lineRule="auto"/>
        <w:ind w:firstLine="420" w:firstLineChars="200"/>
        <w:rPr>
          <w:rFonts w:ascii="宋体" w:hAnsi="宋体"/>
        </w:rPr>
      </w:pPr>
      <w:r>
        <w:rPr>
          <w:rFonts w:hint="eastAsia" w:ascii="宋体" w:hAnsi="宋体"/>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auto"/>
        <w:ind w:firstLine="420" w:firstLineChars="200"/>
        <w:rPr>
          <w:rFonts w:ascii="宋体" w:hAnsi="宋体"/>
        </w:rPr>
      </w:pPr>
      <w:r>
        <w:rPr>
          <w:rFonts w:hint="eastAsia" w:ascii="宋体" w:hAnsi="宋体"/>
        </w:rPr>
        <w:t>(3)所有施工机具设备和高空作业设备均应定期检查，并有安全员的签字记录；</w:t>
      </w:r>
    </w:p>
    <w:p>
      <w:pPr>
        <w:spacing w:line="360" w:lineRule="auto"/>
        <w:ind w:firstLine="420" w:firstLineChars="200"/>
        <w:rPr>
          <w:rFonts w:ascii="宋体" w:hAnsi="宋体"/>
        </w:rPr>
      </w:pPr>
      <w:r>
        <w:rPr>
          <w:rFonts w:hint="eastAsia" w:ascii="宋体" w:hAnsi="宋体"/>
        </w:rPr>
        <w:t>(4)根据本合同各单位工程的施工特点，严格执行《公路水运工程安全生产监督管理办法》、《公路工程施工安全技术规程》等有关规定。</w:t>
      </w:r>
    </w:p>
    <w:p>
      <w:pPr>
        <w:spacing w:line="360" w:lineRule="auto"/>
        <w:ind w:firstLine="420" w:firstLineChars="200"/>
        <w:rPr>
          <w:rFonts w:ascii="宋体" w:hAnsi="宋体"/>
        </w:rPr>
      </w:pPr>
      <w:r>
        <w:rPr>
          <w:rFonts w:hint="eastAsia" w:ascii="宋体" w:hAnsi="宋体"/>
        </w:rPr>
        <w:t>9.2.9为了保护本合同工程免遭损坏，或为了现场附近和过往群众的安全与方便，在确有必要的时候和地方，或当监理人或有关主管部门要求时，承包人应自费提供照明、警卫、护栅、警告标志等安全防护设施。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auto"/>
        <w:ind w:firstLine="420" w:firstLineChars="200"/>
        <w:rPr>
          <w:rFonts w:ascii="宋体" w:hAnsi="宋体"/>
        </w:rPr>
      </w:pPr>
      <w:r>
        <w:rPr>
          <w:rFonts w:hint="eastAsia" w:ascii="宋体" w:hAnsi="宋体"/>
        </w:rPr>
        <w:t>9.2.10在通航水域施工时，承包人应与当地主管部门取得联系，设置必要的导航标志，及时发布航行通告，确保施工水域安全。</w:t>
      </w:r>
    </w:p>
    <w:p>
      <w:pPr>
        <w:spacing w:line="360" w:lineRule="auto"/>
        <w:ind w:firstLine="420" w:firstLineChars="200"/>
        <w:rPr>
          <w:rFonts w:ascii="宋体" w:hAnsi="宋体"/>
        </w:rPr>
      </w:pPr>
      <w:r>
        <w:rPr>
          <w:rFonts w:hint="eastAsia" w:ascii="宋体" w:hAnsi="宋体"/>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rPr>
          <w:rFonts w:ascii="宋体" w:hAnsi="宋体"/>
          <w:b/>
          <w:sz w:val="24"/>
          <w:szCs w:val="28"/>
        </w:rPr>
      </w:pPr>
      <w:bookmarkStart w:id="331" w:name="_Toc144974645"/>
      <w:bookmarkStart w:id="332" w:name="_Toc179632695"/>
      <w:bookmarkStart w:id="333" w:name="_Toc152042455"/>
      <w:bookmarkStart w:id="334" w:name="_Toc152045677"/>
      <w:r>
        <w:rPr>
          <w:rFonts w:hint="eastAsia" w:ascii="宋体" w:hAnsi="宋体"/>
          <w:b/>
          <w:sz w:val="24"/>
          <w:szCs w:val="28"/>
        </w:rPr>
        <w:t>9.4环境保护</w:t>
      </w:r>
      <w:bookmarkEnd w:id="331"/>
      <w:bookmarkEnd w:id="332"/>
      <w:bookmarkEnd w:id="333"/>
      <w:bookmarkEnd w:id="334"/>
    </w:p>
    <w:p>
      <w:pPr>
        <w:spacing w:line="360" w:lineRule="auto"/>
        <w:ind w:firstLine="420" w:firstLineChars="200"/>
        <w:rPr>
          <w:rFonts w:ascii="宋体" w:hAnsi="宋体"/>
        </w:rPr>
      </w:pPr>
      <w:r>
        <w:rPr>
          <w:rFonts w:hint="eastAsia" w:ascii="宋体" w:hAnsi="宋体"/>
        </w:rPr>
        <w:t>本款补充第9.4.7项~第9.4.11项：</w:t>
      </w:r>
    </w:p>
    <w:p>
      <w:pPr>
        <w:spacing w:line="360" w:lineRule="auto"/>
        <w:ind w:firstLine="420" w:firstLineChars="200"/>
        <w:rPr>
          <w:rFonts w:ascii="宋体" w:hAnsi="宋体"/>
        </w:rPr>
      </w:pPr>
      <w:r>
        <w:rPr>
          <w:rFonts w:hint="eastAsia" w:ascii="宋体" w:hAnsi="宋体"/>
        </w:rPr>
        <w:t>9.4.7承包人应切实执行技术规范中有关环境保护方面的条款和规定。</w:t>
      </w:r>
    </w:p>
    <w:p>
      <w:pPr>
        <w:spacing w:line="360" w:lineRule="auto"/>
        <w:ind w:firstLine="420" w:firstLineChars="200"/>
        <w:rPr>
          <w:rFonts w:ascii="宋体" w:hAnsi="宋体"/>
        </w:rPr>
      </w:pPr>
      <w:r>
        <w:rPr>
          <w:rFonts w:hint="eastAsia" w:ascii="宋体" w:hAnsi="宋体"/>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auto"/>
        <w:ind w:firstLine="420" w:firstLineChars="200"/>
        <w:rPr>
          <w:rFonts w:ascii="宋体" w:hAnsi="宋体"/>
        </w:rPr>
      </w:pPr>
      <w:r>
        <w:rPr>
          <w:rFonts w:hint="eastAsia" w:ascii="宋体" w:hAnsi="宋体"/>
        </w:rPr>
        <w:t>(2)对于公路施工中粉尘污染的主要污染源——灰土拌和、施工车辆和筑路机械运行及运输产生的扬尘，应采取有效措施减轻其对施工现场的大气污染，保护人民健康，如：</w:t>
      </w:r>
    </w:p>
    <w:p>
      <w:pPr>
        <w:spacing w:line="360" w:lineRule="auto"/>
        <w:ind w:firstLine="420" w:firstLineChars="200"/>
        <w:rPr>
          <w:rFonts w:ascii="宋体" w:hAnsi="宋体"/>
        </w:rPr>
      </w:pPr>
      <w:r>
        <w:rPr>
          <w:rFonts w:hint="eastAsia" w:ascii="宋体" w:hAnsi="宋体"/>
        </w:rPr>
        <w:t>a.拌和设备应有较好的密封，或有防尘设备。</w:t>
      </w:r>
    </w:p>
    <w:p>
      <w:pPr>
        <w:spacing w:line="360" w:lineRule="auto"/>
        <w:ind w:firstLine="420" w:firstLineChars="200"/>
        <w:rPr>
          <w:rFonts w:ascii="宋体" w:hAnsi="宋体"/>
        </w:rPr>
      </w:pPr>
      <w:r>
        <w:rPr>
          <w:rFonts w:hint="eastAsia" w:ascii="宋体" w:hAnsi="宋体"/>
        </w:rPr>
        <w:t>b.施工通道、沥青混凝土拌和站及灰土拌和站应经常进行洒水降尘。</w:t>
      </w:r>
    </w:p>
    <w:p>
      <w:pPr>
        <w:spacing w:line="360" w:lineRule="auto"/>
        <w:ind w:firstLine="420" w:firstLineChars="200"/>
        <w:rPr>
          <w:rFonts w:ascii="宋体" w:hAnsi="宋体"/>
        </w:rPr>
      </w:pPr>
      <w:r>
        <w:rPr>
          <w:rFonts w:hint="eastAsia" w:ascii="宋体" w:hAnsi="宋体"/>
        </w:rPr>
        <w:t>c.路面施工应注意保持水分，以免扬尘。</w:t>
      </w:r>
    </w:p>
    <w:p>
      <w:pPr>
        <w:spacing w:line="360" w:lineRule="auto"/>
        <w:ind w:firstLine="420" w:firstLineChars="200"/>
        <w:rPr>
          <w:rFonts w:ascii="宋体" w:hAnsi="宋体"/>
        </w:rPr>
      </w:pPr>
      <w:r>
        <w:rPr>
          <w:rFonts w:hint="eastAsia" w:ascii="宋体" w:hAnsi="宋体"/>
        </w:rPr>
        <w:t>d.隧道出渣和桥梁钻孔灌注桩施工时排出的泥浆要进行妥善处理，严禁向河流或农田排放。</w:t>
      </w:r>
    </w:p>
    <w:p>
      <w:pPr>
        <w:spacing w:line="360" w:lineRule="auto"/>
        <w:ind w:firstLine="420" w:firstLineChars="200"/>
        <w:rPr>
          <w:rFonts w:ascii="宋体" w:hAnsi="宋体"/>
        </w:rPr>
      </w:pPr>
      <w:r>
        <w:rPr>
          <w:rFonts w:hint="eastAsia" w:ascii="宋体" w:hAnsi="宋体"/>
        </w:rPr>
        <w:t>(3)采取可靠措施保证原有交通的正常通行，维持沿线村镇的居民饮水、农田灌溉、生产生活用电及通信等管线的正常使用。</w:t>
      </w:r>
    </w:p>
    <w:p>
      <w:pPr>
        <w:spacing w:line="360" w:lineRule="auto"/>
        <w:ind w:firstLine="420" w:firstLineChars="200"/>
        <w:rPr>
          <w:rFonts w:ascii="宋体" w:hAnsi="宋体"/>
        </w:rPr>
      </w:pPr>
      <w:r>
        <w:rPr>
          <w:rFonts w:hint="eastAsia" w:ascii="宋体" w:hAnsi="宋体"/>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ind w:firstLine="420" w:firstLineChars="200"/>
        <w:rPr>
          <w:rFonts w:ascii="宋体" w:hAnsi="宋体"/>
        </w:rPr>
      </w:pPr>
      <w:r>
        <w:rPr>
          <w:rFonts w:hint="eastAsia" w:ascii="宋体" w:hAnsi="宋体"/>
        </w:rPr>
        <w:t>9.4.9在施工期间，承包人应随时保持现场整洁，施工设备和材料、工程设备应整齐妥善存放和储存，废料与垃圾及不再需要的临时设施应及时从现场清除、拆除并运走。</w:t>
      </w:r>
    </w:p>
    <w:p>
      <w:pPr>
        <w:spacing w:line="360" w:lineRule="auto"/>
        <w:ind w:firstLine="420" w:firstLineChars="200"/>
        <w:rPr>
          <w:rFonts w:ascii="宋体" w:hAnsi="宋体"/>
        </w:rPr>
      </w:pPr>
      <w:r>
        <w:rPr>
          <w:rFonts w:hint="eastAsia" w:ascii="宋体" w:hAnsi="宋体"/>
        </w:rPr>
        <w:t>9.4.10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auto"/>
        <w:ind w:firstLine="420" w:firstLineChars="200"/>
        <w:rPr>
          <w:rFonts w:ascii="宋体" w:hAnsi="宋体"/>
        </w:rPr>
      </w:pPr>
      <w:r>
        <w:rPr>
          <w:rFonts w:hint="eastAsia" w:ascii="宋体" w:hAnsi="宋体"/>
        </w:rPr>
        <w:t>9.4.11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spacing w:line="360" w:lineRule="auto"/>
        <w:rPr>
          <w:rFonts w:ascii="宋体" w:hAnsi="宋体"/>
          <w:b/>
          <w:sz w:val="28"/>
          <w:szCs w:val="30"/>
        </w:rPr>
      </w:pPr>
      <w:bookmarkStart w:id="335" w:name="_Toc179632697"/>
      <w:bookmarkStart w:id="336" w:name="_Toc144974647"/>
      <w:bookmarkStart w:id="337" w:name="_Toc152045679"/>
      <w:bookmarkStart w:id="338" w:name="_Toc152042457"/>
      <w:r>
        <w:rPr>
          <w:rFonts w:hint="eastAsia" w:ascii="宋体" w:hAnsi="宋体"/>
          <w:b/>
          <w:sz w:val="28"/>
          <w:szCs w:val="30"/>
        </w:rPr>
        <w:t>10.进度计划</w:t>
      </w:r>
      <w:bookmarkEnd w:id="335"/>
      <w:bookmarkEnd w:id="336"/>
      <w:bookmarkEnd w:id="337"/>
      <w:bookmarkEnd w:id="338"/>
    </w:p>
    <w:p>
      <w:pPr>
        <w:spacing w:line="360" w:lineRule="auto"/>
        <w:rPr>
          <w:rFonts w:ascii="宋体" w:hAnsi="宋体"/>
          <w:b/>
          <w:sz w:val="24"/>
          <w:szCs w:val="28"/>
        </w:rPr>
      </w:pPr>
      <w:bookmarkStart w:id="339" w:name="_Toc152045680"/>
      <w:bookmarkStart w:id="340" w:name="_Toc144974648"/>
      <w:bookmarkStart w:id="341" w:name="_Toc179632698"/>
      <w:bookmarkStart w:id="342" w:name="_Toc152042458"/>
      <w:r>
        <w:rPr>
          <w:rFonts w:hint="eastAsia" w:ascii="宋体" w:hAnsi="宋体"/>
          <w:b/>
          <w:sz w:val="24"/>
          <w:szCs w:val="28"/>
        </w:rPr>
        <w:t>10.1合同进度计划</w:t>
      </w:r>
      <w:bookmarkEnd w:id="339"/>
      <w:bookmarkEnd w:id="340"/>
      <w:bookmarkEnd w:id="341"/>
      <w:bookmarkEnd w:id="342"/>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承包人编制施工方案说明的内容见项目专用合同条款。</w:t>
      </w:r>
    </w:p>
    <w:p>
      <w:pPr>
        <w:spacing w:line="360" w:lineRule="auto"/>
        <w:ind w:firstLine="420" w:firstLineChars="200"/>
        <w:rPr>
          <w:rFonts w:ascii="宋体" w:hAnsi="宋体"/>
        </w:rPr>
      </w:pPr>
      <w:r>
        <w:rPr>
          <w:rFonts w:hint="eastAsia" w:ascii="宋体" w:hAnsi="宋体"/>
        </w:rPr>
        <w:t>承包人向监理人报送施工进度计划和施工方案说明的期限：签订合同协议书后28天之内。</w:t>
      </w:r>
    </w:p>
    <w:p>
      <w:pPr>
        <w:spacing w:line="360" w:lineRule="auto"/>
        <w:ind w:firstLine="420" w:firstLineChars="200"/>
        <w:rPr>
          <w:rFonts w:ascii="宋体" w:hAnsi="宋体"/>
        </w:rPr>
      </w:pPr>
      <w:r>
        <w:rPr>
          <w:rFonts w:hint="eastAsia" w:ascii="宋体" w:hAnsi="宋体"/>
        </w:rPr>
        <w:t>监理人应在14天内对承包人施工进度计划和施工方案说明予以批复或提出修改意见。</w:t>
      </w:r>
    </w:p>
    <w:p>
      <w:pPr>
        <w:spacing w:line="360" w:lineRule="auto"/>
        <w:ind w:firstLine="420" w:firstLineChars="200"/>
        <w:rPr>
          <w:rFonts w:ascii="宋体" w:hAnsi="宋体"/>
        </w:rPr>
      </w:pPr>
      <w:r>
        <w:rPr>
          <w:rFonts w:hint="eastAsia" w:ascii="宋体" w:hAnsi="宋体"/>
        </w:rPr>
        <w:t>合同进度计划应按照关键线路网络图和主要工作横道图两种形式分别编绘，并应包括每月预计完成的工作量和形象进度。</w:t>
      </w:r>
    </w:p>
    <w:p>
      <w:pPr>
        <w:spacing w:line="360" w:lineRule="auto"/>
        <w:rPr>
          <w:rFonts w:ascii="宋体" w:hAnsi="宋体"/>
          <w:b/>
          <w:sz w:val="24"/>
          <w:szCs w:val="28"/>
        </w:rPr>
      </w:pPr>
      <w:bookmarkStart w:id="343" w:name="_Toc152042459"/>
      <w:bookmarkStart w:id="344" w:name="_Toc152045681"/>
      <w:bookmarkStart w:id="345" w:name="_Toc144974649"/>
      <w:bookmarkStart w:id="346" w:name="_Toc179632699"/>
      <w:r>
        <w:rPr>
          <w:rFonts w:hint="eastAsia" w:ascii="宋体" w:hAnsi="宋体"/>
          <w:b/>
          <w:sz w:val="24"/>
          <w:szCs w:val="28"/>
        </w:rPr>
        <w:t>10.2合同进度计划的修订</w:t>
      </w:r>
      <w:bookmarkEnd w:id="343"/>
      <w:bookmarkEnd w:id="344"/>
      <w:bookmarkEnd w:id="345"/>
      <w:bookmarkEnd w:id="346"/>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承包人提交合同进度计划修订申请报告，并附有关措施和相关资料的期限：实际进度发生滞后的当月25日前。</w:t>
      </w:r>
    </w:p>
    <w:p>
      <w:pPr>
        <w:spacing w:line="360" w:lineRule="auto"/>
        <w:ind w:firstLine="420" w:firstLineChars="200"/>
        <w:rPr>
          <w:rFonts w:ascii="宋体" w:hAnsi="宋体"/>
        </w:rPr>
      </w:pPr>
      <w:r>
        <w:rPr>
          <w:rFonts w:hint="eastAsia" w:ascii="宋体" w:hAnsi="宋体"/>
        </w:rPr>
        <w:t>监理人批复修订合同进度计划的期限：收到修订合同进度计划后14天内。</w:t>
      </w:r>
    </w:p>
    <w:p>
      <w:pPr>
        <w:spacing w:line="360" w:lineRule="auto"/>
        <w:ind w:firstLine="420" w:firstLineChars="200"/>
        <w:rPr>
          <w:rFonts w:ascii="宋体" w:hAnsi="宋体"/>
        </w:rPr>
      </w:pPr>
    </w:p>
    <w:p>
      <w:pPr>
        <w:spacing w:line="360" w:lineRule="auto"/>
        <w:rPr>
          <w:rFonts w:ascii="宋体" w:hAnsi="宋体"/>
        </w:rPr>
      </w:pPr>
      <w:r>
        <w:rPr>
          <w:rFonts w:hint="eastAsia" w:ascii="宋体" w:hAnsi="宋体"/>
        </w:rPr>
        <w:t>本条补充第10.3款、第10.4款：</w:t>
      </w:r>
    </w:p>
    <w:p>
      <w:pPr>
        <w:spacing w:line="360" w:lineRule="auto"/>
        <w:rPr>
          <w:rFonts w:ascii="宋体" w:hAnsi="宋体"/>
          <w:b/>
          <w:sz w:val="24"/>
          <w:szCs w:val="28"/>
        </w:rPr>
      </w:pPr>
      <w:r>
        <w:rPr>
          <w:rFonts w:hint="eastAsia" w:ascii="宋体" w:hAnsi="宋体"/>
          <w:b/>
          <w:sz w:val="24"/>
          <w:szCs w:val="28"/>
        </w:rPr>
        <w:t>10.3年度施工计划</w:t>
      </w:r>
    </w:p>
    <w:p>
      <w:pPr>
        <w:spacing w:line="360" w:lineRule="auto"/>
        <w:ind w:firstLine="420" w:firstLineChars="200"/>
        <w:rPr>
          <w:rFonts w:ascii="宋体" w:hAnsi="宋体"/>
        </w:rPr>
      </w:pPr>
      <w:r>
        <w:rPr>
          <w:rFonts w:hint="eastAsia" w:ascii="宋体" w:hAnsi="宋体"/>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spacing w:line="360" w:lineRule="auto"/>
        <w:rPr>
          <w:rFonts w:ascii="宋体" w:hAnsi="宋体"/>
          <w:b/>
          <w:sz w:val="24"/>
          <w:szCs w:val="28"/>
        </w:rPr>
      </w:pPr>
      <w:r>
        <w:rPr>
          <w:rFonts w:hint="eastAsia" w:ascii="宋体" w:hAnsi="宋体"/>
          <w:b/>
          <w:sz w:val="24"/>
          <w:szCs w:val="28"/>
        </w:rPr>
        <w:t>10.4合同用款计划</w:t>
      </w:r>
    </w:p>
    <w:p>
      <w:pPr>
        <w:spacing w:line="360" w:lineRule="auto"/>
        <w:ind w:firstLine="420" w:firstLineChars="200"/>
        <w:rPr>
          <w:rFonts w:ascii="宋体" w:hAnsi="宋体"/>
        </w:rPr>
      </w:pPr>
      <w:r>
        <w:rPr>
          <w:rFonts w:hint="eastAsia" w:ascii="宋体" w:hAnsi="宋体"/>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spacing w:line="360" w:lineRule="auto"/>
        <w:rPr>
          <w:rFonts w:ascii="宋体" w:hAnsi="宋体"/>
          <w:b/>
          <w:sz w:val="28"/>
          <w:szCs w:val="30"/>
        </w:rPr>
      </w:pPr>
      <w:bookmarkStart w:id="347" w:name="_Toc144974650"/>
      <w:bookmarkStart w:id="348" w:name="_Toc179632700"/>
      <w:bookmarkStart w:id="349" w:name="_Toc152045682"/>
      <w:bookmarkStart w:id="350" w:name="_Toc152042460"/>
      <w:r>
        <w:rPr>
          <w:rFonts w:hint="eastAsia" w:ascii="宋体" w:hAnsi="宋体"/>
          <w:b/>
          <w:sz w:val="28"/>
          <w:szCs w:val="30"/>
        </w:rPr>
        <w:t>11.开工和交工</w:t>
      </w:r>
      <w:bookmarkEnd w:id="347"/>
      <w:bookmarkEnd w:id="348"/>
      <w:bookmarkEnd w:id="349"/>
      <w:bookmarkEnd w:id="350"/>
    </w:p>
    <w:p>
      <w:pPr>
        <w:spacing w:line="360" w:lineRule="auto"/>
        <w:rPr>
          <w:rFonts w:ascii="宋体" w:hAnsi="宋体"/>
          <w:b/>
          <w:sz w:val="24"/>
          <w:szCs w:val="28"/>
        </w:rPr>
      </w:pPr>
      <w:bookmarkStart w:id="351" w:name="_Toc179632701"/>
      <w:bookmarkStart w:id="352" w:name="_Toc144974651"/>
      <w:bookmarkStart w:id="353" w:name="_Toc152042461"/>
      <w:bookmarkStart w:id="354" w:name="_Toc152045683"/>
      <w:r>
        <w:rPr>
          <w:rFonts w:hint="eastAsia" w:ascii="宋体" w:hAnsi="宋体"/>
          <w:b/>
          <w:sz w:val="24"/>
          <w:szCs w:val="28"/>
        </w:rPr>
        <w:t>11.1开工</w:t>
      </w:r>
      <w:bookmarkEnd w:id="351"/>
      <w:bookmarkEnd w:id="352"/>
      <w:bookmarkEnd w:id="353"/>
      <w:bookmarkEnd w:id="354"/>
    </w:p>
    <w:p>
      <w:pPr>
        <w:spacing w:line="360" w:lineRule="auto"/>
        <w:ind w:firstLine="420" w:firstLineChars="200"/>
        <w:rPr>
          <w:rFonts w:ascii="宋体" w:hAnsi="宋体"/>
        </w:rPr>
      </w:pPr>
      <w:r>
        <w:rPr>
          <w:rFonts w:hint="eastAsia" w:ascii="宋体" w:hAnsi="宋体"/>
        </w:rPr>
        <w:t>第11.1.2项补充：</w:t>
      </w:r>
    </w:p>
    <w:p>
      <w:pPr>
        <w:spacing w:line="360" w:lineRule="auto"/>
        <w:ind w:firstLine="420" w:firstLineChars="200"/>
        <w:rPr>
          <w:rFonts w:ascii="宋体" w:hAnsi="宋体"/>
        </w:rPr>
      </w:pPr>
      <w:r>
        <w:rPr>
          <w:rFonts w:hint="eastAsia" w:ascii="宋体" w:hAnsi="宋体"/>
        </w:rPr>
        <w:t>承包人应在分部工程开工前14天向监理人提交分部工程开工报审表，若承包人的开工准备、工作计划和质量控制方法是可接受的且已获得批准，则经监理人书面同意，分部工程才能开工。</w:t>
      </w:r>
    </w:p>
    <w:p>
      <w:pPr>
        <w:spacing w:line="360" w:lineRule="auto"/>
        <w:rPr>
          <w:rFonts w:ascii="宋体" w:hAnsi="宋体"/>
          <w:b/>
          <w:sz w:val="24"/>
          <w:szCs w:val="28"/>
        </w:rPr>
      </w:pPr>
      <w:bookmarkStart w:id="355" w:name="_Toc179632703"/>
      <w:bookmarkStart w:id="356" w:name="_Toc152045685"/>
      <w:bookmarkStart w:id="357" w:name="_Toc152042463"/>
      <w:bookmarkStart w:id="358" w:name="_Toc144974653"/>
      <w:r>
        <w:rPr>
          <w:rFonts w:hint="eastAsia" w:ascii="宋体" w:hAnsi="宋体"/>
          <w:b/>
          <w:sz w:val="24"/>
          <w:szCs w:val="28"/>
        </w:rPr>
        <w:t>11.3发包人的工期延误</w:t>
      </w:r>
      <w:bookmarkEnd w:id="355"/>
      <w:bookmarkEnd w:id="356"/>
      <w:bookmarkEnd w:id="357"/>
      <w:bookmarkEnd w:id="358"/>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即使由于上述原因造成工期延误，如果受影响的工程并非处在工程施工进度网络计划的关键线路上，则承包人无权要求延长总工期。</w:t>
      </w:r>
    </w:p>
    <w:p>
      <w:pPr>
        <w:spacing w:line="360" w:lineRule="auto"/>
        <w:rPr>
          <w:rFonts w:ascii="宋体" w:hAnsi="宋体"/>
          <w:b/>
          <w:sz w:val="24"/>
          <w:szCs w:val="28"/>
        </w:rPr>
      </w:pPr>
      <w:bookmarkStart w:id="359" w:name="_Toc152042464"/>
      <w:bookmarkStart w:id="360" w:name="_Toc179632704"/>
      <w:bookmarkStart w:id="361" w:name="_Toc152045686"/>
      <w:bookmarkStart w:id="362" w:name="_Toc144974654"/>
      <w:r>
        <w:rPr>
          <w:rFonts w:hint="eastAsia" w:ascii="宋体" w:hAnsi="宋体"/>
          <w:b/>
          <w:sz w:val="24"/>
          <w:szCs w:val="28"/>
        </w:rPr>
        <w:t>11.4异常恶劣的气候条件</w:t>
      </w:r>
      <w:bookmarkEnd w:id="359"/>
      <w:bookmarkEnd w:id="360"/>
      <w:bookmarkEnd w:id="361"/>
      <w:bookmarkEnd w:id="362"/>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异常气候是指项目所在地30年以上一遇的罕见气候现象(包括温度、降水、降雪、风等)。异常恶劣的气候条件在项目专用合同条款中作具体规定。</w:t>
      </w:r>
    </w:p>
    <w:p>
      <w:pPr>
        <w:spacing w:line="360" w:lineRule="auto"/>
        <w:rPr>
          <w:rFonts w:ascii="宋体" w:hAnsi="宋体"/>
          <w:b/>
          <w:sz w:val="24"/>
          <w:szCs w:val="28"/>
        </w:rPr>
      </w:pPr>
      <w:bookmarkStart w:id="363" w:name="_Toc179632705"/>
      <w:bookmarkStart w:id="364" w:name="_Toc144974655"/>
      <w:bookmarkStart w:id="365" w:name="_Toc152042465"/>
      <w:bookmarkStart w:id="366" w:name="_Toc152045687"/>
      <w:r>
        <w:rPr>
          <w:rFonts w:hint="eastAsia" w:ascii="宋体" w:hAnsi="宋体"/>
          <w:b/>
          <w:sz w:val="24"/>
          <w:szCs w:val="28"/>
        </w:rPr>
        <w:t>11.5承包人的工期延误</w:t>
      </w:r>
      <w:bookmarkEnd w:id="363"/>
      <w:bookmarkEnd w:id="364"/>
      <w:bookmarkEnd w:id="365"/>
      <w:bookmarkEnd w:id="366"/>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auto"/>
        <w:ind w:firstLine="420" w:firstLineChars="200"/>
        <w:rPr>
          <w:rFonts w:ascii="宋体" w:hAnsi="宋体"/>
        </w:rPr>
      </w:pPr>
      <w:r>
        <w:rPr>
          <w:rFonts w:hint="eastAsia" w:ascii="宋体" w:hAnsi="宋体"/>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auto"/>
        <w:ind w:firstLine="420" w:firstLineChars="200"/>
        <w:rPr>
          <w:rFonts w:ascii="宋体" w:hAnsi="宋体"/>
        </w:rPr>
      </w:pPr>
      <w:r>
        <w:rPr>
          <w:rFonts w:hint="eastAsia" w:ascii="宋体" w:hAnsi="宋体"/>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auto"/>
        <w:ind w:firstLine="420" w:firstLineChars="200"/>
        <w:rPr>
          <w:rFonts w:ascii="宋体" w:hAnsi="宋体"/>
        </w:rPr>
      </w:pPr>
      <w:r>
        <w:rPr>
          <w:rFonts w:hint="eastAsia" w:ascii="宋体" w:hAnsi="宋体"/>
        </w:rPr>
        <w:t>(4)承包人支付逾期交工违约金，不免除承包人完成工程及修补缺陷的义务。</w:t>
      </w:r>
    </w:p>
    <w:p>
      <w:pPr>
        <w:spacing w:line="360" w:lineRule="auto"/>
        <w:ind w:firstLine="420" w:firstLineChars="200"/>
        <w:rPr>
          <w:rFonts w:ascii="宋体" w:hAnsi="宋体"/>
        </w:rPr>
      </w:pPr>
      <w:r>
        <w:rPr>
          <w:rFonts w:hint="eastAsia" w:ascii="宋体" w:hAnsi="宋体"/>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spacing w:line="360" w:lineRule="auto"/>
        <w:rPr>
          <w:rFonts w:ascii="宋体" w:hAnsi="宋体"/>
          <w:b/>
          <w:sz w:val="24"/>
          <w:szCs w:val="28"/>
        </w:rPr>
      </w:pPr>
      <w:bookmarkStart w:id="367" w:name="_Toc144974656"/>
      <w:bookmarkStart w:id="368" w:name="_Toc152045688"/>
      <w:bookmarkStart w:id="369" w:name="_Toc152042466"/>
      <w:bookmarkStart w:id="370" w:name="_Toc179632706"/>
      <w:r>
        <w:rPr>
          <w:rFonts w:hint="eastAsia" w:ascii="宋体" w:hAnsi="宋体"/>
          <w:b/>
          <w:sz w:val="24"/>
          <w:szCs w:val="28"/>
        </w:rPr>
        <w:t>11.6</w:t>
      </w:r>
      <w:bookmarkEnd w:id="367"/>
      <w:bookmarkStart w:id="371" w:name="_Toc144974657"/>
      <w:r>
        <w:rPr>
          <w:rFonts w:hint="eastAsia" w:ascii="宋体" w:hAnsi="宋体"/>
          <w:b/>
          <w:sz w:val="24"/>
          <w:szCs w:val="28"/>
        </w:rPr>
        <w:t>工期提前</w:t>
      </w:r>
      <w:bookmarkEnd w:id="368"/>
      <w:bookmarkEnd w:id="369"/>
      <w:bookmarkEnd w:id="370"/>
      <w:bookmarkEnd w:id="371"/>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发包人不得随意要求承包人提前交工，承包人也不得随意提出提前交工的建议。如遇特殊情况，确需将工期提前的，发包人和承包人必须采取有效措施，确保工程质量。</w:t>
      </w:r>
    </w:p>
    <w:p>
      <w:pPr>
        <w:spacing w:line="360" w:lineRule="auto"/>
        <w:ind w:firstLine="420" w:firstLineChars="200"/>
        <w:rPr>
          <w:rFonts w:ascii="宋体" w:hAnsi="宋体"/>
        </w:rPr>
      </w:pPr>
      <w:r>
        <w:rPr>
          <w:rFonts w:hint="eastAsia" w:ascii="宋体" w:hAnsi="宋体"/>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360" w:lineRule="auto"/>
        <w:rPr>
          <w:rFonts w:ascii="宋体" w:hAnsi="宋体"/>
        </w:rPr>
      </w:pPr>
      <w:r>
        <w:rPr>
          <w:rFonts w:hint="eastAsia" w:ascii="宋体" w:hAnsi="宋体"/>
        </w:rPr>
        <w:t>补充第11.7款：</w:t>
      </w:r>
    </w:p>
    <w:p>
      <w:pPr>
        <w:spacing w:line="360" w:lineRule="auto"/>
        <w:rPr>
          <w:rFonts w:ascii="宋体" w:hAnsi="宋体"/>
          <w:b/>
          <w:sz w:val="24"/>
          <w:szCs w:val="28"/>
        </w:rPr>
      </w:pPr>
      <w:r>
        <w:rPr>
          <w:rFonts w:hint="eastAsia" w:ascii="宋体" w:hAnsi="宋体"/>
          <w:b/>
          <w:sz w:val="24"/>
          <w:szCs w:val="28"/>
        </w:rPr>
        <w:t>11.7工作时间的限制</w:t>
      </w:r>
    </w:p>
    <w:p>
      <w:pPr>
        <w:spacing w:line="360" w:lineRule="auto"/>
        <w:ind w:firstLine="420" w:firstLineChars="200"/>
        <w:rPr>
          <w:rFonts w:ascii="宋体" w:hAnsi="宋体"/>
        </w:rPr>
      </w:pPr>
      <w:r>
        <w:rPr>
          <w:rFonts w:hint="eastAsia" w:ascii="宋体" w:hAnsi="宋体"/>
        </w:rPr>
        <w:t>承包人在夜间或国家规定的节假日进行永久工程的施工，应向监理人报告，以便监理人履行监理职责和义务。</w:t>
      </w:r>
    </w:p>
    <w:p>
      <w:pPr>
        <w:spacing w:line="360" w:lineRule="auto"/>
        <w:ind w:firstLine="420" w:firstLineChars="200"/>
        <w:rPr>
          <w:rFonts w:ascii="宋体" w:hAnsi="宋体"/>
        </w:rPr>
      </w:pPr>
      <w:r>
        <w:rPr>
          <w:rFonts w:hint="eastAsia" w:ascii="宋体" w:hAnsi="宋体"/>
        </w:rPr>
        <w:t>但是，为了抢救生命或保护财产，或为了工程的安全、质量而不可避免地短暂作业，则不必事先向监理人报告。但承包人应在事后立即向监理人报告。</w:t>
      </w:r>
    </w:p>
    <w:p>
      <w:pPr>
        <w:spacing w:line="360" w:lineRule="auto"/>
        <w:ind w:firstLine="420" w:firstLineChars="200"/>
        <w:rPr>
          <w:rFonts w:ascii="宋体" w:hAnsi="宋体"/>
        </w:rPr>
      </w:pPr>
      <w:r>
        <w:rPr>
          <w:rFonts w:hint="eastAsia" w:ascii="宋体" w:hAnsi="宋体"/>
        </w:rPr>
        <w:t>本款规定不适用于习惯上或施工本身要求实行连续生产的作业。</w:t>
      </w:r>
    </w:p>
    <w:p>
      <w:pPr>
        <w:spacing w:line="360" w:lineRule="auto"/>
        <w:rPr>
          <w:rFonts w:ascii="宋体" w:hAnsi="宋体"/>
          <w:b/>
          <w:sz w:val="28"/>
          <w:szCs w:val="30"/>
        </w:rPr>
      </w:pPr>
      <w:bookmarkStart w:id="372" w:name="_Toc152042467"/>
      <w:bookmarkStart w:id="373" w:name="_Toc144974658"/>
      <w:bookmarkStart w:id="374" w:name="_Toc179632707"/>
      <w:bookmarkStart w:id="375" w:name="_Toc152045689"/>
      <w:r>
        <w:rPr>
          <w:rFonts w:hint="eastAsia" w:ascii="宋体" w:hAnsi="宋体"/>
          <w:b/>
          <w:sz w:val="28"/>
          <w:szCs w:val="30"/>
        </w:rPr>
        <w:t>12.暂停施工</w:t>
      </w:r>
      <w:bookmarkEnd w:id="372"/>
      <w:bookmarkEnd w:id="373"/>
      <w:bookmarkEnd w:id="374"/>
      <w:bookmarkEnd w:id="375"/>
    </w:p>
    <w:p>
      <w:pPr>
        <w:spacing w:line="360" w:lineRule="auto"/>
        <w:rPr>
          <w:rFonts w:ascii="宋体" w:hAnsi="宋体"/>
          <w:b/>
          <w:sz w:val="24"/>
          <w:szCs w:val="28"/>
        </w:rPr>
      </w:pPr>
      <w:bookmarkStart w:id="376" w:name="_Toc179632708"/>
      <w:bookmarkStart w:id="377" w:name="_Toc152045690"/>
      <w:bookmarkStart w:id="378" w:name="_Toc144974659"/>
      <w:bookmarkStart w:id="379" w:name="_Toc152042468"/>
      <w:r>
        <w:rPr>
          <w:rFonts w:hint="eastAsia" w:ascii="宋体" w:hAnsi="宋体"/>
          <w:b/>
          <w:sz w:val="24"/>
          <w:szCs w:val="28"/>
        </w:rPr>
        <w:t>12.1承包人暂停施工的责任</w:t>
      </w:r>
      <w:bookmarkEnd w:id="376"/>
      <w:bookmarkEnd w:id="377"/>
      <w:bookmarkEnd w:id="378"/>
      <w:bookmarkEnd w:id="379"/>
    </w:p>
    <w:p>
      <w:pPr>
        <w:spacing w:line="360" w:lineRule="auto"/>
        <w:ind w:firstLine="420" w:firstLineChars="200"/>
        <w:rPr>
          <w:rFonts w:ascii="宋体" w:hAnsi="宋体"/>
        </w:rPr>
      </w:pPr>
      <w:r>
        <w:rPr>
          <w:rFonts w:hint="eastAsia" w:ascii="宋体" w:hAnsi="宋体"/>
        </w:rPr>
        <w:t>本款第（5）项细化为：</w:t>
      </w:r>
    </w:p>
    <w:p>
      <w:pPr>
        <w:spacing w:line="360" w:lineRule="auto"/>
        <w:ind w:firstLine="420" w:firstLineChars="200"/>
        <w:rPr>
          <w:rFonts w:ascii="宋体" w:hAnsi="宋体"/>
        </w:rPr>
      </w:pPr>
      <w:r>
        <w:rPr>
          <w:rFonts w:hint="eastAsia" w:ascii="宋体" w:hAnsi="宋体"/>
        </w:rPr>
        <w:t>（5）现场气候条件导致的必要停工(第11.4款规定的异常恶劣的气候条件除外)；</w:t>
      </w:r>
    </w:p>
    <w:p>
      <w:pPr>
        <w:spacing w:line="360" w:lineRule="auto"/>
        <w:ind w:firstLine="420" w:firstLineChars="200"/>
        <w:rPr>
          <w:rFonts w:ascii="宋体" w:hAnsi="宋体"/>
        </w:rPr>
      </w:pPr>
      <w:r>
        <w:rPr>
          <w:rFonts w:hint="eastAsia" w:ascii="宋体" w:hAnsi="宋体"/>
        </w:rPr>
        <w:t>（6）项目专用合同条款可能约定的由承包人承担的其他暂停施工。</w:t>
      </w:r>
    </w:p>
    <w:p>
      <w:pPr>
        <w:spacing w:line="360" w:lineRule="auto"/>
        <w:rPr>
          <w:rFonts w:ascii="宋体" w:hAnsi="宋体"/>
          <w:b/>
          <w:sz w:val="28"/>
          <w:szCs w:val="30"/>
        </w:rPr>
      </w:pPr>
      <w:bookmarkStart w:id="380" w:name="_Toc152045695"/>
      <w:bookmarkStart w:id="381" w:name="_Toc144974664"/>
      <w:bookmarkStart w:id="382" w:name="_Toc179632713"/>
      <w:bookmarkStart w:id="383" w:name="_Toc152042473"/>
      <w:r>
        <w:rPr>
          <w:rFonts w:hint="eastAsia" w:ascii="宋体" w:hAnsi="宋体"/>
          <w:b/>
          <w:sz w:val="28"/>
          <w:szCs w:val="30"/>
        </w:rPr>
        <w:t>13.工程质量</w:t>
      </w:r>
      <w:bookmarkEnd w:id="380"/>
      <w:bookmarkEnd w:id="381"/>
      <w:bookmarkEnd w:id="382"/>
      <w:bookmarkEnd w:id="383"/>
    </w:p>
    <w:p>
      <w:pPr>
        <w:spacing w:line="360" w:lineRule="auto"/>
        <w:rPr>
          <w:rFonts w:ascii="宋体" w:hAnsi="宋体"/>
          <w:b/>
          <w:sz w:val="24"/>
          <w:szCs w:val="28"/>
        </w:rPr>
      </w:pPr>
      <w:bookmarkStart w:id="384" w:name="_Toc152045696"/>
      <w:bookmarkStart w:id="385" w:name="_Toc179632714"/>
      <w:bookmarkStart w:id="386" w:name="_Toc152042474"/>
      <w:bookmarkStart w:id="387" w:name="_Toc144974665"/>
      <w:r>
        <w:rPr>
          <w:rFonts w:hint="eastAsia" w:ascii="宋体" w:hAnsi="宋体"/>
          <w:b/>
          <w:sz w:val="24"/>
          <w:szCs w:val="28"/>
        </w:rPr>
        <w:t>13.1工程质量要求</w:t>
      </w:r>
      <w:bookmarkEnd w:id="384"/>
      <w:bookmarkEnd w:id="385"/>
      <w:bookmarkEnd w:id="386"/>
      <w:bookmarkEnd w:id="387"/>
    </w:p>
    <w:p>
      <w:pPr>
        <w:spacing w:line="360" w:lineRule="auto"/>
        <w:ind w:firstLine="420" w:firstLineChars="200"/>
        <w:rPr>
          <w:rFonts w:ascii="宋体" w:hAnsi="宋体"/>
        </w:rPr>
      </w:pPr>
      <w:r>
        <w:rPr>
          <w:rFonts w:hint="eastAsia" w:ascii="宋体" w:hAnsi="宋体"/>
        </w:rPr>
        <w:t>第13.1.1项约定为：</w:t>
      </w:r>
    </w:p>
    <w:p>
      <w:pPr>
        <w:spacing w:line="360" w:lineRule="auto"/>
        <w:ind w:firstLine="420" w:firstLineChars="200"/>
        <w:rPr>
          <w:rFonts w:ascii="宋体" w:hAnsi="宋体"/>
        </w:rPr>
      </w:pPr>
      <w:r>
        <w:rPr>
          <w:rFonts w:hint="eastAsia" w:ascii="宋体" w:hAnsi="宋体"/>
        </w:rPr>
        <w:t>工程质量验收按技术规范及《公路工程质量检验评定标准》执行。</w:t>
      </w:r>
    </w:p>
    <w:p>
      <w:pPr>
        <w:pStyle w:val="2"/>
        <w:spacing w:line="360" w:lineRule="auto"/>
        <w:ind w:firstLine="420" w:firstLineChars="200"/>
        <w:rPr>
          <w:rFonts w:ascii="宋体" w:hAnsi="宋体"/>
        </w:rPr>
      </w:pPr>
      <w:r>
        <w:rPr>
          <w:rFonts w:hint="eastAsia"/>
        </w:rPr>
        <w:t>第13.1.2条约定为</w:t>
      </w:r>
      <w:r>
        <w:t>：</w:t>
      </w:r>
      <w:r>
        <w:rPr>
          <w:rFonts w:hint="eastAsia"/>
        </w:rPr>
        <w:t>因承包人原因造成工程质量达不到合同约定验收标准的，监理人有权要求承包人 返工直至符合合同要求为止，由此造成的费用增加和（或）工期延误由承包人承担。</w:t>
      </w:r>
    </w:p>
    <w:p>
      <w:pPr>
        <w:spacing w:line="360" w:lineRule="auto"/>
        <w:ind w:firstLine="420" w:firstLineChars="200"/>
        <w:rPr>
          <w:rFonts w:ascii="宋体" w:hAnsi="宋体"/>
        </w:rPr>
      </w:pPr>
      <w:r>
        <w:rPr>
          <w:rFonts w:hint="eastAsia" w:ascii="宋体" w:hAnsi="宋体"/>
        </w:rPr>
        <w:t>本款补充第13.1.4项和第13.1.5项：</w:t>
      </w:r>
    </w:p>
    <w:p>
      <w:pPr>
        <w:spacing w:line="360" w:lineRule="auto"/>
        <w:ind w:firstLine="420" w:firstLineChars="200"/>
        <w:rPr>
          <w:rFonts w:ascii="宋体" w:hAnsi="宋体"/>
        </w:rPr>
      </w:pPr>
      <w:r>
        <w:rPr>
          <w:rFonts w:hint="eastAsia" w:ascii="宋体" w:hAnsi="宋体"/>
        </w:rPr>
        <w:t>13.1.4发包人和承包人应严格遵守《关于严格落实公路工程质量责任制的若干意见》的相关规定，认真执行工程质量责任登记制度并按要求填写工程质量责任登记表。</w:t>
      </w:r>
    </w:p>
    <w:p>
      <w:pPr>
        <w:spacing w:line="360" w:lineRule="auto"/>
        <w:ind w:firstLine="420" w:firstLineChars="200"/>
        <w:rPr>
          <w:rFonts w:ascii="宋体" w:hAnsi="宋体"/>
        </w:rPr>
      </w:pPr>
      <w:r>
        <w:rPr>
          <w:rFonts w:hint="eastAsia" w:ascii="宋体" w:hAnsi="宋体"/>
        </w:rPr>
        <w:t>13.1.5本项目严格执行质量责任追究制度。质量事故处理实行“四不放过”原则：事故原因调查不清不放过；事故责任者没有受到教育不放过；没有防范措施不放过；相关责任人没受到处理不放过。</w:t>
      </w:r>
    </w:p>
    <w:p>
      <w:pPr>
        <w:spacing w:line="360" w:lineRule="auto"/>
        <w:rPr>
          <w:rFonts w:ascii="宋体" w:hAnsi="宋体"/>
          <w:b/>
          <w:sz w:val="24"/>
          <w:szCs w:val="28"/>
        </w:rPr>
      </w:pPr>
      <w:bookmarkStart w:id="388" w:name="_Toc152042475"/>
      <w:bookmarkStart w:id="389" w:name="_Toc152045697"/>
      <w:bookmarkStart w:id="390" w:name="_Toc144974666"/>
      <w:bookmarkStart w:id="391" w:name="_Toc179632715"/>
      <w:r>
        <w:rPr>
          <w:rFonts w:hint="eastAsia" w:ascii="宋体" w:hAnsi="宋体"/>
          <w:b/>
          <w:sz w:val="24"/>
          <w:szCs w:val="28"/>
        </w:rPr>
        <w:t>13.2承包人的质量管理</w:t>
      </w:r>
      <w:bookmarkEnd w:id="388"/>
      <w:bookmarkEnd w:id="389"/>
      <w:bookmarkEnd w:id="390"/>
      <w:bookmarkEnd w:id="391"/>
    </w:p>
    <w:p>
      <w:pPr>
        <w:spacing w:line="360" w:lineRule="auto"/>
        <w:ind w:firstLine="420" w:firstLineChars="200"/>
        <w:rPr>
          <w:rFonts w:ascii="宋体" w:hAnsi="宋体"/>
        </w:rPr>
      </w:pPr>
      <w:r>
        <w:rPr>
          <w:rFonts w:hint="eastAsia" w:ascii="宋体" w:hAnsi="宋体"/>
        </w:rPr>
        <w:t>第13.2.1项补充：</w:t>
      </w:r>
    </w:p>
    <w:p>
      <w:pPr>
        <w:spacing w:line="360" w:lineRule="auto"/>
        <w:ind w:firstLine="420" w:firstLineChars="200"/>
        <w:rPr>
          <w:rFonts w:ascii="宋体" w:hAnsi="宋体"/>
        </w:rPr>
      </w:pPr>
      <w:r>
        <w:rPr>
          <w:rFonts w:hint="eastAsia" w:ascii="宋体" w:hAnsi="宋体"/>
        </w:rPr>
        <w:t>承包人提交工程质量保证措施文件的期限：签订合同协议书后28天之内。</w:t>
      </w:r>
    </w:p>
    <w:p>
      <w:pPr>
        <w:spacing w:line="360" w:lineRule="auto"/>
        <w:ind w:firstLine="420" w:firstLineChars="200"/>
        <w:rPr>
          <w:rFonts w:ascii="宋体" w:hAnsi="宋体"/>
        </w:rPr>
      </w:pPr>
      <w:r>
        <w:rPr>
          <w:rFonts w:hint="eastAsia" w:ascii="宋体" w:hAnsi="宋体"/>
        </w:rPr>
        <w:t>本款补充第13.2.3项~第13.2.10项：</w:t>
      </w:r>
    </w:p>
    <w:p>
      <w:pPr>
        <w:spacing w:line="360" w:lineRule="auto"/>
        <w:ind w:firstLine="420" w:firstLineChars="200"/>
        <w:rPr>
          <w:rFonts w:ascii="宋体" w:hAnsi="宋体"/>
        </w:rPr>
      </w:pPr>
      <w:r>
        <w:rPr>
          <w:rFonts w:hint="eastAsia" w:ascii="宋体" w:hAnsi="宋体"/>
        </w:rPr>
        <w:t>13.2.3公路工程施行质量责任终身制。承包人应当书面明确相应的项目负责人和质量负责人。承包人的相关人员按照国家法律法规和有关规定在工程合理使用年限内承担相应的质量责任。</w:t>
      </w:r>
    </w:p>
    <w:p>
      <w:pPr>
        <w:spacing w:line="360" w:lineRule="auto"/>
        <w:ind w:firstLine="420" w:firstLineChars="200"/>
        <w:rPr>
          <w:rFonts w:ascii="宋体" w:hAnsi="宋体"/>
        </w:rPr>
      </w:pPr>
      <w:r>
        <w:rPr>
          <w:rFonts w:hint="eastAsia" w:ascii="宋体" w:hAnsi="宋体"/>
        </w:rPr>
        <w:t>13.2.4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spacing w:line="360" w:lineRule="auto"/>
        <w:ind w:firstLine="420" w:firstLineChars="200"/>
        <w:rPr>
          <w:rFonts w:ascii="宋体" w:hAnsi="宋体"/>
        </w:rPr>
      </w:pPr>
      <w:r>
        <w:rPr>
          <w:rFonts w:hint="eastAsia" w:ascii="宋体" w:hAnsi="宋体"/>
        </w:rPr>
        <w:t>13.2.5承包人对工程施工质量负责，应当按合同约定设立现场质量管理机构、配备工程技术人员和质量管理人员，落实工程施工质量责任制。</w:t>
      </w:r>
    </w:p>
    <w:p>
      <w:pPr>
        <w:spacing w:line="360" w:lineRule="auto"/>
        <w:ind w:firstLine="420" w:firstLineChars="200"/>
        <w:rPr>
          <w:rFonts w:ascii="宋体" w:hAnsi="宋体"/>
        </w:rPr>
      </w:pPr>
      <w:r>
        <w:rPr>
          <w:rFonts w:hint="eastAsia" w:ascii="宋体" w:hAnsi="宋体"/>
        </w:rPr>
        <w:t>13.2.6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spacing w:line="360" w:lineRule="auto"/>
        <w:ind w:firstLine="420" w:firstLineChars="200"/>
        <w:rPr>
          <w:rFonts w:ascii="宋体" w:hAnsi="宋体"/>
        </w:rPr>
      </w:pPr>
      <w:r>
        <w:rPr>
          <w:rFonts w:hint="eastAsia" w:ascii="宋体" w:hAnsi="宋体"/>
        </w:rPr>
        <w:t>13.2.7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360" w:lineRule="auto"/>
        <w:ind w:firstLine="420" w:firstLineChars="200"/>
        <w:rPr>
          <w:rFonts w:ascii="宋体" w:hAnsi="宋体"/>
        </w:rPr>
      </w:pPr>
      <w:r>
        <w:rPr>
          <w:rFonts w:hint="eastAsia" w:ascii="宋体" w:hAnsi="宋体"/>
        </w:rPr>
        <w:t>13.2.8承包人应当按照合同约定设立工地临时实验室，配齐检测和实验仪器、仪表，及时校正确保其精确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360" w:lineRule="auto"/>
        <w:ind w:firstLine="420" w:firstLineChars="200"/>
        <w:rPr>
          <w:rFonts w:ascii="宋体" w:hAnsi="宋体"/>
        </w:rPr>
      </w:pPr>
      <w:r>
        <w:rPr>
          <w:rFonts w:hint="eastAsia" w:ascii="宋体" w:hAnsi="宋体"/>
        </w:rPr>
        <w:t>13.2.9承包人应当依法规范分包行为，并对承担的工程质量负总责，分包单位对分包合同范围内的工程质量负责。</w:t>
      </w:r>
    </w:p>
    <w:p>
      <w:pPr>
        <w:spacing w:line="360" w:lineRule="auto"/>
        <w:ind w:firstLine="420" w:firstLineChars="200"/>
        <w:rPr>
          <w:rFonts w:ascii="宋体" w:hAnsi="宋体"/>
        </w:rPr>
      </w:pPr>
      <w:r>
        <w:rPr>
          <w:rFonts w:hint="eastAsia" w:ascii="宋体" w:hAnsi="宋体"/>
        </w:rPr>
        <w:t>13.2.10承包人驻工程现场机构应在现场驻地和重要的分部、分项工程施工现场设置明显的工程质量责任登记表公示牌。</w:t>
      </w:r>
    </w:p>
    <w:p>
      <w:pPr>
        <w:spacing w:line="360" w:lineRule="auto"/>
        <w:rPr>
          <w:rFonts w:ascii="宋体" w:hAnsi="宋体"/>
          <w:b/>
          <w:sz w:val="24"/>
          <w:szCs w:val="28"/>
        </w:rPr>
      </w:pPr>
      <w:bookmarkStart w:id="392" w:name="_Toc152042477"/>
      <w:bookmarkStart w:id="393" w:name="_Toc144974668"/>
      <w:bookmarkStart w:id="394" w:name="_Toc179632717"/>
      <w:bookmarkStart w:id="395" w:name="_Toc152045699"/>
      <w:r>
        <w:rPr>
          <w:rFonts w:hint="eastAsia" w:ascii="宋体" w:hAnsi="宋体"/>
          <w:b/>
          <w:sz w:val="24"/>
          <w:szCs w:val="28"/>
        </w:rPr>
        <w:t>13.4监理人的质量检查</w:t>
      </w:r>
      <w:bookmarkEnd w:id="392"/>
      <w:bookmarkEnd w:id="393"/>
      <w:bookmarkEnd w:id="394"/>
      <w:bookmarkEnd w:id="395"/>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监理人及其委派的检验人员，应能进入工程现场，以及材料或工程设备的制造、加工或制配的车间和场所，包括不属于承包人的车间或场所进行检查，承包人应为此提供便利和协助。</w:t>
      </w:r>
    </w:p>
    <w:p>
      <w:pPr>
        <w:spacing w:line="360" w:lineRule="auto"/>
        <w:ind w:firstLine="420" w:firstLineChars="200"/>
        <w:rPr>
          <w:rFonts w:ascii="宋体" w:hAnsi="宋体"/>
        </w:rPr>
      </w:pPr>
      <w:r>
        <w:rPr>
          <w:rFonts w:hint="eastAsia" w:ascii="宋体" w:hAnsi="宋体"/>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spacing w:line="360" w:lineRule="auto"/>
        <w:rPr>
          <w:rFonts w:ascii="宋体" w:hAnsi="宋体"/>
          <w:b/>
          <w:sz w:val="24"/>
          <w:szCs w:val="28"/>
        </w:rPr>
      </w:pPr>
      <w:bookmarkStart w:id="396" w:name="_Toc152042478"/>
      <w:bookmarkStart w:id="397" w:name="_Toc152045700"/>
      <w:bookmarkStart w:id="398" w:name="_Toc144974669"/>
      <w:bookmarkStart w:id="399" w:name="_Toc179632718"/>
      <w:r>
        <w:rPr>
          <w:rFonts w:hint="eastAsia" w:ascii="宋体" w:hAnsi="宋体"/>
          <w:b/>
          <w:sz w:val="24"/>
          <w:szCs w:val="28"/>
        </w:rPr>
        <w:t>13.5工程隐蔽部位覆盖前的检查</w:t>
      </w:r>
      <w:bookmarkEnd w:id="396"/>
      <w:bookmarkEnd w:id="397"/>
      <w:bookmarkEnd w:id="398"/>
      <w:bookmarkEnd w:id="399"/>
    </w:p>
    <w:p>
      <w:pPr>
        <w:spacing w:line="360" w:lineRule="auto"/>
        <w:ind w:firstLine="420" w:firstLineChars="200"/>
        <w:rPr>
          <w:rFonts w:ascii="宋体" w:hAnsi="宋体"/>
        </w:rPr>
      </w:pPr>
      <w:r>
        <w:rPr>
          <w:rFonts w:hint="eastAsia" w:ascii="宋体" w:hAnsi="宋体"/>
        </w:rPr>
        <w:t>第13.5.1项补充：</w:t>
      </w:r>
    </w:p>
    <w:p>
      <w:pPr>
        <w:spacing w:line="360" w:lineRule="auto"/>
        <w:ind w:firstLine="420" w:firstLineChars="200"/>
        <w:rPr>
          <w:rFonts w:ascii="宋体" w:hAnsi="宋体"/>
        </w:rPr>
      </w:pPr>
      <w:r>
        <w:rPr>
          <w:rFonts w:hint="eastAsia" w:ascii="宋体" w:hAnsi="宋体"/>
        </w:rPr>
        <w:t>当监理人有指令时，承包人应对重要隐蔽工程进行拍摄或照相并应保证监理人有充分的机会对将要覆盖或掩蔽的工程进行检查和量测，特别是在基础以上的任一部分工程修筑之前，对该基础进行检查。</w:t>
      </w:r>
    </w:p>
    <w:p>
      <w:pPr>
        <w:spacing w:line="360" w:lineRule="auto"/>
        <w:rPr>
          <w:rFonts w:ascii="宋体" w:hAnsi="宋体"/>
          <w:b/>
          <w:sz w:val="24"/>
          <w:szCs w:val="28"/>
        </w:rPr>
      </w:pPr>
      <w:bookmarkStart w:id="400" w:name="_Toc152045701"/>
      <w:bookmarkStart w:id="401" w:name="_Toc179632719"/>
      <w:bookmarkStart w:id="402" w:name="_Toc152042479"/>
      <w:bookmarkStart w:id="403" w:name="_Toc144974670"/>
      <w:r>
        <w:rPr>
          <w:rFonts w:hint="eastAsia" w:ascii="宋体" w:hAnsi="宋体"/>
          <w:b/>
          <w:sz w:val="24"/>
          <w:szCs w:val="28"/>
        </w:rPr>
        <w:t>13.6清除不合格工程</w:t>
      </w:r>
      <w:bookmarkEnd w:id="400"/>
      <w:bookmarkEnd w:id="401"/>
      <w:bookmarkEnd w:id="402"/>
      <w:bookmarkEnd w:id="403"/>
    </w:p>
    <w:p>
      <w:pPr>
        <w:spacing w:line="360" w:lineRule="auto"/>
        <w:ind w:firstLine="420" w:firstLineChars="200"/>
        <w:rPr>
          <w:rFonts w:ascii="宋体" w:hAnsi="宋体"/>
        </w:rPr>
      </w:pPr>
      <w:r>
        <w:rPr>
          <w:rFonts w:hint="eastAsia" w:ascii="宋体" w:hAnsi="宋体"/>
        </w:rPr>
        <w:t>第13.6.1项细化为：</w:t>
      </w:r>
    </w:p>
    <w:p>
      <w:pPr>
        <w:spacing w:line="360" w:lineRule="auto"/>
        <w:ind w:firstLine="420" w:firstLineChars="200"/>
        <w:rPr>
          <w:rFonts w:ascii="宋体" w:hAnsi="宋体"/>
        </w:rPr>
      </w:pPr>
      <w:r>
        <w:rPr>
          <w:rFonts w:hint="eastAsia" w:ascii="宋体" w:hAnsi="宋体"/>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auto"/>
        <w:ind w:firstLine="420" w:firstLineChars="200"/>
        <w:rPr>
          <w:rFonts w:ascii="宋体" w:hAnsi="宋体"/>
        </w:rPr>
      </w:pPr>
      <w:r>
        <w:rPr>
          <w:rFonts w:hint="eastAsia" w:ascii="宋体" w:hAnsi="宋体"/>
        </w:rPr>
        <w:t>(2)如果承包人未在规定时间内执行监理人的指示，发包人有权雇用他人执行，由此增加的费用和(或)工期延误由承包人承担。</w:t>
      </w:r>
    </w:p>
    <w:p>
      <w:pPr>
        <w:spacing w:line="360" w:lineRule="auto"/>
        <w:rPr>
          <w:rFonts w:ascii="宋体" w:hAnsi="宋体"/>
          <w:b/>
          <w:sz w:val="28"/>
          <w:szCs w:val="30"/>
        </w:rPr>
      </w:pPr>
      <w:bookmarkStart w:id="404" w:name="_Toc152042480"/>
      <w:bookmarkStart w:id="405" w:name="_Toc144974671"/>
      <w:bookmarkStart w:id="406" w:name="_Toc179632720"/>
      <w:bookmarkStart w:id="407" w:name="_Toc152045702"/>
      <w:r>
        <w:rPr>
          <w:rFonts w:hint="eastAsia" w:ascii="宋体" w:hAnsi="宋体"/>
          <w:b/>
          <w:sz w:val="28"/>
          <w:szCs w:val="30"/>
        </w:rPr>
        <w:t>14.试验和检验</w:t>
      </w:r>
      <w:bookmarkEnd w:id="404"/>
      <w:bookmarkEnd w:id="405"/>
      <w:bookmarkEnd w:id="406"/>
      <w:bookmarkEnd w:id="407"/>
    </w:p>
    <w:p>
      <w:pPr>
        <w:spacing w:line="360" w:lineRule="auto"/>
        <w:rPr>
          <w:rFonts w:ascii="宋体" w:hAnsi="宋体"/>
        </w:rPr>
      </w:pPr>
      <w:r>
        <w:rPr>
          <w:rFonts w:hint="eastAsia" w:ascii="宋体" w:hAnsi="宋体"/>
        </w:rPr>
        <w:t>本条补充第14.4款：</w:t>
      </w:r>
    </w:p>
    <w:p>
      <w:pPr>
        <w:spacing w:line="360" w:lineRule="auto"/>
        <w:rPr>
          <w:rFonts w:ascii="宋体" w:hAnsi="宋体"/>
          <w:b/>
          <w:sz w:val="24"/>
          <w:szCs w:val="28"/>
        </w:rPr>
      </w:pPr>
      <w:r>
        <w:rPr>
          <w:rFonts w:hint="eastAsia" w:ascii="宋体" w:hAnsi="宋体"/>
          <w:b/>
          <w:sz w:val="24"/>
          <w:szCs w:val="28"/>
        </w:rPr>
        <w:t>14.4试验和检验费用</w:t>
      </w:r>
    </w:p>
    <w:p>
      <w:pPr>
        <w:spacing w:line="360" w:lineRule="auto"/>
        <w:ind w:firstLine="420" w:firstLineChars="200"/>
        <w:rPr>
          <w:rFonts w:ascii="宋体" w:hAnsi="宋体"/>
        </w:rPr>
      </w:pPr>
      <w:r>
        <w:rPr>
          <w:rFonts w:hint="eastAsia" w:ascii="宋体" w:hAnsi="宋体"/>
        </w:rPr>
        <w:t>(1)承包人应负责提供合同和技术规范规定的试验和检验所需的全部样品，并承担其费用。</w:t>
      </w:r>
    </w:p>
    <w:p>
      <w:pPr>
        <w:spacing w:line="360" w:lineRule="auto"/>
        <w:ind w:firstLine="420" w:firstLineChars="200"/>
        <w:rPr>
          <w:rFonts w:ascii="宋体" w:hAnsi="宋体"/>
        </w:rPr>
      </w:pPr>
      <w:r>
        <w:rPr>
          <w:rFonts w:hint="eastAsia" w:ascii="宋体" w:hAnsi="宋体"/>
        </w:rPr>
        <w:t>(2)在合同中明确规定的试验和检验，包括无须在工程量清单中单独列项和已在工程量清单中单独列项的试验和检验，其试验和检验的费用由承包人负担。</w:t>
      </w:r>
    </w:p>
    <w:p>
      <w:pPr>
        <w:spacing w:line="360" w:lineRule="auto"/>
        <w:ind w:firstLine="420" w:firstLineChars="200"/>
        <w:rPr>
          <w:rFonts w:ascii="宋体" w:hAnsi="宋体"/>
        </w:rPr>
      </w:pPr>
      <w:r>
        <w:rPr>
          <w:rFonts w:hint="eastAsia" w:ascii="宋体" w:hAnsi="宋体"/>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spacing w:line="360" w:lineRule="auto"/>
        <w:rPr>
          <w:rFonts w:ascii="宋体" w:hAnsi="宋体"/>
          <w:b/>
          <w:sz w:val="28"/>
          <w:szCs w:val="30"/>
        </w:rPr>
      </w:pPr>
      <w:bookmarkStart w:id="408" w:name="_Toc152042484"/>
      <w:bookmarkStart w:id="409" w:name="_Toc152045706"/>
      <w:bookmarkStart w:id="410" w:name="_Toc179632724"/>
      <w:bookmarkStart w:id="411" w:name="_Toc144974675"/>
      <w:r>
        <w:rPr>
          <w:rFonts w:hint="eastAsia" w:ascii="宋体" w:hAnsi="宋体"/>
          <w:b/>
          <w:sz w:val="28"/>
          <w:szCs w:val="30"/>
        </w:rPr>
        <w:t>15.变更</w:t>
      </w:r>
      <w:bookmarkEnd w:id="408"/>
      <w:bookmarkEnd w:id="409"/>
      <w:bookmarkEnd w:id="410"/>
      <w:bookmarkEnd w:id="411"/>
    </w:p>
    <w:p>
      <w:pPr>
        <w:spacing w:line="360" w:lineRule="auto"/>
        <w:rPr>
          <w:rFonts w:ascii="宋体" w:hAnsi="宋体"/>
          <w:b/>
          <w:sz w:val="24"/>
          <w:szCs w:val="28"/>
        </w:rPr>
      </w:pPr>
      <w:bookmarkStart w:id="412" w:name="_Toc152045707"/>
      <w:bookmarkStart w:id="413" w:name="_Toc179632725"/>
      <w:bookmarkStart w:id="414" w:name="_Toc152042485"/>
      <w:bookmarkStart w:id="415" w:name="_Toc144974676"/>
      <w:r>
        <w:rPr>
          <w:rFonts w:hint="eastAsia" w:ascii="宋体" w:hAnsi="宋体"/>
          <w:b/>
          <w:sz w:val="24"/>
          <w:szCs w:val="28"/>
        </w:rPr>
        <w:t>15.1变更的范围和内容</w:t>
      </w:r>
      <w:bookmarkEnd w:id="412"/>
      <w:bookmarkEnd w:id="413"/>
      <w:bookmarkEnd w:id="414"/>
      <w:bookmarkEnd w:id="415"/>
    </w:p>
    <w:p>
      <w:pPr>
        <w:spacing w:line="360" w:lineRule="auto"/>
        <w:ind w:firstLine="420" w:firstLineChars="200"/>
        <w:rPr>
          <w:rFonts w:ascii="宋体" w:hAnsi="宋体"/>
        </w:rPr>
      </w:pPr>
      <w:r>
        <w:rPr>
          <w:rFonts w:hint="eastAsia" w:ascii="宋体" w:hAnsi="宋体"/>
        </w:rPr>
        <w:t>本款第（1）项细化为：</w:t>
      </w:r>
    </w:p>
    <w:p>
      <w:pPr>
        <w:spacing w:line="360" w:lineRule="auto"/>
        <w:ind w:firstLine="420" w:firstLineChars="200"/>
        <w:rPr>
          <w:rFonts w:ascii="宋体" w:hAnsi="宋体"/>
        </w:rPr>
      </w:pPr>
      <w:r>
        <w:rPr>
          <w:rFonts w:hint="eastAsia" w:ascii="宋体" w:hAnsi="宋体"/>
        </w:rPr>
        <w:t>（1）取消合同中任何一项工作，但被取消的工作不能转由发包人或其他人实施，由于承包人违约造成的情况除外；</w:t>
      </w:r>
    </w:p>
    <w:p>
      <w:pPr>
        <w:spacing w:line="360" w:lineRule="auto"/>
        <w:rPr>
          <w:rFonts w:ascii="宋体" w:hAnsi="宋体"/>
          <w:b/>
          <w:sz w:val="24"/>
          <w:szCs w:val="28"/>
        </w:rPr>
      </w:pPr>
      <w:bookmarkStart w:id="416" w:name="_Toc152042487"/>
      <w:bookmarkStart w:id="417" w:name="_Toc179632727"/>
      <w:bookmarkStart w:id="418" w:name="_Toc152045709"/>
      <w:bookmarkStart w:id="419" w:name="_Toc144974678"/>
      <w:r>
        <w:rPr>
          <w:rFonts w:hint="eastAsia" w:ascii="宋体" w:hAnsi="宋体"/>
          <w:b/>
          <w:sz w:val="24"/>
          <w:szCs w:val="28"/>
        </w:rPr>
        <w:t>15.3变更程序</w:t>
      </w:r>
      <w:bookmarkEnd w:id="416"/>
      <w:bookmarkEnd w:id="417"/>
      <w:bookmarkEnd w:id="418"/>
      <w:bookmarkEnd w:id="419"/>
    </w:p>
    <w:p>
      <w:pPr>
        <w:spacing w:line="360" w:lineRule="auto"/>
        <w:ind w:firstLine="420" w:firstLineChars="200"/>
        <w:rPr>
          <w:rFonts w:ascii="宋体" w:hAnsi="宋体"/>
        </w:rPr>
      </w:pPr>
      <w:r>
        <w:rPr>
          <w:rFonts w:hint="eastAsia" w:ascii="宋体" w:hAnsi="宋体"/>
        </w:rPr>
        <w:t>本款补充第15.3.4项：</w:t>
      </w:r>
    </w:p>
    <w:p>
      <w:pPr>
        <w:spacing w:line="360" w:lineRule="auto"/>
        <w:ind w:firstLine="420" w:firstLineChars="200"/>
        <w:rPr>
          <w:rFonts w:ascii="宋体" w:hAnsi="宋体"/>
        </w:rPr>
      </w:pPr>
      <w:r>
        <w:rPr>
          <w:rFonts w:hint="eastAsia" w:ascii="宋体" w:hAnsi="宋体"/>
        </w:rPr>
        <w:t>15.3.4设计变更程序应执行《公路工程设计变更管理办法》的相关规定。</w:t>
      </w:r>
    </w:p>
    <w:p>
      <w:pPr>
        <w:spacing w:line="360" w:lineRule="auto"/>
        <w:rPr>
          <w:rFonts w:ascii="宋体" w:hAnsi="宋体"/>
          <w:b/>
          <w:sz w:val="24"/>
          <w:szCs w:val="28"/>
        </w:rPr>
      </w:pPr>
      <w:bookmarkStart w:id="420" w:name="_Toc152042488"/>
      <w:bookmarkStart w:id="421" w:name="_Toc152045710"/>
      <w:bookmarkStart w:id="422" w:name="_Toc144974679"/>
      <w:bookmarkStart w:id="423" w:name="_Toc179632728"/>
      <w:r>
        <w:rPr>
          <w:rFonts w:hint="eastAsia" w:ascii="宋体" w:hAnsi="宋体"/>
          <w:b/>
          <w:sz w:val="24"/>
          <w:szCs w:val="28"/>
        </w:rPr>
        <w:t>15.4变更的估价原则</w:t>
      </w:r>
      <w:bookmarkEnd w:id="420"/>
      <w:bookmarkEnd w:id="421"/>
      <w:bookmarkEnd w:id="422"/>
      <w:bookmarkEnd w:id="423"/>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除项目专用合同条款另有约定外，因变更引起的价格调整按照本款约定处理。</w:t>
      </w:r>
    </w:p>
    <w:p>
      <w:pPr>
        <w:spacing w:line="360" w:lineRule="auto"/>
        <w:ind w:firstLine="420" w:firstLineChars="200"/>
        <w:rPr>
          <w:rFonts w:ascii="宋体" w:hAnsi="宋体"/>
        </w:rPr>
      </w:pPr>
      <w:r>
        <w:rPr>
          <w:rFonts w:hint="eastAsia" w:ascii="宋体" w:hAnsi="宋体"/>
        </w:rPr>
        <w:t>15.4.1如果取消某项工作，则该项工作的总额价不予支付；</w:t>
      </w:r>
    </w:p>
    <w:p>
      <w:pPr>
        <w:spacing w:line="360" w:lineRule="auto"/>
        <w:ind w:firstLine="420" w:firstLineChars="200"/>
        <w:rPr>
          <w:rFonts w:ascii="宋体" w:hAnsi="宋体"/>
        </w:rPr>
      </w:pPr>
      <w:r>
        <w:rPr>
          <w:rFonts w:hint="eastAsia" w:ascii="宋体" w:hAnsi="宋体"/>
        </w:rPr>
        <w:t>15.4.2已标价工程量清单中有适用于变更工作的子目的，采用该子目的单价。</w:t>
      </w:r>
    </w:p>
    <w:p>
      <w:pPr>
        <w:spacing w:line="360" w:lineRule="auto"/>
        <w:ind w:firstLine="420" w:firstLineChars="200"/>
        <w:rPr>
          <w:rFonts w:ascii="宋体" w:hAnsi="宋体"/>
        </w:rPr>
      </w:pPr>
      <w:r>
        <w:rPr>
          <w:rFonts w:hint="eastAsia" w:ascii="宋体" w:hAnsi="宋体"/>
        </w:rPr>
        <w:t>15.4.3已标价工程量清单中无适用于变更工作的子目，但有类似子目的，可在合理范围内参照类似子目的单价，由监理人按第3.5款商定或确定变更工作的单价。</w:t>
      </w:r>
    </w:p>
    <w:p>
      <w:pPr>
        <w:spacing w:line="360" w:lineRule="auto"/>
        <w:ind w:firstLine="420" w:firstLineChars="200"/>
        <w:rPr>
          <w:rFonts w:ascii="宋体" w:hAnsi="宋体"/>
        </w:rPr>
      </w:pPr>
      <w:r>
        <w:rPr>
          <w:rFonts w:hint="eastAsia" w:ascii="宋体" w:hAnsi="宋体"/>
        </w:rPr>
        <w:t>15.4.4已标价工程量清单中无适用或类似子目的单价，可在综合考虑承包人在投标时所提供的单价分析表的基础上，由监理人按第3.5款商定或确定变更工作的单价。</w:t>
      </w:r>
    </w:p>
    <w:p>
      <w:pPr>
        <w:spacing w:line="360" w:lineRule="auto"/>
        <w:ind w:firstLine="420" w:firstLineChars="200"/>
        <w:rPr>
          <w:rFonts w:ascii="宋体" w:hAnsi="宋体"/>
        </w:rPr>
      </w:pPr>
      <w:r>
        <w:rPr>
          <w:rFonts w:hint="eastAsia" w:ascii="宋体" w:hAnsi="宋体"/>
        </w:rPr>
        <w:t>15.4.5如果本工程的变更指示是因承包人过错、承包人违反合同或承包人责任造成的，则这种违约引起的任何额外费用应由承包人承担。</w:t>
      </w:r>
    </w:p>
    <w:p>
      <w:pPr>
        <w:spacing w:line="360" w:lineRule="auto"/>
        <w:rPr>
          <w:rFonts w:ascii="宋体" w:hAnsi="宋体"/>
          <w:b/>
          <w:sz w:val="24"/>
          <w:szCs w:val="28"/>
        </w:rPr>
      </w:pPr>
      <w:bookmarkStart w:id="424" w:name="_Toc152042489"/>
      <w:bookmarkStart w:id="425" w:name="_Toc152045711"/>
      <w:bookmarkStart w:id="426" w:name="_Toc179632729"/>
      <w:bookmarkStart w:id="427" w:name="_Toc144974680"/>
      <w:r>
        <w:rPr>
          <w:rFonts w:hint="eastAsia" w:ascii="宋体" w:hAnsi="宋体"/>
          <w:b/>
          <w:sz w:val="24"/>
          <w:szCs w:val="28"/>
        </w:rPr>
        <w:t>15.5承包人的合理化建议</w:t>
      </w:r>
      <w:bookmarkEnd w:id="424"/>
      <w:bookmarkEnd w:id="425"/>
      <w:bookmarkEnd w:id="426"/>
      <w:bookmarkEnd w:id="427"/>
    </w:p>
    <w:p>
      <w:pPr>
        <w:spacing w:line="360" w:lineRule="auto"/>
        <w:ind w:firstLine="420" w:firstLineChars="200"/>
        <w:rPr>
          <w:rFonts w:ascii="宋体" w:hAnsi="宋体"/>
        </w:rPr>
      </w:pPr>
      <w:r>
        <w:rPr>
          <w:rFonts w:hint="eastAsia" w:ascii="宋体" w:hAnsi="宋体"/>
        </w:rPr>
        <w:t>第15.5.2项约定为：</w:t>
      </w:r>
    </w:p>
    <w:p>
      <w:pPr>
        <w:spacing w:line="360" w:lineRule="auto"/>
        <w:ind w:firstLine="420" w:firstLineChars="200"/>
        <w:rPr>
          <w:rFonts w:ascii="宋体" w:hAnsi="宋体"/>
        </w:rPr>
      </w:pPr>
      <w:r>
        <w:rPr>
          <w:rFonts w:hint="eastAsia" w:ascii="宋体" w:hAnsi="宋体"/>
        </w:rPr>
        <w:t>承包人提出的合理化建议缩短了工期，发包人按第11.6款的规定给予奖励。</w:t>
      </w:r>
    </w:p>
    <w:p>
      <w:pPr>
        <w:spacing w:line="360" w:lineRule="auto"/>
        <w:ind w:firstLine="420" w:firstLineChars="200"/>
        <w:rPr>
          <w:rFonts w:ascii="宋体" w:hAnsi="宋体"/>
        </w:rPr>
      </w:pPr>
      <w:r>
        <w:rPr>
          <w:rFonts w:hint="eastAsia" w:ascii="宋体" w:hAnsi="宋体"/>
        </w:rPr>
        <w:t>承包人提出的合理化建议降低了合同价格或者提高了工程经济效益的，发包人按项目专用合同条款数据表中规定的金额给予奖励。</w:t>
      </w:r>
    </w:p>
    <w:p>
      <w:pPr>
        <w:spacing w:line="360" w:lineRule="auto"/>
        <w:rPr>
          <w:rFonts w:ascii="宋体" w:hAnsi="宋体"/>
          <w:b/>
          <w:sz w:val="24"/>
          <w:szCs w:val="28"/>
        </w:rPr>
      </w:pPr>
      <w:bookmarkStart w:id="428" w:name="_Toc144974681"/>
      <w:bookmarkStart w:id="429" w:name="_Toc179632730"/>
      <w:bookmarkStart w:id="430" w:name="_Toc152045712"/>
      <w:bookmarkStart w:id="431" w:name="_Toc152042490"/>
      <w:r>
        <w:rPr>
          <w:rFonts w:hint="eastAsia" w:ascii="宋体" w:hAnsi="宋体"/>
          <w:b/>
          <w:sz w:val="24"/>
          <w:szCs w:val="28"/>
        </w:rPr>
        <w:t>15.6暂列金额</w:t>
      </w:r>
      <w:bookmarkEnd w:id="428"/>
      <w:bookmarkEnd w:id="429"/>
      <w:bookmarkEnd w:id="430"/>
      <w:bookmarkEnd w:id="431"/>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15.6.1暂列金额应由监理人报发包人批准后指令全部或部分地使用，或者根本不予动用。</w:t>
      </w:r>
    </w:p>
    <w:p>
      <w:pPr>
        <w:spacing w:line="360" w:lineRule="auto"/>
        <w:ind w:firstLine="420" w:firstLineChars="200"/>
        <w:rPr>
          <w:rFonts w:ascii="宋体" w:hAnsi="宋体"/>
        </w:rPr>
      </w:pPr>
      <w:r>
        <w:rPr>
          <w:rFonts w:hint="eastAsia" w:ascii="宋体" w:hAnsi="宋体"/>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auto"/>
        <w:ind w:firstLine="420" w:firstLineChars="200"/>
        <w:rPr>
          <w:rFonts w:ascii="宋体" w:hAnsi="宋体"/>
        </w:rPr>
      </w:pPr>
      <w:r>
        <w:rPr>
          <w:rFonts w:hint="eastAsia" w:ascii="宋体" w:hAnsi="宋体"/>
        </w:rPr>
        <w:t>15.6.3当监理人提出要求时，承包人应提供有关暂列金额支出的所有报价单、发票、凭证和账单或收据，除非该工作是根据已标价工程量清单列明的单价或总额价进行的估价。</w:t>
      </w:r>
    </w:p>
    <w:p>
      <w:pPr>
        <w:spacing w:line="360" w:lineRule="auto"/>
        <w:rPr>
          <w:rFonts w:ascii="宋体" w:hAnsi="宋体"/>
          <w:b/>
          <w:sz w:val="28"/>
          <w:szCs w:val="30"/>
        </w:rPr>
      </w:pPr>
      <w:bookmarkStart w:id="432" w:name="_Toc152045715"/>
      <w:bookmarkStart w:id="433" w:name="_Toc152042493"/>
      <w:bookmarkStart w:id="434" w:name="_Toc179632733"/>
      <w:bookmarkStart w:id="435" w:name="_Toc144974684"/>
      <w:r>
        <w:rPr>
          <w:rFonts w:hint="eastAsia" w:ascii="宋体" w:hAnsi="宋体"/>
          <w:b/>
          <w:sz w:val="28"/>
          <w:szCs w:val="30"/>
        </w:rPr>
        <w:t>16.价格调整</w:t>
      </w:r>
      <w:bookmarkEnd w:id="432"/>
      <w:bookmarkEnd w:id="433"/>
      <w:bookmarkEnd w:id="434"/>
      <w:bookmarkEnd w:id="435"/>
    </w:p>
    <w:p>
      <w:pPr>
        <w:spacing w:line="360" w:lineRule="auto"/>
        <w:rPr>
          <w:rFonts w:ascii="宋体" w:hAnsi="宋体"/>
          <w:b/>
          <w:sz w:val="24"/>
          <w:szCs w:val="28"/>
        </w:rPr>
      </w:pPr>
      <w:bookmarkStart w:id="436" w:name="_Toc152042494"/>
      <w:bookmarkStart w:id="437" w:name="_Toc144974685"/>
      <w:bookmarkStart w:id="438" w:name="_Toc179632734"/>
      <w:bookmarkStart w:id="439" w:name="_Toc152045716"/>
      <w:r>
        <w:rPr>
          <w:rFonts w:hint="eastAsia" w:ascii="宋体" w:hAnsi="宋体"/>
          <w:b/>
          <w:sz w:val="24"/>
          <w:szCs w:val="28"/>
        </w:rPr>
        <w:t>16.1物价波动引起的价格调整</w:t>
      </w:r>
      <w:bookmarkEnd w:id="436"/>
      <w:bookmarkEnd w:id="437"/>
      <w:bookmarkEnd w:id="438"/>
      <w:bookmarkEnd w:id="439"/>
    </w:p>
    <w:p>
      <w:pPr>
        <w:spacing w:line="360" w:lineRule="auto"/>
        <w:ind w:firstLine="420" w:firstLineChars="200"/>
        <w:rPr>
          <w:rFonts w:ascii="宋体" w:hAnsi="宋体"/>
        </w:rPr>
      </w:pPr>
      <w:bookmarkStart w:id="440" w:name="_Toc152045718"/>
      <w:bookmarkStart w:id="441" w:name="_Toc144974689"/>
      <w:bookmarkStart w:id="442" w:name="_Toc179632736"/>
      <w:bookmarkStart w:id="443" w:name="_Toc152042497"/>
      <w:r>
        <w:rPr>
          <w:rFonts w:hint="eastAsia" w:ascii="宋体" w:hAnsi="宋体"/>
        </w:rPr>
        <w:t>双方同意对建设期内主要材料价差进行调整。除非国家另有新的物价调整规定，在合同工期内根据价格波动水平，对钢材、钢绞线、水泥、沥青、柴油、地材等主要材料价格进行调整。调整按照以下原则处理：</w:t>
      </w:r>
      <w:r>
        <w:rPr>
          <w:rFonts w:hint="eastAsia" w:ascii="宋体" w:hAnsi="宋体"/>
        </w:rPr>
        <w:br w:type="textWrapping"/>
      </w:r>
      <w:r>
        <w:rPr>
          <w:rFonts w:hint="eastAsia" w:ascii="宋体" w:hAnsi="宋体"/>
          <w:highlight w:val="none"/>
        </w:rPr>
        <w:t xml:space="preserve">    ①材料价差（预算价格与当期造价信息的价格之间的差）调整以月为单位。</w:t>
      </w:r>
      <w:r>
        <w:rPr>
          <w:rFonts w:hint="eastAsia" w:ascii="宋体" w:hAnsi="宋体"/>
        </w:rPr>
        <w:br w:type="textWrapping"/>
      </w:r>
      <w:r>
        <w:rPr>
          <w:rFonts w:hint="eastAsia" w:ascii="宋体" w:hAnsi="宋体"/>
        </w:rPr>
        <w:t xml:space="preserve">    ②材料单价：钢材、钢绞线、水泥、地材（石灰、砂、碎石、片石、石渣、石屑）以《天津市政公路工程造价信息》最新发布的信息指导价为依据，信息指导价中缺少的材料价格，可由甲乙双方确认的市场价为依据。且以编制施工图预算采用的材料单价为基期单价(N0)，对施工期内的材料以每个调价周期内单价(Ni)与基期单价(N0)比较，当钢材、钢绞线、水泥、沥青、柴油、地材的价格涨落幅度(S)超过5％时对该材料进行价格调整。即：S=|1-Ni/N0|*100%。</w:t>
      </w:r>
      <w:r>
        <w:rPr>
          <w:rFonts w:hint="eastAsia" w:ascii="宋体" w:hAnsi="宋体"/>
        </w:rPr>
        <w:br w:type="textWrapping"/>
      </w:r>
      <w:r>
        <w:rPr>
          <w:rFonts w:hint="eastAsia" w:ascii="宋体" w:hAnsi="宋体"/>
        </w:rPr>
        <w:t xml:space="preserve">    ③调整按照以下公式计算：材料价差调整额P等于调价周期内该材料消耗数量w乘以周期内该材料的调整价差I。</w:t>
      </w:r>
      <w:r>
        <w:rPr>
          <w:rFonts w:hint="eastAsia" w:ascii="宋体" w:hAnsi="宋体"/>
        </w:rPr>
        <w:br w:type="textWrapping"/>
      </w:r>
      <w:r>
        <w:rPr>
          <w:rFonts w:hint="eastAsia" w:ascii="宋体" w:hAnsi="宋体"/>
        </w:rPr>
        <w:t xml:space="preserve">    P=W×I×（1+增值税税率）,当材料价格涨幅超过规定值时，P为正值，当材料价格下降超过规定值时，P为负值。</w:t>
      </w:r>
      <w:r>
        <w:rPr>
          <w:rFonts w:hint="eastAsia" w:ascii="宋体" w:hAnsi="宋体"/>
        </w:rPr>
        <w:br w:type="textWrapping"/>
      </w:r>
      <w:r>
        <w:rPr>
          <w:rFonts w:hint="eastAsia" w:ascii="宋体" w:hAnsi="宋体"/>
        </w:rPr>
        <w:t xml:space="preserve">    ④材料消耗数量W计算</w:t>
      </w:r>
      <w:r>
        <w:rPr>
          <w:rFonts w:hint="eastAsia" w:ascii="宋体" w:hAnsi="宋体"/>
        </w:rPr>
        <w:br w:type="textWrapping"/>
      </w:r>
      <w:r>
        <w:rPr>
          <w:rFonts w:hint="eastAsia" w:ascii="宋体" w:hAnsi="宋体"/>
        </w:rPr>
        <w:t xml:space="preserve">    钢材、钢绞线、水泥、沥青、柴油、地材按当月实际完成的单项工程消耗数量计算（依据监理人审核批准的实际完成工程数量和配合比计算确定，消耗数量计算按照本单项工程招标文件规定计算）。</w:t>
      </w:r>
      <w:r>
        <w:rPr>
          <w:rFonts w:hint="eastAsia" w:ascii="宋体" w:hAnsi="宋体"/>
        </w:rPr>
        <w:br w:type="textWrapping"/>
      </w:r>
      <w:r>
        <w:rPr>
          <w:rFonts w:hint="eastAsia" w:ascii="宋体" w:hAnsi="宋体"/>
        </w:rPr>
        <w:t xml:space="preserve">    ⑤调整价差I的计算。</w:t>
      </w:r>
      <w:r>
        <w:rPr>
          <w:rFonts w:hint="eastAsia" w:ascii="宋体" w:hAnsi="宋体"/>
        </w:rPr>
        <w:br w:type="textWrapping"/>
      </w:r>
      <w:r>
        <w:rPr>
          <w:rFonts w:hint="eastAsia" w:ascii="宋体" w:hAnsi="宋体"/>
        </w:rPr>
        <w:t xml:space="preserve">    价格增长幅度超过5％时，I＝Ni－1.05*N0。</w:t>
      </w:r>
      <w:r>
        <w:rPr>
          <w:rFonts w:hint="eastAsia" w:ascii="宋体" w:hAnsi="宋体"/>
        </w:rPr>
        <w:br w:type="textWrapping"/>
      </w:r>
      <w:r>
        <w:rPr>
          <w:rFonts w:hint="eastAsia" w:ascii="宋体" w:hAnsi="宋体"/>
        </w:rPr>
        <w:t xml:space="preserve">    价格下降幅度超过5％时，I＝0.95*N0－Ni。</w:t>
      </w:r>
    </w:p>
    <w:p>
      <w:pPr>
        <w:spacing w:line="360" w:lineRule="auto"/>
        <w:rPr>
          <w:rFonts w:ascii="宋体" w:hAnsi="宋体"/>
          <w:b/>
          <w:sz w:val="28"/>
          <w:szCs w:val="30"/>
        </w:rPr>
      </w:pPr>
      <w:r>
        <w:rPr>
          <w:rFonts w:hint="eastAsia" w:ascii="宋体" w:hAnsi="宋体"/>
          <w:b/>
          <w:sz w:val="28"/>
          <w:szCs w:val="30"/>
        </w:rPr>
        <w:t>17.计量与支付</w:t>
      </w:r>
      <w:bookmarkEnd w:id="440"/>
      <w:bookmarkEnd w:id="441"/>
      <w:bookmarkEnd w:id="442"/>
      <w:bookmarkEnd w:id="443"/>
    </w:p>
    <w:p>
      <w:pPr>
        <w:spacing w:line="360" w:lineRule="auto"/>
        <w:rPr>
          <w:rFonts w:ascii="宋体" w:hAnsi="宋体"/>
          <w:b/>
          <w:sz w:val="24"/>
          <w:szCs w:val="28"/>
        </w:rPr>
      </w:pPr>
      <w:bookmarkStart w:id="444" w:name="_Toc152045719"/>
      <w:bookmarkStart w:id="445" w:name="_Toc152042498"/>
      <w:bookmarkStart w:id="446" w:name="_Toc179632737"/>
      <w:bookmarkStart w:id="447" w:name="_Toc144974690"/>
      <w:r>
        <w:rPr>
          <w:rFonts w:hint="eastAsia" w:ascii="宋体" w:hAnsi="宋体"/>
          <w:b/>
          <w:sz w:val="24"/>
          <w:szCs w:val="28"/>
        </w:rPr>
        <w:t>17.1计量</w:t>
      </w:r>
      <w:bookmarkEnd w:id="444"/>
      <w:bookmarkEnd w:id="445"/>
      <w:bookmarkEnd w:id="446"/>
      <w:bookmarkEnd w:id="447"/>
    </w:p>
    <w:p>
      <w:pPr>
        <w:spacing w:line="360" w:lineRule="auto"/>
        <w:ind w:firstLine="422" w:firstLineChars="200"/>
        <w:rPr>
          <w:rFonts w:ascii="宋体" w:hAnsi="宋体"/>
          <w:b/>
        </w:rPr>
      </w:pPr>
      <w:r>
        <w:rPr>
          <w:rFonts w:hint="eastAsia" w:ascii="宋体" w:hAnsi="宋体"/>
          <w:b/>
        </w:rPr>
        <w:t>17.1.2计量方法</w:t>
      </w:r>
    </w:p>
    <w:p>
      <w:pPr>
        <w:spacing w:line="360" w:lineRule="auto"/>
        <w:ind w:firstLine="420" w:firstLineChars="200"/>
        <w:rPr>
          <w:rFonts w:ascii="宋体" w:hAnsi="宋体"/>
        </w:rPr>
      </w:pPr>
      <w:r>
        <w:rPr>
          <w:rFonts w:hint="eastAsia" w:ascii="宋体" w:hAnsi="宋体"/>
        </w:rPr>
        <w:t>工程的计量应以净值为准，除非项目专用合同条款另有约定。工程量清单中各个子目的具体计量方法按本合同文件工程量清单计量规则中的规定执行。</w:t>
      </w:r>
    </w:p>
    <w:p>
      <w:pPr>
        <w:spacing w:line="360" w:lineRule="auto"/>
        <w:ind w:firstLine="422" w:firstLineChars="200"/>
        <w:rPr>
          <w:rFonts w:ascii="宋体" w:hAnsi="宋体"/>
          <w:b/>
        </w:rPr>
      </w:pPr>
      <w:r>
        <w:rPr>
          <w:rFonts w:hint="eastAsia" w:ascii="宋体" w:hAnsi="宋体"/>
          <w:b/>
        </w:rPr>
        <w:t>17.1.4单价子目的计量</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(7)承包人未在已标价工程量清单中填入单价或总额价的工程子目，将被认为其已包含在本合同的其他子目的单价和总额价中，发包人将不另行支付。</w:t>
      </w:r>
    </w:p>
    <w:p>
      <w:pPr>
        <w:spacing w:line="360" w:lineRule="auto"/>
        <w:ind w:firstLine="422" w:firstLineChars="200"/>
        <w:rPr>
          <w:rFonts w:ascii="宋体" w:hAnsi="宋体"/>
          <w:b/>
        </w:rPr>
      </w:pPr>
      <w:r>
        <w:rPr>
          <w:rFonts w:hint="eastAsia" w:ascii="宋体" w:hAnsi="宋体"/>
          <w:b/>
        </w:rPr>
        <w:t>17.1.5总价子目的计量</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本项目工程量清单中要求承包人以“总额”方式报价的子目，各子目的支付原则和支付进度按项目专用合同条款的规定执行。</w:t>
      </w:r>
    </w:p>
    <w:p>
      <w:pPr>
        <w:spacing w:line="360" w:lineRule="auto"/>
        <w:rPr>
          <w:rFonts w:ascii="宋体" w:hAnsi="宋体"/>
          <w:b/>
          <w:sz w:val="24"/>
          <w:szCs w:val="28"/>
        </w:rPr>
      </w:pPr>
      <w:bookmarkStart w:id="448" w:name="_Toc152045720"/>
      <w:bookmarkStart w:id="449" w:name="_Toc179632738"/>
      <w:bookmarkStart w:id="450" w:name="_Toc152042499"/>
      <w:bookmarkStart w:id="451" w:name="_Toc144974691"/>
      <w:r>
        <w:rPr>
          <w:rFonts w:hint="eastAsia" w:ascii="宋体" w:hAnsi="宋体"/>
          <w:b/>
          <w:sz w:val="24"/>
          <w:szCs w:val="28"/>
        </w:rPr>
        <w:t>17.2预付款</w:t>
      </w:r>
      <w:bookmarkEnd w:id="448"/>
      <w:bookmarkEnd w:id="449"/>
      <w:bookmarkEnd w:id="450"/>
      <w:bookmarkEnd w:id="451"/>
    </w:p>
    <w:p>
      <w:pPr>
        <w:spacing w:line="360" w:lineRule="auto"/>
        <w:ind w:firstLine="422" w:firstLineChars="200"/>
        <w:rPr>
          <w:rFonts w:ascii="宋体" w:hAnsi="宋体"/>
          <w:b/>
        </w:rPr>
      </w:pPr>
      <w:r>
        <w:rPr>
          <w:rFonts w:hint="eastAsia" w:ascii="宋体" w:hAnsi="宋体"/>
          <w:b/>
        </w:rPr>
        <w:t>17.2.1预付款</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预付款包括开工预付款和材料、设备预付款。具体额度和预付办法如下：</w:t>
      </w:r>
    </w:p>
    <w:p>
      <w:pPr>
        <w:spacing w:line="360" w:lineRule="auto"/>
        <w:ind w:firstLine="420" w:firstLineChars="200"/>
        <w:rPr>
          <w:rFonts w:ascii="宋体" w:hAnsi="宋体"/>
        </w:rPr>
      </w:pPr>
      <w:r>
        <w:rPr>
          <w:rFonts w:hint="eastAsia" w:ascii="宋体" w:hAnsi="宋体"/>
        </w:rPr>
        <w:t>(1)开工预付款的金额在项目专用合同条款数据表中约定。在承包人签订了合同协议书且承包人承诺的主要设备进场后，监理人应在当期进度付款证书中向承包人支付开工预付款。</w:t>
      </w:r>
    </w:p>
    <w:p>
      <w:pPr>
        <w:spacing w:line="360" w:lineRule="auto"/>
        <w:ind w:firstLine="420" w:firstLineChars="200"/>
        <w:rPr>
          <w:rFonts w:ascii="宋体" w:hAnsi="宋体"/>
        </w:rPr>
      </w:pPr>
      <w:r>
        <w:rPr>
          <w:rFonts w:hint="eastAsia" w:ascii="宋体" w:hAnsi="宋体"/>
        </w:rPr>
        <w:t>承包人不得将该预付款用于与本工程无关的支出，监理人有权监督承包人对该项费用的使用，如经查实承包人滥用开工预付款，发包人有权立即通过向银行索赔履约保证金，并解除合同。</w:t>
      </w:r>
    </w:p>
    <w:p>
      <w:pPr>
        <w:spacing w:line="360" w:lineRule="auto"/>
        <w:ind w:firstLine="420" w:firstLineChars="200"/>
        <w:rPr>
          <w:rFonts w:ascii="宋体" w:hAnsi="宋体"/>
        </w:rPr>
      </w:pPr>
      <w:r>
        <w:rPr>
          <w:rFonts w:hint="eastAsia" w:ascii="宋体" w:hAnsi="宋体"/>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auto"/>
        <w:ind w:firstLine="420" w:firstLineChars="200"/>
        <w:rPr>
          <w:rFonts w:ascii="宋体" w:hAnsi="宋体"/>
        </w:rPr>
      </w:pPr>
      <w:r>
        <w:rPr>
          <w:rFonts w:hint="eastAsia" w:ascii="宋体" w:hAnsi="宋体"/>
        </w:rPr>
        <w:t>a.材料、设备符合规范要求并经监理人认可；</w:t>
      </w:r>
    </w:p>
    <w:p>
      <w:pPr>
        <w:spacing w:line="360" w:lineRule="auto"/>
        <w:ind w:firstLine="420" w:firstLineChars="200"/>
        <w:rPr>
          <w:rFonts w:ascii="宋体" w:hAnsi="宋体"/>
        </w:rPr>
      </w:pPr>
      <w:r>
        <w:rPr>
          <w:rFonts w:hint="eastAsia" w:ascii="宋体" w:hAnsi="宋体"/>
        </w:rPr>
        <w:t>b.承包人已出具材料、设备费用凭证或支付单据；</w:t>
      </w:r>
    </w:p>
    <w:p>
      <w:pPr>
        <w:spacing w:line="360" w:lineRule="auto"/>
        <w:ind w:firstLine="420" w:firstLineChars="200"/>
        <w:rPr>
          <w:rFonts w:ascii="宋体" w:hAnsi="宋体"/>
        </w:rPr>
      </w:pPr>
      <w:r>
        <w:rPr>
          <w:rFonts w:hint="eastAsia" w:ascii="宋体" w:hAnsi="宋体"/>
        </w:rPr>
        <w:t>c.材料、设备已在现场交货，且存储良好，监理人认为材料、设备的存储方法符合要求。</w:t>
      </w:r>
    </w:p>
    <w:p>
      <w:pPr>
        <w:spacing w:line="360" w:lineRule="auto"/>
        <w:ind w:firstLine="420" w:firstLineChars="200"/>
        <w:rPr>
          <w:rFonts w:ascii="宋体" w:hAnsi="宋体"/>
        </w:rPr>
      </w:pPr>
      <w:r>
        <w:rPr>
          <w:rFonts w:hint="eastAsia" w:ascii="宋体" w:hAnsi="宋体"/>
        </w:rPr>
        <w:t>则监理人应将此项金额作为材料、设备预付款计入下一次的进度付款证书中。在预计交工前3个月，将不再支付材料、设备预付款。</w:t>
      </w:r>
    </w:p>
    <w:p>
      <w:pPr>
        <w:spacing w:line="360" w:lineRule="auto"/>
        <w:ind w:firstLine="422" w:firstLineChars="200"/>
        <w:rPr>
          <w:rFonts w:ascii="宋体" w:hAnsi="宋体"/>
          <w:b/>
        </w:rPr>
      </w:pPr>
      <w:r>
        <w:rPr>
          <w:rFonts w:hint="eastAsia" w:ascii="宋体" w:hAnsi="宋体"/>
          <w:b/>
        </w:rPr>
        <w:t>17.2.2预付款保函</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承包人须向发包人提交预付款保函</w:t>
      </w:r>
      <w:r>
        <w:rPr>
          <w:rFonts w:hint="eastAsia" w:ascii="宋体" w:hAnsi="宋体"/>
          <w:lang w:eastAsia="zh-CN"/>
        </w:rPr>
        <w:t>，保函金额应与预付款金额一致。</w:t>
      </w:r>
      <w:r>
        <w:rPr>
          <w:rFonts w:hint="eastAsia" w:ascii="宋体" w:hAnsi="宋体"/>
        </w:rPr>
        <w:t>发包人向承包人支付的预付款，应按照本合同第17.2.1项规定使用，承包人提交的履约保证金对预付款的正常使用承担保证责任。</w:t>
      </w:r>
    </w:p>
    <w:p>
      <w:pPr>
        <w:spacing w:line="360" w:lineRule="auto"/>
        <w:ind w:firstLine="422" w:firstLineChars="200"/>
        <w:rPr>
          <w:rFonts w:ascii="宋体" w:hAnsi="宋体"/>
          <w:b/>
        </w:rPr>
      </w:pPr>
      <w:r>
        <w:rPr>
          <w:rFonts w:hint="eastAsia" w:ascii="宋体" w:hAnsi="宋体"/>
          <w:b/>
        </w:rPr>
        <w:t>17.2.3预付款的扣回与还清</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(1)开工预付款在进度付款证书的累计金额未达到签约合同价的30％之前不予扣回，在达到签约合同价50％时，一次性扣回。</w:t>
      </w:r>
    </w:p>
    <w:p>
      <w:pPr>
        <w:spacing w:line="360" w:lineRule="auto"/>
        <w:ind w:firstLine="420" w:firstLineChars="200"/>
        <w:rPr>
          <w:rFonts w:ascii="宋体" w:hAnsi="宋体"/>
        </w:rPr>
      </w:pPr>
      <w:r>
        <w:rPr>
          <w:rFonts w:hint="eastAsia" w:ascii="宋体" w:hAnsi="宋体"/>
        </w:rPr>
        <w:t>(2)当材料、设备已用于或安装在永久工程之中时，材料、设备预付款应从进度付款证书中扣回，扣回期不超过3个月。已经支付材料、设备预付款的材料、设备的所有权应属于发包人。</w:t>
      </w:r>
    </w:p>
    <w:p>
      <w:pPr>
        <w:spacing w:line="360" w:lineRule="auto"/>
        <w:rPr>
          <w:rFonts w:ascii="宋体" w:hAnsi="宋体"/>
          <w:b/>
          <w:sz w:val="24"/>
          <w:szCs w:val="28"/>
        </w:rPr>
      </w:pPr>
      <w:bookmarkStart w:id="452" w:name="_Toc152045721"/>
      <w:bookmarkStart w:id="453" w:name="_Toc179632739"/>
      <w:bookmarkStart w:id="454" w:name="_Toc144974692"/>
      <w:bookmarkStart w:id="455" w:name="_Toc152042500"/>
      <w:r>
        <w:rPr>
          <w:rFonts w:hint="eastAsia" w:ascii="宋体" w:hAnsi="宋体"/>
          <w:b/>
          <w:sz w:val="24"/>
          <w:szCs w:val="28"/>
        </w:rPr>
        <w:t>17.3工程进度付款</w:t>
      </w:r>
      <w:bookmarkEnd w:id="452"/>
      <w:bookmarkEnd w:id="453"/>
      <w:bookmarkEnd w:id="454"/>
      <w:bookmarkEnd w:id="455"/>
    </w:p>
    <w:p>
      <w:pPr>
        <w:spacing w:line="360" w:lineRule="auto"/>
        <w:ind w:left="420" w:leftChars="200"/>
        <w:rPr>
          <w:rFonts w:ascii="宋体" w:hAnsi="宋体"/>
        </w:rPr>
      </w:pPr>
      <w:r>
        <w:rPr>
          <w:rFonts w:hint="eastAsia" w:ascii="宋体" w:hAnsi="宋体"/>
          <w:b/>
        </w:rPr>
        <w:t>17.3.1付款周期</w:t>
      </w:r>
      <w:r>
        <w:rPr>
          <w:rFonts w:hint="eastAsia" w:ascii="宋体" w:hAnsi="宋体"/>
        </w:rPr>
        <w:br w:type="textWrapping"/>
      </w:r>
      <w:r>
        <w:rPr>
          <w:rFonts w:hint="eastAsia" w:ascii="宋体" w:hAnsi="宋体"/>
        </w:rPr>
        <w:t>关于付款周期的约定：本项目工程分五次支付工程款：</w:t>
      </w:r>
      <w:r>
        <w:rPr>
          <w:rFonts w:hint="eastAsia" w:ascii="宋体" w:hAnsi="宋体"/>
        </w:rPr>
        <w:br w:type="textWrapping"/>
      </w:r>
      <w:r>
        <w:rPr>
          <w:rFonts w:hint="eastAsia" w:ascii="宋体" w:hAnsi="宋体"/>
        </w:rPr>
        <w:t>第一次：</w:t>
      </w:r>
      <w:r>
        <w:rPr>
          <w:rFonts w:hint="eastAsia" w:ascii="宋体" w:hAnsi="宋体" w:cs="宋体"/>
        </w:rPr>
        <w:t>签约合同价</w:t>
      </w:r>
      <w:r>
        <w:rPr>
          <w:rFonts w:hint="eastAsia" w:ascii="宋体" w:hAnsi="宋体"/>
        </w:rPr>
        <w:t>的</w:t>
      </w:r>
      <w:r>
        <w:rPr>
          <w:rFonts w:hint="eastAsia" w:ascii="宋体" w:hAnsi="宋体"/>
          <w:lang w:val="en-US" w:eastAsia="zh-CN"/>
        </w:rPr>
        <w:t>3</w:t>
      </w:r>
      <w:r>
        <w:rPr>
          <w:rFonts w:hint="eastAsia" w:ascii="宋体" w:hAnsi="宋体"/>
        </w:rPr>
        <w:t>0%作为开工预付款，预付与扣回办法按照本合同第17.2项规定执行；</w:t>
      </w:r>
      <w:r>
        <w:rPr>
          <w:rFonts w:hint="eastAsia" w:ascii="宋体" w:hAnsi="宋体"/>
        </w:rPr>
        <w:br w:type="textWrapping"/>
      </w:r>
      <w:r>
        <w:rPr>
          <w:rFonts w:hint="eastAsia" w:ascii="宋体" w:hAnsi="宋体"/>
        </w:rPr>
        <w:t>第二次：按照施工总承包方报送的经监理单位和甲方审核后的当月已完工程量的</w:t>
      </w:r>
      <w:r>
        <w:rPr>
          <w:rFonts w:hint="eastAsia" w:ascii="宋体" w:hAnsi="宋体"/>
          <w:lang w:val="en-US" w:eastAsia="zh-CN"/>
        </w:rPr>
        <w:t>80</w:t>
      </w:r>
      <w:r>
        <w:rPr>
          <w:rFonts w:hint="eastAsia" w:ascii="宋体" w:hAnsi="宋体"/>
        </w:rPr>
        <w:t>%向乙方支</w:t>
      </w:r>
    </w:p>
    <w:p>
      <w:pPr>
        <w:spacing w:line="360" w:lineRule="auto"/>
        <w:rPr>
          <w:rFonts w:ascii="宋体" w:hAnsi="宋体"/>
        </w:rPr>
      </w:pPr>
      <w:r>
        <w:rPr>
          <w:rFonts w:hint="eastAsia" w:ascii="宋体" w:hAnsi="宋体"/>
        </w:rPr>
        <w:t>付进度款；</w:t>
      </w:r>
      <w:r>
        <w:rPr>
          <w:rFonts w:hint="eastAsia" w:ascii="宋体" w:hAnsi="宋体"/>
        </w:rPr>
        <w:br w:type="textWrapping"/>
      </w:r>
      <w:r>
        <w:rPr>
          <w:rFonts w:hint="eastAsia" w:ascii="宋体" w:hAnsi="宋体"/>
        </w:rPr>
        <w:t xml:space="preserve">    第三次：工程交工验收后，付至已完工程量的85%；</w:t>
      </w:r>
      <w:r>
        <w:rPr>
          <w:rFonts w:hint="eastAsia" w:ascii="宋体" w:hAnsi="宋体"/>
        </w:rPr>
        <w:br w:type="textWrapping"/>
      </w:r>
      <w:r>
        <w:rPr>
          <w:rFonts w:hint="eastAsia" w:ascii="宋体" w:hAnsi="宋体"/>
        </w:rPr>
        <w:t xml:space="preserve">    第四次：完成最终结算后，付至经</w:t>
      </w:r>
      <w:r>
        <w:rPr>
          <w:rFonts w:hint="eastAsia" w:ascii="宋体" w:hAnsi="宋体"/>
          <w:lang w:eastAsia="zh-CN"/>
        </w:rPr>
        <w:t>招标人委托的</w:t>
      </w:r>
      <w:r>
        <w:rPr>
          <w:rFonts w:hint="eastAsia" w:ascii="宋体" w:hAnsi="宋体"/>
        </w:rPr>
        <w:t>审核机构审定的工程结算价款的97%，剩余3%作为工程质量保修金待质保期届满后再行支付。</w:t>
      </w:r>
    </w:p>
    <w:p>
      <w:pPr>
        <w:spacing w:line="360" w:lineRule="auto"/>
        <w:ind w:firstLine="420" w:firstLineChars="200"/>
      </w:pPr>
      <w:r>
        <w:rPr>
          <w:rFonts w:hint="eastAsia" w:ascii="宋体" w:hAnsi="宋体"/>
        </w:rPr>
        <w:t>第五次；质保期届满后支付剩余工程结算价款3%的工程质量保修金。</w:t>
      </w:r>
    </w:p>
    <w:p>
      <w:pPr>
        <w:spacing w:line="360" w:lineRule="auto"/>
        <w:ind w:firstLine="422" w:firstLineChars="200"/>
        <w:rPr>
          <w:rFonts w:ascii="宋体" w:hAnsi="宋体"/>
          <w:b/>
        </w:rPr>
      </w:pPr>
      <w:r>
        <w:rPr>
          <w:rFonts w:hint="eastAsia" w:ascii="宋体" w:hAnsi="宋体"/>
          <w:b/>
        </w:rPr>
        <w:t>17.3.3进度付款证书和支付时间</w:t>
      </w:r>
    </w:p>
    <w:p>
      <w:pPr>
        <w:spacing w:line="360" w:lineRule="auto"/>
        <w:ind w:firstLine="420" w:firstLineChars="200"/>
        <w:rPr>
          <w:rFonts w:ascii="宋体" w:hAnsi="宋体"/>
          <w:highlight w:val="none"/>
        </w:rPr>
      </w:pPr>
      <w:r>
        <w:rPr>
          <w:rFonts w:hint="eastAsia" w:ascii="宋体" w:hAnsi="宋体"/>
        </w:rPr>
        <w:t>本项（1）目补充：</w:t>
      </w:r>
    </w:p>
    <w:p>
      <w:pPr>
        <w:spacing w:line="360" w:lineRule="auto"/>
        <w:ind w:firstLine="420" w:firstLineChars="200"/>
        <w:rPr>
          <w:rFonts w:ascii="宋体" w:hAnsi="宋体"/>
        </w:rPr>
      </w:pPr>
      <w:r>
        <w:rPr>
          <w:rFonts w:hint="eastAsia" w:ascii="宋体" w:hAnsi="宋体"/>
          <w:highlight w:val="none"/>
        </w:rPr>
        <w:t>如果该付款周期应结算的价款经扣留和扣回后的款额少于项目专用合同条款数据表中列明的进度付款证书的最低金额，则该付款周期监理人可不核证支</w:t>
      </w:r>
      <w:r>
        <w:rPr>
          <w:rFonts w:hint="eastAsia" w:ascii="宋体" w:hAnsi="宋体"/>
        </w:rPr>
        <w:t>付，上述款额将按付款周期结转，直至累计应支付的款额达到项目专用合同条款数据表中列明的进度付款证书的最低金额为止。</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发包人应在监理人收到进度付款申请且承包人提交了合格的增值税专用发票后的28天内，将进度应付款支付给承包人。</w:t>
      </w:r>
    </w:p>
    <w:p>
      <w:pPr>
        <w:spacing w:line="360" w:lineRule="auto"/>
        <w:ind w:firstLine="420" w:firstLineChars="200"/>
        <w:rPr>
          <w:rFonts w:ascii="宋体" w:hAnsi="宋体"/>
        </w:rPr>
      </w:pPr>
      <w:r>
        <w:rPr>
          <w:rFonts w:hint="eastAsia" w:ascii="宋体" w:hAnsi="宋体"/>
        </w:rPr>
        <w:t>发包人不按期支付的，按项目专用合同条款数据表中约定的利率向承包人支付逾期付款违约金。违约金计算基数为发包人的全部未付款额，时间从应付而未付该款额之日算起(不计复利)。</w:t>
      </w:r>
    </w:p>
    <w:p>
      <w:pPr>
        <w:spacing w:line="360" w:lineRule="auto"/>
        <w:ind w:firstLine="420" w:firstLineChars="200"/>
        <w:rPr>
          <w:rFonts w:ascii="宋体" w:hAnsi="宋体"/>
        </w:rPr>
      </w:pPr>
      <w:r>
        <w:rPr>
          <w:rFonts w:hint="eastAsia" w:ascii="宋体" w:hAnsi="宋体"/>
        </w:rPr>
        <w:t>本款补充17.3.5项：</w:t>
      </w:r>
    </w:p>
    <w:p>
      <w:pPr>
        <w:spacing w:line="360" w:lineRule="auto"/>
        <w:ind w:firstLine="422" w:firstLineChars="200"/>
        <w:rPr>
          <w:rFonts w:ascii="宋体" w:hAnsi="宋体"/>
          <w:b/>
        </w:rPr>
      </w:pPr>
      <w:r>
        <w:rPr>
          <w:rFonts w:hint="eastAsia" w:ascii="宋体" w:hAnsi="宋体"/>
          <w:b/>
        </w:rPr>
        <w:t>17.3.5农民工工资保证金</w:t>
      </w:r>
    </w:p>
    <w:p>
      <w:pPr>
        <w:spacing w:line="360" w:lineRule="auto"/>
        <w:ind w:firstLine="420" w:firstLineChars="200"/>
        <w:rPr>
          <w:rFonts w:ascii="宋体" w:hAnsi="宋体"/>
        </w:rPr>
      </w:pPr>
      <w:r>
        <w:rPr>
          <w:rFonts w:hint="eastAsia" w:ascii="宋体" w:hAnsi="宋体"/>
        </w:rPr>
        <w:t>（1）为确保施工过程中农民工工资实时、足额发放到位，承包人应按照项目专用合同条款约定的时间和金额缴存农民工工资保证金。</w:t>
      </w:r>
    </w:p>
    <w:p>
      <w:pPr>
        <w:spacing w:line="360" w:lineRule="auto"/>
        <w:ind w:firstLine="420" w:firstLineChars="200"/>
        <w:rPr>
          <w:rFonts w:ascii="宋体" w:hAnsi="宋体"/>
        </w:rPr>
      </w:pPr>
      <w:r>
        <w:rPr>
          <w:rFonts w:hint="eastAsia" w:ascii="宋体" w:hAnsi="宋体"/>
        </w:rPr>
        <w:t>（2）农民工工资保证金可采用银行保函或现金、支票形式。采用银行保函时，出具保函的银行须具有相应担保能力，且按照发包人批准的格式出具，所需费用由承包人承担。</w:t>
      </w:r>
    </w:p>
    <w:p>
      <w:pPr>
        <w:spacing w:line="360" w:lineRule="auto"/>
        <w:ind w:firstLine="420" w:firstLineChars="200"/>
        <w:rPr>
          <w:rFonts w:ascii="宋体" w:hAnsi="宋体"/>
        </w:rPr>
      </w:pPr>
      <w:r>
        <w:rPr>
          <w:rFonts w:hint="eastAsia" w:ascii="宋体" w:hAnsi="宋体"/>
        </w:rPr>
        <w:t>（3）农民工工资保证金的扣留条件、返还时间按照项目专用合同条款的约定执行。</w:t>
      </w:r>
    </w:p>
    <w:p>
      <w:pPr>
        <w:spacing w:line="360" w:lineRule="auto"/>
        <w:rPr>
          <w:rFonts w:ascii="宋体" w:hAnsi="宋体"/>
          <w:b/>
          <w:sz w:val="24"/>
          <w:szCs w:val="28"/>
        </w:rPr>
      </w:pPr>
      <w:bookmarkStart w:id="456" w:name="_Toc152042501"/>
      <w:bookmarkStart w:id="457" w:name="_Toc152045722"/>
      <w:bookmarkStart w:id="458" w:name="_Toc144974693"/>
      <w:bookmarkStart w:id="459" w:name="_Toc179632740"/>
      <w:r>
        <w:rPr>
          <w:rFonts w:hint="eastAsia" w:ascii="宋体" w:hAnsi="宋体"/>
          <w:b/>
          <w:sz w:val="24"/>
          <w:szCs w:val="28"/>
        </w:rPr>
        <w:t>17.4</w:t>
      </w:r>
      <w:bookmarkEnd w:id="456"/>
      <w:bookmarkEnd w:id="457"/>
      <w:bookmarkEnd w:id="458"/>
      <w:r>
        <w:rPr>
          <w:rFonts w:hint="eastAsia" w:ascii="宋体" w:hAnsi="宋体"/>
          <w:b/>
          <w:sz w:val="24"/>
          <w:szCs w:val="28"/>
        </w:rPr>
        <w:t>质量保证金</w:t>
      </w:r>
      <w:bookmarkEnd w:id="459"/>
    </w:p>
    <w:p>
      <w:pPr>
        <w:spacing w:line="360" w:lineRule="auto"/>
        <w:ind w:firstLine="420" w:firstLineChars="200"/>
        <w:rPr>
          <w:rFonts w:ascii="宋体" w:hAnsi="宋体"/>
        </w:rPr>
      </w:pPr>
      <w:r>
        <w:rPr>
          <w:rFonts w:hint="eastAsia" w:ascii="宋体" w:hAnsi="宋体"/>
        </w:rPr>
        <w:t>第17.4.1项、第17.4.2项细化为：</w:t>
      </w:r>
    </w:p>
    <w:p>
      <w:pPr>
        <w:spacing w:line="360" w:lineRule="auto"/>
        <w:ind w:firstLine="420" w:firstLineChars="200"/>
        <w:rPr>
          <w:rFonts w:ascii="宋体" w:hAnsi="宋体"/>
        </w:rPr>
      </w:pPr>
      <w:r>
        <w:rPr>
          <w:rFonts w:hint="eastAsia" w:ascii="宋体" w:hAnsi="宋体"/>
        </w:rPr>
        <w:t>17.4.1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360" w:lineRule="auto"/>
        <w:ind w:firstLine="420" w:firstLineChars="200"/>
        <w:rPr>
          <w:rFonts w:ascii="宋体" w:hAnsi="宋体"/>
        </w:rPr>
      </w:pPr>
      <w:r>
        <w:rPr>
          <w:rFonts w:hint="eastAsia" w:ascii="宋体" w:hAnsi="宋体"/>
        </w:rPr>
        <w:t>质量保证金采用现金、支票形式提交的，发包人应在项目专用合同条款数据表中明确是否计付利息以及利息的计算方式。</w:t>
      </w:r>
    </w:p>
    <w:p>
      <w:pPr>
        <w:spacing w:line="360" w:lineRule="auto"/>
        <w:ind w:firstLine="420" w:firstLineChars="200"/>
        <w:rPr>
          <w:rFonts w:ascii="宋体" w:hAnsi="宋体"/>
        </w:rPr>
      </w:pPr>
      <w:r>
        <w:rPr>
          <w:rFonts w:hint="eastAsia" w:ascii="宋体" w:hAnsi="宋体"/>
        </w:rPr>
        <w:t>17.4.2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auto"/>
        <w:rPr>
          <w:rFonts w:ascii="宋体" w:hAnsi="宋体"/>
          <w:b/>
          <w:sz w:val="24"/>
          <w:szCs w:val="28"/>
        </w:rPr>
      </w:pPr>
      <w:bookmarkStart w:id="460" w:name="_Toc144974694"/>
      <w:bookmarkStart w:id="461" w:name="_Toc152042502"/>
      <w:bookmarkStart w:id="462" w:name="_Toc179632741"/>
      <w:bookmarkStart w:id="463" w:name="_Toc152045723"/>
      <w:r>
        <w:rPr>
          <w:rFonts w:hint="eastAsia" w:ascii="宋体" w:hAnsi="宋体"/>
          <w:b/>
          <w:sz w:val="24"/>
          <w:szCs w:val="28"/>
        </w:rPr>
        <w:t>17.5交工结算</w:t>
      </w:r>
      <w:bookmarkEnd w:id="460"/>
      <w:bookmarkEnd w:id="461"/>
      <w:bookmarkEnd w:id="462"/>
      <w:bookmarkEnd w:id="463"/>
    </w:p>
    <w:p>
      <w:pPr>
        <w:spacing w:line="360" w:lineRule="auto"/>
        <w:ind w:firstLine="422" w:firstLineChars="200"/>
        <w:rPr>
          <w:rFonts w:ascii="宋体" w:hAnsi="宋体"/>
          <w:b/>
        </w:rPr>
      </w:pPr>
      <w:r>
        <w:rPr>
          <w:rFonts w:hint="eastAsia" w:ascii="宋体" w:hAnsi="宋体"/>
          <w:b/>
        </w:rPr>
        <w:t>17.5.1交工付款申请单</w:t>
      </w:r>
    </w:p>
    <w:p>
      <w:pPr>
        <w:spacing w:line="360" w:lineRule="auto"/>
        <w:ind w:firstLine="420" w:firstLineChars="200"/>
        <w:rPr>
          <w:rFonts w:ascii="宋体" w:hAnsi="宋体"/>
        </w:rPr>
      </w:pPr>
      <w:r>
        <w:rPr>
          <w:rFonts w:hint="eastAsia" w:ascii="宋体" w:hAnsi="宋体"/>
        </w:rPr>
        <w:t>本项（1）目约定为：</w:t>
      </w:r>
    </w:p>
    <w:p>
      <w:pPr>
        <w:spacing w:line="360" w:lineRule="auto"/>
        <w:ind w:firstLine="420" w:firstLineChars="200"/>
        <w:rPr>
          <w:rFonts w:ascii="宋体" w:hAnsi="宋体"/>
        </w:rPr>
      </w:pPr>
      <w:r>
        <w:rPr>
          <w:rFonts w:hint="eastAsia" w:ascii="宋体" w:hAnsi="宋体"/>
        </w:rPr>
        <w:t>承包人向监理人提交交工付款申请单(包括相关证明材料)的份数在项目专用合同条款数据表中约定；期限：交工验收证书签发后42天内。</w:t>
      </w:r>
    </w:p>
    <w:p>
      <w:pPr>
        <w:spacing w:line="360" w:lineRule="auto"/>
        <w:ind w:firstLine="422" w:firstLineChars="200"/>
        <w:rPr>
          <w:rFonts w:ascii="宋体" w:hAnsi="宋体"/>
          <w:b/>
        </w:rPr>
      </w:pPr>
      <w:r>
        <w:rPr>
          <w:rFonts w:hint="eastAsia" w:ascii="宋体" w:hAnsi="宋体"/>
          <w:b/>
        </w:rPr>
        <w:t>17.5.2交工付款证书及支付时间</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发包人应在监理人出具交工付款证书且承包人提交了合格的增值税专用发票、质量保证金后的14天内，将应支付款支付给承包人。发包人不按期支付的，按第17.3.3（2）目的约定，将逾期付款违约金支付给承包人。</w:t>
      </w:r>
    </w:p>
    <w:p>
      <w:pPr>
        <w:spacing w:line="360" w:lineRule="auto"/>
        <w:rPr>
          <w:rFonts w:ascii="宋体" w:hAnsi="宋体"/>
          <w:b/>
          <w:sz w:val="24"/>
          <w:szCs w:val="28"/>
        </w:rPr>
      </w:pPr>
      <w:bookmarkStart w:id="464" w:name="_Toc152045724"/>
      <w:bookmarkStart w:id="465" w:name="_Toc179632742"/>
      <w:bookmarkStart w:id="466" w:name="_Toc144974695"/>
      <w:bookmarkStart w:id="467" w:name="_Toc152042503"/>
      <w:r>
        <w:rPr>
          <w:rFonts w:hint="eastAsia" w:ascii="宋体" w:hAnsi="宋体"/>
          <w:b/>
          <w:sz w:val="24"/>
          <w:szCs w:val="28"/>
        </w:rPr>
        <w:t>17.6最终结清</w:t>
      </w:r>
      <w:bookmarkEnd w:id="464"/>
      <w:bookmarkEnd w:id="465"/>
      <w:bookmarkEnd w:id="466"/>
      <w:bookmarkEnd w:id="467"/>
    </w:p>
    <w:p>
      <w:pPr>
        <w:spacing w:line="360" w:lineRule="auto"/>
        <w:ind w:firstLine="422" w:firstLineChars="200"/>
        <w:rPr>
          <w:rFonts w:ascii="宋体" w:hAnsi="宋体"/>
          <w:b/>
        </w:rPr>
      </w:pPr>
      <w:r>
        <w:rPr>
          <w:rFonts w:hint="eastAsia" w:ascii="宋体" w:hAnsi="宋体"/>
          <w:b/>
        </w:rPr>
        <w:t>17.6.1最终结清申请单</w:t>
      </w:r>
    </w:p>
    <w:p>
      <w:pPr>
        <w:spacing w:line="360" w:lineRule="auto"/>
        <w:ind w:firstLine="420" w:firstLineChars="200"/>
        <w:rPr>
          <w:rFonts w:ascii="宋体" w:hAnsi="宋体"/>
        </w:rPr>
      </w:pPr>
      <w:r>
        <w:rPr>
          <w:rFonts w:hint="eastAsia" w:ascii="宋体" w:hAnsi="宋体"/>
        </w:rPr>
        <w:t>本项（1）目约定为：</w:t>
      </w:r>
    </w:p>
    <w:p>
      <w:pPr>
        <w:spacing w:line="360" w:lineRule="auto"/>
        <w:ind w:firstLine="420" w:firstLineChars="200"/>
        <w:rPr>
          <w:rFonts w:ascii="宋体" w:hAnsi="宋体"/>
        </w:rPr>
      </w:pPr>
      <w:r>
        <w:rPr>
          <w:rFonts w:hint="eastAsia" w:ascii="宋体" w:hAnsi="宋体"/>
        </w:rPr>
        <w:t>承包人向监理人提交最终结清申请单(包括相关证明材料)的份数在项目专用合同条款数据表中约定；期限：缺陷责任期终止证书签发后28天内。</w:t>
      </w:r>
    </w:p>
    <w:p>
      <w:pPr>
        <w:spacing w:line="360" w:lineRule="auto"/>
        <w:ind w:firstLine="420" w:firstLineChars="200"/>
        <w:rPr>
          <w:rFonts w:ascii="宋体" w:hAnsi="宋体"/>
        </w:rPr>
      </w:pPr>
      <w:r>
        <w:rPr>
          <w:rFonts w:hint="eastAsia" w:ascii="宋体" w:hAnsi="宋体"/>
        </w:rPr>
        <w:t>最终结清申请单中的总金额应认为是代表了根据合同规定应付给承包人的全部款项的最后结算。</w:t>
      </w:r>
    </w:p>
    <w:p>
      <w:pPr>
        <w:spacing w:line="360" w:lineRule="auto"/>
        <w:ind w:firstLine="422" w:firstLineChars="200"/>
        <w:rPr>
          <w:rFonts w:ascii="宋体" w:hAnsi="宋体"/>
          <w:b/>
        </w:rPr>
      </w:pPr>
      <w:r>
        <w:rPr>
          <w:rFonts w:hint="eastAsia" w:ascii="宋体" w:hAnsi="宋体"/>
          <w:b/>
        </w:rPr>
        <w:t>17.6.2最终结清证书和支付时间</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（2）发包人应在监理人出具最终结清证书且承包人提交了合格的增值税专用发票后的14天内，将应支付款支付给承包人。发包人不按期支付的，按第17.3.3（2）目的约定，将逾期付款违约金支付给承包人。</w:t>
      </w:r>
    </w:p>
    <w:p>
      <w:pPr>
        <w:spacing w:line="360" w:lineRule="auto"/>
        <w:rPr>
          <w:rFonts w:ascii="宋体" w:hAnsi="宋体"/>
          <w:b/>
          <w:sz w:val="28"/>
          <w:szCs w:val="30"/>
        </w:rPr>
      </w:pPr>
      <w:bookmarkStart w:id="468" w:name="_Toc179632743"/>
      <w:bookmarkStart w:id="469" w:name="_Toc144974696"/>
      <w:bookmarkStart w:id="470" w:name="_Toc152042504"/>
      <w:bookmarkStart w:id="471" w:name="_Toc152045725"/>
      <w:r>
        <w:rPr>
          <w:rFonts w:hint="eastAsia" w:ascii="宋体" w:hAnsi="宋体"/>
          <w:b/>
          <w:sz w:val="28"/>
          <w:szCs w:val="30"/>
        </w:rPr>
        <w:t>18.交工验收</w:t>
      </w:r>
      <w:bookmarkEnd w:id="468"/>
      <w:bookmarkEnd w:id="469"/>
      <w:bookmarkEnd w:id="470"/>
      <w:bookmarkEnd w:id="471"/>
    </w:p>
    <w:p>
      <w:pPr>
        <w:spacing w:line="360" w:lineRule="auto"/>
        <w:rPr>
          <w:rFonts w:ascii="宋体" w:hAnsi="宋体"/>
          <w:b/>
          <w:sz w:val="24"/>
          <w:szCs w:val="28"/>
        </w:rPr>
      </w:pPr>
      <w:bookmarkStart w:id="472" w:name="_Toc152045727"/>
      <w:bookmarkStart w:id="473" w:name="_Toc179632745"/>
      <w:bookmarkStart w:id="474" w:name="_Toc152042506"/>
      <w:bookmarkStart w:id="475" w:name="_Toc144974698"/>
      <w:r>
        <w:rPr>
          <w:rFonts w:hint="eastAsia" w:ascii="宋体" w:hAnsi="宋体"/>
          <w:b/>
          <w:sz w:val="24"/>
          <w:szCs w:val="28"/>
        </w:rPr>
        <w:t>18.2交工验收申请报告</w:t>
      </w:r>
      <w:bookmarkEnd w:id="472"/>
      <w:bookmarkEnd w:id="473"/>
      <w:bookmarkEnd w:id="474"/>
      <w:bookmarkEnd w:id="475"/>
    </w:p>
    <w:p>
      <w:pPr>
        <w:spacing w:line="360" w:lineRule="auto"/>
        <w:ind w:firstLine="420" w:firstLineChars="200"/>
        <w:rPr>
          <w:rFonts w:ascii="宋体" w:hAnsi="宋体"/>
        </w:rPr>
      </w:pPr>
      <w:r>
        <w:rPr>
          <w:rFonts w:hint="eastAsia" w:ascii="宋体" w:hAnsi="宋体"/>
        </w:rPr>
        <w:t>本款第（2）项约定为：</w:t>
      </w:r>
    </w:p>
    <w:p>
      <w:pPr>
        <w:spacing w:line="360" w:lineRule="auto"/>
        <w:ind w:firstLine="420" w:firstLineChars="200"/>
        <w:rPr>
          <w:rFonts w:ascii="宋体" w:hAnsi="宋体"/>
        </w:rPr>
      </w:pPr>
      <w:r>
        <w:rPr>
          <w:rFonts w:hint="eastAsia" w:ascii="宋体" w:hAnsi="宋体"/>
        </w:rPr>
        <w:t>竣工资料的内容：承包人应按照《公路工程竣(交)工验收办法》和相关规定编制竣工资料。</w:t>
      </w:r>
    </w:p>
    <w:p>
      <w:pPr>
        <w:spacing w:line="360" w:lineRule="auto"/>
        <w:ind w:firstLine="420" w:firstLineChars="200"/>
        <w:rPr>
          <w:rFonts w:ascii="宋体" w:hAnsi="宋体"/>
        </w:rPr>
      </w:pPr>
      <w:r>
        <w:rPr>
          <w:rFonts w:hint="eastAsia" w:ascii="宋体" w:hAnsi="宋体"/>
        </w:rPr>
        <w:t>竣工资料的份数在项目专用合同条款数据表中约定。</w:t>
      </w:r>
    </w:p>
    <w:p>
      <w:pPr>
        <w:spacing w:line="360" w:lineRule="auto"/>
        <w:rPr>
          <w:rFonts w:ascii="宋体" w:hAnsi="宋体"/>
          <w:b/>
          <w:sz w:val="24"/>
          <w:szCs w:val="28"/>
        </w:rPr>
      </w:pPr>
      <w:bookmarkStart w:id="476" w:name="_Toc152042507"/>
      <w:bookmarkStart w:id="477" w:name="_Toc179632746"/>
      <w:bookmarkStart w:id="478" w:name="_Toc144974699"/>
      <w:bookmarkStart w:id="479" w:name="_Toc152045728"/>
      <w:r>
        <w:rPr>
          <w:rFonts w:hint="eastAsia" w:ascii="宋体" w:hAnsi="宋体"/>
          <w:b/>
          <w:sz w:val="24"/>
          <w:szCs w:val="28"/>
        </w:rPr>
        <w:t>18.3验收</w:t>
      </w:r>
      <w:bookmarkEnd w:id="476"/>
      <w:bookmarkEnd w:id="477"/>
      <w:bookmarkEnd w:id="478"/>
      <w:bookmarkEnd w:id="479"/>
    </w:p>
    <w:p>
      <w:pPr>
        <w:spacing w:line="360" w:lineRule="auto"/>
        <w:ind w:firstLine="420" w:firstLineChars="200"/>
        <w:rPr>
          <w:rFonts w:ascii="宋体" w:hAnsi="宋体"/>
        </w:rPr>
      </w:pPr>
      <w:r>
        <w:rPr>
          <w:rFonts w:hint="eastAsia" w:ascii="宋体" w:hAnsi="宋体"/>
        </w:rPr>
        <w:t>第18.3.2补充：</w:t>
      </w:r>
    </w:p>
    <w:p>
      <w:pPr>
        <w:spacing w:line="360" w:lineRule="auto"/>
        <w:ind w:firstLine="420" w:firstLineChars="200"/>
        <w:rPr>
          <w:rFonts w:ascii="宋体" w:hAnsi="宋体"/>
        </w:rPr>
      </w:pPr>
      <w:r>
        <w:rPr>
          <w:rFonts w:hint="eastAsia" w:ascii="宋体" w:hAnsi="宋体"/>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auto"/>
        <w:ind w:firstLine="420" w:firstLineChars="200"/>
        <w:rPr>
          <w:rFonts w:ascii="宋体" w:hAnsi="宋体"/>
        </w:rPr>
      </w:pPr>
      <w:r>
        <w:rPr>
          <w:rFonts w:hint="eastAsia" w:ascii="宋体" w:hAnsi="宋体"/>
        </w:rPr>
        <w:t>第18.3.5项约定为：</w:t>
      </w:r>
    </w:p>
    <w:p>
      <w:pPr>
        <w:spacing w:line="360" w:lineRule="auto"/>
        <w:ind w:firstLine="420" w:firstLineChars="200"/>
        <w:rPr>
          <w:rFonts w:ascii="宋体" w:hAnsi="宋体"/>
        </w:rPr>
      </w:pPr>
      <w:r>
        <w:rPr>
          <w:rFonts w:hint="eastAsia" w:ascii="宋体" w:hAnsi="宋体"/>
        </w:rPr>
        <w:t>经验收合格工程的实际交工日期，以最终提交交工验收申请报告的日期为准，并在交工验收证书中写明。</w:t>
      </w:r>
    </w:p>
    <w:p>
      <w:pPr>
        <w:spacing w:line="360" w:lineRule="auto"/>
        <w:ind w:firstLine="420" w:firstLineChars="200"/>
        <w:rPr>
          <w:rFonts w:ascii="宋体" w:hAnsi="宋体"/>
        </w:rPr>
      </w:pPr>
      <w:r>
        <w:rPr>
          <w:rFonts w:hint="eastAsia" w:ascii="宋体" w:hAnsi="宋体"/>
        </w:rPr>
        <w:t>本款补充第18.3.7项：</w:t>
      </w:r>
    </w:p>
    <w:p>
      <w:pPr>
        <w:spacing w:line="360" w:lineRule="auto"/>
        <w:ind w:firstLine="420" w:firstLineChars="200"/>
        <w:rPr>
          <w:rFonts w:ascii="宋体" w:hAnsi="宋体"/>
        </w:rPr>
      </w:pPr>
      <w:r>
        <w:rPr>
          <w:rFonts w:hint="eastAsia" w:ascii="宋体" w:hAnsi="宋体"/>
        </w:rPr>
        <w:t>18.3.7组织办理交工验收和签发交工验收证书的费用由发包人承担。但按照第18.3.4项规定达不到合格标准的交工验收费用由承包人承担。</w:t>
      </w:r>
    </w:p>
    <w:p>
      <w:pPr>
        <w:spacing w:line="360" w:lineRule="auto"/>
        <w:rPr>
          <w:rFonts w:ascii="宋体" w:hAnsi="宋体"/>
          <w:b/>
          <w:sz w:val="24"/>
          <w:szCs w:val="28"/>
        </w:rPr>
      </w:pPr>
      <w:r>
        <w:rPr>
          <w:rFonts w:hint="eastAsia" w:ascii="宋体" w:hAnsi="宋体"/>
          <w:b/>
          <w:sz w:val="24"/>
          <w:szCs w:val="28"/>
        </w:rPr>
        <w:t>18.9竣工文件</w:t>
      </w:r>
    </w:p>
    <w:p>
      <w:pPr>
        <w:spacing w:line="360" w:lineRule="auto"/>
        <w:ind w:firstLine="420" w:firstLineChars="200"/>
        <w:rPr>
          <w:rFonts w:ascii="宋体" w:hAnsi="宋体"/>
        </w:rPr>
      </w:pPr>
      <w:r>
        <w:rPr>
          <w:rFonts w:hint="eastAsia" w:ascii="宋体" w:hAnsi="宋体"/>
        </w:rPr>
        <w:t>承包人应按照《公路工程竣(交)工验收办法》的相关规定，在缺陷责任期内为竣工验收补充竣工资料，并在签发缺陷责任期终止证书之前提交。</w:t>
      </w:r>
    </w:p>
    <w:p>
      <w:pPr>
        <w:spacing w:line="360" w:lineRule="auto"/>
        <w:rPr>
          <w:rFonts w:ascii="宋体" w:hAnsi="宋体"/>
          <w:b/>
          <w:sz w:val="28"/>
          <w:szCs w:val="30"/>
        </w:rPr>
      </w:pPr>
      <w:bookmarkStart w:id="480" w:name="_Toc152042513"/>
      <w:bookmarkStart w:id="481" w:name="_Toc152045734"/>
      <w:bookmarkStart w:id="482" w:name="_Toc179632752"/>
      <w:bookmarkStart w:id="483" w:name="_Toc144974705"/>
      <w:r>
        <w:rPr>
          <w:rFonts w:hint="eastAsia" w:ascii="宋体" w:hAnsi="宋体"/>
          <w:b/>
          <w:sz w:val="28"/>
          <w:szCs w:val="30"/>
        </w:rPr>
        <w:t>19.缺陷责任与保修责任</w:t>
      </w:r>
      <w:bookmarkEnd w:id="480"/>
      <w:bookmarkEnd w:id="481"/>
      <w:bookmarkEnd w:id="482"/>
      <w:bookmarkEnd w:id="483"/>
    </w:p>
    <w:p>
      <w:pPr>
        <w:spacing w:line="360" w:lineRule="auto"/>
        <w:rPr>
          <w:rFonts w:ascii="宋体" w:hAnsi="宋体"/>
          <w:b/>
          <w:sz w:val="24"/>
          <w:szCs w:val="28"/>
        </w:rPr>
      </w:pPr>
      <w:bookmarkStart w:id="484" w:name="_Toc144974707"/>
      <w:bookmarkStart w:id="485" w:name="_Toc152045736"/>
      <w:bookmarkStart w:id="486" w:name="_Toc179632754"/>
      <w:bookmarkStart w:id="487" w:name="_Toc152042515"/>
      <w:r>
        <w:rPr>
          <w:rFonts w:hint="eastAsia" w:ascii="宋体" w:hAnsi="宋体"/>
          <w:b/>
          <w:sz w:val="24"/>
          <w:szCs w:val="28"/>
        </w:rPr>
        <w:t>19.2缺陷责任</w:t>
      </w:r>
      <w:bookmarkEnd w:id="484"/>
      <w:bookmarkEnd w:id="485"/>
      <w:bookmarkEnd w:id="486"/>
      <w:bookmarkEnd w:id="487"/>
    </w:p>
    <w:p>
      <w:pPr>
        <w:spacing w:line="360" w:lineRule="auto"/>
        <w:ind w:firstLine="420" w:firstLineChars="200"/>
        <w:rPr>
          <w:rFonts w:ascii="宋体" w:hAnsi="宋体"/>
        </w:rPr>
      </w:pPr>
      <w:r>
        <w:rPr>
          <w:rFonts w:hint="eastAsia" w:ascii="宋体" w:hAnsi="宋体"/>
        </w:rPr>
        <w:t>第19.2.2项补充：</w:t>
      </w:r>
    </w:p>
    <w:p>
      <w:pPr>
        <w:spacing w:line="360" w:lineRule="auto"/>
        <w:ind w:firstLine="420" w:firstLineChars="200"/>
        <w:rPr>
          <w:rFonts w:ascii="宋体" w:hAnsi="宋体"/>
        </w:rPr>
      </w:pPr>
      <w:r>
        <w:rPr>
          <w:rFonts w:hint="eastAsia" w:ascii="宋体" w:hAnsi="宋体"/>
        </w:rPr>
        <w:t>在缺陷责任期内，承包人应尽快完成在交工验收证书中写明的未完成工作，并完成对本工程缺陷的修复或监理人指令的修补工作。</w:t>
      </w:r>
    </w:p>
    <w:p>
      <w:pPr>
        <w:spacing w:line="360" w:lineRule="auto"/>
        <w:rPr>
          <w:rFonts w:ascii="宋体" w:hAnsi="宋体"/>
          <w:b/>
          <w:sz w:val="24"/>
          <w:szCs w:val="28"/>
        </w:rPr>
      </w:pPr>
      <w:r>
        <w:rPr>
          <w:rFonts w:hint="eastAsia" w:ascii="宋体" w:hAnsi="宋体"/>
          <w:b/>
          <w:sz w:val="24"/>
          <w:szCs w:val="28"/>
        </w:rPr>
        <w:t>19.5承包人的进入权</w:t>
      </w:r>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承包人在缺陷修复施工过程中，应服从管养单位的有关安全管理规定，由于承包人自身原因造成的人员伤亡、设备和材料的损毁及罚款等责任由承包人自负。</w:t>
      </w:r>
    </w:p>
    <w:p>
      <w:pPr>
        <w:spacing w:line="360" w:lineRule="auto"/>
        <w:rPr>
          <w:rFonts w:ascii="宋体" w:hAnsi="宋体"/>
          <w:b/>
          <w:sz w:val="24"/>
          <w:szCs w:val="28"/>
        </w:rPr>
      </w:pPr>
      <w:bookmarkStart w:id="488" w:name="_Toc152042520"/>
      <w:bookmarkStart w:id="489" w:name="_Toc179632759"/>
      <w:bookmarkStart w:id="490" w:name="_Toc152045741"/>
      <w:bookmarkStart w:id="491" w:name="_Toc144974712"/>
      <w:r>
        <w:rPr>
          <w:rFonts w:hint="eastAsia" w:ascii="宋体" w:hAnsi="宋体"/>
          <w:b/>
          <w:sz w:val="24"/>
          <w:szCs w:val="28"/>
        </w:rPr>
        <w:t>19.7保修责任</w:t>
      </w:r>
      <w:bookmarkEnd w:id="488"/>
      <w:bookmarkEnd w:id="489"/>
      <w:bookmarkEnd w:id="490"/>
      <w:bookmarkEnd w:id="491"/>
    </w:p>
    <w:p>
      <w:pPr>
        <w:spacing w:line="360" w:lineRule="auto"/>
        <w:ind w:firstLine="420" w:firstLineChars="200"/>
        <w:rPr>
          <w:rFonts w:ascii="宋体" w:hAnsi="宋体"/>
          <w:szCs w:val="21"/>
        </w:rPr>
      </w:pPr>
      <w:r>
        <w:rPr>
          <w:rFonts w:hint="eastAsia" w:ascii="宋体" w:hAnsi="宋体"/>
          <w:szCs w:val="21"/>
        </w:rPr>
        <w:t>本款细化为：</w:t>
      </w:r>
    </w:p>
    <w:p>
      <w:pPr>
        <w:spacing w:line="360" w:lineRule="auto"/>
        <w:ind w:firstLine="420" w:firstLineChars="200"/>
        <w:rPr>
          <w:rFonts w:ascii="宋体" w:hAnsi="宋体"/>
        </w:rPr>
      </w:pPr>
      <w:r>
        <w:rPr>
          <w:rFonts w:hint="eastAsia" w:ascii="宋体" w:hAnsi="宋体"/>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auto"/>
        <w:ind w:firstLine="420" w:firstLineChars="200"/>
        <w:rPr>
          <w:rFonts w:ascii="宋体" w:hAnsi="宋体"/>
        </w:rPr>
      </w:pPr>
      <w:r>
        <w:rPr>
          <w:rFonts w:hint="eastAsia" w:ascii="宋体" w:hAnsi="宋体"/>
        </w:rPr>
        <w:t>(2)在全部工程交工验收前，已经发包人提前验收的单位工程，其保修期的起算日期相应提前。</w:t>
      </w:r>
    </w:p>
    <w:p>
      <w:pPr>
        <w:spacing w:line="360" w:lineRule="auto"/>
        <w:ind w:firstLine="420" w:firstLineChars="200"/>
        <w:rPr>
          <w:rFonts w:ascii="宋体" w:hAnsi="宋体"/>
        </w:rPr>
      </w:pPr>
      <w:r>
        <w:rPr>
          <w:rFonts w:hint="eastAsia" w:ascii="宋体" w:hAnsi="宋体"/>
        </w:rPr>
        <w:t>(3)工程保修期终止后28天内，监理人签发保修期终止证书。</w:t>
      </w:r>
    </w:p>
    <w:p>
      <w:pPr>
        <w:spacing w:line="360" w:lineRule="auto"/>
        <w:ind w:firstLine="420" w:firstLineChars="200"/>
        <w:rPr>
          <w:rFonts w:ascii="宋体" w:hAnsi="宋体"/>
        </w:rPr>
      </w:pPr>
      <w:r>
        <w:rPr>
          <w:rFonts w:hint="eastAsia" w:ascii="宋体" w:hAnsi="宋体"/>
        </w:rPr>
        <w:t>(4)若承包人不履行保修义务和责任，则承包人应承担由于违约造成的法律后果，并由发包人将其违约行为上报省级交通主管部门，作为不良记录纳入公路建设市场信用信息管理系统。</w:t>
      </w:r>
    </w:p>
    <w:p>
      <w:pPr>
        <w:spacing w:line="360" w:lineRule="auto"/>
        <w:rPr>
          <w:rFonts w:ascii="宋体" w:hAnsi="宋体"/>
          <w:b/>
          <w:sz w:val="28"/>
          <w:szCs w:val="30"/>
          <w:highlight w:val="yellow"/>
        </w:rPr>
      </w:pPr>
      <w:bookmarkStart w:id="492" w:name="_Toc152042521"/>
      <w:bookmarkStart w:id="493" w:name="_Toc152045742"/>
      <w:bookmarkStart w:id="494" w:name="_Toc144974713"/>
      <w:bookmarkStart w:id="495" w:name="_Toc179632760"/>
      <w:r>
        <w:rPr>
          <w:rFonts w:hint="eastAsia" w:ascii="宋体" w:hAnsi="宋体"/>
          <w:b/>
          <w:sz w:val="28"/>
          <w:szCs w:val="30"/>
          <w:highlight w:val="yellow"/>
        </w:rPr>
        <w:t>20.保险</w:t>
      </w:r>
      <w:bookmarkEnd w:id="492"/>
      <w:bookmarkEnd w:id="493"/>
      <w:bookmarkEnd w:id="494"/>
      <w:bookmarkEnd w:id="495"/>
    </w:p>
    <w:p>
      <w:pPr>
        <w:spacing w:line="360" w:lineRule="auto"/>
        <w:rPr>
          <w:rFonts w:ascii="宋体" w:hAnsi="宋体"/>
          <w:b/>
          <w:sz w:val="24"/>
          <w:szCs w:val="28"/>
        </w:rPr>
      </w:pPr>
      <w:bookmarkStart w:id="496" w:name="_Toc144974714"/>
      <w:bookmarkStart w:id="497" w:name="_Toc179632761"/>
      <w:bookmarkStart w:id="498" w:name="_Toc152045743"/>
      <w:bookmarkStart w:id="499" w:name="_Toc152042522"/>
      <w:r>
        <w:rPr>
          <w:rFonts w:hint="eastAsia" w:ascii="宋体" w:hAnsi="宋体"/>
          <w:b/>
          <w:sz w:val="24"/>
          <w:szCs w:val="28"/>
        </w:rPr>
        <w:t>20.1工程保险</w:t>
      </w:r>
      <w:bookmarkEnd w:id="496"/>
      <w:bookmarkEnd w:id="497"/>
      <w:bookmarkEnd w:id="498"/>
      <w:bookmarkEnd w:id="499"/>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建筑工程一切险的投保内容：为本合同工程的永久工程、临时工程和设备及已运至施工工地用于永久工程的材料和设备所投的保险。</w:t>
      </w:r>
    </w:p>
    <w:p>
      <w:pPr>
        <w:spacing w:line="360" w:lineRule="auto"/>
        <w:ind w:firstLine="420" w:firstLineChars="200"/>
        <w:rPr>
          <w:rFonts w:ascii="宋体" w:hAnsi="宋体"/>
        </w:rPr>
      </w:pPr>
      <w:r>
        <w:rPr>
          <w:rFonts w:hint="eastAsia" w:ascii="宋体" w:hAnsi="宋体"/>
        </w:rPr>
        <w:t>保险金额：工程量清单第100章至</w:t>
      </w:r>
      <w:r>
        <w:rPr>
          <w:rFonts w:hint="eastAsia" w:ascii="宋体" w:hAnsi="宋体"/>
          <w:lang w:eastAsia="zh-CN"/>
        </w:rPr>
        <w:t>600章</w:t>
      </w:r>
      <w:r>
        <w:rPr>
          <w:rFonts w:hint="eastAsia" w:ascii="宋体" w:hAnsi="宋体"/>
        </w:rPr>
        <w:t>的合计金额。</w:t>
      </w:r>
    </w:p>
    <w:p>
      <w:pPr>
        <w:spacing w:line="360" w:lineRule="auto"/>
        <w:ind w:firstLine="420" w:firstLineChars="200"/>
        <w:rPr>
          <w:rFonts w:ascii="宋体" w:hAnsi="宋体"/>
        </w:rPr>
      </w:pPr>
      <w:r>
        <w:rPr>
          <w:rFonts w:hint="eastAsia" w:ascii="宋体" w:hAnsi="宋体"/>
        </w:rPr>
        <w:t>保险费率：在项目专用合同条款数据表中约定。</w:t>
      </w:r>
    </w:p>
    <w:p>
      <w:pPr>
        <w:spacing w:line="360" w:lineRule="auto"/>
        <w:ind w:firstLine="420" w:firstLineChars="200"/>
        <w:rPr>
          <w:rFonts w:ascii="宋体" w:hAnsi="宋体"/>
        </w:rPr>
      </w:pPr>
      <w:r>
        <w:rPr>
          <w:rFonts w:hint="eastAsia" w:ascii="宋体" w:hAnsi="宋体"/>
        </w:rPr>
        <w:t>保险期限：开工日起直至本合同工程签发缺陷责任期终止证书止(即合同工期+缺陷责任期)。</w:t>
      </w:r>
    </w:p>
    <w:p>
      <w:pPr>
        <w:spacing w:line="360" w:lineRule="auto"/>
        <w:ind w:firstLine="420" w:firstLineChars="200"/>
        <w:rPr>
          <w:rFonts w:ascii="宋体" w:hAnsi="宋体"/>
        </w:rPr>
      </w:pPr>
      <w:r>
        <w:rPr>
          <w:rFonts w:hint="eastAsia" w:ascii="宋体" w:hAnsi="宋体"/>
        </w:rPr>
        <w:t>承包人应以发包人和承包人的共同名义投保建筑工程一切险。建筑工程一切险的保险费由承包人</w:t>
      </w:r>
      <w:r>
        <w:rPr>
          <w:rFonts w:hint="eastAsia" w:ascii="宋体" w:hAnsi="宋体"/>
          <w:lang w:val="en-US" w:eastAsia="zh-CN"/>
        </w:rPr>
        <w:t>在投标报价中自行考虑</w:t>
      </w:r>
      <w:r>
        <w:rPr>
          <w:rFonts w:hint="eastAsia" w:ascii="宋体" w:hAnsi="宋体"/>
        </w:rPr>
        <w:t>，保险单的费用列入</w:t>
      </w:r>
      <w:r>
        <w:rPr>
          <w:rFonts w:hint="eastAsia" w:ascii="宋体" w:hAnsi="宋体"/>
          <w:lang w:val="en-US" w:eastAsia="zh-CN"/>
        </w:rPr>
        <w:t>投标</w:t>
      </w:r>
      <w:r>
        <w:rPr>
          <w:rFonts w:hint="eastAsia" w:ascii="宋体" w:hAnsi="宋体"/>
        </w:rPr>
        <w:t>总价。</w:t>
      </w:r>
    </w:p>
    <w:p>
      <w:pPr>
        <w:spacing w:line="360" w:lineRule="auto"/>
        <w:rPr>
          <w:rFonts w:ascii="宋体" w:hAnsi="宋体"/>
          <w:b/>
          <w:sz w:val="24"/>
          <w:szCs w:val="28"/>
        </w:rPr>
      </w:pPr>
      <w:bookmarkStart w:id="500" w:name="_Toc152045746"/>
      <w:bookmarkStart w:id="501" w:name="_Toc152042525"/>
      <w:bookmarkStart w:id="502" w:name="_Toc179632764"/>
      <w:bookmarkStart w:id="503" w:name="_Toc144974717"/>
      <w:r>
        <w:rPr>
          <w:rFonts w:hint="eastAsia" w:ascii="宋体" w:hAnsi="宋体"/>
          <w:b/>
          <w:sz w:val="24"/>
          <w:szCs w:val="28"/>
        </w:rPr>
        <w:t>20.4第三者责任险</w:t>
      </w:r>
      <w:bookmarkEnd w:id="500"/>
      <w:bookmarkEnd w:id="501"/>
      <w:bookmarkEnd w:id="502"/>
      <w:bookmarkEnd w:id="503"/>
    </w:p>
    <w:p>
      <w:pPr>
        <w:spacing w:line="360" w:lineRule="auto"/>
        <w:ind w:firstLine="420" w:firstLineChars="200"/>
        <w:rPr>
          <w:rFonts w:ascii="宋体" w:hAnsi="宋体"/>
        </w:rPr>
      </w:pPr>
      <w:r>
        <w:rPr>
          <w:rFonts w:hint="eastAsia" w:ascii="宋体" w:hAnsi="宋体"/>
        </w:rPr>
        <w:t>第20.4.2补充：</w:t>
      </w:r>
    </w:p>
    <w:p>
      <w:pPr>
        <w:spacing w:line="360" w:lineRule="auto"/>
        <w:ind w:firstLine="420" w:firstLineChars="200"/>
        <w:rPr>
          <w:rFonts w:ascii="宋体" w:hAnsi="宋体"/>
        </w:rPr>
      </w:pPr>
      <w:r>
        <w:rPr>
          <w:rFonts w:hint="eastAsia" w:ascii="宋体" w:hAnsi="宋体"/>
        </w:rPr>
        <w:t>第三者责任险的保险费由承包人</w:t>
      </w:r>
      <w:r>
        <w:rPr>
          <w:rFonts w:hint="eastAsia" w:ascii="宋体" w:hAnsi="宋体"/>
          <w:lang w:val="en-US" w:eastAsia="zh-CN"/>
        </w:rPr>
        <w:t>在投标报价中自行考虑</w:t>
      </w:r>
      <w:r>
        <w:rPr>
          <w:rFonts w:hint="eastAsia" w:ascii="宋体" w:hAnsi="宋体"/>
        </w:rPr>
        <w:t>，保险单的费用列入</w:t>
      </w:r>
      <w:r>
        <w:rPr>
          <w:rFonts w:hint="eastAsia" w:ascii="宋体" w:hAnsi="宋体"/>
          <w:lang w:val="en-US" w:eastAsia="zh-CN"/>
        </w:rPr>
        <w:t>投标</w:t>
      </w:r>
      <w:r>
        <w:rPr>
          <w:rFonts w:hint="eastAsia" w:ascii="宋体" w:hAnsi="宋体"/>
        </w:rPr>
        <w:t>总价。</w:t>
      </w:r>
    </w:p>
    <w:p>
      <w:pPr>
        <w:spacing w:line="360" w:lineRule="auto"/>
        <w:rPr>
          <w:rFonts w:ascii="宋体" w:hAnsi="宋体"/>
          <w:b/>
          <w:sz w:val="24"/>
          <w:szCs w:val="28"/>
        </w:rPr>
      </w:pPr>
      <w:bookmarkStart w:id="504" w:name="_Toc144974718"/>
      <w:bookmarkStart w:id="505" w:name="_Toc152042526"/>
      <w:bookmarkStart w:id="506" w:name="_Toc179632765"/>
      <w:bookmarkStart w:id="507" w:name="_Toc152045747"/>
      <w:r>
        <w:rPr>
          <w:rFonts w:hint="eastAsia" w:ascii="宋体" w:hAnsi="宋体"/>
          <w:b/>
          <w:sz w:val="24"/>
          <w:szCs w:val="28"/>
        </w:rPr>
        <w:t>20.5其他保险</w:t>
      </w:r>
      <w:bookmarkEnd w:id="504"/>
      <w:bookmarkEnd w:id="505"/>
      <w:bookmarkEnd w:id="506"/>
      <w:bookmarkEnd w:id="507"/>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承包人应为其施工设备等办理保险，其投保金额应足以现场重置。办理本款保险的一切费用均由承包人承担，并包括在工程量清单的单价及总额价中，发包人不单独支付。</w:t>
      </w:r>
    </w:p>
    <w:p>
      <w:pPr>
        <w:spacing w:line="360" w:lineRule="auto"/>
        <w:rPr>
          <w:rFonts w:ascii="宋体" w:hAnsi="宋体"/>
          <w:b/>
          <w:sz w:val="24"/>
          <w:szCs w:val="28"/>
        </w:rPr>
      </w:pPr>
      <w:bookmarkStart w:id="508" w:name="_Toc179632766"/>
      <w:bookmarkStart w:id="509" w:name="_Toc152045748"/>
      <w:bookmarkStart w:id="510" w:name="_Toc152042527"/>
      <w:bookmarkStart w:id="511" w:name="_Toc144974719"/>
      <w:r>
        <w:rPr>
          <w:rFonts w:hint="eastAsia" w:ascii="宋体" w:hAnsi="宋体"/>
          <w:b/>
          <w:sz w:val="24"/>
          <w:szCs w:val="28"/>
        </w:rPr>
        <w:t>20.6对各项保险的一般要求</w:t>
      </w:r>
      <w:bookmarkEnd w:id="508"/>
      <w:bookmarkEnd w:id="509"/>
      <w:bookmarkEnd w:id="510"/>
      <w:bookmarkEnd w:id="511"/>
    </w:p>
    <w:p>
      <w:pPr>
        <w:spacing w:line="360" w:lineRule="auto"/>
        <w:ind w:firstLine="422" w:firstLineChars="200"/>
        <w:rPr>
          <w:rFonts w:ascii="宋体" w:hAnsi="宋体"/>
          <w:b/>
        </w:rPr>
      </w:pPr>
      <w:r>
        <w:rPr>
          <w:rFonts w:hint="eastAsia" w:ascii="宋体" w:hAnsi="宋体"/>
          <w:b/>
        </w:rPr>
        <w:t>20.6.1保险凭证</w:t>
      </w:r>
    </w:p>
    <w:p>
      <w:pPr>
        <w:spacing w:line="360" w:lineRule="auto"/>
        <w:ind w:firstLine="420" w:firstLineChars="200"/>
        <w:rPr>
          <w:rFonts w:ascii="宋体" w:hAnsi="宋体"/>
        </w:rPr>
      </w:pPr>
      <w:r>
        <w:rPr>
          <w:rFonts w:hint="eastAsia" w:ascii="宋体" w:hAnsi="宋体"/>
        </w:rPr>
        <w:t>承包人向发包人提交各项保险生效的证据和保险单副本的期限：</w:t>
      </w:r>
      <w:r>
        <w:rPr>
          <w:rFonts w:hint="eastAsia" w:ascii="宋体" w:hAnsi="宋体"/>
          <w:lang w:val="en-US" w:eastAsia="zh-CN"/>
        </w:rPr>
        <w:t>合同签订</w:t>
      </w:r>
      <w:r>
        <w:rPr>
          <w:rFonts w:hint="eastAsia" w:ascii="宋体" w:hAnsi="宋体"/>
        </w:rPr>
        <w:t>后</w:t>
      </w:r>
      <w:r>
        <w:rPr>
          <w:rFonts w:hint="eastAsia" w:ascii="宋体" w:hAnsi="宋体"/>
          <w:lang w:val="en-US" w:eastAsia="zh-CN"/>
        </w:rPr>
        <w:t>15</w:t>
      </w:r>
      <w:r>
        <w:rPr>
          <w:rFonts w:hint="eastAsia" w:ascii="宋体" w:hAnsi="宋体"/>
        </w:rPr>
        <w:t>天内。</w:t>
      </w:r>
    </w:p>
    <w:p>
      <w:pPr>
        <w:spacing w:line="360" w:lineRule="auto"/>
        <w:ind w:firstLine="422" w:firstLineChars="200"/>
        <w:rPr>
          <w:rFonts w:ascii="宋体" w:hAnsi="宋体"/>
          <w:b/>
        </w:rPr>
      </w:pPr>
      <w:r>
        <w:rPr>
          <w:rFonts w:hint="eastAsia" w:ascii="宋体" w:hAnsi="宋体"/>
          <w:b/>
        </w:rPr>
        <w:t>20.6.3持续保险</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在整个合同期内，承包人应按合同条款规定保证足够的保险额。</w:t>
      </w:r>
    </w:p>
    <w:p>
      <w:pPr>
        <w:spacing w:line="360" w:lineRule="auto"/>
        <w:ind w:firstLine="422" w:firstLineChars="200"/>
        <w:rPr>
          <w:rFonts w:ascii="宋体" w:hAnsi="宋体"/>
          <w:b/>
        </w:rPr>
      </w:pPr>
      <w:r>
        <w:rPr>
          <w:rFonts w:hint="eastAsia" w:ascii="宋体" w:hAnsi="宋体"/>
          <w:b/>
        </w:rPr>
        <w:t>20.6.4保险金不足的补偿</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保险金不足以补偿损失的(包括免赔额和超过赔偿限额的部分)，应由承包人和(或)发包人按合同约定负责补偿。</w:t>
      </w:r>
    </w:p>
    <w:p>
      <w:pPr>
        <w:spacing w:line="360" w:lineRule="auto"/>
        <w:ind w:firstLine="422" w:firstLineChars="200"/>
        <w:rPr>
          <w:rFonts w:ascii="宋体" w:hAnsi="宋体"/>
          <w:b/>
        </w:rPr>
      </w:pPr>
      <w:r>
        <w:rPr>
          <w:rFonts w:hint="eastAsia" w:ascii="宋体" w:hAnsi="宋体"/>
          <w:b/>
        </w:rPr>
        <w:t>20.6.5未按约定投保的补救</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spacing w:line="360" w:lineRule="auto"/>
        <w:ind w:firstLine="420" w:firstLineChars="200"/>
        <w:rPr>
          <w:rFonts w:ascii="宋体" w:hAnsi="宋体"/>
        </w:rPr>
      </w:pPr>
    </w:p>
    <w:p>
      <w:pPr>
        <w:spacing w:line="360" w:lineRule="auto"/>
        <w:rPr>
          <w:rFonts w:ascii="宋体" w:hAnsi="宋体"/>
          <w:b/>
          <w:sz w:val="28"/>
          <w:szCs w:val="30"/>
        </w:rPr>
      </w:pPr>
      <w:bookmarkStart w:id="512" w:name="_Toc144974720"/>
      <w:bookmarkStart w:id="513" w:name="_Toc179632767"/>
      <w:bookmarkStart w:id="514" w:name="_Toc152042528"/>
      <w:bookmarkStart w:id="515" w:name="_Toc152045749"/>
      <w:r>
        <w:rPr>
          <w:rFonts w:hint="eastAsia" w:ascii="宋体" w:hAnsi="宋体"/>
          <w:b/>
          <w:sz w:val="28"/>
          <w:szCs w:val="30"/>
        </w:rPr>
        <w:t>21.不可抗力</w:t>
      </w:r>
      <w:bookmarkEnd w:id="512"/>
      <w:bookmarkEnd w:id="513"/>
      <w:bookmarkEnd w:id="514"/>
      <w:bookmarkEnd w:id="515"/>
    </w:p>
    <w:p>
      <w:pPr>
        <w:spacing w:line="360" w:lineRule="auto"/>
        <w:rPr>
          <w:rFonts w:ascii="宋体" w:hAnsi="宋体"/>
          <w:b/>
          <w:sz w:val="24"/>
          <w:szCs w:val="28"/>
        </w:rPr>
      </w:pPr>
      <w:bookmarkStart w:id="516" w:name="_Toc152045750"/>
      <w:bookmarkStart w:id="517" w:name="_Toc179632768"/>
      <w:bookmarkStart w:id="518" w:name="_Toc144974721"/>
      <w:bookmarkStart w:id="519" w:name="_Toc152042529"/>
      <w:r>
        <w:rPr>
          <w:rFonts w:hint="eastAsia" w:ascii="宋体" w:hAnsi="宋体"/>
          <w:b/>
          <w:sz w:val="24"/>
          <w:szCs w:val="28"/>
        </w:rPr>
        <w:t>21.1不可抗力的确认</w:t>
      </w:r>
      <w:bookmarkEnd w:id="516"/>
      <w:bookmarkEnd w:id="517"/>
      <w:bookmarkEnd w:id="518"/>
      <w:bookmarkEnd w:id="519"/>
    </w:p>
    <w:p>
      <w:pPr>
        <w:spacing w:line="360" w:lineRule="auto"/>
        <w:ind w:firstLine="420" w:firstLineChars="200"/>
        <w:rPr>
          <w:rFonts w:ascii="宋体" w:hAnsi="宋体"/>
        </w:rPr>
      </w:pPr>
      <w:r>
        <w:rPr>
          <w:rFonts w:hint="eastAsia" w:ascii="宋体" w:hAnsi="宋体"/>
        </w:rPr>
        <w:t>第21.1.1项细化为：</w:t>
      </w:r>
    </w:p>
    <w:p>
      <w:pPr>
        <w:spacing w:line="360" w:lineRule="auto"/>
        <w:ind w:firstLine="420" w:firstLineChars="200"/>
        <w:rPr>
          <w:rFonts w:ascii="宋体" w:hAnsi="宋体"/>
        </w:rPr>
      </w:pPr>
      <w:r>
        <w:rPr>
          <w:rFonts w:hint="eastAsia" w:ascii="宋体" w:hAnsi="宋体"/>
        </w:rPr>
        <w:t>不可抗力是指承包人和发包人在订立合同时不可预见，在工程施工过程中不可避免发生并不能克服的自然灾害和社会性突发事件。包括但不限于：</w:t>
      </w:r>
    </w:p>
    <w:p>
      <w:pPr>
        <w:spacing w:line="360" w:lineRule="auto"/>
        <w:ind w:firstLine="420" w:firstLineChars="200"/>
        <w:rPr>
          <w:rFonts w:ascii="宋体" w:hAnsi="宋体"/>
        </w:rPr>
      </w:pPr>
      <w:r>
        <w:rPr>
          <w:rFonts w:hint="eastAsia" w:ascii="宋体" w:hAnsi="宋体"/>
        </w:rPr>
        <w:t>(1)地震、海啸、火山爆发、泥石流、暴雨(雪)、台风、龙卷风、水灾等自然灾害；</w:t>
      </w:r>
    </w:p>
    <w:p>
      <w:pPr>
        <w:spacing w:line="360" w:lineRule="auto"/>
        <w:ind w:firstLine="420" w:firstLineChars="200"/>
        <w:rPr>
          <w:rFonts w:ascii="宋体" w:hAnsi="宋体"/>
        </w:rPr>
      </w:pPr>
      <w:r>
        <w:rPr>
          <w:rFonts w:hint="eastAsia" w:ascii="宋体" w:hAnsi="宋体"/>
        </w:rPr>
        <w:t>(2)战争、骚乱、暴动，但纯属承包人或其分包人派遣与雇用的人员由于本合同工程施工原因引起者除外；</w:t>
      </w:r>
    </w:p>
    <w:p>
      <w:pPr>
        <w:spacing w:line="360" w:lineRule="auto"/>
        <w:ind w:firstLine="420" w:firstLineChars="200"/>
        <w:rPr>
          <w:rFonts w:ascii="宋体" w:hAnsi="宋体"/>
        </w:rPr>
      </w:pPr>
      <w:r>
        <w:rPr>
          <w:rFonts w:hint="eastAsia" w:ascii="宋体" w:hAnsi="宋体"/>
        </w:rPr>
        <w:t>(3)核反应、辐射或放射性污染；</w:t>
      </w:r>
    </w:p>
    <w:p>
      <w:pPr>
        <w:spacing w:line="360" w:lineRule="auto"/>
        <w:ind w:firstLine="420" w:firstLineChars="200"/>
        <w:rPr>
          <w:rFonts w:ascii="宋体" w:hAnsi="宋体"/>
        </w:rPr>
      </w:pPr>
      <w:r>
        <w:rPr>
          <w:rFonts w:hint="eastAsia" w:ascii="宋体" w:hAnsi="宋体"/>
        </w:rPr>
        <w:t>(4)空中飞行物体坠落或非发包人或承包人责任造成的爆炸、火灾；</w:t>
      </w:r>
    </w:p>
    <w:p>
      <w:pPr>
        <w:spacing w:line="360" w:lineRule="auto"/>
        <w:ind w:firstLine="420" w:firstLineChars="200"/>
        <w:rPr>
          <w:rFonts w:ascii="宋体" w:hAnsi="宋体"/>
        </w:rPr>
      </w:pPr>
      <w:r>
        <w:rPr>
          <w:rFonts w:hint="eastAsia" w:ascii="宋体" w:hAnsi="宋体"/>
        </w:rPr>
        <w:t>(5)瘟疫；</w:t>
      </w:r>
    </w:p>
    <w:p>
      <w:pPr>
        <w:spacing w:line="360" w:lineRule="auto"/>
        <w:ind w:firstLine="420" w:firstLineChars="200"/>
        <w:rPr>
          <w:rFonts w:ascii="宋体" w:hAnsi="宋体"/>
        </w:rPr>
      </w:pPr>
      <w:r>
        <w:rPr>
          <w:rFonts w:hint="eastAsia" w:ascii="宋体" w:hAnsi="宋体"/>
        </w:rPr>
        <w:t>(6)项目专用合同条款约定的其他情形。</w:t>
      </w:r>
    </w:p>
    <w:p>
      <w:pPr>
        <w:spacing w:line="360" w:lineRule="auto"/>
        <w:rPr>
          <w:rFonts w:ascii="宋体" w:hAnsi="宋体"/>
          <w:b/>
          <w:sz w:val="24"/>
          <w:szCs w:val="28"/>
        </w:rPr>
      </w:pPr>
      <w:bookmarkStart w:id="520" w:name="_Toc152045752"/>
      <w:bookmarkStart w:id="521" w:name="_Toc152042531"/>
      <w:bookmarkStart w:id="522" w:name="_Toc144974723"/>
      <w:bookmarkStart w:id="523" w:name="_Toc179632770"/>
      <w:r>
        <w:rPr>
          <w:rFonts w:hint="eastAsia" w:ascii="宋体" w:hAnsi="宋体"/>
          <w:b/>
          <w:sz w:val="24"/>
          <w:szCs w:val="28"/>
        </w:rPr>
        <w:t>21.3不可抗力后果及其处理</w:t>
      </w:r>
      <w:bookmarkEnd w:id="520"/>
      <w:bookmarkEnd w:id="521"/>
      <w:bookmarkEnd w:id="522"/>
      <w:bookmarkEnd w:id="523"/>
    </w:p>
    <w:p>
      <w:pPr>
        <w:spacing w:line="360" w:lineRule="auto"/>
        <w:ind w:firstLine="422" w:firstLineChars="200"/>
        <w:rPr>
          <w:rFonts w:ascii="宋体" w:hAnsi="宋体"/>
          <w:b/>
        </w:rPr>
      </w:pPr>
      <w:r>
        <w:rPr>
          <w:rFonts w:hint="eastAsia" w:ascii="宋体" w:hAnsi="宋体"/>
          <w:b/>
        </w:rPr>
        <w:t>21.3.4因不可抗力解除合同</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spacing w:line="360" w:lineRule="auto"/>
        <w:rPr>
          <w:rFonts w:ascii="宋体" w:hAnsi="宋体"/>
          <w:b/>
          <w:sz w:val="28"/>
          <w:szCs w:val="30"/>
        </w:rPr>
      </w:pPr>
      <w:bookmarkStart w:id="524" w:name="_Toc152045753"/>
      <w:bookmarkStart w:id="525" w:name="_Toc179632771"/>
      <w:bookmarkStart w:id="526" w:name="_Toc144974724"/>
      <w:bookmarkStart w:id="527" w:name="_Toc152042532"/>
      <w:r>
        <w:rPr>
          <w:rFonts w:hint="eastAsia" w:ascii="宋体" w:hAnsi="宋体"/>
          <w:b/>
          <w:sz w:val="28"/>
          <w:szCs w:val="30"/>
        </w:rPr>
        <w:t>22.违约</w:t>
      </w:r>
      <w:bookmarkEnd w:id="524"/>
      <w:bookmarkEnd w:id="525"/>
      <w:bookmarkEnd w:id="526"/>
      <w:bookmarkEnd w:id="527"/>
    </w:p>
    <w:p>
      <w:pPr>
        <w:spacing w:line="360" w:lineRule="auto"/>
        <w:rPr>
          <w:rFonts w:ascii="宋体" w:hAnsi="宋体"/>
          <w:b/>
          <w:sz w:val="24"/>
          <w:szCs w:val="28"/>
        </w:rPr>
      </w:pPr>
      <w:bookmarkStart w:id="528" w:name="_Toc144974725"/>
      <w:bookmarkStart w:id="529" w:name="_Toc179632772"/>
      <w:bookmarkStart w:id="530" w:name="_Toc152042533"/>
      <w:bookmarkStart w:id="531" w:name="_Toc152045754"/>
      <w:r>
        <w:rPr>
          <w:rFonts w:hint="eastAsia" w:ascii="宋体" w:hAnsi="宋体"/>
          <w:b/>
          <w:sz w:val="24"/>
          <w:szCs w:val="28"/>
        </w:rPr>
        <w:t>22.1承包人违约</w:t>
      </w:r>
      <w:bookmarkEnd w:id="528"/>
      <w:bookmarkEnd w:id="529"/>
      <w:bookmarkEnd w:id="530"/>
      <w:bookmarkEnd w:id="531"/>
    </w:p>
    <w:p>
      <w:pPr>
        <w:spacing w:line="360" w:lineRule="auto"/>
        <w:ind w:firstLine="422" w:firstLineChars="200"/>
        <w:rPr>
          <w:rFonts w:ascii="宋体" w:hAnsi="宋体"/>
          <w:b/>
        </w:rPr>
      </w:pPr>
      <w:r>
        <w:rPr>
          <w:rFonts w:hint="eastAsia" w:ascii="宋体" w:hAnsi="宋体"/>
          <w:b/>
        </w:rPr>
        <w:t>22.1.1承包人违约的情形</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（2）承包人违反第5.3款或第6.4款的约定，未经监理人批准，私自将已按合同约定进入施工场地的施工设备、临时设施、材料或工程设备撤离施工场地；</w:t>
      </w:r>
    </w:p>
    <w:p>
      <w:pPr>
        <w:spacing w:line="360" w:lineRule="auto"/>
        <w:ind w:firstLine="420" w:firstLineChars="200"/>
        <w:rPr>
          <w:rFonts w:ascii="宋体" w:hAnsi="宋体"/>
        </w:rPr>
      </w:pPr>
      <w:r>
        <w:rPr>
          <w:rFonts w:hint="eastAsia" w:ascii="宋体" w:hAnsi="宋体"/>
        </w:rPr>
        <w:t>本项（7）目细化为：</w:t>
      </w:r>
    </w:p>
    <w:p>
      <w:pPr>
        <w:spacing w:line="360" w:lineRule="auto"/>
        <w:ind w:firstLine="420" w:firstLineChars="200"/>
        <w:rPr>
          <w:rFonts w:ascii="宋体" w:hAnsi="宋体"/>
        </w:rPr>
      </w:pPr>
      <w:r>
        <w:rPr>
          <w:rFonts w:hint="eastAsia" w:ascii="宋体" w:hAnsi="宋体"/>
        </w:rPr>
        <w:t>（7）承包人未能按期开工；</w:t>
      </w:r>
    </w:p>
    <w:p>
      <w:pPr>
        <w:spacing w:line="360" w:lineRule="auto"/>
        <w:ind w:firstLine="420" w:firstLineChars="200"/>
        <w:rPr>
          <w:rFonts w:ascii="宋体" w:hAnsi="宋体"/>
        </w:rPr>
      </w:pPr>
      <w:r>
        <w:rPr>
          <w:rFonts w:hint="eastAsia" w:ascii="宋体" w:hAnsi="宋体"/>
        </w:rPr>
        <w:t>（8）承包人违反第4.6款或6.3款的规定，未按承诺或未按监理人的要求及时配备称职的主要管理人员、技术骨干或关键施工设备；</w:t>
      </w:r>
    </w:p>
    <w:p>
      <w:pPr>
        <w:spacing w:line="360" w:lineRule="auto"/>
        <w:ind w:firstLine="420" w:firstLineChars="200"/>
        <w:rPr>
          <w:rFonts w:ascii="宋体" w:hAnsi="宋体"/>
        </w:rPr>
      </w:pPr>
      <w:r>
        <w:rPr>
          <w:rFonts w:hint="eastAsia" w:ascii="宋体" w:hAnsi="宋体"/>
        </w:rPr>
        <w:t>（9）经监理人和发包人检查，发现承包人有安全问题或有违反安全管理规章制度的情况；</w:t>
      </w:r>
    </w:p>
    <w:p>
      <w:pPr>
        <w:spacing w:line="360" w:lineRule="auto"/>
        <w:ind w:firstLine="420" w:firstLineChars="200"/>
        <w:rPr>
          <w:rFonts w:ascii="宋体" w:hAnsi="宋体"/>
        </w:rPr>
      </w:pPr>
      <w:r>
        <w:rPr>
          <w:rFonts w:hint="eastAsia" w:ascii="宋体" w:hAnsi="宋体"/>
        </w:rPr>
        <w:t>（10）承包人不按合同约定履行义务的其他情况。</w:t>
      </w:r>
    </w:p>
    <w:p>
      <w:pPr>
        <w:spacing w:line="360" w:lineRule="auto"/>
        <w:ind w:firstLine="422" w:firstLineChars="200"/>
        <w:rPr>
          <w:rFonts w:ascii="宋体" w:hAnsi="宋体"/>
          <w:b/>
        </w:rPr>
      </w:pPr>
      <w:r>
        <w:rPr>
          <w:rFonts w:hint="eastAsia" w:ascii="宋体" w:hAnsi="宋体"/>
          <w:b/>
        </w:rPr>
        <w:t>22.1.2对承包人违约的处理</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spacing w:line="360" w:lineRule="auto"/>
        <w:rPr>
          <w:rFonts w:ascii="宋体" w:hAnsi="宋体"/>
          <w:b/>
          <w:sz w:val="24"/>
          <w:szCs w:val="28"/>
        </w:rPr>
      </w:pPr>
      <w:bookmarkStart w:id="532" w:name="_Toc152042534"/>
      <w:bookmarkStart w:id="533" w:name="_Toc179632773"/>
      <w:bookmarkStart w:id="534" w:name="_Toc152045755"/>
      <w:bookmarkStart w:id="535" w:name="_Toc144974726"/>
      <w:r>
        <w:rPr>
          <w:rFonts w:hint="eastAsia" w:ascii="宋体" w:hAnsi="宋体"/>
          <w:b/>
          <w:sz w:val="24"/>
          <w:szCs w:val="28"/>
        </w:rPr>
        <w:t>22.2发包人违约</w:t>
      </w:r>
      <w:bookmarkEnd w:id="532"/>
      <w:bookmarkEnd w:id="533"/>
      <w:bookmarkEnd w:id="534"/>
      <w:bookmarkEnd w:id="535"/>
    </w:p>
    <w:p>
      <w:pPr>
        <w:spacing w:line="360" w:lineRule="auto"/>
        <w:ind w:firstLine="422" w:firstLineChars="200"/>
        <w:rPr>
          <w:rFonts w:ascii="宋体" w:hAnsi="宋体"/>
          <w:b/>
        </w:rPr>
      </w:pPr>
      <w:r>
        <w:rPr>
          <w:rFonts w:hint="eastAsia" w:ascii="宋体" w:hAnsi="宋体"/>
          <w:b/>
        </w:rPr>
        <w:t>22.2.1发包人违约的情形</w:t>
      </w:r>
    </w:p>
    <w:p>
      <w:pPr>
        <w:spacing w:line="360" w:lineRule="auto"/>
        <w:ind w:firstLine="420" w:firstLineChars="200"/>
        <w:rPr>
          <w:rFonts w:ascii="宋体" w:hAnsi="宋体"/>
        </w:rPr>
      </w:pPr>
      <w:r>
        <w:rPr>
          <w:rFonts w:hint="eastAsia" w:ascii="宋体" w:hAnsi="宋体"/>
        </w:rPr>
        <w:t>本项（5）目细化为：</w:t>
      </w:r>
    </w:p>
    <w:p>
      <w:pPr>
        <w:spacing w:line="360" w:lineRule="auto"/>
        <w:ind w:firstLine="420" w:firstLineChars="200"/>
        <w:rPr>
          <w:rFonts w:ascii="宋体" w:hAnsi="宋体"/>
        </w:rPr>
      </w:pPr>
      <w:r>
        <w:rPr>
          <w:rFonts w:hint="eastAsia" w:ascii="宋体" w:hAnsi="宋体"/>
        </w:rPr>
        <w:t>（5）发包人无正当理由不按时返还履约保证金、质量保证金或农民工工资保证金的。</w:t>
      </w:r>
    </w:p>
    <w:p>
      <w:pPr>
        <w:spacing w:line="360" w:lineRule="auto"/>
        <w:ind w:firstLine="420" w:firstLineChars="200"/>
        <w:rPr>
          <w:rFonts w:ascii="宋体" w:hAnsi="宋体"/>
        </w:rPr>
      </w:pPr>
      <w:r>
        <w:rPr>
          <w:rFonts w:hint="eastAsia" w:ascii="宋体" w:hAnsi="宋体"/>
        </w:rPr>
        <w:t>（6）发包人不履行合同约定其他义务的。</w:t>
      </w:r>
    </w:p>
    <w:p>
      <w:pPr>
        <w:spacing w:line="360" w:lineRule="auto"/>
        <w:ind w:firstLine="422" w:firstLineChars="200"/>
        <w:rPr>
          <w:rFonts w:ascii="宋体" w:hAnsi="宋体"/>
          <w:b/>
        </w:rPr>
      </w:pPr>
      <w:r>
        <w:rPr>
          <w:rFonts w:hint="eastAsia" w:ascii="宋体" w:hAnsi="宋体"/>
          <w:b/>
        </w:rPr>
        <w:t>22.2.2承包人有权暂停施工</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ind w:firstLine="420" w:firstLineChars="200"/>
        <w:rPr>
          <w:rFonts w:ascii="宋体" w:hAnsi="宋体"/>
        </w:rPr>
      </w:pPr>
      <w:r>
        <w:rPr>
          <w:rFonts w:hint="eastAsia" w:ascii="宋体" w:hAnsi="宋体"/>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pPr>
        <w:spacing w:line="360" w:lineRule="auto"/>
        <w:ind w:firstLine="422" w:firstLineChars="200"/>
        <w:rPr>
          <w:rFonts w:ascii="宋体" w:hAnsi="宋体"/>
          <w:b/>
        </w:rPr>
      </w:pPr>
      <w:r>
        <w:rPr>
          <w:rFonts w:hint="eastAsia" w:ascii="宋体" w:hAnsi="宋体"/>
          <w:b/>
        </w:rPr>
        <w:t>22.2.4解除合同后的付款</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（2）承包人为该工程施工订购并已付款的材料、工程设备和其他物品的金额。发包人付款后，该材料、工程设备和其他物品归发包人所有；</w:t>
      </w:r>
    </w:p>
    <w:p>
      <w:pPr>
        <w:spacing w:line="360" w:lineRule="auto"/>
        <w:rPr>
          <w:rFonts w:ascii="宋体" w:hAnsi="宋体"/>
          <w:b/>
          <w:sz w:val="28"/>
          <w:szCs w:val="30"/>
        </w:rPr>
      </w:pPr>
      <w:bookmarkStart w:id="536" w:name="_Toc179632775"/>
      <w:bookmarkStart w:id="537" w:name="_Toc152045757"/>
      <w:bookmarkStart w:id="538" w:name="_Toc152042536"/>
      <w:bookmarkStart w:id="539" w:name="_Toc144974727"/>
      <w:r>
        <w:rPr>
          <w:rFonts w:hint="eastAsia" w:ascii="宋体" w:hAnsi="宋体"/>
          <w:b/>
          <w:sz w:val="28"/>
          <w:szCs w:val="30"/>
        </w:rPr>
        <w:t>23.索赔</w:t>
      </w:r>
      <w:bookmarkEnd w:id="536"/>
      <w:bookmarkEnd w:id="537"/>
      <w:bookmarkEnd w:id="538"/>
      <w:bookmarkEnd w:id="539"/>
    </w:p>
    <w:p>
      <w:pPr>
        <w:spacing w:line="360" w:lineRule="auto"/>
        <w:rPr>
          <w:rFonts w:ascii="宋体" w:hAnsi="宋体"/>
          <w:b/>
          <w:sz w:val="24"/>
          <w:szCs w:val="28"/>
        </w:rPr>
      </w:pPr>
      <w:bookmarkStart w:id="540" w:name="_Toc144974728"/>
      <w:bookmarkStart w:id="541" w:name="_Toc152045758"/>
      <w:bookmarkStart w:id="542" w:name="_Toc152042537"/>
      <w:bookmarkStart w:id="543" w:name="_Toc179632776"/>
      <w:r>
        <w:rPr>
          <w:rFonts w:hint="eastAsia" w:ascii="宋体" w:hAnsi="宋体"/>
          <w:b/>
          <w:sz w:val="24"/>
          <w:szCs w:val="28"/>
        </w:rPr>
        <w:t>23.1承包人索赔的提出</w:t>
      </w:r>
      <w:bookmarkEnd w:id="540"/>
      <w:bookmarkEnd w:id="541"/>
      <w:bookmarkEnd w:id="542"/>
      <w:bookmarkEnd w:id="543"/>
    </w:p>
    <w:p>
      <w:pPr>
        <w:spacing w:line="360" w:lineRule="auto"/>
        <w:ind w:firstLine="420" w:firstLineChars="200"/>
        <w:rPr>
          <w:rFonts w:ascii="宋体" w:hAnsi="宋体"/>
        </w:rPr>
      </w:pPr>
      <w:r>
        <w:rPr>
          <w:rFonts w:hint="eastAsia" w:ascii="宋体" w:hAnsi="宋体"/>
        </w:rPr>
        <w:t>本款第（4）项细化为：</w:t>
      </w:r>
    </w:p>
    <w:p>
      <w:pPr>
        <w:spacing w:line="360" w:lineRule="auto"/>
        <w:ind w:firstLine="420" w:firstLineChars="200"/>
        <w:rPr>
          <w:rFonts w:ascii="宋体" w:hAnsi="宋体"/>
        </w:rPr>
      </w:pPr>
      <w:r>
        <w:rPr>
          <w:rFonts w:hint="eastAsia" w:ascii="宋体" w:hAnsi="宋体"/>
        </w:rPr>
        <w:t>（4）在索赔事件影响结束后的28天内，承包人应向监理人递交最终索赔通知书，说明最终要求索赔的追加付款金额和(或)延长的工期，并附必要的记录和证明材料。</w:t>
      </w:r>
    </w:p>
    <w:p>
      <w:pPr>
        <w:spacing w:line="360" w:lineRule="auto"/>
        <w:rPr>
          <w:rFonts w:ascii="宋体" w:hAnsi="宋体"/>
          <w:b/>
          <w:sz w:val="22"/>
          <w:szCs w:val="28"/>
        </w:rPr>
      </w:pPr>
      <w:bookmarkStart w:id="544" w:name="_Toc152045759"/>
      <w:bookmarkStart w:id="545" w:name="_Toc144974729"/>
      <w:bookmarkStart w:id="546" w:name="_Toc152042538"/>
      <w:bookmarkStart w:id="547" w:name="_Toc179632777"/>
      <w:r>
        <w:rPr>
          <w:rFonts w:hint="eastAsia" w:ascii="宋体" w:hAnsi="宋体"/>
          <w:b/>
          <w:sz w:val="22"/>
          <w:szCs w:val="28"/>
        </w:rPr>
        <w:t>23.2承包人索赔处理程序</w:t>
      </w:r>
      <w:bookmarkEnd w:id="544"/>
      <w:bookmarkEnd w:id="545"/>
      <w:bookmarkEnd w:id="546"/>
      <w:bookmarkEnd w:id="547"/>
    </w:p>
    <w:p>
      <w:pPr>
        <w:spacing w:line="360" w:lineRule="auto"/>
        <w:ind w:firstLine="420" w:firstLineChars="200"/>
        <w:rPr>
          <w:rFonts w:ascii="宋体" w:hAnsi="宋体"/>
        </w:rPr>
      </w:pPr>
      <w:r>
        <w:rPr>
          <w:rFonts w:hint="eastAsia" w:ascii="宋体" w:hAnsi="宋体"/>
        </w:rPr>
        <w:t>本款第（2）项细化为：</w:t>
      </w:r>
    </w:p>
    <w:p>
      <w:pPr>
        <w:spacing w:line="360" w:lineRule="auto"/>
        <w:ind w:firstLine="420" w:firstLineChars="200"/>
        <w:rPr>
          <w:rFonts w:ascii="宋体" w:hAnsi="宋体"/>
        </w:rPr>
      </w:pPr>
      <w:r>
        <w:rPr>
          <w:rFonts w:hint="eastAsia" w:ascii="宋体" w:hAnsi="宋体"/>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spacing w:line="360" w:lineRule="auto"/>
        <w:rPr>
          <w:rFonts w:ascii="宋体" w:hAnsi="宋体"/>
          <w:b/>
          <w:sz w:val="28"/>
          <w:szCs w:val="30"/>
        </w:rPr>
      </w:pPr>
      <w:bookmarkStart w:id="548" w:name="_Toc179632780"/>
      <w:bookmarkStart w:id="549" w:name="_Toc152045762"/>
      <w:bookmarkStart w:id="550" w:name="_Toc144974732"/>
      <w:bookmarkStart w:id="551" w:name="_Toc152042541"/>
      <w:r>
        <w:rPr>
          <w:rFonts w:hint="eastAsia" w:ascii="宋体" w:hAnsi="宋体"/>
          <w:b/>
          <w:sz w:val="28"/>
          <w:szCs w:val="30"/>
        </w:rPr>
        <w:t>24.争议的解决</w:t>
      </w:r>
      <w:bookmarkEnd w:id="548"/>
      <w:bookmarkEnd w:id="549"/>
      <w:bookmarkEnd w:id="550"/>
      <w:bookmarkEnd w:id="551"/>
    </w:p>
    <w:p>
      <w:pPr>
        <w:spacing w:line="360" w:lineRule="auto"/>
        <w:rPr>
          <w:rFonts w:ascii="宋体" w:hAnsi="宋体"/>
          <w:b/>
          <w:sz w:val="24"/>
          <w:szCs w:val="28"/>
        </w:rPr>
      </w:pPr>
      <w:bookmarkStart w:id="552" w:name="_Toc179632783"/>
      <w:bookmarkStart w:id="553" w:name="_Toc152045765"/>
      <w:bookmarkStart w:id="554" w:name="_Toc144974735"/>
      <w:bookmarkStart w:id="555" w:name="_Toc152042544"/>
      <w:r>
        <w:rPr>
          <w:rFonts w:hint="eastAsia" w:ascii="宋体" w:hAnsi="宋体"/>
          <w:b/>
          <w:sz w:val="24"/>
          <w:szCs w:val="28"/>
        </w:rPr>
        <w:t>24.3争议评审</w:t>
      </w:r>
      <w:bookmarkEnd w:id="552"/>
      <w:bookmarkEnd w:id="553"/>
      <w:bookmarkEnd w:id="554"/>
      <w:bookmarkEnd w:id="555"/>
    </w:p>
    <w:p>
      <w:pPr>
        <w:spacing w:line="360" w:lineRule="auto"/>
        <w:ind w:firstLine="420" w:firstLineChars="200"/>
        <w:rPr>
          <w:rFonts w:ascii="宋体" w:hAnsi="宋体"/>
        </w:rPr>
      </w:pPr>
      <w:r>
        <w:rPr>
          <w:rFonts w:hint="eastAsia" w:ascii="宋体" w:hAnsi="宋体"/>
        </w:rPr>
        <w:t>第24.3.1项补充：</w:t>
      </w:r>
    </w:p>
    <w:p>
      <w:pPr>
        <w:spacing w:line="360" w:lineRule="auto"/>
        <w:ind w:firstLine="420" w:firstLineChars="200"/>
        <w:rPr>
          <w:rFonts w:ascii="宋体" w:hAnsi="宋体"/>
        </w:rPr>
      </w:pPr>
      <w:r>
        <w:rPr>
          <w:rFonts w:hint="eastAsia" w:ascii="宋体" w:hAnsi="宋体"/>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auto"/>
        <w:rPr>
          <w:rFonts w:ascii="宋体" w:hAnsi="宋体"/>
          <w:b/>
          <w:sz w:val="28"/>
          <w:szCs w:val="28"/>
        </w:rPr>
      </w:pPr>
    </w:p>
    <w:p>
      <w:pPr>
        <w:spacing w:line="360" w:lineRule="auto"/>
        <w:ind w:firstLine="420" w:firstLineChars="200"/>
        <w:rPr>
          <w:rFonts w:ascii="宋体" w:hAnsi="宋体"/>
        </w:rPr>
      </w:pPr>
      <w:r>
        <w:rPr>
          <w:rFonts w:hint="eastAsia" w:ascii="宋体" w:hAnsi="宋体"/>
        </w:rPr>
        <w:t>本条补充第24.4、第24.5款（适用于采用仲裁方式最终解决争议的项目）</w:t>
      </w:r>
    </w:p>
    <w:p>
      <w:pPr>
        <w:spacing w:line="360" w:lineRule="auto"/>
        <w:rPr>
          <w:rFonts w:ascii="宋体" w:hAnsi="宋体"/>
          <w:b/>
          <w:sz w:val="24"/>
          <w:szCs w:val="28"/>
        </w:rPr>
      </w:pPr>
      <w:r>
        <w:rPr>
          <w:rFonts w:hint="eastAsia" w:ascii="宋体" w:hAnsi="宋体"/>
          <w:b/>
          <w:sz w:val="24"/>
          <w:szCs w:val="28"/>
        </w:rPr>
        <w:t>24.4仲裁</w:t>
      </w:r>
    </w:p>
    <w:p>
      <w:pPr>
        <w:spacing w:line="360" w:lineRule="auto"/>
        <w:ind w:firstLine="420" w:firstLineChars="200"/>
        <w:rPr>
          <w:rFonts w:ascii="宋体" w:hAnsi="宋体"/>
        </w:rPr>
      </w:pPr>
      <w:r>
        <w:rPr>
          <w:rFonts w:hint="eastAsia" w:ascii="宋体" w:hAnsi="宋体"/>
        </w:rPr>
        <w:t>(1)对于未能友好解决或未能通过争议评审解决的争议，发包人或承包人任一方均有权提交给第24.1款约定的仲裁委员会仲裁。</w:t>
      </w:r>
    </w:p>
    <w:p>
      <w:pPr>
        <w:spacing w:line="360" w:lineRule="auto"/>
        <w:ind w:firstLine="420" w:firstLineChars="200"/>
        <w:rPr>
          <w:rFonts w:ascii="宋体" w:hAnsi="宋体"/>
        </w:rPr>
      </w:pPr>
      <w:r>
        <w:rPr>
          <w:rFonts w:hint="eastAsia" w:ascii="宋体" w:hAnsi="宋体"/>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auto"/>
        <w:ind w:firstLine="420" w:firstLineChars="200"/>
        <w:rPr>
          <w:rFonts w:ascii="宋体" w:hAnsi="宋体"/>
        </w:rPr>
      </w:pPr>
      <w:r>
        <w:rPr>
          <w:rFonts w:hint="eastAsia" w:ascii="宋体" w:hAnsi="宋体"/>
        </w:rPr>
        <w:t>(3)仲裁裁决是终局性的并对发包人和承包人双方具有约束力。</w:t>
      </w:r>
    </w:p>
    <w:p>
      <w:pPr>
        <w:spacing w:line="360" w:lineRule="auto"/>
        <w:ind w:firstLine="420" w:firstLineChars="200"/>
        <w:rPr>
          <w:rFonts w:ascii="宋体" w:hAnsi="宋体"/>
        </w:rPr>
      </w:pPr>
      <w:r>
        <w:rPr>
          <w:rFonts w:hint="eastAsia" w:ascii="宋体" w:hAnsi="宋体"/>
        </w:rPr>
        <w:t>(4)全部仲裁费用应由败诉方承担；或按仲裁委员会裁决的比例分担。</w:t>
      </w:r>
    </w:p>
    <w:p>
      <w:pPr>
        <w:spacing w:line="360" w:lineRule="auto"/>
        <w:rPr>
          <w:rFonts w:ascii="宋体" w:hAnsi="宋体"/>
          <w:b/>
          <w:sz w:val="24"/>
          <w:szCs w:val="28"/>
        </w:rPr>
      </w:pPr>
      <w:r>
        <w:rPr>
          <w:rFonts w:hint="eastAsia" w:ascii="宋体" w:hAnsi="宋体"/>
          <w:b/>
          <w:sz w:val="24"/>
          <w:szCs w:val="28"/>
        </w:rPr>
        <w:t>24.5仲裁的执行</w:t>
      </w:r>
    </w:p>
    <w:p>
      <w:pPr>
        <w:spacing w:line="360" w:lineRule="auto"/>
        <w:ind w:firstLine="420" w:firstLineChars="200"/>
        <w:rPr>
          <w:rFonts w:ascii="宋体" w:hAnsi="宋体"/>
        </w:rPr>
      </w:pPr>
      <w:r>
        <w:rPr>
          <w:rFonts w:hint="eastAsia" w:ascii="宋体" w:hAnsi="宋体"/>
        </w:rPr>
        <w:t>(1)任何一方不履行仲裁机构的裁决的，对方可以向有管辖权的人民法院申请执行。</w:t>
      </w:r>
    </w:p>
    <w:p>
      <w:pPr>
        <w:spacing w:line="360" w:lineRule="auto"/>
        <w:ind w:firstLine="420" w:firstLineChars="200"/>
        <w:rPr>
          <w:rFonts w:ascii="宋体" w:hAnsi="宋体"/>
        </w:rPr>
      </w:pPr>
      <w:r>
        <w:rPr>
          <w:rFonts w:hint="eastAsia" w:ascii="宋体" w:hAnsi="宋体"/>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jc w:val="center"/>
        <w:rPr>
          <w:b/>
          <w:sz w:val="32"/>
          <w:szCs w:val="32"/>
        </w:rPr>
      </w:pPr>
      <w:r>
        <w:rPr>
          <w:rFonts w:ascii="宋体" w:hAnsi="宋体"/>
        </w:rPr>
        <w:br w:type="page"/>
      </w:r>
      <w:r>
        <w:rPr>
          <w:rFonts w:hint="eastAsia"/>
          <w:b/>
          <w:sz w:val="32"/>
          <w:szCs w:val="32"/>
        </w:rPr>
        <w:t>项目专用合同条款</w:t>
      </w:r>
    </w:p>
    <w:p>
      <w:pPr>
        <w:jc w:val="center"/>
        <w:rPr>
          <w:rFonts w:ascii="宋体" w:hAnsi="宋体"/>
          <w:b/>
          <w:sz w:val="32"/>
          <w:szCs w:val="32"/>
        </w:rPr>
      </w:pPr>
      <w:bookmarkStart w:id="556" w:name="_Toc234348955"/>
      <w:bookmarkStart w:id="557" w:name="_Toc234345874"/>
      <w:bookmarkStart w:id="558" w:name="_Toc234349529"/>
      <w:bookmarkStart w:id="559" w:name="_Toc234346089"/>
      <w:r>
        <w:rPr>
          <w:rFonts w:hint="eastAsia" w:ascii="宋体" w:hAnsi="宋体"/>
          <w:b/>
          <w:sz w:val="32"/>
          <w:szCs w:val="32"/>
        </w:rPr>
        <w:t>项目专用合同条款数据表</w:t>
      </w:r>
      <w:bookmarkEnd w:id="556"/>
      <w:bookmarkEnd w:id="557"/>
      <w:bookmarkEnd w:id="558"/>
      <w:bookmarkEnd w:id="559"/>
    </w:p>
    <w:p>
      <w:pPr>
        <w:spacing w:line="400" w:lineRule="exact"/>
        <w:ind w:firstLine="420" w:firstLineChars="200"/>
        <w:rPr>
          <w:rFonts w:ascii="宋体" w:hAnsi="宋体"/>
          <w:szCs w:val="21"/>
        </w:rPr>
      </w:pPr>
      <w:r>
        <w:rPr>
          <w:rFonts w:hint="eastAsia" w:ascii="宋体" w:hAnsi="宋体"/>
          <w:szCs w:val="21"/>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
        <w:gridCol w:w="1252"/>
        <w:gridCol w:w="18"/>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75" w:type="dxa"/>
            <w:gridSpan w:val="2"/>
            <w:tcBorders>
              <w:top w:val="single" w:color="auto" w:sz="12"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b/>
                <w:szCs w:val="21"/>
              </w:rPr>
            </w:pPr>
            <w:r>
              <w:rPr>
                <w:rFonts w:hint="eastAsia" w:ascii="宋体" w:hAnsi="宋体"/>
                <w:b/>
                <w:szCs w:val="21"/>
              </w:rPr>
              <w:t>序号</w:t>
            </w:r>
          </w:p>
        </w:tc>
        <w:tc>
          <w:tcPr>
            <w:tcW w:w="1252" w:type="dxa"/>
            <w:tcBorders>
              <w:top w:val="single" w:color="auto" w:sz="12"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b/>
                <w:szCs w:val="21"/>
              </w:rPr>
            </w:pPr>
            <w:r>
              <w:rPr>
                <w:rFonts w:hint="eastAsia" w:ascii="宋体" w:hAnsi="宋体"/>
                <w:b/>
                <w:szCs w:val="21"/>
              </w:rPr>
              <w:t>条目号</w:t>
            </w:r>
          </w:p>
        </w:tc>
        <w:tc>
          <w:tcPr>
            <w:tcW w:w="7153" w:type="dxa"/>
            <w:gridSpan w:val="2"/>
            <w:tcBorders>
              <w:top w:val="single" w:color="auto" w:sz="12" w:space="0"/>
              <w:left w:val="single" w:color="auto" w:sz="6" w:space="0"/>
              <w:bottom w:val="single" w:color="auto" w:sz="6" w:space="0"/>
              <w:right w:val="single" w:color="auto" w:sz="12" w:space="0"/>
            </w:tcBorders>
            <w:vAlign w:val="center"/>
          </w:tcPr>
          <w:p>
            <w:pPr>
              <w:snapToGrid w:val="0"/>
              <w:spacing w:line="240" w:lineRule="exact"/>
              <w:jc w:val="center"/>
              <w:rPr>
                <w:rFonts w:ascii="宋体" w:hAnsi="宋体"/>
                <w:b/>
                <w:szCs w:val="21"/>
              </w:rPr>
            </w:pPr>
            <w:r>
              <w:rPr>
                <w:rFonts w:hint="eastAsia" w:ascii="宋体" w:hAnsi="宋体"/>
                <w:b/>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1.1.2.2</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ind w:firstLine="420" w:firstLineChars="200"/>
              <w:rPr>
                <w:rFonts w:hint="eastAsia" w:ascii="宋体" w:eastAsia="宋体"/>
                <w:lang w:eastAsia="zh-CN"/>
              </w:rPr>
            </w:pPr>
            <w:r>
              <w:rPr>
                <w:rFonts w:hint="eastAsia" w:ascii="宋体" w:cs="宋体"/>
              </w:rPr>
              <w:t>发包人：</w:t>
            </w:r>
            <w:r>
              <w:rPr>
                <w:rFonts w:hint="eastAsia" w:ascii="宋体" w:cs="宋体"/>
                <w:lang w:eastAsia="zh-CN"/>
              </w:rPr>
              <w:t>天津市滨海新区城投建设发展有限公司</w:t>
            </w:r>
          </w:p>
          <w:p>
            <w:pPr>
              <w:ind w:left="382" w:leftChars="182"/>
              <w:rPr>
                <w:rFonts w:hint="eastAsia" w:ascii="宋体" w:eastAsia="宋体" w:cs="宋体"/>
                <w:lang w:eastAsia="zh-CN"/>
              </w:rPr>
            </w:pPr>
            <w:r>
              <w:rPr>
                <w:rFonts w:hint="eastAsia" w:ascii="宋体" w:cs="宋体"/>
              </w:rPr>
              <w:t>地址：</w:t>
            </w:r>
            <w:r>
              <w:rPr>
                <w:rFonts w:hint="eastAsia" w:ascii="宋体" w:cs="宋体"/>
                <w:lang w:eastAsia="zh-CN"/>
              </w:rPr>
              <w:t>天津市滨海新区塘沽新港四号路136号</w:t>
            </w:r>
          </w:p>
          <w:p>
            <w:pPr>
              <w:ind w:left="382" w:leftChars="182"/>
              <w:rPr>
                <w:rFonts w:hint="eastAsia" w:ascii="宋体" w:hAnsi="宋体" w:eastAsia="宋体"/>
                <w:szCs w:val="21"/>
                <w:lang w:eastAsia="zh-CN"/>
              </w:rPr>
            </w:pPr>
            <w:r>
              <w:rPr>
                <w:rFonts w:hint="eastAsia" w:ascii="宋体" w:cs="宋体"/>
              </w:rPr>
              <w:t>邮政编码：</w:t>
            </w:r>
            <w:r>
              <w:rPr>
                <w:rFonts w:hint="eastAsia" w:ascii="宋体" w:cs="宋体"/>
                <w:lang w:eastAsia="zh-CN"/>
              </w:rPr>
              <w:t>300450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2</w:t>
            </w:r>
          </w:p>
        </w:tc>
        <w:tc>
          <w:tcPr>
            <w:tcW w:w="125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szCs w:val="21"/>
              </w:rPr>
            </w:pPr>
            <w:r>
              <w:rPr>
                <w:rFonts w:hint="eastAsia" w:ascii="宋体" w:hAnsi="宋体"/>
                <w:szCs w:val="21"/>
              </w:rPr>
              <w:t>1.1.2.6</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rPr>
            </w:pPr>
            <w:r>
              <w:rPr>
                <w:rFonts w:hint="eastAsia" w:ascii="宋体" w:hAnsi="宋体" w:cs="宋体"/>
              </w:rPr>
              <w:t>监理人详细信息待中标后通知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3</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1.1.4.5</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rPr>
            </w:pPr>
            <w:r>
              <w:rPr>
                <w:rFonts w:hint="eastAsia" w:ascii="宋体" w:hAnsi="宋体"/>
                <w:szCs w:val="21"/>
              </w:rPr>
              <w:t>缺陷责任期：自实际交工日期起计算</w:t>
            </w:r>
            <w:r>
              <w:rPr>
                <w:rFonts w:hint="eastAsia" w:ascii="宋体" w:hAnsi="宋体"/>
                <w:szCs w:val="21"/>
                <w:u w:val="single"/>
              </w:rPr>
              <w:t>2</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4</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1.6.3</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rPr>
            </w:pPr>
            <w:r>
              <w:rPr>
                <w:rFonts w:hint="eastAsia" w:ascii="宋体" w:hAnsi="宋体"/>
                <w:szCs w:val="21"/>
              </w:rPr>
              <w:t>图纸需要修改和补充的，应由监理人取得发包人同意后，在该工程或工程相应部位施工前</w:t>
            </w:r>
            <w:r>
              <w:rPr>
                <w:rFonts w:hint="eastAsia" w:ascii="宋体" w:hAnsi="宋体"/>
                <w:szCs w:val="21"/>
                <w:u w:val="single"/>
              </w:rPr>
              <w:t>14</w:t>
            </w:r>
            <w:r>
              <w:rPr>
                <w:rFonts w:hint="eastAsia" w:ascii="宋体" w:hAnsi="宋体"/>
                <w:szCs w:val="21"/>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5</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3.1.1</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snapToGrid w:val="0"/>
              <w:ind w:firstLine="420" w:firstLineChars="200"/>
              <w:rPr>
                <w:rFonts w:ascii="宋体" w:hAnsi="宋体"/>
                <w:szCs w:val="21"/>
              </w:rPr>
            </w:pPr>
            <w:r>
              <w:rPr>
                <w:rFonts w:hint="eastAsia" w:ascii="宋体" w:hAnsi="宋体"/>
                <w:szCs w:val="21"/>
              </w:rPr>
              <w:t>监理人在行使下列权力前需要经发包人事先批准：</w:t>
            </w:r>
          </w:p>
          <w:p>
            <w:pPr>
              <w:snapToGrid w:val="0"/>
              <w:ind w:firstLine="420" w:firstLineChars="200"/>
              <w:rPr>
                <w:rFonts w:ascii="宋体" w:hAnsi="宋体"/>
                <w:szCs w:val="21"/>
              </w:rPr>
            </w:pPr>
            <w:r>
              <w:rPr>
                <w:rFonts w:hint="eastAsia" w:ascii="宋体" w:hAnsi="宋体"/>
                <w:szCs w:val="21"/>
              </w:rPr>
              <w:t>(6)</w:t>
            </w:r>
            <w:r>
              <w:rPr>
                <w:rFonts w:hint="eastAsia" w:ascii="宋体" w:hAnsi="宋体"/>
              </w:rPr>
              <w:t>根据第15.3款发出的变更指示，其单项工程变更涉及的金额超过了该单项工程签约时合同价的</w:t>
            </w:r>
            <w:r>
              <w:rPr>
                <w:rFonts w:hint="eastAsia" w:ascii="宋体" w:hAnsi="宋体"/>
                <w:u w:val="single"/>
              </w:rPr>
              <w:t xml:space="preserve">  </w:t>
            </w:r>
            <w:r>
              <w:rPr>
                <w:rFonts w:hint="eastAsia" w:ascii="宋体" w:hAnsi="宋体"/>
              </w:rPr>
              <w:t>%或累计变更超过了签约合同价的</w:t>
            </w:r>
            <w:r>
              <w:rPr>
                <w:rFonts w:hint="eastAsia" w:ascii="宋体" w:hAnsi="宋体"/>
                <w:u w:val="single"/>
              </w:rPr>
              <w:t xml:space="preserve">  </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6</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5.2.1</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u w:val="single"/>
              </w:rPr>
            </w:pPr>
            <w:r>
              <w:rPr>
                <w:rFonts w:hint="eastAsia" w:ascii="宋体" w:hAnsi="宋体"/>
                <w:szCs w:val="21"/>
              </w:rPr>
              <w:t>发包人是否提供材料或工程设备：</w:t>
            </w:r>
            <w:r>
              <w:rPr>
                <w:rFonts w:hint="eastAsia" w:ascii="宋体" w:hAnsi="宋体"/>
                <w:szCs w:val="21"/>
                <w:u w:val="single"/>
              </w:rPr>
              <w:t>否</w:t>
            </w:r>
          </w:p>
          <w:p>
            <w:pPr>
              <w:adjustRightInd w:val="0"/>
              <w:snapToGrid w:val="0"/>
              <w:ind w:firstLine="420" w:firstLineChars="200"/>
              <w:rPr>
                <w:rFonts w:ascii="宋体" w:hAnsi="宋体"/>
                <w:szCs w:val="21"/>
                <w:u w:val="single"/>
              </w:rPr>
            </w:pPr>
            <w:r>
              <w:rPr>
                <w:rFonts w:hint="eastAsia" w:ascii="宋体" w:hAnsi="宋体"/>
                <w:szCs w:val="21"/>
              </w:rPr>
              <w:t>如发包人负责提供部分材料或工程设备，相关规定如下：</w:t>
            </w:r>
            <w:r>
              <w:rPr>
                <w:rFonts w:hint="eastAsia" w:ascii="宋体" w:hAnsi="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7</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6.2</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u w:val="single"/>
              </w:rPr>
            </w:pPr>
            <w:r>
              <w:rPr>
                <w:rFonts w:hint="eastAsia" w:ascii="宋体" w:hAnsi="宋体"/>
                <w:szCs w:val="21"/>
              </w:rPr>
              <w:t>发包人是否提供施工设备和临时设施：</w:t>
            </w:r>
            <w:r>
              <w:rPr>
                <w:rFonts w:hint="eastAsia" w:ascii="宋体" w:hAnsi="宋体"/>
                <w:szCs w:val="21"/>
                <w:u w:val="single"/>
              </w:rPr>
              <w:t>否</w:t>
            </w:r>
          </w:p>
          <w:p>
            <w:pPr>
              <w:adjustRightInd w:val="0"/>
              <w:snapToGrid w:val="0"/>
              <w:ind w:firstLine="420" w:firstLineChars="200"/>
              <w:rPr>
                <w:rFonts w:ascii="宋体" w:hAnsi="宋体"/>
                <w:szCs w:val="21"/>
              </w:rPr>
            </w:pPr>
            <w:r>
              <w:rPr>
                <w:rFonts w:hint="eastAsia" w:ascii="宋体" w:hAnsi="宋体"/>
                <w:szCs w:val="21"/>
              </w:rPr>
              <w:t>如发包人负责提供部分施工设备和临时设施，相关规定如下：</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8</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8.1.1</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rPr>
            </w:pPr>
            <w:r>
              <w:rPr>
                <w:rFonts w:hint="eastAsia" w:ascii="宋体" w:hAnsi="宋体"/>
                <w:szCs w:val="21"/>
              </w:rPr>
              <w:t>发包人提供测量基准点、基准线和水准点及其书面资料的期限：</w:t>
            </w:r>
            <w:r>
              <w:rPr>
                <w:rFonts w:hint="eastAsia" w:ascii="宋体" w:hAnsi="宋体"/>
                <w:szCs w:val="21"/>
                <w:u w:val="single"/>
              </w:rPr>
              <w:t xml:space="preserve"> 14天</w:t>
            </w:r>
          </w:p>
          <w:p>
            <w:pPr>
              <w:adjustRightInd w:val="0"/>
              <w:snapToGrid w:val="0"/>
              <w:ind w:firstLine="420" w:firstLineChars="200"/>
              <w:rPr>
                <w:rFonts w:ascii="宋体" w:hAnsi="宋体"/>
                <w:szCs w:val="21"/>
                <w:u w:val="single"/>
              </w:rPr>
            </w:pPr>
            <w:r>
              <w:rPr>
                <w:rFonts w:hint="eastAsia" w:ascii="宋体" w:hAnsi="宋体"/>
                <w:szCs w:val="21"/>
              </w:rPr>
              <w:t>承包人将施工控制网资料报送监理人审批的期限：</w:t>
            </w:r>
            <w:r>
              <w:rPr>
                <w:rFonts w:hint="eastAsia" w:ascii="宋体" w:hAnsi="宋体"/>
                <w:szCs w:val="21"/>
                <w:u w:val="singl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9</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11.5(3)</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rPr>
            </w:pPr>
            <w:r>
              <w:rPr>
                <w:rFonts w:hint="eastAsia" w:ascii="宋体" w:hAnsi="宋体" w:cs="宋体"/>
              </w:rPr>
              <w:t>逾期交工违约金：</w:t>
            </w:r>
            <w:r>
              <w:rPr>
                <w:rFonts w:hint="eastAsia" w:ascii="宋体" w:hAnsi="宋体" w:cs="宋体"/>
                <w:u w:val="single"/>
                <w:lang w:val="en-US" w:eastAsia="zh-CN"/>
              </w:rPr>
              <w:t>1</w:t>
            </w:r>
            <w:r>
              <w:rPr>
                <w:rFonts w:ascii="宋体" w:hAnsi="宋体" w:cs="宋体"/>
                <w:u w:val="single"/>
              </w:rPr>
              <w:t>0000</w:t>
            </w:r>
            <w:r>
              <w:rPr>
                <w:rFonts w:hint="eastAsia" w:ascii="宋体" w:hAnsi="宋体" w:cs="宋体"/>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10</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11.5(3)</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rPr>
            </w:pPr>
            <w:r>
              <w:rPr>
                <w:rFonts w:hint="eastAsia" w:ascii="宋体" w:hAnsi="宋体" w:cs="宋体"/>
              </w:rPr>
              <w:t>逾期交工违约金限额：</w:t>
            </w:r>
            <w:r>
              <w:rPr>
                <w:rFonts w:hint="eastAsia" w:ascii="宋体" w:hAnsi="宋体" w:cs="宋体"/>
                <w:u w:val="single"/>
              </w:rPr>
              <w:t>5</w:t>
            </w:r>
            <w:r>
              <w:rPr>
                <w:rFonts w:hint="eastAsia" w:ascii="宋体" w:hAnsi="宋体" w:cs="宋体"/>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11.6</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snapToGrid w:val="0"/>
              <w:ind w:firstLine="420" w:firstLineChars="200"/>
              <w:rPr>
                <w:rFonts w:ascii="宋体"/>
              </w:rPr>
            </w:pPr>
            <w:r>
              <w:rPr>
                <w:rFonts w:hint="eastAsia" w:ascii="宋体" w:hAnsi="宋体" w:cs="宋体"/>
              </w:rPr>
              <w:t>提前交工的奖金：</w:t>
            </w:r>
            <w:r>
              <w:rPr>
                <w:rFonts w:ascii="宋体" w:hAnsi="宋体" w:cs="宋体"/>
                <w:u w:val="single"/>
              </w:rPr>
              <w:t>/</w:t>
            </w:r>
            <w:r>
              <w:rPr>
                <w:rFonts w:hint="eastAsia" w:ascii="宋体" w:hAnsi="宋体" w:cs="宋体"/>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12</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11.6</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snapToGrid w:val="0"/>
              <w:ind w:firstLine="420" w:firstLineChars="200"/>
              <w:rPr>
                <w:rFonts w:ascii="宋体"/>
              </w:rPr>
            </w:pPr>
            <w:r>
              <w:rPr>
                <w:rFonts w:hint="eastAsia" w:ascii="宋体" w:hAnsi="宋体" w:cs="宋体"/>
              </w:rPr>
              <w:t>提前交工的奖金限额：</w:t>
            </w:r>
            <w:r>
              <w:rPr>
                <w:rFonts w:ascii="宋体" w:hAnsi="宋体" w:cs="宋体"/>
                <w:u w:val="single"/>
              </w:rPr>
              <w:t>/</w:t>
            </w:r>
            <w:r>
              <w:rPr>
                <w:rFonts w:hint="eastAsia" w:ascii="宋体" w:hAnsi="宋体" w:cs="宋体"/>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75"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13</w:t>
            </w:r>
          </w:p>
        </w:tc>
        <w:tc>
          <w:tcPr>
            <w:tcW w:w="1252"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15.5.2</w:t>
            </w:r>
          </w:p>
        </w:tc>
        <w:tc>
          <w:tcPr>
            <w:tcW w:w="715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firstLine="420" w:firstLineChars="200"/>
              <w:rPr>
                <w:rFonts w:ascii="宋体" w:hAnsi="宋体"/>
                <w:szCs w:val="21"/>
              </w:rPr>
            </w:pPr>
            <w:r>
              <w:rPr>
                <w:rFonts w:hint="eastAsia" w:ascii="宋体" w:hAnsi="宋体"/>
                <w:szCs w:val="21"/>
              </w:rPr>
              <w:t>承包人提出的合理化建议降低了合同价格或者提高了工程经济效益的，发包人按所节约成本的</w:t>
            </w:r>
            <w:r>
              <w:rPr>
                <w:rFonts w:hint="eastAsia" w:ascii="宋体" w:hAnsi="宋体"/>
                <w:szCs w:val="21"/>
                <w:u w:val="single"/>
              </w:rPr>
              <w:t>/</w:t>
            </w:r>
            <w:r>
              <w:rPr>
                <w:rFonts w:hint="eastAsia" w:ascii="宋体" w:hAnsi="宋体"/>
                <w:szCs w:val="21"/>
              </w:rPr>
              <w:t>％或增加收益的</w:t>
            </w:r>
            <w:r>
              <w:rPr>
                <w:rFonts w:hint="eastAsia" w:ascii="宋体" w:hAnsi="宋体"/>
                <w:szCs w:val="21"/>
                <w:u w:val="single"/>
              </w:rPr>
              <w:t>/</w:t>
            </w:r>
            <w:r>
              <w:rPr>
                <w:rFonts w:hint="eastAsia" w:ascii="宋体" w:hAnsi="宋体"/>
                <w:szCs w:val="21"/>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67" w:type="dxa"/>
            <w:tcBorders>
              <w:top w:val="single" w:color="auto" w:sz="6" w:space="0"/>
              <w:left w:val="single" w:color="auto" w:sz="12" w:space="0"/>
              <w:bottom w:val="single" w:color="auto" w:sz="12"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14</w:t>
            </w:r>
          </w:p>
        </w:tc>
        <w:tc>
          <w:tcPr>
            <w:tcW w:w="1278"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16.1</w:t>
            </w:r>
          </w:p>
        </w:tc>
        <w:tc>
          <w:tcPr>
            <w:tcW w:w="7135" w:type="dxa"/>
            <w:tcBorders>
              <w:top w:val="single" w:color="auto" w:sz="6" w:space="0"/>
              <w:left w:val="single" w:color="auto" w:sz="6" w:space="0"/>
              <w:bottom w:val="single" w:color="auto" w:sz="12" w:space="0"/>
              <w:right w:val="single" w:color="auto" w:sz="12" w:space="0"/>
            </w:tcBorders>
            <w:vAlign w:val="center"/>
          </w:tcPr>
          <w:p>
            <w:pPr>
              <w:adjustRightInd w:val="0"/>
              <w:snapToGrid w:val="0"/>
              <w:ind w:left="107" w:leftChars="51" w:firstLine="315" w:firstLineChars="15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因物价波动引起的价格调整按照</w:t>
            </w:r>
            <w:r>
              <w:rPr>
                <w:rFonts w:hint="eastAsia" w:ascii="宋体" w:hAnsi="宋体"/>
                <w:szCs w:val="21"/>
                <w:highlight w:val="none"/>
                <w:u w:val="single"/>
              </w:rPr>
              <w:t>第16.1.1或第16.1.2项</w:t>
            </w:r>
            <w:r>
              <w:rPr>
                <w:rFonts w:hint="eastAsia" w:ascii="宋体" w:hAnsi="宋体"/>
                <w:szCs w:val="21"/>
                <w:highlight w:val="none"/>
              </w:rPr>
              <w:t>约定的原则处理</w:t>
            </w:r>
          </w:p>
          <w:p>
            <w:pPr>
              <w:adjustRightInd w:val="0"/>
              <w:snapToGrid w:val="0"/>
              <w:ind w:left="2" w:leftChars="1" w:firstLine="420" w:firstLineChars="200"/>
              <w:rPr>
                <w:rFonts w:ascii="宋体" w:hAnsi="宋体"/>
                <w:szCs w:val="21"/>
                <w:highlight w:val="none"/>
              </w:rPr>
            </w:pPr>
            <w:r>
              <w:rPr>
                <w:rFonts w:hint="eastAsia" w:ascii="宋体" w:hAnsi="宋体"/>
                <w:szCs w:val="21"/>
                <w:highlight w:val="none"/>
              </w:rPr>
              <w:t>若按第16.1.1项的约定采用价格调整公式进行调价，</w:t>
            </w:r>
            <w:r>
              <w:rPr>
                <w:rFonts w:hint="eastAsia" w:ascii="宋体" w:hAnsi="宋体"/>
                <w:szCs w:val="21"/>
                <w:highlight w:val="none"/>
                <w:u w:val="single"/>
              </w:rPr>
              <w:t>每</w:t>
            </w:r>
            <w:r>
              <w:rPr>
                <w:rFonts w:hint="eastAsia" w:ascii="宋体" w:hAnsi="宋体"/>
                <w:szCs w:val="21"/>
                <w:highlight w:val="none"/>
                <w:u w:val="single"/>
                <w:lang w:eastAsia="zh-CN"/>
              </w:rPr>
              <w:t>季度</w:t>
            </w:r>
            <w:r>
              <w:rPr>
                <w:rFonts w:hint="eastAsia" w:ascii="宋体" w:hAnsi="宋体"/>
                <w:szCs w:val="21"/>
                <w:highlight w:val="none"/>
                <w:u w:val="single"/>
              </w:rPr>
              <w:t>或</w:t>
            </w:r>
            <w:r>
              <w:rPr>
                <w:rFonts w:hint="eastAsia" w:ascii="宋体" w:hAnsi="宋体"/>
                <w:szCs w:val="21"/>
                <w:highlight w:val="none"/>
                <w:u w:val="single"/>
                <w:lang w:eastAsia="zh-CN"/>
              </w:rPr>
              <w:t>项目完工后</w:t>
            </w:r>
            <w:r>
              <w:rPr>
                <w:rFonts w:hint="eastAsia" w:ascii="宋体" w:hAnsi="宋体"/>
                <w:szCs w:val="21"/>
                <w:highlight w:val="none"/>
              </w:rPr>
              <w:t>按价格调整公式进行调整</w:t>
            </w:r>
          </w:p>
          <w:p>
            <w:pPr>
              <w:adjustRightInd w:val="0"/>
              <w:snapToGrid w:val="0"/>
              <w:ind w:firstLine="420" w:firstLineChars="200"/>
              <w:rPr>
                <w:rFonts w:ascii="宋体" w:hAnsi="宋体"/>
                <w:szCs w:val="21"/>
              </w:rPr>
            </w:pPr>
            <w:r>
              <w:rPr>
                <w:rFonts w:hint="eastAsia" w:ascii="宋体" w:hAnsi="宋体"/>
                <w:szCs w:val="21"/>
                <w:highlight w:val="none"/>
              </w:rPr>
              <w:sym w:font="Wingdings" w:char="00FE"/>
            </w:r>
            <w:r>
              <w:rPr>
                <w:rFonts w:hint="eastAsia" w:ascii="宋体" w:hAnsi="宋体"/>
                <w:szCs w:val="21"/>
                <w:highlight w:val="none"/>
              </w:rPr>
              <w:t>合同期内不调价</w:t>
            </w:r>
          </w:p>
        </w:tc>
      </w:tr>
    </w:tbl>
    <w:p>
      <w:pPr>
        <w:jc w:val="right"/>
        <w:rPr>
          <w:rFonts w:ascii="宋体" w:hAnsi="宋体"/>
        </w:rPr>
      </w:pPr>
      <w:r>
        <w:rPr>
          <w:rFonts w:hint="eastAsia" w:ascii="宋体" w:hAnsi="宋体"/>
        </w:rPr>
        <w:t>续上表</w:t>
      </w:r>
    </w:p>
    <w:tbl>
      <w:tblPr>
        <w:tblStyle w:val="38"/>
        <w:tblW w:w="925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1252"/>
        <w:gridCol w:w="7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tcBorders>
              <w:top w:val="single" w:color="auto" w:sz="12" w:space="0"/>
            </w:tcBorders>
            <w:vAlign w:val="center"/>
          </w:tcPr>
          <w:p>
            <w:pPr>
              <w:snapToGrid w:val="0"/>
              <w:spacing w:line="240" w:lineRule="exact"/>
              <w:jc w:val="center"/>
              <w:rPr>
                <w:rFonts w:ascii="宋体"/>
                <w:b/>
                <w:bCs/>
              </w:rPr>
            </w:pPr>
            <w:r>
              <w:rPr>
                <w:rFonts w:hint="eastAsia" w:ascii="宋体" w:hAnsi="宋体" w:cs="宋体"/>
                <w:b/>
                <w:bCs/>
              </w:rPr>
              <w:t>序号</w:t>
            </w:r>
          </w:p>
        </w:tc>
        <w:tc>
          <w:tcPr>
            <w:tcW w:w="1252" w:type="dxa"/>
            <w:tcBorders>
              <w:top w:val="single" w:color="auto" w:sz="12" w:space="0"/>
            </w:tcBorders>
            <w:vAlign w:val="center"/>
          </w:tcPr>
          <w:p>
            <w:pPr>
              <w:snapToGrid w:val="0"/>
              <w:spacing w:line="240" w:lineRule="exact"/>
              <w:jc w:val="center"/>
              <w:rPr>
                <w:rFonts w:ascii="宋体"/>
                <w:b/>
                <w:bCs/>
              </w:rPr>
            </w:pPr>
            <w:r>
              <w:rPr>
                <w:rFonts w:hint="eastAsia" w:ascii="宋体" w:hAnsi="宋体" w:cs="宋体"/>
                <w:b/>
                <w:bCs/>
              </w:rPr>
              <w:t>条目号</w:t>
            </w:r>
          </w:p>
        </w:tc>
        <w:tc>
          <w:tcPr>
            <w:tcW w:w="7231" w:type="dxa"/>
            <w:tcBorders>
              <w:top w:val="single" w:color="auto" w:sz="12" w:space="0"/>
            </w:tcBorders>
            <w:vAlign w:val="center"/>
          </w:tcPr>
          <w:p>
            <w:pPr>
              <w:snapToGrid w:val="0"/>
              <w:spacing w:line="240" w:lineRule="exact"/>
              <w:jc w:val="center"/>
              <w:rPr>
                <w:rFonts w:ascii="宋体"/>
                <w:b/>
                <w:bCs/>
              </w:rPr>
            </w:pPr>
            <w:r>
              <w:rPr>
                <w:rFonts w:hint="eastAsia" w:ascii="宋体" w:hAnsi="宋体" w:cs="宋体"/>
                <w:b/>
                <w:bCs/>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15</w:t>
            </w:r>
          </w:p>
        </w:tc>
        <w:tc>
          <w:tcPr>
            <w:tcW w:w="1252" w:type="dxa"/>
            <w:vAlign w:val="center"/>
          </w:tcPr>
          <w:p>
            <w:pPr>
              <w:jc w:val="center"/>
              <w:rPr>
                <w:rFonts w:ascii="宋体"/>
              </w:rPr>
            </w:pPr>
            <w:r>
              <w:rPr>
                <w:rFonts w:ascii="宋体" w:hAnsi="宋体" w:cs="宋体"/>
              </w:rPr>
              <w:t>17.2.1</w:t>
            </w:r>
            <w:r>
              <w:rPr>
                <w:rFonts w:hint="eastAsia" w:ascii="宋体" w:hAnsi="宋体" w:cs="宋体"/>
              </w:rPr>
              <w:t>(1)</w:t>
            </w:r>
          </w:p>
        </w:tc>
        <w:tc>
          <w:tcPr>
            <w:tcW w:w="7231" w:type="dxa"/>
            <w:vAlign w:val="center"/>
          </w:tcPr>
          <w:p>
            <w:pPr>
              <w:spacing w:line="360" w:lineRule="exact"/>
              <w:ind w:firstLine="420" w:firstLineChars="200"/>
              <w:rPr>
                <w:rFonts w:ascii="宋体"/>
              </w:rPr>
            </w:pPr>
            <w:r>
              <w:rPr>
                <w:rFonts w:hint="eastAsia" w:ascii="宋体" w:hAnsi="宋体" w:cs="宋体"/>
              </w:rPr>
              <w:t>开工预付款金额：</w:t>
            </w:r>
            <w:r>
              <w:rPr>
                <w:rFonts w:hint="eastAsia" w:ascii="宋体" w:hAnsi="宋体" w:cs="宋体"/>
                <w:u w:val="single"/>
              </w:rPr>
              <w:t xml:space="preserve"> </w:t>
            </w:r>
            <w:r>
              <w:rPr>
                <w:rFonts w:hint="eastAsia" w:ascii="宋体" w:hAnsi="宋体" w:cs="宋体"/>
                <w:u w:val="single"/>
                <w:lang w:val="en-US" w:eastAsia="zh-CN"/>
              </w:rPr>
              <w:t>30</w:t>
            </w:r>
            <w:r>
              <w:rPr>
                <w:rFonts w:hint="eastAsia" w:ascii="宋体" w:hAnsi="宋体" w:cs="宋体"/>
                <w:u w:val="single"/>
              </w:rPr>
              <w:t xml:space="preserve"> </w:t>
            </w:r>
            <w:r>
              <w:rPr>
                <w:rFonts w:hint="eastAsia" w:ascii="宋体" w:hAnsi="宋体" w:cs="宋体"/>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blHeader/>
        </w:trPr>
        <w:tc>
          <w:tcPr>
            <w:tcW w:w="775" w:type="dxa"/>
            <w:vAlign w:val="center"/>
          </w:tcPr>
          <w:p>
            <w:pPr>
              <w:spacing w:line="240" w:lineRule="exact"/>
              <w:jc w:val="center"/>
              <w:rPr>
                <w:rFonts w:ascii="宋体"/>
              </w:rPr>
            </w:pPr>
            <w:r>
              <w:rPr>
                <w:rFonts w:ascii="宋体" w:hAnsi="宋体" w:cs="宋体"/>
              </w:rPr>
              <w:t>16</w:t>
            </w:r>
          </w:p>
        </w:tc>
        <w:tc>
          <w:tcPr>
            <w:tcW w:w="1252" w:type="dxa"/>
            <w:vAlign w:val="center"/>
          </w:tcPr>
          <w:p>
            <w:pPr>
              <w:spacing w:line="240" w:lineRule="exact"/>
              <w:jc w:val="center"/>
              <w:rPr>
                <w:rFonts w:ascii="宋体"/>
              </w:rPr>
            </w:pPr>
            <w:r>
              <w:rPr>
                <w:rFonts w:ascii="宋体" w:hAnsi="宋体" w:cs="宋体"/>
              </w:rPr>
              <w:t>17.2.1</w:t>
            </w:r>
            <w:r>
              <w:rPr>
                <w:rFonts w:hint="eastAsia" w:ascii="宋体" w:hAnsi="宋体" w:cs="宋体"/>
              </w:rPr>
              <w:t>(2)</w:t>
            </w:r>
          </w:p>
        </w:tc>
        <w:tc>
          <w:tcPr>
            <w:tcW w:w="7231" w:type="dxa"/>
            <w:vAlign w:val="center"/>
          </w:tcPr>
          <w:p>
            <w:pPr>
              <w:adjustRightInd w:val="0"/>
              <w:snapToGrid w:val="0"/>
              <w:ind w:firstLine="420" w:firstLineChars="200"/>
              <w:rPr>
                <w:rFonts w:ascii="宋体"/>
              </w:rPr>
            </w:pPr>
            <w:r>
              <w:rPr>
                <w:rFonts w:hint="eastAsia" w:ascii="宋体" w:hAnsi="宋体" w:cs="宋体"/>
              </w:rPr>
              <w:t>材料、设备预付款比例：</w:t>
            </w:r>
            <w:r>
              <w:rPr>
                <w:rFonts w:ascii="宋体" w:hAnsi="宋体" w:cs="宋体"/>
                <w:u w:val="single"/>
              </w:rPr>
              <w:t>/</w:t>
            </w:r>
            <w:r>
              <w:rPr>
                <w:rFonts w:hint="eastAsia" w:ascii="宋体" w:hAnsi="宋体" w:cs="宋体"/>
              </w:rPr>
              <w:t>等主要材料、设备单据所列费用的</w:t>
            </w:r>
            <w:r>
              <w:rPr>
                <w:rFonts w:ascii="宋体" w:hAnsi="宋体" w:cs="宋体"/>
                <w:u w:val="single"/>
              </w:rPr>
              <w:t>/</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17</w:t>
            </w:r>
          </w:p>
        </w:tc>
        <w:tc>
          <w:tcPr>
            <w:tcW w:w="1252" w:type="dxa"/>
            <w:vAlign w:val="center"/>
          </w:tcPr>
          <w:p>
            <w:pPr>
              <w:spacing w:line="240" w:lineRule="exact"/>
              <w:jc w:val="center"/>
              <w:rPr>
                <w:rFonts w:ascii="宋体"/>
              </w:rPr>
            </w:pPr>
            <w:r>
              <w:rPr>
                <w:rFonts w:ascii="宋体" w:hAnsi="宋体" w:cs="宋体"/>
              </w:rPr>
              <w:t>17.3.2</w:t>
            </w:r>
          </w:p>
        </w:tc>
        <w:tc>
          <w:tcPr>
            <w:tcW w:w="7231" w:type="dxa"/>
            <w:vAlign w:val="center"/>
          </w:tcPr>
          <w:p>
            <w:pPr>
              <w:adjustRightInd w:val="0"/>
              <w:snapToGrid w:val="0"/>
              <w:ind w:firstLine="420" w:firstLineChars="200"/>
              <w:rPr>
                <w:rFonts w:ascii="宋体"/>
              </w:rPr>
            </w:pPr>
            <w:r>
              <w:rPr>
                <w:rFonts w:hint="eastAsia" w:ascii="宋体" w:hAnsi="宋体" w:cs="宋体"/>
              </w:rPr>
              <w:t>承包人在每个付款周期末向监理人提交进度付款申请单的份数</w:t>
            </w:r>
            <w:r>
              <w:rPr>
                <w:rFonts w:hint="eastAsia" w:ascii="宋体" w:hAnsi="宋体" w:cs="宋体"/>
                <w:u w:val="single"/>
              </w:rPr>
              <w:t>6</w:t>
            </w:r>
            <w:r>
              <w:rPr>
                <w:rFonts w:hint="eastAsia" w:ascii="宋体" w:hAnsi="宋体" w:cs="宋体"/>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18</w:t>
            </w:r>
          </w:p>
        </w:tc>
        <w:tc>
          <w:tcPr>
            <w:tcW w:w="1252" w:type="dxa"/>
            <w:vAlign w:val="center"/>
          </w:tcPr>
          <w:p>
            <w:pPr>
              <w:spacing w:line="240" w:lineRule="exact"/>
              <w:jc w:val="center"/>
              <w:rPr>
                <w:rFonts w:ascii="宋体"/>
              </w:rPr>
            </w:pPr>
            <w:r>
              <w:rPr>
                <w:rFonts w:ascii="宋体" w:hAnsi="宋体" w:cs="宋体"/>
              </w:rPr>
              <w:t>17.3.3</w:t>
            </w:r>
            <w:r>
              <w:rPr>
                <w:rFonts w:hint="eastAsia" w:ascii="宋体" w:hAnsi="宋体" w:cs="宋体"/>
              </w:rPr>
              <w:t>（</w:t>
            </w:r>
            <w:r>
              <w:rPr>
                <w:rFonts w:ascii="宋体" w:hAnsi="宋体" w:cs="宋体"/>
              </w:rPr>
              <w:t>1</w:t>
            </w:r>
            <w:r>
              <w:rPr>
                <w:rFonts w:hint="eastAsia" w:ascii="宋体" w:hAnsi="宋体" w:cs="宋体"/>
              </w:rPr>
              <w:t>）</w:t>
            </w:r>
          </w:p>
        </w:tc>
        <w:tc>
          <w:tcPr>
            <w:tcW w:w="7231" w:type="dxa"/>
            <w:vAlign w:val="center"/>
          </w:tcPr>
          <w:p>
            <w:pPr>
              <w:adjustRightInd w:val="0"/>
              <w:snapToGrid w:val="0"/>
              <w:ind w:firstLine="420" w:firstLineChars="200"/>
              <w:rPr>
                <w:rFonts w:ascii="宋体"/>
              </w:rPr>
            </w:pPr>
            <w:r>
              <w:rPr>
                <w:rFonts w:hint="eastAsia" w:ascii="宋体" w:hAnsi="宋体" w:cs="宋体"/>
              </w:rPr>
              <w:t>进度付款证书最低限额：</w:t>
            </w:r>
            <w:r>
              <w:rPr>
                <w:rFonts w:hint="eastAsia" w:ascii="宋体" w:hAnsi="宋体" w:cs="宋体"/>
                <w:u w:val="single"/>
                <w:lang w:val="en-US" w:eastAsia="zh-CN"/>
              </w:rPr>
              <w:t>5</w:t>
            </w:r>
            <w:r>
              <w:rPr>
                <w:rFonts w:hint="eastAsia" w:ascii="宋体" w:hAnsi="宋体" w:cs="宋体"/>
                <w:u w:val="single"/>
              </w:rPr>
              <w:t>00</w:t>
            </w:r>
            <w:r>
              <w:rPr>
                <w:rFonts w:hint="eastAsia" w:ascii="宋体" w:hAnsi="宋体" w:cs="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19</w:t>
            </w:r>
          </w:p>
        </w:tc>
        <w:tc>
          <w:tcPr>
            <w:tcW w:w="1252" w:type="dxa"/>
            <w:vAlign w:val="center"/>
          </w:tcPr>
          <w:p>
            <w:pPr>
              <w:spacing w:line="240" w:lineRule="exact"/>
              <w:jc w:val="center"/>
              <w:rPr>
                <w:rFonts w:ascii="宋体"/>
              </w:rPr>
            </w:pPr>
            <w:r>
              <w:rPr>
                <w:rFonts w:ascii="宋体" w:hAnsi="宋体" w:cs="宋体"/>
              </w:rPr>
              <w:t>17.3.3</w:t>
            </w:r>
            <w:r>
              <w:rPr>
                <w:rFonts w:hint="eastAsia" w:ascii="宋体" w:hAnsi="宋体" w:cs="宋体"/>
              </w:rPr>
              <w:t>（</w:t>
            </w:r>
            <w:r>
              <w:rPr>
                <w:rFonts w:ascii="宋体" w:hAnsi="宋体" w:cs="宋体"/>
              </w:rPr>
              <w:t>2</w:t>
            </w:r>
            <w:r>
              <w:rPr>
                <w:rFonts w:hint="eastAsia" w:ascii="宋体" w:hAnsi="宋体" w:cs="宋体"/>
              </w:rPr>
              <w:t>）</w:t>
            </w:r>
          </w:p>
        </w:tc>
        <w:tc>
          <w:tcPr>
            <w:tcW w:w="7231" w:type="dxa"/>
            <w:vAlign w:val="center"/>
          </w:tcPr>
          <w:p>
            <w:pPr>
              <w:adjustRightInd w:val="0"/>
              <w:snapToGrid w:val="0"/>
              <w:ind w:firstLine="420" w:firstLineChars="200"/>
              <w:rPr>
                <w:rFonts w:ascii="宋体"/>
              </w:rPr>
            </w:pPr>
            <w:r>
              <w:rPr>
                <w:rFonts w:hint="eastAsia" w:ascii="宋体" w:hAnsi="宋体" w:cs="宋体"/>
              </w:rPr>
              <w:t>逾期付款违约金的利率：中国人民银行公布同期短期贷款利率加手续费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20</w:t>
            </w:r>
          </w:p>
        </w:tc>
        <w:tc>
          <w:tcPr>
            <w:tcW w:w="1252" w:type="dxa"/>
            <w:vAlign w:val="center"/>
          </w:tcPr>
          <w:p>
            <w:pPr>
              <w:adjustRightInd w:val="0"/>
              <w:snapToGrid w:val="0"/>
              <w:spacing w:line="240" w:lineRule="exact"/>
              <w:jc w:val="center"/>
              <w:rPr>
                <w:rFonts w:ascii="宋体"/>
              </w:rPr>
            </w:pPr>
            <w:r>
              <w:rPr>
                <w:rFonts w:ascii="宋体" w:hAnsi="宋体" w:cs="宋体"/>
              </w:rPr>
              <w:t>17.4.1</w:t>
            </w:r>
          </w:p>
        </w:tc>
        <w:tc>
          <w:tcPr>
            <w:tcW w:w="7231" w:type="dxa"/>
            <w:vAlign w:val="center"/>
          </w:tcPr>
          <w:p>
            <w:pPr>
              <w:adjustRightInd w:val="0"/>
              <w:snapToGrid w:val="0"/>
              <w:ind w:firstLine="420" w:firstLineChars="200"/>
              <w:rPr>
                <w:rFonts w:ascii="宋体"/>
              </w:rPr>
            </w:pPr>
            <w:r>
              <w:rPr>
                <w:rFonts w:hint="eastAsia" w:ascii="宋体" w:hAnsi="宋体" w:cs="宋体"/>
              </w:rPr>
              <w:t>质量保证金百分比：月支付额的</w:t>
            </w:r>
            <w:r>
              <w:rPr>
                <w:rFonts w:hint="eastAsia" w:ascii="宋体" w:hAnsi="宋体" w:cs="宋体"/>
                <w:u w:val="single"/>
              </w:rPr>
              <w:t>/</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blHeader/>
        </w:trPr>
        <w:tc>
          <w:tcPr>
            <w:tcW w:w="775" w:type="dxa"/>
            <w:vAlign w:val="center"/>
          </w:tcPr>
          <w:p>
            <w:pPr>
              <w:spacing w:line="240" w:lineRule="exact"/>
              <w:jc w:val="center"/>
              <w:rPr>
                <w:rFonts w:ascii="宋体"/>
              </w:rPr>
            </w:pPr>
            <w:r>
              <w:rPr>
                <w:rFonts w:ascii="宋体" w:hAnsi="宋体" w:cs="宋体"/>
              </w:rPr>
              <w:t>21</w:t>
            </w:r>
          </w:p>
        </w:tc>
        <w:tc>
          <w:tcPr>
            <w:tcW w:w="1252" w:type="dxa"/>
            <w:vAlign w:val="center"/>
          </w:tcPr>
          <w:p>
            <w:pPr>
              <w:spacing w:line="240" w:lineRule="exact"/>
              <w:jc w:val="center"/>
              <w:rPr>
                <w:rFonts w:ascii="宋体"/>
              </w:rPr>
            </w:pPr>
            <w:r>
              <w:rPr>
                <w:rFonts w:ascii="宋体" w:hAnsi="宋体" w:cs="宋体"/>
              </w:rPr>
              <w:t>17.4.1</w:t>
            </w:r>
          </w:p>
        </w:tc>
        <w:tc>
          <w:tcPr>
            <w:tcW w:w="7231" w:type="dxa"/>
            <w:vAlign w:val="center"/>
          </w:tcPr>
          <w:p>
            <w:pPr>
              <w:adjustRightInd w:val="0"/>
              <w:snapToGrid w:val="0"/>
              <w:ind w:firstLine="420" w:firstLineChars="200"/>
              <w:rPr>
                <w:rFonts w:ascii="宋体" w:hAnsi="宋体" w:cs="宋体"/>
              </w:rPr>
            </w:pPr>
            <w:r>
              <w:rPr>
                <w:rFonts w:hint="eastAsia" w:ascii="宋体" w:hAnsi="宋体" w:cs="宋体"/>
              </w:rPr>
              <w:t>质量保证金限额：</w:t>
            </w:r>
            <w:r>
              <w:rPr>
                <w:rFonts w:hint="eastAsia" w:ascii="宋体" w:hAnsi="宋体" w:cs="宋体"/>
                <w:u w:val="single"/>
              </w:rPr>
              <w:t>3</w:t>
            </w:r>
            <w:r>
              <w:rPr>
                <w:rFonts w:hint="eastAsia" w:ascii="宋体" w:hAnsi="宋体" w:cs="宋体"/>
              </w:rPr>
              <w:t>％合同价格。若交工验收时承包人具备被招标项目所在地省级交通主管部门评定的最高信用等级，发包人给予</w:t>
            </w:r>
            <w:r>
              <w:rPr>
                <w:rFonts w:ascii="宋体" w:hAnsi="宋体" w:cs="宋体"/>
                <w:u w:val="single"/>
              </w:rPr>
              <w:t>/</w:t>
            </w:r>
            <w:r>
              <w:rPr>
                <w:rFonts w:hint="eastAsia" w:ascii="宋体" w:hAnsi="宋体" w:cs="宋体"/>
              </w:rPr>
              <w:t>％合同价格质量保证金的优惠。</w:t>
            </w:r>
          </w:p>
          <w:p>
            <w:pPr>
              <w:adjustRightInd w:val="0"/>
              <w:snapToGrid w:val="0"/>
              <w:ind w:firstLine="420" w:firstLineChars="200"/>
              <w:rPr>
                <w:rFonts w:ascii="宋体" w:hAnsi="宋体" w:cs="宋体"/>
              </w:rPr>
            </w:pPr>
            <w:r>
              <w:rPr>
                <w:rFonts w:hint="eastAsia" w:ascii="宋体" w:hAnsi="宋体" w:cs="宋体"/>
              </w:rPr>
              <w:t>质量保证金是否计付利息：</w:t>
            </w:r>
          </w:p>
          <w:p>
            <w:pPr>
              <w:adjustRightInd w:val="0"/>
              <w:snapToGrid w:val="0"/>
              <w:ind w:firstLine="420" w:firstLineChars="200"/>
              <w:rPr>
                <w:rFonts w:ascii="宋体" w:hAnsi="宋体"/>
                <w:szCs w:val="21"/>
              </w:rPr>
            </w:pPr>
            <w:r>
              <w:rPr>
                <w:rFonts w:hint="eastAsia" w:ascii="宋体" w:hAnsi="宋体"/>
                <w:szCs w:val="21"/>
              </w:rPr>
              <w:t>□是，利息的计算方式：</w:t>
            </w:r>
          </w:p>
          <w:p>
            <w:pPr>
              <w:adjustRightInd w:val="0"/>
              <w:snapToGrid w:val="0"/>
              <w:ind w:firstLine="420" w:firstLineChars="200"/>
              <w:rPr>
                <w:rFonts w:ascii="宋体"/>
              </w:rPr>
            </w:pPr>
            <w:r>
              <w:rPr>
                <w:rFonts w:hint="eastAsia" w:ascii="宋体" w:hAnsi="宋体"/>
                <w:szCs w:val="21"/>
              </w:rPr>
              <w:sym w:font="Wingdings" w:char="F0FE"/>
            </w: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22</w:t>
            </w:r>
          </w:p>
        </w:tc>
        <w:tc>
          <w:tcPr>
            <w:tcW w:w="1252" w:type="dxa"/>
            <w:vAlign w:val="center"/>
          </w:tcPr>
          <w:p>
            <w:pPr>
              <w:spacing w:line="240" w:lineRule="exact"/>
              <w:jc w:val="center"/>
              <w:rPr>
                <w:rFonts w:ascii="宋体"/>
              </w:rPr>
            </w:pPr>
            <w:r>
              <w:rPr>
                <w:rFonts w:ascii="宋体" w:hAnsi="宋体" w:cs="宋体"/>
              </w:rPr>
              <w:t>17.5.1</w:t>
            </w:r>
            <w:r>
              <w:rPr>
                <w:rFonts w:hint="eastAsia" w:ascii="宋体" w:hAnsi="宋体" w:cs="宋体"/>
              </w:rPr>
              <w:t>(1)</w:t>
            </w:r>
          </w:p>
        </w:tc>
        <w:tc>
          <w:tcPr>
            <w:tcW w:w="7231" w:type="dxa"/>
            <w:vAlign w:val="center"/>
          </w:tcPr>
          <w:p>
            <w:pPr>
              <w:adjustRightInd w:val="0"/>
              <w:snapToGrid w:val="0"/>
              <w:ind w:firstLine="420" w:firstLineChars="200"/>
              <w:rPr>
                <w:rFonts w:ascii="宋体"/>
              </w:rPr>
            </w:pPr>
            <w:r>
              <w:rPr>
                <w:rFonts w:hint="eastAsia" w:ascii="宋体" w:hAnsi="宋体" w:cs="宋体"/>
              </w:rPr>
              <w:t>承包人向监理人提交交工付款申请单</w:t>
            </w:r>
            <w:r>
              <w:rPr>
                <w:rFonts w:ascii="宋体" w:hAnsi="宋体" w:cs="宋体"/>
              </w:rPr>
              <w:t>(</w:t>
            </w:r>
            <w:r>
              <w:rPr>
                <w:rFonts w:hint="eastAsia" w:ascii="宋体" w:hAnsi="宋体" w:cs="宋体"/>
              </w:rPr>
              <w:t>包括相关证明材料</w:t>
            </w:r>
            <w:r>
              <w:rPr>
                <w:rFonts w:ascii="宋体" w:hAnsi="宋体" w:cs="宋体"/>
              </w:rPr>
              <w:t>)</w:t>
            </w:r>
            <w:r>
              <w:rPr>
                <w:rFonts w:hint="eastAsia" w:ascii="宋体" w:hAnsi="宋体" w:cs="宋体"/>
              </w:rPr>
              <w:t>的份数：</w:t>
            </w:r>
            <w:r>
              <w:rPr>
                <w:rFonts w:ascii="宋体" w:hAnsi="宋体" w:cs="宋体"/>
                <w:u w:val="single"/>
              </w:rPr>
              <w:t>6</w:t>
            </w:r>
            <w:r>
              <w:rPr>
                <w:rFonts w:hint="eastAsia" w:ascii="宋体" w:hAnsi="宋体" w:cs="宋体"/>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23</w:t>
            </w:r>
          </w:p>
        </w:tc>
        <w:tc>
          <w:tcPr>
            <w:tcW w:w="1252" w:type="dxa"/>
            <w:vAlign w:val="center"/>
          </w:tcPr>
          <w:p>
            <w:pPr>
              <w:spacing w:line="240" w:lineRule="exact"/>
              <w:jc w:val="center"/>
              <w:rPr>
                <w:rFonts w:ascii="宋体"/>
              </w:rPr>
            </w:pPr>
            <w:r>
              <w:rPr>
                <w:rFonts w:ascii="宋体" w:hAnsi="宋体" w:cs="宋体"/>
              </w:rPr>
              <w:t>17.6.1</w:t>
            </w:r>
            <w:r>
              <w:rPr>
                <w:rFonts w:hint="eastAsia" w:ascii="宋体" w:hAnsi="宋体" w:cs="宋体"/>
              </w:rPr>
              <w:t>(1)</w:t>
            </w:r>
          </w:p>
        </w:tc>
        <w:tc>
          <w:tcPr>
            <w:tcW w:w="7231" w:type="dxa"/>
            <w:vAlign w:val="center"/>
          </w:tcPr>
          <w:p>
            <w:pPr>
              <w:adjustRightInd w:val="0"/>
              <w:snapToGrid w:val="0"/>
              <w:ind w:firstLine="420" w:firstLineChars="200"/>
              <w:rPr>
                <w:rFonts w:ascii="宋体"/>
              </w:rPr>
            </w:pPr>
            <w:r>
              <w:rPr>
                <w:rFonts w:hint="eastAsia" w:ascii="宋体" w:hAnsi="宋体" w:cs="宋体"/>
              </w:rPr>
              <w:t>承包人向监理人提交最终结清申请单</w:t>
            </w:r>
            <w:r>
              <w:rPr>
                <w:rFonts w:ascii="宋体" w:hAnsi="宋体" w:cs="宋体"/>
              </w:rPr>
              <w:t>(</w:t>
            </w:r>
            <w:r>
              <w:rPr>
                <w:rFonts w:hint="eastAsia" w:ascii="宋体" w:hAnsi="宋体" w:cs="宋体"/>
              </w:rPr>
              <w:t>包括相关证明材料</w:t>
            </w:r>
            <w:r>
              <w:rPr>
                <w:rFonts w:ascii="宋体" w:hAnsi="宋体" w:cs="宋体"/>
              </w:rPr>
              <w:t>)</w:t>
            </w:r>
            <w:r>
              <w:rPr>
                <w:rFonts w:hint="eastAsia" w:ascii="宋体" w:hAnsi="宋体" w:cs="宋体"/>
              </w:rPr>
              <w:t>的份数：</w:t>
            </w:r>
            <w:r>
              <w:rPr>
                <w:rFonts w:ascii="宋体" w:hAnsi="宋体" w:cs="宋体"/>
                <w:u w:val="single"/>
              </w:rPr>
              <w:t>6</w:t>
            </w:r>
            <w:r>
              <w:rPr>
                <w:rFonts w:hint="eastAsia" w:ascii="宋体" w:hAnsi="宋体" w:cs="宋体"/>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24</w:t>
            </w:r>
          </w:p>
        </w:tc>
        <w:tc>
          <w:tcPr>
            <w:tcW w:w="1252" w:type="dxa"/>
            <w:vAlign w:val="center"/>
          </w:tcPr>
          <w:p>
            <w:pPr>
              <w:spacing w:line="240" w:lineRule="exact"/>
              <w:jc w:val="center"/>
              <w:rPr>
                <w:rFonts w:ascii="宋体"/>
              </w:rPr>
            </w:pPr>
            <w:r>
              <w:rPr>
                <w:rFonts w:ascii="宋体" w:hAnsi="宋体" w:cs="宋体"/>
              </w:rPr>
              <w:t>18.2</w:t>
            </w:r>
            <w:r>
              <w:rPr>
                <w:rFonts w:hint="eastAsia" w:ascii="宋体" w:hAnsi="宋体" w:cs="宋体"/>
              </w:rPr>
              <w:t>(2)</w:t>
            </w:r>
          </w:p>
        </w:tc>
        <w:tc>
          <w:tcPr>
            <w:tcW w:w="7231" w:type="dxa"/>
            <w:vAlign w:val="center"/>
          </w:tcPr>
          <w:p>
            <w:pPr>
              <w:adjustRightInd w:val="0"/>
              <w:snapToGrid w:val="0"/>
              <w:ind w:firstLine="420" w:firstLineChars="200"/>
              <w:rPr>
                <w:rFonts w:ascii="宋体"/>
              </w:rPr>
            </w:pPr>
            <w:r>
              <w:rPr>
                <w:rFonts w:hint="eastAsia" w:ascii="宋体" w:hAnsi="宋体" w:cs="宋体"/>
              </w:rPr>
              <w:t>竣工资料的份数：</w:t>
            </w:r>
            <w:r>
              <w:rPr>
                <w:rFonts w:ascii="宋体" w:hAnsi="宋体" w:cs="宋体"/>
                <w:u w:val="single"/>
              </w:rPr>
              <w:t>6</w:t>
            </w:r>
            <w:r>
              <w:rPr>
                <w:rFonts w:hint="eastAsia" w:ascii="宋体" w:hAnsi="宋体" w:cs="宋体"/>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blHeader/>
        </w:trPr>
        <w:tc>
          <w:tcPr>
            <w:tcW w:w="775" w:type="dxa"/>
            <w:vAlign w:val="center"/>
          </w:tcPr>
          <w:p>
            <w:pPr>
              <w:spacing w:line="240" w:lineRule="exact"/>
              <w:jc w:val="center"/>
              <w:rPr>
                <w:rFonts w:ascii="宋体"/>
              </w:rPr>
            </w:pPr>
            <w:r>
              <w:rPr>
                <w:rFonts w:ascii="宋体" w:hAnsi="宋体" w:cs="宋体"/>
              </w:rPr>
              <w:t>25</w:t>
            </w:r>
          </w:p>
        </w:tc>
        <w:tc>
          <w:tcPr>
            <w:tcW w:w="1252" w:type="dxa"/>
            <w:vAlign w:val="center"/>
          </w:tcPr>
          <w:p>
            <w:pPr>
              <w:spacing w:line="240" w:lineRule="exact"/>
              <w:jc w:val="center"/>
              <w:rPr>
                <w:rFonts w:ascii="宋体"/>
              </w:rPr>
            </w:pPr>
            <w:r>
              <w:rPr>
                <w:rFonts w:ascii="宋体" w:hAnsi="宋体" w:cs="宋体"/>
              </w:rPr>
              <w:t>18.5.1</w:t>
            </w:r>
          </w:p>
        </w:tc>
        <w:tc>
          <w:tcPr>
            <w:tcW w:w="7231" w:type="dxa"/>
            <w:vAlign w:val="center"/>
          </w:tcPr>
          <w:p>
            <w:pPr>
              <w:adjustRightInd w:val="0"/>
              <w:snapToGrid w:val="0"/>
              <w:ind w:firstLine="420" w:firstLineChars="200"/>
              <w:rPr>
                <w:rFonts w:ascii="宋体"/>
                <w:u w:val="single"/>
              </w:rPr>
            </w:pPr>
            <w:r>
              <w:rPr>
                <w:rFonts w:hint="eastAsia" w:ascii="宋体" w:hAnsi="宋体" w:cs="宋体"/>
              </w:rPr>
              <w:t>单位工程或工程设备是否需投人施工期运行：</w:t>
            </w:r>
            <w:r>
              <w:rPr>
                <w:rFonts w:hint="eastAsia" w:ascii="宋体" w:hAnsi="宋体" w:cs="宋体"/>
                <w:u w:val="single"/>
              </w:rPr>
              <w:t>否</w:t>
            </w:r>
          </w:p>
          <w:p>
            <w:pPr>
              <w:adjustRightInd w:val="0"/>
              <w:snapToGrid w:val="0"/>
              <w:ind w:firstLine="420" w:firstLineChars="200"/>
              <w:rPr>
                <w:rFonts w:ascii="宋体"/>
              </w:rPr>
            </w:pPr>
            <w:r>
              <w:rPr>
                <w:rFonts w:hint="eastAsia" w:ascii="宋体" w:hAnsi="宋体" w:cs="宋体"/>
              </w:rPr>
              <w:t>如单位工程或工程设备需要进行施工期运行，需要施工期运行的单位工程或工程设备规定如下：</w:t>
            </w:r>
            <w:r>
              <w:rPr>
                <w:rFonts w:ascii="宋体" w:hAnsi="宋体" w:cs="宋体"/>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blHeader/>
        </w:trPr>
        <w:tc>
          <w:tcPr>
            <w:tcW w:w="775" w:type="dxa"/>
            <w:vAlign w:val="center"/>
          </w:tcPr>
          <w:p>
            <w:pPr>
              <w:spacing w:line="240" w:lineRule="exact"/>
              <w:jc w:val="center"/>
              <w:rPr>
                <w:rFonts w:ascii="宋体"/>
              </w:rPr>
            </w:pPr>
            <w:r>
              <w:rPr>
                <w:rFonts w:ascii="宋体" w:hAnsi="宋体" w:cs="宋体"/>
              </w:rPr>
              <w:t>26</w:t>
            </w:r>
          </w:p>
        </w:tc>
        <w:tc>
          <w:tcPr>
            <w:tcW w:w="1252" w:type="dxa"/>
            <w:vAlign w:val="center"/>
          </w:tcPr>
          <w:p>
            <w:pPr>
              <w:spacing w:line="240" w:lineRule="exact"/>
              <w:jc w:val="center"/>
              <w:rPr>
                <w:rFonts w:ascii="宋体"/>
              </w:rPr>
            </w:pPr>
            <w:r>
              <w:rPr>
                <w:rFonts w:ascii="宋体" w:hAnsi="宋体" w:cs="宋体"/>
              </w:rPr>
              <w:t>18.6.1</w:t>
            </w:r>
          </w:p>
        </w:tc>
        <w:tc>
          <w:tcPr>
            <w:tcW w:w="7231" w:type="dxa"/>
            <w:vAlign w:val="center"/>
          </w:tcPr>
          <w:p>
            <w:pPr>
              <w:adjustRightInd w:val="0"/>
              <w:snapToGrid w:val="0"/>
              <w:ind w:firstLine="420" w:firstLineChars="200"/>
              <w:rPr>
                <w:rFonts w:ascii="宋体"/>
              </w:rPr>
            </w:pPr>
            <w:r>
              <w:rPr>
                <w:rFonts w:hint="eastAsia" w:ascii="宋体" w:hAnsi="宋体" w:cs="宋体"/>
              </w:rPr>
              <w:t>本工程及工程设备是否进行试运行：</w:t>
            </w:r>
            <w:r>
              <w:rPr>
                <w:rFonts w:hint="eastAsia" w:ascii="宋体" w:hAnsi="宋体" w:cs="宋体"/>
                <w:u w:val="single"/>
              </w:rPr>
              <w:t>否</w:t>
            </w:r>
          </w:p>
          <w:p>
            <w:pPr>
              <w:adjustRightInd w:val="0"/>
              <w:snapToGrid w:val="0"/>
              <w:ind w:firstLine="420" w:firstLineChars="200"/>
              <w:rPr>
                <w:rFonts w:ascii="宋体"/>
              </w:rPr>
            </w:pPr>
            <w:r>
              <w:rPr>
                <w:rFonts w:hint="eastAsia" w:ascii="宋体" w:hAnsi="宋体" w:cs="宋体"/>
              </w:rPr>
              <w:t>如本工程及工程设备需要进行试运行，试运行的具体规定如下：</w:t>
            </w:r>
            <w:r>
              <w:rPr>
                <w:rFonts w:ascii="宋体" w:hAnsi="宋体" w:cs="宋体"/>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27</w:t>
            </w:r>
          </w:p>
        </w:tc>
        <w:tc>
          <w:tcPr>
            <w:tcW w:w="1252" w:type="dxa"/>
            <w:vAlign w:val="center"/>
          </w:tcPr>
          <w:p>
            <w:pPr>
              <w:spacing w:line="240" w:lineRule="exact"/>
              <w:jc w:val="center"/>
              <w:rPr>
                <w:rFonts w:ascii="宋体"/>
              </w:rPr>
            </w:pPr>
            <w:r>
              <w:rPr>
                <w:rFonts w:ascii="宋体" w:hAnsi="宋体" w:cs="宋体"/>
              </w:rPr>
              <w:t>19.7</w:t>
            </w:r>
            <w:r>
              <w:rPr>
                <w:rFonts w:hint="eastAsia" w:ascii="宋体" w:hAnsi="宋体" w:cs="宋体"/>
              </w:rPr>
              <w:t>(1)</w:t>
            </w:r>
          </w:p>
        </w:tc>
        <w:tc>
          <w:tcPr>
            <w:tcW w:w="7231" w:type="dxa"/>
            <w:vAlign w:val="center"/>
          </w:tcPr>
          <w:p>
            <w:pPr>
              <w:adjustRightInd w:val="0"/>
              <w:snapToGrid w:val="0"/>
              <w:ind w:firstLine="420" w:firstLineChars="200"/>
              <w:rPr>
                <w:rFonts w:ascii="宋体"/>
              </w:rPr>
            </w:pPr>
            <w:r>
              <w:rPr>
                <w:rFonts w:hint="eastAsia" w:ascii="宋体" w:hAnsi="宋体" w:cs="宋体"/>
              </w:rPr>
              <w:t>保修期：自实际交工日期起计算</w:t>
            </w:r>
            <w:r>
              <w:rPr>
                <w:rFonts w:hint="eastAsia" w:ascii="宋体" w:hAnsi="宋体" w:cs="宋体"/>
                <w:u w:val="single"/>
              </w:rPr>
              <w:t>5</w:t>
            </w:r>
            <w:r>
              <w:rPr>
                <w:rFonts w:hint="eastAsia" w:ascii="宋体" w:hAnsi="宋体" w:cs="宋体"/>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75" w:type="dxa"/>
            <w:vAlign w:val="center"/>
          </w:tcPr>
          <w:p>
            <w:pPr>
              <w:spacing w:line="240" w:lineRule="exact"/>
              <w:jc w:val="center"/>
              <w:rPr>
                <w:rFonts w:ascii="宋体"/>
              </w:rPr>
            </w:pPr>
            <w:r>
              <w:rPr>
                <w:rFonts w:ascii="宋体" w:hAnsi="宋体" w:cs="宋体"/>
              </w:rPr>
              <w:t>28</w:t>
            </w:r>
          </w:p>
        </w:tc>
        <w:tc>
          <w:tcPr>
            <w:tcW w:w="1252" w:type="dxa"/>
            <w:vAlign w:val="center"/>
          </w:tcPr>
          <w:p>
            <w:pPr>
              <w:spacing w:line="240" w:lineRule="exact"/>
              <w:jc w:val="center"/>
              <w:rPr>
                <w:rFonts w:ascii="宋体"/>
              </w:rPr>
            </w:pPr>
            <w:r>
              <w:rPr>
                <w:rFonts w:ascii="宋体" w:hAnsi="宋体" w:cs="宋体"/>
              </w:rPr>
              <w:t>20.1</w:t>
            </w:r>
          </w:p>
        </w:tc>
        <w:tc>
          <w:tcPr>
            <w:tcW w:w="7231" w:type="dxa"/>
            <w:vAlign w:val="center"/>
          </w:tcPr>
          <w:p>
            <w:pPr>
              <w:adjustRightInd w:val="0"/>
              <w:snapToGrid w:val="0"/>
              <w:ind w:firstLine="420" w:firstLineChars="200"/>
              <w:rPr>
                <w:rFonts w:ascii="宋体"/>
              </w:rPr>
            </w:pPr>
            <w:r>
              <w:rPr>
                <w:rFonts w:hint="eastAsia" w:ascii="宋体" w:hAnsi="宋体" w:cs="宋体"/>
              </w:rPr>
              <w:t>建筑工程一切险的保险费率：</w:t>
            </w:r>
            <w:r>
              <w:rPr>
                <w:rFonts w:ascii="宋体" w:hAnsi="宋体" w:cs="宋体"/>
                <w:u w:val="single"/>
              </w:rPr>
              <w:t>2</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blHeader/>
        </w:trPr>
        <w:tc>
          <w:tcPr>
            <w:tcW w:w="775" w:type="dxa"/>
            <w:vAlign w:val="center"/>
          </w:tcPr>
          <w:p>
            <w:pPr>
              <w:spacing w:line="240" w:lineRule="exact"/>
              <w:jc w:val="center"/>
              <w:rPr>
                <w:rFonts w:ascii="宋体"/>
              </w:rPr>
            </w:pPr>
            <w:r>
              <w:rPr>
                <w:rFonts w:ascii="宋体" w:hAnsi="宋体" w:cs="宋体"/>
              </w:rPr>
              <w:t>29</w:t>
            </w:r>
          </w:p>
        </w:tc>
        <w:tc>
          <w:tcPr>
            <w:tcW w:w="1252" w:type="dxa"/>
            <w:vAlign w:val="center"/>
          </w:tcPr>
          <w:p>
            <w:pPr>
              <w:spacing w:line="240" w:lineRule="exact"/>
              <w:jc w:val="center"/>
              <w:rPr>
                <w:rFonts w:ascii="宋体"/>
              </w:rPr>
            </w:pPr>
            <w:r>
              <w:rPr>
                <w:rFonts w:ascii="宋体" w:hAnsi="宋体" w:cs="宋体"/>
              </w:rPr>
              <w:t>20.4.2</w:t>
            </w:r>
          </w:p>
        </w:tc>
        <w:tc>
          <w:tcPr>
            <w:tcW w:w="7231" w:type="dxa"/>
            <w:vAlign w:val="center"/>
          </w:tcPr>
          <w:p>
            <w:pPr>
              <w:adjustRightInd w:val="0"/>
              <w:snapToGrid w:val="0"/>
              <w:ind w:firstLine="420" w:firstLineChars="200"/>
              <w:rPr>
                <w:rFonts w:ascii="宋体"/>
              </w:rPr>
            </w:pPr>
            <w:r>
              <w:rPr>
                <w:rFonts w:hint="eastAsia" w:ascii="宋体" w:hAnsi="宋体" w:cs="宋体"/>
              </w:rPr>
              <w:t>第三者责任险的最低投保金额：</w:t>
            </w:r>
            <w:r>
              <w:rPr>
                <w:rFonts w:hint="eastAsia" w:ascii="宋体" w:hAnsi="宋体" w:cs="宋体"/>
                <w:u w:val="single"/>
              </w:rPr>
              <w:t xml:space="preserve"> / </w:t>
            </w:r>
            <w:r>
              <w:rPr>
                <w:rFonts w:hint="eastAsia" w:ascii="宋体" w:hAnsi="宋体" w:cs="宋体"/>
              </w:rPr>
              <w:t xml:space="preserve"> 万元，事故次数不限</w:t>
            </w:r>
            <w:r>
              <w:rPr>
                <w:rFonts w:ascii="宋体" w:hAnsi="宋体" w:cs="宋体"/>
              </w:rPr>
              <w:t>(</w:t>
            </w:r>
            <w:r>
              <w:rPr>
                <w:rFonts w:hint="eastAsia" w:ascii="宋体" w:hAnsi="宋体" w:cs="宋体"/>
              </w:rPr>
              <w:t>不计免赔额</w:t>
            </w:r>
            <w:r>
              <w:rPr>
                <w:rFonts w:ascii="宋体" w:hAnsi="宋体" w:cs="宋体"/>
              </w:rPr>
              <w:t>)</w:t>
            </w:r>
          </w:p>
          <w:p>
            <w:pPr>
              <w:adjustRightInd w:val="0"/>
              <w:snapToGrid w:val="0"/>
              <w:ind w:firstLine="420" w:firstLineChars="200"/>
              <w:rPr>
                <w:rFonts w:ascii="宋体"/>
              </w:rPr>
            </w:pPr>
            <w:r>
              <w:rPr>
                <w:rFonts w:hint="eastAsia" w:ascii="宋体" w:hAnsi="宋体" w:cs="宋体"/>
              </w:rPr>
              <w:t>保险费率：</w:t>
            </w:r>
            <w:r>
              <w:rPr>
                <w:rFonts w:ascii="宋体" w:hAnsi="宋体" w:cs="宋体"/>
                <w:u w:val="single"/>
              </w:rPr>
              <w:t>0.5</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blHeader/>
        </w:trPr>
        <w:tc>
          <w:tcPr>
            <w:tcW w:w="775" w:type="dxa"/>
            <w:tcBorders>
              <w:bottom w:val="single" w:color="auto" w:sz="12" w:space="0"/>
            </w:tcBorders>
            <w:vAlign w:val="center"/>
          </w:tcPr>
          <w:p>
            <w:pPr>
              <w:spacing w:line="240" w:lineRule="exact"/>
              <w:jc w:val="center"/>
              <w:rPr>
                <w:rFonts w:ascii="宋体"/>
              </w:rPr>
            </w:pPr>
            <w:r>
              <w:rPr>
                <w:rFonts w:ascii="宋体" w:hAnsi="宋体" w:cs="宋体"/>
              </w:rPr>
              <w:t>30</w:t>
            </w:r>
          </w:p>
        </w:tc>
        <w:tc>
          <w:tcPr>
            <w:tcW w:w="1252" w:type="dxa"/>
            <w:tcBorders>
              <w:bottom w:val="single" w:color="auto" w:sz="12" w:space="0"/>
            </w:tcBorders>
            <w:vAlign w:val="center"/>
          </w:tcPr>
          <w:p>
            <w:pPr>
              <w:spacing w:line="240" w:lineRule="exact"/>
              <w:jc w:val="center"/>
              <w:rPr>
                <w:rFonts w:ascii="宋体"/>
              </w:rPr>
            </w:pPr>
            <w:r>
              <w:rPr>
                <w:rFonts w:ascii="宋体" w:hAnsi="宋体" w:cs="宋体"/>
              </w:rPr>
              <w:t>24.1</w:t>
            </w:r>
          </w:p>
        </w:tc>
        <w:tc>
          <w:tcPr>
            <w:tcW w:w="7231" w:type="dxa"/>
            <w:tcBorders>
              <w:bottom w:val="single" w:color="auto" w:sz="12" w:space="0"/>
            </w:tcBorders>
            <w:vAlign w:val="center"/>
          </w:tcPr>
          <w:p>
            <w:pPr>
              <w:adjustRightInd w:val="0"/>
              <w:snapToGrid w:val="0"/>
              <w:ind w:firstLine="420" w:firstLineChars="200"/>
              <w:rPr>
                <w:rFonts w:ascii="宋体"/>
                <w:u w:val="single"/>
              </w:rPr>
            </w:pPr>
            <w:r>
              <w:rPr>
                <w:rFonts w:hint="eastAsia" w:ascii="宋体" w:hAnsi="宋体" w:cs="宋体"/>
              </w:rPr>
              <w:t>争议的最终解决方式：</w:t>
            </w:r>
            <w:r>
              <w:rPr>
                <w:rFonts w:hint="eastAsia" w:ascii="宋体" w:hAnsi="宋体" w:cs="宋体"/>
                <w:u w:val="single"/>
              </w:rPr>
              <w:t>诉讼</w:t>
            </w:r>
          </w:p>
          <w:p>
            <w:pPr>
              <w:adjustRightInd w:val="0"/>
              <w:snapToGrid w:val="0"/>
              <w:ind w:firstLine="420" w:firstLineChars="200"/>
              <w:rPr>
                <w:rFonts w:ascii="宋体"/>
              </w:rPr>
            </w:pPr>
            <w:r>
              <w:rPr>
                <w:rFonts w:hint="eastAsia" w:ascii="宋体" w:hAnsi="宋体" w:cs="宋体"/>
              </w:rPr>
              <w:t>如采用仲裁，仲裁委员会名称：</w:t>
            </w:r>
            <w:r>
              <w:rPr>
                <w:rFonts w:ascii="宋体" w:hAnsi="宋体" w:cs="宋体"/>
                <w:u w:val="single"/>
              </w:rPr>
              <w:t>/</w:t>
            </w:r>
          </w:p>
        </w:tc>
      </w:tr>
    </w:tbl>
    <w:p>
      <w:pPr>
        <w:jc w:val="center"/>
        <w:rPr>
          <w:rFonts w:ascii="宋体" w:hAnsi="宋体"/>
          <w:b/>
          <w:sz w:val="32"/>
          <w:szCs w:val="32"/>
        </w:rPr>
      </w:pPr>
      <w:r>
        <w:rPr>
          <w:rFonts w:ascii="宋体" w:hAnsi="宋体"/>
          <w:b/>
        </w:rPr>
        <w:br w:type="page"/>
      </w:r>
      <w:bookmarkEnd w:id="202"/>
      <w:bookmarkEnd w:id="203"/>
      <w:bookmarkEnd w:id="204"/>
      <w:bookmarkEnd w:id="205"/>
      <w:bookmarkStart w:id="560" w:name="_Toc234346098"/>
      <w:bookmarkStart w:id="561" w:name="_Toc234349538"/>
      <w:bookmarkStart w:id="562" w:name="_Toc234348964"/>
      <w:bookmarkStart w:id="563" w:name="_Toc234345883"/>
      <w:r>
        <w:rPr>
          <w:rFonts w:hint="eastAsia" w:ascii="宋体" w:hAnsi="宋体"/>
          <w:b/>
          <w:sz w:val="32"/>
          <w:szCs w:val="32"/>
        </w:rPr>
        <w:t>项目专用合同条款</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说明：本部分所列的项目专用合同条款是对“公路工程专用合同条款"中规定必须在项目专用合同条款中明确的内容的集中，招标人编制的“项目专用合同条款”不限于本部分所列内容。</w:t>
      </w:r>
    </w:p>
    <w:p>
      <w:pPr>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1</w:t>
      </w:r>
      <w:r>
        <w:rPr>
          <w:rFonts w:hint="eastAsia" w:ascii="宋体"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1.1.3.11</w:t>
      </w:r>
      <w:r>
        <w:rPr>
          <w:rFonts w:hint="eastAsia" w:ascii="宋体" w:hAnsi="宋体" w:cs="宋体"/>
          <w:b/>
          <w:bCs/>
        </w:rPr>
        <w:t>目细化为：</w:t>
      </w:r>
    </w:p>
    <w:p>
      <w:pPr>
        <w:spacing w:line="360" w:lineRule="auto"/>
        <w:ind w:firstLine="464" w:firstLineChars="221"/>
        <w:rPr>
          <w:rFonts w:ascii="宋体"/>
        </w:rPr>
      </w:pPr>
      <w:r>
        <w:rPr>
          <w:rFonts w:hint="eastAsia" w:ascii="宋体" w:hAnsi="宋体" w:cs="宋体"/>
        </w:rPr>
        <w:t>临时占地：指为实施本合同工程而需要的一切临时占用的土地，包括施工所用的临时支线、便道、便桥、和现场的临时出入通道，取、弃土场、路基用土备土场、预制场、拌合场、钢筋加工场、机械设备停放场、材料堆放场地、铣刨料存储场地以及其他生产（办公）、生活等临时设施用地等。</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2</w:t>
      </w:r>
      <w:r>
        <w:rPr>
          <w:rFonts w:hint="eastAsia" w:ascii="宋体"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合同条款补充</w:t>
      </w:r>
      <w:r>
        <w:rPr>
          <w:rFonts w:hint="eastAsia" w:ascii="宋体" w:hAnsi="宋体" w:cs="宋体"/>
          <w:b/>
          <w:bCs/>
        </w:rPr>
        <w:t>第</w:t>
      </w:r>
      <w:r>
        <w:rPr>
          <w:rFonts w:ascii="宋体" w:hAnsi="宋体" w:cs="宋体"/>
          <w:b/>
          <w:bCs/>
          <w:snapToGrid w:val="0"/>
          <w:kern w:val="0"/>
        </w:rPr>
        <w:t>1.1.6.</w:t>
      </w:r>
      <w:r>
        <w:rPr>
          <w:rFonts w:hint="eastAsia" w:ascii="宋体" w:hAnsi="宋体" w:cs="宋体"/>
          <w:b/>
          <w:bCs/>
          <w:snapToGrid w:val="0"/>
          <w:kern w:val="0"/>
        </w:rPr>
        <w:t>10目：</w:t>
      </w:r>
    </w:p>
    <w:p>
      <w:pPr>
        <w:adjustRightInd w:val="0"/>
        <w:snapToGrid w:val="0"/>
        <w:spacing w:line="360" w:lineRule="auto"/>
        <w:ind w:firstLine="420" w:firstLineChars="200"/>
        <w:rPr>
          <w:rFonts w:ascii="宋体"/>
          <w:snapToGrid w:val="0"/>
          <w:kern w:val="0"/>
        </w:rPr>
      </w:pPr>
      <w:r>
        <w:rPr>
          <w:rFonts w:ascii="宋体" w:hAnsi="宋体" w:cs="宋体"/>
          <w:snapToGrid w:val="0"/>
          <w:kern w:val="0"/>
        </w:rPr>
        <w:t>1.1.6.</w:t>
      </w:r>
      <w:r>
        <w:rPr>
          <w:rFonts w:hint="eastAsia" w:ascii="宋体" w:hAnsi="宋体" w:cs="宋体"/>
          <w:snapToGrid w:val="0"/>
          <w:kern w:val="0"/>
        </w:rPr>
        <w:t>10缺陷：包括瑕疵与缺陷</w:t>
      </w:r>
    </w:p>
    <w:p>
      <w:pPr>
        <w:adjustRightInd w:val="0"/>
        <w:snapToGrid w:val="0"/>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3</w:t>
      </w:r>
      <w:r>
        <w:rPr>
          <w:rFonts w:hint="eastAsia" w:ascii="宋体" w:hAnsi="宋体" w:cs="宋体"/>
          <w:b/>
          <w:bCs/>
          <w:snapToGrid w:val="0"/>
          <w:kern w:val="0"/>
        </w:rPr>
        <w:t xml:space="preserve">条 </w:t>
      </w:r>
      <w:r>
        <w:rPr>
          <w:rFonts w:hint="eastAsia" w:ascii="宋体" w:hAnsi="宋体" w:cs="宋体"/>
          <w:b/>
          <w:bCs/>
        </w:rPr>
        <w:t>公路工程专用合同条款补充第</w:t>
      </w:r>
      <w:r>
        <w:rPr>
          <w:rFonts w:ascii="宋体" w:hAnsi="宋体" w:cs="宋体"/>
          <w:b/>
          <w:bCs/>
        </w:rPr>
        <w:t>1.6.2</w:t>
      </w:r>
      <w:r>
        <w:rPr>
          <w:rFonts w:hint="eastAsia" w:ascii="宋体" w:hAnsi="宋体" w:cs="宋体"/>
          <w:b/>
          <w:bCs/>
        </w:rPr>
        <w:t>（</w:t>
      </w:r>
      <w:r>
        <w:rPr>
          <w:rFonts w:ascii="宋体" w:hAnsi="宋体" w:cs="宋体"/>
          <w:b/>
          <w:bCs/>
        </w:rPr>
        <w:t>5</w:t>
      </w:r>
      <w:r>
        <w:rPr>
          <w:rFonts w:hint="eastAsia" w:ascii="宋体" w:hAnsi="宋体" w:cs="宋体"/>
          <w:b/>
          <w:bCs/>
        </w:rPr>
        <w:t>）目：</w:t>
      </w:r>
    </w:p>
    <w:p>
      <w:pPr>
        <w:adjustRightInd w:val="0"/>
        <w:snapToGrid w:val="0"/>
        <w:spacing w:line="360" w:lineRule="auto"/>
        <w:ind w:firstLine="420" w:firstLineChars="200"/>
        <w:rPr>
          <w:rFonts w:ascii="宋体"/>
          <w:snapToGrid w:val="0"/>
          <w:kern w:val="0"/>
        </w:rPr>
      </w:pPr>
      <w:r>
        <w:rPr>
          <w:rFonts w:ascii="宋体" w:hAnsi="宋体" w:cs="宋体"/>
        </w:rPr>
        <w:t>1.6.2</w:t>
      </w:r>
      <w:r>
        <w:rPr>
          <w:rFonts w:hint="eastAsia" w:ascii="宋体" w:hAnsi="宋体" w:cs="宋体"/>
        </w:rPr>
        <w:t>（</w:t>
      </w:r>
      <w:r>
        <w:rPr>
          <w:rFonts w:ascii="宋体" w:hAnsi="宋体" w:cs="宋体"/>
        </w:rPr>
        <w:t>5</w:t>
      </w:r>
      <w:r>
        <w:rPr>
          <w:rFonts w:hint="eastAsia" w:ascii="宋体" w:hAnsi="宋体" w:cs="宋体"/>
        </w:rPr>
        <w:t>）临时工程和类似临时工程的设计及图纸。</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4</w:t>
      </w:r>
      <w:r>
        <w:rPr>
          <w:rFonts w:hint="eastAsia" w:ascii="宋体"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3.1.1</w:t>
      </w:r>
      <w:r>
        <w:rPr>
          <w:rFonts w:hint="eastAsia" w:ascii="宋体" w:hAnsi="宋体" w:cs="宋体"/>
          <w:b/>
          <w:bCs/>
          <w:snapToGrid w:val="0"/>
          <w:kern w:val="0"/>
        </w:rPr>
        <w:t>（</w:t>
      </w:r>
      <w:r>
        <w:rPr>
          <w:rFonts w:ascii="宋体" w:hAnsi="宋体" w:cs="宋体"/>
          <w:b/>
          <w:bCs/>
          <w:snapToGrid w:val="0"/>
          <w:kern w:val="0"/>
        </w:rPr>
        <w:t>6</w:t>
      </w:r>
      <w:r>
        <w:rPr>
          <w:rFonts w:hint="eastAsia" w:ascii="宋体" w:hAnsi="宋体" w:cs="宋体"/>
          <w:b/>
          <w:bCs/>
          <w:snapToGrid w:val="0"/>
          <w:kern w:val="0"/>
        </w:rPr>
        <w:t>）目细化为：</w:t>
      </w:r>
    </w:p>
    <w:p>
      <w:pPr>
        <w:adjustRightInd w:val="0"/>
        <w:snapToGrid w:val="0"/>
        <w:spacing w:line="360" w:lineRule="auto"/>
        <w:ind w:firstLine="420" w:firstLineChars="200"/>
        <w:rPr>
          <w:rFonts w:ascii="宋体"/>
        </w:rPr>
      </w:pPr>
      <w:r>
        <w:rPr>
          <w:rFonts w:hint="eastAsia" w:ascii="宋体" w:hAnsi="宋体" w:cs="宋体"/>
        </w:rPr>
        <w:t>根据第</w:t>
      </w:r>
      <w:r>
        <w:rPr>
          <w:rFonts w:ascii="宋体" w:hAnsi="宋体" w:cs="宋体"/>
        </w:rPr>
        <w:t>15.3</w:t>
      </w:r>
      <w:r>
        <w:rPr>
          <w:rFonts w:hint="eastAsia" w:ascii="宋体" w:hAnsi="宋体" w:cs="宋体"/>
        </w:rPr>
        <w:t>款发出的变更指示，其单项工程变更或累计变更涉及的金额以工程开工后发包人制定的具体实施细则为准。</w:t>
      </w:r>
    </w:p>
    <w:p>
      <w:pPr>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5</w:t>
      </w:r>
      <w:r>
        <w:rPr>
          <w:rFonts w:hint="eastAsia" w:ascii="宋体" w:hAnsi="宋体" w:cs="宋体"/>
          <w:b/>
          <w:bCs/>
          <w:snapToGrid w:val="0"/>
          <w:kern w:val="0"/>
        </w:rPr>
        <w:t xml:space="preserve">条 </w:t>
      </w:r>
      <w:r>
        <w:rPr>
          <w:rFonts w:hint="eastAsia" w:ascii="宋体" w:hAnsi="宋体" w:cs="宋体"/>
          <w:b/>
          <w:bCs/>
        </w:rPr>
        <w:t>通用合同条款第</w:t>
      </w:r>
      <w:r>
        <w:rPr>
          <w:rFonts w:ascii="宋体" w:hAnsi="宋体" w:cs="宋体"/>
          <w:b/>
          <w:bCs/>
        </w:rPr>
        <w:t>4.1.4</w:t>
      </w:r>
      <w:r>
        <w:rPr>
          <w:rFonts w:hint="eastAsia" w:ascii="宋体" w:hAnsi="宋体" w:cs="宋体"/>
          <w:b/>
          <w:bCs/>
        </w:rPr>
        <w:t>项补充：</w:t>
      </w:r>
    </w:p>
    <w:p>
      <w:pPr>
        <w:spacing w:line="360" w:lineRule="auto"/>
        <w:ind w:firstLine="359" w:firstLineChars="171"/>
        <w:rPr>
          <w:rFonts w:ascii="宋体"/>
        </w:rPr>
      </w:pPr>
      <w:r>
        <w:rPr>
          <w:rFonts w:hint="eastAsia" w:ascii="宋体" w:hAnsi="宋体" w:cs="宋体"/>
        </w:rPr>
        <w:t>承包人应合理组织施工生产，使合同段内各项目进度均衡发展，并满足发包人和监理人根据总工期下达的阶段性工作目标要求；通过对施工现场作业严格管理，确保工程质量与施工进度。在施工过程中，如发现承包人违反规范、合同、施工标准化管理指南，或违反质量、安全管理的有关规定，或出现质量问题、造成质量隐患及发生安全事故，发包人可视其情形严重程度对承包人课以人民币</w:t>
      </w:r>
      <w:r>
        <w:rPr>
          <w:rFonts w:ascii="宋体" w:hAnsi="宋体" w:cs="宋体"/>
        </w:rPr>
        <w:t>5000</w:t>
      </w:r>
      <w:r>
        <w:rPr>
          <w:rFonts w:hint="eastAsia" w:ascii="宋体" w:hAnsi="宋体" w:cs="宋体"/>
        </w:rPr>
        <w:t>元～</w:t>
      </w:r>
      <w:r>
        <w:rPr>
          <w:rFonts w:ascii="宋体" w:hAnsi="宋体" w:cs="宋体"/>
        </w:rPr>
        <w:t>50</w:t>
      </w:r>
      <w:r>
        <w:rPr>
          <w:rFonts w:hint="eastAsia" w:ascii="宋体" w:hAnsi="宋体" w:cs="宋体"/>
        </w:rPr>
        <w:t>万元的违约金。同时不免除承包人自费整改的责任以及其他应负的责任。</w:t>
      </w:r>
    </w:p>
    <w:p>
      <w:pPr>
        <w:adjustRightInd w:val="0"/>
        <w:snapToGrid w:val="0"/>
        <w:spacing w:line="360" w:lineRule="auto"/>
        <w:ind w:firstLine="420" w:firstLineChars="200"/>
        <w:rPr>
          <w:rFonts w:ascii="宋体" w:hAnsi="宋体" w:cs="宋体"/>
        </w:rPr>
      </w:pPr>
      <w:r>
        <w:rPr>
          <w:rFonts w:hint="eastAsia" w:ascii="宋体" w:hAnsi="宋体" w:cs="宋体"/>
        </w:rPr>
        <w:t>加强施工现场和临建设施的规范化管理，认真执行《天津市公路工程“平安工地”标准化建设指导意见》（</w:t>
      </w:r>
      <w:r>
        <w:rPr>
          <w:rFonts w:ascii="宋体" w:hAnsi="宋体" w:cs="宋体"/>
        </w:rPr>
        <w:t>2011</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28</w:t>
      </w:r>
      <w:r>
        <w:rPr>
          <w:rFonts w:hint="eastAsia" w:ascii="宋体" w:hAnsi="宋体" w:cs="宋体"/>
        </w:rPr>
        <w:t>日天津市市政公路管理局安监［</w:t>
      </w:r>
      <w:r>
        <w:rPr>
          <w:rFonts w:ascii="宋体" w:hAnsi="宋体" w:cs="宋体"/>
        </w:rPr>
        <w:t>2011</w:t>
      </w:r>
      <w:r>
        <w:rPr>
          <w:rFonts w:hint="eastAsia" w:ascii="宋体" w:hAnsi="宋体" w:cs="宋体"/>
        </w:rPr>
        <w:t>］</w:t>
      </w:r>
      <w:r>
        <w:rPr>
          <w:rFonts w:ascii="宋体" w:hAnsi="宋体" w:cs="宋体"/>
        </w:rPr>
        <w:t>217</w:t>
      </w:r>
      <w:r>
        <w:rPr>
          <w:rFonts w:hint="eastAsia" w:ascii="宋体" w:hAnsi="宋体" w:cs="宋体"/>
        </w:rPr>
        <w:t>号）、《天津市公路工程施工标准化管理指南》有关规定。若违反该规定，视为承包人违约，发包人可视其情形严重程度对承包人课以人民币</w:t>
      </w:r>
      <w:r>
        <w:rPr>
          <w:rFonts w:ascii="宋体" w:hAnsi="宋体" w:cs="宋体"/>
        </w:rPr>
        <w:t>5000</w:t>
      </w:r>
      <w:r>
        <w:rPr>
          <w:rFonts w:hint="eastAsia" w:ascii="宋体" w:hAnsi="宋体" w:cs="宋体"/>
        </w:rPr>
        <w:t>元～</w:t>
      </w:r>
      <w:r>
        <w:rPr>
          <w:rFonts w:ascii="宋体" w:hAnsi="宋体" w:cs="宋体"/>
        </w:rPr>
        <w:t>50</w:t>
      </w:r>
      <w:r>
        <w:rPr>
          <w:rFonts w:hint="eastAsia" w:ascii="宋体" w:hAnsi="宋体" w:cs="宋体"/>
        </w:rPr>
        <w:t>万元的违约金。</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6</w:t>
      </w:r>
      <w:r>
        <w:rPr>
          <w:rFonts w:hint="eastAsia" w:ascii="宋体" w:hAnsi="宋体" w:cs="宋体"/>
          <w:b/>
          <w:bCs/>
          <w:snapToGrid w:val="0"/>
          <w:kern w:val="0"/>
        </w:rPr>
        <w:t xml:space="preserve">条 </w:t>
      </w:r>
      <w:r>
        <w:rPr>
          <w:rFonts w:hint="eastAsia" w:ascii="宋体" w:hAnsi="宋体" w:cs="宋体"/>
          <w:b/>
          <w:bCs/>
        </w:rPr>
        <w:t>通用合同条款第</w:t>
      </w:r>
      <w:r>
        <w:rPr>
          <w:rFonts w:ascii="宋体" w:hAnsi="宋体" w:cs="宋体"/>
          <w:b/>
          <w:bCs/>
        </w:rPr>
        <w:t>4.1.7</w:t>
      </w:r>
      <w:r>
        <w:rPr>
          <w:rFonts w:hint="eastAsia" w:ascii="宋体" w:hAnsi="宋体" w:cs="宋体"/>
          <w:b/>
          <w:bCs/>
        </w:rPr>
        <w:t>项细化为：</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凡是标段内与已建或者在建的铁路、公路、河流等有交叉或干扰的地段，承包人应在不干扰铁路、公路、河流正常运营的前提下合理安排施工组织计划，采取有效措施保证施工安全和文明施工，合理疏导现有交通流，并积极配合相关部门或单位的管理工作，自行负责办理工程施工的相关手续；凡是本标段与其他标段或在建工程有关联、影响的，承包人应做好与其他施工单位的协调工作；凡是合同地段地形复杂，路基需深挖高填、场地狭窄的地段，承包人应按照施工要求制订合理的施工组织计划；凡是标段内含有跨越铁路、公路、河流的桥梁工程，承包人应合理安排工期以尽可能避开汛期进行水中施工，确保汛期施工的安全和施工质量，施工地段应设置配套的施工和隔离设施，承包人应将其采取上述措施而可能发生的全部费用计入投标报价中（但永久征地、拆迁、拆改除外），发包人将不另行支付。承包人应服从交管、铁路、路政、水利、土地等相关管理部门的管理，并由承包人自行办理施工许可证等相关手续，其费用包含在投标标价中；如因承包人原因，造成河道阻塞或者影响铁路、公路正常安全运营等而给其它部门或个人造成的一切损失，或由上述原因造成本工程工期的拖延或施工费用的增加，均由承包人自行负责。</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在合同许可的范围内，实施和完成本合同工程及缺陷修复工程中的一切施工作业，原则上应不影响邻近建筑物、构造物的安全与正常使用，也不干扰群众的生产、生活和通行方便（难以避免的一定程度的干扰除外）。若因承包人未按相关操作规程及安全保护措施等原因而导致邻近房产和群众干扰的索赔、赔偿、诉讼费用及其他开支时，应由承包人承担一切责任及费用；若因正常施工需要，承包人已采取了充分的防护措施后仍造成上述情况引起的赔偿费用，由发包人承担。</w:t>
      </w:r>
    </w:p>
    <w:p>
      <w:pPr>
        <w:pStyle w:val="20"/>
        <w:adjustRightInd w:val="0"/>
        <w:snapToGrid w:val="0"/>
        <w:spacing w:line="360" w:lineRule="auto"/>
        <w:ind w:firstLine="420"/>
        <w:rPr>
          <w:rFonts w:hAnsi="宋体"/>
          <w:snapToGrid w:val="0"/>
          <w:kern w:val="0"/>
        </w:rPr>
      </w:pPr>
      <w:r>
        <w:rPr>
          <w:rFonts w:hint="eastAsia" w:hAnsi="宋体"/>
          <w:snapToGrid w:val="0"/>
          <w:kern w:val="0"/>
        </w:rPr>
        <w:t>承包人必须严格执行天津市建委《关于建立施工现场文明施工公示牌的通知》及各级主管部门相关安全生产、文明施工相关安全管理条款的规定。施工过程中的各项环保措施费用，包括粉尘、扬尘、震动、噪声的污染、泥浆排放等补偿和赔偿费在报价时予以考虑，发包人不再另行支付。</w:t>
      </w:r>
    </w:p>
    <w:p>
      <w:pPr>
        <w:adjustRightInd w:val="0"/>
        <w:snapToGrid w:val="0"/>
        <w:spacing w:line="360" w:lineRule="auto"/>
        <w:rPr>
          <w:rFonts w:ascii="宋体" w:hAnsi="宋体" w:cs="宋体"/>
          <w:b/>
          <w:bCs/>
        </w:rPr>
      </w:pPr>
      <w:r>
        <w:rPr>
          <w:rFonts w:hint="eastAsia" w:ascii="宋体" w:hAnsi="宋体" w:cs="宋体"/>
          <w:b/>
          <w:bCs/>
          <w:snapToGrid w:val="0"/>
          <w:kern w:val="0"/>
        </w:rPr>
        <w:t>第</w:t>
      </w:r>
      <w:r>
        <w:rPr>
          <w:rFonts w:ascii="宋体" w:hAnsi="宋体" w:cs="宋体"/>
          <w:b/>
          <w:bCs/>
          <w:snapToGrid w:val="0"/>
          <w:kern w:val="0"/>
        </w:rPr>
        <w:t>7</w:t>
      </w:r>
      <w:r>
        <w:rPr>
          <w:rFonts w:hint="eastAsia" w:ascii="宋体"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4.1.10</w:t>
      </w:r>
      <w:r>
        <w:rPr>
          <w:rFonts w:hint="eastAsia" w:ascii="宋体" w:hAnsi="宋体" w:cs="宋体"/>
          <w:b/>
          <w:bCs/>
        </w:rPr>
        <w:t>（6）目细化为：</w:t>
      </w:r>
    </w:p>
    <w:p>
      <w:pPr>
        <w:adjustRightInd w:val="0"/>
        <w:snapToGrid w:val="0"/>
        <w:spacing w:line="360" w:lineRule="auto"/>
        <w:rPr>
          <w:rFonts w:ascii="宋体"/>
          <w:snapToGrid w:val="0"/>
          <w:kern w:val="0"/>
        </w:rPr>
      </w:pPr>
      <w:r>
        <w:rPr>
          <w:rFonts w:hint="eastAsia" w:ascii="宋体" w:hAnsi="宋体" w:cs="宋体"/>
          <w:snapToGrid w:val="0"/>
          <w:kern w:val="0"/>
        </w:rPr>
        <w:t>（6）承包人应履行的其他义务：</w:t>
      </w:r>
    </w:p>
    <w:p>
      <w:pPr>
        <w:autoSpaceDE w:val="0"/>
        <w:autoSpaceDN w:val="0"/>
        <w:adjustRightInd w:val="0"/>
        <w:snapToGrid w:val="0"/>
        <w:spacing w:line="360" w:lineRule="auto"/>
        <w:ind w:firstLine="420"/>
        <w:rPr>
          <w:rFonts w:ascii="宋体" w:hAnsi="宋体" w:cs="宋体"/>
          <w:snapToGrid w:val="0"/>
          <w:kern w:val="0"/>
        </w:rPr>
      </w:pPr>
      <w:r>
        <w:rPr>
          <w:rFonts w:hint="eastAsia" w:ascii="宋体" w:hAnsi="宋体" w:cs="宋体"/>
          <w:snapToGrid w:val="0"/>
          <w:kern w:val="0"/>
        </w:rPr>
        <w:t>承包人应妥善处理好与其它工程承包人的关系，发生交叉施工时，应相互配合，友好协作，并服从发包人</w:t>
      </w:r>
      <w:r>
        <w:rPr>
          <w:rFonts w:ascii="宋体" w:hAnsi="宋体" w:cs="宋体"/>
          <w:snapToGrid w:val="0"/>
          <w:kern w:val="0"/>
        </w:rPr>
        <w:t>/</w:t>
      </w:r>
      <w:r>
        <w:rPr>
          <w:rFonts w:hint="eastAsia" w:ascii="宋体" w:hAnsi="宋体" w:cs="宋体"/>
          <w:snapToGrid w:val="0"/>
          <w:kern w:val="0"/>
        </w:rPr>
        <w:t>监理人统一协调。</w:t>
      </w:r>
    </w:p>
    <w:p>
      <w:pPr>
        <w:autoSpaceDE w:val="0"/>
        <w:autoSpaceDN w:val="0"/>
        <w:adjustRightInd w:val="0"/>
        <w:snapToGrid w:val="0"/>
        <w:spacing w:line="360" w:lineRule="auto"/>
        <w:ind w:firstLine="420"/>
        <w:rPr>
          <w:rFonts w:ascii="宋体"/>
          <w:snapToGrid w:val="0"/>
          <w:kern w:val="0"/>
        </w:rPr>
      </w:pPr>
      <w:r>
        <w:rPr>
          <w:rFonts w:hint="eastAsia"/>
          <w:snapToGrid w:val="0"/>
          <w:kern w:val="0"/>
        </w:rPr>
        <w:t>承包人在施工过程中应负责对施工范围内所有管线进行保护；管线如需进行加固或拆改，承包人应按发包人及管线产权单位的要求进行加固或拆改，所需费用由发包人与承包人双方协商解决。</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承包人应及时按监理人或发包人的要求报送各种计划、报表、整改报告、验收资料、变更等资料。如发包人或监理人要求承包人上报的上述文件、资料延误提交或发生严重错误，不论何种原因，将对承包人课以</w:t>
      </w:r>
      <w:r>
        <w:rPr>
          <w:rFonts w:ascii="宋体" w:hAnsi="宋体" w:cs="宋体"/>
          <w:snapToGrid w:val="0"/>
          <w:kern w:val="0"/>
        </w:rPr>
        <w:t>5000</w:t>
      </w:r>
      <w:r>
        <w:rPr>
          <w:rFonts w:hint="eastAsia" w:ascii="宋体" w:hAnsi="宋体" w:cs="宋体"/>
          <w:snapToGrid w:val="0"/>
          <w:kern w:val="0"/>
        </w:rPr>
        <w:t>元</w:t>
      </w:r>
      <w:r>
        <w:rPr>
          <w:rFonts w:ascii="宋体" w:hAnsi="宋体" w:cs="宋体"/>
          <w:snapToGrid w:val="0"/>
          <w:kern w:val="0"/>
        </w:rPr>
        <w:t>/</w:t>
      </w:r>
      <w:r>
        <w:rPr>
          <w:rFonts w:hint="eastAsia" w:ascii="宋体" w:hAnsi="宋体" w:cs="宋体"/>
          <w:snapToGrid w:val="0"/>
          <w:kern w:val="0"/>
        </w:rPr>
        <w:t>次的违约金。监理人或发包人可能需要增加承包人送交材料的份数和提前或延长递交的时间，承包人需满足此类要求，并不以此为增加费用的理由。若承包人拒不配合，视同承包人违约，将对承包人课以</w:t>
      </w:r>
      <w:r>
        <w:rPr>
          <w:rFonts w:ascii="宋体" w:hAnsi="宋体" w:cs="宋体"/>
          <w:snapToGrid w:val="0"/>
          <w:kern w:val="0"/>
        </w:rPr>
        <w:t>5000</w:t>
      </w:r>
      <w:r>
        <w:rPr>
          <w:rFonts w:hint="eastAsia" w:ascii="宋体" w:hAnsi="宋体" w:cs="宋体"/>
          <w:snapToGrid w:val="0"/>
          <w:kern w:val="0"/>
        </w:rPr>
        <w:t>元</w:t>
      </w:r>
      <w:r>
        <w:rPr>
          <w:rFonts w:ascii="宋体" w:hAnsi="宋体" w:cs="宋体"/>
          <w:snapToGrid w:val="0"/>
          <w:kern w:val="0"/>
        </w:rPr>
        <w:t>/</w:t>
      </w:r>
      <w:r>
        <w:rPr>
          <w:rFonts w:hint="eastAsia" w:ascii="宋体" w:hAnsi="宋体" w:cs="宋体"/>
          <w:snapToGrid w:val="0"/>
          <w:kern w:val="0"/>
        </w:rPr>
        <w:t>次的违约金。</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因工程项目施工及缺陷修复所产生的任何纠纷（包括但不限于工程施工、债权、债务、侵权、人身伤害等）都不应涉及发包人，如因此导致发包人被诉讼，承包人须无条件代表发包人应诉并承担因该等诉讼或仲裁所发生的全部费用（包括但不限于诉讼费或仲裁费、诉讼保全费、鉴定费、评估费及律师费等）款项给付及损失赔偿责任。如发包人认为有必要亲自参加诉讼，发包人因此产生的前述全部费用、款项给付及损失赔偿，承包人须无条件全部承担。</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该工程应按发包人的要求，作好文明施工的相关工作，承包人投入相应文明施工费，并综合考虑、实施保证文明施工的具体措施。</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承包人应配合发包人和监理人组织的工程交工验收工作安排。如检测结果出现不满足设计和规范要求，质监部门要求复检的，因此产生的一切整改和复检费用由承包人承担。</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工程实施末期，承包人对所在合同段收尾的问题（如农民工工资、零星扫尾工程、临时设施的拆除及完工机械设备的撤场、影响沿线群众生产生活等），应积极主动的进行处理和解决，并承担所有费用。若承包人在发包人规定的期限内不能妥善处理上述问题，根据监理人对上述问题的处理意见，发包人有权委托其他单位进行处理，发生的费用由发包人从保留金、履约保证金或应支付给承包人的任意一款项中扣回，并报上级管理部门按信用考核管理办法有关规定处理。</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涉及承包商的各项备案手续费用均由承包人承担，发包人不另行支付。</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在工程实施过程中国家、天津市或发包人主管部门若有新标准推行，若发包人要求按新标准执行，承包商应无条件服从。</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承包人驻地建设必须具备宽带上网条件。</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承包人必须提供天津市建筑安装行业增值税发票。</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承包人应建立必要并有效实施的制度、规章、措施等。本工程的质量目标需在投标文件中作出承诺，并有达到该质量目标的具体措施，此项费用在投标报价中考虑，发包人不再另行支付。</w:t>
      </w:r>
      <w:r>
        <w:rPr>
          <w:rFonts w:hint="eastAsia" w:hAnsi="宋体"/>
        </w:rPr>
        <w:t>如达不到前款质量目标时按照总价1—3%扣除。</w:t>
      </w:r>
      <w:r>
        <w:rPr>
          <w:rFonts w:hint="eastAsia" w:hAnsi="宋体"/>
          <w:snapToGrid w:val="0"/>
          <w:kern w:val="0"/>
        </w:rPr>
        <w:t>因质量问题、安全问题被监理人或发包人及行业监督管理部门通报批评或责令停工一次的，每次扣除人民币</w:t>
      </w:r>
      <w:r>
        <w:rPr>
          <w:rFonts w:hAnsi="宋体"/>
          <w:snapToGrid w:val="0"/>
          <w:kern w:val="0"/>
        </w:rPr>
        <w:t>5</w:t>
      </w:r>
      <w:r>
        <w:rPr>
          <w:rFonts w:hint="eastAsia" w:hAnsi="宋体"/>
          <w:snapToGrid w:val="0"/>
          <w:kern w:val="0"/>
        </w:rPr>
        <w:t>万元作为违约金，情节严重的将加大处罚力度，具体比例由发包人和监理工程师商议确定。</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承包人应服从发包人和监理工程师的监督和管理。</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承包人在开工以前，向监理工程师提供一套投标文件副本或复印件。</w:t>
      </w:r>
    </w:p>
    <w:p>
      <w:pPr>
        <w:pStyle w:val="20"/>
        <w:adjustRightInd w:val="0"/>
        <w:snapToGrid w:val="0"/>
        <w:spacing w:line="360" w:lineRule="auto"/>
        <w:rPr>
          <w:rFonts w:hAnsi="宋体"/>
          <w:b/>
          <w:bCs/>
          <w:snapToGrid w:val="0"/>
          <w:kern w:val="0"/>
        </w:rPr>
      </w:pPr>
      <w:r>
        <w:rPr>
          <w:rFonts w:hint="eastAsia" w:hAnsi="宋体"/>
          <w:b/>
          <w:bCs/>
          <w:snapToGrid w:val="0"/>
          <w:kern w:val="0"/>
        </w:rPr>
        <w:t>第</w:t>
      </w:r>
      <w:r>
        <w:rPr>
          <w:rFonts w:hAnsi="宋体"/>
          <w:b/>
          <w:bCs/>
          <w:snapToGrid w:val="0"/>
          <w:kern w:val="0"/>
        </w:rPr>
        <w:t>8</w:t>
      </w:r>
      <w:r>
        <w:rPr>
          <w:rFonts w:hint="eastAsia" w:hAnsi="宋体"/>
          <w:b/>
          <w:bCs/>
          <w:snapToGrid w:val="0"/>
          <w:kern w:val="0"/>
        </w:rPr>
        <w:t xml:space="preserve">条 </w:t>
      </w:r>
      <w:r>
        <w:rPr>
          <w:rFonts w:hint="eastAsia" w:hAnsi="宋体" w:cs="宋体"/>
          <w:b/>
          <w:bCs/>
        </w:rPr>
        <w:t>公路工程专用</w:t>
      </w:r>
      <w:r>
        <w:rPr>
          <w:rFonts w:hint="eastAsia" w:hAnsi="宋体"/>
          <w:b/>
          <w:bCs/>
          <w:snapToGrid w:val="0"/>
          <w:kern w:val="0"/>
        </w:rPr>
        <w:t>合同条款补充第</w:t>
      </w:r>
      <w:r>
        <w:rPr>
          <w:rFonts w:hAnsi="宋体"/>
          <w:b/>
          <w:bCs/>
          <w:snapToGrid w:val="0"/>
          <w:kern w:val="0"/>
        </w:rPr>
        <w:t>4.1.10</w:t>
      </w:r>
      <w:r>
        <w:rPr>
          <w:rFonts w:hint="eastAsia" w:hAnsi="宋体"/>
          <w:b/>
          <w:bCs/>
          <w:snapToGrid w:val="0"/>
          <w:kern w:val="0"/>
        </w:rPr>
        <w:t>（7）目和</w:t>
      </w:r>
      <w:r>
        <w:rPr>
          <w:rFonts w:hAnsi="宋体"/>
          <w:b/>
          <w:bCs/>
          <w:snapToGrid w:val="0"/>
          <w:kern w:val="0"/>
        </w:rPr>
        <w:t>4.1.10</w:t>
      </w:r>
      <w:r>
        <w:rPr>
          <w:rFonts w:hint="eastAsia" w:hAnsi="宋体"/>
          <w:b/>
          <w:bCs/>
          <w:snapToGrid w:val="0"/>
          <w:kern w:val="0"/>
        </w:rPr>
        <w:t>（8）目：</w:t>
      </w:r>
    </w:p>
    <w:p>
      <w:pPr>
        <w:autoSpaceDE w:val="0"/>
        <w:autoSpaceDN w:val="0"/>
        <w:adjustRightInd w:val="0"/>
        <w:snapToGrid w:val="0"/>
        <w:spacing w:line="360" w:lineRule="auto"/>
        <w:ind w:firstLine="420"/>
        <w:rPr>
          <w:rFonts w:ascii="宋体"/>
          <w:snapToGrid w:val="0"/>
          <w:kern w:val="0"/>
        </w:rPr>
      </w:pPr>
      <w:r>
        <w:rPr>
          <w:rFonts w:ascii="宋体" w:hAnsi="宋体" w:cs="宋体"/>
          <w:snapToGrid w:val="0"/>
          <w:kern w:val="0"/>
        </w:rPr>
        <w:t>4.1.10</w:t>
      </w:r>
      <w:r>
        <w:rPr>
          <w:rFonts w:hint="eastAsia" w:ascii="宋体" w:hAnsi="宋体" w:cs="宋体"/>
          <w:snapToGrid w:val="0"/>
          <w:kern w:val="0"/>
        </w:rPr>
        <w:t>（</w:t>
      </w:r>
      <w:r>
        <w:rPr>
          <w:rFonts w:ascii="宋体" w:hAnsi="宋体" w:cs="宋体"/>
          <w:snapToGrid w:val="0"/>
          <w:kern w:val="0"/>
        </w:rPr>
        <w:t>5</w:t>
      </w:r>
      <w:r>
        <w:rPr>
          <w:rFonts w:hint="eastAsia" w:ascii="宋体" w:hAnsi="宋体" w:cs="宋体"/>
          <w:snapToGrid w:val="0"/>
          <w:kern w:val="0"/>
        </w:rPr>
        <w:t>）合同未尽事宜按工程实施过程中发包人制定的相关制度、办法执行。</w:t>
      </w:r>
    </w:p>
    <w:p>
      <w:pPr>
        <w:autoSpaceDE w:val="0"/>
        <w:autoSpaceDN w:val="0"/>
        <w:adjustRightInd w:val="0"/>
        <w:snapToGrid w:val="0"/>
        <w:spacing w:line="360" w:lineRule="auto"/>
        <w:ind w:firstLine="420"/>
        <w:rPr>
          <w:rFonts w:ascii="宋体" w:hAnsi="宋体" w:cs="宋体"/>
        </w:rPr>
      </w:pPr>
      <w:r>
        <w:rPr>
          <w:rFonts w:ascii="宋体" w:hAnsi="宋体" w:cs="宋体"/>
          <w:snapToGrid w:val="0"/>
          <w:kern w:val="0"/>
        </w:rPr>
        <w:t>4.1.10</w:t>
      </w:r>
      <w:r>
        <w:rPr>
          <w:rFonts w:hint="eastAsia" w:ascii="宋体" w:hAnsi="宋体" w:cs="宋体"/>
          <w:snapToGrid w:val="0"/>
          <w:kern w:val="0"/>
        </w:rPr>
        <w:t>（</w:t>
      </w:r>
      <w:r>
        <w:rPr>
          <w:rFonts w:ascii="宋体" w:hAnsi="宋体" w:cs="宋体"/>
          <w:snapToGrid w:val="0"/>
          <w:kern w:val="0"/>
        </w:rPr>
        <w:t>6</w:t>
      </w:r>
      <w:r>
        <w:rPr>
          <w:rFonts w:hint="eastAsia" w:ascii="宋体" w:hAnsi="宋体" w:cs="宋体"/>
          <w:snapToGrid w:val="0"/>
          <w:kern w:val="0"/>
        </w:rPr>
        <w:t>）</w:t>
      </w:r>
      <w:r>
        <w:rPr>
          <w:rFonts w:hint="eastAsia" w:ascii="宋体" w:hAnsi="宋体" w:cs="宋体"/>
        </w:rPr>
        <w:t>本工程需申报国家或地方质量评优，承包人无条件配合发包人申报并不提出任何增加费用的要求。</w:t>
      </w:r>
    </w:p>
    <w:p>
      <w:pPr>
        <w:tabs>
          <w:tab w:val="left" w:pos="5460"/>
        </w:tabs>
        <w:adjustRightInd w:val="0"/>
        <w:snapToGrid w:val="0"/>
        <w:spacing w:line="360" w:lineRule="auto"/>
        <w:rPr>
          <w:rFonts w:ascii="宋体" w:hAnsi="宋体" w:cs="宋体"/>
          <w:b/>
          <w:bCs/>
        </w:rPr>
      </w:pPr>
      <w:r>
        <w:rPr>
          <w:rFonts w:hint="eastAsia" w:ascii="宋体" w:hAnsi="宋体" w:cs="宋体"/>
          <w:b/>
          <w:bCs/>
          <w:snapToGrid w:val="0"/>
          <w:kern w:val="0"/>
        </w:rPr>
        <w:t xml:space="preserve">第9条 </w:t>
      </w:r>
      <w:r>
        <w:rPr>
          <w:rFonts w:hint="eastAsia" w:ascii="宋体" w:hAnsi="宋体" w:cs="宋体"/>
          <w:b/>
          <w:bCs/>
        </w:rPr>
        <w:t>通用合同条款第4</w:t>
      </w:r>
      <w:r>
        <w:rPr>
          <w:rFonts w:ascii="宋体" w:hAnsi="宋体" w:cs="宋体"/>
          <w:b/>
          <w:bCs/>
        </w:rPr>
        <w:t>.</w:t>
      </w:r>
      <w:r>
        <w:rPr>
          <w:rFonts w:hint="eastAsia" w:ascii="宋体" w:hAnsi="宋体" w:cs="宋体"/>
          <w:b/>
          <w:bCs/>
        </w:rPr>
        <w:t>2款补充：</w:t>
      </w:r>
    </w:p>
    <w:p>
      <w:pPr>
        <w:spacing w:line="360" w:lineRule="auto"/>
        <w:rPr>
          <w:rFonts w:ascii="宋体" w:hAnsi="宋体"/>
        </w:rPr>
      </w:pPr>
      <w:r>
        <w:rPr>
          <w:rFonts w:hint="eastAsia" w:ascii="宋体" w:hAnsi="宋体"/>
        </w:rPr>
        <w:t>　　（1）履约保证金不计付利息；</w:t>
      </w:r>
    </w:p>
    <w:p>
      <w:pPr>
        <w:autoSpaceDE w:val="0"/>
        <w:autoSpaceDN w:val="0"/>
        <w:adjustRightInd w:val="0"/>
        <w:snapToGrid w:val="0"/>
        <w:spacing w:line="360" w:lineRule="auto"/>
        <w:ind w:firstLine="420"/>
      </w:pPr>
      <w:r>
        <w:rPr>
          <w:rFonts w:hint="eastAsia" w:ascii="宋体" w:hAnsi="宋体"/>
        </w:rPr>
        <w:t>（2</w:t>
      </w:r>
      <w:r>
        <w:rPr>
          <w:rFonts w:hint="eastAsia"/>
        </w:rPr>
        <w:t>）逾期返还</w:t>
      </w:r>
      <w:r>
        <w:rPr>
          <w:rFonts w:hint="eastAsia" w:ascii="宋体" w:hAnsi="宋体"/>
        </w:rPr>
        <w:t>履约保证金</w:t>
      </w:r>
      <w:r>
        <w:rPr>
          <w:rFonts w:hint="eastAsia"/>
        </w:rPr>
        <w:t>的违约金支付办法及违约责任：</w:t>
      </w:r>
    </w:p>
    <w:p>
      <w:pPr>
        <w:autoSpaceDE w:val="0"/>
        <w:autoSpaceDN w:val="0"/>
        <w:adjustRightInd w:val="0"/>
        <w:snapToGrid w:val="0"/>
        <w:spacing w:line="360" w:lineRule="auto"/>
        <w:ind w:firstLine="420"/>
      </w:pPr>
      <w:r>
        <w:rPr>
          <w:rFonts w:hint="eastAsia"/>
        </w:rPr>
        <w:t>发包人不按期支付的，按项目专用合同条款数据表中约定的利率向承包人支付逾期付款违约金。违约金计算基数为发包人的全部未付款额，时间从应付而未付该款额之日算起（不计复利）。</w:t>
      </w:r>
    </w:p>
    <w:p>
      <w:pPr>
        <w:spacing w:line="360" w:lineRule="auto"/>
        <w:rPr>
          <w:szCs w:val="21"/>
        </w:rPr>
      </w:pPr>
      <w:r>
        <w:rPr>
          <w:rFonts w:hint="eastAsia"/>
          <w:b/>
          <w:snapToGrid w:val="0"/>
          <w:kern w:val="0"/>
          <w:szCs w:val="21"/>
        </w:rPr>
        <w:t>第</w:t>
      </w:r>
      <w:r>
        <w:rPr>
          <w:rFonts w:hint="eastAsia" w:ascii="宋体" w:hAnsi="宋体"/>
          <w:b/>
          <w:snapToGrid w:val="0"/>
          <w:kern w:val="0"/>
          <w:szCs w:val="21"/>
        </w:rPr>
        <w:t>10</w:t>
      </w:r>
      <w:r>
        <w:rPr>
          <w:rFonts w:hint="eastAsia"/>
          <w:b/>
          <w:snapToGrid w:val="0"/>
          <w:kern w:val="0"/>
          <w:szCs w:val="21"/>
        </w:rPr>
        <w:t>条 公路工程专用合同条款第</w:t>
      </w:r>
      <w:r>
        <w:rPr>
          <w:rFonts w:hint="eastAsia" w:ascii="宋体" w:hAnsi="宋体"/>
          <w:b/>
          <w:snapToGrid w:val="0"/>
          <w:kern w:val="0"/>
          <w:szCs w:val="21"/>
        </w:rPr>
        <w:t>4.6.3</w:t>
      </w:r>
      <w:r>
        <w:rPr>
          <w:rFonts w:hint="eastAsia"/>
          <w:b/>
          <w:snapToGrid w:val="0"/>
          <w:kern w:val="0"/>
          <w:szCs w:val="21"/>
        </w:rPr>
        <w:t>项细化为：</w:t>
      </w:r>
    </w:p>
    <w:p>
      <w:pPr>
        <w:spacing w:line="360" w:lineRule="auto"/>
        <w:ind w:firstLine="420"/>
        <w:rPr>
          <w:rFonts w:ascii="宋体" w:hAnsi="宋体"/>
          <w:szCs w:val="21"/>
        </w:rPr>
      </w:pPr>
      <w:r>
        <w:rPr>
          <w:rFonts w:hint="eastAsia" w:ascii="宋体" w:hAnsi="宋体"/>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autoSpaceDE w:val="0"/>
        <w:autoSpaceDN w:val="0"/>
        <w:adjustRightInd w:val="0"/>
        <w:snapToGrid w:val="0"/>
        <w:spacing w:line="360" w:lineRule="auto"/>
        <w:ind w:firstLine="420"/>
        <w:rPr>
          <w:rFonts w:ascii="宋体" w:hAnsi="宋体" w:cs="宋体"/>
        </w:rPr>
      </w:pPr>
      <w:r>
        <w:rPr>
          <w:rFonts w:hint="eastAsia" w:ascii="宋体" w:hAnsi="宋体"/>
          <w:szCs w:val="21"/>
        </w:rPr>
        <w:t>即使取得监理人的同意，发包人仍可对承包人替换项目经理每人次课以15万元违约金，替换项目总工每人次课以10万元违约金，替换其他人员课以每人次1万元以上5万元以下的违约金。</w:t>
      </w:r>
    </w:p>
    <w:p>
      <w:pPr>
        <w:pStyle w:val="20"/>
        <w:adjustRightInd w:val="0"/>
        <w:snapToGrid w:val="0"/>
        <w:spacing w:line="360" w:lineRule="auto"/>
        <w:rPr>
          <w:rFonts w:hAnsi="宋体"/>
          <w:b/>
          <w:bCs/>
        </w:rPr>
      </w:pPr>
      <w:r>
        <w:rPr>
          <w:rFonts w:hint="eastAsia" w:hAnsi="宋体"/>
          <w:b/>
          <w:bCs/>
          <w:snapToGrid w:val="0"/>
          <w:kern w:val="0"/>
        </w:rPr>
        <w:t xml:space="preserve">第11条 </w:t>
      </w:r>
      <w:r>
        <w:rPr>
          <w:rFonts w:hint="eastAsia" w:hAnsi="宋体" w:cs="宋体"/>
          <w:b/>
          <w:bCs/>
        </w:rPr>
        <w:t>公路工程专用</w:t>
      </w:r>
      <w:r>
        <w:rPr>
          <w:rFonts w:hint="eastAsia" w:hAnsi="宋体"/>
          <w:b/>
          <w:bCs/>
        </w:rPr>
        <w:t>合同条款第</w:t>
      </w:r>
      <w:r>
        <w:rPr>
          <w:rFonts w:hAnsi="宋体"/>
          <w:b/>
          <w:bCs/>
        </w:rPr>
        <w:t>4.7</w:t>
      </w:r>
      <w:r>
        <w:rPr>
          <w:rFonts w:hint="eastAsia" w:hAnsi="宋体"/>
          <w:b/>
          <w:bCs/>
        </w:rPr>
        <w:t>款补充：</w:t>
      </w:r>
    </w:p>
    <w:p>
      <w:pPr>
        <w:pStyle w:val="20"/>
        <w:adjustRightInd w:val="0"/>
        <w:snapToGrid w:val="0"/>
        <w:spacing w:line="360" w:lineRule="auto"/>
        <w:ind w:firstLine="420" w:firstLineChars="200"/>
        <w:rPr>
          <w:rFonts w:hAnsi="宋体"/>
          <w:b/>
          <w:bCs/>
          <w:snapToGrid w:val="0"/>
          <w:kern w:val="0"/>
        </w:rPr>
      </w:pPr>
      <w:r>
        <w:rPr>
          <w:rFonts w:hint="eastAsia"/>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无论是承包人主动撤换其项目经理和其他人员还是监理人要求撤换不能胜任本职工作、行为不端或玩忽职守的承包人项目经理和其他人员的，都视为承包人违约，发包人有权要求承包人更换该人员并对承包人课以违约金。如果发包人和监理人认为承包人委派的项目经理和其他人员在工作能力和业务水平上不称职，且通知承包人撤换时，承包人应在接到通知后</w:t>
      </w:r>
      <w:r>
        <w:rPr>
          <w:rFonts w:ascii="宋体" w:hAnsi="宋体" w:cs="宋体"/>
          <w:snapToGrid w:val="0"/>
          <w:kern w:val="0"/>
        </w:rPr>
        <w:t>14</w:t>
      </w:r>
      <w:r>
        <w:rPr>
          <w:rFonts w:hint="eastAsia" w:ascii="宋体" w:hAnsi="宋体" w:cs="宋体"/>
          <w:snapToGrid w:val="0"/>
          <w:kern w:val="0"/>
        </w:rPr>
        <w:t>天内撤回该人员，同时委派一名同等资历并经监理人和发包人同意的新的人员担任。</w:t>
      </w:r>
      <w:r>
        <w:rPr>
          <w:rFonts w:hint="eastAsia" w:ascii="宋体" w:hAnsi="宋体"/>
          <w:snapToGrid w:val="0"/>
          <w:kern w:val="0"/>
        </w:rPr>
        <w:t>承包人替换项目经理每人次课以</w:t>
      </w:r>
      <w:r>
        <w:rPr>
          <w:rFonts w:ascii="宋体" w:hAnsi="宋体"/>
          <w:snapToGrid w:val="0"/>
          <w:kern w:val="0"/>
        </w:rPr>
        <w:t>1</w:t>
      </w:r>
      <w:r>
        <w:rPr>
          <w:rFonts w:hint="eastAsia" w:ascii="宋体" w:hAnsi="宋体"/>
          <w:snapToGrid w:val="0"/>
          <w:kern w:val="0"/>
        </w:rPr>
        <w:t>0万元违约金，替换项目总工每人次课以5万元违约金，替换其他人员课以每人次2万元的违约金。</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在全部工程实施过程中，承包人的项目经理和其他人员严禁在另一项目兼职，同时必须保证每月至少有</w:t>
      </w:r>
      <w:r>
        <w:rPr>
          <w:rFonts w:ascii="宋体" w:hAnsi="宋体" w:cs="宋体"/>
          <w:snapToGrid w:val="0"/>
          <w:kern w:val="0"/>
        </w:rPr>
        <w:t>21</w:t>
      </w:r>
      <w:r>
        <w:rPr>
          <w:rFonts w:hint="eastAsia" w:ascii="宋体" w:hAnsi="宋体" w:cs="宋体"/>
          <w:snapToGrid w:val="0"/>
          <w:kern w:val="0"/>
        </w:rPr>
        <w:t>天在施工现场。承包人的项目经理和项目总工不得同时外出，须保证一人在场。承包人的人员外出时间连续超过两天时，须向监理人书面请假，并经发包人同意后方可外出。未事先征得发包人、监理人口头或书面批准，承包人项目经理及其他人员擅自外出的，视为承包人违约，发包人有权要求其马上返回现场或要求承包人更换项目经理和其他人员，并对承包人进行经济处罚。工程施工结束且交工证书签发后，项目经理和其他人员方可在其他</w:t>
      </w:r>
      <w:r>
        <w:rPr>
          <w:rFonts w:hint="eastAsia" w:cs="宋体"/>
          <w:snapToGrid w:val="0"/>
          <w:kern w:val="0"/>
        </w:rPr>
        <w:t>工程中</w:t>
      </w:r>
      <w:r>
        <w:rPr>
          <w:rFonts w:hint="eastAsia" w:ascii="宋体" w:hAnsi="宋体" w:cs="宋体"/>
          <w:snapToGrid w:val="0"/>
          <w:kern w:val="0"/>
        </w:rPr>
        <w:t>任职，但在合同结束前项目经理和其他人员应随时响应发包人和监理人的要求到位，否则将视为承包人违约，对承包人课以违约金。</w:t>
      </w:r>
      <w:r>
        <w:rPr>
          <w:rFonts w:hint="eastAsia" w:ascii="宋体" w:hAnsi="宋体"/>
          <w:snapToGrid w:val="0"/>
          <w:kern w:val="0"/>
          <w:szCs w:val="21"/>
        </w:rPr>
        <w:t>项目经理未经批准而不在现场一次对承包人课以</w:t>
      </w:r>
      <w:r>
        <w:rPr>
          <w:rFonts w:ascii="宋体" w:hAnsi="宋体"/>
          <w:snapToGrid w:val="0"/>
          <w:kern w:val="0"/>
          <w:szCs w:val="21"/>
        </w:rPr>
        <w:t>5</w:t>
      </w:r>
      <w:r>
        <w:rPr>
          <w:rFonts w:hint="eastAsia" w:ascii="宋体" w:hAnsi="宋体"/>
          <w:snapToGrid w:val="0"/>
          <w:kern w:val="0"/>
          <w:szCs w:val="21"/>
        </w:rPr>
        <w:t>万元人民币违约金；项目总工未经批准而不在现场一次对承包人课以</w:t>
      </w:r>
      <w:r>
        <w:rPr>
          <w:rFonts w:ascii="宋体" w:hAnsi="宋体"/>
          <w:snapToGrid w:val="0"/>
          <w:kern w:val="0"/>
          <w:szCs w:val="21"/>
        </w:rPr>
        <w:t>2</w:t>
      </w:r>
      <w:r>
        <w:rPr>
          <w:rFonts w:hint="eastAsia" w:ascii="宋体" w:hAnsi="宋体"/>
          <w:snapToGrid w:val="0"/>
          <w:kern w:val="0"/>
          <w:szCs w:val="21"/>
        </w:rPr>
        <w:t>万元人民币违约金；其他履约人员若一月少于</w:t>
      </w:r>
      <w:r>
        <w:rPr>
          <w:rFonts w:ascii="宋体" w:hAnsi="宋体"/>
          <w:snapToGrid w:val="0"/>
          <w:kern w:val="0"/>
          <w:szCs w:val="21"/>
        </w:rPr>
        <w:t>21</w:t>
      </w:r>
      <w:r>
        <w:rPr>
          <w:rFonts w:hint="eastAsia" w:ascii="宋体" w:hAnsi="宋体"/>
          <w:snapToGrid w:val="0"/>
          <w:kern w:val="0"/>
          <w:szCs w:val="21"/>
        </w:rPr>
        <w:t>天在现场对承包人课以每人</w:t>
      </w:r>
      <w:r>
        <w:rPr>
          <w:rFonts w:ascii="宋体" w:hAnsi="宋体"/>
          <w:snapToGrid w:val="0"/>
          <w:kern w:val="0"/>
          <w:szCs w:val="21"/>
        </w:rPr>
        <w:t>1</w:t>
      </w:r>
      <w:r>
        <w:rPr>
          <w:rFonts w:hint="eastAsia" w:ascii="宋体" w:hAnsi="宋体"/>
          <w:snapToGrid w:val="0"/>
          <w:kern w:val="0"/>
          <w:szCs w:val="21"/>
        </w:rPr>
        <w:t>万元人民币违约金。</w:t>
      </w:r>
    </w:p>
    <w:p>
      <w:pPr>
        <w:autoSpaceDE w:val="0"/>
        <w:autoSpaceDN w:val="0"/>
        <w:adjustRightInd w:val="0"/>
        <w:snapToGrid w:val="0"/>
        <w:spacing w:line="360" w:lineRule="auto"/>
        <w:ind w:firstLine="420"/>
        <w:rPr>
          <w:rFonts w:ascii="宋体" w:hAnsi="宋体" w:cs="宋体"/>
          <w:snapToGrid w:val="0"/>
          <w:kern w:val="0"/>
        </w:rPr>
      </w:pPr>
      <w:r>
        <w:rPr>
          <w:rFonts w:hint="eastAsia" w:ascii="宋体" w:hAnsi="宋体" w:cs="宋体"/>
          <w:snapToGrid w:val="0"/>
          <w:kern w:val="0"/>
        </w:rPr>
        <w:t>承包人派驻现场的管理、技术及质检人员应备有相应的职称、资质等证书，发包人有权进行检查。若发包人或监理人认为承包人派驻现场的管理、技术或质检人员的资质或数量不能满足工程进度和安全质量要求时，应由监理人向承包人发出替换或增加相关人员的指令，承包人在接到指令后7天内，必须按指令要求调整到位。若承包人在接到指令7天内未按要求执行，将对承包人课以违约金。发包人可对承包人更换项目经理课以每人次人民币</w:t>
      </w:r>
      <w:r>
        <w:rPr>
          <w:rFonts w:ascii="宋体" w:hAnsi="宋体" w:cs="宋体"/>
          <w:snapToGrid w:val="0"/>
          <w:kern w:val="0"/>
        </w:rPr>
        <w:t>10</w:t>
      </w:r>
      <w:r>
        <w:rPr>
          <w:rFonts w:hint="eastAsia" w:ascii="宋体" w:hAnsi="宋体" w:cs="宋体"/>
          <w:snapToGrid w:val="0"/>
          <w:kern w:val="0"/>
        </w:rPr>
        <w:t>万元的违约金、更换项目技术负责人课以每人次人民币</w:t>
      </w:r>
      <w:r>
        <w:rPr>
          <w:rFonts w:ascii="宋体" w:hAnsi="宋体" w:cs="宋体"/>
          <w:snapToGrid w:val="0"/>
          <w:kern w:val="0"/>
        </w:rPr>
        <w:t>5</w:t>
      </w:r>
      <w:r>
        <w:rPr>
          <w:rFonts w:hint="eastAsia" w:ascii="宋体" w:hAnsi="宋体" w:cs="宋体"/>
          <w:snapToGrid w:val="0"/>
          <w:kern w:val="0"/>
        </w:rPr>
        <w:t>万元的违约金，更换其他主要管理人员课以每人次人民币</w:t>
      </w:r>
      <w:r>
        <w:rPr>
          <w:rFonts w:ascii="宋体" w:hAnsi="宋体" w:cs="宋体"/>
          <w:snapToGrid w:val="0"/>
          <w:kern w:val="0"/>
        </w:rPr>
        <w:t>2</w:t>
      </w:r>
      <w:r>
        <w:rPr>
          <w:rFonts w:hint="eastAsia" w:ascii="宋体" w:hAnsi="宋体" w:cs="宋体"/>
          <w:snapToGrid w:val="0"/>
          <w:kern w:val="0"/>
        </w:rPr>
        <w:t>万元的违约金，直至终止合同。若未经允许擅自更换人员，将按对应数额双倍进行违约处罚。</w:t>
      </w:r>
      <w:r>
        <w:rPr>
          <w:rFonts w:hint="eastAsia" w:ascii="宋体" w:hAnsi="宋体"/>
          <w:snapToGrid w:val="0"/>
          <w:kern w:val="0"/>
          <w:szCs w:val="21"/>
        </w:rPr>
        <w:t>项目经理和项目技术负责人拒不到位的，发包人可对承包人课以10</w:t>
      </w:r>
      <w:r>
        <w:rPr>
          <w:rFonts w:ascii="宋体" w:hAnsi="宋体"/>
          <w:snapToGrid w:val="0"/>
          <w:kern w:val="0"/>
          <w:szCs w:val="21"/>
        </w:rPr>
        <w:t>000</w:t>
      </w:r>
      <w:r>
        <w:rPr>
          <w:rFonts w:hint="eastAsia" w:ascii="宋体" w:hAnsi="宋体"/>
          <w:snapToGrid w:val="0"/>
          <w:kern w:val="0"/>
          <w:szCs w:val="21"/>
        </w:rPr>
        <w:t>元／天·人的违约金，其他管理人员拒不到位的，发包人可对承包人课以5</w:t>
      </w:r>
      <w:r>
        <w:rPr>
          <w:rFonts w:ascii="宋体" w:hAnsi="宋体"/>
          <w:snapToGrid w:val="0"/>
          <w:kern w:val="0"/>
          <w:szCs w:val="21"/>
        </w:rPr>
        <w:t>000</w:t>
      </w:r>
      <w:r>
        <w:rPr>
          <w:rFonts w:hint="eastAsia" w:ascii="宋体" w:hAnsi="宋体"/>
          <w:snapToGrid w:val="0"/>
          <w:kern w:val="0"/>
          <w:szCs w:val="21"/>
        </w:rPr>
        <w:t>元／天·人的违约金。</w:t>
      </w:r>
      <w:r>
        <w:rPr>
          <w:rFonts w:hint="eastAsia" w:ascii="宋体" w:hAnsi="宋体" w:cs="宋体"/>
          <w:snapToGrid w:val="0"/>
          <w:kern w:val="0"/>
        </w:rPr>
        <w:t>并由发包人将其违约行为上报省级公路主管部门，作为不良记录纳入公路建设市场信用信息管理系统。</w:t>
      </w:r>
    </w:p>
    <w:p>
      <w:pPr>
        <w:autoSpaceDE w:val="0"/>
        <w:autoSpaceDN w:val="0"/>
        <w:adjustRightInd w:val="0"/>
        <w:snapToGrid w:val="0"/>
        <w:spacing w:line="360" w:lineRule="auto"/>
        <w:ind w:firstLine="420"/>
        <w:rPr>
          <w:rFonts w:ascii="宋体"/>
          <w:snapToGrid w:val="0"/>
          <w:kern w:val="0"/>
        </w:rPr>
      </w:pPr>
      <w:r>
        <w:rPr>
          <w:rFonts w:hint="eastAsia" w:ascii="宋体" w:hAnsi="宋体"/>
          <w:szCs w:val="21"/>
        </w:rPr>
        <w:t>承包人应按发包人（或监理人）通知要求积极参加相关会议及检查，如未按要求参加会议及检查并未履行请假手续，发包人有权向承包人课以每人每次5000元的违约金。</w:t>
      </w:r>
    </w:p>
    <w:p>
      <w:pPr>
        <w:autoSpaceDE w:val="0"/>
        <w:autoSpaceDN w:val="0"/>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12</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4.8.1</w:t>
      </w:r>
      <w:r>
        <w:rPr>
          <w:rFonts w:hint="eastAsia" w:ascii="宋体" w:hAnsi="宋体" w:cs="宋体"/>
          <w:b/>
          <w:bCs/>
          <w:snapToGrid w:val="0"/>
          <w:kern w:val="0"/>
        </w:rPr>
        <w:t>项细化为：</w:t>
      </w:r>
    </w:p>
    <w:p>
      <w:pPr>
        <w:autoSpaceDE w:val="0"/>
        <w:autoSpaceDN w:val="0"/>
        <w:adjustRightInd w:val="0"/>
        <w:snapToGrid w:val="0"/>
        <w:spacing w:line="360" w:lineRule="auto"/>
        <w:ind w:firstLine="359" w:firstLineChars="171"/>
        <w:rPr>
          <w:rFonts w:ascii="宋体"/>
          <w:snapToGrid w:val="0"/>
          <w:kern w:val="0"/>
        </w:rPr>
      </w:pPr>
      <w:r>
        <w:rPr>
          <w:rFonts w:hint="eastAsia" w:ascii="宋体" w:hAnsi="宋体" w:cs="宋体"/>
          <w:snapToGrid w:val="0"/>
          <w:kern w:val="0"/>
        </w:rPr>
        <w:t>承包人应遵守国家劳动法及相关法律法规，并执行天津市有关规定，制定本项目农民工工资的支付管理办法，做好农民工工资的支付和发放工作。承包人要对农民工工资发放工作总负责，同时应指定专人具体负责，明确责任。农民工工资支付与管理工作按照《天津市交通运输委员会关于进一步做好天津市公路水运建设领域农民工工资支付与管理工作的通知》津交发[2018]27号文执行。</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13</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4.11.1</w:t>
      </w:r>
      <w:r>
        <w:rPr>
          <w:rFonts w:hint="eastAsia" w:ascii="宋体" w:hAnsi="宋体" w:cs="宋体"/>
          <w:b/>
          <w:bCs/>
          <w:snapToGrid w:val="0"/>
          <w:kern w:val="0"/>
        </w:rPr>
        <w:t>项做如下解释：</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不利物质条件指承包人在施工场地遇到的不可预见的自然物质条件、非自然的物质障碍和污染物，如化石、文物、矿产、流沙、沼气、棺木、已拆除但未清理的地下构筑物等，如无法确定是否为不利物质条件时，则由监理人按第</w:t>
      </w:r>
      <w:r>
        <w:rPr>
          <w:rFonts w:hAnsi="宋体"/>
          <w:snapToGrid w:val="0"/>
          <w:kern w:val="0"/>
        </w:rPr>
        <w:t>3.5</w:t>
      </w:r>
      <w:r>
        <w:rPr>
          <w:rFonts w:hint="eastAsia" w:hAnsi="宋体"/>
          <w:snapToGrid w:val="0"/>
          <w:kern w:val="0"/>
        </w:rPr>
        <w:t>款商定或确定。</w:t>
      </w:r>
    </w:p>
    <w:p>
      <w:pPr>
        <w:adjustRightInd w:val="0"/>
        <w:snapToGrid w:val="0"/>
        <w:spacing w:line="360" w:lineRule="auto"/>
        <w:rPr>
          <w:rFonts w:ascii="宋体"/>
          <w:b/>
          <w:bCs/>
        </w:rPr>
      </w:pPr>
      <w:r>
        <w:rPr>
          <w:rFonts w:hint="eastAsia" w:ascii="宋体" w:hAnsi="宋体" w:cs="宋体"/>
          <w:b/>
          <w:bCs/>
          <w:snapToGrid w:val="0"/>
          <w:kern w:val="0"/>
        </w:rPr>
        <w:t>第</w:t>
      </w:r>
      <w:r>
        <w:rPr>
          <w:rFonts w:ascii="宋体" w:hAnsi="宋体"/>
          <w:b/>
          <w:bCs/>
          <w:snapToGrid w:val="0"/>
          <w:kern w:val="0"/>
        </w:rPr>
        <w:t>1</w:t>
      </w:r>
      <w:r>
        <w:rPr>
          <w:rFonts w:hint="eastAsia" w:ascii="宋体" w:hAnsi="宋体"/>
          <w:b/>
          <w:bCs/>
          <w:snapToGrid w:val="0"/>
          <w:kern w:val="0"/>
        </w:rPr>
        <w:t>4</w:t>
      </w:r>
      <w:r>
        <w:rPr>
          <w:rFonts w:hint="eastAsia" w:hAnsi="宋体" w:cs="宋体"/>
          <w:b/>
          <w:bCs/>
          <w:snapToGrid w:val="0"/>
          <w:kern w:val="0"/>
        </w:rPr>
        <w:t xml:space="preserve">条 </w:t>
      </w:r>
      <w:r>
        <w:rPr>
          <w:rFonts w:hint="eastAsia" w:ascii="宋体" w:hAnsi="宋体" w:cs="宋体"/>
          <w:b/>
          <w:bCs/>
        </w:rPr>
        <w:t>通用合同条款补充第</w:t>
      </w:r>
      <w:r>
        <w:rPr>
          <w:rFonts w:ascii="宋体" w:hAnsi="宋体" w:cs="宋体"/>
          <w:b/>
          <w:bCs/>
        </w:rPr>
        <w:t>5.1.4</w:t>
      </w:r>
      <w:r>
        <w:rPr>
          <w:rFonts w:hint="eastAsia" w:ascii="宋体" w:hAnsi="宋体" w:cs="宋体"/>
          <w:b/>
          <w:bCs/>
        </w:rPr>
        <w:t>款：</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所有用于本工程的材料和设备进场后，承包人应按有关材料检验的规定及频率立即进行自检，并应随时按监理人的指令在制造、加工或施工现场对材料和设备进行检验，结果应通知监理人，费用由承包人承担。</w:t>
      </w:r>
    </w:p>
    <w:p>
      <w:pPr>
        <w:spacing w:line="360" w:lineRule="auto"/>
        <w:rPr>
          <w:rFonts w:ascii="宋体" w:hAnsi="宋体"/>
          <w:szCs w:val="21"/>
        </w:rPr>
      </w:pPr>
      <w:r>
        <w:rPr>
          <w:rFonts w:hint="eastAsia" w:ascii="宋体" w:hAnsi="宋体"/>
          <w:b/>
          <w:snapToGrid w:val="0"/>
          <w:kern w:val="0"/>
          <w:szCs w:val="21"/>
        </w:rPr>
        <w:t>第15条  通用合同条款补充第6.1.3项：</w:t>
      </w:r>
    </w:p>
    <w:p>
      <w:pPr>
        <w:autoSpaceDE w:val="0"/>
        <w:autoSpaceDN w:val="0"/>
        <w:adjustRightInd w:val="0"/>
        <w:snapToGrid w:val="0"/>
        <w:spacing w:line="360" w:lineRule="auto"/>
        <w:ind w:firstLine="420" w:firstLineChars="200"/>
        <w:rPr>
          <w:rFonts w:ascii="宋体"/>
          <w:snapToGrid w:val="0"/>
          <w:kern w:val="0"/>
        </w:rPr>
      </w:pPr>
      <w:r>
        <w:rPr>
          <w:rFonts w:hint="eastAsia" w:ascii="宋体" w:hAnsi="宋体"/>
          <w:szCs w:val="21"/>
        </w:rPr>
        <w:t>承包人修建的临时道路或设施，在竣工后承包人应负责拆除，如发包人要求保留的，承包人应无偿移交给发包人。</w:t>
      </w:r>
    </w:p>
    <w:p>
      <w:pPr>
        <w:adjustRightInd w:val="0"/>
        <w:snapToGrid w:val="0"/>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1</w:t>
      </w:r>
      <w:r>
        <w:rPr>
          <w:rFonts w:hint="eastAsia" w:ascii="宋体" w:hAnsi="宋体" w:cs="宋体"/>
          <w:b/>
          <w:bCs/>
          <w:snapToGrid w:val="0"/>
          <w:kern w:val="0"/>
        </w:rPr>
        <w:t xml:space="preserve">6条 </w:t>
      </w:r>
      <w:r>
        <w:rPr>
          <w:rFonts w:hint="eastAsia" w:ascii="宋体" w:hAnsi="宋体" w:cs="宋体"/>
          <w:b/>
          <w:bCs/>
        </w:rPr>
        <w:t>公路工程专用合同条款第</w:t>
      </w:r>
      <w:r>
        <w:rPr>
          <w:rFonts w:ascii="宋体" w:hAnsi="宋体" w:cs="宋体"/>
          <w:b/>
          <w:bCs/>
        </w:rPr>
        <w:t>6.3</w:t>
      </w:r>
      <w:r>
        <w:rPr>
          <w:rFonts w:hint="eastAsia" w:ascii="宋体" w:hAnsi="宋体" w:cs="宋体"/>
          <w:b/>
          <w:bCs/>
        </w:rPr>
        <w:t>款补充：</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尽管承包人已按招标文件的履约标准提供了机械、设备和仪器，但监理人认为仍不能满足现场施工的需要或不能保证工程质量时，监理人有权要求承包人继续调遣或购买、租用某些机械、设备和仪器，承包人不得拒绝，也不得要求增加任何费用，并在7天内按要求执行。承包人承诺的施工设备和试验检验测量设备未按时到达现场或到达现场后中途调离，都视为承包人违约，发包人有权要求该设备马上到达或返回现场，并可对承包人课以关键必要施工设备每台（套）人民币</w:t>
      </w:r>
      <w:r>
        <w:rPr>
          <w:rFonts w:ascii="宋体" w:hAnsi="宋体" w:cs="宋体"/>
          <w:snapToGrid w:val="0"/>
          <w:kern w:val="0"/>
        </w:rPr>
        <w:t>30</w:t>
      </w:r>
      <w:r>
        <w:rPr>
          <w:rFonts w:hint="eastAsia" w:ascii="宋体" w:hAnsi="宋体" w:cs="宋体"/>
          <w:snapToGrid w:val="0"/>
          <w:kern w:val="0"/>
        </w:rPr>
        <w:t>万元的违约金，其他主要设备每台（套）人民币</w:t>
      </w:r>
      <w:r>
        <w:rPr>
          <w:rFonts w:ascii="宋体" w:hAnsi="宋体" w:cs="宋体"/>
          <w:snapToGrid w:val="0"/>
          <w:kern w:val="0"/>
        </w:rPr>
        <w:t>10</w:t>
      </w:r>
      <w:r>
        <w:rPr>
          <w:rFonts w:hint="eastAsia" w:ascii="宋体" w:hAnsi="宋体" w:cs="宋体"/>
          <w:snapToGrid w:val="0"/>
          <w:kern w:val="0"/>
        </w:rPr>
        <w:t>万元的违约金，直至合同结束。</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ascii="宋体" w:hAnsi="宋体"/>
          <w:b/>
          <w:bCs/>
          <w:snapToGrid w:val="0"/>
          <w:kern w:val="0"/>
        </w:rPr>
        <w:t>1</w:t>
      </w:r>
      <w:r>
        <w:rPr>
          <w:rFonts w:hint="eastAsia" w:ascii="宋体" w:hAnsi="宋体"/>
          <w:b/>
          <w:bCs/>
          <w:snapToGrid w:val="0"/>
          <w:kern w:val="0"/>
        </w:rPr>
        <w:t>7</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7.2</w:t>
      </w:r>
      <w:r>
        <w:rPr>
          <w:rFonts w:hint="eastAsia" w:ascii="宋体" w:hAnsi="宋体" w:cs="宋体"/>
          <w:b/>
          <w:bCs/>
          <w:snapToGrid w:val="0"/>
          <w:kern w:val="0"/>
        </w:rPr>
        <w:t>款细化为：</w:t>
      </w:r>
    </w:p>
    <w:p>
      <w:pPr>
        <w:adjustRightInd w:val="0"/>
        <w:snapToGrid w:val="0"/>
        <w:spacing w:line="360" w:lineRule="auto"/>
        <w:ind w:firstLine="420" w:firstLineChars="200"/>
        <w:rPr>
          <w:rFonts w:ascii="宋体"/>
        </w:rPr>
      </w:pPr>
      <w:r>
        <w:rPr>
          <w:rFonts w:ascii="宋体" w:hAnsi="宋体" w:cs="宋体"/>
        </w:rPr>
        <w:t>7.2.1</w:t>
      </w:r>
      <w:r>
        <w:rPr>
          <w:rFonts w:hint="eastAsia" w:ascii="宋体" w:hAnsi="宋体" w:cs="宋体"/>
        </w:rPr>
        <w:t>承包人应按照《天津市临时用地管理办法》及有关要求办理临时用地审批手续，由承包人自行承担费用并应与当地签订临时用地协议，使用后按要求恢复原状。工程交工后征地线外</w:t>
      </w:r>
      <w:r>
        <w:rPr>
          <w:rFonts w:ascii="宋体" w:hAnsi="宋体" w:cs="宋体"/>
        </w:rPr>
        <w:t>50</w:t>
      </w:r>
      <w:r>
        <w:rPr>
          <w:rFonts w:hint="eastAsia" w:ascii="宋体" w:hAnsi="宋体" w:cs="宋体"/>
        </w:rPr>
        <w:t>米内，不应遗留施工建立的设施，上述费用包含在</w:t>
      </w:r>
      <w:r>
        <w:rPr>
          <w:rFonts w:ascii="宋体" w:hAnsi="宋体" w:cs="宋体"/>
        </w:rPr>
        <w:t>100</w:t>
      </w:r>
      <w:r>
        <w:rPr>
          <w:rFonts w:hint="eastAsia" w:ascii="宋体" w:hAnsi="宋体" w:cs="宋体"/>
        </w:rPr>
        <w:t>章报价中，包干使用，发包人不因任何原因而增加支付费用。</w:t>
      </w:r>
    </w:p>
    <w:p>
      <w:pPr>
        <w:adjustRightInd w:val="0"/>
        <w:snapToGrid w:val="0"/>
        <w:spacing w:line="360" w:lineRule="auto"/>
        <w:ind w:firstLine="420" w:firstLineChars="200"/>
        <w:rPr>
          <w:rFonts w:ascii="宋体"/>
        </w:rPr>
      </w:pPr>
      <w:r>
        <w:rPr>
          <w:rFonts w:hint="eastAsia" w:ascii="宋体" w:hAnsi="宋体" w:cs="宋体"/>
        </w:rPr>
        <w:t>承包人应负责修建、维修、养护和管理施工范围内所需的临时道路和交通设施，包括维修、养护和管理发包人提供的道路和交通设施，并承担相应费用。承包人不应占用施工范围内土地作为临时工程用地，如遇特殊情况，须事先征得发包人书面同意后方可占用，但若因此影响承包人自身工程进度或对其它标段的施工造成影响，发包人及监理人有权要求其拆除此范围内一切设施，设施的拆除及重建费用由承包人自行承担。</w:t>
      </w:r>
      <w:r>
        <w:rPr>
          <w:rFonts w:hint="eastAsia" w:ascii="宋体" w:hAnsi="宋体" w:cs="宋体"/>
          <w:snapToGrid w:val="0"/>
          <w:kern w:val="0"/>
        </w:rPr>
        <w:t>本工程互通匝道圈内、用地范围内的土方所有权属于发包人，未经发包人同意承包人不得占用、私自采挖。</w:t>
      </w:r>
    </w:p>
    <w:p>
      <w:pPr>
        <w:adjustRightInd w:val="0"/>
        <w:snapToGrid w:val="0"/>
        <w:spacing w:line="360" w:lineRule="auto"/>
        <w:ind w:firstLine="420" w:firstLineChars="200"/>
        <w:rPr>
          <w:rFonts w:ascii="宋体"/>
        </w:rPr>
      </w:pPr>
      <w:r>
        <w:rPr>
          <w:rFonts w:ascii="宋体" w:hAnsi="宋体" w:cs="宋体"/>
        </w:rPr>
        <w:t>7.2.2</w:t>
      </w:r>
      <w:r>
        <w:rPr>
          <w:rFonts w:hint="eastAsia" w:ascii="宋体" w:hAnsi="宋体" w:cs="宋体"/>
        </w:rPr>
        <w:t>承包人必须按照发包人、监理人的要求和计划，修建临时道路和交通设施应免费提供发包人、监理人以及工程使用，发包人、监理人有权要求承包人在规定期限内允许相邻其他承包人使用主线两侧施工便道、便桥，并保证通畅连贯，发包人不再增加其使用和维护费用。</w:t>
      </w:r>
    </w:p>
    <w:p>
      <w:pPr>
        <w:pStyle w:val="20"/>
        <w:adjustRightInd w:val="0"/>
        <w:snapToGrid w:val="0"/>
        <w:spacing w:line="360" w:lineRule="auto"/>
        <w:rPr>
          <w:rFonts w:hAnsi="宋体"/>
          <w:b/>
          <w:bCs/>
          <w:snapToGrid w:val="0"/>
          <w:kern w:val="0"/>
        </w:rPr>
      </w:pPr>
      <w:r>
        <w:rPr>
          <w:rFonts w:hint="eastAsia" w:hAnsi="宋体"/>
          <w:b/>
          <w:bCs/>
        </w:rPr>
        <w:t>第</w:t>
      </w:r>
      <w:r>
        <w:rPr>
          <w:rFonts w:hAnsi="宋体"/>
          <w:b/>
          <w:bCs/>
        </w:rPr>
        <w:t>1</w:t>
      </w:r>
      <w:r>
        <w:rPr>
          <w:rFonts w:hint="eastAsia" w:hAnsi="宋体"/>
          <w:b/>
          <w:bCs/>
        </w:rPr>
        <w:t>8条 通用合同条款补充第</w:t>
      </w:r>
      <w:r>
        <w:rPr>
          <w:rFonts w:hAnsi="宋体"/>
          <w:b/>
          <w:bCs/>
        </w:rPr>
        <w:t>7.3.3</w:t>
      </w:r>
      <w:r>
        <w:rPr>
          <w:rFonts w:hint="eastAsia" w:hAnsi="宋体"/>
          <w:b/>
          <w:bCs/>
        </w:rPr>
        <w:t>项：</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承包人自开工之日至竣工验收，不论何种原因，进场道路由承包人自行解决，费用由承包人负责，承包人应就所有在共用道路上通行的特种施工设备及车辆所需的特别许可作出安排并承担费用，除合同另有规定外，承包人为了出入现场和施工运输，临时道路应做硬化处理（硬化标准必须满足发包人、总监理工程师的要求），并应自费养护由他修建和使用的所有临时道路和桥梁</w:t>
      </w:r>
      <w:r>
        <w:rPr>
          <w:rFonts w:hAnsi="宋体"/>
          <w:snapToGrid w:val="0"/>
          <w:kern w:val="0"/>
        </w:rPr>
        <w:t>(</w:t>
      </w:r>
      <w:r>
        <w:rPr>
          <w:rFonts w:hint="eastAsia" w:hAnsi="宋体"/>
          <w:snapToGrid w:val="0"/>
          <w:kern w:val="0"/>
        </w:rPr>
        <w:t>包括利用和加固的村镇便道</w:t>
      </w:r>
      <w:r>
        <w:rPr>
          <w:rFonts w:hAnsi="宋体"/>
          <w:snapToGrid w:val="0"/>
          <w:kern w:val="0"/>
        </w:rPr>
        <w:t>)</w:t>
      </w:r>
      <w:r>
        <w:rPr>
          <w:rFonts w:hint="eastAsia" w:hAnsi="宋体"/>
          <w:snapToGrid w:val="0"/>
          <w:kern w:val="0"/>
        </w:rPr>
        <w:t>。承包人如必须利用原有村镇道路为施工临时用路时</w:t>
      </w:r>
      <w:r>
        <w:rPr>
          <w:rFonts w:hAnsi="宋体"/>
          <w:snapToGrid w:val="0"/>
          <w:kern w:val="0"/>
        </w:rPr>
        <w:t>,</w:t>
      </w:r>
      <w:r>
        <w:rPr>
          <w:rFonts w:hint="eastAsia" w:hAnsi="宋体"/>
          <w:snapToGrid w:val="0"/>
          <w:kern w:val="0"/>
        </w:rPr>
        <w:t>就损坏后的维修费用、使用时间、运送有污染的工程材料给村镇或农田造成污染的赔偿等问题达成一致后，方能进场施工。其费用在总体报价中应充分考虑且已包含在合同金额中，发包人不予另行支付。</w:t>
      </w:r>
    </w:p>
    <w:p>
      <w:pPr>
        <w:pStyle w:val="20"/>
        <w:adjustRightInd w:val="0"/>
        <w:snapToGrid w:val="0"/>
        <w:spacing w:line="360" w:lineRule="auto"/>
        <w:ind w:firstLine="420" w:firstLineChars="200"/>
        <w:rPr>
          <w:rFonts w:hAnsi="宋体"/>
          <w:snapToGrid w:val="0"/>
          <w:kern w:val="0"/>
        </w:rPr>
      </w:pPr>
      <w:r>
        <w:rPr>
          <w:rFonts w:hint="eastAsia" w:hAnsi="宋体"/>
          <w:snapToGrid w:val="0"/>
          <w:kern w:val="0"/>
        </w:rPr>
        <w:t>工程主线两侧的施工便道、便桥的标准必须满足总监理工程师、发包人的要求，贯通时间、使用时间必须服从发包人、总监理工程师的统一安排，并定期进行维修养护。标准为宽度不低于</w:t>
      </w:r>
      <w:r>
        <w:rPr>
          <w:rFonts w:hAnsi="宋体"/>
          <w:snapToGrid w:val="0"/>
          <w:kern w:val="0"/>
        </w:rPr>
        <w:t>5m</w:t>
      </w:r>
      <w:r>
        <w:rPr>
          <w:rFonts w:hint="eastAsia" w:hAnsi="宋体"/>
          <w:snapToGrid w:val="0"/>
          <w:kern w:val="0"/>
        </w:rPr>
        <w:t>，随时保证道路正常使用。</w:t>
      </w:r>
    </w:p>
    <w:p>
      <w:pPr>
        <w:adjustRightInd w:val="0"/>
        <w:snapToGrid w:val="0"/>
        <w:spacing w:line="360" w:lineRule="auto"/>
        <w:rPr>
          <w:rFonts w:ascii="宋体"/>
          <w:b/>
          <w:bCs/>
          <w:snapToGrid w:val="0"/>
          <w:kern w:val="0"/>
        </w:rPr>
      </w:pPr>
      <w:r>
        <w:rPr>
          <w:rFonts w:hint="eastAsia" w:ascii="宋体" w:hAnsi="宋体" w:cs="宋体"/>
          <w:b/>
          <w:bCs/>
        </w:rPr>
        <w:t>第</w:t>
      </w:r>
      <w:r>
        <w:rPr>
          <w:rFonts w:ascii="宋体" w:hAnsi="宋体" w:cs="宋体"/>
          <w:b/>
          <w:bCs/>
        </w:rPr>
        <w:t>1</w:t>
      </w:r>
      <w:r>
        <w:rPr>
          <w:rFonts w:hint="eastAsia" w:ascii="宋体" w:hAnsi="宋体" w:cs="宋体"/>
          <w:b/>
          <w:bCs/>
        </w:rPr>
        <w:t>9条 公路工程专用合同条款第</w:t>
      </w:r>
      <w:r>
        <w:rPr>
          <w:rFonts w:ascii="宋体" w:hAnsi="宋体" w:cs="宋体"/>
          <w:b/>
          <w:bCs/>
        </w:rPr>
        <w:t>9.2.5</w:t>
      </w:r>
      <w:r>
        <w:rPr>
          <w:rFonts w:hint="eastAsia" w:ascii="宋体" w:hAnsi="宋体" w:cs="宋体"/>
          <w:b/>
          <w:bCs/>
        </w:rPr>
        <w:t>项补充：</w:t>
      </w:r>
    </w:p>
    <w:p>
      <w:pPr>
        <w:adjustRightInd w:val="0"/>
        <w:snapToGrid w:val="0"/>
        <w:spacing w:line="360" w:lineRule="auto"/>
        <w:ind w:firstLine="420" w:firstLineChars="200"/>
        <w:rPr>
          <w:rFonts w:ascii="宋体"/>
          <w:snapToGrid w:val="0"/>
          <w:kern w:val="0"/>
        </w:rPr>
      </w:pPr>
      <w:r>
        <w:rPr>
          <w:rFonts w:hint="eastAsia" w:hAnsi="宋体" w:cs="宋体"/>
          <w:snapToGrid w:val="0"/>
          <w:kern w:val="0"/>
        </w:rPr>
        <w:t>安全生产费用及其他费用，单独计入清单</w:t>
      </w:r>
      <w:r>
        <w:rPr>
          <w:rFonts w:hint="eastAsia" w:ascii="宋体" w:hAnsi="宋体" w:cs="宋体"/>
          <w:snapToGrid w:val="0"/>
          <w:kern w:val="0"/>
        </w:rPr>
        <w:t>第</w:t>
      </w:r>
      <w:r>
        <w:rPr>
          <w:rFonts w:ascii="宋体" w:hAnsi="宋体"/>
          <w:snapToGrid w:val="0"/>
          <w:kern w:val="0"/>
        </w:rPr>
        <w:t>100</w:t>
      </w:r>
      <w:r>
        <w:rPr>
          <w:rFonts w:hint="eastAsia" w:ascii="宋体" w:hAnsi="宋体" w:cs="宋体"/>
          <w:snapToGrid w:val="0"/>
          <w:kern w:val="0"/>
        </w:rPr>
        <w:t>章</w:t>
      </w:r>
      <w:r>
        <w:rPr>
          <w:rFonts w:ascii="宋体" w:hAnsi="宋体"/>
          <w:snapToGrid w:val="0"/>
          <w:kern w:val="0"/>
        </w:rPr>
        <w:t>102-3</w:t>
      </w:r>
      <w:r>
        <w:rPr>
          <w:rFonts w:hint="eastAsia" w:ascii="宋体" w:hAnsi="宋体" w:cs="宋体"/>
          <w:snapToGrid w:val="0"/>
          <w:kern w:val="0"/>
        </w:rPr>
        <w:t>项</w:t>
      </w:r>
      <w:r>
        <w:rPr>
          <w:rFonts w:hint="eastAsia" w:hAnsi="宋体" w:cs="宋体"/>
          <w:snapToGrid w:val="0"/>
          <w:kern w:val="0"/>
        </w:rPr>
        <w:t>。</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第20条 </w:t>
      </w:r>
      <w:r>
        <w:rPr>
          <w:rFonts w:hint="eastAsia" w:ascii="宋体" w:hAnsi="宋体" w:cs="宋体"/>
          <w:b/>
          <w:bCs/>
        </w:rPr>
        <w:t>公路工程专用合同条款第</w:t>
      </w:r>
      <w:r>
        <w:rPr>
          <w:rFonts w:ascii="宋体" w:hAnsi="宋体" w:cs="宋体"/>
          <w:b/>
          <w:bCs/>
        </w:rPr>
        <w:t>9.2.8</w:t>
      </w:r>
      <w:r>
        <w:rPr>
          <w:rFonts w:hint="eastAsia" w:ascii="宋体" w:hAnsi="宋体" w:cs="宋体"/>
          <w:b/>
          <w:bCs/>
        </w:rPr>
        <w:t>（</w:t>
      </w:r>
      <w:r>
        <w:rPr>
          <w:rFonts w:ascii="宋体" w:hAnsi="宋体" w:cs="宋体"/>
          <w:b/>
          <w:bCs/>
        </w:rPr>
        <w:t>1</w:t>
      </w:r>
      <w:r>
        <w:rPr>
          <w:rFonts w:hint="eastAsia" w:ascii="宋体" w:hAnsi="宋体" w:cs="宋体"/>
          <w:b/>
          <w:bCs/>
        </w:rPr>
        <w:t>）目细化为：</w:t>
      </w:r>
    </w:p>
    <w:p>
      <w:pPr>
        <w:adjustRightInd w:val="0"/>
        <w:snapToGrid w:val="0"/>
        <w:spacing w:line="360" w:lineRule="auto"/>
        <w:ind w:firstLine="420" w:firstLineChars="200"/>
        <w:rPr>
          <w:rFonts w:ascii="宋体"/>
        </w:rPr>
      </w:pPr>
      <w:r>
        <w:rPr>
          <w:rFonts w:hint="eastAsia" w:ascii="宋体" w:hAnsi="宋体" w:cs="宋体"/>
        </w:rPr>
        <w:t>招标文件合同附件中所列专职安全生产管理人员为暂估数量，实际数量应按《公路水运工程安全生产监督管理办法》规定的数量和资质条件配备。</w:t>
      </w:r>
    </w:p>
    <w:p>
      <w:pPr>
        <w:adjustRightInd w:val="0"/>
        <w:snapToGrid w:val="0"/>
        <w:spacing w:line="360" w:lineRule="auto"/>
        <w:ind w:firstLine="420" w:firstLineChars="200"/>
        <w:rPr>
          <w:rFonts w:ascii="宋体"/>
        </w:rPr>
      </w:pPr>
      <w:r>
        <w:rPr>
          <w:rFonts w:hint="eastAsia" w:ascii="宋体" w:hAnsi="宋体" w:cs="宋体"/>
        </w:rPr>
        <w:t>涉及交通导行及相关安全保障工作，承包人应按发包人或监理人要求无条件执行，所采取的程序、措施应符合国家、地方交通建设管理部门及交通管理部门颁发的相关法律、法规、规章的规定。若有关主管部门对导行方案有所调整，承包人应无条件执行。承包人应严格按照交通安全法相关规定执行，在交管部门批准的时间、路段内进行施工。如承包人因违反规定，致使通行的人员、车辆及其他财产遭受损失的，一切后果由承包人依法承担，造成发包人损失的，承包人应据实赔偿。交通警示、标志、标识及防撞设施维护等应严格按照交管局有关规定设置、摆放。承包人及现场施工人员必须服从交通警察的管理和指挥。承包人编制的交通导行专项施工方案在开工前报监理人审核后报发包人审批后施行，承包人必须严格按照审批通过的专项施工方案进行施工。同时还应编制切实可行的交通应急预案。</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21</w:t>
      </w:r>
      <w:r>
        <w:rPr>
          <w:rFonts w:hint="eastAsia"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合同条款补充第</w:t>
      </w:r>
      <w:r>
        <w:rPr>
          <w:rFonts w:ascii="宋体" w:hAnsi="宋体" w:cs="宋体"/>
          <w:b/>
          <w:bCs/>
          <w:snapToGrid w:val="0"/>
          <w:kern w:val="0"/>
        </w:rPr>
        <w:t>9.2.12</w:t>
      </w:r>
      <w:r>
        <w:rPr>
          <w:rFonts w:hint="eastAsia" w:ascii="宋体" w:hAnsi="宋体" w:cs="宋体"/>
          <w:b/>
          <w:bCs/>
          <w:snapToGrid w:val="0"/>
          <w:kern w:val="0"/>
        </w:rPr>
        <w:t>项：</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1</w:t>
      </w:r>
      <w:r>
        <w:rPr>
          <w:rFonts w:hint="eastAsia" w:ascii="宋体" w:hAnsi="宋体" w:cs="宋体"/>
          <w:snapToGrid w:val="0"/>
          <w:kern w:val="0"/>
        </w:rPr>
        <w:t>）承包人在工程开工后</w:t>
      </w:r>
      <w:r>
        <w:rPr>
          <w:rFonts w:ascii="宋体" w:hAnsi="宋体" w:cs="宋体"/>
          <w:snapToGrid w:val="0"/>
          <w:kern w:val="0"/>
        </w:rPr>
        <w:t>10</w:t>
      </w:r>
      <w:r>
        <w:rPr>
          <w:rFonts w:hint="eastAsia" w:ascii="宋体" w:hAnsi="宋体" w:cs="宋体"/>
          <w:snapToGrid w:val="0"/>
          <w:kern w:val="0"/>
        </w:rPr>
        <w:t>日内应依照相关规定到天津市交通运输工程质量安全监督总站办理安全生产监督手续，其发生的一切费用由承包人自理。</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2</w:t>
      </w:r>
      <w:r>
        <w:rPr>
          <w:rFonts w:hint="eastAsia" w:ascii="宋体" w:hAnsi="宋体" w:cs="宋体"/>
          <w:snapToGrid w:val="0"/>
          <w:kern w:val="0"/>
        </w:rPr>
        <w:t>）承包人在施工管理中要同时落实文明施工、安全生产的各项措施，按照规范或相关部门的要求设置相应的安全警示、防护措施，组织定期安全检查和季节性检查，发现问题，立即现场研究解决；</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3</w:t>
      </w:r>
      <w:r>
        <w:rPr>
          <w:rFonts w:hint="eastAsia" w:ascii="宋体" w:hAnsi="宋体" w:cs="宋体"/>
          <w:snapToGrid w:val="0"/>
          <w:kern w:val="0"/>
        </w:rPr>
        <w:t>）在施工进行中各项劳动保护工作和改善劳动条件的费用均含在本工程承包合同价款内。</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4</w:t>
      </w:r>
      <w:r>
        <w:rPr>
          <w:rFonts w:hint="eastAsia" w:ascii="宋体" w:hAnsi="宋体" w:cs="宋体"/>
          <w:snapToGrid w:val="0"/>
          <w:kern w:val="0"/>
        </w:rPr>
        <w:t>）在施工过程中，承包人随时接受总监理工程师、发包人的安全监督和检查，按要求及时整改存在的问题，切实做到安全生产、文明施工。</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5</w:t>
      </w:r>
      <w:r>
        <w:rPr>
          <w:rFonts w:hint="eastAsia" w:ascii="宋体" w:hAnsi="宋体" w:cs="宋体"/>
          <w:snapToGrid w:val="0"/>
          <w:kern w:val="0"/>
        </w:rPr>
        <w:t>）发生工伤或其它问题，均由承包人负责按行政主管部门的规定上报、统计和处理，并立即报告总监理工程师和发包人。</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6</w:t>
      </w:r>
      <w:r>
        <w:rPr>
          <w:rFonts w:hint="eastAsia" w:ascii="宋体" w:hAnsi="宋体" w:cs="宋体"/>
          <w:snapToGrid w:val="0"/>
          <w:kern w:val="0"/>
        </w:rPr>
        <w:t>）承包人在施工过程中发生质量责任、安全事故的；或因存在质量责任、安全事故隐患被监理人、发包人提出而仍不整改的；被监理人、发包人及行业监督管理部门通报批评的，每发生一次，发包人有权课以违约金，情节严重的将加大处罚力度，具体比例由发包人和总监理工程师商议确定。</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w:t>
      </w:r>
      <w:r>
        <w:rPr>
          <w:rFonts w:ascii="宋体" w:hAnsi="宋体" w:cs="宋体"/>
          <w:snapToGrid w:val="0"/>
          <w:kern w:val="0"/>
        </w:rPr>
        <w:t>7</w:t>
      </w:r>
      <w:r>
        <w:rPr>
          <w:rFonts w:hint="eastAsia" w:ascii="宋体" w:hAnsi="宋体" w:cs="宋体"/>
          <w:snapToGrid w:val="0"/>
          <w:kern w:val="0"/>
        </w:rPr>
        <w:t>）在承包人施工期间如发生工伤或其他安全事故，造成人员、财产损失的，承包人应作为第一责任人配合相关部门的调查、处理，并积极承担相应的责任，使该事件能够尽快妥善处理，避免对本工程建设造成影响。事件处理完毕后，承包人应尽快将现场恢复原状、对被破坏的工程、设施等进行维修，加强安全防护措施。如因该等安全事故造成发包人损失的，承包人应据实赔偿。</w:t>
      </w:r>
    </w:p>
    <w:p>
      <w:pPr>
        <w:pStyle w:val="20"/>
        <w:adjustRightInd w:val="0"/>
        <w:snapToGrid w:val="0"/>
        <w:spacing w:line="360" w:lineRule="auto"/>
        <w:rPr>
          <w:rFonts w:hAnsi="宋体"/>
          <w:b/>
          <w:bCs/>
          <w:snapToGrid w:val="0"/>
          <w:kern w:val="0"/>
        </w:rPr>
      </w:pPr>
      <w:r>
        <w:rPr>
          <w:rFonts w:hint="eastAsia" w:hAnsi="宋体"/>
          <w:b/>
          <w:bCs/>
          <w:snapToGrid w:val="0"/>
          <w:kern w:val="0"/>
        </w:rPr>
        <w:t xml:space="preserve">第22条 </w:t>
      </w:r>
      <w:r>
        <w:rPr>
          <w:rFonts w:hint="eastAsia" w:hAnsi="宋体" w:cs="宋体"/>
          <w:b/>
          <w:bCs/>
        </w:rPr>
        <w:t>公路工程专用</w:t>
      </w:r>
      <w:r>
        <w:rPr>
          <w:rFonts w:hint="eastAsia" w:hAnsi="宋体"/>
          <w:b/>
          <w:bCs/>
          <w:snapToGrid w:val="0"/>
          <w:kern w:val="0"/>
        </w:rPr>
        <w:t>合同条款第</w:t>
      </w:r>
      <w:r>
        <w:rPr>
          <w:rFonts w:hAnsi="宋体"/>
          <w:b/>
          <w:bCs/>
          <w:snapToGrid w:val="0"/>
          <w:kern w:val="0"/>
        </w:rPr>
        <w:t>9.4.9</w:t>
      </w:r>
      <w:r>
        <w:rPr>
          <w:rFonts w:hint="eastAsia" w:hAnsi="宋体"/>
          <w:b/>
          <w:bCs/>
          <w:snapToGrid w:val="0"/>
          <w:kern w:val="0"/>
        </w:rPr>
        <w:t>项补充：</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承包人应按规范及发包人统一要求对材料堆存场地、现场预制场地、拌合站、生产生活区等进行清理、整平、硬化、围砌，费用由承包人承担。</w:t>
      </w:r>
    </w:p>
    <w:p>
      <w:pPr>
        <w:adjustRightInd w:val="0"/>
        <w:snapToGrid w:val="0"/>
        <w:spacing w:line="360" w:lineRule="auto"/>
        <w:ind w:firstLine="420" w:firstLineChars="200"/>
        <w:rPr>
          <w:rFonts w:ascii="宋体"/>
          <w:snapToGrid w:val="0"/>
          <w:kern w:val="0"/>
        </w:rPr>
      </w:pPr>
      <w:r>
        <w:rPr>
          <w:rFonts w:hint="eastAsia"/>
          <w:szCs w:val="21"/>
        </w:rPr>
        <w:t>在施工期间，承包人应随时保持现场整洁，施工设备和材料、工程设备应整齐妥善存放和储存，废料与垃圾及不再需要的临时设施应及时从现场清除、拆除并运走。承包人应按规范及发包人统一要求对材料堆存场地、现场预制场地、拌合站、生产生活区等进行清理、整平、硬化、围砌，费用由承包人承担。</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第23条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10.1</w:t>
      </w:r>
      <w:r>
        <w:rPr>
          <w:rFonts w:hint="eastAsia" w:ascii="宋体" w:hAnsi="宋体" w:cs="宋体"/>
          <w:b/>
          <w:bCs/>
          <w:snapToGrid w:val="0"/>
          <w:kern w:val="0"/>
        </w:rPr>
        <w:t>款细化为：</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承包人编制施工方案的内容应包括工程所采用的技术方案、安全方案及施工的时间、方法和顺序，人员、资源的安排，材料、设备的获得和运输。</w:t>
      </w:r>
    </w:p>
    <w:p>
      <w:pPr>
        <w:adjustRightInd w:val="0"/>
        <w:snapToGrid w:val="0"/>
        <w:spacing w:line="360" w:lineRule="auto"/>
        <w:ind w:firstLine="420" w:firstLineChars="200"/>
        <w:rPr>
          <w:rFonts w:ascii="宋体"/>
        </w:rPr>
      </w:pPr>
      <w:r>
        <w:rPr>
          <w:rFonts w:hint="eastAsia"/>
          <w:szCs w:val="21"/>
        </w:rPr>
        <w:t>合同进度计划应按照关键线路网络图和主要工作横道图两种形式分别编绘，并应包括每月预计完成的工作量和形象进度。承包人编制施工方案的内容应包括工程所采用的技术方案、安全方案及施工的时间、方法和顺序，人员、资源的安排，材料、设备的获得和运输等内容，承包人编制的施工方案说明应内容全面、准确、易懂，使发包人、监理人等能直观的了解承包人的工期、工艺、材料等安排。</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第24条 </w:t>
      </w:r>
      <w:r>
        <w:rPr>
          <w:rFonts w:hint="eastAsia" w:ascii="宋体" w:hAnsi="宋体" w:cs="宋体"/>
          <w:b/>
          <w:bCs/>
        </w:rPr>
        <w:t>公路工程专用合同条款第</w:t>
      </w:r>
      <w:r>
        <w:rPr>
          <w:rFonts w:ascii="宋体" w:hAnsi="宋体" w:cs="宋体"/>
          <w:b/>
          <w:bCs/>
        </w:rPr>
        <w:t>10.2</w:t>
      </w:r>
      <w:r>
        <w:rPr>
          <w:rFonts w:hint="eastAsia" w:ascii="宋体" w:hAnsi="宋体" w:cs="宋体"/>
          <w:b/>
          <w:bCs/>
        </w:rPr>
        <w:t>款补充：</w:t>
      </w:r>
    </w:p>
    <w:p>
      <w:pPr>
        <w:adjustRightInd w:val="0"/>
        <w:snapToGrid w:val="0"/>
        <w:spacing w:line="360" w:lineRule="auto"/>
        <w:ind w:firstLine="420" w:firstLineChars="200"/>
        <w:rPr>
          <w:rFonts w:ascii="宋体"/>
          <w:snapToGrid w:val="0"/>
          <w:kern w:val="0"/>
        </w:rPr>
      </w:pPr>
      <w:r>
        <w:rPr>
          <w:rFonts w:hint="eastAsia" w:ascii="宋体" w:hAnsi="宋体" w:cs="宋体"/>
        </w:rPr>
        <w:t>分阶段施工计划的调整在计划竣工日期未变的前提下，发包人或监理人根据工程实际情况或其它必要因素而对工程分阶段工期和作业面进行调整，承包人应无条件地服从。由此而可能引起工程费用投入的变化发包人将不再予以调整。</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25</w:t>
      </w:r>
      <w:r>
        <w:rPr>
          <w:rFonts w:hint="eastAsia" w:hAnsi="宋体" w:cs="宋体"/>
          <w:b/>
          <w:bCs/>
          <w:snapToGrid w:val="0"/>
          <w:kern w:val="0"/>
        </w:rPr>
        <w:t xml:space="preserve">条 </w:t>
      </w:r>
      <w:r>
        <w:rPr>
          <w:rFonts w:hint="eastAsia" w:ascii="宋体" w:hAnsi="宋体" w:cs="宋体"/>
          <w:b/>
          <w:bCs/>
        </w:rPr>
        <w:t>通用合同条款第</w:t>
      </w:r>
      <w:r>
        <w:rPr>
          <w:rFonts w:ascii="宋体" w:hAnsi="宋体" w:cs="宋体"/>
          <w:b/>
          <w:bCs/>
        </w:rPr>
        <w:t>11.3</w:t>
      </w:r>
      <w:r>
        <w:rPr>
          <w:rFonts w:hint="eastAsia" w:ascii="宋体" w:hAnsi="宋体" w:cs="宋体"/>
          <w:b/>
          <w:bCs/>
        </w:rPr>
        <w:t>（</w:t>
      </w:r>
      <w:r>
        <w:rPr>
          <w:rFonts w:ascii="宋体" w:hAnsi="宋体" w:cs="宋体"/>
          <w:b/>
          <w:bCs/>
        </w:rPr>
        <w:t>2</w:t>
      </w:r>
      <w:r>
        <w:rPr>
          <w:rFonts w:hint="eastAsia" w:ascii="宋体" w:hAnsi="宋体" w:cs="宋体"/>
          <w:b/>
          <w:bCs/>
        </w:rPr>
        <w:t>）项细化为：</w:t>
      </w:r>
    </w:p>
    <w:p>
      <w:pPr>
        <w:pStyle w:val="20"/>
        <w:adjustRightInd w:val="0"/>
        <w:snapToGrid w:val="0"/>
        <w:spacing w:line="360" w:lineRule="auto"/>
        <w:ind w:firstLine="420" w:firstLineChars="200"/>
        <w:rPr>
          <w:rFonts w:hAnsi="宋体"/>
          <w:snapToGrid w:val="0"/>
          <w:kern w:val="0"/>
        </w:rPr>
      </w:pPr>
      <w:r>
        <w:rPr>
          <w:rFonts w:hint="eastAsia" w:hAnsi="宋体"/>
        </w:rPr>
        <w:t>改变合同中主要和关键工作的质量要求或其他特性。</w:t>
      </w:r>
    </w:p>
    <w:p>
      <w:pPr>
        <w:adjustRightInd w:val="0"/>
        <w:snapToGrid w:val="0"/>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2</w:t>
      </w:r>
      <w:r>
        <w:rPr>
          <w:rFonts w:hint="eastAsia" w:ascii="宋体" w:hAnsi="宋体" w:cs="宋体"/>
          <w:b/>
          <w:bCs/>
          <w:snapToGrid w:val="0"/>
          <w:kern w:val="0"/>
        </w:rPr>
        <w:t xml:space="preserve">6条 </w:t>
      </w:r>
      <w:r>
        <w:rPr>
          <w:rFonts w:hint="eastAsia" w:ascii="宋体" w:hAnsi="宋体" w:cs="宋体"/>
          <w:b/>
          <w:bCs/>
        </w:rPr>
        <w:t>通用合同条款第</w:t>
      </w:r>
      <w:r>
        <w:rPr>
          <w:rFonts w:ascii="宋体" w:hAnsi="宋体" w:cs="宋体"/>
          <w:b/>
          <w:bCs/>
        </w:rPr>
        <w:t>11.3</w:t>
      </w:r>
      <w:r>
        <w:rPr>
          <w:rFonts w:hint="eastAsia" w:ascii="宋体" w:hAnsi="宋体" w:cs="宋体"/>
          <w:b/>
          <w:bCs/>
        </w:rPr>
        <w:t>款补充：</w:t>
      </w:r>
    </w:p>
    <w:p>
      <w:pPr>
        <w:adjustRightInd w:val="0"/>
        <w:snapToGrid w:val="0"/>
        <w:spacing w:line="360" w:lineRule="auto"/>
        <w:ind w:firstLine="420" w:firstLineChars="200"/>
        <w:rPr>
          <w:rFonts w:ascii="宋体"/>
          <w:b/>
          <w:bCs/>
          <w:u w:val="single"/>
        </w:rPr>
      </w:pPr>
      <w:r>
        <w:rPr>
          <w:rFonts w:hint="eastAsia" w:hAnsi="宋体" w:cs="宋体"/>
          <w:snapToGrid w:val="0"/>
          <w:kern w:val="0"/>
        </w:rPr>
        <w:t>除发生上述条款所规定的情形，总工期固定不变。除因不可抗力外，因上述条款所规定的情形导致工程延期</w:t>
      </w:r>
      <w:r>
        <w:rPr>
          <w:rFonts w:ascii="宋体" w:hAnsi="宋体"/>
          <w:snapToGrid w:val="0"/>
          <w:kern w:val="0"/>
        </w:rPr>
        <w:t>3</w:t>
      </w:r>
      <w:r>
        <w:rPr>
          <w:rFonts w:hint="eastAsia" w:hAnsi="宋体" w:cs="宋体"/>
          <w:snapToGrid w:val="0"/>
          <w:kern w:val="0"/>
        </w:rPr>
        <w:t>个月以上，承包人方有权向发包人提出索赔申请，赔偿金额由发包人及承包人协商确定。</w:t>
      </w:r>
    </w:p>
    <w:p>
      <w:pPr>
        <w:adjustRightInd w:val="0"/>
        <w:snapToGrid w:val="0"/>
        <w:spacing w:line="360" w:lineRule="auto"/>
        <w:rPr>
          <w:rFonts w:ascii="宋体"/>
          <w:b/>
          <w:bCs/>
          <w:u w:val="single"/>
        </w:rPr>
      </w:pPr>
      <w:r>
        <w:rPr>
          <w:rFonts w:hint="eastAsia" w:ascii="宋体" w:hAnsi="宋体" w:cs="宋体"/>
          <w:b/>
          <w:bCs/>
          <w:snapToGrid w:val="0"/>
          <w:kern w:val="0"/>
        </w:rPr>
        <w:t xml:space="preserve">第27条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11.4</w:t>
      </w:r>
      <w:r>
        <w:rPr>
          <w:rFonts w:hint="eastAsia" w:ascii="宋体" w:hAnsi="宋体" w:cs="宋体"/>
          <w:b/>
          <w:bCs/>
          <w:snapToGrid w:val="0"/>
          <w:kern w:val="0"/>
        </w:rPr>
        <w:t>款做如下解释：</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异常恶劣的气候条件的范围：项目所在地发生5</w:t>
      </w:r>
      <w:r>
        <w:rPr>
          <w:rFonts w:ascii="宋体" w:hAnsi="宋体" w:cs="宋体"/>
          <w:snapToGrid w:val="0"/>
          <w:kern w:val="0"/>
        </w:rPr>
        <w:t>0</w:t>
      </w:r>
      <w:r>
        <w:rPr>
          <w:rFonts w:hint="eastAsia" w:ascii="宋体" w:hAnsi="宋体" w:cs="宋体"/>
          <w:snapToGrid w:val="0"/>
          <w:kern w:val="0"/>
        </w:rPr>
        <w:t>年以上一遇的罕见气候现象</w:t>
      </w:r>
      <w:r>
        <w:rPr>
          <w:rFonts w:ascii="宋体" w:hAnsi="宋体" w:cs="宋体"/>
          <w:snapToGrid w:val="0"/>
          <w:kern w:val="0"/>
        </w:rPr>
        <w:t>(</w:t>
      </w:r>
      <w:r>
        <w:rPr>
          <w:rFonts w:hint="eastAsia" w:ascii="宋体" w:hAnsi="宋体" w:cs="宋体"/>
          <w:snapToGrid w:val="0"/>
          <w:kern w:val="0"/>
        </w:rPr>
        <w:t>包括温度、降水、降雪、风等</w:t>
      </w:r>
      <w:r>
        <w:rPr>
          <w:rFonts w:ascii="宋体" w:hAnsi="宋体" w:cs="宋体"/>
          <w:snapToGrid w:val="0"/>
          <w:kern w:val="0"/>
        </w:rPr>
        <w:t xml:space="preserve">) </w:t>
      </w:r>
      <w:r>
        <w:rPr>
          <w:rFonts w:hint="eastAsia" w:ascii="宋体" w:hAnsi="宋体" w:cs="宋体"/>
          <w:snapToGrid w:val="0"/>
          <w:kern w:val="0"/>
        </w:rPr>
        <w:t>，以项目所在地气象主管部门观测及公布的数据为准。</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第28条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11.7</w:t>
      </w:r>
      <w:r>
        <w:rPr>
          <w:rFonts w:hint="eastAsia" w:ascii="宋体" w:hAnsi="宋体" w:cs="宋体"/>
          <w:b/>
          <w:bCs/>
          <w:snapToGrid w:val="0"/>
          <w:kern w:val="0"/>
        </w:rPr>
        <w:t>款细化为：</w:t>
      </w:r>
    </w:p>
    <w:p>
      <w:pPr>
        <w:adjustRightInd w:val="0"/>
        <w:snapToGrid w:val="0"/>
        <w:spacing w:line="360" w:lineRule="auto"/>
        <w:ind w:firstLine="420" w:firstLineChars="200"/>
        <w:rPr>
          <w:rFonts w:ascii="宋体"/>
        </w:rPr>
      </w:pPr>
      <w:r>
        <w:rPr>
          <w:rFonts w:hint="eastAsia" w:ascii="宋体" w:hAnsi="宋体" w:cs="宋体"/>
        </w:rPr>
        <w:t>承包人在夜间或国家规定的节假日进行永久工程的施工，应向监理人报告，以便监理人履行监理职责和义务。承包人未向监理人报告而擅自在夜间或国家规定的节假日对永久工程施工的，若出现问题则由承包人负责，且不免除发包人对承包人进行索赔的权利。承包人在夜间或国家规定的节假日进行临时工程的施工，但该临时工程不涉及结构安全、工程计量或变更的可不向监理人报告，但出现问题则由承包人负责，且不免除发包人对承包人进行索赔的权利。</w:t>
      </w:r>
    </w:p>
    <w:p>
      <w:pPr>
        <w:adjustRightInd w:val="0"/>
        <w:snapToGrid w:val="0"/>
        <w:spacing w:line="360" w:lineRule="auto"/>
        <w:ind w:firstLine="420" w:firstLineChars="200"/>
        <w:rPr>
          <w:rFonts w:ascii="宋体"/>
        </w:rPr>
      </w:pPr>
      <w:r>
        <w:rPr>
          <w:rFonts w:hint="eastAsia" w:ascii="宋体" w:hAnsi="宋体" w:cs="宋体"/>
        </w:rPr>
        <w:t>但是，为了抢救生命或保护财产，或为了工程的安全、质量而不可避免地短暂作业，则不必事先向监理人报告。但承包人应在事后立即向监理人报告。</w:t>
      </w:r>
    </w:p>
    <w:p>
      <w:pPr>
        <w:adjustRightInd w:val="0"/>
        <w:snapToGrid w:val="0"/>
        <w:spacing w:line="360" w:lineRule="auto"/>
        <w:rPr>
          <w:rFonts w:ascii="宋体"/>
        </w:rPr>
      </w:pPr>
      <w:r>
        <w:rPr>
          <w:rFonts w:hint="eastAsia" w:ascii="宋体" w:hAnsi="宋体" w:cs="宋体"/>
        </w:rPr>
        <w:t>本款规定不适用于习惯上或施工本身要求实行连续生产的作业。</w:t>
      </w:r>
    </w:p>
    <w:p>
      <w:pPr>
        <w:adjustRightInd w:val="0"/>
        <w:snapToGrid w:val="0"/>
        <w:spacing w:line="360" w:lineRule="auto"/>
        <w:rPr>
          <w:rFonts w:ascii="宋体"/>
          <w:b/>
          <w:bCs/>
          <w:snapToGrid w:val="0"/>
          <w:kern w:val="0"/>
        </w:rPr>
      </w:pPr>
      <w:r>
        <w:rPr>
          <w:rFonts w:hint="eastAsia" w:ascii="宋体" w:hAnsi="宋体" w:cs="宋体"/>
          <w:b/>
          <w:bCs/>
        </w:rPr>
        <w:t>第</w:t>
      </w:r>
      <w:r>
        <w:rPr>
          <w:rFonts w:ascii="宋体" w:hAnsi="宋体" w:cs="宋体"/>
          <w:b/>
          <w:bCs/>
        </w:rPr>
        <w:t>2</w:t>
      </w:r>
      <w:r>
        <w:rPr>
          <w:rFonts w:hint="eastAsia" w:ascii="宋体" w:hAnsi="宋体" w:cs="宋体"/>
          <w:b/>
          <w:bCs/>
        </w:rPr>
        <w:t>9条 公路工程专用</w:t>
      </w:r>
      <w:r>
        <w:rPr>
          <w:rFonts w:hint="eastAsia" w:ascii="宋体" w:hAnsi="宋体" w:cs="宋体"/>
          <w:b/>
          <w:bCs/>
          <w:snapToGrid w:val="0"/>
          <w:kern w:val="0"/>
        </w:rPr>
        <w:t>合同条款第</w:t>
      </w:r>
      <w:r>
        <w:rPr>
          <w:rFonts w:ascii="宋体" w:hAnsi="宋体" w:cs="宋体"/>
          <w:b/>
          <w:bCs/>
          <w:snapToGrid w:val="0"/>
          <w:kern w:val="0"/>
        </w:rPr>
        <w:t>12.1</w:t>
      </w:r>
      <w:r>
        <w:rPr>
          <w:rFonts w:hint="eastAsia" w:ascii="宋体" w:hAnsi="宋体" w:cs="宋体"/>
          <w:b/>
          <w:bCs/>
          <w:snapToGrid w:val="0"/>
          <w:kern w:val="0"/>
        </w:rPr>
        <w:t>（</w:t>
      </w:r>
      <w:r>
        <w:rPr>
          <w:rFonts w:ascii="宋体" w:hAnsi="宋体" w:cs="宋体"/>
          <w:b/>
          <w:bCs/>
          <w:snapToGrid w:val="0"/>
          <w:kern w:val="0"/>
        </w:rPr>
        <w:t>6</w:t>
      </w:r>
      <w:r>
        <w:rPr>
          <w:rFonts w:hint="eastAsia" w:ascii="宋体" w:hAnsi="宋体" w:cs="宋体"/>
          <w:b/>
          <w:bCs/>
          <w:snapToGrid w:val="0"/>
          <w:kern w:val="0"/>
        </w:rPr>
        <w:t>）目做如下解释：</w:t>
      </w:r>
    </w:p>
    <w:p>
      <w:pPr>
        <w:adjustRightInd w:val="0"/>
        <w:snapToGrid w:val="0"/>
        <w:spacing w:line="360" w:lineRule="auto"/>
        <w:ind w:firstLine="420" w:firstLineChars="200"/>
        <w:rPr>
          <w:rFonts w:ascii="宋体" w:hAnsi="宋体" w:cs="宋体"/>
        </w:rPr>
      </w:pPr>
      <w:r>
        <w:rPr>
          <w:rFonts w:hint="eastAsia" w:ascii="宋体" w:hAnsi="宋体" w:cs="宋体"/>
        </w:rPr>
        <w:t>由承包人承担的其他暂停施工包括但不限于以下内容：工程材料或工程设备被盗、食物中毒、破坏工程等。承包人涉及的纠纷、诉讼引起的暂停施工；天津市政府发布的大气污染防治、扬尘治理等暂停施工；</w:t>
      </w:r>
      <w:r>
        <w:rPr>
          <w:rFonts w:hint="eastAsia" w:ascii="宋体" w:hAnsi="宋体"/>
        </w:rPr>
        <w:t>政府下发的其他暂停施工</w:t>
      </w:r>
      <w:r>
        <w:rPr>
          <w:rFonts w:hint="eastAsia" w:ascii="宋体" w:hAnsi="宋体" w:cs="宋体"/>
        </w:rPr>
        <w:t>。</w:t>
      </w:r>
    </w:p>
    <w:p>
      <w:pPr>
        <w:spacing w:line="360" w:lineRule="auto"/>
        <w:rPr>
          <w:rFonts w:ascii="宋体" w:hAnsi="宋体"/>
          <w:szCs w:val="21"/>
        </w:rPr>
      </w:pPr>
      <w:r>
        <w:rPr>
          <w:rFonts w:hint="eastAsia" w:ascii="宋体" w:hAnsi="宋体"/>
          <w:b/>
          <w:snapToGrid w:val="0"/>
          <w:kern w:val="0"/>
          <w:szCs w:val="21"/>
        </w:rPr>
        <w:t>第30条 专用合同条款补充第13.2.7项：</w:t>
      </w:r>
    </w:p>
    <w:p>
      <w:pPr>
        <w:adjustRightInd w:val="0"/>
        <w:snapToGrid w:val="0"/>
        <w:spacing w:line="360" w:lineRule="auto"/>
        <w:ind w:firstLine="420" w:firstLineChars="200"/>
        <w:rPr>
          <w:rFonts w:ascii="宋体" w:hAnsi="宋体"/>
        </w:rPr>
      </w:pPr>
      <w:r>
        <w:rPr>
          <w:rFonts w:hint="eastAsia" w:ascii="宋体" w:hAnsi="宋体"/>
          <w:szCs w:val="21"/>
        </w:rPr>
        <w:t>13.2.7为保证成品质量，C40及以上的混凝土所用石料必须进行水洗，由此产生的费用投标人应在报价中充分考虑，发包人不再另行支付。</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第31条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13.4</w:t>
      </w:r>
      <w:r>
        <w:rPr>
          <w:rFonts w:hint="eastAsia" w:ascii="宋体" w:hAnsi="宋体" w:cs="宋体"/>
          <w:b/>
          <w:bCs/>
          <w:snapToGrid w:val="0"/>
          <w:kern w:val="0"/>
        </w:rPr>
        <w:t>款补充：</w:t>
      </w:r>
    </w:p>
    <w:p>
      <w:pPr>
        <w:spacing w:line="360" w:lineRule="auto"/>
        <w:ind w:firstLine="420" w:firstLineChars="200"/>
        <w:rPr>
          <w:rFonts w:ascii="宋体" w:hAnsi="宋体"/>
          <w:szCs w:val="21"/>
        </w:rPr>
      </w:pPr>
      <w:r>
        <w:rPr>
          <w:rFonts w:hint="eastAsia" w:ascii="宋体" w:hAnsi="宋体"/>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60" w:lineRule="auto"/>
        <w:ind w:firstLine="420" w:firstLineChars="200"/>
        <w:rPr>
          <w:rFonts w:ascii="宋体" w:hAnsi="宋体"/>
          <w:szCs w:val="21"/>
        </w:rPr>
      </w:pPr>
      <w:r>
        <w:rPr>
          <w:rFonts w:hint="eastAsia" w:ascii="宋体" w:hAnsi="宋体"/>
          <w:szCs w:val="21"/>
        </w:rPr>
        <w:t>监理人及其委派的检验人员，应能进入工程现场，以及材料或工程设备的制造、加工或制配的车间和场所，包括不属于承包人的车间或场所进行检查，承包人应为此提供便利和协助。</w:t>
      </w:r>
    </w:p>
    <w:p>
      <w:pPr>
        <w:spacing w:line="360" w:lineRule="auto"/>
        <w:ind w:firstLine="420" w:firstLineChars="200"/>
        <w:rPr>
          <w:rFonts w:ascii="宋体" w:hAnsi="宋体"/>
          <w:szCs w:val="21"/>
        </w:rPr>
      </w:pPr>
      <w:r>
        <w:rPr>
          <w:rFonts w:hint="eastAsia" w:ascii="宋体" w:hAnsi="宋体"/>
          <w:szCs w:val="21"/>
        </w:rPr>
        <w:t>监理人可以将材料或工程设备的检查和检验委托给一家发包人认可且独立的有质量检验认证资格的检验单位。该独立检验单位的检验结果应视为监理人完成的。监理人应将这种委托的通知书不少于7天前交给承包人。</w:t>
      </w:r>
    </w:p>
    <w:p>
      <w:pPr>
        <w:adjustRightInd w:val="0"/>
        <w:snapToGrid w:val="0"/>
        <w:spacing w:line="360" w:lineRule="auto"/>
        <w:ind w:firstLine="420" w:firstLineChars="200"/>
        <w:rPr>
          <w:rFonts w:ascii="宋体"/>
        </w:rPr>
      </w:pPr>
      <w:r>
        <w:rPr>
          <w:rFonts w:hint="eastAsia" w:ascii="宋体" w:hAnsi="宋体"/>
          <w:szCs w:val="21"/>
        </w:rPr>
        <w:t>对于发包人委托的试验检测等单位的现场试验检测和其它相关工作，承包人应为此提供便利和协助。</w:t>
      </w:r>
    </w:p>
    <w:p>
      <w:pPr>
        <w:adjustRightInd w:val="0"/>
        <w:snapToGrid w:val="0"/>
        <w:spacing w:line="360" w:lineRule="auto"/>
        <w:rPr>
          <w:rFonts w:ascii="宋体"/>
          <w:b/>
          <w:bCs/>
        </w:rPr>
      </w:pPr>
      <w:r>
        <w:rPr>
          <w:rFonts w:hint="eastAsia" w:ascii="宋体" w:hAnsi="宋体" w:cs="宋体"/>
          <w:b/>
          <w:bCs/>
          <w:snapToGrid w:val="0"/>
          <w:kern w:val="0"/>
        </w:rPr>
        <w:t xml:space="preserve">第32条 </w:t>
      </w:r>
      <w:r>
        <w:rPr>
          <w:rFonts w:hint="eastAsia" w:ascii="宋体" w:hAnsi="宋体" w:cs="宋体"/>
          <w:b/>
          <w:bCs/>
        </w:rPr>
        <w:t>通用合同条款第</w:t>
      </w:r>
      <w:r>
        <w:rPr>
          <w:rFonts w:ascii="宋体" w:hAnsi="宋体" w:cs="宋体"/>
          <w:b/>
          <w:bCs/>
        </w:rPr>
        <w:t>13.5.4</w:t>
      </w:r>
      <w:r>
        <w:rPr>
          <w:rFonts w:hint="eastAsia" w:ascii="宋体" w:hAnsi="宋体" w:cs="宋体"/>
          <w:b/>
          <w:bCs/>
        </w:rPr>
        <w:t>项细化为：</w:t>
      </w:r>
    </w:p>
    <w:p>
      <w:pPr>
        <w:adjustRightInd w:val="0"/>
        <w:snapToGrid w:val="0"/>
        <w:spacing w:line="360" w:lineRule="auto"/>
        <w:ind w:firstLine="420" w:firstLineChars="200"/>
        <w:rPr>
          <w:rFonts w:ascii="宋体"/>
        </w:rPr>
      </w:pPr>
      <w:r>
        <w:rPr>
          <w:rFonts w:hint="eastAsia" w:ascii="宋体" w:hAnsi="宋体" w:cs="宋体"/>
        </w:rPr>
        <w:t>承包人未通知监理人到场检查或在未得到监理人指示的情况下，不得将隐蔽部位私自覆盖。若承包人未通知监理人到场检查或在未得到监理人指示的情况下私自将工程隐蔽部位覆盖的，监理人有权指示承包人钻孔探测或揭开检查，由此增加的费用和（或）工期延误由承包人承担。</w:t>
      </w:r>
    </w:p>
    <w:p>
      <w:pPr>
        <w:adjustRightInd w:val="0"/>
        <w:snapToGrid w:val="0"/>
        <w:spacing w:line="360" w:lineRule="auto"/>
        <w:rPr>
          <w:rFonts w:ascii="宋体"/>
          <w:b/>
          <w:bCs/>
          <w:snapToGrid w:val="0"/>
          <w:kern w:val="0"/>
        </w:rPr>
      </w:pPr>
      <w:r>
        <w:rPr>
          <w:rFonts w:hint="eastAsia" w:ascii="宋体" w:hAnsi="宋体" w:cs="宋体"/>
          <w:b/>
          <w:bCs/>
          <w:snapToGrid w:val="0"/>
          <w:kern w:val="0"/>
        </w:rPr>
        <w:t>第33条 通用合同条款第</w:t>
      </w:r>
      <w:r>
        <w:rPr>
          <w:rFonts w:ascii="宋体" w:hAnsi="宋体" w:cs="宋体"/>
          <w:b/>
          <w:bCs/>
          <w:snapToGrid w:val="0"/>
          <w:kern w:val="0"/>
        </w:rPr>
        <w:t>14.3</w:t>
      </w:r>
      <w:r>
        <w:rPr>
          <w:rFonts w:hint="eastAsia" w:ascii="宋体" w:hAnsi="宋体" w:cs="宋体"/>
          <w:b/>
          <w:bCs/>
          <w:snapToGrid w:val="0"/>
          <w:kern w:val="0"/>
        </w:rPr>
        <w:t>款补充：</w:t>
      </w:r>
    </w:p>
    <w:p>
      <w:pPr>
        <w:adjustRightInd w:val="0"/>
        <w:snapToGrid w:val="0"/>
        <w:spacing w:line="360" w:lineRule="auto"/>
        <w:ind w:firstLine="420" w:firstLineChars="200"/>
        <w:rPr>
          <w:szCs w:val="21"/>
        </w:rPr>
      </w:pPr>
      <w:r>
        <w:rPr>
          <w:rFonts w:hint="eastAsia"/>
          <w:szCs w:val="21"/>
        </w:rPr>
        <w:t>工程施工实行首件验收制度，承包人应合理安排施工计划，各分项工程首件完成后需经监理工程师组织验收合格，并明确完善施工工艺后方可进行大面积施工。</w:t>
      </w:r>
    </w:p>
    <w:p>
      <w:pPr>
        <w:adjustRightInd w:val="0"/>
        <w:snapToGrid w:val="0"/>
        <w:spacing w:line="360" w:lineRule="auto"/>
        <w:ind w:firstLine="420" w:firstLineChars="200"/>
        <w:rPr>
          <w:szCs w:val="21"/>
        </w:rPr>
      </w:pPr>
      <w:r>
        <w:rPr>
          <w:rFonts w:hint="eastAsia"/>
          <w:szCs w:val="21"/>
        </w:rPr>
        <w:t>承包人应做好各施工工序的施工影像资料，每月按照监理和发包人要求提供符合要求的施工影像资料，工程完工后承包人应按照档案馆要求制作反映工程实施全过程的影像资料做为竣工资料归档的内容之一，所需费用由承包人承担。</w:t>
      </w:r>
    </w:p>
    <w:p>
      <w:pPr>
        <w:adjustRightInd w:val="0"/>
        <w:snapToGrid w:val="0"/>
        <w:spacing w:line="360" w:lineRule="auto"/>
        <w:rPr>
          <w:rFonts w:ascii="宋体"/>
          <w:snapToGrid w:val="0"/>
          <w:kern w:val="0"/>
        </w:rPr>
      </w:pPr>
      <w:r>
        <w:rPr>
          <w:rFonts w:hint="eastAsia" w:ascii="宋体" w:hAnsi="宋体" w:cs="宋体"/>
          <w:b/>
          <w:bCs/>
          <w:snapToGrid w:val="0"/>
          <w:kern w:val="0"/>
        </w:rPr>
        <w:t>第</w:t>
      </w:r>
      <w:r>
        <w:rPr>
          <w:rFonts w:ascii="宋体" w:hAnsi="宋体" w:cs="宋体"/>
          <w:b/>
          <w:bCs/>
          <w:snapToGrid w:val="0"/>
          <w:kern w:val="0"/>
        </w:rPr>
        <w:t>3</w:t>
      </w:r>
      <w:r>
        <w:rPr>
          <w:rFonts w:hint="eastAsia" w:ascii="宋体" w:hAnsi="宋体" w:cs="宋体"/>
          <w:b/>
          <w:bCs/>
          <w:snapToGrid w:val="0"/>
          <w:kern w:val="0"/>
        </w:rPr>
        <w:t xml:space="preserve">4条 </w:t>
      </w:r>
      <w:r>
        <w:rPr>
          <w:rFonts w:hint="eastAsia" w:ascii="宋体" w:hAnsi="宋体" w:cs="宋体"/>
          <w:b/>
          <w:bCs/>
        </w:rPr>
        <w:t>通用合同条款补充第</w:t>
      </w:r>
      <w:r>
        <w:rPr>
          <w:rFonts w:ascii="宋体" w:hAnsi="宋体" w:cs="宋体"/>
          <w:b/>
          <w:bCs/>
        </w:rPr>
        <w:t>14.5</w:t>
      </w:r>
      <w:r>
        <w:rPr>
          <w:rFonts w:hint="eastAsia" w:ascii="宋体" w:hAnsi="宋体" w:cs="宋体"/>
          <w:b/>
          <w:bCs/>
        </w:rPr>
        <w:t>款：</w:t>
      </w:r>
    </w:p>
    <w:p>
      <w:pPr>
        <w:adjustRightInd w:val="0"/>
        <w:snapToGrid w:val="0"/>
        <w:spacing w:line="360" w:lineRule="auto"/>
        <w:ind w:firstLine="420" w:firstLineChars="200"/>
        <w:rPr>
          <w:rFonts w:ascii="宋体"/>
        </w:rPr>
      </w:pPr>
      <w:r>
        <w:rPr>
          <w:rFonts w:hint="eastAsia" w:ascii="宋体" w:hAnsi="宋体" w:cs="宋体"/>
        </w:rPr>
        <w:t>承包人应在监理人要求的时间内，必须建立工地试验室，配备工程所需的一切试验和检验设备，工地试验室设备须由计量部门标定，并通过天津市相关质量监督部门对其进行的技术资质审查，施工期间所有检测仪器、仪表、计量用具须定期校正，以保证其应有的精度；承包人必须无条件接受质量监督部门对其进行监督、管理。工地试验室应在合同签订后</w:t>
      </w:r>
      <w:r>
        <w:rPr>
          <w:rFonts w:ascii="宋体" w:hAnsi="宋体" w:cs="宋体"/>
        </w:rPr>
        <w:t>35</w:t>
      </w:r>
      <w:r>
        <w:rPr>
          <w:rFonts w:hint="eastAsia" w:ascii="宋体" w:hAnsi="宋体" w:cs="宋体"/>
        </w:rPr>
        <w:t>天内组建完毕报监理人审查后，报发包人进行工地实验室人员和试验项目的认定。工地试验室的规模、设备、人员资格、数量应满足现场试验工作需要，</w:t>
      </w:r>
      <w:r>
        <w:rPr>
          <w:rFonts w:hint="eastAsia" w:cs="宋体"/>
        </w:rPr>
        <w:t>实验仪器要具备数据上传功能。</w:t>
      </w:r>
      <w:r>
        <w:rPr>
          <w:rFonts w:hint="eastAsia" w:ascii="宋体" w:hAnsi="宋体" w:cs="宋体"/>
        </w:rPr>
        <w:t>工地试验室须按照质监部门要求配备办公电脑、打印机及相关试验内业管理软件，费用由承包人承担。如超出监理人所要求的日期，监理人有权在工程款中扣留</w:t>
      </w:r>
      <w:r>
        <w:rPr>
          <w:rFonts w:ascii="宋体" w:hAnsi="宋体" w:cs="宋体"/>
        </w:rPr>
        <w:t>50</w:t>
      </w:r>
      <w:r>
        <w:rPr>
          <w:rFonts w:hint="eastAsia" w:ascii="宋体" w:hAnsi="宋体" w:cs="宋体"/>
        </w:rPr>
        <w:t>万元人民币，作为承包人配备试验检验设备的保证金。若承包人配备的试验检验设备，报经监理人查验合格后，将退还</w:t>
      </w:r>
      <w:r>
        <w:rPr>
          <w:rFonts w:ascii="宋体" w:hAnsi="宋体" w:cs="宋体"/>
        </w:rPr>
        <w:t>50</w:t>
      </w:r>
      <w:r>
        <w:rPr>
          <w:rFonts w:hint="eastAsia" w:ascii="宋体" w:hAnsi="宋体" w:cs="宋体"/>
        </w:rPr>
        <w:t>万元人民币保证金</w:t>
      </w:r>
      <w:r>
        <w:rPr>
          <w:rFonts w:ascii="宋体" w:hAnsi="宋体" w:cs="宋体"/>
        </w:rPr>
        <w:t>(</w:t>
      </w:r>
      <w:r>
        <w:rPr>
          <w:rFonts w:hint="eastAsia" w:ascii="宋体" w:hAnsi="宋体" w:cs="宋体"/>
        </w:rPr>
        <w:t>不计利息</w:t>
      </w:r>
      <w:r>
        <w:rPr>
          <w:rFonts w:ascii="宋体" w:hAnsi="宋体" w:cs="宋体"/>
        </w:rPr>
        <w:t>)</w:t>
      </w:r>
      <w:r>
        <w:rPr>
          <w:rFonts w:hint="eastAsia" w:ascii="宋体" w:hAnsi="宋体" w:cs="宋体"/>
        </w:rPr>
        <w:t>。从接到监理人扣留的试验检验设备保证金通知单之日起，承包人在</w:t>
      </w:r>
      <w:r>
        <w:rPr>
          <w:rFonts w:ascii="宋体" w:hAnsi="宋体" w:cs="宋体"/>
        </w:rPr>
        <w:t>7</w:t>
      </w:r>
      <w:r>
        <w:rPr>
          <w:rFonts w:hint="eastAsia" w:ascii="宋体" w:hAnsi="宋体" w:cs="宋体"/>
        </w:rPr>
        <w:t>日内仍未按监理人的要求配备试验检验设备，发包人和监理人将动用保证金协助承包人建立工地试验室，余额待工地试验室建立后退还承包人。</w:t>
      </w:r>
    </w:p>
    <w:p>
      <w:pPr>
        <w:spacing w:line="360" w:lineRule="auto"/>
        <w:rPr>
          <w:rFonts w:ascii="宋体" w:hAnsi="宋体"/>
          <w:b/>
          <w:szCs w:val="21"/>
        </w:rPr>
      </w:pPr>
      <w:r>
        <w:rPr>
          <w:rFonts w:hint="eastAsia" w:ascii="宋体" w:hAnsi="宋体"/>
          <w:b/>
          <w:szCs w:val="21"/>
        </w:rPr>
        <w:t>第35条 通用合同条款补充第</w:t>
      </w:r>
      <w:r>
        <w:rPr>
          <w:rFonts w:ascii="宋体" w:hAnsi="宋体"/>
          <w:b/>
          <w:szCs w:val="21"/>
        </w:rPr>
        <w:t>14.6</w:t>
      </w:r>
      <w:r>
        <w:rPr>
          <w:rFonts w:hint="eastAsia" w:ascii="宋体" w:hAnsi="宋体"/>
          <w:b/>
          <w:szCs w:val="21"/>
        </w:rPr>
        <w:t>款：</w:t>
      </w:r>
    </w:p>
    <w:p>
      <w:pPr>
        <w:spacing w:line="360" w:lineRule="auto"/>
        <w:ind w:firstLine="420" w:firstLineChars="200"/>
        <w:rPr>
          <w:rFonts w:ascii="宋体" w:hAnsi="宋体"/>
          <w:szCs w:val="21"/>
        </w:rPr>
      </w:pPr>
      <w:r>
        <w:rPr>
          <w:rFonts w:hint="eastAsia" w:ascii="宋体" w:hAnsi="宋体"/>
          <w:szCs w:val="21"/>
        </w:rPr>
        <w:t>承包人需对发包人提供的用于永久工程或临时工程的材料或工程设备进行检验，检验合格后方可使用。由于发包人提供的材料或工程设备不合格，且承包人未对该材料或工程设备进行检验或少检、漏检而用于永久工程或临时工程的，由此产生的后果由承包人承担。</w:t>
      </w:r>
    </w:p>
    <w:p>
      <w:pPr>
        <w:spacing w:line="360" w:lineRule="auto"/>
        <w:rPr>
          <w:rFonts w:ascii="宋体" w:hAnsi="宋体"/>
          <w:b/>
          <w:szCs w:val="21"/>
        </w:rPr>
      </w:pPr>
      <w:r>
        <w:rPr>
          <w:rFonts w:hint="eastAsia" w:ascii="宋体" w:hAnsi="宋体"/>
          <w:b/>
          <w:szCs w:val="21"/>
        </w:rPr>
        <w:t>第36条 通用合同条款第</w:t>
      </w:r>
      <w:r>
        <w:rPr>
          <w:rFonts w:ascii="宋体" w:hAnsi="宋体"/>
          <w:b/>
          <w:szCs w:val="21"/>
        </w:rPr>
        <w:t>15.2</w:t>
      </w:r>
      <w:r>
        <w:rPr>
          <w:rFonts w:hint="eastAsia" w:ascii="宋体" w:hAnsi="宋体"/>
          <w:b/>
          <w:szCs w:val="21"/>
        </w:rPr>
        <w:t>款细化为：</w:t>
      </w:r>
    </w:p>
    <w:p>
      <w:pPr>
        <w:spacing w:line="360" w:lineRule="auto"/>
        <w:ind w:firstLine="420" w:firstLineChars="200"/>
        <w:rPr>
          <w:rFonts w:ascii="宋体" w:hAnsi="宋体"/>
          <w:szCs w:val="21"/>
        </w:rPr>
      </w:pPr>
      <w:r>
        <w:rPr>
          <w:rFonts w:hint="eastAsia" w:ascii="宋体" w:hAnsi="宋体"/>
          <w:szCs w:val="21"/>
        </w:rPr>
        <w:t>在履行合同过程中，经发包人同意，监理人可按第</w:t>
      </w:r>
      <w:r>
        <w:rPr>
          <w:rFonts w:ascii="宋体" w:hAnsi="宋体"/>
          <w:szCs w:val="21"/>
        </w:rPr>
        <w:t>15.3</w:t>
      </w:r>
      <w:r>
        <w:rPr>
          <w:rFonts w:hint="eastAsia" w:ascii="宋体" w:hAnsi="宋体"/>
          <w:szCs w:val="21"/>
        </w:rPr>
        <w:t>款及发包人制定的变更管理办法约定的变更程序向承包人作出变更指示，承包人应遵照执行。没有监理人的变更指示，承包人不得擅自变更。</w:t>
      </w:r>
    </w:p>
    <w:p>
      <w:pPr>
        <w:spacing w:line="360" w:lineRule="auto"/>
        <w:ind w:firstLine="420" w:firstLineChars="200"/>
        <w:rPr>
          <w:rFonts w:ascii="宋体" w:hAnsi="宋体"/>
          <w:szCs w:val="21"/>
        </w:rPr>
      </w:pPr>
      <w:r>
        <w:rPr>
          <w:rFonts w:hint="eastAsia" w:ascii="宋体" w:hAnsi="宋体"/>
          <w:szCs w:val="21"/>
        </w:rPr>
        <w:t>变更指示即变更令，合同条款中出现的变更指示均指变更令。</w:t>
      </w:r>
    </w:p>
    <w:p>
      <w:pPr>
        <w:spacing w:line="360" w:lineRule="auto"/>
        <w:rPr>
          <w:rFonts w:ascii="宋体" w:hAnsi="宋体"/>
          <w:b/>
          <w:bCs/>
          <w:szCs w:val="21"/>
        </w:rPr>
      </w:pPr>
      <w:r>
        <w:rPr>
          <w:rFonts w:hint="eastAsia" w:ascii="宋体" w:hAnsi="宋体" w:cs="宋体"/>
          <w:b/>
          <w:bCs/>
          <w:snapToGrid w:val="0"/>
          <w:kern w:val="0"/>
          <w:szCs w:val="21"/>
        </w:rPr>
        <w:t xml:space="preserve">第37条 </w:t>
      </w:r>
      <w:r>
        <w:rPr>
          <w:rFonts w:hint="eastAsia" w:ascii="宋体" w:hAnsi="宋体" w:cs="宋体"/>
          <w:b/>
          <w:bCs/>
          <w:szCs w:val="21"/>
        </w:rPr>
        <w:t>专用合同条款第</w:t>
      </w:r>
      <w:r>
        <w:rPr>
          <w:rFonts w:ascii="宋体" w:hAnsi="宋体" w:cs="宋体"/>
          <w:b/>
          <w:bCs/>
          <w:szCs w:val="21"/>
        </w:rPr>
        <w:t>15.4.4</w:t>
      </w:r>
      <w:r>
        <w:rPr>
          <w:rFonts w:hint="eastAsia" w:ascii="宋体" w:hAnsi="宋体" w:cs="宋体"/>
          <w:b/>
          <w:bCs/>
          <w:szCs w:val="21"/>
        </w:rPr>
        <w:t>目细化为：</w:t>
      </w:r>
    </w:p>
    <w:p>
      <w:pPr>
        <w:spacing w:line="360" w:lineRule="auto"/>
        <w:ind w:firstLine="420" w:firstLineChars="200"/>
        <w:rPr>
          <w:rFonts w:ascii="宋体" w:hAnsi="宋体"/>
          <w:szCs w:val="21"/>
        </w:rPr>
      </w:pPr>
      <w:r>
        <w:rPr>
          <w:rFonts w:hint="eastAsia" w:ascii="宋体" w:hAnsi="宋体" w:cs="宋体"/>
          <w:szCs w:val="21"/>
        </w:rPr>
        <w:t>已标价工程量清单中无适用或类似子目的单价，可在综合考虑承包人在投标时所提供的单价分析表或结合中标价格水平和市场行情的基础上，由监理人按第</w:t>
      </w:r>
      <w:r>
        <w:rPr>
          <w:rFonts w:ascii="宋体" w:hAnsi="宋体" w:cs="宋体"/>
          <w:szCs w:val="21"/>
        </w:rPr>
        <w:t>3.5</w:t>
      </w:r>
      <w:r>
        <w:rPr>
          <w:rFonts w:hint="eastAsia" w:ascii="宋体" w:hAnsi="宋体" w:cs="宋体"/>
          <w:szCs w:val="21"/>
        </w:rPr>
        <w:t>款商定或确定变更工作的单价。</w:t>
      </w:r>
    </w:p>
    <w:p>
      <w:pPr>
        <w:spacing w:line="360" w:lineRule="auto"/>
        <w:rPr>
          <w:rFonts w:ascii="宋体" w:hAnsi="宋体"/>
          <w:b/>
          <w:szCs w:val="21"/>
        </w:rPr>
      </w:pPr>
      <w:r>
        <w:rPr>
          <w:rFonts w:hint="eastAsia" w:ascii="宋体" w:hAnsi="宋体"/>
          <w:b/>
          <w:szCs w:val="21"/>
        </w:rPr>
        <w:t>第38条 专用合同条款补充第</w:t>
      </w:r>
      <w:r>
        <w:rPr>
          <w:rFonts w:ascii="宋体" w:hAnsi="宋体"/>
          <w:b/>
          <w:szCs w:val="21"/>
        </w:rPr>
        <w:t>15.</w:t>
      </w:r>
      <w:r>
        <w:rPr>
          <w:rFonts w:hint="eastAsia" w:ascii="宋体" w:hAnsi="宋体"/>
          <w:b/>
          <w:szCs w:val="21"/>
        </w:rPr>
        <w:t>4.6项：</w:t>
      </w:r>
    </w:p>
    <w:p>
      <w:pPr>
        <w:tabs>
          <w:tab w:val="left" w:pos="5460"/>
        </w:tabs>
        <w:adjustRightInd w:val="0"/>
        <w:snapToGrid w:val="0"/>
        <w:spacing w:line="360" w:lineRule="auto"/>
        <w:rPr>
          <w:rFonts w:ascii="宋体" w:hAnsi="宋体" w:cs="宋体"/>
          <w:b/>
          <w:bCs/>
          <w:snapToGrid w:val="0"/>
          <w:kern w:val="0"/>
        </w:rPr>
      </w:pPr>
      <w:r>
        <w:rPr>
          <w:rFonts w:hint="eastAsia" w:ascii="宋体" w:hAnsi="宋体"/>
          <w:szCs w:val="21"/>
        </w:rPr>
        <w:t xml:space="preserve">    如果本工程的变更指示是因承包人过错、承包人违反合同或承包人责任造成的，则这种违约引起的任何额外费用应由承包人承担。</w:t>
      </w:r>
    </w:p>
    <w:p>
      <w:pPr>
        <w:tabs>
          <w:tab w:val="left" w:pos="5460"/>
        </w:tabs>
        <w:adjustRightInd w:val="0"/>
        <w:snapToGrid w:val="0"/>
        <w:spacing w:line="360" w:lineRule="auto"/>
        <w:rPr>
          <w:rFonts w:ascii="宋体"/>
          <w:b/>
          <w:bCs/>
          <w:snapToGrid w:val="0"/>
          <w:kern w:val="0"/>
        </w:rPr>
      </w:pPr>
      <w:r>
        <w:rPr>
          <w:rFonts w:hint="eastAsia" w:ascii="宋体" w:hAnsi="宋体" w:cs="宋体"/>
          <w:b/>
          <w:bCs/>
          <w:snapToGrid w:val="0"/>
          <w:kern w:val="0"/>
        </w:rPr>
        <w:t xml:space="preserve">第39条 </w:t>
      </w:r>
      <w:r>
        <w:rPr>
          <w:rFonts w:hint="eastAsia" w:ascii="宋体" w:hAnsi="宋体" w:cs="宋体"/>
          <w:b/>
          <w:bCs/>
        </w:rPr>
        <w:t>通用合同条款补充第</w:t>
      </w:r>
      <w:r>
        <w:rPr>
          <w:rFonts w:ascii="宋体" w:hAnsi="宋体" w:cs="宋体"/>
          <w:b/>
          <w:bCs/>
        </w:rPr>
        <w:t>15.9</w:t>
      </w:r>
      <w:r>
        <w:rPr>
          <w:rFonts w:hint="eastAsia" w:ascii="宋体" w:hAnsi="宋体" w:cs="宋体"/>
          <w:b/>
          <w:bCs/>
        </w:rPr>
        <w:t>款：</w:t>
      </w:r>
      <w:r>
        <w:rPr>
          <w:rFonts w:ascii="宋体"/>
          <w:b/>
          <w:bCs/>
        </w:rPr>
        <w:tab/>
      </w:r>
    </w:p>
    <w:p>
      <w:pPr>
        <w:adjustRightInd w:val="0"/>
        <w:snapToGrid w:val="0"/>
        <w:spacing w:line="360" w:lineRule="auto"/>
        <w:ind w:firstLine="420" w:firstLineChars="200"/>
        <w:rPr>
          <w:rFonts w:ascii="宋体"/>
        </w:rPr>
      </w:pPr>
      <w:r>
        <w:rPr>
          <w:rFonts w:hint="eastAsia"/>
          <w:szCs w:val="21"/>
        </w:rPr>
        <w:t>承包人接到监理人发出的变更指示后，应立即组织变更工程的实施。本项目发生的设计变更，原则上由原承包人实施，原承包人不具备相应资质的，发包人可选择具备相应资质的承包人实施。发包人另行选定变更工程的实施单位的，原承包人应配合变更工程的实施、不得阻拦。</w:t>
      </w:r>
    </w:p>
    <w:p>
      <w:pPr>
        <w:adjustRightInd w:val="0"/>
        <w:snapToGrid w:val="0"/>
        <w:spacing w:line="360" w:lineRule="auto"/>
        <w:rPr>
          <w:rFonts w:ascii="宋体"/>
        </w:rPr>
      </w:pPr>
      <w:r>
        <w:rPr>
          <w:rFonts w:hint="eastAsia" w:ascii="宋体" w:hAnsi="宋体" w:cs="宋体"/>
          <w:b/>
          <w:bCs/>
          <w:snapToGrid w:val="0"/>
          <w:kern w:val="0"/>
        </w:rPr>
        <w:t xml:space="preserve">第40条 </w:t>
      </w:r>
      <w:r>
        <w:rPr>
          <w:rFonts w:hint="eastAsia" w:ascii="宋体" w:hAnsi="宋体" w:cs="宋体"/>
          <w:b/>
          <w:bCs/>
        </w:rPr>
        <w:t>通用合同条款补充第</w:t>
      </w:r>
      <w:r>
        <w:rPr>
          <w:rFonts w:ascii="宋体" w:hAnsi="宋体" w:cs="宋体"/>
          <w:b/>
          <w:bCs/>
        </w:rPr>
        <w:t>15.10</w:t>
      </w:r>
      <w:r>
        <w:rPr>
          <w:rFonts w:hint="eastAsia" w:ascii="宋体" w:hAnsi="宋体" w:cs="宋体"/>
          <w:b/>
          <w:bCs/>
        </w:rPr>
        <w:t>款：</w:t>
      </w:r>
    </w:p>
    <w:p>
      <w:pPr>
        <w:adjustRightInd w:val="0"/>
        <w:snapToGrid w:val="0"/>
        <w:spacing w:line="360" w:lineRule="auto"/>
        <w:ind w:firstLine="420" w:firstLineChars="200"/>
        <w:rPr>
          <w:rFonts w:ascii="宋体"/>
        </w:rPr>
      </w:pPr>
      <w:r>
        <w:rPr>
          <w:rFonts w:hint="eastAsia" w:ascii="宋体" w:hAnsi="宋体" w:cs="宋体"/>
        </w:rPr>
        <w:t>承包人或发包人就变更工程选择的承包人在变更工程实施过程中或完成后，监理人应组织发包人（及其委托的具有相应资质的单位）和承包人对所发生的变更工程进行现场量测，计算出准确变更工程量。发包人依此数量和按照</w:t>
      </w:r>
      <w:r>
        <w:rPr>
          <w:rFonts w:ascii="宋体" w:hAnsi="宋体" w:cs="宋体"/>
        </w:rPr>
        <w:t>15.3.2</w:t>
      </w:r>
      <w:r>
        <w:rPr>
          <w:rFonts w:hint="eastAsia" w:ascii="宋体" w:hAnsi="宋体" w:cs="宋体"/>
        </w:rPr>
        <w:t>（</w:t>
      </w:r>
      <w:r>
        <w:rPr>
          <w:rFonts w:ascii="宋体" w:hAnsi="宋体" w:cs="宋体"/>
        </w:rPr>
        <w:t>3</w:t>
      </w:r>
      <w:r>
        <w:rPr>
          <w:rFonts w:hint="eastAsia" w:ascii="宋体" w:hAnsi="宋体" w:cs="宋体"/>
        </w:rPr>
        <w:t>）商定或确定的变更价格为依据，对承包人的变更工程进行计量与支付。</w:t>
      </w:r>
    </w:p>
    <w:p>
      <w:pPr>
        <w:autoSpaceDE w:val="0"/>
        <w:autoSpaceDN w:val="0"/>
        <w:adjustRightInd w:val="0"/>
        <w:snapToGrid w:val="0"/>
        <w:spacing w:line="360" w:lineRule="auto"/>
        <w:ind w:firstLine="16"/>
        <w:rPr>
          <w:rFonts w:ascii="宋体"/>
          <w:b/>
          <w:bCs/>
        </w:rPr>
      </w:pPr>
      <w:r>
        <w:rPr>
          <w:rFonts w:hint="eastAsia" w:ascii="宋体" w:hAnsi="宋体" w:cs="宋体"/>
          <w:b/>
          <w:bCs/>
          <w:snapToGrid w:val="0"/>
          <w:kern w:val="0"/>
        </w:rPr>
        <w:t xml:space="preserve">第41条 </w:t>
      </w:r>
      <w:r>
        <w:rPr>
          <w:rFonts w:hint="eastAsia" w:ascii="宋体" w:hAnsi="宋体" w:cs="宋体"/>
          <w:b/>
          <w:bCs/>
        </w:rPr>
        <w:t>通用合同条款补充第</w:t>
      </w:r>
      <w:r>
        <w:rPr>
          <w:rFonts w:ascii="宋体" w:hAnsi="宋体" w:cs="宋体"/>
          <w:b/>
          <w:bCs/>
        </w:rPr>
        <w:t>15.11</w:t>
      </w:r>
      <w:r>
        <w:rPr>
          <w:rFonts w:hint="eastAsia" w:ascii="宋体" w:hAnsi="宋体" w:cs="宋体"/>
          <w:b/>
          <w:bCs/>
        </w:rPr>
        <w:t>款：</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承包人应在施工前认真审核图纸，如发现图纸与现场实际情况不符时，应在</w:t>
      </w:r>
      <w:r>
        <w:rPr>
          <w:rFonts w:ascii="宋体" w:hAnsi="宋体" w:cs="宋体"/>
          <w:snapToGrid w:val="0"/>
          <w:kern w:val="0"/>
        </w:rPr>
        <w:t>3</w:t>
      </w:r>
      <w:r>
        <w:rPr>
          <w:rFonts w:hint="eastAsia" w:ascii="宋体" w:hAnsi="宋体" w:cs="宋体"/>
          <w:snapToGrid w:val="0"/>
          <w:kern w:val="0"/>
        </w:rPr>
        <w:t>日内上报监理人和发包人，经四方洽商同意后方能进行施工，并在施工验收合格的</w:t>
      </w:r>
      <w:r>
        <w:rPr>
          <w:rFonts w:ascii="宋体" w:hAnsi="宋体" w:cs="宋体"/>
          <w:snapToGrid w:val="0"/>
          <w:kern w:val="0"/>
        </w:rPr>
        <w:t>3</w:t>
      </w:r>
      <w:r>
        <w:rPr>
          <w:rFonts w:hint="eastAsia" w:ascii="宋体" w:hAnsi="宋体" w:cs="宋体"/>
          <w:snapToGrid w:val="0"/>
          <w:kern w:val="0"/>
        </w:rPr>
        <w:t>个月内依据变更令做变更计量，对于验收合格</w:t>
      </w:r>
      <w:r>
        <w:rPr>
          <w:rFonts w:ascii="宋体" w:hAnsi="宋体" w:cs="宋体"/>
          <w:snapToGrid w:val="0"/>
          <w:kern w:val="0"/>
        </w:rPr>
        <w:t>3</w:t>
      </w:r>
      <w:r>
        <w:rPr>
          <w:rFonts w:hint="eastAsia" w:ascii="宋体" w:hAnsi="宋体" w:cs="宋体"/>
          <w:snapToGrid w:val="0"/>
          <w:kern w:val="0"/>
        </w:rPr>
        <w:t>个月后承包商上报的变更计量和未经监理人、发包人批准而擅自施工的项目，发包人有权不予审核支付。</w:t>
      </w:r>
    </w:p>
    <w:p>
      <w:pPr>
        <w:spacing w:line="360" w:lineRule="auto"/>
        <w:rPr>
          <w:rFonts w:ascii="宋体" w:hAnsi="宋体"/>
          <w:b/>
          <w:szCs w:val="21"/>
        </w:rPr>
      </w:pPr>
      <w:r>
        <w:rPr>
          <w:rFonts w:hint="eastAsia" w:ascii="宋体" w:hAnsi="宋体"/>
          <w:b/>
          <w:snapToGrid w:val="0"/>
          <w:kern w:val="0"/>
          <w:szCs w:val="21"/>
        </w:rPr>
        <w:t xml:space="preserve">第42条 </w:t>
      </w:r>
      <w:r>
        <w:rPr>
          <w:rFonts w:hint="eastAsia" w:ascii="宋体" w:hAnsi="宋体"/>
          <w:b/>
          <w:szCs w:val="21"/>
        </w:rPr>
        <w:t>专用合同条款第</w:t>
      </w:r>
      <w:r>
        <w:rPr>
          <w:rFonts w:ascii="宋体" w:hAnsi="宋体"/>
          <w:b/>
          <w:szCs w:val="21"/>
        </w:rPr>
        <w:t>17.1.2</w:t>
      </w:r>
      <w:r>
        <w:rPr>
          <w:rFonts w:hint="eastAsia" w:ascii="宋体" w:hAnsi="宋体"/>
          <w:b/>
          <w:szCs w:val="21"/>
        </w:rPr>
        <w:t>项细化为：</w:t>
      </w:r>
    </w:p>
    <w:p>
      <w:pPr>
        <w:spacing w:line="360" w:lineRule="auto"/>
        <w:ind w:firstLine="420" w:firstLineChars="200"/>
        <w:rPr>
          <w:rFonts w:ascii="宋体" w:hAnsi="宋体"/>
          <w:szCs w:val="21"/>
        </w:rPr>
      </w:pPr>
      <w:r>
        <w:rPr>
          <w:rFonts w:hint="eastAsia" w:ascii="宋体" w:hAnsi="宋体"/>
          <w:szCs w:val="21"/>
        </w:rPr>
        <w:t>工程的计量应以净值为准。工程量清单中各个子目的具体计量方法按本合同文件技术规范中的规定和本项目计量与支付实施细则有关规定执行（详见本项目计量与支付实施细则）。</w:t>
      </w:r>
    </w:p>
    <w:p>
      <w:pPr>
        <w:spacing w:line="360" w:lineRule="auto"/>
        <w:ind w:firstLine="420" w:firstLineChars="200"/>
        <w:rPr>
          <w:rFonts w:ascii="宋体" w:hAnsi="宋体"/>
          <w:szCs w:val="21"/>
        </w:rPr>
      </w:pPr>
      <w:r>
        <w:rPr>
          <w:rFonts w:hint="eastAsia" w:ascii="宋体" w:hAnsi="宋体"/>
          <w:szCs w:val="21"/>
        </w:rPr>
        <w:t>工程量清单修正工作指在签订施工合同后，第一次实体工程计量前，承包人按照施工合同中工程量清单的列项，以施工设计图纸为依据进行计算、核对，对合同工程量清单进行修正。该修正工作由承包人按照要求的格式完成后上报监理人初审、发包人批准后，作为每个支付细目工程计量的控制数据，该数据在不发生变更的情况下不得超出且不得随意变化。</w:t>
      </w:r>
    </w:p>
    <w:p>
      <w:pPr>
        <w:spacing w:line="360" w:lineRule="auto"/>
        <w:rPr>
          <w:rFonts w:ascii="宋体" w:hAnsi="宋体"/>
          <w:b/>
          <w:szCs w:val="21"/>
        </w:rPr>
      </w:pPr>
      <w:r>
        <w:rPr>
          <w:rFonts w:hint="eastAsia" w:ascii="宋体" w:hAnsi="宋体"/>
          <w:b/>
          <w:szCs w:val="21"/>
        </w:rPr>
        <w:t>第43条 通用合同条款第</w:t>
      </w:r>
      <w:r>
        <w:rPr>
          <w:rFonts w:ascii="宋体" w:hAnsi="宋体"/>
          <w:b/>
          <w:szCs w:val="21"/>
        </w:rPr>
        <w:t>17.1.4</w:t>
      </w:r>
      <w:r>
        <w:rPr>
          <w:rFonts w:hint="eastAsia" w:ascii="宋体" w:hAnsi="宋体"/>
          <w:b/>
          <w:szCs w:val="21"/>
        </w:rPr>
        <w:t>（</w:t>
      </w:r>
      <w:r>
        <w:rPr>
          <w:rFonts w:ascii="宋体" w:hAnsi="宋体"/>
          <w:b/>
          <w:szCs w:val="21"/>
        </w:rPr>
        <w:t>2</w:t>
      </w:r>
      <w:r>
        <w:rPr>
          <w:rFonts w:hint="eastAsia" w:ascii="宋体" w:hAnsi="宋体"/>
          <w:b/>
          <w:szCs w:val="21"/>
        </w:rPr>
        <w:t>）目和</w:t>
      </w:r>
      <w:r>
        <w:rPr>
          <w:rFonts w:ascii="宋体" w:hAnsi="宋体"/>
          <w:b/>
          <w:szCs w:val="21"/>
        </w:rPr>
        <w:t>17.1.4</w:t>
      </w:r>
      <w:r>
        <w:rPr>
          <w:rFonts w:hint="eastAsia" w:ascii="宋体" w:hAnsi="宋体"/>
          <w:b/>
          <w:szCs w:val="21"/>
        </w:rPr>
        <w:t>（</w:t>
      </w:r>
      <w:r>
        <w:rPr>
          <w:rFonts w:ascii="宋体" w:hAnsi="宋体"/>
          <w:b/>
          <w:szCs w:val="21"/>
        </w:rPr>
        <w:t>6</w:t>
      </w:r>
      <w:r>
        <w:rPr>
          <w:rFonts w:hint="eastAsia" w:ascii="宋体" w:hAnsi="宋体"/>
          <w:b/>
          <w:szCs w:val="21"/>
        </w:rPr>
        <w:t>）目细化为：</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）承包人对已完成的工程进行计量，按照本项目计量与支付实施细则中要求向监理人提交质量证明材料、中期计量材料和中期支付证书及其所包含资料内容。</w:t>
      </w:r>
    </w:p>
    <w:p>
      <w:pPr>
        <w:adjustRightInd w:val="0"/>
        <w:snapToGrid w:val="0"/>
        <w:spacing w:line="360" w:lineRule="auto"/>
        <w:ind w:firstLine="420" w:firstLineChars="200"/>
        <w:rPr>
          <w:rFonts w:ascii="宋体" w:hAnsi="宋体" w:cs="宋体"/>
          <w:snapToGrid w:val="0"/>
          <w:kern w:val="0"/>
        </w:rPr>
      </w:pPr>
      <w:r>
        <w:rPr>
          <w:rFonts w:hint="eastAsia" w:ascii="宋体" w:hAnsi="宋体"/>
          <w:szCs w:val="21"/>
        </w:rPr>
        <w:t>（</w:t>
      </w:r>
      <w:r>
        <w:rPr>
          <w:rFonts w:ascii="宋体" w:hAnsi="宋体"/>
          <w:szCs w:val="21"/>
        </w:rPr>
        <w:t>6</w:t>
      </w:r>
      <w:r>
        <w:rPr>
          <w:rFonts w:hint="eastAsia" w:ascii="宋体" w:hAnsi="宋体"/>
          <w:szCs w:val="21"/>
        </w:rPr>
        <w:t>）承包人应在满足完成工程量清单中某个子目一定工程量、符合计量条件且计划于本期申报的条件下，每月向监理人提交中间计量表。监理人应在收到承包人提交的中间计量表后的7天内进行复核，监理人未在约定时间内复核的，承包人提交的工程量报表中的工程量视为承包人实际完成的工程量，据此计算工程价款。</w:t>
      </w:r>
    </w:p>
    <w:p>
      <w:pPr>
        <w:adjustRightInd w:val="0"/>
        <w:snapToGrid w:val="0"/>
        <w:spacing w:line="360" w:lineRule="auto"/>
        <w:rPr>
          <w:rFonts w:ascii="宋体" w:hAnsi="宋体" w:cs="宋体"/>
          <w:snapToGrid w:val="0"/>
          <w:kern w:val="0"/>
        </w:rPr>
      </w:pPr>
      <w:r>
        <w:rPr>
          <w:rFonts w:hint="eastAsia" w:hAnsi="宋体"/>
          <w:b/>
          <w:bCs/>
          <w:snapToGrid w:val="0"/>
          <w:kern w:val="0"/>
        </w:rPr>
        <w:t>第</w:t>
      </w:r>
      <w:r>
        <w:rPr>
          <w:rFonts w:hint="eastAsia" w:ascii="宋体" w:hAnsi="宋体"/>
          <w:b/>
          <w:bCs/>
          <w:snapToGrid w:val="0"/>
          <w:kern w:val="0"/>
          <w:szCs w:val="20"/>
        </w:rPr>
        <w:t>44</w:t>
      </w:r>
      <w:r>
        <w:rPr>
          <w:rFonts w:hint="eastAsia" w:hAnsi="宋体"/>
          <w:b/>
          <w:bCs/>
          <w:snapToGrid w:val="0"/>
          <w:kern w:val="0"/>
        </w:rPr>
        <w:t xml:space="preserve">条 </w:t>
      </w:r>
      <w:r>
        <w:rPr>
          <w:rFonts w:hint="eastAsia" w:ascii="宋体" w:hAnsi="宋体" w:cs="宋体"/>
          <w:b/>
          <w:bCs/>
        </w:rPr>
        <w:t>公路工程专用</w:t>
      </w:r>
      <w:r>
        <w:rPr>
          <w:rFonts w:hint="eastAsia" w:hAnsi="宋体"/>
          <w:b/>
          <w:bCs/>
        </w:rPr>
        <w:t>合同条款</w:t>
      </w:r>
      <w:r>
        <w:rPr>
          <w:rFonts w:hint="eastAsia" w:hAnsi="宋体"/>
          <w:b/>
          <w:bCs/>
          <w:snapToGrid w:val="0"/>
          <w:kern w:val="0"/>
        </w:rPr>
        <w:t>第</w:t>
      </w:r>
      <w:r>
        <w:rPr>
          <w:rFonts w:hint="eastAsia" w:ascii="宋体" w:hAnsi="宋体"/>
          <w:b/>
          <w:bCs/>
          <w:snapToGrid w:val="0"/>
          <w:kern w:val="0"/>
        </w:rPr>
        <w:t xml:space="preserve">17.1.5 </w:t>
      </w:r>
      <w:r>
        <w:rPr>
          <w:rFonts w:hint="eastAsia" w:hAnsi="宋体"/>
          <w:b/>
          <w:bCs/>
          <w:snapToGrid w:val="0"/>
          <w:kern w:val="0"/>
        </w:rPr>
        <w:t>目细化为：</w:t>
      </w:r>
    </w:p>
    <w:p>
      <w:pPr>
        <w:adjustRightInd w:val="0"/>
        <w:snapToGrid w:val="0"/>
        <w:spacing w:line="360" w:lineRule="auto"/>
        <w:rPr>
          <w:rFonts w:ascii="宋体" w:hAnsi="宋体" w:cs="宋体"/>
          <w:snapToGrid w:val="0"/>
          <w:kern w:val="0"/>
        </w:rPr>
      </w:pPr>
      <w:r>
        <w:rPr>
          <w:rFonts w:hint="eastAsia" w:ascii="宋体" w:hAnsi="宋体" w:cs="宋体"/>
          <w:snapToGrid w:val="0"/>
          <w:kern w:val="0"/>
        </w:rPr>
        <w:t>本项目工程量清单中总额价子目的支付原则和支付进度：</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由监理人发出开工通知，且承包人的施工进度计划、施工方案（含专项方案）被监理人审核批复并按规范要求及监理人指示落实相关措施后，经监理人确认发包人一次性支付承包人。</w:t>
      </w:r>
    </w:p>
    <w:p>
      <w:pPr>
        <w:pStyle w:val="20"/>
        <w:adjustRightInd w:val="0"/>
        <w:snapToGrid w:val="0"/>
        <w:spacing w:line="360" w:lineRule="auto"/>
        <w:rPr>
          <w:rFonts w:hAnsi="宋体"/>
          <w:b/>
          <w:bCs/>
          <w:snapToGrid w:val="0"/>
          <w:kern w:val="0"/>
        </w:rPr>
      </w:pPr>
      <w:r>
        <w:rPr>
          <w:rFonts w:hint="eastAsia" w:hAnsi="宋体" w:cs="宋体"/>
          <w:b/>
          <w:bCs/>
          <w:snapToGrid w:val="0"/>
          <w:kern w:val="0"/>
        </w:rPr>
        <w:t xml:space="preserve">第45条 </w:t>
      </w:r>
      <w:r>
        <w:rPr>
          <w:rFonts w:hint="eastAsia" w:hAnsi="宋体" w:cs="宋体"/>
          <w:b/>
          <w:bCs/>
        </w:rPr>
        <w:t>公路工程专用</w:t>
      </w:r>
      <w:r>
        <w:rPr>
          <w:rFonts w:hint="eastAsia" w:hAnsi="宋体"/>
          <w:b/>
          <w:bCs/>
        </w:rPr>
        <w:t>合同条款第</w:t>
      </w:r>
      <w:r>
        <w:rPr>
          <w:rFonts w:hAnsi="宋体"/>
          <w:b/>
          <w:bCs/>
        </w:rPr>
        <w:t>17.2.1</w:t>
      </w:r>
      <w:r>
        <w:rPr>
          <w:rFonts w:hint="eastAsia" w:hAnsi="宋体"/>
          <w:b/>
          <w:bCs/>
        </w:rPr>
        <w:t>（</w:t>
      </w:r>
      <w:r>
        <w:rPr>
          <w:rFonts w:hAnsi="宋体"/>
          <w:b/>
          <w:bCs/>
        </w:rPr>
        <w:t>1</w:t>
      </w:r>
      <w:r>
        <w:rPr>
          <w:rFonts w:hint="eastAsia" w:hAnsi="宋体"/>
          <w:b/>
          <w:bCs/>
        </w:rPr>
        <w:t>）目细化为：</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开工预付款：发包人在合同协议书签订后并收到开工预付款支付证书、预付款保函且承包人驻地建设基本完成</w:t>
      </w:r>
      <w:r>
        <w:rPr>
          <w:rFonts w:hint="eastAsia" w:ascii="宋体" w:hAnsi="宋体" w:cs="宋体"/>
          <w:snapToGrid w:val="0"/>
          <w:kern w:val="0"/>
          <w:lang w:eastAsia="zh-CN"/>
        </w:rPr>
        <w:t>、</w:t>
      </w:r>
      <w:r>
        <w:rPr>
          <w:rFonts w:hint="eastAsia" w:ascii="宋体" w:hAnsi="宋体" w:cs="宋体"/>
          <w:snapToGrid w:val="0"/>
          <w:kern w:val="0"/>
          <w:lang w:val="en-US" w:eastAsia="zh-CN"/>
        </w:rPr>
        <w:t>收到承包人购买的工程保险保单、</w:t>
      </w:r>
      <w:r>
        <w:rPr>
          <w:rFonts w:hint="eastAsia" w:ascii="宋体" w:hAnsi="宋体" w:cs="宋体"/>
          <w:snapToGrid w:val="0"/>
          <w:kern w:val="0"/>
        </w:rPr>
        <w:t>承包人标书中承诺的主要人员及主要施工机械设备进场后，</w:t>
      </w:r>
      <w:r>
        <w:rPr>
          <w:rFonts w:hint="eastAsia" w:ascii="宋体" w:hAnsi="宋体" w:cs="宋体"/>
          <w:snapToGrid w:val="0"/>
          <w:kern w:val="0"/>
          <w:lang w:eastAsia="zh-CN"/>
        </w:rPr>
        <w:t>并</w:t>
      </w:r>
      <w:r>
        <w:rPr>
          <w:rFonts w:hint="eastAsia" w:ascii="宋体" w:hAnsi="宋体" w:cs="宋体"/>
          <w:snapToGrid w:val="0"/>
          <w:kern w:val="0"/>
        </w:rPr>
        <w:t>提交了可行的工程进度计划和监理人要求的其他文件资料，并经监理人和发包人审批同意后支付</w:t>
      </w:r>
      <w:r>
        <w:rPr>
          <w:rFonts w:hint="eastAsia" w:ascii="宋体" w:hAnsi="宋体" w:cs="宋体"/>
          <w:snapToGrid w:val="0"/>
          <w:kern w:val="0"/>
          <w:lang w:eastAsia="zh-CN"/>
        </w:rPr>
        <w:t>全部预付款</w:t>
      </w:r>
      <w:r>
        <w:rPr>
          <w:rFonts w:hint="eastAsia" w:ascii="宋体" w:hAnsi="宋体" w:cs="宋体"/>
          <w:snapToGrid w:val="0"/>
          <w:kern w:val="0"/>
        </w:rPr>
        <w:t>。</w:t>
      </w:r>
    </w:p>
    <w:p>
      <w:pPr>
        <w:adjustRightInd w:val="0"/>
        <w:snapToGrid w:val="0"/>
        <w:spacing w:line="360" w:lineRule="auto"/>
        <w:ind w:firstLine="420" w:firstLineChars="200"/>
        <w:rPr>
          <w:rFonts w:ascii="宋体" w:hAnsi="宋体" w:cs="宋体"/>
          <w:b/>
          <w:bCs/>
          <w:snapToGrid w:val="0"/>
          <w:kern w:val="0"/>
        </w:rPr>
      </w:pPr>
      <w:r>
        <w:rPr>
          <w:rFonts w:hint="eastAsia" w:ascii="宋体" w:hAnsi="宋体" w:cs="宋体"/>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第46条 </w:t>
      </w:r>
      <w:r>
        <w:rPr>
          <w:rFonts w:hint="eastAsia" w:ascii="宋体" w:hAnsi="宋体" w:cs="宋体"/>
          <w:b/>
          <w:bCs/>
        </w:rPr>
        <w:t>通用合同条款第</w:t>
      </w:r>
      <w:r>
        <w:rPr>
          <w:rFonts w:ascii="宋体" w:hAnsi="宋体" w:cs="宋体"/>
          <w:b/>
          <w:bCs/>
        </w:rPr>
        <w:t>17.3.4</w:t>
      </w:r>
      <w:r>
        <w:rPr>
          <w:rFonts w:hint="eastAsia" w:ascii="宋体" w:hAnsi="宋体" w:cs="宋体"/>
          <w:b/>
          <w:bCs/>
        </w:rPr>
        <w:t>项细化为：</w:t>
      </w:r>
    </w:p>
    <w:p>
      <w:pPr>
        <w:adjustRightInd w:val="0"/>
        <w:snapToGrid w:val="0"/>
        <w:spacing w:line="360" w:lineRule="auto"/>
        <w:ind w:firstLine="420" w:firstLineChars="200"/>
        <w:rPr>
          <w:rFonts w:ascii="宋体"/>
          <w:snapToGrid w:val="0"/>
          <w:kern w:val="0"/>
        </w:rPr>
      </w:pPr>
      <w:r>
        <w:rPr>
          <w:rFonts w:hint="eastAsia" w:ascii="宋体" w:hAnsi="宋体" w:cs="宋体"/>
        </w:rPr>
        <w:t>（</w:t>
      </w:r>
      <w:r>
        <w:rPr>
          <w:rFonts w:ascii="宋体" w:hAnsi="宋体" w:cs="宋体"/>
        </w:rPr>
        <w:t>1</w:t>
      </w:r>
      <w:r>
        <w:rPr>
          <w:rFonts w:hint="eastAsia" w:ascii="宋体" w:hAnsi="宋体" w:cs="宋体"/>
        </w:rPr>
        <w:t>）对于工程量清单中的所有子目计量过程中，监理人所作出计量结果，发包人可以暂时认为正确；但如果发包人（含发包人委托的具备资质的单位）对已完工或部分完工的子目的工程量进行重新量测或计算，其结果与监理人所作出的计量结果不同，而监理人和承包人提不出合理的分析或解释，则以发包人对工程量所进行的重新量测或计算结果作为最终的工程量计量支付依据。同时</w:t>
      </w:r>
      <w:r>
        <w:rPr>
          <w:rFonts w:hint="eastAsia" w:ascii="宋体" w:hAnsi="宋体" w:cs="宋体"/>
          <w:snapToGrid w:val="0"/>
          <w:kern w:val="0"/>
        </w:rPr>
        <w:t>如果发现承包人有蓄意弄虚作假，多报或重复计量工程完成量，以达到骗取工程款目的的情况，发包人有权从计量款中加倍扣回多支付的工程款，作为对发包人的违约补偿金；</w:t>
      </w:r>
    </w:p>
    <w:p>
      <w:pPr>
        <w:tabs>
          <w:tab w:val="left" w:pos="5460"/>
        </w:tabs>
        <w:adjustRightInd w:val="0"/>
        <w:snapToGrid w:val="0"/>
        <w:spacing w:line="360" w:lineRule="auto"/>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在对以往历次已签发的中期支付证书及相关资料进行汇总和复核中发现确有少计、漏计、错计的情况，承包人有权向监理人提出修正申请。监理人在审核确定并报发包人核准后，在本次进度付款中予以调整支付。但发包人保留对监理人未履行职责进行追究的权利。</w:t>
      </w:r>
    </w:p>
    <w:p>
      <w:pPr>
        <w:tabs>
          <w:tab w:val="left" w:pos="5460"/>
        </w:tabs>
        <w:adjustRightInd w:val="0"/>
        <w:snapToGrid w:val="0"/>
        <w:spacing w:line="360" w:lineRule="auto"/>
        <w:rPr>
          <w:rFonts w:ascii="宋体" w:hAnsi="宋体" w:cs="宋体"/>
        </w:rPr>
      </w:pPr>
      <w:r>
        <w:rPr>
          <w:rFonts w:hint="eastAsia" w:ascii="宋体" w:hAnsi="宋体" w:cs="宋体"/>
          <w:b/>
          <w:bCs/>
          <w:snapToGrid w:val="0"/>
          <w:kern w:val="0"/>
        </w:rPr>
        <w:t xml:space="preserve">第47条 </w:t>
      </w:r>
      <w:r>
        <w:rPr>
          <w:rFonts w:hint="eastAsia" w:ascii="宋体" w:hAnsi="宋体" w:cs="宋体"/>
          <w:b/>
          <w:bCs/>
        </w:rPr>
        <w:t>公路工程专用合同条款第</w:t>
      </w:r>
      <w:r>
        <w:rPr>
          <w:rFonts w:hint="eastAsia" w:ascii="宋体" w:hAnsi="宋体" w:cs="宋体"/>
          <w:b/>
          <w:bCs/>
          <w:snapToGrid w:val="0"/>
          <w:kern w:val="0"/>
        </w:rPr>
        <w:t>17.3.5 目细化为：</w:t>
      </w:r>
    </w:p>
    <w:p>
      <w:pPr>
        <w:tabs>
          <w:tab w:val="left" w:pos="5460"/>
        </w:tabs>
        <w:adjustRightInd w:val="0"/>
        <w:snapToGrid w:val="0"/>
        <w:spacing w:line="360" w:lineRule="auto"/>
        <w:ind w:firstLine="420" w:firstLineChars="200"/>
        <w:rPr>
          <w:rFonts w:ascii="宋体" w:hAnsi="宋体" w:cs="宋体"/>
        </w:rPr>
      </w:pPr>
      <w:r>
        <w:rPr>
          <w:rFonts w:hint="eastAsia" w:ascii="宋体" w:hAnsi="宋体" w:cs="宋体"/>
        </w:rPr>
        <w:t>（1）农民工工资保证金的缴存时间：在签订工程施工合同后，监理下达开工令前。</w:t>
      </w:r>
    </w:p>
    <w:p>
      <w:pPr>
        <w:tabs>
          <w:tab w:val="left" w:pos="5460"/>
        </w:tabs>
        <w:adjustRightInd w:val="0"/>
        <w:snapToGrid w:val="0"/>
        <w:spacing w:line="360" w:lineRule="auto"/>
        <w:ind w:firstLine="420" w:firstLineChars="200"/>
        <w:rPr>
          <w:rFonts w:ascii="宋体"/>
        </w:rPr>
      </w:pPr>
      <w:r>
        <w:rPr>
          <w:rFonts w:hint="eastAsia" w:ascii="宋体"/>
        </w:rPr>
        <w:t>（2）农民工工资保证金的缴存金额：根据天津市交通运输委员会下发的《天津市交通运输委员会关于进一步做好天津市公路水运建设领域农民工工资支付与管理工作的通知》（津交发〔2018〕27号）的规定，合同价款3000万元以内按照30万元缴存；合同价款3000万元至1亿元按照合同价款1%缴存；合同价款1亿元以上按照100万元缴存。</w:t>
      </w:r>
    </w:p>
    <w:p>
      <w:pPr>
        <w:tabs>
          <w:tab w:val="left" w:pos="5460"/>
        </w:tabs>
        <w:adjustRightInd w:val="0"/>
        <w:snapToGrid w:val="0"/>
        <w:spacing w:line="360" w:lineRule="auto"/>
        <w:ind w:firstLine="420" w:firstLineChars="200"/>
        <w:rPr>
          <w:rFonts w:ascii="宋体"/>
        </w:rPr>
      </w:pPr>
      <w:r>
        <w:rPr>
          <w:rFonts w:hint="eastAsia" w:ascii="宋体"/>
        </w:rPr>
        <w:t>（3）农民工工资保证金的扣留条件：有下列情形之一的，暂不予退还或延期退还工资保证金：</w:t>
      </w:r>
    </w:p>
    <w:p>
      <w:pPr>
        <w:tabs>
          <w:tab w:val="left" w:pos="5460"/>
        </w:tabs>
        <w:adjustRightInd w:val="0"/>
        <w:snapToGrid w:val="0"/>
        <w:spacing w:line="360" w:lineRule="auto"/>
        <w:ind w:firstLine="420" w:firstLineChars="200"/>
        <w:rPr>
          <w:rFonts w:ascii="宋体"/>
        </w:rPr>
      </w:pPr>
      <w:r>
        <w:rPr>
          <w:rFonts w:hint="eastAsia" w:ascii="宋体"/>
        </w:rPr>
        <w:t>1.经审核，所属工程项目原有欠薪案件没有解决的。</w:t>
      </w:r>
    </w:p>
    <w:p>
      <w:pPr>
        <w:tabs>
          <w:tab w:val="left" w:pos="5460"/>
        </w:tabs>
        <w:adjustRightInd w:val="0"/>
        <w:snapToGrid w:val="0"/>
        <w:spacing w:line="360" w:lineRule="auto"/>
        <w:ind w:firstLine="420" w:firstLineChars="200"/>
        <w:rPr>
          <w:rFonts w:ascii="宋体"/>
        </w:rPr>
      </w:pPr>
      <w:r>
        <w:rPr>
          <w:rFonts w:hint="eastAsia" w:ascii="宋体"/>
        </w:rPr>
        <w:t>2.在办理返还过程中，发生欠薪举报投诉，经核查属实的。</w:t>
      </w:r>
    </w:p>
    <w:p>
      <w:pPr>
        <w:tabs>
          <w:tab w:val="left" w:pos="5460"/>
        </w:tabs>
        <w:adjustRightInd w:val="0"/>
        <w:snapToGrid w:val="0"/>
        <w:spacing w:line="360" w:lineRule="auto"/>
        <w:ind w:firstLine="420" w:firstLineChars="200"/>
        <w:rPr>
          <w:rFonts w:ascii="宋体"/>
        </w:rPr>
      </w:pPr>
      <w:r>
        <w:rPr>
          <w:rFonts w:hint="eastAsia" w:ascii="宋体"/>
        </w:rPr>
        <w:t>3.不存在上述两种情形，但施工期间因欠薪问题引发群体上访的，以及欠薪责任单位拒不配合相关部门解决欠薪问题的，可以延期返还，最长不超过1年。</w:t>
      </w:r>
    </w:p>
    <w:p>
      <w:pPr>
        <w:tabs>
          <w:tab w:val="left" w:pos="5460"/>
        </w:tabs>
        <w:adjustRightInd w:val="0"/>
        <w:snapToGrid w:val="0"/>
        <w:spacing w:line="360" w:lineRule="auto"/>
        <w:ind w:firstLine="420" w:firstLineChars="200"/>
        <w:rPr>
          <w:rFonts w:ascii="宋体"/>
        </w:rPr>
      </w:pPr>
      <w:r>
        <w:rPr>
          <w:rFonts w:hint="eastAsia" w:ascii="宋体"/>
        </w:rPr>
        <w:t>（4）农民工工资保证金的返还时间：建设单位应在工程交工验收通过后30日内，按时向施工总承包企业返还工资保证金。</w:t>
      </w:r>
    </w:p>
    <w:p>
      <w:pPr>
        <w:tabs>
          <w:tab w:val="left" w:pos="5460"/>
        </w:tabs>
        <w:adjustRightInd w:val="0"/>
        <w:snapToGrid w:val="0"/>
        <w:spacing w:line="360" w:lineRule="auto"/>
        <w:rPr>
          <w:rFonts w:ascii="宋体" w:hAnsi="宋体" w:cs="宋体"/>
          <w:b/>
          <w:bCs/>
        </w:rPr>
      </w:pPr>
      <w:r>
        <w:rPr>
          <w:rFonts w:hint="eastAsia" w:ascii="宋体" w:hAnsi="宋体" w:cs="宋体"/>
          <w:b/>
          <w:bCs/>
          <w:snapToGrid w:val="0"/>
          <w:kern w:val="0"/>
        </w:rPr>
        <w:t xml:space="preserve">第48条 </w:t>
      </w:r>
      <w:r>
        <w:rPr>
          <w:rFonts w:hint="eastAsia" w:ascii="宋体" w:hAnsi="宋体" w:cs="宋体"/>
          <w:b/>
          <w:bCs/>
        </w:rPr>
        <w:t>通用合同条款第</w:t>
      </w:r>
      <w:r>
        <w:rPr>
          <w:rFonts w:ascii="宋体" w:hAnsi="宋体" w:cs="宋体"/>
          <w:b/>
          <w:bCs/>
        </w:rPr>
        <w:t>1</w:t>
      </w:r>
      <w:r>
        <w:rPr>
          <w:rFonts w:hint="eastAsia" w:ascii="宋体" w:hAnsi="宋体" w:cs="宋体"/>
          <w:b/>
          <w:bCs/>
        </w:rPr>
        <w:t>7</w:t>
      </w:r>
      <w:r>
        <w:rPr>
          <w:rFonts w:ascii="宋体" w:hAnsi="宋体" w:cs="宋体"/>
          <w:b/>
          <w:bCs/>
        </w:rPr>
        <w:t>.</w:t>
      </w:r>
      <w:r>
        <w:rPr>
          <w:rFonts w:hint="eastAsia" w:ascii="宋体" w:hAnsi="宋体" w:cs="宋体"/>
          <w:b/>
          <w:bCs/>
        </w:rPr>
        <w:t>4款细化为：</w:t>
      </w:r>
    </w:p>
    <w:p>
      <w:pPr>
        <w:spacing w:line="360" w:lineRule="auto"/>
        <w:rPr>
          <w:rFonts w:ascii="宋体" w:hAnsi="宋体"/>
        </w:rPr>
      </w:pPr>
      <w:r>
        <w:rPr>
          <w:rFonts w:hint="eastAsia" w:ascii="宋体" w:hAnsi="宋体"/>
        </w:rPr>
        <w:t>　　（1）质量保证金不计付利息；</w:t>
      </w:r>
    </w:p>
    <w:p>
      <w:pPr>
        <w:autoSpaceDE w:val="0"/>
        <w:autoSpaceDN w:val="0"/>
        <w:adjustRightInd w:val="0"/>
        <w:snapToGrid w:val="0"/>
        <w:spacing w:line="360" w:lineRule="auto"/>
        <w:ind w:firstLine="420"/>
      </w:pPr>
      <w:r>
        <w:rPr>
          <w:rFonts w:hint="eastAsia" w:ascii="宋体" w:hAnsi="宋体"/>
        </w:rPr>
        <w:t>（2</w:t>
      </w:r>
      <w:r>
        <w:rPr>
          <w:rFonts w:hint="eastAsia"/>
        </w:rPr>
        <w:t>）逾期返还</w:t>
      </w:r>
      <w:r>
        <w:rPr>
          <w:rFonts w:hint="eastAsia" w:ascii="宋体" w:hAnsi="宋体"/>
        </w:rPr>
        <w:t>质量保证金</w:t>
      </w:r>
      <w:r>
        <w:rPr>
          <w:rFonts w:hint="eastAsia"/>
        </w:rPr>
        <w:t>的违约金支付办法及违约责任：</w:t>
      </w:r>
    </w:p>
    <w:p>
      <w:pPr>
        <w:pStyle w:val="20"/>
        <w:adjustRightInd w:val="0"/>
        <w:snapToGrid w:val="0"/>
        <w:spacing w:line="360" w:lineRule="auto"/>
      </w:pPr>
      <w:r>
        <w:rPr>
          <w:rFonts w:hint="eastAsia"/>
        </w:rPr>
        <w:t>发包人不按期支付的，按项目专用合同条款数据表中约定的利率向承包人支付逾期付款违约金。违约金计算基数为发包人的全部未付款额，时间从应付而未付该款额之日算起（不计复利）。</w:t>
      </w:r>
    </w:p>
    <w:p>
      <w:pPr>
        <w:pStyle w:val="20"/>
        <w:adjustRightInd w:val="0"/>
        <w:snapToGrid w:val="0"/>
        <w:spacing w:line="360" w:lineRule="auto"/>
      </w:pPr>
      <w:r>
        <w:rPr>
          <w:rFonts w:hint="eastAsia"/>
        </w:rPr>
        <w:t xml:space="preserve">    （3）发包人应当按照约定期限将保证金返还给承包人，对返还期限没有约定或者约定不明确的，发包人应当在核实后14天内将保证金返还承包人，逾期未返还的，依法承担违约责任。根据违约情况向承包人支付一定金额的违约金，具体金额经双方友好协商无法解决时按照合同通用条款24.1（2）方式解决。</w:t>
      </w:r>
    </w:p>
    <w:p>
      <w:pPr>
        <w:pStyle w:val="20"/>
        <w:adjustRightInd w:val="0"/>
        <w:snapToGrid w:val="0"/>
        <w:spacing w:line="360" w:lineRule="auto"/>
        <w:ind w:firstLine="420" w:firstLineChars="200"/>
        <w:rPr>
          <w:rFonts w:hAnsi="宋体"/>
          <w:b/>
          <w:bCs/>
          <w:snapToGrid w:val="0"/>
          <w:kern w:val="0"/>
        </w:rPr>
      </w:pPr>
      <w:r>
        <w:rPr>
          <w:rFonts w:hint="eastAsia"/>
        </w:rPr>
        <w:t>（4）</w:t>
      </w:r>
      <w:r>
        <w:rPr>
          <w:rFonts w:hint="eastAsia" w:hAnsi="宋体" w:cs="宋体"/>
          <w:kern w:val="0"/>
        </w:rPr>
        <w:t>质量保证金的递交：若履约保证金为保函时，另行递交质量保证金；若履约担保为现金、支票时，直接扣除质量保证金。</w:t>
      </w:r>
    </w:p>
    <w:p>
      <w:pPr>
        <w:pStyle w:val="20"/>
        <w:adjustRightInd w:val="0"/>
        <w:snapToGrid w:val="0"/>
        <w:spacing w:line="360" w:lineRule="auto"/>
        <w:rPr>
          <w:rFonts w:hAnsi="宋体"/>
          <w:b/>
          <w:bCs/>
          <w:snapToGrid w:val="0"/>
          <w:kern w:val="0"/>
        </w:rPr>
      </w:pPr>
      <w:r>
        <w:rPr>
          <w:rFonts w:hint="eastAsia" w:hAnsi="宋体"/>
          <w:b/>
          <w:bCs/>
          <w:snapToGrid w:val="0"/>
          <w:kern w:val="0"/>
        </w:rPr>
        <w:t xml:space="preserve">第49条 </w:t>
      </w:r>
      <w:r>
        <w:rPr>
          <w:rFonts w:hint="eastAsia" w:hAnsi="宋体" w:cs="宋体"/>
          <w:b/>
          <w:bCs/>
        </w:rPr>
        <w:t>公路工程专用</w:t>
      </w:r>
      <w:r>
        <w:rPr>
          <w:rFonts w:hint="eastAsia" w:hAnsi="宋体"/>
          <w:b/>
          <w:bCs/>
          <w:snapToGrid w:val="0"/>
          <w:kern w:val="0"/>
        </w:rPr>
        <w:t>合同条款第</w:t>
      </w:r>
      <w:r>
        <w:rPr>
          <w:rFonts w:hAnsi="宋体"/>
          <w:b/>
          <w:bCs/>
          <w:snapToGrid w:val="0"/>
          <w:kern w:val="0"/>
        </w:rPr>
        <w:t>19.7</w:t>
      </w:r>
      <w:r>
        <w:rPr>
          <w:rFonts w:hint="eastAsia" w:hAnsi="宋体"/>
          <w:b/>
          <w:bCs/>
          <w:snapToGrid w:val="0"/>
          <w:kern w:val="0"/>
        </w:rPr>
        <w:t>（</w:t>
      </w:r>
      <w:r>
        <w:rPr>
          <w:rFonts w:hAnsi="宋体"/>
          <w:b/>
          <w:bCs/>
          <w:snapToGrid w:val="0"/>
          <w:kern w:val="0"/>
        </w:rPr>
        <w:t>4</w:t>
      </w:r>
      <w:r>
        <w:rPr>
          <w:rFonts w:hint="eastAsia" w:hAnsi="宋体"/>
          <w:b/>
          <w:bCs/>
          <w:snapToGrid w:val="0"/>
          <w:kern w:val="0"/>
        </w:rPr>
        <w:t>）项细化为：</w:t>
      </w:r>
    </w:p>
    <w:p>
      <w:pPr>
        <w:adjustRightInd w:val="0"/>
        <w:snapToGrid w:val="0"/>
        <w:spacing w:line="360" w:lineRule="auto"/>
        <w:ind w:firstLine="420" w:firstLineChars="200"/>
        <w:rPr>
          <w:rFonts w:hAnsi="宋体" w:cs="宋体"/>
          <w:snapToGrid w:val="0"/>
          <w:kern w:val="0"/>
        </w:rPr>
      </w:pPr>
      <w:r>
        <w:rPr>
          <w:rFonts w:hint="eastAsia" w:hAnsi="宋体" w:cs="宋体"/>
          <w:snapToGrid w:val="0"/>
          <w:kern w:val="0"/>
        </w:rPr>
        <w:t>若承包人不履行或未能按发包人的要求及时履行保修义务和责任，则发包人有权自行或委托其他第三方进行维修，承包人应承担因此所发生的费用（包括支付第三方的维修费、发包人因此而支出的费用及损失等）及违约责任。并由发包人将其违约行为上报省级交通主管部门，作为不良记录纳入公路建设市场信用信息管理系统。</w:t>
      </w:r>
    </w:p>
    <w:p>
      <w:pPr>
        <w:pStyle w:val="20"/>
        <w:adjustRightInd w:val="0"/>
        <w:snapToGrid w:val="0"/>
        <w:spacing w:line="360" w:lineRule="auto"/>
        <w:rPr>
          <w:rFonts w:hAnsi="宋体"/>
          <w:b/>
          <w:bCs/>
          <w:snapToGrid w:val="0"/>
          <w:kern w:val="0"/>
        </w:rPr>
      </w:pPr>
      <w:r>
        <w:rPr>
          <w:rFonts w:hint="eastAsia" w:hAnsi="宋体"/>
          <w:b/>
          <w:bCs/>
          <w:snapToGrid w:val="0"/>
          <w:kern w:val="0"/>
        </w:rPr>
        <w:t xml:space="preserve">第50条 </w:t>
      </w:r>
      <w:r>
        <w:rPr>
          <w:rFonts w:hint="eastAsia" w:hAnsi="宋体" w:cs="宋体"/>
          <w:b/>
          <w:bCs/>
        </w:rPr>
        <w:t>公路工程专用</w:t>
      </w:r>
      <w:r>
        <w:rPr>
          <w:rFonts w:hint="eastAsia" w:hAnsi="宋体"/>
          <w:b/>
          <w:bCs/>
          <w:snapToGrid w:val="0"/>
          <w:kern w:val="0"/>
        </w:rPr>
        <w:t>合同条款第</w:t>
      </w:r>
      <w:r>
        <w:rPr>
          <w:rFonts w:hAnsi="宋体"/>
          <w:b/>
          <w:bCs/>
          <w:snapToGrid w:val="0"/>
          <w:kern w:val="0"/>
        </w:rPr>
        <w:t>20.1</w:t>
      </w:r>
      <w:r>
        <w:rPr>
          <w:rFonts w:hint="eastAsia" w:hAnsi="宋体"/>
          <w:b/>
          <w:bCs/>
          <w:snapToGrid w:val="0"/>
          <w:kern w:val="0"/>
        </w:rPr>
        <w:t>款细化为：</w:t>
      </w:r>
    </w:p>
    <w:p>
      <w:pPr>
        <w:adjustRightInd w:val="0"/>
        <w:snapToGrid w:val="0"/>
        <w:spacing w:line="360" w:lineRule="auto"/>
        <w:ind w:firstLine="420" w:firstLineChars="200"/>
        <w:rPr>
          <w:rFonts w:ascii="宋体"/>
        </w:rPr>
      </w:pPr>
      <w:r>
        <w:rPr>
          <w:rFonts w:hint="eastAsia" w:ascii="宋体" w:hAnsi="宋体" w:cs="宋体"/>
        </w:rPr>
        <w:t>建筑工程一切险的投保内容：为本合同工程的永久工程、临时工程和设备及已运至施工工地用于永久工程的材料和设备所投的保险。</w:t>
      </w:r>
    </w:p>
    <w:p>
      <w:pPr>
        <w:adjustRightInd w:val="0"/>
        <w:snapToGrid w:val="0"/>
        <w:spacing w:line="360" w:lineRule="auto"/>
        <w:ind w:firstLine="420" w:firstLineChars="200"/>
        <w:rPr>
          <w:rFonts w:ascii="宋体"/>
        </w:rPr>
      </w:pPr>
      <w:r>
        <w:rPr>
          <w:rFonts w:hint="eastAsia" w:ascii="宋体" w:hAnsi="宋体" w:cs="宋体"/>
        </w:rPr>
        <w:t>保险金额：工程量清单第</w:t>
      </w:r>
      <w:r>
        <w:rPr>
          <w:rFonts w:ascii="宋体" w:hAnsi="宋体" w:cs="宋体"/>
        </w:rPr>
        <w:t>100</w:t>
      </w:r>
      <w:r>
        <w:rPr>
          <w:rFonts w:hint="eastAsia" w:ascii="宋体" w:hAnsi="宋体" w:cs="宋体"/>
        </w:rPr>
        <w:t>章至</w:t>
      </w:r>
      <w:r>
        <w:rPr>
          <w:rFonts w:hint="eastAsia" w:ascii="宋体" w:hAnsi="宋体" w:cs="宋体"/>
          <w:lang w:eastAsia="zh-CN"/>
        </w:rPr>
        <w:t>600章</w:t>
      </w:r>
      <w:r>
        <w:rPr>
          <w:rFonts w:hint="eastAsia" w:ascii="宋体" w:hAnsi="宋体" w:cs="宋体"/>
        </w:rPr>
        <w:t>的合计金额。</w:t>
      </w:r>
    </w:p>
    <w:p>
      <w:pPr>
        <w:adjustRightInd w:val="0"/>
        <w:snapToGrid w:val="0"/>
        <w:spacing w:line="360" w:lineRule="auto"/>
        <w:ind w:firstLine="420" w:firstLineChars="200"/>
        <w:rPr>
          <w:rFonts w:ascii="宋体"/>
          <w:snapToGrid w:val="0"/>
          <w:kern w:val="0"/>
        </w:rPr>
      </w:pPr>
      <w:r>
        <w:rPr>
          <w:rFonts w:hint="eastAsia" w:ascii="宋体" w:hAnsi="宋体" w:cs="宋体"/>
        </w:rPr>
        <w:t>保险期限：开工日起直至本合同工程签发缺陷责任期终止证书止</w:t>
      </w:r>
      <w:r>
        <w:rPr>
          <w:rFonts w:ascii="宋体" w:hAnsi="宋体" w:cs="宋体"/>
        </w:rPr>
        <w:t>(</w:t>
      </w:r>
      <w:r>
        <w:rPr>
          <w:rFonts w:hint="eastAsia" w:ascii="宋体" w:hAnsi="宋体" w:cs="宋体"/>
        </w:rPr>
        <w:t>即合同工期</w:t>
      </w:r>
      <w:r>
        <w:rPr>
          <w:rFonts w:ascii="宋体" w:hAnsi="宋体" w:cs="宋体"/>
        </w:rPr>
        <w:t>+</w:t>
      </w:r>
      <w:r>
        <w:rPr>
          <w:rFonts w:hint="eastAsia" w:ascii="宋体" w:hAnsi="宋体" w:cs="宋体"/>
        </w:rPr>
        <w:t>缺陷责任期</w:t>
      </w:r>
      <w:r>
        <w:rPr>
          <w:rFonts w:ascii="宋体" w:hAnsi="宋体" w:cs="宋体"/>
        </w:rPr>
        <w:t>)</w:t>
      </w:r>
      <w:r>
        <w:rPr>
          <w:rFonts w:hint="eastAsia" w:ascii="宋体" w:hAnsi="宋体" w:cs="宋体"/>
        </w:rPr>
        <w:t>。</w:t>
      </w:r>
    </w:p>
    <w:p>
      <w:pPr>
        <w:autoSpaceDE w:val="0"/>
        <w:autoSpaceDN w:val="0"/>
        <w:adjustRightInd w:val="0"/>
        <w:snapToGrid w:val="0"/>
        <w:spacing w:line="360" w:lineRule="auto"/>
        <w:ind w:firstLine="434" w:firstLineChars="207"/>
        <w:rPr>
          <w:rFonts w:hAnsi="宋体"/>
          <w:snapToGrid w:val="0"/>
          <w:kern w:val="0"/>
        </w:rPr>
      </w:pPr>
      <w:r>
        <w:rPr>
          <w:rFonts w:hint="eastAsia" w:hAnsi="宋体" w:cs="宋体"/>
          <w:snapToGrid w:val="0"/>
          <w:kern w:val="0"/>
        </w:rPr>
        <w:t>保险范围为投保协议规定的一切内容。工程一切险保险费率为</w:t>
      </w:r>
      <w:r>
        <w:rPr>
          <w:rFonts w:hAnsi="宋体"/>
          <w:snapToGrid w:val="0"/>
          <w:kern w:val="0"/>
        </w:rPr>
        <w:t>2</w:t>
      </w:r>
      <w:r>
        <w:rPr>
          <w:rFonts w:hint="eastAsia" w:hAnsi="宋体" w:cs="宋体"/>
          <w:snapToGrid w:val="0"/>
          <w:kern w:val="0"/>
        </w:rPr>
        <w:t>‰，此费率只作为报价的共同基础，不作为支付的依据。</w:t>
      </w:r>
    </w:p>
    <w:p>
      <w:pPr>
        <w:autoSpaceDE w:val="0"/>
        <w:autoSpaceDN w:val="0"/>
        <w:adjustRightInd w:val="0"/>
        <w:snapToGrid w:val="0"/>
        <w:spacing w:line="360" w:lineRule="auto"/>
        <w:ind w:firstLine="434" w:firstLineChars="207"/>
        <w:rPr>
          <w:rFonts w:ascii="宋体"/>
          <w:snapToGrid w:val="0"/>
          <w:kern w:val="0"/>
        </w:rPr>
      </w:pPr>
      <w:r>
        <w:rPr>
          <w:rFonts w:hint="eastAsia" w:hAnsi="宋体" w:cs="宋体"/>
          <w:snapToGrid w:val="0"/>
          <w:kern w:val="0"/>
        </w:rPr>
        <w:t>保险费用包含在报价中，由承包人统一办理手续。</w:t>
      </w:r>
    </w:p>
    <w:p>
      <w:pPr>
        <w:pStyle w:val="20"/>
        <w:adjustRightInd w:val="0"/>
        <w:snapToGrid w:val="0"/>
        <w:spacing w:line="360" w:lineRule="auto"/>
        <w:rPr>
          <w:rFonts w:hAnsi="宋体"/>
          <w:b/>
          <w:bCs/>
          <w:snapToGrid w:val="0"/>
          <w:kern w:val="0"/>
        </w:rPr>
      </w:pPr>
      <w:r>
        <w:rPr>
          <w:rFonts w:hint="eastAsia" w:hAnsi="宋体"/>
          <w:b/>
          <w:bCs/>
          <w:snapToGrid w:val="0"/>
          <w:kern w:val="0"/>
        </w:rPr>
        <w:t xml:space="preserve">第51条 </w:t>
      </w:r>
      <w:r>
        <w:rPr>
          <w:rFonts w:hint="eastAsia" w:hAnsi="宋体" w:cs="宋体"/>
          <w:b/>
          <w:bCs/>
        </w:rPr>
        <w:t>公路工程专用</w:t>
      </w:r>
      <w:r>
        <w:rPr>
          <w:rFonts w:hint="eastAsia" w:hAnsi="宋体"/>
          <w:b/>
          <w:bCs/>
          <w:snapToGrid w:val="0"/>
          <w:kern w:val="0"/>
        </w:rPr>
        <w:t>合同条款第</w:t>
      </w:r>
      <w:r>
        <w:rPr>
          <w:rFonts w:hAnsi="宋体"/>
          <w:b/>
          <w:bCs/>
          <w:snapToGrid w:val="0"/>
          <w:kern w:val="0"/>
        </w:rPr>
        <w:t>20.4.2</w:t>
      </w:r>
      <w:r>
        <w:rPr>
          <w:rFonts w:hint="eastAsia" w:hAnsi="宋体"/>
          <w:b/>
          <w:bCs/>
          <w:snapToGrid w:val="0"/>
          <w:kern w:val="0"/>
        </w:rPr>
        <w:t>项补充：</w:t>
      </w:r>
    </w:p>
    <w:p>
      <w:pPr>
        <w:autoSpaceDE w:val="0"/>
        <w:autoSpaceDN w:val="0"/>
        <w:adjustRightInd w:val="0"/>
        <w:snapToGrid w:val="0"/>
        <w:spacing w:line="360" w:lineRule="auto"/>
        <w:ind w:firstLine="434" w:firstLineChars="207"/>
        <w:rPr>
          <w:rFonts w:ascii="宋体"/>
          <w:snapToGrid w:val="0"/>
          <w:kern w:val="0"/>
        </w:rPr>
      </w:pPr>
      <w:r>
        <w:rPr>
          <w:rFonts w:hint="eastAsia" w:ascii="宋体" w:hAnsi="宋体" w:cs="宋体"/>
          <w:snapToGrid w:val="0"/>
          <w:kern w:val="0"/>
        </w:rPr>
        <w:t>第三方责任险费率为</w:t>
      </w:r>
      <w:r>
        <w:rPr>
          <w:rFonts w:ascii="宋体" w:hAnsi="宋体"/>
          <w:snapToGrid w:val="0"/>
          <w:kern w:val="0"/>
        </w:rPr>
        <w:t>0.5</w:t>
      </w:r>
      <w:r>
        <w:rPr>
          <w:rFonts w:hint="eastAsia" w:ascii="宋体" w:hAnsi="宋体" w:cs="宋体"/>
          <w:snapToGrid w:val="0"/>
          <w:kern w:val="0"/>
        </w:rPr>
        <w:t>‰，</w:t>
      </w:r>
      <w:r>
        <w:rPr>
          <w:rFonts w:hint="eastAsia" w:hAnsi="宋体" w:cs="宋体"/>
          <w:snapToGrid w:val="0"/>
          <w:kern w:val="0"/>
        </w:rPr>
        <w:t>此费率只作为报价的共同基础</w:t>
      </w:r>
      <w:r>
        <w:rPr>
          <w:rFonts w:hAnsi="宋体"/>
          <w:snapToGrid w:val="0"/>
          <w:kern w:val="0"/>
        </w:rPr>
        <w:t>,</w:t>
      </w:r>
      <w:r>
        <w:rPr>
          <w:rFonts w:hint="eastAsia" w:hAnsi="宋体" w:cs="宋体"/>
          <w:snapToGrid w:val="0"/>
          <w:kern w:val="0"/>
        </w:rPr>
        <w:t>不作为支付的依据。保险费用包含在报价中，由承包人统一办理手续。</w:t>
      </w:r>
    </w:p>
    <w:p>
      <w:pPr>
        <w:adjustRightInd w:val="0"/>
        <w:snapToGrid w:val="0"/>
        <w:spacing w:line="360" w:lineRule="auto"/>
        <w:ind w:firstLine="420" w:firstLineChars="200"/>
        <w:rPr>
          <w:rFonts w:ascii="宋体" w:hAnsi="宋体" w:cs="宋体"/>
        </w:rPr>
      </w:pPr>
      <w:r>
        <w:rPr>
          <w:rFonts w:hint="eastAsia" w:ascii="宋体" w:hAnsi="宋体" w:cs="宋体"/>
        </w:rPr>
        <w:t>保险金额：工程量清单第</w:t>
      </w:r>
      <w:r>
        <w:rPr>
          <w:rFonts w:ascii="宋体" w:hAnsi="宋体" w:cs="宋体"/>
        </w:rPr>
        <w:t>100</w:t>
      </w:r>
      <w:r>
        <w:rPr>
          <w:rFonts w:hint="eastAsia" w:ascii="宋体" w:hAnsi="宋体" w:cs="宋体"/>
        </w:rPr>
        <w:t>章至</w:t>
      </w:r>
      <w:r>
        <w:rPr>
          <w:rFonts w:hint="eastAsia" w:ascii="宋体" w:hAnsi="宋体" w:cs="宋体"/>
          <w:lang w:eastAsia="zh-CN"/>
        </w:rPr>
        <w:t>600章</w:t>
      </w:r>
      <w:r>
        <w:rPr>
          <w:rFonts w:hint="eastAsia" w:ascii="宋体" w:hAnsi="宋体" w:cs="宋体"/>
        </w:rPr>
        <w:t>的合计金额。</w:t>
      </w:r>
    </w:p>
    <w:p>
      <w:pPr>
        <w:spacing w:line="360" w:lineRule="auto"/>
        <w:rPr>
          <w:rFonts w:ascii="宋体" w:hAnsi="宋体"/>
          <w:szCs w:val="21"/>
        </w:rPr>
      </w:pPr>
      <w:r>
        <w:rPr>
          <w:rFonts w:hint="eastAsia" w:ascii="宋体" w:hAnsi="宋体"/>
          <w:b/>
          <w:snapToGrid w:val="0"/>
          <w:kern w:val="0"/>
          <w:szCs w:val="21"/>
        </w:rPr>
        <w:t xml:space="preserve">第52条  </w:t>
      </w:r>
      <w:r>
        <w:rPr>
          <w:rFonts w:hint="eastAsia" w:ascii="宋体" w:hAnsi="宋体"/>
          <w:b/>
          <w:szCs w:val="21"/>
        </w:rPr>
        <w:t>专用合同条款第20.6.4项细化为：</w:t>
      </w:r>
    </w:p>
    <w:p>
      <w:pPr>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保险金不足以补偿损失的（包括免赔偿和超过赔偿限额的部分），应按下列对发包人或承包人责任的规定，由发包人或承包人承担：</w:t>
      </w:r>
    </w:p>
    <w:p>
      <w:pPr>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）在承包人负责照管和维护期间，如果本合同工程或其组成部分，或将用于或安装在本合同工程中的材料、设备等发生损失或损害，不论出于什么原因，承包人均应自费弥补，并达到合同要求。</w:t>
      </w:r>
    </w:p>
    <w:p>
      <w:pPr>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）由于发包人风险所造成的损失或损害：</w:t>
      </w:r>
    </w:p>
    <w:p>
      <w:pPr>
        <w:adjustRightInd w:val="0"/>
        <w:snapToGrid w:val="0"/>
        <w:spacing w:line="360" w:lineRule="auto"/>
        <w:ind w:firstLine="420"/>
        <w:rPr>
          <w:rFonts w:ascii="宋体" w:hAnsi="宋体"/>
          <w:snapToGrid w:val="0"/>
          <w:kern w:val="0"/>
          <w:szCs w:val="21"/>
        </w:rPr>
      </w:pPr>
      <w:r>
        <w:rPr>
          <w:rFonts w:ascii="宋体" w:hAnsi="宋体"/>
          <w:snapToGrid w:val="0"/>
          <w:kern w:val="0"/>
          <w:szCs w:val="21"/>
        </w:rPr>
        <w:t>A</w:t>
      </w:r>
      <w:r>
        <w:rPr>
          <w:rFonts w:hint="eastAsia" w:ascii="宋体" w:hAnsi="宋体"/>
          <w:snapToGrid w:val="0"/>
          <w:kern w:val="0"/>
          <w:szCs w:val="21"/>
        </w:rPr>
        <w:t>、由于本款规定的发包人风险中的任何一种已投保的发包人风险造成的损失或损害，承包人应在事故发生后及时报告监理人和保险公司并向保险公司提出索赔。不能从保险公司收回的免赔额部分由承包人自己承担，而超过保险公司最高赔偿限额的损失部分由发包人和承包人分担。</w:t>
      </w:r>
    </w:p>
    <w:p>
      <w:pPr>
        <w:adjustRightInd w:val="0"/>
        <w:snapToGrid w:val="0"/>
        <w:spacing w:line="360" w:lineRule="auto"/>
        <w:ind w:firstLine="420"/>
        <w:rPr>
          <w:rFonts w:ascii="宋体" w:hAnsi="宋体"/>
          <w:snapToGrid w:val="0"/>
          <w:kern w:val="0"/>
          <w:szCs w:val="21"/>
        </w:rPr>
      </w:pPr>
      <w:r>
        <w:rPr>
          <w:rFonts w:ascii="宋体" w:hAnsi="宋体"/>
          <w:snapToGrid w:val="0"/>
          <w:kern w:val="0"/>
          <w:szCs w:val="21"/>
        </w:rPr>
        <w:t>B</w:t>
      </w:r>
      <w:r>
        <w:rPr>
          <w:rFonts w:hint="eastAsia" w:ascii="宋体" w:hAnsi="宋体"/>
          <w:snapToGrid w:val="0"/>
          <w:kern w:val="0"/>
          <w:szCs w:val="21"/>
        </w:rPr>
        <w:t>、由于承包人责任引起的事故损害或损失，已投保的保险无法赔偿的部分由承包人承担。</w:t>
      </w:r>
    </w:p>
    <w:p>
      <w:pPr>
        <w:adjustRightInd w:val="0"/>
        <w:snapToGrid w:val="0"/>
        <w:spacing w:line="360" w:lineRule="auto"/>
        <w:ind w:firstLine="420" w:firstLineChars="200"/>
        <w:rPr>
          <w:rFonts w:ascii="宋体"/>
        </w:rPr>
      </w:pPr>
      <w:r>
        <w:rPr>
          <w:rFonts w:ascii="宋体" w:hAnsi="宋体"/>
          <w:snapToGrid w:val="0"/>
          <w:kern w:val="0"/>
          <w:szCs w:val="21"/>
        </w:rPr>
        <w:t>C</w:t>
      </w:r>
      <w:r>
        <w:rPr>
          <w:rFonts w:hint="eastAsia" w:ascii="宋体" w:hAnsi="宋体"/>
          <w:snapToGrid w:val="0"/>
          <w:kern w:val="0"/>
          <w:szCs w:val="21"/>
        </w:rPr>
        <w:t>、由于发包人原因造成的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pPr>
        <w:pStyle w:val="20"/>
        <w:adjustRightInd w:val="0"/>
        <w:snapToGrid w:val="0"/>
        <w:spacing w:line="360" w:lineRule="auto"/>
        <w:rPr>
          <w:rFonts w:hAnsi="宋体"/>
          <w:b/>
          <w:bCs/>
          <w:snapToGrid w:val="0"/>
          <w:kern w:val="0"/>
        </w:rPr>
      </w:pPr>
      <w:r>
        <w:rPr>
          <w:rFonts w:hint="eastAsia" w:hAnsi="宋体"/>
          <w:b/>
          <w:bCs/>
          <w:snapToGrid w:val="0"/>
          <w:kern w:val="0"/>
        </w:rPr>
        <w:t>第53条 通用合同条款第</w:t>
      </w:r>
      <w:r>
        <w:rPr>
          <w:rFonts w:hAnsi="宋体"/>
          <w:b/>
          <w:bCs/>
          <w:snapToGrid w:val="0"/>
          <w:kern w:val="0"/>
        </w:rPr>
        <w:t>20.6.6</w:t>
      </w:r>
      <w:r>
        <w:rPr>
          <w:rFonts w:hint="eastAsia" w:hAnsi="宋体"/>
          <w:b/>
          <w:bCs/>
          <w:snapToGrid w:val="0"/>
          <w:kern w:val="0"/>
        </w:rPr>
        <w:t>项补充：</w:t>
      </w:r>
    </w:p>
    <w:p>
      <w:pPr>
        <w:spacing w:line="360" w:lineRule="auto"/>
        <w:ind w:firstLine="420" w:firstLineChars="200"/>
        <w:rPr>
          <w:rFonts w:ascii="宋体"/>
        </w:rPr>
      </w:pPr>
      <w:r>
        <w:rPr>
          <w:rFonts w:hint="eastAsia" w:ascii="宋体" w:hAnsi="宋体" w:cs="宋体"/>
          <w:snapToGrid w:val="0"/>
          <w:kern w:val="0"/>
        </w:rPr>
        <w:t>作为被保险人的主体之一，承包人有义务在工程现场出现险情后立即报险并通知发包人，协助发包人及保险公司进行现场取证及理赔事宜，如承包人未能按照保单规定时间及时报险而延误了理赔，所产生的后果及费用损失由承包人自负。</w:t>
      </w:r>
    </w:p>
    <w:p>
      <w:pPr>
        <w:adjustRightInd w:val="0"/>
        <w:snapToGrid w:val="0"/>
        <w:spacing w:line="360" w:lineRule="auto"/>
        <w:rPr>
          <w:rFonts w:ascii="宋体"/>
        </w:rPr>
      </w:pPr>
      <w:r>
        <w:rPr>
          <w:rFonts w:hint="eastAsia" w:hAnsi="宋体" w:cs="宋体"/>
          <w:b/>
          <w:bCs/>
          <w:snapToGrid w:val="0"/>
          <w:kern w:val="0"/>
        </w:rPr>
        <w:t>第</w:t>
      </w:r>
      <w:r>
        <w:rPr>
          <w:rFonts w:hint="eastAsia" w:ascii="宋体" w:hAnsi="宋体"/>
          <w:b/>
          <w:bCs/>
          <w:snapToGrid w:val="0"/>
          <w:kern w:val="0"/>
        </w:rPr>
        <w:t>54</w:t>
      </w:r>
      <w:r>
        <w:rPr>
          <w:rFonts w:hint="eastAsia"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21.1.1</w:t>
      </w:r>
      <w:r>
        <w:rPr>
          <w:rFonts w:hint="eastAsia" w:ascii="宋体" w:hAnsi="宋体" w:cs="宋体"/>
          <w:b/>
          <w:bCs/>
        </w:rPr>
        <w:t>（</w:t>
      </w:r>
      <w:r>
        <w:rPr>
          <w:rFonts w:ascii="宋体" w:hAnsi="宋体" w:cs="宋体"/>
          <w:b/>
          <w:bCs/>
        </w:rPr>
        <w:t>6</w:t>
      </w:r>
      <w:r>
        <w:rPr>
          <w:rFonts w:hint="eastAsia" w:ascii="宋体" w:hAnsi="宋体" w:cs="宋体"/>
          <w:b/>
          <w:bCs/>
        </w:rPr>
        <w:t>）目做如下解释：</w:t>
      </w:r>
    </w:p>
    <w:p>
      <w:pPr>
        <w:pStyle w:val="20"/>
        <w:adjustRightInd w:val="0"/>
        <w:snapToGrid w:val="0"/>
        <w:spacing w:line="360" w:lineRule="auto"/>
        <w:ind w:firstLine="420" w:firstLineChars="200"/>
        <w:rPr>
          <w:rFonts w:hAnsi="宋体"/>
          <w:b/>
          <w:bCs/>
        </w:rPr>
      </w:pPr>
      <w:r>
        <w:rPr>
          <w:rFonts w:hint="eastAsia" w:hAnsi="宋体"/>
        </w:rPr>
        <w:t>不可抗力的其他情形：无。</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55</w:t>
      </w:r>
      <w:r>
        <w:rPr>
          <w:rFonts w:hint="eastAsia"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22.1.1</w:t>
      </w:r>
      <w:r>
        <w:rPr>
          <w:rFonts w:hint="eastAsia" w:ascii="宋体" w:hAnsi="宋体" w:cs="宋体"/>
          <w:b/>
          <w:bCs/>
          <w:snapToGrid w:val="0"/>
          <w:kern w:val="0"/>
        </w:rPr>
        <w:t>（7）目细化为：</w:t>
      </w:r>
    </w:p>
    <w:p>
      <w:pPr>
        <w:adjustRightInd w:val="0"/>
        <w:snapToGrid w:val="0"/>
        <w:spacing w:line="360" w:lineRule="auto"/>
        <w:ind w:firstLine="420" w:firstLineChars="200"/>
        <w:rPr>
          <w:rFonts w:ascii="宋体"/>
        </w:rPr>
      </w:pPr>
      <w:r>
        <w:rPr>
          <w:rFonts w:hint="eastAsia" w:ascii="宋体" w:hAnsi="宋体" w:cs="宋体"/>
        </w:rPr>
        <w:t>承包人违反第</w:t>
      </w:r>
      <w:r>
        <w:rPr>
          <w:rFonts w:ascii="宋体" w:hAnsi="宋体" w:cs="宋体"/>
        </w:rPr>
        <w:t>4.6</w:t>
      </w:r>
      <w:r>
        <w:rPr>
          <w:rFonts w:hint="eastAsia" w:ascii="宋体" w:hAnsi="宋体" w:cs="宋体"/>
        </w:rPr>
        <w:t>款、</w:t>
      </w:r>
      <w:r>
        <w:rPr>
          <w:rFonts w:ascii="宋体" w:hAnsi="宋体" w:cs="宋体"/>
        </w:rPr>
        <w:t>4.7</w:t>
      </w:r>
      <w:r>
        <w:rPr>
          <w:rFonts w:hint="eastAsia" w:ascii="宋体" w:hAnsi="宋体" w:cs="宋体"/>
        </w:rPr>
        <w:t>款或</w:t>
      </w:r>
      <w:r>
        <w:rPr>
          <w:rFonts w:ascii="宋体" w:hAnsi="宋体" w:cs="宋体"/>
        </w:rPr>
        <w:t>6.3</w:t>
      </w:r>
      <w:r>
        <w:rPr>
          <w:rFonts w:hint="eastAsia" w:ascii="宋体" w:hAnsi="宋体" w:cs="宋体"/>
        </w:rPr>
        <w:t>款的规定，未按承诺或未按监理人的要求及时配备称职的主要管理人员、技术骨干或关键施工设备。</w:t>
      </w:r>
    </w:p>
    <w:p>
      <w:pPr>
        <w:adjustRightInd w:val="0"/>
        <w:snapToGrid w:val="0"/>
        <w:spacing w:line="360" w:lineRule="auto"/>
        <w:rPr>
          <w:rFonts w:ascii="宋体"/>
          <w:b/>
          <w:bCs/>
          <w:u w:val="single"/>
        </w:rPr>
      </w:pPr>
      <w:r>
        <w:rPr>
          <w:rFonts w:hint="eastAsia" w:ascii="宋体" w:hAnsi="宋体" w:cs="宋体"/>
          <w:b/>
          <w:bCs/>
          <w:snapToGrid w:val="0"/>
          <w:kern w:val="0"/>
        </w:rPr>
        <w:t xml:space="preserve">第56条 </w:t>
      </w:r>
      <w:r>
        <w:rPr>
          <w:rFonts w:hint="eastAsia" w:ascii="宋体" w:hAnsi="宋体" w:cs="宋体"/>
          <w:b/>
          <w:bCs/>
        </w:rPr>
        <w:t>公路工程专用合同条款第</w:t>
      </w:r>
      <w:r>
        <w:rPr>
          <w:rFonts w:ascii="宋体" w:hAnsi="宋体" w:cs="宋体"/>
          <w:b/>
          <w:bCs/>
        </w:rPr>
        <w:t>22.1.2</w:t>
      </w:r>
      <w:r>
        <w:rPr>
          <w:rFonts w:hint="eastAsia" w:ascii="宋体" w:hAnsi="宋体" w:cs="宋体"/>
          <w:b/>
          <w:bCs/>
        </w:rPr>
        <w:t>（</w:t>
      </w:r>
      <w:r>
        <w:rPr>
          <w:rFonts w:ascii="宋体" w:hAnsi="宋体" w:cs="宋体"/>
          <w:b/>
          <w:bCs/>
        </w:rPr>
        <w:t>4</w:t>
      </w:r>
      <w:r>
        <w:rPr>
          <w:rFonts w:hint="eastAsia" w:ascii="宋体" w:hAnsi="宋体" w:cs="宋体"/>
          <w:b/>
          <w:bCs/>
        </w:rPr>
        <w:t>）目细化为：</w:t>
      </w:r>
    </w:p>
    <w:p>
      <w:pPr>
        <w:adjustRightInd w:val="0"/>
        <w:snapToGrid w:val="0"/>
        <w:spacing w:line="360" w:lineRule="auto"/>
        <w:ind w:firstLine="420" w:firstLineChars="200"/>
        <w:rPr>
          <w:rFonts w:ascii="宋体"/>
        </w:rPr>
      </w:pPr>
      <w:r>
        <w:rPr>
          <w:rFonts w:hint="eastAsia" w:ascii="宋体" w:hAnsi="宋体" w:cs="宋体"/>
        </w:rPr>
        <w:t>当承包人发生第</w:t>
      </w:r>
      <w:r>
        <w:rPr>
          <w:rFonts w:ascii="宋体" w:hAnsi="宋体" w:cs="宋体"/>
        </w:rPr>
        <w:t>22.1.1</w:t>
      </w:r>
      <w:r>
        <w:rPr>
          <w:rFonts w:hint="eastAsia" w:ascii="宋体" w:hAnsi="宋体" w:cs="宋体"/>
        </w:rPr>
        <w:t>项约定的违约情况时，无论发包人是否解除合同，发包人有权向承包人课以违约金，违约金为</w:t>
      </w:r>
      <w:r>
        <w:rPr>
          <w:rFonts w:ascii="宋体" w:hAnsi="宋体" w:cs="宋体"/>
        </w:rPr>
        <w:t>5</w:t>
      </w:r>
      <w:r>
        <w:rPr>
          <w:rFonts w:hint="eastAsia" w:ascii="宋体" w:hAnsi="宋体" w:cs="宋体"/>
        </w:rPr>
        <w:t>万元</w:t>
      </w:r>
      <w:r>
        <w:rPr>
          <w:rFonts w:ascii="宋体" w:hAnsi="宋体" w:cs="宋体"/>
        </w:rPr>
        <w:t>/</w:t>
      </w:r>
      <w:r>
        <w:rPr>
          <w:rFonts w:hint="eastAsia" w:ascii="宋体" w:hAnsi="宋体" w:cs="宋体"/>
        </w:rPr>
        <w:t>次，从承包人当期计量款中扣除。监理人应根据承包人违约情节严重程度做出处罚指示，并附有相关资料及说明上报发包人。并由发包人将其违约行为上报省级公路主管部门，作为不良记录纳入公路建设市场信用信息管理系统。</w:t>
      </w:r>
    </w:p>
    <w:p>
      <w:pPr>
        <w:adjustRightInd w:val="0"/>
        <w:snapToGrid w:val="0"/>
        <w:spacing w:line="360" w:lineRule="auto"/>
        <w:ind w:firstLine="420" w:firstLineChars="200"/>
        <w:rPr>
          <w:rFonts w:ascii="宋体"/>
        </w:rPr>
      </w:pPr>
      <w:r>
        <w:rPr>
          <w:rFonts w:hint="eastAsia" w:ascii="宋体" w:hAnsi="宋体" w:cs="宋体"/>
        </w:rPr>
        <w:t>此外，承包人发生下述违约现象后，发包人可依据下列具体情况扣除承包人的违约金：</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）承包人在监理人规定的截止日期前，投标书附表中所列的项目经理、项目总工程师没有按时进场，或进场后，未经批准又离开工地，发包人将按</w:t>
      </w:r>
      <w:r>
        <w:rPr>
          <w:rFonts w:ascii="宋体" w:hAnsi="宋体" w:cs="宋体"/>
        </w:rPr>
        <w:t>1</w:t>
      </w:r>
      <w:r>
        <w:rPr>
          <w:rFonts w:hint="eastAsia" w:ascii="宋体" w:hAnsi="宋体" w:cs="宋体"/>
        </w:rPr>
        <w:t>万元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天扣除违约金，其他主要管理人员将按5000元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天扣除违约金，直至缺员进场为止。</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）承包人</w:t>
      </w:r>
      <w:r>
        <w:rPr>
          <w:rFonts w:hint="eastAsia" w:ascii="宋体" w:hAnsi="宋体" w:cs="宋体"/>
          <w:snapToGrid w:val="0"/>
          <w:kern w:val="0"/>
        </w:rPr>
        <w:t>无法按</w:t>
      </w:r>
      <w:r>
        <w:rPr>
          <w:rFonts w:hint="eastAsia" w:ascii="宋体" w:hAnsi="宋体" w:cs="宋体"/>
        </w:rPr>
        <w:t>承诺的名单安排施工场地的主要管理人员和技术骨干，在</w:t>
      </w:r>
      <w:r>
        <w:rPr>
          <w:rFonts w:hint="eastAsia" w:ascii="宋体" w:hAnsi="宋体" w:cs="宋体"/>
          <w:snapToGrid w:val="0"/>
          <w:kern w:val="0"/>
        </w:rPr>
        <w:t>取得监理人的同意后可以进行变更，但发包人有权可对承包人课以每人次</w:t>
      </w:r>
      <w:r>
        <w:rPr>
          <w:rFonts w:ascii="宋体" w:hAnsi="宋体" w:cs="宋体"/>
          <w:snapToGrid w:val="0"/>
          <w:kern w:val="0"/>
        </w:rPr>
        <w:t>1</w:t>
      </w:r>
      <w:r>
        <w:rPr>
          <w:rFonts w:hint="eastAsia" w:ascii="宋体" w:hAnsi="宋体" w:cs="宋体"/>
          <w:snapToGrid w:val="0"/>
          <w:kern w:val="0"/>
        </w:rPr>
        <w:t>万元以上</w:t>
      </w:r>
      <w:r>
        <w:rPr>
          <w:rFonts w:ascii="宋体" w:hAnsi="宋体" w:cs="宋体"/>
          <w:snapToGrid w:val="0"/>
          <w:kern w:val="0"/>
        </w:rPr>
        <w:t>5</w:t>
      </w:r>
      <w:r>
        <w:rPr>
          <w:rFonts w:hint="eastAsia" w:ascii="宋体" w:hAnsi="宋体" w:cs="宋体"/>
          <w:snapToGrid w:val="0"/>
          <w:kern w:val="0"/>
        </w:rPr>
        <w:t>万元以下的违约金，直至终止合同。</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）在工程实施期间，承包人应制定阶段性工期目标并提交监理人批准，并努力完成工期目标。若承包人不能完成工期目标，则按</w:t>
      </w:r>
      <w:r>
        <w:rPr>
          <w:rFonts w:ascii="宋体" w:hAnsi="宋体" w:cs="宋体"/>
        </w:rPr>
        <w:t>2</w:t>
      </w:r>
      <w:r>
        <w:rPr>
          <w:rFonts w:hint="eastAsia" w:ascii="宋体" w:hAnsi="宋体" w:cs="宋体"/>
        </w:rPr>
        <w:t>万元</w:t>
      </w:r>
      <w:r>
        <w:rPr>
          <w:rFonts w:ascii="宋体" w:hAnsi="宋体" w:cs="宋体"/>
        </w:rPr>
        <w:t>/</w:t>
      </w:r>
      <w:r>
        <w:rPr>
          <w:rFonts w:hint="eastAsia" w:ascii="宋体" w:hAnsi="宋体" w:cs="宋体"/>
        </w:rPr>
        <w:t>天标准扣除承包人的违约金。</w:t>
      </w:r>
    </w:p>
    <w:p>
      <w:pPr>
        <w:adjustRightInd w:val="0"/>
        <w:snapToGrid w:val="0"/>
        <w:spacing w:line="360" w:lineRule="auto"/>
        <w:ind w:firstLine="420" w:firstLineChars="200"/>
        <w:rPr>
          <w:rFonts w:ascii="宋体"/>
          <w:snapToGrid w:val="0"/>
          <w:kern w:val="0"/>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snapToGrid w:val="0"/>
          <w:kern w:val="0"/>
        </w:rPr>
        <w:t>承包人承诺的施工设备和试验检验测量设备未按时到达现场或到达现场后中途调离，视为承包人违约，发包人有权要求该设备马上到达或返回现场，并可对承包人课以关键必要施工设备每台（套）人民币</w:t>
      </w:r>
      <w:r>
        <w:rPr>
          <w:rFonts w:ascii="宋体" w:hAnsi="宋体" w:cs="宋体"/>
          <w:snapToGrid w:val="0"/>
          <w:kern w:val="0"/>
        </w:rPr>
        <w:t>30</w:t>
      </w:r>
      <w:r>
        <w:rPr>
          <w:rFonts w:hint="eastAsia" w:ascii="宋体" w:hAnsi="宋体" w:cs="宋体"/>
          <w:snapToGrid w:val="0"/>
          <w:kern w:val="0"/>
        </w:rPr>
        <w:t>万元的违约金，其他主要设备每台（套）人民币</w:t>
      </w:r>
      <w:r>
        <w:rPr>
          <w:rFonts w:ascii="宋体" w:hAnsi="宋体" w:cs="宋体"/>
          <w:snapToGrid w:val="0"/>
          <w:kern w:val="0"/>
        </w:rPr>
        <w:t>10</w:t>
      </w:r>
      <w:r>
        <w:rPr>
          <w:rFonts w:hint="eastAsia" w:ascii="宋体" w:hAnsi="宋体" w:cs="宋体"/>
          <w:snapToGrid w:val="0"/>
          <w:kern w:val="0"/>
        </w:rPr>
        <w:t>万元的违约金，直至合同结束。</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）在施工期间，承包人若违反施工操作及管理程序，一经发现，则按</w:t>
      </w:r>
      <w:r>
        <w:rPr>
          <w:rFonts w:ascii="宋体" w:hAnsi="宋体" w:cs="宋体"/>
        </w:rPr>
        <w:t>5</w:t>
      </w:r>
      <w:r>
        <w:rPr>
          <w:rFonts w:hint="eastAsia" w:ascii="宋体" w:hAnsi="宋体" w:cs="宋体"/>
        </w:rPr>
        <w:t>万元</w:t>
      </w:r>
      <w:r>
        <w:rPr>
          <w:rFonts w:ascii="宋体" w:hAnsi="宋体" w:cs="宋体"/>
        </w:rPr>
        <w:t>/</w:t>
      </w:r>
      <w:r>
        <w:rPr>
          <w:rFonts w:hint="eastAsia" w:ascii="宋体" w:hAnsi="宋体" w:cs="宋体"/>
        </w:rPr>
        <w:t>次标准扣除承包人的违约金。</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）承包人在施工期间如果在各种报表及检查试验记录中自己作假或诱导监理人作假，一经查实，发包人将按每次</w:t>
      </w:r>
      <w:r>
        <w:rPr>
          <w:rFonts w:ascii="宋体" w:hAnsi="宋体" w:cs="宋体"/>
        </w:rPr>
        <w:t>10</w:t>
      </w:r>
      <w:r>
        <w:rPr>
          <w:rFonts w:hint="eastAsia" w:ascii="宋体" w:hAnsi="宋体" w:cs="宋体"/>
        </w:rPr>
        <w:t>万元的标准扣除承包人的违约金。</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）承包人应无条件接受上级交通主管部门、质量监督部门、发包人及监理人的质量检查或抽查，如发现承包人出现降低施工标准或偷工减料或出现较大质量问题，发包人将按每次</w:t>
      </w:r>
      <w:r>
        <w:rPr>
          <w:rFonts w:ascii="宋体" w:hAnsi="宋体" w:cs="宋体"/>
        </w:rPr>
        <w:t>10</w:t>
      </w:r>
      <w:r>
        <w:rPr>
          <w:rFonts w:hint="eastAsia" w:ascii="宋体" w:hAnsi="宋体" w:cs="宋体"/>
        </w:rPr>
        <w:t>万元的标准扣除承包人的违约金。</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）承包人在施工期间未能做好环境保护工作，使得周边环境遭到破坏或污染，经监理人</w:t>
      </w:r>
      <w:r>
        <w:rPr>
          <w:rFonts w:ascii="宋体" w:hAnsi="宋体" w:cs="宋体"/>
        </w:rPr>
        <w:t>/</w:t>
      </w:r>
      <w:r>
        <w:rPr>
          <w:rFonts w:hint="eastAsia" w:ascii="宋体" w:hAnsi="宋体" w:cs="宋体"/>
        </w:rPr>
        <w:t>发包人认可后或相关部门认定后，除赔偿损失外，每次按照</w:t>
      </w:r>
      <w:r>
        <w:rPr>
          <w:rFonts w:ascii="宋体" w:hAnsi="宋体" w:cs="宋体"/>
        </w:rPr>
        <w:t>1-10</w:t>
      </w:r>
      <w:r>
        <w:rPr>
          <w:rFonts w:hint="eastAsia" w:ascii="宋体" w:hAnsi="宋体" w:cs="宋体"/>
        </w:rPr>
        <w:t>万元的标准扣除承包人的违约金。</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）承包人未在保修期内及时履行保修责任的，除应按发包人要求支付维修费用外，还应按每次</w:t>
      </w:r>
      <w:r>
        <w:rPr>
          <w:rFonts w:ascii="宋体" w:hAnsi="宋体" w:cs="宋体"/>
        </w:rPr>
        <w:t>10</w:t>
      </w:r>
      <w:r>
        <w:rPr>
          <w:rFonts w:hint="eastAsia" w:ascii="宋体" w:hAnsi="宋体" w:cs="宋体"/>
        </w:rPr>
        <w:t>万元的标准承担违约责任。</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10</w:t>
      </w:r>
      <w:r>
        <w:rPr>
          <w:rFonts w:hint="eastAsia" w:ascii="宋体" w:hAnsi="宋体" w:cs="宋体"/>
        </w:rPr>
        <w:t>）发包人按照本合同约定向承包人收取的违约金、罚金、损失等费用，发包人有权直接自承包人的履约保证金及发包人应付承包人的工程款中直接扣除。</w:t>
      </w:r>
    </w:p>
    <w:p>
      <w:pPr>
        <w:adjustRightInd w:val="0"/>
        <w:snapToGrid w:val="0"/>
        <w:spacing w:line="360" w:lineRule="auto"/>
        <w:ind w:firstLine="420" w:firstLineChars="200"/>
        <w:rPr>
          <w:rFonts w:cs="宋体"/>
        </w:rPr>
      </w:pPr>
      <w:r>
        <w:rPr>
          <w:rFonts w:hint="eastAsia" w:cs="宋体"/>
        </w:rPr>
        <w:t>（</w:t>
      </w:r>
      <w:r>
        <w:rPr>
          <w:rFonts w:ascii="宋体" w:hAnsi="宋体"/>
        </w:rPr>
        <w:t>11</w:t>
      </w:r>
      <w:r>
        <w:rPr>
          <w:rFonts w:hint="eastAsia" w:ascii="宋体" w:hAnsi="宋体" w:cs="宋体"/>
        </w:rPr>
        <w:t>）经发包人、总监办下发或审核批复的总体工程计划及年度工程计划、节点工程组织实施计划目标、阶段性工程计划指标等，承包人必须严格执行，凡未能按照计划工程组织实施的相关单位，建设单位有权课以</w:t>
      </w:r>
      <w:r>
        <w:rPr>
          <w:rFonts w:ascii="宋体" w:hAnsi="宋体"/>
        </w:rPr>
        <w:t>5—50</w:t>
      </w:r>
      <w:r>
        <w:rPr>
          <w:rFonts w:hint="eastAsia" w:cs="宋体"/>
        </w:rPr>
        <w:t>万元违约金。</w:t>
      </w:r>
    </w:p>
    <w:p>
      <w:pPr>
        <w:adjustRightInd w:val="0"/>
        <w:snapToGrid w:val="0"/>
        <w:spacing w:line="360" w:lineRule="auto"/>
        <w:rPr>
          <w:rFonts w:cs="宋体"/>
        </w:rPr>
      </w:pPr>
      <w:r>
        <w:rPr>
          <w:rFonts w:hint="eastAsia" w:ascii="宋体" w:hAnsi="宋体" w:cs="宋体"/>
          <w:b/>
          <w:bCs/>
          <w:snapToGrid w:val="0"/>
          <w:kern w:val="0"/>
        </w:rPr>
        <w:t>第57条 公路工程</w:t>
      </w:r>
      <w:r>
        <w:rPr>
          <w:rFonts w:hint="eastAsia" w:ascii="宋体" w:hAnsi="宋体" w:cs="宋体"/>
          <w:b/>
          <w:bCs/>
        </w:rPr>
        <w:t>专用合同条款第22.2.2 目细化为：</w:t>
      </w:r>
    </w:p>
    <w:p>
      <w:pPr>
        <w:adjustRightInd w:val="0"/>
        <w:snapToGrid w:val="0"/>
        <w:spacing w:line="360" w:lineRule="auto"/>
        <w:ind w:firstLine="420" w:firstLineChars="200"/>
        <w:rPr>
          <w:rFonts w:ascii="宋体"/>
        </w:rPr>
      </w:pPr>
      <w:r>
        <w:rPr>
          <w:rFonts w:hint="eastAsia" w:cs="宋体"/>
        </w:rPr>
        <w:t>发包人无正当理由不按时返还履约保证金、质量保证金或农民工工资保证金的，发包人应向承包人支付的违约金如下：发包人不按期支付的，按银行同期利率向承包人支付逾期付款违约金。违约金计算基数为发包人的全部付款额，时间从应付而未付该款额之日算起（不计复利）。</w:t>
      </w:r>
    </w:p>
    <w:p>
      <w:pPr>
        <w:pStyle w:val="20"/>
        <w:adjustRightInd w:val="0"/>
        <w:snapToGrid w:val="0"/>
        <w:spacing w:line="360" w:lineRule="auto"/>
        <w:rPr>
          <w:rFonts w:hAnsi="宋体"/>
          <w:snapToGrid w:val="0"/>
          <w:kern w:val="0"/>
        </w:rPr>
      </w:pPr>
      <w:r>
        <w:rPr>
          <w:rFonts w:hint="eastAsia" w:hAnsi="宋体"/>
          <w:b/>
          <w:bCs/>
          <w:snapToGrid w:val="0"/>
          <w:kern w:val="0"/>
        </w:rPr>
        <w:t xml:space="preserve">第58条 </w:t>
      </w:r>
      <w:r>
        <w:rPr>
          <w:rFonts w:hint="eastAsia" w:hAnsi="宋体"/>
          <w:b/>
          <w:bCs/>
        </w:rPr>
        <w:t>通用合同条款补充第</w:t>
      </w:r>
      <w:r>
        <w:rPr>
          <w:rFonts w:hAnsi="宋体"/>
          <w:b/>
          <w:bCs/>
        </w:rPr>
        <w:t>23.5</w:t>
      </w:r>
      <w:r>
        <w:rPr>
          <w:rFonts w:hint="eastAsia" w:hAnsi="宋体"/>
          <w:b/>
          <w:bCs/>
        </w:rPr>
        <w:t>款：</w:t>
      </w:r>
    </w:p>
    <w:p>
      <w:pPr>
        <w:adjustRightInd w:val="0"/>
        <w:snapToGrid w:val="0"/>
        <w:spacing w:line="360" w:lineRule="auto"/>
        <w:ind w:firstLine="420" w:firstLineChars="200"/>
        <w:rPr>
          <w:rFonts w:ascii="宋体"/>
        </w:rPr>
      </w:pPr>
      <w:r>
        <w:rPr>
          <w:rFonts w:hint="eastAsia" w:ascii="宋体" w:hAnsi="宋体" w:cs="宋体"/>
        </w:rPr>
        <w:t>承包人、监理人和发包人三方，都有预防索赔发生的责任和义务。共同做好索赔预防工作，尽可能减少和杜绝索赔的发生</w:t>
      </w:r>
      <w:r>
        <w:rPr>
          <w:rFonts w:ascii="宋体" w:cs="宋体"/>
        </w:rPr>
        <w:t>,</w:t>
      </w:r>
      <w:r>
        <w:rPr>
          <w:rFonts w:hint="eastAsia" w:ascii="宋体" w:hAnsi="宋体" w:cs="宋体"/>
        </w:rPr>
        <w:t>不符合索赔程序和不真实的索赔资料发包人有权拒绝索赔</w:t>
      </w:r>
      <w:r>
        <w:rPr>
          <w:rFonts w:ascii="宋体" w:cs="宋体"/>
        </w:rPr>
        <w:t>,</w:t>
      </w:r>
      <w:r>
        <w:rPr>
          <w:rFonts w:hint="eastAsia" w:ascii="宋体" w:hAnsi="宋体" w:cs="宋体"/>
        </w:rPr>
        <w:t>逾期送达的索赔发包人将不予受理。</w:t>
      </w:r>
    </w:p>
    <w:p>
      <w:pPr>
        <w:adjustRightInd w:val="0"/>
        <w:snapToGrid w:val="0"/>
        <w:spacing w:line="360" w:lineRule="auto"/>
        <w:rPr>
          <w:rFonts w:ascii="宋体" w:hAnsi="宋体"/>
          <w:b/>
          <w:bCs/>
          <w:snapToGrid w:val="0"/>
          <w:kern w:val="0"/>
        </w:rPr>
      </w:pPr>
      <w:r>
        <w:rPr>
          <w:rFonts w:hint="eastAsia" w:hAnsi="宋体" w:cs="宋体"/>
          <w:b/>
          <w:bCs/>
          <w:snapToGrid w:val="0"/>
          <w:kern w:val="0"/>
        </w:rPr>
        <w:t>第</w:t>
      </w:r>
      <w:r>
        <w:rPr>
          <w:rFonts w:hint="eastAsia" w:ascii="宋体" w:hAnsi="宋体"/>
          <w:b/>
          <w:bCs/>
          <w:snapToGrid w:val="0"/>
          <w:kern w:val="0"/>
        </w:rPr>
        <w:t>59</w:t>
      </w:r>
      <w:r>
        <w:rPr>
          <w:rFonts w:hint="eastAsia" w:ascii="宋体" w:hAnsi="宋体" w:cs="宋体"/>
          <w:b/>
          <w:bCs/>
          <w:snapToGrid w:val="0"/>
          <w:kern w:val="0"/>
        </w:rPr>
        <w:t>条 通用合同条款第</w:t>
      </w:r>
      <w:r>
        <w:rPr>
          <w:rFonts w:ascii="宋体" w:hAnsi="宋体" w:cs="宋体"/>
          <w:b/>
          <w:bCs/>
          <w:snapToGrid w:val="0"/>
          <w:kern w:val="0"/>
        </w:rPr>
        <w:t>24.1</w:t>
      </w:r>
      <w:r>
        <w:rPr>
          <w:rFonts w:hint="eastAsia" w:ascii="宋体" w:hAnsi="宋体" w:cs="宋体"/>
          <w:b/>
          <w:bCs/>
          <w:snapToGrid w:val="0"/>
          <w:kern w:val="0"/>
        </w:rPr>
        <w:t>（</w:t>
      </w:r>
      <w:r>
        <w:rPr>
          <w:rFonts w:ascii="宋体" w:hAnsi="宋体" w:cs="宋体"/>
          <w:b/>
          <w:bCs/>
          <w:snapToGrid w:val="0"/>
          <w:kern w:val="0"/>
        </w:rPr>
        <w:t>1</w:t>
      </w:r>
      <w:r>
        <w:rPr>
          <w:rFonts w:hint="eastAsia" w:ascii="宋体" w:hAnsi="宋体" w:cs="宋体"/>
          <w:b/>
          <w:bCs/>
          <w:snapToGrid w:val="0"/>
          <w:kern w:val="0"/>
        </w:rPr>
        <w:t>）款做如下解释：</w:t>
      </w:r>
    </w:p>
    <w:p>
      <w:pPr>
        <w:pStyle w:val="20"/>
        <w:adjustRightInd w:val="0"/>
        <w:snapToGrid w:val="0"/>
        <w:spacing w:line="360" w:lineRule="auto"/>
        <w:ind w:firstLine="420" w:firstLineChars="200"/>
        <w:rPr>
          <w:rFonts w:hAnsi="宋体"/>
          <w:snapToGrid w:val="0"/>
          <w:kern w:val="0"/>
        </w:rPr>
      </w:pPr>
      <w:r>
        <w:rPr>
          <w:rFonts w:hint="eastAsia" w:hAnsi="宋体"/>
        </w:rPr>
        <w:t>争议的最终解决方式：向发包人所在地有管辖权的人民法院诉讼。</w:t>
      </w:r>
    </w:p>
    <w:p>
      <w:pPr>
        <w:adjustRightInd w:val="0"/>
        <w:snapToGrid w:val="0"/>
        <w:spacing w:line="360" w:lineRule="auto"/>
        <w:rPr>
          <w:rFonts w:ascii="宋体"/>
          <w:b/>
          <w:bCs/>
        </w:rPr>
      </w:pPr>
      <w:r>
        <w:rPr>
          <w:rFonts w:hint="eastAsia" w:ascii="宋体" w:hAnsi="宋体" w:cs="宋体"/>
          <w:b/>
          <w:bCs/>
          <w:snapToGrid w:val="0"/>
          <w:kern w:val="0"/>
        </w:rPr>
        <w:t>第</w:t>
      </w:r>
      <w:r>
        <w:rPr>
          <w:rFonts w:hint="eastAsia" w:ascii="宋体" w:hAnsi="宋体"/>
          <w:b/>
          <w:bCs/>
          <w:snapToGrid w:val="0"/>
          <w:kern w:val="0"/>
        </w:rPr>
        <w:t>60</w:t>
      </w:r>
      <w:r>
        <w:rPr>
          <w:rFonts w:hint="eastAsia" w:hAnsi="宋体" w:cs="宋体"/>
          <w:b/>
          <w:bCs/>
          <w:snapToGrid w:val="0"/>
          <w:kern w:val="0"/>
        </w:rPr>
        <w:t xml:space="preserve">条 </w:t>
      </w:r>
      <w:r>
        <w:rPr>
          <w:rFonts w:hint="eastAsia" w:ascii="宋体" w:hAnsi="宋体" w:cs="宋体"/>
          <w:b/>
          <w:bCs/>
        </w:rPr>
        <w:t>新增</w:t>
      </w:r>
    </w:p>
    <w:p>
      <w:pPr>
        <w:adjustRightInd w:val="0"/>
        <w:snapToGrid w:val="0"/>
        <w:spacing w:line="360" w:lineRule="auto"/>
        <w:ind w:firstLine="357" w:firstLineChars="170"/>
        <w:rPr>
          <w:rFonts w:ascii="宋体"/>
        </w:rPr>
      </w:pPr>
      <w:r>
        <w:rPr>
          <w:rFonts w:hint="eastAsia" w:ascii="宋体" w:hAnsi="宋体" w:cs="宋体"/>
        </w:rPr>
        <w:t>该工程应按发包人的要求，作好搞好该工程文明施工的相关工作，承包人投入相应文明施工费，并综合考虑保证文明施工的具体措施和相应费用（费用已含在投标报价中，不予单独列项）。</w:t>
      </w:r>
    </w:p>
    <w:p>
      <w:pPr>
        <w:adjustRightInd w:val="0"/>
        <w:snapToGrid w:val="0"/>
        <w:spacing w:line="360" w:lineRule="auto"/>
        <w:ind w:firstLine="357" w:firstLineChars="170"/>
        <w:rPr>
          <w:rFonts w:ascii="宋体"/>
        </w:rPr>
      </w:pPr>
      <w:r>
        <w:rPr>
          <w:rFonts w:hint="eastAsia" w:ascii="宋体" w:hAnsi="宋体" w:cs="宋体"/>
        </w:rPr>
        <w:t>安全生产费用主要用于完善、改造和维护安全防护设备、设施，配备必要的应急救援器材、设备和现场作业人员安全防护物品，安全生产检查与评价，重大危险源、重大事故隐患的评估、整改、监控，安全技能培训及进行应急救援演练，其他与安全生产直接相关的方面。</w:t>
      </w:r>
    </w:p>
    <w:p>
      <w:pPr>
        <w:adjustRightInd w:val="0"/>
        <w:snapToGrid w:val="0"/>
        <w:spacing w:line="360" w:lineRule="auto"/>
        <w:ind w:firstLine="357" w:firstLineChars="170"/>
        <w:rPr>
          <w:rFonts w:ascii="宋体"/>
          <w:snapToGrid w:val="0"/>
          <w:kern w:val="0"/>
        </w:rPr>
      </w:pPr>
      <w:r>
        <w:rPr>
          <w:rFonts w:hint="eastAsia" w:ascii="宋体" w:hAnsi="宋体" w:cs="宋体"/>
        </w:rPr>
        <w:t>承包人应当建立健全内部安全费用管理制度，明确安全费用使用、管理的程序、职责及权限，接受相关管理部门和发包人、监理人的监督。该项所有费用支出必须得到发包人、监理人的批准。</w:t>
      </w:r>
    </w:p>
    <w:p>
      <w:pPr>
        <w:widowControl/>
        <w:spacing w:line="360" w:lineRule="auto"/>
        <w:jc w:val="left"/>
        <w:rPr>
          <w:rFonts w:ascii="宋体"/>
          <w:b/>
          <w:bCs/>
        </w:rPr>
      </w:pPr>
      <w:r>
        <w:rPr>
          <w:rFonts w:hint="eastAsia" w:hAnsi="宋体" w:cs="宋体"/>
          <w:b/>
          <w:bCs/>
          <w:snapToGrid w:val="0"/>
          <w:kern w:val="0"/>
        </w:rPr>
        <w:t>第</w:t>
      </w:r>
      <w:r>
        <w:rPr>
          <w:rFonts w:hint="eastAsia" w:ascii="宋体" w:hAnsi="宋体"/>
          <w:b/>
          <w:bCs/>
          <w:snapToGrid w:val="0"/>
          <w:kern w:val="0"/>
        </w:rPr>
        <w:t>61</w:t>
      </w:r>
      <w:r>
        <w:rPr>
          <w:rFonts w:hint="eastAsia" w:hAnsi="宋体" w:cs="宋体"/>
          <w:b/>
          <w:bCs/>
          <w:snapToGrid w:val="0"/>
          <w:kern w:val="0"/>
        </w:rPr>
        <w:t xml:space="preserve">条 </w:t>
      </w:r>
      <w:r>
        <w:rPr>
          <w:rFonts w:hint="eastAsia" w:ascii="宋体" w:hAnsi="宋体" w:cs="宋体"/>
          <w:b/>
          <w:bCs/>
        </w:rPr>
        <w:t>新增</w:t>
      </w:r>
    </w:p>
    <w:p>
      <w:pPr>
        <w:pStyle w:val="20"/>
        <w:adjustRightInd w:val="0"/>
        <w:snapToGrid w:val="0"/>
        <w:spacing w:line="360" w:lineRule="auto"/>
        <w:ind w:firstLine="420" w:firstLineChars="200"/>
        <w:rPr>
          <w:rFonts w:hAnsi="宋体"/>
        </w:rPr>
      </w:pPr>
      <w:r>
        <w:rPr>
          <w:rFonts w:hint="eastAsia" w:hAnsi="宋体"/>
        </w:rPr>
        <w:t>承包人应按照《天津市公路工程施工标准化管理指南》施工和进行工地建设。</w:t>
      </w:r>
    </w:p>
    <w:p>
      <w:pPr>
        <w:adjustRightInd w:val="0"/>
        <w:snapToGrid w:val="0"/>
        <w:spacing w:line="360" w:lineRule="auto"/>
        <w:rPr>
          <w:rFonts w:ascii="宋体"/>
          <w:b/>
          <w:bCs/>
        </w:rPr>
      </w:pPr>
      <w:r>
        <w:rPr>
          <w:rFonts w:hint="eastAsia" w:hAnsi="宋体" w:cs="宋体"/>
          <w:b/>
          <w:bCs/>
          <w:snapToGrid w:val="0"/>
          <w:kern w:val="0"/>
        </w:rPr>
        <w:t>第</w:t>
      </w:r>
      <w:r>
        <w:rPr>
          <w:rFonts w:hint="eastAsia" w:ascii="宋体" w:hAnsi="宋体"/>
          <w:b/>
          <w:bCs/>
          <w:snapToGrid w:val="0"/>
          <w:kern w:val="0"/>
        </w:rPr>
        <w:t>62</w:t>
      </w:r>
      <w:r>
        <w:rPr>
          <w:rFonts w:hint="eastAsia" w:hAnsi="宋体" w:cs="宋体"/>
          <w:b/>
          <w:bCs/>
          <w:snapToGrid w:val="0"/>
          <w:kern w:val="0"/>
        </w:rPr>
        <w:t xml:space="preserve">条 </w:t>
      </w:r>
      <w:r>
        <w:rPr>
          <w:rFonts w:hint="eastAsia" w:ascii="宋体" w:hAnsi="宋体" w:cs="宋体"/>
          <w:b/>
          <w:bCs/>
        </w:rPr>
        <w:t>新增</w:t>
      </w:r>
    </w:p>
    <w:p>
      <w:pPr>
        <w:pStyle w:val="20"/>
        <w:adjustRightInd w:val="0"/>
        <w:snapToGrid w:val="0"/>
        <w:spacing w:line="360" w:lineRule="auto"/>
        <w:ind w:firstLine="420" w:firstLineChars="200"/>
        <w:rPr>
          <w:rFonts w:hAnsi="宋体"/>
          <w:b/>
          <w:bCs/>
          <w:snapToGrid w:val="0"/>
          <w:kern w:val="0"/>
        </w:rPr>
      </w:pPr>
      <w:r>
        <w:rPr>
          <w:rFonts w:hint="eastAsia" w:hAnsi="宋体"/>
          <w:snapToGrid w:val="0"/>
          <w:kern w:val="0"/>
        </w:rPr>
        <w:t>承包人应严格遵守《</w:t>
      </w:r>
      <w:r>
        <w:rPr>
          <w:rFonts w:hint="eastAsia" w:hAnsi="宋体"/>
        </w:rPr>
        <w:t>天津市治理车辆非法超限超载规定</w:t>
      </w:r>
      <w:r>
        <w:rPr>
          <w:rFonts w:hint="eastAsia" w:hAnsi="宋体"/>
          <w:snapToGrid w:val="0"/>
          <w:kern w:val="0"/>
        </w:rPr>
        <w:t>》、《</w:t>
      </w:r>
      <w:r>
        <w:rPr>
          <w:rFonts w:hint="eastAsia" w:hAnsi="宋体"/>
        </w:rPr>
        <w:t>天津市建立长效治理车辆超限超载工作责任机制实施办法</w:t>
      </w:r>
      <w:r>
        <w:rPr>
          <w:rFonts w:hint="eastAsia" w:hAnsi="宋体"/>
          <w:snapToGrid w:val="0"/>
          <w:kern w:val="0"/>
        </w:rPr>
        <w:t>》等相关规定。</w:t>
      </w:r>
      <w:r>
        <w:rPr>
          <w:rFonts w:hint="eastAsia" w:hAnsi="宋体"/>
        </w:rPr>
        <w:t>承包人应对建筑材料运输实施有效管理，要与运输单位、供料商等项目参建单位签订禁止超限超载运输协议，发现违规运输车辆立即清除出场。对公路等相关设施造成损害的，还应按赔</w:t>
      </w:r>
      <w:r>
        <w:rPr>
          <w:rFonts w:hAnsi="宋体"/>
        </w:rPr>
        <w:t>(</w:t>
      </w:r>
      <w:r>
        <w:rPr>
          <w:rFonts w:hint="eastAsia" w:hAnsi="宋体"/>
        </w:rPr>
        <w:t>补</w:t>
      </w:r>
      <w:r>
        <w:rPr>
          <w:rFonts w:hAnsi="宋体"/>
        </w:rPr>
        <w:t>)</w:t>
      </w:r>
      <w:r>
        <w:rPr>
          <w:rFonts w:hint="eastAsia" w:hAnsi="宋体"/>
        </w:rPr>
        <w:t>偿标准缴纳公路赔</w:t>
      </w:r>
      <w:r>
        <w:rPr>
          <w:rFonts w:hAnsi="宋体"/>
        </w:rPr>
        <w:t>(</w:t>
      </w:r>
      <w:r>
        <w:rPr>
          <w:rFonts w:hint="eastAsia" w:hAnsi="宋体"/>
        </w:rPr>
        <w:t>补</w:t>
      </w:r>
      <w:r>
        <w:rPr>
          <w:rFonts w:hAnsi="宋体"/>
        </w:rPr>
        <w:t>)</w:t>
      </w:r>
      <w:r>
        <w:rPr>
          <w:rFonts w:hint="eastAsia" w:hAnsi="宋体"/>
        </w:rPr>
        <w:t>偿费。</w:t>
      </w:r>
    </w:p>
    <w:p>
      <w:pPr>
        <w:adjustRightInd w:val="0"/>
        <w:snapToGrid w:val="0"/>
        <w:spacing w:line="360" w:lineRule="auto"/>
        <w:rPr>
          <w:rFonts w:ascii="宋体"/>
          <w:b/>
          <w:bCs/>
        </w:rPr>
      </w:pPr>
      <w:r>
        <w:rPr>
          <w:rFonts w:hint="eastAsia" w:hAnsi="宋体" w:cs="宋体"/>
          <w:b/>
          <w:bCs/>
          <w:snapToGrid w:val="0"/>
          <w:kern w:val="0"/>
        </w:rPr>
        <w:t>第</w:t>
      </w:r>
      <w:r>
        <w:rPr>
          <w:rFonts w:hint="eastAsia" w:ascii="宋体" w:hAnsi="宋体"/>
          <w:b/>
          <w:bCs/>
          <w:snapToGrid w:val="0"/>
          <w:kern w:val="0"/>
        </w:rPr>
        <w:t>63</w:t>
      </w:r>
      <w:r>
        <w:rPr>
          <w:rFonts w:hint="eastAsia" w:hAnsi="宋体" w:cs="宋体"/>
          <w:b/>
          <w:bCs/>
          <w:snapToGrid w:val="0"/>
          <w:kern w:val="0"/>
        </w:rPr>
        <w:t xml:space="preserve">条 </w:t>
      </w:r>
      <w:r>
        <w:rPr>
          <w:rFonts w:hint="eastAsia" w:ascii="宋体" w:hAnsi="宋体" w:cs="宋体"/>
          <w:b/>
          <w:bCs/>
        </w:rPr>
        <w:t>新增</w:t>
      </w:r>
    </w:p>
    <w:p>
      <w:pPr>
        <w:spacing w:line="360" w:lineRule="auto"/>
        <w:ind w:firstLine="420" w:firstLineChars="200"/>
        <w:rPr>
          <w:rFonts w:ascii="宋体" w:hAnsi="宋体"/>
          <w:szCs w:val="21"/>
        </w:rPr>
      </w:pPr>
      <w:r>
        <w:rPr>
          <w:rFonts w:hint="eastAsia" w:ascii="宋体" w:hAnsi="宋体"/>
          <w:szCs w:val="21"/>
        </w:rPr>
        <w:t>承包人应按照天津市公路工程施工标准化技术指南、安全标准化技术指南、扬尘治理“八个百分之百”相关要求组织工程建设，按照要求安装扬尘监控系统并保证正常使用，预制梁场建设方案需经发包人、监理单位认可后方可建设，经验收合格后方可投入使用。所有进场的机械设备必须满足天津市《在用非道路柴油机械烟度排放限值及测量方法》（DB12/588-2015）要求。</w:t>
      </w:r>
    </w:p>
    <w:p>
      <w:pPr>
        <w:pStyle w:val="20"/>
        <w:adjustRightInd w:val="0"/>
        <w:snapToGrid w:val="0"/>
        <w:spacing w:line="360" w:lineRule="auto"/>
        <w:ind w:firstLine="420" w:firstLineChars="200"/>
        <w:rPr>
          <w:rFonts w:hAnsi="宋体"/>
          <w:snapToGrid w:val="0"/>
          <w:kern w:val="0"/>
          <w:szCs w:val="21"/>
        </w:rPr>
      </w:pPr>
      <w:r>
        <w:rPr>
          <w:rFonts w:hint="eastAsia" w:hAnsi="宋体"/>
          <w:snapToGrid w:val="0"/>
          <w:kern w:val="0"/>
          <w:szCs w:val="21"/>
        </w:rPr>
        <w:t>承包人必须严格执行天津市“美丽天津·一号工程”推进“四清一绿”行动、天津市交通运输委员会下发的《天津市交通运输委员会关于进一步规范我市公路建设项目施工现场扬尘在线监测和远程视频监控设备安装使用管理工作的通知》（津交发[2018]108号）等相关文件及各级主管部门、发包人相关施工扬尘等相关环境管理条款的规定。</w:t>
      </w:r>
    </w:p>
    <w:p>
      <w:pPr>
        <w:pStyle w:val="20"/>
        <w:adjustRightInd w:val="0"/>
        <w:snapToGrid w:val="0"/>
        <w:spacing w:line="360" w:lineRule="auto"/>
        <w:rPr>
          <w:szCs w:val="21"/>
        </w:rPr>
      </w:pPr>
      <w:r>
        <w:rPr>
          <w:rFonts w:hint="eastAsia" w:hAnsi="宋体" w:cs="宋体"/>
          <w:b/>
          <w:bCs/>
          <w:snapToGrid w:val="0"/>
          <w:kern w:val="0"/>
        </w:rPr>
        <w:t>第64条 新增</w:t>
      </w:r>
    </w:p>
    <w:p>
      <w:pPr>
        <w:pStyle w:val="20"/>
        <w:adjustRightInd w:val="0"/>
        <w:snapToGrid w:val="0"/>
        <w:spacing w:line="360" w:lineRule="auto"/>
        <w:ind w:firstLine="420" w:firstLineChars="200"/>
        <w:rPr>
          <w:rFonts w:hAnsi="宋体"/>
        </w:rPr>
      </w:pPr>
      <w:r>
        <w:rPr>
          <w:rFonts w:hint="eastAsia"/>
          <w:szCs w:val="21"/>
        </w:rPr>
        <w:t>承包人必须严格执行施工阶段各项环境保护措施及要求。各项污染防治措施应在施工组织设计中具体写明，相关费用包含在相关工程量清单的单价与总额价之中，发包人不再另行支付。</w:t>
      </w:r>
    </w:p>
    <w:p>
      <w:pPr>
        <w:adjustRightInd w:val="0"/>
        <w:snapToGrid w:val="0"/>
        <w:spacing w:line="360" w:lineRule="auto"/>
        <w:rPr>
          <w:rFonts w:ascii="宋体"/>
          <w:b/>
          <w:bCs/>
          <w:u w:val="single"/>
        </w:rPr>
      </w:pPr>
      <w:r>
        <w:rPr>
          <w:rFonts w:hint="eastAsia" w:ascii="宋体" w:hAnsi="宋体" w:cs="宋体"/>
          <w:b/>
          <w:bCs/>
          <w:snapToGrid w:val="0"/>
          <w:kern w:val="0"/>
        </w:rPr>
        <w:t>第65条 新增</w:t>
      </w:r>
    </w:p>
    <w:p>
      <w:pPr>
        <w:adjustRightInd w:val="0"/>
        <w:snapToGrid w:val="0"/>
        <w:spacing w:line="360" w:lineRule="auto"/>
        <w:ind w:firstLine="420" w:firstLineChars="200"/>
        <w:rPr>
          <w:rFonts w:ascii="宋体"/>
          <w:b/>
          <w:bCs/>
          <w:u w:val="single"/>
        </w:rPr>
      </w:pPr>
      <w:r>
        <w:rPr>
          <w:rFonts w:hint="eastAsia" w:ascii="宋体" w:hAnsi="宋体" w:cs="宋体"/>
        </w:rPr>
        <w:t>承包人应充分细致调查了解施工地域的施工环境、风土人情，充分考虑可能出现的各种情况，本项目不接受因征地、拆迁、进场时间、计划调整、土方供应、阻工、业主供应的材料等原因造成的索赔。</w:t>
      </w:r>
    </w:p>
    <w:p>
      <w:pPr>
        <w:adjustRightInd w:val="0"/>
        <w:snapToGrid w:val="0"/>
        <w:spacing w:line="360" w:lineRule="auto"/>
        <w:rPr>
          <w:rFonts w:ascii="宋体" w:hAnsi="宋体" w:cs="宋体"/>
          <w:b/>
          <w:bCs/>
          <w:snapToGrid w:val="0"/>
          <w:kern w:val="0"/>
        </w:rPr>
      </w:pPr>
      <w:r>
        <w:rPr>
          <w:rFonts w:hint="eastAsia" w:ascii="宋体" w:hAnsi="宋体" w:cs="宋体"/>
          <w:b/>
          <w:bCs/>
          <w:snapToGrid w:val="0"/>
          <w:kern w:val="0"/>
        </w:rPr>
        <w:t>第66条 新增</w:t>
      </w:r>
    </w:p>
    <w:p>
      <w:pPr>
        <w:adjustRightInd w:val="0"/>
        <w:snapToGrid w:val="0"/>
        <w:spacing w:line="360" w:lineRule="auto"/>
        <w:ind w:firstLine="420" w:firstLineChars="200"/>
        <w:rPr>
          <w:rFonts w:ascii="宋体" w:hAnsi="宋体" w:cs="宋体"/>
        </w:rPr>
      </w:pPr>
      <w:r>
        <w:rPr>
          <w:rFonts w:hint="eastAsia" w:ascii="宋体" w:hAnsi="宋体" w:cs="宋体"/>
        </w:rPr>
        <w:t>承包人应落实《天津市开展公路交通标线质量控制专项工作方案》津交发[2018]57号通知精神，做好交通标线质量施工管理，严格原材料管控及施划管控，做好自检工作。</w:t>
      </w:r>
    </w:p>
    <w:p>
      <w:pPr>
        <w:adjustRightInd w:val="0"/>
        <w:snapToGrid w:val="0"/>
        <w:spacing w:line="360" w:lineRule="auto"/>
        <w:rPr>
          <w:rFonts w:ascii="宋体" w:hAnsi="宋体"/>
          <w:b/>
          <w:szCs w:val="21"/>
        </w:rPr>
      </w:pPr>
      <w:r>
        <w:rPr>
          <w:rFonts w:hint="eastAsia" w:ascii="宋体" w:hAnsi="宋体"/>
          <w:b/>
          <w:szCs w:val="21"/>
        </w:rPr>
        <w:t>第67条 新增</w:t>
      </w:r>
    </w:p>
    <w:p>
      <w:pPr>
        <w:adjustRightInd w:val="0"/>
        <w:snapToGrid w:val="0"/>
        <w:spacing w:line="360" w:lineRule="auto"/>
        <w:ind w:firstLine="420" w:firstLineChars="200"/>
        <w:rPr>
          <w:rFonts w:ascii="宋体" w:hAnsi="宋体"/>
          <w:szCs w:val="21"/>
        </w:rPr>
      </w:pPr>
      <w:r>
        <w:rPr>
          <w:rFonts w:hint="eastAsia" w:ascii="宋体" w:hAnsi="宋体"/>
          <w:szCs w:val="21"/>
        </w:rPr>
        <w:t>在投标前后及合同期间，上级管理部门或发包人下发并适用于本工程的文件、规定、办法等，如其内容不违背国家的法律、法规，承包人应无条件执行。</w:t>
      </w:r>
    </w:p>
    <w:p>
      <w:pPr>
        <w:adjustRightInd w:val="0"/>
        <w:snapToGrid w:val="0"/>
        <w:spacing w:line="360" w:lineRule="auto"/>
        <w:rPr>
          <w:rFonts w:ascii="宋体" w:hAnsi="宋体"/>
          <w:szCs w:val="21"/>
        </w:rPr>
      </w:pPr>
      <w:r>
        <w:rPr>
          <w:rFonts w:hint="eastAsia" w:ascii="宋体" w:hAnsi="宋体"/>
          <w:b/>
          <w:szCs w:val="21"/>
        </w:rPr>
        <w:t>第68条</w:t>
      </w:r>
      <w:r>
        <w:rPr>
          <w:rFonts w:hint="eastAsia" w:ascii="宋体" w:hAnsi="宋体"/>
          <w:szCs w:val="21"/>
        </w:rPr>
        <w:t xml:space="preserve">  </w:t>
      </w:r>
      <w:r>
        <w:rPr>
          <w:rFonts w:hint="eastAsia" w:ascii="宋体" w:hAnsi="宋体"/>
          <w:b/>
          <w:szCs w:val="21"/>
        </w:rPr>
        <w:t>新增</w:t>
      </w:r>
    </w:p>
    <w:p>
      <w:pPr>
        <w:adjustRightInd w:val="0"/>
        <w:snapToGrid w:val="0"/>
        <w:spacing w:line="360" w:lineRule="auto"/>
        <w:ind w:firstLine="420" w:firstLineChars="200"/>
        <w:rPr>
          <w:rFonts w:ascii="宋体" w:hAnsi="宋体"/>
          <w:szCs w:val="21"/>
        </w:rPr>
      </w:pPr>
      <w:r>
        <w:rPr>
          <w:rFonts w:hint="eastAsia" w:ascii="宋体" w:hAnsi="宋体"/>
          <w:szCs w:val="21"/>
        </w:rPr>
        <w:t>（1）本工程的建设单位为</w:t>
      </w:r>
      <w:r>
        <w:rPr>
          <w:rFonts w:hint="eastAsia" w:ascii="宋体" w:hAnsi="宋体"/>
          <w:szCs w:val="21"/>
          <w:lang w:eastAsia="zh-CN"/>
        </w:rPr>
        <w:t>天津市滨海新区城投建设发展有限公司</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（2）受建设单位的委托，</w:t>
      </w:r>
      <w:r>
        <w:rPr>
          <w:rFonts w:hint="eastAsia" w:ascii="宋体" w:hAnsi="宋体"/>
          <w:szCs w:val="21"/>
          <w:lang w:eastAsia="zh-CN"/>
        </w:rPr>
        <w:t>天津市滨海新区城投建设发展有限公司</w:t>
      </w:r>
      <w:r>
        <w:rPr>
          <w:rFonts w:hint="eastAsia" w:ascii="宋体" w:hAnsi="宋体"/>
          <w:szCs w:val="21"/>
        </w:rPr>
        <w:t>作为代建单位行使本合同约定的权利和义务，负责本工程计划管理、投资、质量、进度控制、安全管理；工程设计审查；计量管理；资料管理；工程变更及现场签证审核及管理；工程竣工验收、资产实物移交、保修管理等内容。</w:t>
      </w:r>
    </w:p>
    <w:p>
      <w:pPr>
        <w:adjustRightInd w:val="0"/>
        <w:snapToGrid w:val="0"/>
        <w:spacing w:line="360" w:lineRule="auto"/>
        <w:ind w:firstLine="420" w:firstLineChars="200"/>
        <w:rPr>
          <w:rFonts w:ascii="宋体"/>
        </w:rPr>
      </w:pPr>
      <w:r>
        <w:rPr>
          <w:rFonts w:hint="eastAsia" w:ascii="宋体" w:hAnsi="宋体"/>
          <w:szCs w:val="21"/>
        </w:rPr>
        <w:t>（3）本工程全部资金均由</w:t>
      </w:r>
      <w:r>
        <w:rPr>
          <w:rFonts w:hint="eastAsia" w:ascii="宋体" w:hAnsi="宋体"/>
          <w:szCs w:val="21"/>
          <w:lang w:eastAsia="zh-CN"/>
        </w:rPr>
        <w:t>天津市滨海新区城投建设发展有限公司</w:t>
      </w:r>
      <w:r>
        <w:rPr>
          <w:rFonts w:hint="eastAsia" w:ascii="宋体" w:hAnsi="宋体"/>
          <w:szCs w:val="21"/>
        </w:rPr>
        <w:t>依据发包人资金拨付计划直接向中标人支付，中标人应向其开具正式发票。</w:t>
      </w:r>
    </w:p>
    <w:p>
      <w:pPr>
        <w:pStyle w:val="91"/>
        <w:adjustRightInd w:val="0"/>
        <w:snapToGrid w:val="0"/>
        <w:spacing w:line="360" w:lineRule="auto"/>
        <w:ind w:firstLine="0" w:firstLineChars="0"/>
        <w:rPr>
          <w:rFonts w:ascii="宋体" w:hAnsi="宋体"/>
          <w:szCs w:val="21"/>
        </w:rPr>
      </w:pPr>
    </w:p>
    <w:p>
      <w:pPr>
        <w:pStyle w:val="2"/>
        <w:adjustRightInd w:val="0"/>
        <w:snapToGrid w:val="0"/>
        <w:spacing w:line="360" w:lineRule="auto"/>
        <w:ind w:firstLine="420" w:firstLineChars="200"/>
        <w:rPr>
          <w:rFonts w:ascii="宋体"/>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第三节 合同附件格式</w:t>
      </w:r>
      <w:bookmarkEnd w:id="560"/>
      <w:bookmarkEnd w:id="561"/>
      <w:bookmarkEnd w:id="562"/>
      <w:bookmarkEnd w:id="563"/>
    </w:p>
    <w:p>
      <w:pPr>
        <w:spacing w:line="380" w:lineRule="exact"/>
        <w:rPr>
          <w:rFonts w:ascii="宋体" w:hAnsi="宋体"/>
          <w:sz w:val="24"/>
        </w:rPr>
      </w:pPr>
      <w:bookmarkStart w:id="564" w:name="_Toc234345884"/>
      <w:bookmarkStart w:id="565" w:name="_Toc234348965"/>
      <w:bookmarkStart w:id="566" w:name="_Toc234349539"/>
      <w:bookmarkStart w:id="567" w:name="_Toc234346099"/>
      <w:r>
        <w:rPr>
          <w:rFonts w:hint="eastAsia" w:ascii="宋体" w:hAnsi="宋体"/>
          <w:sz w:val="24"/>
        </w:rPr>
        <w:t>附件一  合同协议书</w:t>
      </w:r>
      <w:bookmarkEnd w:id="564"/>
      <w:bookmarkEnd w:id="565"/>
      <w:bookmarkEnd w:id="566"/>
      <w:bookmarkEnd w:id="567"/>
    </w:p>
    <w:p>
      <w:pPr>
        <w:spacing w:line="380" w:lineRule="exact"/>
        <w:jc w:val="center"/>
        <w:rPr>
          <w:rFonts w:ascii="宋体" w:hAnsi="宋体"/>
          <w:sz w:val="30"/>
          <w:szCs w:val="30"/>
        </w:rPr>
      </w:pPr>
      <w:r>
        <w:rPr>
          <w:rFonts w:hint="eastAsia" w:ascii="宋体" w:hAnsi="宋体"/>
          <w:sz w:val="30"/>
          <w:szCs w:val="30"/>
        </w:rPr>
        <w:t>合同协议书</w:t>
      </w:r>
    </w:p>
    <w:p>
      <w:pPr>
        <w:spacing w:line="380" w:lineRule="exact"/>
        <w:jc w:val="center"/>
        <w:rPr>
          <w:rFonts w:ascii="宋体" w:hAnsi="宋体"/>
        </w:rPr>
      </w:pPr>
      <w:r>
        <w:rPr>
          <w:rFonts w:hint="eastAsia" w:ascii="宋体" w:hAnsi="宋体"/>
        </w:rPr>
        <w:t>（本格式编排在招标文件中，供投标人参考，投标时不需附此表）</w:t>
      </w:r>
    </w:p>
    <w:p>
      <w:pPr>
        <w:spacing w:line="380" w:lineRule="exact"/>
        <w:jc w:val="center"/>
        <w:rPr>
          <w:rFonts w:ascii="宋体" w:hAnsi="宋体"/>
          <w:sz w:val="28"/>
        </w:rPr>
      </w:pPr>
    </w:p>
    <w:p>
      <w:pPr>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(发包人名称，以下简称“发包人”)为实施</w:t>
      </w:r>
      <w:r>
        <w:rPr>
          <w:rFonts w:hint="eastAsia" w:ascii="宋体" w:hAnsi="宋体"/>
          <w:sz w:val="24"/>
          <w:u w:val="single"/>
        </w:rPr>
        <w:t xml:space="preserve">               </w:t>
      </w:r>
      <w:r>
        <w:rPr>
          <w:rFonts w:hint="eastAsia" w:ascii="宋体" w:hAnsi="宋体"/>
          <w:sz w:val="24"/>
        </w:rPr>
        <w:t>(项目名称)，已接受</w:t>
      </w:r>
      <w:r>
        <w:rPr>
          <w:rFonts w:hint="eastAsia" w:ascii="宋体" w:hAnsi="宋体"/>
          <w:sz w:val="24"/>
          <w:u w:val="single"/>
        </w:rPr>
        <w:t xml:space="preserve">           </w:t>
      </w:r>
      <w:r>
        <w:rPr>
          <w:rFonts w:hint="eastAsia" w:ascii="宋体" w:hAnsi="宋体"/>
          <w:sz w:val="24"/>
        </w:rPr>
        <w:t xml:space="preserve"> (承包人名称，以下简称“承包人”)对该项目</w:t>
      </w:r>
      <w:r>
        <w:rPr>
          <w:rFonts w:hint="eastAsia" w:ascii="宋体" w:hAnsi="宋体"/>
          <w:sz w:val="24"/>
          <w:u w:val="single"/>
        </w:rPr>
        <w:t xml:space="preserve">    </w:t>
      </w:r>
      <w:r>
        <w:rPr>
          <w:rFonts w:hint="eastAsia" w:ascii="宋体" w:hAnsi="宋体"/>
          <w:sz w:val="24"/>
        </w:rPr>
        <w:t>标段施工的投标。发包人和承包人共同达成如下协议。</w:t>
      </w:r>
    </w:p>
    <w:p>
      <w:pPr>
        <w:snapToGrid w:val="0"/>
        <w:spacing w:line="360" w:lineRule="auto"/>
        <w:ind w:firstLine="480" w:firstLineChars="200"/>
        <w:rPr>
          <w:rFonts w:ascii="宋体" w:hAnsi="宋体"/>
          <w:sz w:val="24"/>
        </w:rPr>
      </w:pPr>
      <w:r>
        <w:rPr>
          <w:rFonts w:hint="eastAsia" w:ascii="宋体" w:hAnsi="宋体"/>
          <w:sz w:val="24"/>
        </w:rPr>
        <w:t>1.第</w:t>
      </w:r>
      <w:r>
        <w:rPr>
          <w:rFonts w:hint="eastAsia" w:ascii="宋体" w:hAnsi="宋体"/>
          <w:sz w:val="24"/>
          <w:u w:val="single"/>
        </w:rPr>
        <w:t xml:space="preserve">     </w:t>
      </w:r>
      <w:r>
        <w:rPr>
          <w:rFonts w:hint="eastAsia" w:ascii="宋体" w:hAnsi="宋体"/>
          <w:sz w:val="24"/>
        </w:rPr>
        <w:t>标段由K</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至k</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，长约</w:t>
      </w:r>
      <w:r>
        <w:rPr>
          <w:rFonts w:hint="eastAsia" w:ascii="宋体" w:hAnsi="宋体"/>
          <w:sz w:val="24"/>
          <w:u w:val="single"/>
        </w:rPr>
        <w:t xml:space="preserve">    </w:t>
      </w:r>
      <w:r>
        <w:rPr>
          <w:rFonts w:hint="eastAsia" w:ascii="宋体" w:hAnsi="宋体"/>
          <w:sz w:val="24"/>
        </w:rPr>
        <w:t>km，公路等级为</w:t>
      </w:r>
      <w:r>
        <w:rPr>
          <w:rFonts w:hint="eastAsia" w:ascii="宋体" w:hAnsi="宋体"/>
          <w:sz w:val="24"/>
          <w:u w:val="single"/>
        </w:rPr>
        <w:t xml:space="preserve">     </w:t>
      </w:r>
      <w:r>
        <w:rPr>
          <w:rFonts w:hint="eastAsia" w:ascii="宋体" w:hAnsi="宋体"/>
          <w:sz w:val="24"/>
        </w:rPr>
        <w:t>，设计速度为</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路面，有</w:t>
      </w:r>
      <w:r>
        <w:rPr>
          <w:rFonts w:hint="eastAsia" w:ascii="宋体" w:hAnsi="宋体"/>
          <w:sz w:val="24"/>
          <w:u w:val="single"/>
        </w:rPr>
        <w:t xml:space="preserve">     </w:t>
      </w:r>
      <w:r>
        <w:rPr>
          <w:rFonts w:hint="eastAsia" w:ascii="宋体" w:hAnsi="宋体"/>
          <w:sz w:val="24"/>
        </w:rPr>
        <w:t>立交</w:t>
      </w:r>
      <w:r>
        <w:rPr>
          <w:rFonts w:hint="eastAsia" w:ascii="宋体" w:hAnsi="宋体"/>
          <w:sz w:val="24"/>
          <w:u w:val="single"/>
        </w:rPr>
        <w:t xml:space="preserve">     </w:t>
      </w:r>
      <w:r>
        <w:rPr>
          <w:rFonts w:hint="eastAsia" w:ascii="宋体" w:hAnsi="宋体"/>
          <w:sz w:val="24"/>
        </w:rPr>
        <w:t>处；特大桥</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m；大中桥</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m；隧道</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m以及其他构造物工程等。</w:t>
      </w:r>
    </w:p>
    <w:p>
      <w:pPr>
        <w:snapToGrid w:val="0"/>
        <w:spacing w:line="360" w:lineRule="auto"/>
        <w:ind w:firstLine="480" w:firstLineChars="200"/>
        <w:rPr>
          <w:rFonts w:ascii="宋体" w:hAnsi="宋体"/>
          <w:sz w:val="24"/>
        </w:rPr>
      </w:pPr>
      <w:r>
        <w:rPr>
          <w:rFonts w:hint="eastAsia" w:ascii="宋体" w:hAnsi="宋体"/>
          <w:sz w:val="24"/>
        </w:rPr>
        <w:t>2.下列文件应视为构成合同文件的组成部分：</w:t>
      </w:r>
    </w:p>
    <w:p>
      <w:pPr>
        <w:snapToGrid w:val="0"/>
        <w:spacing w:line="360" w:lineRule="auto"/>
        <w:ind w:firstLine="480" w:firstLineChars="200"/>
        <w:rPr>
          <w:rFonts w:ascii="宋体" w:hAnsi="宋体"/>
          <w:sz w:val="24"/>
        </w:rPr>
      </w:pPr>
      <w:r>
        <w:rPr>
          <w:rFonts w:hint="eastAsia" w:ascii="宋体" w:hAnsi="宋体"/>
          <w:sz w:val="24"/>
        </w:rPr>
        <w:t>（1）本协议书及各种合同附件(含评标期间和合同谈判过程中的澄清文件和补充资料)；</w:t>
      </w:r>
    </w:p>
    <w:p>
      <w:pPr>
        <w:snapToGrid w:val="0"/>
        <w:spacing w:line="360" w:lineRule="auto"/>
        <w:ind w:firstLine="480" w:firstLineChars="200"/>
        <w:rPr>
          <w:rFonts w:ascii="宋体" w:hAnsi="宋体"/>
          <w:sz w:val="24"/>
        </w:rPr>
      </w:pPr>
      <w:r>
        <w:rPr>
          <w:rFonts w:hint="eastAsia" w:ascii="宋体" w:hAnsi="宋体"/>
          <w:sz w:val="24"/>
        </w:rPr>
        <w:t>（2）中标通知书；</w:t>
      </w:r>
    </w:p>
    <w:p>
      <w:pPr>
        <w:snapToGrid w:val="0"/>
        <w:spacing w:line="360" w:lineRule="auto"/>
        <w:ind w:firstLine="480" w:firstLineChars="200"/>
        <w:rPr>
          <w:rFonts w:ascii="宋体" w:hAnsi="宋体"/>
          <w:sz w:val="24"/>
        </w:rPr>
      </w:pPr>
      <w:r>
        <w:rPr>
          <w:rFonts w:hint="eastAsia" w:ascii="宋体" w:hAnsi="宋体"/>
          <w:sz w:val="24"/>
        </w:rPr>
        <w:t>（3）投标函及投标函附录；</w:t>
      </w:r>
    </w:p>
    <w:p>
      <w:pPr>
        <w:snapToGrid w:val="0"/>
        <w:spacing w:line="360" w:lineRule="auto"/>
        <w:ind w:firstLine="480" w:firstLineChars="200"/>
        <w:rPr>
          <w:rFonts w:ascii="宋体" w:hAnsi="宋体"/>
          <w:sz w:val="24"/>
        </w:rPr>
      </w:pPr>
      <w:r>
        <w:rPr>
          <w:rFonts w:hint="eastAsia" w:ascii="宋体" w:hAnsi="宋体"/>
          <w:sz w:val="24"/>
        </w:rPr>
        <w:t>（4）项目专用合同条款；</w:t>
      </w:r>
    </w:p>
    <w:p>
      <w:pPr>
        <w:snapToGrid w:val="0"/>
        <w:spacing w:line="360" w:lineRule="auto"/>
        <w:ind w:firstLine="480" w:firstLineChars="200"/>
        <w:rPr>
          <w:rFonts w:ascii="宋体" w:hAnsi="宋体"/>
          <w:sz w:val="24"/>
        </w:rPr>
      </w:pPr>
      <w:r>
        <w:rPr>
          <w:rFonts w:hint="eastAsia" w:ascii="宋体" w:hAnsi="宋体"/>
          <w:sz w:val="24"/>
        </w:rPr>
        <w:t>（5）公路工程专用合同条款；</w:t>
      </w:r>
    </w:p>
    <w:p>
      <w:pPr>
        <w:snapToGrid w:val="0"/>
        <w:spacing w:line="360" w:lineRule="auto"/>
        <w:ind w:firstLine="480" w:firstLineChars="200"/>
        <w:rPr>
          <w:rFonts w:ascii="宋体" w:hAnsi="宋体"/>
          <w:sz w:val="24"/>
        </w:rPr>
      </w:pPr>
      <w:r>
        <w:rPr>
          <w:rFonts w:hint="eastAsia" w:ascii="宋体" w:hAnsi="宋体"/>
          <w:sz w:val="24"/>
        </w:rPr>
        <w:t>（6）通用合同条款；</w:t>
      </w:r>
    </w:p>
    <w:p>
      <w:pPr>
        <w:snapToGrid w:val="0"/>
        <w:spacing w:line="360" w:lineRule="auto"/>
        <w:ind w:firstLine="480" w:firstLineChars="200"/>
        <w:rPr>
          <w:rFonts w:ascii="宋体" w:hAnsi="宋体"/>
          <w:sz w:val="24"/>
        </w:rPr>
      </w:pPr>
      <w:r>
        <w:rPr>
          <w:rFonts w:hint="eastAsia" w:ascii="宋体" w:hAnsi="宋体"/>
          <w:sz w:val="24"/>
        </w:rPr>
        <w:t>（7）工程量清单计量规则；</w:t>
      </w:r>
    </w:p>
    <w:p>
      <w:pPr>
        <w:snapToGrid w:val="0"/>
        <w:spacing w:line="360" w:lineRule="auto"/>
        <w:ind w:firstLine="480" w:firstLineChars="200"/>
        <w:rPr>
          <w:rFonts w:ascii="宋体" w:hAnsi="宋体"/>
          <w:sz w:val="24"/>
        </w:rPr>
      </w:pPr>
      <w:r>
        <w:rPr>
          <w:rFonts w:hint="eastAsia" w:ascii="宋体" w:hAnsi="宋体"/>
          <w:sz w:val="24"/>
        </w:rPr>
        <w:t>（8）技术规范；</w:t>
      </w:r>
    </w:p>
    <w:p>
      <w:pPr>
        <w:snapToGrid w:val="0"/>
        <w:spacing w:line="360" w:lineRule="auto"/>
        <w:ind w:firstLine="480" w:firstLineChars="200"/>
        <w:rPr>
          <w:rFonts w:ascii="宋体" w:hAnsi="宋体"/>
          <w:sz w:val="24"/>
        </w:rPr>
      </w:pPr>
      <w:r>
        <w:rPr>
          <w:rFonts w:hint="eastAsia" w:ascii="宋体" w:hAnsi="宋体"/>
          <w:sz w:val="24"/>
        </w:rPr>
        <w:t>（9）图纸；</w:t>
      </w:r>
    </w:p>
    <w:p>
      <w:pPr>
        <w:snapToGrid w:val="0"/>
        <w:spacing w:line="360" w:lineRule="auto"/>
        <w:ind w:firstLine="480" w:firstLineChars="200"/>
        <w:rPr>
          <w:rFonts w:ascii="宋体" w:hAnsi="宋体"/>
          <w:sz w:val="24"/>
        </w:rPr>
      </w:pPr>
      <w:r>
        <w:rPr>
          <w:rFonts w:hint="eastAsia" w:ascii="宋体" w:hAnsi="宋体"/>
          <w:sz w:val="24"/>
        </w:rPr>
        <w:t>（10）已标价工程量清单；</w:t>
      </w:r>
    </w:p>
    <w:p>
      <w:pPr>
        <w:snapToGrid w:val="0"/>
        <w:spacing w:line="360" w:lineRule="auto"/>
        <w:ind w:firstLine="480" w:firstLineChars="200"/>
        <w:rPr>
          <w:rFonts w:ascii="宋体" w:hAnsi="宋体"/>
          <w:sz w:val="24"/>
        </w:rPr>
      </w:pPr>
      <w:r>
        <w:rPr>
          <w:rFonts w:hint="eastAsia" w:ascii="宋体" w:hAnsi="宋体"/>
          <w:sz w:val="24"/>
        </w:rPr>
        <w:t>（11）承包人有关人员、设备投人的承诺及投标文件中的施工组织设计；</w:t>
      </w:r>
    </w:p>
    <w:p>
      <w:pPr>
        <w:snapToGrid w:val="0"/>
        <w:spacing w:line="360" w:lineRule="auto"/>
        <w:ind w:firstLine="480" w:firstLineChars="200"/>
        <w:rPr>
          <w:rFonts w:ascii="宋体" w:hAnsi="宋体"/>
          <w:sz w:val="24"/>
        </w:rPr>
      </w:pPr>
      <w:r>
        <w:rPr>
          <w:rFonts w:hint="eastAsia" w:ascii="宋体" w:hAnsi="宋体"/>
          <w:sz w:val="24"/>
        </w:rPr>
        <w:t>（12）其他合同文件。</w:t>
      </w:r>
    </w:p>
    <w:p>
      <w:pPr>
        <w:snapToGrid w:val="0"/>
        <w:spacing w:line="360" w:lineRule="auto"/>
        <w:ind w:firstLine="480" w:firstLineChars="200"/>
        <w:rPr>
          <w:rFonts w:ascii="宋体" w:hAnsi="宋体"/>
          <w:sz w:val="24"/>
        </w:rPr>
      </w:pPr>
      <w:r>
        <w:rPr>
          <w:rFonts w:hint="eastAsia" w:ascii="宋体" w:hAnsi="宋体"/>
          <w:sz w:val="24"/>
        </w:rPr>
        <w:t>上述合同文件互相补充和解释，如果合同文件之间存在矛盾或不一致之处，以上述文件的排列顺序在先者为准。</w:t>
      </w:r>
    </w:p>
    <w:p>
      <w:pPr>
        <w:rPr>
          <w:rFonts w:ascii="宋体" w:hAnsi="宋体"/>
          <w:sz w:val="24"/>
        </w:rPr>
      </w:pPr>
      <w:r>
        <w:rPr>
          <w:rFonts w:hint="eastAsia" w:ascii="宋体" w:hAnsi="宋体"/>
          <w:sz w:val="24"/>
        </w:rPr>
        <w:t>3.根据工程量清单所列的预计数量和单价或总额价计算的签约合同价：人民币(大写)___</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4.承包人项目经理：</w:t>
      </w:r>
      <w:r>
        <w:rPr>
          <w:rFonts w:hint="eastAsia" w:ascii="宋体" w:hAnsi="宋体"/>
          <w:sz w:val="24"/>
          <w:u w:val="single"/>
        </w:rPr>
        <w:t xml:space="preserve">             </w:t>
      </w:r>
      <w:r>
        <w:rPr>
          <w:rFonts w:hint="eastAsia" w:ascii="宋体" w:hAnsi="宋体"/>
          <w:sz w:val="24"/>
        </w:rPr>
        <w:t>。承包人项目总工：</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5.工程质量符合</w:t>
      </w:r>
      <w:r>
        <w:rPr>
          <w:rFonts w:hint="eastAsia" w:ascii="宋体" w:hAnsi="宋体"/>
          <w:sz w:val="24"/>
          <w:u w:val="single"/>
        </w:rPr>
        <w:t xml:space="preserve">         </w:t>
      </w:r>
      <w:r>
        <w:rPr>
          <w:rFonts w:hint="eastAsia" w:ascii="宋体" w:hAnsi="宋体"/>
          <w:sz w:val="24"/>
        </w:rPr>
        <w:t>标准，工程安全目标</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6.承包人承诺按合同约定承担工程的实施、完成及缺陷修复。</w:t>
      </w:r>
    </w:p>
    <w:p>
      <w:pPr>
        <w:snapToGrid w:val="0"/>
        <w:spacing w:line="360" w:lineRule="auto"/>
        <w:ind w:firstLine="480" w:firstLineChars="200"/>
        <w:rPr>
          <w:rFonts w:ascii="宋体" w:hAnsi="宋体"/>
          <w:sz w:val="24"/>
        </w:rPr>
      </w:pPr>
      <w:r>
        <w:rPr>
          <w:rFonts w:hint="eastAsia" w:ascii="宋体" w:hAnsi="宋体"/>
          <w:sz w:val="24"/>
        </w:rPr>
        <w:t>7.发包人承诺按合同约定的条件、时间和方式向承包人支付合同价款。</w:t>
      </w:r>
    </w:p>
    <w:p>
      <w:pPr>
        <w:snapToGrid w:val="0"/>
        <w:spacing w:line="360" w:lineRule="auto"/>
        <w:ind w:firstLine="480" w:firstLineChars="200"/>
        <w:rPr>
          <w:rFonts w:ascii="宋体" w:hAnsi="宋体"/>
          <w:sz w:val="24"/>
        </w:rPr>
      </w:pPr>
      <w:r>
        <w:rPr>
          <w:rFonts w:hint="eastAsia" w:ascii="宋体" w:hAnsi="宋体"/>
          <w:sz w:val="24"/>
        </w:rPr>
        <w:t>8.承包人应按照监理人指示开工，工期为</w:t>
      </w:r>
      <w:r>
        <w:rPr>
          <w:rFonts w:hint="eastAsia" w:ascii="宋体" w:hAnsi="宋体"/>
          <w:sz w:val="24"/>
          <w:u w:val="single"/>
        </w:rPr>
        <w:t xml:space="preserve">        </w:t>
      </w:r>
      <w:r>
        <w:rPr>
          <w:rFonts w:hint="eastAsia" w:ascii="宋体" w:hAnsi="宋体"/>
          <w:sz w:val="24"/>
        </w:rPr>
        <w:t>日历天。</w:t>
      </w:r>
    </w:p>
    <w:p>
      <w:pPr>
        <w:snapToGrid w:val="0"/>
        <w:spacing w:line="360" w:lineRule="auto"/>
        <w:ind w:firstLine="480" w:firstLineChars="200"/>
        <w:rPr>
          <w:rFonts w:ascii="宋体" w:hAnsi="宋体"/>
          <w:sz w:val="24"/>
        </w:rPr>
      </w:pPr>
      <w:r>
        <w:rPr>
          <w:rFonts w:hint="eastAsia" w:ascii="宋体" w:hAnsi="宋体"/>
          <w:sz w:val="24"/>
        </w:rPr>
        <w:t>9.本协议书在承包人提供履约保证金后，由双方法定代表人或其委托代理人签署并加盖单位章后生效。全部工程完工后经交工验收合格、缺陷责任期满签发缺陷责任终止证书后失效。</w:t>
      </w:r>
    </w:p>
    <w:p>
      <w:pPr>
        <w:snapToGrid w:val="0"/>
        <w:spacing w:line="360" w:lineRule="auto"/>
        <w:ind w:firstLine="480" w:firstLineChars="200"/>
        <w:rPr>
          <w:rFonts w:ascii="宋体" w:hAnsi="宋体"/>
          <w:sz w:val="24"/>
        </w:rPr>
      </w:pPr>
      <w:r>
        <w:rPr>
          <w:rFonts w:hint="eastAsia" w:ascii="宋体" w:hAnsi="宋体"/>
          <w:sz w:val="24"/>
        </w:rPr>
        <w:t>10.本协议书正本___份、副本</w:t>
      </w:r>
      <w:r>
        <w:rPr>
          <w:rFonts w:hint="eastAsia" w:ascii="宋体" w:hAnsi="宋体"/>
          <w:sz w:val="24"/>
          <w:u w:val="single"/>
        </w:rPr>
        <w:t xml:space="preserve">   </w:t>
      </w:r>
      <w:r>
        <w:rPr>
          <w:rFonts w:hint="eastAsia" w:ascii="宋体" w:hAnsi="宋体"/>
          <w:sz w:val="24"/>
        </w:rPr>
        <w:t>份，合同双方各执正本___份，副本</w:t>
      </w:r>
      <w:r>
        <w:rPr>
          <w:rFonts w:hint="eastAsia" w:ascii="宋体" w:hAnsi="宋体"/>
          <w:sz w:val="24"/>
          <w:u w:val="single"/>
        </w:rPr>
        <w:t xml:space="preserve">   </w:t>
      </w:r>
      <w:r>
        <w:rPr>
          <w:rFonts w:hint="eastAsia" w:ascii="宋体" w:hAnsi="宋体"/>
          <w:sz w:val="24"/>
        </w:rPr>
        <w:t>份，当正本与副本的内容不一致时，以正本为准。</w:t>
      </w:r>
    </w:p>
    <w:p>
      <w:pPr>
        <w:snapToGrid w:val="0"/>
        <w:spacing w:line="360" w:lineRule="auto"/>
        <w:ind w:firstLine="435"/>
        <w:rPr>
          <w:rFonts w:ascii="宋体" w:hAnsi="宋体"/>
          <w:sz w:val="24"/>
        </w:rPr>
      </w:pPr>
      <w:r>
        <w:rPr>
          <w:rFonts w:hint="eastAsia" w:ascii="宋体" w:hAnsi="宋体"/>
          <w:sz w:val="24"/>
        </w:rPr>
        <w:t>11.合同未尽事宜，双方另行签订补充协议。补充协议是合同的组成部分。</w:t>
      </w:r>
    </w:p>
    <w:p>
      <w:pPr>
        <w:snapToGrid w:val="0"/>
        <w:spacing w:line="360" w:lineRule="auto"/>
        <w:ind w:firstLine="435"/>
        <w:rPr>
          <w:rFonts w:ascii="宋体" w:hAnsi="宋体"/>
          <w:sz w:val="24"/>
        </w:rPr>
      </w:pPr>
    </w:p>
    <w:p>
      <w:pPr>
        <w:snapToGrid w:val="0"/>
        <w:spacing w:line="360" w:lineRule="auto"/>
        <w:ind w:firstLine="435"/>
        <w:rPr>
          <w:rFonts w:ascii="宋体" w:hAnsi="宋体"/>
          <w:sz w:val="24"/>
        </w:rPr>
      </w:pPr>
    </w:p>
    <w:p>
      <w:pPr>
        <w:snapToGrid w:val="0"/>
        <w:spacing w:line="360" w:lineRule="auto"/>
        <w:ind w:firstLine="435"/>
        <w:rPr>
          <w:rFonts w:ascii="宋体" w:hAnsi="宋体"/>
          <w:sz w:val="24"/>
        </w:rPr>
      </w:pPr>
    </w:p>
    <w:p>
      <w:pPr>
        <w:snapToGrid w:val="0"/>
        <w:spacing w:line="360" w:lineRule="auto"/>
        <w:rPr>
          <w:rFonts w:ascii="宋体" w:hAnsi="宋体"/>
          <w:sz w:val="24"/>
        </w:rPr>
      </w:pPr>
      <w:r>
        <w:rPr>
          <w:rFonts w:hint="eastAsia" w:ascii="宋体" w:hAnsi="宋体"/>
          <w:sz w:val="24"/>
        </w:rPr>
        <w:t>发包人：</w:t>
      </w:r>
      <w:r>
        <w:rPr>
          <w:rFonts w:hint="eastAsia" w:ascii="宋体" w:hAnsi="宋体"/>
          <w:sz w:val="24"/>
          <w:u w:val="single"/>
        </w:rPr>
        <w:t xml:space="preserve">                   </w:t>
      </w:r>
      <w:r>
        <w:rPr>
          <w:rFonts w:hint="eastAsia" w:ascii="宋体" w:hAnsi="宋体"/>
          <w:sz w:val="24"/>
        </w:rPr>
        <w:t>(盖单位章)   承包人：</w:t>
      </w:r>
      <w:r>
        <w:rPr>
          <w:rFonts w:hint="eastAsia" w:ascii="宋体" w:hAnsi="宋体"/>
          <w:sz w:val="24"/>
          <w:u w:val="single"/>
        </w:rPr>
        <w:t xml:space="preserve">             </w:t>
      </w:r>
      <w:r>
        <w:rPr>
          <w:rFonts w:hint="eastAsia" w:ascii="宋体" w:hAnsi="宋体"/>
          <w:sz w:val="24"/>
        </w:rPr>
        <w:t>(盖单位章)</w:t>
      </w:r>
    </w:p>
    <w:p>
      <w:pPr>
        <w:snapToGrid w:val="0"/>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    法定代表人或其委托代理人</w:t>
      </w:r>
      <w:r>
        <w:rPr>
          <w:rFonts w:hint="eastAsia" w:ascii="宋体" w:hAnsi="宋体"/>
          <w:sz w:val="24"/>
          <w:u w:val="single"/>
        </w:rPr>
        <w:t xml:space="preserve">     </w:t>
      </w:r>
      <w:r>
        <w:rPr>
          <w:rFonts w:hint="eastAsia" w:ascii="宋体" w:hAnsi="宋体"/>
          <w:sz w:val="24"/>
        </w:rPr>
        <w:t>(签字)</w:t>
      </w:r>
    </w:p>
    <w:p>
      <w:pPr>
        <w:snapToGrid w:val="0"/>
        <w:spacing w:line="360" w:lineRule="auto"/>
        <w:ind w:firstLine="480" w:firstLineChars="200"/>
        <w:jc w:val="right"/>
        <w:rPr>
          <w:rFonts w:ascii="宋体" w:hAnsi="宋体"/>
          <w:sz w:val="24"/>
          <w:u w:val="single"/>
        </w:rPr>
      </w:pPr>
    </w:p>
    <w:p>
      <w:pPr>
        <w:snapToGrid w:val="0"/>
        <w:spacing w:line="360" w:lineRule="auto"/>
        <w:ind w:firstLine="480" w:firstLineChars="20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rPr>
      </w:pPr>
    </w:p>
    <w:p>
      <w:pPr>
        <w:spacing w:line="380" w:lineRule="exact"/>
        <w:rPr>
          <w:rFonts w:ascii="宋体" w:hAnsi="宋体"/>
          <w:sz w:val="24"/>
        </w:rPr>
      </w:pPr>
      <w:r>
        <w:rPr>
          <w:rFonts w:ascii="宋体" w:hAnsi="宋体"/>
        </w:rPr>
        <w:br w:type="page"/>
      </w:r>
      <w:bookmarkStart w:id="568" w:name="_Toc234349540"/>
      <w:bookmarkStart w:id="569" w:name="_Toc234348966"/>
      <w:bookmarkStart w:id="570" w:name="_Toc234346100"/>
      <w:bookmarkStart w:id="571" w:name="_Toc234345885"/>
      <w:r>
        <w:rPr>
          <w:rFonts w:hint="eastAsia" w:ascii="宋体" w:hAnsi="宋体"/>
          <w:sz w:val="24"/>
        </w:rPr>
        <w:t>附件二  廉政合同</w:t>
      </w:r>
      <w:bookmarkEnd w:id="568"/>
      <w:bookmarkEnd w:id="569"/>
      <w:bookmarkEnd w:id="570"/>
      <w:bookmarkEnd w:id="571"/>
    </w:p>
    <w:p>
      <w:pPr>
        <w:spacing w:line="380" w:lineRule="exact"/>
        <w:jc w:val="center"/>
        <w:rPr>
          <w:rFonts w:ascii="宋体" w:hAnsi="宋体"/>
          <w:sz w:val="30"/>
          <w:szCs w:val="30"/>
        </w:rPr>
      </w:pPr>
      <w:r>
        <w:rPr>
          <w:rFonts w:hint="eastAsia" w:ascii="宋体" w:hAnsi="宋体"/>
          <w:sz w:val="30"/>
          <w:szCs w:val="30"/>
        </w:rPr>
        <w:t>廉 政 合 同</w:t>
      </w:r>
    </w:p>
    <w:p>
      <w:pPr>
        <w:spacing w:line="420" w:lineRule="exact"/>
        <w:jc w:val="center"/>
        <w:rPr>
          <w:rFonts w:ascii="宋体" w:hAnsi="宋体"/>
        </w:rPr>
      </w:pPr>
      <w:r>
        <w:rPr>
          <w:rFonts w:hint="eastAsia" w:ascii="宋体" w:hAnsi="宋体"/>
        </w:rPr>
        <w:t>（本格式编排在招标文件中，供投标人参考，投标时不需附此表）</w:t>
      </w:r>
    </w:p>
    <w:p>
      <w:pPr>
        <w:spacing w:line="420" w:lineRule="exact"/>
        <w:jc w:val="center"/>
        <w:rPr>
          <w:rFonts w:ascii="宋体" w:hAnsi="宋体"/>
          <w:sz w:val="24"/>
        </w:rPr>
      </w:pPr>
    </w:p>
    <w:p>
      <w:pPr>
        <w:spacing w:line="348" w:lineRule="auto"/>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 w:val="24"/>
          <w:u w:val="single"/>
        </w:rPr>
        <w:t xml:space="preserve">      </w:t>
      </w:r>
      <w:r>
        <w:rPr>
          <w:rFonts w:hint="eastAsia" w:ascii="宋体" w:hAnsi="宋体"/>
          <w:sz w:val="24"/>
        </w:rPr>
        <w:t>(项目名称)的项目法人</w:t>
      </w:r>
      <w:r>
        <w:rPr>
          <w:rFonts w:hint="eastAsia" w:ascii="宋体" w:hAnsi="宋体"/>
          <w:sz w:val="24"/>
          <w:u w:val="single"/>
        </w:rPr>
        <w:t xml:space="preserve">           </w:t>
      </w:r>
      <w:r>
        <w:rPr>
          <w:rFonts w:hint="eastAsia" w:ascii="宋体" w:hAnsi="宋体"/>
          <w:sz w:val="24"/>
        </w:rPr>
        <w:t>(项目法人名称，以下简称“发包人”)与该项目</w:t>
      </w:r>
      <w:r>
        <w:rPr>
          <w:rFonts w:hint="eastAsia" w:ascii="宋体" w:hAnsi="宋体"/>
          <w:sz w:val="24"/>
          <w:u w:val="single"/>
        </w:rPr>
        <w:t xml:space="preserve">    </w:t>
      </w:r>
      <w:r>
        <w:rPr>
          <w:rFonts w:hint="eastAsia" w:ascii="宋体" w:hAnsi="宋体"/>
          <w:sz w:val="24"/>
        </w:rPr>
        <w:t>标段的施工单位</w:t>
      </w:r>
      <w:r>
        <w:rPr>
          <w:rFonts w:hint="eastAsia" w:ascii="宋体" w:hAnsi="宋体"/>
          <w:sz w:val="24"/>
          <w:u w:val="single"/>
        </w:rPr>
        <w:t xml:space="preserve">          </w:t>
      </w:r>
      <w:r>
        <w:rPr>
          <w:rFonts w:hint="eastAsia" w:ascii="宋体" w:hAnsi="宋体"/>
          <w:sz w:val="24"/>
        </w:rPr>
        <w:t>(施工单位名称，以下简称“承包人”)，特订立如下合同。</w:t>
      </w:r>
    </w:p>
    <w:p>
      <w:pPr>
        <w:spacing w:line="348" w:lineRule="auto"/>
        <w:ind w:firstLine="480" w:firstLineChars="200"/>
        <w:rPr>
          <w:rFonts w:ascii="宋体" w:hAnsi="宋体"/>
          <w:sz w:val="24"/>
        </w:rPr>
      </w:pPr>
      <w:r>
        <w:rPr>
          <w:rFonts w:hint="eastAsia" w:ascii="宋体" w:hAnsi="宋体"/>
          <w:sz w:val="24"/>
        </w:rPr>
        <w:t>1.发包人和承包人双方的权利和义务</w:t>
      </w:r>
    </w:p>
    <w:p>
      <w:pPr>
        <w:spacing w:line="348" w:lineRule="auto"/>
        <w:ind w:firstLine="480" w:firstLineChars="200"/>
        <w:rPr>
          <w:rFonts w:ascii="宋体" w:hAnsi="宋体"/>
          <w:sz w:val="24"/>
        </w:rPr>
      </w:pPr>
      <w:r>
        <w:rPr>
          <w:rFonts w:hint="eastAsia" w:ascii="宋体" w:hAnsi="宋体"/>
          <w:sz w:val="24"/>
        </w:rPr>
        <w:t>（1）严格遵守党的政策规定和国家有关法律法规及交通运输部的有关规定。</w:t>
      </w:r>
    </w:p>
    <w:p>
      <w:pPr>
        <w:spacing w:line="348" w:lineRule="auto"/>
        <w:ind w:firstLine="480" w:firstLineChars="200"/>
        <w:rPr>
          <w:rFonts w:ascii="宋体" w:hAnsi="宋体"/>
          <w:sz w:val="24"/>
        </w:rPr>
      </w:pPr>
      <w:r>
        <w:rPr>
          <w:rFonts w:hint="eastAsia" w:ascii="宋体" w:hAnsi="宋体"/>
          <w:sz w:val="24"/>
        </w:rPr>
        <w:t>（2）严格执行</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标段施工合同文件，自觉按合同办事。</w:t>
      </w:r>
    </w:p>
    <w:p>
      <w:pPr>
        <w:spacing w:line="348"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（3）双方的业务活动坚持公开、公正、诚信、透明的原则(法律认定的商业秘密和合同文件另有规定除外)，不得损害国家和集体利益，不得违反工程建设管理规章制度。</w:t>
      </w:r>
    </w:p>
    <w:p>
      <w:pPr>
        <w:spacing w:line="348" w:lineRule="auto"/>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pPr>
        <w:spacing w:line="348" w:lineRule="auto"/>
        <w:ind w:firstLine="456" w:firstLineChars="200"/>
        <w:rPr>
          <w:rFonts w:ascii="宋体" w:hAnsi="宋体"/>
          <w:spacing w:val="-6"/>
          <w:sz w:val="24"/>
        </w:rPr>
      </w:pPr>
      <w:r>
        <w:rPr>
          <w:rFonts w:hint="eastAsia" w:ascii="宋体" w:hAnsi="宋体"/>
          <w:spacing w:val="-6"/>
          <w:sz w:val="24"/>
        </w:rPr>
        <w:t>（5）发现对方在业务活动中有违反廉政规定的行为，有及时提醒对方纠正的权利和义务。</w:t>
      </w:r>
    </w:p>
    <w:p>
      <w:pPr>
        <w:spacing w:line="348" w:lineRule="auto"/>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spacing w:line="348" w:lineRule="auto"/>
        <w:ind w:firstLine="480" w:firstLineChars="200"/>
        <w:rPr>
          <w:rFonts w:ascii="宋体" w:hAnsi="宋体"/>
          <w:sz w:val="24"/>
        </w:rPr>
      </w:pPr>
      <w:r>
        <w:rPr>
          <w:rFonts w:hint="eastAsia" w:ascii="宋体" w:hAnsi="宋体"/>
          <w:sz w:val="24"/>
        </w:rPr>
        <w:t>2.发包人的义务</w:t>
      </w:r>
    </w:p>
    <w:p>
      <w:pPr>
        <w:spacing w:line="348" w:lineRule="auto"/>
        <w:ind w:firstLine="480" w:firstLineChars="200"/>
        <w:rPr>
          <w:rFonts w:ascii="宋体" w:hAnsi="宋体"/>
          <w:sz w:val="24"/>
        </w:rPr>
      </w:pPr>
      <w:r>
        <w:rPr>
          <w:rFonts w:hint="eastAsia" w:ascii="宋体" w:hAnsi="宋体"/>
          <w:sz w:val="24"/>
        </w:rPr>
        <w:t>（1）发包人及其工作人员不得索要或接受承包人的礼金、有价证券和贵重物品，不得让承包人报销任何应由发包人或发包人工作人员个人支付的费用等。</w:t>
      </w:r>
    </w:p>
    <w:p>
      <w:pPr>
        <w:spacing w:line="348" w:lineRule="auto"/>
        <w:ind w:firstLine="480" w:firstLineChars="200"/>
        <w:rPr>
          <w:rFonts w:ascii="宋体" w:hAnsi="宋体"/>
          <w:sz w:val="24"/>
        </w:rPr>
      </w:pPr>
      <w:r>
        <w:rPr>
          <w:rFonts w:hint="eastAsia" w:ascii="宋体" w:hAnsi="宋体"/>
          <w:sz w:val="24"/>
        </w:rPr>
        <w:t>（2）发包人工作人员不得参加承包人安排的超标准宴请和娱乐活动；不得接受承包人提供的通讯工具、交通工具和高档办公用品等。</w:t>
      </w:r>
    </w:p>
    <w:p>
      <w:pPr>
        <w:spacing w:line="348" w:lineRule="auto"/>
        <w:ind w:firstLine="480" w:firstLineChars="200"/>
        <w:rPr>
          <w:rFonts w:ascii="宋体" w:hAnsi="宋体"/>
          <w:sz w:val="24"/>
        </w:rPr>
      </w:pPr>
      <w:r>
        <w:rPr>
          <w:rFonts w:hint="eastAsia" w:ascii="宋体" w:hAnsi="宋体"/>
          <w:sz w:val="24"/>
        </w:rPr>
        <w:t>（3）发包人及其工作人员不得要求或者接受承包人为其住房装修、婚丧嫁娶活动、配偶子女的工作安排以及出国出境、旅游等提供方便等。</w:t>
      </w:r>
    </w:p>
    <w:p>
      <w:pPr>
        <w:spacing w:line="348" w:lineRule="auto"/>
        <w:ind w:firstLine="480" w:firstLineChars="200"/>
        <w:rPr>
          <w:rFonts w:ascii="宋体" w:hAnsi="宋体"/>
          <w:sz w:val="24"/>
        </w:rPr>
      </w:pPr>
      <w:r>
        <w:rPr>
          <w:rFonts w:hint="eastAsia" w:ascii="宋体" w:hAnsi="宋体"/>
          <w:sz w:val="24"/>
        </w:rPr>
        <w:t>（4）发包人工作人员及其配偶、子女不得从事与发包人工程有关的材料设备供应、工程分包、劳务等经济活动等。</w:t>
      </w:r>
    </w:p>
    <w:p>
      <w:pPr>
        <w:spacing w:line="348" w:lineRule="auto"/>
        <w:ind w:firstLine="480" w:firstLineChars="200"/>
        <w:rPr>
          <w:rFonts w:ascii="宋体" w:hAnsi="宋体"/>
          <w:sz w:val="24"/>
        </w:rPr>
      </w:pPr>
      <w:r>
        <w:rPr>
          <w:rFonts w:hint="eastAsia" w:ascii="宋体" w:hAnsi="宋体"/>
          <w:sz w:val="24"/>
        </w:rPr>
        <w:t>（5）发包人及其工作人员不得以任何理由向承包人推荐分包单位或推销材料，不得要求承包人购买合同规定外的材料和设备。</w:t>
      </w:r>
    </w:p>
    <w:p>
      <w:pPr>
        <w:spacing w:line="348" w:lineRule="auto"/>
        <w:ind w:firstLine="480" w:firstLineChars="200"/>
        <w:rPr>
          <w:rFonts w:ascii="宋体" w:hAnsi="宋体"/>
          <w:sz w:val="24"/>
        </w:rPr>
      </w:pPr>
      <w:r>
        <w:rPr>
          <w:rFonts w:hint="eastAsia" w:ascii="宋体" w:hAnsi="宋体"/>
          <w:sz w:val="24"/>
        </w:rPr>
        <w:t>（6）发包人工作人员要秉公办事，不准营私舞弊，不准利用职权从事各种个人有偿中介活动和安排个人施工队伍。</w:t>
      </w:r>
    </w:p>
    <w:p>
      <w:pPr>
        <w:spacing w:line="348" w:lineRule="auto"/>
        <w:ind w:firstLine="480" w:firstLineChars="200"/>
        <w:rPr>
          <w:rFonts w:ascii="宋体" w:hAnsi="宋体"/>
          <w:sz w:val="24"/>
        </w:rPr>
      </w:pPr>
      <w:r>
        <w:rPr>
          <w:rFonts w:hint="eastAsia" w:ascii="宋体" w:hAnsi="宋体"/>
          <w:sz w:val="24"/>
        </w:rPr>
        <w:t>3.承包人的义务</w:t>
      </w:r>
    </w:p>
    <w:p>
      <w:pPr>
        <w:spacing w:line="348" w:lineRule="auto"/>
        <w:ind w:firstLine="480" w:firstLineChars="200"/>
        <w:rPr>
          <w:rFonts w:ascii="宋体" w:hAnsi="宋体"/>
          <w:sz w:val="24"/>
        </w:rPr>
      </w:pPr>
      <w:r>
        <w:rPr>
          <w:rFonts w:hint="eastAsia" w:ascii="宋体" w:hAnsi="宋体"/>
          <w:sz w:val="24"/>
        </w:rPr>
        <w:t>（1）承包人不得以任何理由向发包人及其工作人员行贿或馈赠礼金、有价证券、贵重礼品。</w:t>
      </w:r>
    </w:p>
    <w:p>
      <w:pPr>
        <w:spacing w:line="348" w:lineRule="auto"/>
        <w:ind w:firstLine="480" w:firstLineChars="200"/>
        <w:rPr>
          <w:rFonts w:ascii="宋体" w:hAnsi="宋体"/>
          <w:sz w:val="24"/>
        </w:rPr>
      </w:pPr>
      <w:r>
        <w:rPr>
          <w:rFonts w:hint="eastAsia" w:ascii="宋体" w:hAnsi="宋体"/>
          <w:sz w:val="24"/>
        </w:rPr>
        <w:t>（2）承包人不得以任何名义为发包人及其工作人员报销应由发包人单位或个人支付的任何费用。</w:t>
      </w:r>
    </w:p>
    <w:p>
      <w:pPr>
        <w:spacing w:line="348" w:lineRule="auto"/>
        <w:ind w:firstLine="480" w:firstLineChars="200"/>
        <w:rPr>
          <w:rFonts w:ascii="宋体" w:hAnsi="宋体"/>
          <w:sz w:val="24"/>
        </w:rPr>
      </w:pPr>
      <w:r>
        <w:rPr>
          <w:rFonts w:hint="eastAsia" w:ascii="宋体" w:hAnsi="宋体"/>
          <w:sz w:val="24"/>
        </w:rPr>
        <w:t>（3）承包人不得以任何理由安排发包人工作人员参加超标准宴请及娱乐活动。</w:t>
      </w:r>
    </w:p>
    <w:p>
      <w:pPr>
        <w:spacing w:line="348" w:lineRule="auto"/>
        <w:ind w:firstLine="480" w:firstLineChars="200"/>
        <w:rPr>
          <w:rFonts w:ascii="宋体" w:hAnsi="宋体"/>
          <w:sz w:val="24"/>
        </w:rPr>
      </w:pPr>
      <w:r>
        <w:rPr>
          <w:rFonts w:hint="eastAsia" w:ascii="宋体" w:hAnsi="宋体"/>
          <w:sz w:val="24"/>
        </w:rPr>
        <w:t>（4）承包人不得为发包人单位和个人购置或提供通讯工具、交通工具和高档办公用品等。</w:t>
      </w:r>
    </w:p>
    <w:p>
      <w:pPr>
        <w:spacing w:line="348" w:lineRule="auto"/>
        <w:ind w:firstLine="480" w:firstLineChars="200"/>
        <w:rPr>
          <w:rFonts w:ascii="宋体" w:hAnsi="宋体"/>
          <w:sz w:val="24"/>
        </w:rPr>
      </w:pPr>
      <w:r>
        <w:rPr>
          <w:rFonts w:hint="eastAsia" w:ascii="宋体" w:hAnsi="宋体"/>
          <w:sz w:val="24"/>
        </w:rPr>
        <w:t>4.违约责任</w:t>
      </w:r>
    </w:p>
    <w:p>
      <w:pPr>
        <w:spacing w:line="348" w:lineRule="auto"/>
        <w:ind w:firstLine="480" w:firstLineChars="200"/>
        <w:rPr>
          <w:rFonts w:ascii="宋体" w:hAnsi="宋体"/>
          <w:sz w:val="24"/>
        </w:rPr>
      </w:pPr>
      <w:r>
        <w:rPr>
          <w:rFonts w:hint="eastAsia" w:ascii="宋体" w:hAnsi="宋体"/>
          <w:sz w:val="24"/>
        </w:rPr>
        <w:t>（1）发包人及其工作人员违反本合同第1、2条，按管理权限，依据有关规定给予党纪、政纪或组织处理；涉嫌犯罪的，移交司法机关追究刑事责任；给承包人单位造成经济损失的，应予以赔偿。</w:t>
      </w:r>
    </w:p>
    <w:p>
      <w:pPr>
        <w:spacing w:line="348" w:lineRule="auto"/>
        <w:ind w:firstLine="480" w:firstLineChars="200"/>
        <w:rPr>
          <w:rFonts w:ascii="宋体" w:hAnsi="宋体"/>
          <w:sz w:val="24"/>
        </w:rPr>
      </w:pPr>
      <w:r>
        <w:rPr>
          <w:rFonts w:hint="eastAsia" w:ascii="宋体" w:hAnsi="宋体"/>
          <w:sz w:val="24"/>
        </w:rPr>
        <w:t>（2）承包人及其工作人员违反本合同第1、3条，按管理权限，依据有关规定给予党纪、政纪或组织处理；给发包人单位造成经济损失的，应予以赔偿；情节严重的，发包人建议公路主管部门给予承包人一至三年内不得进入其主管的公路建设市场的处罚。</w:t>
      </w:r>
    </w:p>
    <w:p>
      <w:pPr>
        <w:spacing w:line="348" w:lineRule="auto"/>
        <w:ind w:firstLine="480" w:firstLineChars="200"/>
        <w:rPr>
          <w:rFonts w:ascii="宋体" w:hAnsi="宋体"/>
          <w:sz w:val="24"/>
        </w:rPr>
      </w:pPr>
      <w:r>
        <w:rPr>
          <w:rFonts w:hint="eastAsia" w:ascii="宋体" w:hAnsi="宋体"/>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48" w:lineRule="auto"/>
        <w:ind w:firstLine="480" w:firstLineChars="200"/>
        <w:rPr>
          <w:rFonts w:ascii="宋体" w:hAnsi="宋体"/>
          <w:sz w:val="24"/>
        </w:rPr>
      </w:pPr>
      <w:r>
        <w:rPr>
          <w:rFonts w:hint="eastAsia" w:ascii="宋体" w:hAnsi="宋体"/>
          <w:sz w:val="24"/>
        </w:rPr>
        <w:t>6.本合同有效期为发包人和承包人签署之日起至该工程项目竣工验收后止。</w:t>
      </w:r>
    </w:p>
    <w:p>
      <w:pPr>
        <w:spacing w:line="348" w:lineRule="auto"/>
        <w:ind w:firstLine="480" w:firstLineChars="200"/>
        <w:rPr>
          <w:rFonts w:ascii="宋体" w:hAnsi="宋体"/>
          <w:sz w:val="24"/>
        </w:rPr>
      </w:pPr>
      <w:r>
        <w:rPr>
          <w:rFonts w:hint="eastAsia" w:ascii="宋体" w:hAnsi="宋体"/>
          <w:sz w:val="24"/>
        </w:rPr>
        <w:t>7.本合同作为</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标段施工合同的附件，与工程施工合同具有同等的法律效力，经合同双方签署后立即生效。</w:t>
      </w:r>
    </w:p>
    <w:p>
      <w:pPr>
        <w:spacing w:line="348" w:lineRule="auto"/>
        <w:ind w:firstLine="480"/>
        <w:rPr>
          <w:rFonts w:ascii="宋体" w:hAnsi="宋体"/>
          <w:sz w:val="24"/>
        </w:rPr>
      </w:pPr>
      <w:r>
        <w:rPr>
          <w:rFonts w:hint="eastAsia" w:ascii="宋体" w:hAnsi="宋体"/>
          <w:sz w:val="24"/>
        </w:rPr>
        <w:t>8.本合同一式___份，由发包人和承包人各执___份，送交发包人和承包人的监督单位各___份。</w:t>
      </w:r>
    </w:p>
    <w:p>
      <w:pPr>
        <w:spacing w:line="348" w:lineRule="auto"/>
        <w:ind w:firstLine="482"/>
        <w:rPr>
          <w:rFonts w:ascii="宋体" w:hAnsi="宋体"/>
          <w:sz w:val="24"/>
        </w:rPr>
      </w:pPr>
    </w:p>
    <w:p>
      <w:pPr>
        <w:spacing w:line="348" w:lineRule="auto"/>
        <w:rPr>
          <w:rFonts w:ascii="宋体" w:hAnsi="宋体"/>
          <w:sz w:val="24"/>
        </w:rPr>
      </w:pPr>
      <w:r>
        <w:rPr>
          <w:rFonts w:hint="eastAsia" w:ascii="宋体" w:hAnsi="宋体"/>
          <w:sz w:val="24"/>
        </w:rPr>
        <w:t>发包人：</w:t>
      </w:r>
      <w:r>
        <w:rPr>
          <w:rFonts w:hint="eastAsia" w:ascii="宋体" w:hAnsi="宋体"/>
          <w:sz w:val="24"/>
          <w:u w:val="single"/>
        </w:rPr>
        <w:t xml:space="preserve">                 </w:t>
      </w:r>
      <w:r>
        <w:rPr>
          <w:rFonts w:hint="eastAsia" w:ascii="宋体" w:hAnsi="宋体"/>
          <w:sz w:val="24"/>
        </w:rPr>
        <w:t>(盖单位章)      承包人：</w:t>
      </w:r>
      <w:r>
        <w:rPr>
          <w:rFonts w:hint="eastAsia" w:ascii="宋体" w:hAnsi="宋体"/>
          <w:sz w:val="24"/>
          <w:u w:val="single"/>
        </w:rPr>
        <w:t xml:space="preserve">                 </w:t>
      </w:r>
      <w:r>
        <w:rPr>
          <w:rFonts w:hint="eastAsia" w:ascii="宋体" w:hAnsi="宋体"/>
          <w:sz w:val="24"/>
        </w:rPr>
        <w:t>(盖单位章)</w:t>
      </w:r>
    </w:p>
    <w:p>
      <w:pPr>
        <w:spacing w:line="348"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    法定代表人或其委托代理人：</w:t>
      </w:r>
      <w:r>
        <w:rPr>
          <w:rFonts w:hint="eastAsia" w:ascii="宋体" w:hAnsi="宋体"/>
          <w:sz w:val="24"/>
          <w:u w:val="single"/>
        </w:rPr>
        <w:t xml:space="preserve">    </w:t>
      </w:r>
      <w:r>
        <w:rPr>
          <w:rFonts w:hint="eastAsia" w:ascii="宋体" w:hAnsi="宋体"/>
          <w:sz w:val="24"/>
        </w:rPr>
        <w:t>(签字)</w:t>
      </w:r>
    </w:p>
    <w:p>
      <w:pPr>
        <w:spacing w:line="348"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48" w:lineRule="auto"/>
        <w:rPr>
          <w:rFonts w:ascii="宋体" w:hAnsi="宋体"/>
          <w:sz w:val="24"/>
        </w:rPr>
      </w:pPr>
    </w:p>
    <w:p>
      <w:pPr>
        <w:spacing w:line="348" w:lineRule="auto"/>
        <w:rPr>
          <w:rFonts w:ascii="宋体" w:hAnsi="宋体"/>
          <w:sz w:val="24"/>
          <w:u w:val="single"/>
        </w:rPr>
      </w:pPr>
      <w:r>
        <w:rPr>
          <w:rFonts w:hint="eastAsia" w:ascii="宋体" w:hAnsi="宋体"/>
          <w:sz w:val="24"/>
        </w:rPr>
        <w:t>发包人监督单位：(</w:t>
      </w:r>
      <w:r>
        <w:rPr>
          <w:rFonts w:hint="eastAsia" w:ascii="宋体" w:hAnsi="宋体"/>
          <w:sz w:val="24"/>
          <w:u w:val="single"/>
        </w:rPr>
        <w:t>全称） (盖单位章)</w:t>
      </w:r>
      <w:r>
        <w:rPr>
          <w:rFonts w:hint="eastAsia" w:ascii="宋体" w:hAnsi="宋体"/>
          <w:sz w:val="24"/>
        </w:rPr>
        <w:t xml:space="preserve">       承包人监督单位：</w:t>
      </w:r>
      <w:r>
        <w:rPr>
          <w:rFonts w:hint="eastAsia" w:ascii="宋体" w:hAnsi="宋体"/>
          <w:sz w:val="24"/>
          <w:u w:val="single"/>
        </w:rPr>
        <w:t>(全称）   (盖单位章）</w:t>
      </w:r>
    </w:p>
    <w:p>
      <w:pPr>
        <w:spacing w:line="380" w:lineRule="exact"/>
        <w:rPr>
          <w:rFonts w:ascii="宋体" w:hAnsi="宋体"/>
          <w:sz w:val="24"/>
        </w:rPr>
      </w:pPr>
      <w:r>
        <w:rPr>
          <w:rFonts w:hint="eastAsia" w:ascii="宋体" w:hAnsi="宋体"/>
          <w:sz w:val="24"/>
        </w:rPr>
        <w:t>附件三   安全生产合同</w:t>
      </w:r>
    </w:p>
    <w:p>
      <w:pPr>
        <w:adjustRightInd w:val="0"/>
        <w:spacing w:line="360" w:lineRule="auto"/>
        <w:jc w:val="center"/>
        <w:rPr>
          <w:rFonts w:ascii="宋体" w:hAnsi="宋体"/>
          <w:b/>
          <w:sz w:val="28"/>
          <w:szCs w:val="28"/>
        </w:rPr>
      </w:pPr>
      <w:r>
        <w:rPr>
          <w:rFonts w:hint="eastAsia" w:ascii="宋体" w:hAnsi="宋体"/>
          <w:b/>
          <w:sz w:val="28"/>
          <w:szCs w:val="28"/>
        </w:rPr>
        <w:t>安全生产合同</w:t>
      </w:r>
    </w:p>
    <w:p>
      <w:pPr>
        <w:spacing w:line="420" w:lineRule="exact"/>
        <w:jc w:val="center"/>
        <w:rPr>
          <w:rFonts w:ascii="宋体" w:hAnsi="宋体"/>
          <w:b/>
        </w:rPr>
      </w:pPr>
      <w:r>
        <w:rPr>
          <w:rFonts w:hint="eastAsia" w:ascii="宋体" w:hAnsi="宋体"/>
          <w:b/>
        </w:rPr>
        <w:t>（本格式编排在招标文件中，供投标人参考，投标时不需附此表）</w:t>
      </w:r>
    </w:p>
    <w:p>
      <w:pPr>
        <w:spacing w:line="420" w:lineRule="exact"/>
        <w:jc w:val="center"/>
        <w:rPr>
          <w:rFonts w:ascii="宋体" w:hAnsi="宋体"/>
          <w:b/>
        </w:rPr>
      </w:pPr>
    </w:p>
    <w:p>
      <w:pPr>
        <w:snapToGrid w:val="0"/>
        <w:spacing w:line="348" w:lineRule="auto"/>
        <w:rPr>
          <w:rFonts w:ascii="宋体" w:hAnsi="宋体"/>
          <w:sz w:val="24"/>
        </w:rPr>
      </w:pPr>
      <w:r>
        <w:rPr>
          <w:rFonts w:hint="eastAsia" w:ascii="宋体" w:hAnsi="宋体"/>
          <w:sz w:val="24"/>
        </w:rPr>
        <w:t xml:space="preserve">   为在</w:t>
      </w:r>
      <w:r>
        <w:rPr>
          <w:rFonts w:hint="eastAsia" w:ascii="宋体" w:hAnsi="宋体"/>
          <w:sz w:val="24"/>
          <w:u w:val="single"/>
        </w:rPr>
        <w:t xml:space="preserve">            </w:t>
      </w:r>
      <w:r>
        <w:rPr>
          <w:rFonts w:hint="eastAsia" w:ascii="宋体" w:hAnsi="宋体"/>
          <w:sz w:val="24"/>
        </w:rPr>
        <w:t xml:space="preserve"> （项目名称）施工合同的实施过程中创造安全、高效的施工环境，切实搞好本项目的安全管理工作，本项目发包人</w:t>
      </w:r>
      <w:r>
        <w:rPr>
          <w:rFonts w:hint="eastAsia" w:ascii="宋体" w:hAnsi="宋体"/>
          <w:sz w:val="24"/>
          <w:u w:val="single"/>
        </w:rPr>
        <w:t xml:space="preserve">       </w:t>
      </w:r>
      <w:r>
        <w:rPr>
          <w:rFonts w:hint="eastAsia" w:ascii="宋体" w:hAnsi="宋体"/>
          <w:sz w:val="24"/>
        </w:rPr>
        <w:t>（发包人名称，以下简称“发包人”）与承包人</w:t>
      </w:r>
      <w:r>
        <w:rPr>
          <w:rFonts w:hint="eastAsia" w:ascii="宋体" w:hAnsi="宋体"/>
          <w:sz w:val="24"/>
          <w:u w:val="single"/>
        </w:rPr>
        <w:t xml:space="preserve">          </w:t>
      </w:r>
      <w:r>
        <w:rPr>
          <w:rFonts w:hint="eastAsia" w:ascii="宋体" w:hAnsi="宋体"/>
          <w:sz w:val="24"/>
        </w:rPr>
        <w:t>（承包人名称，以下简称“承包人”）特此签订安全生产合同：</w:t>
      </w:r>
    </w:p>
    <w:p>
      <w:pPr>
        <w:snapToGrid w:val="0"/>
        <w:spacing w:line="348" w:lineRule="auto"/>
        <w:rPr>
          <w:rFonts w:ascii="宋体" w:hAnsi="宋体"/>
          <w:sz w:val="24"/>
        </w:rPr>
      </w:pPr>
      <w:r>
        <w:rPr>
          <w:rFonts w:hint="eastAsia" w:ascii="宋体" w:hAnsi="宋体"/>
          <w:sz w:val="24"/>
        </w:rPr>
        <w:t xml:space="preserve">    1.发包人职责</w:t>
      </w:r>
    </w:p>
    <w:p>
      <w:pPr>
        <w:snapToGrid w:val="0"/>
        <w:spacing w:line="348" w:lineRule="auto"/>
        <w:rPr>
          <w:rFonts w:ascii="宋体" w:hAnsi="宋体"/>
          <w:sz w:val="24"/>
        </w:rPr>
      </w:pPr>
      <w:r>
        <w:rPr>
          <w:rFonts w:hint="eastAsia" w:ascii="宋体" w:hAnsi="宋体"/>
          <w:sz w:val="24"/>
        </w:rPr>
        <w:t xml:space="preserve">   （1）严格遵守国家有关安全生产的法律法规，认真执行工程承包合同中的有关安全要求。</w:t>
      </w:r>
    </w:p>
    <w:p>
      <w:pPr>
        <w:snapToGrid w:val="0"/>
        <w:spacing w:line="348" w:lineRule="auto"/>
        <w:rPr>
          <w:rFonts w:ascii="宋体" w:hAnsi="宋体"/>
          <w:sz w:val="24"/>
        </w:rPr>
      </w:pPr>
      <w:r>
        <w:rPr>
          <w:rFonts w:hint="eastAsia" w:ascii="宋体" w:hAnsi="宋体"/>
          <w:sz w:val="24"/>
        </w:rPr>
        <w:t xml:space="preserve">   （2）按照“安全第一、预防为主</w:t>
      </w:r>
      <w:r>
        <w:rPr>
          <w:rFonts w:ascii="宋体" w:hAnsi="宋体"/>
          <w:sz w:val="24"/>
        </w:rPr>
        <w:t>”</w:t>
      </w:r>
      <w:r>
        <w:rPr>
          <w:rFonts w:hint="eastAsia" w:ascii="宋体" w:hAnsi="宋体"/>
          <w:sz w:val="24"/>
        </w:rPr>
        <w:t>和坚持“管生产必须管安全”的原则进行安全生产管理，做到生产与安全工作同时计划、布置、检查、总结和评比。</w:t>
      </w:r>
    </w:p>
    <w:p>
      <w:pPr>
        <w:snapToGrid w:val="0"/>
        <w:spacing w:line="348" w:lineRule="auto"/>
        <w:rPr>
          <w:rFonts w:ascii="宋体" w:hAnsi="宋体"/>
          <w:sz w:val="24"/>
        </w:rPr>
      </w:pPr>
      <w:r>
        <w:rPr>
          <w:rFonts w:hint="eastAsia" w:ascii="宋体" w:hAnsi="宋体"/>
          <w:sz w:val="24"/>
        </w:rPr>
        <w:t xml:space="preserve">   （3）重要的安全设施必须坚持与主体工程“三同时</w:t>
      </w:r>
      <w:r>
        <w:rPr>
          <w:rFonts w:ascii="宋体" w:hAnsi="宋体"/>
          <w:sz w:val="24"/>
        </w:rPr>
        <w:t>”</w:t>
      </w:r>
      <w:r>
        <w:rPr>
          <w:rFonts w:hint="eastAsia" w:ascii="宋体" w:hAnsi="宋体"/>
          <w:sz w:val="24"/>
        </w:rPr>
        <w:t>的原则，即：同时设计、审批，同时施工，同时验收，投入使用。</w:t>
      </w:r>
    </w:p>
    <w:p>
      <w:pPr>
        <w:snapToGrid w:val="0"/>
        <w:spacing w:line="348" w:lineRule="auto"/>
        <w:rPr>
          <w:rFonts w:ascii="宋体" w:hAnsi="宋体"/>
          <w:sz w:val="24"/>
        </w:rPr>
      </w:pPr>
      <w:r>
        <w:rPr>
          <w:rFonts w:hint="eastAsia" w:ascii="宋体" w:hAnsi="宋体"/>
          <w:sz w:val="24"/>
        </w:rPr>
        <w:t xml:space="preserve">   （4）定期召开安全生产调度会，及时传达中央及地方有关安全生产的精神。</w:t>
      </w:r>
    </w:p>
    <w:p>
      <w:pPr>
        <w:snapToGrid w:val="0"/>
        <w:spacing w:line="348" w:lineRule="auto"/>
        <w:rPr>
          <w:rFonts w:ascii="宋体" w:hAnsi="宋体"/>
          <w:sz w:val="24"/>
        </w:rPr>
      </w:pPr>
      <w:r>
        <w:rPr>
          <w:rFonts w:hint="eastAsia" w:ascii="宋体" w:hAnsi="宋体"/>
          <w:sz w:val="24"/>
        </w:rPr>
        <w:t xml:space="preserve">   （5）组织对承包人施工现场进行安全生产检查，监督承包人及时处理发现的各种安全隐患。</w:t>
      </w:r>
    </w:p>
    <w:p>
      <w:pPr>
        <w:snapToGrid w:val="0"/>
        <w:spacing w:line="348" w:lineRule="auto"/>
        <w:rPr>
          <w:rFonts w:ascii="宋体" w:hAnsi="宋体"/>
          <w:sz w:val="24"/>
        </w:rPr>
      </w:pPr>
      <w:r>
        <w:rPr>
          <w:rFonts w:hint="eastAsia" w:ascii="宋体" w:hAnsi="宋体"/>
          <w:sz w:val="24"/>
        </w:rPr>
        <w:t xml:space="preserve">    2.承包人职责</w:t>
      </w:r>
    </w:p>
    <w:p>
      <w:pPr>
        <w:snapToGrid w:val="0"/>
        <w:spacing w:line="348" w:lineRule="auto"/>
        <w:rPr>
          <w:rFonts w:ascii="宋体" w:hAnsi="宋体"/>
          <w:sz w:val="24"/>
        </w:rPr>
      </w:pPr>
      <w:r>
        <w:rPr>
          <w:rFonts w:hint="eastAsia" w:ascii="宋体" w:hAnsi="宋体"/>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napToGrid w:val="0"/>
        <w:spacing w:line="348" w:lineRule="auto"/>
        <w:rPr>
          <w:rFonts w:ascii="宋体" w:hAnsi="宋体"/>
          <w:sz w:val="24"/>
        </w:rPr>
      </w:pPr>
      <w:r>
        <w:rPr>
          <w:rFonts w:hint="eastAsia" w:ascii="宋体" w:hAnsi="宋体"/>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napToGrid w:val="0"/>
        <w:spacing w:line="348" w:lineRule="auto"/>
        <w:rPr>
          <w:rFonts w:ascii="宋体" w:hAnsi="宋体"/>
          <w:sz w:val="24"/>
        </w:rPr>
      </w:pPr>
      <w:r>
        <w:rPr>
          <w:rFonts w:hint="eastAsia" w:ascii="宋体" w:hAnsi="宋体"/>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tabs>
          <w:tab w:val="left" w:pos="426"/>
        </w:tabs>
        <w:snapToGrid w:val="0"/>
        <w:spacing w:line="348" w:lineRule="auto"/>
        <w:rPr>
          <w:rFonts w:ascii="宋体" w:hAnsi="宋体"/>
          <w:sz w:val="24"/>
        </w:rPr>
      </w:pPr>
      <w:r>
        <w:rPr>
          <w:rFonts w:hint="eastAsia" w:ascii="宋体" w:hAnsi="宋体"/>
          <w:sz w:val="24"/>
        </w:rPr>
        <w:t xml:space="preserve">   （4）承包人在任何时候都应采取各种合理的预防措施，防止其员工发生任何违法、违禁、暴力或妨碍治安的行为。</w:t>
      </w:r>
    </w:p>
    <w:p>
      <w:pPr>
        <w:snapToGrid w:val="0"/>
        <w:spacing w:line="348" w:lineRule="auto"/>
        <w:rPr>
          <w:rFonts w:ascii="宋体" w:hAnsi="宋体"/>
          <w:sz w:val="24"/>
        </w:rPr>
      </w:pPr>
      <w:r>
        <w:rPr>
          <w:rFonts w:hint="eastAsia" w:ascii="宋体" w:hAnsi="宋体"/>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napToGrid w:val="0"/>
        <w:spacing w:line="348" w:lineRule="auto"/>
        <w:rPr>
          <w:rFonts w:ascii="宋体" w:hAnsi="宋体"/>
          <w:sz w:val="24"/>
        </w:rPr>
      </w:pPr>
      <w:r>
        <w:rPr>
          <w:rFonts w:hint="eastAsia" w:ascii="宋体" w:hAnsi="宋体"/>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napToGrid w:val="0"/>
        <w:spacing w:line="348" w:lineRule="auto"/>
        <w:rPr>
          <w:rFonts w:ascii="宋体" w:hAnsi="宋体"/>
          <w:sz w:val="24"/>
        </w:rPr>
      </w:pPr>
      <w:r>
        <w:rPr>
          <w:rFonts w:hint="eastAsia" w:ascii="宋体" w:hAnsi="宋体"/>
          <w:sz w:val="24"/>
        </w:rPr>
        <w:t xml:space="preserve">   （7）操作人员上岗，必须按规定穿戴防护用品。施工负责人和安全检查员应随时检查劳动防护用品的穿戴情况，不按规定穿戴防护用品的人员不得上岗。</w:t>
      </w:r>
    </w:p>
    <w:p>
      <w:pPr>
        <w:snapToGrid w:val="0"/>
        <w:spacing w:line="348" w:lineRule="auto"/>
        <w:rPr>
          <w:rFonts w:ascii="宋体" w:hAnsi="宋体"/>
          <w:sz w:val="24"/>
        </w:rPr>
      </w:pPr>
      <w:r>
        <w:rPr>
          <w:rFonts w:hint="eastAsia" w:ascii="宋体" w:hAnsi="宋体"/>
          <w:sz w:val="24"/>
        </w:rPr>
        <w:t xml:space="preserve">   （8）所有施工机具设备和高空作业的设备均应定期检查，并有安全员的签字记录，保证其经常处于完好状态；不合格的机具、设备和劳动保护用品严禁使用。</w:t>
      </w:r>
    </w:p>
    <w:p>
      <w:pPr>
        <w:snapToGrid w:val="0"/>
        <w:spacing w:line="348" w:lineRule="auto"/>
        <w:rPr>
          <w:rFonts w:ascii="宋体" w:hAnsi="宋体"/>
          <w:sz w:val="24"/>
        </w:rPr>
      </w:pPr>
      <w:r>
        <w:rPr>
          <w:rFonts w:hint="eastAsia" w:ascii="宋体" w:hAnsi="宋体"/>
          <w:sz w:val="24"/>
        </w:rPr>
        <w:t xml:space="preserve">   （9）施工中采用新技术、新工艺、新设备、新材料时，必须制定相应的安全技术措施，施工现场必须具有相关的安全标志牌。</w:t>
      </w:r>
    </w:p>
    <w:p>
      <w:pPr>
        <w:snapToGrid w:val="0"/>
        <w:spacing w:line="348" w:lineRule="auto"/>
        <w:rPr>
          <w:rFonts w:ascii="宋体" w:hAnsi="宋体"/>
          <w:sz w:val="24"/>
        </w:rPr>
      </w:pPr>
      <w:r>
        <w:rPr>
          <w:rFonts w:hint="eastAsia" w:ascii="宋体" w:hAnsi="宋体"/>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w:t>
      </w:r>
      <w:r>
        <w:rPr>
          <w:rFonts w:ascii="宋体" w:hAnsi="宋体"/>
          <w:sz w:val="24"/>
        </w:rPr>
        <w:t>”</w:t>
      </w:r>
      <w:r>
        <w:rPr>
          <w:rFonts w:hint="eastAsia" w:ascii="宋体" w:hAnsi="宋体"/>
          <w:sz w:val="24"/>
        </w:rPr>
        <w:t>的原则，严肃处理相关责任人。</w:t>
      </w:r>
    </w:p>
    <w:p>
      <w:pPr>
        <w:snapToGrid w:val="0"/>
        <w:spacing w:line="348" w:lineRule="auto"/>
        <w:rPr>
          <w:rFonts w:ascii="宋体" w:hAnsi="宋体"/>
          <w:sz w:val="24"/>
        </w:rPr>
      </w:pPr>
      <w:r>
        <w:rPr>
          <w:rFonts w:hint="eastAsia" w:ascii="宋体" w:hAnsi="宋体"/>
          <w:sz w:val="24"/>
        </w:rPr>
        <w:t xml:space="preserve">   （11）安全生产费用按照《公路水运工程安全生产监督管理办法》的相关规定使用和管理。</w:t>
      </w:r>
    </w:p>
    <w:p>
      <w:pPr>
        <w:snapToGrid w:val="0"/>
        <w:spacing w:line="348" w:lineRule="auto"/>
        <w:rPr>
          <w:rFonts w:ascii="宋体" w:hAnsi="宋体"/>
          <w:sz w:val="24"/>
        </w:rPr>
      </w:pPr>
      <w:r>
        <w:rPr>
          <w:rFonts w:hint="eastAsia" w:ascii="宋体" w:hAnsi="宋体"/>
          <w:sz w:val="24"/>
        </w:rPr>
        <w:t xml:space="preserve">    3.违约责任</w:t>
      </w:r>
    </w:p>
    <w:p>
      <w:pPr>
        <w:snapToGrid w:val="0"/>
        <w:spacing w:line="348" w:lineRule="auto"/>
        <w:rPr>
          <w:rFonts w:ascii="宋体" w:hAnsi="宋体"/>
          <w:sz w:val="24"/>
        </w:rPr>
      </w:pPr>
      <w:r>
        <w:rPr>
          <w:rFonts w:hint="eastAsia" w:ascii="宋体" w:hAnsi="宋体"/>
          <w:sz w:val="24"/>
        </w:rPr>
        <w:t xml:space="preserve">    如因发包人或承包人违约造成安全事故，将依法追究责任。</w:t>
      </w:r>
    </w:p>
    <w:p>
      <w:pPr>
        <w:snapToGrid w:val="0"/>
        <w:spacing w:line="348" w:lineRule="auto"/>
        <w:rPr>
          <w:rFonts w:ascii="宋体" w:hAnsi="宋体"/>
          <w:sz w:val="24"/>
        </w:rPr>
      </w:pPr>
      <w:r>
        <w:rPr>
          <w:rFonts w:hint="eastAsia" w:ascii="宋体" w:hAnsi="宋体"/>
          <w:sz w:val="24"/>
        </w:rPr>
        <w:t xml:space="preserve">    4.本合同由双方法定代表人或其授权的代理人签署并加盖单位章后生效，全部工程竣工验收后失效。</w:t>
      </w:r>
    </w:p>
    <w:p>
      <w:pPr>
        <w:snapToGrid w:val="0"/>
        <w:spacing w:line="348" w:lineRule="auto"/>
        <w:ind w:firstLine="480"/>
        <w:rPr>
          <w:rFonts w:ascii="宋体" w:hAnsi="宋体"/>
          <w:sz w:val="24"/>
        </w:rPr>
      </w:pPr>
      <w:r>
        <w:rPr>
          <w:rFonts w:hint="eastAsia" w:ascii="宋体" w:hAnsi="宋体"/>
          <w:sz w:val="24"/>
        </w:rPr>
        <w:t>5. 本协议书正本___份、副本</w:t>
      </w:r>
      <w:r>
        <w:rPr>
          <w:rFonts w:hint="eastAsia" w:ascii="宋体" w:hAnsi="宋体"/>
          <w:sz w:val="24"/>
          <w:u w:val="single"/>
        </w:rPr>
        <w:t xml:space="preserve">   </w:t>
      </w:r>
      <w:r>
        <w:rPr>
          <w:rFonts w:hint="eastAsia" w:ascii="宋体" w:hAnsi="宋体"/>
          <w:sz w:val="24"/>
        </w:rPr>
        <w:t>份，发包人执正本___份，副本</w:t>
      </w:r>
      <w:r>
        <w:rPr>
          <w:rFonts w:hint="eastAsia" w:ascii="宋体" w:hAnsi="宋体"/>
          <w:sz w:val="24"/>
          <w:u w:val="single"/>
        </w:rPr>
        <w:t xml:space="preserve">   </w:t>
      </w:r>
      <w:r>
        <w:rPr>
          <w:rFonts w:hint="eastAsia" w:ascii="宋体" w:hAnsi="宋体"/>
          <w:sz w:val="24"/>
        </w:rPr>
        <w:t>份，承包人执正本___份，副本</w:t>
      </w:r>
      <w:r>
        <w:rPr>
          <w:rFonts w:hint="eastAsia" w:ascii="宋体" w:hAnsi="宋体"/>
          <w:sz w:val="24"/>
          <w:u w:val="single"/>
        </w:rPr>
        <w:t xml:space="preserve">   </w:t>
      </w:r>
      <w:r>
        <w:rPr>
          <w:rFonts w:hint="eastAsia" w:ascii="宋体" w:hAnsi="宋体"/>
          <w:sz w:val="24"/>
        </w:rPr>
        <w:t>份，当正本与副本的内容不一致时，以正本为准。</w:t>
      </w:r>
    </w:p>
    <w:p>
      <w:pPr>
        <w:snapToGrid w:val="0"/>
        <w:spacing w:line="300" w:lineRule="auto"/>
        <w:ind w:firstLine="480"/>
        <w:rPr>
          <w:rFonts w:ascii="宋体" w:hAnsi="宋体"/>
          <w:sz w:val="24"/>
        </w:rPr>
      </w:pPr>
    </w:p>
    <w:p>
      <w:pPr>
        <w:snapToGrid w:val="0"/>
        <w:spacing w:line="360" w:lineRule="auto"/>
        <w:rPr>
          <w:rFonts w:ascii="宋体" w:hAnsi="宋体"/>
          <w:sz w:val="24"/>
        </w:rPr>
      </w:pPr>
      <w:r>
        <w:rPr>
          <w:rFonts w:hint="eastAsia" w:ascii="宋体" w:hAnsi="宋体"/>
          <w:sz w:val="24"/>
        </w:rPr>
        <w:t>发包人：</w:t>
      </w:r>
      <w:r>
        <w:rPr>
          <w:rFonts w:hint="eastAsia" w:ascii="宋体" w:hAnsi="宋体"/>
          <w:sz w:val="24"/>
          <w:u w:val="single"/>
        </w:rPr>
        <w:t xml:space="preserve">                </w:t>
      </w:r>
      <w:r>
        <w:rPr>
          <w:rFonts w:hint="eastAsia" w:ascii="宋体" w:hAnsi="宋体"/>
          <w:sz w:val="24"/>
        </w:rPr>
        <w:t>(盖单位章)      承包人：</w:t>
      </w:r>
      <w:r>
        <w:rPr>
          <w:rFonts w:hint="eastAsia" w:ascii="宋体" w:hAnsi="宋体"/>
          <w:sz w:val="24"/>
          <w:u w:val="single"/>
        </w:rPr>
        <w:t xml:space="preserve">                 </w:t>
      </w:r>
      <w:r>
        <w:rPr>
          <w:rFonts w:hint="eastAsia" w:ascii="宋体" w:hAnsi="宋体"/>
          <w:sz w:val="24"/>
        </w:rPr>
        <w:t>(盖单位章)</w:t>
      </w:r>
    </w:p>
    <w:p>
      <w:pPr>
        <w:snapToGrid w:val="0"/>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    法定代表人或其委托代理人：</w:t>
      </w:r>
      <w:r>
        <w:rPr>
          <w:rFonts w:hint="eastAsia" w:ascii="宋体" w:hAnsi="宋体"/>
          <w:sz w:val="24"/>
          <w:u w:val="single"/>
        </w:rPr>
        <w:t xml:space="preserve">    </w:t>
      </w:r>
      <w:r>
        <w:rPr>
          <w:rFonts w:hint="eastAsia" w:ascii="宋体" w:hAnsi="宋体"/>
          <w:sz w:val="24"/>
        </w:rPr>
        <w:t>(签字)</w:t>
      </w:r>
    </w:p>
    <w:p>
      <w:pPr>
        <w:snapToGrid w:val="0"/>
        <w:spacing w:line="360" w:lineRule="auto"/>
        <w:ind w:firstLine="1800" w:firstLineChars="7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80" w:lineRule="exact"/>
        <w:rPr>
          <w:rFonts w:ascii="宋体" w:hAnsi="宋体"/>
          <w:sz w:val="24"/>
        </w:rPr>
      </w:pPr>
      <w:r>
        <w:rPr>
          <w:rFonts w:hint="eastAsia" w:ascii="宋体" w:hAnsi="宋体"/>
        </w:rPr>
        <w:br w:type="page"/>
      </w:r>
      <w:bookmarkStart w:id="572" w:name="_Toc234349542"/>
      <w:bookmarkStart w:id="573" w:name="_Toc234345887"/>
      <w:bookmarkStart w:id="574" w:name="_Toc234346102"/>
      <w:bookmarkStart w:id="575" w:name="_Toc234348968"/>
      <w:r>
        <w:rPr>
          <w:rFonts w:hint="eastAsia" w:ascii="宋体" w:hAnsi="宋体"/>
          <w:sz w:val="24"/>
        </w:rPr>
        <w:t>附件四  其他管理人员和技术人员最低要求</w:t>
      </w:r>
      <w:bookmarkEnd w:id="572"/>
      <w:bookmarkEnd w:id="573"/>
      <w:bookmarkEnd w:id="574"/>
      <w:bookmarkEnd w:id="575"/>
    </w:p>
    <w:p>
      <w:pPr>
        <w:spacing w:line="380" w:lineRule="exact"/>
        <w:jc w:val="center"/>
        <w:rPr>
          <w:rFonts w:ascii="宋体" w:hAnsi="宋体"/>
          <w:sz w:val="24"/>
        </w:rPr>
      </w:pPr>
      <w:r>
        <w:rPr>
          <w:rFonts w:hint="eastAsia" w:ascii="宋体" w:hAnsi="宋体"/>
        </w:rPr>
        <w:t>（本格式编排在招标文件中，供投标人参考，投标时不需附此表）</w:t>
      </w:r>
    </w:p>
    <w:tbl>
      <w:tblPr>
        <w:tblStyle w:val="38"/>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36"/>
        <w:gridCol w:w="1325"/>
        <w:gridCol w:w="47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3036" w:type="dxa"/>
            <w:vAlign w:val="center"/>
          </w:tcPr>
          <w:p>
            <w:pPr>
              <w:jc w:val="center"/>
              <w:rPr>
                <w:rFonts w:ascii="宋体" w:hAnsi="宋体"/>
                <w:szCs w:val="21"/>
              </w:rPr>
            </w:pPr>
            <w:r>
              <w:rPr>
                <w:rFonts w:hint="eastAsia" w:ascii="宋体" w:hAnsi="宋体"/>
                <w:szCs w:val="21"/>
              </w:rPr>
              <w:t>人  员</w:t>
            </w:r>
          </w:p>
        </w:tc>
        <w:tc>
          <w:tcPr>
            <w:tcW w:w="1325" w:type="dxa"/>
            <w:vAlign w:val="center"/>
          </w:tcPr>
          <w:p>
            <w:pPr>
              <w:jc w:val="center"/>
              <w:rPr>
                <w:rFonts w:ascii="宋体" w:hAnsi="宋体"/>
                <w:szCs w:val="21"/>
              </w:rPr>
            </w:pPr>
            <w:r>
              <w:rPr>
                <w:rFonts w:hint="eastAsia" w:ascii="宋体" w:hAnsi="宋体"/>
                <w:szCs w:val="21"/>
              </w:rPr>
              <w:t>数  量</w:t>
            </w:r>
          </w:p>
        </w:tc>
        <w:tc>
          <w:tcPr>
            <w:tcW w:w="4747" w:type="dxa"/>
            <w:vAlign w:val="center"/>
          </w:tcPr>
          <w:p>
            <w:pPr>
              <w:jc w:val="center"/>
              <w:rPr>
                <w:rFonts w:ascii="宋体" w:hAnsi="宋体"/>
                <w:szCs w:val="21"/>
              </w:rPr>
            </w:pPr>
            <w:r>
              <w:rPr>
                <w:rFonts w:hint="eastAsia" w:ascii="宋体" w:hAnsi="宋体"/>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3036"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安全生产、文明施工负责人</w:t>
            </w:r>
          </w:p>
        </w:tc>
        <w:tc>
          <w:tcPr>
            <w:tcW w:w="1325"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1</w:t>
            </w:r>
          </w:p>
        </w:tc>
        <w:tc>
          <w:tcPr>
            <w:tcW w:w="4747" w:type="dxa"/>
            <w:vAlign w:val="center"/>
          </w:tcPr>
          <w:p>
            <w:pPr>
              <w:pStyle w:val="29"/>
              <w:rPr>
                <w:rFonts w:ascii="宋体"/>
                <w:sz w:val="24"/>
              </w:rPr>
            </w:pPr>
            <w:r>
              <w:rPr>
                <w:rFonts w:hint="eastAsia"/>
              </w:rPr>
              <w:t>中级或以上技术职称，要求具有</w:t>
            </w:r>
            <w:r>
              <w:rPr>
                <w:rFonts w:hint="eastAsia" w:ascii="宋体" w:hAnsi="宋体"/>
              </w:rPr>
              <w:t>5年或以上公路</w:t>
            </w:r>
            <w:r>
              <w:rPr>
                <w:rFonts w:hint="eastAsia"/>
              </w:rPr>
              <w:t>安全生产、文明施工管理工作经验，具有省级交通运输主管部门颁发的有效的公路水运工程施工企业主要负责人和安全生产管理人员安全生产考核合格证书</w:t>
            </w:r>
            <w:r>
              <w:rPr>
                <w:rFonts w:hint="eastAsia" w:ascii="宋体" w:hAnsi="宋体"/>
              </w:rPr>
              <w:t>(C</w:t>
            </w:r>
            <w:r>
              <w:rPr>
                <w:rFonts w:hint="eastAsia"/>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036"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合约工程师</w:t>
            </w:r>
          </w:p>
        </w:tc>
        <w:tc>
          <w:tcPr>
            <w:tcW w:w="1325"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1</w:t>
            </w:r>
          </w:p>
        </w:tc>
        <w:tc>
          <w:tcPr>
            <w:tcW w:w="4747" w:type="dxa"/>
            <w:vAlign w:val="center"/>
          </w:tcPr>
          <w:p>
            <w:pPr>
              <w:pStyle w:val="29"/>
              <w:rPr>
                <w:rFonts w:ascii="宋体"/>
                <w:sz w:val="24"/>
              </w:rPr>
            </w:pPr>
            <w:r>
              <w:rPr>
                <w:rFonts w:hint="eastAsia" w:ascii="宋体" w:hAnsi="宋体"/>
              </w:rPr>
              <w:t>中级</w:t>
            </w:r>
            <w:r>
              <w:rPr>
                <w:rFonts w:hint="eastAsia"/>
              </w:rPr>
              <w:t>或</w:t>
            </w:r>
            <w:r>
              <w:rPr>
                <w:rFonts w:hint="eastAsia" w:ascii="宋体" w:hAnsi="宋体"/>
              </w:rPr>
              <w:t>以上技术职称，担任过二级或以上公路</w:t>
            </w:r>
            <w:r>
              <w:rPr>
                <w:rFonts w:hint="eastAsia" w:ascii="宋体" w:hAnsi="宋体"/>
                <w:szCs w:val="23"/>
              </w:rPr>
              <w:t>工程</w:t>
            </w:r>
            <w:r>
              <w:rPr>
                <w:rFonts w:hint="eastAsia" w:ascii="宋体" w:hAnsi="宋体"/>
              </w:rPr>
              <w:t>合约工程师</w:t>
            </w:r>
            <w:r>
              <w:rPr>
                <w:rFonts w:hint="eastAsia" w:ascii="宋体" w:hAnsi="宋体"/>
                <w:szCs w:val="23"/>
              </w:rPr>
              <w:t>,5年以上类似工作经验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3036" w:type="dxa"/>
            <w:vAlign w:val="center"/>
          </w:tcPr>
          <w:p>
            <w:pPr>
              <w:autoSpaceDE w:val="0"/>
              <w:autoSpaceDN w:val="0"/>
              <w:adjustRightInd w:val="0"/>
              <w:snapToGrid w:val="0"/>
              <w:spacing w:line="240" w:lineRule="atLeast"/>
              <w:jc w:val="center"/>
              <w:rPr>
                <w:rFonts w:ascii="宋体" w:hAnsi="宋体"/>
                <w:szCs w:val="23"/>
              </w:rPr>
            </w:pPr>
            <w:r>
              <w:rPr>
                <w:rFonts w:hint="eastAsia" w:ascii="宋体" w:hAnsi="宋体"/>
                <w:szCs w:val="23"/>
              </w:rPr>
              <w:t>试验工程师</w:t>
            </w:r>
          </w:p>
        </w:tc>
        <w:tc>
          <w:tcPr>
            <w:tcW w:w="1325"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1</w:t>
            </w:r>
          </w:p>
        </w:tc>
        <w:tc>
          <w:tcPr>
            <w:tcW w:w="4747" w:type="dxa"/>
            <w:vAlign w:val="center"/>
          </w:tcPr>
          <w:p>
            <w:pPr>
              <w:autoSpaceDE w:val="0"/>
              <w:autoSpaceDN w:val="0"/>
              <w:adjustRightInd w:val="0"/>
              <w:snapToGrid w:val="0"/>
              <w:spacing w:before="72" w:beforeLines="30"/>
              <w:rPr>
                <w:rFonts w:ascii="宋体"/>
                <w:sz w:val="24"/>
              </w:rPr>
            </w:pPr>
            <w:r>
              <w:rPr>
                <w:rFonts w:hint="eastAsia" w:ascii="宋体" w:hAnsi="宋体"/>
                <w:szCs w:val="23"/>
              </w:rPr>
              <w:t>中级</w:t>
            </w:r>
            <w:r>
              <w:rPr>
                <w:rFonts w:hint="eastAsia"/>
              </w:rPr>
              <w:t>或</w:t>
            </w:r>
            <w:r>
              <w:rPr>
                <w:rFonts w:hint="eastAsia" w:ascii="宋体" w:hAnsi="宋体"/>
                <w:szCs w:val="23"/>
              </w:rPr>
              <w:t>以上技术职称，担任过</w:t>
            </w:r>
            <w:r>
              <w:rPr>
                <w:rFonts w:hint="eastAsia" w:ascii="宋体" w:hAnsi="宋体"/>
              </w:rPr>
              <w:t>二级或以上公路</w:t>
            </w:r>
            <w:r>
              <w:rPr>
                <w:rFonts w:hint="eastAsia" w:ascii="宋体" w:hAnsi="宋体"/>
                <w:szCs w:val="23"/>
              </w:rPr>
              <w:t>工程试验工程师，持有相应试验检测工程师证书,5年以上类似工作经验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3036" w:type="dxa"/>
            <w:vAlign w:val="center"/>
          </w:tcPr>
          <w:p>
            <w:pPr>
              <w:autoSpaceDE w:val="0"/>
              <w:autoSpaceDN w:val="0"/>
              <w:adjustRightInd w:val="0"/>
              <w:snapToGrid w:val="0"/>
              <w:spacing w:line="240" w:lineRule="atLeast"/>
              <w:jc w:val="center"/>
              <w:rPr>
                <w:rFonts w:ascii="宋体" w:hAnsi="宋体"/>
                <w:szCs w:val="23"/>
              </w:rPr>
            </w:pPr>
            <w:r>
              <w:rPr>
                <w:rFonts w:hint="eastAsia" w:ascii="宋体" w:hAnsi="宋体"/>
                <w:szCs w:val="23"/>
              </w:rPr>
              <w:t>测量工程师</w:t>
            </w:r>
          </w:p>
        </w:tc>
        <w:tc>
          <w:tcPr>
            <w:tcW w:w="1325"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1</w:t>
            </w:r>
          </w:p>
        </w:tc>
        <w:tc>
          <w:tcPr>
            <w:tcW w:w="4747" w:type="dxa"/>
            <w:vAlign w:val="center"/>
          </w:tcPr>
          <w:p>
            <w:pPr>
              <w:autoSpaceDE w:val="0"/>
              <w:autoSpaceDN w:val="0"/>
              <w:adjustRightInd w:val="0"/>
              <w:snapToGrid w:val="0"/>
              <w:spacing w:before="72" w:beforeLines="30"/>
              <w:rPr>
                <w:rFonts w:ascii="宋体"/>
                <w:sz w:val="24"/>
              </w:rPr>
            </w:pPr>
            <w:r>
              <w:rPr>
                <w:rFonts w:hint="eastAsia" w:ascii="宋体" w:hAnsi="宋体"/>
                <w:szCs w:val="23"/>
              </w:rPr>
              <w:t>中级</w:t>
            </w:r>
            <w:r>
              <w:rPr>
                <w:rFonts w:hint="eastAsia"/>
              </w:rPr>
              <w:t>或</w:t>
            </w:r>
            <w:r>
              <w:rPr>
                <w:rFonts w:hint="eastAsia" w:ascii="宋体" w:hAnsi="宋体"/>
                <w:szCs w:val="23"/>
              </w:rPr>
              <w:t>以上技术职称，担任过</w:t>
            </w:r>
            <w:r>
              <w:rPr>
                <w:rFonts w:hint="eastAsia" w:ascii="宋体" w:hAnsi="宋体"/>
              </w:rPr>
              <w:t>二级或以上</w:t>
            </w:r>
            <w:r>
              <w:rPr>
                <w:rFonts w:hint="eastAsia" w:ascii="宋体" w:hAnsi="宋体"/>
                <w:szCs w:val="23"/>
              </w:rPr>
              <w:t>公路工程测量工程师,5年以上类似工作经验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3036" w:type="dxa"/>
            <w:vAlign w:val="center"/>
          </w:tcPr>
          <w:p>
            <w:pPr>
              <w:autoSpaceDE w:val="0"/>
              <w:autoSpaceDN w:val="0"/>
              <w:adjustRightInd w:val="0"/>
              <w:snapToGrid w:val="0"/>
              <w:spacing w:line="240" w:lineRule="atLeast"/>
              <w:jc w:val="center"/>
              <w:rPr>
                <w:rFonts w:ascii="宋体" w:hAnsi="宋体"/>
                <w:szCs w:val="23"/>
              </w:rPr>
            </w:pPr>
            <w:r>
              <w:rPr>
                <w:rFonts w:hint="eastAsia" w:ascii="宋体" w:hAnsi="宋体"/>
                <w:szCs w:val="23"/>
              </w:rPr>
              <w:t>计划统计</w:t>
            </w:r>
          </w:p>
          <w:p>
            <w:pPr>
              <w:autoSpaceDE w:val="0"/>
              <w:autoSpaceDN w:val="0"/>
              <w:adjustRightInd w:val="0"/>
              <w:snapToGrid w:val="0"/>
              <w:spacing w:line="240" w:lineRule="atLeast"/>
              <w:jc w:val="center"/>
              <w:rPr>
                <w:rFonts w:ascii="宋体"/>
                <w:sz w:val="24"/>
              </w:rPr>
            </w:pPr>
            <w:r>
              <w:rPr>
                <w:rFonts w:hint="eastAsia" w:ascii="宋体" w:hAnsi="宋体"/>
                <w:szCs w:val="23"/>
              </w:rPr>
              <w:t>内业负责人</w:t>
            </w:r>
          </w:p>
        </w:tc>
        <w:tc>
          <w:tcPr>
            <w:tcW w:w="1325" w:type="dxa"/>
            <w:vAlign w:val="center"/>
          </w:tcPr>
          <w:p>
            <w:pPr>
              <w:autoSpaceDE w:val="0"/>
              <w:autoSpaceDN w:val="0"/>
              <w:adjustRightInd w:val="0"/>
              <w:snapToGrid w:val="0"/>
              <w:spacing w:line="240" w:lineRule="atLeast"/>
              <w:jc w:val="center"/>
              <w:rPr>
                <w:rFonts w:ascii="宋体"/>
                <w:sz w:val="24"/>
              </w:rPr>
            </w:pPr>
            <w:r>
              <w:rPr>
                <w:rFonts w:hint="eastAsia" w:ascii="宋体" w:hAnsi="宋体"/>
                <w:szCs w:val="23"/>
              </w:rPr>
              <w:t>1</w:t>
            </w:r>
          </w:p>
        </w:tc>
        <w:tc>
          <w:tcPr>
            <w:tcW w:w="4747" w:type="dxa"/>
            <w:vAlign w:val="center"/>
          </w:tcPr>
          <w:p>
            <w:pPr>
              <w:pStyle w:val="29"/>
              <w:rPr>
                <w:rFonts w:ascii="宋体"/>
                <w:sz w:val="24"/>
              </w:rPr>
            </w:pPr>
            <w:r>
              <w:rPr>
                <w:rFonts w:hint="eastAsia" w:ascii="宋体" w:hAnsi="宋体"/>
                <w:szCs w:val="23"/>
              </w:rPr>
              <w:t>中级</w:t>
            </w:r>
            <w:r>
              <w:rPr>
                <w:rFonts w:hint="eastAsia"/>
              </w:rPr>
              <w:t>或</w:t>
            </w:r>
            <w:r>
              <w:rPr>
                <w:rFonts w:hint="eastAsia" w:ascii="宋体" w:hAnsi="宋体"/>
                <w:szCs w:val="23"/>
              </w:rPr>
              <w:t>以上技术职称</w:t>
            </w:r>
          </w:p>
        </w:tc>
      </w:tr>
    </w:tbl>
    <w:p>
      <w:pPr>
        <w:spacing w:line="380" w:lineRule="exact"/>
        <w:rPr>
          <w:rFonts w:ascii="宋体" w:hAnsi="宋体"/>
          <w:sz w:val="24"/>
        </w:rPr>
      </w:pPr>
    </w:p>
    <w:p>
      <w:pPr>
        <w:spacing w:line="380" w:lineRule="exact"/>
        <w:rPr>
          <w:rFonts w:ascii="宋体" w:hAnsi="宋体"/>
        </w:rPr>
      </w:pPr>
      <w:r>
        <w:rPr>
          <w:rFonts w:hint="eastAsia" w:ascii="宋体" w:hAnsi="宋体"/>
        </w:rPr>
        <w:t>注：1、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line="380" w:lineRule="exact"/>
        <w:ind w:firstLine="420" w:firstLineChars="200"/>
        <w:rPr>
          <w:rFonts w:ascii="宋体" w:hAnsi="宋体"/>
          <w:szCs w:val="23"/>
        </w:rPr>
      </w:pPr>
      <w:r>
        <w:rPr>
          <w:rFonts w:hint="eastAsia" w:ascii="宋体" w:hAnsi="宋体"/>
        </w:rPr>
        <w:t>2、文明施工及专职安全生产管理人员</w:t>
      </w:r>
      <w:r>
        <w:rPr>
          <w:rFonts w:hint="eastAsia" w:ascii="宋体" w:hAnsi="宋体"/>
          <w:szCs w:val="23"/>
        </w:rPr>
        <w:t>应按</w:t>
      </w:r>
      <w:r>
        <w:rPr>
          <w:rFonts w:hint="eastAsia" w:ascii="宋体" w:hAnsi="宋体"/>
          <w:szCs w:val="21"/>
        </w:rPr>
        <w:t>《公路水运工程安全生产监督管理办法》规定的最低数量和资质条件配备。</w:t>
      </w:r>
    </w:p>
    <w:p>
      <w:pPr>
        <w:spacing w:line="380" w:lineRule="exact"/>
        <w:rPr>
          <w:rFonts w:ascii="宋体" w:hAnsi="宋体"/>
        </w:rPr>
      </w:pPr>
    </w:p>
    <w:p>
      <w:pPr>
        <w:spacing w:line="380" w:lineRule="exact"/>
        <w:rPr>
          <w:rFonts w:ascii="宋体" w:hAnsi="宋体"/>
          <w:sz w:val="24"/>
        </w:rPr>
      </w:pPr>
      <w:r>
        <w:rPr>
          <w:rFonts w:hint="eastAsia" w:ascii="宋体" w:hAnsi="宋体"/>
        </w:rPr>
        <w:br w:type="page"/>
      </w:r>
      <w:bookmarkStart w:id="576" w:name="_Toc234346103"/>
      <w:bookmarkStart w:id="577" w:name="_Toc234345888"/>
      <w:bookmarkStart w:id="578" w:name="_Toc234348969"/>
      <w:bookmarkStart w:id="579" w:name="_Toc234349543"/>
      <w:r>
        <w:rPr>
          <w:rFonts w:hint="eastAsia" w:ascii="宋体" w:hAnsi="宋体"/>
          <w:sz w:val="24"/>
        </w:rPr>
        <w:t>附件五  主要机械设备和试验检测设备最低要求</w:t>
      </w:r>
      <w:bookmarkEnd w:id="576"/>
      <w:bookmarkEnd w:id="577"/>
      <w:bookmarkEnd w:id="578"/>
      <w:bookmarkEnd w:id="579"/>
    </w:p>
    <w:p>
      <w:pPr>
        <w:spacing w:line="380" w:lineRule="exact"/>
        <w:jc w:val="center"/>
        <w:rPr>
          <w:rFonts w:ascii="宋体" w:hAnsi="宋体"/>
          <w:sz w:val="24"/>
        </w:rPr>
      </w:pPr>
      <w:r>
        <w:rPr>
          <w:rFonts w:hint="eastAsia" w:ascii="宋体" w:hAnsi="宋体"/>
        </w:rPr>
        <w:t>（本格式编排在招标文件中，供投标人参考，投标时不需附此表）</w:t>
      </w:r>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3003"/>
        <w:gridCol w:w="1238"/>
        <w:gridCol w:w="28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r>
              <w:rPr>
                <w:rFonts w:hint="eastAsia" w:ascii="宋体" w:hAnsi="宋体"/>
                <w:sz w:val="24"/>
              </w:rPr>
              <w:t>设备名称</w:t>
            </w:r>
          </w:p>
        </w:tc>
        <w:tc>
          <w:tcPr>
            <w:tcW w:w="3003" w:type="dxa"/>
            <w:vAlign w:val="center"/>
          </w:tcPr>
          <w:p>
            <w:pPr>
              <w:snapToGrid w:val="0"/>
              <w:jc w:val="center"/>
              <w:rPr>
                <w:rFonts w:ascii="宋体" w:hAnsi="宋体"/>
                <w:sz w:val="24"/>
              </w:rPr>
            </w:pPr>
            <w:r>
              <w:rPr>
                <w:rFonts w:hint="eastAsia" w:ascii="宋体" w:hAnsi="宋体"/>
                <w:sz w:val="24"/>
              </w:rPr>
              <w:t>规格、功率及容量</w:t>
            </w:r>
          </w:p>
        </w:tc>
        <w:tc>
          <w:tcPr>
            <w:tcW w:w="1238" w:type="dxa"/>
            <w:vAlign w:val="center"/>
          </w:tcPr>
          <w:p>
            <w:pPr>
              <w:snapToGrid w:val="0"/>
              <w:jc w:val="center"/>
              <w:rPr>
                <w:rFonts w:ascii="宋体" w:hAnsi="宋体"/>
                <w:sz w:val="24"/>
              </w:rPr>
            </w:pPr>
            <w:r>
              <w:rPr>
                <w:rFonts w:hint="eastAsia" w:ascii="宋体" w:hAnsi="宋体"/>
                <w:sz w:val="24"/>
              </w:rPr>
              <w:t>单  位</w:t>
            </w:r>
          </w:p>
        </w:tc>
        <w:tc>
          <w:tcPr>
            <w:tcW w:w="2881" w:type="dxa"/>
            <w:vAlign w:val="center"/>
          </w:tcPr>
          <w:p>
            <w:pPr>
              <w:snapToGrid w:val="0"/>
              <w:jc w:val="center"/>
              <w:rPr>
                <w:rFonts w:ascii="宋体" w:hAnsi="宋体"/>
                <w:sz w:val="24"/>
              </w:rPr>
            </w:pPr>
            <w:r>
              <w:rPr>
                <w:rFonts w:hint="eastAsia" w:ascii="宋体" w:hAnsi="宋体"/>
                <w:sz w:val="24"/>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20" w:type="dxa"/>
            <w:vAlign w:val="center"/>
          </w:tcPr>
          <w:p>
            <w:pPr>
              <w:snapToGrid w:val="0"/>
              <w:jc w:val="center"/>
              <w:rPr>
                <w:rFonts w:ascii="宋体" w:hAnsi="宋体"/>
                <w:sz w:val="24"/>
              </w:rPr>
            </w:pPr>
          </w:p>
        </w:tc>
        <w:tc>
          <w:tcPr>
            <w:tcW w:w="3003" w:type="dxa"/>
            <w:vAlign w:val="center"/>
          </w:tcPr>
          <w:p>
            <w:pPr>
              <w:snapToGrid w:val="0"/>
              <w:jc w:val="center"/>
              <w:rPr>
                <w:rFonts w:ascii="宋体" w:hAnsi="宋体"/>
                <w:sz w:val="24"/>
              </w:rPr>
            </w:pPr>
          </w:p>
        </w:tc>
        <w:tc>
          <w:tcPr>
            <w:tcW w:w="1238" w:type="dxa"/>
            <w:vAlign w:val="center"/>
          </w:tcPr>
          <w:p>
            <w:pPr>
              <w:snapToGrid w:val="0"/>
              <w:jc w:val="center"/>
              <w:rPr>
                <w:rFonts w:ascii="宋体" w:hAnsi="宋体"/>
                <w:sz w:val="24"/>
              </w:rPr>
            </w:pPr>
          </w:p>
        </w:tc>
        <w:tc>
          <w:tcPr>
            <w:tcW w:w="2881" w:type="dxa"/>
            <w:vAlign w:val="center"/>
          </w:tcPr>
          <w:p>
            <w:pPr>
              <w:snapToGrid w:val="0"/>
              <w:jc w:val="center"/>
              <w:rPr>
                <w:rFonts w:ascii="宋体" w:hAnsi="宋体"/>
                <w:sz w:val="24"/>
              </w:rPr>
            </w:pPr>
          </w:p>
        </w:tc>
      </w:tr>
    </w:tbl>
    <w:p>
      <w:pPr>
        <w:jc w:val="left"/>
        <w:rPr>
          <w:rFonts w:ascii="宋体" w:hAnsi="宋体"/>
          <w:sz w:val="24"/>
        </w:rPr>
      </w:pPr>
      <w:r>
        <w:rPr>
          <w:rFonts w:ascii="宋体" w:hAnsi="宋体"/>
        </w:rPr>
        <w:br w:type="page"/>
      </w:r>
      <w:bookmarkEnd w:id="206"/>
      <w:bookmarkEnd w:id="207"/>
      <w:bookmarkEnd w:id="208"/>
      <w:bookmarkEnd w:id="209"/>
      <w:bookmarkStart w:id="580" w:name="_Toc234345889"/>
      <w:bookmarkStart w:id="581" w:name="_Toc234346104"/>
      <w:bookmarkStart w:id="582" w:name="_Toc234349544"/>
      <w:bookmarkStart w:id="583" w:name="_Toc234348970"/>
      <w:r>
        <w:rPr>
          <w:rFonts w:hint="eastAsia" w:ascii="宋体" w:hAnsi="宋体"/>
          <w:sz w:val="24"/>
        </w:rPr>
        <w:t>附件六  项目经理委任书</w:t>
      </w:r>
      <w:bookmarkEnd w:id="580"/>
      <w:bookmarkEnd w:id="581"/>
      <w:bookmarkEnd w:id="582"/>
      <w:bookmarkEnd w:id="583"/>
    </w:p>
    <w:p>
      <w:pPr>
        <w:spacing w:line="380" w:lineRule="exact"/>
        <w:jc w:val="center"/>
        <w:rPr>
          <w:rFonts w:ascii="宋体" w:hAnsi="宋体"/>
          <w:b/>
          <w:sz w:val="28"/>
          <w:u w:val="single"/>
        </w:rPr>
      </w:pPr>
      <w:r>
        <w:rPr>
          <w:rFonts w:hint="eastAsia" w:ascii="宋体" w:hAnsi="宋体"/>
          <w:b/>
          <w:sz w:val="28"/>
          <w:u w:val="single"/>
        </w:rPr>
        <w:t>(承包人全称)</w:t>
      </w:r>
    </w:p>
    <w:p>
      <w:pPr>
        <w:spacing w:line="380" w:lineRule="exact"/>
        <w:jc w:val="center"/>
        <w:rPr>
          <w:rFonts w:ascii="宋体" w:hAnsi="宋体"/>
          <w:b/>
          <w:sz w:val="28"/>
        </w:rPr>
      </w:pPr>
      <w:r>
        <w:rPr>
          <w:rFonts w:hint="eastAsia" w:ascii="宋体" w:hAnsi="宋体"/>
          <w:b/>
          <w:sz w:val="28"/>
          <w:u w:val="single"/>
        </w:rPr>
        <w:t>(合同工程名称)</w:t>
      </w:r>
      <w:r>
        <w:rPr>
          <w:rFonts w:hint="eastAsia" w:ascii="宋体" w:hAnsi="宋体"/>
          <w:b/>
          <w:sz w:val="28"/>
        </w:rPr>
        <w:t>项目经理委任书</w:t>
      </w:r>
    </w:p>
    <w:p>
      <w:pPr>
        <w:spacing w:line="460" w:lineRule="exact"/>
        <w:jc w:val="center"/>
        <w:rPr>
          <w:rFonts w:ascii="宋体" w:hAnsi="宋体"/>
        </w:rPr>
      </w:pPr>
      <w:r>
        <w:rPr>
          <w:rFonts w:hint="eastAsia" w:ascii="宋体" w:hAnsi="宋体"/>
        </w:rPr>
        <w:t>（本格式编排在招标文件中，供投标人参考，投标时不需附此表）</w:t>
      </w:r>
    </w:p>
    <w:p>
      <w:pPr>
        <w:spacing w:line="460" w:lineRule="exact"/>
        <w:jc w:val="center"/>
        <w:rPr>
          <w:rFonts w:ascii="宋体" w:hAnsi="宋体"/>
          <w:sz w:val="24"/>
        </w:rPr>
      </w:pPr>
    </w:p>
    <w:p>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(发包人全称)</w:t>
      </w:r>
    </w:p>
    <w:p>
      <w:pPr>
        <w:spacing w:line="360" w:lineRule="auto"/>
        <w:ind w:firstLine="480"/>
        <w:rPr>
          <w:rFonts w:ascii="宋体" w:hAnsi="宋体"/>
          <w:sz w:val="24"/>
        </w:rPr>
      </w:pPr>
      <w:r>
        <w:rPr>
          <w:rFonts w:hint="eastAsia" w:ascii="宋体" w:hAnsi="宋体"/>
          <w:sz w:val="24"/>
          <w:u w:val="single"/>
        </w:rPr>
        <w:t>(承包人全称)</w:t>
      </w:r>
      <w:r>
        <w:rPr>
          <w:rFonts w:hint="eastAsia" w:ascii="宋体" w:hAnsi="宋体"/>
          <w:sz w:val="24"/>
        </w:rPr>
        <w:t>法定代表人</w:t>
      </w:r>
      <w:r>
        <w:rPr>
          <w:rFonts w:hint="eastAsia" w:ascii="宋体" w:hAnsi="宋体"/>
          <w:sz w:val="24"/>
          <w:u w:val="single"/>
        </w:rPr>
        <w:t>(职务、姓名)</w:t>
      </w:r>
      <w:r>
        <w:rPr>
          <w:rFonts w:hint="eastAsia" w:ascii="宋体" w:hAnsi="宋体"/>
          <w:sz w:val="24"/>
        </w:rPr>
        <w:t>代表本单位委任</w:t>
      </w:r>
      <w:r>
        <w:rPr>
          <w:rFonts w:hint="eastAsia" w:ascii="宋体" w:hAnsi="宋体"/>
          <w:sz w:val="24"/>
          <w:u w:val="single"/>
        </w:rPr>
        <w:t>(职务、姓名)</w:t>
      </w:r>
      <w:r>
        <w:rPr>
          <w:rFonts w:hint="eastAsia" w:ascii="宋体" w:hAnsi="宋体"/>
          <w:sz w:val="24"/>
        </w:rPr>
        <w:t>为</w:t>
      </w:r>
      <w:r>
        <w:rPr>
          <w:rFonts w:hint="eastAsia" w:ascii="宋体" w:hAnsi="宋体"/>
          <w:sz w:val="24"/>
          <w:u w:val="single"/>
        </w:rPr>
        <w:t>(合同工程名称)</w:t>
      </w:r>
      <w:r>
        <w:rPr>
          <w:rFonts w:hint="eastAsia" w:ascii="宋体" w:hAnsi="宋体"/>
          <w:sz w:val="24"/>
        </w:rPr>
        <w:t>的项目经理。凡本合同执行中的有关技术、工程进度、现场管理、质量检验、结算与支付等方面工作，由</w:t>
      </w:r>
      <w:r>
        <w:rPr>
          <w:rFonts w:hint="eastAsia" w:ascii="宋体" w:hAnsi="宋体"/>
          <w:sz w:val="24"/>
          <w:u w:val="single"/>
        </w:rPr>
        <w:t>(姓名)</w:t>
      </w:r>
      <w:r>
        <w:rPr>
          <w:rFonts w:hint="eastAsia" w:ascii="宋体" w:hAnsi="宋体"/>
          <w:sz w:val="24"/>
        </w:rPr>
        <w:t>代表本单位全面负责。</w:t>
      </w:r>
    </w:p>
    <w:p>
      <w:pPr>
        <w:spacing w:line="460" w:lineRule="exact"/>
        <w:ind w:firstLine="480"/>
        <w:rPr>
          <w:rFonts w:ascii="宋体" w:hAnsi="宋体"/>
          <w:sz w:val="24"/>
        </w:rPr>
      </w:pPr>
    </w:p>
    <w:p>
      <w:pPr>
        <w:spacing w:line="460" w:lineRule="exact"/>
        <w:ind w:firstLine="480"/>
        <w:rPr>
          <w:rFonts w:ascii="宋体" w:hAnsi="宋体"/>
          <w:sz w:val="24"/>
          <w:u w:val="single"/>
        </w:rPr>
      </w:pPr>
    </w:p>
    <w:p>
      <w:pPr>
        <w:spacing w:line="460" w:lineRule="exact"/>
        <w:ind w:right="480"/>
        <w:jc w:val="right"/>
        <w:rPr>
          <w:rFonts w:ascii="宋体" w:hAnsi="宋体"/>
          <w:sz w:val="24"/>
        </w:rPr>
      </w:pPr>
      <w:r>
        <w:rPr>
          <w:rFonts w:hint="eastAsia" w:ascii="宋体" w:hAnsi="宋体"/>
          <w:sz w:val="24"/>
        </w:rPr>
        <w:t>承包人：</w:t>
      </w:r>
      <w:r>
        <w:rPr>
          <w:rFonts w:hint="eastAsia" w:ascii="宋体" w:hAnsi="宋体"/>
          <w:sz w:val="24"/>
          <w:u w:val="single"/>
        </w:rPr>
        <w:t xml:space="preserve">              </w:t>
      </w:r>
      <w:r>
        <w:rPr>
          <w:rFonts w:hint="eastAsia" w:ascii="宋体" w:hAnsi="宋体"/>
          <w:sz w:val="24"/>
        </w:rPr>
        <w:t xml:space="preserve"> (盖单位章)</w:t>
      </w:r>
    </w:p>
    <w:p>
      <w:pPr>
        <w:spacing w:line="460" w:lineRule="exact"/>
        <w:ind w:right="480" w:firstLine="4560" w:firstLineChars="1900"/>
        <w:rPr>
          <w:rFonts w:ascii="宋体" w:hAnsi="宋体"/>
          <w:sz w:val="24"/>
        </w:rPr>
      </w:pPr>
      <w:r>
        <w:rPr>
          <w:rFonts w:hint="eastAsia" w:ascii="宋体" w:hAnsi="宋体"/>
          <w:sz w:val="24"/>
        </w:rPr>
        <w:t>法定代表人：</w:t>
      </w:r>
      <w:r>
        <w:rPr>
          <w:rFonts w:hint="eastAsia" w:ascii="宋体" w:hAnsi="宋体"/>
          <w:sz w:val="24"/>
          <w:u w:val="single"/>
        </w:rPr>
        <w:t xml:space="preserve">        (职务)       </w:t>
      </w:r>
    </w:p>
    <w:p>
      <w:pPr>
        <w:spacing w:line="460" w:lineRule="exact"/>
        <w:ind w:firstLine="6000" w:firstLineChars="2500"/>
        <w:rPr>
          <w:rFonts w:ascii="宋体" w:hAnsi="宋体"/>
          <w:sz w:val="24"/>
          <w:u w:val="single"/>
        </w:rPr>
      </w:pPr>
      <w:r>
        <w:rPr>
          <w:rFonts w:hint="eastAsia" w:ascii="宋体" w:hAnsi="宋体"/>
          <w:sz w:val="24"/>
          <w:u w:val="single"/>
        </w:rPr>
        <w:t xml:space="preserve">        (姓名)       </w:t>
      </w:r>
    </w:p>
    <w:p>
      <w:pPr>
        <w:spacing w:line="460" w:lineRule="exact"/>
        <w:ind w:firstLine="6000" w:firstLineChars="2500"/>
        <w:rPr>
          <w:rFonts w:ascii="宋体" w:hAnsi="宋体"/>
          <w:sz w:val="24"/>
          <w:u w:val="single"/>
        </w:rPr>
      </w:pPr>
      <w:r>
        <w:rPr>
          <w:rFonts w:hint="eastAsia" w:ascii="宋体" w:hAnsi="宋体"/>
          <w:sz w:val="24"/>
          <w:u w:val="single"/>
        </w:rPr>
        <w:t xml:space="preserve">        (签字)       </w:t>
      </w:r>
    </w:p>
    <w:p>
      <w:pPr>
        <w:spacing w:line="460" w:lineRule="exact"/>
        <w:ind w:firstLine="6360" w:firstLineChars="26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60" w:lineRule="exact"/>
        <w:ind w:firstLine="3600" w:firstLineChars="1500"/>
        <w:rPr>
          <w:rFonts w:ascii="宋体" w:hAnsi="宋体"/>
          <w:sz w:val="24"/>
        </w:rPr>
      </w:pPr>
    </w:p>
    <w:p>
      <w:pPr>
        <w:spacing w:line="460" w:lineRule="exact"/>
        <w:ind w:firstLine="3600" w:firstLineChars="1500"/>
        <w:rPr>
          <w:rFonts w:ascii="宋体" w:hAnsi="宋体"/>
          <w:sz w:val="24"/>
        </w:rPr>
      </w:pPr>
    </w:p>
    <w:p>
      <w:pPr>
        <w:spacing w:line="460" w:lineRule="exact"/>
        <w:rPr>
          <w:rFonts w:ascii="宋体" w:hAnsi="宋体"/>
          <w:sz w:val="24"/>
          <w:u w:val="single"/>
        </w:rPr>
      </w:pPr>
      <w:r>
        <w:rPr>
          <w:rFonts w:hint="eastAsia" w:ascii="宋体" w:hAnsi="宋体"/>
          <w:sz w:val="24"/>
        </w:rPr>
        <w:t xml:space="preserve">抄送： </w:t>
      </w:r>
      <w:r>
        <w:rPr>
          <w:rFonts w:hint="eastAsia" w:ascii="宋体" w:hAnsi="宋体"/>
          <w:sz w:val="24"/>
          <w:u w:val="single"/>
        </w:rPr>
        <w:t xml:space="preserve">   (监理人)   </w:t>
      </w:r>
    </w:p>
    <w:p>
      <w:pPr>
        <w:spacing w:line="380" w:lineRule="exact"/>
        <w:rPr>
          <w:rFonts w:ascii="宋体" w:hAnsi="宋体"/>
          <w:sz w:val="24"/>
        </w:rPr>
      </w:pPr>
      <w:r>
        <w:rPr>
          <w:rFonts w:ascii="宋体" w:hAnsi="宋体"/>
        </w:rPr>
        <w:br w:type="page"/>
      </w:r>
      <w:bookmarkStart w:id="584" w:name="_Toc234349545"/>
      <w:bookmarkStart w:id="585" w:name="_Toc234348971"/>
      <w:bookmarkStart w:id="586" w:name="_Toc234346105"/>
      <w:bookmarkStart w:id="587" w:name="_Toc234345890"/>
      <w:r>
        <w:rPr>
          <w:rFonts w:hint="eastAsia" w:ascii="宋体" w:hAnsi="宋体"/>
          <w:sz w:val="24"/>
        </w:rPr>
        <w:t>附件七  履约担保格式</w:t>
      </w:r>
      <w:bookmarkEnd w:id="584"/>
      <w:bookmarkEnd w:id="585"/>
      <w:bookmarkEnd w:id="586"/>
      <w:bookmarkEnd w:id="587"/>
    </w:p>
    <w:p>
      <w:pPr>
        <w:spacing w:line="380" w:lineRule="exact"/>
        <w:rPr>
          <w:rFonts w:ascii="宋体" w:hAnsi="宋体"/>
          <w:sz w:val="24"/>
        </w:rPr>
      </w:pPr>
      <w:r>
        <w:rPr>
          <w:rFonts w:hint="eastAsia" w:ascii="宋体" w:hAnsi="宋体"/>
          <w:sz w:val="24"/>
        </w:rPr>
        <w:t>如采用银行保函，格式如下。</w:t>
      </w:r>
    </w:p>
    <w:p>
      <w:pPr>
        <w:spacing w:line="380" w:lineRule="exact"/>
        <w:jc w:val="center"/>
        <w:rPr>
          <w:rFonts w:ascii="宋体" w:hAnsi="宋体"/>
          <w:b/>
          <w:sz w:val="28"/>
        </w:rPr>
      </w:pPr>
      <w:r>
        <w:rPr>
          <w:rFonts w:hint="eastAsia" w:ascii="宋体" w:hAnsi="宋体"/>
          <w:b/>
          <w:sz w:val="28"/>
        </w:rPr>
        <w:t>履 约 保 证 金</w:t>
      </w:r>
    </w:p>
    <w:p>
      <w:pPr>
        <w:spacing w:line="460" w:lineRule="exact"/>
        <w:jc w:val="center"/>
        <w:rPr>
          <w:rFonts w:ascii="宋体" w:hAnsi="宋体"/>
        </w:rPr>
      </w:pPr>
      <w:r>
        <w:rPr>
          <w:rFonts w:hint="eastAsia" w:ascii="宋体" w:hAnsi="宋体"/>
        </w:rPr>
        <w:t>（本格式编排在招标文件中，供投标人参考，投标时不需附此表）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(发包人名称)：</w:t>
      </w:r>
    </w:p>
    <w:p>
      <w:pPr>
        <w:spacing w:line="360" w:lineRule="auto"/>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 xml:space="preserve">  (发包人名称，以下简称“发包人”)接受 </w:t>
      </w:r>
      <w:r>
        <w:rPr>
          <w:rFonts w:hint="eastAsia" w:ascii="宋体" w:hAnsi="宋体"/>
          <w:sz w:val="24"/>
          <w:u w:val="single"/>
        </w:rPr>
        <w:t xml:space="preserve">       </w:t>
      </w:r>
      <w:r>
        <w:rPr>
          <w:rFonts w:hint="eastAsia" w:ascii="宋体" w:hAnsi="宋体"/>
          <w:sz w:val="24"/>
        </w:rPr>
        <w:t>(承包人名称)(以下称“承包人”)于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日参加</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标段施工的投标。我方愿意无条件地、不可撤销地就承包人履行与你方订立的合同，向你方提供担保。</w:t>
      </w:r>
    </w:p>
    <w:p>
      <w:pPr>
        <w:spacing w:line="360" w:lineRule="auto"/>
        <w:ind w:firstLine="480" w:firstLineChars="200"/>
        <w:rPr>
          <w:rFonts w:ascii="宋体" w:hAnsi="宋体"/>
          <w:sz w:val="24"/>
        </w:rPr>
      </w:pPr>
      <w:r>
        <w:rPr>
          <w:rFonts w:hint="eastAsia" w:ascii="宋体" w:hAnsi="宋体"/>
          <w:sz w:val="24"/>
        </w:rPr>
        <w:t>1.担保金额人民币(大写)</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2.担保有效期自发包人与承包人签订的合同生效之日起至发包人签发交工验收证书且承包人按照合同约定缴纳质量保证金之日止。</w:t>
      </w:r>
    </w:p>
    <w:p>
      <w:pPr>
        <w:spacing w:line="360" w:lineRule="auto"/>
        <w:ind w:firstLine="480" w:firstLineChars="200"/>
        <w:rPr>
          <w:rFonts w:ascii="宋体" w:hAnsi="宋体"/>
          <w:sz w:val="24"/>
        </w:rPr>
      </w:pPr>
      <w:r>
        <w:rPr>
          <w:rFonts w:hint="eastAsia" w:ascii="宋体" w:hAnsi="宋体"/>
          <w:sz w:val="24"/>
        </w:rPr>
        <w:t>3.在本担保有效期内，因承包人违反合同约定的义务给你方造成经济损失时，我方在收到你方以书面形式提出的在担保金额内的赔偿要求后，在7天内无条件支付，无须你方出具证明或陈述理由。</w:t>
      </w:r>
    </w:p>
    <w:p>
      <w:pPr>
        <w:spacing w:line="360" w:lineRule="auto"/>
        <w:ind w:firstLine="480"/>
        <w:rPr>
          <w:rFonts w:ascii="宋体" w:hAnsi="宋体"/>
          <w:sz w:val="24"/>
        </w:rPr>
      </w:pPr>
      <w:r>
        <w:rPr>
          <w:rFonts w:hint="eastAsia" w:ascii="宋体" w:hAnsi="宋体"/>
          <w:sz w:val="24"/>
        </w:rPr>
        <w:t>4.发包人和承包人按合同条款第15条变更合同时，我方承担本担保规定的义务不变。</w:t>
      </w:r>
    </w:p>
    <w:p>
      <w:pPr>
        <w:spacing w:line="460" w:lineRule="exact"/>
        <w:ind w:firstLine="480"/>
        <w:rPr>
          <w:rFonts w:ascii="宋体" w:hAnsi="宋体"/>
          <w:sz w:val="24"/>
        </w:rPr>
      </w:pPr>
    </w:p>
    <w:p>
      <w:pPr>
        <w:spacing w:line="460" w:lineRule="exact"/>
        <w:ind w:firstLine="3600" w:firstLineChars="1500"/>
        <w:rPr>
          <w:rFonts w:ascii="宋体" w:hAnsi="宋体"/>
          <w:sz w:val="24"/>
        </w:rPr>
      </w:pPr>
      <w:r>
        <w:rPr>
          <w:rFonts w:hint="eastAsia" w:ascii="宋体" w:hAnsi="宋体"/>
          <w:sz w:val="24"/>
        </w:rPr>
        <w:t>担 保 人：</w:t>
      </w:r>
      <w:r>
        <w:rPr>
          <w:rFonts w:hint="eastAsia" w:ascii="宋体" w:hAnsi="宋体"/>
          <w:sz w:val="24"/>
          <w:u w:val="single"/>
        </w:rPr>
        <w:t xml:space="preserve">                     </w:t>
      </w:r>
      <w:r>
        <w:rPr>
          <w:rFonts w:hint="eastAsia" w:ascii="宋体" w:hAnsi="宋体"/>
          <w:sz w:val="24"/>
        </w:rPr>
        <w:t xml:space="preserve"> (盖单位章)</w:t>
      </w:r>
    </w:p>
    <w:p>
      <w:pPr>
        <w:spacing w:line="460" w:lineRule="exact"/>
        <w:ind w:firstLine="3600" w:firstLineChars="15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 xml:space="preserve"> (签字)</w:t>
      </w:r>
    </w:p>
    <w:p>
      <w:pPr>
        <w:tabs>
          <w:tab w:val="left" w:pos="8640"/>
        </w:tabs>
        <w:spacing w:line="460" w:lineRule="exact"/>
        <w:ind w:firstLine="3600" w:firstLineChars="1500"/>
        <w:rPr>
          <w:rFonts w:ascii="宋体" w:hAnsi="宋体"/>
          <w:sz w:val="24"/>
        </w:rPr>
      </w:pPr>
      <w:r>
        <w:rPr>
          <w:rFonts w:hint="eastAsia" w:ascii="宋体" w:hAnsi="宋体"/>
          <w:sz w:val="24"/>
        </w:rPr>
        <w:t>地    址：</w:t>
      </w:r>
      <w:r>
        <w:rPr>
          <w:rFonts w:hint="eastAsia" w:ascii="宋体" w:hAnsi="宋体"/>
          <w:sz w:val="24"/>
          <w:u w:val="single"/>
        </w:rPr>
        <w:t xml:space="preserve">                                </w:t>
      </w:r>
    </w:p>
    <w:p>
      <w:pPr>
        <w:tabs>
          <w:tab w:val="left" w:pos="8640"/>
        </w:tabs>
        <w:spacing w:line="460" w:lineRule="exact"/>
        <w:ind w:firstLine="3600" w:firstLineChars="1500"/>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p>
    <w:p>
      <w:pPr>
        <w:tabs>
          <w:tab w:val="left" w:pos="8640"/>
        </w:tabs>
        <w:spacing w:line="460" w:lineRule="exact"/>
        <w:ind w:firstLine="3600" w:firstLineChars="1500"/>
        <w:rPr>
          <w:rFonts w:ascii="宋体" w:hAnsi="宋体"/>
          <w:sz w:val="24"/>
        </w:rPr>
      </w:pPr>
      <w:r>
        <w:rPr>
          <w:rFonts w:hint="eastAsia" w:ascii="宋体" w:hAnsi="宋体"/>
          <w:sz w:val="24"/>
        </w:rPr>
        <w:t>电    话：</w:t>
      </w:r>
      <w:r>
        <w:rPr>
          <w:rFonts w:hint="eastAsia" w:ascii="宋体" w:hAnsi="宋体"/>
          <w:sz w:val="24"/>
          <w:u w:val="single"/>
        </w:rPr>
        <w:t xml:space="preserve">                                </w:t>
      </w:r>
    </w:p>
    <w:p>
      <w:pPr>
        <w:tabs>
          <w:tab w:val="left" w:pos="8640"/>
        </w:tabs>
        <w:spacing w:line="460" w:lineRule="exact"/>
        <w:ind w:firstLine="3600" w:firstLineChars="1500"/>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wordWrap w:val="0"/>
        <w:spacing w:line="460" w:lineRule="exact"/>
        <w:ind w:right="360" w:firstLine="3600" w:firstLineChars="150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80" w:lineRule="exact"/>
        <w:rPr>
          <w:rFonts w:ascii="宋体" w:hAnsi="宋体"/>
          <w:sz w:val="36"/>
          <w:szCs w:val="36"/>
        </w:rPr>
      </w:pPr>
    </w:p>
    <w:p>
      <w:pPr>
        <w:spacing w:line="380" w:lineRule="exact"/>
        <w:rPr>
          <w:rFonts w:ascii="宋体" w:hAnsi="宋体"/>
          <w:sz w:val="36"/>
          <w:szCs w:val="36"/>
        </w:rPr>
      </w:pPr>
    </w:p>
    <w:p>
      <w:pPr>
        <w:spacing w:line="380" w:lineRule="exact"/>
        <w:rPr>
          <w:rFonts w:ascii="宋体" w:hAnsi="宋体"/>
          <w:sz w:val="36"/>
          <w:szCs w:val="36"/>
        </w:rPr>
      </w:pPr>
    </w:p>
    <w:p>
      <w:pPr>
        <w:spacing w:line="380" w:lineRule="exact"/>
        <w:rPr>
          <w:rFonts w:ascii="宋体" w:hAnsi="宋体"/>
          <w:sz w:val="36"/>
          <w:szCs w:val="36"/>
        </w:rPr>
      </w:pPr>
    </w:p>
    <w:p>
      <w:pPr>
        <w:spacing w:line="380" w:lineRule="exact"/>
        <w:rPr>
          <w:rFonts w:ascii="宋体" w:hAnsi="宋体"/>
          <w:sz w:val="36"/>
          <w:szCs w:val="36"/>
        </w:rPr>
      </w:pPr>
    </w:p>
    <w:p>
      <w:pPr>
        <w:pStyle w:val="4"/>
        <w:spacing w:beforeLines="0" w:afterLines="0"/>
      </w:pPr>
      <w:bookmarkStart w:id="588" w:name="_Toc508796993"/>
      <w:bookmarkStart w:id="589" w:name="_Toc234349548"/>
      <w:bookmarkStart w:id="590" w:name="_Toc234346108"/>
      <w:bookmarkStart w:id="591" w:name="_Toc265483668"/>
      <w:bookmarkStart w:id="592" w:name="_Toc234350675"/>
      <w:bookmarkStart w:id="593" w:name="_Toc6266"/>
      <w:bookmarkStart w:id="594" w:name="_Toc234348974"/>
      <w:bookmarkStart w:id="595" w:name="_Toc234345893"/>
      <w:r>
        <w:rPr>
          <w:rFonts w:hint="eastAsia"/>
        </w:rPr>
        <w:t>第五章  工程量清单</w:t>
      </w:r>
      <w:bookmarkEnd w:id="588"/>
      <w:bookmarkEnd w:id="589"/>
      <w:bookmarkEnd w:id="590"/>
      <w:bookmarkEnd w:id="591"/>
      <w:bookmarkEnd w:id="592"/>
      <w:bookmarkEnd w:id="593"/>
      <w:bookmarkEnd w:id="594"/>
      <w:bookmarkEnd w:id="595"/>
    </w:p>
    <w:p/>
    <w:p>
      <w:pPr>
        <w:spacing w:line="360" w:lineRule="auto"/>
        <w:rPr>
          <w:rFonts w:ascii="宋体" w:hAnsi="宋体"/>
          <w:b/>
          <w:sz w:val="28"/>
          <w:szCs w:val="28"/>
        </w:rPr>
      </w:pPr>
      <w:bookmarkStart w:id="596" w:name="_Toc234348976"/>
      <w:bookmarkStart w:id="597" w:name="_Toc234349550"/>
      <w:r>
        <w:rPr>
          <w:rFonts w:hint="eastAsia" w:ascii="宋体" w:hAnsi="宋体"/>
          <w:b/>
          <w:sz w:val="28"/>
          <w:szCs w:val="28"/>
        </w:rPr>
        <w:t>1.工程量清单说明</w:t>
      </w:r>
      <w:bookmarkEnd w:id="596"/>
      <w:bookmarkEnd w:id="597"/>
    </w:p>
    <w:p>
      <w:pPr>
        <w:spacing w:line="360" w:lineRule="auto"/>
        <w:rPr>
          <w:rFonts w:hint="eastAsia" w:ascii="宋体" w:hAnsi="宋体"/>
        </w:rPr>
      </w:pPr>
      <w:bookmarkStart w:id="598" w:name="_Toc234348977"/>
      <w:bookmarkStart w:id="599" w:name="_Toc234349551"/>
      <w:r>
        <w:rPr>
          <w:rFonts w:hint="eastAsia" w:ascii="宋体" w:hAnsi="宋体"/>
        </w:rPr>
        <w:t>1.1本工程量清单是根据招标文件中包括的有合同约束力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rPr>
          <w:rFonts w:hint="eastAsia" w:ascii="宋体" w:hAnsi="宋体"/>
        </w:rPr>
      </w:pPr>
      <w:r>
        <w:rPr>
          <w:rFonts w:hint="eastAsia" w:ascii="宋体" w:hAnsi="宋体"/>
        </w:rPr>
        <w:t>1.2本工程量清单应与招标文件中的投标人须知、通用合同条款、专用合同条款、工程量清单计量规则、技术规范及图纸等一起阅读和理解。</w:t>
      </w:r>
    </w:p>
    <w:p>
      <w:pPr>
        <w:spacing w:line="360" w:lineRule="auto"/>
        <w:rPr>
          <w:rFonts w:hint="eastAsia" w:ascii="宋体" w:hAnsi="宋体"/>
        </w:rPr>
      </w:pPr>
      <w:r>
        <w:rPr>
          <w:rFonts w:hint="eastAsia" w:ascii="宋体" w:hAnsi="宋体"/>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spacing w:line="360" w:lineRule="auto"/>
        <w:rPr>
          <w:rFonts w:hint="eastAsia" w:ascii="宋体" w:hAnsi="宋体"/>
        </w:rPr>
      </w:pPr>
      <w:r>
        <w:rPr>
          <w:rFonts w:hint="eastAsia" w:ascii="宋体" w:hAnsi="宋体"/>
        </w:rPr>
        <w:t>1.4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60" w:lineRule="auto"/>
        <w:rPr>
          <w:rFonts w:hint="eastAsia" w:ascii="宋体" w:hAnsi="宋体"/>
        </w:rPr>
      </w:pPr>
      <w:r>
        <w:rPr>
          <w:rFonts w:hint="eastAsia" w:ascii="宋体" w:hAnsi="宋体"/>
        </w:rPr>
        <w:t>1.5对作业和材料的一般说明或规定，未重复写入工程量清单内，在给工程量清单各子目标价前，应参阅第七章“技术规范"的有关内容。</w:t>
      </w:r>
    </w:p>
    <w:p>
      <w:pPr>
        <w:spacing w:line="360" w:lineRule="auto"/>
        <w:rPr>
          <w:rFonts w:hint="eastAsia" w:ascii="宋体" w:hAnsi="宋体"/>
        </w:rPr>
      </w:pPr>
      <w:r>
        <w:rPr>
          <w:rFonts w:hint="eastAsia" w:ascii="宋体" w:hAnsi="宋体"/>
        </w:rPr>
        <w:t>1.6工程量清单中所列工程量的变动，丝毫不会降低或影响合同条款的效力，也不免除承包人按规定的标准进行施工和修复缺陷的责任。</w:t>
      </w:r>
    </w:p>
    <w:p>
      <w:pPr>
        <w:spacing w:line="360" w:lineRule="auto"/>
        <w:rPr>
          <w:rFonts w:ascii="宋体" w:hAnsi="宋体"/>
          <w:b/>
          <w:sz w:val="28"/>
          <w:szCs w:val="28"/>
        </w:rPr>
      </w:pPr>
      <w:r>
        <w:rPr>
          <w:rFonts w:hint="eastAsia" w:ascii="宋体" w:hAnsi="宋体"/>
          <w:b/>
          <w:sz w:val="28"/>
          <w:szCs w:val="28"/>
        </w:rPr>
        <w:t>2.投标报价说明</w:t>
      </w:r>
      <w:bookmarkEnd w:id="598"/>
      <w:bookmarkEnd w:id="599"/>
    </w:p>
    <w:p>
      <w:pPr>
        <w:spacing w:line="360" w:lineRule="auto"/>
        <w:rPr>
          <w:rFonts w:hint="eastAsia" w:ascii="宋体" w:hAnsi="宋体"/>
        </w:rPr>
      </w:pPr>
      <w:bookmarkStart w:id="600" w:name="_Toc234348979"/>
      <w:bookmarkStart w:id="601" w:name="_Toc234349553"/>
      <w:r>
        <w:rPr>
          <w:rFonts w:hint="eastAsia" w:ascii="宋体" w:hAnsi="宋体"/>
        </w:rPr>
        <w:t>2.1工程量清单中的每一子目须填入单价或价格，且只允许有一个报价。</w:t>
      </w:r>
    </w:p>
    <w:p>
      <w:pPr>
        <w:spacing w:line="360" w:lineRule="auto"/>
        <w:rPr>
          <w:rFonts w:hint="eastAsia" w:ascii="宋体" w:hAnsi="宋体"/>
        </w:rPr>
      </w:pPr>
      <w:r>
        <w:rPr>
          <w:rFonts w:hint="eastAsia" w:ascii="宋体" w:hAnsi="宋体"/>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rPr>
          <w:rFonts w:hint="eastAsia" w:ascii="宋体" w:hAnsi="宋体"/>
        </w:rPr>
      </w:pPr>
      <w:r>
        <w:rPr>
          <w:rFonts w:hint="eastAsia" w:ascii="宋体" w:hAnsi="宋体"/>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rPr>
          <w:rFonts w:hint="eastAsia" w:ascii="宋体" w:hAnsi="宋体"/>
        </w:rPr>
      </w:pPr>
      <w:r>
        <w:rPr>
          <w:rFonts w:hint="eastAsia" w:ascii="宋体" w:hAnsi="宋体"/>
        </w:rPr>
        <w:t>2.4符合合同条款规定的全部费用应认为已被计入有标价的工程量清单所列各子目之中，未列子目不予计量的工作，其费用应视为已分摊在本合同工程的有关子目的单价或总额价之中。</w:t>
      </w:r>
    </w:p>
    <w:p>
      <w:pPr>
        <w:spacing w:line="360" w:lineRule="auto"/>
        <w:rPr>
          <w:rFonts w:hint="eastAsia" w:ascii="宋体" w:hAnsi="宋体"/>
        </w:rPr>
      </w:pPr>
      <w:r>
        <w:rPr>
          <w:rFonts w:hint="eastAsia" w:ascii="宋体" w:hAnsi="宋体"/>
        </w:rPr>
        <w:t>2.5承包人用于本合同工程的各类装备的提供、运输、维护、拆卸、拼装等支付的费用，已包括在工程量清单的单价与总额价之中。</w:t>
      </w:r>
    </w:p>
    <w:p>
      <w:pPr>
        <w:spacing w:line="360" w:lineRule="auto"/>
        <w:rPr>
          <w:rFonts w:hint="eastAsia" w:ascii="宋体" w:hAnsi="宋体"/>
        </w:rPr>
      </w:pPr>
      <w:r>
        <w:rPr>
          <w:rFonts w:hint="eastAsia" w:ascii="宋体" w:hAnsi="宋体"/>
        </w:rPr>
        <w:t>2.6工程量清单中各项金额均以人民币(元)结算。</w:t>
      </w:r>
    </w:p>
    <w:p>
      <w:pPr>
        <w:spacing w:line="360" w:lineRule="auto"/>
        <w:rPr>
          <w:rFonts w:hint="eastAsia" w:ascii="宋体" w:hAnsi="宋体"/>
        </w:rPr>
      </w:pPr>
      <w:r>
        <w:rPr>
          <w:rFonts w:hint="eastAsia" w:ascii="宋体" w:hAnsi="宋体"/>
        </w:rPr>
        <w:t>2.7 暂列金额（不含计日工总额）的数量及拟用子目的说明：0%  ；</w:t>
      </w:r>
    </w:p>
    <w:p>
      <w:pPr>
        <w:spacing w:line="360" w:lineRule="auto"/>
        <w:rPr>
          <w:rFonts w:hint="eastAsia" w:ascii="宋体" w:hAnsi="宋体"/>
        </w:rPr>
      </w:pPr>
      <w:r>
        <w:rPr>
          <w:rFonts w:hint="eastAsia" w:ascii="宋体" w:hAnsi="宋体"/>
        </w:rPr>
        <w:t>2.8 暂估价的数量及拟用子目的说明：  无  ；</w:t>
      </w:r>
    </w:p>
    <w:p>
      <w:pPr>
        <w:spacing w:line="360" w:lineRule="auto"/>
        <w:rPr>
          <w:rFonts w:ascii="宋体" w:hAnsi="宋体"/>
          <w:b/>
          <w:sz w:val="28"/>
          <w:szCs w:val="28"/>
        </w:rPr>
      </w:pPr>
      <w:r>
        <w:rPr>
          <w:rFonts w:hint="eastAsia" w:ascii="宋体" w:hAnsi="宋体"/>
          <w:b/>
          <w:sz w:val="28"/>
          <w:szCs w:val="28"/>
        </w:rPr>
        <w:t>3.计日工说明</w:t>
      </w:r>
    </w:p>
    <w:p>
      <w:pPr>
        <w:spacing w:line="360" w:lineRule="auto"/>
        <w:rPr>
          <w:rFonts w:ascii="宋体" w:hAnsi="宋体"/>
          <w:b/>
          <w:sz w:val="28"/>
          <w:szCs w:val="28"/>
        </w:rPr>
      </w:pPr>
      <w:r>
        <w:rPr>
          <w:rFonts w:hint="eastAsia" w:ascii="宋体" w:hAnsi="宋体"/>
          <w:b/>
          <w:sz w:val="28"/>
          <w:szCs w:val="28"/>
        </w:rPr>
        <w:t>无</w:t>
      </w:r>
    </w:p>
    <w:bookmarkEnd w:id="600"/>
    <w:bookmarkEnd w:id="601"/>
    <w:p>
      <w:pPr>
        <w:spacing w:line="360" w:lineRule="auto"/>
        <w:rPr>
          <w:rFonts w:hint="eastAsia" w:ascii="宋体" w:hAnsi="宋体"/>
          <w:b/>
          <w:sz w:val="28"/>
          <w:szCs w:val="28"/>
        </w:rPr>
      </w:pPr>
      <w:r>
        <w:rPr>
          <w:rFonts w:hint="eastAsia" w:ascii="宋体" w:hAnsi="宋体"/>
          <w:b/>
          <w:sz w:val="28"/>
          <w:szCs w:val="28"/>
        </w:rPr>
        <w:t>4.其他说明</w:t>
      </w:r>
    </w:p>
    <w:p>
      <w:pPr>
        <w:spacing w:line="360" w:lineRule="auto"/>
        <w:ind w:firstLine="420" w:firstLineChars="200"/>
        <w:rPr>
          <w:rFonts w:hint="eastAsia" w:ascii="宋体" w:hAnsi="宋体" w:eastAsia="宋体" w:cs="宋体"/>
          <w:lang w:val="en-US" w:eastAsia="zh-CN"/>
        </w:rPr>
      </w:pPr>
      <w:bookmarkStart w:id="602" w:name="_Toc265483669"/>
      <w:bookmarkStart w:id="603" w:name="_Toc234346112"/>
      <w:bookmarkStart w:id="604" w:name="_Toc234349557"/>
      <w:bookmarkStart w:id="605" w:name="_Toc234348983"/>
      <w:bookmarkStart w:id="606" w:name="_Toc234345897"/>
      <w:bookmarkStart w:id="607" w:name="_Toc234350679"/>
      <w:r>
        <w:rPr>
          <w:rFonts w:hint="eastAsia" w:ascii="宋体" w:hAnsi="宋体" w:eastAsia="宋体" w:cs="宋体"/>
          <w:lang w:val="en-US" w:eastAsia="zh-CN"/>
        </w:rPr>
        <w:t>4.1建筑工程一切险、第三者责任险、工伤保险、施工人员意外保险、安全生产责任保险、承包人装备险以及其他各类保险由承包人按相关法律法规要求进行投保，其费用包含在所报的单价和总额价中，由承包人承担并支付，不单独报价。</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4.2 清单100章“102-1竣工文件”的费用投标人应合理考虑填报，若出现超出本项报价的费用，发包人不再另行支付。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4.3施工环保费及扬尘污染治理费不单独列项填报，投标人应将此项费用考虑填报在清单综合单价中，发包人不再另行支付。投标人应按照国家、行业、地方相关扬尘治理要求执行，并执行《中华人民共和国大气污染防治法》、《天津市大气污染防治条例》、天津市交通运输委《天津市公路工程施工扬尘控制标准化指南》、防尘治理措施（6个百分百）。</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4.4清单100章“102-3安全生产费” 按投标价（不含保险费）的1.5%（若招标人公布了投标控制价上限时，按投标控制价上限的1.5%计）以固定金额形式计入工程量清单支付子目102-3中。</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4.5文明施工的费用包含在报价的综合单价中。</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4.6投标人应对施工用电、水情况进行细致的调查，并全部承担相应的责任和费用，费用包含在报价的综合单价中，发包人不再另行支付。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4.7施工中发生的其它必要费用投标人应合理考虑，在相关清单项目中综合报价。</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4.8施工工艺及材料配合比等技术参数详见施工图纸。</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4.9投标人应对工程量清单100章中的项目合理报价，如若投标人不报价，视为该项目的费用含在工程的清单报价中，发包人不再另行支付。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4.10Φ325悬臂（版面尺寸4000×3000）更换现状20mm厚的立柱法兰盘为25mm厚,更换现状8400mm高的立柱为8900mm；</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Φ377悬臂（版面尺寸5000×2800）更换现状25mm厚的底座法兰盘为32mm厚,更换现状830cm高的立柱为880cm。</w:t>
      </w:r>
    </w:p>
    <w:p>
      <w:pPr>
        <w:spacing w:line="360" w:lineRule="auto"/>
        <w:ind w:firstLine="420" w:firstLineChars="200"/>
        <w:rPr>
          <w:rFonts w:hint="eastAsia" w:ascii="宋体" w:hAnsi="宋体" w:eastAsia="宋体" w:cs="宋体"/>
          <w:lang w:val="en-US" w:eastAsia="zh-CN"/>
        </w:rPr>
      </w:pPr>
    </w:p>
    <w:p>
      <w:pPr>
        <w:spacing w:line="360" w:lineRule="auto"/>
        <w:ind w:firstLine="420" w:firstLineChars="200"/>
        <w:rPr>
          <w:rFonts w:hint="eastAsia" w:ascii="宋体" w:hAnsi="宋体" w:eastAsia="宋体" w:cs="宋体"/>
          <w:lang w:val="en-US" w:eastAsia="zh-CN"/>
        </w:rPr>
      </w:pPr>
    </w:p>
    <w:p>
      <w:pPr>
        <w:rPr>
          <w:rFonts w:ascii="宋体" w:hAnsi="宋体"/>
          <w:sz w:val="36"/>
          <w:szCs w:val="36"/>
        </w:rPr>
      </w:pPr>
      <w:r>
        <w:rPr>
          <w:rFonts w:ascii="宋体" w:hAnsi="宋体"/>
          <w:sz w:val="36"/>
          <w:szCs w:val="36"/>
        </w:rPr>
        <w:br w:type="page"/>
      </w:r>
    </w:p>
    <w:p>
      <w:pPr>
        <w:spacing w:line="360" w:lineRule="auto"/>
        <w:jc w:val="center"/>
        <w:rPr>
          <w:rFonts w:ascii="宋体" w:hAnsi="宋体"/>
          <w:sz w:val="24"/>
          <w:szCs w:val="24"/>
        </w:rPr>
      </w:pPr>
      <w:r>
        <w:rPr>
          <w:rFonts w:hint="eastAsia" w:ascii="宋体" w:hAnsi="宋体"/>
          <w:sz w:val="24"/>
          <w:szCs w:val="24"/>
          <w:lang w:eastAsia="zh-CN"/>
        </w:rPr>
        <w:t>工程量清</w:t>
      </w:r>
      <w:bookmarkStart w:id="750" w:name="_GoBack"/>
      <w:bookmarkEnd w:id="750"/>
      <w:r>
        <w:rPr>
          <w:rFonts w:hint="eastAsia" w:ascii="宋体" w:hAnsi="宋体"/>
          <w:sz w:val="24"/>
          <w:szCs w:val="24"/>
          <w:lang w:eastAsia="zh-CN"/>
        </w:rPr>
        <w:t>单详见附件</w:t>
      </w:r>
      <w:r>
        <w:rPr>
          <w:rFonts w:ascii="宋体" w:hAnsi="宋体"/>
          <w:sz w:val="24"/>
          <w:szCs w:val="24"/>
        </w:rPr>
        <w:br w:type="page"/>
      </w:r>
    </w:p>
    <w:p>
      <w:bookmarkStart w:id="608" w:name="_Toc5625"/>
      <w:bookmarkStart w:id="609" w:name="_Toc508796994"/>
    </w:p>
    <w:p>
      <w:pPr>
        <w:pStyle w:val="3"/>
      </w:pPr>
    </w:p>
    <w:p>
      <w:pPr>
        <w:pStyle w:val="4"/>
        <w:spacing w:beforeLines="0" w:afterLines="0"/>
      </w:pPr>
      <w:r>
        <w:rPr>
          <w:rFonts w:hint="eastAsia"/>
        </w:rPr>
        <w:t>第六章  图纸</w:t>
      </w:r>
      <w:bookmarkEnd w:id="602"/>
      <w:bookmarkEnd w:id="608"/>
      <w:bookmarkEnd w:id="609"/>
    </w:p>
    <w:p>
      <w:pPr>
        <w:spacing w:line="360" w:lineRule="auto"/>
        <w:rPr>
          <w:sz w:val="24"/>
        </w:rPr>
      </w:pPr>
    </w:p>
    <w:p>
      <w:pPr>
        <w:spacing w:line="360" w:lineRule="auto"/>
        <w:jc w:val="center"/>
        <w:rPr>
          <w:rFonts w:ascii="宋体" w:hAnsi="宋体"/>
          <w:sz w:val="24"/>
        </w:rPr>
      </w:pPr>
      <w:r>
        <w:rPr>
          <w:rFonts w:hint="eastAsia" w:ascii="宋体" w:hAnsi="宋体"/>
          <w:snapToGrid w:val="0"/>
          <w:kern w:val="0"/>
          <w:sz w:val="24"/>
        </w:rPr>
        <w:t>另行装订</w:t>
      </w:r>
    </w:p>
    <w:p>
      <w:pPr>
        <w:adjustRightInd w:val="0"/>
        <w:snapToGrid w:val="0"/>
        <w:spacing w:line="360" w:lineRule="auto"/>
        <w:ind w:firstLine="770" w:firstLineChars="321"/>
        <w:rPr>
          <w:sz w:val="24"/>
        </w:rPr>
      </w:pPr>
    </w:p>
    <w:p>
      <w:pPr>
        <w:adjustRightInd w:val="0"/>
        <w:snapToGrid w:val="0"/>
        <w:spacing w:line="360" w:lineRule="auto"/>
        <w:ind w:firstLine="770" w:firstLineChars="321"/>
        <w:rPr>
          <w:sz w:val="24"/>
        </w:rPr>
      </w:pPr>
    </w:p>
    <w:p>
      <w:pPr>
        <w:rPr>
          <w:rFonts w:ascii="宋体" w:hAnsi="宋体"/>
        </w:rPr>
      </w:pPr>
    </w:p>
    <w:p>
      <w:pPr>
        <w:ind w:left="2085" w:leftChars="993"/>
        <w:rPr>
          <w:rFonts w:ascii="宋体" w:hAnsi="宋体"/>
        </w:rPr>
        <w:sectPr>
          <w:footerReference r:id="rId10" w:type="default"/>
          <w:footnotePr>
            <w:numFmt w:val="decimalEnclosedCircleChinese"/>
            <w:numRestart w:val="eachPage"/>
          </w:footnotePr>
          <w:pgSz w:w="11906" w:h="16838"/>
          <w:pgMar w:top="1418" w:right="1440" w:bottom="1418" w:left="1440" w:header="851" w:footer="992" w:gutter="0"/>
          <w:cols w:space="720" w:num="1"/>
          <w:docGrid w:linePitch="312" w:charSpace="0"/>
        </w:sectPr>
      </w:pPr>
    </w:p>
    <w:p>
      <w:pPr>
        <w:pStyle w:val="4"/>
        <w:spacing w:beforeLines="0" w:afterLines="0"/>
      </w:pPr>
      <w:bookmarkStart w:id="610" w:name="_Toc265483670"/>
      <w:bookmarkStart w:id="611" w:name="_Toc90"/>
      <w:bookmarkStart w:id="612" w:name="_Toc508796995"/>
      <w:r>
        <w:rPr>
          <w:rFonts w:hint="eastAsia"/>
        </w:rPr>
        <w:t>第七章  技术规范</w:t>
      </w:r>
      <w:bookmarkEnd w:id="610"/>
      <w:bookmarkEnd w:id="611"/>
      <w:bookmarkEnd w:id="612"/>
    </w:p>
    <w:p>
      <w:pPr>
        <w:adjustRightInd w:val="0"/>
        <w:snapToGrid w:val="0"/>
        <w:spacing w:line="360" w:lineRule="auto"/>
        <w:ind w:firstLine="491" w:firstLineChars="234"/>
        <w:rPr>
          <w:rFonts w:ascii="宋体" w:hAnsi="宋体"/>
          <w:snapToGrid w:val="0"/>
          <w:kern w:val="0"/>
        </w:rPr>
      </w:pPr>
      <w:r>
        <w:rPr>
          <w:rFonts w:hint="eastAsia" w:ascii="宋体" w:hAnsi="宋体"/>
          <w:snapToGrid w:val="0"/>
          <w:kern w:val="0"/>
        </w:rPr>
        <w:t>【见《</w:t>
      </w:r>
      <w:r>
        <w:rPr>
          <w:rFonts w:hint="eastAsia" w:ascii="宋体" w:hAnsi="宋体"/>
        </w:rPr>
        <w:t>公路工程标准施工招标文件</w:t>
      </w:r>
      <w:r>
        <w:rPr>
          <w:rFonts w:hint="eastAsia" w:ascii="宋体" w:hAnsi="宋体"/>
          <w:snapToGrid w:val="0"/>
          <w:kern w:val="0"/>
        </w:rPr>
        <w:t>》（2018年版）（第二册）交通运输部公告2017年第51号，自2018年3月1日起施行】。</w:t>
      </w:r>
    </w:p>
    <w:p>
      <w:pPr>
        <w:ind w:firstLine="420" w:firstLineChars="200"/>
        <w:rPr>
          <w:rFonts w:ascii="宋体" w:hAnsi="宋体"/>
        </w:rPr>
      </w:pPr>
      <w:r>
        <w:rPr>
          <w:rFonts w:hint="eastAsia" w:ascii="宋体" w:hAnsi="宋体"/>
          <w:snapToGrid w:val="0"/>
          <w:kern w:val="0"/>
          <w:szCs w:val="21"/>
        </w:rPr>
        <w:t>如有新的规范或标准高于本技术规范相关要求的，以新的规范或标准为准。</w:t>
      </w:r>
    </w:p>
    <w:p>
      <w:pPr>
        <w:ind w:left="2085" w:leftChars="993"/>
        <w:rPr>
          <w:rFonts w:ascii="宋体" w:hAnsi="宋体"/>
        </w:rPr>
        <w:sectPr>
          <w:footnotePr>
            <w:numFmt w:val="decimalEnclosedCircleChinese"/>
            <w:numRestart w:val="eachPage"/>
          </w:footnotePr>
          <w:pgSz w:w="11906" w:h="16838"/>
          <w:pgMar w:top="1418" w:right="1440" w:bottom="1418" w:left="1440" w:header="851" w:footer="992" w:gutter="0"/>
          <w:cols w:space="720" w:num="1"/>
          <w:docGrid w:linePitch="312" w:charSpace="0"/>
        </w:sectPr>
      </w:pPr>
    </w:p>
    <w:p>
      <w:pPr>
        <w:spacing w:line="420" w:lineRule="atLeast"/>
        <w:ind w:right="480"/>
        <w:rPr>
          <w:rFonts w:ascii="宋体" w:hAnsi="宋体"/>
          <w:b/>
          <w:sz w:val="36"/>
          <w:szCs w:val="36"/>
        </w:rPr>
      </w:pPr>
      <w:bookmarkStart w:id="613" w:name="_Toc265483671"/>
    </w:p>
    <w:p>
      <w:pPr>
        <w:pStyle w:val="4"/>
        <w:spacing w:before="480" w:after="240"/>
      </w:pPr>
      <w:bookmarkStart w:id="614" w:name="_Toc508796996"/>
      <w:bookmarkStart w:id="615" w:name="_Toc15627"/>
      <w:r>
        <w:rPr>
          <w:rFonts w:hint="eastAsia"/>
        </w:rPr>
        <w:t>第八章 工程量清单计量规则</w:t>
      </w:r>
      <w:bookmarkEnd w:id="614"/>
      <w:bookmarkEnd w:id="615"/>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r>
        <w:rPr>
          <w:rFonts w:hint="eastAsia" w:ascii="宋体" w:hAnsi="宋体"/>
          <w:snapToGrid w:val="0"/>
          <w:kern w:val="0"/>
        </w:rPr>
        <w:t>【见《</w:t>
      </w:r>
      <w:r>
        <w:rPr>
          <w:rFonts w:hint="eastAsia" w:ascii="宋体" w:hAnsi="宋体"/>
        </w:rPr>
        <w:t>公路工程标准施工招标文件</w:t>
      </w:r>
      <w:r>
        <w:rPr>
          <w:rFonts w:hint="eastAsia" w:ascii="宋体" w:hAnsi="宋体"/>
          <w:snapToGrid w:val="0"/>
          <w:kern w:val="0"/>
        </w:rPr>
        <w:t>》（2018年版）（第三册）交通运输部公告2017年第51号，自2018年3月1日起施行】。</w:t>
      </w:r>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p>
    <w:p>
      <w:pPr>
        <w:spacing w:line="420" w:lineRule="atLeast"/>
        <w:ind w:right="480"/>
        <w:jc w:val="center"/>
        <w:rPr>
          <w:rFonts w:ascii="宋体" w:hAnsi="宋体"/>
          <w:b/>
          <w:sz w:val="52"/>
          <w:szCs w:val="52"/>
        </w:rPr>
      </w:pPr>
      <w:r>
        <w:rPr>
          <w:rFonts w:ascii="宋体" w:hAnsi="宋体"/>
          <w:b/>
          <w:sz w:val="52"/>
          <w:szCs w:val="52"/>
        </w:rPr>
        <w:br w:type="page"/>
      </w:r>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p>
    <w:p>
      <w:pPr>
        <w:spacing w:line="420" w:lineRule="atLeast"/>
        <w:ind w:right="480"/>
        <w:jc w:val="center"/>
        <w:rPr>
          <w:rFonts w:ascii="宋体" w:hAnsi="宋体"/>
          <w:sz w:val="36"/>
          <w:szCs w:val="36"/>
        </w:rPr>
      </w:pPr>
    </w:p>
    <w:p>
      <w:pPr>
        <w:pStyle w:val="4"/>
        <w:spacing w:beforeLines="0" w:afterLines="0"/>
      </w:pPr>
      <w:bookmarkStart w:id="616" w:name="_Toc508796997"/>
      <w:bookmarkStart w:id="617" w:name="_Toc26153"/>
      <w:r>
        <w:rPr>
          <w:rFonts w:hint="eastAsia"/>
        </w:rPr>
        <w:t>第九章  投标文件格式</w:t>
      </w:r>
      <w:bookmarkEnd w:id="603"/>
      <w:bookmarkEnd w:id="604"/>
      <w:bookmarkEnd w:id="605"/>
      <w:bookmarkEnd w:id="606"/>
      <w:bookmarkEnd w:id="607"/>
      <w:bookmarkEnd w:id="613"/>
      <w:bookmarkEnd w:id="616"/>
      <w:bookmarkEnd w:id="617"/>
    </w:p>
    <w:p>
      <w:pPr>
        <w:rPr>
          <w:rFonts w:ascii="宋体" w:hAnsi="宋体"/>
        </w:rPr>
      </w:pPr>
    </w:p>
    <w:p>
      <w:pPr>
        <w:rPr>
          <w:rFonts w:ascii="宋体"/>
          <w:sz w:val="32"/>
          <w:szCs w:val="32"/>
          <w:u w:val="single"/>
        </w:rPr>
      </w:pPr>
      <w:r>
        <w:rPr>
          <w:rFonts w:ascii="宋体" w:hAnsi="宋体"/>
        </w:rPr>
        <w:br w:type="page"/>
      </w:r>
    </w:p>
    <w:p>
      <w:pPr>
        <w:snapToGrid w:val="0"/>
        <w:spacing w:line="360" w:lineRule="auto"/>
        <w:ind w:left="2085" w:leftChars="993"/>
        <w:rPr>
          <w:rFonts w:ascii="宋体"/>
          <w:sz w:val="32"/>
          <w:szCs w:val="32"/>
          <w:u w:val="single"/>
        </w:rPr>
      </w:pPr>
    </w:p>
    <w:p>
      <w:pPr>
        <w:snapToGrid w:val="0"/>
        <w:spacing w:line="360" w:lineRule="auto"/>
        <w:ind w:left="2085" w:leftChars="993"/>
        <w:rPr>
          <w:rFonts w:ascii="宋体"/>
          <w:sz w:val="32"/>
          <w:szCs w:val="32"/>
          <w:u w:val="single"/>
        </w:rPr>
      </w:pPr>
    </w:p>
    <w:p>
      <w:pPr>
        <w:snapToGrid w:val="0"/>
        <w:spacing w:line="360" w:lineRule="auto"/>
        <w:ind w:left="2085" w:leftChars="993"/>
        <w:outlineLvl w:val="0"/>
        <w:rPr>
          <w:rFonts w:ascii="宋体"/>
          <w:sz w:val="32"/>
          <w:szCs w:val="32"/>
        </w:rPr>
      </w:pPr>
      <w:bookmarkStart w:id="618" w:name="_Toc5421"/>
      <w:r>
        <w:rPr>
          <w:rFonts w:ascii="宋体"/>
          <w:sz w:val="32"/>
          <w:szCs w:val="32"/>
        </w:rPr>
        <w:softHyphen/>
      </w:r>
      <w:r>
        <w:rPr>
          <w:rFonts w:ascii="宋体" w:hAnsi="宋体" w:cs="宋体"/>
          <w:sz w:val="32"/>
          <w:szCs w:val="32"/>
        </w:rPr>
        <w:t>______________</w:t>
      </w:r>
      <w:r>
        <w:rPr>
          <w:rFonts w:hint="eastAsia" w:ascii="宋体" w:hAnsi="宋体" w:cs="宋体"/>
          <w:sz w:val="32"/>
          <w:szCs w:val="32"/>
        </w:rPr>
        <w:t>省（自治区、直辖市）</w:t>
      </w:r>
      <w:bookmarkEnd w:id="618"/>
    </w:p>
    <w:p>
      <w:pPr>
        <w:snapToGrid w:val="0"/>
        <w:spacing w:line="360" w:lineRule="auto"/>
        <w:ind w:firstLine="960" w:firstLineChars="300"/>
        <w:jc w:val="center"/>
        <w:rPr>
          <w:rFonts w:ascii="宋体"/>
          <w:sz w:val="32"/>
          <w:szCs w:val="32"/>
        </w:rPr>
      </w:pPr>
      <w:r>
        <w:rPr>
          <w:rFonts w:ascii="宋体" w:hAnsi="宋体" w:cs="宋体"/>
          <w:sz w:val="32"/>
          <w:szCs w:val="32"/>
        </w:rPr>
        <w:t>__________________</w:t>
      </w:r>
      <w:r>
        <w:rPr>
          <w:rFonts w:hint="eastAsia" w:ascii="宋体" w:hAnsi="宋体" w:cs="宋体"/>
          <w:sz w:val="32"/>
          <w:szCs w:val="32"/>
        </w:rPr>
        <w:t>（项目名称）</w:t>
      </w:r>
      <w:r>
        <w:rPr>
          <w:rFonts w:hint="eastAsia" w:ascii="宋体" w:hAnsi="宋体" w:cs="宋体"/>
          <w:sz w:val="32"/>
          <w:szCs w:val="32"/>
          <w:u w:val="single"/>
        </w:rPr>
        <w:t xml:space="preserve">    </w:t>
      </w:r>
      <w:r>
        <w:rPr>
          <w:rFonts w:hint="eastAsia" w:ascii="宋体" w:hAnsi="宋体" w:cs="宋体"/>
          <w:sz w:val="32"/>
          <w:szCs w:val="32"/>
        </w:rPr>
        <w:t>标段施工招标</w:t>
      </w: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jc w:val="center"/>
        <w:rPr>
          <w:rFonts w:ascii="宋体"/>
          <w:sz w:val="44"/>
          <w:szCs w:val="44"/>
        </w:rPr>
      </w:pPr>
      <w:r>
        <w:rPr>
          <w:rFonts w:hint="eastAsia" w:ascii="宋体" w:hAnsi="宋体" w:cs="宋体"/>
          <w:sz w:val="44"/>
          <w:szCs w:val="44"/>
        </w:rPr>
        <w:t>投标文件</w:t>
      </w:r>
    </w:p>
    <w:p>
      <w:pPr>
        <w:jc w:val="center"/>
        <w:rPr>
          <w:rFonts w:ascii="宋体"/>
          <w:sz w:val="44"/>
          <w:szCs w:val="44"/>
        </w:rPr>
      </w:pPr>
    </w:p>
    <w:p>
      <w:pPr>
        <w:jc w:val="center"/>
        <w:rPr>
          <w:rFonts w:ascii="宋体"/>
          <w:sz w:val="44"/>
          <w:szCs w:val="44"/>
        </w:rPr>
      </w:pPr>
    </w:p>
    <w:p>
      <w:pPr>
        <w:jc w:val="center"/>
        <w:rPr>
          <w:rFonts w:ascii="宋体"/>
          <w:sz w:val="32"/>
          <w:szCs w:val="32"/>
        </w:rPr>
      </w:pPr>
      <w:r>
        <w:rPr>
          <w:rFonts w:hint="eastAsia" w:ascii="宋体" w:hAnsi="宋体" w:cs="宋体"/>
          <w:sz w:val="32"/>
          <w:szCs w:val="32"/>
        </w:rPr>
        <w:t>（商务及技术文件）</w:t>
      </w: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snapToGrid w:val="0"/>
        <w:spacing w:line="360" w:lineRule="auto"/>
        <w:ind w:left="853" w:leftChars="406"/>
        <w:jc w:val="center"/>
        <w:rPr>
          <w:rFonts w:ascii="宋体"/>
          <w:sz w:val="32"/>
          <w:szCs w:val="32"/>
        </w:rPr>
      </w:pPr>
      <w:r>
        <w:rPr>
          <w:rFonts w:hint="eastAsia" w:ascii="宋体" w:hAnsi="宋体" w:cs="宋体"/>
          <w:sz w:val="32"/>
          <w:szCs w:val="32"/>
        </w:rPr>
        <w:t>投标人：</w:t>
      </w:r>
      <w:r>
        <w:rPr>
          <w:rFonts w:ascii="宋体" w:hAnsi="宋体" w:cs="宋体"/>
          <w:sz w:val="32"/>
          <w:szCs w:val="32"/>
        </w:rPr>
        <w:t>____________________</w:t>
      </w:r>
      <w:r>
        <w:rPr>
          <w:rFonts w:hint="eastAsia" w:ascii="宋体" w:hAnsi="宋体" w:cs="宋体"/>
          <w:sz w:val="32"/>
          <w:szCs w:val="32"/>
        </w:rPr>
        <w:t>（盖单位章）</w:t>
      </w:r>
    </w:p>
    <w:p>
      <w:pPr>
        <w:ind w:left="2085" w:leftChars="993" w:firstLine="960" w:firstLineChars="300"/>
        <w:outlineLvl w:val="0"/>
        <w:rPr>
          <w:rFonts w:ascii="宋体" w:hAnsi="宋体"/>
          <w:sz w:val="32"/>
          <w:szCs w:val="32"/>
        </w:rPr>
      </w:pPr>
      <w:bookmarkStart w:id="619" w:name="_Toc28988"/>
      <w:r>
        <w:rPr>
          <w:rFonts w:ascii="宋体" w:hAnsi="宋体" w:cs="宋体"/>
          <w:sz w:val="32"/>
          <w:szCs w:val="32"/>
        </w:rPr>
        <w:t>______</w:t>
      </w:r>
      <w:r>
        <w:rPr>
          <w:rFonts w:hint="eastAsia" w:ascii="宋体" w:hAnsi="宋体" w:cs="宋体"/>
          <w:sz w:val="32"/>
          <w:szCs w:val="32"/>
        </w:rPr>
        <w:t>年</w:t>
      </w:r>
      <w:r>
        <w:rPr>
          <w:rFonts w:ascii="宋体" w:hAnsi="宋体" w:cs="宋体"/>
          <w:sz w:val="32"/>
          <w:szCs w:val="32"/>
        </w:rPr>
        <w:t>__</w:t>
      </w:r>
      <w:r>
        <w:rPr>
          <w:rFonts w:hint="eastAsia" w:ascii="宋体" w:hAnsi="宋体" w:cs="宋体"/>
          <w:sz w:val="32"/>
          <w:szCs w:val="32"/>
        </w:rPr>
        <w:t>月</w:t>
      </w:r>
      <w:r>
        <w:rPr>
          <w:rFonts w:ascii="宋体" w:hAnsi="宋体" w:cs="宋体"/>
          <w:sz w:val="32"/>
          <w:szCs w:val="32"/>
        </w:rPr>
        <w:t>__</w:t>
      </w:r>
      <w:r>
        <w:rPr>
          <w:rFonts w:hint="eastAsia" w:ascii="宋体" w:hAnsi="宋体" w:cs="宋体"/>
          <w:sz w:val="32"/>
          <w:szCs w:val="32"/>
        </w:rPr>
        <w:t>日</w:t>
      </w:r>
      <w:bookmarkEnd w:id="619"/>
    </w:p>
    <w:p>
      <w:pPr>
        <w:jc w:val="center"/>
        <w:rPr>
          <w:sz w:val="36"/>
          <w:szCs w:val="36"/>
        </w:rPr>
      </w:pPr>
      <w:r>
        <w:br w:type="page"/>
      </w:r>
      <w:bookmarkStart w:id="620" w:name="_Toc234346113"/>
      <w:bookmarkStart w:id="621" w:name="_Toc234345898"/>
      <w:bookmarkStart w:id="622" w:name="_Toc234349558"/>
      <w:bookmarkStart w:id="623" w:name="_Toc234348984"/>
      <w:r>
        <w:rPr>
          <w:rFonts w:hint="eastAsia"/>
          <w:sz w:val="36"/>
          <w:szCs w:val="36"/>
        </w:rPr>
        <w:t>目  录</w:t>
      </w:r>
      <w:bookmarkEnd w:id="620"/>
      <w:bookmarkEnd w:id="621"/>
      <w:bookmarkEnd w:id="622"/>
      <w:bookmarkEnd w:id="623"/>
    </w:p>
    <w:p>
      <w:pPr>
        <w:snapToGrid w:val="0"/>
        <w:spacing w:line="360" w:lineRule="auto"/>
        <w:rPr>
          <w:rFonts w:ascii="宋体" w:hAnsi="宋体"/>
          <w:sz w:val="24"/>
        </w:rPr>
      </w:pPr>
    </w:p>
    <w:p>
      <w:pPr>
        <w:snapToGrid w:val="0"/>
        <w:spacing w:line="360" w:lineRule="auto"/>
        <w:outlineLvl w:val="0"/>
        <w:rPr>
          <w:rFonts w:ascii="宋体" w:hAnsi="宋体"/>
          <w:sz w:val="24"/>
        </w:rPr>
      </w:pPr>
      <w:bookmarkStart w:id="624" w:name="_Toc10541"/>
      <w:r>
        <w:rPr>
          <w:rFonts w:hint="eastAsia" w:ascii="宋体" w:hAnsi="宋体"/>
          <w:sz w:val="24"/>
        </w:rPr>
        <w:t>一、投标函及投标函附录</w:t>
      </w:r>
      <w:bookmarkEnd w:id="624"/>
    </w:p>
    <w:p>
      <w:pPr>
        <w:snapToGrid w:val="0"/>
        <w:spacing w:line="360" w:lineRule="auto"/>
        <w:outlineLvl w:val="0"/>
        <w:rPr>
          <w:rFonts w:ascii="宋体" w:hAnsi="宋体"/>
          <w:sz w:val="24"/>
        </w:rPr>
      </w:pPr>
      <w:bookmarkStart w:id="625" w:name="_Toc18094"/>
      <w:r>
        <w:rPr>
          <w:rFonts w:hint="eastAsia" w:ascii="宋体" w:hAnsi="宋体"/>
          <w:sz w:val="24"/>
        </w:rPr>
        <w:t>二、授权委托书或法定代表人身份证明</w:t>
      </w:r>
      <w:bookmarkEnd w:id="625"/>
    </w:p>
    <w:p>
      <w:pPr>
        <w:snapToGrid w:val="0"/>
        <w:spacing w:line="360" w:lineRule="auto"/>
        <w:outlineLvl w:val="0"/>
        <w:rPr>
          <w:rFonts w:ascii="宋体" w:hAnsi="宋体"/>
          <w:sz w:val="24"/>
        </w:rPr>
      </w:pPr>
      <w:bookmarkStart w:id="626" w:name="_Toc24863"/>
      <w:r>
        <w:rPr>
          <w:rFonts w:hint="eastAsia" w:ascii="宋体" w:hAnsi="宋体"/>
          <w:sz w:val="24"/>
        </w:rPr>
        <w:t>三、联合体协议书</w:t>
      </w:r>
      <w:bookmarkEnd w:id="626"/>
    </w:p>
    <w:p>
      <w:pPr>
        <w:snapToGrid w:val="0"/>
        <w:spacing w:line="360" w:lineRule="auto"/>
        <w:outlineLvl w:val="0"/>
        <w:rPr>
          <w:rFonts w:ascii="宋体" w:hAnsi="宋体"/>
          <w:sz w:val="24"/>
        </w:rPr>
      </w:pPr>
      <w:bookmarkStart w:id="627" w:name="_Toc12321"/>
      <w:r>
        <w:rPr>
          <w:rFonts w:hint="eastAsia" w:ascii="宋体" w:hAnsi="宋体"/>
          <w:sz w:val="24"/>
        </w:rPr>
        <w:t>四、投标保证金</w:t>
      </w:r>
      <w:bookmarkEnd w:id="627"/>
    </w:p>
    <w:p>
      <w:pPr>
        <w:snapToGrid w:val="0"/>
        <w:spacing w:line="360" w:lineRule="auto"/>
        <w:outlineLvl w:val="0"/>
        <w:rPr>
          <w:rFonts w:ascii="宋体" w:hAnsi="宋体"/>
          <w:sz w:val="24"/>
        </w:rPr>
      </w:pPr>
      <w:bookmarkStart w:id="628" w:name="_Toc17038"/>
      <w:r>
        <w:rPr>
          <w:rFonts w:hint="eastAsia" w:ascii="宋体" w:hAnsi="宋体"/>
          <w:sz w:val="24"/>
        </w:rPr>
        <w:t>五、施工组织设计</w:t>
      </w:r>
      <w:bookmarkEnd w:id="628"/>
    </w:p>
    <w:p>
      <w:pPr>
        <w:snapToGrid w:val="0"/>
        <w:spacing w:line="360" w:lineRule="auto"/>
        <w:outlineLvl w:val="0"/>
        <w:rPr>
          <w:rFonts w:ascii="宋体" w:hAnsi="宋体"/>
          <w:sz w:val="24"/>
        </w:rPr>
      </w:pPr>
      <w:bookmarkStart w:id="629" w:name="_Toc15771"/>
      <w:r>
        <w:rPr>
          <w:rFonts w:hint="eastAsia" w:ascii="宋体" w:hAnsi="宋体"/>
          <w:sz w:val="24"/>
        </w:rPr>
        <w:t>六、项目管理机构</w:t>
      </w:r>
      <w:bookmarkEnd w:id="629"/>
    </w:p>
    <w:p>
      <w:pPr>
        <w:snapToGrid w:val="0"/>
        <w:spacing w:line="360" w:lineRule="auto"/>
        <w:outlineLvl w:val="0"/>
        <w:rPr>
          <w:rFonts w:ascii="宋体" w:hAnsi="宋体"/>
          <w:sz w:val="24"/>
        </w:rPr>
      </w:pPr>
      <w:bookmarkStart w:id="630" w:name="_Toc25452"/>
      <w:r>
        <w:rPr>
          <w:rFonts w:hint="eastAsia" w:ascii="宋体" w:hAnsi="宋体"/>
          <w:sz w:val="24"/>
        </w:rPr>
        <w:t>七、资格审查资料</w:t>
      </w:r>
      <w:bookmarkEnd w:id="630"/>
    </w:p>
    <w:p>
      <w:pPr>
        <w:snapToGrid w:val="0"/>
        <w:spacing w:line="360" w:lineRule="auto"/>
        <w:outlineLvl w:val="0"/>
        <w:rPr>
          <w:rFonts w:ascii="宋体" w:hAnsi="宋体"/>
          <w:sz w:val="24"/>
        </w:rPr>
      </w:pPr>
      <w:bookmarkStart w:id="631" w:name="_Toc25409"/>
      <w:r>
        <w:rPr>
          <w:rFonts w:hint="eastAsia" w:ascii="宋体" w:hAnsi="宋体"/>
          <w:sz w:val="24"/>
        </w:rPr>
        <w:t>八、其他资料</w:t>
      </w:r>
      <w:bookmarkEnd w:id="631"/>
    </w:p>
    <w:p>
      <w:pPr>
        <w:snapToGrid w:val="0"/>
        <w:spacing w:line="360" w:lineRule="auto"/>
        <w:rPr>
          <w:rFonts w:ascii="宋体" w:hAnsi="宋体"/>
          <w:sz w:val="24"/>
        </w:rPr>
      </w:pPr>
    </w:p>
    <w:p>
      <w:pPr>
        <w:snapToGrid w:val="0"/>
        <w:spacing w:line="360" w:lineRule="auto"/>
        <w:rPr>
          <w:rFonts w:ascii="宋体" w:hAnsi="宋体"/>
          <w:sz w:val="24"/>
        </w:rPr>
      </w:pPr>
    </w:p>
    <w:p>
      <w:pPr>
        <w:spacing w:line="360" w:lineRule="auto"/>
        <w:jc w:val="center"/>
        <w:outlineLvl w:val="0"/>
        <w:rPr>
          <w:b/>
          <w:sz w:val="36"/>
          <w:szCs w:val="36"/>
        </w:rPr>
      </w:pPr>
      <w:r>
        <w:br w:type="page"/>
      </w:r>
      <w:bookmarkStart w:id="632" w:name="_Toc234348986"/>
      <w:bookmarkStart w:id="633" w:name="_Toc265483672"/>
      <w:bookmarkStart w:id="634" w:name="_Toc234346115"/>
      <w:bookmarkStart w:id="635" w:name="_Toc11608"/>
      <w:bookmarkStart w:id="636" w:name="_Toc234349560"/>
      <w:bookmarkStart w:id="637" w:name="_Toc234345900"/>
      <w:r>
        <w:rPr>
          <w:rFonts w:hint="eastAsia"/>
          <w:b/>
          <w:sz w:val="36"/>
          <w:szCs w:val="36"/>
        </w:rPr>
        <w:t>一、投标函及投标函附录</w:t>
      </w:r>
      <w:bookmarkEnd w:id="632"/>
      <w:bookmarkEnd w:id="633"/>
      <w:bookmarkEnd w:id="634"/>
      <w:bookmarkEnd w:id="635"/>
      <w:bookmarkEnd w:id="636"/>
      <w:bookmarkEnd w:id="637"/>
    </w:p>
    <w:p>
      <w:pPr>
        <w:spacing w:line="360" w:lineRule="auto"/>
        <w:jc w:val="center"/>
        <w:rPr>
          <w:rFonts w:ascii="宋体" w:hAnsi="宋体"/>
          <w:sz w:val="15"/>
          <w:szCs w:val="15"/>
          <w:u w:val="single"/>
        </w:rPr>
      </w:pPr>
      <w:bookmarkStart w:id="638" w:name="_Toc234349561"/>
      <w:bookmarkStart w:id="639" w:name="_Toc234348987"/>
      <w:bookmarkStart w:id="640" w:name="_Toc234345901"/>
      <w:bookmarkStart w:id="641" w:name="_Toc265483673"/>
      <w:bookmarkStart w:id="642" w:name="_Toc234346116"/>
      <w:r>
        <w:rPr>
          <w:rFonts w:hint="eastAsia"/>
          <w:b/>
          <w:sz w:val="32"/>
          <w:szCs w:val="32"/>
        </w:rPr>
        <w:t>（一）投标函</w:t>
      </w:r>
      <w:bookmarkEnd w:id="638"/>
      <w:bookmarkEnd w:id="639"/>
      <w:bookmarkEnd w:id="640"/>
      <w:bookmarkEnd w:id="641"/>
      <w:bookmarkEnd w:id="642"/>
    </w:p>
    <w:p>
      <w:pPr>
        <w:spacing w:before="120" w:beforeLines="50" w:after="120" w:afterLines="50" w:line="360" w:lineRule="auto"/>
        <w:rPr>
          <w:rFonts w:ascii="宋体" w:hAnsi="宋体"/>
          <w:szCs w:val="21"/>
        </w:rPr>
      </w:pPr>
      <w:bookmarkStart w:id="643" w:name="_Toc265483674"/>
      <w:bookmarkStart w:id="644" w:name="_Toc234346117"/>
      <w:bookmarkStart w:id="645" w:name="_Toc234348988"/>
      <w:bookmarkStart w:id="646" w:name="_Toc234345902"/>
      <w:bookmarkStart w:id="647" w:name="_Toc234349562"/>
      <w:r>
        <w:rPr>
          <w:rFonts w:hint="eastAsia" w:ascii="宋体" w:hAnsi="宋体"/>
          <w:szCs w:val="21"/>
          <w:u w:val="single"/>
        </w:rPr>
        <w:t xml:space="preserve">                  </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1.我方已仔细研究</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标段施工招标文件的全部内容(含补遗书第</w:t>
      </w:r>
      <w:r>
        <w:rPr>
          <w:rFonts w:hint="eastAsia" w:ascii="宋体" w:hAnsi="宋体"/>
          <w:szCs w:val="21"/>
          <w:u w:val="single"/>
        </w:rPr>
        <w:t xml:space="preserve">    </w:t>
      </w:r>
      <w:r>
        <w:rPr>
          <w:rFonts w:hint="eastAsia" w:ascii="宋体" w:hAnsi="宋体"/>
          <w:szCs w:val="21"/>
        </w:rPr>
        <w:t>号至第</w:t>
      </w:r>
      <w:r>
        <w:rPr>
          <w:rFonts w:hint="eastAsia" w:ascii="宋体" w:hAnsi="宋体"/>
          <w:szCs w:val="21"/>
          <w:u w:val="single"/>
        </w:rPr>
        <w:t xml:space="preserve">    </w:t>
      </w:r>
      <w:r>
        <w:rPr>
          <w:rFonts w:hint="eastAsia" w:ascii="宋体" w:hAnsi="宋体"/>
          <w:szCs w:val="21"/>
        </w:rPr>
        <w:t>号)，在考察工程现场后，</w:t>
      </w:r>
      <w:r>
        <w:rPr>
          <w:rFonts w:hint="eastAsia" w:ascii="宋体" w:hAnsi="宋体" w:cs="宋体"/>
        </w:rPr>
        <w:t>愿意以投标文件第二个信封的投标总报价</w:t>
      </w:r>
      <w:r>
        <w:rPr>
          <w:rFonts w:hint="eastAsia" w:ascii="宋体" w:hAnsi="宋体"/>
          <w:szCs w:val="21"/>
        </w:rPr>
        <w:t>，按合同约定实施和完成承包工程，修补工程中的任何缺陷。</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color w:val="000000"/>
          <w:sz w:val="24"/>
        </w:rPr>
        <w:t xml:space="preserve"> </w:t>
      </w:r>
      <w:r>
        <w:rPr>
          <w:rFonts w:hint="eastAsia" w:ascii="宋体" w:hAnsi="宋体"/>
          <w:szCs w:val="21"/>
        </w:rPr>
        <w:t>我方承诺在招标文件规定的投标有效期内不撤销投标文件。</w:t>
      </w:r>
    </w:p>
    <w:p>
      <w:pPr>
        <w:spacing w:line="360" w:lineRule="auto"/>
        <w:ind w:firstLine="420" w:firstLineChars="200"/>
        <w:rPr>
          <w:rFonts w:ascii="宋体" w:hAnsi="宋体"/>
          <w:szCs w:val="21"/>
        </w:rPr>
      </w:pPr>
      <w:r>
        <w:rPr>
          <w:rFonts w:hint="eastAsia" w:ascii="宋体" w:hAnsi="宋体"/>
          <w:szCs w:val="21"/>
        </w:rPr>
        <w:t>3.工程质量：</w:t>
      </w:r>
      <w:r>
        <w:rPr>
          <w:rFonts w:hint="eastAsia" w:ascii="宋体" w:hAnsi="宋体"/>
          <w:szCs w:val="21"/>
          <w:u w:val="single"/>
        </w:rPr>
        <w:t xml:space="preserve">                </w:t>
      </w:r>
      <w:r>
        <w:rPr>
          <w:rFonts w:hint="eastAsia" w:ascii="宋体" w:hAnsi="宋体"/>
          <w:szCs w:val="21"/>
        </w:rPr>
        <w:t>，安全目标：</w:t>
      </w:r>
      <w:r>
        <w:rPr>
          <w:rFonts w:hint="eastAsia" w:ascii="宋体" w:hAnsi="宋体"/>
          <w:szCs w:val="21"/>
          <w:u w:val="single"/>
        </w:rPr>
        <w:t xml:space="preserve">             </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日历天。</w:t>
      </w:r>
    </w:p>
    <w:p>
      <w:pPr>
        <w:spacing w:line="360" w:lineRule="auto"/>
        <w:ind w:firstLine="420" w:firstLineChars="200"/>
        <w:rPr>
          <w:rFonts w:ascii="宋体" w:hAnsi="宋体"/>
          <w:szCs w:val="21"/>
        </w:rPr>
      </w:pPr>
      <w:r>
        <w:rPr>
          <w:rFonts w:hint="eastAsia" w:ascii="宋体" w:hAnsi="宋体"/>
          <w:szCs w:val="21"/>
        </w:rPr>
        <w:t>4.如我方中标，我方承诺：</w:t>
      </w:r>
    </w:p>
    <w:p>
      <w:pPr>
        <w:spacing w:line="360" w:lineRule="auto"/>
        <w:ind w:firstLine="420" w:firstLineChars="200"/>
        <w:rPr>
          <w:rFonts w:ascii="宋体" w:hAnsi="宋体"/>
          <w:szCs w:val="21"/>
        </w:rPr>
      </w:pPr>
      <w:r>
        <w:rPr>
          <w:rFonts w:hint="eastAsia" w:ascii="宋体" w:hAnsi="宋体"/>
          <w:szCs w:val="21"/>
        </w:rPr>
        <w:t>（1）在收到中标通知书后，在中标通知书规定的期限内与你方签订合同。</w:t>
      </w:r>
    </w:p>
    <w:p>
      <w:pPr>
        <w:spacing w:line="360" w:lineRule="auto"/>
        <w:ind w:firstLine="420" w:firstLineChars="200"/>
        <w:rPr>
          <w:rFonts w:ascii="宋体" w:hAnsi="宋体"/>
          <w:szCs w:val="21"/>
        </w:rPr>
      </w:pPr>
      <w:r>
        <w:rPr>
          <w:rFonts w:hint="eastAsia" w:ascii="宋体" w:hAnsi="宋体"/>
          <w:szCs w:val="21"/>
        </w:rPr>
        <w:t>（2）在签订合同时不向你方提出附加条件；</w:t>
      </w:r>
    </w:p>
    <w:p>
      <w:pPr>
        <w:spacing w:line="360" w:lineRule="auto"/>
        <w:ind w:firstLine="420" w:firstLineChars="200"/>
        <w:rPr>
          <w:rFonts w:ascii="宋体" w:hAnsi="宋体"/>
          <w:szCs w:val="21"/>
        </w:rPr>
      </w:pPr>
      <w:r>
        <w:rPr>
          <w:rFonts w:hint="eastAsia" w:ascii="宋体" w:hAnsi="宋体"/>
          <w:szCs w:val="21"/>
        </w:rPr>
        <w:t>（3）按照招标文件要求提交履约保证金；</w:t>
      </w:r>
    </w:p>
    <w:p>
      <w:pPr>
        <w:spacing w:line="360" w:lineRule="auto"/>
        <w:ind w:firstLine="420" w:firstLineChars="200"/>
        <w:rPr>
          <w:rFonts w:ascii="宋体" w:hAnsi="宋体"/>
          <w:szCs w:val="21"/>
        </w:rPr>
      </w:pPr>
      <w:r>
        <w:rPr>
          <w:rFonts w:hint="eastAsia" w:ascii="宋体" w:hAnsi="宋体"/>
          <w:szCs w:val="21"/>
        </w:rPr>
        <w:t>（4）在合同约定的期限内完成合同规定的全部义务。</w:t>
      </w:r>
    </w:p>
    <w:p>
      <w:pPr>
        <w:spacing w:line="360" w:lineRule="auto"/>
        <w:ind w:firstLine="420" w:firstLineChars="200"/>
        <w:rPr>
          <w:rFonts w:ascii="宋体" w:hAnsi="宋体"/>
          <w:szCs w:val="21"/>
        </w:rPr>
      </w:pPr>
      <w:r>
        <w:rPr>
          <w:rFonts w:hint="eastAsia" w:ascii="宋体" w:hAnsi="宋体"/>
          <w:szCs w:val="21"/>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360" w:lineRule="auto"/>
        <w:ind w:firstLine="420" w:firstLineChars="200"/>
        <w:rPr>
          <w:rFonts w:ascii="宋体" w:hAnsi="宋体"/>
          <w:szCs w:val="21"/>
        </w:rPr>
      </w:pPr>
      <w:r>
        <w:rPr>
          <w:rFonts w:hint="eastAsia" w:ascii="宋体" w:hAnsi="宋体"/>
          <w:szCs w:val="21"/>
        </w:rPr>
        <w:t>5.我方在此声明，所递交的投标文件及有关资料内容完整、真实和准确，且不存在招标文件第二章“投标人须知”第1.4.3项和第1.4.4项规定的任何一种情形。</w:t>
      </w:r>
    </w:p>
    <w:p>
      <w:pPr>
        <w:spacing w:line="360" w:lineRule="auto"/>
        <w:ind w:firstLine="420" w:firstLineChars="200"/>
        <w:rPr>
          <w:rFonts w:ascii="宋体" w:hAnsi="宋体"/>
          <w:szCs w:val="21"/>
        </w:rPr>
      </w:pPr>
      <w:r>
        <w:rPr>
          <w:rFonts w:hint="eastAsia" w:ascii="宋体" w:hAnsi="宋体"/>
          <w:szCs w:val="21"/>
        </w:rPr>
        <w:t>6.在合同协议书正式签署生效之前，本投标函连同你方的中标通知书将构成我们双方之间共同遵守的文件，对双方具有约束力。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szCs w:val="21"/>
        </w:rPr>
      </w:pPr>
      <w:r>
        <w:rPr>
          <w:rFonts w:hint="eastAsia" w:ascii="宋体" w:hAnsi="宋体"/>
          <w:szCs w:val="21"/>
        </w:rPr>
        <w:t>7.我方承诺近三年内投标人及其法定代表人、拟委任的项目经理及项目总工均无行贿犯罪行为。</w:t>
      </w:r>
    </w:p>
    <w:p>
      <w:pPr>
        <w:spacing w:line="360" w:lineRule="auto"/>
        <w:ind w:firstLine="420" w:firstLineChars="200"/>
        <w:rPr>
          <w:rFonts w:ascii="宋体" w:hAnsi="宋体"/>
          <w:szCs w:val="21"/>
        </w:rPr>
      </w:pPr>
      <w:r>
        <w:rPr>
          <w:rFonts w:hint="eastAsia" w:ascii="宋体" w:hAnsi="宋体"/>
          <w:szCs w:val="21"/>
        </w:rPr>
        <w:t>8.</w:t>
      </w:r>
      <w:r>
        <w:rPr>
          <w:rFonts w:hint="eastAsia" w:ascii="宋体" w:hAnsi="宋体"/>
          <w:szCs w:val="21"/>
          <w:u w:val="single"/>
        </w:rPr>
        <w:t>_______________________</w:t>
      </w:r>
      <w:r>
        <w:rPr>
          <w:rFonts w:hint="eastAsia" w:ascii="宋体" w:hAnsi="宋体"/>
          <w:szCs w:val="21"/>
        </w:rPr>
        <w:t>(其他补充说明)。</w:t>
      </w:r>
    </w:p>
    <w:p>
      <w:pPr>
        <w:ind w:firstLine="1771" w:firstLineChars="1181"/>
        <w:rPr>
          <w:rFonts w:ascii="宋体" w:hAnsi="宋体"/>
          <w:sz w:val="15"/>
          <w:szCs w:val="15"/>
        </w:rPr>
      </w:pPr>
    </w:p>
    <w:p>
      <w:pPr>
        <w:spacing w:line="420" w:lineRule="exact"/>
        <w:ind w:firstLine="4473" w:firstLineChars="2130"/>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420" w:lineRule="exact"/>
        <w:ind w:firstLine="4473" w:firstLineChars="213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20" w:lineRule="exact"/>
        <w:ind w:firstLine="4473" w:firstLineChars="213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20" w:lineRule="exact"/>
        <w:ind w:firstLine="4473" w:firstLineChars="2130"/>
        <w:rPr>
          <w:rFonts w:ascii="宋体" w:hAnsi="宋体"/>
          <w:szCs w:val="21"/>
          <w:u w:val="single"/>
        </w:rPr>
      </w:pPr>
      <w:r>
        <w:rPr>
          <w:rFonts w:hint="eastAsia" w:ascii="宋体" w:hAnsi="宋体"/>
          <w:szCs w:val="21"/>
        </w:rPr>
        <w:t>网址：</w:t>
      </w:r>
      <w:r>
        <w:rPr>
          <w:rFonts w:hint="eastAsia" w:ascii="宋体" w:hAnsi="宋体"/>
          <w:szCs w:val="21"/>
          <w:u w:val="single"/>
        </w:rPr>
        <w:t xml:space="preserve">                                     </w:t>
      </w:r>
    </w:p>
    <w:p>
      <w:pPr>
        <w:spacing w:line="420" w:lineRule="exact"/>
        <w:ind w:firstLine="4473" w:firstLineChars="2130"/>
        <w:rPr>
          <w:rFonts w:ascii="宋体" w:hAnsi="宋体"/>
          <w:szCs w:val="21"/>
        </w:rPr>
      </w:pPr>
      <w:r>
        <w:rPr>
          <w:rFonts w:hint="eastAsia" w:ascii="宋体" w:hAnsi="宋体"/>
          <w:szCs w:val="21"/>
        </w:rPr>
        <w:t>电话：</w:t>
      </w:r>
      <w:r>
        <w:rPr>
          <w:rFonts w:hint="eastAsia" w:ascii="宋体" w:hAnsi="宋体"/>
          <w:szCs w:val="21"/>
          <w:u w:val="single"/>
        </w:rPr>
        <w:t xml:space="preserve">                                     </w:t>
      </w:r>
    </w:p>
    <w:p>
      <w:pPr>
        <w:spacing w:line="420" w:lineRule="exact"/>
        <w:ind w:firstLine="4473" w:firstLineChars="2130"/>
        <w:rPr>
          <w:rFonts w:ascii="宋体" w:hAnsi="宋体"/>
          <w:szCs w:val="21"/>
        </w:rPr>
      </w:pPr>
      <w:r>
        <w:rPr>
          <w:rFonts w:hint="eastAsia" w:ascii="宋体" w:hAnsi="宋体"/>
          <w:szCs w:val="21"/>
        </w:rPr>
        <w:t>传真：</w:t>
      </w:r>
      <w:r>
        <w:rPr>
          <w:rFonts w:hint="eastAsia" w:ascii="宋体" w:hAnsi="宋体"/>
          <w:szCs w:val="21"/>
          <w:u w:val="single"/>
        </w:rPr>
        <w:t xml:space="preserve">                                     </w:t>
      </w:r>
    </w:p>
    <w:p>
      <w:pPr>
        <w:spacing w:line="420" w:lineRule="exact"/>
        <w:ind w:firstLine="4473" w:firstLineChars="213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420" w:lineRule="exact"/>
        <w:ind w:firstLine="6992" w:firstLineChars="333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jc w:val="left"/>
        <w:rPr>
          <w:b/>
          <w:sz w:val="32"/>
          <w:szCs w:val="32"/>
        </w:rPr>
      </w:pPr>
      <w:r>
        <w:rPr>
          <w:rFonts w:hint="eastAsia" w:ascii="宋体" w:hAnsi="宋体"/>
        </w:rPr>
        <w:t>注：投标人仅须在投标函上加盖单位章，或由法定代表人或其委托代理人签字。</w:t>
      </w:r>
    </w:p>
    <w:p>
      <w:pPr>
        <w:spacing w:line="360" w:lineRule="auto"/>
        <w:jc w:val="center"/>
        <w:rPr>
          <w:b/>
          <w:sz w:val="32"/>
          <w:szCs w:val="32"/>
        </w:rPr>
      </w:pPr>
      <w:r>
        <w:rPr>
          <w:rFonts w:hint="eastAsia"/>
          <w:b/>
          <w:sz w:val="32"/>
          <w:szCs w:val="32"/>
        </w:rPr>
        <w:t>（二）投标函附录</w:t>
      </w:r>
      <w:bookmarkEnd w:id="643"/>
      <w:bookmarkEnd w:id="644"/>
      <w:bookmarkEnd w:id="645"/>
      <w:bookmarkEnd w:id="646"/>
      <w:bookmarkEnd w:id="647"/>
    </w:p>
    <w:tbl>
      <w:tblPr>
        <w:tblStyle w:val="38"/>
        <w:tblW w:w="9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2505"/>
        <w:gridCol w:w="1442"/>
        <w:gridCol w:w="3599"/>
        <w:gridCol w:w="1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tcBorders>
              <w:top w:val="single" w:color="auto" w:sz="12" w:space="0"/>
            </w:tcBorders>
            <w:vAlign w:val="center"/>
          </w:tcPr>
          <w:p>
            <w:pPr>
              <w:rPr>
                <w:rFonts w:ascii="宋体"/>
              </w:rPr>
            </w:pPr>
            <w:r>
              <w:rPr>
                <w:rFonts w:hint="eastAsia" w:ascii="宋体" w:hAnsi="宋体" w:cs="宋体"/>
              </w:rPr>
              <w:t>序号</w:t>
            </w:r>
          </w:p>
        </w:tc>
        <w:tc>
          <w:tcPr>
            <w:tcW w:w="2505" w:type="dxa"/>
            <w:tcBorders>
              <w:top w:val="single" w:color="auto" w:sz="12" w:space="0"/>
            </w:tcBorders>
            <w:vAlign w:val="center"/>
          </w:tcPr>
          <w:p>
            <w:pPr>
              <w:jc w:val="center"/>
              <w:rPr>
                <w:rFonts w:ascii="宋体"/>
              </w:rPr>
            </w:pPr>
            <w:r>
              <w:rPr>
                <w:rFonts w:hint="eastAsia" w:ascii="宋体" w:hAnsi="宋体" w:cs="宋体"/>
              </w:rPr>
              <w:t>条款名称</w:t>
            </w:r>
          </w:p>
        </w:tc>
        <w:tc>
          <w:tcPr>
            <w:tcW w:w="1442" w:type="dxa"/>
            <w:tcBorders>
              <w:top w:val="single" w:color="auto" w:sz="12" w:space="0"/>
            </w:tcBorders>
            <w:vAlign w:val="center"/>
          </w:tcPr>
          <w:p>
            <w:pPr>
              <w:rPr>
                <w:rFonts w:ascii="宋体"/>
              </w:rPr>
            </w:pPr>
            <w:r>
              <w:rPr>
                <w:rFonts w:hint="eastAsia" w:ascii="宋体" w:hAnsi="宋体" w:cs="宋体"/>
              </w:rPr>
              <w:t>合同条目号</w:t>
            </w:r>
          </w:p>
        </w:tc>
        <w:tc>
          <w:tcPr>
            <w:tcW w:w="3599" w:type="dxa"/>
            <w:tcBorders>
              <w:top w:val="single" w:color="auto" w:sz="12" w:space="0"/>
            </w:tcBorders>
            <w:vAlign w:val="center"/>
          </w:tcPr>
          <w:p>
            <w:pPr>
              <w:jc w:val="center"/>
              <w:rPr>
                <w:rFonts w:ascii="宋体"/>
              </w:rPr>
            </w:pPr>
            <w:r>
              <w:rPr>
                <w:rFonts w:hint="eastAsia" w:ascii="宋体" w:hAnsi="宋体" w:cs="宋体"/>
              </w:rPr>
              <w:t>约定内容</w:t>
            </w:r>
          </w:p>
        </w:tc>
        <w:tc>
          <w:tcPr>
            <w:tcW w:w="1024" w:type="dxa"/>
            <w:tcBorders>
              <w:top w:val="single" w:color="auto" w:sz="12" w:space="0"/>
            </w:tcBorders>
            <w:vAlign w:val="center"/>
          </w:tcPr>
          <w:p>
            <w:pPr>
              <w:jc w:val="center"/>
              <w:rPr>
                <w:rFonts w:ascii="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1</w:t>
            </w:r>
          </w:p>
        </w:tc>
        <w:tc>
          <w:tcPr>
            <w:tcW w:w="2505" w:type="dxa"/>
            <w:vAlign w:val="center"/>
          </w:tcPr>
          <w:p>
            <w:pPr>
              <w:jc w:val="center"/>
              <w:rPr>
                <w:rFonts w:ascii="宋体"/>
              </w:rPr>
            </w:pPr>
            <w:r>
              <w:rPr>
                <w:rFonts w:hint="eastAsia" w:ascii="宋体" w:hAnsi="宋体" w:cs="宋体"/>
              </w:rPr>
              <w:t>缺陷责任期</w:t>
            </w:r>
          </w:p>
        </w:tc>
        <w:tc>
          <w:tcPr>
            <w:tcW w:w="1442" w:type="dxa"/>
            <w:vAlign w:val="center"/>
          </w:tcPr>
          <w:p>
            <w:pPr>
              <w:jc w:val="center"/>
              <w:rPr>
                <w:rFonts w:ascii="宋体"/>
              </w:rPr>
            </w:pPr>
            <w:r>
              <w:rPr>
                <w:rFonts w:ascii="宋体" w:hAnsi="宋体" w:cs="宋体"/>
              </w:rPr>
              <w:t>1.1.4.5</w:t>
            </w:r>
          </w:p>
        </w:tc>
        <w:tc>
          <w:tcPr>
            <w:tcW w:w="3599" w:type="dxa"/>
            <w:vAlign w:val="center"/>
          </w:tcPr>
          <w:p>
            <w:pPr>
              <w:ind w:firstLine="210" w:firstLineChars="100"/>
              <w:rPr>
                <w:rFonts w:ascii="宋体"/>
              </w:rPr>
            </w:pPr>
            <w:r>
              <w:rPr>
                <w:rFonts w:hint="eastAsia" w:ascii="宋体" w:hAnsi="宋体" w:cs="宋体"/>
              </w:rPr>
              <w:t>自实际交工日期起计算</w:t>
            </w:r>
            <w:r>
              <w:rPr>
                <w:rFonts w:hint="eastAsia" w:ascii="宋体" w:hAnsi="宋体" w:cs="宋体"/>
                <w:u w:val="single"/>
              </w:rPr>
              <w:t xml:space="preserve"> 2 </w:t>
            </w:r>
            <w:r>
              <w:rPr>
                <w:rFonts w:hint="eastAsia" w:ascii="宋体" w:hAnsi="宋体" w:cs="宋体"/>
              </w:rPr>
              <w:t>年</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2</w:t>
            </w:r>
          </w:p>
        </w:tc>
        <w:tc>
          <w:tcPr>
            <w:tcW w:w="2505" w:type="dxa"/>
            <w:vAlign w:val="center"/>
          </w:tcPr>
          <w:p>
            <w:pPr>
              <w:jc w:val="center"/>
              <w:rPr>
                <w:rFonts w:ascii="宋体"/>
              </w:rPr>
            </w:pPr>
            <w:r>
              <w:rPr>
                <w:rFonts w:hint="eastAsia" w:ascii="宋体" w:hAnsi="宋体" w:cs="宋体"/>
              </w:rPr>
              <w:t>逾期交工违约金</w:t>
            </w:r>
          </w:p>
        </w:tc>
        <w:tc>
          <w:tcPr>
            <w:tcW w:w="1442" w:type="dxa"/>
            <w:vAlign w:val="center"/>
          </w:tcPr>
          <w:p>
            <w:pPr>
              <w:jc w:val="center"/>
              <w:rPr>
                <w:rFonts w:ascii="宋体"/>
              </w:rPr>
            </w:pPr>
            <w:r>
              <w:rPr>
                <w:rFonts w:ascii="宋体" w:hAnsi="宋体" w:cs="宋体"/>
              </w:rPr>
              <w:t>11.5</w:t>
            </w:r>
            <w:r>
              <w:rPr>
                <w:rFonts w:hint="eastAsia" w:ascii="宋体" w:hAnsi="宋体" w:cs="宋体"/>
              </w:rPr>
              <w:t>（3）</w:t>
            </w:r>
          </w:p>
        </w:tc>
        <w:tc>
          <w:tcPr>
            <w:tcW w:w="3599" w:type="dxa"/>
            <w:vAlign w:val="center"/>
          </w:tcPr>
          <w:p>
            <w:pPr>
              <w:ind w:firstLine="210" w:firstLineChars="100"/>
              <w:jc w:val="left"/>
              <w:rPr>
                <w:rFonts w:ascii="宋体"/>
              </w:rPr>
            </w:pPr>
            <w:r>
              <w:rPr>
                <w:rFonts w:hint="eastAsia" w:ascii="宋体" w:hAnsi="宋体" w:cs="宋体"/>
                <w:u w:val="single"/>
                <w:lang w:val="en-US" w:eastAsia="zh-CN"/>
              </w:rPr>
              <w:t>1</w:t>
            </w:r>
            <w:r>
              <w:rPr>
                <w:rFonts w:ascii="宋体" w:hAnsi="宋体" w:cs="宋体"/>
                <w:u w:val="single"/>
              </w:rPr>
              <w:t>0000</w:t>
            </w:r>
            <w:r>
              <w:rPr>
                <w:rFonts w:hint="eastAsia" w:ascii="宋体" w:hAnsi="宋体" w:cs="宋体"/>
              </w:rPr>
              <w:t>元／天</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3</w:t>
            </w:r>
          </w:p>
        </w:tc>
        <w:tc>
          <w:tcPr>
            <w:tcW w:w="2505" w:type="dxa"/>
            <w:vAlign w:val="center"/>
          </w:tcPr>
          <w:p>
            <w:pPr>
              <w:jc w:val="center"/>
              <w:rPr>
                <w:rFonts w:ascii="宋体"/>
              </w:rPr>
            </w:pPr>
            <w:r>
              <w:rPr>
                <w:rFonts w:hint="eastAsia" w:ascii="宋体" w:hAnsi="宋体" w:cs="宋体"/>
              </w:rPr>
              <w:t>逾期交工违约金限额</w:t>
            </w:r>
          </w:p>
        </w:tc>
        <w:tc>
          <w:tcPr>
            <w:tcW w:w="1442" w:type="dxa"/>
            <w:vAlign w:val="center"/>
          </w:tcPr>
          <w:p>
            <w:pPr>
              <w:jc w:val="center"/>
              <w:rPr>
                <w:rFonts w:ascii="宋体"/>
              </w:rPr>
            </w:pPr>
            <w:r>
              <w:rPr>
                <w:rFonts w:ascii="宋体" w:hAnsi="宋体" w:cs="宋体"/>
              </w:rPr>
              <w:t>11.5</w:t>
            </w:r>
            <w:r>
              <w:rPr>
                <w:rFonts w:hint="eastAsia" w:ascii="宋体" w:hAnsi="宋体" w:cs="宋体"/>
              </w:rPr>
              <w:t>（3）</w:t>
            </w:r>
          </w:p>
        </w:tc>
        <w:tc>
          <w:tcPr>
            <w:tcW w:w="3599" w:type="dxa"/>
            <w:vAlign w:val="center"/>
          </w:tcPr>
          <w:p>
            <w:pPr>
              <w:ind w:firstLine="210" w:firstLineChars="100"/>
              <w:jc w:val="left"/>
              <w:rPr>
                <w:rFonts w:ascii="宋体"/>
              </w:rPr>
            </w:pPr>
            <w:r>
              <w:rPr>
                <w:rFonts w:hint="eastAsia" w:ascii="宋体" w:hAnsi="宋体" w:cs="宋体"/>
                <w:u w:val="single"/>
              </w:rPr>
              <w:t>5</w:t>
            </w:r>
            <w:r>
              <w:rPr>
                <w:rFonts w:hint="eastAsia" w:ascii="宋体" w:hAnsi="宋体" w:cs="宋体"/>
              </w:rPr>
              <w:t>％签约合同价</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4</w:t>
            </w:r>
          </w:p>
        </w:tc>
        <w:tc>
          <w:tcPr>
            <w:tcW w:w="2505" w:type="dxa"/>
            <w:vAlign w:val="center"/>
          </w:tcPr>
          <w:p>
            <w:pPr>
              <w:jc w:val="center"/>
              <w:rPr>
                <w:rFonts w:ascii="宋体"/>
              </w:rPr>
            </w:pPr>
            <w:r>
              <w:rPr>
                <w:rFonts w:hint="eastAsia" w:ascii="宋体" w:hAnsi="宋体" w:cs="宋体"/>
              </w:rPr>
              <w:t>提前交工的奖金</w:t>
            </w:r>
          </w:p>
        </w:tc>
        <w:tc>
          <w:tcPr>
            <w:tcW w:w="1442" w:type="dxa"/>
            <w:vAlign w:val="center"/>
          </w:tcPr>
          <w:p>
            <w:pPr>
              <w:jc w:val="center"/>
              <w:rPr>
                <w:rFonts w:ascii="宋体"/>
              </w:rPr>
            </w:pPr>
            <w:r>
              <w:rPr>
                <w:rFonts w:ascii="宋体" w:hAnsi="宋体" w:cs="宋体"/>
              </w:rPr>
              <w:t>11.6</w:t>
            </w:r>
          </w:p>
        </w:tc>
        <w:tc>
          <w:tcPr>
            <w:tcW w:w="3599" w:type="dxa"/>
            <w:vAlign w:val="center"/>
          </w:tcPr>
          <w:p>
            <w:pPr>
              <w:ind w:firstLine="210" w:firstLineChars="100"/>
              <w:jc w:val="left"/>
              <w:rPr>
                <w:rFonts w:ascii="宋体"/>
              </w:rPr>
            </w:pPr>
            <w:r>
              <w:rPr>
                <w:rFonts w:hint="eastAsia" w:ascii="宋体" w:hAnsi="宋体" w:cs="宋体"/>
              </w:rPr>
              <w:t>__</w:t>
            </w:r>
            <w:r>
              <w:rPr>
                <w:rFonts w:hint="eastAsia" w:ascii="宋体" w:hAnsi="宋体" w:cs="宋体"/>
                <w:u w:val="single"/>
              </w:rPr>
              <w:t>/</w:t>
            </w:r>
            <w:r>
              <w:rPr>
                <w:rFonts w:hint="eastAsia" w:ascii="宋体" w:hAnsi="宋体" w:cs="宋体"/>
              </w:rPr>
              <w:t>___元/天</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5</w:t>
            </w:r>
          </w:p>
        </w:tc>
        <w:tc>
          <w:tcPr>
            <w:tcW w:w="2505" w:type="dxa"/>
            <w:vAlign w:val="center"/>
          </w:tcPr>
          <w:p>
            <w:pPr>
              <w:jc w:val="center"/>
              <w:rPr>
                <w:rFonts w:ascii="宋体"/>
              </w:rPr>
            </w:pPr>
            <w:r>
              <w:rPr>
                <w:rFonts w:hint="eastAsia" w:ascii="宋体" w:hAnsi="宋体" w:cs="宋体"/>
              </w:rPr>
              <w:t>提前交工的奖金限额</w:t>
            </w:r>
          </w:p>
        </w:tc>
        <w:tc>
          <w:tcPr>
            <w:tcW w:w="1442" w:type="dxa"/>
            <w:vAlign w:val="center"/>
          </w:tcPr>
          <w:p>
            <w:pPr>
              <w:jc w:val="center"/>
              <w:rPr>
                <w:rFonts w:ascii="宋体"/>
              </w:rPr>
            </w:pPr>
            <w:r>
              <w:rPr>
                <w:rFonts w:ascii="宋体" w:hAnsi="宋体" w:cs="宋体"/>
              </w:rPr>
              <w:t>11.6</w:t>
            </w:r>
          </w:p>
        </w:tc>
        <w:tc>
          <w:tcPr>
            <w:tcW w:w="3599" w:type="dxa"/>
            <w:vAlign w:val="center"/>
          </w:tcPr>
          <w:p>
            <w:pPr>
              <w:ind w:firstLine="210" w:firstLineChars="100"/>
              <w:jc w:val="left"/>
              <w:rPr>
                <w:rFonts w:ascii="宋体"/>
              </w:rPr>
            </w:pPr>
            <w:r>
              <w:rPr>
                <w:rFonts w:hint="eastAsia" w:ascii="宋体" w:hAnsi="宋体" w:cs="宋体"/>
              </w:rPr>
              <w:t>__</w:t>
            </w:r>
            <w:r>
              <w:rPr>
                <w:rFonts w:hint="eastAsia" w:ascii="宋体" w:hAnsi="宋体" w:cs="宋体"/>
                <w:u w:val="single"/>
              </w:rPr>
              <w:t>/</w:t>
            </w:r>
            <w:r>
              <w:rPr>
                <w:rFonts w:hint="eastAsia" w:ascii="宋体" w:hAnsi="宋体" w:cs="宋体"/>
              </w:rPr>
              <w:t>__％签约合同价</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6</w:t>
            </w:r>
          </w:p>
        </w:tc>
        <w:tc>
          <w:tcPr>
            <w:tcW w:w="2505" w:type="dxa"/>
            <w:vAlign w:val="center"/>
          </w:tcPr>
          <w:p>
            <w:pPr>
              <w:jc w:val="center"/>
              <w:rPr>
                <w:rFonts w:ascii="宋体"/>
              </w:rPr>
            </w:pPr>
            <w:r>
              <w:rPr>
                <w:rFonts w:hint="eastAsia" w:ascii="宋体" w:hAnsi="宋体" w:cs="宋体"/>
              </w:rPr>
              <w:t>价格调整的差额计算</w:t>
            </w:r>
          </w:p>
        </w:tc>
        <w:tc>
          <w:tcPr>
            <w:tcW w:w="1442" w:type="dxa"/>
            <w:vAlign w:val="center"/>
          </w:tcPr>
          <w:p>
            <w:pPr>
              <w:jc w:val="center"/>
              <w:rPr>
                <w:rFonts w:ascii="宋体"/>
              </w:rPr>
            </w:pPr>
            <w:r>
              <w:rPr>
                <w:rFonts w:ascii="宋体" w:hAnsi="宋体" w:cs="宋体"/>
              </w:rPr>
              <w:t>16.1.1</w:t>
            </w:r>
          </w:p>
        </w:tc>
        <w:tc>
          <w:tcPr>
            <w:tcW w:w="3599" w:type="dxa"/>
            <w:vAlign w:val="center"/>
          </w:tcPr>
          <w:p>
            <w:pPr>
              <w:ind w:firstLine="210" w:firstLineChars="100"/>
              <w:jc w:val="left"/>
              <w:rPr>
                <w:rFonts w:ascii="宋体"/>
                <w:u w:val="single"/>
              </w:rPr>
            </w:pPr>
            <w:r>
              <w:rPr>
                <w:rFonts w:ascii="宋体" w:hAnsi="宋体" w:cs="宋体"/>
                <w:u w:val="single"/>
              </w:rPr>
              <w:t>/</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7</w:t>
            </w:r>
          </w:p>
        </w:tc>
        <w:tc>
          <w:tcPr>
            <w:tcW w:w="2505" w:type="dxa"/>
            <w:vAlign w:val="center"/>
          </w:tcPr>
          <w:p>
            <w:pPr>
              <w:jc w:val="center"/>
              <w:rPr>
                <w:rFonts w:ascii="宋体"/>
              </w:rPr>
            </w:pPr>
            <w:r>
              <w:rPr>
                <w:rFonts w:hint="eastAsia" w:ascii="宋体" w:hAnsi="宋体" w:cs="宋体"/>
              </w:rPr>
              <w:t>开工预付款金额</w:t>
            </w:r>
          </w:p>
        </w:tc>
        <w:tc>
          <w:tcPr>
            <w:tcW w:w="1442" w:type="dxa"/>
            <w:vAlign w:val="center"/>
          </w:tcPr>
          <w:p>
            <w:pPr>
              <w:jc w:val="center"/>
              <w:rPr>
                <w:rFonts w:ascii="宋体"/>
              </w:rPr>
            </w:pPr>
            <w:r>
              <w:rPr>
                <w:rFonts w:ascii="宋体" w:hAnsi="宋体" w:cs="宋体"/>
              </w:rPr>
              <w:t>17.2.1</w:t>
            </w:r>
            <w:r>
              <w:rPr>
                <w:rFonts w:hint="eastAsia" w:ascii="宋体" w:hAnsi="宋体" w:cs="宋体"/>
              </w:rPr>
              <w:t>（1）</w:t>
            </w:r>
          </w:p>
        </w:tc>
        <w:tc>
          <w:tcPr>
            <w:tcW w:w="3599" w:type="dxa"/>
            <w:vAlign w:val="center"/>
          </w:tcPr>
          <w:p>
            <w:pPr>
              <w:spacing w:line="360" w:lineRule="exact"/>
              <w:ind w:firstLine="210" w:firstLineChars="100"/>
              <w:rPr>
                <w:rFonts w:ascii="宋体"/>
              </w:rPr>
            </w:pP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rPr>
              <w:t>％签约合同价</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664" w:type="dxa"/>
            <w:vAlign w:val="center"/>
          </w:tcPr>
          <w:p>
            <w:pPr>
              <w:jc w:val="center"/>
              <w:rPr>
                <w:rFonts w:ascii="宋体"/>
              </w:rPr>
            </w:pPr>
            <w:r>
              <w:rPr>
                <w:rFonts w:ascii="宋体" w:hAnsi="宋体" w:cs="宋体"/>
              </w:rPr>
              <w:t>8</w:t>
            </w:r>
          </w:p>
        </w:tc>
        <w:tc>
          <w:tcPr>
            <w:tcW w:w="2505" w:type="dxa"/>
            <w:vAlign w:val="center"/>
          </w:tcPr>
          <w:p>
            <w:pPr>
              <w:jc w:val="center"/>
              <w:rPr>
                <w:rFonts w:ascii="宋体"/>
              </w:rPr>
            </w:pPr>
            <w:r>
              <w:rPr>
                <w:rFonts w:hint="eastAsia" w:ascii="宋体" w:hAnsi="宋体" w:cs="宋体"/>
              </w:rPr>
              <w:t>材料、设备预付款比例</w:t>
            </w:r>
          </w:p>
        </w:tc>
        <w:tc>
          <w:tcPr>
            <w:tcW w:w="1442" w:type="dxa"/>
            <w:vAlign w:val="center"/>
          </w:tcPr>
          <w:p>
            <w:pPr>
              <w:jc w:val="center"/>
              <w:rPr>
                <w:rFonts w:ascii="宋体"/>
              </w:rPr>
            </w:pPr>
            <w:r>
              <w:rPr>
                <w:rFonts w:ascii="宋体" w:hAnsi="宋体" w:cs="宋体"/>
              </w:rPr>
              <w:t>17.2.1</w:t>
            </w:r>
            <w:r>
              <w:rPr>
                <w:rFonts w:hint="eastAsia" w:ascii="宋体" w:hAnsi="宋体" w:cs="宋体"/>
              </w:rPr>
              <w:t>（2）</w:t>
            </w:r>
          </w:p>
        </w:tc>
        <w:tc>
          <w:tcPr>
            <w:tcW w:w="3599" w:type="dxa"/>
            <w:vAlign w:val="center"/>
          </w:tcPr>
          <w:p>
            <w:pPr>
              <w:adjustRightInd w:val="0"/>
              <w:snapToGrid w:val="0"/>
              <w:ind w:firstLine="315" w:firstLineChars="150"/>
              <w:rPr>
                <w:rFonts w:ascii="宋体"/>
              </w:rPr>
            </w:pPr>
            <w:r>
              <w:rPr>
                <w:rFonts w:ascii="宋体" w:hAnsi="宋体" w:cs="宋体"/>
                <w:u w:val="single"/>
              </w:rPr>
              <w:t xml:space="preserve">/ </w:t>
            </w:r>
            <w:r>
              <w:rPr>
                <w:rFonts w:hint="eastAsia" w:ascii="宋体" w:hAnsi="宋体" w:cs="宋体"/>
              </w:rPr>
              <w:t>等主要材料、设备单据所列费用的</w:t>
            </w:r>
            <w:r>
              <w:rPr>
                <w:rFonts w:ascii="宋体" w:hAnsi="宋体" w:cs="宋体"/>
                <w:u w:val="single"/>
              </w:rPr>
              <w:t xml:space="preserve"> / </w:t>
            </w:r>
            <w:r>
              <w:rPr>
                <w:rFonts w:hint="eastAsia" w:ascii="宋体" w:hAnsi="宋体" w:cs="宋体"/>
              </w:rPr>
              <w:t>％</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9</w:t>
            </w:r>
          </w:p>
        </w:tc>
        <w:tc>
          <w:tcPr>
            <w:tcW w:w="2505" w:type="dxa"/>
            <w:vAlign w:val="center"/>
          </w:tcPr>
          <w:p>
            <w:pPr>
              <w:jc w:val="center"/>
              <w:rPr>
                <w:rFonts w:ascii="宋体"/>
              </w:rPr>
            </w:pPr>
            <w:r>
              <w:rPr>
                <w:rFonts w:hint="eastAsia" w:ascii="宋体" w:hAnsi="宋体" w:cs="宋体"/>
              </w:rPr>
              <w:t>进度付款证书最低限额</w:t>
            </w:r>
          </w:p>
        </w:tc>
        <w:tc>
          <w:tcPr>
            <w:tcW w:w="1442" w:type="dxa"/>
            <w:vAlign w:val="center"/>
          </w:tcPr>
          <w:p>
            <w:pPr>
              <w:jc w:val="center"/>
              <w:rPr>
                <w:rFonts w:ascii="宋体"/>
              </w:rPr>
            </w:pPr>
            <w:r>
              <w:rPr>
                <w:rFonts w:ascii="宋体" w:hAnsi="宋体" w:cs="宋体"/>
              </w:rPr>
              <w:t>17.3.3</w:t>
            </w:r>
            <w:r>
              <w:rPr>
                <w:rFonts w:hint="eastAsia" w:ascii="宋体" w:hAnsi="宋体" w:cs="宋体"/>
              </w:rPr>
              <w:t>（</w:t>
            </w:r>
            <w:r>
              <w:rPr>
                <w:rFonts w:ascii="宋体" w:hAnsi="宋体" w:cs="宋体"/>
              </w:rPr>
              <w:t>1</w:t>
            </w:r>
            <w:r>
              <w:rPr>
                <w:rFonts w:hint="eastAsia" w:ascii="宋体" w:hAnsi="宋体" w:cs="宋体"/>
              </w:rPr>
              <w:t>）</w:t>
            </w:r>
          </w:p>
        </w:tc>
        <w:tc>
          <w:tcPr>
            <w:tcW w:w="3599" w:type="dxa"/>
            <w:vAlign w:val="center"/>
          </w:tcPr>
          <w:p>
            <w:pPr>
              <w:ind w:firstLine="210" w:firstLineChars="100"/>
              <w:jc w:val="left"/>
              <w:rPr>
                <w:rFonts w:ascii="宋体"/>
              </w:rPr>
            </w:pPr>
            <w:r>
              <w:rPr>
                <w:rFonts w:hint="eastAsia" w:ascii="宋体" w:hAnsi="宋体" w:cs="宋体"/>
                <w:u w:val="single"/>
                <w:lang w:val="en-US" w:eastAsia="zh-CN"/>
              </w:rPr>
              <w:t>5</w:t>
            </w:r>
            <w:r>
              <w:rPr>
                <w:rFonts w:hint="eastAsia" w:ascii="宋体" w:hAnsi="宋体" w:cs="宋体"/>
                <w:u w:val="single"/>
              </w:rPr>
              <w:t>00</w:t>
            </w:r>
            <w:r>
              <w:rPr>
                <w:rFonts w:hint="eastAsia" w:ascii="宋体" w:hAnsi="宋体" w:cs="宋体"/>
              </w:rPr>
              <w:t>万元</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ascii="宋体" w:hAnsi="宋体" w:cs="宋体"/>
              </w:rPr>
              <w:t>10</w:t>
            </w:r>
          </w:p>
        </w:tc>
        <w:tc>
          <w:tcPr>
            <w:tcW w:w="2505" w:type="dxa"/>
            <w:vAlign w:val="center"/>
          </w:tcPr>
          <w:p>
            <w:pPr>
              <w:jc w:val="center"/>
              <w:rPr>
                <w:rFonts w:ascii="宋体"/>
              </w:rPr>
            </w:pPr>
            <w:r>
              <w:rPr>
                <w:rFonts w:hint="eastAsia" w:ascii="宋体" w:hAnsi="宋体" w:cs="宋体"/>
              </w:rPr>
              <w:t>逾期付款违约金的利率</w:t>
            </w:r>
          </w:p>
        </w:tc>
        <w:tc>
          <w:tcPr>
            <w:tcW w:w="1442" w:type="dxa"/>
            <w:vAlign w:val="center"/>
          </w:tcPr>
          <w:p>
            <w:pPr>
              <w:jc w:val="center"/>
              <w:rPr>
                <w:rFonts w:ascii="宋体"/>
              </w:rPr>
            </w:pPr>
            <w:r>
              <w:rPr>
                <w:rFonts w:ascii="宋体" w:hAnsi="宋体" w:cs="宋体"/>
              </w:rPr>
              <w:t>17.3.3</w:t>
            </w:r>
            <w:r>
              <w:rPr>
                <w:rFonts w:hint="eastAsia" w:ascii="宋体" w:hAnsi="宋体" w:cs="宋体"/>
              </w:rPr>
              <w:t>（</w:t>
            </w:r>
            <w:r>
              <w:rPr>
                <w:rFonts w:ascii="宋体" w:hAnsi="宋体" w:cs="宋体"/>
              </w:rPr>
              <w:t>2</w:t>
            </w:r>
            <w:r>
              <w:rPr>
                <w:rFonts w:hint="eastAsia" w:ascii="宋体" w:hAnsi="宋体" w:cs="宋体"/>
              </w:rPr>
              <w:t>）</w:t>
            </w:r>
          </w:p>
        </w:tc>
        <w:tc>
          <w:tcPr>
            <w:tcW w:w="3599" w:type="dxa"/>
            <w:vAlign w:val="center"/>
          </w:tcPr>
          <w:p>
            <w:pPr>
              <w:ind w:firstLine="210" w:firstLineChars="100"/>
              <w:jc w:val="left"/>
              <w:rPr>
                <w:rFonts w:ascii="宋体"/>
              </w:rPr>
            </w:pPr>
            <w:r>
              <w:rPr>
                <w:rFonts w:hint="eastAsia" w:ascii="宋体" w:hAnsi="宋体" w:cs="宋体"/>
              </w:rPr>
              <w:t>按中国人民银行公布的同期贷款利率执行</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vAlign w:val="center"/>
          </w:tcPr>
          <w:p>
            <w:pPr>
              <w:jc w:val="center"/>
              <w:rPr>
                <w:rFonts w:ascii="宋体"/>
              </w:rPr>
            </w:pPr>
            <w:r>
              <w:rPr>
                <w:rFonts w:hint="eastAsia" w:ascii="宋体" w:hAnsi="宋体" w:cs="宋体"/>
              </w:rPr>
              <w:t>11</w:t>
            </w:r>
          </w:p>
        </w:tc>
        <w:tc>
          <w:tcPr>
            <w:tcW w:w="2505" w:type="dxa"/>
            <w:vAlign w:val="center"/>
          </w:tcPr>
          <w:p>
            <w:pPr>
              <w:jc w:val="center"/>
              <w:rPr>
                <w:rFonts w:ascii="宋体"/>
              </w:rPr>
            </w:pPr>
            <w:r>
              <w:rPr>
                <w:rFonts w:hint="eastAsia" w:ascii="宋体" w:hAnsi="宋体" w:cs="宋体"/>
              </w:rPr>
              <w:t>质量保证金金额</w:t>
            </w:r>
          </w:p>
        </w:tc>
        <w:tc>
          <w:tcPr>
            <w:tcW w:w="1442" w:type="dxa"/>
            <w:vAlign w:val="center"/>
          </w:tcPr>
          <w:p>
            <w:pPr>
              <w:jc w:val="center"/>
              <w:rPr>
                <w:rFonts w:ascii="宋体"/>
              </w:rPr>
            </w:pPr>
            <w:r>
              <w:rPr>
                <w:rFonts w:ascii="宋体" w:hAnsi="宋体" w:cs="宋体"/>
              </w:rPr>
              <w:t>17.4.1</w:t>
            </w:r>
          </w:p>
        </w:tc>
        <w:tc>
          <w:tcPr>
            <w:tcW w:w="3599" w:type="dxa"/>
            <w:vAlign w:val="center"/>
          </w:tcPr>
          <w:p>
            <w:pPr>
              <w:spacing w:line="300" w:lineRule="auto"/>
              <w:ind w:firstLine="420" w:firstLineChars="200"/>
              <w:rPr>
                <w:rFonts w:ascii="宋体"/>
              </w:rPr>
            </w:pPr>
            <w:r>
              <w:rPr>
                <w:rFonts w:hint="eastAsia" w:ascii="宋体" w:hAnsi="宋体" w:cs="宋体"/>
                <w:u w:val="single"/>
              </w:rPr>
              <w:t>3</w:t>
            </w:r>
            <w:r>
              <w:rPr>
                <w:rFonts w:hint="eastAsia" w:ascii="宋体" w:hAnsi="宋体" w:cs="宋体"/>
              </w:rPr>
              <w:t>％合同价格，若交工验收时承包人具备被招标项目所在地省级交通运输主管部门评定的最高信用等级，发包人给予</w:t>
            </w:r>
            <w:r>
              <w:rPr>
                <w:rFonts w:hint="eastAsia" w:ascii="宋体" w:hAnsi="宋体" w:cs="宋体"/>
                <w:u w:val="single"/>
              </w:rPr>
              <w:t xml:space="preserve"> / </w:t>
            </w:r>
            <w:r>
              <w:rPr>
                <w:rFonts w:hint="eastAsia" w:ascii="宋体" w:hAnsi="宋体" w:cs="宋体"/>
              </w:rPr>
              <w:t>%合同价格质量保证金的优惠</w:t>
            </w:r>
          </w:p>
        </w:tc>
        <w:tc>
          <w:tcPr>
            <w:tcW w:w="1024"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64" w:type="dxa"/>
            <w:tcBorders>
              <w:bottom w:val="single" w:color="auto" w:sz="12" w:space="0"/>
            </w:tcBorders>
            <w:vAlign w:val="center"/>
          </w:tcPr>
          <w:p>
            <w:pPr>
              <w:jc w:val="center"/>
              <w:rPr>
                <w:rFonts w:ascii="宋体"/>
              </w:rPr>
            </w:pPr>
            <w:r>
              <w:rPr>
                <w:rFonts w:hint="eastAsia" w:ascii="宋体" w:hAnsi="宋体" w:cs="宋体"/>
              </w:rPr>
              <w:t>12</w:t>
            </w:r>
          </w:p>
        </w:tc>
        <w:tc>
          <w:tcPr>
            <w:tcW w:w="2505" w:type="dxa"/>
            <w:tcBorders>
              <w:bottom w:val="single" w:color="auto" w:sz="12" w:space="0"/>
            </w:tcBorders>
            <w:vAlign w:val="center"/>
          </w:tcPr>
          <w:p>
            <w:pPr>
              <w:jc w:val="center"/>
              <w:rPr>
                <w:rFonts w:ascii="宋体"/>
              </w:rPr>
            </w:pPr>
            <w:r>
              <w:rPr>
                <w:rFonts w:hint="eastAsia" w:ascii="宋体" w:hAnsi="宋体" w:cs="宋体"/>
              </w:rPr>
              <w:t>保修期</w:t>
            </w:r>
          </w:p>
        </w:tc>
        <w:tc>
          <w:tcPr>
            <w:tcW w:w="1442" w:type="dxa"/>
            <w:tcBorders>
              <w:bottom w:val="single" w:color="auto" w:sz="12" w:space="0"/>
            </w:tcBorders>
            <w:vAlign w:val="center"/>
          </w:tcPr>
          <w:p>
            <w:pPr>
              <w:jc w:val="center"/>
              <w:rPr>
                <w:rFonts w:ascii="宋体"/>
              </w:rPr>
            </w:pPr>
            <w:r>
              <w:rPr>
                <w:rFonts w:ascii="宋体" w:hAnsi="宋体" w:cs="宋体"/>
              </w:rPr>
              <w:t>19.7</w:t>
            </w:r>
            <w:r>
              <w:rPr>
                <w:rFonts w:hint="eastAsia" w:ascii="宋体" w:hAnsi="宋体" w:cs="宋体"/>
              </w:rPr>
              <w:t>（1）</w:t>
            </w:r>
          </w:p>
        </w:tc>
        <w:tc>
          <w:tcPr>
            <w:tcW w:w="3599" w:type="dxa"/>
            <w:tcBorders>
              <w:bottom w:val="single" w:color="auto" w:sz="12" w:space="0"/>
            </w:tcBorders>
            <w:vAlign w:val="center"/>
          </w:tcPr>
          <w:p>
            <w:pPr>
              <w:ind w:firstLine="210" w:firstLineChars="100"/>
              <w:rPr>
                <w:rFonts w:ascii="宋体"/>
              </w:rPr>
            </w:pPr>
            <w:r>
              <w:rPr>
                <w:rFonts w:hint="eastAsia" w:ascii="宋体" w:hAnsi="宋体" w:cs="宋体"/>
              </w:rPr>
              <w:t>自实际交工日期起计算</w:t>
            </w:r>
            <w:r>
              <w:rPr>
                <w:rFonts w:hint="eastAsia" w:ascii="宋体" w:hAnsi="宋体" w:cs="宋体"/>
                <w:u w:val="single"/>
              </w:rPr>
              <w:t>5</w:t>
            </w:r>
            <w:r>
              <w:rPr>
                <w:rFonts w:hint="eastAsia" w:ascii="宋体" w:hAnsi="宋体" w:cs="宋体"/>
              </w:rPr>
              <w:t>年</w:t>
            </w:r>
          </w:p>
        </w:tc>
        <w:tc>
          <w:tcPr>
            <w:tcW w:w="1024" w:type="dxa"/>
            <w:tcBorders>
              <w:bottom w:val="single" w:color="auto" w:sz="12" w:space="0"/>
            </w:tcBorders>
            <w:vAlign w:val="center"/>
          </w:tcPr>
          <w:p>
            <w:pPr>
              <w:rPr>
                <w:rFonts w:ascii="宋体"/>
              </w:rPr>
            </w:pPr>
          </w:p>
        </w:tc>
      </w:tr>
    </w:tbl>
    <w:p>
      <w:pPr>
        <w:spacing w:line="360" w:lineRule="auto"/>
        <w:jc w:val="center"/>
        <w:outlineLvl w:val="0"/>
        <w:rPr>
          <w:b/>
          <w:sz w:val="36"/>
          <w:szCs w:val="36"/>
        </w:rPr>
      </w:pPr>
      <w:r>
        <w:rPr>
          <w:u w:val="single"/>
        </w:rPr>
        <w:br w:type="page"/>
      </w:r>
      <w:bookmarkStart w:id="648" w:name="_Toc234348989"/>
      <w:bookmarkStart w:id="649" w:name="_Toc234346118"/>
      <w:bookmarkStart w:id="650" w:name="_Toc265483675"/>
      <w:bookmarkStart w:id="651" w:name="_Toc234349563"/>
      <w:bookmarkStart w:id="652" w:name="_Toc234345903"/>
      <w:bookmarkStart w:id="653" w:name="_Toc23041"/>
      <w:r>
        <w:rPr>
          <w:rFonts w:hint="eastAsia"/>
          <w:b/>
          <w:sz w:val="36"/>
          <w:szCs w:val="36"/>
        </w:rPr>
        <w:t>二、</w:t>
      </w:r>
      <w:bookmarkEnd w:id="648"/>
      <w:bookmarkEnd w:id="649"/>
      <w:bookmarkEnd w:id="650"/>
      <w:bookmarkEnd w:id="651"/>
      <w:bookmarkEnd w:id="652"/>
      <w:r>
        <w:rPr>
          <w:rFonts w:hint="eastAsia"/>
          <w:b/>
          <w:sz w:val="36"/>
          <w:szCs w:val="36"/>
        </w:rPr>
        <w:t>授权委托书或法定代表人身份证明</w:t>
      </w:r>
      <w:bookmarkEnd w:id="653"/>
    </w:p>
    <w:p>
      <w:pPr>
        <w:spacing w:line="360" w:lineRule="auto"/>
        <w:jc w:val="center"/>
        <w:rPr>
          <w:b/>
          <w:sz w:val="32"/>
          <w:szCs w:val="32"/>
        </w:rPr>
      </w:pPr>
      <w:bookmarkStart w:id="654" w:name="_Toc234348991"/>
      <w:bookmarkStart w:id="655" w:name="_Toc234349565"/>
      <w:bookmarkStart w:id="656" w:name="_Toc234346120"/>
      <w:bookmarkStart w:id="657" w:name="_Toc234345905"/>
      <w:bookmarkStart w:id="658" w:name="_Toc265483677"/>
      <w:r>
        <w:rPr>
          <w:rFonts w:hint="eastAsia"/>
          <w:b/>
          <w:sz w:val="32"/>
          <w:szCs w:val="32"/>
        </w:rPr>
        <w:t>（一）授权委托书</w:t>
      </w:r>
      <w:bookmarkEnd w:id="654"/>
      <w:bookmarkEnd w:id="655"/>
      <w:bookmarkEnd w:id="656"/>
      <w:bookmarkEnd w:id="657"/>
      <w:bookmarkEnd w:id="658"/>
    </w:p>
    <w:p>
      <w:pPr>
        <w:jc w:val="center"/>
        <w:rPr>
          <w:b/>
          <w:sz w:val="32"/>
          <w:szCs w:val="32"/>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(姓名)为我方代理人。代理人根据授权，以我方名义签署、澄清确认、递交、撤回、修改</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标段施工投标文件、签订合同和处理有关事宜，其法律后果由我方承担。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委托期限：自本委托书签署之日起至投标有效期期满。</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附：法定代表人身份证复印件及委托代理人身份证复印件</w:t>
      </w:r>
    </w:p>
    <w:p>
      <w:pPr>
        <w:tabs>
          <w:tab w:val="left" w:pos="3969"/>
        </w:tabs>
        <w:spacing w:line="460" w:lineRule="exact"/>
        <w:ind w:firstLine="5334" w:firstLineChars="254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tabs>
          <w:tab w:val="left" w:pos="3969"/>
        </w:tabs>
        <w:spacing w:line="460" w:lineRule="exact"/>
        <w:ind w:firstLine="5334" w:firstLineChars="254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tabs>
          <w:tab w:val="left" w:pos="3969"/>
        </w:tabs>
        <w:spacing w:line="460" w:lineRule="exact"/>
        <w:ind w:firstLine="5334" w:firstLineChars="254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3969"/>
        </w:tabs>
        <w:spacing w:line="460" w:lineRule="exact"/>
        <w:ind w:firstLine="5334" w:firstLineChars="254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tabs>
          <w:tab w:val="left" w:pos="3969"/>
        </w:tabs>
        <w:spacing w:line="460" w:lineRule="exact"/>
        <w:ind w:firstLine="5334" w:firstLineChars="254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3969"/>
        </w:tabs>
        <w:spacing w:line="460" w:lineRule="exact"/>
        <w:ind w:firstLine="7014" w:firstLineChars="334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60" w:lineRule="exact"/>
        <w:ind w:firstLine="4524" w:firstLineChars="1885"/>
        <w:rPr>
          <w:rFonts w:ascii="宋体" w:hAnsi="宋体"/>
          <w:sz w:val="24"/>
        </w:rPr>
      </w:pPr>
    </w:p>
    <w:p>
      <w:pPr>
        <w:spacing w:line="460" w:lineRule="exact"/>
        <w:ind w:firstLine="420" w:firstLineChars="200"/>
        <w:rPr>
          <w:rFonts w:ascii="宋体" w:hAnsi="宋体"/>
          <w:szCs w:val="21"/>
        </w:rPr>
      </w:pPr>
      <w:r>
        <w:rPr>
          <w:rFonts w:hint="eastAsia" w:ascii="宋体" w:hAnsi="宋体"/>
          <w:szCs w:val="21"/>
        </w:rPr>
        <w:t>注：1.法定代表人和委托代理人必须在授权书上亲笔签名，不得使用印章、签名章或其他电子制版签名代替；</w:t>
      </w:r>
    </w:p>
    <w:p>
      <w:pPr>
        <w:spacing w:line="460" w:lineRule="exact"/>
        <w:ind w:firstLine="840" w:firstLineChars="400"/>
        <w:rPr>
          <w:kern w:val="0"/>
          <w:szCs w:val="21"/>
        </w:rPr>
      </w:pPr>
      <w:r>
        <w:rPr>
          <w:rFonts w:hint="eastAsia" w:ascii="宋体" w:hAnsi="宋体"/>
          <w:szCs w:val="21"/>
        </w:rPr>
        <w:t>2.</w:t>
      </w:r>
      <w:r>
        <w:rPr>
          <w:rFonts w:hint="eastAsia" w:ascii="宋体" w:hAnsi="宋体"/>
        </w:rPr>
        <w:t xml:space="preserve"> 如果由投标人的法定代表人签署投标文件，则不需提交授权委托书。</w:t>
      </w:r>
    </w:p>
    <w:p>
      <w:pPr>
        <w:spacing w:line="360" w:lineRule="auto"/>
        <w:jc w:val="center"/>
        <w:rPr>
          <w:rFonts w:ascii="宋体" w:hAnsi="宋体"/>
          <w:b/>
          <w:sz w:val="32"/>
          <w:szCs w:val="32"/>
        </w:rPr>
      </w:pPr>
      <w:r>
        <w:rPr>
          <w:kern w:val="0"/>
          <w:szCs w:val="21"/>
        </w:rPr>
        <w:br w:type="page"/>
      </w:r>
      <w:bookmarkStart w:id="659" w:name="_Toc234345904"/>
      <w:bookmarkStart w:id="660" w:name="_Toc265483676"/>
      <w:bookmarkStart w:id="661" w:name="_Toc234349564"/>
      <w:bookmarkStart w:id="662" w:name="_Toc234348990"/>
      <w:bookmarkStart w:id="663" w:name="_Toc234346119"/>
      <w:r>
        <w:rPr>
          <w:rFonts w:hint="eastAsia" w:ascii="宋体" w:hAnsi="宋体"/>
          <w:b/>
          <w:sz w:val="32"/>
          <w:szCs w:val="32"/>
        </w:rPr>
        <w:t>(二)法定代表人身份证明</w:t>
      </w:r>
      <w:bookmarkEnd w:id="659"/>
      <w:bookmarkEnd w:id="660"/>
      <w:bookmarkEnd w:id="661"/>
      <w:bookmarkEnd w:id="662"/>
      <w:bookmarkEnd w:id="663"/>
    </w:p>
    <w:p>
      <w:pPr>
        <w:tabs>
          <w:tab w:val="left" w:pos="3960"/>
        </w:tabs>
        <w:spacing w:line="500" w:lineRule="exact"/>
        <w:jc w:val="left"/>
        <w:rPr>
          <w:rFonts w:ascii="宋体" w:hAnsi="宋体"/>
          <w:szCs w:val="21"/>
        </w:rPr>
      </w:pPr>
    </w:p>
    <w:p>
      <w:pPr>
        <w:tabs>
          <w:tab w:val="left" w:pos="3960"/>
        </w:tabs>
        <w:spacing w:line="500" w:lineRule="exact"/>
        <w:jc w:val="lef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tabs>
          <w:tab w:val="left" w:pos="3960"/>
        </w:tabs>
        <w:spacing w:line="500" w:lineRule="exact"/>
        <w:jc w:val="left"/>
        <w:rPr>
          <w:rFonts w:ascii="宋体" w:hAnsi="宋体"/>
          <w:szCs w:val="21"/>
          <w:u w:val="single"/>
        </w:rPr>
      </w:pPr>
      <w:r>
        <w:rPr>
          <w:rFonts w:hint="eastAsia" w:ascii="宋体" w:hAnsi="宋体"/>
          <w:szCs w:val="21"/>
        </w:rPr>
        <w:t>姓名：</w:t>
      </w:r>
      <w:r>
        <w:rPr>
          <w:rFonts w:hint="eastAsia" w:ascii="宋体" w:hAnsi="宋体"/>
          <w:szCs w:val="21"/>
          <w:u w:val="single"/>
        </w:rPr>
        <w:t xml:space="preserve"> （法定代表人亲笔签字）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tabs>
          <w:tab w:val="left" w:pos="3960"/>
        </w:tabs>
        <w:spacing w:line="500" w:lineRule="exact"/>
        <w:jc w:val="lef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tabs>
          <w:tab w:val="left" w:pos="3960"/>
        </w:tabs>
        <w:spacing w:line="500" w:lineRule="exact"/>
        <w:ind w:firstLine="570"/>
        <w:jc w:val="left"/>
        <w:rPr>
          <w:rFonts w:ascii="宋体" w:hAnsi="宋体"/>
          <w:szCs w:val="21"/>
        </w:rPr>
      </w:pPr>
      <w:r>
        <w:rPr>
          <w:rFonts w:hint="eastAsia" w:ascii="宋体" w:hAnsi="宋体"/>
          <w:szCs w:val="21"/>
        </w:rPr>
        <w:t>特此证明。</w:t>
      </w:r>
    </w:p>
    <w:p>
      <w:pPr>
        <w:tabs>
          <w:tab w:val="left" w:pos="3960"/>
        </w:tabs>
        <w:spacing w:line="500" w:lineRule="exact"/>
        <w:ind w:firstLine="570"/>
        <w:jc w:val="left"/>
        <w:rPr>
          <w:rFonts w:ascii="宋体" w:hAnsi="宋体"/>
          <w:szCs w:val="21"/>
        </w:rPr>
      </w:pPr>
    </w:p>
    <w:p>
      <w:pPr>
        <w:tabs>
          <w:tab w:val="left" w:pos="3960"/>
        </w:tabs>
        <w:spacing w:line="500" w:lineRule="exact"/>
        <w:ind w:firstLine="570"/>
        <w:jc w:val="left"/>
        <w:rPr>
          <w:rFonts w:ascii="宋体" w:hAnsi="宋体"/>
          <w:szCs w:val="21"/>
        </w:rPr>
      </w:pPr>
    </w:p>
    <w:p>
      <w:pPr>
        <w:tabs>
          <w:tab w:val="left" w:pos="3960"/>
        </w:tabs>
        <w:spacing w:line="500" w:lineRule="exact"/>
        <w:ind w:firstLine="570"/>
        <w:jc w:val="left"/>
        <w:rPr>
          <w:rFonts w:ascii="宋体" w:hAnsi="宋体"/>
          <w:szCs w:val="21"/>
        </w:rPr>
      </w:pPr>
      <w:r>
        <w:rPr>
          <w:rFonts w:hint="eastAsia" w:ascii="宋体" w:hAnsi="宋体"/>
          <w:szCs w:val="21"/>
        </w:rPr>
        <w:t>附法定代表人身份证复印件</w:t>
      </w:r>
    </w:p>
    <w:p>
      <w:pPr>
        <w:spacing w:line="460" w:lineRule="exact"/>
        <w:ind w:firstLine="465"/>
        <w:rPr>
          <w:rFonts w:ascii="宋体" w:hAnsi="宋体"/>
          <w:sz w:val="24"/>
        </w:rPr>
      </w:pPr>
    </w:p>
    <w:p>
      <w:pPr>
        <w:spacing w:line="460" w:lineRule="exact"/>
        <w:ind w:firstLine="465"/>
        <w:rPr>
          <w:rFonts w:ascii="宋体" w:hAnsi="宋体"/>
          <w:sz w:val="24"/>
        </w:rPr>
      </w:pPr>
    </w:p>
    <w:p>
      <w:pPr>
        <w:spacing w:line="460" w:lineRule="exact"/>
        <w:ind w:firstLine="465"/>
        <w:rPr>
          <w:rFonts w:ascii="宋体" w:hAnsi="宋体"/>
          <w:sz w:val="24"/>
        </w:rPr>
      </w:pPr>
    </w:p>
    <w:p>
      <w:pPr>
        <w:spacing w:line="460" w:lineRule="exact"/>
        <w:ind w:firstLine="465"/>
        <w:rPr>
          <w:rFonts w:ascii="宋体" w:hAnsi="宋体"/>
          <w:sz w:val="24"/>
        </w:rPr>
      </w:pPr>
    </w:p>
    <w:p>
      <w:pPr>
        <w:wordWrap w:val="0"/>
        <w:spacing w:line="46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wordWrap w:val="0"/>
        <w:spacing w:line="460" w:lineRule="exact"/>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60" w:lineRule="exact"/>
        <w:jc w:val="righ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autoSpaceDE w:val="0"/>
        <w:autoSpaceDN w:val="0"/>
        <w:adjustRightInd w:val="0"/>
        <w:spacing w:line="360" w:lineRule="auto"/>
        <w:jc w:val="left"/>
        <w:rPr>
          <w:rFonts w:ascii="宋体" w:cs="宋体"/>
          <w:kern w:val="0"/>
          <w:szCs w:val="21"/>
        </w:rPr>
      </w:pPr>
      <w:r>
        <w:rPr>
          <w:rFonts w:hint="eastAsia" w:ascii="宋体" w:cs="宋体"/>
          <w:kern w:val="0"/>
          <w:szCs w:val="21"/>
        </w:rPr>
        <w:t>注：</w:t>
      </w:r>
      <w:r>
        <w:rPr>
          <w:rFonts w:ascii="宋体" w:cs="宋体"/>
          <w:kern w:val="0"/>
          <w:szCs w:val="21"/>
        </w:rPr>
        <w:t>1.</w:t>
      </w:r>
      <w:r>
        <w:rPr>
          <w:rFonts w:hint="eastAsia" w:ascii="宋体" w:cs="宋体"/>
          <w:kern w:val="0"/>
          <w:szCs w:val="21"/>
        </w:rPr>
        <w:t>法定代表人的签字必须是亲笔签名，不得使用印章、签名章或其他电子制版签名代替。</w:t>
      </w:r>
    </w:p>
    <w:p>
      <w:pPr>
        <w:spacing w:line="460" w:lineRule="exact"/>
        <w:ind w:firstLine="960" w:firstLineChars="400"/>
        <w:rPr>
          <w:rFonts w:ascii="宋体" w:hAnsi="宋体"/>
          <w:sz w:val="24"/>
        </w:rPr>
        <w:sectPr>
          <w:footnotePr>
            <w:numFmt w:val="decimalEnclosedCircleChinese"/>
            <w:numRestart w:val="eachPage"/>
          </w:footnotePr>
          <w:pgSz w:w="11906" w:h="16838"/>
          <w:pgMar w:top="1418" w:right="1440" w:bottom="1418" w:left="1440" w:header="851" w:footer="992" w:gutter="0"/>
          <w:cols w:space="720" w:num="1"/>
          <w:docGrid w:linePitch="312" w:charSpace="0"/>
        </w:sectPr>
      </w:pPr>
      <w:bookmarkStart w:id="664" w:name="_Toc234349568"/>
      <w:bookmarkStart w:id="665" w:name="_Toc234348994"/>
      <w:bookmarkStart w:id="666" w:name="_Toc234346123"/>
      <w:bookmarkStart w:id="667" w:name="_Toc234345908"/>
    </w:p>
    <w:p>
      <w:pPr>
        <w:pStyle w:val="79"/>
        <w:jc w:val="center"/>
        <w:outlineLvl w:val="0"/>
        <w:rPr>
          <w:b/>
          <w:sz w:val="36"/>
          <w:szCs w:val="36"/>
        </w:rPr>
      </w:pPr>
      <w:bookmarkStart w:id="668" w:name="_Toc15403"/>
      <w:bookmarkStart w:id="669" w:name="_Toc265483678"/>
      <w:r>
        <w:rPr>
          <w:rFonts w:hint="eastAsia"/>
          <w:b/>
          <w:sz w:val="36"/>
          <w:szCs w:val="36"/>
        </w:rPr>
        <w:t>三、联合体协议书</w:t>
      </w:r>
      <w:bookmarkEnd w:id="668"/>
    </w:p>
    <w:p>
      <w:pPr>
        <w:pStyle w:val="79"/>
        <w:spacing w:line="360" w:lineRule="auto"/>
        <w:jc w:val="center"/>
        <w:rPr>
          <w:u w:val="single"/>
        </w:rPr>
      </w:pPr>
    </w:p>
    <w:p>
      <w:pPr>
        <w:pStyle w:val="79"/>
        <w:spacing w:line="360" w:lineRule="auto"/>
        <w:ind w:firstLine="480" w:firstLineChars="200"/>
      </w:pPr>
      <w:r>
        <w:rPr>
          <w:rFonts w:hint="eastAsia"/>
          <w:u w:val="single"/>
        </w:rPr>
        <w:t xml:space="preserve">                 </w:t>
      </w:r>
      <w:r>
        <w:rPr>
          <w:rFonts w:hint="eastAsia"/>
        </w:rPr>
        <w:t>（所有成员单位名称）自愿组成</w:t>
      </w:r>
      <w:r>
        <w:rPr>
          <w:rFonts w:hint="eastAsia"/>
          <w:u w:val="single"/>
        </w:rPr>
        <w:t xml:space="preserve">               </w:t>
      </w:r>
      <w:r>
        <w:rPr>
          <w:rFonts w:hint="eastAsia"/>
        </w:rPr>
        <w:t>（联合体名称）联合体，共同参加</w:t>
      </w:r>
      <w:r>
        <w:rPr>
          <w:rFonts w:hint="eastAsia"/>
          <w:u w:val="single"/>
        </w:rPr>
        <w:t xml:space="preserve">           </w:t>
      </w:r>
      <w:r>
        <w:rPr>
          <w:rFonts w:hint="eastAsia"/>
        </w:rPr>
        <w:t>（项目名称）</w:t>
      </w:r>
      <w:r>
        <w:rPr>
          <w:rFonts w:hint="eastAsia"/>
          <w:u w:val="single"/>
        </w:rPr>
        <w:t xml:space="preserve">    </w:t>
      </w:r>
      <w:r>
        <w:rPr>
          <w:rFonts w:hint="eastAsia"/>
        </w:rPr>
        <w:t xml:space="preserve">标段施工投标。现就联合体投标事宜订立如下协议。 </w:t>
      </w:r>
    </w:p>
    <w:p>
      <w:pPr>
        <w:pStyle w:val="79"/>
        <w:spacing w:line="360" w:lineRule="auto"/>
        <w:ind w:firstLine="480" w:firstLineChars="200"/>
      </w:pPr>
      <w:r>
        <w:rPr>
          <w:rFonts w:hint="eastAsia" w:cs="Times New Roman"/>
        </w:rPr>
        <w:t>1.</w:t>
      </w:r>
      <w:r>
        <w:rPr>
          <w:rFonts w:hint="eastAsia" w:cs="Times New Roman"/>
          <w:u w:val="single"/>
        </w:rPr>
        <w:t xml:space="preserve">               </w:t>
      </w:r>
      <w:r>
        <w:rPr>
          <w:rFonts w:hint="eastAsia"/>
        </w:rPr>
        <w:t>（某成员单位名称）为</w:t>
      </w:r>
      <w:r>
        <w:rPr>
          <w:rFonts w:hint="eastAsia"/>
          <w:u w:val="single"/>
        </w:rPr>
        <w:t xml:space="preserve">           </w:t>
      </w:r>
      <w:r>
        <w:rPr>
          <w:rFonts w:hint="eastAsia"/>
        </w:rPr>
        <w:t xml:space="preserve">（联合体名称）牵头人。 </w:t>
      </w:r>
    </w:p>
    <w:p>
      <w:pPr>
        <w:pStyle w:val="79"/>
        <w:spacing w:line="360" w:lineRule="auto"/>
        <w:ind w:firstLine="480" w:firstLineChars="200"/>
      </w:pPr>
      <w:r>
        <w:rPr>
          <w:rFonts w:hint="eastAsia" w:cs="Times New Roman"/>
        </w:rPr>
        <w:t>2.</w:t>
      </w:r>
      <w:r>
        <w:rPr>
          <w:rFonts w:hint="eastAsia"/>
        </w:rPr>
        <w:t xml:space="preserve">联合体各成员授权牵头人代表联合体参加投标活动，签署文件，提交和接收相关的资料、信息及指示，进行合同谈判活动，负责合同实施阶段的组织和协调工作，以及处理与本招标项目有关的一切事宜。 </w:t>
      </w:r>
    </w:p>
    <w:p>
      <w:pPr>
        <w:pStyle w:val="79"/>
        <w:spacing w:line="360" w:lineRule="auto"/>
        <w:ind w:firstLine="480" w:firstLineChars="200"/>
      </w:pPr>
      <w:r>
        <w:rPr>
          <w:rFonts w:hint="eastAsia" w:cs="Times New Roman"/>
        </w:rPr>
        <w:t>3.</w:t>
      </w:r>
      <w:r>
        <w:rPr>
          <w:rFonts w:hint="eastAsia"/>
        </w:rPr>
        <w:t xml:space="preserve">联合体牵头人在本项目中签署的一切文件和处理的一切事宜，联合体各成员均予以承认。联合体各成员将严格按照招标文件、投标文件和合同的要求全面履行义务，并向招标人承担连带责任。 </w:t>
      </w:r>
    </w:p>
    <w:p>
      <w:pPr>
        <w:pStyle w:val="79"/>
        <w:spacing w:line="360" w:lineRule="auto"/>
        <w:ind w:firstLine="480" w:firstLineChars="200"/>
      </w:pPr>
      <w:r>
        <w:rPr>
          <w:rFonts w:hint="eastAsia" w:cs="Times New Roman"/>
        </w:rPr>
        <w:t>4.</w:t>
      </w:r>
      <w:r>
        <w:rPr>
          <w:rFonts w:hint="eastAsia"/>
        </w:rPr>
        <w:t>联合体各成员单位内部的职责分工如下：</w:t>
      </w:r>
      <w:r>
        <w:rPr>
          <w:rFonts w:hint="eastAsia"/>
          <w:u w:val="single"/>
        </w:rPr>
        <w:t>（牵头人名称）</w:t>
      </w:r>
      <w:r>
        <w:rPr>
          <w:rFonts w:hint="eastAsia"/>
        </w:rPr>
        <w:t>承担</w:t>
      </w:r>
      <w:r>
        <w:rPr>
          <w:rFonts w:hint="eastAsia"/>
          <w:u w:val="single"/>
        </w:rPr>
        <w:t xml:space="preserve">           </w:t>
      </w:r>
      <w:r>
        <w:rPr>
          <w:rFonts w:hint="eastAsia"/>
        </w:rPr>
        <w:t>专业工程，占总工程量的</w:t>
      </w:r>
      <w:r>
        <w:rPr>
          <w:rFonts w:hint="eastAsia"/>
          <w:u w:val="single"/>
        </w:rPr>
        <w:t xml:space="preserve">    </w:t>
      </w:r>
      <w:r>
        <w:rPr>
          <w:rFonts w:hint="eastAsia" w:cs="Times New Roman"/>
        </w:rPr>
        <w:t>%</w:t>
      </w:r>
      <w:r>
        <w:rPr>
          <w:rFonts w:hint="eastAsia"/>
        </w:rPr>
        <w:t>；</w:t>
      </w:r>
      <w:r>
        <w:rPr>
          <w:rFonts w:hint="eastAsia"/>
          <w:u w:val="single"/>
        </w:rPr>
        <w:t>（成员一名称）</w:t>
      </w:r>
      <w:r>
        <w:rPr>
          <w:rFonts w:hint="eastAsia"/>
        </w:rPr>
        <w:t>承担</w:t>
      </w:r>
      <w:r>
        <w:rPr>
          <w:rFonts w:hint="eastAsia"/>
          <w:u w:val="single"/>
        </w:rPr>
        <w:t xml:space="preserve">             </w:t>
      </w:r>
      <w:r>
        <w:rPr>
          <w:rFonts w:hint="eastAsia"/>
        </w:rPr>
        <w:t>专业工程，占总工程量的</w:t>
      </w:r>
      <w:r>
        <w:rPr>
          <w:rFonts w:hint="eastAsia"/>
          <w:u w:val="single"/>
        </w:rPr>
        <w:t xml:space="preserve">      </w:t>
      </w:r>
      <w:r>
        <w:rPr>
          <w:rFonts w:hint="eastAsia" w:cs="Times New Roman"/>
        </w:rPr>
        <w:t>%</w:t>
      </w:r>
      <w:r>
        <w:rPr>
          <w:rFonts w:hint="eastAsia"/>
        </w:rPr>
        <w:t>；</w:t>
      </w:r>
      <w:r>
        <w:rPr>
          <w:rFonts w:hint="eastAsia" w:cs="Times New Roman"/>
        </w:rPr>
        <w:t>……</w:t>
      </w:r>
      <w:r>
        <w:rPr>
          <w:rFonts w:hint="eastAsia"/>
        </w:rPr>
        <w:t xml:space="preserve">。 </w:t>
      </w:r>
    </w:p>
    <w:p>
      <w:pPr>
        <w:pStyle w:val="79"/>
        <w:spacing w:line="360" w:lineRule="auto"/>
        <w:ind w:firstLine="480" w:firstLineChars="200"/>
      </w:pPr>
      <w:r>
        <w:rPr>
          <w:rFonts w:hint="eastAsia" w:cs="Times New Roman"/>
        </w:rPr>
        <w:t>5.</w:t>
      </w:r>
      <w:r>
        <w:rPr>
          <w:rFonts w:hint="eastAsia"/>
        </w:rPr>
        <w:t xml:space="preserve">投标工作和联合体在中标后工程实施过程中的有关费用按各自承担的工作量分摊。 </w:t>
      </w:r>
    </w:p>
    <w:p>
      <w:pPr>
        <w:pStyle w:val="79"/>
        <w:spacing w:line="360" w:lineRule="auto"/>
        <w:ind w:firstLine="480" w:firstLineChars="200"/>
      </w:pPr>
      <w:r>
        <w:rPr>
          <w:rFonts w:hint="eastAsia" w:cs="Times New Roman"/>
        </w:rPr>
        <w:t>6.</w:t>
      </w:r>
      <w:r>
        <w:rPr>
          <w:rFonts w:hint="eastAsia"/>
        </w:rPr>
        <w:t xml:space="preserve">本协议书自所有成员单位法定代表人签字并加盖单位章之日起生效，合同履行完毕后自动失效。 </w:t>
      </w:r>
    </w:p>
    <w:p>
      <w:pPr>
        <w:pStyle w:val="79"/>
        <w:spacing w:line="360" w:lineRule="auto"/>
        <w:ind w:firstLine="480" w:firstLineChars="200"/>
      </w:pPr>
      <w:r>
        <w:rPr>
          <w:rFonts w:hint="eastAsia" w:cs="Times New Roman"/>
        </w:rPr>
        <w:t>7.</w:t>
      </w:r>
      <w:r>
        <w:rPr>
          <w:rFonts w:hint="eastAsia"/>
        </w:rPr>
        <w:t>本协议书一式</w:t>
      </w:r>
      <w:r>
        <w:rPr>
          <w:rFonts w:hint="eastAsia"/>
          <w:u w:val="single"/>
        </w:rPr>
        <w:t xml:space="preserve">    </w:t>
      </w:r>
      <w:r>
        <w:rPr>
          <w:rFonts w:hint="eastAsia"/>
        </w:rPr>
        <w:t xml:space="preserve">份，联合体成员和招标人各执____份。 </w:t>
      </w:r>
    </w:p>
    <w:p>
      <w:pPr>
        <w:pStyle w:val="79"/>
        <w:spacing w:line="360" w:lineRule="auto"/>
        <w:ind w:firstLine="480" w:firstLineChars="200"/>
      </w:pPr>
      <w:r>
        <w:rPr>
          <w:rFonts w:hint="eastAsia"/>
        </w:rPr>
        <w:t>联合体牵头人名称：</w:t>
      </w:r>
      <w:r>
        <w:rPr>
          <w:rFonts w:hint="eastAsia"/>
          <w:u w:val="single"/>
        </w:rPr>
        <w:t xml:space="preserve">             </w:t>
      </w:r>
      <w:r>
        <w:rPr>
          <w:rFonts w:hint="eastAsia"/>
        </w:rPr>
        <w:t xml:space="preserve">  （盖单位章） </w:t>
      </w:r>
    </w:p>
    <w:p>
      <w:pPr>
        <w:pStyle w:val="79"/>
        <w:spacing w:line="360" w:lineRule="auto"/>
        <w:ind w:firstLine="480" w:firstLineChars="200"/>
      </w:pPr>
      <w:r>
        <w:rPr>
          <w:rFonts w:hint="eastAsia"/>
        </w:rPr>
        <w:t>法定代表人：</w:t>
      </w:r>
      <w:r>
        <w:rPr>
          <w:rFonts w:hint="eastAsia"/>
          <w:u w:val="single"/>
        </w:rPr>
        <w:t xml:space="preserve">                   </w:t>
      </w:r>
      <w:r>
        <w:rPr>
          <w:rFonts w:hint="eastAsia"/>
        </w:rPr>
        <w:t xml:space="preserve">（签字） </w:t>
      </w:r>
    </w:p>
    <w:p>
      <w:pPr>
        <w:pStyle w:val="79"/>
        <w:spacing w:line="360" w:lineRule="auto"/>
      </w:pPr>
    </w:p>
    <w:p>
      <w:pPr>
        <w:pStyle w:val="79"/>
        <w:spacing w:line="360" w:lineRule="auto"/>
        <w:ind w:firstLine="480" w:firstLineChars="200"/>
      </w:pPr>
      <w:r>
        <w:rPr>
          <w:rFonts w:hint="eastAsia"/>
        </w:rPr>
        <w:t>联合体成员名称：</w:t>
      </w:r>
      <w:r>
        <w:rPr>
          <w:rFonts w:hint="eastAsia"/>
          <w:u w:val="single"/>
        </w:rPr>
        <w:t xml:space="preserve">               </w:t>
      </w:r>
      <w:r>
        <w:rPr>
          <w:rFonts w:hint="eastAsia"/>
        </w:rPr>
        <w:t xml:space="preserve">（盖单位章） </w:t>
      </w:r>
    </w:p>
    <w:p>
      <w:pPr>
        <w:pStyle w:val="79"/>
        <w:spacing w:line="360" w:lineRule="auto"/>
        <w:ind w:firstLine="480" w:firstLineChars="200"/>
      </w:pPr>
      <w:r>
        <w:rPr>
          <w:rFonts w:hint="eastAsia"/>
        </w:rPr>
        <w:t>法定代表人：</w:t>
      </w:r>
      <w:r>
        <w:rPr>
          <w:rFonts w:hint="eastAsia"/>
          <w:u w:val="single"/>
        </w:rPr>
        <w:t xml:space="preserve">                   </w:t>
      </w:r>
      <w:r>
        <w:rPr>
          <w:rFonts w:hint="eastAsia"/>
        </w:rPr>
        <w:t xml:space="preserve"> （签字） </w:t>
      </w:r>
    </w:p>
    <w:p>
      <w:pPr>
        <w:pStyle w:val="79"/>
        <w:spacing w:line="360" w:lineRule="auto"/>
      </w:pPr>
    </w:p>
    <w:p>
      <w:pPr>
        <w:pStyle w:val="79"/>
        <w:spacing w:line="360" w:lineRule="auto"/>
        <w:ind w:firstLine="480" w:firstLineChars="200"/>
      </w:pPr>
      <w:r>
        <w:rPr>
          <w:rFonts w:hint="eastAsia"/>
        </w:rPr>
        <w:t>联合体成员名称：</w:t>
      </w:r>
      <w:r>
        <w:rPr>
          <w:rFonts w:hint="eastAsia"/>
          <w:u w:val="single"/>
        </w:rPr>
        <w:t xml:space="preserve">               </w:t>
      </w:r>
      <w:r>
        <w:rPr>
          <w:rFonts w:hint="eastAsia"/>
        </w:rPr>
        <w:t xml:space="preserve">（盖单位章） </w:t>
      </w:r>
    </w:p>
    <w:p>
      <w:pPr>
        <w:pStyle w:val="79"/>
        <w:spacing w:line="360" w:lineRule="auto"/>
        <w:ind w:firstLine="480" w:firstLineChars="200"/>
      </w:pPr>
      <w:r>
        <w:rPr>
          <w:rFonts w:hint="eastAsia"/>
        </w:rPr>
        <w:t>法定代表人：</w:t>
      </w:r>
      <w:r>
        <w:rPr>
          <w:rFonts w:hint="eastAsia"/>
          <w:u w:val="single"/>
        </w:rPr>
        <w:t xml:space="preserve">                  </w:t>
      </w:r>
      <w:r>
        <w:rPr>
          <w:rFonts w:hint="eastAsia"/>
        </w:rPr>
        <w:t xml:space="preserve">（签字） </w:t>
      </w:r>
    </w:p>
    <w:p>
      <w:pPr>
        <w:pStyle w:val="79"/>
        <w:spacing w:line="360" w:lineRule="auto"/>
        <w:ind w:firstLine="480" w:firstLineChars="200"/>
        <w:rPr>
          <w:rFonts w:cs="Times New Roman"/>
        </w:rPr>
      </w:pPr>
      <w:r>
        <w:rPr>
          <w:rFonts w:hint="eastAsia" w:cs="Times New Roman"/>
        </w:rPr>
        <w:t xml:space="preserve">…… </w:t>
      </w:r>
    </w:p>
    <w:p>
      <w:pPr>
        <w:pStyle w:val="79"/>
        <w:spacing w:line="360" w:lineRule="auto"/>
        <w:ind w:firstLine="480" w:firstLineChars="200"/>
        <w:jc w:val="right"/>
        <w:rPr>
          <w:rFonts w:cs="Times New Roman"/>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pacing w:line="360" w:lineRule="auto"/>
        <w:jc w:val="center"/>
        <w:outlineLvl w:val="0"/>
        <w:rPr>
          <w:b/>
          <w:sz w:val="36"/>
          <w:szCs w:val="36"/>
        </w:rPr>
      </w:pPr>
      <w:bookmarkStart w:id="670" w:name="_Toc615"/>
      <w:r>
        <w:rPr>
          <w:rFonts w:hint="eastAsia"/>
          <w:b/>
          <w:sz w:val="36"/>
          <w:szCs w:val="36"/>
        </w:rPr>
        <w:t>四、投标保证金</w:t>
      </w:r>
      <w:bookmarkEnd w:id="669"/>
      <w:bookmarkEnd w:id="670"/>
    </w:p>
    <w:p/>
    <w:p>
      <w:pPr>
        <w:ind w:firstLine="480" w:firstLineChars="200"/>
        <w:rPr>
          <w:rFonts w:ascii="宋体" w:hAnsi="宋体"/>
          <w:sz w:val="24"/>
        </w:rPr>
      </w:pPr>
      <w:bookmarkStart w:id="671" w:name="_Toc265483679"/>
      <w:r>
        <w:rPr>
          <w:rFonts w:ascii="宋体" w:hAnsi="宋体"/>
          <w:sz w:val="24"/>
        </w:rPr>
        <w:t>注：</w:t>
      </w:r>
      <w:r>
        <w:rPr>
          <w:rFonts w:hint="eastAsia" w:ascii="宋体" w:hAnsi="宋体"/>
          <w:sz w:val="24"/>
        </w:rPr>
        <w:t>1.若采用现金，投标人应在此提供汇款凭证的复印件。</w:t>
      </w:r>
    </w:p>
    <w:p>
      <w:pPr>
        <w:ind w:firstLine="960" w:firstLineChars="400"/>
        <w:rPr>
          <w:rFonts w:ascii="宋体" w:hAnsi="宋体"/>
          <w:sz w:val="24"/>
        </w:rPr>
      </w:pPr>
      <w:r>
        <w:rPr>
          <w:rFonts w:hint="eastAsia" w:ascii="宋体" w:hAnsi="宋体"/>
          <w:sz w:val="24"/>
        </w:rPr>
        <w:t>2</w:t>
      </w:r>
      <w:r>
        <w:rPr>
          <w:rFonts w:ascii="宋体" w:hAnsi="宋体"/>
          <w:sz w:val="24"/>
        </w:rPr>
        <w:t>.若采用转账支票，投标人应在此提供支票复印件和招标人开具的收据</w:t>
      </w:r>
      <w:r>
        <w:rPr>
          <w:rFonts w:hint="eastAsia" w:ascii="宋体" w:hAnsi="宋体"/>
          <w:sz w:val="24"/>
        </w:rPr>
        <w:t>复印件</w:t>
      </w:r>
      <w:r>
        <w:rPr>
          <w:rFonts w:ascii="宋体" w:hAnsi="宋体"/>
          <w:sz w:val="24"/>
        </w:rPr>
        <w:t>。</w:t>
      </w:r>
      <w:r>
        <w:rPr>
          <w:rFonts w:ascii="宋体" w:hAnsi="宋体"/>
          <w:sz w:val="24"/>
        </w:rPr>
        <w:br w:type="textWrapping"/>
      </w:r>
      <w:r>
        <w:rPr>
          <w:rFonts w:hint="eastAsia" w:ascii="宋体" w:hAnsi="宋体"/>
          <w:sz w:val="24"/>
        </w:rPr>
        <w:t xml:space="preserve">        3</w:t>
      </w:r>
      <w:r>
        <w:rPr>
          <w:rFonts w:ascii="宋体" w:hAnsi="宋体"/>
          <w:sz w:val="24"/>
        </w:rPr>
        <w:t>.若采用银行保函，银行保函复印件</w:t>
      </w:r>
      <w:r>
        <w:rPr>
          <w:rFonts w:hint="eastAsia" w:ascii="宋体" w:hAnsi="宋体"/>
          <w:sz w:val="24"/>
        </w:rPr>
        <w:t>及招标人开具的接收凭证原件装订在投标文件中，格式如下</w:t>
      </w:r>
      <w:r>
        <w:rPr>
          <w:rFonts w:ascii="宋体" w:hAnsi="宋体"/>
          <w:sz w:val="24"/>
        </w:rPr>
        <w:t>。</w:t>
      </w:r>
    </w:p>
    <w:p>
      <w:pPr>
        <w:ind w:firstLine="960" w:firstLineChars="400"/>
        <w:rPr>
          <w:rFonts w:ascii="宋体" w:hAnsi="宋体"/>
          <w:sz w:val="24"/>
        </w:rPr>
      </w:pPr>
    </w:p>
    <w:p>
      <w:pPr>
        <w:spacing w:line="440" w:lineRule="exact"/>
        <w:rPr>
          <w:rFonts w:ascii="宋体" w:hAnsi="宋体"/>
          <w:sz w:val="24"/>
        </w:rPr>
      </w:pPr>
      <w:r>
        <w:rPr>
          <w:rFonts w:hint="eastAsia" w:ascii="宋体" w:hAnsi="宋体"/>
          <w:sz w:val="24"/>
        </w:rPr>
        <w:t xml:space="preserve">    </w:t>
      </w:r>
    </w:p>
    <w:p>
      <w:pPr>
        <w:spacing w:after="240" w:afterLines="100" w:line="440" w:lineRule="exact"/>
        <w:rPr>
          <w:rFonts w:ascii="宋体" w:hAnsi="宋体"/>
          <w:sz w:val="24"/>
        </w:rPr>
      </w:pPr>
      <w:r>
        <w:rPr>
          <w:rFonts w:hint="eastAsia" w:ascii="宋体" w:hAnsi="宋体"/>
          <w:sz w:val="24"/>
          <w:u w:val="single"/>
        </w:rPr>
        <w:t xml:space="preserve">              </w:t>
      </w:r>
      <w:r>
        <w:rPr>
          <w:rFonts w:hint="eastAsia" w:ascii="宋体" w:hAnsi="宋体"/>
          <w:sz w:val="24"/>
        </w:rPr>
        <w:t>(招标人名称)：</w:t>
      </w:r>
    </w:p>
    <w:p>
      <w:pPr>
        <w:spacing w:line="440" w:lineRule="exact"/>
        <w:rPr>
          <w:rFonts w:ascii="宋体" w:hAnsi="宋体"/>
          <w:sz w:val="24"/>
        </w:rPr>
      </w:pPr>
      <w:r>
        <w:rPr>
          <w:rFonts w:hint="eastAsia" w:ascii="宋体" w:hAnsi="宋体"/>
          <w:sz w:val="24"/>
        </w:rPr>
        <w:t xml:space="preserve">     鉴于</w:t>
      </w:r>
      <w:r>
        <w:rPr>
          <w:rFonts w:hint="eastAsia" w:ascii="宋体" w:hAnsi="宋体"/>
          <w:sz w:val="24"/>
          <w:u w:val="single"/>
        </w:rPr>
        <w:t xml:space="preserve">             </w:t>
      </w:r>
      <w:r>
        <w:rPr>
          <w:rFonts w:hint="eastAsia" w:ascii="宋体" w:hAnsi="宋体"/>
          <w:sz w:val="24"/>
        </w:rPr>
        <w:t>(投标人名称)(以下称“投标人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日参加</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标段施工的投标，</w:t>
      </w:r>
      <w:r>
        <w:rPr>
          <w:rFonts w:hint="eastAsia" w:ascii="宋体" w:hAnsi="宋体"/>
          <w:sz w:val="24"/>
          <w:u w:val="single"/>
        </w:rPr>
        <w:t xml:space="preserve">        </w:t>
      </w:r>
      <w:r>
        <w:rPr>
          <w:rFonts w:hint="eastAsia" w:ascii="宋体" w:hAnsi="宋体"/>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在7日内向你方无条件支付人民币(大写)</w:t>
      </w:r>
      <w:r>
        <w:rPr>
          <w:rFonts w:hint="eastAsia" w:ascii="宋体" w:hAnsi="宋体"/>
          <w:sz w:val="24"/>
          <w:u w:val="single"/>
        </w:rPr>
        <w:t xml:space="preserve">      </w:t>
      </w:r>
      <w:r>
        <w:rPr>
          <w:rFonts w:hint="eastAsia" w:ascii="宋体" w:hAnsi="宋体"/>
          <w:sz w:val="24"/>
        </w:rPr>
        <w:t>元。</w:t>
      </w:r>
    </w:p>
    <w:p>
      <w:pPr>
        <w:spacing w:line="440" w:lineRule="exact"/>
        <w:rPr>
          <w:rFonts w:ascii="宋体" w:hAnsi="宋体"/>
          <w:sz w:val="24"/>
        </w:rPr>
      </w:pPr>
      <w:r>
        <w:rPr>
          <w:rFonts w:hint="eastAsia" w:ascii="宋体" w:hAnsi="宋体"/>
          <w:sz w:val="24"/>
        </w:rPr>
        <w:t xml:space="preserve">    本保函在投标有效期或经延长的投标有效期内保持有效。要求我方承担保证责任的通知应在上述期限内送达我方。你方延长投标有效期的决定，应通知我方。</w:t>
      </w:r>
    </w:p>
    <w:p>
      <w:pPr>
        <w:spacing w:line="440" w:lineRule="exact"/>
        <w:rPr>
          <w:rFonts w:ascii="宋体" w:hAnsi="宋体"/>
          <w:sz w:val="24"/>
        </w:rPr>
      </w:pPr>
      <w:r>
        <w:rPr>
          <w:rFonts w:hint="eastAsia" w:ascii="宋体" w:hAnsi="宋体"/>
          <w:sz w:val="24"/>
        </w:rPr>
        <w:t xml:space="preserve">    </w:t>
      </w:r>
    </w:p>
    <w:p>
      <w:pPr>
        <w:spacing w:line="440" w:lineRule="exact"/>
        <w:rPr>
          <w:rFonts w:ascii="宋体" w:hAnsi="宋体"/>
          <w:sz w:val="24"/>
        </w:rPr>
      </w:pPr>
    </w:p>
    <w:p>
      <w:pPr>
        <w:spacing w:line="440" w:lineRule="exact"/>
        <w:rPr>
          <w:rFonts w:ascii="宋体" w:hAnsi="宋体"/>
          <w:sz w:val="24"/>
        </w:rPr>
      </w:pPr>
    </w:p>
    <w:p>
      <w:pPr>
        <w:spacing w:line="440" w:lineRule="exact"/>
        <w:ind w:firstLine="3028" w:firstLineChars="1262"/>
        <w:rPr>
          <w:rFonts w:ascii="宋体" w:hAnsi="宋体"/>
          <w:sz w:val="24"/>
        </w:rPr>
      </w:pPr>
      <w:r>
        <w:rPr>
          <w:rFonts w:hint="eastAsia" w:ascii="宋体" w:hAnsi="宋体"/>
          <w:sz w:val="24"/>
        </w:rPr>
        <w:t>担保人名称：</w:t>
      </w:r>
      <w:r>
        <w:rPr>
          <w:rFonts w:hint="eastAsia" w:ascii="宋体" w:hAnsi="宋体"/>
          <w:sz w:val="24"/>
          <w:u w:val="single"/>
        </w:rPr>
        <w:t xml:space="preserve">                          </w:t>
      </w:r>
      <w:r>
        <w:rPr>
          <w:rFonts w:hint="eastAsia" w:ascii="宋体" w:hAnsi="宋体"/>
          <w:sz w:val="24"/>
        </w:rPr>
        <w:t xml:space="preserve"> (盖单位章)</w:t>
      </w:r>
    </w:p>
    <w:p>
      <w:pPr>
        <w:spacing w:line="440" w:lineRule="exact"/>
        <w:ind w:firstLine="2551" w:firstLineChars="1063"/>
        <w:rPr>
          <w:rFonts w:ascii="宋体" w:hAnsi="宋体"/>
          <w:sz w:val="24"/>
        </w:rPr>
      </w:pPr>
      <w:r>
        <w:rPr>
          <w:rFonts w:hint="eastAsia" w:ascii="宋体" w:hAnsi="宋体"/>
          <w:sz w:val="24"/>
        </w:rPr>
        <w:t xml:space="preserve">    法定代表人或其委托代理人：</w:t>
      </w:r>
      <w:r>
        <w:rPr>
          <w:rFonts w:hint="eastAsia" w:ascii="宋体" w:hAnsi="宋体"/>
          <w:sz w:val="24"/>
          <w:u w:val="single"/>
        </w:rPr>
        <w:t xml:space="preserve">                </w:t>
      </w:r>
      <w:r>
        <w:rPr>
          <w:rFonts w:hint="eastAsia" w:ascii="宋体" w:hAnsi="宋体"/>
          <w:sz w:val="24"/>
        </w:rPr>
        <w:t xml:space="preserve"> (签字)</w:t>
      </w:r>
    </w:p>
    <w:p>
      <w:pPr>
        <w:spacing w:line="440" w:lineRule="exact"/>
        <w:ind w:firstLine="2551" w:firstLineChars="1063"/>
        <w:rPr>
          <w:rFonts w:ascii="宋体" w:hAnsi="宋体"/>
          <w:sz w:val="24"/>
        </w:rPr>
      </w:pPr>
      <w:r>
        <w:rPr>
          <w:rFonts w:hint="eastAsia" w:ascii="宋体" w:hAnsi="宋体"/>
          <w:sz w:val="24"/>
        </w:rPr>
        <w:t xml:space="preserve">    地    址：</w:t>
      </w:r>
      <w:r>
        <w:rPr>
          <w:rFonts w:hint="eastAsia" w:ascii="宋体" w:hAnsi="宋体"/>
          <w:sz w:val="24"/>
          <w:u w:val="single"/>
        </w:rPr>
        <w:t xml:space="preserve">                                      </w:t>
      </w:r>
    </w:p>
    <w:p>
      <w:pPr>
        <w:spacing w:line="440" w:lineRule="exact"/>
        <w:ind w:firstLine="2551" w:firstLineChars="1063"/>
        <w:rPr>
          <w:rFonts w:ascii="宋体" w:hAnsi="宋体"/>
          <w:sz w:val="24"/>
        </w:rPr>
      </w:pPr>
      <w:r>
        <w:rPr>
          <w:rFonts w:hint="eastAsia" w:ascii="宋体" w:hAnsi="宋体"/>
          <w:sz w:val="24"/>
        </w:rPr>
        <w:t xml:space="preserve">    邮政编码：</w:t>
      </w:r>
      <w:r>
        <w:rPr>
          <w:rFonts w:hint="eastAsia" w:ascii="宋体" w:hAnsi="宋体"/>
          <w:sz w:val="24"/>
          <w:u w:val="single"/>
        </w:rPr>
        <w:t xml:space="preserve">                                      </w:t>
      </w:r>
    </w:p>
    <w:p>
      <w:pPr>
        <w:spacing w:line="440" w:lineRule="exact"/>
        <w:ind w:firstLine="2551" w:firstLineChars="1063"/>
        <w:rPr>
          <w:rFonts w:ascii="宋体" w:hAnsi="宋体"/>
          <w:sz w:val="24"/>
        </w:rPr>
      </w:pPr>
      <w:r>
        <w:rPr>
          <w:rFonts w:hint="eastAsia" w:ascii="宋体" w:hAnsi="宋体"/>
          <w:sz w:val="24"/>
        </w:rPr>
        <w:t xml:space="preserve">    电    话：</w:t>
      </w:r>
      <w:r>
        <w:rPr>
          <w:rFonts w:hint="eastAsia" w:ascii="宋体" w:hAnsi="宋体"/>
          <w:sz w:val="24"/>
          <w:u w:val="single"/>
        </w:rPr>
        <w:t xml:space="preserve">                                      </w:t>
      </w:r>
    </w:p>
    <w:p>
      <w:pPr>
        <w:spacing w:line="440" w:lineRule="exact"/>
        <w:ind w:firstLine="2551" w:firstLineChars="1063"/>
        <w:rPr>
          <w:rFonts w:ascii="宋体" w:hAnsi="宋体"/>
          <w:sz w:val="24"/>
          <w:u w:val="single"/>
        </w:rPr>
      </w:pPr>
      <w:r>
        <w:rPr>
          <w:rFonts w:hint="eastAsia" w:ascii="宋体" w:hAnsi="宋体"/>
          <w:sz w:val="24"/>
        </w:rPr>
        <w:t xml:space="preserve">    传    真：</w:t>
      </w:r>
      <w:r>
        <w:rPr>
          <w:rFonts w:hint="eastAsia" w:ascii="宋体" w:hAnsi="宋体"/>
          <w:sz w:val="24"/>
          <w:u w:val="single"/>
        </w:rPr>
        <w:t xml:space="preserve">                                      </w:t>
      </w:r>
    </w:p>
    <w:p>
      <w:pPr>
        <w:spacing w:line="440" w:lineRule="exact"/>
        <w:ind w:firstLine="2551" w:firstLineChars="1063"/>
        <w:rPr>
          <w:rFonts w:ascii="宋体" w:hAnsi="宋体"/>
          <w:sz w:val="24"/>
        </w:rPr>
      </w:pPr>
    </w:p>
    <w:p>
      <w:pPr>
        <w:wordWrap w:val="0"/>
        <w:spacing w:line="440" w:lineRule="exact"/>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jc w:val="center"/>
        <w:outlineLvl w:val="0"/>
        <w:rPr>
          <w:b/>
          <w:sz w:val="36"/>
          <w:szCs w:val="36"/>
        </w:rPr>
      </w:pPr>
      <w:r>
        <w:rPr>
          <w:rFonts w:ascii="宋体" w:hAnsi="宋体"/>
        </w:rPr>
        <w:br w:type="page"/>
      </w:r>
      <w:bookmarkStart w:id="672" w:name="_Toc14839"/>
      <w:r>
        <w:rPr>
          <w:rFonts w:hint="eastAsia"/>
          <w:b/>
          <w:sz w:val="36"/>
          <w:szCs w:val="36"/>
        </w:rPr>
        <w:t>五、</w:t>
      </w:r>
      <w:bookmarkEnd w:id="664"/>
      <w:bookmarkEnd w:id="665"/>
      <w:bookmarkEnd w:id="666"/>
      <w:bookmarkEnd w:id="667"/>
      <w:bookmarkEnd w:id="671"/>
      <w:bookmarkStart w:id="673" w:name="_Toc265483680"/>
      <w:bookmarkStart w:id="674" w:name="_Toc234345909"/>
      <w:bookmarkStart w:id="675" w:name="_Toc234349569"/>
      <w:bookmarkStart w:id="676" w:name="_Toc234346124"/>
      <w:bookmarkStart w:id="677" w:name="_Toc234348995"/>
      <w:r>
        <w:rPr>
          <w:rFonts w:hint="eastAsia"/>
          <w:b/>
          <w:sz w:val="36"/>
          <w:szCs w:val="36"/>
        </w:rPr>
        <w:t>施工组织设计</w:t>
      </w:r>
      <w:bookmarkEnd w:id="672"/>
      <w:bookmarkEnd w:id="673"/>
      <w:bookmarkEnd w:id="674"/>
      <w:bookmarkEnd w:id="675"/>
      <w:bookmarkEnd w:id="676"/>
      <w:bookmarkEnd w:id="677"/>
    </w:p>
    <w:p>
      <w:pPr>
        <w:spacing w:line="360" w:lineRule="auto"/>
        <w:ind w:firstLine="480" w:firstLineChars="200"/>
        <w:rPr>
          <w:rFonts w:ascii="宋体" w:hAnsi="宋体"/>
          <w:sz w:val="24"/>
        </w:rPr>
      </w:pPr>
      <w:r>
        <w:rPr>
          <w:rFonts w:hint="eastAsia" w:ascii="宋体" w:hAnsi="宋体"/>
          <w:sz w:val="24"/>
        </w:rPr>
        <w:t>1. 投标人应按以下要点编制施工组织设计，还必须按照《天津市大气污染防治条例》及美丽天津一号工程指挥部《贯彻落实京津冀及周边地区大气污染防治协作机制会议精神12条措施》、天津市施工抑制扬尘污染防治等方面有关规定，制定本项目扬尘控制措施（文字宜精练、内容具有针对性，总体控制在30000字以内）：</w:t>
      </w:r>
    </w:p>
    <w:p>
      <w:pPr>
        <w:spacing w:line="360" w:lineRule="auto"/>
        <w:ind w:firstLine="480" w:firstLineChars="200"/>
        <w:rPr>
          <w:rFonts w:ascii="宋体" w:hAnsi="宋体"/>
          <w:sz w:val="24"/>
        </w:rPr>
      </w:pPr>
      <w:r>
        <w:rPr>
          <w:rFonts w:hint="eastAsia" w:ascii="宋体" w:hAnsi="宋体"/>
          <w:sz w:val="24"/>
        </w:rPr>
        <w:t>（1）总体施工组织布置及规划</w:t>
      </w:r>
    </w:p>
    <w:p>
      <w:pPr>
        <w:spacing w:line="360" w:lineRule="auto"/>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（2）主要工程项目的施工方案、方法与技术措施(尤其对重点、关键和难点工程的施工方案、方法及措施)</w:t>
      </w:r>
    </w:p>
    <w:p>
      <w:pPr>
        <w:spacing w:line="360" w:lineRule="auto"/>
        <w:ind w:firstLine="480" w:firstLineChars="200"/>
        <w:rPr>
          <w:rFonts w:ascii="宋体" w:hAnsi="宋体"/>
          <w:sz w:val="24"/>
        </w:rPr>
      </w:pPr>
      <w:r>
        <w:rPr>
          <w:rFonts w:hint="eastAsia" w:ascii="宋体" w:hAnsi="宋体"/>
          <w:sz w:val="24"/>
        </w:rPr>
        <w:t>（3）工期保证体系及保证措施</w:t>
      </w:r>
    </w:p>
    <w:p>
      <w:pPr>
        <w:spacing w:line="360" w:lineRule="auto"/>
        <w:ind w:firstLine="480" w:firstLineChars="200"/>
        <w:rPr>
          <w:rFonts w:ascii="宋体" w:hAnsi="宋体"/>
          <w:sz w:val="24"/>
        </w:rPr>
      </w:pPr>
      <w:r>
        <w:rPr>
          <w:rFonts w:hint="eastAsia" w:ascii="宋体" w:hAnsi="宋体"/>
          <w:sz w:val="24"/>
        </w:rPr>
        <w:t>（4）工程质量管理体系及保证措施</w:t>
      </w:r>
    </w:p>
    <w:p>
      <w:pPr>
        <w:spacing w:line="360" w:lineRule="auto"/>
        <w:ind w:firstLine="480" w:firstLineChars="200"/>
        <w:rPr>
          <w:rFonts w:ascii="宋体" w:hAnsi="宋体"/>
          <w:sz w:val="24"/>
        </w:rPr>
      </w:pPr>
      <w:r>
        <w:rPr>
          <w:rFonts w:hint="eastAsia" w:ascii="宋体" w:hAnsi="宋体"/>
          <w:sz w:val="24"/>
        </w:rPr>
        <w:t>（5）安全生产管理体系及保证措施</w:t>
      </w:r>
    </w:p>
    <w:p>
      <w:pPr>
        <w:spacing w:line="360" w:lineRule="auto"/>
        <w:ind w:firstLine="480" w:firstLineChars="200"/>
        <w:rPr>
          <w:rFonts w:ascii="宋体" w:hAnsi="宋体"/>
          <w:sz w:val="24"/>
        </w:rPr>
      </w:pPr>
      <w:r>
        <w:rPr>
          <w:rFonts w:hint="eastAsia" w:ascii="宋体" w:hAnsi="宋体"/>
          <w:sz w:val="24"/>
        </w:rPr>
        <w:t>（6）环境保护、水土保持保证体系及保证措施</w:t>
      </w:r>
    </w:p>
    <w:p>
      <w:pPr>
        <w:spacing w:line="360" w:lineRule="auto"/>
        <w:ind w:firstLine="480" w:firstLineChars="200"/>
        <w:rPr>
          <w:rFonts w:ascii="宋体" w:hAnsi="宋体"/>
          <w:sz w:val="24"/>
        </w:rPr>
      </w:pPr>
      <w:r>
        <w:rPr>
          <w:rFonts w:hint="eastAsia" w:ascii="宋体" w:hAnsi="宋体"/>
          <w:sz w:val="24"/>
        </w:rPr>
        <w:t>（7）文明施工、文物保护保证体系及保证措施</w:t>
      </w:r>
    </w:p>
    <w:p>
      <w:pPr>
        <w:spacing w:line="360" w:lineRule="auto"/>
        <w:ind w:firstLine="480" w:firstLineChars="200"/>
        <w:rPr>
          <w:rFonts w:ascii="宋体" w:hAnsi="宋体"/>
          <w:sz w:val="24"/>
        </w:rPr>
      </w:pPr>
      <w:r>
        <w:rPr>
          <w:rFonts w:hint="eastAsia" w:ascii="宋体" w:hAnsi="宋体"/>
          <w:sz w:val="24"/>
        </w:rPr>
        <w:t>（8）项目风险预测与防范，事故应急预案</w:t>
      </w:r>
    </w:p>
    <w:p>
      <w:pPr>
        <w:spacing w:line="360" w:lineRule="auto"/>
        <w:ind w:firstLine="480" w:firstLineChars="200"/>
        <w:rPr>
          <w:rFonts w:ascii="宋体" w:hAnsi="宋体"/>
          <w:sz w:val="24"/>
        </w:rPr>
      </w:pPr>
      <w:r>
        <w:rPr>
          <w:rFonts w:hint="eastAsia" w:ascii="宋体" w:hAnsi="宋体"/>
          <w:sz w:val="24"/>
        </w:rPr>
        <w:t>（9）其他应说明的事项</w:t>
      </w:r>
    </w:p>
    <w:p>
      <w:pPr>
        <w:spacing w:line="360" w:lineRule="auto"/>
        <w:ind w:firstLine="480" w:firstLineChars="200"/>
        <w:rPr>
          <w:rFonts w:ascii="宋体" w:hAnsi="宋体"/>
          <w:sz w:val="24"/>
        </w:rPr>
      </w:pPr>
      <w:r>
        <w:rPr>
          <w:rFonts w:hint="eastAsia" w:ascii="宋体" w:hAnsi="宋体"/>
          <w:sz w:val="24"/>
        </w:rPr>
        <w:t>2.施工组织设计除采用文字表述外可附下列图表，图表及格式要求附后。</w:t>
      </w:r>
    </w:p>
    <w:p>
      <w:pPr>
        <w:spacing w:line="360" w:lineRule="auto"/>
        <w:ind w:firstLine="480" w:firstLineChars="200"/>
        <w:rPr>
          <w:rFonts w:ascii="宋体" w:hAnsi="宋体"/>
          <w:sz w:val="24"/>
        </w:rPr>
      </w:pPr>
      <w:r>
        <w:rPr>
          <w:rFonts w:hint="eastAsia" w:ascii="宋体" w:hAnsi="宋体"/>
          <w:sz w:val="24"/>
        </w:rPr>
        <w:t>附表一  施工总体计划表</w:t>
      </w:r>
    </w:p>
    <w:p>
      <w:pPr>
        <w:spacing w:line="360" w:lineRule="auto"/>
        <w:ind w:firstLine="480" w:firstLineChars="200"/>
        <w:rPr>
          <w:rFonts w:ascii="宋体" w:hAnsi="宋体"/>
          <w:sz w:val="24"/>
        </w:rPr>
      </w:pPr>
      <w:r>
        <w:rPr>
          <w:rFonts w:hint="eastAsia" w:ascii="宋体" w:hAnsi="宋体"/>
          <w:sz w:val="24"/>
        </w:rPr>
        <w:t>附表二  分项工程进度率计划(斜率图)</w:t>
      </w:r>
    </w:p>
    <w:p>
      <w:pPr>
        <w:spacing w:line="360" w:lineRule="auto"/>
        <w:ind w:firstLine="480" w:firstLineChars="200"/>
        <w:rPr>
          <w:rFonts w:ascii="宋体" w:hAnsi="宋体"/>
          <w:sz w:val="24"/>
        </w:rPr>
      </w:pPr>
      <w:r>
        <w:rPr>
          <w:rFonts w:hint="eastAsia" w:ascii="宋体" w:hAnsi="宋体"/>
          <w:sz w:val="24"/>
        </w:rPr>
        <w:t>附表三  工程管理曲线</w:t>
      </w:r>
    </w:p>
    <w:p>
      <w:pPr>
        <w:spacing w:line="360" w:lineRule="auto"/>
        <w:ind w:firstLine="480" w:firstLineChars="200"/>
        <w:rPr>
          <w:rFonts w:ascii="宋体" w:hAnsi="宋体"/>
          <w:sz w:val="24"/>
        </w:rPr>
      </w:pPr>
      <w:r>
        <w:rPr>
          <w:rFonts w:hint="eastAsia" w:ascii="宋体" w:hAnsi="宋体"/>
          <w:sz w:val="24"/>
        </w:rPr>
        <w:t>附表四  分项工程生产率和施工周期表</w:t>
      </w:r>
    </w:p>
    <w:p>
      <w:pPr>
        <w:spacing w:line="360" w:lineRule="auto"/>
        <w:ind w:firstLine="480" w:firstLineChars="200"/>
        <w:rPr>
          <w:rFonts w:ascii="宋体" w:hAnsi="宋体"/>
          <w:sz w:val="24"/>
        </w:rPr>
      </w:pPr>
      <w:r>
        <w:rPr>
          <w:rFonts w:hint="eastAsia" w:ascii="宋体" w:hAnsi="宋体"/>
          <w:sz w:val="24"/>
        </w:rPr>
        <w:t>附表五  施工总平面图</w:t>
      </w:r>
    </w:p>
    <w:p>
      <w:pPr>
        <w:spacing w:line="360" w:lineRule="auto"/>
        <w:ind w:firstLine="480" w:firstLineChars="200"/>
        <w:rPr>
          <w:rFonts w:ascii="宋体" w:hAnsi="宋体"/>
          <w:sz w:val="24"/>
        </w:rPr>
      </w:pPr>
      <w:r>
        <w:rPr>
          <w:rFonts w:hint="eastAsia" w:ascii="宋体" w:hAnsi="宋体"/>
          <w:sz w:val="24"/>
        </w:rPr>
        <w:t>附表六  劳动力计划表</w:t>
      </w:r>
    </w:p>
    <w:p>
      <w:pPr>
        <w:spacing w:line="360" w:lineRule="auto"/>
        <w:ind w:firstLine="480" w:firstLineChars="200"/>
        <w:rPr>
          <w:rFonts w:ascii="宋体" w:hAnsi="宋体"/>
          <w:sz w:val="24"/>
        </w:rPr>
      </w:pPr>
      <w:r>
        <w:rPr>
          <w:rFonts w:hint="eastAsia" w:ascii="宋体" w:hAnsi="宋体"/>
          <w:sz w:val="24"/>
        </w:rPr>
        <w:t>附表七  临时占地计划表</w:t>
      </w:r>
    </w:p>
    <w:p>
      <w:pPr>
        <w:spacing w:line="360" w:lineRule="auto"/>
        <w:ind w:firstLine="480" w:firstLineChars="200"/>
        <w:rPr>
          <w:rFonts w:ascii="宋体" w:hAnsi="宋体"/>
          <w:sz w:val="24"/>
        </w:rPr>
      </w:pPr>
      <w:r>
        <w:rPr>
          <w:rFonts w:hint="eastAsia" w:ascii="宋体" w:hAnsi="宋体"/>
          <w:sz w:val="24"/>
        </w:rPr>
        <w:t>附表八  外供电力需求计划表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20" w:firstLineChars="200"/>
        <w:rPr>
          <w:rFonts w:ascii="宋体" w:hAnsi="宋体"/>
          <w:szCs w:val="21"/>
        </w:rPr>
      </w:pPr>
    </w:p>
    <w:tbl>
      <w:tblPr>
        <w:tblStyle w:val="38"/>
        <w:tblW w:w="94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6"/>
        <w:gridCol w:w="69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restart"/>
            <w:textDirection w:val="btLr"/>
          </w:tcPr>
          <w:p>
            <w:pPr>
              <w:ind w:left="113" w:leftChars="54" w:right="113"/>
              <w:jc w:val="center"/>
              <w:rPr>
                <w:rFonts w:ascii="宋体" w:hAnsi="宋体"/>
              </w:rPr>
            </w:pPr>
            <w:r>
              <w:rPr>
                <w:rFonts w:hint="eastAsia" w:ascii="宋体" w:hAnsi="宋体"/>
                <w:u w:val="single"/>
              </w:rPr>
              <w:t xml:space="preserve">    </w:t>
            </w:r>
            <w:r>
              <w:rPr>
                <w:rFonts w:hint="eastAsia" w:ascii="宋体" w:hAnsi="宋体"/>
              </w:rPr>
              <w:t>年</w:t>
            </w: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cPr>
          <w:p>
            <w:pPr>
              <w:spacing w:line="360" w:lineRule="exact"/>
              <w:rPr>
                <w:rFonts w:ascii="宋体" w:hAnsi="宋体"/>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4</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cPr>
          <w:p>
            <w:pPr>
              <w:spacing w:line="360" w:lineRule="exact"/>
              <w:rPr>
                <w:rFonts w:ascii="宋体" w:hAnsi="宋体"/>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3</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cPr>
          <w:p>
            <w:pPr>
              <w:spacing w:line="360" w:lineRule="exact"/>
              <w:rPr>
                <w:rFonts w:ascii="宋体" w:hAnsi="宋体"/>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2</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cPr>
          <w:p>
            <w:pPr>
              <w:spacing w:line="360" w:lineRule="exact"/>
              <w:rPr>
                <w:rFonts w:ascii="宋体" w:hAnsi="宋体"/>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1</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restart"/>
            <w:textDirection w:val="btLr"/>
          </w:tcPr>
          <w:p>
            <w:pPr>
              <w:ind w:left="113" w:right="113"/>
              <w:jc w:val="center"/>
              <w:rPr>
                <w:rFonts w:ascii="宋体" w:hAnsi="宋体"/>
                <w:sz w:val="18"/>
                <w:szCs w:val="18"/>
              </w:rPr>
            </w:pPr>
            <w:r>
              <w:rPr>
                <w:rFonts w:hint="eastAsia" w:ascii="宋体" w:hAnsi="宋体"/>
                <w:sz w:val="18"/>
                <w:szCs w:val="18"/>
                <w:u w:val="single"/>
              </w:rPr>
              <w:t xml:space="preserve">     </w:t>
            </w:r>
            <w:r>
              <w:rPr>
                <w:rFonts w:hint="eastAsia" w:ascii="宋体" w:hAnsi="宋体"/>
                <w:sz w:val="18"/>
                <w:szCs w:val="18"/>
              </w:rPr>
              <w:t>年</w:t>
            </w: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12</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11</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10</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9</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8</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7</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6</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5</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4</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3</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2</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1</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restart"/>
            <w:textDirection w:val="btLr"/>
          </w:tcPr>
          <w:p>
            <w:pPr>
              <w:ind w:left="113" w:right="113"/>
              <w:rPr>
                <w:rFonts w:ascii="宋体" w:hAnsi="宋体"/>
                <w:sz w:val="18"/>
                <w:szCs w:val="18"/>
              </w:rPr>
            </w:pPr>
            <w:r>
              <w:rPr>
                <w:rFonts w:ascii="宋体" w:hAnsi="宋体"/>
                <w:i/>
                <w:sz w:val="18"/>
                <w:szCs w:val="18"/>
              </w:rP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-2733040</wp:posOffset>
                      </wp:positionV>
                      <wp:extent cx="367030" cy="4358640"/>
                      <wp:effectExtent l="0" t="0" r="0" b="0"/>
                      <wp:wrapNone/>
                      <wp:docPr id="1" name="Text Box 2"/>
                      <wp:cNvGraphicFramePr/>
                      <a:graphic xmlns:a="http://schemas.openxmlformats.org/drawingml/2006/main">
                        <a:graphicData uri="http://schemas.microsoft.com/office/word/2010/wordprocessingShape">
                          <wps:wsp>
                            <wps:cNvSpPr txBox="1"/>
                            <wps:spPr>
                              <a:xfrm>
                                <a:off x="0" y="0"/>
                                <a:ext cx="367030" cy="4358640"/>
                              </a:xfrm>
                              <a:prstGeom prst="rect">
                                <a:avLst/>
                              </a:prstGeom>
                              <a:noFill/>
                              <a:ln>
                                <a:noFill/>
                              </a:ln>
                            </wps:spPr>
                            <wps:txbx>
                              <w:txbxContent>
                                <w:p>
                                  <w:pPr>
                                    <w:pStyle w:val="78"/>
                                    <w:rPr>
                                      <w:rFonts w:ascii="宋体" w:hAnsi="宋体" w:eastAsia="宋体"/>
                                    </w:rPr>
                                  </w:pPr>
                                  <w:bookmarkStart w:id="744" w:name="_Toc508787917"/>
                                  <w:bookmarkStart w:id="745" w:name="_Toc508797053"/>
                                  <w:bookmarkStart w:id="746" w:name="_Toc508796900"/>
                                  <w:bookmarkStart w:id="747" w:name="_Toc508787951"/>
                                  <w:bookmarkStart w:id="748" w:name="_Toc508796998"/>
                                  <w:bookmarkStart w:id="749" w:name="_Toc508365388"/>
                                  <w:r>
                                    <w:rPr>
                                      <w:rFonts w:hint="eastAsia" w:ascii="宋体" w:hAnsi="宋体" w:eastAsia="宋体"/>
                                    </w:rPr>
                                    <w:t>附表一   施工总体计划表</w:t>
                                  </w:r>
                                  <w:bookmarkEnd w:id="744"/>
                                  <w:bookmarkEnd w:id="745"/>
                                  <w:bookmarkEnd w:id="746"/>
                                  <w:bookmarkEnd w:id="747"/>
                                  <w:bookmarkEnd w:id="748"/>
                                  <w:bookmarkEnd w:id="749"/>
                                </w:p>
                              </w:txbxContent>
                            </wps:txbx>
                            <wps:bodyPr vert="vert270" lIns="0" tIns="0" rIns="0" bIns="0" upright="1"/>
                          </wps:wsp>
                        </a:graphicData>
                      </a:graphic>
                    </wp:anchor>
                  </w:drawing>
                </mc:Choice>
                <mc:Fallback>
                  <w:pict>
                    <v:shape id="Text Box 2" o:spid="_x0000_s1026" o:spt="202" type="#_x0000_t202" style="position:absolute;left:0pt;margin-left:-41.95pt;margin-top:-215.2pt;height:343.2pt;width:28.9pt;z-index:251659264;mso-width-relative:page;mso-height-relative:page;" filled="f" stroked="f" coordsize="21600,21600" o:gfxdata="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b4ATZAAAADAEAAA8AAAAAAAAAAQAgAAAAIgAAAGRycy9kb3ducmV2LnhtbFBLAQIUABQAAAAI&#10;AIdO4kAqTNZfswEAAIADAAAOAAAAAAAAAAEAIAAAACgBAABkcnMvZTJvRG9jLnhtbFBLBQYAAAAA&#10;BgAGAFkBAABNBQAAAAA=&#10;">
                      <v:fill on="f" focussize="0,0"/>
                      <v:stroke on="f"/>
                      <v:imagedata o:title=""/>
                      <o:lock v:ext="edit" aspectratio="f"/>
                      <v:textbox inset="0mm,0mm,0mm,0mm" style="layout-flow:vertical;mso-layout-flow-alt:bottom-to-top;">
                        <w:txbxContent>
                          <w:p>
                            <w:pPr>
                              <w:pStyle w:val="78"/>
                              <w:rPr>
                                <w:rFonts w:ascii="宋体" w:hAnsi="宋体" w:eastAsia="宋体"/>
                              </w:rPr>
                            </w:pPr>
                            <w:bookmarkStart w:id="744" w:name="_Toc508787917"/>
                            <w:bookmarkStart w:id="745" w:name="_Toc508797053"/>
                            <w:bookmarkStart w:id="746" w:name="_Toc508796900"/>
                            <w:bookmarkStart w:id="747" w:name="_Toc508787951"/>
                            <w:bookmarkStart w:id="748" w:name="_Toc508796998"/>
                            <w:bookmarkStart w:id="749" w:name="_Toc508365388"/>
                            <w:r>
                              <w:rPr>
                                <w:rFonts w:hint="eastAsia" w:ascii="宋体" w:hAnsi="宋体" w:eastAsia="宋体"/>
                              </w:rPr>
                              <w:t>附表一   施工总体计划表</w:t>
                            </w:r>
                            <w:bookmarkEnd w:id="744"/>
                            <w:bookmarkEnd w:id="745"/>
                            <w:bookmarkEnd w:id="746"/>
                            <w:bookmarkEnd w:id="747"/>
                            <w:bookmarkEnd w:id="748"/>
                            <w:bookmarkEnd w:id="749"/>
                          </w:p>
                        </w:txbxContent>
                      </v:textbox>
                    </v:shape>
                  </w:pict>
                </mc:Fallback>
              </mc:AlternateContent>
            </w:r>
            <w:r>
              <w:rPr>
                <w:rFonts w:hint="eastAsia" w:ascii="宋体" w:hAnsi="宋体"/>
                <w:i/>
                <w:sz w:val="18"/>
                <w:szCs w:val="18"/>
              </w:rPr>
              <w:t xml:space="preserve">                     </w:t>
            </w:r>
            <w:r>
              <w:rPr>
                <w:rFonts w:hint="eastAsia" w:ascii="宋体" w:hAnsi="宋体"/>
                <w:sz w:val="18"/>
                <w:szCs w:val="18"/>
                <w:u w:val="single"/>
              </w:rPr>
              <w:t xml:space="preserve">     </w:t>
            </w:r>
            <w:r>
              <w:rPr>
                <w:rFonts w:hint="eastAsia" w:ascii="宋体" w:hAnsi="宋体"/>
                <w:sz w:val="18"/>
                <w:szCs w:val="18"/>
              </w:rPr>
              <w:t>年</w:t>
            </w: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12</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11</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3"/>
                <w:szCs w:val="13"/>
              </w:rPr>
            </w:pPr>
            <w:r>
              <w:rPr>
                <w:rFonts w:hint="eastAsia" w:ascii="宋体" w:hAnsi="宋体"/>
                <w:sz w:val="13"/>
                <w:szCs w:val="13"/>
              </w:rPr>
              <w:t>10</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9</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8</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7</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6</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5</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4</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3</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2</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485" w:type="dxa"/>
            <w:gridSpan w:val="2"/>
            <w:vMerge w:val="continue"/>
            <w:textDirection w:val="btLr"/>
          </w:tcPr>
          <w:p>
            <w:pPr>
              <w:spacing w:line="360" w:lineRule="exact"/>
              <w:ind w:left="113" w:right="113"/>
              <w:rPr>
                <w:rFonts w:ascii="宋体" w:hAnsi="宋体"/>
                <w:sz w:val="18"/>
                <w:szCs w:val="18"/>
              </w:rPr>
            </w:pPr>
          </w:p>
        </w:tc>
        <w:tc>
          <w:tcPr>
            <w:tcW w:w="695" w:type="dxa"/>
            <w:textDirection w:val="btLr"/>
          </w:tcPr>
          <w:p>
            <w:pPr>
              <w:spacing w:line="360" w:lineRule="exact"/>
              <w:ind w:left="113" w:right="113"/>
              <w:rPr>
                <w:rFonts w:ascii="宋体" w:hAnsi="宋体"/>
                <w:sz w:val="18"/>
                <w:szCs w:val="18"/>
              </w:rPr>
            </w:pPr>
            <w:r>
              <w:rPr>
                <w:rFonts w:hint="eastAsia" w:ascii="宋体" w:hAnsi="宋体"/>
                <w:sz w:val="18"/>
                <w:szCs w:val="18"/>
              </w:rPr>
              <w:t>1</w:t>
            </w: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6" w:type="dxa"/>
            <w:textDirection w:val="btLr"/>
          </w:tcPr>
          <w:p>
            <w:pPr>
              <w:spacing w:line="360" w:lineRule="exact"/>
              <w:ind w:left="113" w:right="113"/>
              <w:rPr>
                <w:rFonts w:ascii="宋体" w:hAnsi="宋体"/>
              </w:rPr>
            </w:pPr>
          </w:p>
        </w:tc>
        <w:tc>
          <w:tcPr>
            <w:tcW w:w="438" w:type="dxa"/>
            <w:textDirection w:val="btLr"/>
          </w:tcPr>
          <w:p>
            <w:pPr>
              <w:spacing w:line="360" w:lineRule="exact"/>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5" w:hRule="atLeast"/>
          <w:jc w:val="center"/>
        </w:trPr>
        <w:tc>
          <w:tcPr>
            <w:tcW w:w="479" w:type="dxa"/>
            <w:tcBorders>
              <w:top w:val="single" w:color="auto" w:sz="4" w:space="0"/>
            </w:tcBorders>
            <w:textDirection w:val="btLr"/>
          </w:tcPr>
          <w:p>
            <w:pPr>
              <w:spacing w:line="260" w:lineRule="exact"/>
              <w:ind w:left="113" w:leftChars="54" w:firstLine="735" w:firstLineChars="350"/>
              <w:rPr>
                <w:rFonts w:ascii="宋体" w:hAnsi="宋体"/>
              </w:rPr>
            </w:pPr>
            <w:r>
              <w:rPr>
                <w:rFonts w:hint="eastAsia" w:ascii="宋体" w:hAnsi="宋体"/>
              </w:rPr>
              <w:t xml:space="preserve">年 度 </w:t>
            </w:r>
          </w:p>
        </w:tc>
        <w:tc>
          <w:tcPr>
            <w:tcW w:w="701" w:type="dxa"/>
            <w:gridSpan w:val="2"/>
            <w:tcBorders>
              <w:top w:val="single" w:color="auto" w:sz="4" w:space="0"/>
              <w:tr2bl w:val="single" w:color="auto" w:sz="4" w:space="0"/>
            </w:tcBorders>
            <w:textDirection w:val="btLr"/>
            <w:vAlign w:val="center"/>
          </w:tcPr>
          <w:p>
            <w:pPr>
              <w:spacing w:line="360" w:lineRule="exact"/>
              <w:ind w:right="113"/>
              <w:jc w:val="right"/>
              <w:rPr>
                <w:rFonts w:ascii="宋体" w:hAnsi="宋体"/>
                <w:sz w:val="18"/>
                <w:szCs w:val="18"/>
              </w:rPr>
            </w:pPr>
            <w:r>
              <w:rPr>
                <w:rFonts w:hint="eastAsia" w:ascii="宋体" w:hAnsi="宋体"/>
                <w:sz w:val="18"/>
                <w:szCs w:val="18"/>
              </w:rPr>
              <w:t>月 份</w:t>
            </w:r>
          </w:p>
          <w:p>
            <w:r>
              <w:rPr>
                <w:rFonts w:hint="eastAsia"/>
              </w:rPr>
              <w:t>主要工程项目</w:t>
            </w:r>
          </w:p>
        </w:tc>
        <w:tc>
          <w:tcPr>
            <w:tcW w:w="436" w:type="dxa"/>
            <w:tcBorders>
              <w:top w:val="single" w:color="auto" w:sz="4" w:space="0"/>
            </w:tcBorders>
            <w:textDirection w:val="btLr"/>
            <w:vAlign w:val="center"/>
          </w:tc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315" w:firstLineChars="150"/>
              <w:rPr>
                <w:rFonts w:ascii="宋体" w:hAnsi="宋体"/>
              </w:rPr>
            </w:pPr>
          </w:p>
        </w:tc>
        <w:tc>
          <w:tcPr>
            <w:tcW w:w="436" w:type="dxa"/>
            <w:tcBorders>
              <w:top w:val="single" w:color="auto" w:sz="4" w:space="0"/>
            </w:tcBorders>
            <w:textDirection w:val="btLr"/>
            <w:vAlign w:val="center"/>
          </w:tcPr>
          <w:p>
            <w:pPr>
              <w:spacing w:line="360" w:lineRule="exact"/>
              <w:ind w:left="113" w:leftChars="54" w:right="113" w:firstLine="285" w:firstLineChars="150"/>
              <w:rPr>
                <w:rFonts w:ascii="宋体" w:hAnsi="宋体"/>
                <w:spacing w:val="-10"/>
                <w:szCs w:val="21"/>
              </w:rPr>
            </w:pPr>
          </w:p>
        </w:tc>
        <w:tc>
          <w:tcPr>
            <w:tcW w:w="436"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c>
          <w:tcPr>
            <w:tcW w:w="438" w:type="dxa"/>
            <w:tcBorders>
              <w:top w:val="single" w:color="auto" w:sz="4" w:space="0"/>
            </w:tcBorders>
            <w:textDirection w:val="btLr"/>
            <w:vAlign w:val="center"/>
          </w:tcPr>
          <w:p>
            <w:pPr>
              <w:spacing w:line="360" w:lineRule="exact"/>
              <w:ind w:left="113" w:leftChars="54" w:right="113" w:firstLine="210" w:firstLineChars="100"/>
              <w:rPr>
                <w:rFonts w:ascii="宋体" w:hAnsi="宋体"/>
              </w:rPr>
            </w:pPr>
          </w:p>
        </w:tc>
      </w:tr>
    </w:tbl>
    <w:p>
      <w:pPr>
        <w:rPr>
          <w:rFonts w:ascii="宋体" w:hAnsi="宋体"/>
          <w:sz w:val="2"/>
        </w:rPr>
      </w:pPr>
      <w:r>
        <w:rPr>
          <w:rFonts w:ascii="宋体" w:hAnsi="宋体"/>
        </w:rPr>
        <w:br w:type="page"/>
      </w:r>
    </w:p>
    <w:tbl>
      <w:tblPr>
        <w:tblStyle w:val="38"/>
        <w:tblW w:w="95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9"/>
        <w:gridCol w:w="587"/>
        <w:gridCol w:w="408"/>
        <w:gridCol w:w="408"/>
        <w:gridCol w:w="408"/>
        <w:gridCol w:w="408"/>
        <w:gridCol w:w="409"/>
        <w:gridCol w:w="408"/>
        <w:gridCol w:w="408"/>
        <w:gridCol w:w="408"/>
        <w:gridCol w:w="409"/>
        <w:gridCol w:w="408"/>
        <w:gridCol w:w="408"/>
        <w:gridCol w:w="408"/>
        <w:gridCol w:w="409"/>
        <w:gridCol w:w="408"/>
        <w:gridCol w:w="408"/>
        <w:gridCol w:w="408"/>
        <w:gridCol w:w="409"/>
        <w:gridCol w:w="408"/>
        <w:gridCol w:w="408"/>
        <w:gridCol w:w="408"/>
        <w:gridCol w:w="402"/>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389" w:type="dxa"/>
            <w:vMerge w:val="restart"/>
            <w:textDirection w:val="btLr"/>
            <w:vAlign w:val="center"/>
          </w:tcPr>
          <w:p>
            <w:pPr>
              <w:ind w:left="113" w:right="113"/>
              <w:jc w:val="center"/>
              <w:rPr>
                <w:rFonts w:ascii="宋体" w:hAnsi="宋体"/>
              </w:rPr>
            </w:pPr>
            <w:r>
              <w:rPr>
                <w:rFonts w:hint="eastAsia" w:ascii="宋体" w:hAnsi="宋体"/>
              </w:rPr>
              <w:t>____年</w:t>
            </w:r>
          </w:p>
        </w:tc>
        <w:tc>
          <w:tcPr>
            <w:tcW w:w="587" w:type="dxa"/>
            <w:vMerge w:val="restart"/>
            <w:textDirection w:val="btLr"/>
            <w:vAlign w:val="center"/>
          </w:tcPr>
          <w:p>
            <w:pPr>
              <w:ind w:left="113" w:right="113"/>
              <w:jc w:val="center"/>
              <w:rPr>
                <w:rFonts w:ascii="宋体" w:hAnsi="宋体"/>
              </w:rPr>
            </w:pPr>
            <w:r>
              <w:rPr>
                <w:rFonts w:hint="eastAsia" w:ascii="宋体" w:hAnsi="宋体"/>
              </w:rPr>
              <w:t>四</w:t>
            </w:r>
          </w:p>
        </w:tc>
        <w:tc>
          <w:tcPr>
            <w:tcW w:w="408" w:type="dxa"/>
            <w:textDirection w:val="btLr"/>
            <w:vAlign w:val="center"/>
          </w:tcPr>
          <w:p>
            <w:pPr>
              <w:ind w:left="113" w:right="113"/>
              <w:jc w:val="center"/>
              <w:rPr>
                <w:rFonts w:ascii="宋体" w:hAnsi="宋体"/>
              </w:rPr>
            </w:pPr>
            <w:r>
              <w:rPr>
                <w:rFonts w:hint="eastAsia" w:ascii="宋体" w:hAnsi="宋体"/>
              </w:rPr>
              <w:t>…</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10</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三</w:t>
            </w:r>
          </w:p>
        </w:tc>
        <w:tc>
          <w:tcPr>
            <w:tcW w:w="408" w:type="dxa"/>
            <w:textDirection w:val="btLr"/>
            <w:vAlign w:val="center"/>
          </w:tcPr>
          <w:p>
            <w:pPr>
              <w:ind w:left="113" w:right="113"/>
              <w:jc w:val="center"/>
              <w:rPr>
                <w:rFonts w:ascii="宋体" w:hAnsi="宋体"/>
              </w:rPr>
            </w:pPr>
            <w:r>
              <w:rPr>
                <w:rFonts w:hint="eastAsia" w:ascii="宋体" w:hAnsi="宋体"/>
              </w:rPr>
              <w:t>9</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8</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7</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二</w:t>
            </w:r>
          </w:p>
        </w:tc>
        <w:tc>
          <w:tcPr>
            <w:tcW w:w="408" w:type="dxa"/>
            <w:textDirection w:val="btLr"/>
            <w:vAlign w:val="center"/>
          </w:tcPr>
          <w:p>
            <w:pPr>
              <w:ind w:left="113" w:right="113"/>
              <w:jc w:val="center"/>
              <w:rPr>
                <w:rFonts w:ascii="宋体" w:hAnsi="宋体"/>
              </w:rPr>
            </w:pPr>
            <w:r>
              <w:rPr>
                <w:rFonts w:hint="eastAsia" w:ascii="宋体" w:hAnsi="宋体"/>
              </w:rPr>
              <w:t>6</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5</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4</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一</w:t>
            </w:r>
          </w:p>
        </w:tc>
        <w:tc>
          <w:tcPr>
            <w:tcW w:w="408" w:type="dxa"/>
            <w:textDirection w:val="btLr"/>
            <w:vAlign w:val="center"/>
          </w:tcPr>
          <w:p>
            <w:pPr>
              <w:ind w:left="113" w:right="113"/>
              <w:jc w:val="center"/>
              <w:rPr>
                <w:rFonts w:ascii="宋体" w:hAnsi="宋体"/>
              </w:rPr>
            </w:pPr>
            <w:r>
              <w:rPr>
                <w:rFonts w:hint="eastAsia" w:ascii="宋体" w:hAnsi="宋体"/>
              </w:rPr>
              <w:t>3</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2</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1</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restart"/>
            <w:textDirection w:val="btLr"/>
            <w:vAlign w:val="center"/>
          </w:tcPr>
          <w:p>
            <w:pPr>
              <w:ind w:left="113" w:leftChars="54" w:right="113" w:firstLine="315" w:firstLineChars="150"/>
              <w:jc w:val="cente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-417830</wp:posOffset>
                      </wp:positionH>
                      <wp:positionV relativeFrom="paragraph">
                        <wp:posOffset>-2039620</wp:posOffset>
                      </wp:positionV>
                      <wp:extent cx="328930" cy="4358640"/>
                      <wp:effectExtent l="0" t="0" r="0" b="0"/>
                      <wp:wrapNone/>
                      <wp:docPr id="2" name="Text Box 3"/>
                      <wp:cNvGraphicFramePr/>
                      <a:graphic xmlns:a="http://schemas.openxmlformats.org/drawingml/2006/main">
                        <a:graphicData uri="http://schemas.microsoft.com/office/word/2010/wordprocessingShape">
                          <wps:wsp>
                            <wps:cNvSpPr txBox="1"/>
                            <wps:spPr>
                              <a:xfrm>
                                <a:off x="0" y="0"/>
                                <a:ext cx="328930" cy="4358640"/>
                              </a:xfrm>
                              <a:prstGeom prst="rect">
                                <a:avLst/>
                              </a:prstGeom>
                              <a:noFill/>
                              <a:ln>
                                <a:noFill/>
                              </a:ln>
                            </wps:spPr>
                            <wps:txbx>
                              <w:txbxContent>
                                <w:p>
                                  <w:pPr>
                                    <w:rPr>
                                      <w:rFonts w:ascii="宋体" w:hAnsi="宋体"/>
                                      <w:b/>
                                      <w:sz w:val="28"/>
                                      <w:szCs w:val="28"/>
                                    </w:rPr>
                                  </w:pPr>
                                  <w:r>
                                    <w:rPr>
                                      <w:rFonts w:hint="eastAsia" w:ascii="宋体" w:hAnsi="宋体"/>
                                      <w:b/>
                                      <w:sz w:val="28"/>
                                      <w:szCs w:val="28"/>
                                    </w:rPr>
                                    <w:t>附表二  分项工程进度率计划（斜率图）</w:t>
                                  </w:r>
                                </w:p>
                              </w:txbxContent>
                            </wps:txbx>
                            <wps:bodyPr vert="vert270" lIns="0" tIns="0" rIns="0" bIns="0" upright="1"/>
                          </wps:wsp>
                        </a:graphicData>
                      </a:graphic>
                    </wp:anchor>
                  </w:drawing>
                </mc:Choice>
                <mc:Fallback>
                  <w:pict>
                    <v:shape id="Text Box 3" o:spid="_x0000_s1026" o:spt="202" type="#_x0000_t202" style="position:absolute;left:0pt;margin-left:-32.9pt;margin-top:-160.6pt;height:343.2pt;width:25.9pt;z-index:251660288;mso-width-relative:page;mso-height-relative:page;" filled="f" stroked="f" coordsize="21600,21600" o:gfxdata="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BSZt2QAAAAwBAAAPAAAAAAAAAAEAIAAAACIAAABkcnMvZG93bnJldi54bWxQSwECFAAUAAAA&#10;CACHTuJAtIRvVLQBAACAAwAADgAAAAAAAAABACAAAAAoAQAAZHJzL2Uyb0RvYy54bWxQSwUGAAAA&#10;AAYABgBZAQAATgUAAAAA&#10;">
                      <v:fill on="f" focussize="0,0"/>
                      <v:stroke on="f"/>
                      <v:imagedata o:title=""/>
                      <o:lock v:ext="edit" aspectratio="f"/>
                      <v:textbox inset="0mm,0mm,0mm,0mm" style="layout-flow:vertical;mso-layout-flow-alt:bottom-to-top;">
                        <w:txbxContent>
                          <w:p>
                            <w:pPr>
                              <w:rPr>
                                <w:rFonts w:ascii="宋体" w:hAnsi="宋体"/>
                                <w:b/>
                                <w:sz w:val="28"/>
                                <w:szCs w:val="28"/>
                              </w:rPr>
                            </w:pPr>
                            <w:r>
                              <w:rPr>
                                <w:rFonts w:hint="eastAsia" w:ascii="宋体" w:hAnsi="宋体"/>
                                <w:b/>
                                <w:sz w:val="28"/>
                                <w:szCs w:val="28"/>
                              </w:rPr>
                              <w:t>附表二  分项工程进度率计划（斜率图）</w:t>
                            </w:r>
                          </w:p>
                        </w:txbxContent>
                      </v:textbox>
                    </v:shape>
                  </w:pict>
                </mc:Fallback>
              </mc:AlternateContent>
            </w:r>
            <w:r>
              <w:rPr>
                <w:rFonts w:hint="eastAsia" w:ascii="宋体" w:hAnsi="宋体"/>
              </w:rPr>
              <w:t>____年</w:t>
            </w:r>
          </w:p>
        </w:tc>
        <w:tc>
          <w:tcPr>
            <w:tcW w:w="587" w:type="dxa"/>
            <w:vMerge w:val="restart"/>
            <w:textDirection w:val="btLr"/>
            <w:vAlign w:val="center"/>
          </w:tcPr>
          <w:p>
            <w:pPr>
              <w:ind w:left="113" w:right="113"/>
              <w:jc w:val="center"/>
              <w:rPr>
                <w:rFonts w:ascii="宋体" w:hAnsi="宋体"/>
              </w:rPr>
            </w:pPr>
            <w:r>
              <w:rPr>
                <w:rFonts w:hint="eastAsia" w:ascii="宋体" w:hAnsi="宋体"/>
              </w:rPr>
              <w:t>四</w:t>
            </w:r>
          </w:p>
        </w:tc>
        <w:tc>
          <w:tcPr>
            <w:tcW w:w="408" w:type="dxa"/>
            <w:textDirection w:val="btLr"/>
            <w:vAlign w:val="center"/>
          </w:tcPr>
          <w:p>
            <w:pPr>
              <w:ind w:left="113" w:right="113"/>
              <w:jc w:val="center"/>
              <w:rPr>
                <w:rFonts w:ascii="宋体" w:hAnsi="宋体"/>
              </w:rPr>
            </w:pPr>
            <w:r>
              <w:rPr>
                <w:rFonts w:hint="eastAsia" w:ascii="宋体" w:hAnsi="宋体"/>
              </w:rPr>
              <w:t>12</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11</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10</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三</w:t>
            </w:r>
          </w:p>
        </w:tc>
        <w:tc>
          <w:tcPr>
            <w:tcW w:w="408" w:type="dxa"/>
            <w:textDirection w:val="btLr"/>
            <w:vAlign w:val="center"/>
          </w:tcPr>
          <w:p>
            <w:pPr>
              <w:ind w:left="113" w:right="113"/>
              <w:jc w:val="center"/>
              <w:rPr>
                <w:rFonts w:ascii="宋体" w:hAnsi="宋体"/>
              </w:rPr>
            </w:pPr>
            <w:r>
              <w:rPr>
                <w:rFonts w:hint="eastAsia" w:ascii="宋体" w:hAnsi="宋体"/>
              </w:rPr>
              <w:t>9</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140335</wp:posOffset>
                      </wp:positionH>
                      <wp:positionV relativeFrom="paragraph">
                        <wp:posOffset>-71120</wp:posOffset>
                      </wp:positionV>
                      <wp:extent cx="654050" cy="4358640"/>
                      <wp:effectExtent l="0" t="0" r="0" b="0"/>
                      <wp:wrapNone/>
                      <wp:docPr id="3" name="Text Box 4"/>
                      <wp:cNvGraphicFramePr/>
                      <a:graphic xmlns:a="http://schemas.openxmlformats.org/drawingml/2006/main">
                        <a:graphicData uri="http://schemas.microsoft.com/office/word/2010/wordprocessingShape">
                          <wps:wsp>
                            <wps:cNvSpPr txBox="1"/>
                            <wps:spPr>
                              <a:xfrm>
                                <a:off x="0" y="0"/>
                                <a:ext cx="654050" cy="4358640"/>
                              </a:xfrm>
                              <a:prstGeom prst="rect">
                                <a:avLst/>
                              </a:prstGeom>
                              <a:noFill/>
                              <a:ln>
                                <a:noFill/>
                              </a:ln>
                            </wps:spPr>
                            <wps:txbx>
                              <w:txbxContent>
                                <w:p>
                                  <w:pPr>
                                    <w:rPr>
                                      <w:rFonts w:ascii="黑体" w:eastAsia="黑体"/>
                                      <w:szCs w:val="21"/>
                                    </w:rPr>
                                  </w:pPr>
                                  <w:r>
                                    <w:rPr>
                                      <w:rFonts w:hint="eastAsia" w:ascii="黑体" w:eastAsia="黑体"/>
                                      <w:szCs w:val="21"/>
                                    </w:rPr>
                                    <w:t>注：1.应按各标段实际工程内容填写。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wps:txbx>
                            <wps:bodyPr vert="vert270" upright="1"/>
                          </wps:wsp>
                        </a:graphicData>
                      </a:graphic>
                    </wp:anchor>
                  </w:drawing>
                </mc:Choice>
                <mc:Fallback>
                  <w:pict>
                    <v:shape id="Text Box 4" o:spid="_x0000_s1026" o:spt="202" type="#_x0000_t202" style="position:absolute;left:0pt;margin-left:11.05pt;margin-top:-5.6pt;height:343.2pt;width:51.5pt;z-index:251661312;mso-width-relative:page;mso-height-relative:page;" filled="f" stroked="f" coordsize="21600,21600" o:gfxdata="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n/fNdkAAAAKAQAA&#10;DwAAAAAAAAABACAAAAAiAAAAZHJzL2Rvd25yZXYueG1sUEsBAhQAFAAAAAgAh07iQFOEtuGmAQAA&#10;XAMAAA4AAAAAAAAAAQAgAAAAKAEAAGRycy9lMm9Eb2MueG1sUEsFBgAAAAAGAAYAWQEAAEAFAAAA&#10;AA==&#10;">
                      <v:fill on="f" focussize="0,0"/>
                      <v:stroke on="f"/>
                      <v:imagedata o:title=""/>
                      <o:lock v:ext="edit" aspectratio="f"/>
                      <v:textbox style="layout-flow:vertical;mso-layout-flow-alt:bottom-to-top;">
                        <w:txbxContent>
                          <w:p>
                            <w:pPr>
                              <w:rPr>
                                <w:rFonts w:ascii="黑体" w:eastAsia="黑体"/>
                                <w:szCs w:val="21"/>
                              </w:rPr>
                            </w:pPr>
                            <w:r>
                              <w:rPr>
                                <w:rFonts w:hint="eastAsia" w:ascii="黑体" w:eastAsia="黑体"/>
                                <w:szCs w:val="21"/>
                              </w:rPr>
                              <w:t>注：1.应按各标段实际工程内容填写。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v:textbox>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8</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7</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二</w:t>
            </w:r>
          </w:p>
        </w:tc>
        <w:tc>
          <w:tcPr>
            <w:tcW w:w="408" w:type="dxa"/>
            <w:textDirection w:val="btLr"/>
            <w:vAlign w:val="center"/>
          </w:tcPr>
          <w:p>
            <w:pPr>
              <w:ind w:left="113" w:right="113"/>
              <w:jc w:val="center"/>
              <w:rPr>
                <w:rFonts w:ascii="宋体" w:hAnsi="宋体"/>
              </w:rPr>
            </w:pPr>
            <w:r>
              <w:rPr>
                <w:rFonts w:hint="eastAsia" w:ascii="宋体" w:hAnsi="宋体"/>
              </w:rPr>
              <w:t>6</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5</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vAlign w:val="center"/>
          </w:tcPr>
          <w:p>
            <w:pPr>
              <w:ind w:left="113" w:right="113"/>
              <w:jc w:val="center"/>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4</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restart"/>
            <w:textDirection w:val="btLr"/>
            <w:vAlign w:val="center"/>
          </w:tcPr>
          <w:p>
            <w:pPr>
              <w:ind w:left="113" w:right="113"/>
              <w:jc w:val="center"/>
              <w:rPr>
                <w:rFonts w:ascii="宋体" w:hAnsi="宋体"/>
              </w:rPr>
            </w:pPr>
            <w:r>
              <w:rPr>
                <w:rFonts w:hint="eastAsia" w:ascii="宋体" w:hAnsi="宋体"/>
              </w:rPr>
              <w:t>一</w:t>
            </w:r>
          </w:p>
        </w:tc>
        <w:tc>
          <w:tcPr>
            <w:tcW w:w="408" w:type="dxa"/>
            <w:textDirection w:val="btLr"/>
            <w:vAlign w:val="center"/>
          </w:tcPr>
          <w:p>
            <w:pPr>
              <w:ind w:left="113" w:right="113"/>
              <w:jc w:val="center"/>
              <w:rPr>
                <w:rFonts w:ascii="宋体" w:hAnsi="宋体"/>
              </w:rPr>
            </w:pPr>
            <w:r>
              <w:rPr>
                <w:rFonts w:hint="eastAsia" w:ascii="宋体" w:hAnsi="宋体"/>
              </w:rPr>
              <w:t>3</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tcPr>
          <w:p>
            <w:pPr>
              <w:ind w:left="113" w:right="113"/>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2</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389" w:type="dxa"/>
            <w:vMerge w:val="continue"/>
            <w:textDirection w:val="btLr"/>
          </w:tcPr>
          <w:p>
            <w:pPr>
              <w:ind w:left="113" w:right="113"/>
              <w:rPr>
                <w:rFonts w:ascii="宋体" w:hAnsi="宋体"/>
              </w:rPr>
            </w:pPr>
          </w:p>
        </w:tc>
        <w:tc>
          <w:tcPr>
            <w:tcW w:w="587" w:type="dxa"/>
            <w:vMerge w:val="continue"/>
            <w:textDirection w:val="btLr"/>
          </w:tcPr>
          <w:p>
            <w:pPr>
              <w:ind w:left="113" w:right="113"/>
              <w:rPr>
                <w:rFonts w:ascii="宋体" w:hAnsi="宋体"/>
              </w:rPr>
            </w:pPr>
          </w:p>
        </w:tc>
        <w:tc>
          <w:tcPr>
            <w:tcW w:w="408" w:type="dxa"/>
            <w:textDirection w:val="btLr"/>
            <w:vAlign w:val="center"/>
          </w:tcPr>
          <w:p>
            <w:pPr>
              <w:ind w:left="113" w:right="113"/>
              <w:jc w:val="center"/>
              <w:rPr>
                <w:rFonts w:ascii="宋体" w:hAnsi="宋体"/>
              </w:rPr>
            </w:pPr>
            <w:r>
              <w:rPr>
                <w:rFonts w:hint="eastAsia" w:ascii="宋体" w:hAnsi="宋体"/>
              </w:rPr>
              <w:t>1</w:t>
            </w: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8" w:type="dxa"/>
            <w:textDirection w:val="btLr"/>
          </w:tcPr>
          <w:p>
            <w:pPr>
              <w:ind w:left="113" w:right="113"/>
              <w:rPr>
                <w:rFonts w:ascii="宋体" w:hAnsi="宋体"/>
              </w:rPr>
            </w:pPr>
          </w:p>
        </w:tc>
        <w:tc>
          <w:tcPr>
            <w:tcW w:w="409" w:type="dxa"/>
            <w:gridSpan w:val="2"/>
            <w:textDirection w:val="btLr"/>
          </w:tcPr>
          <w:p>
            <w:pPr>
              <w:ind w:left="113" w:right="11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3571" w:hRule="atLeast"/>
          <w:jc w:val="center"/>
        </w:trPr>
        <w:tc>
          <w:tcPr>
            <w:tcW w:w="389" w:type="dxa"/>
            <w:textDirection w:val="btLr"/>
          </w:tcPr>
          <w:p>
            <w:pPr>
              <w:ind w:left="113" w:right="113"/>
              <w:jc w:val="center"/>
              <w:rPr>
                <w:rFonts w:ascii="宋体" w:hAnsi="宋体"/>
              </w:rPr>
            </w:pPr>
            <w:r>
              <w:rPr>
                <w:rFonts w:hint="eastAsia" w:ascii="宋体" w:hAnsi="宋体"/>
              </w:rPr>
              <w:t>年 度</w:t>
            </w:r>
          </w:p>
        </w:tc>
        <w:tc>
          <w:tcPr>
            <w:tcW w:w="587" w:type="dxa"/>
            <w:textDirection w:val="btLr"/>
          </w:tcPr>
          <w:p>
            <w:pPr>
              <w:ind w:left="113" w:right="113"/>
              <w:jc w:val="center"/>
              <w:rPr>
                <w:rFonts w:ascii="宋体" w:hAnsi="宋体"/>
              </w:rPr>
            </w:pPr>
            <w:r>
              <w:rPr>
                <w:rFonts w:hint="eastAsia" w:ascii="宋体" w:hAnsi="宋体"/>
              </w:rPr>
              <w:t>季 度</w:t>
            </w:r>
          </w:p>
        </w:tc>
        <w:tc>
          <w:tcPr>
            <w:tcW w:w="408" w:type="dxa"/>
            <w:textDirection w:val="btLr"/>
          </w:tcPr>
          <w:p>
            <w:pPr>
              <w:ind w:left="113" w:right="113"/>
              <w:jc w:val="center"/>
              <w:rPr>
                <w:rFonts w:ascii="宋体" w:hAnsi="宋体"/>
              </w:rPr>
            </w:pPr>
            <w:r>
              <w:rPr>
                <w:rFonts w:hint="eastAsia" w:ascii="宋体" w:hAnsi="宋体"/>
              </w:rPr>
              <w:t>月 份</w:t>
            </w:r>
          </w:p>
        </w:tc>
        <w:tc>
          <w:tcPr>
            <w:tcW w:w="8158" w:type="dxa"/>
            <w:gridSpan w:val="20"/>
            <w:textDirection w:val="btLr"/>
          </w:tcPr>
          <w:p>
            <w:pPr>
              <w:wordWrap w:val="0"/>
              <w:spacing w:line="400" w:lineRule="exact"/>
              <w:ind w:left="113" w:right="8"/>
              <w:jc w:val="right"/>
              <w:rPr>
                <w:rFonts w:ascii="宋体" w:hAnsi="宋体"/>
              </w:rPr>
            </w:pPr>
            <w:r>
              <w:rPr>
                <w:rFonts w:hint="eastAsia" w:ascii="宋体" w:hAnsi="宋体"/>
              </w:rPr>
              <w:t xml:space="preserve">   100（%）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90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80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70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60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50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40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30</w:t>
            </w:r>
          </w:p>
          <w:p>
            <w:pPr>
              <w:spacing w:line="400" w:lineRule="exact"/>
              <w:ind w:left="113" w:right="113"/>
              <w:jc w:val="right"/>
              <w:rPr>
                <w:rFonts w:ascii="宋体" w:hAnsi="宋体"/>
              </w:rPr>
            </w:pPr>
            <w:r>
              <w:rPr>
                <w:rFonts w:hint="eastAsia" w:ascii="宋体" w:hAnsi="宋体"/>
              </w:rPr>
              <w:t xml:space="preserve"> </w:t>
            </w:r>
          </w:p>
          <w:p>
            <w:pPr>
              <w:spacing w:line="400" w:lineRule="exact"/>
              <w:ind w:left="113" w:right="113"/>
              <w:jc w:val="right"/>
              <w:rPr>
                <w:rFonts w:ascii="宋体" w:hAnsi="宋体"/>
              </w:rPr>
            </w:pPr>
            <w:r>
              <w:rPr>
                <w:rFonts w:hint="eastAsia" w:ascii="宋体" w:hAnsi="宋体"/>
              </w:rPr>
              <w:t>20</w:t>
            </w:r>
          </w:p>
          <w:p>
            <w:pPr>
              <w:spacing w:line="400" w:lineRule="exact"/>
              <w:ind w:left="113" w:right="113"/>
              <w:jc w:val="right"/>
              <w:rPr>
                <w:rFonts w:ascii="宋体" w:hAnsi="宋体"/>
              </w:rPr>
            </w:pPr>
          </w:p>
          <w:p>
            <w:pPr>
              <w:spacing w:line="400" w:lineRule="exact"/>
              <w:ind w:left="113" w:right="113"/>
              <w:jc w:val="right"/>
              <w:rPr>
                <w:rFonts w:ascii="宋体" w:hAnsi="宋体"/>
              </w:rPr>
            </w:pPr>
            <w:r>
              <w:rPr>
                <w:rFonts w:hint="eastAsia" w:ascii="宋体" w:hAnsi="宋体"/>
              </w:rPr>
              <w:t>10</w:t>
            </w:r>
          </w:p>
        </w:tc>
      </w:tr>
    </w:tbl>
    <w:p>
      <w:pPr>
        <w:spacing w:line="360" w:lineRule="auto"/>
        <w:rPr>
          <w:rFonts w:ascii="宋体" w:hAnsi="宋体"/>
          <w:b/>
          <w:sz w:val="28"/>
          <w:szCs w:val="28"/>
        </w:rPr>
      </w:pPr>
      <w:r>
        <w:br w:type="page"/>
      </w:r>
      <w:bookmarkStart w:id="678" w:name="_Toc234348996"/>
      <w:bookmarkStart w:id="679" w:name="_Toc234349570"/>
      <w:r>
        <w:rPr>
          <w:rFonts w:hint="eastAsia" w:ascii="宋体" w:hAnsi="宋体"/>
          <w:b/>
          <w:sz w:val="28"/>
          <w:szCs w:val="28"/>
        </w:rPr>
        <w:t>附表三  工程管理曲线</w:t>
      </w:r>
      <w:bookmarkEnd w:id="678"/>
      <w:bookmarkEnd w:id="679"/>
    </w:p>
    <w:tbl>
      <w:tblPr>
        <w:tblStyle w:val="38"/>
        <w:tblW w:w="92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9"/>
        <w:gridCol w:w="377"/>
        <w:gridCol w:w="381"/>
        <w:gridCol w:w="382"/>
        <w:gridCol w:w="381"/>
        <w:gridCol w:w="381"/>
        <w:gridCol w:w="380"/>
        <w:gridCol w:w="381"/>
        <w:gridCol w:w="380"/>
        <w:gridCol w:w="381"/>
        <w:gridCol w:w="381"/>
        <w:gridCol w:w="380"/>
        <w:gridCol w:w="385"/>
        <w:gridCol w:w="380"/>
        <w:gridCol w:w="381"/>
        <w:gridCol w:w="375"/>
        <w:gridCol w:w="6"/>
        <w:gridCol w:w="380"/>
        <w:gridCol w:w="381"/>
        <w:gridCol w:w="381"/>
        <w:gridCol w:w="381"/>
        <w:gridCol w:w="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 w:hRule="atLeast"/>
        </w:trPr>
        <w:tc>
          <w:tcPr>
            <w:tcW w:w="1619" w:type="dxa"/>
            <w:vMerge w:val="restart"/>
            <w:tcMar>
              <w:left w:w="0" w:type="dxa"/>
              <w:right w:w="0" w:type="dxa"/>
            </w:tcMar>
          </w:tcPr>
          <w:p>
            <w:pPr>
              <w:ind w:firstLine="420" w:firstLineChars="200"/>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-10795</wp:posOffset>
                      </wp:positionH>
                      <wp:positionV relativeFrom="paragraph">
                        <wp:posOffset>-23495</wp:posOffset>
                      </wp:positionV>
                      <wp:extent cx="1144270" cy="6460490"/>
                      <wp:effectExtent l="0" t="0" r="0" b="0"/>
                      <wp:wrapNone/>
                      <wp:docPr id="11" name="Group 6"/>
                      <wp:cNvGraphicFramePr/>
                      <a:graphic xmlns:a="http://schemas.openxmlformats.org/drawingml/2006/main">
                        <a:graphicData uri="http://schemas.microsoft.com/office/word/2010/wordprocessingGroup">
                          <wpg:wgp>
                            <wpg:cNvGrpSpPr/>
                            <wpg:grpSpPr>
                              <a:xfrm>
                                <a:off x="0" y="0"/>
                                <a:ext cx="1144270" cy="6460490"/>
                                <a:chOff x="0" y="0"/>
                                <a:chExt cx="1144270" cy="6460490"/>
                              </a:xfrm>
                            </wpg:grpSpPr>
                            <wps:wsp>
                              <wps:cNvPr id="4" name="Rectangle 7"/>
                              <wps:cNvSpPr/>
                              <wps:spPr>
                                <a:xfrm>
                                  <a:off x="0" y="0"/>
                                  <a:ext cx="0" cy="0"/>
                                </a:xfrm>
                                <a:prstGeom prst="rect">
                                  <a:avLst/>
                                </a:prstGeom>
                                <a:noFill/>
                                <a:ln>
                                  <a:noFill/>
                                </a:ln>
                              </wps:spPr>
                              <wps:txbx>
                                <w:txbxContent>
                                  <w:p>
                                    <w:r>
                                      <w:rPr>
                                        <w:rFonts w:hint="eastAsia"/>
                                      </w:rPr>
                                      <w:t>进   度</w:t>
                                    </w:r>
                                  </w:p>
                                </w:txbxContent>
                              </wps:txbx>
                              <wps:bodyPr upright="1"/>
                            </wps:wsp>
                            <wps:wsp>
                              <wps:cNvPr id="5" name="Rectangle 8"/>
                              <wps:cNvSpPr/>
                              <wps:spPr>
                                <a:xfrm>
                                  <a:off x="0" y="0"/>
                                  <a:ext cx="0" cy="0"/>
                                </a:xfrm>
                                <a:prstGeom prst="rect">
                                  <a:avLst/>
                                </a:prstGeom>
                                <a:noFill/>
                                <a:ln>
                                  <a:noFill/>
                                </a:ln>
                              </wps:spPr>
                              <wps:txbx>
                                <w:txbxContent>
                                  <w:p>
                                    <w:r>
                                      <w:rPr>
                                        <w:rFonts w:hint="eastAsia"/>
                                      </w:rPr>
                                      <w:t>年 度</w:t>
                                    </w:r>
                                  </w:p>
                                </w:txbxContent>
                              </wps:txbx>
                              <wps:bodyPr upright="1"/>
                            </wps:wsp>
                            <wps:wsp>
                              <wps:cNvPr id="6" name="Line 9"/>
                              <wps:cNvCnPr/>
                              <wps:spPr>
                                <a:xfrm>
                                  <a:off x="0" y="0"/>
                                  <a:ext cx="0" cy="0"/>
                                </a:xfrm>
                                <a:prstGeom prst="line">
                                  <a:avLst/>
                                </a:prstGeom>
                                <a:ln w="9525" cap="flat" cmpd="sng">
                                  <a:solidFill>
                                    <a:srgbClr val="000000"/>
                                  </a:solidFill>
                                  <a:prstDash val="solid"/>
                                  <a:headEnd type="none" w="med" len="med"/>
                                  <a:tailEnd type="none" w="med" len="med"/>
                                </a:ln>
                              </wps:spPr>
                              <wps:bodyPr upright="1"/>
                            </wps:wsp>
                            <wps:wsp>
                              <wps:cNvPr id="7" name="Line 10"/>
                              <wps:cNvCnPr/>
                              <wps:spPr>
                                <a:xfrm>
                                  <a:off x="0" y="0"/>
                                  <a:ext cx="0" cy="0"/>
                                </a:xfrm>
                                <a:prstGeom prst="line">
                                  <a:avLst/>
                                </a:prstGeom>
                                <a:ln w="9525" cap="flat" cmpd="sng">
                                  <a:solidFill>
                                    <a:srgbClr val="000000"/>
                                  </a:solidFill>
                                  <a:prstDash val="solid"/>
                                  <a:headEnd type="none" w="med" len="med"/>
                                  <a:tailEnd type="none" w="med" len="med"/>
                                </a:ln>
                              </wps:spPr>
                              <wps:bodyPr upright="1"/>
                            </wps:wsp>
                            <wps:wsp>
                              <wps:cNvPr id="8" name="Text Box 11"/>
                              <wps:cNvSpPr txBox="1"/>
                              <wps:spPr>
                                <a:xfrm>
                                  <a:off x="0" y="0"/>
                                  <a:ext cx="0" cy="1"/>
                                </a:xfrm>
                                <a:prstGeom prst="rect">
                                  <a:avLst/>
                                </a:prstGeom>
                                <a:noFill/>
                                <a:ln>
                                  <a:noFill/>
                                </a:ln>
                              </wps:spPr>
                              <wps:txb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wps:txbx>
                              <wps:bodyPr upright="1"/>
                            </wps:wsp>
                            <wps:wsp>
                              <wps:cNvPr id="9" name="Rectangle 12"/>
                              <wps:cNvSpPr/>
                              <wps:spPr>
                                <a:xfrm>
                                  <a:off x="0" y="0"/>
                                  <a:ext cx="0" cy="0"/>
                                </a:xfrm>
                                <a:prstGeom prst="rect">
                                  <a:avLst/>
                                </a:prstGeom>
                                <a:noFill/>
                                <a:ln>
                                  <a:noFill/>
                                </a:ln>
                              </wps:spPr>
                              <wps:txbx>
                                <w:txbxContent>
                                  <w:p>
                                    <w:pPr>
                                      <w:ind w:firstLine="105" w:firstLineChars="50"/>
                                    </w:pPr>
                                    <w:r>
                                      <w:rPr>
                                        <w:rFonts w:hint="eastAsia"/>
                                      </w:rPr>
                                      <w:t xml:space="preserve">季    </w:t>
                                    </w:r>
                                  </w:p>
                                </w:txbxContent>
                              </wps:txbx>
                              <wps:bodyPr lIns="0" tIns="0" rIns="0" bIns="0" upright="1"/>
                            </wps:wsp>
                            <wps:wsp>
                              <wps:cNvPr id="10" name="Rectangle 13"/>
                              <wps:cNvSpPr/>
                              <wps:spPr>
                                <a:xfrm>
                                  <a:off x="0" y="0"/>
                                  <a:ext cx="0" cy="0"/>
                                </a:xfrm>
                                <a:prstGeom prst="rect">
                                  <a:avLst/>
                                </a:prstGeom>
                                <a:noFill/>
                                <a:ln>
                                  <a:noFill/>
                                </a:ln>
                              </wps:spPr>
                              <wps:txbx>
                                <w:txbxContent>
                                  <w:p>
                                    <w:r>
                                      <w:rPr>
                                        <w:rFonts w:hint="eastAsia"/>
                                      </w:rPr>
                                      <w:t>度</w:t>
                                    </w:r>
                                  </w:p>
                                </w:txbxContent>
                              </wps:txbx>
                              <wps:bodyPr lIns="0" tIns="0" rIns="0" bIns="0" upright="1"/>
                            </wps:wsp>
                          </wpg:wgp>
                        </a:graphicData>
                      </a:graphic>
                    </wp:anchor>
                  </w:drawing>
                </mc:Choice>
                <mc:Fallback>
                  <w:pict>
                    <v:group id="Group 6" o:spid="_x0000_s1026" o:spt="203" style="position:absolute;left:0pt;margin-left:-0.85pt;margin-top:-1.85pt;height:508.7pt;width:90.1pt;z-index:251661312;mso-width-relative:page;mso-height-relative:page;" coordsize="1144270,6460490" o:gfxdata="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JiNq3jXAAAACgEAAA8AAAAAAAAAAQAgAAAAIgAAAGRycy9k&#10;b3ducmV2LnhtbFBLAQIUABQAAAAIAIdO4kBxyxQ45wIAABYOAAAOAAAAAAAAAAEAIAAAACYBAABk&#10;cnMvZTJvRG9jLnhtbFBLBQYAAAAABgAGAFkBAAB/BgAAAAA=&#10;">
                      <o:lock v:ext="edit" aspectratio="f"/>
                      <v:rect id="Rectangle 7" o:spid="_x0000_s1026" o:spt="1" style="position:absolute;left:0;top:0;height:0;width: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进   度</w:t>
                              </w:r>
                            </w:p>
                          </w:txbxContent>
                        </v:textbox>
                      </v:rect>
                      <v:rect id="Rectangle 8" o:spid="_x0000_s1026" o:spt="1" style="position:absolute;left:0;top:0;height:0;width: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年 度</w:t>
                              </w:r>
                            </w:p>
                          </w:txbxContent>
                        </v:textbox>
                      </v:rect>
                      <v:line id="Line 9" o:spid="_x0000_s1026" o:spt="20" style="position:absolute;left:0;top:0;height: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 o:spid="_x0000_s1026" o:spt="20" style="position:absolute;left:0;top:0;height:0;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1" o:spid="_x0000_s1026" o:spt="202" type="#_x0000_t202" style="position:absolute;left:0;top:0;height:1;width: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v:textbox>
                      </v:shape>
                      <v:rect id="Rectangle 12" o:spid="_x0000_s1026" o:spt="1" style="position:absolute;left:0;top:0;height:0;width:0;"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105" w:firstLineChars="50"/>
                              </w:pPr>
                              <w:r>
                                <w:rPr>
                                  <w:rFonts w:hint="eastAsia"/>
                                </w:rPr>
                                <w:t xml:space="preserve">季    </w:t>
                              </w:r>
                            </w:p>
                          </w:txbxContent>
                        </v:textbox>
                      </v:rect>
                      <v:rect id="Rectangle 13" o:spid="_x0000_s1026" o:spt="1" style="position:absolute;left:0;top:0;height:0;width:0;"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度</w:t>
                              </w:r>
                            </w:p>
                          </w:txbxContent>
                        </v:textbox>
                      </v:rect>
                    </v:group>
                  </w:pict>
                </mc:Fallback>
              </mc:AlternateContent>
            </w:r>
            <w:r>
              <w:rPr>
                <w:rFonts w:hint="eastAsia" w:ascii="宋体" w:hAnsi="宋体"/>
              </w:rPr>
              <w:t xml:space="preserve">  </w:t>
            </w:r>
          </w:p>
          <w:p>
            <w:pPr>
              <w:ind w:firstLine="105" w:firstLineChars="50"/>
              <w:rPr>
                <w:rFonts w:ascii="宋体" w:hAnsi="宋体"/>
              </w:rPr>
            </w:pPr>
            <w:r>
              <w:rPr>
                <w:rFonts w:hint="eastAsia" w:ascii="宋体" w:hAnsi="宋体"/>
              </w:rPr>
              <w:t xml:space="preserve"> </w:t>
            </w:r>
          </w:p>
          <w:p>
            <w:pPr>
              <w:ind w:firstLine="315" w:firstLineChars="150"/>
              <w:rPr>
                <w:rFonts w:ascii="宋体" w:hAnsi="宋体"/>
              </w:rPr>
            </w:pPr>
          </w:p>
          <w:p>
            <w:pPr>
              <w:rPr>
                <w:rFonts w:ascii="宋体" w:hAnsi="宋体"/>
              </w:rPr>
            </w:pPr>
          </w:p>
        </w:tc>
        <w:tc>
          <w:tcPr>
            <w:tcW w:w="4570" w:type="dxa"/>
            <w:gridSpan w:val="12"/>
            <w:tcMar>
              <w:left w:w="0" w:type="dxa"/>
              <w:right w:w="0" w:type="dxa"/>
            </w:tcMar>
            <w:vAlign w:val="center"/>
          </w:tcPr>
          <w:p>
            <w:pPr>
              <w:jc w:val="center"/>
              <w:rPr>
                <w:rFonts w:ascii="宋体" w:hAnsi="宋体"/>
              </w:rPr>
            </w:pPr>
            <w:r>
              <w:rPr>
                <w:rFonts w:hint="eastAsia" w:ascii="宋体" w:hAnsi="宋体"/>
              </w:rPr>
              <w:t>_____年</w:t>
            </w:r>
          </w:p>
        </w:tc>
        <w:tc>
          <w:tcPr>
            <w:tcW w:w="3046" w:type="dxa"/>
            <w:gridSpan w:val="9"/>
            <w:tcMar>
              <w:left w:w="0" w:type="dxa"/>
              <w:right w:w="0" w:type="dxa"/>
            </w:tcMar>
            <w:vAlign w:val="center"/>
          </w:tcPr>
          <w:p>
            <w:pPr>
              <w:jc w:val="center"/>
              <w:rPr>
                <w:rFonts w:ascii="宋体" w:hAnsi="宋体"/>
              </w:rPr>
            </w:pPr>
            <w:r>
              <w:rPr>
                <w:rFonts w:hint="eastAsia" w:ascii="宋体" w:hAnsi="宋体"/>
              </w:rPr>
              <w:t>_____年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619" w:type="dxa"/>
            <w:vMerge w:val="continue"/>
            <w:tcMar>
              <w:left w:w="0" w:type="dxa"/>
              <w:right w:w="0" w:type="dxa"/>
            </w:tcMar>
          </w:tcPr>
          <w:p>
            <w:pPr>
              <w:rPr>
                <w:rFonts w:ascii="宋体" w:hAnsi="宋体"/>
              </w:rPr>
            </w:pPr>
          </w:p>
        </w:tc>
        <w:tc>
          <w:tcPr>
            <w:tcW w:w="1140" w:type="dxa"/>
            <w:gridSpan w:val="3"/>
            <w:tcMar>
              <w:left w:w="0" w:type="dxa"/>
              <w:right w:w="0" w:type="dxa"/>
            </w:tcMar>
            <w:vAlign w:val="center"/>
          </w:tcPr>
          <w:p>
            <w:pPr>
              <w:jc w:val="center"/>
              <w:rPr>
                <w:rFonts w:ascii="宋体" w:hAnsi="宋体"/>
              </w:rPr>
            </w:pPr>
            <w:r>
              <w:rPr>
                <w:rFonts w:hint="eastAsia" w:ascii="宋体" w:hAnsi="宋体"/>
              </w:rPr>
              <w:t>一</w:t>
            </w:r>
          </w:p>
        </w:tc>
        <w:tc>
          <w:tcPr>
            <w:tcW w:w="1142" w:type="dxa"/>
            <w:gridSpan w:val="3"/>
            <w:tcMar>
              <w:left w:w="0" w:type="dxa"/>
              <w:right w:w="0" w:type="dxa"/>
            </w:tcMar>
            <w:vAlign w:val="center"/>
          </w:tcPr>
          <w:p>
            <w:pPr>
              <w:jc w:val="center"/>
              <w:rPr>
                <w:rFonts w:ascii="宋体" w:hAnsi="宋体"/>
              </w:rPr>
            </w:pPr>
            <w:r>
              <w:rPr>
                <w:rFonts w:hint="eastAsia" w:ascii="宋体" w:hAnsi="宋体"/>
              </w:rPr>
              <w:t>二</w:t>
            </w:r>
          </w:p>
        </w:tc>
        <w:tc>
          <w:tcPr>
            <w:tcW w:w="1142" w:type="dxa"/>
            <w:gridSpan w:val="3"/>
            <w:tcMar>
              <w:left w:w="0" w:type="dxa"/>
              <w:right w:w="0" w:type="dxa"/>
            </w:tcMar>
            <w:vAlign w:val="center"/>
          </w:tcPr>
          <w:p>
            <w:pPr>
              <w:jc w:val="center"/>
              <w:rPr>
                <w:rFonts w:ascii="宋体" w:hAnsi="宋体"/>
              </w:rPr>
            </w:pPr>
            <w:r>
              <w:rPr>
                <w:rFonts w:hint="eastAsia" w:ascii="宋体" w:hAnsi="宋体"/>
              </w:rPr>
              <w:t>三</w:t>
            </w:r>
          </w:p>
        </w:tc>
        <w:tc>
          <w:tcPr>
            <w:tcW w:w="1146" w:type="dxa"/>
            <w:gridSpan w:val="3"/>
            <w:tcMar>
              <w:left w:w="0" w:type="dxa"/>
              <w:right w:w="0" w:type="dxa"/>
            </w:tcMar>
            <w:vAlign w:val="center"/>
          </w:tcPr>
          <w:p>
            <w:pPr>
              <w:jc w:val="center"/>
              <w:rPr>
                <w:rFonts w:ascii="宋体" w:hAnsi="宋体"/>
              </w:rPr>
            </w:pPr>
            <w:r>
              <w:rPr>
                <w:rFonts w:hint="eastAsia" w:ascii="宋体" w:hAnsi="宋体"/>
              </w:rPr>
              <w:t>四</w:t>
            </w:r>
          </w:p>
        </w:tc>
        <w:tc>
          <w:tcPr>
            <w:tcW w:w="1136" w:type="dxa"/>
            <w:gridSpan w:val="3"/>
            <w:tcMar>
              <w:left w:w="0" w:type="dxa"/>
              <w:right w:w="0" w:type="dxa"/>
            </w:tcMar>
            <w:vAlign w:val="center"/>
          </w:tcPr>
          <w:p>
            <w:pPr>
              <w:jc w:val="center"/>
              <w:rPr>
                <w:rFonts w:ascii="宋体" w:hAnsi="宋体"/>
              </w:rPr>
            </w:pPr>
            <w:r>
              <w:rPr>
                <w:rFonts w:hint="eastAsia" w:ascii="宋体" w:hAnsi="宋体"/>
              </w:rPr>
              <w:t>一</w:t>
            </w:r>
          </w:p>
        </w:tc>
        <w:tc>
          <w:tcPr>
            <w:tcW w:w="1148" w:type="dxa"/>
            <w:gridSpan w:val="4"/>
            <w:tcMar>
              <w:left w:w="0" w:type="dxa"/>
              <w:right w:w="0" w:type="dxa"/>
            </w:tcMar>
            <w:vAlign w:val="center"/>
          </w:tcPr>
          <w:p>
            <w:pPr>
              <w:jc w:val="center"/>
              <w:rPr>
                <w:rFonts w:ascii="宋体" w:hAnsi="宋体"/>
              </w:rPr>
            </w:pPr>
            <w:r>
              <w:rPr>
                <w:rFonts w:hint="eastAsia" w:ascii="宋体" w:hAnsi="宋体"/>
              </w:rPr>
              <w:t>二</w:t>
            </w:r>
          </w:p>
        </w:tc>
        <w:tc>
          <w:tcPr>
            <w:tcW w:w="762" w:type="dxa"/>
            <w:gridSpan w:val="2"/>
            <w:tcMar>
              <w:left w:w="0" w:type="dxa"/>
              <w:right w:w="0" w:type="dxa"/>
            </w:tcMar>
            <w:vAlign w:val="center"/>
          </w:tcPr>
          <w:p>
            <w:pPr>
              <w:jc w:val="center"/>
              <w:rPr>
                <w:rFonts w:ascii="宋体" w:hAnsi="宋体"/>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619" w:type="dxa"/>
            <w:vMerge w:val="continue"/>
            <w:tcMar>
              <w:left w:w="0" w:type="dxa"/>
              <w:right w:w="0" w:type="dxa"/>
            </w:tcMar>
          </w:tcPr>
          <w:p>
            <w:pPr>
              <w:rPr>
                <w:rFonts w:ascii="宋体" w:hAnsi="宋体"/>
              </w:rPr>
            </w:pPr>
          </w:p>
        </w:tc>
        <w:tc>
          <w:tcPr>
            <w:tcW w:w="377" w:type="dxa"/>
            <w:tcMar>
              <w:left w:w="0" w:type="dxa"/>
              <w:right w:w="0" w:type="dxa"/>
            </w:tcMar>
            <w:vAlign w:val="center"/>
          </w:tcPr>
          <w:p>
            <w:pPr>
              <w:jc w:val="center"/>
              <w:rPr>
                <w:rFonts w:ascii="宋体" w:hAnsi="宋体"/>
              </w:rPr>
            </w:pPr>
            <w:r>
              <w:rPr>
                <w:rFonts w:hint="eastAsia" w:ascii="宋体" w:hAnsi="宋体"/>
              </w:rPr>
              <w:t>1</w:t>
            </w:r>
          </w:p>
        </w:tc>
        <w:tc>
          <w:tcPr>
            <w:tcW w:w="381" w:type="dxa"/>
            <w:tcMar>
              <w:left w:w="0" w:type="dxa"/>
              <w:right w:w="0" w:type="dxa"/>
            </w:tcMar>
            <w:vAlign w:val="center"/>
          </w:tcPr>
          <w:p>
            <w:pPr>
              <w:jc w:val="center"/>
              <w:rPr>
                <w:rFonts w:ascii="宋体" w:hAnsi="宋体"/>
              </w:rPr>
            </w:pPr>
            <w:r>
              <w:rPr>
                <w:rFonts w:hint="eastAsia" w:ascii="宋体" w:hAnsi="宋体"/>
              </w:rPr>
              <w:t>2</w:t>
            </w:r>
          </w:p>
        </w:tc>
        <w:tc>
          <w:tcPr>
            <w:tcW w:w="382" w:type="dxa"/>
            <w:tcMar>
              <w:left w:w="0" w:type="dxa"/>
              <w:right w:w="0" w:type="dxa"/>
            </w:tcMar>
            <w:vAlign w:val="center"/>
          </w:tcPr>
          <w:p>
            <w:pPr>
              <w:jc w:val="center"/>
              <w:rPr>
                <w:rFonts w:ascii="宋体" w:hAnsi="宋体"/>
              </w:rPr>
            </w:pPr>
            <w:r>
              <w:rPr>
                <w:rFonts w:hint="eastAsia" w:ascii="宋体" w:hAnsi="宋体"/>
              </w:rPr>
              <w:t>3</w:t>
            </w:r>
          </w:p>
        </w:tc>
        <w:tc>
          <w:tcPr>
            <w:tcW w:w="381" w:type="dxa"/>
            <w:tcMar>
              <w:left w:w="0" w:type="dxa"/>
              <w:right w:w="0" w:type="dxa"/>
            </w:tcMar>
            <w:vAlign w:val="center"/>
          </w:tcPr>
          <w:p>
            <w:pPr>
              <w:jc w:val="center"/>
              <w:rPr>
                <w:rFonts w:ascii="宋体" w:hAnsi="宋体"/>
              </w:rPr>
            </w:pPr>
            <w:r>
              <w:rPr>
                <w:rFonts w:hint="eastAsia" w:ascii="宋体" w:hAnsi="宋体"/>
              </w:rPr>
              <w:t>4</w:t>
            </w:r>
          </w:p>
        </w:tc>
        <w:tc>
          <w:tcPr>
            <w:tcW w:w="381" w:type="dxa"/>
            <w:tcMar>
              <w:left w:w="0" w:type="dxa"/>
              <w:right w:w="0" w:type="dxa"/>
            </w:tcMar>
            <w:vAlign w:val="center"/>
          </w:tcPr>
          <w:p>
            <w:pPr>
              <w:jc w:val="center"/>
              <w:rPr>
                <w:rFonts w:ascii="宋体" w:hAnsi="宋体"/>
              </w:rPr>
            </w:pPr>
            <w:r>
              <w:rPr>
                <w:rFonts w:hint="eastAsia" w:ascii="宋体" w:hAnsi="宋体"/>
              </w:rPr>
              <w:t>5</w:t>
            </w:r>
          </w:p>
        </w:tc>
        <w:tc>
          <w:tcPr>
            <w:tcW w:w="380" w:type="dxa"/>
            <w:tcMar>
              <w:left w:w="0" w:type="dxa"/>
              <w:right w:w="0" w:type="dxa"/>
            </w:tcMar>
            <w:vAlign w:val="center"/>
          </w:tcPr>
          <w:p>
            <w:pPr>
              <w:jc w:val="center"/>
              <w:rPr>
                <w:rFonts w:ascii="宋体" w:hAnsi="宋体"/>
              </w:rPr>
            </w:pPr>
            <w:r>
              <w:rPr>
                <w:rFonts w:hint="eastAsia" w:ascii="宋体" w:hAnsi="宋体"/>
              </w:rPr>
              <w:t>6</w:t>
            </w:r>
          </w:p>
        </w:tc>
        <w:tc>
          <w:tcPr>
            <w:tcW w:w="381" w:type="dxa"/>
            <w:tcMar>
              <w:left w:w="0" w:type="dxa"/>
              <w:right w:w="0" w:type="dxa"/>
            </w:tcMar>
            <w:vAlign w:val="center"/>
          </w:tcPr>
          <w:p>
            <w:pPr>
              <w:jc w:val="center"/>
              <w:rPr>
                <w:rFonts w:ascii="宋体" w:hAnsi="宋体"/>
              </w:rPr>
            </w:pPr>
            <w:r>
              <w:rPr>
                <w:rFonts w:hint="eastAsia" w:ascii="宋体" w:hAnsi="宋体"/>
              </w:rPr>
              <w:t>7</w:t>
            </w:r>
          </w:p>
        </w:tc>
        <w:tc>
          <w:tcPr>
            <w:tcW w:w="380" w:type="dxa"/>
            <w:tcMar>
              <w:left w:w="0" w:type="dxa"/>
              <w:right w:w="0" w:type="dxa"/>
            </w:tcMar>
            <w:vAlign w:val="center"/>
          </w:tcPr>
          <w:p>
            <w:pPr>
              <w:jc w:val="center"/>
              <w:rPr>
                <w:rFonts w:ascii="宋体" w:hAnsi="宋体"/>
              </w:rPr>
            </w:pPr>
            <w:r>
              <w:rPr>
                <w:rFonts w:hint="eastAsia" w:ascii="宋体" w:hAnsi="宋体"/>
              </w:rPr>
              <w:t>8</w:t>
            </w:r>
          </w:p>
        </w:tc>
        <w:tc>
          <w:tcPr>
            <w:tcW w:w="381" w:type="dxa"/>
            <w:tcMar>
              <w:left w:w="0" w:type="dxa"/>
              <w:right w:w="0" w:type="dxa"/>
            </w:tcMar>
            <w:vAlign w:val="center"/>
          </w:tcPr>
          <w:p>
            <w:pPr>
              <w:jc w:val="center"/>
              <w:rPr>
                <w:rFonts w:ascii="宋体" w:hAnsi="宋体"/>
              </w:rPr>
            </w:pPr>
            <w:r>
              <w:rPr>
                <w:rFonts w:hint="eastAsia" w:ascii="宋体" w:hAnsi="宋体"/>
              </w:rPr>
              <w:t>9</w:t>
            </w:r>
          </w:p>
        </w:tc>
        <w:tc>
          <w:tcPr>
            <w:tcW w:w="381" w:type="dxa"/>
            <w:tcMar>
              <w:left w:w="0" w:type="dxa"/>
              <w:right w:w="0" w:type="dxa"/>
            </w:tcMar>
            <w:vAlign w:val="center"/>
          </w:tcPr>
          <w:p>
            <w:pPr>
              <w:jc w:val="center"/>
              <w:rPr>
                <w:rFonts w:ascii="宋体" w:hAnsi="宋体"/>
              </w:rPr>
            </w:pPr>
            <w:r>
              <w:rPr>
                <w:rFonts w:hint="eastAsia" w:ascii="宋体" w:hAnsi="宋体"/>
              </w:rPr>
              <w:t>10</w:t>
            </w:r>
          </w:p>
        </w:tc>
        <w:tc>
          <w:tcPr>
            <w:tcW w:w="380" w:type="dxa"/>
            <w:tcMar>
              <w:left w:w="0" w:type="dxa"/>
              <w:right w:w="0" w:type="dxa"/>
            </w:tcMar>
            <w:vAlign w:val="center"/>
          </w:tcPr>
          <w:p>
            <w:pPr>
              <w:jc w:val="center"/>
              <w:rPr>
                <w:rFonts w:ascii="宋体" w:hAnsi="宋体"/>
              </w:rPr>
            </w:pPr>
            <w:r>
              <w:rPr>
                <w:rFonts w:hint="eastAsia" w:ascii="宋体" w:hAnsi="宋体"/>
              </w:rPr>
              <w:t>11</w:t>
            </w:r>
          </w:p>
        </w:tc>
        <w:tc>
          <w:tcPr>
            <w:tcW w:w="385" w:type="dxa"/>
            <w:tcMar>
              <w:left w:w="0" w:type="dxa"/>
              <w:right w:w="0" w:type="dxa"/>
            </w:tcMar>
            <w:vAlign w:val="center"/>
          </w:tcPr>
          <w:p>
            <w:pPr>
              <w:jc w:val="center"/>
              <w:rPr>
                <w:rFonts w:ascii="宋体" w:hAnsi="宋体"/>
              </w:rPr>
            </w:pPr>
            <w:r>
              <w:rPr>
                <w:rFonts w:hint="eastAsia" w:ascii="宋体" w:hAnsi="宋体"/>
              </w:rPr>
              <w:t>12</w:t>
            </w:r>
          </w:p>
        </w:tc>
        <w:tc>
          <w:tcPr>
            <w:tcW w:w="380" w:type="dxa"/>
            <w:tcMar>
              <w:left w:w="0" w:type="dxa"/>
              <w:right w:w="0" w:type="dxa"/>
            </w:tcMar>
            <w:vAlign w:val="center"/>
          </w:tcPr>
          <w:p>
            <w:pPr>
              <w:jc w:val="center"/>
              <w:rPr>
                <w:rFonts w:ascii="宋体" w:hAnsi="宋体"/>
              </w:rPr>
            </w:pPr>
            <w:r>
              <w:rPr>
                <w:rFonts w:hint="eastAsia" w:ascii="宋体" w:hAnsi="宋体"/>
              </w:rPr>
              <w:t>1</w:t>
            </w:r>
          </w:p>
        </w:tc>
        <w:tc>
          <w:tcPr>
            <w:tcW w:w="381" w:type="dxa"/>
            <w:tcMar>
              <w:left w:w="0" w:type="dxa"/>
              <w:right w:w="0" w:type="dxa"/>
            </w:tcMar>
            <w:vAlign w:val="center"/>
          </w:tcPr>
          <w:p>
            <w:pPr>
              <w:jc w:val="center"/>
              <w:rPr>
                <w:rFonts w:ascii="宋体" w:hAnsi="宋体"/>
              </w:rPr>
            </w:pPr>
            <w:r>
              <w:rPr>
                <w:rFonts w:hint="eastAsia" w:ascii="宋体" w:hAnsi="宋体"/>
              </w:rPr>
              <w:t>2</w:t>
            </w:r>
          </w:p>
        </w:tc>
        <w:tc>
          <w:tcPr>
            <w:tcW w:w="381" w:type="dxa"/>
            <w:gridSpan w:val="2"/>
            <w:tcMar>
              <w:left w:w="0" w:type="dxa"/>
              <w:right w:w="0" w:type="dxa"/>
            </w:tcMar>
            <w:vAlign w:val="center"/>
          </w:tcPr>
          <w:p>
            <w:pPr>
              <w:jc w:val="center"/>
              <w:rPr>
                <w:rFonts w:ascii="宋体" w:hAnsi="宋体"/>
              </w:rPr>
            </w:pPr>
            <w:r>
              <w:rPr>
                <w:rFonts w:hint="eastAsia" w:ascii="宋体" w:hAnsi="宋体"/>
              </w:rPr>
              <w:t>3</w:t>
            </w:r>
          </w:p>
        </w:tc>
        <w:tc>
          <w:tcPr>
            <w:tcW w:w="380" w:type="dxa"/>
            <w:tcMar>
              <w:left w:w="0" w:type="dxa"/>
              <w:right w:w="0" w:type="dxa"/>
            </w:tcMar>
            <w:vAlign w:val="center"/>
          </w:tcPr>
          <w:p>
            <w:pPr>
              <w:jc w:val="center"/>
              <w:rPr>
                <w:rFonts w:ascii="宋体" w:hAnsi="宋体"/>
              </w:rPr>
            </w:pPr>
            <w:r>
              <w:rPr>
                <w:rFonts w:hint="eastAsia" w:ascii="宋体" w:hAnsi="宋体"/>
              </w:rPr>
              <w:t>4</w:t>
            </w:r>
          </w:p>
        </w:tc>
        <w:tc>
          <w:tcPr>
            <w:tcW w:w="381" w:type="dxa"/>
            <w:tcMar>
              <w:left w:w="0" w:type="dxa"/>
              <w:right w:w="0" w:type="dxa"/>
            </w:tcMar>
            <w:vAlign w:val="center"/>
          </w:tcPr>
          <w:p>
            <w:pPr>
              <w:jc w:val="center"/>
              <w:rPr>
                <w:rFonts w:ascii="宋体" w:hAnsi="宋体"/>
              </w:rPr>
            </w:pPr>
            <w:r>
              <w:rPr>
                <w:rFonts w:hint="eastAsia" w:ascii="宋体" w:hAnsi="宋体"/>
              </w:rPr>
              <w:t>5</w:t>
            </w:r>
          </w:p>
        </w:tc>
        <w:tc>
          <w:tcPr>
            <w:tcW w:w="381" w:type="dxa"/>
            <w:tcMar>
              <w:left w:w="0" w:type="dxa"/>
              <w:right w:w="0" w:type="dxa"/>
            </w:tcMar>
            <w:vAlign w:val="center"/>
          </w:tcPr>
          <w:p>
            <w:pPr>
              <w:jc w:val="center"/>
              <w:rPr>
                <w:rFonts w:ascii="宋体" w:hAnsi="宋体"/>
              </w:rPr>
            </w:pPr>
            <w:r>
              <w:rPr>
                <w:rFonts w:hint="eastAsia" w:ascii="宋体" w:hAnsi="宋体"/>
              </w:rPr>
              <w:t>6</w:t>
            </w:r>
          </w:p>
        </w:tc>
        <w:tc>
          <w:tcPr>
            <w:tcW w:w="381" w:type="dxa"/>
            <w:tcMar>
              <w:left w:w="0" w:type="dxa"/>
              <w:right w:w="0" w:type="dxa"/>
            </w:tcMar>
            <w:vAlign w:val="center"/>
          </w:tcPr>
          <w:p>
            <w:pPr>
              <w:jc w:val="center"/>
              <w:rPr>
                <w:rFonts w:ascii="宋体" w:hAnsi="宋体"/>
              </w:rPr>
            </w:pPr>
          </w:p>
        </w:tc>
        <w:tc>
          <w:tcPr>
            <w:tcW w:w="381" w:type="dxa"/>
            <w:tcMar>
              <w:left w:w="0" w:type="dxa"/>
              <w:right w:w="0" w:type="dxa"/>
            </w:tcMar>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restart"/>
            <w:tcMar>
              <w:left w:w="0" w:type="dxa"/>
              <w:right w:w="0" w:type="dxa"/>
            </w:tcMar>
          </w:tcPr>
          <w:p>
            <w:pPr>
              <w:ind w:right="21" w:rightChars="10"/>
              <w:jc w:val="right"/>
              <w:rPr>
                <w:rFonts w:ascii="宋体" w:hAnsi="宋体"/>
              </w:rPr>
            </w:pPr>
            <w:r>
              <w:rPr>
                <w:rFonts w:hint="eastAsia" w:ascii="宋体" w:hAnsi="宋体"/>
              </w:rPr>
              <w:t xml:space="preserve">100   </w:t>
            </w:r>
          </w:p>
          <w:p>
            <w:pPr>
              <w:ind w:right="21" w:rightChars="10"/>
              <w:jc w:val="right"/>
              <w:rPr>
                <w:rFonts w:ascii="宋体" w:hAnsi="宋体"/>
              </w:rPr>
            </w:pPr>
          </w:p>
          <w:p>
            <w:pPr>
              <w:ind w:right="21" w:rightChars="10"/>
              <w:jc w:val="right"/>
              <w:rPr>
                <w:rFonts w:ascii="宋体" w:hAnsi="宋体"/>
              </w:rPr>
            </w:pPr>
            <w:r>
              <w:rPr>
                <w:rFonts w:hint="eastAsia" w:ascii="宋体" w:hAnsi="宋体"/>
              </w:rPr>
              <w:t>90</w:t>
            </w:r>
          </w:p>
          <w:p>
            <w:pPr>
              <w:ind w:right="21" w:rightChars="10"/>
              <w:jc w:val="right"/>
              <w:rPr>
                <w:rFonts w:ascii="宋体" w:hAnsi="宋体"/>
              </w:rPr>
            </w:pPr>
          </w:p>
          <w:p>
            <w:pPr>
              <w:ind w:right="21" w:rightChars="10"/>
              <w:jc w:val="right"/>
              <w:rPr>
                <w:rFonts w:ascii="宋体" w:hAnsi="宋体"/>
              </w:rPr>
            </w:pPr>
            <w:r>
              <w:rPr>
                <w:rFonts w:hint="eastAsia" w:ascii="宋体" w:hAnsi="宋体"/>
              </w:rPr>
              <w:t>80</w:t>
            </w:r>
          </w:p>
          <w:p>
            <w:pPr>
              <w:ind w:right="21" w:rightChars="10"/>
              <w:jc w:val="right"/>
              <w:rPr>
                <w:rFonts w:ascii="宋体" w:hAnsi="宋体"/>
              </w:rPr>
            </w:pPr>
          </w:p>
          <w:p>
            <w:pPr>
              <w:ind w:right="21" w:rightChars="10"/>
              <w:jc w:val="right"/>
              <w:rPr>
                <w:rFonts w:ascii="宋体" w:hAnsi="宋体"/>
              </w:rPr>
            </w:pPr>
            <w:r>
              <w:rPr>
                <w:rFonts w:hint="eastAsia" w:ascii="宋体" w:hAnsi="宋体"/>
              </w:rPr>
              <w:t>70</w:t>
            </w:r>
          </w:p>
          <w:p>
            <w:pPr>
              <w:ind w:right="21" w:rightChars="10"/>
              <w:jc w:val="right"/>
              <w:rPr>
                <w:rFonts w:ascii="宋体" w:hAnsi="宋体"/>
              </w:rPr>
            </w:pPr>
          </w:p>
          <w:p>
            <w:pPr>
              <w:ind w:right="21" w:rightChars="10"/>
              <w:jc w:val="right"/>
              <w:rPr>
                <w:rFonts w:ascii="宋体" w:hAnsi="宋体"/>
              </w:rPr>
            </w:pPr>
            <w:r>
              <w:rPr>
                <w:rFonts w:hint="eastAsia" w:ascii="宋体" w:hAnsi="宋体"/>
              </w:rPr>
              <w:t>60</w:t>
            </w:r>
          </w:p>
          <w:p>
            <w:pPr>
              <w:ind w:right="21" w:rightChars="10"/>
              <w:jc w:val="right"/>
              <w:rPr>
                <w:rFonts w:ascii="宋体" w:hAnsi="宋体"/>
              </w:rPr>
            </w:pPr>
          </w:p>
          <w:p>
            <w:pPr>
              <w:ind w:right="21" w:rightChars="10"/>
              <w:jc w:val="right"/>
              <w:rPr>
                <w:rFonts w:ascii="宋体" w:hAnsi="宋体"/>
              </w:rPr>
            </w:pPr>
            <w:r>
              <w:rPr>
                <w:rFonts w:hint="eastAsia" w:ascii="宋体" w:hAnsi="宋体"/>
              </w:rPr>
              <w:t>50</w:t>
            </w:r>
          </w:p>
          <w:p>
            <w:pPr>
              <w:ind w:right="21" w:rightChars="10"/>
              <w:jc w:val="right"/>
              <w:rPr>
                <w:rFonts w:ascii="宋体" w:hAnsi="宋体"/>
              </w:rPr>
            </w:pPr>
          </w:p>
          <w:p>
            <w:pPr>
              <w:ind w:right="21" w:rightChars="10"/>
              <w:jc w:val="right"/>
              <w:rPr>
                <w:rFonts w:ascii="宋体" w:hAnsi="宋体"/>
              </w:rPr>
            </w:pPr>
            <w:r>
              <w:rPr>
                <w:rFonts w:hint="eastAsia" w:ascii="宋体" w:hAnsi="宋体"/>
              </w:rPr>
              <w:t>40</w:t>
            </w:r>
          </w:p>
          <w:p>
            <w:pPr>
              <w:ind w:right="21" w:rightChars="10"/>
              <w:jc w:val="right"/>
              <w:rPr>
                <w:rFonts w:ascii="宋体" w:hAnsi="宋体"/>
              </w:rPr>
            </w:pPr>
          </w:p>
          <w:p>
            <w:pPr>
              <w:ind w:right="21" w:rightChars="10"/>
              <w:jc w:val="right"/>
              <w:rPr>
                <w:rFonts w:ascii="宋体" w:hAnsi="宋体"/>
              </w:rPr>
            </w:pPr>
            <w:r>
              <w:rPr>
                <w:rFonts w:hint="eastAsia" w:ascii="宋体" w:hAnsi="宋体"/>
              </w:rPr>
              <w:t>30</w:t>
            </w:r>
          </w:p>
          <w:p>
            <w:pPr>
              <w:ind w:right="21" w:rightChars="10"/>
              <w:jc w:val="right"/>
              <w:rPr>
                <w:rFonts w:ascii="宋体" w:hAnsi="宋体"/>
              </w:rPr>
            </w:pPr>
          </w:p>
          <w:p>
            <w:pPr>
              <w:ind w:right="21" w:rightChars="10"/>
              <w:jc w:val="right"/>
              <w:rPr>
                <w:rFonts w:ascii="宋体" w:hAnsi="宋体"/>
              </w:rPr>
            </w:pPr>
            <w:r>
              <w:rPr>
                <w:rFonts w:hint="eastAsia" w:ascii="宋体" w:hAnsi="宋体"/>
              </w:rPr>
              <w:t>20</w:t>
            </w:r>
          </w:p>
          <w:p>
            <w:pPr>
              <w:ind w:right="21" w:rightChars="10"/>
              <w:jc w:val="right"/>
              <w:rPr>
                <w:rFonts w:ascii="宋体" w:hAnsi="宋体"/>
              </w:rPr>
            </w:pPr>
          </w:p>
          <w:p>
            <w:pPr>
              <w:ind w:right="21" w:rightChars="10"/>
              <w:jc w:val="right"/>
              <w:rPr>
                <w:rFonts w:ascii="宋体" w:hAnsi="宋体"/>
              </w:rPr>
            </w:pPr>
            <w:r>
              <w:rPr>
                <w:rFonts w:hint="eastAsia" w:ascii="宋体" w:hAnsi="宋体"/>
              </w:rPr>
              <w:t>10</w:t>
            </w: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19" w:type="dxa"/>
            <w:vMerge w:val="continue"/>
            <w:tcMar>
              <w:left w:w="0" w:type="dxa"/>
              <w:right w:w="0" w:type="dxa"/>
            </w:tcMar>
          </w:tcPr>
          <w:p>
            <w:pPr>
              <w:rPr>
                <w:rFonts w:ascii="宋体" w:hAnsi="宋体"/>
              </w:rPr>
            </w:pPr>
          </w:p>
        </w:tc>
        <w:tc>
          <w:tcPr>
            <w:tcW w:w="377"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2"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5" w:type="dxa"/>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gridSpan w:val="2"/>
            <w:tcMar>
              <w:left w:w="0" w:type="dxa"/>
              <w:right w:w="0" w:type="dxa"/>
            </w:tcMar>
          </w:tcPr>
          <w:p>
            <w:pPr>
              <w:rPr>
                <w:rFonts w:ascii="宋体" w:hAnsi="宋体"/>
              </w:rPr>
            </w:pPr>
          </w:p>
        </w:tc>
        <w:tc>
          <w:tcPr>
            <w:tcW w:w="380"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c>
          <w:tcPr>
            <w:tcW w:w="381" w:type="dxa"/>
            <w:tcMar>
              <w:left w:w="0" w:type="dxa"/>
              <w:right w:w="0" w:type="dxa"/>
            </w:tcMar>
          </w:tcPr>
          <w:p>
            <w:pPr>
              <w:rPr>
                <w:rFonts w:ascii="宋体" w:hAnsi="宋体"/>
              </w:rPr>
            </w:pPr>
          </w:p>
        </w:tc>
      </w:tr>
    </w:tbl>
    <w:p>
      <w:pPr>
        <w:ind w:right="-344" w:rightChars="-164"/>
        <w:rPr>
          <w:rFonts w:ascii="宋体" w:hAnsi="宋体"/>
          <w:spacing w:val="-6"/>
          <w:szCs w:val="21"/>
        </w:rPr>
      </w:pPr>
      <w:r>
        <w:rPr>
          <w:rFonts w:hint="eastAsia" w:ascii="宋体" w:hAnsi="宋体"/>
        </w:rPr>
        <w:t xml:space="preserve">               </w:t>
      </w:r>
      <w:r>
        <w:rPr>
          <w:rFonts w:hint="eastAsia" w:ascii="宋体" w:hAnsi="宋体"/>
          <w:spacing w:val="-6"/>
          <w:szCs w:val="21"/>
        </w:rPr>
        <w:t>0      10      20      30      40       50      60      70      80      90     100</w:t>
      </w:r>
    </w:p>
    <w:p>
      <w:pPr>
        <w:jc w:val="center"/>
        <w:rPr>
          <w:rFonts w:ascii="宋体" w:hAnsi="宋体"/>
        </w:rPr>
      </w:pPr>
    </w:p>
    <w:p>
      <w:pPr>
        <w:jc w:val="center"/>
        <w:rPr>
          <w:rFonts w:ascii="宋体" w:hAnsi="宋体"/>
        </w:rPr>
      </w:pPr>
      <w:r>
        <w:rPr>
          <w:rFonts w:hint="eastAsia" w:ascii="宋体" w:hAnsi="宋体"/>
        </w:rPr>
        <w:t>工期历程的百分比（%）</w:t>
      </w:r>
    </w:p>
    <w:p>
      <w:pPr>
        <w:snapToGrid w:val="0"/>
        <w:rPr>
          <w:rFonts w:ascii="宋体" w:hAnsi="宋体"/>
          <w:sz w:val="7"/>
        </w:rPr>
      </w:pPr>
      <w:r>
        <w:rPr>
          <w:rFonts w:ascii="宋体" w:hAnsi="宋体"/>
        </w:rPr>
        <w:br w:type="page"/>
      </w:r>
    </w:p>
    <w:tbl>
      <w:tblPr>
        <w:tblStyle w:val="38"/>
        <w:tblW w:w="9166" w:type="dxa"/>
        <w:tblInd w:w="4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759"/>
        <w:gridCol w:w="760"/>
        <w:gridCol w:w="760"/>
        <w:gridCol w:w="760"/>
        <w:gridCol w:w="760"/>
        <w:gridCol w:w="759"/>
        <w:gridCol w:w="760"/>
        <w:gridCol w:w="760"/>
        <w:gridCol w:w="760"/>
        <w:gridCol w:w="760"/>
        <w:gridCol w:w="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375" w:type="dxa"/>
          <w:cantSplit/>
          <w:trHeight w:val="1237" w:hRule="atLeast"/>
        </w:trPr>
        <w:tc>
          <w:tcPr>
            <w:tcW w:w="1193" w:type="dxa"/>
            <w:tcBorders>
              <w:top w:val="single" w:color="auto" w:sz="12" w:space="0"/>
              <w:bottom w:val="single" w:color="auto" w:sz="6" w:space="0"/>
            </w:tcBorders>
            <w:textDirection w:val="btLr"/>
            <w:vAlign w:val="center"/>
          </w:tcPr>
          <w:p>
            <w:pPr>
              <w:ind w:left="113" w:right="113"/>
              <w:jc w:val="center"/>
              <w:rPr>
                <w:rFonts w:ascii="宋体" w:hAnsi="宋体"/>
              </w:rPr>
            </w:pPr>
            <w:r>
              <w:rPr>
                <w:rFonts w:hint="eastAsia" w:ascii="宋体" w:hAnsi="宋体"/>
              </w:rPr>
              <w:t>生产单位总数（个）</w:t>
            </w:r>
          </w:p>
        </w:tc>
        <w:tc>
          <w:tcPr>
            <w:tcW w:w="759"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12" w:space="0"/>
              <w:bottom w:val="single" w:color="auto" w:sz="6" w:space="0"/>
            </w:tcBorders>
            <w:textDirection w:val="btLr"/>
            <w:vAlign w:val="center"/>
          </w:tcPr>
          <w:p>
            <w:pPr>
              <w:ind w:left="113" w:right="113"/>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5" w:type="dxa"/>
          <w:cantSplit/>
          <w:trHeight w:val="1781" w:hRule="atLeast"/>
        </w:trPr>
        <w:tc>
          <w:tcPr>
            <w:tcW w:w="1193" w:type="dxa"/>
            <w:tcBorders>
              <w:top w:val="single" w:color="auto" w:sz="6" w:space="0"/>
              <w:bottom w:val="single" w:color="auto" w:sz="6" w:space="0"/>
            </w:tcBorders>
            <w:textDirection w:val="btLr"/>
            <w:vAlign w:val="center"/>
          </w:tcPr>
          <w:p>
            <w:pPr>
              <w:ind w:left="113" w:right="113"/>
              <w:rPr>
                <w:rFonts w:ascii="宋体" w:hAnsi="宋体"/>
              </w:rPr>
            </w:pPr>
            <w:r>
              <w:rPr>
                <w:rFonts w:hint="eastAsia" w:ascii="宋体" w:hAnsi="宋体"/>
              </w:rPr>
              <w:t>每生产单平均   施工时间（周）</w:t>
            </w: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5" w:type="dxa"/>
          <w:cantSplit/>
          <w:trHeight w:val="1831" w:hRule="atLeast"/>
        </w:trPr>
        <w:tc>
          <w:tcPr>
            <w:tcW w:w="1193" w:type="dxa"/>
            <w:tcBorders>
              <w:top w:val="single" w:color="auto" w:sz="6" w:space="0"/>
              <w:bottom w:val="single" w:color="auto" w:sz="6" w:space="0"/>
            </w:tcBorders>
            <w:textDirection w:val="btLr"/>
            <w:vAlign w:val="center"/>
          </w:tcPr>
          <w:p>
            <w:pPr>
              <w:ind w:left="113" w:right="113"/>
              <w:jc w:val="center"/>
              <w:rPr>
                <w:rFonts w:ascii="宋体" w:hAnsi="宋体"/>
              </w:rPr>
            </w:pPr>
            <w:r>
              <w:rPr>
                <w:rFonts w:hint="eastAsia" w:ascii="宋体" w:hAnsi="宋体"/>
              </w:rPr>
              <w:t>平均每单位生率（数量、每周）</w:t>
            </w: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0" w:hRule="atLeast"/>
        </w:trPr>
        <w:tc>
          <w:tcPr>
            <w:tcW w:w="1193" w:type="dxa"/>
            <w:tcBorders>
              <w:top w:val="single" w:color="auto" w:sz="6" w:space="0"/>
              <w:bottom w:val="single" w:color="auto" w:sz="6" w:space="0"/>
            </w:tcBorders>
            <w:textDirection w:val="btLr"/>
            <w:vAlign w:val="center"/>
          </w:tcPr>
          <w:p>
            <w:pPr>
              <w:ind w:left="743" w:leftChars="54" w:right="113" w:hanging="630" w:hangingChars="300"/>
              <w:rPr>
                <w:rFonts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-782955</wp:posOffset>
                      </wp:positionV>
                      <wp:extent cx="477520" cy="4358640"/>
                      <wp:effectExtent l="0" t="0" r="0" b="0"/>
                      <wp:wrapNone/>
                      <wp:docPr id="12" name="Text Box 17"/>
                      <wp:cNvGraphicFramePr/>
                      <a:graphic xmlns:a="http://schemas.openxmlformats.org/drawingml/2006/main">
                        <a:graphicData uri="http://schemas.microsoft.com/office/word/2010/wordprocessingShape">
                          <wps:wsp>
                            <wps:cNvSpPr txBox="1"/>
                            <wps:spPr>
                              <a:xfrm>
                                <a:off x="0" y="0"/>
                                <a:ext cx="477520" cy="4358640"/>
                              </a:xfrm>
                              <a:prstGeom prst="rect">
                                <a:avLst/>
                              </a:prstGeom>
                              <a:noFill/>
                              <a:ln>
                                <a:noFill/>
                              </a:ln>
                            </wps:spPr>
                            <wps:txbx>
                              <w:txbxContent>
                                <w:p>
                                  <w:pPr>
                                    <w:rPr>
                                      <w:rFonts w:ascii="宋体" w:hAnsi="宋体"/>
                                      <w:b/>
                                      <w:color w:val="FF00FF"/>
                                      <w:sz w:val="28"/>
                                      <w:szCs w:val="28"/>
                                    </w:rPr>
                                  </w:pPr>
                                  <w:r>
                                    <w:rPr>
                                      <w:rFonts w:hint="eastAsia" w:ascii="宋体" w:hAnsi="宋体"/>
                                      <w:b/>
                                      <w:sz w:val="28"/>
                                      <w:szCs w:val="28"/>
                                    </w:rPr>
                                    <w:t>附表</w:t>
                                  </w:r>
                                  <w:r>
                                    <w:rPr>
                                      <w:rFonts w:hint="eastAsia" w:ascii="宋体" w:hAnsi="宋体"/>
                                      <w:b/>
                                      <w:color w:val="000000"/>
                                      <w:sz w:val="28"/>
                                      <w:szCs w:val="28"/>
                                    </w:rPr>
                                    <w:t>四  分项工程生产率和施工周期表</w:t>
                                  </w:r>
                                </w:p>
                              </w:txbxContent>
                            </wps:txbx>
                            <wps:bodyPr vert="vert270" upright="1"/>
                          </wps:wsp>
                        </a:graphicData>
                      </a:graphic>
                    </wp:anchor>
                  </w:drawing>
                </mc:Choice>
                <mc:Fallback>
                  <w:pict>
                    <v:shape id="Text Box 17" o:spid="_x0000_s1026" o:spt="202" type="#_x0000_t202" style="position:absolute;left:0pt;margin-left:-39pt;margin-top:-61.65pt;height:343.2pt;width:37.6pt;z-index:251662336;mso-width-relative:page;mso-height-relative:page;" filled="f" stroked="f" coordsize="21600,21600" o:gfxdata="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FoZddsAAAAL&#10;AQAADwAAAAAAAAABACAAAAAiAAAAZHJzL2Rvd25yZXYueG1sUEsBAhQAFAAAAAgAh07iQM6MEQmn&#10;AQAAXgMAAA4AAAAAAAAAAQAgAAAAKgEAAGRycy9lMm9Eb2MueG1sUEsFBgAAAAAGAAYAWQEAAEMF&#10;AAAAAA==&#10;">
                      <v:fill on="f" focussize="0,0"/>
                      <v:stroke on="f"/>
                      <v:imagedata o:title=""/>
                      <o:lock v:ext="edit" aspectratio="f"/>
                      <v:textbox style="layout-flow:vertical;mso-layout-flow-alt:bottom-to-top;">
                        <w:txbxContent>
                          <w:p>
                            <w:pPr>
                              <w:rPr>
                                <w:rFonts w:ascii="宋体" w:hAnsi="宋体"/>
                                <w:b/>
                                <w:color w:val="FF00FF"/>
                                <w:sz w:val="28"/>
                                <w:szCs w:val="28"/>
                              </w:rPr>
                            </w:pPr>
                            <w:r>
                              <w:rPr>
                                <w:rFonts w:hint="eastAsia" w:ascii="宋体" w:hAnsi="宋体"/>
                                <w:b/>
                                <w:sz w:val="28"/>
                                <w:szCs w:val="28"/>
                              </w:rPr>
                              <w:t>附表</w:t>
                            </w:r>
                            <w:r>
                              <w:rPr>
                                <w:rFonts w:hint="eastAsia" w:ascii="宋体" w:hAnsi="宋体"/>
                                <w:b/>
                                <w:color w:val="000000"/>
                                <w:sz w:val="28"/>
                                <w:szCs w:val="28"/>
                              </w:rPr>
                              <w:t>四  分项工程生产率和施工周期表</w:t>
                            </w:r>
                          </w:p>
                        </w:txbxContent>
                      </v:textbox>
                    </v:shape>
                  </w:pict>
                </mc:Fallback>
              </mc:AlternateContent>
            </w:r>
            <w:r>
              <w:rPr>
                <w:rFonts w:hint="eastAsia" w:ascii="宋体" w:hAnsi="宋体"/>
              </w:rPr>
              <w:t>平均每生产单位规模（</w:t>
            </w:r>
            <w:r>
              <w:rPr>
                <w:rFonts w:hint="eastAsia" w:ascii="宋体" w:hAnsi="宋体"/>
                <w:u w:val="single"/>
              </w:rPr>
              <w:t xml:space="preserve">    </w:t>
            </w:r>
            <w:r>
              <w:rPr>
                <w:rFonts w:hint="eastAsia" w:ascii="宋体" w:hAnsi="宋体"/>
              </w:rPr>
              <w:t>人，各种机械</w:t>
            </w:r>
            <w:r>
              <w:rPr>
                <w:rFonts w:hint="eastAsia" w:ascii="宋体" w:hAnsi="宋体"/>
                <w:u w:val="single"/>
              </w:rPr>
              <w:t xml:space="preserve">   </w:t>
            </w:r>
            <w:r>
              <w:rPr>
                <w:rFonts w:hint="eastAsia" w:ascii="宋体" w:hAnsi="宋体"/>
              </w:rPr>
              <w:t>台）</w:t>
            </w: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ascii="宋体" w:hAnsi="宋体"/>
              </w:rPr>
            </w:pPr>
          </w:p>
        </w:tc>
        <w:tc>
          <w:tcPr>
            <w:tcW w:w="375" w:type="dxa"/>
            <w:vMerge w:val="restart"/>
            <w:tcBorders>
              <w:top w:val="nil"/>
              <w:left w:val="single" w:color="auto" w:sz="12" w:space="0"/>
              <w:bottom w:val="nil"/>
              <w:right w:val="nil"/>
            </w:tcBorders>
            <w:textDirection w:val="btLr"/>
          </w:tcPr>
          <w:p>
            <w:pPr>
              <w:widowControl/>
              <w:ind w:left="113" w:right="113"/>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2" w:hRule="atLeast"/>
        </w:trPr>
        <w:tc>
          <w:tcPr>
            <w:tcW w:w="1193" w:type="dxa"/>
            <w:tcBorders>
              <w:top w:val="single" w:color="auto" w:sz="6" w:space="0"/>
              <w:bottom w:val="single" w:color="auto" w:sz="6" w:space="0"/>
            </w:tcBorders>
            <w:textDirection w:val="btLr"/>
            <w:vAlign w:val="center"/>
          </w:tcPr>
          <w:p>
            <w:pPr>
              <w:ind w:left="113" w:right="113"/>
              <w:jc w:val="center"/>
              <w:rPr>
                <w:rFonts w:ascii="宋体" w:hAnsi="宋体"/>
              </w:rPr>
            </w:pPr>
            <w:r>
              <w:rPr>
                <w:rFonts w:hint="eastAsia" w:ascii="宋体" w:hAnsi="宋体"/>
              </w:rPr>
              <w:t>数量</w:t>
            </w: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ascii="宋体" w:hAnsi="宋体"/>
              </w:rPr>
            </w:pPr>
          </w:p>
        </w:tc>
        <w:tc>
          <w:tcPr>
            <w:tcW w:w="375" w:type="dxa"/>
            <w:vMerge w:val="continue"/>
            <w:tcBorders>
              <w:top w:val="nil"/>
              <w:left w:val="single" w:color="auto" w:sz="12" w:space="0"/>
              <w:bottom w:val="nil"/>
              <w:right w:val="nil"/>
            </w:tcBorders>
            <w:textDirection w:val="btLr"/>
          </w:tcPr>
          <w:p>
            <w:pPr>
              <w:widowControl/>
              <w:ind w:left="113" w:right="113"/>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6" w:hRule="atLeast"/>
        </w:trPr>
        <w:tc>
          <w:tcPr>
            <w:tcW w:w="1193" w:type="dxa"/>
            <w:tcBorders>
              <w:top w:val="single" w:color="auto" w:sz="6" w:space="0"/>
              <w:bottom w:val="single" w:color="auto" w:sz="6" w:space="0"/>
            </w:tcBorders>
            <w:textDirection w:val="btLr"/>
            <w:vAlign w:val="center"/>
          </w:tcPr>
          <w:p>
            <w:pPr>
              <w:ind w:left="113" w:right="113"/>
              <w:jc w:val="center"/>
              <w:rPr>
                <w:rFonts w:ascii="宋体" w:hAnsi="宋体"/>
              </w:rPr>
            </w:pPr>
            <w:r>
              <w:rPr>
                <w:rFonts w:hint="eastAsia" w:ascii="宋体" w:hAnsi="宋体"/>
              </w:rPr>
              <w:t>单位</w:t>
            </w: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59"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tcBorders>
            <w:textDirection w:val="btLr"/>
            <w:vAlign w:val="center"/>
          </w:tcPr>
          <w:p>
            <w:pPr>
              <w:ind w:left="113" w:right="113"/>
              <w:jc w:val="center"/>
              <w:rPr>
                <w:rFonts w:ascii="宋体" w:hAnsi="宋体"/>
              </w:rPr>
            </w:pP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ascii="宋体" w:hAnsi="宋体"/>
              </w:rPr>
            </w:pPr>
          </w:p>
        </w:tc>
        <w:tc>
          <w:tcPr>
            <w:tcW w:w="375" w:type="dxa"/>
            <w:vMerge w:val="continue"/>
            <w:tcBorders>
              <w:top w:val="nil"/>
              <w:left w:val="single" w:color="auto" w:sz="12" w:space="0"/>
              <w:bottom w:val="nil"/>
              <w:right w:val="nil"/>
            </w:tcBorders>
            <w:textDirection w:val="btLr"/>
          </w:tcPr>
          <w:p>
            <w:pPr>
              <w:widowControl/>
              <w:ind w:left="113" w:right="113"/>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248" w:hRule="atLeast"/>
        </w:trPr>
        <w:tc>
          <w:tcPr>
            <w:tcW w:w="1193" w:type="dxa"/>
            <w:tcBorders>
              <w:top w:val="single" w:color="auto" w:sz="6" w:space="0"/>
              <w:bottom w:val="single" w:color="auto" w:sz="6" w:space="0"/>
            </w:tcBorders>
            <w:textDirection w:val="btLr"/>
            <w:vAlign w:val="center"/>
          </w:tcPr>
          <w:p>
            <w:pPr>
              <w:ind w:left="113" w:right="113"/>
              <w:jc w:val="center"/>
              <w:rPr>
                <w:rFonts w:ascii="宋体" w:hAnsi="宋体"/>
              </w:rPr>
            </w:pPr>
            <w:r>
              <w:rPr>
                <w:rFonts w:hint="eastAsia" w:ascii="宋体" w:hAnsi="宋体"/>
              </w:rPr>
              <w:t>工程项目</w:t>
            </w:r>
          </w:p>
        </w:tc>
        <w:tc>
          <w:tcPr>
            <w:tcW w:w="759"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59"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tcBorders>
            <w:textDirection w:val="btLr"/>
            <w:vAlign w:val="center"/>
          </w:tcPr>
          <w:p>
            <w:pPr>
              <w:ind w:left="227" w:leftChars="108" w:right="227" w:firstLine="210" w:firstLineChars="100"/>
              <w:rPr>
                <w:rFonts w:ascii="宋体" w:hAnsi="宋体"/>
              </w:rPr>
            </w:pPr>
          </w:p>
        </w:tc>
        <w:tc>
          <w:tcPr>
            <w:tcW w:w="760" w:type="dxa"/>
            <w:tcBorders>
              <w:top w:val="single" w:color="auto" w:sz="6" w:space="0"/>
              <w:bottom w:val="single" w:color="auto" w:sz="6" w:space="0"/>
              <w:right w:val="single" w:color="auto" w:sz="12" w:space="0"/>
            </w:tcBorders>
            <w:textDirection w:val="btLr"/>
            <w:vAlign w:val="center"/>
          </w:tcPr>
          <w:p>
            <w:pPr>
              <w:ind w:left="227" w:leftChars="108" w:right="227" w:firstLine="210" w:firstLineChars="100"/>
              <w:rPr>
                <w:rFonts w:ascii="宋体" w:hAnsi="宋体"/>
              </w:rPr>
            </w:pPr>
          </w:p>
        </w:tc>
        <w:tc>
          <w:tcPr>
            <w:tcW w:w="375" w:type="dxa"/>
            <w:vMerge w:val="continue"/>
            <w:tcBorders>
              <w:top w:val="nil"/>
              <w:left w:val="single" w:color="auto" w:sz="12" w:space="0"/>
              <w:bottom w:val="nil"/>
              <w:right w:val="nil"/>
            </w:tcBorders>
            <w:textDirection w:val="btLr"/>
          </w:tcPr>
          <w:p>
            <w:pPr>
              <w:widowControl/>
              <w:ind w:left="113" w:right="113"/>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4" w:hRule="atLeast"/>
        </w:trPr>
        <w:tc>
          <w:tcPr>
            <w:tcW w:w="1193"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序号</w:t>
            </w:r>
          </w:p>
        </w:tc>
        <w:tc>
          <w:tcPr>
            <w:tcW w:w="759"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1</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2</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3</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4</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5</w:t>
            </w:r>
          </w:p>
        </w:tc>
        <w:tc>
          <w:tcPr>
            <w:tcW w:w="759"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6</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7</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8</w:t>
            </w:r>
          </w:p>
        </w:tc>
        <w:tc>
          <w:tcPr>
            <w:tcW w:w="760" w:type="dxa"/>
            <w:tcBorders>
              <w:top w:val="single" w:color="auto" w:sz="6" w:space="0"/>
              <w:bottom w:val="single" w:color="auto" w:sz="12" w:space="0"/>
            </w:tcBorders>
            <w:textDirection w:val="btLr"/>
            <w:vAlign w:val="center"/>
          </w:tcPr>
          <w:p>
            <w:pPr>
              <w:ind w:left="113" w:right="113"/>
              <w:jc w:val="center"/>
              <w:rPr>
                <w:rFonts w:ascii="宋体" w:hAnsi="宋体"/>
              </w:rPr>
            </w:pPr>
            <w:r>
              <w:rPr>
                <w:rFonts w:hint="eastAsia" w:ascii="宋体" w:hAnsi="宋体"/>
              </w:rPr>
              <w:t>9</w:t>
            </w:r>
          </w:p>
        </w:tc>
        <w:tc>
          <w:tcPr>
            <w:tcW w:w="760" w:type="dxa"/>
            <w:tcBorders>
              <w:top w:val="single" w:color="auto" w:sz="6" w:space="0"/>
              <w:bottom w:val="single" w:color="auto" w:sz="12" w:space="0"/>
              <w:right w:val="single" w:color="auto" w:sz="12" w:space="0"/>
            </w:tcBorders>
            <w:textDirection w:val="btLr"/>
            <w:vAlign w:val="center"/>
          </w:tcPr>
          <w:p>
            <w:pPr>
              <w:ind w:left="113" w:right="113"/>
              <w:jc w:val="center"/>
              <w:rPr>
                <w:rFonts w:ascii="宋体" w:hAnsi="宋体"/>
              </w:rPr>
            </w:pPr>
            <w:r>
              <w:rPr>
                <w:rFonts w:hint="eastAsia" w:ascii="宋体" w:hAnsi="宋体"/>
              </w:rPr>
              <w:t>10</w:t>
            </w:r>
          </w:p>
        </w:tc>
        <w:tc>
          <w:tcPr>
            <w:tcW w:w="375" w:type="dxa"/>
            <w:vMerge w:val="continue"/>
            <w:tcBorders>
              <w:top w:val="nil"/>
              <w:left w:val="single" w:color="auto" w:sz="12" w:space="0"/>
              <w:bottom w:val="nil"/>
              <w:right w:val="nil"/>
            </w:tcBorders>
            <w:textDirection w:val="btLr"/>
          </w:tcPr>
          <w:p>
            <w:pPr>
              <w:widowControl/>
              <w:ind w:left="113" w:right="113"/>
              <w:jc w:val="left"/>
              <w:rPr>
                <w:rFonts w:ascii="宋体" w:hAnsi="宋体"/>
              </w:rPr>
            </w:pPr>
          </w:p>
        </w:tc>
      </w:tr>
    </w:tbl>
    <w:p>
      <w:pPr>
        <w:rPr>
          <w:rFonts w:ascii="宋体" w:hAnsi="宋体"/>
          <w:b/>
          <w:sz w:val="28"/>
          <w:szCs w:val="28"/>
        </w:rPr>
      </w:pPr>
      <w:r>
        <w:rPr>
          <w:rFonts w:ascii="宋体" w:hAnsi="宋体"/>
        </w:rPr>
        <w:br w:type="page"/>
      </w:r>
      <w:bookmarkStart w:id="680" w:name="_Toc234349571"/>
      <w:bookmarkStart w:id="681" w:name="_Toc234348997"/>
      <w:r>
        <w:rPr>
          <w:rFonts w:hint="eastAsia" w:ascii="宋体" w:hAnsi="宋体"/>
          <w:b/>
          <w:sz w:val="28"/>
          <w:szCs w:val="28"/>
        </w:rPr>
        <w:t>附表五  施工总平面图</w:t>
      </w:r>
      <w:bookmarkEnd w:id="680"/>
      <w:bookmarkEnd w:id="681"/>
    </w:p>
    <w:p>
      <w:pPr>
        <w:spacing w:line="360" w:lineRule="auto"/>
        <w:ind w:firstLine="525" w:firstLineChars="250"/>
        <w:rPr>
          <w:rFonts w:ascii="宋体" w:hAnsi="宋体"/>
          <w:szCs w:val="21"/>
        </w:rPr>
      </w:pPr>
    </w:p>
    <w:p>
      <w:pPr>
        <w:spacing w:line="360" w:lineRule="auto"/>
        <w:ind w:firstLine="525" w:firstLineChars="250"/>
        <w:rPr>
          <w:rFonts w:ascii="宋体" w:hAnsi="宋体"/>
          <w:szCs w:val="21"/>
        </w:rPr>
      </w:pPr>
      <w:r>
        <w:rPr>
          <w:rFonts w:hint="eastAsia" w:ascii="宋体" w:hAnsi="宋体"/>
          <w:szCs w:val="21"/>
        </w:rPr>
        <w:t>投标人应递交一份施工总平面图，绘出现场临时设施布置图表并附文字说明，说明施工营地、料场、临时设施、加工车间、现场办公、设备及仓储、供电、供水、卫生、生活、道路、消防等设施的情况和布置。</w:t>
      </w:r>
    </w:p>
    <w:p>
      <w:pPr>
        <w:rPr>
          <w:b/>
          <w:sz w:val="28"/>
          <w:szCs w:val="28"/>
        </w:rPr>
      </w:pPr>
      <w:r>
        <w:rPr>
          <w:rFonts w:ascii="宋体" w:hAnsi="宋体"/>
        </w:rPr>
        <w:br w:type="page"/>
      </w:r>
      <w:bookmarkStart w:id="682" w:name="_Toc234348998"/>
      <w:bookmarkStart w:id="683" w:name="_Toc234349572"/>
      <w:r>
        <w:rPr>
          <w:rFonts w:hint="eastAsia"/>
          <w:b/>
          <w:sz w:val="28"/>
          <w:szCs w:val="28"/>
        </w:rPr>
        <w:t>附表六  劳动力计划表</w:t>
      </w:r>
      <w:bookmarkEnd w:id="682"/>
      <w:bookmarkEnd w:id="683"/>
    </w:p>
    <w:p>
      <w:pPr>
        <w:jc w:val="right"/>
        <w:rPr>
          <w:rFonts w:ascii="宋体" w:hAnsi="宋体"/>
        </w:rPr>
      </w:pPr>
      <w:r>
        <w:rPr>
          <w:rFonts w:hint="eastAsia" w:ascii="宋体" w:hAnsi="宋体"/>
        </w:rPr>
        <w:t>单位：人</w:t>
      </w:r>
    </w:p>
    <w:tbl>
      <w:tblPr>
        <w:tblStyle w:val="38"/>
        <w:tblW w:w="9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1284"/>
        <w:gridCol w:w="1427"/>
        <w:gridCol w:w="1283"/>
        <w:gridCol w:w="1141"/>
        <w:gridCol w:w="1141"/>
        <w:gridCol w:w="1247"/>
        <w:gridCol w:w="11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vAlign w:val="center"/>
          </w:tcPr>
          <w:p>
            <w:pPr>
              <w:snapToGrid w:val="0"/>
              <w:jc w:val="center"/>
              <w:rPr>
                <w:rFonts w:ascii="宋体" w:hAnsi="宋体"/>
              </w:rPr>
            </w:pPr>
            <w:r>
              <w:rPr>
                <w:rFonts w:hint="eastAsia" w:ascii="宋体" w:hAnsi="宋体"/>
              </w:rPr>
              <w:t>工种</w:t>
            </w:r>
          </w:p>
        </w:tc>
        <w:tc>
          <w:tcPr>
            <w:tcW w:w="8632" w:type="dxa"/>
            <w:gridSpan w:val="7"/>
            <w:vAlign w:val="center"/>
          </w:tcPr>
          <w:p>
            <w:pPr>
              <w:snapToGrid w:val="0"/>
              <w:jc w:val="center"/>
              <w:rPr>
                <w:rFonts w:ascii="宋体" w:hAnsi="宋体"/>
              </w:rPr>
            </w:pPr>
            <w:r>
              <w:rPr>
                <w:rFonts w:hint="eastAsia" w:ascii="宋体" w:hAnsi="宋体"/>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33" w:type="dxa"/>
          </w:tcPr>
          <w:p>
            <w:pPr>
              <w:snapToGrid w:val="0"/>
              <w:jc w:val="center"/>
              <w:rPr>
                <w:rFonts w:ascii="宋体" w:hAnsi="宋体"/>
              </w:rPr>
            </w:pPr>
          </w:p>
        </w:tc>
        <w:tc>
          <w:tcPr>
            <w:tcW w:w="1284" w:type="dxa"/>
          </w:tcPr>
          <w:p>
            <w:pPr>
              <w:snapToGrid w:val="0"/>
              <w:jc w:val="center"/>
              <w:rPr>
                <w:rFonts w:ascii="宋体" w:hAnsi="宋体"/>
              </w:rPr>
            </w:pPr>
          </w:p>
        </w:tc>
        <w:tc>
          <w:tcPr>
            <w:tcW w:w="1427" w:type="dxa"/>
          </w:tcPr>
          <w:p>
            <w:pPr>
              <w:snapToGrid w:val="0"/>
              <w:jc w:val="center"/>
              <w:rPr>
                <w:rFonts w:ascii="宋体" w:hAnsi="宋体"/>
              </w:rPr>
            </w:pPr>
          </w:p>
        </w:tc>
        <w:tc>
          <w:tcPr>
            <w:tcW w:w="1283" w:type="dxa"/>
          </w:tcPr>
          <w:p>
            <w:pPr>
              <w:snapToGrid w:val="0"/>
              <w:jc w:val="center"/>
              <w:rPr>
                <w:rFonts w:ascii="宋体" w:hAnsi="宋体"/>
              </w:rPr>
            </w:pPr>
          </w:p>
        </w:tc>
        <w:tc>
          <w:tcPr>
            <w:tcW w:w="1141" w:type="dxa"/>
          </w:tcPr>
          <w:p>
            <w:pPr>
              <w:snapToGrid w:val="0"/>
              <w:jc w:val="center"/>
              <w:rPr>
                <w:rFonts w:ascii="宋体" w:hAnsi="宋体"/>
              </w:rPr>
            </w:pPr>
          </w:p>
        </w:tc>
        <w:tc>
          <w:tcPr>
            <w:tcW w:w="1141" w:type="dxa"/>
          </w:tcPr>
          <w:p>
            <w:pPr>
              <w:snapToGrid w:val="0"/>
              <w:jc w:val="center"/>
              <w:rPr>
                <w:rFonts w:ascii="宋体" w:hAnsi="宋体"/>
              </w:rPr>
            </w:pPr>
          </w:p>
        </w:tc>
        <w:tc>
          <w:tcPr>
            <w:tcW w:w="1247" w:type="dxa"/>
          </w:tcPr>
          <w:p>
            <w:pPr>
              <w:snapToGrid w:val="0"/>
              <w:jc w:val="center"/>
              <w:rPr>
                <w:rFonts w:ascii="宋体" w:hAnsi="宋体"/>
              </w:rPr>
            </w:pPr>
          </w:p>
        </w:tc>
        <w:tc>
          <w:tcPr>
            <w:tcW w:w="1109" w:type="dxa"/>
          </w:tcPr>
          <w:p>
            <w:pPr>
              <w:snapToGrid w:val="0"/>
              <w:jc w:val="center"/>
              <w:rPr>
                <w:rFonts w:ascii="宋体" w:hAnsi="宋体"/>
              </w:rPr>
            </w:pPr>
          </w:p>
        </w:tc>
      </w:tr>
    </w:tbl>
    <w:p>
      <w:pPr>
        <w:spacing w:line="360" w:lineRule="auto"/>
        <w:rPr>
          <w:b/>
          <w:sz w:val="28"/>
          <w:szCs w:val="28"/>
        </w:rPr>
      </w:pPr>
      <w:r>
        <w:rPr>
          <w:rFonts w:ascii="宋体" w:hAnsi="宋体"/>
        </w:rPr>
        <w:br w:type="page"/>
      </w:r>
      <w:bookmarkStart w:id="684" w:name="_Toc234349573"/>
      <w:bookmarkStart w:id="685" w:name="_Toc234348999"/>
      <w:r>
        <w:rPr>
          <w:rFonts w:hint="eastAsia"/>
          <w:b/>
          <w:sz w:val="28"/>
          <w:szCs w:val="28"/>
        </w:rPr>
        <w:t>附表七  临时占地计划表</w:t>
      </w:r>
      <w:bookmarkEnd w:id="684"/>
      <w:bookmarkEnd w:id="685"/>
    </w:p>
    <w:tbl>
      <w:tblPr>
        <w:tblStyle w:val="38"/>
        <w:tblW w:w="9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555"/>
        <w:gridCol w:w="724"/>
        <w:gridCol w:w="709"/>
        <w:gridCol w:w="709"/>
        <w:gridCol w:w="708"/>
        <w:gridCol w:w="1701"/>
        <w:gridCol w:w="851"/>
        <w:gridCol w:w="860"/>
        <w:gridCol w:w="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060" w:type="dxa"/>
            <w:vMerge w:val="restart"/>
            <w:vAlign w:val="center"/>
          </w:tcPr>
          <w:p>
            <w:pPr>
              <w:jc w:val="center"/>
              <w:rPr>
                <w:rFonts w:ascii="宋体" w:hAnsi="宋体"/>
              </w:rPr>
            </w:pPr>
            <w:r>
              <w:rPr>
                <w:rFonts w:hint="eastAsia" w:ascii="宋体" w:hAnsi="宋体"/>
              </w:rPr>
              <w:t>用    途</w:t>
            </w:r>
          </w:p>
        </w:tc>
        <w:tc>
          <w:tcPr>
            <w:tcW w:w="3405" w:type="dxa"/>
            <w:gridSpan w:val="5"/>
            <w:vAlign w:val="center"/>
          </w:tcPr>
          <w:p>
            <w:pPr>
              <w:jc w:val="center"/>
              <w:rPr>
                <w:rFonts w:ascii="宋体" w:hAnsi="宋体"/>
              </w:rPr>
            </w:pPr>
            <w:r>
              <w:rPr>
                <w:rFonts w:hint="eastAsia" w:ascii="宋体" w:hAnsi="宋体"/>
              </w:rPr>
              <w:t>面积（m</w:t>
            </w:r>
            <w:r>
              <w:rPr>
                <w:rFonts w:hint="eastAsia" w:ascii="宋体" w:hAnsi="宋体"/>
                <w:vertAlign w:val="superscript"/>
              </w:rPr>
              <w:t>2</w:t>
            </w:r>
            <w:r>
              <w:rPr>
                <w:rFonts w:hint="eastAsia" w:ascii="宋体" w:hAnsi="宋体"/>
              </w:rPr>
              <w:t>）</w:t>
            </w:r>
          </w:p>
        </w:tc>
        <w:tc>
          <w:tcPr>
            <w:tcW w:w="1701" w:type="dxa"/>
            <w:vMerge w:val="restart"/>
            <w:vAlign w:val="center"/>
          </w:tcPr>
          <w:p>
            <w:pPr>
              <w:jc w:val="center"/>
              <w:rPr>
                <w:rFonts w:ascii="宋体" w:hAnsi="宋体"/>
              </w:rPr>
            </w:pPr>
            <w:r>
              <w:rPr>
                <w:rFonts w:hint="eastAsia" w:ascii="宋体" w:hAnsi="宋体"/>
              </w:rPr>
              <w:t>需用时间</w:t>
            </w:r>
          </w:p>
          <w:p>
            <w:pPr>
              <w:ind w:left="525" w:hanging="525" w:hangingChars="25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p>
            <w:pPr>
              <w:ind w:left="525" w:hanging="525" w:hangingChars="250"/>
              <w:rPr>
                <w:rFonts w:ascii="宋体" w:hAnsi="宋体"/>
              </w:rPr>
            </w:pPr>
            <w:r>
              <w:rPr>
                <w:rFonts w:hint="eastAsia" w:ascii="宋体" w:hAnsi="宋体"/>
              </w:rPr>
              <w:t>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c>
        <w:tc>
          <w:tcPr>
            <w:tcW w:w="2572" w:type="dxa"/>
            <w:gridSpan w:val="3"/>
            <w:vAlign w:val="center"/>
          </w:tcPr>
          <w:p>
            <w:pPr>
              <w:jc w:val="center"/>
              <w:rPr>
                <w:rFonts w:ascii="宋体" w:hAnsi="宋体"/>
              </w:rPr>
            </w:pPr>
            <w:r>
              <w:rPr>
                <w:rFonts w:hint="eastAsia" w:ascii="宋体" w:hAnsi="宋体"/>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060" w:type="dxa"/>
            <w:vMerge w:val="continue"/>
            <w:vAlign w:val="center"/>
          </w:tcPr>
          <w:p>
            <w:pPr>
              <w:rPr>
                <w:rFonts w:ascii="宋体" w:hAnsi="宋体"/>
              </w:rPr>
            </w:pPr>
          </w:p>
        </w:tc>
        <w:tc>
          <w:tcPr>
            <w:tcW w:w="555" w:type="dxa"/>
            <w:vAlign w:val="center"/>
          </w:tcPr>
          <w:p>
            <w:pPr>
              <w:spacing w:line="360" w:lineRule="auto"/>
              <w:jc w:val="center"/>
              <w:rPr>
                <w:rFonts w:ascii="宋体" w:hAnsi="宋体"/>
              </w:rPr>
            </w:pPr>
            <w:r>
              <w:rPr>
                <w:rFonts w:hint="eastAsia" w:ascii="宋体" w:hAnsi="宋体"/>
              </w:rPr>
              <w:t>菜地</w:t>
            </w:r>
          </w:p>
        </w:tc>
        <w:tc>
          <w:tcPr>
            <w:tcW w:w="724" w:type="dxa"/>
            <w:vAlign w:val="center"/>
          </w:tcPr>
          <w:p>
            <w:pPr>
              <w:spacing w:line="360" w:lineRule="auto"/>
              <w:jc w:val="center"/>
              <w:rPr>
                <w:rFonts w:ascii="宋体" w:hAnsi="宋体"/>
              </w:rPr>
            </w:pPr>
            <w:r>
              <w:rPr>
                <w:rFonts w:hint="eastAsia" w:ascii="宋体" w:hAnsi="宋体"/>
              </w:rPr>
              <w:t>水</w:t>
            </w:r>
          </w:p>
          <w:p>
            <w:pPr>
              <w:spacing w:line="360" w:lineRule="auto"/>
              <w:jc w:val="center"/>
              <w:rPr>
                <w:rFonts w:ascii="宋体" w:hAnsi="宋体"/>
              </w:rPr>
            </w:pPr>
            <w:r>
              <w:rPr>
                <w:rFonts w:hint="eastAsia" w:ascii="宋体" w:hAnsi="宋体"/>
              </w:rPr>
              <w:t>田</w:t>
            </w:r>
          </w:p>
        </w:tc>
        <w:tc>
          <w:tcPr>
            <w:tcW w:w="709" w:type="dxa"/>
            <w:vAlign w:val="center"/>
          </w:tcPr>
          <w:p>
            <w:pPr>
              <w:spacing w:line="360" w:lineRule="auto"/>
              <w:jc w:val="center"/>
              <w:rPr>
                <w:rFonts w:ascii="宋体" w:hAnsi="宋体"/>
              </w:rPr>
            </w:pPr>
            <w:r>
              <w:rPr>
                <w:rFonts w:hint="eastAsia" w:ascii="宋体" w:hAnsi="宋体"/>
              </w:rPr>
              <w:t>旱</w:t>
            </w:r>
          </w:p>
          <w:p>
            <w:pPr>
              <w:spacing w:line="360" w:lineRule="auto"/>
              <w:jc w:val="center"/>
              <w:rPr>
                <w:rFonts w:ascii="宋体" w:hAnsi="宋体"/>
              </w:rPr>
            </w:pPr>
            <w:r>
              <w:rPr>
                <w:rFonts w:hint="eastAsia" w:ascii="宋体" w:hAnsi="宋体"/>
              </w:rPr>
              <w:t>地</w:t>
            </w:r>
          </w:p>
        </w:tc>
        <w:tc>
          <w:tcPr>
            <w:tcW w:w="709" w:type="dxa"/>
            <w:vAlign w:val="center"/>
          </w:tcPr>
          <w:p>
            <w:pPr>
              <w:spacing w:line="360" w:lineRule="auto"/>
              <w:jc w:val="center"/>
              <w:rPr>
                <w:rFonts w:ascii="宋体" w:hAnsi="宋体"/>
              </w:rPr>
            </w:pPr>
            <w:r>
              <w:rPr>
                <w:rFonts w:hint="eastAsia" w:ascii="宋体" w:hAnsi="宋体"/>
              </w:rPr>
              <w:t>果</w:t>
            </w:r>
          </w:p>
          <w:p>
            <w:pPr>
              <w:spacing w:line="360" w:lineRule="auto"/>
              <w:jc w:val="center"/>
              <w:rPr>
                <w:rFonts w:ascii="宋体" w:hAnsi="宋体"/>
              </w:rPr>
            </w:pPr>
            <w:r>
              <w:rPr>
                <w:rFonts w:hint="eastAsia" w:ascii="宋体" w:hAnsi="宋体"/>
              </w:rPr>
              <w:t>园</w:t>
            </w:r>
          </w:p>
        </w:tc>
        <w:tc>
          <w:tcPr>
            <w:tcW w:w="708" w:type="dxa"/>
            <w:vAlign w:val="center"/>
          </w:tcPr>
          <w:p>
            <w:pPr>
              <w:spacing w:line="360" w:lineRule="auto"/>
              <w:jc w:val="center"/>
              <w:rPr>
                <w:rFonts w:ascii="宋体" w:hAnsi="宋体"/>
              </w:rPr>
            </w:pPr>
            <w:r>
              <w:rPr>
                <w:rFonts w:hint="eastAsia" w:ascii="宋体" w:hAnsi="宋体"/>
              </w:rPr>
              <w:t>荒</w:t>
            </w:r>
          </w:p>
          <w:p>
            <w:pPr>
              <w:spacing w:line="360" w:lineRule="auto"/>
              <w:jc w:val="center"/>
              <w:rPr>
                <w:rFonts w:ascii="宋体" w:hAnsi="宋体"/>
              </w:rPr>
            </w:pPr>
            <w:r>
              <w:rPr>
                <w:rFonts w:hint="eastAsia" w:ascii="宋体" w:hAnsi="宋体"/>
              </w:rPr>
              <w:t>地</w:t>
            </w:r>
          </w:p>
        </w:tc>
        <w:tc>
          <w:tcPr>
            <w:tcW w:w="1701" w:type="dxa"/>
            <w:vMerge w:val="continue"/>
            <w:vAlign w:val="center"/>
          </w:tcPr>
          <w:p>
            <w:pPr>
              <w:rPr>
                <w:rFonts w:ascii="宋体" w:hAnsi="宋体"/>
              </w:rPr>
            </w:pPr>
          </w:p>
        </w:tc>
        <w:tc>
          <w:tcPr>
            <w:tcW w:w="851" w:type="dxa"/>
            <w:vAlign w:val="center"/>
          </w:tcPr>
          <w:p>
            <w:pPr>
              <w:spacing w:line="360" w:lineRule="auto"/>
              <w:jc w:val="center"/>
              <w:rPr>
                <w:rFonts w:ascii="宋体" w:hAnsi="宋体"/>
              </w:rPr>
            </w:pPr>
            <w:r>
              <w:rPr>
                <w:rFonts w:hint="eastAsia" w:ascii="宋体" w:hAnsi="宋体"/>
              </w:rPr>
              <w:t>桩</w:t>
            </w:r>
          </w:p>
          <w:p>
            <w:pPr>
              <w:spacing w:line="360" w:lineRule="auto"/>
              <w:jc w:val="center"/>
              <w:rPr>
                <w:rFonts w:ascii="宋体" w:hAnsi="宋体"/>
              </w:rPr>
            </w:pPr>
            <w:r>
              <w:rPr>
                <w:rFonts w:hint="eastAsia" w:ascii="宋体" w:hAnsi="宋体"/>
              </w:rPr>
              <w:t>号</w:t>
            </w:r>
          </w:p>
        </w:tc>
        <w:tc>
          <w:tcPr>
            <w:tcW w:w="860" w:type="dxa"/>
            <w:vAlign w:val="center"/>
          </w:tcPr>
          <w:p>
            <w:pPr>
              <w:spacing w:line="360" w:lineRule="auto"/>
              <w:jc w:val="center"/>
              <w:rPr>
                <w:rFonts w:ascii="宋体" w:hAnsi="宋体"/>
              </w:rPr>
            </w:pPr>
            <w:r>
              <w:rPr>
                <w:rFonts w:hint="eastAsia" w:ascii="宋体" w:hAnsi="宋体"/>
              </w:rPr>
              <w:t>左侧（m）</w:t>
            </w:r>
          </w:p>
        </w:tc>
        <w:tc>
          <w:tcPr>
            <w:tcW w:w="861" w:type="dxa"/>
            <w:vAlign w:val="center"/>
          </w:tcPr>
          <w:p>
            <w:pPr>
              <w:spacing w:line="360" w:lineRule="auto"/>
              <w:jc w:val="center"/>
              <w:rPr>
                <w:rFonts w:ascii="宋体" w:hAnsi="宋体"/>
              </w:rPr>
            </w:pPr>
            <w:r>
              <w:rPr>
                <w:rFonts w:hint="eastAsia" w:ascii="宋体" w:hAnsi="宋体"/>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r>
              <w:rPr>
                <w:rFonts w:hint="eastAsia" w:ascii="宋体" w:hAnsi="宋体"/>
              </w:rPr>
              <w:t>一、临时工程</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1.便道</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2.便桥</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3.……</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2060" w:type="dxa"/>
            <w:vAlign w:val="center"/>
          </w:tcPr>
          <w:p>
            <w:pPr>
              <w:ind w:firstLine="105" w:firstLineChars="50"/>
              <w:rPr>
                <w:rFonts w:ascii="宋体" w:hAnsi="宋体"/>
              </w:rPr>
            </w:pPr>
            <w:r>
              <w:rPr>
                <w:rFonts w:hint="eastAsia" w:ascii="宋体" w:hAnsi="宋体"/>
              </w:rPr>
              <w:t>二、生产及生活临时设施</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1.临时住房</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2060" w:type="dxa"/>
            <w:vAlign w:val="center"/>
          </w:tcPr>
          <w:p>
            <w:pPr>
              <w:ind w:firstLine="432" w:firstLineChars="206"/>
              <w:rPr>
                <w:rFonts w:ascii="宋体" w:hAnsi="宋体"/>
              </w:rPr>
            </w:pPr>
            <w:r>
              <w:rPr>
                <w:rFonts w:hint="eastAsia" w:ascii="宋体" w:hAnsi="宋体"/>
              </w:rPr>
              <w:t>2.办公等公用房屋</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ind w:firstLine="432" w:firstLineChars="206"/>
              <w:rPr>
                <w:rFonts w:ascii="宋体" w:hAnsi="宋体"/>
              </w:rPr>
            </w:pPr>
            <w:r>
              <w:rPr>
                <w:rFonts w:hint="eastAsia" w:ascii="宋体" w:hAnsi="宋体"/>
              </w:rPr>
              <w:t>3.料库</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4.预制场</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ascii="宋体" w:hAnsi="宋体"/>
              </w:rPr>
            </w:pPr>
            <w:r>
              <w:rPr>
                <w:rFonts w:hint="eastAsia" w:ascii="宋体" w:hAnsi="宋体"/>
              </w:rPr>
              <w:t>……</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60" w:type="dxa"/>
            <w:vAlign w:val="center"/>
          </w:tcPr>
          <w:p>
            <w:pPr>
              <w:rPr>
                <w:rFonts w:ascii="宋体" w:hAnsi="宋体"/>
              </w:rPr>
            </w:pP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060" w:type="dxa"/>
            <w:vAlign w:val="center"/>
          </w:tcPr>
          <w:p>
            <w:pPr>
              <w:rPr>
                <w:rFonts w:ascii="宋体" w:hAnsi="宋体"/>
              </w:rPr>
            </w:pPr>
            <w:r>
              <w:rPr>
                <w:rFonts w:hint="eastAsia" w:ascii="宋体" w:hAnsi="宋体"/>
              </w:rPr>
              <w:t>租用面积合计</w:t>
            </w:r>
          </w:p>
        </w:tc>
        <w:tc>
          <w:tcPr>
            <w:tcW w:w="555" w:type="dxa"/>
            <w:vAlign w:val="center"/>
          </w:tcPr>
          <w:p>
            <w:pPr>
              <w:rPr>
                <w:rFonts w:ascii="宋体" w:hAnsi="宋体"/>
              </w:rPr>
            </w:pPr>
          </w:p>
        </w:tc>
        <w:tc>
          <w:tcPr>
            <w:tcW w:w="724" w:type="dxa"/>
            <w:vAlign w:val="center"/>
          </w:tcPr>
          <w:p>
            <w:pPr>
              <w:rPr>
                <w:rFonts w:ascii="宋体" w:hAnsi="宋体"/>
              </w:rPr>
            </w:pPr>
          </w:p>
        </w:tc>
        <w:tc>
          <w:tcPr>
            <w:tcW w:w="709" w:type="dxa"/>
            <w:vAlign w:val="center"/>
          </w:tcPr>
          <w:p>
            <w:pPr>
              <w:rPr>
                <w:rFonts w:ascii="宋体" w:hAnsi="宋体"/>
              </w:rPr>
            </w:pPr>
          </w:p>
        </w:tc>
        <w:tc>
          <w:tcPr>
            <w:tcW w:w="709" w:type="dxa"/>
            <w:vAlign w:val="center"/>
          </w:tcPr>
          <w:p>
            <w:pPr>
              <w:rPr>
                <w:rFonts w:ascii="宋体" w:hAnsi="宋体"/>
              </w:rPr>
            </w:pPr>
          </w:p>
        </w:tc>
        <w:tc>
          <w:tcPr>
            <w:tcW w:w="708" w:type="dxa"/>
            <w:vAlign w:val="center"/>
          </w:tcPr>
          <w:p>
            <w:pPr>
              <w:rPr>
                <w:rFonts w:ascii="宋体" w:hAnsi="宋体"/>
              </w:rPr>
            </w:pPr>
          </w:p>
        </w:tc>
        <w:tc>
          <w:tcPr>
            <w:tcW w:w="1701" w:type="dxa"/>
            <w:vAlign w:val="center"/>
          </w:tcPr>
          <w:p>
            <w:pPr>
              <w:rPr>
                <w:rFonts w:ascii="宋体" w:hAnsi="宋体"/>
              </w:rPr>
            </w:pPr>
          </w:p>
        </w:tc>
        <w:tc>
          <w:tcPr>
            <w:tcW w:w="851" w:type="dxa"/>
            <w:vAlign w:val="center"/>
          </w:tcPr>
          <w:p>
            <w:pPr>
              <w:rPr>
                <w:rFonts w:ascii="宋体" w:hAnsi="宋体"/>
              </w:rPr>
            </w:pPr>
          </w:p>
        </w:tc>
        <w:tc>
          <w:tcPr>
            <w:tcW w:w="860" w:type="dxa"/>
            <w:vAlign w:val="center"/>
          </w:tcPr>
          <w:p>
            <w:pPr>
              <w:rPr>
                <w:rFonts w:ascii="宋体" w:hAnsi="宋体"/>
              </w:rPr>
            </w:pPr>
          </w:p>
        </w:tc>
        <w:tc>
          <w:tcPr>
            <w:tcW w:w="861" w:type="dxa"/>
            <w:vAlign w:val="center"/>
          </w:tcPr>
          <w:p>
            <w:pPr>
              <w:rPr>
                <w:rFonts w:ascii="宋体" w:hAnsi="宋体"/>
              </w:rPr>
            </w:pPr>
          </w:p>
        </w:tc>
      </w:tr>
    </w:tbl>
    <w:p>
      <w:pPr>
        <w:spacing w:line="360" w:lineRule="auto"/>
        <w:rPr>
          <w:b/>
          <w:sz w:val="28"/>
          <w:szCs w:val="28"/>
        </w:rPr>
      </w:pPr>
      <w:bookmarkStart w:id="686" w:name="_Toc234349574"/>
      <w:bookmarkStart w:id="687" w:name="_Toc234349000"/>
    </w:p>
    <w:p>
      <w:pPr>
        <w:spacing w:line="360" w:lineRule="auto"/>
        <w:rPr>
          <w:b/>
          <w:sz w:val="28"/>
          <w:szCs w:val="28"/>
        </w:rPr>
      </w:pPr>
      <w:r>
        <w:rPr>
          <w:rFonts w:hint="eastAsia"/>
          <w:b/>
          <w:sz w:val="28"/>
          <w:szCs w:val="28"/>
        </w:rPr>
        <w:t>附表八  外供电力需求计划表</w:t>
      </w:r>
      <w:bookmarkEnd w:id="686"/>
      <w:bookmarkEnd w:id="687"/>
    </w:p>
    <w:tbl>
      <w:tblPr>
        <w:tblStyle w:val="38"/>
        <w:tblW w:w="92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559"/>
        <w:gridCol w:w="1596"/>
        <w:gridCol w:w="1216"/>
        <w:gridCol w:w="1828"/>
        <w:gridCol w:w="1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3080" w:type="dxa"/>
            <w:gridSpan w:val="2"/>
            <w:vAlign w:val="center"/>
          </w:tcPr>
          <w:p>
            <w:pPr>
              <w:jc w:val="center"/>
              <w:rPr>
                <w:rFonts w:ascii="宋体" w:hAnsi="宋体"/>
              </w:rPr>
            </w:pPr>
            <w:r>
              <w:rPr>
                <w:rFonts w:hint="eastAsia" w:ascii="宋体" w:hAnsi="宋体"/>
              </w:rPr>
              <w:t>用电位置</w:t>
            </w:r>
          </w:p>
        </w:tc>
        <w:tc>
          <w:tcPr>
            <w:tcW w:w="1596" w:type="dxa"/>
            <w:vMerge w:val="restart"/>
            <w:vAlign w:val="center"/>
          </w:tcPr>
          <w:p>
            <w:pPr>
              <w:jc w:val="center"/>
              <w:rPr>
                <w:rFonts w:ascii="宋体" w:hAnsi="宋体"/>
              </w:rPr>
            </w:pPr>
            <w:r>
              <w:rPr>
                <w:rFonts w:hint="eastAsia" w:ascii="宋体" w:hAnsi="宋体"/>
              </w:rPr>
              <w:t>计划用电数量（kW.h</w:t>
            </w:r>
            <w:r>
              <w:rPr>
                <w:rFonts w:ascii="宋体" w:hAnsi="宋体"/>
              </w:rPr>
              <w:t>）</w:t>
            </w:r>
          </w:p>
        </w:tc>
        <w:tc>
          <w:tcPr>
            <w:tcW w:w="1216" w:type="dxa"/>
            <w:vMerge w:val="restart"/>
            <w:vAlign w:val="center"/>
          </w:tcPr>
          <w:p>
            <w:pPr>
              <w:jc w:val="center"/>
              <w:rPr>
                <w:rFonts w:ascii="宋体" w:hAnsi="宋体"/>
              </w:rPr>
            </w:pPr>
            <w:r>
              <w:rPr>
                <w:rFonts w:hint="eastAsia" w:ascii="宋体" w:hAnsi="宋体"/>
              </w:rPr>
              <w:t>用  途</w:t>
            </w:r>
          </w:p>
        </w:tc>
        <w:tc>
          <w:tcPr>
            <w:tcW w:w="1828" w:type="dxa"/>
            <w:vMerge w:val="restart"/>
            <w:vAlign w:val="center"/>
          </w:tcPr>
          <w:p>
            <w:pPr>
              <w:ind w:firstLine="210" w:firstLineChars="100"/>
              <w:rPr>
                <w:rFonts w:ascii="宋体" w:hAnsi="宋体"/>
              </w:rPr>
            </w:pPr>
            <w:r>
              <w:rPr>
                <w:rFonts w:hint="eastAsia" w:ascii="宋体" w:hAnsi="宋体"/>
              </w:rPr>
              <w:t>需用时间</w:t>
            </w:r>
          </w:p>
          <w:p>
            <w:pPr>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p>
            <w:pPr>
              <w:rPr>
                <w:rFonts w:ascii="宋体" w:hAnsi="宋体"/>
              </w:rPr>
            </w:pPr>
            <w:r>
              <w:rPr>
                <w:rFonts w:hint="eastAsia" w:ascii="宋体" w:hAnsi="宋体"/>
              </w:rPr>
              <w:t>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c>
        <w:tc>
          <w:tcPr>
            <w:tcW w:w="1522" w:type="dxa"/>
            <w:vMerge w:val="restart"/>
            <w:vAlign w:val="center"/>
          </w:tcPr>
          <w:p>
            <w:pPr>
              <w:jc w:val="center"/>
              <w:rPr>
                <w:rFonts w:ascii="宋体" w:hAnsi="宋体"/>
              </w:rPr>
            </w:pPr>
            <w:r>
              <w:rPr>
                <w:rFonts w:hint="eastAsia" w:ascii="宋体" w:hAnsi="宋体"/>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521" w:type="dxa"/>
            <w:vAlign w:val="center"/>
          </w:tcPr>
          <w:p>
            <w:pPr>
              <w:jc w:val="center"/>
              <w:rPr>
                <w:rFonts w:ascii="宋体" w:hAnsi="宋体"/>
              </w:rPr>
            </w:pPr>
            <w:r>
              <w:rPr>
                <w:rFonts w:hint="eastAsia" w:ascii="宋体" w:hAnsi="宋体"/>
              </w:rPr>
              <w:t>桩号</w:t>
            </w:r>
          </w:p>
        </w:tc>
        <w:tc>
          <w:tcPr>
            <w:tcW w:w="1559" w:type="dxa"/>
            <w:vAlign w:val="center"/>
          </w:tcPr>
          <w:p>
            <w:pPr>
              <w:jc w:val="center"/>
              <w:rPr>
                <w:rFonts w:ascii="宋体" w:hAnsi="宋体"/>
              </w:rPr>
            </w:pPr>
            <w:r>
              <w:rPr>
                <w:rFonts w:hint="eastAsia" w:ascii="宋体" w:hAnsi="宋体"/>
              </w:rPr>
              <w:t>左或右</w:t>
            </w:r>
          </w:p>
          <w:p>
            <w:pPr>
              <w:jc w:val="center"/>
              <w:rPr>
                <w:rFonts w:ascii="宋体" w:hAnsi="宋体"/>
              </w:rPr>
            </w:pPr>
            <w:r>
              <w:rPr>
                <w:rFonts w:hint="eastAsia" w:ascii="宋体" w:hAnsi="宋体"/>
              </w:rPr>
              <w:t>（m）</w:t>
            </w:r>
          </w:p>
        </w:tc>
        <w:tc>
          <w:tcPr>
            <w:tcW w:w="1596" w:type="dxa"/>
            <w:vMerge w:val="continue"/>
            <w:vAlign w:val="center"/>
          </w:tcPr>
          <w:p>
            <w:pPr>
              <w:rPr>
                <w:rFonts w:ascii="宋体" w:hAnsi="宋体"/>
              </w:rPr>
            </w:pPr>
          </w:p>
        </w:tc>
        <w:tc>
          <w:tcPr>
            <w:tcW w:w="1216" w:type="dxa"/>
            <w:vMerge w:val="continue"/>
            <w:vAlign w:val="center"/>
          </w:tcPr>
          <w:p>
            <w:pPr>
              <w:rPr>
                <w:rFonts w:ascii="宋体" w:hAnsi="宋体"/>
              </w:rPr>
            </w:pPr>
          </w:p>
        </w:tc>
        <w:tc>
          <w:tcPr>
            <w:tcW w:w="1828" w:type="dxa"/>
            <w:vMerge w:val="continue"/>
            <w:vAlign w:val="center"/>
          </w:tcPr>
          <w:p>
            <w:pPr>
              <w:rPr>
                <w:rFonts w:ascii="宋体" w:hAnsi="宋体"/>
              </w:rPr>
            </w:pPr>
          </w:p>
        </w:tc>
        <w:tc>
          <w:tcPr>
            <w:tcW w:w="1522" w:type="dxa"/>
            <w:vMerge w:val="continue"/>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ascii="宋体" w:hAnsi="宋体"/>
              </w:rPr>
            </w:pPr>
          </w:p>
        </w:tc>
        <w:tc>
          <w:tcPr>
            <w:tcW w:w="1559" w:type="dxa"/>
            <w:vAlign w:val="center"/>
          </w:tcPr>
          <w:p>
            <w:pPr>
              <w:spacing w:line="360" w:lineRule="auto"/>
              <w:rPr>
                <w:rFonts w:ascii="宋体" w:hAnsi="宋体"/>
              </w:rPr>
            </w:pPr>
          </w:p>
        </w:tc>
        <w:tc>
          <w:tcPr>
            <w:tcW w:w="1596" w:type="dxa"/>
            <w:vAlign w:val="center"/>
          </w:tcPr>
          <w:p>
            <w:pPr>
              <w:spacing w:line="360" w:lineRule="auto"/>
              <w:rPr>
                <w:rFonts w:ascii="宋体" w:hAnsi="宋体"/>
              </w:rPr>
            </w:pPr>
          </w:p>
        </w:tc>
        <w:tc>
          <w:tcPr>
            <w:tcW w:w="1216" w:type="dxa"/>
            <w:vAlign w:val="center"/>
          </w:tcPr>
          <w:p>
            <w:pPr>
              <w:spacing w:line="360" w:lineRule="auto"/>
              <w:rPr>
                <w:rFonts w:ascii="宋体" w:hAnsi="宋体"/>
              </w:rPr>
            </w:pPr>
          </w:p>
        </w:tc>
        <w:tc>
          <w:tcPr>
            <w:tcW w:w="1828" w:type="dxa"/>
            <w:vAlign w:val="center"/>
          </w:tcPr>
          <w:p>
            <w:pPr>
              <w:spacing w:line="360" w:lineRule="auto"/>
              <w:rPr>
                <w:rFonts w:ascii="宋体" w:hAnsi="宋体"/>
              </w:rPr>
            </w:pPr>
          </w:p>
        </w:tc>
        <w:tc>
          <w:tcPr>
            <w:tcW w:w="1522" w:type="dxa"/>
            <w:vAlign w:val="center"/>
          </w:tcPr>
          <w:p>
            <w:pPr>
              <w:spacing w:line="360" w:lineRule="auto"/>
              <w:rPr>
                <w:rFonts w:ascii="宋体" w:hAnsi="宋体"/>
              </w:rPr>
            </w:pPr>
          </w:p>
        </w:tc>
      </w:tr>
    </w:tbl>
    <w:p>
      <w:pPr>
        <w:spacing w:line="360" w:lineRule="auto"/>
        <w:jc w:val="center"/>
        <w:rPr>
          <w:b/>
          <w:sz w:val="36"/>
          <w:szCs w:val="36"/>
        </w:rPr>
      </w:pPr>
      <w:bookmarkStart w:id="688" w:name="_Toc234346125"/>
      <w:bookmarkStart w:id="689" w:name="_Toc265483681"/>
      <w:bookmarkStart w:id="690" w:name="_Toc234345910"/>
      <w:bookmarkStart w:id="691" w:name="_Toc234349002"/>
      <w:bookmarkStart w:id="692" w:name="_Toc234349576"/>
    </w:p>
    <w:p>
      <w:pPr>
        <w:spacing w:line="360" w:lineRule="auto"/>
        <w:jc w:val="center"/>
        <w:rPr>
          <w:b/>
          <w:sz w:val="36"/>
          <w:szCs w:val="36"/>
        </w:rPr>
      </w:pPr>
    </w:p>
    <w:p>
      <w:pPr>
        <w:spacing w:line="360" w:lineRule="auto"/>
        <w:jc w:val="center"/>
        <w:outlineLvl w:val="0"/>
        <w:rPr>
          <w:b/>
          <w:sz w:val="36"/>
          <w:szCs w:val="36"/>
        </w:rPr>
      </w:pPr>
      <w:r>
        <w:rPr>
          <w:b/>
          <w:sz w:val="36"/>
          <w:szCs w:val="36"/>
        </w:rPr>
        <w:br w:type="page"/>
      </w:r>
      <w:bookmarkStart w:id="693" w:name="_Toc17196"/>
      <w:r>
        <w:rPr>
          <w:rFonts w:hint="eastAsia"/>
          <w:b/>
          <w:sz w:val="36"/>
          <w:szCs w:val="36"/>
        </w:rPr>
        <w:t>六、项目管理机构</w:t>
      </w:r>
      <w:bookmarkEnd w:id="688"/>
      <w:bookmarkEnd w:id="689"/>
      <w:bookmarkEnd w:id="690"/>
      <w:bookmarkEnd w:id="691"/>
      <w:bookmarkEnd w:id="692"/>
      <w:bookmarkEnd w:id="693"/>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rFonts w:ascii="宋体" w:hAnsi="宋体"/>
              </w:rPr>
            </w:pPr>
          </w:p>
          <w:p>
            <w:pPr>
              <w:rPr>
                <w:rFonts w:ascii="宋体" w:hAnsi="宋体"/>
              </w:rPr>
            </w:pPr>
          </w:p>
          <w:p>
            <w:pPr>
              <w:ind w:firstLine="105" w:firstLineChars="50"/>
              <w:rPr>
                <w:rFonts w:ascii="宋体" w:hAnsi="宋体"/>
              </w:rPr>
            </w:pPr>
            <w:r>
              <w:rPr>
                <w:rFonts w:hint="eastAsia" w:ascii="宋体" w:hAnsi="宋体"/>
              </w:rPr>
              <w:t>拟为承包本标段工程设立的组织机构以框图方式表示。</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rFonts w:ascii="宋体" w:hAnsi="宋体"/>
              </w:rPr>
            </w:pPr>
          </w:p>
          <w:p>
            <w:pPr>
              <w:rPr>
                <w:rFonts w:ascii="宋体" w:hAnsi="宋体"/>
              </w:rPr>
            </w:pPr>
            <w:r>
              <w:rPr>
                <w:rFonts w:hint="eastAsia" w:ascii="宋体" w:hAnsi="宋体"/>
              </w:rPr>
              <w:t>说明</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
      <w:pPr>
        <w:spacing w:line="360" w:lineRule="auto"/>
        <w:jc w:val="center"/>
        <w:rPr>
          <w:b/>
          <w:sz w:val="36"/>
          <w:szCs w:val="36"/>
        </w:rPr>
      </w:pPr>
      <w:bookmarkStart w:id="694" w:name="_Toc234346126"/>
      <w:bookmarkStart w:id="695" w:name="_Toc234345911"/>
      <w:bookmarkStart w:id="696" w:name="_Toc265483682"/>
      <w:bookmarkStart w:id="697" w:name="_Toc234349577"/>
      <w:bookmarkStart w:id="698" w:name="_Toc234349003"/>
    </w:p>
    <w:p>
      <w:pPr>
        <w:spacing w:line="360" w:lineRule="auto"/>
        <w:jc w:val="center"/>
        <w:rPr>
          <w:b/>
          <w:sz w:val="36"/>
          <w:szCs w:val="36"/>
        </w:rPr>
      </w:pPr>
    </w:p>
    <w:p>
      <w:pPr>
        <w:spacing w:line="360" w:lineRule="auto"/>
        <w:jc w:val="center"/>
        <w:rPr>
          <w:b/>
          <w:sz w:val="36"/>
          <w:szCs w:val="36"/>
        </w:rPr>
      </w:pPr>
    </w:p>
    <w:p>
      <w:pPr>
        <w:spacing w:line="360" w:lineRule="auto"/>
        <w:jc w:val="center"/>
        <w:outlineLvl w:val="0"/>
        <w:rPr>
          <w:b/>
          <w:sz w:val="36"/>
          <w:szCs w:val="36"/>
        </w:rPr>
      </w:pPr>
      <w:bookmarkStart w:id="699" w:name="_Toc27601"/>
      <w:r>
        <w:rPr>
          <w:rFonts w:hint="eastAsia"/>
          <w:b/>
          <w:sz w:val="36"/>
          <w:szCs w:val="36"/>
        </w:rPr>
        <w:t>七、</w:t>
      </w:r>
      <w:bookmarkEnd w:id="694"/>
      <w:bookmarkEnd w:id="695"/>
      <w:bookmarkEnd w:id="696"/>
      <w:bookmarkEnd w:id="697"/>
      <w:bookmarkEnd w:id="698"/>
      <w:bookmarkStart w:id="700" w:name="_Toc234349004"/>
      <w:bookmarkStart w:id="701" w:name="_Toc234345912"/>
      <w:bookmarkStart w:id="702" w:name="_Toc265483683"/>
      <w:bookmarkStart w:id="703" w:name="_Toc234346127"/>
      <w:bookmarkStart w:id="704" w:name="_Toc234349578"/>
      <w:r>
        <w:rPr>
          <w:rFonts w:hint="eastAsia"/>
          <w:b/>
          <w:sz w:val="36"/>
          <w:szCs w:val="36"/>
        </w:rPr>
        <w:t>资格审查资料</w:t>
      </w:r>
      <w:bookmarkEnd w:id="699"/>
      <w:bookmarkEnd w:id="700"/>
      <w:bookmarkEnd w:id="701"/>
      <w:bookmarkEnd w:id="702"/>
      <w:bookmarkEnd w:id="703"/>
      <w:bookmarkEnd w:id="704"/>
    </w:p>
    <w:p>
      <w:pPr>
        <w:tabs>
          <w:tab w:val="left" w:pos="3960"/>
        </w:tabs>
        <w:spacing w:line="360" w:lineRule="auto"/>
        <w:jc w:val="center"/>
        <w:rPr>
          <w:b/>
          <w:sz w:val="32"/>
          <w:szCs w:val="32"/>
        </w:rPr>
      </w:pPr>
      <w:bookmarkStart w:id="705" w:name="_Toc234349580"/>
      <w:bookmarkStart w:id="706" w:name="_Toc234345914"/>
      <w:bookmarkStart w:id="707" w:name="_Toc234349006"/>
      <w:bookmarkStart w:id="708" w:name="_Toc234346129"/>
      <w:r>
        <w:rPr>
          <w:rFonts w:hint="eastAsia"/>
          <w:b/>
          <w:sz w:val="32"/>
          <w:szCs w:val="32"/>
        </w:rPr>
        <w:t>（一）投标人基本情况表</w:t>
      </w:r>
      <w:bookmarkEnd w:id="705"/>
      <w:bookmarkEnd w:id="706"/>
      <w:bookmarkEnd w:id="707"/>
      <w:bookmarkEnd w:id="708"/>
    </w:p>
    <w:tbl>
      <w:tblPr>
        <w:tblStyle w:val="38"/>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投标人名称</w:t>
            </w:r>
          </w:p>
        </w:tc>
        <w:tc>
          <w:tcPr>
            <w:tcW w:w="6844" w:type="dxa"/>
            <w:gridSpan w:val="8"/>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注册地址</w:t>
            </w:r>
          </w:p>
        </w:tc>
        <w:tc>
          <w:tcPr>
            <w:tcW w:w="3604" w:type="dxa"/>
            <w:gridSpan w:val="4"/>
            <w:vAlign w:val="center"/>
          </w:tcPr>
          <w:p>
            <w:pPr>
              <w:tabs>
                <w:tab w:val="left" w:pos="3960"/>
              </w:tabs>
              <w:spacing w:line="400" w:lineRule="exact"/>
              <w:jc w:val="center"/>
              <w:rPr>
                <w:rFonts w:ascii="宋体" w:hAnsi="宋体"/>
                <w:szCs w:val="21"/>
              </w:rPr>
            </w:pPr>
          </w:p>
        </w:tc>
        <w:tc>
          <w:tcPr>
            <w:tcW w:w="1387" w:type="dxa"/>
            <w:vAlign w:val="center"/>
          </w:tcPr>
          <w:p>
            <w:pPr>
              <w:tabs>
                <w:tab w:val="left" w:pos="3960"/>
              </w:tabs>
              <w:spacing w:line="400" w:lineRule="exact"/>
              <w:jc w:val="center"/>
              <w:rPr>
                <w:rFonts w:ascii="宋体" w:hAnsi="宋体"/>
                <w:szCs w:val="21"/>
              </w:rPr>
            </w:pPr>
            <w:r>
              <w:rPr>
                <w:rFonts w:hint="eastAsia" w:ascii="宋体" w:hAnsi="宋体"/>
                <w:szCs w:val="21"/>
              </w:rPr>
              <w:t>邮政编码</w:t>
            </w:r>
          </w:p>
        </w:tc>
        <w:tc>
          <w:tcPr>
            <w:tcW w:w="1853" w:type="dxa"/>
            <w:gridSpan w:val="3"/>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rFonts w:ascii="宋体" w:hAnsi="宋体"/>
                <w:szCs w:val="21"/>
              </w:rPr>
            </w:pPr>
            <w:r>
              <w:rPr>
                <w:rFonts w:hint="eastAsia" w:ascii="宋体" w:hAnsi="宋体"/>
                <w:szCs w:val="21"/>
              </w:rPr>
              <w:t>联系方式</w:t>
            </w:r>
          </w:p>
        </w:tc>
        <w:tc>
          <w:tcPr>
            <w:tcW w:w="1079" w:type="dxa"/>
            <w:vAlign w:val="center"/>
          </w:tcPr>
          <w:p>
            <w:pPr>
              <w:tabs>
                <w:tab w:val="left" w:pos="3960"/>
              </w:tabs>
              <w:spacing w:line="400" w:lineRule="exact"/>
              <w:jc w:val="center"/>
              <w:rPr>
                <w:rFonts w:ascii="宋体" w:hAnsi="宋体"/>
                <w:szCs w:val="21"/>
              </w:rPr>
            </w:pPr>
            <w:r>
              <w:rPr>
                <w:rFonts w:hint="eastAsia" w:ascii="宋体" w:hAnsi="宋体"/>
                <w:szCs w:val="21"/>
              </w:rPr>
              <w:t>联系人</w:t>
            </w:r>
          </w:p>
        </w:tc>
        <w:tc>
          <w:tcPr>
            <w:tcW w:w="2525" w:type="dxa"/>
            <w:gridSpan w:val="3"/>
            <w:vAlign w:val="center"/>
          </w:tcPr>
          <w:p>
            <w:pPr>
              <w:tabs>
                <w:tab w:val="left" w:pos="3960"/>
              </w:tabs>
              <w:spacing w:line="400" w:lineRule="exact"/>
              <w:jc w:val="center"/>
              <w:rPr>
                <w:rFonts w:ascii="宋体" w:hAnsi="宋体"/>
                <w:szCs w:val="21"/>
              </w:rPr>
            </w:pPr>
          </w:p>
        </w:tc>
        <w:tc>
          <w:tcPr>
            <w:tcW w:w="1387" w:type="dxa"/>
            <w:vAlign w:val="center"/>
          </w:tcPr>
          <w:p>
            <w:pPr>
              <w:tabs>
                <w:tab w:val="left" w:pos="3960"/>
              </w:tabs>
              <w:spacing w:line="400" w:lineRule="exact"/>
              <w:jc w:val="center"/>
              <w:rPr>
                <w:rFonts w:ascii="宋体" w:hAnsi="宋体"/>
                <w:szCs w:val="21"/>
              </w:rPr>
            </w:pPr>
            <w:r>
              <w:rPr>
                <w:rFonts w:hint="eastAsia" w:ascii="宋体" w:hAnsi="宋体"/>
                <w:szCs w:val="21"/>
              </w:rPr>
              <w:t>电  话</w:t>
            </w:r>
          </w:p>
        </w:tc>
        <w:tc>
          <w:tcPr>
            <w:tcW w:w="1853" w:type="dxa"/>
            <w:gridSpan w:val="3"/>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rFonts w:ascii="宋体" w:hAnsi="宋体"/>
                <w:szCs w:val="21"/>
              </w:rPr>
            </w:pPr>
          </w:p>
        </w:tc>
        <w:tc>
          <w:tcPr>
            <w:tcW w:w="1079" w:type="dxa"/>
            <w:vAlign w:val="center"/>
          </w:tcPr>
          <w:p>
            <w:pPr>
              <w:tabs>
                <w:tab w:val="left" w:pos="3960"/>
              </w:tabs>
              <w:spacing w:line="400" w:lineRule="exact"/>
              <w:jc w:val="center"/>
              <w:rPr>
                <w:rFonts w:ascii="宋体" w:hAnsi="宋体"/>
                <w:szCs w:val="21"/>
              </w:rPr>
            </w:pPr>
            <w:r>
              <w:rPr>
                <w:rFonts w:hint="eastAsia" w:ascii="宋体" w:hAnsi="宋体"/>
                <w:szCs w:val="21"/>
              </w:rPr>
              <w:t>传  真</w:t>
            </w:r>
          </w:p>
        </w:tc>
        <w:tc>
          <w:tcPr>
            <w:tcW w:w="2525" w:type="dxa"/>
            <w:gridSpan w:val="3"/>
            <w:vAlign w:val="center"/>
          </w:tcPr>
          <w:p>
            <w:pPr>
              <w:tabs>
                <w:tab w:val="left" w:pos="3960"/>
              </w:tabs>
              <w:spacing w:line="400" w:lineRule="exact"/>
              <w:jc w:val="center"/>
              <w:rPr>
                <w:rFonts w:ascii="宋体" w:hAnsi="宋体"/>
                <w:szCs w:val="21"/>
              </w:rPr>
            </w:pPr>
          </w:p>
        </w:tc>
        <w:tc>
          <w:tcPr>
            <w:tcW w:w="1387" w:type="dxa"/>
            <w:vAlign w:val="center"/>
          </w:tcPr>
          <w:p>
            <w:pPr>
              <w:tabs>
                <w:tab w:val="left" w:pos="3960"/>
              </w:tabs>
              <w:spacing w:line="400" w:lineRule="exact"/>
              <w:jc w:val="center"/>
              <w:rPr>
                <w:rFonts w:ascii="宋体" w:hAnsi="宋体"/>
                <w:szCs w:val="21"/>
              </w:rPr>
            </w:pPr>
            <w:r>
              <w:rPr>
                <w:rFonts w:hint="eastAsia" w:ascii="宋体" w:hAnsi="宋体"/>
                <w:szCs w:val="21"/>
              </w:rPr>
              <w:t>电子邮件</w:t>
            </w:r>
          </w:p>
        </w:tc>
        <w:tc>
          <w:tcPr>
            <w:tcW w:w="1853" w:type="dxa"/>
            <w:gridSpan w:val="3"/>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法定代表人</w:t>
            </w:r>
          </w:p>
        </w:tc>
        <w:tc>
          <w:tcPr>
            <w:tcW w:w="1079" w:type="dxa"/>
            <w:vAlign w:val="center"/>
          </w:tcPr>
          <w:p>
            <w:pPr>
              <w:tabs>
                <w:tab w:val="left" w:pos="3960"/>
              </w:tabs>
              <w:spacing w:line="400" w:lineRule="exact"/>
              <w:jc w:val="center"/>
              <w:rPr>
                <w:rFonts w:ascii="宋体" w:hAnsi="宋体"/>
                <w:szCs w:val="21"/>
              </w:rPr>
            </w:pPr>
            <w:r>
              <w:rPr>
                <w:rFonts w:hint="eastAsia" w:ascii="宋体" w:hAnsi="宋体"/>
                <w:szCs w:val="21"/>
              </w:rPr>
              <w:t>姓名</w:t>
            </w:r>
          </w:p>
        </w:tc>
        <w:tc>
          <w:tcPr>
            <w:tcW w:w="1078" w:type="dxa"/>
            <w:vAlign w:val="center"/>
          </w:tcPr>
          <w:p>
            <w:pPr>
              <w:tabs>
                <w:tab w:val="left" w:pos="3960"/>
              </w:tabs>
              <w:spacing w:line="400" w:lineRule="exact"/>
              <w:jc w:val="center"/>
              <w:rPr>
                <w:rFonts w:ascii="宋体" w:hAnsi="宋体"/>
                <w:szCs w:val="21"/>
              </w:rPr>
            </w:pPr>
          </w:p>
        </w:tc>
        <w:tc>
          <w:tcPr>
            <w:tcW w:w="1258" w:type="dxa"/>
            <w:vAlign w:val="center"/>
          </w:tcPr>
          <w:p>
            <w:pPr>
              <w:tabs>
                <w:tab w:val="left" w:pos="3960"/>
              </w:tabs>
              <w:spacing w:line="400" w:lineRule="exact"/>
              <w:jc w:val="center"/>
              <w:rPr>
                <w:rFonts w:ascii="宋体" w:hAnsi="宋体"/>
                <w:szCs w:val="21"/>
              </w:rPr>
            </w:pPr>
            <w:r>
              <w:rPr>
                <w:rFonts w:hint="eastAsia" w:ascii="宋体" w:hAnsi="宋体"/>
                <w:szCs w:val="21"/>
              </w:rPr>
              <w:t>技术职称</w:t>
            </w:r>
          </w:p>
        </w:tc>
        <w:tc>
          <w:tcPr>
            <w:tcW w:w="1767" w:type="dxa"/>
            <w:gridSpan w:val="3"/>
            <w:vAlign w:val="center"/>
          </w:tcPr>
          <w:p>
            <w:pPr>
              <w:tabs>
                <w:tab w:val="left" w:pos="3960"/>
              </w:tabs>
              <w:spacing w:line="400" w:lineRule="exact"/>
              <w:jc w:val="center"/>
              <w:rPr>
                <w:rFonts w:ascii="宋体" w:hAnsi="宋体"/>
                <w:szCs w:val="21"/>
              </w:rPr>
            </w:pPr>
          </w:p>
        </w:tc>
        <w:tc>
          <w:tcPr>
            <w:tcW w:w="762" w:type="dxa"/>
            <w:vAlign w:val="center"/>
          </w:tcPr>
          <w:p>
            <w:pPr>
              <w:tabs>
                <w:tab w:val="left" w:pos="3960"/>
              </w:tabs>
              <w:spacing w:line="400" w:lineRule="exact"/>
              <w:jc w:val="center"/>
              <w:rPr>
                <w:rFonts w:ascii="宋体" w:hAnsi="宋体"/>
                <w:szCs w:val="21"/>
              </w:rPr>
            </w:pPr>
            <w:r>
              <w:rPr>
                <w:rFonts w:hint="eastAsia" w:ascii="宋体" w:hAnsi="宋体"/>
                <w:szCs w:val="21"/>
              </w:rPr>
              <w:t>电话</w:t>
            </w:r>
          </w:p>
        </w:tc>
        <w:tc>
          <w:tcPr>
            <w:tcW w:w="900" w:type="dxa"/>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技术负责人</w:t>
            </w:r>
          </w:p>
        </w:tc>
        <w:tc>
          <w:tcPr>
            <w:tcW w:w="1079" w:type="dxa"/>
            <w:vAlign w:val="center"/>
          </w:tcPr>
          <w:p>
            <w:pPr>
              <w:tabs>
                <w:tab w:val="left" w:pos="3960"/>
              </w:tabs>
              <w:spacing w:line="400" w:lineRule="exact"/>
              <w:jc w:val="center"/>
              <w:rPr>
                <w:rFonts w:ascii="宋体" w:hAnsi="宋体"/>
                <w:szCs w:val="21"/>
              </w:rPr>
            </w:pPr>
            <w:r>
              <w:rPr>
                <w:rFonts w:hint="eastAsia" w:ascii="宋体" w:hAnsi="宋体"/>
                <w:szCs w:val="21"/>
              </w:rPr>
              <w:t>姓名</w:t>
            </w:r>
          </w:p>
        </w:tc>
        <w:tc>
          <w:tcPr>
            <w:tcW w:w="1078" w:type="dxa"/>
            <w:vAlign w:val="center"/>
          </w:tcPr>
          <w:p>
            <w:pPr>
              <w:tabs>
                <w:tab w:val="left" w:pos="3960"/>
              </w:tabs>
              <w:spacing w:line="400" w:lineRule="exact"/>
              <w:jc w:val="center"/>
              <w:rPr>
                <w:rFonts w:ascii="宋体" w:hAnsi="宋体"/>
                <w:szCs w:val="21"/>
              </w:rPr>
            </w:pPr>
          </w:p>
        </w:tc>
        <w:tc>
          <w:tcPr>
            <w:tcW w:w="1258" w:type="dxa"/>
            <w:vAlign w:val="center"/>
          </w:tcPr>
          <w:p>
            <w:pPr>
              <w:tabs>
                <w:tab w:val="left" w:pos="3960"/>
              </w:tabs>
              <w:spacing w:line="400" w:lineRule="exact"/>
              <w:jc w:val="center"/>
              <w:rPr>
                <w:rFonts w:ascii="宋体" w:hAnsi="宋体"/>
                <w:szCs w:val="21"/>
              </w:rPr>
            </w:pPr>
            <w:r>
              <w:rPr>
                <w:rFonts w:hint="eastAsia" w:ascii="宋体" w:hAnsi="宋体"/>
                <w:szCs w:val="21"/>
              </w:rPr>
              <w:t>技术职称</w:t>
            </w:r>
          </w:p>
        </w:tc>
        <w:tc>
          <w:tcPr>
            <w:tcW w:w="1767" w:type="dxa"/>
            <w:gridSpan w:val="3"/>
            <w:vAlign w:val="center"/>
          </w:tcPr>
          <w:p>
            <w:pPr>
              <w:tabs>
                <w:tab w:val="left" w:pos="3960"/>
              </w:tabs>
              <w:spacing w:line="400" w:lineRule="exact"/>
              <w:jc w:val="center"/>
              <w:rPr>
                <w:rFonts w:ascii="宋体" w:hAnsi="宋体"/>
                <w:szCs w:val="21"/>
              </w:rPr>
            </w:pPr>
          </w:p>
        </w:tc>
        <w:tc>
          <w:tcPr>
            <w:tcW w:w="762" w:type="dxa"/>
            <w:vAlign w:val="center"/>
          </w:tcPr>
          <w:p>
            <w:pPr>
              <w:tabs>
                <w:tab w:val="left" w:pos="3960"/>
              </w:tabs>
              <w:spacing w:line="400" w:lineRule="exact"/>
              <w:jc w:val="center"/>
              <w:rPr>
                <w:rFonts w:ascii="宋体" w:hAnsi="宋体"/>
                <w:szCs w:val="21"/>
              </w:rPr>
            </w:pPr>
            <w:r>
              <w:rPr>
                <w:rFonts w:hint="eastAsia" w:ascii="宋体" w:hAnsi="宋体"/>
                <w:szCs w:val="21"/>
              </w:rPr>
              <w:t>电话</w:t>
            </w:r>
          </w:p>
        </w:tc>
        <w:tc>
          <w:tcPr>
            <w:tcW w:w="900" w:type="dxa"/>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营业执照号</w:t>
            </w:r>
          </w:p>
        </w:tc>
        <w:tc>
          <w:tcPr>
            <w:tcW w:w="2157" w:type="dxa"/>
            <w:gridSpan w:val="2"/>
            <w:vAlign w:val="center"/>
          </w:tcPr>
          <w:p>
            <w:pPr>
              <w:tabs>
                <w:tab w:val="left" w:pos="3960"/>
              </w:tabs>
              <w:spacing w:line="400" w:lineRule="exact"/>
              <w:jc w:val="center"/>
              <w:rPr>
                <w:rFonts w:ascii="宋体" w:hAnsi="宋体"/>
                <w:szCs w:val="21"/>
              </w:rPr>
            </w:pPr>
          </w:p>
        </w:tc>
        <w:tc>
          <w:tcPr>
            <w:tcW w:w="4687" w:type="dxa"/>
            <w:gridSpan w:val="6"/>
            <w:vAlign w:val="center"/>
          </w:tcPr>
          <w:p>
            <w:pPr>
              <w:tabs>
                <w:tab w:val="left" w:pos="3960"/>
              </w:tabs>
              <w:spacing w:line="400" w:lineRule="exact"/>
              <w:jc w:val="center"/>
              <w:rPr>
                <w:rFonts w:ascii="宋体" w:hAnsi="宋体"/>
                <w:szCs w:val="21"/>
              </w:rPr>
            </w:pPr>
            <w:r>
              <w:rPr>
                <w:rFonts w:hint="eastAsia" w:ascii="宋体" w:hAnsi="宋体"/>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企业资质等级</w:t>
            </w:r>
          </w:p>
        </w:tc>
        <w:tc>
          <w:tcPr>
            <w:tcW w:w="2157" w:type="dxa"/>
            <w:gridSpan w:val="2"/>
            <w:vAlign w:val="center"/>
          </w:tcPr>
          <w:p>
            <w:pPr>
              <w:tabs>
                <w:tab w:val="left" w:pos="3960"/>
              </w:tabs>
              <w:spacing w:line="400" w:lineRule="exact"/>
              <w:jc w:val="center"/>
              <w:rPr>
                <w:rFonts w:ascii="宋体" w:hAnsi="宋体"/>
                <w:szCs w:val="21"/>
              </w:rPr>
            </w:pPr>
          </w:p>
        </w:tc>
        <w:tc>
          <w:tcPr>
            <w:tcW w:w="1258" w:type="dxa"/>
            <w:vMerge w:val="restart"/>
            <w:vAlign w:val="center"/>
          </w:tcPr>
          <w:p>
            <w:pPr>
              <w:tabs>
                <w:tab w:val="left" w:pos="3960"/>
              </w:tabs>
              <w:spacing w:line="400" w:lineRule="exact"/>
              <w:jc w:val="center"/>
              <w:rPr>
                <w:rFonts w:ascii="宋体" w:hAnsi="宋体"/>
                <w:szCs w:val="21"/>
              </w:rPr>
            </w:pPr>
            <w:r>
              <w:rPr>
                <w:rFonts w:hint="eastAsia" w:ascii="宋体" w:hAnsi="宋体"/>
                <w:szCs w:val="21"/>
              </w:rPr>
              <w:t>其中</w:t>
            </w:r>
          </w:p>
        </w:tc>
        <w:tc>
          <w:tcPr>
            <w:tcW w:w="1767" w:type="dxa"/>
            <w:gridSpan w:val="3"/>
            <w:vAlign w:val="center"/>
          </w:tcPr>
          <w:p>
            <w:pPr>
              <w:tabs>
                <w:tab w:val="left" w:pos="3960"/>
              </w:tabs>
              <w:spacing w:line="400" w:lineRule="exact"/>
              <w:jc w:val="center"/>
              <w:rPr>
                <w:rFonts w:ascii="宋体" w:hAnsi="宋体"/>
                <w:szCs w:val="21"/>
              </w:rPr>
            </w:pPr>
            <w:r>
              <w:rPr>
                <w:rFonts w:hint="eastAsia" w:ascii="宋体" w:hAnsi="宋体"/>
                <w:szCs w:val="21"/>
              </w:rPr>
              <w:t>项目经理</w:t>
            </w:r>
          </w:p>
        </w:tc>
        <w:tc>
          <w:tcPr>
            <w:tcW w:w="1662" w:type="dxa"/>
            <w:gridSpan w:val="2"/>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注册资本</w:t>
            </w:r>
          </w:p>
        </w:tc>
        <w:tc>
          <w:tcPr>
            <w:tcW w:w="2157" w:type="dxa"/>
            <w:gridSpan w:val="2"/>
            <w:vAlign w:val="center"/>
          </w:tcPr>
          <w:p>
            <w:pPr>
              <w:tabs>
                <w:tab w:val="left" w:pos="3960"/>
              </w:tabs>
              <w:spacing w:line="400" w:lineRule="exact"/>
              <w:jc w:val="center"/>
              <w:rPr>
                <w:rFonts w:ascii="宋体" w:hAnsi="宋体"/>
                <w:szCs w:val="21"/>
              </w:rPr>
            </w:pPr>
          </w:p>
        </w:tc>
        <w:tc>
          <w:tcPr>
            <w:tcW w:w="1258" w:type="dxa"/>
            <w:vMerge w:val="continue"/>
            <w:vAlign w:val="center"/>
          </w:tcPr>
          <w:p>
            <w:pPr>
              <w:tabs>
                <w:tab w:val="left" w:pos="3960"/>
              </w:tabs>
              <w:spacing w:line="400" w:lineRule="exact"/>
              <w:jc w:val="center"/>
              <w:rPr>
                <w:rFonts w:ascii="宋体" w:hAnsi="宋体"/>
                <w:szCs w:val="21"/>
              </w:rPr>
            </w:pPr>
          </w:p>
        </w:tc>
        <w:tc>
          <w:tcPr>
            <w:tcW w:w="1767" w:type="dxa"/>
            <w:gridSpan w:val="3"/>
            <w:vAlign w:val="center"/>
          </w:tcPr>
          <w:p>
            <w:pPr>
              <w:tabs>
                <w:tab w:val="left" w:pos="3960"/>
              </w:tabs>
              <w:spacing w:line="400" w:lineRule="exact"/>
              <w:jc w:val="center"/>
              <w:rPr>
                <w:rFonts w:ascii="宋体" w:hAnsi="宋体"/>
                <w:szCs w:val="21"/>
              </w:rPr>
            </w:pPr>
            <w:r>
              <w:rPr>
                <w:rFonts w:hint="eastAsia" w:ascii="宋体" w:hAnsi="宋体"/>
                <w:szCs w:val="21"/>
              </w:rPr>
              <w:t>高级职称人员</w:t>
            </w:r>
          </w:p>
        </w:tc>
        <w:tc>
          <w:tcPr>
            <w:tcW w:w="1662" w:type="dxa"/>
            <w:gridSpan w:val="2"/>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成立日起</w:t>
            </w:r>
          </w:p>
        </w:tc>
        <w:tc>
          <w:tcPr>
            <w:tcW w:w="2157" w:type="dxa"/>
            <w:gridSpan w:val="2"/>
            <w:vAlign w:val="center"/>
          </w:tcPr>
          <w:p>
            <w:pPr>
              <w:tabs>
                <w:tab w:val="left" w:pos="3960"/>
              </w:tabs>
              <w:spacing w:line="400" w:lineRule="exact"/>
              <w:jc w:val="center"/>
              <w:rPr>
                <w:rFonts w:ascii="宋体" w:hAnsi="宋体"/>
                <w:szCs w:val="21"/>
              </w:rPr>
            </w:pPr>
          </w:p>
        </w:tc>
        <w:tc>
          <w:tcPr>
            <w:tcW w:w="1258" w:type="dxa"/>
            <w:vMerge w:val="continue"/>
            <w:vAlign w:val="center"/>
          </w:tcPr>
          <w:p>
            <w:pPr>
              <w:tabs>
                <w:tab w:val="left" w:pos="3960"/>
              </w:tabs>
              <w:spacing w:line="400" w:lineRule="exact"/>
              <w:jc w:val="center"/>
              <w:rPr>
                <w:rFonts w:ascii="宋体" w:hAnsi="宋体"/>
                <w:szCs w:val="21"/>
              </w:rPr>
            </w:pPr>
          </w:p>
        </w:tc>
        <w:tc>
          <w:tcPr>
            <w:tcW w:w="1767" w:type="dxa"/>
            <w:gridSpan w:val="3"/>
            <w:vAlign w:val="center"/>
          </w:tcPr>
          <w:p>
            <w:pPr>
              <w:tabs>
                <w:tab w:val="left" w:pos="3960"/>
              </w:tabs>
              <w:spacing w:line="400" w:lineRule="exact"/>
              <w:jc w:val="center"/>
              <w:rPr>
                <w:rFonts w:ascii="宋体" w:hAnsi="宋体"/>
                <w:szCs w:val="21"/>
              </w:rPr>
            </w:pPr>
            <w:r>
              <w:rPr>
                <w:rFonts w:hint="eastAsia" w:ascii="宋体" w:hAnsi="宋体"/>
                <w:szCs w:val="21"/>
              </w:rPr>
              <w:t>中级职称人员</w:t>
            </w:r>
          </w:p>
        </w:tc>
        <w:tc>
          <w:tcPr>
            <w:tcW w:w="1662" w:type="dxa"/>
            <w:gridSpan w:val="2"/>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基本账户开户银行</w:t>
            </w:r>
          </w:p>
        </w:tc>
        <w:tc>
          <w:tcPr>
            <w:tcW w:w="2157" w:type="dxa"/>
            <w:gridSpan w:val="2"/>
            <w:vAlign w:val="center"/>
          </w:tcPr>
          <w:p>
            <w:pPr>
              <w:tabs>
                <w:tab w:val="left" w:pos="3960"/>
              </w:tabs>
              <w:spacing w:line="400" w:lineRule="exact"/>
              <w:jc w:val="center"/>
              <w:rPr>
                <w:rFonts w:ascii="宋体" w:hAnsi="宋体"/>
                <w:szCs w:val="21"/>
              </w:rPr>
            </w:pPr>
          </w:p>
        </w:tc>
        <w:tc>
          <w:tcPr>
            <w:tcW w:w="1258" w:type="dxa"/>
            <w:vMerge w:val="continue"/>
            <w:vAlign w:val="center"/>
          </w:tcPr>
          <w:p>
            <w:pPr>
              <w:tabs>
                <w:tab w:val="left" w:pos="3960"/>
              </w:tabs>
              <w:spacing w:line="400" w:lineRule="exact"/>
              <w:jc w:val="center"/>
              <w:rPr>
                <w:rFonts w:ascii="宋体" w:hAnsi="宋体"/>
                <w:szCs w:val="21"/>
              </w:rPr>
            </w:pPr>
          </w:p>
        </w:tc>
        <w:tc>
          <w:tcPr>
            <w:tcW w:w="1767" w:type="dxa"/>
            <w:gridSpan w:val="3"/>
            <w:vAlign w:val="center"/>
          </w:tcPr>
          <w:p>
            <w:pPr>
              <w:tabs>
                <w:tab w:val="left" w:pos="3960"/>
              </w:tabs>
              <w:spacing w:line="400" w:lineRule="exact"/>
              <w:jc w:val="center"/>
              <w:rPr>
                <w:rFonts w:ascii="宋体" w:hAnsi="宋体"/>
                <w:szCs w:val="21"/>
              </w:rPr>
            </w:pPr>
            <w:r>
              <w:rPr>
                <w:rFonts w:hint="eastAsia" w:ascii="宋体" w:hAnsi="宋体"/>
                <w:szCs w:val="21"/>
              </w:rPr>
              <w:t>初级职称人员</w:t>
            </w:r>
          </w:p>
        </w:tc>
        <w:tc>
          <w:tcPr>
            <w:tcW w:w="1662" w:type="dxa"/>
            <w:gridSpan w:val="2"/>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基本账户银行账号</w:t>
            </w:r>
          </w:p>
        </w:tc>
        <w:tc>
          <w:tcPr>
            <w:tcW w:w="2157" w:type="dxa"/>
            <w:gridSpan w:val="2"/>
            <w:vAlign w:val="center"/>
          </w:tcPr>
          <w:p>
            <w:pPr>
              <w:tabs>
                <w:tab w:val="left" w:pos="3960"/>
              </w:tabs>
              <w:spacing w:line="400" w:lineRule="exact"/>
              <w:jc w:val="center"/>
              <w:rPr>
                <w:rFonts w:ascii="宋体" w:hAnsi="宋体"/>
                <w:szCs w:val="21"/>
              </w:rPr>
            </w:pPr>
          </w:p>
        </w:tc>
        <w:tc>
          <w:tcPr>
            <w:tcW w:w="1258" w:type="dxa"/>
            <w:vMerge w:val="continue"/>
            <w:vAlign w:val="center"/>
          </w:tcPr>
          <w:p>
            <w:pPr>
              <w:tabs>
                <w:tab w:val="left" w:pos="3960"/>
              </w:tabs>
              <w:spacing w:line="400" w:lineRule="exact"/>
              <w:jc w:val="center"/>
              <w:rPr>
                <w:rFonts w:ascii="宋体" w:hAnsi="宋体"/>
                <w:szCs w:val="21"/>
              </w:rPr>
            </w:pPr>
          </w:p>
        </w:tc>
        <w:tc>
          <w:tcPr>
            <w:tcW w:w="1767" w:type="dxa"/>
            <w:gridSpan w:val="3"/>
            <w:vAlign w:val="center"/>
          </w:tcPr>
          <w:p>
            <w:pPr>
              <w:tabs>
                <w:tab w:val="left" w:pos="3960"/>
              </w:tabs>
              <w:spacing w:line="400" w:lineRule="exact"/>
              <w:jc w:val="center"/>
              <w:rPr>
                <w:rFonts w:ascii="宋体" w:hAnsi="宋体"/>
                <w:szCs w:val="21"/>
              </w:rPr>
            </w:pPr>
            <w:r>
              <w:rPr>
                <w:rFonts w:hint="eastAsia" w:ascii="宋体" w:hAnsi="宋体"/>
                <w:szCs w:val="21"/>
              </w:rPr>
              <w:t>技工</w:t>
            </w:r>
          </w:p>
        </w:tc>
        <w:tc>
          <w:tcPr>
            <w:tcW w:w="1662" w:type="dxa"/>
            <w:gridSpan w:val="2"/>
            <w:vAlign w:val="center"/>
          </w:tcPr>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经营范围</w:t>
            </w:r>
          </w:p>
        </w:tc>
        <w:tc>
          <w:tcPr>
            <w:tcW w:w="6844" w:type="dxa"/>
            <w:gridSpan w:val="8"/>
            <w:vAlign w:val="center"/>
          </w:tcPr>
          <w:p>
            <w:pPr>
              <w:tabs>
                <w:tab w:val="left" w:pos="3960"/>
              </w:tabs>
              <w:spacing w:line="400" w:lineRule="exact"/>
              <w:jc w:val="center"/>
              <w:rPr>
                <w:rFonts w:ascii="宋体" w:hAnsi="宋体"/>
                <w:szCs w:val="21"/>
              </w:rPr>
            </w:pPr>
          </w:p>
          <w:p>
            <w:pPr>
              <w:tabs>
                <w:tab w:val="left" w:pos="3960"/>
              </w:tabs>
              <w:spacing w:line="400" w:lineRule="exact"/>
              <w:jc w:val="center"/>
              <w:rPr>
                <w:rFonts w:ascii="宋体" w:hAnsi="宋体"/>
                <w:szCs w:val="21"/>
              </w:rPr>
            </w:pPr>
          </w:p>
          <w:p>
            <w:pPr>
              <w:tabs>
                <w:tab w:val="left" w:pos="3960"/>
              </w:tabs>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rFonts w:ascii="宋体" w:hAnsi="宋体"/>
                <w:sz w:val="24"/>
              </w:rPr>
            </w:pPr>
            <w:r>
              <w:rPr>
                <w:rFonts w:hint="eastAsia" w:ascii="宋体" w:hAnsi="宋体"/>
                <w:sz w:val="24"/>
              </w:rPr>
              <w:t>投标人关联</w:t>
            </w:r>
          </w:p>
          <w:p>
            <w:pPr>
              <w:tabs>
                <w:tab w:val="left" w:pos="3960"/>
              </w:tabs>
              <w:spacing w:line="400" w:lineRule="exact"/>
              <w:jc w:val="center"/>
              <w:rPr>
                <w:rFonts w:ascii="宋体" w:hAnsi="宋体"/>
                <w:sz w:val="24"/>
              </w:rPr>
            </w:pPr>
            <w:r>
              <w:rPr>
                <w:rFonts w:hint="eastAsia" w:ascii="宋体" w:hAnsi="宋体"/>
                <w:sz w:val="24"/>
              </w:rPr>
              <w:t>企业情况</w:t>
            </w:r>
          </w:p>
        </w:tc>
        <w:tc>
          <w:tcPr>
            <w:tcW w:w="6844" w:type="dxa"/>
            <w:gridSpan w:val="8"/>
            <w:vAlign w:val="center"/>
          </w:tcPr>
          <w:p>
            <w:pPr>
              <w:tabs>
                <w:tab w:val="left" w:pos="3960"/>
              </w:tabs>
              <w:jc w:val="left"/>
              <w:rPr>
                <w:rFonts w:ascii="宋体" w:hAnsi="宋体"/>
                <w:szCs w:val="21"/>
              </w:rPr>
            </w:pPr>
            <w:r>
              <w:rPr>
                <w:rFonts w:hint="eastAsia" w:ascii="宋体" w:hAnsi="宋体"/>
                <w:szCs w:val="21"/>
              </w:rPr>
              <w:t>投标人应提供关联企业情况，包括：</w:t>
            </w:r>
          </w:p>
          <w:p>
            <w:pPr>
              <w:tabs>
                <w:tab w:val="left" w:pos="3960"/>
              </w:tabs>
              <w:jc w:val="left"/>
              <w:rPr>
                <w:rFonts w:ascii="宋体" w:hAnsi="宋体"/>
                <w:szCs w:val="21"/>
              </w:rPr>
            </w:pPr>
            <w:r>
              <w:rPr>
                <w:rFonts w:hint="eastAsia" w:ascii="宋体" w:hAnsi="宋体"/>
                <w:szCs w:val="21"/>
              </w:rPr>
              <w:t>（1）投标人的所有股东名称及相应股权（出资额）比例；如投标人为上市公司，投标人应提供股权占公司股份总数</w:t>
            </w:r>
            <w:r>
              <w:rPr>
                <w:rFonts w:hint="eastAsia" w:ascii="宋体" w:hAnsi="宋体"/>
                <w:szCs w:val="21"/>
                <w:u w:val="single"/>
              </w:rPr>
              <w:t xml:space="preserve"> 20 </w:t>
            </w:r>
            <w:r>
              <w:rPr>
                <w:rFonts w:hint="eastAsia" w:ascii="宋体" w:hAnsi="宋体"/>
                <w:szCs w:val="21"/>
              </w:rPr>
              <w:t>%以上的所有股东名称及相应股权比例；</w:t>
            </w:r>
          </w:p>
          <w:p>
            <w:pPr>
              <w:tabs>
                <w:tab w:val="left" w:pos="3960"/>
              </w:tabs>
              <w:jc w:val="left"/>
              <w:rPr>
                <w:rFonts w:ascii="宋体" w:hAnsi="宋体"/>
                <w:szCs w:val="21"/>
              </w:rPr>
            </w:pPr>
            <w:r>
              <w:rPr>
                <w:rFonts w:hint="eastAsia" w:ascii="宋体" w:hAnsi="宋体"/>
                <w:szCs w:val="21"/>
              </w:rPr>
              <w:t>（2）投标人投资（控股）或管理的下属企业名称、持有股权（出资额）比例；</w:t>
            </w:r>
          </w:p>
          <w:p>
            <w:pPr>
              <w:tabs>
                <w:tab w:val="left" w:pos="3960"/>
              </w:tabs>
              <w:jc w:val="left"/>
              <w:rPr>
                <w:rFonts w:ascii="宋体" w:hAnsi="宋体"/>
                <w:szCs w:val="21"/>
              </w:rPr>
            </w:pPr>
            <w:r>
              <w:rPr>
                <w:rFonts w:hint="eastAsia" w:ascii="宋体" w:hAnsi="宋体"/>
                <w:szCs w:val="21"/>
              </w:rPr>
              <w:t>（3）与投标人单位负责人（即法定代表人）为同一人的其他单位名称。</w:t>
            </w:r>
          </w:p>
          <w:p>
            <w:pPr>
              <w:tabs>
                <w:tab w:val="left" w:pos="3960"/>
              </w:tabs>
              <w:jc w:val="left"/>
              <w:rPr>
                <w:rFonts w:ascii="宋体" w:hAnsi="宋体"/>
                <w:sz w:val="24"/>
              </w:rPr>
            </w:pPr>
            <w:r>
              <w:rPr>
                <w:rFonts w:hint="eastAsia" w:ascii="宋体" w:hAnsi="宋体"/>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rFonts w:ascii="宋体" w:hAnsi="宋体"/>
                <w:szCs w:val="21"/>
              </w:rPr>
            </w:pPr>
            <w:r>
              <w:rPr>
                <w:rFonts w:hint="eastAsia" w:ascii="宋体" w:hAnsi="宋体"/>
                <w:szCs w:val="21"/>
              </w:rPr>
              <w:t>备注</w:t>
            </w:r>
          </w:p>
        </w:tc>
        <w:tc>
          <w:tcPr>
            <w:tcW w:w="6844" w:type="dxa"/>
            <w:gridSpan w:val="8"/>
            <w:vAlign w:val="center"/>
          </w:tcPr>
          <w:p>
            <w:pPr>
              <w:tabs>
                <w:tab w:val="left" w:pos="3960"/>
              </w:tabs>
              <w:spacing w:line="400" w:lineRule="exact"/>
              <w:jc w:val="center"/>
              <w:rPr>
                <w:rFonts w:ascii="宋体" w:hAnsi="宋体"/>
                <w:szCs w:val="21"/>
              </w:rPr>
            </w:pPr>
          </w:p>
        </w:tc>
      </w:tr>
    </w:tbl>
    <w:p>
      <w:pPr>
        <w:tabs>
          <w:tab w:val="left" w:pos="3960"/>
        </w:tabs>
        <w:spacing w:line="400" w:lineRule="exact"/>
        <w:ind w:left="708" w:hanging="707" w:hangingChars="337"/>
        <w:rPr>
          <w:rFonts w:ascii="宋体" w:hAnsi="宋体"/>
          <w:szCs w:val="21"/>
        </w:rPr>
      </w:pPr>
      <w:bookmarkStart w:id="709" w:name="_Toc234345915"/>
      <w:bookmarkStart w:id="710" w:name="_Toc234349581"/>
      <w:bookmarkStart w:id="711" w:name="_Toc234346130"/>
      <w:bookmarkStart w:id="712" w:name="_Toc234349007"/>
      <w:r>
        <w:rPr>
          <w:rFonts w:hint="eastAsia" w:ascii="宋体" w:hAnsi="宋体"/>
          <w:szCs w:val="21"/>
        </w:rPr>
        <w:t>注：1.投标人应根据招标文件第二章“投标人须知”第3.5.1项的要求在本表后附相关证明材料。</w:t>
      </w:r>
    </w:p>
    <w:p>
      <w:pPr>
        <w:tabs>
          <w:tab w:val="left" w:pos="3960"/>
        </w:tabs>
        <w:spacing w:line="400" w:lineRule="exact"/>
        <w:ind w:left="707" w:leftChars="200" w:hanging="287" w:hangingChars="137"/>
        <w:rPr>
          <w:rFonts w:ascii="宋体" w:hAnsi="宋体"/>
          <w:szCs w:val="21"/>
        </w:rPr>
      </w:pPr>
      <w:r>
        <w:rPr>
          <w:rFonts w:hint="eastAsia" w:ascii="宋体" w:hAnsi="宋体"/>
          <w:szCs w:val="21"/>
        </w:rPr>
        <w:t>2.以联合体形式参与投标的，联合体各成员应分别填写。</w:t>
      </w:r>
    </w:p>
    <w:p>
      <w:pPr>
        <w:tabs>
          <w:tab w:val="left" w:pos="3960"/>
        </w:tabs>
        <w:spacing w:line="360" w:lineRule="auto"/>
        <w:ind w:left="708" w:hanging="707" w:hangingChars="337"/>
        <w:jc w:val="left"/>
        <w:rPr>
          <w:szCs w:val="21"/>
        </w:rPr>
      </w:pPr>
    </w:p>
    <w:p>
      <w:pPr>
        <w:tabs>
          <w:tab w:val="left" w:pos="3960"/>
        </w:tabs>
        <w:spacing w:line="360" w:lineRule="auto"/>
        <w:ind w:left="643" w:hanging="643" w:hangingChars="200"/>
        <w:jc w:val="center"/>
        <w:rPr>
          <w:b/>
          <w:sz w:val="32"/>
          <w:szCs w:val="32"/>
        </w:rPr>
      </w:pPr>
    </w:p>
    <w:p>
      <w:pPr>
        <w:tabs>
          <w:tab w:val="left" w:pos="3960"/>
        </w:tabs>
        <w:spacing w:line="360" w:lineRule="auto"/>
        <w:ind w:left="643" w:hanging="643" w:hangingChars="200"/>
        <w:jc w:val="center"/>
        <w:rPr>
          <w:b/>
          <w:sz w:val="32"/>
          <w:szCs w:val="32"/>
        </w:rPr>
      </w:pPr>
    </w:p>
    <w:p>
      <w:pPr>
        <w:tabs>
          <w:tab w:val="left" w:pos="3960"/>
        </w:tabs>
        <w:spacing w:line="360" w:lineRule="auto"/>
        <w:ind w:left="643" w:hanging="643" w:hangingChars="200"/>
        <w:jc w:val="center"/>
        <w:rPr>
          <w:b/>
          <w:sz w:val="32"/>
          <w:szCs w:val="32"/>
        </w:rPr>
      </w:pPr>
      <w:r>
        <w:rPr>
          <w:rFonts w:hint="eastAsia"/>
          <w:b/>
          <w:sz w:val="32"/>
          <w:szCs w:val="32"/>
        </w:rPr>
        <w:t>（二）投标人企业组织机构框图</w:t>
      </w:r>
      <w:bookmarkEnd w:id="709"/>
      <w:bookmarkEnd w:id="710"/>
      <w:bookmarkEnd w:id="711"/>
      <w:bookmarkEnd w:id="712"/>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rFonts w:ascii="宋体" w:hAnsi="宋体"/>
              </w:rPr>
            </w:pPr>
          </w:p>
          <w:p>
            <w:pPr>
              <w:rPr>
                <w:rFonts w:ascii="宋体" w:hAnsi="宋体"/>
              </w:rPr>
            </w:pPr>
            <w:r>
              <w:rPr>
                <w:rFonts w:hint="eastAsia" w:ascii="宋体" w:hAnsi="宋体"/>
              </w:rPr>
              <w:t>以框图方式表示</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rFonts w:ascii="宋体" w:hAnsi="宋体"/>
              </w:rPr>
            </w:pPr>
          </w:p>
          <w:p>
            <w:pPr>
              <w:rPr>
                <w:rFonts w:ascii="宋体" w:hAnsi="宋体"/>
              </w:rPr>
            </w:pPr>
            <w:r>
              <w:rPr>
                <w:rFonts w:hint="eastAsia" w:ascii="宋体" w:hAnsi="宋体"/>
              </w:rPr>
              <w:t>说明</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Pr>
        <w:tabs>
          <w:tab w:val="left" w:pos="3960"/>
        </w:tabs>
        <w:spacing w:line="360" w:lineRule="auto"/>
        <w:jc w:val="center"/>
        <w:rPr>
          <w:b/>
          <w:sz w:val="32"/>
          <w:szCs w:val="32"/>
        </w:rPr>
      </w:pPr>
      <w:r>
        <w:rPr>
          <w:rFonts w:ascii="宋体" w:hAnsi="宋体"/>
        </w:rPr>
        <w:br w:type="page"/>
      </w:r>
      <w:bookmarkStart w:id="713" w:name="_Toc236644849"/>
      <w:bookmarkStart w:id="714" w:name="_Toc234349008"/>
      <w:bookmarkStart w:id="715" w:name="_Toc234345916"/>
      <w:bookmarkStart w:id="716" w:name="_Toc234346131"/>
      <w:bookmarkStart w:id="717" w:name="_Toc234349582"/>
      <w:r>
        <w:rPr>
          <w:rFonts w:hint="eastAsia"/>
          <w:b/>
          <w:sz w:val="32"/>
          <w:szCs w:val="32"/>
        </w:rPr>
        <w:t>（三）近年财务状况</w:t>
      </w:r>
      <w:bookmarkEnd w:id="713"/>
    </w:p>
    <w:p>
      <w:pPr>
        <w:tabs>
          <w:tab w:val="left" w:pos="3960"/>
        </w:tabs>
        <w:spacing w:line="360" w:lineRule="auto"/>
        <w:jc w:val="center"/>
        <w:rPr>
          <w:rFonts w:ascii="宋体" w:hAnsi="宋体"/>
        </w:rPr>
      </w:pPr>
      <w:r>
        <w:rPr>
          <w:rFonts w:hint="eastAsia" w:ascii="宋体" w:hAnsi="宋体"/>
        </w:rPr>
        <w:t>财务状况表</w:t>
      </w:r>
    </w:p>
    <w:tbl>
      <w:tblPr>
        <w:tblStyle w:val="38"/>
        <w:tblW w:w="924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14"/>
        <w:gridCol w:w="2297"/>
        <w:gridCol w:w="1543"/>
        <w:gridCol w:w="1544"/>
        <w:gridCol w:w="1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项目或指标</w:t>
            </w:r>
          </w:p>
        </w:tc>
        <w:tc>
          <w:tcPr>
            <w:tcW w:w="2297" w:type="dxa"/>
            <w:vAlign w:val="center"/>
          </w:tcPr>
          <w:p>
            <w:pPr>
              <w:tabs>
                <w:tab w:val="left" w:pos="3960"/>
              </w:tabs>
              <w:spacing w:line="360" w:lineRule="auto"/>
              <w:jc w:val="center"/>
              <w:rPr>
                <w:rFonts w:ascii="宋体" w:hAnsi="宋体"/>
              </w:rPr>
            </w:pPr>
            <w:r>
              <w:rPr>
                <w:rFonts w:hint="eastAsia" w:ascii="宋体" w:hAnsi="宋体"/>
              </w:rPr>
              <w:t>单位</w:t>
            </w:r>
          </w:p>
        </w:tc>
        <w:tc>
          <w:tcPr>
            <w:tcW w:w="1543" w:type="dxa"/>
            <w:vAlign w:val="center"/>
          </w:tcPr>
          <w:p>
            <w:pPr>
              <w:tabs>
                <w:tab w:val="left" w:pos="3960"/>
              </w:tabs>
              <w:spacing w:line="360" w:lineRule="auto"/>
              <w:jc w:val="center"/>
              <w:rPr>
                <w:rFonts w:ascii="宋体" w:hAnsi="宋体"/>
              </w:rPr>
            </w:pPr>
            <w:r>
              <w:rPr>
                <w:rFonts w:hint="eastAsia" w:ascii="宋体" w:hAnsi="宋体"/>
                <w:u w:val="single"/>
              </w:rPr>
              <w:t xml:space="preserve">      </w:t>
            </w:r>
            <w:r>
              <w:rPr>
                <w:rFonts w:hint="eastAsia" w:ascii="宋体" w:hAnsi="宋体"/>
              </w:rPr>
              <w:t>年</w:t>
            </w:r>
          </w:p>
        </w:tc>
        <w:tc>
          <w:tcPr>
            <w:tcW w:w="1544" w:type="dxa"/>
            <w:vAlign w:val="center"/>
          </w:tcPr>
          <w:p>
            <w:pPr>
              <w:tabs>
                <w:tab w:val="left" w:pos="3960"/>
              </w:tabs>
              <w:spacing w:line="360" w:lineRule="auto"/>
              <w:jc w:val="center"/>
              <w:rPr>
                <w:rFonts w:ascii="宋体" w:hAnsi="宋体"/>
              </w:rPr>
            </w:pPr>
            <w:r>
              <w:rPr>
                <w:rFonts w:hint="eastAsia" w:ascii="宋体" w:hAnsi="宋体"/>
                <w:u w:val="single"/>
              </w:rPr>
              <w:t xml:space="preserve">      </w:t>
            </w:r>
            <w:r>
              <w:rPr>
                <w:rFonts w:hint="eastAsia" w:ascii="宋体" w:hAnsi="宋体"/>
              </w:rPr>
              <w:t>年</w:t>
            </w:r>
          </w:p>
        </w:tc>
        <w:tc>
          <w:tcPr>
            <w:tcW w:w="1544" w:type="dxa"/>
            <w:vAlign w:val="center"/>
          </w:tcPr>
          <w:p>
            <w:pPr>
              <w:tabs>
                <w:tab w:val="left" w:pos="3960"/>
              </w:tabs>
              <w:spacing w:line="360" w:lineRule="auto"/>
              <w:jc w:val="center"/>
              <w:rPr>
                <w:rFonts w:ascii="宋体" w:hAnsi="宋体"/>
              </w:rPr>
            </w:pPr>
            <w:r>
              <w:rPr>
                <w:rFonts w:hint="eastAsia" w:ascii="宋体" w:hAnsi="宋体"/>
                <w:u w:val="single"/>
              </w:rPr>
              <w:t xml:space="preserve">      </w:t>
            </w:r>
            <w:r>
              <w:rPr>
                <w:rFonts w:hint="eastAsia" w:ascii="宋体" w:hAnsi="宋体"/>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一、注册资金</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二、净资产</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三、总资产</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四、固定资产</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五、流动资产</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六、流动负债</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七、负债合计</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314" w:type="dxa"/>
            <w:vAlign w:val="center"/>
          </w:tcPr>
          <w:p>
            <w:pPr>
              <w:tabs>
                <w:tab w:val="left" w:pos="3960"/>
              </w:tabs>
              <w:spacing w:line="360" w:lineRule="auto"/>
              <w:jc w:val="center"/>
              <w:rPr>
                <w:rFonts w:ascii="宋体" w:hAnsi="宋体"/>
              </w:rPr>
            </w:pPr>
            <w:r>
              <w:rPr>
                <w:rFonts w:hint="eastAsia" w:ascii="宋体" w:hAnsi="宋体"/>
              </w:rPr>
              <w:t>八、营业收入</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九、净利润</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十、现金流量净额</w:t>
            </w:r>
          </w:p>
        </w:tc>
        <w:tc>
          <w:tcPr>
            <w:tcW w:w="2297" w:type="dxa"/>
            <w:vAlign w:val="center"/>
          </w:tcPr>
          <w:p>
            <w:pPr>
              <w:tabs>
                <w:tab w:val="left" w:pos="3960"/>
              </w:tabs>
              <w:spacing w:line="360" w:lineRule="auto"/>
              <w:jc w:val="center"/>
              <w:rPr>
                <w:rFonts w:ascii="宋体" w:hAnsi="宋体"/>
              </w:rPr>
            </w:pPr>
            <w:r>
              <w:rPr>
                <w:rFonts w:hint="eastAsia" w:ascii="宋体" w:hAnsi="宋体"/>
              </w:rPr>
              <w:t>万元</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314" w:type="dxa"/>
            <w:vAlign w:val="center"/>
          </w:tcPr>
          <w:p>
            <w:pPr>
              <w:tabs>
                <w:tab w:val="left" w:pos="3960"/>
              </w:tabs>
              <w:spacing w:line="360" w:lineRule="auto"/>
              <w:jc w:val="center"/>
              <w:rPr>
                <w:rFonts w:ascii="宋体" w:hAnsi="宋体"/>
              </w:rPr>
            </w:pPr>
            <w:r>
              <w:rPr>
                <w:rFonts w:hint="eastAsia" w:ascii="宋体" w:hAnsi="宋体"/>
              </w:rPr>
              <w:t>十一、主要财务指标</w:t>
            </w:r>
          </w:p>
        </w:tc>
        <w:tc>
          <w:tcPr>
            <w:tcW w:w="2297" w:type="dxa"/>
            <w:vAlign w:val="center"/>
          </w:tcPr>
          <w:p>
            <w:pPr>
              <w:tabs>
                <w:tab w:val="left" w:pos="3960"/>
              </w:tabs>
              <w:spacing w:line="360" w:lineRule="auto"/>
              <w:jc w:val="center"/>
              <w:rPr>
                <w:rFonts w:ascii="宋体" w:hAnsi="宋体"/>
              </w:rPr>
            </w:pP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1.净资产收益率</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2.总资产报酬率</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314" w:type="dxa"/>
            <w:vAlign w:val="center"/>
          </w:tcPr>
          <w:p>
            <w:pPr>
              <w:tabs>
                <w:tab w:val="left" w:pos="3960"/>
              </w:tabs>
              <w:spacing w:line="360" w:lineRule="auto"/>
              <w:jc w:val="center"/>
              <w:rPr>
                <w:rFonts w:ascii="宋体" w:hAnsi="宋体"/>
              </w:rPr>
            </w:pPr>
            <w:r>
              <w:rPr>
                <w:rFonts w:hint="eastAsia" w:ascii="宋体" w:hAnsi="宋体"/>
              </w:rPr>
              <w:t xml:space="preserve">  3.主营业务利润率</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4.资产负债率</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5.流动比率</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14" w:type="dxa"/>
            <w:vAlign w:val="center"/>
          </w:tcPr>
          <w:p>
            <w:pPr>
              <w:tabs>
                <w:tab w:val="left" w:pos="3960"/>
              </w:tabs>
              <w:spacing w:line="360" w:lineRule="auto"/>
              <w:jc w:val="center"/>
              <w:rPr>
                <w:rFonts w:ascii="宋体" w:hAnsi="宋体"/>
              </w:rPr>
            </w:pPr>
            <w:r>
              <w:rPr>
                <w:rFonts w:hint="eastAsia" w:ascii="宋体" w:hAnsi="宋体"/>
              </w:rPr>
              <w:t xml:space="preserve">6.速动比率            </w:t>
            </w:r>
          </w:p>
        </w:tc>
        <w:tc>
          <w:tcPr>
            <w:tcW w:w="2297" w:type="dxa"/>
            <w:vAlign w:val="center"/>
          </w:tcPr>
          <w:p>
            <w:pPr>
              <w:tabs>
                <w:tab w:val="left" w:pos="3960"/>
              </w:tabs>
              <w:spacing w:line="360" w:lineRule="auto"/>
              <w:jc w:val="center"/>
              <w:rPr>
                <w:rFonts w:ascii="宋体" w:hAnsi="宋体"/>
              </w:rPr>
            </w:pPr>
            <w:r>
              <w:rPr>
                <w:rFonts w:hint="eastAsia" w:ascii="宋体" w:hAnsi="宋体"/>
              </w:rPr>
              <w:t>%</w:t>
            </w:r>
          </w:p>
        </w:tc>
        <w:tc>
          <w:tcPr>
            <w:tcW w:w="1543"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c>
          <w:tcPr>
            <w:tcW w:w="1544" w:type="dxa"/>
            <w:vAlign w:val="center"/>
          </w:tcPr>
          <w:p>
            <w:pPr>
              <w:tabs>
                <w:tab w:val="left" w:pos="3960"/>
              </w:tabs>
              <w:spacing w:line="360" w:lineRule="auto"/>
              <w:jc w:val="center"/>
              <w:rPr>
                <w:rFonts w:ascii="宋体" w:hAnsi="宋体"/>
              </w:rPr>
            </w:pPr>
          </w:p>
        </w:tc>
      </w:tr>
    </w:tbl>
    <w:p>
      <w:pPr>
        <w:tabs>
          <w:tab w:val="left" w:pos="3960"/>
        </w:tabs>
        <w:spacing w:line="360" w:lineRule="auto"/>
        <w:ind w:left="630" w:hanging="630" w:hangingChars="300"/>
        <w:rPr>
          <w:rFonts w:ascii="宋体" w:hAnsi="宋体"/>
        </w:rPr>
      </w:pPr>
      <w:r>
        <w:rPr>
          <w:rFonts w:hint="eastAsia" w:ascii="宋体" w:hAnsi="宋体"/>
        </w:rPr>
        <w:t>注：1.投标人应根据招标文件第二章“投标人须知”第3.5.2项的要求在本表后附相关证明材料。</w:t>
      </w:r>
    </w:p>
    <w:p>
      <w:pPr>
        <w:tabs>
          <w:tab w:val="left" w:pos="3960"/>
        </w:tabs>
        <w:spacing w:line="360" w:lineRule="auto"/>
        <w:ind w:left="630" w:leftChars="200" w:hanging="210" w:hangingChars="100"/>
        <w:rPr>
          <w:rFonts w:ascii="宋体" w:hAnsi="宋体"/>
        </w:rPr>
      </w:pPr>
      <w:r>
        <w:rPr>
          <w:rFonts w:hint="eastAsia" w:ascii="宋体" w:hAnsi="宋体"/>
        </w:rPr>
        <w:t>2.本表所列数据必须与本表各附件中的数据相一致。</w:t>
      </w:r>
    </w:p>
    <w:p>
      <w:pPr>
        <w:tabs>
          <w:tab w:val="left" w:pos="3960"/>
        </w:tabs>
        <w:spacing w:line="360" w:lineRule="auto"/>
        <w:ind w:firstLine="420" w:firstLineChars="200"/>
        <w:jc w:val="left"/>
        <w:rPr>
          <w:rFonts w:ascii="宋体" w:hAnsi="宋体"/>
        </w:rPr>
      </w:pPr>
      <w:r>
        <w:rPr>
          <w:rFonts w:hint="eastAsia" w:ascii="宋体" w:hAnsi="宋体"/>
        </w:rPr>
        <w:t>3.以联合体形式参与投标的，联合体各成员应分别填写。</w:t>
      </w:r>
    </w:p>
    <w:p>
      <w:pPr>
        <w:pStyle w:val="5"/>
        <w:rPr>
          <w:rFonts w:ascii="宋体" w:hAnsi="宋体" w:eastAsia="宋体"/>
        </w:rPr>
      </w:pPr>
      <w:bookmarkStart w:id="718" w:name="_Toc236644850"/>
      <w:r>
        <w:rPr>
          <w:rFonts w:ascii="宋体" w:hAnsi="宋体" w:eastAsia="宋体"/>
        </w:rPr>
        <w:br w:type="page"/>
      </w:r>
      <w:bookmarkStart w:id="719" w:name="_Toc508796999"/>
      <w:r>
        <w:rPr>
          <w:rFonts w:hint="eastAsia" w:ascii="宋体" w:hAnsi="宋体" w:eastAsia="宋体"/>
        </w:rPr>
        <w:t>（</w:t>
      </w:r>
      <w:r>
        <w:rPr>
          <w:rFonts w:hint="eastAsia" w:ascii="Times New Roman" w:hAnsi="Times New Roman" w:eastAsia="宋体"/>
          <w:bCs w:val="0"/>
          <w:szCs w:val="32"/>
        </w:rPr>
        <w:t>四）近年完成的类似项目情况表</w:t>
      </w:r>
      <w:bookmarkEnd w:id="718"/>
      <w:bookmarkEnd w:id="719"/>
    </w:p>
    <w:tbl>
      <w:tblPr>
        <w:tblStyle w:val="38"/>
        <w:tblW w:w="91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4"/>
        <w:gridCol w:w="7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序    号</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项目名称</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项目所在地</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发包人名称</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发包人地址</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发包人电话</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合同价格</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开工日期</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交工日期</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承担的工作</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工程质量</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项目经理</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项目总工</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总监理工程师及电话</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项目描述</w:t>
            </w:r>
          </w:p>
        </w:tc>
        <w:tc>
          <w:tcPr>
            <w:tcW w:w="7058"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134" w:type="dxa"/>
            <w:vAlign w:val="center"/>
          </w:tcPr>
          <w:p>
            <w:pPr>
              <w:jc w:val="center"/>
              <w:rPr>
                <w:rFonts w:ascii="宋体" w:hAnsi="宋体"/>
              </w:rPr>
            </w:pPr>
            <w:r>
              <w:rPr>
                <w:rFonts w:hint="eastAsia" w:ascii="宋体" w:hAnsi="宋体"/>
              </w:rPr>
              <w:t>备注</w:t>
            </w:r>
          </w:p>
        </w:tc>
        <w:tc>
          <w:tcPr>
            <w:tcW w:w="7058" w:type="dxa"/>
          </w:tcPr>
          <w:p>
            <w:pPr>
              <w:rPr>
                <w:rFonts w:ascii="宋体" w:hAnsi="宋体"/>
              </w:rPr>
            </w:pPr>
          </w:p>
        </w:tc>
      </w:tr>
    </w:tbl>
    <w:p>
      <w:pPr>
        <w:rPr>
          <w:rFonts w:ascii="宋体" w:hAnsi="宋体"/>
        </w:rPr>
      </w:pPr>
    </w:p>
    <w:p>
      <w:pPr>
        <w:ind w:leftChars="-67" w:hanging="140" w:hangingChars="67"/>
        <w:rPr>
          <w:rFonts w:ascii="宋体" w:hAnsi="宋体"/>
        </w:rPr>
      </w:pPr>
      <w:r>
        <w:rPr>
          <w:rFonts w:hint="eastAsia" w:ascii="宋体" w:hAnsi="宋体"/>
        </w:rPr>
        <w:t>注：1.每张表格只填写一个项目，并标明序号。</w:t>
      </w:r>
    </w:p>
    <w:p>
      <w:pPr>
        <w:ind w:firstLine="283" w:firstLineChars="135"/>
        <w:rPr>
          <w:rFonts w:ascii="宋体" w:hAnsi="宋体"/>
          <w:szCs w:val="21"/>
        </w:rPr>
      </w:pPr>
      <w:r>
        <w:rPr>
          <w:rFonts w:hint="eastAsia" w:ascii="宋体" w:hAnsi="宋体"/>
        </w:rPr>
        <w:t>2.</w:t>
      </w:r>
      <w:r>
        <w:rPr>
          <w:rFonts w:hint="eastAsia" w:ascii="宋体" w:hAnsi="宋体"/>
          <w:szCs w:val="21"/>
        </w:rPr>
        <w:t>投标人应根据招标文件第二章“投标人须知”第3.5.3项的要求在本表后附相关证明材料。</w:t>
      </w:r>
    </w:p>
    <w:p>
      <w:pPr>
        <w:ind w:firstLine="283" w:firstLineChars="135"/>
        <w:rPr>
          <w:rFonts w:ascii="宋体" w:hAnsi="宋体"/>
        </w:rPr>
      </w:pPr>
      <w:r>
        <w:rPr>
          <w:rFonts w:hint="eastAsia" w:ascii="宋体" w:hAnsi="宋体"/>
        </w:rPr>
        <w:t>3.如近年来，投标人法人机构发生合法变更或重组或法人名称变更时，应提供相关部门的合法批件或其他相关证明材料来证明其所附业绩的继承性。</w:t>
      </w:r>
    </w:p>
    <w:p>
      <w:pPr>
        <w:ind w:firstLine="283" w:firstLineChars="135"/>
        <w:rPr>
          <w:rFonts w:ascii="宋体" w:hAnsi="宋体"/>
        </w:rPr>
      </w:pPr>
      <w:r>
        <w:rPr>
          <w:rFonts w:hint="eastAsia" w:ascii="宋体" w:hAnsi="宋体"/>
        </w:rPr>
        <w:t>4.以联合体形式参与投标的，联合体各成员应分别填写。</w:t>
      </w:r>
    </w:p>
    <w:p>
      <w:pPr>
        <w:pStyle w:val="5"/>
        <w:rPr>
          <w:rFonts w:ascii="Times New Roman" w:hAnsi="Times New Roman" w:eastAsia="宋体"/>
          <w:bCs w:val="0"/>
          <w:szCs w:val="32"/>
        </w:rPr>
      </w:pPr>
      <w:bookmarkStart w:id="720" w:name="_Toc236644852"/>
      <w:r>
        <w:rPr>
          <w:rFonts w:ascii="Times New Roman" w:hAnsi="Times New Roman" w:eastAsia="宋体"/>
          <w:bCs w:val="0"/>
          <w:szCs w:val="32"/>
        </w:rPr>
        <w:br w:type="page"/>
      </w:r>
      <w:bookmarkStart w:id="721" w:name="_Toc508797000"/>
      <w:r>
        <w:rPr>
          <w:rFonts w:hint="eastAsia" w:ascii="Times New Roman" w:hAnsi="Times New Roman" w:eastAsia="宋体"/>
          <w:bCs w:val="0"/>
          <w:szCs w:val="32"/>
        </w:rPr>
        <w:t>（五）</w:t>
      </w:r>
      <w:bookmarkEnd w:id="720"/>
      <w:r>
        <w:rPr>
          <w:rFonts w:hint="eastAsia" w:ascii="Times New Roman" w:hAnsi="Times New Roman" w:eastAsia="宋体"/>
          <w:bCs w:val="0"/>
          <w:szCs w:val="32"/>
        </w:rPr>
        <w:t>投标人的信誉情况</w:t>
      </w:r>
      <w:bookmarkEnd w:id="721"/>
      <w:r>
        <w:rPr>
          <w:rFonts w:hint="eastAsia" w:ascii="Times New Roman" w:hAnsi="Times New Roman" w:eastAsia="宋体"/>
          <w:bCs w:val="0"/>
          <w:szCs w:val="32"/>
        </w:rPr>
        <w:t>表</w:t>
      </w:r>
    </w:p>
    <w:tbl>
      <w:tblPr>
        <w:tblStyle w:val="38"/>
        <w:tblW w:w="91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9"/>
        <w:gridCol w:w="4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5099" w:type="dxa"/>
            <w:vAlign w:val="center"/>
          </w:tcPr>
          <w:p>
            <w:pPr>
              <w:jc w:val="center"/>
              <w:rPr>
                <w:rFonts w:ascii="宋体" w:hAnsi="宋体"/>
                <w:sz w:val="24"/>
              </w:rPr>
            </w:pPr>
            <w:r>
              <w:rPr>
                <w:rFonts w:hint="eastAsia" w:ascii="宋体" w:hAnsi="宋体"/>
                <w:sz w:val="24"/>
              </w:rPr>
              <w:t>项  目</w:t>
            </w:r>
          </w:p>
        </w:tc>
        <w:tc>
          <w:tcPr>
            <w:tcW w:w="4033"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5099" w:type="dxa"/>
            <w:vAlign w:val="center"/>
          </w:tcPr>
          <w:p>
            <w:pPr>
              <w:rPr>
                <w:rFonts w:ascii="宋体" w:hAnsi="宋体"/>
                <w:sz w:val="24"/>
              </w:rPr>
            </w:pPr>
          </w:p>
        </w:tc>
        <w:tc>
          <w:tcPr>
            <w:tcW w:w="403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5099" w:type="dxa"/>
            <w:vAlign w:val="center"/>
          </w:tcPr>
          <w:p>
            <w:pPr>
              <w:rPr>
                <w:rFonts w:ascii="宋体" w:hAnsi="宋体"/>
                <w:sz w:val="24"/>
              </w:rPr>
            </w:pPr>
          </w:p>
        </w:tc>
        <w:tc>
          <w:tcPr>
            <w:tcW w:w="403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5099" w:type="dxa"/>
            <w:vAlign w:val="center"/>
          </w:tcPr>
          <w:p>
            <w:pPr>
              <w:rPr>
                <w:rFonts w:ascii="宋体" w:hAnsi="宋体"/>
                <w:sz w:val="24"/>
              </w:rPr>
            </w:pPr>
          </w:p>
        </w:tc>
        <w:tc>
          <w:tcPr>
            <w:tcW w:w="403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5099" w:type="dxa"/>
            <w:vAlign w:val="center"/>
          </w:tcPr>
          <w:p>
            <w:pPr>
              <w:rPr>
                <w:rFonts w:ascii="宋体" w:hAnsi="宋体"/>
                <w:sz w:val="24"/>
              </w:rPr>
            </w:pPr>
          </w:p>
        </w:tc>
        <w:tc>
          <w:tcPr>
            <w:tcW w:w="403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5099" w:type="dxa"/>
            <w:vAlign w:val="center"/>
          </w:tcPr>
          <w:p>
            <w:pPr>
              <w:rPr>
                <w:rFonts w:ascii="宋体" w:hAnsi="宋体"/>
                <w:sz w:val="24"/>
              </w:rPr>
            </w:pPr>
          </w:p>
        </w:tc>
        <w:tc>
          <w:tcPr>
            <w:tcW w:w="4033" w:type="dxa"/>
            <w:vAlign w:val="center"/>
          </w:tcPr>
          <w:p>
            <w:pPr>
              <w:rPr>
                <w:rFonts w:ascii="宋体" w:hAnsi="宋体"/>
                <w:sz w:val="24"/>
              </w:rPr>
            </w:pPr>
          </w:p>
          <w:p>
            <w:pPr>
              <w:rPr>
                <w:rFonts w:ascii="宋体" w:hAnsi="宋体"/>
                <w:sz w:val="24"/>
              </w:rPr>
            </w:pPr>
          </w:p>
        </w:tc>
      </w:tr>
    </w:tbl>
    <w:p>
      <w:pPr>
        <w:ind w:firstLine="420" w:firstLineChars="200"/>
        <w:rPr>
          <w:rFonts w:ascii="宋体" w:hAnsi="宋体"/>
          <w:szCs w:val="21"/>
        </w:rPr>
      </w:pPr>
    </w:p>
    <w:p>
      <w:pPr>
        <w:spacing w:line="360" w:lineRule="auto"/>
        <w:ind w:left="420" w:hanging="420" w:hangingChars="200"/>
        <w:rPr>
          <w:rFonts w:ascii="宋体" w:hAnsi="宋体"/>
        </w:rPr>
      </w:pPr>
      <w:r>
        <w:rPr>
          <w:rFonts w:hint="eastAsia" w:ascii="宋体" w:hAnsi="宋体"/>
        </w:rPr>
        <w:t>注：1.投标人应根据招标文件第二章“投标人须知”前附表附录4和“投标人须知”正文第1.4.4项规定，逐条说明其信誉情况。</w:t>
      </w:r>
    </w:p>
    <w:p>
      <w:pPr>
        <w:spacing w:line="360" w:lineRule="auto"/>
        <w:ind w:left="420"/>
        <w:rPr>
          <w:rFonts w:ascii="宋体" w:hAnsi="宋体"/>
        </w:rPr>
      </w:pPr>
      <w:r>
        <w:rPr>
          <w:rFonts w:hint="eastAsia" w:ascii="宋体" w:hAnsi="宋体"/>
        </w:rPr>
        <w:t>2.投标人应根据招标文件第二章“投标人须知”第3.5.4项的要求在本表后附相关证明材料。</w:t>
      </w:r>
    </w:p>
    <w:p>
      <w:pPr>
        <w:spacing w:line="360" w:lineRule="auto"/>
        <w:ind w:left="420"/>
        <w:rPr>
          <w:rFonts w:ascii="宋体" w:hAnsi="宋体"/>
        </w:rPr>
      </w:pPr>
      <w:r>
        <w:rPr>
          <w:rFonts w:hint="eastAsia" w:ascii="宋体" w:hAnsi="宋体"/>
        </w:rPr>
        <w:t>3.以联合体形式参与投标的，联合体各成员应分别填写。</w:t>
      </w:r>
    </w:p>
    <w:p>
      <w:pPr>
        <w:spacing w:line="360" w:lineRule="auto"/>
        <w:ind w:left="420"/>
        <w:rPr>
          <w:rFonts w:ascii="宋体" w:hAnsi="宋体" w:cs="宋体"/>
          <w:kern w:val="0"/>
        </w:rPr>
      </w:pPr>
      <w:r>
        <w:rPr>
          <w:rFonts w:hint="eastAsia" w:ascii="宋体" w:hAnsi="宋体"/>
        </w:rPr>
        <w:t>4.</w:t>
      </w:r>
      <w:r>
        <w:rPr>
          <w:rFonts w:hint="eastAsia" w:ascii="宋体" w:hAnsi="宋体" w:cs="宋体"/>
          <w:kern w:val="0"/>
        </w:rPr>
        <w:t>若均未参与评价，须附未参与评价的说明并加盖公章，并在说明中写明属于以下哪种情况：（1）</w:t>
      </w:r>
      <w:r>
        <w:rPr>
          <w:rFonts w:hint="eastAsia" w:ascii="宋体" w:hAnsi="宋体" w:cs="宋体"/>
          <w:kern w:val="0"/>
          <w:lang w:val="en-US" w:eastAsia="zh-CN"/>
        </w:rPr>
        <w:t>2021</w:t>
      </w:r>
      <w:r>
        <w:rPr>
          <w:rFonts w:hint="eastAsia" w:ascii="宋体" w:hAnsi="宋体" w:cs="宋体"/>
          <w:kern w:val="0"/>
        </w:rPr>
        <w:t>年度天津市公路工程从业企业信用评价未参与或交通运输部</w:t>
      </w:r>
      <w:r>
        <w:rPr>
          <w:rFonts w:hint="eastAsia" w:ascii="宋体" w:hAnsi="宋体" w:cs="宋体"/>
          <w:kern w:val="0"/>
          <w:lang w:val="en-US" w:eastAsia="zh-CN"/>
        </w:rPr>
        <w:t>2020</w:t>
      </w:r>
      <w:r>
        <w:rPr>
          <w:rFonts w:hint="eastAsia" w:ascii="宋体" w:hAnsi="宋体" w:cs="宋体"/>
          <w:kern w:val="0"/>
        </w:rPr>
        <w:t>年度公路建设市场全国综合信用评价未参与；（2）交通运输部</w:t>
      </w:r>
      <w:r>
        <w:rPr>
          <w:rFonts w:hint="eastAsia" w:ascii="宋体" w:hAnsi="宋体" w:cs="宋体"/>
          <w:kern w:val="0"/>
          <w:lang w:val="en-US" w:eastAsia="zh-CN"/>
        </w:rPr>
        <w:t>2020</w:t>
      </w:r>
      <w:r>
        <w:rPr>
          <w:rFonts w:hint="eastAsia" w:ascii="宋体" w:hAnsi="宋体" w:cs="宋体"/>
          <w:kern w:val="0"/>
        </w:rPr>
        <w:t>年度公路建设市场全国综合信用评价和</w:t>
      </w:r>
      <w:r>
        <w:rPr>
          <w:rFonts w:hint="eastAsia" w:ascii="宋体" w:hAnsi="宋体" w:cs="宋体"/>
          <w:kern w:val="0"/>
          <w:lang w:val="en-US" w:eastAsia="zh-CN"/>
        </w:rPr>
        <w:t>2021</w:t>
      </w:r>
      <w:r>
        <w:rPr>
          <w:rFonts w:hint="eastAsia" w:ascii="宋体" w:hAnsi="宋体" w:cs="宋体"/>
          <w:kern w:val="0"/>
        </w:rPr>
        <w:t>年度天津市公路工程从业企业信用评价均未参与。</w:t>
      </w:r>
    </w:p>
    <w:p>
      <w:pPr>
        <w:spacing w:line="360" w:lineRule="auto"/>
        <w:ind w:left="420" w:leftChars="200" w:firstLine="210" w:firstLineChars="100"/>
        <w:rPr>
          <w:rFonts w:ascii="宋体" w:hAnsi="宋体"/>
          <w:szCs w:val="21"/>
        </w:rPr>
      </w:pPr>
      <w:r>
        <w:rPr>
          <w:rFonts w:hint="eastAsia" w:ascii="宋体" w:hAnsi="宋体"/>
          <w:szCs w:val="21"/>
        </w:rPr>
        <w:t>若投标人为联合体投标，则以具备公路交通工程专业承包资质的单位在公路建设市场信用等级评价结果中信用等级较低的确定其信用等级。</w:t>
      </w:r>
    </w:p>
    <w:p>
      <w:pPr>
        <w:pStyle w:val="5"/>
        <w:rPr>
          <w:rFonts w:ascii="宋体" w:hAnsi="宋体" w:eastAsia="宋体"/>
        </w:rPr>
      </w:pPr>
      <w:r>
        <w:rPr>
          <w:rFonts w:ascii="宋体" w:hAnsi="宋体"/>
        </w:rPr>
        <w:br w:type="page"/>
      </w:r>
      <w:bookmarkStart w:id="722" w:name="_Toc508797001"/>
      <w:r>
        <w:rPr>
          <w:rFonts w:hint="eastAsia"/>
          <w:b w:val="0"/>
          <w:szCs w:val="32"/>
        </w:rPr>
        <w:t>（六）拟委任的项目经理和项目总工资历表</w:t>
      </w:r>
      <w:bookmarkEnd w:id="714"/>
      <w:bookmarkEnd w:id="715"/>
      <w:bookmarkEnd w:id="716"/>
      <w:bookmarkEnd w:id="717"/>
      <w:bookmarkEnd w:id="722"/>
      <w:bookmarkStart w:id="723" w:name="_Toc234346132"/>
      <w:bookmarkStart w:id="724" w:name="_Toc234349009"/>
      <w:bookmarkStart w:id="725" w:name="_Toc234345917"/>
      <w:bookmarkStart w:id="726" w:name="_Toc234349583"/>
    </w:p>
    <w:tbl>
      <w:tblPr>
        <w:tblStyle w:val="38"/>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姓  名</w:t>
            </w:r>
          </w:p>
        </w:tc>
        <w:tc>
          <w:tcPr>
            <w:tcW w:w="1722" w:type="dxa"/>
            <w:gridSpan w:val="2"/>
            <w:vAlign w:val="center"/>
          </w:tcPr>
          <w:p>
            <w:pPr>
              <w:tabs>
                <w:tab w:val="left" w:pos="3960"/>
              </w:tabs>
              <w:spacing w:after="120" w:afterLines="50" w:line="400" w:lineRule="exact"/>
              <w:jc w:val="center"/>
              <w:rPr>
                <w:rFonts w:ascii="宋体" w:hAnsi="宋体"/>
                <w:szCs w:val="21"/>
              </w:rPr>
            </w:pPr>
          </w:p>
        </w:tc>
        <w:tc>
          <w:tcPr>
            <w:tcW w:w="1363"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年  龄</w:t>
            </w:r>
          </w:p>
        </w:tc>
        <w:tc>
          <w:tcPr>
            <w:tcW w:w="1835" w:type="dxa"/>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专  业</w:t>
            </w: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rFonts w:ascii="宋体" w:hAnsi="宋体"/>
                <w:szCs w:val="21"/>
              </w:rPr>
            </w:pPr>
            <w:r>
              <w:rPr>
                <w:rFonts w:hint="eastAsia" w:ascii="宋体" w:hAnsi="宋体"/>
                <w:szCs w:val="21"/>
              </w:rPr>
              <w:t>技术职称</w:t>
            </w:r>
          </w:p>
        </w:tc>
        <w:tc>
          <w:tcPr>
            <w:tcW w:w="1722" w:type="dxa"/>
            <w:gridSpan w:val="2"/>
            <w:vAlign w:val="center"/>
          </w:tcPr>
          <w:p>
            <w:pPr>
              <w:tabs>
                <w:tab w:val="left" w:pos="3960"/>
              </w:tabs>
              <w:spacing w:line="400" w:lineRule="exact"/>
              <w:jc w:val="center"/>
              <w:rPr>
                <w:rFonts w:ascii="宋体" w:hAnsi="宋体"/>
                <w:szCs w:val="21"/>
              </w:rPr>
            </w:pPr>
          </w:p>
        </w:tc>
        <w:tc>
          <w:tcPr>
            <w:tcW w:w="1363" w:type="dxa"/>
            <w:vAlign w:val="center"/>
          </w:tcPr>
          <w:p>
            <w:pPr>
              <w:tabs>
                <w:tab w:val="left" w:pos="3960"/>
              </w:tabs>
              <w:spacing w:line="400" w:lineRule="exact"/>
              <w:jc w:val="center"/>
              <w:rPr>
                <w:rFonts w:ascii="宋体" w:hAnsi="宋体"/>
                <w:szCs w:val="21"/>
              </w:rPr>
            </w:pPr>
            <w:r>
              <w:rPr>
                <w:rFonts w:hint="eastAsia" w:ascii="宋体" w:hAnsi="宋体"/>
                <w:szCs w:val="21"/>
              </w:rPr>
              <w:t xml:space="preserve">学  历 </w:t>
            </w:r>
          </w:p>
        </w:tc>
        <w:tc>
          <w:tcPr>
            <w:tcW w:w="1835" w:type="dxa"/>
            <w:vAlign w:val="center"/>
          </w:tcPr>
          <w:p>
            <w:pPr>
              <w:tabs>
                <w:tab w:val="left" w:pos="3960"/>
              </w:tabs>
              <w:spacing w:line="400" w:lineRule="exact"/>
              <w:jc w:val="center"/>
              <w:rPr>
                <w:rFonts w:ascii="宋体" w:hAnsi="宋体"/>
                <w:szCs w:val="21"/>
              </w:rPr>
            </w:pPr>
          </w:p>
        </w:tc>
        <w:tc>
          <w:tcPr>
            <w:tcW w:w="1843" w:type="dxa"/>
            <w:vAlign w:val="center"/>
          </w:tcPr>
          <w:p>
            <w:pPr>
              <w:tabs>
                <w:tab w:val="left" w:pos="3960"/>
              </w:tabs>
              <w:spacing w:line="400" w:lineRule="exact"/>
              <w:jc w:val="center"/>
              <w:rPr>
                <w:rFonts w:ascii="宋体" w:hAnsi="宋体"/>
                <w:szCs w:val="21"/>
              </w:rPr>
            </w:pPr>
            <w:r>
              <w:rPr>
                <w:rFonts w:hint="eastAsia" w:ascii="宋体" w:hAnsi="宋体"/>
                <w:szCs w:val="21"/>
              </w:rPr>
              <w:t>拟在本标段</w:t>
            </w:r>
          </w:p>
          <w:p>
            <w:pPr>
              <w:tabs>
                <w:tab w:val="left" w:pos="3960"/>
              </w:tabs>
              <w:spacing w:line="400" w:lineRule="exact"/>
              <w:jc w:val="center"/>
              <w:rPr>
                <w:rFonts w:ascii="宋体" w:hAnsi="宋体"/>
                <w:szCs w:val="21"/>
              </w:rPr>
            </w:pPr>
            <w:r>
              <w:rPr>
                <w:rFonts w:hint="eastAsia" w:ascii="宋体" w:hAnsi="宋体"/>
                <w:szCs w:val="21"/>
              </w:rPr>
              <w:t>工程任职</w:t>
            </w: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rFonts w:ascii="宋体" w:hAnsi="宋体"/>
                <w:szCs w:val="21"/>
              </w:rPr>
            </w:pPr>
            <w:r>
              <w:rPr>
                <w:rFonts w:hint="eastAsia" w:ascii="宋体" w:hAnsi="宋体"/>
                <w:szCs w:val="21"/>
              </w:rPr>
              <w:t>工作年限</w:t>
            </w:r>
          </w:p>
        </w:tc>
        <w:tc>
          <w:tcPr>
            <w:tcW w:w="4920" w:type="dxa"/>
            <w:gridSpan w:val="4"/>
            <w:vAlign w:val="center"/>
          </w:tcPr>
          <w:p>
            <w:pPr>
              <w:tabs>
                <w:tab w:val="left" w:pos="3960"/>
              </w:tabs>
              <w:spacing w:line="400" w:lineRule="exact"/>
              <w:jc w:val="center"/>
              <w:rPr>
                <w:rFonts w:ascii="宋体" w:hAnsi="宋体"/>
                <w:szCs w:val="21"/>
              </w:rPr>
            </w:pPr>
          </w:p>
        </w:tc>
        <w:tc>
          <w:tcPr>
            <w:tcW w:w="1843" w:type="dxa"/>
            <w:vAlign w:val="center"/>
          </w:tcPr>
          <w:p>
            <w:pPr>
              <w:tabs>
                <w:tab w:val="left" w:pos="3960"/>
              </w:tabs>
              <w:spacing w:line="400" w:lineRule="exact"/>
              <w:jc w:val="center"/>
              <w:rPr>
                <w:rFonts w:ascii="宋体" w:hAnsi="宋体"/>
                <w:szCs w:val="21"/>
              </w:rPr>
            </w:pPr>
            <w:r>
              <w:rPr>
                <w:rFonts w:hint="eastAsia" w:ascii="宋体" w:hAnsi="宋体"/>
                <w:szCs w:val="21"/>
              </w:rPr>
              <w:t>类似施工</w:t>
            </w:r>
          </w:p>
          <w:p>
            <w:pPr>
              <w:tabs>
                <w:tab w:val="left" w:pos="3960"/>
              </w:tabs>
              <w:spacing w:line="400" w:lineRule="exact"/>
              <w:jc w:val="center"/>
              <w:rPr>
                <w:rFonts w:ascii="宋体" w:hAnsi="宋体"/>
                <w:szCs w:val="21"/>
              </w:rPr>
            </w:pPr>
            <w:r>
              <w:rPr>
                <w:rFonts w:hint="eastAsia" w:ascii="宋体" w:hAnsi="宋体"/>
                <w:szCs w:val="21"/>
              </w:rPr>
              <w:t>经验年限</w:t>
            </w: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毕业学校</w:t>
            </w:r>
          </w:p>
        </w:tc>
        <w:tc>
          <w:tcPr>
            <w:tcW w:w="8118" w:type="dxa"/>
            <w:gridSpan w:val="6"/>
            <w:vAlign w:val="center"/>
          </w:tcPr>
          <w:p>
            <w:pPr>
              <w:tabs>
                <w:tab w:val="left" w:pos="3960"/>
              </w:tabs>
              <w:spacing w:after="120" w:afterLines="50" w:line="400" w:lineRule="exact"/>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月毕业于</w:t>
            </w:r>
            <w:r>
              <w:rPr>
                <w:rFonts w:hint="eastAsia" w:ascii="宋体" w:hAnsi="宋体"/>
                <w:szCs w:val="21"/>
                <w:u w:val="single"/>
              </w:rPr>
              <w:t xml:space="preserve">                  </w:t>
            </w:r>
            <w:r>
              <w:rPr>
                <w:rFonts w:hint="eastAsia" w:ascii="宋体" w:hAnsi="宋体"/>
                <w:szCs w:val="21"/>
              </w:rPr>
              <w:t>学校</w:t>
            </w:r>
            <w:r>
              <w:rPr>
                <w:rFonts w:hint="eastAsia" w:ascii="宋体" w:hAnsi="宋体"/>
                <w:szCs w:val="21"/>
                <w:u w:val="single"/>
              </w:rPr>
              <w:t xml:space="preserve">           </w:t>
            </w:r>
            <w:r>
              <w:rPr>
                <w:rFonts w:hint="eastAsia" w:ascii="宋体" w:hAnsi="宋体"/>
                <w:szCs w:val="21"/>
              </w:rPr>
              <w:t>专业，学制</w:t>
            </w: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rFonts w:ascii="宋体" w:hAnsi="宋体"/>
                <w:szCs w:val="21"/>
              </w:rPr>
            </w:pPr>
            <w:r>
              <w:rPr>
                <w:rFonts w:hint="eastAsia" w:ascii="宋体" w:hAnsi="宋体"/>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时  间</w:t>
            </w:r>
          </w:p>
        </w:tc>
        <w:tc>
          <w:tcPr>
            <w:tcW w:w="4920" w:type="dxa"/>
            <w:gridSpan w:val="4"/>
            <w:vAlign w:val="center"/>
          </w:tcPr>
          <w:p>
            <w:pPr>
              <w:tabs>
                <w:tab w:val="left" w:pos="3960"/>
              </w:tabs>
              <w:spacing w:after="120" w:afterLines="50" w:line="400" w:lineRule="exact"/>
              <w:jc w:val="center"/>
              <w:rPr>
                <w:rFonts w:ascii="宋体" w:hAnsi="宋体"/>
                <w:szCs w:val="21"/>
              </w:rPr>
            </w:pPr>
            <w:r>
              <w:rPr>
                <w:rFonts w:hint="eastAsia" w:ascii="宋体" w:hAnsi="宋体"/>
                <w:szCs w:val="21"/>
              </w:rPr>
              <w:t>参加过的类似工程项目名称</w:t>
            </w:r>
          </w:p>
        </w:tc>
        <w:tc>
          <w:tcPr>
            <w:tcW w:w="1843"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担任职务</w:t>
            </w:r>
          </w:p>
        </w:tc>
        <w:tc>
          <w:tcPr>
            <w:tcW w:w="1355" w:type="dxa"/>
            <w:vAlign w:val="center"/>
          </w:tcPr>
          <w:p>
            <w:pPr>
              <w:tabs>
                <w:tab w:val="left" w:pos="3960"/>
              </w:tabs>
              <w:spacing w:after="120" w:afterLines="50" w:line="400" w:lineRule="exact"/>
              <w:jc w:val="center"/>
              <w:rPr>
                <w:rFonts w:ascii="宋体" w:hAnsi="宋体"/>
                <w:szCs w:val="21"/>
              </w:rPr>
            </w:pPr>
            <w:r>
              <w:rPr>
                <w:rFonts w:hint="eastAsia" w:ascii="宋体" w:hAnsi="宋体"/>
                <w:szCs w:val="21"/>
              </w:rPr>
              <w:t>发包人及</w:t>
            </w:r>
          </w:p>
          <w:p>
            <w:pPr>
              <w:tabs>
                <w:tab w:val="left" w:pos="3960"/>
              </w:tabs>
              <w:spacing w:after="120" w:afterLines="50" w:line="400" w:lineRule="exact"/>
              <w:jc w:val="center"/>
              <w:rPr>
                <w:rFonts w:ascii="宋体" w:hAnsi="宋体"/>
                <w:szCs w:val="21"/>
              </w:rPr>
            </w:pPr>
            <w:r>
              <w:rPr>
                <w:rFonts w:hint="eastAsia" w:ascii="宋体" w:hAnsi="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ascii="宋体" w:hAnsi="宋体"/>
                <w:szCs w:val="21"/>
              </w:rPr>
            </w:pPr>
          </w:p>
        </w:tc>
        <w:tc>
          <w:tcPr>
            <w:tcW w:w="4920" w:type="dxa"/>
            <w:gridSpan w:val="4"/>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ascii="宋体" w:hAnsi="宋体"/>
                <w:szCs w:val="21"/>
              </w:rPr>
            </w:pPr>
          </w:p>
        </w:tc>
        <w:tc>
          <w:tcPr>
            <w:tcW w:w="4920" w:type="dxa"/>
            <w:gridSpan w:val="4"/>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ascii="宋体" w:hAnsi="宋体"/>
                <w:szCs w:val="21"/>
              </w:rPr>
            </w:pPr>
          </w:p>
        </w:tc>
        <w:tc>
          <w:tcPr>
            <w:tcW w:w="4920" w:type="dxa"/>
            <w:gridSpan w:val="4"/>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ascii="宋体" w:hAnsi="宋体"/>
                <w:szCs w:val="21"/>
              </w:rPr>
            </w:pPr>
          </w:p>
        </w:tc>
        <w:tc>
          <w:tcPr>
            <w:tcW w:w="4920" w:type="dxa"/>
            <w:gridSpan w:val="4"/>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ascii="宋体" w:hAnsi="宋体"/>
                <w:szCs w:val="21"/>
              </w:rPr>
            </w:pPr>
          </w:p>
        </w:tc>
        <w:tc>
          <w:tcPr>
            <w:tcW w:w="4920" w:type="dxa"/>
            <w:gridSpan w:val="4"/>
            <w:vAlign w:val="center"/>
          </w:tcPr>
          <w:p>
            <w:pPr>
              <w:tabs>
                <w:tab w:val="left" w:pos="3960"/>
              </w:tabs>
              <w:spacing w:after="120" w:afterLines="50" w:line="400" w:lineRule="exact"/>
              <w:jc w:val="center"/>
              <w:rPr>
                <w:rFonts w:ascii="宋体" w:hAnsi="宋体"/>
                <w:szCs w:val="21"/>
              </w:rPr>
            </w:pPr>
          </w:p>
        </w:tc>
        <w:tc>
          <w:tcPr>
            <w:tcW w:w="1843" w:type="dxa"/>
            <w:vAlign w:val="center"/>
          </w:tcPr>
          <w:p>
            <w:pPr>
              <w:tabs>
                <w:tab w:val="left" w:pos="3960"/>
              </w:tabs>
              <w:spacing w:after="120" w:afterLines="50" w:line="400" w:lineRule="exact"/>
              <w:jc w:val="center"/>
              <w:rPr>
                <w:rFonts w:ascii="宋体" w:hAnsi="宋体"/>
                <w:szCs w:val="21"/>
              </w:rPr>
            </w:pPr>
          </w:p>
        </w:tc>
        <w:tc>
          <w:tcPr>
            <w:tcW w:w="1355" w:type="dxa"/>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120" w:afterLines="50" w:line="400" w:lineRule="exact"/>
              <w:jc w:val="center"/>
              <w:rPr>
                <w:rFonts w:ascii="宋体" w:hAnsi="宋体"/>
                <w:szCs w:val="21"/>
              </w:rPr>
            </w:pPr>
            <w:r>
              <w:rPr>
                <w:rFonts w:hint="eastAsia" w:ascii="宋体" w:hAnsi="宋体"/>
                <w:szCs w:val="21"/>
              </w:rPr>
              <w:t>获奖情况</w:t>
            </w:r>
          </w:p>
        </w:tc>
        <w:tc>
          <w:tcPr>
            <w:tcW w:w="6785" w:type="dxa"/>
            <w:gridSpan w:val="5"/>
            <w:vAlign w:val="center"/>
          </w:tcPr>
          <w:p>
            <w:pPr>
              <w:tabs>
                <w:tab w:val="left" w:pos="3960"/>
              </w:tabs>
              <w:spacing w:after="120" w:afterLines="50"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120" w:afterLines="50" w:line="400" w:lineRule="exact"/>
              <w:jc w:val="center"/>
              <w:rPr>
                <w:rFonts w:ascii="宋体" w:hAnsi="宋体"/>
                <w:szCs w:val="21"/>
              </w:rPr>
            </w:pPr>
            <w:r>
              <w:rPr>
                <w:rFonts w:hint="eastAsia" w:ascii="宋体" w:hAnsi="宋体"/>
                <w:szCs w:val="21"/>
              </w:rPr>
              <w:t>说明在岗情况</w:t>
            </w:r>
          </w:p>
        </w:tc>
        <w:tc>
          <w:tcPr>
            <w:tcW w:w="6785" w:type="dxa"/>
            <w:gridSpan w:val="5"/>
            <w:vAlign w:val="center"/>
          </w:tcPr>
          <w:p>
            <w:pPr>
              <w:ind w:left="34" w:leftChars="16" w:firstLine="27" w:firstLineChars="13"/>
              <w:rPr>
                <w:rFonts w:ascii="宋体" w:hAnsi="宋体" w:cs="宋体"/>
                <w:kern w:val="0"/>
              </w:rPr>
            </w:pPr>
            <w:r>
              <w:rPr>
                <w:rFonts w:hint="eastAsia" w:ascii="宋体" w:hAnsi="宋体" w:cs="宋体"/>
                <w:kern w:val="0"/>
              </w:rPr>
              <w:t>□目前未在其他项目上任职，现从事工作为：</w:t>
            </w:r>
            <w:r>
              <w:rPr>
                <w:rFonts w:hint="eastAsia" w:ascii="宋体" w:hAnsi="宋体" w:cs="宋体"/>
                <w:kern w:val="0"/>
                <w:u w:val="single"/>
              </w:rPr>
              <w:t xml:space="preserve">                </w:t>
            </w:r>
            <w:r>
              <w:rPr>
                <w:rFonts w:hint="eastAsia" w:ascii="宋体" w:hAnsi="宋体" w:cs="宋体"/>
                <w:kern w:val="0"/>
              </w:rPr>
              <w:t>。</w:t>
            </w:r>
          </w:p>
          <w:p>
            <w:pPr>
              <w:tabs>
                <w:tab w:val="left" w:pos="3960"/>
              </w:tabs>
              <w:spacing w:after="120" w:afterLines="50" w:line="400" w:lineRule="exact"/>
              <w:ind w:left="34" w:leftChars="16" w:firstLine="27" w:firstLineChars="13"/>
              <w:rPr>
                <w:rFonts w:ascii="宋体" w:hAnsi="宋体"/>
                <w:szCs w:val="21"/>
              </w:rPr>
            </w:pPr>
            <w:r>
              <w:rPr>
                <w:rFonts w:hint="eastAsia" w:ascii="宋体" w:hAnsi="宋体" w:cs="宋体"/>
                <w:kern w:val="0"/>
              </w:rPr>
              <w:t>□目前虽在其他项目上任职，但本项目中标后能够从该项目撤离，目前任职项目：</w:t>
            </w:r>
            <w:r>
              <w:rPr>
                <w:rFonts w:hint="eastAsia" w:ascii="宋体" w:hAnsi="宋体" w:cs="宋体"/>
                <w:kern w:val="0"/>
                <w:u w:val="single"/>
              </w:rPr>
              <w:t xml:space="preserve">                </w:t>
            </w:r>
            <w:r>
              <w:rPr>
                <w:rFonts w:hint="eastAsia" w:ascii="宋体" w:hAnsi="宋体" w:cs="宋体"/>
                <w:kern w:val="0"/>
              </w:rPr>
              <w:t>，担任职位</w:t>
            </w:r>
            <w:r>
              <w:rPr>
                <w:rFonts w:hint="eastAsia" w:ascii="宋体" w:hAnsi="宋体" w:cs="宋体"/>
                <w:kern w:val="0"/>
                <w:u w:val="single"/>
              </w:rPr>
              <w:t xml:space="preserve">                  </w:t>
            </w:r>
            <w:r>
              <w:rPr>
                <w:rFonts w:hint="eastAsia" w:ascii="宋体" w:hAnsi="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120" w:afterLines="50" w:line="400" w:lineRule="exact"/>
              <w:jc w:val="center"/>
              <w:rPr>
                <w:rFonts w:ascii="宋体" w:hAnsi="宋体"/>
                <w:szCs w:val="21"/>
              </w:rPr>
            </w:pPr>
            <w:r>
              <w:rPr>
                <w:rFonts w:hint="eastAsia" w:ascii="宋体" w:hAnsi="宋体"/>
                <w:szCs w:val="21"/>
              </w:rPr>
              <w:t>备  注</w:t>
            </w:r>
          </w:p>
        </w:tc>
        <w:tc>
          <w:tcPr>
            <w:tcW w:w="6785" w:type="dxa"/>
            <w:gridSpan w:val="5"/>
            <w:vAlign w:val="center"/>
          </w:tcPr>
          <w:p>
            <w:pPr>
              <w:tabs>
                <w:tab w:val="left" w:pos="3960"/>
              </w:tabs>
              <w:spacing w:after="120" w:afterLines="50" w:line="400" w:lineRule="exact"/>
              <w:jc w:val="center"/>
              <w:rPr>
                <w:rFonts w:ascii="宋体" w:hAnsi="宋体"/>
                <w:szCs w:val="21"/>
              </w:rPr>
            </w:pPr>
          </w:p>
        </w:tc>
      </w:tr>
    </w:tbl>
    <w:p>
      <w:pPr>
        <w:tabs>
          <w:tab w:val="left" w:pos="3960"/>
        </w:tabs>
        <w:spacing w:line="360" w:lineRule="auto"/>
        <w:ind w:firstLine="420"/>
        <w:jc w:val="left"/>
        <w:rPr>
          <w:rFonts w:ascii="宋体" w:hAnsi="宋体"/>
          <w:szCs w:val="21"/>
        </w:rPr>
      </w:pPr>
      <w:r>
        <w:rPr>
          <w:rFonts w:hint="eastAsia" w:ascii="宋体" w:hAnsi="宋体"/>
          <w:szCs w:val="21"/>
        </w:rPr>
        <w:t>注:1.本表应填写项目经理和项目总工相关情况。</w:t>
      </w:r>
    </w:p>
    <w:p>
      <w:pPr>
        <w:tabs>
          <w:tab w:val="left" w:pos="3960"/>
        </w:tabs>
        <w:spacing w:line="360" w:lineRule="auto"/>
        <w:ind w:firstLine="735" w:firstLineChars="350"/>
        <w:jc w:val="left"/>
        <w:rPr>
          <w:rFonts w:ascii="宋体" w:hAnsi="宋体"/>
          <w:szCs w:val="21"/>
        </w:rPr>
      </w:pPr>
      <w:r>
        <w:rPr>
          <w:rFonts w:hint="eastAsia" w:ascii="宋体" w:hAnsi="宋体"/>
          <w:szCs w:val="21"/>
        </w:rPr>
        <w:t>2.投标人应根据招标文件第二章“投标人须知”第3.5.5项本表后附相关证明材料。</w:t>
      </w:r>
    </w:p>
    <w:bookmarkEnd w:id="723"/>
    <w:bookmarkEnd w:id="724"/>
    <w:bookmarkEnd w:id="725"/>
    <w:bookmarkEnd w:id="726"/>
    <w:p>
      <w:pPr>
        <w:spacing w:line="360" w:lineRule="auto"/>
        <w:jc w:val="center"/>
        <w:rPr>
          <w:rFonts w:ascii="宋体" w:hAnsi="宋体"/>
          <w:szCs w:val="21"/>
        </w:rPr>
      </w:pPr>
    </w:p>
    <w:p>
      <w:pPr>
        <w:spacing w:line="360" w:lineRule="auto"/>
        <w:jc w:val="center"/>
        <w:outlineLvl w:val="0"/>
        <w:rPr>
          <w:b/>
          <w:sz w:val="36"/>
          <w:szCs w:val="36"/>
        </w:rPr>
      </w:pPr>
      <w:r>
        <w:br w:type="page"/>
      </w:r>
      <w:bookmarkStart w:id="727" w:name="_Toc26952"/>
      <w:bookmarkStart w:id="728" w:name="_Toc234345926"/>
      <w:bookmarkStart w:id="729" w:name="_Toc265483685"/>
      <w:bookmarkStart w:id="730" w:name="_Toc234349592"/>
      <w:bookmarkStart w:id="731" w:name="_Toc234346141"/>
      <w:bookmarkStart w:id="732" w:name="_Toc234349018"/>
      <w:r>
        <w:rPr>
          <w:rFonts w:hint="eastAsia"/>
          <w:b/>
          <w:sz w:val="36"/>
          <w:szCs w:val="36"/>
        </w:rPr>
        <w:t>七、其他资料</w:t>
      </w:r>
      <w:bookmarkEnd w:id="727"/>
      <w:bookmarkEnd w:id="728"/>
      <w:bookmarkEnd w:id="729"/>
      <w:bookmarkEnd w:id="730"/>
      <w:bookmarkEnd w:id="731"/>
      <w:bookmarkEnd w:id="732"/>
    </w:p>
    <w:p>
      <w:pPr>
        <w:spacing w:line="360" w:lineRule="auto"/>
        <w:jc w:val="center"/>
        <w:rPr>
          <w:b/>
          <w:sz w:val="36"/>
          <w:szCs w:val="36"/>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sz w:val="32"/>
          <w:szCs w:val="32"/>
          <w:u w:val="single"/>
        </w:rPr>
      </w:pPr>
    </w:p>
    <w:p>
      <w:pPr>
        <w:snapToGrid w:val="0"/>
        <w:spacing w:line="360" w:lineRule="auto"/>
        <w:ind w:left="2085" w:leftChars="993"/>
        <w:rPr>
          <w:rFonts w:ascii="宋体"/>
          <w:sz w:val="32"/>
          <w:szCs w:val="32"/>
          <w:u w:val="single"/>
        </w:rPr>
      </w:pPr>
    </w:p>
    <w:p>
      <w:pPr>
        <w:snapToGrid w:val="0"/>
        <w:spacing w:line="360" w:lineRule="auto"/>
        <w:ind w:left="2085" w:leftChars="993"/>
        <w:rPr>
          <w:rFonts w:ascii="宋体"/>
          <w:sz w:val="32"/>
          <w:szCs w:val="32"/>
          <w:u w:val="single"/>
        </w:rPr>
      </w:pPr>
    </w:p>
    <w:p>
      <w:pPr>
        <w:snapToGrid w:val="0"/>
        <w:spacing w:line="360" w:lineRule="auto"/>
        <w:ind w:left="2085" w:leftChars="993"/>
        <w:outlineLvl w:val="0"/>
        <w:rPr>
          <w:rFonts w:ascii="宋体"/>
          <w:sz w:val="32"/>
          <w:szCs w:val="32"/>
        </w:rPr>
      </w:pPr>
      <w:bookmarkStart w:id="733" w:name="_Toc32289"/>
      <w:r>
        <w:rPr>
          <w:rFonts w:ascii="宋体"/>
          <w:sz w:val="32"/>
          <w:szCs w:val="32"/>
        </w:rPr>
        <w:softHyphen/>
      </w:r>
      <w:r>
        <w:rPr>
          <w:rFonts w:ascii="宋体" w:hAnsi="宋体" w:cs="宋体"/>
          <w:sz w:val="32"/>
          <w:szCs w:val="32"/>
        </w:rPr>
        <w:t>______________</w:t>
      </w:r>
      <w:r>
        <w:rPr>
          <w:rFonts w:hint="eastAsia" w:ascii="宋体" w:hAnsi="宋体" w:cs="宋体"/>
          <w:sz w:val="32"/>
          <w:szCs w:val="32"/>
        </w:rPr>
        <w:t>省（自治区、直辖市）</w:t>
      </w:r>
      <w:bookmarkEnd w:id="733"/>
    </w:p>
    <w:p>
      <w:pPr>
        <w:snapToGrid w:val="0"/>
        <w:spacing w:line="360" w:lineRule="auto"/>
        <w:ind w:firstLine="960" w:firstLineChars="300"/>
        <w:jc w:val="center"/>
        <w:rPr>
          <w:rFonts w:ascii="宋体"/>
          <w:sz w:val="32"/>
          <w:szCs w:val="32"/>
        </w:rPr>
      </w:pPr>
      <w:r>
        <w:rPr>
          <w:rFonts w:ascii="宋体" w:hAnsi="宋体" w:cs="宋体"/>
          <w:sz w:val="32"/>
          <w:szCs w:val="32"/>
        </w:rPr>
        <w:t>_________________</w:t>
      </w:r>
      <w:r>
        <w:rPr>
          <w:rFonts w:hint="eastAsia" w:ascii="宋体" w:hAnsi="宋体" w:cs="宋体"/>
          <w:sz w:val="32"/>
          <w:szCs w:val="32"/>
        </w:rPr>
        <w:t>（项目名称）</w:t>
      </w:r>
      <w:r>
        <w:rPr>
          <w:rFonts w:hint="eastAsia" w:ascii="宋体" w:hAnsi="宋体" w:cs="宋体"/>
          <w:sz w:val="32"/>
          <w:szCs w:val="32"/>
          <w:u w:val="single"/>
        </w:rPr>
        <w:t xml:space="preserve">    </w:t>
      </w:r>
      <w:r>
        <w:rPr>
          <w:rFonts w:hint="eastAsia" w:ascii="宋体" w:hAnsi="宋体" w:cs="宋体"/>
          <w:sz w:val="32"/>
          <w:szCs w:val="32"/>
        </w:rPr>
        <w:t>标段施工招标</w:t>
      </w: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jc w:val="center"/>
        <w:rPr>
          <w:rFonts w:ascii="宋体" w:hAnsi="宋体" w:cs="宋体"/>
          <w:sz w:val="44"/>
          <w:szCs w:val="44"/>
        </w:rPr>
      </w:pPr>
      <w:r>
        <w:rPr>
          <w:rFonts w:hint="eastAsia" w:ascii="宋体" w:hAnsi="宋体" w:cs="宋体"/>
          <w:sz w:val="44"/>
          <w:szCs w:val="44"/>
        </w:rPr>
        <w:t>投标文件</w:t>
      </w:r>
    </w:p>
    <w:p>
      <w:pPr>
        <w:jc w:val="center"/>
        <w:rPr>
          <w:rFonts w:ascii="宋体"/>
          <w:sz w:val="44"/>
          <w:szCs w:val="44"/>
        </w:rPr>
      </w:pPr>
    </w:p>
    <w:p>
      <w:pPr>
        <w:jc w:val="center"/>
        <w:rPr>
          <w:rFonts w:ascii="宋体"/>
          <w:sz w:val="32"/>
          <w:szCs w:val="32"/>
        </w:rPr>
      </w:pPr>
      <w:r>
        <w:rPr>
          <w:rFonts w:hint="eastAsia" w:ascii="宋体"/>
          <w:sz w:val="32"/>
          <w:szCs w:val="32"/>
        </w:rPr>
        <w:t>（报价文件）</w:t>
      </w:r>
    </w:p>
    <w:p>
      <w:pPr>
        <w:jc w:val="center"/>
        <w:rPr>
          <w:rFonts w:ascii="宋体"/>
          <w:sz w:val="44"/>
          <w:szCs w:val="44"/>
        </w:rPr>
      </w:pPr>
    </w:p>
    <w:p>
      <w:pPr>
        <w:jc w:val="center"/>
        <w:rPr>
          <w:rFonts w:ascii="宋体"/>
          <w:sz w:val="32"/>
          <w:szCs w:val="32"/>
        </w:rPr>
      </w:pPr>
      <w:r>
        <w:rPr>
          <w:rFonts w:hint="eastAsia" w:ascii="宋体" w:hAnsi="宋体" w:cs="宋体"/>
          <w:sz w:val="32"/>
          <w:szCs w:val="32"/>
        </w:rPr>
        <w:t xml:space="preserve"> </w:t>
      </w: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ind w:left="853" w:leftChars="406"/>
        <w:rPr>
          <w:rFonts w:ascii="宋体"/>
          <w:sz w:val="32"/>
          <w:szCs w:val="32"/>
        </w:rPr>
      </w:pPr>
    </w:p>
    <w:p>
      <w:pPr>
        <w:snapToGrid w:val="0"/>
        <w:spacing w:line="360" w:lineRule="auto"/>
        <w:ind w:left="853" w:leftChars="406"/>
        <w:jc w:val="center"/>
        <w:rPr>
          <w:rFonts w:ascii="宋体"/>
          <w:sz w:val="32"/>
          <w:szCs w:val="32"/>
        </w:rPr>
      </w:pPr>
      <w:r>
        <w:rPr>
          <w:rFonts w:hint="eastAsia" w:ascii="宋体" w:hAnsi="宋体" w:cs="宋体"/>
          <w:sz w:val="32"/>
          <w:szCs w:val="32"/>
        </w:rPr>
        <w:t>投标人：</w:t>
      </w:r>
      <w:r>
        <w:rPr>
          <w:rFonts w:ascii="宋体" w:hAnsi="宋体" w:cs="宋体"/>
          <w:sz w:val="32"/>
          <w:szCs w:val="32"/>
        </w:rPr>
        <w:t>____________________</w:t>
      </w:r>
      <w:r>
        <w:rPr>
          <w:rFonts w:hint="eastAsia" w:ascii="宋体" w:hAnsi="宋体" w:cs="宋体"/>
          <w:sz w:val="32"/>
          <w:szCs w:val="32"/>
        </w:rPr>
        <w:t>（盖单位章）</w:t>
      </w:r>
    </w:p>
    <w:p>
      <w:pPr>
        <w:snapToGrid w:val="0"/>
        <w:spacing w:line="360" w:lineRule="auto"/>
        <w:ind w:left="2226" w:leftChars="1060" w:firstLine="800" w:firstLineChars="250"/>
        <w:outlineLvl w:val="0"/>
        <w:rPr>
          <w:rFonts w:ascii="宋体"/>
          <w:sz w:val="32"/>
          <w:szCs w:val="32"/>
        </w:rPr>
      </w:pPr>
      <w:bookmarkStart w:id="734" w:name="_Toc32141"/>
      <w:r>
        <w:rPr>
          <w:rFonts w:ascii="宋体" w:hAnsi="宋体" w:cs="宋体"/>
          <w:sz w:val="32"/>
          <w:szCs w:val="32"/>
        </w:rPr>
        <w:t>______</w:t>
      </w:r>
      <w:r>
        <w:rPr>
          <w:rFonts w:hint="eastAsia" w:ascii="宋体" w:hAnsi="宋体" w:cs="宋体"/>
          <w:sz w:val="32"/>
          <w:szCs w:val="32"/>
        </w:rPr>
        <w:t>年</w:t>
      </w:r>
      <w:r>
        <w:rPr>
          <w:rFonts w:ascii="宋体" w:hAnsi="宋体" w:cs="宋体"/>
          <w:sz w:val="32"/>
          <w:szCs w:val="32"/>
        </w:rPr>
        <w:t>__</w:t>
      </w:r>
      <w:r>
        <w:rPr>
          <w:rFonts w:hint="eastAsia" w:ascii="宋体" w:hAnsi="宋体" w:cs="宋体"/>
          <w:sz w:val="32"/>
          <w:szCs w:val="32"/>
        </w:rPr>
        <w:t>月</w:t>
      </w:r>
      <w:r>
        <w:rPr>
          <w:rFonts w:ascii="宋体" w:hAnsi="宋体" w:cs="宋体"/>
          <w:sz w:val="32"/>
          <w:szCs w:val="32"/>
        </w:rPr>
        <w:t>__</w:t>
      </w:r>
      <w:r>
        <w:rPr>
          <w:rFonts w:hint="eastAsia" w:ascii="宋体" w:hAnsi="宋体" w:cs="宋体"/>
          <w:sz w:val="32"/>
          <w:szCs w:val="32"/>
        </w:rPr>
        <w:t>日</w:t>
      </w:r>
      <w:bookmarkEnd w:id="734"/>
    </w:p>
    <w:p>
      <w:pPr>
        <w:snapToGrid w:val="0"/>
        <w:spacing w:line="360" w:lineRule="auto"/>
        <w:ind w:left="2085" w:leftChars="993"/>
      </w:pPr>
      <w:r>
        <w:br w:type="page"/>
      </w:r>
    </w:p>
    <w:p>
      <w:pPr>
        <w:spacing w:line="360" w:lineRule="auto"/>
        <w:jc w:val="center"/>
        <w:outlineLvl w:val="0"/>
        <w:rPr>
          <w:sz w:val="28"/>
          <w:szCs w:val="28"/>
        </w:rPr>
      </w:pPr>
      <w:bookmarkStart w:id="735" w:name="_Toc21586"/>
      <w:r>
        <w:rPr>
          <w:rFonts w:hint="eastAsia" w:cs="宋体"/>
          <w:sz w:val="28"/>
          <w:szCs w:val="28"/>
        </w:rPr>
        <w:t>目   录</w:t>
      </w:r>
      <w:bookmarkEnd w:id="735"/>
    </w:p>
    <w:p>
      <w:pPr>
        <w:snapToGrid w:val="0"/>
        <w:spacing w:line="360" w:lineRule="auto"/>
        <w:rPr>
          <w:rFonts w:ascii="宋体"/>
          <w:sz w:val="24"/>
        </w:rPr>
      </w:pPr>
    </w:p>
    <w:p>
      <w:pPr>
        <w:spacing w:line="360" w:lineRule="auto"/>
        <w:outlineLvl w:val="0"/>
        <w:rPr>
          <w:rFonts w:ascii="宋体"/>
          <w:sz w:val="24"/>
        </w:rPr>
      </w:pPr>
      <w:bookmarkStart w:id="736" w:name="_Toc25619"/>
      <w:r>
        <w:rPr>
          <w:rFonts w:hint="eastAsia" w:ascii="宋体" w:hAnsi="宋体" w:cs="宋体"/>
          <w:sz w:val="24"/>
        </w:rPr>
        <w:t>一、投标函</w:t>
      </w:r>
      <w:bookmarkEnd w:id="736"/>
    </w:p>
    <w:p>
      <w:pPr>
        <w:spacing w:line="360" w:lineRule="auto"/>
        <w:outlineLvl w:val="0"/>
        <w:rPr>
          <w:rFonts w:ascii="宋体"/>
          <w:sz w:val="24"/>
        </w:rPr>
      </w:pPr>
      <w:bookmarkStart w:id="737" w:name="_Toc32531"/>
      <w:r>
        <w:rPr>
          <w:rFonts w:hint="eastAsia" w:ascii="宋体" w:hAnsi="宋体" w:cs="宋体"/>
          <w:sz w:val="24"/>
        </w:rPr>
        <w:t>二、已标价工程量清单</w:t>
      </w:r>
      <w:bookmarkEnd w:id="737"/>
    </w:p>
    <w:p>
      <w:pPr>
        <w:spacing w:line="360" w:lineRule="auto"/>
        <w:outlineLvl w:val="0"/>
        <w:rPr>
          <w:rFonts w:ascii="宋体"/>
          <w:sz w:val="24"/>
        </w:rPr>
      </w:pPr>
      <w:bookmarkStart w:id="738" w:name="_Toc31736"/>
      <w:r>
        <w:rPr>
          <w:rFonts w:hint="eastAsia" w:ascii="宋体" w:hAnsi="宋体" w:cs="宋体"/>
          <w:sz w:val="24"/>
        </w:rPr>
        <w:t>三、合同用款估算表</w:t>
      </w:r>
      <w:bookmarkEnd w:id="738"/>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before="120" w:beforeLines="50" w:after="120" w:afterLines="50" w:line="360" w:lineRule="auto"/>
        <w:jc w:val="center"/>
        <w:outlineLvl w:val="0"/>
        <w:rPr>
          <w:b/>
          <w:sz w:val="36"/>
          <w:szCs w:val="36"/>
        </w:rPr>
      </w:pPr>
      <w:r>
        <w:rPr>
          <w:rFonts w:cs="宋体"/>
          <w:b/>
          <w:bCs/>
          <w:sz w:val="36"/>
          <w:szCs w:val="36"/>
        </w:rPr>
        <w:br w:type="page"/>
      </w:r>
      <w:bookmarkStart w:id="739" w:name="_Toc21897"/>
      <w:r>
        <w:rPr>
          <w:rFonts w:hint="eastAsia"/>
          <w:b/>
          <w:sz w:val="36"/>
          <w:szCs w:val="36"/>
        </w:rPr>
        <w:t>一、投标函</w:t>
      </w:r>
      <w:bookmarkEnd w:id="739"/>
    </w:p>
    <w:p>
      <w:pPr>
        <w:spacing w:before="120" w:beforeLines="50" w:after="120" w:afterLines="50" w:line="360" w:lineRule="auto"/>
        <w:jc w:val="center"/>
        <w:rPr>
          <w:b/>
          <w:sz w:val="36"/>
          <w:szCs w:val="36"/>
        </w:rPr>
      </w:pPr>
    </w:p>
    <w:p>
      <w:pPr>
        <w:spacing w:before="120" w:beforeLines="50" w:after="120" w:afterLines="50" w:line="360" w:lineRule="auto"/>
        <w:jc w:val="left"/>
        <w:rPr>
          <w:rFonts w:ascii="宋体"/>
          <w:sz w:val="24"/>
        </w:rPr>
      </w:pPr>
      <w:r>
        <w:rPr>
          <w:rFonts w:hint="eastAsia" w:ascii="宋体" w:hAnsi="宋体"/>
          <w:sz w:val="24"/>
        </w:rPr>
        <w:t>________________________</w:t>
      </w:r>
      <w:r>
        <w:rPr>
          <w:rFonts w:ascii="宋体" w:hAnsi="宋体"/>
          <w:sz w:val="24"/>
        </w:rPr>
        <w:t>(</w:t>
      </w:r>
      <w:r>
        <w:rPr>
          <w:rFonts w:hint="eastAsia" w:ascii="宋体" w:hAnsi="宋体"/>
          <w:sz w:val="24"/>
        </w:rPr>
        <w:t>招标人名称</w:t>
      </w:r>
      <w:r>
        <w:rPr>
          <w:rFonts w:ascii="宋体" w:hAnsi="宋体"/>
          <w:sz w:val="24"/>
        </w:rPr>
        <w:t>)</w:t>
      </w:r>
      <w:r>
        <w:rPr>
          <w:rFonts w:hint="eastAsia" w:ascii="宋体" w:hAnsi="宋体"/>
          <w:sz w:val="24"/>
        </w:rPr>
        <w:t>：</w:t>
      </w:r>
    </w:p>
    <w:p>
      <w:pPr>
        <w:spacing w:before="120" w:beforeLines="50" w:after="120" w:after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我方已仔细研究了________</w:t>
      </w:r>
      <w:r>
        <w:rPr>
          <w:rFonts w:hint="eastAsia" w:ascii="宋体" w:hAnsi="宋体"/>
          <w:sz w:val="24"/>
          <w:u w:val="single"/>
        </w:rPr>
        <w:t>__  _</w:t>
      </w:r>
      <w:r>
        <w:rPr>
          <w:rFonts w:hint="eastAsia" w:ascii="宋体" w:hAnsi="宋体"/>
          <w:sz w:val="24"/>
        </w:rPr>
        <w:t>________</w:t>
      </w:r>
      <w:r>
        <w:rPr>
          <w:rFonts w:ascii="宋体" w:hAnsi="宋体"/>
          <w:sz w:val="24"/>
        </w:rPr>
        <w:t xml:space="preserve"> (</w:t>
      </w:r>
      <w:r>
        <w:rPr>
          <w:rFonts w:hint="eastAsia" w:ascii="宋体" w:hAnsi="宋体"/>
          <w:sz w:val="24"/>
        </w:rPr>
        <w:t>项目名称</w:t>
      </w:r>
      <w:r>
        <w:rPr>
          <w:rFonts w:ascii="宋体" w:hAnsi="宋体"/>
          <w:sz w:val="24"/>
        </w:rPr>
        <w:t>)</w:t>
      </w:r>
      <w:r>
        <w:rPr>
          <w:rFonts w:hint="eastAsia" w:ascii="宋体" w:hAnsi="宋体"/>
          <w:sz w:val="24"/>
          <w:u w:val="single"/>
        </w:rPr>
        <w:t xml:space="preserve">    </w:t>
      </w:r>
      <w:r>
        <w:rPr>
          <w:rFonts w:hint="eastAsia" w:ascii="宋体" w:hAnsi="宋体"/>
          <w:sz w:val="24"/>
        </w:rPr>
        <w:t>标段施工招标文件的全部内容</w:t>
      </w:r>
      <w:r>
        <w:rPr>
          <w:rFonts w:ascii="宋体" w:hAnsi="宋体"/>
          <w:sz w:val="24"/>
        </w:rPr>
        <w:t>(</w:t>
      </w:r>
      <w:r>
        <w:rPr>
          <w:rFonts w:hint="eastAsia" w:ascii="宋体" w:hAnsi="宋体"/>
          <w:sz w:val="24"/>
        </w:rPr>
        <w:t>含补遗书第_</w:t>
      </w:r>
      <w:r>
        <w:rPr>
          <w:rFonts w:hint="eastAsia" w:ascii="宋体" w:hAnsi="宋体"/>
          <w:sz w:val="24"/>
          <w:u w:val="single"/>
        </w:rPr>
        <w:t>_ _</w:t>
      </w:r>
      <w:r>
        <w:rPr>
          <w:rFonts w:hint="eastAsia" w:ascii="宋体" w:hAnsi="宋体"/>
          <w:sz w:val="24"/>
        </w:rPr>
        <w:t>号至第_</w:t>
      </w:r>
      <w:r>
        <w:rPr>
          <w:rFonts w:hint="eastAsia" w:ascii="宋体" w:hAnsi="宋体"/>
          <w:sz w:val="24"/>
          <w:u w:val="single"/>
        </w:rPr>
        <w:t xml:space="preserve">  _</w:t>
      </w:r>
      <w:r>
        <w:rPr>
          <w:rFonts w:hint="eastAsia" w:ascii="宋体" w:hAnsi="宋体"/>
          <w:sz w:val="24"/>
        </w:rPr>
        <w:t>_号</w:t>
      </w:r>
      <w:r>
        <w:rPr>
          <w:rFonts w:ascii="宋体" w:hAnsi="宋体"/>
          <w:sz w:val="24"/>
        </w:rPr>
        <w:t>)</w:t>
      </w:r>
      <w:r>
        <w:rPr>
          <w:rFonts w:hint="eastAsia" w:ascii="宋体" w:hAnsi="宋体"/>
          <w:sz w:val="24"/>
        </w:rPr>
        <w:t>，在考察工程现场后，愿意以人民币</w:t>
      </w:r>
      <w:r>
        <w:rPr>
          <w:rFonts w:ascii="宋体" w:hAnsi="宋体"/>
          <w:sz w:val="24"/>
        </w:rPr>
        <w:t>(</w:t>
      </w:r>
      <w:r>
        <w:rPr>
          <w:rFonts w:hint="eastAsia" w:ascii="宋体" w:hAnsi="宋体"/>
          <w:sz w:val="24"/>
        </w:rPr>
        <w:t>大写</w:t>
      </w:r>
      <w:r>
        <w:rPr>
          <w:rFonts w:ascii="宋体" w:hAnsi="宋体"/>
          <w:sz w:val="24"/>
        </w:rPr>
        <w:t>)</w:t>
      </w:r>
      <w:r>
        <w:rPr>
          <w:rFonts w:hint="eastAsia" w:ascii="宋体" w:hAnsi="宋体"/>
          <w:sz w:val="24"/>
        </w:rPr>
        <w:t xml:space="preserve"> ______元</w:t>
      </w:r>
      <w:r>
        <w:rPr>
          <w:rFonts w:ascii="宋体" w:hAnsi="宋体"/>
          <w:sz w:val="24"/>
        </w:rPr>
        <w:t>(</w:t>
      </w:r>
      <w:r>
        <w:rPr>
          <w:rFonts w:ascii="宋体"/>
          <w:sz w:val="24"/>
        </w:rPr>
        <w:t>¥</w:t>
      </w:r>
      <w:r>
        <w:rPr>
          <w:rFonts w:hint="eastAsia" w:ascii="宋体" w:hAnsi="宋体"/>
          <w:sz w:val="24"/>
        </w:rPr>
        <w:t>______</w:t>
      </w:r>
      <w:r>
        <w:rPr>
          <w:rFonts w:ascii="宋体" w:hAnsi="宋体"/>
          <w:sz w:val="24"/>
        </w:rPr>
        <w:t>)</w:t>
      </w:r>
      <w:r>
        <w:rPr>
          <w:rFonts w:hint="eastAsia" w:ascii="宋体" w:hAnsi="宋体"/>
          <w:sz w:val="24"/>
        </w:rPr>
        <w:t>的投标总报价（或根据招标文件规定修正核实后确定的另一金额，其中，增值税税率为</w:t>
      </w:r>
      <w:r>
        <w:rPr>
          <w:rFonts w:hint="eastAsia" w:ascii="宋体" w:hAnsi="宋体"/>
          <w:sz w:val="24"/>
          <w:u w:val="single"/>
        </w:rPr>
        <w:t xml:space="preserve">             </w:t>
      </w:r>
      <w:r>
        <w:rPr>
          <w:rFonts w:hint="eastAsia" w:ascii="宋体" w:hAnsi="宋体"/>
          <w:sz w:val="24"/>
        </w:rPr>
        <w:t>）按合同约定实施和完成承包工程，修补工程中的任何缺陷。</w:t>
      </w:r>
    </w:p>
    <w:p>
      <w:pPr>
        <w:spacing w:before="120" w:beforeLines="50" w:after="120" w:afterLines="50" w:line="360" w:lineRule="auto"/>
        <w:ind w:firstLine="480" w:firstLineChars="200"/>
        <w:jc w:val="left"/>
        <w:rPr>
          <w:rFonts w:ascii="宋体"/>
          <w:sz w:val="24"/>
        </w:rPr>
      </w:pPr>
      <w:r>
        <w:rPr>
          <w:rFonts w:ascii="宋体" w:hAnsi="宋体"/>
          <w:sz w:val="24"/>
        </w:rPr>
        <w:t>2.</w:t>
      </w:r>
      <w:r>
        <w:rPr>
          <w:rFonts w:hint="eastAsia" w:ascii="宋体" w:hAnsi="宋体"/>
          <w:sz w:val="24"/>
        </w:rPr>
        <w:t xml:space="preserve"> 在合同协议书正式签署生效之前，本投标函连同你方的中标通知书将构成我们双方之间共同遵守的文件，对双方具有约束力。</w:t>
      </w:r>
    </w:p>
    <w:p>
      <w:pPr>
        <w:spacing w:before="120" w:beforeLines="50" w:after="120" w:afterLines="50" w:line="360" w:lineRule="auto"/>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rPr>
        <w:t xml:space="preserve"> ____________________</w:t>
      </w:r>
      <w:r>
        <w:rPr>
          <w:rFonts w:ascii="宋体" w:hAnsi="宋体"/>
          <w:sz w:val="24"/>
        </w:rPr>
        <w:t>(</w:t>
      </w:r>
      <w:r>
        <w:rPr>
          <w:rFonts w:hint="eastAsia" w:ascii="宋体" w:hAnsi="宋体"/>
          <w:sz w:val="24"/>
        </w:rPr>
        <w:t>其他补充说明</w:t>
      </w:r>
      <w:r>
        <w:rPr>
          <w:rFonts w:ascii="宋体" w:hAnsi="宋体"/>
          <w:sz w:val="24"/>
        </w:rPr>
        <w:t>)</w:t>
      </w:r>
      <w:r>
        <w:rPr>
          <w:rFonts w:hint="eastAsia" w:ascii="宋体" w:hAnsi="宋体"/>
          <w:sz w:val="24"/>
        </w:rPr>
        <w:t>。</w:t>
      </w:r>
    </w:p>
    <w:p>
      <w:pPr>
        <w:wordWrap w:val="0"/>
        <w:spacing w:line="420" w:lineRule="exact"/>
        <w:jc w:val="right"/>
        <w:rPr>
          <w:rFonts w:ascii="宋体"/>
          <w:sz w:val="24"/>
        </w:rPr>
      </w:pPr>
      <w:r>
        <w:rPr>
          <w:rFonts w:hint="eastAsia" w:ascii="宋体" w:hAnsi="宋体"/>
          <w:sz w:val="24"/>
        </w:rPr>
        <w:t>投标人：_______________________</w:t>
      </w:r>
      <w:r>
        <w:rPr>
          <w:rFonts w:hint="eastAsia" w:ascii="宋体" w:hAnsi="宋体"/>
          <w:sz w:val="24"/>
          <w:u w:val="single"/>
        </w:rPr>
        <w:t>_ _</w:t>
      </w:r>
      <w:r>
        <w:rPr>
          <w:rFonts w:hint="eastAsia" w:ascii="宋体" w:hAnsi="宋体"/>
          <w:sz w:val="24"/>
        </w:rPr>
        <w:t>__</w:t>
      </w:r>
      <w:r>
        <w:rPr>
          <w:rFonts w:ascii="宋体" w:hAnsi="宋体"/>
          <w:sz w:val="24"/>
        </w:rPr>
        <w:t>(</w:t>
      </w:r>
      <w:r>
        <w:rPr>
          <w:rFonts w:hint="eastAsia" w:ascii="宋体" w:hAnsi="宋体"/>
          <w:sz w:val="24"/>
        </w:rPr>
        <w:t>盖单位章</w:t>
      </w:r>
      <w:r>
        <w:rPr>
          <w:rFonts w:ascii="宋体" w:hAnsi="宋体"/>
          <w:sz w:val="24"/>
        </w:rPr>
        <w:t>)</w:t>
      </w:r>
      <w:bookmarkStart w:id="740" w:name="_Hlt507163414"/>
      <w:bookmarkEnd w:id="740"/>
      <w:bookmarkStart w:id="741" w:name="_Hlt507163413"/>
      <w:bookmarkEnd w:id="741"/>
    </w:p>
    <w:p>
      <w:pPr>
        <w:wordWrap w:val="0"/>
        <w:spacing w:line="420" w:lineRule="exact"/>
        <w:jc w:val="right"/>
        <w:rPr>
          <w:rFonts w:ascii="宋体"/>
          <w:sz w:val="24"/>
        </w:rPr>
      </w:pPr>
      <w:r>
        <w:rPr>
          <w:rFonts w:hint="eastAsia" w:ascii="宋体" w:hAnsi="宋体"/>
          <w:sz w:val="24"/>
        </w:rPr>
        <w:t>法定代表人或其委托代理人：_____________</w:t>
      </w:r>
      <w:r>
        <w:rPr>
          <w:rFonts w:ascii="宋体" w:hAnsi="宋体"/>
          <w:sz w:val="24"/>
        </w:rPr>
        <w:t xml:space="preserve"> (</w:t>
      </w:r>
      <w:r>
        <w:rPr>
          <w:rFonts w:hint="eastAsia" w:ascii="宋体" w:hAnsi="宋体"/>
          <w:sz w:val="24"/>
        </w:rPr>
        <w:t>签字</w:t>
      </w:r>
      <w:r>
        <w:rPr>
          <w:rFonts w:ascii="宋体" w:hAnsi="宋体"/>
          <w:sz w:val="24"/>
        </w:rPr>
        <w:t>)</w:t>
      </w:r>
    </w:p>
    <w:p>
      <w:pPr>
        <w:wordWrap w:val="0"/>
        <w:spacing w:line="420" w:lineRule="exact"/>
        <w:jc w:val="right"/>
        <w:rPr>
          <w:rFonts w:ascii="宋体"/>
          <w:sz w:val="24"/>
          <w:u w:val="single"/>
        </w:rPr>
      </w:pPr>
      <w:r>
        <w:rPr>
          <w:rFonts w:hint="eastAsia" w:ascii="宋体" w:hAnsi="宋体"/>
          <w:sz w:val="24"/>
        </w:rPr>
        <w:t>地址：________________________________________</w:t>
      </w:r>
    </w:p>
    <w:p>
      <w:pPr>
        <w:wordWrap w:val="0"/>
        <w:spacing w:line="420" w:lineRule="exact"/>
        <w:jc w:val="right"/>
        <w:rPr>
          <w:rFonts w:ascii="宋体"/>
          <w:sz w:val="24"/>
          <w:u w:val="single"/>
        </w:rPr>
      </w:pPr>
      <w:r>
        <w:rPr>
          <w:rFonts w:hint="eastAsia" w:ascii="宋体" w:hAnsi="宋体"/>
          <w:sz w:val="24"/>
        </w:rPr>
        <w:t>网址：________________________________________</w:t>
      </w:r>
    </w:p>
    <w:p>
      <w:pPr>
        <w:wordWrap w:val="0"/>
        <w:spacing w:line="420" w:lineRule="exact"/>
        <w:jc w:val="right"/>
        <w:rPr>
          <w:rFonts w:ascii="宋体"/>
          <w:sz w:val="24"/>
          <w:u w:val="single"/>
        </w:rPr>
      </w:pPr>
      <w:r>
        <w:rPr>
          <w:rFonts w:hint="eastAsia" w:ascii="宋体" w:hAnsi="宋体"/>
          <w:sz w:val="24"/>
        </w:rPr>
        <w:t>电话：________________________________________</w:t>
      </w:r>
    </w:p>
    <w:p>
      <w:pPr>
        <w:wordWrap w:val="0"/>
        <w:spacing w:line="420" w:lineRule="exact"/>
        <w:jc w:val="right"/>
        <w:rPr>
          <w:rFonts w:ascii="宋体"/>
          <w:sz w:val="24"/>
          <w:u w:val="single"/>
        </w:rPr>
      </w:pPr>
      <w:r>
        <w:rPr>
          <w:rFonts w:hint="eastAsia" w:ascii="宋体" w:hAnsi="宋体"/>
          <w:sz w:val="24"/>
        </w:rPr>
        <w:t>传真：________________________________________</w:t>
      </w:r>
    </w:p>
    <w:p>
      <w:pPr>
        <w:wordWrap w:val="0"/>
        <w:spacing w:line="420" w:lineRule="exact"/>
        <w:jc w:val="right"/>
        <w:rPr>
          <w:rFonts w:ascii="宋体"/>
          <w:sz w:val="24"/>
          <w:u w:val="single"/>
        </w:rPr>
      </w:pPr>
      <w:r>
        <w:rPr>
          <w:rFonts w:hint="eastAsia" w:ascii="宋体" w:hAnsi="宋体"/>
          <w:sz w:val="24"/>
        </w:rPr>
        <w:t>邮政编码：____________________________________</w:t>
      </w:r>
    </w:p>
    <w:p>
      <w:pPr>
        <w:wordWrap w:val="0"/>
        <w:spacing w:line="420" w:lineRule="exact"/>
        <w:jc w:val="right"/>
        <w:rPr>
          <w:rFonts w:ascii="宋体"/>
          <w:sz w:val="24"/>
        </w:rPr>
      </w:pPr>
      <w:r>
        <w:rPr>
          <w:rFonts w:hint="eastAsia" w:ascii="宋体" w:hAnsi="宋体"/>
          <w:sz w:val="24"/>
        </w:rPr>
        <w:t>________年___月___日</w:t>
      </w:r>
    </w:p>
    <w:p>
      <w:pPr>
        <w:spacing w:before="120" w:beforeLines="50" w:after="120" w:afterLines="50" w:line="360" w:lineRule="auto"/>
        <w:jc w:val="center"/>
        <w:rPr>
          <w:rFonts w:cs="宋体"/>
          <w:b/>
          <w:bCs/>
          <w:sz w:val="36"/>
          <w:szCs w:val="36"/>
        </w:rPr>
      </w:pPr>
    </w:p>
    <w:p>
      <w:pPr>
        <w:rPr>
          <w:rFonts w:cs="宋体"/>
          <w:sz w:val="36"/>
          <w:szCs w:val="36"/>
        </w:rPr>
      </w:pPr>
    </w:p>
    <w:p>
      <w:pPr>
        <w:rPr>
          <w:rFonts w:cs="宋体"/>
          <w:sz w:val="36"/>
          <w:szCs w:val="36"/>
        </w:rPr>
      </w:pPr>
    </w:p>
    <w:p>
      <w:pPr>
        <w:spacing w:before="120" w:beforeLines="50" w:after="120" w:afterLines="50" w:line="360" w:lineRule="auto"/>
        <w:jc w:val="left"/>
        <w:rPr>
          <w:rFonts w:cs="宋体"/>
          <w:sz w:val="36"/>
          <w:szCs w:val="36"/>
        </w:rPr>
      </w:pPr>
      <w:r>
        <w:rPr>
          <w:rFonts w:hint="eastAsia" w:cs="宋体"/>
          <w:szCs w:val="21"/>
        </w:rPr>
        <w:t>注：投标人仅须在投标函上加盖单位章，或由法定代表人或其委托代理人签字。</w:t>
      </w:r>
    </w:p>
    <w:p>
      <w:pPr>
        <w:spacing w:before="120" w:beforeLines="50" w:after="120" w:afterLines="50" w:line="360" w:lineRule="auto"/>
        <w:jc w:val="center"/>
        <w:outlineLvl w:val="0"/>
        <w:rPr>
          <w:b/>
          <w:bCs/>
          <w:sz w:val="36"/>
          <w:szCs w:val="36"/>
        </w:rPr>
      </w:pPr>
      <w:r>
        <w:rPr>
          <w:rFonts w:cs="宋体"/>
          <w:sz w:val="36"/>
          <w:szCs w:val="36"/>
        </w:rPr>
        <w:br w:type="page"/>
      </w:r>
      <w:r>
        <w:rPr>
          <w:rFonts w:ascii="宋体"/>
          <w:sz w:val="24"/>
        </w:rPr>
        <w:t xml:space="preserve"> </w:t>
      </w:r>
      <w:bookmarkStart w:id="742" w:name="_Toc27209"/>
      <w:r>
        <w:rPr>
          <w:rFonts w:hint="eastAsia" w:cs="宋体"/>
          <w:b/>
          <w:bCs/>
          <w:sz w:val="36"/>
          <w:szCs w:val="36"/>
        </w:rPr>
        <w:t>二、已标价工程量清单</w:t>
      </w:r>
      <w:bookmarkEnd w:id="742"/>
    </w:p>
    <w:p>
      <w:pPr>
        <w:tabs>
          <w:tab w:val="left" w:pos="3960"/>
        </w:tabs>
        <w:spacing w:line="400" w:lineRule="exact"/>
        <w:jc w:val="center"/>
        <w:rPr>
          <w:b/>
          <w:bCs/>
          <w:sz w:val="32"/>
          <w:szCs w:val="32"/>
        </w:rPr>
      </w:pPr>
    </w:p>
    <w:p>
      <w:pPr>
        <w:tabs>
          <w:tab w:val="left" w:pos="3960"/>
        </w:tabs>
        <w:spacing w:line="400" w:lineRule="exact"/>
        <w:ind w:firstLine="480" w:firstLineChars="200"/>
        <w:rPr>
          <w:rFonts w:ascii="宋体"/>
          <w:sz w:val="24"/>
        </w:rPr>
      </w:pPr>
      <w:r>
        <w:rPr>
          <w:rFonts w:hint="eastAsia" w:ascii="宋体" w:hAnsi="宋体" w:cs="宋体"/>
          <w:sz w:val="24"/>
        </w:rPr>
        <w:t>投标人应按照第五章“工程量清单”的要求逐项填报工程量清单，包括工程量清单说明、投标报价说明、计日工说明、其他说明及工程量清单各项表格</w:t>
      </w:r>
      <w:r>
        <w:rPr>
          <w:rFonts w:hint="eastAsia" w:ascii="宋体" w:hAnsi="宋体" w:cs="宋体"/>
          <w:color w:val="FF0000"/>
          <w:sz w:val="24"/>
        </w:rPr>
        <w:t>（工程量清单表5.1～表5.</w:t>
      </w:r>
      <w:r>
        <w:rPr>
          <w:rFonts w:hint="eastAsia" w:ascii="宋体" w:hAnsi="宋体" w:cs="宋体"/>
          <w:color w:val="FF0000"/>
          <w:sz w:val="24"/>
          <w:lang w:val="en-US" w:eastAsia="zh-CN"/>
        </w:rPr>
        <w:t>4</w:t>
      </w:r>
      <w:r>
        <w:rPr>
          <w:rFonts w:hint="eastAsia" w:ascii="宋体" w:hAnsi="宋体" w:cs="宋体"/>
          <w:color w:val="FF0000"/>
          <w:sz w:val="24"/>
        </w:rPr>
        <w:t>）</w:t>
      </w:r>
      <w:r>
        <w:rPr>
          <w:rFonts w:hint="eastAsia" w:ascii="宋体" w:hAnsi="宋体" w:cs="宋体"/>
          <w:sz w:val="24"/>
        </w:rPr>
        <w:t>。</w:t>
      </w: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tabs>
          <w:tab w:val="left" w:pos="3960"/>
        </w:tabs>
        <w:spacing w:line="400" w:lineRule="exact"/>
        <w:ind w:firstLine="480" w:firstLineChars="200"/>
        <w:rPr>
          <w:rFonts w:ascii="宋体"/>
          <w:sz w:val="24"/>
        </w:rPr>
      </w:pPr>
    </w:p>
    <w:p>
      <w:pPr>
        <w:spacing w:before="120" w:beforeLines="50" w:after="120" w:afterLines="50" w:line="360" w:lineRule="auto"/>
        <w:jc w:val="center"/>
        <w:outlineLvl w:val="0"/>
        <w:rPr>
          <w:rFonts w:cs="宋体"/>
          <w:b/>
          <w:bCs/>
          <w:sz w:val="36"/>
          <w:szCs w:val="36"/>
        </w:rPr>
      </w:pPr>
      <w:r>
        <w:rPr>
          <w:rFonts w:cs="宋体"/>
          <w:b/>
          <w:bCs/>
          <w:sz w:val="36"/>
          <w:szCs w:val="36"/>
        </w:rPr>
        <w:br w:type="page"/>
      </w:r>
      <w:bookmarkStart w:id="743" w:name="_Toc20766"/>
      <w:r>
        <w:rPr>
          <w:rFonts w:hint="eastAsia" w:cs="宋体"/>
          <w:b/>
          <w:bCs/>
          <w:sz w:val="36"/>
          <w:szCs w:val="36"/>
        </w:rPr>
        <w:t>三、合同用款估算表</w:t>
      </w:r>
      <w:bookmarkEnd w:id="743"/>
    </w:p>
    <w:p>
      <w:pPr>
        <w:spacing w:before="120" w:beforeLines="50" w:after="120" w:afterLines="50" w:line="360" w:lineRule="auto"/>
        <w:jc w:val="center"/>
        <w:rPr>
          <w:rFonts w:ascii="黑体" w:eastAsia="黑体"/>
          <w:b/>
          <w:bCs/>
          <w:sz w:val="28"/>
          <w:szCs w:val="28"/>
        </w:rPr>
      </w:pPr>
    </w:p>
    <w:tbl>
      <w:tblPr>
        <w:tblStyle w:val="38"/>
        <w:tblpPr w:leftFromText="180" w:rightFromText="180" w:vertAnchor="text" w:horzAnchor="margin" w:tblpXSpec="center" w:tblpY="266"/>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23"/>
        <w:gridCol w:w="1859"/>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从开工月算起的时间（月）</w:t>
            </w:r>
          </w:p>
        </w:tc>
        <w:tc>
          <w:tcPr>
            <w:tcW w:w="7439" w:type="dxa"/>
            <w:gridSpan w:val="4"/>
            <w:tcBorders>
              <w:top w:val="single" w:color="auto" w:sz="12" w:space="0"/>
              <w:left w:val="single" w:color="auto" w:sz="6" w:space="0"/>
              <w:bottom w:val="single" w:color="auto" w:sz="6" w:space="0"/>
              <w:right w:val="single" w:color="auto" w:sz="12" w:space="0"/>
            </w:tcBorders>
            <w:vAlign w:val="center"/>
          </w:tcPr>
          <w:p>
            <w:pPr>
              <w:jc w:val="center"/>
              <w:rPr>
                <w:rFonts w:ascii="宋体"/>
                <w:sz w:val="24"/>
              </w:rPr>
            </w:pPr>
            <w:r>
              <w:rPr>
                <w:rFonts w:hint="eastAsia" w:ascii="宋体" w:hAnsi="宋体" w:cs="宋体"/>
                <w:sz w:val="24"/>
              </w:rPr>
              <w:t>投标人的估算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gridSpan w:val="2"/>
            <w:vMerge w:val="continue"/>
            <w:tcBorders>
              <w:top w:val="single" w:color="auto" w:sz="6" w:space="0"/>
              <w:left w:val="single" w:color="auto" w:sz="12" w:space="0"/>
              <w:bottom w:val="single" w:color="auto" w:sz="6" w:space="0"/>
              <w:right w:val="single" w:color="auto" w:sz="6" w:space="0"/>
            </w:tcBorders>
            <w:vAlign w:val="center"/>
          </w:tcPr>
          <w:p>
            <w:pPr>
              <w:rPr>
                <w:rFonts w:ascii="宋体"/>
                <w:sz w:val="24"/>
              </w:rPr>
            </w:pPr>
          </w:p>
        </w:tc>
        <w:tc>
          <w:tcPr>
            <w:tcW w:w="37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分期</w:t>
            </w:r>
          </w:p>
        </w:tc>
        <w:tc>
          <w:tcPr>
            <w:tcW w:w="372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4"/>
              </w:rPr>
            </w:pPr>
            <w:r>
              <w:rPr>
                <w:rFonts w:hint="eastAsia" w:ascii="宋体" w:hAnsi="宋体" w:cs="宋体"/>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gridSpan w:val="2"/>
            <w:vMerge w:val="continue"/>
            <w:tcBorders>
              <w:top w:val="single" w:color="auto" w:sz="6" w:space="0"/>
              <w:left w:val="single" w:color="auto" w:sz="12" w:space="0"/>
              <w:bottom w:val="single" w:color="auto" w:sz="6" w:space="0"/>
              <w:right w:val="single" w:color="auto" w:sz="6" w:space="0"/>
            </w:tcBorders>
            <w:vAlign w:val="center"/>
          </w:tcPr>
          <w:p>
            <w:pPr>
              <w:rPr>
                <w:rFonts w:ascii="宋体"/>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金额（元）</w:t>
            </w:r>
          </w:p>
        </w:tc>
        <w:tc>
          <w:tcPr>
            <w:tcW w:w="186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w:t>
            </w:r>
            <w:r>
              <w:rPr>
                <w:rFonts w:ascii="宋体" w:hAnsi="宋体" w:cs="宋体"/>
                <w:sz w:val="24"/>
              </w:rPr>
              <w:t>%</w:t>
            </w:r>
            <w:r>
              <w:rPr>
                <w:rFonts w:hint="eastAsia" w:ascii="宋体" w:hAnsi="宋体" w:cs="宋体"/>
                <w:sz w:val="24"/>
              </w:rPr>
              <w:t>）</w:t>
            </w:r>
          </w:p>
        </w:tc>
        <w:tc>
          <w:tcPr>
            <w:tcW w:w="186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金额（元）</w:t>
            </w:r>
          </w:p>
        </w:tc>
        <w:tc>
          <w:tcPr>
            <w:tcW w:w="1860"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4"/>
              </w:rPr>
            </w:pPr>
            <w:r>
              <w:rPr>
                <w:rFonts w:hint="eastAsia" w:ascii="宋体" w:hAnsi="宋体" w:cs="宋体"/>
                <w:sz w:val="24"/>
              </w:rPr>
              <w:t>（</w:t>
            </w:r>
            <w:r>
              <w:rPr>
                <w:rFonts w:ascii="宋体" w:hAnsi="宋体" w:cs="宋体"/>
                <w:sz w:val="24"/>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第一次开工预付款</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ascii="宋体" w:hAnsi="宋体" w:cs="宋体"/>
                <w:sz w:val="24"/>
              </w:rPr>
              <w:t>1</w:t>
            </w:r>
            <w:r>
              <w:rPr>
                <w:rFonts w:hint="eastAsia" w:ascii="宋体" w:hAnsi="宋体" w:cs="宋体"/>
                <w:sz w:val="24"/>
              </w:rPr>
              <w:t>～</w:t>
            </w:r>
            <w:r>
              <w:rPr>
                <w:rFonts w:ascii="宋体" w:hAnsi="宋体" w:cs="宋体"/>
                <w:sz w:val="24"/>
              </w:rPr>
              <w:t>3</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ascii="宋体" w:hAnsi="宋体" w:cs="宋体"/>
                <w:sz w:val="24"/>
              </w:rPr>
              <w:t>4</w:t>
            </w:r>
            <w:r>
              <w:rPr>
                <w:rFonts w:hint="eastAsia" w:ascii="宋体" w:hAnsi="宋体" w:cs="宋体"/>
                <w:sz w:val="24"/>
              </w:rPr>
              <w:t>～</w:t>
            </w:r>
            <w:r>
              <w:rPr>
                <w:rFonts w:ascii="宋体" w:hAnsi="宋体" w:cs="宋体"/>
                <w:sz w:val="24"/>
              </w:rPr>
              <w:t>6</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ascii="宋体" w:hAnsi="宋体" w:cs="宋体"/>
                <w:sz w:val="24"/>
              </w:rPr>
              <w:t>7</w:t>
            </w:r>
            <w:r>
              <w:rPr>
                <w:rFonts w:hint="eastAsia" w:ascii="宋体" w:hAnsi="宋体" w:cs="宋体"/>
                <w:sz w:val="24"/>
              </w:rPr>
              <w:t>～</w:t>
            </w:r>
            <w:r>
              <w:rPr>
                <w:rFonts w:ascii="宋体" w:hAnsi="宋体" w:cs="宋体"/>
                <w:sz w:val="24"/>
              </w:rPr>
              <w:t>9</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ascii="宋体" w:hAnsi="宋体" w:cs="宋体"/>
                <w:sz w:val="24"/>
              </w:rPr>
              <w:t>10</w:t>
            </w:r>
            <w:r>
              <w:rPr>
                <w:rFonts w:hint="eastAsia" w:ascii="宋体" w:hAnsi="宋体" w:cs="宋体"/>
                <w:sz w:val="24"/>
              </w:rPr>
              <w:t>～</w:t>
            </w:r>
            <w:r>
              <w:rPr>
                <w:rFonts w:ascii="宋体" w:hAnsi="宋体" w:cs="宋体"/>
                <w:sz w:val="24"/>
              </w:rPr>
              <w:t>12</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ascii="宋体" w:hAnsi="宋体" w:cs="宋体"/>
                <w:sz w:val="24"/>
              </w:rPr>
              <w:t>13</w:t>
            </w:r>
            <w:r>
              <w:rPr>
                <w:rFonts w:hint="eastAsia" w:ascii="宋体" w:hAnsi="宋体" w:cs="宋体"/>
                <w:sz w:val="24"/>
              </w:rPr>
              <w:t>～</w:t>
            </w:r>
            <w:r>
              <w:rPr>
                <w:rFonts w:ascii="宋体" w:hAnsi="宋体" w:cs="宋体"/>
                <w:sz w:val="24"/>
              </w:rPr>
              <w:t>15</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缺陷责任期</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sz w:val="24"/>
              </w:rPr>
            </w:pPr>
            <w:r>
              <w:rPr>
                <w:rFonts w:hint="eastAsia" w:ascii="宋体" w:hAnsi="宋体" w:cs="宋体"/>
                <w:sz w:val="24"/>
              </w:rPr>
              <w:t>小计</w:t>
            </w:r>
          </w:p>
        </w:tc>
        <w:tc>
          <w:tcPr>
            <w:tcW w:w="1859"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ascii="宋体" w:hAnsi="宋体" w:cs="宋体"/>
              </w:rPr>
              <w:t>100.00</w:t>
            </w:r>
          </w:p>
        </w:tc>
        <w:tc>
          <w:tcPr>
            <w:tcW w:w="18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60"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28" w:type="dxa"/>
            <w:gridSpan w:val="6"/>
            <w:tcBorders>
              <w:top w:val="single" w:color="auto" w:sz="6" w:space="0"/>
              <w:left w:val="single" w:color="auto" w:sz="12" w:space="0"/>
              <w:bottom w:val="single" w:color="auto" w:sz="6" w:space="0"/>
              <w:right w:val="single" w:color="auto" w:sz="12" w:space="0"/>
            </w:tcBorders>
            <w:vAlign w:val="center"/>
          </w:tcPr>
          <w:p>
            <w:pPr>
              <w:rPr>
                <w:rFonts w:ascii="宋体"/>
              </w:rPr>
            </w:pPr>
            <w:r>
              <w:rPr>
                <w:rFonts w:hint="eastAsia" w:ascii="宋体" w:hAnsi="宋体" w:cs="宋体"/>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966" w:type="dxa"/>
            <w:tcBorders>
              <w:top w:val="single" w:color="auto" w:sz="6" w:space="0"/>
              <w:left w:val="single" w:color="auto" w:sz="12" w:space="0"/>
              <w:bottom w:val="single" w:color="auto" w:sz="12" w:space="0"/>
              <w:right w:val="single" w:color="auto" w:sz="6" w:space="0"/>
            </w:tcBorders>
            <w:vAlign w:val="center"/>
          </w:tcPr>
          <w:p>
            <w:pPr>
              <w:jc w:val="center"/>
              <w:rPr>
                <w:rFonts w:ascii="宋体"/>
              </w:rPr>
            </w:pPr>
            <w:r>
              <w:rPr>
                <w:rFonts w:hint="eastAsia" w:ascii="宋体" w:hAnsi="宋体" w:cs="宋体"/>
              </w:rPr>
              <w:t>说</w:t>
            </w: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r>
              <w:rPr>
                <w:rFonts w:hint="eastAsia" w:ascii="宋体" w:hAnsi="宋体" w:cs="宋体"/>
              </w:rPr>
              <w:t>明</w:t>
            </w:r>
          </w:p>
        </w:tc>
        <w:tc>
          <w:tcPr>
            <w:tcW w:w="8862" w:type="dxa"/>
            <w:gridSpan w:val="5"/>
            <w:tcBorders>
              <w:top w:val="single" w:color="auto" w:sz="6" w:space="0"/>
              <w:left w:val="single" w:color="auto" w:sz="6" w:space="0"/>
              <w:bottom w:val="single" w:color="auto" w:sz="12" w:space="0"/>
              <w:right w:val="single" w:color="auto" w:sz="12" w:space="0"/>
            </w:tcBorders>
            <w:vAlign w:val="center"/>
          </w:tcPr>
          <w:p>
            <w:pPr>
              <w:rPr>
                <w:rFonts w:ascii="宋体"/>
              </w:rPr>
            </w:pPr>
          </w:p>
        </w:tc>
      </w:tr>
    </w:tbl>
    <w:p>
      <w:pPr>
        <w:spacing w:line="360" w:lineRule="auto"/>
        <w:rPr>
          <w:rFonts w:ascii="宋体"/>
        </w:rPr>
      </w:pPr>
      <w:r>
        <w:rPr>
          <w:rFonts w:hint="eastAsia" w:ascii="宋体" w:hAnsi="宋体" w:cs="宋体"/>
        </w:rPr>
        <w:t>注：</w:t>
      </w:r>
      <w:r>
        <w:rPr>
          <w:rFonts w:ascii="宋体" w:hAnsi="宋体" w:cs="宋体"/>
        </w:rPr>
        <w:t>1.</w:t>
      </w:r>
      <w:r>
        <w:rPr>
          <w:rFonts w:hint="eastAsia" w:ascii="宋体" w:hAnsi="宋体" w:cs="宋体"/>
        </w:rPr>
        <w:t>投标人可按第一个信封内的施工组织设计附表一的工程进度估算并填写本表。</w:t>
      </w:r>
    </w:p>
    <w:p>
      <w:pPr>
        <w:ind w:firstLine="420" w:firstLineChars="200"/>
        <w:rPr>
          <w:rFonts w:ascii="宋体" w:hAnsi="宋体"/>
          <w:sz w:val="24"/>
        </w:rPr>
      </w:pPr>
      <w:r>
        <w:rPr>
          <w:rFonts w:ascii="宋体" w:hAnsi="宋体" w:cs="宋体"/>
        </w:rPr>
        <w:t>2.</w:t>
      </w:r>
      <w:r>
        <w:rPr>
          <w:rFonts w:hint="eastAsia" w:ascii="宋体" w:hAnsi="宋体" w:cs="宋体"/>
        </w:rPr>
        <w:t>用款额按所报单价和总额价估算，不包括价格调整和暂列金额、暂估价，但应考虑开工预付款的扣回以及签发付款证书后到实际支付的时间间隔。</w:t>
      </w:r>
    </w:p>
    <w:sectPr>
      <w:footerReference r:id="rId11" w:type="default"/>
      <w:footerReference r:id="rId12" w:type="even"/>
      <w:footnotePr>
        <w:numFmt w:val="decimalEnclosedCircleChinese"/>
        <w:numRestart w:val="eachPage"/>
      </w:footnotePr>
      <w:pgSz w:w="11906" w:h="16838"/>
      <w:pgMar w:top="1418" w:right="1440" w:bottom="1418"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158</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rPr>
        <w:rFonts w:hint="eastAsia"/>
      </w:rPr>
      <w:fldChar w:fldCharType="begin"/>
    </w:r>
    <w:r>
      <w:rPr>
        <w:rStyle w:val="42"/>
        <w:rFonts w:hint="eastAsia"/>
      </w:rPr>
      <w:instrText xml:space="preserve"> PAGE  </w:instrText>
    </w:r>
    <w:r>
      <w:rPr>
        <w:rFonts w:hint="eastAsia"/>
      </w:rPr>
      <w:fldChar w:fldCharType="separate"/>
    </w:r>
    <w:r>
      <w:rPr>
        <w:rStyle w:val="42"/>
      </w:rPr>
      <w:t>41</w:t>
    </w:r>
    <w:r>
      <w:rPr>
        <w:rFonts w:hint="eastAsia"/>
      </w:rPr>
      <w:fldChar w:fldCharType="end"/>
    </w:r>
  </w:p>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72</w: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136</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5015D"/>
    <w:multiLevelType w:val="multilevel"/>
    <w:tmpl w:val="18B5015D"/>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D61D933"/>
    <w:multiLevelType w:val="singleLevel"/>
    <w:tmpl w:val="3D61D933"/>
    <w:lvl w:ilvl="0" w:tentative="0">
      <w:start w:val="1"/>
      <w:numFmt w:val="decimal"/>
      <w:suff w:val="nothing"/>
      <w:lvlText w:val="（%1）"/>
      <w:lvlJc w:val="left"/>
    </w:lvl>
  </w:abstractNum>
  <w:abstractNum w:abstractNumId="2">
    <w:nsid w:val="54E3605C"/>
    <w:multiLevelType w:val="singleLevel"/>
    <w:tmpl w:val="54E3605C"/>
    <w:lvl w:ilvl="0" w:tentative="0">
      <w:start w:val="1"/>
      <w:numFmt w:val="decimal"/>
      <w:suff w:val="nothing"/>
      <w:lvlText w:val="（%1）"/>
      <w:lvlJc w:val="left"/>
    </w:lvl>
  </w:abstractNum>
  <w:abstractNum w:abstractNumId="3">
    <w:nsid w:val="5CE22096"/>
    <w:multiLevelType w:val="singleLevel"/>
    <w:tmpl w:val="5CE22096"/>
    <w:lvl w:ilvl="0" w:tentative="0">
      <w:start w:val="1"/>
      <w:numFmt w:val="decimal"/>
      <w:suff w:val="nothing"/>
      <w:lvlText w:val="（%1）"/>
      <w:lvlJc w:val="left"/>
    </w:lvl>
  </w:abstractNum>
  <w:abstractNum w:abstractNumId="4">
    <w:nsid w:val="5D06037A"/>
    <w:multiLevelType w:val="multilevel"/>
    <w:tmpl w:val="5D0603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
  <w:drawingGridVerticalSpacing w:val="2"/>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MzQ0YTBmZWY0MTk1YTdjZGY2ZjllZWFlMWQ2N2IifQ=="/>
  </w:docVars>
  <w:rsids>
    <w:rsidRoot w:val="00172A27"/>
    <w:rsid w:val="0000060E"/>
    <w:rsid w:val="0000113D"/>
    <w:rsid w:val="00001632"/>
    <w:rsid w:val="00001AC7"/>
    <w:rsid w:val="00002259"/>
    <w:rsid w:val="0000255C"/>
    <w:rsid w:val="00002C6A"/>
    <w:rsid w:val="000042FE"/>
    <w:rsid w:val="00004A96"/>
    <w:rsid w:val="00004F44"/>
    <w:rsid w:val="00005A7A"/>
    <w:rsid w:val="0000660E"/>
    <w:rsid w:val="000069F5"/>
    <w:rsid w:val="00006A0A"/>
    <w:rsid w:val="00007C28"/>
    <w:rsid w:val="00010A94"/>
    <w:rsid w:val="00013CEC"/>
    <w:rsid w:val="00015DCC"/>
    <w:rsid w:val="000167D8"/>
    <w:rsid w:val="00016CC2"/>
    <w:rsid w:val="00021987"/>
    <w:rsid w:val="00023331"/>
    <w:rsid w:val="000246F5"/>
    <w:rsid w:val="000253AF"/>
    <w:rsid w:val="00025AAA"/>
    <w:rsid w:val="00025B76"/>
    <w:rsid w:val="00025C46"/>
    <w:rsid w:val="00026724"/>
    <w:rsid w:val="00026F39"/>
    <w:rsid w:val="00027A4C"/>
    <w:rsid w:val="00027CAC"/>
    <w:rsid w:val="0003058E"/>
    <w:rsid w:val="00030697"/>
    <w:rsid w:val="00030E12"/>
    <w:rsid w:val="00031265"/>
    <w:rsid w:val="00031F2D"/>
    <w:rsid w:val="00033B33"/>
    <w:rsid w:val="00034B49"/>
    <w:rsid w:val="00035ECE"/>
    <w:rsid w:val="00035F14"/>
    <w:rsid w:val="0003609C"/>
    <w:rsid w:val="00041571"/>
    <w:rsid w:val="00042658"/>
    <w:rsid w:val="00043D22"/>
    <w:rsid w:val="000447D5"/>
    <w:rsid w:val="00046767"/>
    <w:rsid w:val="00046A6B"/>
    <w:rsid w:val="00047587"/>
    <w:rsid w:val="00047B1B"/>
    <w:rsid w:val="000505EC"/>
    <w:rsid w:val="00051BF1"/>
    <w:rsid w:val="0005236F"/>
    <w:rsid w:val="00052486"/>
    <w:rsid w:val="000539CA"/>
    <w:rsid w:val="00053EFC"/>
    <w:rsid w:val="00055D58"/>
    <w:rsid w:val="000562C9"/>
    <w:rsid w:val="000611A3"/>
    <w:rsid w:val="00061421"/>
    <w:rsid w:val="000623CF"/>
    <w:rsid w:val="00063F74"/>
    <w:rsid w:val="000643FE"/>
    <w:rsid w:val="000658A7"/>
    <w:rsid w:val="00070A66"/>
    <w:rsid w:val="00071292"/>
    <w:rsid w:val="000718F7"/>
    <w:rsid w:val="00073B3B"/>
    <w:rsid w:val="00074C5A"/>
    <w:rsid w:val="00075D8C"/>
    <w:rsid w:val="00076038"/>
    <w:rsid w:val="000775B2"/>
    <w:rsid w:val="00081FD1"/>
    <w:rsid w:val="000837FE"/>
    <w:rsid w:val="000844BE"/>
    <w:rsid w:val="00087640"/>
    <w:rsid w:val="00087AD4"/>
    <w:rsid w:val="00091C8E"/>
    <w:rsid w:val="00093845"/>
    <w:rsid w:val="00093D8A"/>
    <w:rsid w:val="00093EF9"/>
    <w:rsid w:val="00094F4E"/>
    <w:rsid w:val="000965FF"/>
    <w:rsid w:val="00097F9E"/>
    <w:rsid w:val="000A3F0B"/>
    <w:rsid w:val="000A407F"/>
    <w:rsid w:val="000A43AB"/>
    <w:rsid w:val="000A52CC"/>
    <w:rsid w:val="000A579B"/>
    <w:rsid w:val="000A6182"/>
    <w:rsid w:val="000A6D9A"/>
    <w:rsid w:val="000A6DAB"/>
    <w:rsid w:val="000B0DB4"/>
    <w:rsid w:val="000B212A"/>
    <w:rsid w:val="000B2E8D"/>
    <w:rsid w:val="000B3E3A"/>
    <w:rsid w:val="000B4385"/>
    <w:rsid w:val="000B5E9B"/>
    <w:rsid w:val="000B60CD"/>
    <w:rsid w:val="000B61DA"/>
    <w:rsid w:val="000B7459"/>
    <w:rsid w:val="000B760B"/>
    <w:rsid w:val="000B77CD"/>
    <w:rsid w:val="000C0946"/>
    <w:rsid w:val="000C0A2C"/>
    <w:rsid w:val="000C22E2"/>
    <w:rsid w:val="000C29C1"/>
    <w:rsid w:val="000C2CAA"/>
    <w:rsid w:val="000C33D7"/>
    <w:rsid w:val="000C38FC"/>
    <w:rsid w:val="000C4F01"/>
    <w:rsid w:val="000C5ADA"/>
    <w:rsid w:val="000D11AA"/>
    <w:rsid w:val="000D7337"/>
    <w:rsid w:val="000D78CF"/>
    <w:rsid w:val="000D7B75"/>
    <w:rsid w:val="000E2BEC"/>
    <w:rsid w:val="000E4532"/>
    <w:rsid w:val="000E492F"/>
    <w:rsid w:val="000E6CC1"/>
    <w:rsid w:val="000F16E9"/>
    <w:rsid w:val="000F2845"/>
    <w:rsid w:val="000F379F"/>
    <w:rsid w:val="000F4904"/>
    <w:rsid w:val="000F4D68"/>
    <w:rsid w:val="000F539D"/>
    <w:rsid w:val="000F70EE"/>
    <w:rsid w:val="00103381"/>
    <w:rsid w:val="0010481D"/>
    <w:rsid w:val="00105A09"/>
    <w:rsid w:val="00105D4C"/>
    <w:rsid w:val="00107889"/>
    <w:rsid w:val="00111851"/>
    <w:rsid w:val="00114CAB"/>
    <w:rsid w:val="00116B9A"/>
    <w:rsid w:val="00117681"/>
    <w:rsid w:val="001216B1"/>
    <w:rsid w:val="00123BFA"/>
    <w:rsid w:val="001244A5"/>
    <w:rsid w:val="00125372"/>
    <w:rsid w:val="001254AD"/>
    <w:rsid w:val="00131A00"/>
    <w:rsid w:val="00133353"/>
    <w:rsid w:val="0013438A"/>
    <w:rsid w:val="00135710"/>
    <w:rsid w:val="001402BA"/>
    <w:rsid w:val="0014147D"/>
    <w:rsid w:val="00141A49"/>
    <w:rsid w:val="0014255E"/>
    <w:rsid w:val="00142B43"/>
    <w:rsid w:val="001433EB"/>
    <w:rsid w:val="001451BB"/>
    <w:rsid w:val="001459D3"/>
    <w:rsid w:val="00145F91"/>
    <w:rsid w:val="00145FB5"/>
    <w:rsid w:val="001528CF"/>
    <w:rsid w:val="001533E5"/>
    <w:rsid w:val="00156BE6"/>
    <w:rsid w:val="00156FFE"/>
    <w:rsid w:val="001571D5"/>
    <w:rsid w:val="001578EF"/>
    <w:rsid w:val="001616E3"/>
    <w:rsid w:val="00164805"/>
    <w:rsid w:val="00164B88"/>
    <w:rsid w:val="001651E6"/>
    <w:rsid w:val="00170B2A"/>
    <w:rsid w:val="00172903"/>
    <w:rsid w:val="00172A27"/>
    <w:rsid w:val="001730CD"/>
    <w:rsid w:val="00173201"/>
    <w:rsid w:val="00173E68"/>
    <w:rsid w:val="001741C3"/>
    <w:rsid w:val="0017762B"/>
    <w:rsid w:val="0017775E"/>
    <w:rsid w:val="00180306"/>
    <w:rsid w:val="00180855"/>
    <w:rsid w:val="00181B59"/>
    <w:rsid w:val="00183450"/>
    <w:rsid w:val="00184B62"/>
    <w:rsid w:val="001856ED"/>
    <w:rsid w:val="00185F2B"/>
    <w:rsid w:val="00186248"/>
    <w:rsid w:val="001869B3"/>
    <w:rsid w:val="00191969"/>
    <w:rsid w:val="0019451A"/>
    <w:rsid w:val="001952BE"/>
    <w:rsid w:val="00195892"/>
    <w:rsid w:val="001969EE"/>
    <w:rsid w:val="0019786B"/>
    <w:rsid w:val="001A232E"/>
    <w:rsid w:val="001A3B5C"/>
    <w:rsid w:val="001A3FE3"/>
    <w:rsid w:val="001A4282"/>
    <w:rsid w:val="001A4662"/>
    <w:rsid w:val="001A5BA1"/>
    <w:rsid w:val="001B006C"/>
    <w:rsid w:val="001B314F"/>
    <w:rsid w:val="001B47D3"/>
    <w:rsid w:val="001B598F"/>
    <w:rsid w:val="001B5F17"/>
    <w:rsid w:val="001C158B"/>
    <w:rsid w:val="001C209B"/>
    <w:rsid w:val="001C2401"/>
    <w:rsid w:val="001C433A"/>
    <w:rsid w:val="001C57E8"/>
    <w:rsid w:val="001C60B7"/>
    <w:rsid w:val="001C6285"/>
    <w:rsid w:val="001C74C1"/>
    <w:rsid w:val="001C7513"/>
    <w:rsid w:val="001D03E1"/>
    <w:rsid w:val="001D1ED1"/>
    <w:rsid w:val="001D25FB"/>
    <w:rsid w:val="001D307E"/>
    <w:rsid w:val="001D30D1"/>
    <w:rsid w:val="001D35AD"/>
    <w:rsid w:val="001D57EB"/>
    <w:rsid w:val="001D5CE5"/>
    <w:rsid w:val="001D6A00"/>
    <w:rsid w:val="001E04FF"/>
    <w:rsid w:val="001E1FC4"/>
    <w:rsid w:val="001E30AD"/>
    <w:rsid w:val="001E40B0"/>
    <w:rsid w:val="001E42CE"/>
    <w:rsid w:val="001E4A23"/>
    <w:rsid w:val="001E4C76"/>
    <w:rsid w:val="001E4FE5"/>
    <w:rsid w:val="001E62D2"/>
    <w:rsid w:val="001E74CE"/>
    <w:rsid w:val="001F10DB"/>
    <w:rsid w:val="001F3BEC"/>
    <w:rsid w:val="001F5AC8"/>
    <w:rsid w:val="001F7E79"/>
    <w:rsid w:val="00200195"/>
    <w:rsid w:val="002046F7"/>
    <w:rsid w:val="002050FB"/>
    <w:rsid w:val="002059DC"/>
    <w:rsid w:val="00207243"/>
    <w:rsid w:val="00210809"/>
    <w:rsid w:val="0021110B"/>
    <w:rsid w:val="00211982"/>
    <w:rsid w:val="0021402D"/>
    <w:rsid w:val="002147F6"/>
    <w:rsid w:val="0021620F"/>
    <w:rsid w:val="00222004"/>
    <w:rsid w:val="0022227E"/>
    <w:rsid w:val="00222980"/>
    <w:rsid w:val="00222C11"/>
    <w:rsid w:val="002256EE"/>
    <w:rsid w:val="00226AD3"/>
    <w:rsid w:val="00227232"/>
    <w:rsid w:val="00230BB3"/>
    <w:rsid w:val="002333C7"/>
    <w:rsid w:val="00233C81"/>
    <w:rsid w:val="00236E39"/>
    <w:rsid w:val="002371F8"/>
    <w:rsid w:val="00240B75"/>
    <w:rsid w:val="00241D01"/>
    <w:rsid w:val="0024528A"/>
    <w:rsid w:val="00247C4D"/>
    <w:rsid w:val="00251490"/>
    <w:rsid w:val="002519BD"/>
    <w:rsid w:val="00256878"/>
    <w:rsid w:val="00262B5D"/>
    <w:rsid w:val="002633E0"/>
    <w:rsid w:val="00264365"/>
    <w:rsid w:val="00264469"/>
    <w:rsid w:val="00266B6E"/>
    <w:rsid w:val="002707C4"/>
    <w:rsid w:val="0027176D"/>
    <w:rsid w:val="00272A4A"/>
    <w:rsid w:val="00275688"/>
    <w:rsid w:val="00275C08"/>
    <w:rsid w:val="0027787F"/>
    <w:rsid w:val="00281807"/>
    <w:rsid w:val="00286AF6"/>
    <w:rsid w:val="00286BF2"/>
    <w:rsid w:val="00287C39"/>
    <w:rsid w:val="00290056"/>
    <w:rsid w:val="0029007C"/>
    <w:rsid w:val="002905D1"/>
    <w:rsid w:val="00291A86"/>
    <w:rsid w:val="00293FE4"/>
    <w:rsid w:val="002975D1"/>
    <w:rsid w:val="002A0383"/>
    <w:rsid w:val="002A0874"/>
    <w:rsid w:val="002A0EDF"/>
    <w:rsid w:val="002A1882"/>
    <w:rsid w:val="002A2049"/>
    <w:rsid w:val="002A2052"/>
    <w:rsid w:val="002A4F84"/>
    <w:rsid w:val="002B1873"/>
    <w:rsid w:val="002B1B70"/>
    <w:rsid w:val="002B4061"/>
    <w:rsid w:val="002B4148"/>
    <w:rsid w:val="002B4FA2"/>
    <w:rsid w:val="002B4FFB"/>
    <w:rsid w:val="002B5253"/>
    <w:rsid w:val="002B5FC3"/>
    <w:rsid w:val="002B6479"/>
    <w:rsid w:val="002B6637"/>
    <w:rsid w:val="002B6D2F"/>
    <w:rsid w:val="002C66A6"/>
    <w:rsid w:val="002C6D4E"/>
    <w:rsid w:val="002C7DF8"/>
    <w:rsid w:val="002D10A0"/>
    <w:rsid w:val="002D305B"/>
    <w:rsid w:val="002D3974"/>
    <w:rsid w:val="002D4FD2"/>
    <w:rsid w:val="002D7969"/>
    <w:rsid w:val="002D7D5A"/>
    <w:rsid w:val="002E00B2"/>
    <w:rsid w:val="002E09BE"/>
    <w:rsid w:val="002E25BD"/>
    <w:rsid w:val="002E4131"/>
    <w:rsid w:val="002E415A"/>
    <w:rsid w:val="002E6900"/>
    <w:rsid w:val="002F0A7A"/>
    <w:rsid w:val="002F0BD6"/>
    <w:rsid w:val="002F5756"/>
    <w:rsid w:val="002F5DD9"/>
    <w:rsid w:val="002F5E81"/>
    <w:rsid w:val="002F62B3"/>
    <w:rsid w:val="002F64D2"/>
    <w:rsid w:val="002F6904"/>
    <w:rsid w:val="002F6DEF"/>
    <w:rsid w:val="00300422"/>
    <w:rsid w:val="00303F08"/>
    <w:rsid w:val="003046B0"/>
    <w:rsid w:val="0030725F"/>
    <w:rsid w:val="003079E9"/>
    <w:rsid w:val="0031019E"/>
    <w:rsid w:val="003106A9"/>
    <w:rsid w:val="003108C2"/>
    <w:rsid w:val="00310A87"/>
    <w:rsid w:val="00311C4A"/>
    <w:rsid w:val="003123FB"/>
    <w:rsid w:val="00312753"/>
    <w:rsid w:val="00313214"/>
    <w:rsid w:val="00313DDD"/>
    <w:rsid w:val="00316AF6"/>
    <w:rsid w:val="00317CD9"/>
    <w:rsid w:val="00317E26"/>
    <w:rsid w:val="00322AB8"/>
    <w:rsid w:val="0032374C"/>
    <w:rsid w:val="00326ABE"/>
    <w:rsid w:val="003308BE"/>
    <w:rsid w:val="0033099A"/>
    <w:rsid w:val="00330FBC"/>
    <w:rsid w:val="0033106F"/>
    <w:rsid w:val="00331E93"/>
    <w:rsid w:val="003336F5"/>
    <w:rsid w:val="0033599E"/>
    <w:rsid w:val="003364F2"/>
    <w:rsid w:val="00341597"/>
    <w:rsid w:val="003441E7"/>
    <w:rsid w:val="00345008"/>
    <w:rsid w:val="00345330"/>
    <w:rsid w:val="003504A7"/>
    <w:rsid w:val="003510BE"/>
    <w:rsid w:val="003513FA"/>
    <w:rsid w:val="0035166E"/>
    <w:rsid w:val="0035170B"/>
    <w:rsid w:val="00353043"/>
    <w:rsid w:val="00353921"/>
    <w:rsid w:val="00357C9D"/>
    <w:rsid w:val="0036139A"/>
    <w:rsid w:val="00361431"/>
    <w:rsid w:val="003614B2"/>
    <w:rsid w:val="003623D7"/>
    <w:rsid w:val="00362577"/>
    <w:rsid w:val="00362DC2"/>
    <w:rsid w:val="003630F6"/>
    <w:rsid w:val="003634EA"/>
    <w:rsid w:val="00365758"/>
    <w:rsid w:val="00365B6C"/>
    <w:rsid w:val="0037003A"/>
    <w:rsid w:val="003713BA"/>
    <w:rsid w:val="003735BA"/>
    <w:rsid w:val="00375438"/>
    <w:rsid w:val="00375550"/>
    <w:rsid w:val="00376662"/>
    <w:rsid w:val="0037697B"/>
    <w:rsid w:val="00381054"/>
    <w:rsid w:val="0038623B"/>
    <w:rsid w:val="00387220"/>
    <w:rsid w:val="003914AE"/>
    <w:rsid w:val="00394AAF"/>
    <w:rsid w:val="00394FA9"/>
    <w:rsid w:val="00396B28"/>
    <w:rsid w:val="00397A8D"/>
    <w:rsid w:val="003A034A"/>
    <w:rsid w:val="003A2821"/>
    <w:rsid w:val="003A3BB9"/>
    <w:rsid w:val="003A3C25"/>
    <w:rsid w:val="003A5262"/>
    <w:rsid w:val="003A66DF"/>
    <w:rsid w:val="003A6E1A"/>
    <w:rsid w:val="003B01AD"/>
    <w:rsid w:val="003B1109"/>
    <w:rsid w:val="003B13AC"/>
    <w:rsid w:val="003B7721"/>
    <w:rsid w:val="003B7BC6"/>
    <w:rsid w:val="003C1F8F"/>
    <w:rsid w:val="003C368D"/>
    <w:rsid w:val="003C48BF"/>
    <w:rsid w:val="003C74E6"/>
    <w:rsid w:val="003C7BF7"/>
    <w:rsid w:val="003D1E5B"/>
    <w:rsid w:val="003D26EA"/>
    <w:rsid w:val="003D273F"/>
    <w:rsid w:val="003D67F4"/>
    <w:rsid w:val="003D760E"/>
    <w:rsid w:val="003D79E9"/>
    <w:rsid w:val="003D79F8"/>
    <w:rsid w:val="003E0572"/>
    <w:rsid w:val="003E35D5"/>
    <w:rsid w:val="003E400F"/>
    <w:rsid w:val="003E7675"/>
    <w:rsid w:val="003E7732"/>
    <w:rsid w:val="003F3D18"/>
    <w:rsid w:val="003F43CB"/>
    <w:rsid w:val="003F4B44"/>
    <w:rsid w:val="003F580A"/>
    <w:rsid w:val="003F7F07"/>
    <w:rsid w:val="00400229"/>
    <w:rsid w:val="004017F4"/>
    <w:rsid w:val="00403945"/>
    <w:rsid w:val="00405927"/>
    <w:rsid w:val="00405BEB"/>
    <w:rsid w:val="00407D8D"/>
    <w:rsid w:val="004108A5"/>
    <w:rsid w:val="00410AA0"/>
    <w:rsid w:val="004125CA"/>
    <w:rsid w:val="0041409B"/>
    <w:rsid w:val="00414675"/>
    <w:rsid w:val="004151C0"/>
    <w:rsid w:val="004169A9"/>
    <w:rsid w:val="00416BE9"/>
    <w:rsid w:val="004172D8"/>
    <w:rsid w:val="00421DF8"/>
    <w:rsid w:val="0042355A"/>
    <w:rsid w:val="004267B6"/>
    <w:rsid w:val="00426B24"/>
    <w:rsid w:val="00434110"/>
    <w:rsid w:val="00435C09"/>
    <w:rsid w:val="00436E15"/>
    <w:rsid w:val="0043769E"/>
    <w:rsid w:val="00437AA1"/>
    <w:rsid w:val="00437AE2"/>
    <w:rsid w:val="00440697"/>
    <w:rsid w:val="004410EC"/>
    <w:rsid w:val="00441845"/>
    <w:rsid w:val="004422C5"/>
    <w:rsid w:val="00445778"/>
    <w:rsid w:val="004466AD"/>
    <w:rsid w:val="0044700C"/>
    <w:rsid w:val="00447EB0"/>
    <w:rsid w:val="00454056"/>
    <w:rsid w:val="00454780"/>
    <w:rsid w:val="00454EE2"/>
    <w:rsid w:val="004559B5"/>
    <w:rsid w:val="00460235"/>
    <w:rsid w:val="00460414"/>
    <w:rsid w:val="00460A58"/>
    <w:rsid w:val="00460D26"/>
    <w:rsid w:val="00461EF6"/>
    <w:rsid w:val="00462786"/>
    <w:rsid w:val="00462875"/>
    <w:rsid w:val="004630E5"/>
    <w:rsid w:val="00463E8C"/>
    <w:rsid w:val="00466CE0"/>
    <w:rsid w:val="00466E19"/>
    <w:rsid w:val="004702EC"/>
    <w:rsid w:val="004715DF"/>
    <w:rsid w:val="00471867"/>
    <w:rsid w:val="00472F94"/>
    <w:rsid w:val="004746A1"/>
    <w:rsid w:val="0047551F"/>
    <w:rsid w:val="00476800"/>
    <w:rsid w:val="0047771D"/>
    <w:rsid w:val="00483528"/>
    <w:rsid w:val="004837F8"/>
    <w:rsid w:val="00484246"/>
    <w:rsid w:val="00484335"/>
    <w:rsid w:val="004855C1"/>
    <w:rsid w:val="00486626"/>
    <w:rsid w:val="00491061"/>
    <w:rsid w:val="0049492E"/>
    <w:rsid w:val="00495A23"/>
    <w:rsid w:val="004969D6"/>
    <w:rsid w:val="004A15F7"/>
    <w:rsid w:val="004A24AE"/>
    <w:rsid w:val="004A2E86"/>
    <w:rsid w:val="004A524B"/>
    <w:rsid w:val="004A6978"/>
    <w:rsid w:val="004A775D"/>
    <w:rsid w:val="004B0D58"/>
    <w:rsid w:val="004B1B0C"/>
    <w:rsid w:val="004B1B9A"/>
    <w:rsid w:val="004B2065"/>
    <w:rsid w:val="004B5323"/>
    <w:rsid w:val="004B7ABE"/>
    <w:rsid w:val="004C16E4"/>
    <w:rsid w:val="004C46A7"/>
    <w:rsid w:val="004C4F3B"/>
    <w:rsid w:val="004C5253"/>
    <w:rsid w:val="004C71A9"/>
    <w:rsid w:val="004C7201"/>
    <w:rsid w:val="004C76E2"/>
    <w:rsid w:val="004D0841"/>
    <w:rsid w:val="004D17D8"/>
    <w:rsid w:val="004D254A"/>
    <w:rsid w:val="004D3444"/>
    <w:rsid w:val="004D5CF4"/>
    <w:rsid w:val="004D605D"/>
    <w:rsid w:val="004D63C9"/>
    <w:rsid w:val="004D6BE7"/>
    <w:rsid w:val="004D7756"/>
    <w:rsid w:val="004D78F9"/>
    <w:rsid w:val="004D7A0C"/>
    <w:rsid w:val="004E0FBA"/>
    <w:rsid w:val="004E1BF6"/>
    <w:rsid w:val="004E3FCB"/>
    <w:rsid w:val="004E40FE"/>
    <w:rsid w:val="004E50C9"/>
    <w:rsid w:val="004E51BA"/>
    <w:rsid w:val="004E54A1"/>
    <w:rsid w:val="004E57D6"/>
    <w:rsid w:val="004E670B"/>
    <w:rsid w:val="004E737B"/>
    <w:rsid w:val="004F0E4B"/>
    <w:rsid w:val="004F223E"/>
    <w:rsid w:val="004F36F6"/>
    <w:rsid w:val="004F48E0"/>
    <w:rsid w:val="004F5A12"/>
    <w:rsid w:val="004F740C"/>
    <w:rsid w:val="005019B2"/>
    <w:rsid w:val="0050340E"/>
    <w:rsid w:val="00505F73"/>
    <w:rsid w:val="00506F5A"/>
    <w:rsid w:val="00510A7B"/>
    <w:rsid w:val="00514D02"/>
    <w:rsid w:val="005154A7"/>
    <w:rsid w:val="005157B0"/>
    <w:rsid w:val="005176A8"/>
    <w:rsid w:val="00517BA4"/>
    <w:rsid w:val="00517DBE"/>
    <w:rsid w:val="00522C1E"/>
    <w:rsid w:val="00524943"/>
    <w:rsid w:val="00526350"/>
    <w:rsid w:val="005266AC"/>
    <w:rsid w:val="00527670"/>
    <w:rsid w:val="00527867"/>
    <w:rsid w:val="00527AC5"/>
    <w:rsid w:val="005314F5"/>
    <w:rsid w:val="0053294D"/>
    <w:rsid w:val="00532D89"/>
    <w:rsid w:val="00533A5A"/>
    <w:rsid w:val="00535CD3"/>
    <w:rsid w:val="0053606D"/>
    <w:rsid w:val="0053682A"/>
    <w:rsid w:val="00540BD1"/>
    <w:rsid w:val="00540DDA"/>
    <w:rsid w:val="00541F6E"/>
    <w:rsid w:val="00544E53"/>
    <w:rsid w:val="00550216"/>
    <w:rsid w:val="00550B16"/>
    <w:rsid w:val="00554FA2"/>
    <w:rsid w:val="00555F2F"/>
    <w:rsid w:val="00556520"/>
    <w:rsid w:val="00557155"/>
    <w:rsid w:val="00557738"/>
    <w:rsid w:val="0056069D"/>
    <w:rsid w:val="005614B6"/>
    <w:rsid w:val="00562022"/>
    <w:rsid w:val="00564CBA"/>
    <w:rsid w:val="00565065"/>
    <w:rsid w:val="00565EF5"/>
    <w:rsid w:val="00570837"/>
    <w:rsid w:val="00571221"/>
    <w:rsid w:val="00571D9E"/>
    <w:rsid w:val="0057225F"/>
    <w:rsid w:val="00572838"/>
    <w:rsid w:val="00572B8F"/>
    <w:rsid w:val="00574779"/>
    <w:rsid w:val="00575224"/>
    <w:rsid w:val="005808BC"/>
    <w:rsid w:val="005815FD"/>
    <w:rsid w:val="00581C47"/>
    <w:rsid w:val="00581E53"/>
    <w:rsid w:val="005850D3"/>
    <w:rsid w:val="00585B5F"/>
    <w:rsid w:val="00587069"/>
    <w:rsid w:val="00592288"/>
    <w:rsid w:val="00592EF8"/>
    <w:rsid w:val="00593F10"/>
    <w:rsid w:val="0059619D"/>
    <w:rsid w:val="0059691C"/>
    <w:rsid w:val="00596FB1"/>
    <w:rsid w:val="0059724D"/>
    <w:rsid w:val="005A0233"/>
    <w:rsid w:val="005A089A"/>
    <w:rsid w:val="005A2AF1"/>
    <w:rsid w:val="005A32B8"/>
    <w:rsid w:val="005A3C8B"/>
    <w:rsid w:val="005A41C8"/>
    <w:rsid w:val="005A43F8"/>
    <w:rsid w:val="005A5772"/>
    <w:rsid w:val="005A5A0F"/>
    <w:rsid w:val="005A6011"/>
    <w:rsid w:val="005A6176"/>
    <w:rsid w:val="005A6F2C"/>
    <w:rsid w:val="005A7070"/>
    <w:rsid w:val="005A7130"/>
    <w:rsid w:val="005B0ECA"/>
    <w:rsid w:val="005B185A"/>
    <w:rsid w:val="005B1F29"/>
    <w:rsid w:val="005B2757"/>
    <w:rsid w:val="005B31D3"/>
    <w:rsid w:val="005B4DFF"/>
    <w:rsid w:val="005B533E"/>
    <w:rsid w:val="005B57D5"/>
    <w:rsid w:val="005B6B23"/>
    <w:rsid w:val="005C114D"/>
    <w:rsid w:val="005C15F5"/>
    <w:rsid w:val="005C26B0"/>
    <w:rsid w:val="005C5C40"/>
    <w:rsid w:val="005C7AD1"/>
    <w:rsid w:val="005D146D"/>
    <w:rsid w:val="005D17F6"/>
    <w:rsid w:val="005D6104"/>
    <w:rsid w:val="005D70C2"/>
    <w:rsid w:val="005D7C60"/>
    <w:rsid w:val="005E0DF5"/>
    <w:rsid w:val="005E1787"/>
    <w:rsid w:val="005E18BD"/>
    <w:rsid w:val="005E6041"/>
    <w:rsid w:val="005E6EA5"/>
    <w:rsid w:val="005F039E"/>
    <w:rsid w:val="005F1200"/>
    <w:rsid w:val="005F1A69"/>
    <w:rsid w:val="005F2337"/>
    <w:rsid w:val="005F34F9"/>
    <w:rsid w:val="005F76D2"/>
    <w:rsid w:val="006012D8"/>
    <w:rsid w:val="006038B8"/>
    <w:rsid w:val="00603975"/>
    <w:rsid w:val="006045E3"/>
    <w:rsid w:val="006050BD"/>
    <w:rsid w:val="0060596C"/>
    <w:rsid w:val="006076B2"/>
    <w:rsid w:val="00607C53"/>
    <w:rsid w:val="006100CE"/>
    <w:rsid w:val="0061136B"/>
    <w:rsid w:val="0061164B"/>
    <w:rsid w:val="00611708"/>
    <w:rsid w:val="00612890"/>
    <w:rsid w:val="00612FDD"/>
    <w:rsid w:val="00613AB4"/>
    <w:rsid w:val="00614A68"/>
    <w:rsid w:val="00620D33"/>
    <w:rsid w:val="00620DA5"/>
    <w:rsid w:val="00621754"/>
    <w:rsid w:val="00623E2B"/>
    <w:rsid w:val="00625D3E"/>
    <w:rsid w:val="0063143E"/>
    <w:rsid w:val="0063347E"/>
    <w:rsid w:val="0063784D"/>
    <w:rsid w:val="0064089C"/>
    <w:rsid w:val="00643221"/>
    <w:rsid w:val="00643C8B"/>
    <w:rsid w:val="00644505"/>
    <w:rsid w:val="0064454E"/>
    <w:rsid w:val="006465EB"/>
    <w:rsid w:val="00646C4A"/>
    <w:rsid w:val="006508A8"/>
    <w:rsid w:val="00650D06"/>
    <w:rsid w:val="00652C39"/>
    <w:rsid w:val="006547CD"/>
    <w:rsid w:val="00655334"/>
    <w:rsid w:val="00656CAF"/>
    <w:rsid w:val="00661F4D"/>
    <w:rsid w:val="00662F25"/>
    <w:rsid w:val="006630E5"/>
    <w:rsid w:val="00663151"/>
    <w:rsid w:val="0066477A"/>
    <w:rsid w:val="00664A15"/>
    <w:rsid w:val="00666ACB"/>
    <w:rsid w:val="0067156F"/>
    <w:rsid w:val="006716CB"/>
    <w:rsid w:val="0067425A"/>
    <w:rsid w:val="00675026"/>
    <w:rsid w:val="006803D3"/>
    <w:rsid w:val="00681013"/>
    <w:rsid w:val="0068150C"/>
    <w:rsid w:val="00681788"/>
    <w:rsid w:val="00682835"/>
    <w:rsid w:val="00682E40"/>
    <w:rsid w:val="006832D9"/>
    <w:rsid w:val="00684AC0"/>
    <w:rsid w:val="00685E6D"/>
    <w:rsid w:val="0068751F"/>
    <w:rsid w:val="00690AB0"/>
    <w:rsid w:val="00693A32"/>
    <w:rsid w:val="00693ECA"/>
    <w:rsid w:val="00695E1D"/>
    <w:rsid w:val="00697605"/>
    <w:rsid w:val="006A0229"/>
    <w:rsid w:val="006A236F"/>
    <w:rsid w:val="006A2F2E"/>
    <w:rsid w:val="006A355F"/>
    <w:rsid w:val="006A59E9"/>
    <w:rsid w:val="006A6368"/>
    <w:rsid w:val="006A63ED"/>
    <w:rsid w:val="006B14D0"/>
    <w:rsid w:val="006B32F3"/>
    <w:rsid w:val="006B5951"/>
    <w:rsid w:val="006B649F"/>
    <w:rsid w:val="006B6F05"/>
    <w:rsid w:val="006C04AF"/>
    <w:rsid w:val="006C1618"/>
    <w:rsid w:val="006C1690"/>
    <w:rsid w:val="006C2D29"/>
    <w:rsid w:val="006C5B62"/>
    <w:rsid w:val="006C6981"/>
    <w:rsid w:val="006C6B99"/>
    <w:rsid w:val="006D152B"/>
    <w:rsid w:val="006D15A1"/>
    <w:rsid w:val="006D28F5"/>
    <w:rsid w:val="006D414F"/>
    <w:rsid w:val="006D45AA"/>
    <w:rsid w:val="006D5B1A"/>
    <w:rsid w:val="006D6F4A"/>
    <w:rsid w:val="006E1A2F"/>
    <w:rsid w:val="006E2CDF"/>
    <w:rsid w:val="006E3D1A"/>
    <w:rsid w:val="006E46DC"/>
    <w:rsid w:val="006E7C64"/>
    <w:rsid w:val="006F1A67"/>
    <w:rsid w:val="006F3F81"/>
    <w:rsid w:val="006F40D4"/>
    <w:rsid w:val="006F4E59"/>
    <w:rsid w:val="006F6250"/>
    <w:rsid w:val="006F62DE"/>
    <w:rsid w:val="007011BD"/>
    <w:rsid w:val="0070230E"/>
    <w:rsid w:val="007027F7"/>
    <w:rsid w:val="00704644"/>
    <w:rsid w:val="00706C03"/>
    <w:rsid w:val="00707107"/>
    <w:rsid w:val="00712C04"/>
    <w:rsid w:val="00713B55"/>
    <w:rsid w:val="007143C9"/>
    <w:rsid w:val="00721A77"/>
    <w:rsid w:val="007239A7"/>
    <w:rsid w:val="007267A9"/>
    <w:rsid w:val="0072691B"/>
    <w:rsid w:val="007269D5"/>
    <w:rsid w:val="007275A5"/>
    <w:rsid w:val="00727F27"/>
    <w:rsid w:val="0073176A"/>
    <w:rsid w:val="00731927"/>
    <w:rsid w:val="0073265A"/>
    <w:rsid w:val="007342DB"/>
    <w:rsid w:val="00735BC7"/>
    <w:rsid w:val="00735DA9"/>
    <w:rsid w:val="00736083"/>
    <w:rsid w:val="007371F8"/>
    <w:rsid w:val="00737413"/>
    <w:rsid w:val="00740BD0"/>
    <w:rsid w:val="0074168A"/>
    <w:rsid w:val="007439CC"/>
    <w:rsid w:val="00745AAB"/>
    <w:rsid w:val="007474BF"/>
    <w:rsid w:val="0075081B"/>
    <w:rsid w:val="00751C2F"/>
    <w:rsid w:val="0075267C"/>
    <w:rsid w:val="007530C6"/>
    <w:rsid w:val="00753F9D"/>
    <w:rsid w:val="00755B01"/>
    <w:rsid w:val="00755D05"/>
    <w:rsid w:val="007561B4"/>
    <w:rsid w:val="00756A56"/>
    <w:rsid w:val="00756CAE"/>
    <w:rsid w:val="0076208F"/>
    <w:rsid w:val="00762CC5"/>
    <w:rsid w:val="0077062B"/>
    <w:rsid w:val="00772736"/>
    <w:rsid w:val="00772BD1"/>
    <w:rsid w:val="00772FF0"/>
    <w:rsid w:val="00773FC8"/>
    <w:rsid w:val="00774767"/>
    <w:rsid w:val="007755ED"/>
    <w:rsid w:val="00776DF8"/>
    <w:rsid w:val="007802F7"/>
    <w:rsid w:val="00782900"/>
    <w:rsid w:val="00783C7F"/>
    <w:rsid w:val="00783DD3"/>
    <w:rsid w:val="0078412A"/>
    <w:rsid w:val="00784319"/>
    <w:rsid w:val="007853CC"/>
    <w:rsid w:val="00787D79"/>
    <w:rsid w:val="00787DE4"/>
    <w:rsid w:val="007929E5"/>
    <w:rsid w:val="00794779"/>
    <w:rsid w:val="00795A3D"/>
    <w:rsid w:val="00797C41"/>
    <w:rsid w:val="00797D75"/>
    <w:rsid w:val="007A1455"/>
    <w:rsid w:val="007A26C9"/>
    <w:rsid w:val="007A2971"/>
    <w:rsid w:val="007A324A"/>
    <w:rsid w:val="007A40DA"/>
    <w:rsid w:val="007A48C7"/>
    <w:rsid w:val="007A5639"/>
    <w:rsid w:val="007A63E9"/>
    <w:rsid w:val="007A6BF8"/>
    <w:rsid w:val="007A7612"/>
    <w:rsid w:val="007B1809"/>
    <w:rsid w:val="007B3C4B"/>
    <w:rsid w:val="007B40C9"/>
    <w:rsid w:val="007C142A"/>
    <w:rsid w:val="007C26EB"/>
    <w:rsid w:val="007C734A"/>
    <w:rsid w:val="007C73FB"/>
    <w:rsid w:val="007C7BA4"/>
    <w:rsid w:val="007C7CBC"/>
    <w:rsid w:val="007D071B"/>
    <w:rsid w:val="007D26B8"/>
    <w:rsid w:val="007D4CE7"/>
    <w:rsid w:val="007D506C"/>
    <w:rsid w:val="007D7709"/>
    <w:rsid w:val="007D7858"/>
    <w:rsid w:val="007E2531"/>
    <w:rsid w:val="007E3816"/>
    <w:rsid w:val="007E46E0"/>
    <w:rsid w:val="007E482F"/>
    <w:rsid w:val="007E5E20"/>
    <w:rsid w:val="007E5FF1"/>
    <w:rsid w:val="007E60A5"/>
    <w:rsid w:val="007E7C3D"/>
    <w:rsid w:val="007F159E"/>
    <w:rsid w:val="007F2F57"/>
    <w:rsid w:val="007F41DD"/>
    <w:rsid w:val="007F4E8E"/>
    <w:rsid w:val="007F5ABF"/>
    <w:rsid w:val="007F6965"/>
    <w:rsid w:val="0080101B"/>
    <w:rsid w:val="00801DD5"/>
    <w:rsid w:val="00804057"/>
    <w:rsid w:val="00804C84"/>
    <w:rsid w:val="008054E2"/>
    <w:rsid w:val="00806A6D"/>
    <w:rsid w:val="00806FA4"/>
    <w:rsid w:val="00810060"/>
    <w:rsid w:val="008135A8"/>
    <w:rsid w:val="00814DAD"/>
    <w:rsid w:val="0081565E"/>
    <w:rsid w:val="00815D84"/>
    <w:rsid w:val="00816418"/>
    <w:rsid w:val="00816870"/>
    <w:rsid w:val="00816BF3"/>
    <w:rsid w:val="0082097B"/>
    <w:rsid w:val="0082123C"/>
    <w:rsid w:val="00821359"/>
    <w:rsid w:val="00821CA7"/>
    <w:rsid w:val="00821EC9"/>
    <w:rsid w:val="00822306"/>
    <w:rsid w:val="008225F7"/>
    <w:rsid w:val="00822760"/>
    <w:rsid w:val="008228F8"/>
    <w:rsid w:val="008238F7"/>
    <w:rsid w:val="00825898"/>
    <w:rsid w:val="00825A0C"/>
    <w:rsid w:val="0082710C"/>
    <w:rsid w:val="008277B3"/>
    <w:rsid w:val="00830113"/>
    <w:rsid w:val="008312D2"/>
    <w:rsid w:val="008325CC"/>
    <w:rsid w:val="008338FE"/>
    <w:rsid w:val="00835AA8"/>
    <w:rsid w:val="00835D1C"/>
    <w:rsid w:val="0084072D"/>
    <w:rsid w:val="0084075E"/>
    <w:rsid w:val="00840B2F"/>
    <w:rsid w:val="00841520"/>
    <w:rsid w:val="008415E4"/>
    <w:rsid w:val="00841A5F"/>
    <w:rsid w:val="008463FA"/>
    <w:rsid w:val="00846572"/>
    <w:rsid w:val="00847612"/>
    <w:rsid w:val="00850923"/>
    <w:rsid w:val="00850E00"/>
    <w:rsid w:val="008516F2"/>
    <w:rsid w:val="008533B2"/>
    <w:rsid w:val="00853F86"/>
    <w:rsid w:val="008545E7"/>
    <w:rsid w:val="00855850"/>
    <w:rsid w:val="00855ACE"/>
    <w:rsid w:val="00860849"/>
    <w:rsid w:val="00860A94"/>
    <w:rsid w:val="00860BD7"/>
    <w:rsid w:val="00861D51"/>
    <w:rsid w:val="008634BD"/>
    <w:rsid w:val="00864DF3"/>
    <w:rsid w:val="00866B88"/>
    <w:rsid w:val="00870A74"/>
    <w:rsid w:val="00871212"/>
    <w:rsid w:val="00871674"/>
    <w:rsid w:val="00871C15"/>
    <w:rsid w:val="00871CFE"/>
    <w:rsid w:val="00871F0B"/>
    <w:rsid w:val="0087339A"/>
    <w:rsid w:val="008737FC"/>
    <w:rsid w:val="00873D18"/>
    <w:rsid w:val="00873D3D"/>
    <w:rsid w:val="008760DA"/>
    <w:rsid w:val="0087707D"/>
    <w:rsid w:val="008774F7"/>
    <w:rsid w:val="0087772B"/>
    <w:rsid w:val="008803B6"/>
    <w:rsid w:val="0088154C"/>
    <w:rsid w:val="008833D8"/>
    <w:rsid w:val="008843D2"/>
    <w:rsid w:val="00885242"/>
    <w:rsid w:val="00885FA7"/>
    <w:rsid w:val="00886815"/>
    <w:rsid w:val="00886945"/>
    <w:rsid w:val="00886D03"/>
    <w:rsid w:val="00887E42"/>
    <w:rsid w:val="008904AB"/>
    <w:rsid w:val="00892D9C"/>
    <w:rsid w:val="00894E15"/>
    <w:rsid w:val="00897A7E"/>
    <w:rsid w:val="008A08F1"/>
    <w:rsid w:val="008A2C11"/>
    <w:rsid w:val="008A3651"/>
    <w:rsid w:val="008A45B8"/>
    <w:rsid w:val="008A48C9"/>
    <w:rsid w:val="008A7625"/>
    <w:rsid w:val="008A7EF7"/>
    <w:rsid w:val="008B3090"/>
    <w:rsid w:val="008B334D"/>
    <w:rsid w:val="008B50AF"/>
    <w:rsid w:val="008B5558"/>
    <w:rsid w:val="008B5959"/>
    <w:rsid w:val="008B7061"/>
    <w:rsid w:val="008B7442"/>
    <w:rsid w:val="008B7EB8"/>
    <w:rsid w:val="008C012A"/>
    <w:rsid w:val="008C0978"/>
    <w:rsid w:val="008C1142"/>
    <w:rsid w:val="008C1699"/>
    <w:rsid w:val="008C45C9"/>
    <w:rsid w:val="008C502E"/>
    <w:rsid w:val="008C5CE3"/>
    <w:rsid w:val="008C6D85"/>
    <w:rsid w:val="008D0E7B"/>
    <w:rsid w:val="008D1618"/>
    <w:rsid w:val="008D4FF3"/>
    <w:rsid w:val="008D5A48"/>
    <w:rsid w:val="008E0437"/>
    <w:rsid w:val="008E08E8"/>
    <w:rsid w:val="008E0F62"/>
    <w:rsid w:val="008E1D42"/>
    <w:rsid w:val="008E3000"/>
    <w:rsid w:val="008E31BA"/>
    <w:rsid w:val="008E38C9"/>
    <w:rsid w:val="008E3A09"/>
    <w:rsid w:val="008E4136"/>
    <w:rsid w:val="008E5224"/>
    <w:rsid w:val="008E5FBF"/>
    <w:rsid w:val="008F177F"/>
    <w:rsid w:val="008F220E"/>
    <w:rsid w:val="008F224A"/>
    <w:rsid w:val="008F2986"/>
    <w:rsid w:val="008F38E4"/>
    <w:rsid w:val="008F450F"/>
    <w:rsid w:val="008F4985"/>
    <w:rsid w:val="008F74D5"/>
    <w:rsid w:val="008F773B"/>
    <w:rsid w:val="00900265"/>
    <w:rsid w:val="00900974"/>
    <w:rsid w:val="009042C5"/>
    <w:rsid w:val="009044DD"/>
    <w:rsid w:val="00907210"/>
    <w:rsid w:val="00907A79"/>
    <w:rsid w:val="00911FD0"/>
    <w:rsid w:val="0091294B"/>
    <w:rsid w:val="00912E46"/>
    <w:rsid w:val="00914449"/>
    <w:rsid w:val="00920749"/>
    <w:rsid w:val="00920BF4"/>
    <w:rsid w:val="00921CC1"/>
    <w:rsid w:val="00922321"/>
    <w:rsid w:val="00922C44"/>
    <w:rsid w:val="00924A21"/>
    <w:rsid w:val="00925F87"/>
    <w:rsid w:val="009276EE"/>
    <w:rsid w:val="00927A24"/>
    <w:rsid w:val="00930D9B"/>
    <w:rsid w:val="009310EB"/>
    <w:rsid w:val="00931331"/>
    <w:rsid w:val="009315DE"/>
    <w:rsid w:val="00932C6C"/>
    <w:rsid w:val="00933B0D"/>
    <w:rsid w:val="00934544"/>
    <w:rsid w:val="00934B59"/>
    <w:rsid w:val="00936FCC"/>
    <w:rsid w:val="0094248E"/>
    <w:rsid w:val="00942FF1"/>
    <w:rsid w:val="00943D3E"/>
    <w:rsid w:val="009440A5"/>
    <w:rsid w:val="0094445B"/>
    <w:rsid w:val="00944E6B"/>
    <w:rsid w:val="00945FC9"/>
    <w:rsid w:val="00946E16"/>
    <w:rsid w:val="00946E4D"/>
    <w:rsid w:val="00947A30"/>
    <w:rsid w:val="009511D1"/>
    <w:rsid w:val="009531AC"/>
    <w:rsid w:val="009534E6"/>
    <w:rsid w:val="00955508"/>
    <w:rsid w:val="00960108"/>
    <w:rsid w:val="009615C5"/>
    <w:rsid w:val="009627F1"/>
    <w:rsid w:val="00962D19"/>
    <w:rsid w:val="00962F81"/>
    <w:rsid w:val="009640AA"/>
    <w:rsid w:val="0096552E"/>
    <w:rsid w:val="00966672"/>
    <w:rsid w:val="00966949"/>
    <w:rsid w:val="00967933"/>
    <w:rsid w:val="00970079"/>
    <w:rsid w:val="009706CA"/>
    <w:rsid w:val="00971057"/>
    <w:rsid w:val="00972999"/>
    <w:rsid w:val="009730E3"/>
    <w:rsid w:val="00973257"/>
    <w:rsid w:val="00974C8C"/>
    <w:rsid w:val="00975017"/>
    <w:rsid w:val="009757AD"/>
    <w:rsid w:val="00975B60"/>
    <w:rsid w:val="00975EDD"/>
    <w:rsid w:val="0097678C"/>
    <w:rsid w:val="00977AA2"/>
    <w:rsid w:val="00977FE3"/>
    <w:rsid w:val="00982CC1"/>
    <w:rsid w:val="00983BB9"/>
    <w:rsid w:val="00984A37"/>
    <w:rsid w:val="00985B9B"/>
    <w:rsid w:val="009860AB"/>
    <w:rsid w:val="00986734"/>
    <w:rsid w:val="00987637"/>
    <w:rsid w:val="00990CE5"/>
    <w:rsid w:val="00992404"/>
    <w:rsid w:val="00992EE4"/>
    <w:rsid w:val="00997DD5"/>
    <w:rsid w:val="009A005F"/>
    <w:rsid w:val="009A1F59"/>
    <w:rsid w:val="009A2513"/>
    <w:rsid w:val="009A28DE"/>
    <w:rsid w:val="009A2A96"/>
    <w:rsid w:val="009A36C6"/>
    <w:rsid w:val="009A3934"/>
    <w:rsid w:val="009A5B06"/>
    <w:rsid w:val="009A68DF"/>
    <w:rsid w:val="009A7182"/>
    <w:rsid w:val="009B037E"/>
    <w:rsid w:val="009B2127"/>
    <w:rsid w:val="009B36A8"/>
    <w:rsid w:val="009B37EC"/>
    <w:rsid w:val="009B4046"/>
    <w:rsid w:val="009B44C3"/>
    <w:rsid w:val="009B4A36"/>
    <w:rsid w:val="009C0502"/>
    <w:rsid w:val="009C06BA"/>
    <w:rsid w:val="009C0742"/>
    <w:rsid w:val="009C141D"/>
    <w:rsid w:val="009C18DA"/>
    <w:rsid w:val="009C2DA6"/>
    <w:rsid w:val="009C36AA"/>
    <w:rsid w:val="009C4495"/>
    <w:rsid w:val="009C4985"/>
    <w:rsid w:val="009D4087"/>
    <w:rsid w:val="009D5283"/>
    <w:rsid w:val="009D75EF"/>
    <w:rsid w:val="009E13AC"/>
    <w:rsid w:val="009E2F5F"/>
    <w:rsid w:val="009E39F3"/>
    <w:rsid w:val="009E4D7A"/>
    <w:rsid w:val="009E4DEF"/>
    <w:rsid w:val="009E518B"/>
    <w:rsid w:val="009E5725"/>
    <w:rsid w:val="009E607B"/>
    <w:rsid w:val="009E62CB"/>
    <w:rsid w:val="009E6B6A"/>
    <w:rsid w:val="009E7B46"/>
    <w:rsid w:val="009E7F09"/>
    <w:rsid w:val="009F077D"/>
    <w:rsid w:val="009F0E1A"/>
    <w:rsid w:val="009F1488"/>
    <w:rsid w:val="009F2B8F"/>
    <w:rsid w:val="009F3742"/>
    <w:rsid w:val="009F62C2"/>
    <w:rsid w:val="009F7596"/>
    <w:rsid w:val="009F7D33"/>
    <w:rsid w:val="00A008C2"/>
    <w:rsid w:val="00A027C6"/>
    <w:rsid w:val="00A0562C"/>
    <w:rsid w:val="00A109D5"/>
    <w:rsid w:val="00A10CC9"/>
    <w:rsid w:val="00A10D47"/>
    <w:rsid w:val="00A11BC9"/>
    <w:rsid w:val="00A14E86"/>
    <w:rsid w:val="00A15981"/>
    <w:rsid w:val="00A16114"/>
    <w:rsid w:val="00A163DE"/>
    <w:rsid w:val="00A16663"/>
    <w:rsid w:val="00A17F4D"/>
    <w:rsid w:val="00A20863"/>
    <w:rsid w:val="00A2273B"/>
    <w:rsid w:val="00A22C7B"/>
    <w:rsid w:val="00A23E29"/>
    <w:rsid w:val="00A251DC"/>
    <w:rsid w:val="00A25E8F"/>
    <w:rsid w:val="00A2614D"/>
    <w:rsid w:val="00A26513"/>
    <w:rsid w:val="00A2695D"/>
    <w:rsid w:val="00A30658"/>
    <w:rsid w:val="00A326A5"/>
    <w:rsid w:val="00A3342E"/>
    <w:rsid w:val="00A34254"/>
    <w:rsid w:val="00A37AAA"/>
    <w:rsid w:val="00A41F8D"/>
    <w:rsid w:val="00A42FA4"/>
    <w:rsid w:val="00A466C0"/>
    <w:rsid w:val="00A46B89"/>
    <w:rsid w:val="00A50056"/>
    <w:rsid w:val="00A506C6"/>
    <w:rsid w:val="00A513F8"/>
    <w:rsid w:val="00A531DD"/>
    <w:rsid w:val="00A54FBD"/>
    <w:rsid w:val="00A55079"/>
    <w:rsid w:val="00A55834"/>
    <w:rsid w:val="00A5769D"/>
    <w:rsid w:val="00A60322"/>
    <w:rsid w:val="00A60A42"/>
    <w:rsid w:val="00A60B32"/>
    <w:rsid w:val="00A60D58"/>
    <w:rsid w:val="00A61CCA"/>
    <w:rsid w:val="00A62456"/>
    <w:rsid w:val="00A658D8"/>
    <w:rsid w:val="00A67ECA"/>
    <w:rsid w:val="00A71E2D"/>
    <w:rsid w:val="00A71ED7"/>
    <w:rsid w:val="00A7578E"/>
    <w:rsid w:val="00A76EF3"/>
    <w:rsid w:val="00A81604"/>
    <w:rsid w:val="00A823E9"/>
    <w:rsid w:val="00A85DF5"/>
    <w:rsid w:val="00A86EF0"/>
    <w:rsid w:val="00A90046"/>
    <w:rsid w:val="00A9166C"/>
    <w:rsid w:val="00A9261B"/>
    <w:rsid w:val="00A92852"/>
    <w:rsid w:val="00A92971"/>
    <w:rsid w:val="00A92FC0"/>
    <w:rsid w:val="00A9686B"/>
    <w:rsid w:val="00A96BCB"/>
    <w:rsid w:val="00AA114A"/>
    <w:rsid w:val="00AA13C9"/>
    <w:rsid w:val="00AA63AB"/>
    <w:rsid w:val="00AA68EE"/>
    <w:rsid w:val="00AA6904"/>
    <w:rsid w:val="00AA7A0D"/>
    <w:rsid w:val="00AB33A0"/>
    <w:rsid w:val="00AB3B99"/>
    <w:rsid w:val="00AB4194"/>
    <w:rsid w:val="00AB51FC"/>
    <w:rsid w:val="00AC19B0"/>
    <w:rsid w:val="00AC1D40"/>
    <w:rsid w:val="00AC217D"/>
    <w:rsid w:val="00AC2444"/>
    <w:rsid w:val="00AC4BAE"/>
    <w:rsid w:val="00AC4E15"/>
    <w:rsid w:val="00AC5406"/>
    <w:rsid w:val="00AC553E"/>
    <w:rsid w:val="00AD096F"/>
    <w:rsid w:val="00AD2931"/>
    <w:rsid w:val="00AD2BAB"/>
    <w:rsid w:val="00AD3787"/>
    <w:rsid w:val="00AD4CC7"/>
    <w:rsid w:val="00AD6259"/>
    <w:rsid w:val="00AD6690"/>
    <w:rsid w:val="00AD7F33"/>
    <w:rsid w:val="00AE159B"/>
    <w:rsid w:val="00AE2AE6"/>
    <w:rsid w:val="00AE33C3"/>
    <w:rsid w:val="00AE4C4C"/>
    <w:rsid w:val="00AE60D4"/>
    <w:rsid w:val="00AF1345"/>
    <w:rsid w:val="00AF4664"/>
    <w:rsid w:val="00AF6091"/>
    <w:rsid w:val="00AF6126"/>
    <w:rsid w:val="00AF64F3"/>
    <w:rsid w:val="00AF7D6D"/>
    <w:rsid w:val="00B017BE"/>
    <w:rsid w:val="00B019B1"/>
    <w:rsid w:val="00B0227A"/>
    <w:rsid w:val="00B02506"/>
    <w:rsid w:val="00B02E39"/>
    <w:rsid w:val="00B02F74"/>
    <w:rsid w:val="00B040C4"/>
    <w:rsid w:val="00B04C59"/>
    <w:rsid w:val="00B04D57"/>
    <w:rsid w:val="00B0679A"/>
    <w:rsid w:val="00B07589"/>
    <w:rsid w:val="00B0765E"/>
    <w:rsid w:val="00B128AD"/>
    <w:rsid w:val="00B13318"/>
    <w:rsid w:val="00B13738"/>
    <w:rsid w:val="00B15D3A"/>
    <w:rsid w:val="00B16532"/>
    <w:rsid w:val="00B167C2"/>
    <w:rsid w:val="00B17027"/>
    <w:rsid w:val="00B20002"/>
    <w:rsid w:val="00B20670"/>
    <w:rsid w:val="00B2098C"/>
    <w:rsid w:val="00B21785"/>
    <w:rsid w:val="00B27DC5"/>
    <w:rsid w:val="00B30263"/>
    <w:rsid w:val="00B3043A"/>
    <w:rsid w:val="00B33CC3"/>
    <w:rsid w:val="00B36F40"/>
    <w:rsid w:val="00B401BE"/>
    <w:rsid w:val="00B41B00"/>
    <w:rsid w:val="00B423D8"/>
    <w:rsid w:val="00B4337A"/>
    <w:rsid w:val="00B43C8D"/>
    <w:rsid w:val="00B43E8A"/>
    <w:rsid w:val="00B442E6"/>
    <w:rsid w:val="00B46503"/>
    <w:rsid w:val="00B52FF5"/>
    <w:rsid w:val="00B542A8"/>
    <w:rsid w:val="00B55362"/>
    <w:rsid w:val="00B5698F"/>
    <w:rsid w:val="00B57203"/>
    <w:rsid w:val="00B60EF9"/>
    <w:rsid w:val="00B62B5E"/>
    <w:rsid w:val="00B64C29"/>
    <w:rsid w:val="00B679BE"/>
    <w:rsid w:val="00B70BF0"/>
    <w:rsid w:val="00B7176C"/>
    <w:rsid w:val="00B72A29"/>
    <w:rsid w:val="00B72EEC"/>
    <w:rsid w:val="00B73AAA"/>
    <w:rsid w:val="00B74350"/>
    <w:rsid w:val="00B74BB2"/>
    <w:rsid w:val="00B7572C"/>
    <w:rsid w:val="00B75997"/>
    <w:rsid w:val="00B75EE9"/>
    <w:rsid w:val="00B82689"/>
    <w:rsid w:val="00B8527E"/>
    <w:rsid w:val="00B85869"/>
    <w:rsid w:val="00B87FCB"/>
    <w:rsid w:val="00B9090F"/>
    <w:rsid w:val="00B93BA6"/>
    <w:rsid w:val="00BA17F6"/>
    <w:rsid w:val="00BA1955"/>
    <w:rsid w:val="00BA1D2A"/>
    <w:rsid w:val="00BA1E65"/>
    <w:rsid w:val="00BA2307"/>
    <w:rsid w:val="00BA3BCC"/>
    <w:rsid w:val="00BA5D09"/>
    <w:rsid w:val="00BA63A1"/>
    <w:rsid w:val="00BB0231"/>
    <w:rsid w:val="00BB1724"/>
    <w:rsid w:val="00BB1C4C"/>
    <w:rsid w:val="00BB4D1E"/>
    <w:rsid w:val="00BB5315"/>
    <w:rsid w:val="00BB7797"/>
    <w:rsid w:val="00BC1B73"/>
    <w:rsid w:val="00BC1FB9"/>
    <w:rsid w:val="00BC246F"/>
    <w:rsid w:val="00BC271A"/>
    <w:rsid w:val="00BC2A17"/>
    <w:rsid w:val="00BC4AFA"/>
    <w:rsid w:val="00BD1386"/>
    <w:rsid w:val="00BD1CDA"/>
    <w:rsid w:val="00BD1DA6"/>
    <w:rsid w:val="00BD30E9"/>
    <w:rsid w:val="00BE02B4"/>
    <w:rsid w:val="00BE1774"/>
    <w:rsid w:val="00BE1DE0"/>
    <w:rsid w:val="00BE2129"/>
    <w:rsid w:val="00BE236E"/>
    <w:rsid w:val="00BE2A64"/>
    <w:rsid w:val="00BE7376"/>
    <w:rsid w:val="00BF0016"/>
    <w:rsid w:val="00BF0314"/>
    <w:rsid w:val="00BF1A24"/>
    <w:rsid w:val="00BF23CA"/>
    <w:rsid w:val="00BF3ECF"/>
    <w:rsid w:val="00BF5CD0"/>
    <w:rsid w:val="00BF60EB"/>
    <w:rsid w:val="00BF6B86"/>
    <w:rsid w:val="00C0129C"/>
    <w:rsid w:val="00C03396"/>
    <w:rsid w:val="00C044D5"/>
    <w:rsid w:val="00C046CB"/>
    <w:rsid w:val="00C04B2D"/>
    <w:rsid w:val="00C10F6F"/>
    <w:rsid w:val="00C11198"/>
    <w:rsid w:val="00C11582"/>
    <w:rsid w:val="00C1205D"/>
    <w:rsid w:val="00C17513"/>
    <w:rsid w:val="00C200E3"/>
    <w:rsid w:val="00C20B2B"/>
    <w:rsid w:val="00C20B33"/>
    <w:rsid w:val="00C21712"/>
    <w:rsid w:val="00C22C8C"/>
    <w:rsid w:val="00C23537"/>
    <w:rsid w:val="00C2365D"/>
    <w:rsid w:val="00C23CBD"/>
    <w:rsid w:val="00C2664B"/>
    <w:rsid w:val="00C26FFE"/>
    <w:rsid w:val="00C31E0E"/>
    <w:rsid w:val="00C3282D"/>
    <w:rsid w:val="00C3494C"/>
    <w:rsid w:val="00C35438"/>
    <w:rsid w:val="00C35F23"/>
    <w:rsid w:val="00C374DB"/>
    <w:rsid w:val="00C43826"/>
    <w:rsid w:val="00C45936"/>
    <w:rsid w:val="00C45E22"/>
    <w:rsid w:val="00C473F1"/>
    <w:rsid w:val="00C47ADC"/>
    <w:rsid w:val="00C47B4C"/>
    <w:rsid w:val="00C515F9"/>
    <w:rsid w:val="00C55A62"/>
    <w:rsid w:val="00C55AEE"/>
    <w:rsid w:val="00C570DF"/>
    <w:rsid w:val="00C57A7D"/>
    <w:rsid w:val="00C57BD9"/>
    <w:rsid w:val="00C64FC8"/>
    <w:rsid w:val="00C66165"/>
    <w:rsid w:val="00C679C8"/>
    <w:rsid w:val="00C709FD"/>
    <w:rsid w:val="00C745FA"/>
    <w:rsid w:val="00C74E9C"/>
    <w:rsid w:val="00C7772B"/>
    <w:rsid w:val="00C77E8D"/>
    <w:rsid w:val="00C80336"/>
    <w:rsid w:val="00C813B3"/>
    <w:rsid w:val="00C817C9"/>
    <w:rsid w:val="00C838D8"/>
    <w:rsid w:val="00C84FCC"/>
    <w:rsid w:val="00C8521C"/>
    <w:rsid w:val="00C86370"/>
    <w:rsid w:val="00C873D0"/>
    <w:rsid w:val="00C878A2"/>
    <w:rsid w:val="00C9037C"/>
    <w:rsid w:val="00C909BB"/>
    <w:rsid w:val="00C90C69"/>
    <w:rsid w:val="00C9194F"/>
    <w:rsid w:val="00C925AA"/>
    <w:rsid w:val="00C94FCA"/>
    <w:rsid w:val="00CA08E2"/>
    <w:rsid w:val="00CA0F26"/>
    <w:rsid w:val="00CA26A0"/>
    <w:rsid w:val="00CA27E8"/>
    <w:rsid w:val="00CA63C0"/>
    <w:rsid w:val="00CA6BD0"/>
    <w:rsid w:val="00CB10E9"/>
    <w:rsid w:val="00CB114F"/>
    <w:rsid w:val="00CB2279"/>
    <w:rsid w:val="00CB2380"/>
    <w:rsid w:val="00CB33BD"/>
    <w:rsid w:val="00CB3993"/>
    <w:rsid w:val="00CB401B"/>
    <w:rsid w:val="00CB491D"/>
    <w:rsid w:val="00CB5BC3"/>
    <w:rsid w:val="00CB5EDB"/>
    <w:rsid w:val="00CD01CE"/>
    <w:rsid w:val="00CD1C07"/>
    <w:rsid w:val="00CD5244"/>
    <w:rsid w:val="00CD754A"/>
    <w:rsid w:val="00CE0F56"/>
    <w:rsid w:val="00CE132A"/>
    <w:rsid w:val="00CE153B"/>
    <w:rsid w:val="00CE1DFE"/>
    <w:rsid w:val="00CE1EA2"/>
    <w:rsid w:val="00CE275E"/>
    <w:rsid w:val="00CE3EB3"/>
    <w:rsid w:val="00CE622F"/>
    <w:rsid w:val="00CE7FEF"/>
    <w:rsid w:val="00CF02E5"/>
    <w:rsid w:val="00CF1348"/>
    <w:rsid w:val="00CF1435"/>
    <w:rsid w:val="00CF23AB"/>
    <w:rsid w:val="00CF3449"/>
    <w:rsid w:val="00CF733C"/>
    <w:rsid w:val="00CF758D"/>
    <w:rsid w:val="00CF7832"/>
    <w:rsid w:val="00D01B10"/>
    <w:rsid w:val="00D047F0"/>
    <w:rsid w:val="00D04A3D"/>
    <w:rsid w:val="00D05CE5"/>
    <w:rsid w:val="00D063F8"/>
    <w:rsid w:val="00D122D4"/>
    <w:rsid w:val="00D1293A"/>
    <w:rsid w:val="00D145F4"/>
    <w:rsid w:val="00D16339"/>
    <w:rsid w:val="00D16E8A"/>
    <w:rsid w:val="00D20C6E"/>
    <w:rsid w:val="00D235F4"/>
    <w:rsid w:val="00D24A94"/>
    <w:rsid w:val="00D26035"/>
    <w:rsid w:val="00D26318"/>
    <w:rsid w:val="00D27272"/>
    <w:rsid w:val="00D273F8"/>
    <w:rsid w:val="00D27A25"/>
    <w:rsid w:val="00D31139"/>
    <w:rsid w:val="00D36066"/>
    <w:rsid w:val="00D361B7"/>
    <w:rsid w:val="00D403CF"/>
    <w:rsid w:val="00D4076D"/>
    <w:rsid w:val="00D40AD8"/>
    <w:rsid w:val="00D44592"/>
    <w:rsid w:val="00D44BC4"/>
    <w:rsid w:val="00D458D9"/>
    <w:rsid w:val="00D45A39"/>
    <w:rsid w:val="00D4624D"/>
    <w:rsid w:val="00D47C66"/>
    <w:rsid w:val="00D47D68"/>
    <w:rsid w:val="00D513A0"/>
    <w:rsid w:val="00D51946"/>
    <w:rsid w:val="00D51BE7"/>
    <w:rsid w:val="00D52AA9"/>
    <w:rsid w:val="00D53147"/>
    <w:rsid w:val="00D5324A"/>
    <w:rsid w:val="00D54141"/>
    <w:rsid w:val="00D5543B"/>
    <w:rsid w:val="00D55DBB"/>
    <w:rsid w:val="00D576C0"/>
    <w:rsid w:val="00D61653"/>
    <w:rsid w:val="00D61C94"/>
    <w:rsid w:val="00D630B1"/>
    <w:rsid w:val="00D63EB1"/>
    <w:rsid w:val="00D645DE"/>
    <w:rsid w:val="00D64AB3"/>
    <w:rsid w:val="00D658F0"/>
    <w:rsid w:val="00D676DB"/>
    <w:rsid w:val="00D67D6C"/>
    <w:rsid w:val="00D701F7"/>
    <w:rsid w:val="00D70EB0"/>
    <w:rsid w:val="00D7107B"/>
    <w:rsid w:val="00D711A2"/>
    <w:rsid w:val="00D7370C"/>
    <w:rsid w:val="00D73988"/>
    <w:rsid w:val="00D745A3"/>
    <w:rsid w:val="00D813B3"/>
    <w:rsid w:val="00D82AF6"/>
    <w:rsid w:val="00D85128"/>
    <w:rsid w:val="00D90441"/>
    <w:rsid w:val="00D91088"/>
    <w:rsid w:val="00D912A6"/>
    <w:rsid w:val="00D91A2E"/>
    <w:rsid w:val="00D91FDE"/>
    <w:rsid w:val="00D92115"/>
    <w:rsid w:val="00D93466"/>
    <w:rsid w:val="00D94086"/>
    <w:rsid w:val="00D95CC1"/>
    <w:rsid w:val="00D95CC7"/>
    <w:rsid w:val="00D95DDE"/>
    <w:rsid w:val="00D962B6"/>
    <w:rsid w:val="00D96994"/>
    <w:rsid w:val="00D96A21"/>
    <w:rsid w:val="00DA02C9"/>
    <w:rsid w:val="00DA0554"/>
    <w:rsid w:val="00DA062C"/>
    <w:rsid w:val="00DA0F4A"/>
    <w:rsid w:val="00DA290A"/>
    <w:rsid w:val="00DA36AE"/>
    <w:rsid w:val="00DA3E2D"/>
    <w:rsid w:val="00DA5434"/>
    <w:rsid w:val="00DA5A68"/>
    <w:rsid w:val="00DA5F78"/>
    <w:rsid w:val="00DA715A"/>
    <w:rsid w:val="00DB0CA6"/>
    <w:rsid w:val="00DB1457"/>
    <w:rsid w:val="00DB2F90"/>
    <w:rsid w:val="00DB30E6"/>
    <w:rsid w:val="00DB6CBB"/>
    <w:rsid w:val="00DC774F"/>
    <w:rsid w:val="00DC7EBC"/>
    <w:rsid w:val="00DD0967"/>
    <w:rsid w:val="00DD11B4"/>
    <w:rsid w:val="00DD22A4"/>
    <w:rsid w:val="00DD249B"/>
    <w:rsid w:val="00DD34F1"/>
    <w:rsid w:val="00DD5D26"/>
    <w:rsid w:val="00DD68F5"/>
    <w:rsid w:val="00DE2F1F"/>
    <w:rsid w:val="00DE4656"/>
    <w:rsid w:val="00DE466E"/>
    <w:rsid w:val="00DE496E"/>
    <w:rsid w:val="00DE4B7C"/>
    <w:rsid w:val="00DE4FE2"/>
    <w:rsid w:val="00DE6772"/>
    <w:rsid w:val="00DE7296"/>
    <w:rsid w:val="00DF0071"/>
    <w:rsid w:val="00DF0923"/>
    <w:rsid w:val="00DF209F"/>
    <w:rsid w:val="00DF49C4"/>
    <w:rsid w:val="00DF5086"/>
    <w:rsid w:val="00DF5336"/>
    <w:rsid w:val="00DF53D0"/>
    <w:rsid w:val="00DF543F"/>
    <w:rsid w:val="00DF56C9"/>
    <w:rsid w:val="00DF6AA6"/>
    <w:rsid w:val="00DF7FB2"/>
    <w:rsid w:val="00E02FBA"/>
    <w:rsid w:val="00E03058"/>
    <w:rsid w:val="00E031B5"/>
    <w:rsid w:val="00E053E3"/>
    <w:rsid w:val="00E05DA5"/>
    <w:rsid w:val="00E115A1"/>
    <w:rsid w:val="00E129D4"/>
    <w:rsid w:val="00E140ED"/>
    <w:rsid w:val="00E1533F"/>
    <w:rsid w:val="00E16244"/>
    <w:rsid w:val="00E16629"/>
    <w:rsid w:val="00E1713B"/>
    <w:rsid w:val="00E2091C"/>
    <w:rsid w:val="00E212BC"/>
    <w:rsid w:val="00E2172D"/>
    <w:rsid w:val="00E22C04"/>
    <w:rsid w:val="00E23ADD"/>
    <w:rsid w:val="00E25762"/>
    <w:rsid w:val="00E25CF8"/>
    <w:rsid w:val="00E26265"/>
    <w:rsid w:val="00E268B7"/>
    <w:rsid w:val="00E277EB"/>
    <w:rsid w:val="00E30CC4"/>
    <w:rsid w:val="00E31BC3"/>
    <w:rsid w:val="00E34F5E"/>
    <w:rsid w:val="00E357F4"/>
    <w:rsid w:val="00E36AA5"/>
    <w:rsid w:val="00E36C1B"/>
    <w:rsid w:val="00E378A4"/>
    <w:rsid w:val="00E40036"/>
    <w:rsid w:val="00E40CB2"/>
    <w:rsid w:val="00E41B24"/>
    <w:rsid w:val="00E42560"/>
    <w:rsid w:val="00E4388A"/>
    <w:rsid w:val="00E44483"/>
    <w:rsid w:val="00E46E51"/>
    <w:rsid w:val="00E4704A"/>
    <w:rsid w:val="00E479BB"/>
    <w:rsid w:val="00E51F9B"/>
    <w:rsid w:val="00E552FB"/>
    <w:rsid w:val="00E55E3C"/>
    <w:rsid w:val="00E5699E"/>
    <w:rsid w:val="00E57296"/>
    <w:rsid w:val="00E6015F"/>
    <w:rsid w:val="00E6025B"/>
    <w:rsid w:val="00E607A4"/>
    <w:rsid w:val="00E60BDA"/>
    <w:rsid w:val="00E60DDD"/>
    <w:rsid w:val="00E619DB"/>
    <w:rsid w:val="00E61C21"/>
    <w:rsid w:val="00E62796"/>
    <w:rsid w:val="00E635BA"/>
    <w:rsid w:val="00E637D1"/>
    <w:rsid w:val="00E64F1D"/>
    <w:rsid w:val="00E66012"/>
    <w:rsid w:val="00E677CD"/>
    <w:rsid w:val="00E71091"/>
    <w:rsid w:val="00E71ECD"/>
    <w:rsid w:val="00E72AB1"/>
    <w:rsid w:val="00E72B70"/>
    <w:rsid w:val="00E72F17"/>
    <w:rsid w:val="00E7320D"/>
    <w:rsid w:val="00E74A88"/>
    <w:rsid w:val="00E759B6"/>
    <w:rsid w:val="00E7627A"/>
    <w:rsid w:val="00E779FE"/>
    <w:rsid w:val="00E80EC6"/>
    <w:rsid w:val="00E82128"/>
    <w:rsid w:val="00E8544A"/>
    <w:rsid w:val="00E86BA9"/>
    <w:rsid w:val="00E90F49"/>
    <w:rsid w:val="00E92C44"/>
    <w:rsid w:val="00E9391B"/>
    <w:rsid w:val="00E939E6"/>
    <w:rsid w:val="00E948A3"/>
    <w:rsid w:val="00E94E28"/>
    <w:rsid w:val="00E97984"/>
    <w:rsid w:val="00EA0190"/>
    <w:rsid w:val="00EA1EE5"/>
    <w:rsid w:val="00EA4721"/>
    <w:rsid w:val="00EA53C2"/>
    <w:rsid w:val="00EA621E"/>
    <w:rsid w:val="00EA7819"/>
    <w:rsid w:val="00EA7BDE"/>
    <w:rsid w:val="00EB151D"/>
    <w:rsid w:val="00EB228A"/>
    <w:rsid w:val="00EB2F72"/>
    <w:rsid w:val="00EB44BA"/>
    <w:rsid w:val="00EB4F6A"/>
    <w:rsid w:val="00EB67AB"/>
    <w:rsid w:val="00EB75FB"/>
    <w:rsid w:val="00EB7E7C"/>
    <w:rsid w:val="00EB7F38"/>
    <w:rsid w:val="00EC0F07"/>
    <w:rsid w:val="00EC1B15"/>
    <w:rsid w:val="00EC20C6"/>
    <w:rsid w:val="00EC47B2"/>
    <w:rsid w:val="00EC58FA"/>
    <w:rsid w:val="00EC72CA"/>
    <w:rsid w:val="00EC7FD6"/>
    <w:rsid w:val="00ED0A2B"/>
    <w:rsid w:val="00ED3A29"/>
    <w:rsid w:val="00ED3C38"/>
    <w:rsid w:val="00ED3CDD"/>
    <w:rsid w:val="00ED42C1"/>
    <w:rsid w:val="00ED4DA5"/>
    <w:rsid w:val="00ED5388"/>
    <w:rsid w:val="00ED5F7E"/>
    <w:rsid w:val="00ED6F36"/>
    <w:rsid w:val="00ED7063"/>
    <w:rsid w:val="00EE0E33"/>
    <w:rsid w:val="00EE1218"/>
    <w:rsid w:val="00EE3591"/>
    <w:rsid w:val="00EE4FE5"/>
    <w:rsid w:val="00EE5639"/>
    <w:rsid w:val="00EF0AA3"/>
    <w:rsid w:val="00EF12A3"/>
    <w:rsid w:val="00EF1677"/>
    <w:rsid w:val="00EF1FE7"/>
    <w:rsid w:val="00EF26C4"/>
    <w:rsid w:val="00EF455E"/>
    <w:rsid w:val="00EF6CA3"/>
    <w:rsid w:val="00EF6D37"/>
    <w:rsid w:val="00EF734B"/>
    <w:rsid w:val="00EF7A38"/>
    <w:rsid w:val="00F0075E"/>
    <w:rsid w:val="00F008DC"/>
    <w:rsid w:val="00F024A1"/>
    <w:rsid w:val="00F024B6"/>
    <w:rsid w:val="00F02592"/>
    <w:rsid w:val="00F02875"/>
    <w:rsid w:val="00F02C2D"/>
    <w:rsid w:val="00F0311D"/>
    <w:rsid w:val="00F04073"/>
    <w:rsid w:val="00F04645"/>
    <w:rsid w:val="00F0584A"/>
    <w:rsid w:val="00F06E08"/>
    <w:rsid w:val="00F10686"/>
    <w:rsid w:val="00F12E5C"/>
    <w:rsid w:val="00F14A72"/>
    <w:rsid w:val="00F15CC0"/>
    <w:rsid w:val="00F17429"/>
    <w:rsid w:val="00F20F7F"/>
    <w:rsid w:val="00F21609"/>
    <w:rsid w:val="00F218B8"/>
    <w:rsid w:val="00F21D67"/>
    <w:rsid w:val="00F240F2"/>
    <w:rsid w:val="00F25957"/>
    <w:rsid w:val="00F25AC0"/>
    <w:rsid w:val="00F25E98"/>
    <w:rsid w:val="00F266DF"/>
    <w:rsid w:val="00F26AA6"/>
    <w:rsid w:val="00F27B68"/>
    <w:rsid w:val="00F30982"/>
    <w:rsid w:val="00F31B98"/>
    <w:rsid w:val="00F32F1A"/>
    <w:rsid w:val="00F3390C"/>
    <w:rsid w:val="00F35209"/>
    <w:rsid w:val="00F35998"/>
    <w:rsid w:val="00F359C2"/>
    <w:rsid w:val="00F416CC"/>
    <w:rsid w:val="00F43472"/>
    <w:rsid w:val="00F46AC3"/>
    <w:rsid w:val="00F505F9"/>
    <w:rsid w:val="00F52B71"/>
    <w:rsid w:val="00F540C8"/>
    <w:rsid w:val="00F541E5"/>
    <w:rsid w:val="00F54E32"/>
    <w:rsid w:val="00F54FF7"/>
    <w:rsid w:val="00F55324"/>
    <w:rsid w:val="00F60068"/>
    <w:rsid w:val="00F6042D"/>
    <w:rsid w:val="00F604CF"/>
    <w:rsid w:val="00F61A86"/>
    <w:rsid w:val="00F62C29"/>
    <w:rsid w:val="00F63B52"/>
    <w:rsid w:val="00F643AC"/>
    <w:rsid w:val="00F6563A"/>
    <w:rsid w:val="00F666E1"/>
    <w:rsid w:val="00F67056"/>
    <w:rsid w:val="00F70406"/>
    <w:rsid w:val="00F71FB4"/>
    <w:rsid w:val="00F723FA"/>
    <w:rsid w:val="00F73FD3"/>
    <w:rsid w:val="00F7524C"/>
    <w:rsid w:val="00F756E7"/>
    <w:rsid w:val="00F76128"/>
    <w:rsid w:val="00F77A94"/>
    <w:rsid w:val="00F818E1"/>
    <w:rsid w:val="00F820A5"/>
    <w:rsid w:val="00F82540"/>
    <w:rsid w:val="00F82CA2"/>
    <w:rsid w:val="00F83AB9"/>
    <w:rsid w:val="00F84923"/>
    <w:rsid w:val="00F85BA7"/>
    <w:rsid w:val="00F8687C"/>
    <w:rsid w:val="00F871F5"/>
    <w:rsid w:val="00F87E9B"/>
    <w:rsid w:val="00F90941"/>
    <w:rsid w:val="00F92248"/>
    <w:rsid w:val="00F9441D"/>
    <w:rsid w:val="00F95DE1"/>
    <w:rsid w:val="00F97548"/>
    <w:rsid w:val="00FA1923"/>
    <w:rsid w:val="00FA202E"/>
    <w:rsid w:val="00FA3518"/>
    <w:rsid w:val="00FA379B"/>
    <w:rsid w:val="00FA7918"/>
    <w:rsid w:val="00FB2902"/>
    <w:rsid w:val="00FB2BC7"/>
    <w:rsid w:val="00FB6401"/>
    <w:rsid w:val="00FB67D3"/>
    <w:rsid w:val="00FB6D33"/>
    <w:rsid w:val="00FB760B"/>
    <w:rsid w:val="00FC0657"/>
    <w:rsid w:val="00FC1B20"/>
    <w:rsid w:val="00FC21B1"/>
    <w:rsid w:val="00FC376C"/>
    <w:rsid w:val="00FC3770"/>
    <w:rsid w:val="00FC3BD6"/>
    <w:rsid w:val="00FC534F"/>
    <w:rsid w:val="00FC5511"/>
    <w:rsid w:val="00FC7F41"/>
    <w:rsid w:val="00FD0EDE"/>
    <w:rsid w:val="00FD3652"/>
    <w:rsid w:val="00FD3656"/>
    <w:rsid w:val="00FD41BF"/>
    <w:rsid w:val="00FD5350"/>
    <w:rsid w:val="00FD5D98"/>
    <w:rsid w:val="00FD62D5"/>
    <w:rsid w:val="00FD634F"/>
    <w:rsid w:val="00FD7EF4"/>
    <w:rsid w:val="00FD7F89"/>
    <w:rsid w:val="00FE011B"/>
    <w:rsid w:val="00FE064E"/>
    <w:rsid w:val="00FE2FCC"/>
    <w:rsid w:val="00FE3232"/>
    <w:rsid w:val="00FE4433"/>
    <w:rsid w:val="00FE539A"/>
    <w:rsid w:val="00FE75BE"/>
    <w:rsid w:val="00FE7A28"/>
    <w:rsid w:val="00FF15FF"/>
    <w:rsid w:val="00FF1672"/>
    <w:rsid w:val="00FF3980"/>
    <w:rsid w:val="00FF3CDB"/>
    <w:rsid w:val="00FF41E6"/>
    <w:rsid w:val="00FF4899"/>
    <w:rsid w:val="00FF5FD2"/>
    <w:rsid w:val="00FF68D7"/>
    <w:rsid w:val="00FF6B7F"/>
    <w:rsid w:val="00FF7297"/>
    <w:rsid w:val="00FF7880"/>
    <w:rsid w:val="00FF7AD9"/>
    <w:rsid w:val="016E4957"/>
    <w:rsid w:val="0177215B"/>
    <w:rsid w:val="019F0266"/>
    <w:rsid w:val="01A83BB2"/>
    <w:rsid w:val="01C419B3"/>
    <w:rsid w:val="01DC577C"/>
    <w:rsid w:val="01FC7214"/>
    <w:rsid w:val="024F5831"/>
    <w:rsid w:val="02A249A5"/>
    <w:rsid w:val="02E5432F"/>
    <w:rsid w:val="032B4763"/>
    <w:rsid w:val="03777A18"/>
    <w:rsid w:val="0438731E"/>
    <w:rsid w:val="04EE06D2"/>
    <w:rsid w:val="05EE7F1B"/>
    <w:rsid w:val="061C7109"/>
    <w:rsid w:val="061F6C4D"/>
    <w:rsid w:val="065A63B0"/>
    <w:rsid w:val="070C65CB"/>
    <w:rsid w:val="072A2083"/>
    <w:rsid w:val="07B774ED"/>
    <w:rsid w:val="07F842B0"/>
    <w:rsid w:val="0837321A"/>
    <w:rsid w:val="085904C3"/>
    <w:rsid w:val="085E57F2"/>
    <w:rsid w:val="0A306599"/>
    <w:rsid w:val="0B7B7464"/>
    <w:rsid w:val="0B8B1BBA"/>
    <w:rsid w:val="0BA5126F"/>
    <w:rsid w:val="0BF94281"/>
    <w:rsid w:val="0C274204"/>
    <w:rsid w:val="0CC452CD"/>
    <w:rsid w:val="0DD57A8A"/>
    <w:rsid w:val="0DE17560"/>
    <w:rsid w:val="0E8F39DB"/>
    <w:rsid w:val="0ECF23D5"/>
    <w:rsid w:val="0F4439F2"/>
    <w:rsid w:val="11493DE9"/>
    <w:rsid w:val="119B57D6"/>
    <w:rsid w:val="11C5166D"/>
    <w:rsid w:val="11FD3101"/>
    <w:rsid w:val="12CA4849"/>
    <w:rsid w:val="13BF20C5"/>
    <w:rsid w:val="14470E60"/>
    <w:rsid w:val="15242FDD"/>
    <w:rsid w:val="1561253D"/>
    <w:rsid w:val="159531C1"/>
    <w:rsid w:val="15A84BA7"/>
    <w:rsid w:val="160433D3"/>
    <w:rsid w:val="16A252FC"/>
    <w:rsid w:val="16AD4721"/>
    <w:rsid w:val="170235B3"/>
    <w:rsid w:val="176D56C7"/>
    <w:rsid w:val="179E050C"/>
    <w:rsid w:val="17EA5100"/>
    <w:rsid w:val="18046653"/>
    <w:rsid w:val="1912250D"/>
    <w:rsid w:val="1A4B0053"/>
    <w:rsid w:val="1A4D33A9"/>
    <w:rsid w:val="1AD47A55"/>
    <w:rsid w:val="1AF60AAA"/>
    <w:rsid w:val="1B690463"/>
    <w:rsid w:val="1C3104EB"/>
    <w:rsid w:val="1CB731E4"/>
    <w:rsid w:val="1CCF35BD"/>
    <w:rsid w:val="1D0A5CC1"/>
    <w:rsid w:val="1D245829"/>
    <w:rsid w:val="1F0A39A3"/>
    <w:rsid w:val="1F8A4C1A"/>
    <w:rsid w:val="1FDD16EE"/>
    <w:rsid w:val="202010A8"/>
    <w:rsid w:val="20AB7866"/>
    <w:rsid w:val="20BE4C01"/>
    <w:rsid w:val="210F1766"/>
    <w:rsid w:val="228A183A"/>
    <w:rsid w:val="22C25D74"/>
    <w:rsid w:val="22FC54FD"/>
    <w:rsid w:val="2352099A"/>
    <w:rsid w:val="23F836BC"/>
    <w:rsid w:val="249324C3"/>
    <w:rsid w:val="24A167F9"/>
    <w:rsid w:val="24D01514"/>
    <w:rsid w:val="24D1728D"/>
    <w:rsid w:val="24F94291"/>
    <w:rsid w:val="24FB7552"/>
    <w:rsid w:val="26561906"/>
    <w:rsid w:val="26B34298"/>
    <w:rsid w:val="26C40621"/>
    <w:rsid w:val="273835A3"/>
    <w:rsid w:val="2772123E"/>
    <w:rsid w:val="2812015A"/>
    <w:rsid w:val="29A8336C"/>
    <w:rsid w:val="2A2B03A4"/>
    <w:rsid w:val="2A7C34D8"/>
    <w:rsid w:val="2A8563B2"/>
    <w:rsid w:val="2B724CF9"/>
    <w:rsid w:val="2C5952AA"/>
    <w:rsid w:val="2CF17025"/>
    <w:rsid w:val="2CFC0815"/>
    <w:rsid w:val="2D2A4233"/>
    <w:rsid w:val="2D617E91"/>
    <w:rsid w:val="2D6446D4"/>
    <w:rsid w:val="2D87578F"/>
    <w:rsid w:val="2DC87352"/>
    <w:rsid w:val="2E131165"/>
    <w:rsid w:val="2ECF7F2D"/>
    <w:rsid w:val="2F0E223E"/>
    <w:rsid w:val="2F1F6557"/>
    <w:rsid w:val="2FDF2A12"/>
    <w:rsid w:val="304C6A5B"/>
    <w:rsid w:val="30531482"/>
    <w:rsid w:val="30EB16C1"/>
    <w:rsid w:val="316144D6"/>
    <w:rsid w:val="31623CC1"/>
    <w:rsid w:val="31AA02F1"/>
    <w:rsid w:val="31DC1E68"/>
    <w:rsid w:val="321F6661"/>
    <w:rsid w:val="32331A2F"/>
    <w:rsid w:val="324830DB"/>
    <w:rsid w:val="32DE467E"/>
    <w:rsid w:val="339E3F80"/>
    <w:rsid w:val="349F4551"/>
    <w:rsid w:val="34DE67A1"/>
    <w:rsid w:val="350B3967"/>
    <w:rsid w:val="35306930"/>
    <w:rsid w:val="36BF7CEB"/>
    <w:rsid w:val="37AA6FA2"/>
    <w:rsid w:val="37D47710"/>
    <w:rsid w:val="37DA7D3D"/>
    <w:rsid w:val="38347975"/>
    <w:rsid w:val="387D78FD"/>
    <w:rsid w:val="398612E7"/>
    <w:rsid w:val="3A553F6B"/>
    <w:rsid w:val="3A593D78"/>
    <w:rsid w:val="3A8A1899"/>
    <w:rsid w:val="3A956A94"/>
    <w:rsid w:val="3C861D96"/>
    <w:rsid w:val="3D7C3DA9"/>
    <w:rsid w:val="3E055813"/>
    <w:rsid w:val="3E27418C"/>
    <w:rsid w:val="3E8244D0"/>
    <w:rsid w:val="3E8339FD"/>
    <w:rsid w:val="3E9E783C"/>
    <w:rsid w:val="3F613338"/>
    <w:rsid w:val="3FC05EF4"/>
    <w:rsid w:val="404F6745"/>
    <w:rsid w:val="407F4956"/>
    <w:rsid w:val="40AB24AF"/>
    <w:rsid w:val="40D94B49"/>
    <w:rsid w:val="411E53FF"/>
    <w:rsid w:val="41AC6F11"/>
    <w:rsid w:val="41E65C8C"/>
    <w:rsid w:val="4200747A"/>
    <w:rsid w:val="424F2DF4"/>
    <w:rsid w:val="429E44E7"/>
    <w:rsid w:val="43106C8B"/>
    <w:rsid w:val="43865D08"/>
    <w:rsid w:val="43B9575A"/>
    <w:rsid w:val="43FF18C7"/>
    <w:rsid w:val="44203175"/>
    <w:rsid w:val="446F02EE"/>
    <w:rsid w:val="44CB3232"/>
    <w:rsid w:val="45117862"/>
    <w:rsid w:val="457928D9"/>
    <w:rsid w:val="45E3544B"/>
    <w:rsid w:val="45EC4D03"/>
    <w:rsid w:val="45EF7415"/>
    <w:rsid w:val="4643595E"/>
    <w:rsid w:val="46464E33"/>
    <w:rsid w:val="46530DAF"/>
    <w:rsid w:val="46BB0562"/>
    <w:rsid w:val="470C4471"/>
    <w:rsid w:val="47227550"/>
    <w:rsid w:val="4725781F"/>
    <w:rsid w:val="47821EB1"/>
    <w:rsid w:val="47C03B73"/>
    <w:rsid w:val="4804098E"/>
    <w:rsid w:val="480F3CF7"/>
    <w:rsid w:val="488813EE"/>
    <w:rsid w:val="48A5091A"/>
    <w:rsid w:val="48D329F0"/>
    <w:rsid w:val="48F9663E"/>
    <w:rsid w:val="497B5A70"/>
    <w:rsid w:val="499276AD"/>
    <w:rsid w:val="49A60AE7"/>
    <w:rsid w:val="4A487973"/>
    <w:rsid w:val="4A517A5D"/>
    <w:rsid w:val="4B9F246C"/>
    <w:rsid w:val="4BEC6D77"/>
    <w:rsid w:val="4C381319"/>
    <w:rsid w:val="4C960965"/>
    <w:rsid w:val="4CB3180F"/>
    <w:rsid w:val="4CEE15F2"/>
    <w:rsid w:val="4D166E74"/>
    <w:rsid w:val="4D8B7805"/>
    <w:rsid w:val="4DBA5CFF"/>
    <w:rsid w:val="4E6A7057"/>
    <w:rsid w:val="4EA43083"/>
    <w:rsid w:val="4EB5626A"/>
    <w:rsid w:val="4EC1383A"/>
    <w:rsid w:val="4F38136E"/>
    <w:rsid w:val="4F700C1D"/>
    <w:rsid w:val="4FBD03F8"/>
    <w:rsid w:val="4FC87C6C"/>
    <w:rsid w:val="50E81592"/>
    <w:rsid w:val="50F6389A"/>
    <w:rsid w:val="510F0B93"/>
    <w:rsid w:val="51147DFA"/>
    <w:rsid w:val="51523415"/>
    <w:rsid w:val="51E538D3"/>
    <w:rsid w:val="523B45A8"/>
    <w:rsid w:val="52B55B3E"/>
    <w:rsid w:val="52C33AFA"/>
    <w:rsid w:val="52C436B4"/>
    <w:rsid w:val="534F146F"/>
    <w:rsid w:val="54176454"/>
    <w:rsid w:val="54D0421E"/>
    <w:rsid w:val="55BA3285"/>
    <w:rsid w:val="565438BF"/>
    <w:rsid w:val="56872623"/>
    <w:rsid w:val="56A9546A"/>
    <w:rsid w:val="570A396E"/>
    <w:rsid w:val="576D746A"/>
    <w:rsid w:val="57D27E9C"/>
    <w:rsid w:val="57F42CB4"/>
    <w:rsid w:val="587574B9"/>
    <w:rsid w:val="58BB245F"/>
    <w:rsid w:val="58CD17F8"/>
    <w:rsid w:val="5A007E12"/>
    <w:rsid w:val="5A8454AC"/>
    <w:rsid w:val="5A8D2CF6"/>
    <w:rsid w:val="5AEB4F5E"/>
    <w:rsid w:val="5BDB139C"/>
    <w:rsid w:val="5CCD6F96"/>
    <w:rsid w:val="5E165DE3"/>
    <w:rsid w:val="5FB75FC8"/>
    <w:rsid w:val="5FEF4575"/>
    <w:rsid w:val="603E7C4E"/>
    <w:rsid w:val="603F2248"/>
    <w:rsid w:val="60DF096D"/>
    <w:rsid w:val="611D0E41"/>
    <w:rsid w:val="614420A0"/>
    <w:rsid w:val="6157100E"/>
    <w:rsid w:val="618819E9"/>
    <w:rsid w:val="619339B8"/>
    <w:rsid w:val="621A5FBF"/>
    <w:rsid w:val="628D2BCD"/>
    <w:rsid w:val="62BC3B71"/>
    <w:rsid w:val="630962FF"/>
    <w:rsid w:val="63D823A3"/>
    <w:rsid w:val="647613A0"/>
    <w:rsid w:val="651407D5"/>
    <w:rsid w:val="65AB4443"/>
    <w:rsid w:val="660240E6"/>
    <w:rsid w:val="667136AB"/>
    <w:rsid w:val="66BE45E6"/>
    <w:rsid w:val="680F6B31"/>
    <w:rsid w:val="688A2F04"/>
    <w:rsid w:val="68AC281E"/>
    <w:rsid w:val="69351C6F"/>
    <w:rsid w:val="69DD188E"/>
    <w:rsid w:val="6B1A6F95"/>
    <w:rsid w:val="6D2B1638"/>
    <w:rsid w:val="6DF2201B"/>
    <w:rsid w:val="6DFA7480"/>
    <w:rsid w:val="6EC53E59"/>
    <w:rsid w:val="6EC73DF3"/>
    <w:rsid w:val="6F251EB3"/>
    <w:rsid w:val="6FE53CAC"/>
    <w:rsid w:val="707C4BFB"/>
    <w:rsid w:val="708B18C8"/>
    <w:rsid w:val="70E601C6"/>
    <w:rsid w:val="70F812C6"/>
    <w:rsid w:val="71123450"/>
    <w:rsid w:val="714458E8"/>
    <w:rsid w:val="72422DB7"/>
    <w:rsid w:val="72485398"/>
    <w:rsid w:val="727A3AC4"/>
    <w:rsid w:val="727C0111"/>
    <w:rsid w:val="72B04BF1"/>
    <w:rsid w:val="72D0798E"/>
    <w:rsid w:val="73030347"/>
    <w:rsid w:val="734B1951"/>
    <w:rsid w:val="73723339"/>
    <w:rsid w:val="74272287"/>
    <w:rsid w:val="747C5C58"/>
    <w:rsid w:val="74862690"/>
    <w:rsid w:val="74866E96"/>
    <w:rsid w:val="75020971"/>
    <w:rsid w:val="76545AE5"/>
    <w:rsid w:val="76564101"/>
    <w:rsid w:val="77323B1A"/>
    <w:rsid w:val="77366151"/>
    <w:rsid w:val="78235859"/>
    <w:rsid w:val="784F0D40"/>
    <w:rsid w:val="795E1B5D"/>
    <w:rsid w:val="79887C20"/>
    <w:rsid w:val="79D31246"/>
    <w:rsid w:val="7A8E70A9"/>
    <w:rsid w:val="7A9F512D"/>
    <w:rsid w:val="7C94304E"/>
    <w:rsid w:val="7CDD0A63"/>
    <w:rsid w:val="7D1B7A37"/>
    <w:rsid w:val="7E7865FB"/>
    <w:rsid w:val="7EBB414D"/>
    <w:rsid w:val="7F88118C"/>
    <w:rsid w:val="7FC67D48"/>
    <w:rsid w:val="7FCA1342"/>
    <w:rsid w:val="7FCF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napToGrid w:val="0"/>
      <w:spacing w:beforeLines="200" w:afterLines="100" w:line="324" w:lineRule="auto"/>
      <w:jc w:val="center"/>
      <w:outlineLvl w:val="0"/>
    </w:pPr>
    <w:rPr>
      <w:rFonts w:ascii="黑体" w:eastAsia="黑体"/>
      <w:b/>
      <w:bCs/>
      <w:kern w:val="44"/>
      <w:sz w:val="36"/>
      <w:szCs w:val="28"/>
    </w:rPr>
  </w:style>
  <w:style w:type="paragraph" w:styleId="5">
    <w:name w:val="heading 2"/>
    <w:basedOn w:val="1"/>
    <w:next w:val="1"/>
    <w:link w:val="59"/>
    <w:qFormat/>
    <w:uiPriority w:val="0"/>
    <w:pPr>
      <w:keepNext/>
      <w:keepLines/>
      <w:spacing w:before="240" w:after="120" w:line="480" w:lineRule="auto"/>
      <w:jc w:val="center"/>
      <w:outlineLvl w:val="1"/>
    </w:pPr>
    <w:rPr>
      <w:rFonts w:ascii="Arial" w:hAnsi="Arial" w:eastAsia="黑体"/>
      <w:b/>
      <w:bCs/>
      <w:sz w:val="32"/>
    </w:rPr>
  </w:style>
  <w:style w:type="paragraph" w:styleId="6">
    <w:name w:val="heading 3"/>
    <w:basedOn w:val="1"/>
    <w:next w:val="1"/>
    <w:qFormat/>
    <w:uiPriority w:val="0"/>
    <w:pPr>
      <w:keepNext/>
      <w:keepLines/>
      <w:snapToGrid w:val="0"/>
      <w:spacing w:before="180" w:line="324" w:lineRule="auto"/>
      <w:outlineLvl w:val="2"/>
    </w:pPr>
    <w:rPr>
      <w:rFonts w:eastAsia="黑体"/>
      <w:bCs/>
      <w:sz w:val="24"/>
      <w:szCs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rFonts w:ascii="仿宋_GB2312" w:eastAsia="仿宋_GB2312"/>
      <w:b/>
      <w:sz w:val="28"/>
      <w:szCs w:val="20"/>
    </w:rPr>
  </w:style>
  <w:style w:type="paragraph" w:styleId="12">
    <w:name w:val="toc 7"/>
    <w:basedOn w:val="1"/>
    <w:next w:val="1"/>
    <w:qFormat/>
    <w:uiPriority w:val="39"/>
    <w:pPr>
      <w:ind w:left="2520" w:leftChars="1200"/>
    </w:pPr>
  </w:style>
  <w:style w:type="paragraph" w:styleId="13">
    <w:name w:val="Normal Indent"/>
    <w:basedOn w:val="1"/>
    <w:qFormat/>
    <w:uiPriority w:val="99"/>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111"/>
    <w:qFormat/>
    <w:uiPriority w:val="0"/>
    <w:pPr>
      <w:jc w:val="left"/>
    </w:pPr>
  </w:style>
  <w:style w:type="paragraph" w:styleId="16">
    <w:name w:val="Body Text 3"/>
    <w:basedOn w:val="1"/>
    <w:qFormat/>
    <w:uiPriority w:val="0"/>
    <w:rPr>
      <w:rFonts w:ascii="宋体"/>
      <w:sz w:val="24"/>
      <w:szCs w:val="20"/>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link w:val="63"/>
    <w:qFormat/>
    <w:uiPriority w:val="99"/>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style>
  <w:style w:type="paragraph" w:styleId="23">
    <w:name w:val="Balloon Text"/>
    <w:basedOn w:val="1"/>
    <w:qFormat/>
    <w:uiPriority w:val="0"/>
    <w:rPr>
      <w:sz w:val="18"/>
      <w:szCs w:val="18"/>
    </w:rPr>
  </w:style>
  <w:style w:type="paragraph" w:styleId="24">
    <w:name w:val="footer"/>
    <w:basedOn w:val="1"/>
    <w:link w:val="69"/>
    <w:qFormat/>
    <w:uiPriority w:val="0"/>
    <w:pPr>
      <w:tabs>
        <w:tab w:val="center" w:pos="4153"/>
        <w:tab w:val="right" w:pos="8306"/>
      </w:tabs>
      <w:snapToGrid w:val="0"/>
      <w:jc w:val="left"/>
    </w:pPr>
    <w:rPr>
      <w:sz w:val="18"/>
      <w:szCs w:val="18"/>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16"/>
      </w:tabs>
      <w:snapToGrid w:val="0"/>
      <w:spacing w:line="300" w:lineRule="auto"/>
    </w:pPr>
    <w:rPr>
      <w:rFonts w:eastAsia="黑体"/>
      <w:sz w:val="24"/>
    </w:rPr>
  </w:style>
  <w:style w:type="paragraph" w:styleId="27">
    <w:name w:val="toc 4"/>
    <w:basedOn w:val="1"/>
    <w:next w:val="1"/>
    <w:qFormat/>
    <w:uiPriority w:val="39"/>
    <w:pPr>
      <w:ind w:left="1260" w:leftChars="600"/>
    </w:pPr>
  </w:style>
  <w:style w:type="paragraph" w:styleId="28">
    <w:name w:val="index heading"/>
    <w:basedOn w:val="1"/>
    <w:next w:val="29"/>
    <w:qFormat/>
    <w:uiPriority w:val="0"/>
  </w:style>
  <w:style w:type="paragraph" w:styleId="29">
    <w:name w:val="index 1"/>
    <w:basedOn w:val="1"/>
    <w:next w:val="1"/>
    <w:qFormat/>
    <w:uiPriority w:val="99"/>
  </w:style>
  <w:style w:type="paragraph" w:styleId="30">
    <w:name w:val="footnote text"/>
    <w:basedOn w:val="1"/>
    <w:qFormat/>
    <w:uiPriority w:val="0"/>
    <w:pPr>
      <w:snapToGrid w:val="0"/>
      <w:jc w:val="left"/>
    </w:pPr>
    <w:rPr>
      <w:sz w:val="18"/>
      <w:szCs w:val="18"/>
    </w:rPr>
  </w:style>
  <w:style w:type="paragraph" w:styleId="31">
    <w:name w:val="toc 6"/>
    <w:basedOn w:val="1"/>
    <w:next w:val="1"/>
    <w:qFormat/>
    <w:uiPriority w:val="39"/>
    <w:pPr>
      <w:ind w:left="2100" w:leftChars="10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Normal (Web)"/>
    <w:basedOn w:val="1"/>
    <w:qFormat/>
    <w:uiPriority w:val="0"/>
    <w:pPr>
      <w:jc w:val="left"/>
    </w:pPr>
    <w:rPr>
      <w:kern w:val="0"/>
      <w:sz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112"/>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style>
  <w:style w:type="character" w:styleId="42">
    <w:name w:val="page number"/>
    <w:basedOn w:val="40"/>
    <w:qFormat/>
    <w:uiPriority w:val="0"/>
  </w:style>
  <w:style w:type="character" w:styleId="43">
    <w:name w:val="FollowedHyperlink"/>
    <w:basedOn w:val="40"/>
    <w:qFormat/>
    <w:uiPriority w:val="0"/>
    <w:rPr>
      <w:color w:val="800080"/>
      <w:u w:val="none"/>
    </w:rPr>
  </w:style>
  <w:style w:type="character" w:styleId="44">
    <w:name w:val="Emphasis"/>
    <w:basedOn w:val="40"/>
    <w:qFormat/>
    <w:uiPriority w:val="0"/>
  </w:style>
  <w:style w:type="character" w:styleId="45">
    <w:name w:val="HTML Definition"/>
    <w:basedOn w:val="40"/>
    <w:qFormat/>
    <w:uiPriority w:val="0"/>
  </w:style>
  <w:style w:type="character" w:styleId="46">
    <w:name w:val="HTML Typewriter"/>
    <w:basedOn w:val="40"/>
    <w:qFormat/>
    <w:uiPriority w:val="0"/>
    <w:rPr>
      <w:rFonts w:ascii="monospace" w:hAnsi="monospace" w:eastAsia="monospace" w:cs="monospace"/>
      <w:sz w:val="20"/>
    </w:rPr>
  </w:style>
  <w:style w:type="character" w:styleId="47">
    <w:name w:val="HTML Acronym"/>
    <w:basedOn w:val="40"/>
    <w:qFormat/>
    <w:uiPriority w:val="0"/>
  </w:style>
  <w:style w:type="character" w:styleId="48">
    <w:name w:val="HTML Variable"/>
    <w:basedOn w:val="40"/>
    <w:qFormat/>
    <w:uiPriority w:val="0"/>
  </w:style>
  <w:style w:type="character" w:styleId="49">
    <w:name w:val="Hyperlink"/>
    <w:basedOn w:val="40"/>
    <w:qFormat/>
    <w:uiPriority w:val="99"/>
    <w:rPr>
      <w:color w:val="0000FF"/>
      <w:u w:val="none"/>
    </w:rPr>
  </w:style>
  <w:style w:type="character" w:styleId="50">
    <w:name w:val="HTML Code"/>
    <w:basedOn w:val="40"/>
    <w:qFormat/>
    <w:uiPriority w:val="0"/>
    <w:rPr>
      <w:rFonts w:hint="default" w:ascii="serif" w:hAnsi="serif" w:eastAsia="serif" w:cs="serif"/>
      <w:sz w:val="21"/>
      <w:szCs w:val="21"/>
    </w:rPr>
  </w:style>
  <w:style w:type="character" w:styleId="51">
    <w:name w:val="annotation reference"/>
    <w:basedOn w:val="40"/>
    <w:qFormat/>
    <w:uiPriority w:val="0"/>
    <w:rPr>
      <w:sz w:val="21"/>
      <w:szCs w:val="21"/>
    </w:rPr>
  </w:style>
  <w:style w:type="character" w:styleId="52">
    <w:name w:val="HTML Cite"/>
    <w:basedOn w:val="40"/>
    <w:qFormat/>
    <w:uiPriority w:val="0"/>
  </w:style>
  <w:style w:type="character" w:styleId="53">
    <w:name w:val="footnote reference"/>
    <w:qFormat/>
    <w:uiPriority w:val="0"/>
    <w:rPr>
      <w:vertAlign w:val="superscript"/>
    </w:rPr>
  </w:style>
  <w:style w:type="character" w:styleId="54">
    <w:name w:val="HTML Keyboard"/>
    <w:basedOn w:val="40"/>
    <w:qFormat/>
    <w:uiPriority w:val="0"/>
    <w:rPr>
      <w:rFonts w:hint="default" w:ascii="serif" w:hAnsi="serif" w:eastAsia="serif" w:cs="serif"/>
      <w:sz w:val="21"/>
      <w:szCs w:val="21"/>
    </w:rPr>
  </w:style>
  <w:style w:type="character" w:styleId="55">
    <w:name w:val="HTML Sample"/>
    <w:basedOn w:val="40"/>
    <w:qFormat/>
    <w:uiPriority w:val="0"/>
    <w:rPr>
      <w:rFonts w:ascii="serif" w:hAnsi="serif" w:eastAsia="serif" w:cs="serif"/>
      <w:sz w:val="21"/>
      <w:szCs w:val="21"/>
    </w:rPr>
  </w:style>
  <w:style w:type="character" w:customStyle="1" w:styleId="56">
    <w:name w:val="标题 1 Char"/>
    <w:link w:val="4"/>
    <w:qFormat/>
    <w:uiPriority w:val="0"/>
    <w:rPr>
      <w:rFonts w:ascii="黑体" w:eastAsia="黑体"/>
      <w:b/>
      <w:bCs/>
      <w:kern w:val="44"/>
      <w:sz w:val="36"/>
      <w:szCs w:val="28"/>
    </w:rPr>
  </w:style>
  <w:style w:type="paragraph" w:customStyle="1" w:styleId="57">
    <w:name w:val="WPSOffice手动目录 1"/>
    <w:qFormat/>
    <w:uiPriority w:val="0"/>
    <w:rPr>
      <w:rFonts w:ascii="Times New Roman" w:hAnsi="Times New Roman" w:eastAsia="宋体" w:cs="Times New Roman"/>
      <w:lang w:val="en-US" w:eastAsia="zh-CN" w:bidi="ar-SA"/>
    </w:rPr>
  </w:style>
  <w:style w:type="character" w:customStyle="1" w:styleId="58">
    <w:name w:val="font21"/>
    <w:qFormat/>
    <w:uiPriority w:val="0"/>
    <w:rPr>
      <w:rFonts w:hint="eastAsia" w:ascii="宋体" w:hAnsi="宋体" w:eastAsia="宋体"/>
      <w:b/>
      <w:bCs/>
      <w:color w:val="000000"/>
      <w:sz w:val="24"/>
      <w:szCs w:val="24"/>
      <w:u w:val="none"/>
    </w:rPr>
  </w:style>
  <w:style w:type="character" w:customStyle="1" w:styleId="59">
    <w:name w:val="标题 2 Char"/>
    <w:link w:val="5"/>
    <w:qFormat/>
    <w:uiPriority w:val="0"/>
    <w:rPr>
      <w:rFonts w:ascii="Arial" w:hAnsi="Arial" w:eastAsia="黑体"/>
      <w:b/>
      <w:bCs/>
      <w:kern w:val="2"/>
      <w:sz w:val="32"/>
      <w:szCs w:val="24"/>
      <w:lang w:val="en-US" w:eastAsia="zh-CN" w:bidi="ar-SA"/>
    </w:rPr>
  </w:style>
  <w:style w:type="character" w:customStyle="1" w:styleId="60">
    <w:name w:val="页眉 Char"/>
    <w:link w:val="25"/>
    <w:qFormat/>
    <w:uiPriority w:val="0"/>
    <w:rPr>
      <w:rFonts w:eastAsia="宋体"/>
      <w:kern w:val="2"/>
      <w:sz w:val="18"/>
      <w:szCs w:val="18"/>
      <w:lang w:val="en-US" w:eastAsia="zh-CN" w:bidi="ar-SA"/>
    </w:rPr>
  </w:style>
  <w:style w:type="character" w:customStyle="1" w:styleId="61">
    <w:name w:val="font161"/>
    <w:qFormat/>
    <w:uiPriority w:val="0"/>
    <w:rPr>
      <w:b/>
      <w:bCs/>
      <w:sz w:val="32"/>
      <w:szCs w:val="32"/>
    </w:rPr>
  </w:style>
  <w:style w:type="character" w:customStyle="1" w:styleId="62">
    <w:name w:val="font51"/>
    <w:basedOn w:val="40"/>
    <w:qFormat/>
    <w:uiPriority w:val="0"/>
    <w:rPr>
      <w:rFonts w:hint="eastAsia" w:ascii="宋体" w:hAnsi="宋体" w:eastAsia="宋体"/>
      <w:b/>
      <w:bCs/>
      <w:color w:val="000000"/>
      <w:sz w:val="20"/>
      <w:szCs w:val="20"/>
      <w:u w:val="single"/>
    </w:rPr>
  </w:style>
  <w:style w:type="character" w:customStyle="1" w:styleId="63">
    <w:name w:val="纯文本 Char"/>
    <w:link w:val="20"/>
    <w:qFormat/>
    <w:uiPriority w:val="99"/>
    <w:rPr>
      <w:rFonts w:ascii="宋体" w:hAnsi="Courier New"/>
      <w:kern w:val="2"/>
      <w:sz w:val="21"/>
    </w:rPr>
  </w:style>
  <w:style w:type="character" w:customStyle="1" w:styleId="64">
    <w:name w:val="font11"/>
    <w:qFormat/>
    <w:uiPriority w:val="0"/>
    <w:rPr>
      <w:rFonts w:hint="default" w:ascii="Times New Roman" w:hAnsi="Times New Roman" w:cs="Times New Roman"/>
      <w:b/>
      <w:bCs/>
      <w:color w:val="000000"/>
      <w:sz w:val="24"/>
      <w:szCs w:val="24"/>
      <w:u w:val="none"/>
    </w:rPr>
  </w:style>
  <w:style w:type="character" w:customStyle="1" w:styleId="65">
    <w:name w:val="font41"/>
    <w:qFormat/>
    <w:uiPriority w:val="0"/>
    <w:rPr>
      <w:rFonts w:hint="eastAsia" w:ascii="宋体" w:hAnsi="宋体" w:eastAsia="宋体"/>
      <w:b/>
      <w:bCs/>
      <w:color w:val="000000"/>
      <w:sz w:val="20"/>
      <w:szCs w:val="20"/>
      <w:u w:val="none"/>
    </w:rPr>
  </w:style>
  <w:style w:type="character" w:customStyle="1" w:styleId="66">
    <w:name w:val="font81"/>
    <w:qFormat/>
    <w:uiPriority w:val="0"/>
    <w:rPr>
      <w:rFonts w:hint="eastAsia" w:ascii="宋体" w:hAnsi="宋体" w:eastAsia="宋体"/>
      <w:b/>
      <w:bCs/>
      <w:color w:val="000000"/>
      <w:sz w:val="22"/>
      <w:szCs w:val="22"/>
      <w:u w:val="single"/>
    </w:rPr>
  </w:style>
  <w:style w:type="character" w:customStyle="1" w:styleId="67">
    <w:name w:val="font31"/>
    <w:qFormat/>
    <w:uiPriority w:val="0"/>
    <w:rPr>
      <w:rFonts w:hint="default" w:ascii="Times New Roman" w:hAnsi="Times New Roman" w:cs="Times New Roman"/>
      <w:b/>
      <w:bCs/>
      <w:color w:val="000000"/>
      <w:sz w:val="20"/>
      <w:szCs w:val="20"/>
      <w:u w:val="none"/>
    </w:rPr>
  </w:style>
  <w:style w:type="character" w:customStyle="1" w:styleId="68">
    <w:name w:val="font61"/>
    <w:basedOn w:val="40"/>
    <w:qFormat/>
    <w:uiPriority w:val="0"/>
    <w:rPr>
      <w:rFonts w:hint="default" w:ascii="Arial" w:hAnsi="Arial" w:cs="Arial"/>
      <w:b/>
      <w:bCs/>
      <w:color w:val="000000"/>
      <w:sz w:val="20"/>
      <w:szCs w:val="20"/>
      <w:u w:val="single"/>
    </w:rPr>
  </w:style>
  <w:style w:type="character" w:customStyle="1" w:styleId="69">
    <w:name w:val="页脚 Char"/>
    <w:link w:val="24"/>
    <w:qFormat/>
    <w:uiPriority w:val="0"/>
    <w:rPr>
      <w:rFonts w:eastAsia="宋体"/>
      <w:kern w:val="2"/>
      <w:sz w:val="18"/>
      <w:szCs w:val="18"/>
      <w:lang w:val="en-US" w:eastAsia="zh-CN" w:bidi="ar-SA"/>
    </w:rPr>
  </w:style>
  <w:style w:type="character" w:customStyle="1" w:styleId="70">
    <w:name w:val="font71"/>
    <w:qFormat/>
    <w:uiPriority w:val="0"/>
    <w:rPr>
      <w:rFonts w:hint="default" w:ascii="Times New Roman" w:hAnsi="Times New Roman" w:cs="Times New Roman"/>
      <w:b/>
      <w:bCs/>
      <w:color w:val="000000"/>
      <w:sz w:val="22"/>
      <w:szCs w:val="22"/>
      <w:u w:val="single"/>
    </w:rPr>
  </w:style>
  <w:style w:type="character" w:customStyle="1" w:styleId="71">
    <w:name w:val="font01"/>
    <w:qFormat/>
    <w:uiPriority w:val="0"/>
    <w:rPr>
      <w:rFonts w:hint="eastAsia" w:ascii="宋体" w:hAnsi="宋体" w:eastAsia="宋体" w:cs="宋体"/>
      <w:color w:val="000000"/>
      <w:sz w:val="20"/>
      <w:szCs w:val="20"/>
      <w:u w:val="none"/>
    </w:rPr>
  </w:style>
  <w:style w:type="paragraph" w:customStyle="1" w:styleId="72">
    <w:name w:val="Char"/>
    <w:basedOn w:val="1"/>
    <w:qFormat/>
    <w:uiPriority w:val="0"/>
    <w:pPr>
      <w:spacing w:before="100" w:beforeAutospacing="1" w:after="100" w:afterAutospacing="1"/>
    </w:pPr>
    <w:rPr>
      <w:szCs w:val="20"/>
    </w:rPr>
  </w:style>
  <w:style w:type="paragraph" w:customStyle="1" w:styleId="73">
    <w:name w:val="样式 标题 3 + (中文) 黑体 小四 非加粗 段前: 7.8 磅 段后: 0 磅 行距: 固定值 20 磅"/>
    <w:basedOn w:val="6"/>
    <w:qFormat/>
    <w:uiPriority w:val="0"/>
    <w:pPr>
      <w:snapToGrid/>
      <w:spacing w:before="0" w:line="400" w:lineRule="exact"/>
    </w:pPr>
    <w:rPr>
      <w:rFonts w:cs="宋体"/>
      <w:bCs w:val="0"/>
      <w:szCs w:val="20"/>
    </w:rPr>
  </w:style>
  <w:style w:type="paragraph" w:customStyle="1" w:styleId="74">
    <w:name w:val="样式 标题 2 + Times New Roman 四号 非加粗 段前: 5 磅 段后: 0 磅 行距: 固定值 20..."/>
    <w:basedOn w:val="5"/>
    <w:qFormat/>
    <w:uiPriority w:val="0"/>
    <w:pPr>
      <w:spacing w:before="100" w:after="0" w:line="400" w:lineRule="exact"/>
      <w:jc w:val="both"/>
    </w:pPr>
    <w:rPr>
      <w:rFonts w:ascii="Times New Roman" w:hAnsi="Times New Roman" w:cs="宋体"/>
      <w:b w:val="0"/>
      <w:bCs w:val="0"/>
      <w:sz w:val="28"/>
      <w:szCs w:val="20"/>
    </w:rPr>
  </w:style>
  <w:style w:type="paragraph" w:customStyle="1" w:styleId="75">
    <w:name w:val="样式3"/>
    <w:basedOn w:val="1"/>
    <w:next w:val="1"/>
    <w:qFormat/>
    <w:uiPriority w:val="0"/>
    <w:pPr>
      <w:snapToGrid w:val="0"/>
      <w:spacing w:before="240" w:after="120" w:line="324" w:lineRule="auto"/>
    </w:pPr>
    <w:rPr>
      <w:rFonts w:eastAsia="黑体" w:cs="宋体"/>
      <w:b/>
      <w:bCs/>
      <w:sz w:val="28"/>
      <w:szCs w:val="20"/>
    </w:rPr>
  </w:style>
  <w:style w:type="paragraph" w:customStyle="1" w:styleId="76">
    <w:name w:val="Char Char Char1 Char"/>
    <w:basedOn w:val="1"/>
    <w:qFormat/>
    <w:uiPriority w:val="0"/>
    <w:pPr>
      <w:widowControl/>
      <w:spacing w:after="160" w:line="240" w:lineRule="exact"/>
      <w:jc w:val="left"/>
    </w:pPr>
    <w:rPr>
      <w:szCs w:val="20"/>
    </w:rPr>
  </w:style>
  <w:style w:type="paragraph" w:customStyle="1" w:styleId="77">
    <w:name w:val="Char1"/>
    <w:basedOn w:val="1"/>
    <w:qFormat/>
    <w:uiPriority w:val="0"/>
    <w:rPr>
      <w:sz w:val="24"/>
    </w:rPr>
  </w:style>
  <w:style w:type="paragraph" w:customStyle="1" w:styleId="78">
    <w:name w:val="标题2"/>
    <w:basedOn w:val="5"/>
    <w:qFormat/>
    <w:uiPriority w:val="0"/>
    <w:pPr>
      <w:snapToGrid w:val="0"/>
      <w:spacing w:line="324" w:lineRule="auto"/>
      <w:jc w:val="both"/>
    </w:pPr>
    <w:rPr>
      <w:sz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31"/>
    <w:basedOn w:val="1"/>
    <w:qFormat/>
    <w:uiPriority w:val="0"/>
  </w:style>
  <w:style w:type="paragraph" w:customStyle="1" w:styleId="83">
    <w:name w:val="表格"/>
    <w:basedOn w:val="1"/>
    <w:qFormat/>
    <w:uiPriority w:val="0"/>
    <w:pPr>
      <w:jc w:val="center"/>
      <w:textAlignment w:val="center"/>
    </w:pPr>
    <w:rPr>
      <w:rFonts w:ascii="华文细黑" w:hAnsi="华文细黑"/>
      <w:kern w:val="0"/>
      <w:szCs w:val="20"/>
    </w:rPr>
  </w:style>
  <w:style w:type="paragraph" w:customStyle="1" w:styleId="84">
    <w:name w:val="样式 标题 1 + 黑体 三号 非加粗 居中 段前: 6 磅 段后: 6 磅 行距: 固定值 20 磅"/>
    <w:basedOn w:val="4"/>
    <w:qFormat/>
    <w:uiPriority w:val="0"/>
    <w:pPr>
      <w:snapToGrid/>
      <w:spacing w:beforeLines="0" w:afterLines="0" w:line="400" w:lineRule="exact"/>
    </w:pPr>
    <w:rPr>
      <w:rFonts w:hAnsi="黑体" w:cs="宋体"/>
      <w:b w:val="0"/>
      <w:bCs w:val="0"/>
      <w:sz w:val="32"/>
      <w:szCs w:val="20"/>
    </w:rPr>
  </w:style>
  <w:style w:type="paragraph" w:customStyle="1" w:styleId="85">
    <w:name w:val="1"/>
    <w:basedOn w:val="1"/>
    <w:next w:val="1"/>
    <w:qFormat/>
    <w:uiPriority w:val="0"/>
  </w:style>
  <w:style w:type="table" w:customStyle="1" w:styleId="86">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87">
    <w:name w:val="Table Normal"/>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paragraph" w:customStyle="1" w:styleId="88">
    <w:name w:val="样式1"/>
    <w:basedOn w:val="1"/>
    <w:next w:val="7"/>
    <w:qFormat/>
    <w:uiPriority w:val="0"/>
    <w:pPr>
      <w:spacing w:line="360" w:lineRule="auto"/>
      <w:ind w:firstLine="420" w:firstLineChars="200"/>
    </w:pPr>
    <w:rPr>
      <w:rFonts w:ascii="宋体" w:hAnsi="宋体"/>
      <w:szCs w:val="21"/>
    </w:rPr>
  </w:style>
  <w:style w:type="paragraph" w:customStyle="1" w:styleId="89">
    <w:name w:val="p17"/>
    <w:basedOn w:val="1"/>
    <w:qFormat/>
    <w:uiPriority w:val="99"/>
    <w:pPr>
      <w:widowControl/>
      <w:snapToGrid w:val="0"/>
      <w:jc w:val="left"/>
    </w:pPr>
    <w:rPr>
      <w:rFonts w:ascii="宋体" w:hAnsi="宋体" w:cs="宋体"/>
      <w:color w:val="000000"/>
      <w:kern w:val="0"/>
      <w:sz w:val="24"/>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91">
    <w:name w:val="List Paragraph"/>
    <w:basedOn w:val="1"/>
    <w:qFormat/>
    <w:uiPriority w:val="99"/>
    <w:pPr>
      <w:ind w:firstLine="420" w:firstLineChars="200"/>
    </w:pPr>
  </w:style>
  <w:style w:type="character" w:customStyle="1" w:styleId="92">
    <w:name w:val="font101"/>
    <w:basedOn w:val="40"/>
    <w:qFormat/>
    <w:uiPriority w:val="0"/>
    <w:rPr>
      <w:rFonts w:hint="eastAsia" w:ascii="宋体" w:hAnsi="宋体" w:eastAsia="宋体" w:cs="宋体"/>
      <w:b/>
      <w:color w:val="000000"/>
      <w:sz w:val="36"/>
      <w:szCs w:val="36"/>
      <w:u w:val="none"/>
    </w:rPr>
  </w:style>
  <w:style w:type="character" w:customStyle="1" w:styleId="93">
    <w:name w:val="17"/>
    <w:basedOn w:val="40"/>
    <w:qFormat/>
    <w:uiPriority w:val="0"/>
    <w:rPr>
      <w:rFonts w:hint="eastAsia" w:ascii="宋体" w:hAnsi="宋体" w:eastAsia="宋体" w:cs="宋体"/>
      <w:color w:val="000000"/>
      <w:sz w:val="16"/>
      <w:szCs w:val="16"/>
    </w:rPr>
  </w:style>
  <w:style w:type="character" w:customStyle="1" w:styleId="94">
    <w:name w:val="15"/>
    <w:basedOn w:val="40"/>
    <w:qFormat/>
    <w:uiPriority w:val="0"/>
    <w:rPr>
      <w:rFonts w:hint="eastAsia" w:ascii="宋体" w:hAnsi="宋体" w:eastAsia="宋体" w:cs="宋体"/>
      <w:b/>
      <w:color w:val="000000"/>
      <w:sz w:val="24"/>
      <w:szCs w:val="24"/>
    </w:rPr>
  </w:style>
  <w:style w:type="character" w:customStyle="1" w:styleId="95">
    <w:name w:val="18"/>
    <w:basedOn w:val="40"/>
    <w:qFormat/>
    <w:uiPriority w:val="0"/>
    <w:rPr>
      <w:rFonts w:hint="eastAsia" w:ascii="宋体" w:hAnsi="宋体" w:eastAsia="宋体" w:cs="宋体"/>
      <w:b/>
      <w:color w:val="000000"/>
      <w:sz w:val="36"/>
      <w:szCs w:val="36"/>
    </w:rPr>
  </w:style>
  <w:style w:type="character" w:customStyle="1" w:styleId="96">
    <w:name w:val="10"/>
    <w:basedOn w:val="40"/>
    <w:qFormat/>
    <w:uiPriority w:val="0"/>
    <w:rPr>
      <w:rFonts w:hint="default" w:ascii="Times New Roman" w:hAnsi="Times New Roman" w:cs="Times New Roman"/>
    </w:rPr>
  </w:style>
  <w:style w:type="character" w:customStyle="1" w:styleId="97">
    <w:name w:val="16"/>
    <w:basedOn w:val="40"/>
    <w:qFormat/>
    <w:uiPriority w:val="0"/>
    <w:rPr>
      <w:rFonts w:hint="eastAsia" w:ascii="宋体" w:hAnsi="宋体" w:eastAsia="宋体" w:cs="宋体"/>
      <w:b/>
      <w:color w:val="000000"/>
      <w:sz w:val="16"/>
      <w:szCs w:val="16"/>
    </w:rPr>
  </w:style>
  <w:style w:type="character" w:customStyle="1" w:styleId="98">
    <w:name w:val="first-child"/>
    <w:basedOn w:val="40"/>
    <w:qFormat/>
    <w:uiPriority w:val="0"/>
  </w:style>
  <w:style w:type="character" w:customStyle="1" w:styleId="99">
    <w:name w:val="required"/>
    <w:basedOn w:val="40"/>
    <w:qFormat/>
    <w:uiPriority w:val="0"/>
    <w:rPr>
      <w:color w:val="FF0000"/>
    </w:rPr>
  </w:style>
  <w:style w:type="paragraph" w:customStyle="1" w:styleId="100">
    <w:name w:val="_Style 95"/>
    <w:basedOn w:val="1"/>
    <w:next w:val="1"/>
    <w:qFormat/>
    <w:uiPriority w:val="0"/>
    <w:pPr>
      <w:pBdr>
        <w:bottom w:val="single" w:color="auto" w:sz="6" w:space="1"/>
      </w:pBdr>
      <w:jc w:val="center"/>
    </w:pPr>
    <w:rPr>
      <w:rFonts w:ascii="Arial"/>
      <w:vanish/>
      <w:sz w:val="16"/>
    </w:rPr>
  </w:style>
  <w:style w:type="paragraph" w:customStyle="1" w:styleId="101">
    <w:name w:val="_Style 96"/>
    <w:basedOn w:val="1"/>
    <w:next w:val="1"/>
    <w:qFormat/>
    <w:uiPriority w:val="0"/>
    <w:pPr>
      <w:pBdr>
        <w:top w:val="single" w:color="auto" w:sz="6" w:space="1"/>
      </w:pBdr>
      <w:jc w:val="center"/>
    </w:pPr>
    <w:rPr>
      <w:rFonts w:ascii="Arial"/>
      <w:vanish/>
      <w:sz w:val="16"/>
    </w:rPr>
  </w:style>
  <w:style w:type="paragraph" w:customStyle="1" w:styleId="102">
    <w:name w:val="_Style 97"/>
    <w:basedOn w:val="1"/>
    <w:next w:val="1"/>
    <w:qFormat/>
    <w:uiPriority w:val="0"/>
    <w:pPr>
      <w:pBdr>
        <w:bottom w:val="single" w:color="auto" w:sz="6" w:space="1"/>
      </w:pBdr>
      <w:jc w:val="center"/>
    </w:pPr>
    <w:rPr>
      <w:rFonts w:ascii="Arial"/>
      <w:vanish/>
      <w:sz w:val="16"/>
    </w:rPr>
  </w:style>
  <w:style w:type="paragraph" w:customStyle="1" w:styleId="103">
    <w:name w:val="_Style 98"/>
    <w:basedOn w:val="1"/>
    <w:next w:val="1"/>
    <w:qFormat/>
    <w:uiPriority w:val="0"/>
    <w:pPr>
      <w:pBdr>
        <w:top w:val="single" w:color="auto" w:sz="6" w:space="1"/>
      </w:pBdr>
      <w:jc w:val="center"/>
    </w:pPr>
    <w:rPr>
      <w:rFonts w:ascii="Arial"/>
      <w:vanish/>
      <w:sz w:val="16"/>
    </w:rPr>
  </w:style>
  <w:style w:type="character" w:customStyle="1" w:styleId="104">
    <w:name w:val="old"/>
    <w:basedOn w:val="40"/>
    <w:qFormat/>
    <w:uiPriority w:val="0"/>
    <w:rPr>
      <w:color w:val="999999"/>
    </w:rPr>
  </w:style>
  <w:style w:type="character" w:customStyle="1" w:styleId="105">
    <w:name w:val="hour_am"/>
    <w:basedOn w:val="40"/>
    <w:qFormat/>
    <w:uiPriority w:val="0"/>
  </w:style>
  <w:style w:type="character" w:customStyle="1" w:styleId="106">
    <w:name w:val="hover13"/>
    <w:basedOn w:val="40"/>
    <w:qFormat/>
    <w:uiPriority w:val="0"/>
    <w:rPr>
      <w:shd w:val="clear" w:color="auto" w:fill="EEEEEE"/>
    </w:rPr>
  </w:style>
  <w:style w:type="character" w:customStyle="1" w:styleId="107">
    <w:name w:val="dark"/>
    <w:basedOn w:val="40"/>
    <w:qFormat/>
    <w:uiPriority w:val="0"/>
    <w:rPr>
      <w:bdr w:val="single" w:color="000000" w:sz="6" w:space="0"/>
      <w:shd w:val="clear" w:color="auto" w:fill="111111"/>
    </w:rPr>
  </w:style>
  <w:style w:type="character" w:customStyle="1" w:styleId="108">
    <w:name w:val="white"/>
    <w:basedOn w:val="40"/>
    <w:qFormat/>
    <w:uiPriority w:val="0"/>
    <w:rPr>
      <w:bdr w:val="single" w:color="FFFFFF" w:sz="6" w:space="0"/>
      <w:shd w:val="clear" w:color="auto" w:fill="FFFFFF"/>
    </w:rPr>
  </w:style>
  <w:style w:type="character" w:customStyle="1" w:styleId="109">
    <w:name w:val="glyphicon"/>
    <w:basedOn w:val="40"/>
    <w:qFormat/>
    <w:uiPriority w:val="0"/>
  </w:style>
  <w:style w:type="character" w:customStyle="1" w:styleId="110">
    <w:name w:val="hour_pm"/>
    <w:basedOn w:val="40"/>
    <w:qFormat/>
    <w:uiPriority w:val="0"/>
  </w:style>
  <w:style w:type="character" w:customStyle="1" w:styleId="111">
    <w:name w:val="批注文字 Char"/>
    <w:basedOn w:val="40"/>
    <w:link w:val="15"/>
    <w:qFormat/>
    <w:uiPriority w:val="0"/>
    <w:rPr>
      <w:kern w:val="2"/>
      <w:sz w:val="21"/>
      <w:szCs w:val="24"/>
    </w:rPr>
  </w:style>
  <w:style w:type="character" w:customStyle="1" w:styleId="112">
    <w:name w:val="批注主题 Char"/>
    <w:basedOn w:val="111"/>
    <w:link w:val="3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99393-F7D3-4E40-991D-D143A0D03E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136</Pages>
  <Words>83899</Words>
  <Characters>89415</Characters>
  <Lines>716</Lines>
  <Paragraphs>201</Paragraphs>
  <TotalTime>14</TotalTime>
  <ScaleCrop>false</ScaleCrop>
  <LinksUpToDate>false</LinksUpToDate>
  <CharactersWithSpaces>93017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2018-05-29T08:39:00Z</dcterms:created>
  <dc:creator>微软用户</dc:creator>
  <cp:lastModifiedBy>雷雨</cp:lastModifiedBy>
  <cp:lastPrinted>2019-12-05T05:42:00Z</cp:lastPrinted>
  <dcterms:modified xsi:type="dcterms:W3CDTF">2022-06-08T00:44:41Z</dcterms:modified>
  <dc:title>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CE3975B7DDB74A92B5F6C904EBC49BC7</vt:lpwstr>
  </property>
</Properties>
</file>